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06AE0">
      <w:pPr>
        <w:spacing w:before="120" w:after="120" w:line="360" w:lineRule="auto"/>
        <w:jc w:val="left"/>
        <w:rPr>
          <w:rFonts w:ascii="Arial" w:hAnsi="Arial" w:eastAsia="黑体"/>
          <w:b/>
          <w:bCs/>
          <w:sz w:val="84"/>
          <w:szCs w:val="24"/>
        </w:rPr>
      </w:pPr>
    </w:p>
    <w:p w14:paraId="17011275">
      <w:pPr>
        <w:pStyle w:val="307"/>
        <w:ind w:firstLine="0"/>
        <w:jc w:val="center"/>
        <w:rPr>
          <w:rFonts w:eastAsia="黑体"/>
          <w:b/>
          <w:bCs/>
          <w:color w:val="000000"/>
          <w:sz w:val="84"/>
        </w:rPr>
      </w:pPr>
      <w:r>
        <w:rPr>
          <w:spacing w:val="-7"/>
          <w:sz w:val="75"/>
          <w:szCs w:val="75"/>
        </w:rPr>
        <w:t>招标文件</w:t>
      </w:r>
    </w:p>
    <w:p w14:paraId="1F2DC861">
      <w:pPr>
        <w:spacing w:before="120" w:after="120" w:line="360" w:lineRule="auto"/>
        <w:ind w:firstLine="1606"/>
        <w:jc w:val="left"/>
        <w:rPr>
          <w:rFonts w:ascii="Arial" w:hAnsi="Arial"/>
          <w:b/>
          <w:bCs/>
          <w:sz w:val="32"/>
          <w:szCs w:val="24"/>
        </w:rPr>
      </w:pPr>
    </w:p>
    <w:p w14:paraId="3A6CFBB8">
      <w:pPr>
        <w:spacing w:before="120" w:after="120" w:line="360" w:lineRule="auto"/>
        <w:ind w:firstLine="1606"/>
        <w:jc w:val="left"/>
        <w:rPr>
          <w:rFonts w:ascii="Arial" w:hAnsi="Arial"/>
          <w:b/>
          <w:bCs/>
          <w:sz w:val="32"/>
          <w:szCs w:val="24"/>
        </w:rPr>
      </w:pPr>
    </w:p>
    <w:p w14:paraId="02018A74">
      <w:pPr>
        <w:spacing w:before="120" w:after="120" w:line="360" w:lineRule="auto"/>
        <w:ind w:firstLine="1606"/>
        <w:jc w:val="left"/>
        <w:rPr>
          <w:rFonts w:ascii="Arial" w:hAnsi="Arial"/>
          <w:b/>
          <w:bCs/>
          <w:sz w:val="32"/>
          <w:szCs w:val="24"/>
        </w:rPr>
      </w:pPr>
    </w:p>
    <w:p w14:paraId="102937FF">
      <w:pPr>
        <w:spacing w:before="120" w:after="120" w:line="360" w:lineRule="auto"/>
        <w:jc w:val="center"/>
        <w:rPr>
          <w:rFonts w:ascii="Arial" w:hAnsi="Arial"/>
          <w:b/>
          <w:bCs/>
          <w:sz w:val="32"/>
          <w:szCs w:val="24"/>
        </w:rPr>
      </w:pPr>
      <w:r>
        <w:rPr>
          <w:rFonts w:hint="eastAsia" w:ascii="Arial" w:hAnsi="Arial"/>
          <w:b/>
          <w:bCs/>
          <w:sz w:val="32"/>
          <w:szCs w:val="24"/>
        </w:rPr>
        <w:t>项目名称：文德路18号和文昌路12号办公区安保服务采购</w:t>
      </w:r>
    </w:p>
    <w:p w14:paraId="1855D96E">
      <w:pPr>
        <w:spacing w:before="120" w:after="120" w:line="360" w:lineRule="auto"/>
        <w:ind w:firstLine="643" w:firstLineChars="200"/>
        <w:jc w:val="left"/>
      </w:pPr>
      <w:r>
        <w:rPr>
          <w:rFonts w:hint="eastAsia" w:ascii="Arial" w:hAnsi="Arial"/>
          <w:b/>
          <w:bCs/>
          <w:sz w:val="32"/>
          <w:szCs w:val="24"/>
        </w:rPr>
        <w:t xml:space="preserve">项目编号：JSZC-320111-JZCG-G2026-0013   </w:t>
      </w:r>
    </w:p>
    <w:p w14:paraId="30830663">
      <w:pPr>
        <w:spacing w:line="360" w:lineRule="auto"/>
        <w:ind w:firstLine="720"/>
        <w:jc w:val="center"/>
        <w:rPr>
          <w:rFonts w:hint="eastAsia" w:ascii="宋体" w:hAnsi="宋体"/>
          <w:sz w:val="24"/>
          <w:szCs w:val="24"/>
        </w:rPr>
      </w:pPr>
      <w:r>
        <w:rPr>
          <w:rFonts w:hint="eastAsia" w:ascii="宋体" w:hAnsi="宋体" w:cs="宋体"/>
          <w:b/>
          <w:sz w:val="30"/>
          <w:szCs w:val="30"/>
        </w:rPr>
        <w:t>（</w:t>
      </w:r>
      <w:r>
        <w:rPr>
          <w:rFonts w:hint="eastAsia"/>
          <w:b/>
          <w:sz w:val="30"/>
          <w:szCs w:val="30"/>
        </w:rPr>
        <w:t>服务类项目</w:t>
      </w:r>
      <w:r>
        <w:rPr>
          <w:rFonts w:hint="eastAsia" w:ascii="宋体" w:hAnsi="宋体" w:cs="宋体"/>
          <w:b/>
          <w:sz w:val="30"/>
          <w:szCs w:val="30"/>
        </w:rPr>
        <w:t>，非专门面向中小企业）</w:t>
      </w:r>
    </w:p>
    <w:p w14:paraId="2D98CB00">
      <w:pPr>
        <w:pStyle w:val="16"/>
      </w:pPr>
    </w:p>
    <w:p w14:paraId="59B079F8">
      <w:pPr>
        <w:spacing w:line="360" w:lineRule="auto"/>
        <w:jc w:val="left"/>
        <w:rPr>
          <w:rFonts w:hint="eastAsia" w:ascii="宋体" w:hAnsi="宋体"/>
          <w:sz w:val="24"/>
          <w:szCs w:val="24"/>
        </w:rPr>
      </w:pPr>
    </w:p>
    <w:p w14:paraId="6243F70F">
      <w:pPr>
        <w:spacing w:line="360" w:lineRule="auto"/>
        <w:jc w:val="left"/>
        <w:rPr>
          <w:rFonts w:hint="eastAsia" w:ascii="宋体" w:hAnsi="宋体"/>
          <w:sz w:val="24"/>
          <w:szCs w:val="24"/>
        </w:rPr>
      </w:pPr>
    </w:p>
    <w:p w14:paraId="6469DDBA">
      <w:pPr>
        <w:spacing w:line="360" w:lineRule="auto"/>
        <w:jc w:val="left"/>
        <w:rPr>
          <w:rFonts w:hint="eastAsia" w:ascii="宋体" w:hAnsi="宋体"/>
          <w:sz w:val="24"/>
          <w:szCs w:val="24"/>
        </w:rPr>
      </w:pPr>
    </w:p>
    <w:p w14:paraId="4C6C1C42">
      <w:pPr>
        <w:spacing w:line="360" w:lineRule="auto"/>
        <w:jc w:val="left"/>
        <w:rPr>
          <w:rFonts w:hint="eastAsia" w:ascii="宋体" w:hAnsi="宋体"/>
          <w:sz w:val="24"/>
          <w:szCs w:val="24"/>
        </w:rPr>
      </w:pPr>
    </w:p>
    <w:p w14:paraId="6A84FB32">
      <w:pPr>
        <w:spacing w:line="360" w:lineRule="auto"/>
        <w:jc w:val="left"/>
        <w:rPr>
          <w:rFonts w:hint="eastAsia" w:ascii="宋体" w:hAnsi="宋体"/>
          <w:sz w:val="24"/>
          <w:szCs w:val="24"/>
        </w:rPr>
      </w:pPr>
    </w:p>
    <w:p w14:paraId="0AA5AA99">
      <w:pPr>
        <w:spacing w:line="360" w:lineRule="auto"/>
        <w:jc w:val="left"/>
        <w:rPr>
          <w:rFonts w:hint="eastAsia" w:ascii="宋体" w:hAnsi="宋体"/>
          <w:sz w:val="24"/>
          <w:szCs w:val="24"/>
        </w:rPr>
      </w:pPr>
    </w:p>
    <w:p w14:paraId="108E659C">
      <w:pPr>
        <w:pStyle w:val="307"/>
        <w:ind w:firstLine="0"/>
        <w:jc w:val="center"/>
        <w:rPr>
          <w:b/>
          <w:bCs/>
          <w:sz w:val="32"/>
        </w:rPr>
      </w:pPr>
      <w:r>
        <w:rPr>
          <w:rFonts w:hint="eastAsia"/>
          <w:b/>
          <w:bCs/>
          <w:sz w:val="32"/>
        </w:rPr>
        <w:t>南京市公共资源交易中心浦口分中心</w:t>
      </w:r>
    </w:p>
    <w:p w14:paraId="41DCC3B9">
      <w:pPr>
        <w:spacing w:before="120" w:after="120" w:line="360" w:lineRule="auto"/>
        <w:jc w:val="center"/>
        <w:rPr>
          <w:rFonts w:ascii="Arial" w:hAnsi="Arial"/>
          <w:b/>
          <w:bCs/>
          <w:sz w:val="32"/>
          <w:szCs w:val="24"/>
        </w:rPr>
      </w:pPr>
      <w:r>
        <w:rPr>
          <w:rFonts w:hint="eastAsia" w:ascii="Arial" w:hAnsi="Arial"/>
          <w:b/>
          <w:bCs/>
          <w:sz w:val="32"/>
          <w:szCs w:val="24"/>
        </w:rPr>
        <w:t>2026年 3月</w:t>
      </w:r>
    </w:p>
    <w:p w14:paraId="4D4D76EF">
      <w:pPr>
        <w:spacing w:line="480" w:lineRule="auto"/>
        <w:jc w:val="center"/>
        <w:outlineLvl w:val="0"/>
        <w:rPr>
          <w:rFonts w:ascii="Arial" w:hAnsi="Arial"/>
          <w:b/>
          <w:bCs/>
          <w:sz w:val="32"/>
          <w:szCs w:val="24"/>
        </w:rPr>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pPr>
      <w:bookmarkStart w:id="0" w:name="_Toc120614210"/>
      <w:bookmarkStart w:id="1" w:name="_Toc523127445"/>
      <w:bookmarkStart w:id="2" w:name="_Toc479757206"/>
      <w:bookmarkStart w:id="3" w:name="_Toc513029200"/>
      <w:bookmarkStart w:id="4" w:name="_Toc20823272"/>
      <w:bookmarkStart w:id="5" w:name="_Toc16938516"/>
    </w:p>
    <w:p w14:paraId="2FD889CA">
      <w:pPr>
        <w:spacing w:line="480" w:lineRule="auto"/>
        <w:jc w:val="center"/>
        <w:rPr>
          <w:rFonts w:ascii="黑体" w:hAnsi="Arial" w:eastAsia="黑体"/>
          <w:b/>
          <w:sz w:val="44"/>
          <w:szCs w:val="21"/>
        </w:rPr>
      </w:pPr>
      <w:r>
        <w:rPr>
          <w:rFonts w:hint="eastAsia" w:ascii="黑体" w:hAnsi="Arial" w:eastAsia="黑体"/>
          <w:b/>
          <w:sz w:val="44"/>
          <w:szCs w:val="21"/>
        </w:rPr>
        <w:t>总  目  录</w:t>
      </w:r>
    </w:p>
    <w:p w14:paraId="212AD17E">
      <w:pPr>
        <w:spacing w:line="480" w:lineRule="auto"/>
        <w:rPr>
          <w:rFonts w:ascii="仿宋_GB2312" w:hAnsi="Arial" w:eastAsia="仿宋_GB2312"/>
          <w:b/>
          <w:sz w:val="28"/>
          <w:szCs w:val="21"/>
        </w:rPr>
      </w:pPr>
    </w:p>
    <w:p w14:paraId="02B390B7">
      <w:pPr>
        <w:spacing w:line="480" w:lineRule="auto"/>
        <w:jc w:val="center"/>
        <w:rPr>
          <w:rFonts w:ascii="黑体" w:hAnsi="Showcard Gothic" w:eastAsia="黑体"/>
          <w:sz w:val="32"/>
          <w:szCs w:val="21"/>
        </w:rPr>
      </w:pPr>
      <w:r>
        <w:rPr>
          <w:rFonts w:hint="eastAsia" w:ascii="黑体" w:hAnsi="Showcard Gothic" w:eastAsia="黑体"/>
          <w:color w:val="000000"/>
          <w:sz w:val="36"/>
          <w:szCs w:val="21"/>
        </w:rPr>
        <w:t xml:space="preserve">第一章  </w:t>
      </w:r>
      <w:r>
        <w:rPr>
          <w:rFonts w:hint="eastAsia" w:ascii="黑体" w:hAnsi="宋体" w:eastAsia="黑体"/>
          <w:sz w:val="36"/>
          <w:szCs w:val="21"/>
        </w:rPr>
        <w:t>投标邀请</w:t>
      </w:r>
      <w:r>
        <w:rPr>
          <w:rFonts w:hint="eastAsia" w:ascii="黑体" w:hAnsi="Showcard Gothic" w:eastAsia="黑体"/>
          <w:sz w:val="36"/>
          <w:szCs w:val="21"/>
        </w:rPr>
        <w:t>……………………………………1</w:t>
      </w:r>
    </w:p>
    <w:p w14:paraId="3DC369F6">
      <w:pPr>
        <w:spacing w:line="480" w:lineRule="auto"/>
        <w:jc w:val="center"/>
        <w:rPr>
          <w:rFonts w:ascii="黑体" w:hAnsi="Showcard Gothic" w:eastAsia="黑体"/>
          <w:sz w:val="36"/>
          <w:szCs w:val="21"/>
        </w:rPr>
      </w:pPr>
      <w:r>
        <w:rPr>
          <w:rFonts w:hint="eastAsia" w:ascii="黑体" w:hAnsi="Showcard Gothic" w:eastAsia="黑体"/>
          <w:color w:val="000000"/>
          <w:sz w:val="36"/>
          <w:szCs w:val="21"/>
        </w:rPr>
        <w:t xml:space="preserve">第二章  </w:t>
      </w: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szCs w:val="21"/>
        </w:rPr>
        <w:t>………………………………4</w:t>
      </w:r>
    </w:p>
    <w:p w14:paraId="0CC4E607">
      <w:pPr>
        <w:spacing w:line="480" w:lineRule="auto"/>
        <w:jc w:val="center"/>
        <w:rPr>
          <w:rFonts w:ascii="黑体" w:hAnsi="Showcard Gothic" w:eastAsia="黑体"/>
          <w:sz w:val="36"/>
          <w:szCs w:val="21"/>
        </w:rPr>
      </w:pPr>
      <w:r>
        <w:rPr>
          <w:rFonts w:hint="eastAsia" w:ascii="黑体" w:hAnsi="Showcard Gothic" w:eastAsia="黑体"/>
          <w:color w:val="000000"/>
          <w:sz w:val="36"/>
          <w:szCs w:val="21"/>
        </w:rPr>
        <w:t xml:space="preserve"> 第三章  </w:t>
      </w:r>
      <w:r>
        <w:rPr>
          <w:rFonts w:hint="eastAsia" w:ascii="黑体" w:hAnsi="宋体" w:eastAsia="黑体"/>
          <w:sz w:val="36"/>
          <w:szCs w:val="21"/>
        </w:rPr>
        <w:t>合同文本</w:t>
      </w:r>
      <w:r>
        <w:rPr>
          <w:rFonts w:hint="eastAsia" w:ascii="黑体" w:hAnsi="Showcard Gothic" w:eastAsia="黑体"/>
          <w:sz w:val="36"/>
          <w:szCs w:val="21"/>
        </w:rPr>
        <w:t>……………………………………12</w:t>
      </w:r>
    </w:p>
    <w:p w14:paraId="78B954FC">
      <w:pPr>
        <w:spacing w:line="480" w:lineRule="auto"/>
        <w:jc w:val="center"/>
        <w:rPr>
          <w:rFonts w:ascii="黑体" w:hAnsi="Showcard Gothic" w:eastAsia="黑体"/>
          <w:sz w:val="36"/>
          <w:szCs w:val="21"/>
        </w:rPr>
      </w:pPr>
      <w:r>
        <w:rPr>
          <w:rFonts w:hint="eastAsia" w:ascii="黑体" w:hAnsi="Showcard Gothic" w:eastAsia="黑体"/>
          <w:color w:val="000000"/>
          <w:sz w:val="36"/>
          <w:szCs w:val="21"/>
        </w:rPr>
        <w:t xml:space="preserve"> 第四章  </w:t>
      </w:r>
      <w:r>
        <w:rPr>
          <w:rFonts w:hint="eastAsia" w:ascii="黑体" w:hAnsi="宋体" w:eastAsia="黑体"/>
          <w:sz w:val="36"/>
          <w:szCs w:val="21"/>
        </w:rPr>
        <w:t>采购需求</w:t>
      </w:r>
      <w:r>
        <w:rPr>
          <w:rFonts w:hint="eastAsia" w:ascii="黑体" w:hAnsi="Showcard Gothic" w:eastAsia="黑体"/>
          <w:sz w:val="36"/>
          <w:szCs w:val="21"/>
        </w:rPr>
        <w:t>……………………………………15</w:t>
      </w:r>
    </w:p>
    <w:p w14:paraId="78FE3B75">
      <w:pPr>
        <w:spacing w:line="480" w:lineRule="auto"/>
        <w:jc w:val="center"/>
        <w:rPr>
          <w:rFonts w:ascii="黑体" w:hAnsi="Showcard Gothic" w:eastAsia="黑体"/>
          <w:sz w:val="36"/>
          <w:szCs w:val="21"/>
        </w:rPr>
      </w:pPr>
      <w:r>
        <w:rPr>
          <w:rFonts w:hint="eastAsia" w:ascii="黑体" w:hAnsi="Showcard Gothic" w:eastAsia="黑体"/>
          <w:color w:val="000000"/>
          <w:sz w:val="36"/>
          <w:szCs w:val="21"/>
        </w:rPr>
        <w:t xml:space="preserve"> 第五章  </w:t>
      </w:r>
      <w:r>
        <w:rPr>
          <w:rFonts w:hint="eastAsia" w:ascii="黑体" w:hAnsi="宋体" w:eastAsia="黑体"/>
          <w:bCs/>
          <w:sz w:val="36"/>
          <w:szCs w:val="36"/>
        </w:rPr>
        <w:t>评标方法与评标标准</w:t>
      </w:r>
      <w:r>
        <w:rPr>
          <w:rFonts w:hint="eastAsia" w:ascii="黑体" w:hAnsi="Showcard Gothic" w:eastAsia="黑体"/>
          <w:sz w:val="36"/>
          <w:szCs w:val="21"/>
        </w:rPr>
        <w:t>………………………26</w:t>
      </w:r>
    </w:p>
    <w:p w14:paraId="4C3BF7B5">
      <w:pPr>
        <w:spacing w:line="480" w:lineRule="auto"/>
        <w:jc w:val="center"/>
        <w:rPr>
          <w:rFonts w:ascii="黑体" w:hAnsi="Showcard Gothic" w:eastAsia="黑体"/>
          <w:sz w:val="36"/>
          <w:szCs w:val="21"/>
        </w:rPr>
      </w:pPr>
      <w:r>
        <w:rPr>
          <w:rFonts w:hint="eastAsia" w:ascii="黑体" w:hAnsi="Showcard Gothic" w:eastAsia="黑体"/>
          <w:color w:val="000000"/>
          <w:sz w:val="36"/>
          <w:szCs w:val="21"/>
        </w:rPr>
        <w:t xml:space="preserve"> 第六章  </w:t>
      </w:r>
      <w:r>
        <w:rPr>
          <w:rFonts w:hint="eastAsia" w:ascii="黑体" w:hAnsi="宋体" w:eastAsia="黑体"/>
          <w:sz w:val="36"/>
          <w:szCs w:val="21"/>
        </w:rPr>
        <w:t>投标文件格式</w:t>
      </w:r>
      <w:r>
        <w:rPr>
          <w:rFonts w:hint="eastAsia" w:ascii="黑体" w:hAnsi="Showcard Gothic" w:eastAsia="黑体"/>
          <w:sz w:val="36"/>
          <w:szCs w:val="21"/>
        </w:rPr>
        <w:t>………………………………29</w:t>
      </w:r>
    </w:p>
    <w:p w14:paraId="339AAC80">
      <w:pPr>
        <w:rPr>
          <w:szCs w:val="21"/>
        </w:rPr>
      </w:pPr>
    </w:p>
    <w:p w14:paraId="4FD88ADB">
      <w:pPr>
        <w:rPr>
          <w:szCs w:val="21"/>
        </w:rPr>
      </w:pPr>
    </w:p>
    <w:p w14:paraId="4153E407">
      <w:pPr>
        <w:rPr>
          <w:szCs w:val="21"/>
        </w:rPr>
      </w:pPr>
    </w:p>
    <w:p w14:paraId="4A5FACAB">
      <w:pPr>
        <w:pStyle w:val="101"/>
        <w:tabs>
          <w:tab w:val="left" w:pos="463"/>
        </w:tabs>
        <w:ind w:left="0"/>
        <w:jc w:val="center"/>
        <w:rPr>
          <w:rFonts w:hint="eastAsia" w:ascii="Arial Unicode MS" w:hAnsi="Arial Unicode MS" w:eastAsia="Arial Unicode MS" w:cs="Arial Unicode MS"/>
          <w:color w:val="000000"/>
          <w:sz w:val="36"/>
          <w:szCs w:val="36"/>
          <w:lang w:val="en-US"/>
        </w:rPr>
        <w:sectPr>
          <w:footerReference r:id="rId7" w:type="first"/>
          <w:footerReference r:id="rId6" w:type="default"/>
          <w:pgSz w:w="11906" w:h="16838"/>
          <w:pgMar w:top="1440" w:right="1080" w:bottom="1440" w:left="1080" w:header="851" w:footer="907" w:gutter="0"/>
          <w:cols w:space="1701" w:num="1"/>
          <w:titlePg/>
          <w:docGrid w:linePitch="360" w:charSpace="0"/>
        </w:sectPr>
      </w:pPr>
    </w:p>
    <w:p w14:paraId="53700AF0">
      <w:pPr>
        <w:pStyle w:val="101"/>
        <w:tabs>
          <w:tab w:val="left" w:pos="463"/>
        </w:tabs>
        <w:ind w:left="0"/>
        <w:jc w:val="center"/>
        <w:outlineLvl w:val="0"/>
        <w:rPr>
          <w:rFonts w:hint="eastAsia" w:ascii="Arial Unicode MS" w:hAnsi="Arial Unicode MS" w:eastAsia="Arial Unicode MS" w:cs="Arial Unicode MS"/>
          <w:b/>
          <w:bCs/>
          <w:color w:val="000000"/>
          <w:sz w:val="36"/>
          <w:szCs w:val="36"/>
          <w:lang w:val="en-US"/>
        </w:rPr>
      </w:pPr>
      <w:r>
        <w:rPr>
          <w:rFonts w:hint="eastAsia" w:ascii="Arial Unicode MS" w:hAnsi="Arial Unicode MS" w:eastAsia="Arial Unicode MS" w:cs="Arial Unicode MS"/>
          <w:b/>
          <w:bCs/>
          <w:color w:val="000000"/>
          <w:sz w:val="36"/>
          <w:szCs w:val="36"/>
          <w:lang w:val="en-US"/>
        </w:rPr>
        <w:t xml:space="preserve">第一章  </w:t>
      </w:r>
      <w:bookmarkEnd w:id="0"/>
      <w:r>
        <w:rPr>
          <w:rFonts w:hint="eastAsia" w:ascii="Arial Unicode MS" w:hAnsi="Arial Unicode MS" w:eastAsia="Arial Unicode MS" w:cs="Arial Unicode MS"/>
          <w:b/>
          <w:bCs/>
          <w:color w:val="000000"/>
          <w:sz w:val="36"/>
          <w:szCs w:val="36"/>
          <w:lang w:val="en-US"/>
        </w:rPr>
        <w:t>投标邀请</w:t>
      </w:r>
    </w:p>
    <w:p w14:paraId="0C608BD5">
      <w:pPr>
        <w:spacing w:line="264" w:lineRule="auto"/>
        <w:ind w:firstLine="480"/>
        <w:rPr>
          <w:rFonts w:hint="eastAsia" w:ascii="宋体" w:hAnsi="宋体"/>
          <w:sz w:val="24"/>
          <w:szCs w:val="24"/>
        </w:rPr>
      </w:pPr>
    </w:p>
    <w:p w14:paraId="6EE11A68">
      <w:pPr>
        <w:widowControl/>
        <w:spacing w:line="360" w:lineRule="auto"/>
        <w:ind w:firstLine="500"/>
        <w:rPr>
          <w:rFonts w:hint="eastAsia" w:ascii="宋体" w:hAnsi="宋体"/>
          <w:sz w:val="24"/>
          <w:szCs w:val="24"/>
        </w:rPr>
      </w:pPr>
      <w:r>
        <w:rPr>
          <w:rFonts w:ascii="宋体" w:hAnsi="宋体" w:cs="宋体"/>
          <w:sz w:val="24"/>
          <w:szCs w:val="24"/>
        </w:rPr>
        <w:t>受南京市浦口区人民政府办公室（采购单位）委托，南京市公共资源交易中心</w:t>
      </w:r>
      <w:r>
        <w:rPr>
          <w:rFonts w:hint="eastAsia" w:ascii="宋体" w:hAnsi="宋体" w:cs="宋体"/>
          <w:sz w:val="24"/>
          <w:szCs w:val="24"/>
        </w:rPr>
        <w:t>浦口分中心</w:t>
      </w:r>
      <w:r>
        <w:rPr>
          <w:rFonts w:ascii="宋体" w:hAnsi="宋体" w:cs="宋体"/>
          <w:sz w:val="24"/>
          <w:szCs w:val="24"/>
        </w:rPr>
        <w:t>（以下简称“交易中心”）就</w:t>
      </w:r>
      <w:r>
        <w:rPr>
          <w:rFonts w:hint="eastAsia" w:ascii="宋体" w:hAnsi="宋体"/>
          <w:color w:val="000000"/>
          <w:sz w:val="24"/>
          <w:szCs w:val="24"/>
        </w:rPr>
        <w:t>文德路18号和文昌路12号办公区安保服务采购</w:t>
      </w:r>
      <w:r>
        <w:rPr>
          <w:rFonts w:ascii="宋体" w:hAnsi="宋体" w:cs="宋体"/>
          <w:sz w:val="24"/>
          <w:szCs w:val="24"/>
        </w:rPr>
        <w:t>（项目名称）进行公开招标采购，欢迎符合条件的供应商投标。</w:t>
      </w:r>
    </w:p>
    <w:p w14:paraId="4CBEF22E">
      <w:pPr>
        <w:pStyle w:val="90"/>
        <w:spacing w:before="145" w:after="145" w:line="360" w:lineRule="auto"/>
        <w:outlineLvl w:val="1"/>
        <w:rPr>
          <w:rFonts w:hint="eastAsia" w:ascii="方正黑体_GBK" w:hAnsi="方正黑体_GBK" w:eastAsia="方正黑体_GBK" w:cs="方正黑体_GBK"/>
          <w:b w:val="0"/>
          <w:bCs w:val="0"/>
          <w:color w:val="000000"/>
          <w:sz w:val="30"/>
          <w:szCs w:val="30"/>
        </w:rPr>
      </w:pPr>
      <w:bookmarkStart w:id="6" w:name="_Toc35393621"/>
      <w:bookmarkStart w:id="7" w:name="_Toc35393790"/>
      <w:bookmarkStart w:id="8" w:name="_Toc28359002"/>
      <w:bookmarkStart w:id="9" w:name="_Toc38985263"/>
      <w:bookmarkStart w:id="10" w:name="_Toc28359079"/>
      <w:bookmarkStart w:id="11" w:name="_Hlk24379207"/>
      <w:r>
        <w:rPr>
          <w:rFonts w:hint="eastAsia" w:ascii="方正黑体_GBK" w:hAnsi="方正黑体_GBK" w:eastAsia="方正黑体_GBK" w:cs="方正黑体_GBK"/>
          <w:b w:val="0"/>
          <w:bCs w:val="0"/>
          <w:color w:val="000000"/>
          <w:sz w:val="30"/>
          <w:szCs w:val="30"/>
        </w:rPr>
        <w:t>一、项目基本情况</w:t>
      </w:r>
      <w:bookmarkEnd w:id="6"/>
      <w:bookmarkEnd w:id="7"/>
      <w:bookmarkEnd w:id="8"/>
      <w:bookmarkEnd w:id="9"/>
      <w:bookmarkEnd w:id="10"/>
    </w:p>
    <w:p w14:paraId="545DA5DA">
      <w:pPr>
        <w:adjustRightInd w:val="0"/>
        <w:snapToGrid w:val="0"/>
        <w:spacing w:line="360" w:lineRule="auto"/>
        <w:ind w:firstLine="480" w:firstLineChars="200"/>
        <w:rPr>
          <w:rFonts w:hint="eastAsia" w:ascii="宋体" w:hAnsi="宋体"/>
          <w:color w:val="000000"/>
          <w:sz w:val="24"/>
          <w:szCs w:val="24"/>
          <w:highlight w:val="yellow"/>
        </w:rPr>
      </w:pPr>
      <w:r>
        <w:rPr>
          <w:rFonts w:hint="eastAsia" w:ascii="宋体" w:hAnsi="宋体"/>
          <w:color w:val="000000"/>
          <w:sz w:val="24"/>
          <w:szCs w:val="24"/>
        </w:rPr>
        <w:t xml:space="preserve">1.项目编号：JSZC-320111-JZCG-G2026-0013  </w:t>
      </w:r>
    </w:p>
    <w:p w14:paraId="27B07F8D">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2.项目名称：</w:t>
      </w:r>
      <w:bookmarkEnd w:id="11"/>
      <w:r>
        <w:rPr>
          <w:rFonts w:hint="eastAsia" w:ascii="宋体" w:hAnsi="宋体"/>
          <w:color w:val="000000"/>
          <w:sz w:val="24"/>
          <w:szCs w:val="24"/>
        </w:rPr>
        <w:t xml:space="preserve">文德路18号和文昌路12号办公区安保服务采购 </w:t>
      </w:r>
    </w:p>
    <w:p w14:paraId="391A1885">
      <w:pPr>
        <w:spacing w:line="360" w:lineRule="auto"/>
        <w:ind w:firstLine="480"/>
        <w:rPr>
          <w:rFonts w:hint="eastAsia" w:ascii="宋体" w:hAnsi="宋体"/>
          <w:color w:val="000000"/>
          <w:sz w:val="24"/>
          <w:szCs w:val="24"/>
        </w:rPr>
      </w:pPr>
      <w:r>
        <w:rPr>
          <w:rFonts w:hint="eastAsia" w:ascii="宋体" w:hAnsi="宋体"/>
          <w:color w:val="000000"/>
          <w:sz w:val="24"/>
          <w:szCs w:val="24"/>
        </w:rPr>
        <w:t>3.预算金额：</w:t>
      </w:r>
      <w:r>
        <w:rPr>
          <w:rFonts w:hint="eastAsia" w:ascii="宋体" w:hAnsi="宋体"/>
          <w:sz w:val="24"/>
          <w:szCs w:val="24"/>
        </w:rPr>
        <w:t>371万元/年；</w:t>
      </w:r>
    </w:p>
    <w:p w14:paraId="392B670E">
      <w:pPr>
        <w:snapToGrid w:val="0"/>
        <w:spacing w:line="360" w:lineRule="auto"/>
        <w:ind w:firstLine="480"/>
        <w:rPr>
          <w:rFonts w:hint="eastAsia" w:ascii="宋体" w:hAnsi="宋体"/>
          <w:color w:val="000000"/>
          <w:sz w:val="24"/>
          <w:szCs w:val="24"/>
        </w:rPr>
      </w:pPr>
      <w:bookmarkStart w:id="12" w:name="_Toc35393791"/>
      <w:bookmarkStart w:id="13" w:name="_Toc38985264"/>
      <w:bookmarkStart w:id="14" w:name="_Toc28359003"/>
      <w:bookmarkStart w:id="15" w:name="_Toc28359080"/>
      <w:bookmarkStart w:id="16" w:name="_Toc35393622"/>
      <w:r>
        <w:rPr>
          <w:rFonts w:hint="eastAsia" w:ascii="宋体" w:hAnsi="宋体"/>
          <w:color w:val="000000"/>
          <w:sz w:val="24"/>
          <w:szCs w:val="24"/>
        </w:rPr>
        <w:t>4.本项目最高限价：</w:t>
      </w:r>
      <w:r>
        <w:rPr>
          <w:rFonts w:hint="eastAsia" w:ascii="宋体" w:hAnsi="宋体"/>
          <w:sz w:val="24"/>
          <w:szCs w:val="24"/>
        </w:rPr>
        <w:t>371万元/年</w:t>
      </w:r>
      <w:r>
        <w:rPr>
          <w:rStyle w:val="353"/>
          <w:rFonts w:hint="eastAsia" w:ascii="宋体" w:hAnsi="宋体"/>
          <w:color w:val="000000"/>
          <w:sz w:val="24"/>
        </w:rPr>
        <w:t>；</w:t>
      </w:r>
      <w:r>
        <w:rPr>
          <w:rFonts w:hint="eastAsia" w:ascii="宋体" w:hAnsi="宋体" w:cs="宋体"/>
          <w:sz w:val="24"/>
        </w:rPr>
        <w:t>最后报价超过最高限价的为无效报价，按照无效响应处理。</w:t>
      </w:r>
    </w:p>
    <w:p w14:paraId="511D5B87">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5.采购需求（简介）：负责文德路18号和文昌路12号办公区的安全保卫、治安巡逻、消防安全、监控值勤、车辆管理等工作，进一步加强办公区的安全保卫工作，维护正常办公秩序。（详细内容见本招标文件第四章）</w:t>
      </w:r>
    </w:p>
    <w:p w14:paraId="6E4D22E8">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6.合同履行期限：自合同签订之日起三年，合同为一年一签。合同期满，考核合格，经甲方同意后，可以续签下一年度合同。</w:t>
      </w:r>
    </w:p>
    <w:p w14:paraId="20410875">
      <w:pPr>
        <w:snapToGrid w:val="0"/>
        <w:spacing w:line="360" w:lineRule="auto"/>
        <w:ind w:firstLine="480"/>
        <w:rPr>
          <w:rFonts w:hint="eastAsia" w:ascii="宋体" w:hAnsi="宋体"/>
          <w:sz w:val="24"/>
          <w:szCs w:val="24"/>
        </w:rPr>
      </w:pPr>
      <w:r>
        <w:rPr>
          <w:rFonts w:hint="eastAsia" w:ascii="宋体" w:hAnsi="宋体"/>
          <w:sz w:val="24"/>
          <w:szCs w:val="24"/>
        </w:rPr>
        <w:t>7.</w:t>
      </w:r>
      <w:r>
        <w:rPr>
          <w:rFonts w:hint="eastAsia" w:ascii="宋体" w:hAnsi="宋体" w:cs="宋体"/>
          <w:sz w:val="24"/>
          <w:szCs w:val="24"/>
        </w:rPr>
        <w:t>本项目不接受联合体投标。</w:t>
      </w:r>
    </w:p>
    <w:bookmarkEnd w:id="12"/>
    <w:bookmarkEnd w:id="13"/>
    <w:bookmarkEnd w:id="14"/>
    <w:bookmarkEnd w:id="15"/>
    <w:bookmarkEnd w:id="16"/>
    <w:p w14:paraId="79EE32D0">
      <w:pPr>
        <w:pStyle w:val="90"/>
        <w:spacing w:before="145" w:after="145" w:line="360" w:lineRule="auto"/>
        <w:outlineLvl w:val="1"/>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二、申请人的资格要求</w:t>
      </w:r>
    </w:p>
    <w:p w14:paraId="42204C40">
      <w:pPr>
        <w:spacing w:line="360" w:lineRule="auto"/>
        <w:ind w:firstLine="480"/>
        <w:rPr>
          <w:rFonts w:hint="eastAsia"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6C1A024C">
      <w:pPr>
        <w:spacing w:line="360" w:lineRule="auto"/>
        <w:ind w:firstLine="480"/>
        <w:rPr>
          <w:rFonts w:hint="eastAsia"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3CD70FA7">
      <w:pPr>
        <w:spacing w:line="360" w:lineRule="auto"/>
        <w:ind w:firstLine="480"/>
        <w:rPr>
          <w:rFonts w:hint="eastAsia" w:ascii="宋体" w:hAnsi="宋体"/>
          <w:color w:val="000000"/>
          <w:sz w:val="24"/>
          <w:szCs w:val="24"/>
        </w:rPr>
      </w:pPr>
      <w:r>
        <w:rPr>
          <w:rFonts w:hint="eastAsia" w:ascii="宋体" w:hAnsi="宋体"/>
          <w:color w:val="000000"/>
          <w:sz w:val="24"/>
          <w:szCs w:val="24"/>
        </w:rPr>
        <w:t>1.1</w:t>
      </w:r>
      <w:r>
        <w:rPr>
          <w:rFonts w:hint="eastAsia" w:ascii="宋体" w:hAnsi="宋体"/>
          <w:color w:val="000000"/>
          <w:sz w:val="24"/>
          <w:szCs w:val="24"/>
          <w:lang w:val="zh-CN"/>
        </w:rPr>
        <w:t>供应商信用承诺函（格式见第六章投标文件格式）。</w:t>
      </w:r>
    </w:p>
    <w:p w14:paraId="21803ED4">
      <w:pPr>
        <w:spacing w:line="360" w:lineRule="auto"/>
        <w:ind w:firstLine="480"/>
        <w:rPr>
          <w:rFonts w:hint="eastAsia" w:ascii="宋体" w:hAnsi="宋体"/>
          <w:color w:val="000000"/>
          <w:sz w:val="24"/>
          <w:szCs w:val="24"/>
        </w:rPr>
      </w:pPr>
      <w:r>
        <w:rPr>
          <w:rFonts w:hint="eastAsia" w:ascii="宋体" w:hAnsi="宋体"/>
          <w:color w:val="000000"/>
          <w:sz w:val="24"/>
          <w:szCs w:val="24"/>
        </w:rPr>
        <w:t>2.落实政府采购政策需满足的资格要求：无</w:t>
      </w:r>
    </w:p>
    <w:p w14:paraId="4FF71797">
      <w:pPr>
        <w:spacing w:line="360" w:lineRule="auto"/>
        <w:ind w:firstLine="480"/>
        <w:rPr>
          <w:rFonts w:hint="eastAsia" w:ascii="宋体" w:hAnsi="宋体"/>
          <w:color w:val="000000"/>
          <w:sz w:val="24"/>
          <w:szCs w:val="24"/>
          <w:lang w:val="zh-CN"/>
        </w:rPr>
      </w:pPr>
      <w:r>
        <w:rPr>
          <w:rFonts w:hint="eastAsia" w:ascii="宋体" w:hAnsi="宋体"/>
          <w:color w:val="000000"/>
          <w:sz w:val="24"/>
          <w:szCs w:val="24"/>
          <w:lang w:val="zh-CN"/>
        </w:rPr>
        <w:t>本项目采购标的对应的中小企业划分标准所属行业为：</w:t>
      </w:r>
      <w:r>
        <w:rPr>
          <w:rFonts w:hint="eastAsia" w:ascii="宋体" w:hAnsi="宋体"/>
          <w:color w:val="000000"/>
          <w:sz w:val="24"/>
          <w:szCs w:val="24"/>
        </w:rPr>
        <w:t>租赁和商务服务业</w:t>
      </w:r>
      <w:r>
        <w:rPr>
          <w:rFonts w:hint="eastAsia" w:ascii="宋体" w:hAnsi="宋体"/>
          <w:color w:val="000000"/>
          <w:sz w:val="24"/>
          <w:szCs w:val="24"/>
          <w:lang w:val="zh-CN"/>
        </w:rPr>
        <w:t>。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550EE1F">
      <w:pPr>
        <w:spacing w:line="360" w:lineRule="auto"/>
        <w:ind w:firstLine="480"/>
        <w:rPr>
          <w:rFonts w:hint="eastAsia" w:ascii="宋体" w:hAnsi="宋体"/>
          <w:color w:val="000000"/>
          <w:sz w:val="24"/>
          <w:szCs w:val="24"/>
        </w:rPr>
      </w:pPr>
      <w:r>
        <w:rPr>
          <w:rFonts w:hint="eastAsia" w:ascii="宋体" w:hAnsi="宋体"/>
          <w:color w:val="000000"/>
          <w:sz w:val="24"/>
          <w:szCs w:val="24"/>
        </w:rPr>
        <w:t>（二）本项目的特定资格要求：供应商具有公安机关核发的《保安服务许可证》（提供相关证书加盖公章）</w:t>
      </w:r>
    </w:p>
    <w:p w14:paraId="1CCBF52E">
      <w:pPr>
        <w:spacing w:line="360" w:lineRule="auto"/>
        <w:ind w:firstLine="480"/>
        <w:rPr>
          <w:rFonts w:hint="eastAsia" w:ascii="宋体" w:hAnsi="宋体"/>
          <w:color w:val="000000"/>
          <w:sz w:val="24"/>
          <w:szCs w:val="24"/>
        </w:rPr>
      </w:pPr>
      <w:r>
        <w:rPr>
          <w:rFonts w:hint="eastAsia" w:ascii="宋体" w:hAnsi="宋体"/>
          <w:color w:val="000000"/>
          <w:sz w:val="24"/>
          <w:szCs w:val="24"/>
        </w:rPr>
        <w:t>（三）拒绝下述供应商参加本次采购活动</w:t>
      </w:r>
    </w:p>
    <w:p w14:paraId="578997FD">
      <w:pPr>
        <w:spacing w:line="360" w:lineRule="auto"/>
        <w:ind w:firstLine="480"/>
        <w:rPr>
          <w:rFonts w:hint="eastAsia" w:ascii="宋体" w:hAnsi="宋体"/>
          <w:color w:val="000000"/>
          <w:sz w:val="24"/>
          <w:szCs w:val="24"/>
        </w:rPr>
      </w:pPr>
      <w:r>
        <w:rPr>
          <w:rFonts w:hint="eastAsia" w:ascii="宋体" w:hAnsi="宋体"/>
          <w:color w:val="000000"/>
          <w:sz w:val="24"/>
          <w:szCs w:val="24"/>
        </w:rPr>
        <w:t>1.单位负责人为同一人或者存在直接控股、管理关系的不同供应商，不得参加同一合同项下的政府采购活动。</w:t>
      </w:r>
    </w:p>
    <w:p w14:paraId="54989A2D">
      <w:pPr>
        <w:spacing w:line="360" w:lineRule="auto"/>
        <w:ind w:firstLine="480"/>
        <w:rPr>
          <w:rFonts w:hint="eastAsia" w:ascii="宋体" w:hAnsi="宋体"/>
          <w:color w:val="000000"/>
          <w:sz w:val="24"/>
          <w:szCs w:val="24"/>
        </w:rPr>
      </w:pPr>
      <w:r>
        <w:rPr>
          <w:rFonts w:hint="eastAsia" w:ascii="宋体" w:hAnsi="宋体"/>
          <w:color w:val="000000"/>
          <w:sz w:val="24"/>
          <w:szCs w:val="24"/>
        </w:rPr>
        <w:t>2.为采购项目提供整体设计、规范编制或者项目管理、监理、检测等服务的供应商，不得参加本项目的采购活动。</w:t>
      </w:r>
    </w:p>
    <w:p w14:paraId="7D5FA54F">
      <w:pPr>
        <w:spacing w:line="360" w:lineRule="auto"/>
        <w:ind w:firstLine="480"/>
        <w:rPr>
          <w:rFonts w:hint="eastAsia" w:ascii="宋体" w:hAnsi="宋体"/>
          <w:color w:val="000000"/>
          <w:sz w:val="24"/>
          <w:szCs w:val="24"/>
        </w:rPr>
      </w:pPr>
      <w:r>
        <w:rPr>
          <w:rFonts w:hint="eastAsia" w:ascii="宋体" w:hAnsi="宋体"/>
          <w:color w:val="000000"/>
          <w:sz w:val="24"/>
          <w:szCs w:val="24"/>
        </w:rPr>
        <w:t>3.供应商被“信用中国”网站（www.creditchina.gov.cn）、“中国政府采购网”(www.ccgp.gov.cn)列入失信被执行人、重大税收违法案件当事人名单、政府采购严重违法失信行为记录名单。</w:t>
      </w:r>
    </w:p>
    <w:p w14:paraId="5955B64B">
      <w:pPr>
        <w:pStyle w:val="90"/>
        <w:spacing w:before="145" w:after="145" w:line="360" w:lineRule="auto"/>
        <w:outlineLvl w:val="1"/>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三、获取招标文件</w:t>
      </w:r>
    </w:p>
    <w:p w14:paraId="483F38FB">
      <w:pPr>
        <w:spacing w:line="360" w:lineRule="auto"/>
        <w:ind w:firstLine="480"/>
        <w:rPr>
          <w:rFonts w:hint="eastAsia" w:ascii="宋体" w:hAnsi="宋体" w:cs="宋体"/>
          <w:sz w:val="24"/>
          <w:szCs w:val="24"/>
        </w:rPr>
      </w:pPr>
      <w:r>
        <w:rPr>
          <w:rFonts w:hint="eastAsia" w:ascii="宋体" w:hAnsi="宋体" w:cs="宋体"/>
          <w:sz w:val="24"/>
          <w:szCs w:val="24"/>
        </w:rPr>
        <w:t>1.时间：自招标文件公告发布之日起5个工作日。</w:t>
      </w:r>
    </w:p>
    <w:p w14:paraId="3C79D7F1">
      <w:pPr>
        <w:spacing w:line="360" w:lineRule="auto"/>
        <w:ind w:firstLine="480"/>
        <w:rPr>
          <w:rFonts w:hint="eastAsia" w:ascii="宋体" w:hAnsi="宋体" w:cs="宋体"/>
          <w:sz w:val="24"/>
          <w:szCs w:val="24"/>
        </w:rPr>
      </w:pPr>
      <w:r>
        <w:rPr>
          <w:rFonts w:hint="eastAsia" w:ascii="宋体" w:hAnsi="宋体" w:cs="宋体"/>
          <w:sz w:val="24"/>
          <w:szCs w:val="24"/>
        </w:rPr>
        <w:t>2.方式：在“江苏政府采购网”免费下载。</w:t>
      </w:r>
    </w:p>
    <w:p w14:paraId="295DFB77">
      <w:pPr>
        <w:pStyle w:val="90"/>
        <w:spacing w:before="145" w:after="145" w:line="360" w:lineRule="auto"/>
        <w:outlineLvl w:val="1"/>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四、提交投标文件截止时间、开标时间和地点</w:t>
      </w:r>
    </w:p>
    <w:p w14:paraId="1584BF94">
      <w:pPr>
        <w:spacing w:line="360" w:lineRule="auto"/>
        <w:ind w:firstLine="480"/>
        <w:rPr>
          <w:rFonts w:hint="eastAsia" w:ascii="宋体" w:hAnsi="宋体" w:cs="宋体"/>
          <w:sz w:val="24"/>
          <w:szCs w:val="24"/>
        </w:rPr>
      </w:pPr>
      <w:r>
        <w:rPr>
          <w:rFonts w:hint="eastAsia" w:ascii="宋体" w:hAnsi="宋体" w:cs="宋体"/>
          <w:sz w:val="24"/>
          <w:szCs w:val="24"/>
        </w:rPr>
        <w:t>1.提交投标文件截止时间、开标时间：2026年</w:t>
      </w:r>
      <w:r>
        <w:rPr>
          <w:rFonts w:hint="eastAsia" w:ascii="宋体" w:hAnsi="宋体" w:cs="宋体"/>
          <w:sz w:val="24"/>
          <w:szCs w:val="24"/>
          <w:highlight w:val="none"/>
        </w:rPr>
        <w:t>03月</w:t>
      </w:r>
      <w:r>
        <w:rPr>
          <w:rFonts w:hint="eastAsia" w:ascii="宋体" w:hAnsi="宋体" w:cs="宋体"/>
          <w:sz w:val="24"/>
          <w:szCs w:val="24"/>
          <w:highlight w:val="none"/>
          <w:lang w:val="en-US" w:eastAsia="zh-CN"/>
        </w:rPr>
        <w:t>31</w:t>
      </w:r>
      <w:r>
        <w:rPr>
          <w:rFonts w:hint="eastAsia" w:ascii="宋体" w:hAnsi="宋体" w:cs="宋体"/>
          <w:sz w:val="24"/>
          <w:szCs w:val="24"/>
          <w:highlight w:val="none"/>
        </w:rPr>
        <w:t>日</w:t>
      </w:r>
      <w:r>
        <w:rPr>
          <w:rFonts w:hint="eastAsia" w:ascii="宋体" w:hAnsi="宋体" w:cs="宋体"/>
          <w:sz w:val="24"/>
          <w:szCs w:val="24"/>
        </w:rPr>
        <w:t>09时30分（北京时间）。</w:t>
      </w:r>
    </w:p>
    <w:p w14:paraId="20B63ED9">
      <w:pPr>
        <w:pStyle w:val="90"/>
        <w:spacing w:before="145" w:after="145" w:line="360" w:lineRule="auto"/>
        <w:ind w:firstLine="465"/>
        <w:outlineLvl w:val="9"/>
        <w:rPr>
          <w:rFonts w:hint="eastAsia" w:ascii="宋体" w:hAnsi="宋体" w:cs="宋体"/>
          <w:b w:val="0"/>
          <w:bCs w:val="0"/>
          <w:color w:val="000000"/>
          <w:sz w:val="24"/>
          <w:szCs w:val="24"/>
        </w:rPr>
      </w:pPr>
      <w:r>
        <w:rPr>
          <w:rFonts w:hint="eastAsia" w:ascii="宋体" w:hAnsi="宋体" w:cs="宋体"/>
          <w:b w:val="0"/>
          <w:bCs w:val="0"/>
          <w:color w:val="000000"/>
          <w:sz w:val="24"/>
          <w:szCs w:val="24"/>
        </w:rPr>
        <w:t>2.地点：江苏省政府采购交易系统(以下简称“苏采云系统”)网上开标大厅。</w:t>
      </w:r>
    </w:p>
    <w:p w14:paraId="0A95D983">
      <w:pPr>
        <w:pStyle w:val="90"/>
        <w:spacing w:before="145" w:after="145" w:line="360" w:lineRule="auto"/>
        <w:outlineLvl w:val="1"/>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五、公告期限</w:t>
      </w:r>
    </w:p>
    <w:p w14:paraId="31C61F6D">
      <w:pPr>
        <w:spacing w:line="360" w:lineRule="auto"/>
        <w:ind w:firstLine="480"/>
        <w:rPr>
          <w:rFonts w:hint="eastAsia" w:ascii="宋体" w:hAnsi="宋体" w:cs="宋体"/>
          <w:sz w:val="24"/>
          <w:szCs w:val="24"/>
        </w:rPr>
      </w:pPr>
      <w:r>
        <w:rPr>
          <w:rFonts w:hint="eastAsia" w:ascii="宋体" w:hAnsi="宋体" w:cs="宋体"/>
          <w:sz w:val="24"/>
          <w:szCs w:val="24"/>
        </w:rPr>
        <w:t>公告期限为自本公告发布之日起5个工作日。</w:t>
      </w:r>
    </w:p>
    <w:p w14:paraId="18B07237">
      <w:pPr>
        <w:pStyle w:val="90"/>
        <w:spacing w:before="145" w:after="145" w:line="360" w:lineRule="auto"/>
        <w:outlineLvl w:val="1"/>
        <w:rPr>
          <w:rFonts w:ascii="Arial" w:hAnsi="Arial" w:eastAsia="Arial" w:cs="Arial"/>
          <w:color w:val="000000"/>
          <w:sz w:val="21"/>
          <w:szCs w:val="21"/>
        </w:rPr>
      </w:pPr>
      <w:r>
        <w:rPr>
          <w:rFonts w:hint="eastAsia" w:ascii="方正黑体_GBK" w:hAnsi="方正黑体_GBK" w:eastAsia="方正黑体_GBK" w:cs="方正黑体_GBK"/>
          <w:b w:val="0"/>
          <w:bCs w:val="0"/>
          <w:color w:val="000000"/>
          <w:sz w:val="30"/>
          <w:szCs w:val="30"/>
        </w:rPr>
        <w:t>六、其他事宜</w:t>
      </w:r>
    </w:p>
    <w:p w14:paraId="441A64BF">
      <w:pPr>
        <w:spacing w:line="360" w:lineRule="auto"/>
        <w:ind w:firstLine="480"/>
        <w:rPr>
          <w:rFonts w:hint="eastAsia" w:ascii="宋体" w:hAnsi="宋体"/>
          <w:color w:val="000000"/>
          <w:sz w:val="24"/>
          <w:szCs w:val="24"/>
          <w:lang w:val="zh-CN"/>
        </w:rPr>
      </w:pPr>
      <w:r>
        <w:rPr>
          <w:rFonts w:hint="eastAsia" w:ascii="宋体" w:hAnsi="宋体"/>
          <w:color w:val="000000"/>
          <w:sz w:val="24"/>
          <w:szCs w:val="24"/>
          <w:lang w:val="zh-CN"/>
        </w:rPr>
        <w:t>1.本次招标不收取投标保证金。</w:t>
      </w:r>
    </w:p>
    <w:p w14:paraId="4397D924">
      <w:pPr>
        <w:spacing w:line="360" w:lineRule="auto"/>
        <w:ind w:firstLine="480"/>
        <w:rPr>
          <w:rFonts w:hint="eastAsia" w:ascii="宋体" w:hAnsi="宋体"/>
          <w:color w:val="000000"/>
          <w:sz w:val="24"/>
          <w:szCs w:val="24"/>
          <w:lang w:val="zh-CN"/>
        </w:rPr>
      </w:pPr>
      <w:r>
        <w:rPr>
          <w:rFonts w:hint="eastAsia" w:ascii="宋体" w:hAnsi="宋体"/>
          <w:color w:val="000000"/>
          <w:sz w:val="24"/>
          <w:szCs w:val="24"/>
          <w:lang w:val="zh-CN"/>
        </w:rPr>
        <w:t>2.本项目不组织集中勘察及答疑，供应商如对采购需求有疑问，请咨询采购单位联系人。</w:t>
      </w:r>
    </w:p>
    <w:p w14:paraId="3372072E">
      <w:pPr>
        <w:spacing w:line="360" w:lineRule="auto"/>
        <w:ind w:firstLine="480"/>
        <w:rPr>
          <w:rFonts w:hint="eastAsia" w:ascii="宋体" w:hAnsi="宋体"/>
          <w:color w:val="000000"/>
          <w:sz w:val="24"/>
          <w:szCs w:val="24"/>
        </w:rPr>
      </w:pPr>
      <w:r>
        <w:rPr>
          <w:rFonts w:hint="eastAsia" w:ascii="宋体" w:hAnsi="宋体"/>
          <w:color w:val="000000"/>
          <w:sz w:val="24"/>
          <w:szCs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p>
    <w:p w14:paraId="388A4607">
      <w:pPr>
        <w:spacing w:line="360" w:lineRule="auto"/>
        <w:ind w:firstLine="480"/>
        <w:rPr>
          <w:rFonts w:hint="eastAsia" w:ascii="宋体" w:hAnsi="宋体"/>
          <w:color w:val="000000"/>
          <w:sz w:val="24"/>
          <w:szCs w:val="24"/>
        </w:rPr>
      </w:pPr>
      <w:r>
        <w:rPr>
          <w:rFonts w:hint="eastAsia" w:ascii="宋体" w:hAnsi="宋体"/>
          <w:color w:val="000000"/>
          <w:sz w:val="24"/>
          <w:szCs w:val="24"/>
        </w:rPr>
        <w:t>4.有关本次招标的事项若存在变动或修改，请及时关注“江苏政府采购网”（www.ccgp-jiangsu.gov.cn）更正公告。</w:t>
      </w:r>
    </w:p>
    <w:p w14:paraId="2BAD5DF9">
      <w:pPr>
        <w:pStyle w:val="90"/>
        <w:adjustRightInd w:val="0"/>
        <w:snapToGrid w:val="0"/>
        <w:spacing w:before="145" w:after="145" w:line="360" w:lineRule="auto"/>
        <w:outlineLvl w:val="1"/>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七、本次招标联系方式</w:t>
      </w:r>
    </w:p>
    <w:p w14:paraId="34FAF4B8">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1.采购人信息</w:t>
      </w:r>
    </w:p>
    <w:p w14:paraId="1A8B19D4">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名  称：南京市浦口区人民政府办公室　</w:t>
      </w:r>
    </w:p>
    <w:p w14:paraId="656A8B77">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地  址：南京市浦口区江浦街道文德路18号</w:t>
      </w:r>
      <w:r>
        <w:rPr>
          <w:rFonts w:hint="eastAsia" w:ascii="宋体" w:hAnsi="宋体" w:cs="宋体"/>
          <w:sz w:val="24"/>
          <w:szCs w:val="24"/>
        </w:rPr>
        <w:t xml:space="preserve"> </w:t>
      </w:r>
      <w:r>
        <w:rPr>
          <w:rFonts w:hint="eastAsia" w:ascii="宋体" w:hAnsi="宋体"/>
          <w:sz w:val="24"/>
          <w:szCs w:val="24"/>
        </w:rPr>
        <w:t>　　　　　　　　　　　</w:t>
      </w:r>
    </w:p>
    <w:p w14:paraId="43754FF0">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 xml:space="preserve">联系人：刘先生                 </w:t>
      </w:r>
    </w:p>
    <w:p w14:paraId="06887FC2">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联系电话：</w:t>
      </w:r>
      <w:bookmarkStart w:id="17" w:name="_Toc28359086"/>
      <w:bookmarkStart w:id="18" w:name="_Toc28359009"/>
      <w:r>
        <w:rPr>
          <w:rFonts w:hint="eastAsia" w:ascii="宋体" w:hAnsi="宋体"/>
          <w:sz w:val="24"/>
          <w:szCs w:val="24"/>
          <w:highlight w:val="none"/>
          <w:lang w:val="en-US" w:eastAsia="zh-CN"/>
        </w:rPr>
        <w:t>15951669879</w:t>
      </w:r>
      <w:r>
        <w:rPr>
          <w:rFonts w:hint="eastAsia" w:ascii="宋体" w:hAnsi="宋体"/>
          <w:sz w:val="24"/>
          <w:szCs w:val="24"/>
          <w:highlight w:val="none"/>
        </w:rPr>
        <w:t xml:space="preserve"> </w:t>
      </w:r>
    </w:p>
    <w:p w14:paraId="3D99F996">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2.南京市公共资源交易中心浦口分中心</w:t>
      </w:r>
      <w:bookmarkEnd w:id="17"/>
      <w:bookmarkEnd w:id="18"/>
    </w:p>
    <w:p w14:paraId="5708CD9A">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地　址：南京市浦口区象山路4号</w:t>
      </w:r>
      <w:r>
        <w:rPr>
          <w:rFonts w:hint="eastAsia" w:ascii="宋体" w:hAnsi="宋体"/>
          <w:sz w:val="24"/>
          <w:szCs w:val="24"/>
          <w:lang w:val="zh-CN"/>
        </w:rPr>
        <w:t>浦口市民中心B幢五楼受理大厅</w:t>
      </w:r>
      <w:r>
        <w:rPr>
          <w:rFonts w:hint="eastAsia" w:ascii="宋体" w:hAnsi="宋体"/>
          <w:sz w:val="24"/>
          <w:szCs w:val="24"/>
        </w:rPr>
        <w:t xml:space="preserve"> 　　　　　　　　　　　</w:t>
      </w:r>
    </w:p>
    <w:p w14:paraId="07C46C2F">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联系人：李工</w:t>
      </w:r>
    </w:p>
    <w:p w14:paraId="1576F562">
      <w:pPr>
        <w:adjustRightInd w:val="0"/>
        <w:snapToGrid w:val="0"/>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联系电话： 025-6965</w:t>
      </w:r>
      <w:r>
        <w:rPr>
          <w:rFonts w:hint="eastAsia" w:ascii="宋体" w:hAnsi="宋体"/>
          <w:sz w:val="24"/>
          <w:szCs w:val="24"/>
          <w:lang w:val="en-US" w:eastAsia="zh-CN"/>
        </w:rPr>
        <w:t>9180</w:t>
      </w:r>
    </w:p>
    <w:p w14:paraId="0FB06DD2">
      <w:pPr>
        <w:adjustRightInd w:val="0"/>
        <w:snapToGrid w:val="0"/>
        <w:spacing w:line="360" w:lineRule="auto"/>
        <w:ind w:firstLine="480" w:firstLineChars="200"/>
      </w:pPr>
      <w:r>
        <w:rPr>
          <w:rFonts w:hint="eastAsia" w:ascii="宋体" w:hAnsi="宋体"/>
          <w:sz w:val="24"/>
          <w:szCs w:val="24"/>
        </w:rPr>
        <w:t>　</w:t>
      </w:r>
    </w:p>
    <w:bookmarkEnd w:id="1"/>
    <w:bookmarkEnd w:id="2"/>
    <w:bookmarkEnd w:id="3"/>
    <w:bookmarkEnd w:id="4"/>
    <w:bookmarkEnd w:id="5"/>
    <w:p w14:paraId="7E71D41F">
      <w:pPr>
        <w:pStyle w:val="101"/>
        <w:tabs>
          <w:tab w:val="left" w:pos="463"/>
        </w:tabs>
        <w:ind w:left="0"/>
        <w:rPr>
          <w:rFonts w:hint="eastAsia" w:ascii="Arial Unicode MS" w:hAnsi="Arial Unicode MS" w:eastAsia="Arial Unicode MS" w:cs="Arial Unicode MS"/>
          <w:color w:val="000000"/>
          <w:sz w:val="36"/>
          <w:szCs w:val="36"/>
          <w:lang w:val="en-US"/>
        </w:rPr>
      </w:pPr>
    </w:p>
    <w:p w14:paraId="6FE3AA5C">
      <w:pPr>
        <w:rPr>
          <w:rFonts w:hint="eastAsia" w:ascii="Arial Unicode MS" w:hAnsi="Arial Unicode MS" w:eastAsia="Arial Unicode MS" w:cs="Arial Unicode MS"/>
          <w:color w:val="000000"/>
          <w:sz w:val="36"/>
          <w:szCs w:val="36"/>
        </w:rPr>
      </w:pPr>
    </w:p>
    <w:p w14:paraId="0C0B8A6E">
      <w:pPr>
        <w:rPr>
          <w:rFonts w:hint="eastAsia" w:ascii="Arial Unicode MS" w:hAnsi="Arial Unicode MS" w:eastAsia="Arial Unicode MS" w:cs="Arial Unicode MS"/>
          <w:color w:val="000000"/>
          <w:sz w:val="36"/>
          <w:szCs w:val="36"/>
        </w:rPr>
      </w:pPr>
    </w:p>
    <w:p w14:paraId="31CA4CF1">
      <w:pPr>
        <w:rPr>
          <w:rFonts w:hint="eastAsia" w:ascii="Arial Unicode MS" w:hAnsi="Arial Unicode MS" w:eastAsia="Arial Unicode MS" w:cs="Arial Unicode MS"/>
          <w:color w:val="000000"/>
          <w:sz w:val="36"/>
          <w:szCs w:val="36"/>
        </w:rPr>
      </w:pPr>
    </w:p>
    <w:p w14:paraId="38F68F1F">
      <w:pPr>
        <w:rPr>
          <w:rFonts w:hint="eastAsia" w:ascii="Arial Unicode MS" w:hAnsi="Arial Unicode MS" w:eastAsia="Arial Unicode MS" w:cs="Arial Unicode MS"/>
          <w:color w:val="000000"/>
          <w:sz w:val="36"/>
          <w:szCs w:val="36"/>
        </w:rPr>
      </w:pPr>
    </w:p>
    <w:p w14:paraId="65DD5C5F">
      <w:pPr>
        <w:rPr>
          <w:rFonts w:hint="eastAsia" w:ascii="Arial Unicode MS" w:hAnsi="Arial Unicode MS" w:eastAsia="Arial Unicode MS" w:cs="Arial Unicode MS"/>
          <w:color w:val="000000"/>
          <w:sz w:val="36"/>
          <w:szCs w:val="36"/>
        </w:rPr>
      </w:pPr>
    </w:p>
    <w:p w14:paraId="782D869E">
      <w:pPr>
        <w:rPr>
          <w:rFonts w:hint="eastAsia" w:ascii="Arial Unicode MS" w:hAnsi="Arial Unicode MS" w:eastAsia="Arial Unicode MS" w:cs="Arial Unicode MS"/>
          <w:color w:val="000000"/>
          <w:sz w:val="36"/>
          <w:szCs w:val="36"/>
        </w:rPr>
      </w:pPr>
    </w:p>
    <w:p w14:paraId="05926100">
      <w:pPr>
        <w:rPr>
          <w:rFonts w:hint="eastAsia" w:ascii="Arial Unicode MS" w:hAnsi="Arial Unicode MS" w:eastAsia="Arial Unicode MS" w:cs="Arial Unicode MS"/>
          <w:color w:val="000000"/>
          <w:sz w:val="36"/>
          <w:szCs w:val="36"/>
        </w:rPr>
      </w:pPr>
    </w:p>
    <w:p w14:paraId="5B9FEB61">
      <w:pPr>
        <w:rPr>
          <w:rFonts w:hint="eastAsia" w:ascii="Arial Unicode MS" w:hAnsi="Arial Unicode MS" w:eastAsia="Arial Unicode MS" w:cs="Arial Unicode MS"/>
          <w:color w:val="000000"/>
          <w:sz w:val="36"/>
          <w:szCs w:val="36"/>
        </w:rPr>
      </w:pPr>
    </w:p>
    <w:p w14:paraId="2115D2CA">
      <w:pPr>
        <w:rPr>
          <w:spacing w:val="12"/>
          <w:sz w:val="40"/>
          <w:szCs w:val="40"/>
          <w14:textOutline w14:w="7353" w14:cap="flat" w14:cmpd="sng" w14:algn="ctr">
            <w14:solidFill>
              <w14:srgbClr w14:val="000000"/>
            </w14:solidFill>
            <w14:prstDash w14:val="solid"/>
            <w14:miter w14:val="0"/>
          </w14:textOutline>
        </w:rPr>
      </w:pPr>
      <w:bookmarkStart w:id="19" w:name="_Toc16938558"/>
      <w:bookmarkStart w:id="20" w:name="_Toc120614221"/>
      <w:bookmarkStart w:id="21" w:name="_Toc513029242"/>
      <w:bookmarkStart w:id="22" w:name="_Toc479757207"/>
      <w:bookmarkStart w:id="23" w:name="_Toc20823314"/>
      <w:r>
        <w:rPr>
          <w:spacing w:val="12"/>
          <w:sz w:val="40"/>
          <w:szCs w:val="40"/>
          <w14:textOutline w14:w="7353" w14:cap="flat" w14:cmpd="sng" w14:algn="ctr">
            <w14:solidFill>
              <w14:srgbClr w14:val="000000"/>
            </w14:solidFill>
            <w14:prstDash w14:val="solid"/>
            <w14:miter w14:val="0"/>
          </w14:textOutline>
        </w:rPr>
        <w:br w:type="page"/>
      </w:r>
    </w:p>
    <w:p w14:paraId="5D444E19">
      <w:pPr>
        <w:pStyle w:val="15"/>
        <w:spacing w:before="130" w:line="221" w:lineRule="auto"/>
        <w:ind w:left="2803"/>
        <w:outlineLvl w:val="0"/>
        <w:rPr>
          <w:sz w:val="40"/>
          <w:szCs w:val="40"/>
        </w:rPr>
      </w:pPr>
      <w:r>
        <w:rPr>
          <w:spacing w:val="12"/>
          <w:sz w:val="40"/>
          <w:szCs w:val="40"/>
          <w14:textOutline w14:w="7353" w14:cap="flat" w14:cmpd="sng" w14:algn="ctr">
            <w14:solidFill>
              <w14:srgbClr w14:val="000000"/>
            </w14:solidFill>
            <w14:prstDash w14:val="solid"/>
            <w14:miter w14:val="0"/>
          </w14:textOutline>
        </w:rPr>
        <w:t>第二章</w:t>
      </w:r>
      <w:r>
        <w:rPr>
          <w:spacing w:val="43"/>
          <w:sz w:val="40"/>
          <w:szCs w:val="40"/>
        </w:rPr>
        <w:t xml:space="preserve">  </w:t>
      </w:r>
      <w:r>
        <w:rPr>
          <w:rFonts w:hint="eastAsia"/>
          <w:spacing w:val="12"/>
          <w:sz w:val="40"/>
          <w:szCs w:val="40"/>
          <w14:textOutline w14:w="7353" w14:cap="flat" w14:cmpd="sng" w14:algn="ctr">
            <w14:solidFill>
              <w14:srgbClr w14:val="000000"/>
            </w14:solidFill>
            <w14:prstDash w14:val="solid"/>
            <w14:miter w14:val="0"/>
          </w14:textOutline>
        </w:rPr>
        <w:t>投标人</w:t>
      </w:r>
      <w:r>
        <w:rPr>
          <w:spacing w:val="12"/>
          <w:sz w:val="40"/>
          <w:szCs w:val="40"/>
          <w14:textOutline w14:w="7353" w14:cap="flat" w14:cmpd="sng" w14:algn="ctr">
            <w14:solidFill>
              <w14:srgbClr w14:val="000000"/>
            </w14:solidFill>
            <w14:prstDash w14:val="solid"/>
            <w14:miter w14:val="0"/>
          </w14:textOutline>
        </w:rPr>
        <w:t>须知</w:t>
      </w:r>
    </w:p>
    <w:p w14:paraId="2074F032">
      <w:pPr>
        <w:pStyle w:val="355"/>
        <w:spacing w:before="120" w:after="120"/>
        <w:ind w:firstLine="465"/>
        <w:rPr>
          <w:rFonts w:ascii="方正黑体_GBK" w:eastAsia="方正黑体_GBK" w:cs="方正黑体_GBK"/>
        </w:rPr>
      </w:pPr>
      <w:bookmarkStart w:id="24" w:name="_Toc20823275"/>
      <w:bookmarkStart w:id="25" w:name="_Toc513029203"/>
      <w:bookmarkStart w:id="26" w:name="_Toc16938519"/>
      <w:bookmarkStart w:id="27" w:name="_Toc120614214"/>
      <w:r>
        <w:rPr>
          <w:rFonts w:hint="eastAsia" w:ascii="方正黑体_GBK" w:eastAsia="方正黑体_GBK" w:cs="方正黑体_GBK"/>
        </w:rPr>
        <w:t>一、总则</w:t>
      </w:r>
      <w:bookmarkEnd w:id="24"/>
      <w:bookmarkEnd w:id="25"/>
      <w:bookmarkEnd w:id="26"/>
      <w:bookmarkEnd w:id="27"/>
    </w:p>
    <w:p w14:paraId="412F8335">
      <w:pPr>
        <w:pStyle w:val="357"/>
        <w:spacing w:before="0" w:after="0"/>
        <w:ind w:firstLine="422"/>
        <w:rPr>
          <w:rFonts w:ascii="方正楷体_GBK" w:eastAsia="方正楷体_GBK" w:cs="方正楷体_GBK"/>
          <w:sz w:val="28"/>
          <w:szCs w:val="28"/>
        </w:rPr>
      </w:pPr>
      <w:bookmarkStart w:id="28" w:name="_Hlt16619475"/>
      <w:bookmarkEnd w:id="28"/>
      <w:bookmarkStart w:id="29" w:name="_Toc458694821"/>
      <w:bookmarkStart w:id="30" w:name="_Toc16938520"/>
      <w:bookmarkStart w:id="31" w:name="_Toc513029204"/>
      <w:bookmarkStart w:id="32" w:name="_Toc20823276"/>
      <w:r>
        <w:rPr>
          <w:rFonts w:hint="eastAsia" w:ascii="方正楷体_GBK" w:eastAsia="方正楷体_GBK" w:cs="方正楷体_GBK"/>
          <w:sz w:val="28"/>
          <w:szCs w:val="28"/>
        </w:rPr>
        <w:t>1</w:t>
      </w:r>
      <w:bookmarkEnd w:id="29"/>
      <w:r>
        <w:rPr>
          <w:rFonts w:hint="eastAsia" w:ascii="方正楷体_GBK" w:eastAsia="方正楷体_GBK" w:cs="方正楷体_GBK"/>
          <w:sz w:val="28"/>
          <w:szCs w:val="28"/>
        </w:rPr>
        <w:t>.招标方式</w:t>
      </w:r>
      <w:bookmarkEnd w:id="30"/>
      <w:bookmarkEnd w:id="31"/>
      <w:bookmarkEnd w:id="32"/>
    </w:p>
    <w:p w14:paraId="56C96850">
      <w:pPr>
        <w:ind w:firstLine="420"/>
        <w:rPr>
          <w:rFonts w:ascii="宋体"/>
          <w:sz w:val="24"/>
        </w:rPr>
      </w:pPr>
      <w:r>
        <w:rPr>
          <w:rFonts w:hint="eastAsia" w:ascii="宋体"/>
          <w:sz w:val="24"/>
        </w:rPr>
        <w:t>1.1 本次招标采取公开招标方式，本文件仅适用于招标公告中所述项目。</w:t>
      </w:r>
    </w:p>
    <w:p w14:paraId="07B399A9">
      <w:pPr>
        <w:pStyle w:val="357"/>
        <w:spacing w:before="0" w:after="0"/>
        <w:ind w:firstLine="422"/>
        <w:rPr>
          <w:rFonts w:ascii="方正楷体_GBK" w:eastAsia="方正楷体_GBK" w:cs="方正楷体_GBK"/>
          <w:sz w:val="28"/>
          <w:szCs w:val="28"/>
        </w:rPr>
      </w:pPr>
      <w:bookmarkStart w:id="33" w:name="_Toc513029205"/>
      <w:bookmarkStart w:id="34" w:name="_Toc20823277"/>
      <w:bookmarkStart w:id="35" w:name="_Toc16938521"/>
      <w:r>
        <w:rPr>
          <w:rFonts w:hint="eastAsia" w:ascii="方正楷体_GBK" w:eastAsia="方正楷体_GBK" w:cs="方正楷体_GBK"/>
          <w:sz w:val="28"/>
          <w:szCs w:val="28"/>
        </w:rPr>
        <w:t>2.合格的投标人</w:t>
      </w:r>
      <w:bookmarkEnd w:id="33"/>
      <w:bookmarkEnd w:id="34"/>
      <w:bookmarkEnd w:id="35"/>
    </w:p>
    <w:p w14:paraId="101A9EA5">
      <w:pPr>
        <w:ind w:firstLine="420"/>
        <w:rPr>
          <w:rFonts w:ascii="宋体"/>
          <w:sz w:val="24"/>
        </w:rPr>
      </w:pPr>
      <w:r>
        <w:rPr>
          <w:rFonts w:hint="eastAsia" w:ascii="宋体"/>
          <w:sz w:val="24"/>
        </w:rPr>
        <w:t>2.1 满足招标公告对供应商资格要求的规定。</w:t>
      </w:r>
    </w:p>
    <w:p w14:paraId="6844E6E5">
      <w:pPr>
        <w:ind w:firstLine="420"/>
        <w:rPr>
          <w:rFonts w:ascii="宋体"/>
          <w:sz w:val="24"/>
        </w:rPr>
      </w:pPr>
      <w:r>
        <w:rPr>
          <w:rFonts w:hint="eastAsia" w:ascii="宋体"/>
          <w:sz w:val="24"/>
        </w:rPr>
        <w:t>2.2 满足招标文件规定的实质性要求和条件。</w:t>
      </w:r>
    </w:p>
    <w:p w14:paraId="365ADFEB">
      <w:pPr>
        <w:pStyle w:val="357"/>
        <w:spacing w:before="0" w:after="0"/>
        <w:ind w:firstLine="422"/>
        <w:rPr>
          <w:rFonts w:ascii="方正楷体_GBK" w:eastAsia="方正楷体_GBK" w:cs="方正楷体_GBK"/>
          <w:sz w:val="28"/>
          <w:szCs w:val="28"/>
        </w:rPr>
      </w:pPr>
      <w:bookmarkStart w:id="36" w:name="_Toc513029206"/>
      <w:bookmarkStart w:id="37" w:name="_Toc16938522"/>
      <w:bookmarkStart w:id="38" w:name="_Toc20823278"/>
      <w:r>
        <w:rPr>
          <w:rFonts w:hint="eastAsia" w:ascii="方正楷体_GBK" w:eastAsia="方正楷体_GBK" w:cs="方正楷体_GBK"/>
          <w:sz w:val="28"/>
          <w:szCs w:val="28"/>
        </w:rPr>
        <w:t>3.适用法律</w:t>
      </w:r>
      <w:bookmarkEnd w:id="36"/>
      <w:bookmarkEnd w:id="37"/>
      <w:bookmarkEnd w:id="38"/>
    </w:p>
    <w:p w14:paraId="574D1675">
      <w:pPr>
        <w:ind w:firstLine="420"/>
        <w:rPr>
          <w:rFonts w:ascii="宋体"/>
          <w:sz w:val="24"/>
        </w:rPr>
      </w:pPr>
      <w:r>
        <w:rPr>
          <w:rFonts w:hint="eastAsia" w:ascii="宋体"/>
          <w:sz w:val="24"/>
        </w:rPr>
        <w:t>3.1 本次招标及由此产生的合同受中华人民共和国有关的法律法规制约和保护。</w:t>
      </w:r>
    </w:p>
    <w:p w14:paraId="43636969">
      <w:pPr>
        <w:pStyle w:val="357"/>
        <w:spacing w:before="0" w:after="0"/>
        <w:ind w:firstLine="422"/>
        <w:rPr>
          <w:rFonts w:ascii="方正楷体_GBK" w:eastAsia="方正楷体_GBK" w:cs="方正楷体_GBK"/>
          <w:sz w:val="28"/>
          <w:szCs w:val="28"/>
        </w:rPr>
      </w:pPr>
      <w:bookmarkStart w:id="39" w:name="_Toc462564067"/>
      <w:bookmarkStart w:id="40" w:name="_Toc16938523"/>
      <w:bookmarkStart w:id="41" w:name="_Toc513029207"/>
      <w:bookmarkStart w:id="42" w:name="_Toc20823279"/>
      <w:r>
        <w:rPr>
          <w:rFonts w:hint="eastAsia" w:ascii="方正楷体_GBK" w:eastAsia="方正楷体_GBK" w:cs="方正楷体_GBK"/>
          <w:sz w:val="28"/>
          <w:szCs w:val="28"/>
        </w:rPr>
        <w:t>4.投标费用</w:t>
      </w:r>
      <w:bookmarkEnd w:id="39"/>
      <w:bookmarkEnd w:id="40"/>
      <w:bookmarkEnd w:id="41"/>
      <w:bookmarkEnd w:id="42"/>
    </w:p>
    <w:p w14:paraId="57CFB1FE">
      <w:pPr>
        <w:ind w:firstLine="420"/>
        <w:rPr>
          <w:rFonts w:ascii="宋体"/>
          <w:sz w:val="24"/>
        </w:rPr>
      </w:pPr>
      <w:r>
        <w:rPr>
          <w:rFonts w:hint="eastAsia" w:ascii="宋体"/>
          <w:sz w:val="24"/>
        </w:rPr>
        <w:t>4.1 投标人应自行承担所有与参加投标有关的费用，无论投标过程中的做法和结果如何，交易中心在任何情况下均无义务和责任承担这些费用。</w:t>
      </w:r>
    </w:p>
    <w:p w14:paraId="55EC36BD">
      <w:pPr>
        <w:ind w:firstLine="420"/>
        <w:rPr>
          <w:rFonts w:ascii="宋体"/>
          <w:sz w:val="24"/>
        </w:rPr>
      </w:pPr>
      <w:r>
        <w:rPr>
          <w:rFonts w:hint="eastAsia" w:ascii="宋体"/>
          <w:sz w:val="24"/>
        </w:rPr>
        <w:t>4.2 本次招标交易中心和采购人不收取标书工本费与中标服务费。</w:t>
      </w:r>
    </w:p>
    <w:p w14:paraId="61FCC5DA">
      <w:pPr>
        <w:pStyle w:val="357"/>
        <w:spacing w:before="0" w:after="0"/>
        <w:ind w:firstLine="422"/>
        <w:rPr>
          <w:rFonts w:ascii="方正楷体_GBK" w:eastAsia="方正楷体_GBK" w:cs="方正楷体_GBK"/>
          <w:sz w:val="28"/>
          <w:szCs w:val="28"/>
        </w:rPr>
      </w:pPr>
      <w:r>
        <w:rPr>
          <w:rFonts w:hint="eastAsia" w:ascii="方正楷体_GBK" w:eastAsia="方正楷体_GBK" w:cs="方正楷体_GBK"/>
          <w:sz w:val="28"/>
          <w:szCs w:val="28"/>
        </w:rPr>
        <w:t>5.招标文件的约束力</w:t>
      </w:r>
    </w:p>
    <w:p w14:paraId="393F2A31">
      <w:pPr>
        <w:ind w:firstLine="420"/>
        <w:rPr>
          <w:rFonts w:ascii="宋体"/>
          <w:sz w:val="24"/>
        </w:rPr>
      </w:pPr>
      <w:r>
        <w:rPr>
          <w:rFonts w:hint="eastAsia" w:ascii="宋体"/>
          <w:sz w:val="24"/>
        </w:rPr>
        <w:t>5.1 投标人一旦参加本项目采购活动，即被认为接受了本文件的规定和约束。</w:t>
      </w:r>
    </w:p>
    <w:p w14:paraId="47426627">
      <w:pPr>
        <w:pStyle w:val="355"/>
        <w:spacing w:before="120" w:after="120"/>
        <w:ind w:firstLine="465"/>
        <w:rPr>
          <w:rFonts w:ascii="方正黑体_GBK" w:eastAsia="方正黑体_GBK" w:cs="方正黑体_GBK"/>
        </w:rPr>
      </w:pPr>
      <w:bookmarkStart w:id="43" w:name="_Toc513029209"/>
      <w:bookmarkStart w:id="44" w:name="_Toc120614215"/>
      <w:bookmarkStart w:id="45" w:name="_Toc16938525"/>
      <w:bookmarkStart w:id="46" w:name="_Toc20823281"/>
      <w:r>
        <w:rPr>
          <w:rFonts w:hint="eastAsia" w:ascii="方正黑体_GBK" w:eastAsia="方正黑体_GBK" w:cs="方正黑体_GBK"/>
        </w:rPr>
        <w:t>二、招标文件</w:t>
      </w:r>
      <w:bookmarkEnd w:id="43"/>
      <w:bookmarkEnd w:id="44"/>
      <w:bookmarkEnd w:id="45"/>
      <w:bookmarkEnd w:id="46"/>
    </w:p>
    <w:p w14:paraId="5955C387">
      <w:pPr>
        <w:pStyle w:val="357"/>
        <w:spacing w:before="0" w:after="0"/>
        <w:ind w:firstLine="422"/>
        <w:rPr>
          <w:rFonts w:ascii="方正楷体_GBK" w:eastAsia="方正楷体_GBK" w:cs="方正楷体_GBK"/>
          <w:sz w:val="28"/>
          <w:szCs w:val="28"/>
        </w:rPr>
      </w:pPr>
      <w:bookmarkStart w:id="47" w:name="_Toc16938526"/>
      <w:bookmarkStart w:id="48" w:name="_Toc513029210"/>
      <w:bookmarkStart w:id="49" w:name="_Toc20823282"/>
      <w:r>
        <w:rPr>
          <w:rFonts w:hint="eastAsia" w:ascii="方正楷体_GBK" w:eastAsia="方正楷体_GBK" w:cs="方正楷体_GBK"/>
          <w:sz w:val="28"/>
          <w:szCs w:val="28"/>
        </w:rPr>
        <w:t>6.招标文件构成</w:t>
      </w:r>
      <w:bookmarkEnd w:id="47"/>
      <w:bookmarkEnd w:id="48"/>
      <w:bookmarkEnd w:id="49"/>
    </w:p>
    <w:p w14:paraId="4A3AF852">
      <w:pPr>
        <w:ind w:firstLine="420"/>
        <w:rPr>
          <w:rFonts w:ascii="宋体"/>
          <w:sz w:val="24"/>
        </w:rPr>
      </w:pPr>
      <w:r>
        <w:rPr>
          <w:rFonts w:hint="eastAsia" w:ascii="宋体"/>
          <w:sz w:val="24"/>
        </w:rPr>
        <w:t>6.1 招标文件由以下部分组成：</w:t>
      </w:r>
    </w:p>
    <w:p w14:paraId="5355394E">
      <w:pPr>
        <w:ind w:firstLine="420"/>
        <w:rPr>
          <w:rFonts w:ascii="宋体"/>
          <w:sz w:val="24"/>
        </w:rPr>
      </w:pPr>
      <w:r>
        <w:rPr>
          <w:rFonts w:hint="eastAsia" w:ascii="宋体"/>
          <w:sz w:val="24"/>
        </w:rPr>
        <w:t>（1）投标邀请</w:t>
      </w:r>
    </w:p>
    <w:p w14:paraId="0784452C">
      <w:pPr>
        <w:ind w:firstLine="420"/>
        <w:rPr>
          <w:rFonts w:ascii="宋体"/>
          <w:sz w:val="24"/>
        </w:rPr>
      </w:pPr>
      <w:r>
        <w:rPr>
          <w:rFonts w:hint="eastAsia" w:ascii="宋体"/>
          <w:sz w:val="24"/>
        </w:rPr>
        <w:t>（2）投标人须知</w:t>
      </w:r>
    </w:p>
    <w:p w14:paraId="785E68AC">
      <w:pPr>
        <w:ind w:firstLine="420"/>
        <w:rPr>
          <w:rFonts w:ascii="宋体"/>
          <w:sz w:val="24"/>
        </w:rPr>
      </w:pPr>
      <w:r>
        <w:rPr>
          <w:rFonts w:hint="eastAsia" w:ascii="宋体"/>
          <w:sz w:val="24"/>
        </w:rPr>
        <w:t>（3）合同文本</w:t>
      </w:r>
    </w:p>
    <w:p w14:paraId="58E27775">
      <w:pPr>
        <w:ind w:firstLine="420"/>
        <w:rPr>
          <w:rFonts w:ascii="宋体"/>
          <w:sz w:val="24"/>
        </w:rPr>
      </w:pPr>
      <w:r>
        <w:rPr>
          <w:rFonts w:hint="eastAsia" w:ascii="宋体"/>
          <w:sz w:val="24"/>
        </w:rPr>
        <w:t>（4）采购需求</w:t>
      </w:r>
    </w:p>
    <w:p w14:paraId="030DAFC8">
      <w:pPr>
        <w:ind w:firstLine="420"/>
        <w:rPr>
          <w:rFonts w:ascii="宋体"/>
          <w:sz w:val="24"/>
        </w:rPr>
      </w:pPr>
      <w:r>
        <w:rPr>
          <w:rFonts w:hint="eastAsia" w:ascii="宋体"/>
          <w:sz w:val="24"/>
        </w:rPr>
        <w:t>（5）评标方法与评标标准</w:t>
      </w:r>
    </w:p>
    <w:p w14:paraId="3F1D2AD4">
      <w:pPr>
        <w:ind w:firstLine="420"/>
        <w:rPr>
          <w:rFonts w:ascii="宋体"/>
          <w:sz w:val="24"/>
        </w:rPr>
      </w:pPr>
      <w:r>
        <w:rPr>
          <w:rFonts w:hint="eastAsia" w:ascii="宋体"/>
          <w:sz w:val="24"/>
        </w:rPr>
        <w:t>（6）投标文件格式</w:t>
      </w:r>
    </w:p>
    <w:p w14:paraId="5D00D012">
      <w:pPr>
        <w:ind w:firstLine="420"/>
        <w:rPr>
          <w:rFonts w:ascii="宋体"/>
          <w:sz w:val="24"/>
        </w:rPr>
      </w:pPr>
      <w:r>
        <w:rPr>
          <w:rFonts w:hint="eastAsia" w:ascii="宋体"/>
          <w:sz w:val="24"/>
        </w:rPr>
        <w:t>投标人应仔细检查招标文件是否齐全，如有缺漏请立即与交易中心联系。</w:t>
      </w:r>
    </w:p>
    <w:p w14:paraId="033B3735">
      <w:pPr>
        <w:ind w:firstLine="420"/>
        <w:rPr>
          <w:rFonts w:ascii="宋体"/>
          <w:sz w:val="24"/>
        </w:rPr>
      </w:pPr>
      <w:r>
        <w:rPr>
          <w:rFonts w:hint="eastAsia" w:asci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C1989D">
      <w:pPr>
        <w:pStyle w:val="357"/>
        <w:spacing w:before="0" w:after="0"/>
        <w:ind w:firstLine="422"/>
        <w:rPr>
          <w:rFonts w:ascii="方正楷体_GBK" w:eastAsia="方正楷体_GBK" w:cs="方正楷体_GBK"/>
          <w:sz w:val="28"/>
          <w:szCs w:val="28"/>
        </w:rPr>
      </w:pPr>
      <w:bookmarkStart w:id="50" w:name="_Toc513029211"/>
      <w:bookmarkStart w:id="51" w:name="_Toc20823283"/>
      <w:bookmarkStart w:id="52" w:name="_Toc16938527"/>
      <w:bookmarkStart w:id="53" w:name="_Toc462564070"/>
      <w:r>
        <w:rPr>
          <w:rFonts w:hint="eastAsia" w:ascii="方正楷体_GBK" w:eastAsia="方正楷体_GBK" w:cs="方正楷体_GBK"/>
          <w:sz w:val="28"/>
          <w:szCs w:val="28"/>
        </w:rPr>
        <w:t>7.招标文件的澄清</w:t>
      </w:r>
      <w:bookmarkEnd w:id="50"/>
      <w:bookmarkEnd w:id="51"/>
      <w:bookmarkEnd w:id="52"/>
      <w:bookmarkEnd w:id="53"/>
    </w:p>
    <w:p w14:paraId="4B0886E5">
      <w:pPr>
        <w:ind w:firstLine="420"/>
        <w:rPr>
          <w:rFonts w:ascii="宋体"/>
          <w:sz w:val="24"/>
        </w:rPr>
      </w:pPr>
      <w:r>
        <w:rPr>
          <w:rFonts w:hint="eastAsia" w:ascii="宋体"/>
          <w:sz w:val="24"/>
        </w:rPr>
        <w:t>7.1 任何要求对招标文件进行澄清的投标人，应在投标截止期十日前按招标公告中的通讯地址，以书面形式通知交易中心。</w:t>
      </w:r>
    </w:p>
    <w:p w14:paraId="212BD117">
      <w:pPr>
        <w:pStyle w:val="357"/>
        <w:spacing w:before="0" w:after="0"/>
        <w:ind w:firstLine="422"/>
        <w:rPr>
          <w:rFonts w:ascii="方正楷体_GBK" w:eastAsia="方正楷体_GBK" w:cs="方正楷体_GBK"/>
          <w:sz w:val="28"/>
          <w:szCs w:val="28"/>
        </w:rPr>
      </w:pPr>
      <w:bookmarkStart w:id="54" w:name="_Toc20823284"/>
      <w:bookmarkStart w:id="55" w:name="_Toc462564071"/>
      <w:bookmarkStart w:id="56" w:name="_Toc513029212"/>
      <w:bookmarkStart w:id="57" w:name="_Toc16938528"/>
      <w:r>
        <w:rPr>
          <w:rFonts w:hint="eastAsia" w:ascii="方正楷体_GBK" w:eastAsia="方正楷体_GBK" w:cs="方正楷体_GBK"/>
          <w:sz w:val="28"/>
          <w:szCs w:val="28"/>
        </w:rPr>
        <w:t>8.招标文件的修改</w:t>
      </w:r>
      <w:bookmarkEnd w:id="54"/>
      <w:bookmarkEnd w:id="55"/>
      <w:bookmarkEnd w:id="56"/>
      <w:bookmarkEnd w:id="57"/>
    </w:p>
    <w:p w14:paraId="2901274A">
      <w:pPr>
        <w:ind w:firstLine="420"/>
        <w:rPr>
          <w:rFonts w:ascii="宋体"/>
          <w:sz w:val="24"/>
        </w:rPr>
      </w:pPr>
      <w:bookmarkStart w:id="58" w:name="_Toc16938529"/>
      <w:bookmarkStart w:id="59" w:name="_Toc20823285"/>
      <w:bookmarkStart w:id="60" w:name="_Toc513029213"/>
      <w:bookmarkStart w:id="61" w:name="_Toc120614216"/>
      <w:bookmarkStart w:id="62" w:name="_Toc462564072"/>
      <w:r>
        <w:rPr>
          <w:rFonts w:hint="eastAsia" w:ascii="宋体"/>
          <w:sz w:val="24"/>
        </w:rPr>
        <w:t>8.1 在投标截止时间前，交易中心可以对招标文件进行修改。招标文件的修改将在原公告媒体发布更正公告，更正内容将作为招标文件的组成部分，并对投标人具有约束力。</w:t>
      </w:r>
    </w:p>
    <w:p w14:paraId="2C4D03BF">
      <w:pPr>
        <w:ind w:firstLine="420"/>
        <w:rPr>
          <w:rFonts w:ascii="宋体"/>
          <w:sz w:val="24"/>
        </w:rPr>
      </w:pPr>
      <w:r>
        <w:rPr>
          <w:rFonts w:hint="eastAsia" w:ascii="宋体"/>
          <w:sz w:val="24"/>
        </w:rPr>
        <w:t>8.2 投标人应在提交投标文件截止时间前，关注原公告媒体有关本项目的更正公告，根据更正公告内容自行决定是否需要重新制作和提交投标文件，并承担由此产生的相应责任。</w:t>
      </w:r>
    </w:p>
    <w:p w14:paraId="21958344">
      <w:pPr>
        <w:ind w:firstLine="420"/>
        <w:rPr>
          <w:rFonts w:ascii="宋体"/>
          <w:sz w:val="24"/>
        </w:rPr>
      </w:pPr>
      <w:r>
        <w:rPr>
          <w:rFonts w:hint="eastAsia" w:ascii="宋体"/>
          <w:sz w:val="24"/>
        </w:rPr>
        <w:t>8.3 交易中心有权按照法定的要求推迟投标截止日期和开标日期，并在原公告媒体发布更正公告。</w:t>
      </w:r>
    </w:p>
    <w:p w14:paraId="7FD9891D">
      <w:pPr>
        <w:pStyle w:val="355"/>
        <w:spacing w:before="120" w:after="120"/>
        <w:ind w:firstLine="465"/>
        <w:rPr>
          <w:rFonts w:ascii="方正黑体_GBK" w:eastAsia="方正黑体_GBK" w:cs="方正黑体_GBK"/>
        </w:rPr>
      </w:pPr>
      <w:r>
        <w:rPr>
          <w:rFonts w:hint="eastAsia" w:ascii="方正黑体_GBK" w:eastAsia="方正黑体_GBK" w:cs="方正黑体_GBK"/>
        </w:rPr>
        <w:t>三、投标文件的编制</w:t>
      </w:r>
      <w:bookmarkEnd w:id="58"/>
      <w:bookmarkEnd w:id="59"/>
      <w:bookmarkEnd w:id="60"/>
      <w:bookmarkEnd w:id="61"/>
      <w:bookmarkEnd w:id="62"/>
    </w:p>
    <w:p w14:paraId="576E0D54">
      <w:pPr>
        <w:pStyle w:val="357"/>
        <w:spacing w:before="0" w:after="0"/>
        <w:ind w:firstLine="422"/>
        <w:rPr>
          <w:rFonts w:ascii="方正楷体_GBK" w:eastAsia="方正楷体_GBK" w:cs="方正楷体_GBK"/>
          <w:sz w:val="28"/>
          <w:szCs w:val="28"/>
        </w:rPr>
      </w:pPr>
      <w:bookmarkStart w:id="63" w:name="_Toc20823286"/>
      <w:bookmarkStart w:id="64" w:name="_Toc513029214"/>
      <w:bookmarkStart w:id="65" w:name="_Toc16938530"/>
      <w:bookmarkStart w:id="66" w:name="_Toc462564073"/>
      <w:r>
        <w:rPr>
          <w:rFonts w:hint="eastAsia" w:ascii="方正楷体_GBK" w:eastAsia="方正楷体_GBK" w:cs="方正楷体_GBK"/>
          <w:sz w:val="28"/>
          <w:szCs w:val="28"/>
        </w:rPr>
        <w:t>9.投标文件的语言及度量衡单位</w:t>
      </w:r>
      <w:bookmarkEnd w:id="63"/>
      <w:bookmarkEnd w:id="64"/>
      <w:bookmarkEnd w:id="65"/>
      <w:bookmarkEnd w:id="66"/>
    </w:p>
    <w:p w14:paraId="340229A8">
      <w:pPr>
        <w:ind w:firstLine="420"/>
        <w:rPr>
          <w:rFonts w:ascii="宋体"/>
          <w:sz w:val="24"/>
        </w:rPr>
      </w:pPr>
      <w:r>
        <w:rPr>
          <w:rFonts w:hint="eastAsia" w:ascii="宋体"/>
          <w:sz w:val="24"/>
        </w:rPr>
        <w:t>9.1 投标人提交的投标文件以及投标人与交易中心就有关投标的所有来往通知、函件和文件均应使用简体中文。</w:t>
      </w:r>
    </w:p>
    <w:p w14:paraId="5204D936">
      <w:pPr>
        <w:ind w:firstLine="420"/>
        <w:rPr>
          <w:rFonts w:ascii="宋体"/>
          <w:sz w:val="24"/>
        </w:rPr>
      </w:pPr>
      <w:r>
        <w:rPr>
          <w:rFonts w:hint="eastAsia" w:ascii="宋体"/>
          <w:sz w:val="24"/>
        </w:rPr>
        <w:t>9.2 除技术性能另有规定外，投标文件所使用的度量衡单位，均须采用国家法定计量单位。</w:t>
      </w:r>
    </w:p>
    <w:p w14:paraId="1F0DDBE3">
      <w:pPr>
        <w:pStyle w:val="357"/>
        <w:spacing w:before="0" w:after="0"/>
        <w:ind w:firstLine="422"/>
        <w:rPr>
          <w:rFonts w:ascii="方正楷体_GBK" w:eastAsia="方正楷体_GBK" w:cs="方正楷体_GBK"/>
          <w:sz w:val="28"/>
          <w:szCs w:val="28"/>
        </w:rPr>
      </w:pPr>
      <w:bookmarkStart w:id="67" w:name="_Toc20823287"/>
      <w:bookmarkStart w:id="68" w:name="_Toc462564074"/>
      <w:bookmarkStart w:id="69" w:name="_Toc16938531"/>
      <w:bookmarkStart w:id="70" w:name="_Toc513029215"/>
      <w:r>
        <w:rPr>
          <w:rFonts w:hint="eastAsia" w:ascii="方正楷体_GBK" w:eastAsia="方正楷体_GBK" w:cs="方正楷体_GBK"/>
          <w:sz w:val="28"/>
          <w:szCs w:val="28"/>
        </w:rPr>
        <w:t>10.投标文件构成</w:t>
      </w:r>
      <w:bookmarkEnd w:id="67"/>
      <w:bookmarkEnd w:id="68"/>
      <w:bookmarkEnd w:id="69"/>
      <w:bookmarkEnd w:id="70"/>
    </w:p>
    <w:p w14:paraId="71B96330">
      <w:pPr>
        <w:ind w:firstLine="420"/>
        <w:rPr>
          <w:rFonts w:ascii="宋体"/>
          <w:sz w:val="24"/>
        </w:rPr>
      </w:pPr>
      <w:r>
        <w:rPr>
          <w:rFonts w:hint="eastAsia" w:ascii="宋体"/>
          <w:sz w:val="24"/>
        </w:rPr>
        <w:t>10.1 投标人编写的投标文件应包括资格证明文件、符合性证明文件、投标报价明细表、响应及偏离表、其他证明文件、投标函、开标一览表等部分。</w:t>
      </w:r>
    </w:p>
    <w:p w14:paraId="701F0C77">
      <w:pPr>
        <w:ind w:firstLine="420"/>
        <w:rPr>
          <w:rFonts w:ascii="宋体"/>
          <w:sz w:val="24"/>
        </w:rPr>
      </w:pPr>
      <w:r>
        <w:rPr>
          <w:rFonts w:hint="eastAsia" w:ascii="宋体"/>
          <w:sz w:val="24"/>
        </w:rPr>
        <w:t>10.2 如标书制作工具中格式和内容与“江苏政府采购网”发布的招标文件不一致，以“江苏政府采购网”发布的招标文件为准。</w:t>
      </w:r>
    </w:p>
    <w:p w14:paraId="722E1DF3">
      <w:pPr>
        <w:pStyle w:val="357"/>
        <w:spacing w:before="0" w:after="0"/>
        <w:ind w:firstLine="422"/>
        <w:rPr>
          <w:rFonts w:ascii="方正楷体_GBK" w:eastAsia="方正楷体_GBK" w:cs="方正楷体_GBK"/>
          <w:sz w:val="28"/>
          <w:szCs w:val="28"/>
        </w:rPr>
      </w:pPr>
      <w:bookmarkStart w:id="71" w:name="_Hlt26668975"/>
      <w:bookmarkEnd w:id="71"/>
      <w:bookmarkStart w:id="72" w:name="_Hlt26670360"/>
      <w:bookmarkEnd w:id="72"/>
      <w:bookmarkStart w:id="73" w:name="_Hlt26954838"/>
      <w:bookmarkEnd w:id="73"/>
      <w:bookmarkStart w:id="74" w:name="_Toc49090509"/>
      <w:bookmarkStart w:id="75" w:name="_Toc49090507"/>
      <w:bookmarkStart w:id="76" w:name="_Toc14577354"/>
      <w:bookmarkStart w:id="77" w:name="_Toc14577357"/>
      <w:bookmarkStart w:id="78" w:name="_Toc513029216"/>
      <w:bookmarkStart w:id="79" w:name="_Toc513029219"/>
      <w:r>
        <w:rPr>
          <w:rFonts w:hint="eastAsia" w:ascii="方正楷体_GBK" w:eastAsia="方正楷体_GBK" w:cs="方正楷体_GBK"/>
          <w:sz w:val="28"/>
          <w:szCs w:val="28"/>
        </w:rPr>
        <w:t>11.证明投标人及投标标的符合招标文件规定的文件</w:t>
      </w:r>
      <w:bookmarkEnd w:id="74"/>
      <w:bookmarkEnd w:id="75"/>
      <w:bookmarkEnd w:id="76"/>
      <w:bookmarkEnd w:id="77"/>
      <w:bookmarkEnd w:id="78"/>
      <w:bookmarkEnd w:id="79"/>
    </w:p>
    <w:p w14:paraId="6E3FE2B1">
      <w:pPr>
        <w:ind w:firstLine="420"/>
        <w:rPr>
          <w:rFonts w:ascii="宋体"/>
          <w:sz w:val="24"/>
        </w:rPr>
      </w:pPr>
      <w:bookmarkStart w:id="80" w:name="_Toc14577355"/>
      <w:bookmarkStart w:id="81" w:name="_Toc49090508"/>
      <w:r>
        <w:rPr>
          <w:rFonts w:hint="eastAsia" w:ascii="宋体"/>
          <w:sz w:val="24"/>
        </w:rPr>
        <w:t>11.1 投标人应按照法律、法规、规章和规范性文件以及招标文件要求提交证明文件，证明其投标标的符合招标文件规定。</w:t>
      </w:r>
    </w:p>
    <w:p w14:paraId="23E8A467">
      <w:pPr>
        <w:ind w:firstLine="420"/>
        <w:rPr>
          <w:rFonts w:ascii="宋体"/>
          <w:sz w:val="24"/>
        </w:rPr>
      </w:pPr>
      <w:r>
        <w:rPr>
          <w:rFonts w:hint="eastAsia" w:ascii="宋体"/>
          <w:sz w:val="24"/>
        </w:rPr>
        <w:t>11.2 招标文件对证明文件无明确形式要求的，证明文件可以以文字资料、图纸和数据等形式提交。</w:t>
      </w:r>
    </w:p>
    <w:p w14:paraId="2EF7BFE3">
      <w:pPr>
        <w:pStyle w:val="357"/>
        <w:spacing w:before="0" w:after="0"/>
        <w:ind w:firstLine="422"/>
        <w:rPr>
          <w:rFonts w:ascii="方正楷体_GBK" w:eastAsia="方正楷体_GBK" w:cs="方正楷体_GBK"/>
          <w:sz w:val="28"/>
          <w:szCs w:val="28"/>
        </w:rPr>
      </w:pPr>
      <w:r>
        <w:rPr>
          <w:rFonts w:hint="eastAsia" w:ascii="方正楷体_GBK" w:eastAsia="方正楷体_GBK" w:cs="方正楷体_GBK"/>
          <w:sz w:val="28"/>
          <w:szCs w:val="28"/>
        </w:rPr>
        <w:t>12</w:t>
      </w:r>
      <w:bookmarkEnd w:id="80"/>
      <w:bookmarkEnd w:id="81"/>
      <w:r>
        <w:rPr>
          <w:rFonts w:hint="eastAsia" w:ascii="方正楷体_GBK" w:eastAsia="方正楷体_GBK" w:cs="方正楷体_GBK"/>
          <w:sz w:val="28"/>
          <w:szCs w:val="28"/>
        </w:rPr>
        <w:t>.投标报价明细表</w:t>
      </w:r>
    </w:p>
    <w:p w14:paraId="71893157">
      <w:pPr>
        <w:ind w:firstLine="420"/>
        <w:rPr>
          <w:rFonts w:ascii="宋体"/>
          <w:sz w:val="24"/>
        </w:rPr>
      </w:pPr>
      <w:r>
        <w:rPr>
          <w:rFonts w:hint="eastAsia" w:ascii="宋体"/>
          <w:sz w:val="24"/>
        </w:rPr>
        <w:t>12.1 投</w:t>
      </w:r>
      <w:bookmarkStart w:id="82" w:name="_Hlt26954840"/>
      <w:bookmarkEnd w:id="82"/>
      <w:r>
        <w:rPr>
          <w:rFonts w:hint="eastAsia" w:ascii="宋体"/>
          <w:sz w:val="24"/>
        </w:rPr>
        <w:t>标人应按照招标文件规定格式填报</w:t>
      </w:r>
      <w:bookmarkStart w:id="83" w:name="_Hlt26670399"/>
      <w:bookmarkEnd w:id="83"/>
      <w:r>
        <w:rPr>
          <w:rFonts w:hint="eastAsia" w:ascii="宋体"/>
          <w:sz w:val="24"/>
        </w:rPr>
        <w:t>投标报价明细表。</w:t>
      </w:r>
    </w:p>
    <w:p w14:paraId="3736DA8E">
      <w:pPr>
        <w:ind w:firstLine="420"/>
        <w:rPr>
          <w:rFonts w:ascii="宋体"/>
          <w:sz w:val="24"/>
        </w:rPr>
      </w:pPr>
      <w:r>
        <w:rPr>
          <w:rFonts w:hint="eastAsia" w:ascii="宋体"/>
          <w:sz w:val="24"/>
        </w:rPr>
        <w:t>12.2 投标文件中的单价和总价无特殊规定的采用人民币报价，以元为单位标注。招标文件另有规定的按规定执行。</w:t>
      </w:r>
    </w:p>
    <w:p w14:paraId="4E6B4E7B">
      <w:pPr>
        <w:pStyle w:val="357"/>
        <w:spacing w:before="0" w:after="0"/>
        <w:ind w:firstLine="422"/>
        <w:rPr>
          <w:rFonts w:ascii="方正楷体_GBK" w:eastAsia="方正楷体_GBK" w:cs="方正楷体_GBK"/>
          <w:sz w:val="28"/>
          <w:szCs w:val="28"/>
        </w:rPr>
      </w:pPr>
      <w:bookmarkStart w:id="84" w:name="_Hlt26954848"/>
      <w:bookmarkEnd w:id="84"/>
      <w:bookmarkStart w:id="85" w:name="_Hlt26954842"/>
      <w:bookmarkEnd w:id="85"/>
      <w:bookmarkStart w:id="86" w:name="_Hlt26954731"/>
      <w:bookmarkEnd w:id="86"/>
      <w:bookmarkStart w:id="87" w:name="_Hlt26954844"/>
      <w:bookmarkEnd w:id="87"/>
      <w:bookmarkStart w:id="88" w:name="_Hlt26670482"/>
      <w:bookmarkEnd w:id="88"/>
      <w:bookmarkStart w:id="89" w:name="_Hlt26670403"/>
      <w:bookmarkEnd w:id="89"/>
      <w:bookmarkStart w:id="90" w:name="_Hlt26670425"/>
      <w:bookmarkEnd w:id="90"/>
      <w:bookmarkStart w:id="91" w:name="_Hlt26954846"/>
      <w:bookmarkEnd w:id="91"/>
      <w:bookmarkStart w:id="92" w:name="_Hlt26668983"/>
      <w:bookmarkEnd w:id="92"/>
      <w:bookmarkStart w:id="93" w:name="_Hlt26670486"/>
      <w:bookmarkEnd w:id="93"/>
      <w:r>
        <w:rPr>
          <w:rFonts w:hint="eastAsia" w:ascii="方正楷体_GBK" w:eastAsia="方正楷体_GBK" w:cs="方正楷体_GBK"/>
          <w:sz w:val="28"/>
          <w:szCs w:val="28"/>
        </w:rPr>
        <w:t>13.响应及偏离表</w:t>
      </w:r>
    </w:p>
    <w:p w14:paraId="05AE96CF">
      <w:pPr>
        <w:ind w:firstLine="420"/>
        <w:rPr>
          <w:rFonts w:ascii="宋体"/>
          <w:sz w:val="24"/>
          <w:lang w:val="zh-CN"/>
        </w:rPr>
      </w:pPr>
      <w:r>
        <w:rPr>
          <w:rFonts w:hint="eastAsia" w:ascii="宋体"/>
          <w:sz w:val="24"/>
          <w:lang w:val="zh-CN"/>
        </w:rPr>
        <w:t>13.1 投标人需对招标文件中的技术要求与商务要求逐项作出响应</w:t>
      </w:r>
      <w:r>
        <w:rPr>
          <w:rFonts w:hint="eastAsia" w:ascii="宋体"/>
          <w:sz w:val="24"/>
        </w:rPr>
        <w:t>或</w:t>
      </w:r>
      <w:r>
        <w:rPr>
          <w:rFonts w:hint="eastAsia" w:ascii="宋体"/>
          <w:sz w:val="24"/>
          <w:lang w:val="zh-CN"/>
        </w:rPr>
        <w:t>偏离说明。</w:t>
      </w:r>
    </w:p>
    <w:p w14:paraId="15DC39AD">
      <w:pPr>
        <w:ind w:firstLine="420"/>
        <w:rPr>
          <w:rFonts w:ascii="宋体"/>
          <w:sz w:val="24"/>
          <w:lang w:val="zh-CN"/>
        </w:rPr>
      </w:pPr>
      <w:r>
        <w:rPr>
          <w:rFonts w:hint="eastAsia" w:ascii="宋体"/>
          <w:sz w:val="24"/>
          <w:lang w:val="zh-CN"/>
        </w:rPr>
        <w:t>13.2 投标人可以在投标文件中提供认为需要的其他技术文件或说明。</w:t>
      </w:r>
    </w:p>
    <w:p w14:paraId="3C9D5759">
      <w:pPr>
        <w:pStyle w:val="357"/>
        <w:spacing w:before="0" w:after="0"/>
        <w:ind w:firstLine="422"/>
        <w:rPr>
          <w:rFonts w:ascii="方正楷体_GBK" w:eastAsia="方正楷体_GBK" w:cs="方正楷体_GBK"/>
          <w:sz w:val="28"/>
          <w:szCs w:val="28"/>
        </w:rPr>
      </w:pPr>
      <w:bookmarkStart w:id="94" w:name="_Toc14577359"/>
      <w:bookmarkStart w:id="95" w:name="_Toc49090510"/>
      <w:r>
        <w:rPr>
          <w:rFonts w:hint="eastAsia" w:ascii="方正楷体_GBK" w:eastAsia="方正楷体_GBK" w:cs="方正楷体_GBK"/>
          <w:sz w:val="28"/>
          <w:szCs w:val="28"/>
        </w:rPr>
        <w:t>14.投标函和开标一览表</w:t>
      </w:r>
    </w:p>
    <w:p w14:paraId="7B2CBF54">
      <w:pPr>
        <w:ind w:firstLine="420"/>
        <w:rPr>
          <w:rFonts w:ascii="宋体"/>
          <w:sz w:val="24"/>
          <w:lang w:val="zh-CN"/>
        </w:rPr>
      </w:pPr>
      <w:r>
        <w:rPr>
          <w:rFonts w:hint="eastAsia" w:ascii="宋体"/>
          <w:sz w:val="24"/>
          <w:lang w:val="zh-CN"/>
        </w:rPr>
        <w:t>14.1 投标人应按照招标文件规定格式完整、正确填报投标函、开标一览表。</w:t>
      </w:r>
    </w:p>
    <w:p w14:paraId="7EB4FD16">
      <w:pPr>
        <w:ind w:firstLine="420"/>
        <w:rPr>
          <w:rFonts w:ascii="宋体"/>
          <w:sz w:val="24"/>
          <w:lang w:val="zh-CN"/>
        </w:rPr>
      </w:pPr>
      <w:r>
        <w:rPr>
          <w:rFonts w:hint="eastAsia" w:ascii="宋体"/>
          <w:sz w:val="24"/>
          <w:lang w:val="zh-CN"/>
        </w:rPr>
        <w:t>14.2 对于采用货币报价的项目，开标一览表中的投标总报价应与</w:t>
      </w:r>
      <w:r>
        <w:rPr>
          <w:rFonts w:hint="eastAsia" w:ascii="宋体"/>
          <w:sz w:val="24"/>
        </w:rPr>
        <w:t>投标报价明细表</w:t>
      </w:r>
      <w:r>
        <w:rPr>
          <w:rFonts w:hint="eastAsia" w:ascii="宋体"/>
          <w:sz w:val="24"/>
          <w:lang w:val="zh-CN"/>
        </w:rPr>
        <w:t>中的投标总报价一致，如不一致评标时以开标一览表中价格为准。</w:t>
      </w:r>
      <w:bookmarkEnd w:id="94"/>
      <w:bookmarkEnd w:id="95"/>
    </w:p>
    <w:p w14:paraId="005E33B3">
      <w:pPr>
        <w:pStyle w:val="357"/>
        <w:spacing w:before="0" w:after="0"/>
        <w:ind w:firstLine="422"/>
        <w:rPr>
          <w:rFonts w:ascii="方正楷体_GBK" w:eastAsia="方正楷体_GBK" w:cs="方正楷体_GBK"/>
          <w:sz w:val="28"/>
          <w:szCs w:val="28"/>
        </w:rPr>
      </w:pPr>
      <w:bookmarkStart w:id="96" w:name="_Hlt26670489"/>
      <w:bookmarkEnd w:id="96"/>
      <w:bookmarkStart w:id="97" w:name="_Hlt26954850"/>
      <w:bookmarkEnd w:id="97"/>
      <w:bookmarkStart w:id="98" w:name="_Hlt26954734"/>
      <w:bookmarkEnd w:id="98"/>
      <w:bookmarkStart w:id="99" w:name="_Toc49090511"/>
      <w:bookmarkStart w:id="100" w:name="_Toc14577360"/>
      <w:r>
        <w:rPr>
          <w:rFonts w:hint="eastAsia" w:ascii="方正楷体_GBK" w:eastAsia="方正楷体_GBK" w:cs="方正楷体_GBK"/>
          <w:sz w:val="28"/>
          <w:szCs w:val="28"/>
        </w:rPr>
        <w:t>15.投标有效期</w:t>
      </w:r>
      <w:bookmarkEnd w:id="99"/>
      <w:bookmarkEnd w:id="100"/>
    </w:p>
    <w:p w14:paraId="38F21380">
      <w:pPr>
        <w:ind w:firstLine="420"/>
        <w:rPr>
          <w:rFonts w:ascii="宋体"/>
          <w:sz w:val="24"/>
          <w:lang w:val="zh-CN"/>
        </w:rPr>
      </w:pPr>
      <w:r>
        <w:rPr>
          <w:rFonts w:hint="eastAsia" w:ascii="宋体"/>
          <w:sz w:val="24"/>
          <w:lang w:val="zh-CN"/>
        </w:rPr>
        <w:t>15.1 投标有效期为招标公告规定的开标之日起六十天。投标有效期比规定短的将被视为未实质性响应招标文件而被拒绝。</w:t>
      </w:r>
    </w:p>
    <w:p w14:paraId="39E2D531">
      <w:pPr>
        <w:pStyle w:val="357"/>
        <w:spacing w:before="0" w:after="0"/>
        <w:ind w:firstLine="422"/>
        <w:rPr>
          <w:rFonts w:ascii="方正楷体_GBK" w:eastAsia="方正楷体_GBK" w:cs="方正楷体_GBK"/>
          <w:sz w:val="28"/>
          <w:szCs w:val="28"/>
        </w:rPr>
      </w:pPr>
      <w:r>
        <w:rPr>
          <w:rFonts w:hint="eastAsia" w:ascii="方正楷体_GBK" w:eastAsia="方正楷体_GBK" w:cs="方正楷体_GBK"/>
          <w:sz w:val="28"/>
          <w:szCs w:val="28"/>
        </w:rPr>
        <w:t>16.投标有效期的延长</w:t>
      </w:r>
    </w:p>
    <w:p w14:paraId="4E1989CC">
      <w:pPr>
        <w:ind w:firstLine="420"/>
        <w:rPr>
          <w:rFonts w:ascii="宋体"/>
          <w:sz w:val="24"/>
          <w:lang w:val="zh-CN"/>
        </w:rPr>
      </w:pPr>
      <w:r>
        <w:rPr>
          <w:rFonts w:hint="eastAsia" w:ascii="宋体"/>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sz w:val="24"/>
        </w:rPr>
        <w:t>满</w:t>
      </w:r>
      <w:r>
        <w:rPr>
          <w:rFonts w:hint="eastAsia" w:ascii="宋体"/>
          <w:sz w:val="24"/>
          <w:lang w:val="zh-CN"/>
        </w:rPr>
        <w:t>。</w:t>
      </w:r>
    </w:p>
    <w:p w14:paraId="44C83E83">
      <w:pPr>
        <w:pStyle w:val="355"/>
        <w:spacing w:before="120" w:after="120"/>
        <w:ind w:firstLine="465"/>
        <w:rPr>
          <w:rFonts w:ascii="方正黑体_GBK" w:eastAsia="方正黑体_GBK" w:cs="方正黑体_GBK"/>
        </w:rPr>
      </w:pPr>
      <w:bookmarkStart w:id="101" w:name="_Hlt26954739"/>
      <w:bookmarkEnd w:id="101"/>
      <w:bookmarkStart w:id="102" w:name="_Hlt26954852"/>
      <w:bookmarkEnd w:id="102"/>
      <w:bookmarkStart w:id="103" w:name="_Toc20823296"/>
      <w:bookmarkStart w:id="104" w:name="_Toc513029224"/>
      <w:bookmarkStart w:id="105" w:name="_Toc16938540"/>
      <w:bookmarkStart w:id="106" w:name="_Toc120614217"/>
      <w:bookmarkStart w:id="107" w:name="_Toc513029237"/>
      <w:bookmarkStart w:id="108" w:name="_Toc16938553"/>
      <w:bookmarkStart w:id="109" w:name="_Toc20823309"/>
      <w:r>
        <w:rPr>
          <w:rFonts w:hint="eastAsia" w:ascii="方正黑体_GBK" w:eastAsia="方正黑体_GBK" w:cs="方正黑体_GBK"/>
        </w:rPr>
        <w:t>四、投标文件的递交</w:t>
      </w:r>
      <w:bookmarkEnd w:id="103"/>
      <w:bookmarkEnd w:id="104"/>
      <w:bookmarkEnd w:id="105"/>
      <w:bookmarkEnd w:id="106"/>
    </w:p>
    <w:p w14:paraId="5112F48A">
      <w:pPr>
        <w:pStyle w:val="357"/>
        <w:spacing w:before="0" w:after="0"/>
        <w:ind w:firstLine="392"/>
        <w:rPr>
          <w:rFonts w:ascii="方正楷体_GBK" w:eastAsia="方正楷体_GBK" w:cs="方正楷体_GBK"/>
        </w:rPr>
      </w:pPr>
      <w:bookmarkStart w:id="110" w:name="_Toc513029225"/>
      <w:bookmarkStart w:id="111" w:name="_Toc20823297"/>
      <w:bookmarkStart w:id="112" w:name="_Toc462564084"/>
      <w:bookmarkStart w:id="113" w:name="_Toc16938541"/>
      <w:r>
        <w:rPr>
          <w:rFonts w:hint="eastAsia" w:ascii="方正楷体_GBK" w:eastAsia="方正楷体_GBK" w:cs="方正楷体_GBK"/>
        </w:rPr>
        <w:t>17.投标文件</w:t>
      </w:r>
      <w:bookmarkEnd w:id="110"/>
      <w:bookmarkEnd w:id="111"/>
      <w:bookmarkEnd w:id="112"/>
      <w:bookmarkEnd w:id="113"/>
      <w:r>
        <w:rPr>
          <w:rFonts w:hint="eastAsia" w:ascii="方正楷体_GBK" w:eastAsia="方正楷体_GBK" w:cs="方正楷体_GBK"/>
        </w:rPr>
        <w:t>的递交</w:t>
      </w:r>
    </w:p>
    <w:p w14:paraId="5F3C40E0">
      <w:pPr>
        <w:ind w:firstLine="420"/>
        <w:rPr>
          <w:rFonts w:ascii="宋体"/>
          <w:sz w:val="24"/>
          <w:lang w:val="zh-CN"/>
        </w:rPr>
      </w:pPr>
      <w:r>
        <w:rPr>
          <w:rFonts w:hint="eastAsia" w:ascii="宋体"/>
          <w:sz w:val="24"/>
          <w:lang w:val="zh-CN"/>
        </w:rPr>
        <w:t>17.1 投标人应当按照《操作手册》规定，在招标公告规定的投标截止时间前制作并上传电子投标文件。</w:t>
      </w:r>
      <w:bookmarkStart w:id="114" w:name="_Toc16938542"/>
      <w:bookmarkEnd w:id="114"/>
      <w:bookmarkStart w:id="115" w:name="_Toc513029226"/>
      <w:bookmarkEnd w:id="115"/>
      <w:bookmarkStart w:id="116" w:name="_Toc20823298"/>
      <w:bookmarkEnd w:id="116"/>
    </w:p>
    <w:p w14:paraId="2591BD0D">
      <w:pPr>
        <w:ind w:firstLine="420"/>
        <w:rPr>
          <w:rFonts w:ascii="宋体"/>
          <w:sz w:val="24"/>
          <w:lang w:val="zh-CN"/>
        </w:rPr>
      </w:pPr>
      <w:r>
        <w:rPr>
          <w:rFonts w:hint="eastAsia" w:ascii="宋体"/>
          <w:sz w:val="24"/>
          <w:lang w:val="zh-CN"/>
        </w:rPr>
        <w:t>1</w:t>
      </w:r>
      <w:r>
        <w:rPr>
          <w:rFonts w:hint="eastAsia" w:ascii="宋体"/>
          <w:sz w:val="24"/>
        </w:rPr>
        <w:t>7</w:t>
      </w:r>
      <w:r>
        <w:rPr>
          <w:rFonts w:hint="eastAsia" w:ascii="宋体"/>
          <w:sz w:val="24"/>
          <w:lang w:val="zh-CN"/>
        </w:rPr>
        <w:t>.</w:t>
      </w:r>
      <w:r>
        <w:rPr>
          <w:rFonts w:hint="eastAsia" w:ascii="宋体"/>
          <w:sz w:val="24"/>
        </w:rPr>
        <w:t>2</w:t>
      </w:r>
      <w:r>
        <w:rPr>
          <w:rFonts w:hint="eastAsia" w:ascii="宋体"/>
          <w:sz w:val="24"/>
          <w:lang w:val="zh-CN"/>
        </w:rPr>
        <w:t xml:space="preserve"> 投标人应充分考虑网络环境、网络带宽等因素</w:t>
      </w:r>
      <w:r>
        <w:rPr>
          <w:rFonts w:hint="eastAsia" w:ascii="宋体"/>
          <w:sz w:val="24"/>
        </w:rPr>
        <w:t>可能对投标产生的影响</w:t>
      </w:r>
      <w:r>
        <w:rPr>
          <w:rFonts w:hint="eastAsia" w:ascii="宋体"/>
          <w:sz w:val="24"/>
          <w:lang w:val="zh-CN"/>
        </w:rPr>
        <w:t>，如因投标人自身原因造成的电子投标文件上传不成功的，按照本招标文件第二章第2</w:t>
      </w:r>
      <w:r>
        <w:rPr>
          <w:rFonts w:hint="eastAsia" w:ascii="宋体"/>
          <w:sz w:val="24"/>
        </w:rPr>
        <w:t>5</w:t>
      </w:r>
      <w:r>
        <w:rPr>
          <w:rFonts w:hint="eastAsia" w:ascii="宋体"/>
          <w:sz w:val="24"/>
          <w:lang w:val="zh-CN"/>
        </w:rPr>
        <w:t>.1条规定做无效投标处理。</w:t>
      </w:r>
    </w:p>
    <w:p w14:paraId="630E4FDF">
      <w:pPr>
        <w:ind w:firstLine="420"/>
        <w:rPr>
          <w:rFonts w:ascii="宋体"/>
          <w:sz w:val="24"/>
          <w:lang w:val="zh-CN"/>
        </w:rPr>
      </w:pPr>
      <w:r>
        <w:rPr>
          <w:rFonts w:hint="eastAsia" w:ascii="宋体"/>
          <w:sz w:val="24"/>
          <w:lang w:val="zh-CN"/>
        </w:rPr>
        <w:t>1</w:t>
      </w:r>
      <w:r>
        <w:rPr>
          <w:rFonts w:hint="eastAsia" w:ascii="宋体"/>
          <w:sz w:val="24"/>
        </w:rPr>
        <w:t>7</w:t>
      </w:r>
      <w:r>
        <w:rPr>
          <w:rFonts w:hint="eastAsia" w:ascii="宋体"/>
          <w:sz w:val="24"/>
          <w:lang w:val="zh-CN"/>
        </w:rPr>
        <w:t>.</w:t>
      </w:r>
      <w:r>
        <w:rPr>
          <w:rFonts w:hint="eastAsia" w:ascii="宋体"/>
          <w:sz w:val="24"/>
        </w:rPr>
        <w:t>3</w:t>
      </w:r>
      <w:r>
        <w:rPr>
          <w:rFonts w:hint="eastAsia" w:ascii="宋体"/>
          <w:sz w:val="24"/>
          <w:lang w:val="zh-CN"/>
        </w:rPr>
        <w:t xml:space="preserve"> 交易中心可以按照规定，通过修改招标文件酌情延长投标截止时间，在此情况下，投标人的所有权利和义务均以延长后新的截止时间为准。</w:t>
      </w:r>
    </w:p>
    <w:p w14:paraId="371B0809">
      <w:pPr>
        <w:pStyle w:val="357"/>
        <w:spacing w:before="0" w:after="0"/>
        <w:ind w:firstLine="392"/>
        <w:rPr>
          <w:rFonts w:ascii="方正楷体_GBK" w:eastAsia="方正楷体_GBK" w:cs="方正楷体_GBK"/>
        </w:rPr>
      </w:pPr>
      <w:bookmarkStart w:id="117" w:name="_Toc513029227"/>
      <w:bookmarkStart w:id="118" w:name="_Toc16938543"/>
      <w:bookmarkStart w:id="119" w:name="_Toc20823299"/>
      <w:r>
        <w:rPr>
          <w:rFonts w:hint="eastAsia" w:ascii="方正楷体_GBK" w:eastAsia="方正楷体_GBK" w:cs="方正楷体_GBK"/>
        </w:rPr>
        <w:t>18.投标文件</w:t>
      </w:r>
      <w:bookmarkEnd w:id="117"/>
      <w:bookmarkEnd w:id="118"/>
      <w:bookmarkEnd w:id="119"/>
      <w:r>
        <w:rPr>
          <w:rFonts w:hint="eastAsia" w:ascii="方正楷体_GBK" w:eastAsia="方正楷体_GBK" w:cs="方正楷体_GBK"/>
        </w:rPr>
        <w:t>的拒收</w:t>
      </w:r>
    </w:p>
    <w:p w14:paraId="23101BEF">
      <w:pPr>
        <w:ind w:firstLine="420"/>
        <w:rPr>
          <w:rFonts w:ascii="宋体"/>
          <w:sz w:val="24"/>
          <w:lang w:val="zh-CN"/>
        </w:rPr>
      </w:pPr>
      <w:r>
        <w:rPr>
          <w:rFonts w:hint="eastAsia" w:ascii="宋体"/>
          <w:sz w:val="24"/>
          <w:lang w:val="zh-CN"/>
        </w:rPr>
        <w:t>1</w:t>
      </w:r>
      <w:r>
        <w:rPr>
          <w:rFonts w:hint="eastAsia" w:ascii="宋体"/>
          <w:sz w:val="24"/>
        </w:rPr>
        <w:t>8</w:t>
      </w:r>
      <w:r>
        <w:rPr>
          <w:rFonts w:hint="eastAsia" w:ascii="宋体"/>
          <w:sz w:val="24"/>
          <w:lang w:val="zh-CN"/>
        </w:rPr>
        <w:t>.1</w:t>
      </w:r>
      <w:r>
        <w:rPr>
          <w:rFonts w:hint="eastAsia" w:ascii="宋体"/>
          <w:sz w:val="24"/>
        </w:rPr>
        <w:t xml:space="preserve"> </w:t>
      </w:r>
      <w:r>
        <w:rPr>
          <w:rFonts w:hint="eastAsia" w:ascii="宋体"/>
          <w:sz w:val="24"/>
          <w:lang w:val="zh-CN"/>
        </w:rPr>
        <w:t>投标截止时间后上传的任何投标文件将被拒绝。</w:t>
      </w:r>
    </w:p>
    <w:p w14:paraId="3C0C716C">
      <w:pPr>
        <w:pStyle w:val="357"/>
        <w:spacing w:before="0" w:after="0"/>
        <w:ind w:firstLine="392"/>
        <w:rPr>
          <w:rFonts w:ascii="方正楷体_GBK" w:eastAsia="方正楷体_GBK" w:cs="方正楷体_GBK"/>
        </w:rPr>
      </w:pPr>
      <w:bookmarkStart w:id="120" w:name="_Toc513029228"/>
      <w:bookmarkStart w:id="121" w:name="_Toc20823300"/>
      <w:bookmarkStart w:id="122" w:name="_Toc16938544"/>
      <w:r>
        <w:rPr>
          <w:rFonts w:hint="eastAsia" w:ascii="方正楷体_GBK" w:eastAsia="方正楷体_GBK" w:cs="方正楷体_GBK"/>
        </w:rPr>
        <w:t>19.投标文件的撤回和修改</w:t>
      </w:r>
      <w:bookmarkEnd w:id="120"/>
      <w:bookmarkEnd w:id="121"/>
      <w:bookmarkEnd w:id="122"/>
    </w:p>
    <w:p w14:paraId="44680EA8">
      <w:pPr>
        <w:ind w:firstLine="420"/>
        <w:rPr>
          <w:rFonts w:ascii="宋体"/>
          <w:sz w:val="24"/>
          <w:lang w:val="zh-CN"/>
        </w:rPr>
      </w:pPr>
      <w:r>
        <w:rPr>
          <w:rFonts w:hint="eastAsia" w:ascii="宋体"/>
          <w:sz w:val="24"/>
        </w:rPr>
        <w:t>19</w:t>
      </w:r>
      <w:r>
        <w:rPr>
          <w:rFonts w:hint="eastAsia" w:ascii="宋体"/>
          <w:sz w:val="24"/>
          <w:lang w:val="zh-CN"/>
        </w:rPr>
        <w:t>.1 投标文件的撤回</w:t>
      </w:r>
    </w:p>
    <w:p w14:paraId="67071560">
      <w:pPr>
        <w:ind w:firstLine="420"/>
        <w:rPr>
          <w:rFonts w:ascii="宋体"/>
          <w:sz w:val="24"/>
          <w:lang w:val="zh-CN"/>
        </w:rPr>
      </w:pPr>
      <w:r>
        <w:rPr>
          <w:rFonts w:hint="eastAsia" w:ascii="宋体"/>
          <w:sz w:val="24"/>
        </w:rPr>
        <w:t>19</w:t>
      </w:r>
      <w:r>
        <w:rPr>
          <w:rFonts w:hint="eastAsia" w:ascii="宋体"/>
          <w:sz w:val="24"/>
          <w:lang w:val="zh-CN"/>
        </w:rPr>
        <w:t>.1.1</w:t>
      </w:r>
      <w:r>
        <w:rPr>
          <w:rFonts w:hint="eastAsia" w:ascii="宋体"/>
          <w:sz w:val="24"/>
        </w:rPr>
        <w:t xml:space="preserve"> </w:t>
      </w:r>
      <w:r>
        <w:rPr>
          <w:rFonts w:hint="eastAsia" w:ascii="宋体"/>
          <w:sz w:val="24"/>
          <w:lang w:val="zh-CN"/>
        </w:rPr>
        <w:t>投标人可在投标截止时间前撤回其电子投标文件，具体操作方法见《操作手册》。</w:t>
      </w:r>
    </w:p>
    <w:p w14:paraId="15CBF59E">
      <w:pPr>
        <w:ind w:firstLine="420"/>
        <w:rPr>
          <w:rFonts w:ascii="宋体"/>
          <w:sz w:val="24"/>
          <w:lang w:val="zh-CN"/>
        </w:rPr>
      </w:pPr>
      <w:r>
        <w:rPr>
          <w:rFonts w:hint="eastAsia" w:ascii="宋体"/>
          <w:sz w:val="24"/>
        </w:rPr>
        <w:t>19</w:t>
      </w:r>
      <w:r>
        <w:rPr>
          <w:rFonts w:hint="eastAsia" w:ascii="宋体"/>
          <w:sz w:val="24"/>
          <w:lang w:val="zh-CN"/>
        </w:rPr>
        <w:t>.1.2</w:t>
      </w:r>
      <w:r>
        <w:rPr>
          <w:rFonts w:hint="eastAsia" w:ascii="宋体"/>
          <w:sz w:val="24"/>
        </w:rPr>
        <w:t xml:space="preserve"> </w:t>
      </w:r>
      <w:r>
        <w:rPr>
          <w:rFonts w:hint="eastAsia" w:ascii="宋体"/>
          <w:sz w:val="24"/>
          <w:lang w:val="zh-CN"/>
        </w:rPr>
        <w:t>投标人撤回电子投标文件，则认为其不再参与本项目投标活动。</w:t>
      </w:r>
    </w:p>
    <w:p w14:paraId="4C9A7DE6">
      <w:pPr>
        <w:ind w:firstLine="420"/>
        <w:rPr>
          <w:rFonts w:ascii="宋体"/>
          <w:sz w:val="24"/>
          <w:lang w:val="zh-CN"/>
        </w:rPr>
      </w:pPr>
      <w:r>
        <w:rPr>
          <w:rFonts w:hint="eastAsia" w:ascii="宋体"/>
          <w:sz w:val="24"/>
        </w:rPr>
        <w:t>19</w:t>
      </w:r>
      <w:r>
        <w:rPr>
          <w:rFonts w:hint="eastAsia" w:ascii="宋体"/>
          <w:sz w:val="24"/>
          <w:lang w:val="zh-CN"/>
        </w:rPr>
        <w:t>.2 投标文件的修改</w:t>
      </w:r>
    </w:p>
    <w:p w14:paraId="5DDCAFAD">
      <w:pPr>
        <w:ind w:firstLine="420"/>
        <w:rPr>
          <w:rFonts w:ascii="宋体"/>
          <w:sz w:val="24"/>
          <w:lang w:val="zh-CN"/>
        </w:rPr>
      </w:pPr>
      <w:r>
        <w:rPr>
          <w:rFonts w:hint="eastAsia" w:ascii="宋体"/>
          <w:sz w:val="24"/>
        </w:rPr>
        <w:t>19</w:t>
      </w:r>
      <w:r>
        <w:rPr>
          <w:rFonts w:hint="eastAsia" w:ascii="宋体"/>
          <w:sz w:val="24"/>
          <w:lang w:val="zh-CN"/>
        </w:rPr>
        <w:t>.2.1</w:t>
      </w:r>
      <w:r>
        <w:rPr>
          <w:rFonts w:hint="eastAsia" w:ascii="宋体"/>
          <w:sz w:val="24"/>
        </w:rPr>
        <w:t xml:space="preserve"> </w:t>
      </w:r>
      <w:r>
        <w:rPr>
          <w:rFonts w:hint="eastAsia" w:ascii="宋体"/>
          <w:sz w:val="24"/>
          <w:lang w:val="zh-CN"/>
        </w:rPr>
        <w:t>投标人可在投标截止时间前对其电子投标文件进行修改，具体操作方法见《操作手册》。</w:t>
      </w:r>
    </w:p>
    <w:p w14:paraId="764C78DB">
      <w:pPr>
        <w:ind w:firstLine="420"/>
        <w:rPr>
          <w:rFonts w:ascii="宋体"/>
          <w:sz w:val="24"/>
          <w:lang w:val="zh-CN"/>
        </w:rPr>
      </w:pPr>
      <w:r>
        <w:rPr>
          <w:rFonts w:hint="eastAsia" w:ascii="宋体"/>
          <w:sz w:val="24"/>
        </w:rPr>
        <w:t>19</w:t>
      </w:r>
      <w:r>
        <w:rPr>
          <w:rFonts w:hint="eastAsia" w:ascii="宋体"/>
          <w:sz w:val="24"/>
          <w:lang w:val="zh-CN"/>
        </w:rPr>
        <w:t>.2.2</w:t>
      </w:r>
      <w:r>
        <w:rPr>
          <w:rFonts w:hint="eastAsia" w:ascii="宋体"/>
          <w:sz w:val="24"/>
        </w:rPr>
        <w:t xml:space="preserve"> </w:t>
      </w:r>
      <w:r>
        <w:rPr>
          <w:rFonts w:hint="eastAsia" w:ascii="宋体"/>
          <w:sz w:val="24"/>
          <w:lang w:val="zh-CN"/>
        </w:rPr>
        <w:t>投标截止时间之后，投标人不得对其电子投标文件作任何修改。</w:t>
      </w:r>
    </w:p>
    <w:p w14:paraId="6EC550CF">
      <w:pPr>
        <w:ind w:firstLine="420"/>
        <w:rPr>
          <w:rFonts w:ascii="宋体"/>
          <w:sz w:val="24"/>
          <w:lang w:val="zh-CN"/>
        </w:rPr>
      </w:pPr>
      <w:r>
        <w:rPr>
          <w:rFonts w:hint="eastAsia" w:ascii="宋体"/>
          <w:sz w:val="24"/>
        </w:rPr>
        <w:t>19</w:t>
      </w:r>
      <w:r>
        <w:rPr>
          <w:rFonts w:hint="eastAsia" w:ascii="宋体"/>
          <w:sz w:val="24"/>
          <w:lang w:val="zh-CN"/>
        </w:rPr>
        <w:t>.3 在投标截止时间至招标文件中规定的投标有效期满之间的这段时间内，投标人不得撤回其投标。</w:t>
      </w:r>
      <w:bookmarkStart w:id="123" w:name="_Toc16938545"/>
      <w:bookmarkStart w:id="124" w:name="_Toc513029229"/>
      <w:bookmarkStart w:id="125" w:name="_Toc20823301"/>
      <w:bookmarkStart w:id="126" w:name="_Toc120614218"/>
    </w:p>
    <w:p w14:paraId="22B9FABB">
      <w:pPr>
        <w:pStyle w:val="355"/>
        <w:spacing w:before="120" w:after="120"/>
        <w:ind w:firstLine="465"/>
        <w:rPr>
          <w:rFonts w:ascii="方正黑体_GBK" w:eastAsia="方正黑体_GBK" w:cs="方正黑体_GBK"/>
        </w:rPr>
      </w:pPr>
      <w:r>
        <w:rPr>
          <w:rFonts w:hint="eastAsia" w:ascii="方正黑体_GBK" w:eastAsia="方正黑体_GBK" w:cs="方正黑体_GBK"/>
        </w:rPr>
        <w:t>五、开标与评标</w:t>
      </w:r>
      <w:bookmarkEnd w:id="123"/>
      <w:bookmarkEnd w:id="124"/>
      <w:bookmarkEnd w:id="125"/>
      <w:bookmarkEnd w:id="126"/>
    </w:p>
    <w:p w14:paraId="53D49034">
      <w:pPr>
        <w:pStyle w:val="357"/>
        <w:spacing w:before="0" w:after="0"/>
        <w:ind w:firstLine="392"/>
        <w:rPr>
          <w:rFonts w:ascii="方正楷体_GBK" w:eastAsia="方正楷体_GBK" w:cs="方正楷体_GBK"/>
        </w:rPr>
      </w:pPr>
      <w:bookmarkStart w:id="127" w:name="_Toc20823302"/>
      <w:bookmarkStart w:id="128" w:name="_Toc513029230"/>
      <w:bookmarkStart w:id="129" w:name="_Toc16938546"/>
      <w:r>
        <w:rPr>
          <w:rFonts w:hint="eastAsia" w:ascii="方正楷体_GBK" w:eastAsia="方正楷体_GBK" w:cs="方正楷体_GBK"/>
        </w:rPr>
        <w:t>20.开标</w:t>
      </w:r>
      <w:bookmarkEnd w:id="127"/>
      <w:bookmarkEnd w:id="128"/>
      <w:bookmarkEnd w:id="129"/>
    </w:p>
    <w:p w14:paraId="1CAD048B">
      <w:pPr>
        <w:ind w:firstLine="420"/>
        <w:rPr>
          <w:rFonts w:ascii="宋体"/>
          <w:sz w:val="24"/>
          <w:lang w:val="zh-CN"/>
        </w:rPr>
      </w:pPr>
      <w:r>
        <w:rPr>
          <w:rFonts w:hint="eastAsia" w:ascii="宋体"/>
          <w:sz w:val="24"/>
          <w:lang w:val="zh-CN"/>
        </w:rPr>
        <w:t>2</w:t>
      </w:r>
      <w:r>
        <w:rPr>
          <w:rFonts w:hint="eastAsia" w:ascii="宋体"/>
          <w:sz w:val="24"/>
        </w:rPr>
        <w:t>0</w:t>
      </w:r>
      <w:r>
        <w:rPr>
          <w:rFonts w:hint="eastAsia" w:ascii="宋体"/>
          <w:sz w:val="24"/>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34940052">
      <w:pPr>
        <w:ind w:firstLine="420"/>
        <w:rPr>
          <w:rFonts w:ascii="宋体"/>
          <w:sz w:val="24"/>
          <w:lang w:val="zh-CN"/>
        </w:rPr>
      </w:pPr>
      <w:r>
        <w:rPr>
          <w:rFonts w:hint="eastAsia" w:ascii="宋体"/>
          <w:sz w:val="24"/>
          <w:lang w:val="zh-CN"/>
        </w:rPr>
        <w:t>2</w:t>
      </w:r>
      <w:r>
        <w:rPr>
          <w:rFonts w:hint="eastAsia" w:ascii="宋体"/>
          <w:sz w:val="24"/>
        </w:rPr>
        <w:t>0</w:t>
      </w:r>
      <w:r>
        <w:rPr>
          <w:rFonts w:hint="eastAsia" w:ascii="宋体"/>
          <w:sz w:val="24"/>
          <w:lang w:val="zh-CN"/>
        </w:rPr>
        <w:t>.</w:t>
      </w:r>
      <w:r>
        <w:rPr>
          <w:rFonts w:hint="eastAsia" w:ascii="宋体"/>
          <w:sz w:val="24"/>
        </w:rPr>
        <w:t xml:space="preserve">2 </w:t>
      </w:r>
      <w:r>
        <w:rPr>
          <w:rFonts w:hint="eastAsia" w:ascii="宋体"/>
          <w:sz w:val="24"/>
          <w:lang w:val="zh-CN"/>
        </w:rPr>
        <w:t>投标人在开标过程中涉及到的投标文件解密、开标结果确认等工作，应按照《操作手册》规定执行。</w:t>
      </w:r>
    </w:p>
    <w:p w14:paraId="2CDD09A1">
      <w:pPr>
        <w:ind w:firstLine="420"/>
        <w:rPr>
          <w:rFonts w:ascii="宋体"/>
          <w:sz w:val="24"/>
          <w:lang w:val="zh-CN"/>
        </w:rPr>
      </w:pPr>
      <w:r>
        <w:rPr>
          <w:rFonts w:hint="eastAsia" w:ascii="宋体"/>
          <w:sz w:val="24"/>
          <w:lang w:val="zh-CN"/>
        </w:rPr>
        <w:t>2</w:t>
      </w:r>
      <w:r>
        <w:rPr>
          <w:rFonts w:hint="eastAsia" w:ascii="宋体"/>
          <w:sz w:val="24"/>
        </w:rPr>
        <w:t>0</w:t>
      </w:r>
      <w:r>
        <w:rPr>
          <w:rFonts w:hint="eastAsia" w:ascii="宋体"/>
          <w:sz w:val="24"/>
          <w:lang w:val="zh-CN"/>
        </w:rPr>
        <w:t>.</w:t>
      </w:r>
      <w:r>
        <w:rPr>
          <w:rFonts w:hint="eastAsia" w:ascii="宋体"/>
          <w:sz w:val="24"/>
        </w:rPr>
        <w:t xml:space="preserve">3 </w:t>
      </w:r>
      <w:r>
        <w:rPr>
          <w:rFonts w:hint="eastAsia" w:ascii="宋体"/>
          <w:sz w:val="24"/>
          <w:lang w:val="zh-CN"/>
        </w:rPr>
        <w:t>投标人如果对开标过程和开标结果有疑义，应当根据《操作手册》规定提出，苏采云系统中《开标记录表》公布后5分钟内未提出的，视同认可开标结果。</w:t>
      </w:r>
    </w:p>
    <w:p w14:paraId="36C73609">
      <w:pPr>
        <w:pStyle w:val="357"/>
        <w:spacing w:before="0" w:after="0"/>
        <w:ind w:firstLine="392"/>
        <w:rPr>
          <w:rFonts w:ascii="方正楷体_GBK" w:eastAsia="方正楷体_GBK" w:cs="方正楷体_GBK"/>
        </w:rPr>
      </w:pPr>
      <w:bookmarkStart w:id="130" w:name="_Toc16938547"/>
      <w:bookmarkStart w:id="131" w:name="_Toc20823303"/>
      <w:bookmarkStart w:id="132" w:name="_Toc513029231"/>
      <w:r>
        <w:rPr>
          <w:rFonts w:hint="eastAsia" w:ascii="方正楷体_GBK" w:eastAsia="方正楷体_GBK" w:cs="方正楷体_GBK"/>
        </w:rPr>
        <w:t>21.评标</w:t>
      </w:r>
    </w:p>
    <w:p w14:paraId="1370DB3A">
      <w:pPr>
        <w:ind w:firstLine="420"/>
        <w:rPr>
          <w:rFonts w:ascii="宋体"/>
          <w:sz w:val="24"/>
          <w:lang w:val="zh-CN"/>
        </w:rPr>
      </w:pPr>
      <w:r>
        <w:rPr>
          <w:rFonts w:hint="eastAsia" w:ascii="宋体"/>
          <w:sz w:val="24"/>
          <w:lang w:val="zh-CN"/>
        </w:rPr>
        <w:t>2</w:t>
      </w:r>
      <w:r>
        <w:rPr>
          <w:rFonts w:hint="eastAsia" w:ascii="宋体"/>
          <w:sz w:val="24"/>
        </w:rPr>
        <w:t>1</w:t>
      </w:r>
      <w:r>
        <w:rPr>
          <w:rFonts w:hint="eastAsia" w:ascii="宋体"/>
          <w:sz w:val="24"/>
          <w:lang w:val="zh-CN"/>
        </w:rPr>
        <w:t xml:space="preserve">.1 </w:t>
      </w:r>
      <w:r>
        <w:rPr>
          <w:rFonts w:hint="eastAsia" w:ascii="宋体"/>
          <w:sz w:val="24"/>
        </w:rPr>
        <w:t>评标由</w:t>
      </w:r>
      <w:r>
        <w:rPr>
          <w:rFonts w:hint="eastAsia" w:ascii="宋体"/>
          <w:sz w:val="24"/>
          <w:lang w:val="zh-CN"/>
        </w:rPr>
        <w:t>依法组建的评标委员会（以下简称“评委会”）进行。</w:t>
      </w:r>
    </w:p>
    <w:p w14:paraId="6B96FF62">
      <w:pPr>
        <w:ind w:firstLine="420"/>
        <w:rPr>
          <w:rFonts w:ascii="宋体"/>
          <w:sz w:val="24"/>
          <w:lang w:val="zh-CN"/>
        </w:rPr>
      </w:pPr>
      <w:r>
        <w:rPr>
          <w:rFonts w:hint="eastAsia" w:ascii="宋体"/>
          <w:sz w:val="24"/>
          <w:lang w:val="zh-CN"/>
        </w:rPr>
        <w:t>2</w:t>
      </w:r>
      <w:r>
        <w:rPr>
          <w:rFonts w:hint="eastAsia" w:ascii="宋体"/>
          <w:sz w:val="24"/>
        </w:rPr>
        <w:t>1</w:t>
      </w:r>
      <w:r>
        <w:rPr>
          <w:rFonts w:hint="eastAsia" w:ascii="宋体"/>
          <w:sz w:val="24"/>
          <w:lang w:val="zh-CN"/>
        </w:rPr>
        <w:t>.2 评委会由采购人代表和有关技术、经济或法律等方面的专家组成，且人员构成符合政府采购有关规定。</w:t>
      </w:r>
    </w:p>
    <w:p w14:paraId="1AD03F1A">
      <w:pPr>
        <w:ind w:firstLine="420"/>
        <w:rPr>
          <w:rFonts w:ascii="宋体"/>
          <w:sz w:val="24"/>
          <w:lang w:val="zh-CN"/>
        </w:rPr>
      </w:pPr>
      <w:r>
        <w:rPr>
          <w:rFonts w:hint="eastAsia" w:ascii="宋体"/>
          <w:sz w:val="24"/>
          <w:lang w:val="zh-CN"/>
        </w:rPr>
        <w:t>2</w:t>
      </w:r>
      <w:r>
        <w:rPr>
          <w:rFonts w:hint="eastAsia" w:ascii="宋体"/>
          <w:sz w:val="24"/>
        </w:rPr>
        <w:t>1</w:t>
      </w:r>
      <w:r>
        <w:rPr>
          <w:rFonts w:hint="eastAsia" w:ascii="宋体"/>
          <w:sz w:val="24"/>
          <w:lang w:val="zh-CN"/>
        </w:rPr>
        <w:t>.3</w:t>
      </w:r>
      <w:r>
        <w:rPr>
          <w:rFonts w:hint="eastAsia" w:ascii="宋体"/>
          <w:sz w:val="24"/>
        </w:rPr>
        <w:t xml:space="preserve"> </w:t>
      </w:r>
      <w:r>
        <w:rPr>
          <w:rFonts w:hint="eastAsia" w:ascii="宋体"/>
          <w:sz w:val="24"/>
          <w:lang w:val="zh-CN"/>
        </w:rPr>
        <w:t>评委会独立工作，负责评审所有投标文件并</w:t>
      </w:r>
      <w:r>
        <w:rPr>
          <w:rFonts w:hint="eastAsia" w:ascii="宋体"/>
          <w:sz w:val="24"/>
        </w:rPr>
        <w:t>推荐</w:t>
      </w:r>
      <w:r>
        <w:rPr>
          <w:rFonts w:hint="eastAsia" w:ascii="宋体"/>
          <w:sz w:val="24"/>
          <w:lang w:val="zh-CN"/>
        </w:rPr>
        <w:t>中标候选人，</w:t>
      </w:r>
      <w:r>
        <w:rPr>
          <w:rFonts w:hint="eastAsia" w:ascii="宋体"/>
          <w:sz w:val="24"/>
        </w:rPr>
        <w:t>或根据采购人授权直接确定中标人</w:t>
      </w:r>
      <w:r>
        <w:rPr>
          <w:rFonts w:hint="eastAsia" w:ascii="宋体"/>
          <w:sz w:val="24"/>
          <w:lang w:val="zh-CN"/>
        </w:rPr>
        <w:t>。</w:t>
      </w:r>
    </w:p>
    <w:p w14:paraId="42117C85">
      <w:pPr>
        <w:pStyle w:val="357"/>
        <w:spacing w:before="0" w:after="0"/>
        <w:ind w:firstLine="392"/>
        <w:rPr>
          <w:rFonts w:ascii="方正楷体_GBK" w:eastAsia="方正楷体_GBK" w:cs="方正楷体_GBK"/>
        </w:rPr>
      </w:pPr>
      <w:r>
        <w:rPr>
          <w:rFonts w:hint="eastAsia" w:ascii="方正楷体_GBK" w:eastAsia="方正楷体_GBK" w:cs="方正楷体_GBK"/>
        </w:rPr>
        <w:t>22.评标过程的保密与公正</w:t>
      </w:r>
      <w:bookmarkEnd w:id="130"/>
      <w:bookmarkEnd w:id="131"/>
      <w:bookmarkEnd w:id="132"/>
    </w:p>
    <w:p w14:paraId="33E2DD5F">
      <w:pPr>
        <w:ind w:firstLine="420"/>
        <w:rPr>
          <w:rFonts w:ascii="宋体"/>
          <w:sz w:val="24"/>
          <w:lang w:val="zh-CN"/>
        </w:rPr>
      </w:pPr>
      <w:r>
        <w:rPr>
          <w:rFonts w:hint="eastAsia" w:ascii="宋体"/>
          <w:sz w:val="24"/>
          <w:lang w:val="zh-CN"/>
        </w:rPr>
        <w:t>2</w:t>
      </w:r>
      <w:r>
        <w:rPr>
          <w:rFonts w:hint="eastAsia" w:ascii="宋体"/>
          <w:sz w:val="24"/>
        </w:rPr>
        <w:t>2</w:t>
      </w:r>
      <w:r>
        <w:rPr>
          <w:rFonts w:hint="eastAsia" w:ascii="宋体"/>
          <w:sz w:val="24"/>
          <w:lang w:val="zh-CN"/>
        </w:rPr>
        <w:t>.1</w:t>
      </w:r>
      <w:r>
        <w:rPr>
          <w:rFonts w:hint="eastAsia" w:ascii="宋体"/>
          <w:sz w:val="24"/>
        </w:rPr>
        <w:t xml:space="preserve"> </w:t>
      </w:r>
      <w:r>
        <w:rPr>
          <w:rFonts w:hint="eastAsia" w:ascii="宋体"/>
          <w:sz w:val="24"/>
          <w:lang w:val="zh-CN"/>
        </w:rPr>
        <w:t>凡是与审查、澄清、评价和比较投标的有关资料以及授标建议等，采购人、评委、交易中心均不得向投标人或与评标无关的其他人员透露。</w:t>
      </w:r>
    </w:p>
    <w:p w14:paraId="2153644C">
      <w:pPr>
        <w:ind w:firstLine="420"/>
        <w:rPr>
          <w:rFonts w:ascii="宋体"/>
          <w:sz w:val="24"/>
          <w:lang w:val="zh-CN"/>
        </w:rPr>
      </w:pPr>
      <w:r>
        <w:rPr>
          <w:rFonts w:hint="eastAsia" w:ascii="宋体"/>
          <w:sz w:val="24"/>
          <w:lang w:val="zh-CN"/>
        </w:rPr>
        <w:t>2</w:t>
      </w:r>
      <w:r>
        <w:rPr>
          <w:rFonts w:hint="eastAsia" w:ascii="宋体"/>
          <w:sz w:val="24"/>
        </w:rPr>
        <w:t>2</w:t>
      </w:r>
      <w:r>
        <w:rPr>
          <w:rFonts w:hint="eastAsia" w:ascii="宋体"/>
          <w:sz w:val="24"/>
          <w:lang w:val="zh-CN"/>
        </w:rPr>
        <w:t>.2</w:t>
      </w:r>
      <w:r>
        <w:rPr>
          <w:rFonts w:hint="eastAsia" w:ascii="宋体"/>
          <w:sz w:val="24"/>
        </w:rPr>
        <w:t xml:space="preserve"> </w:t>
      </w:r>
      <w:r>
        <w:rPr>
          <w:rFonts w:hint="eastAsia" w:ascii="宋体"/>
          <w:sz w:val="24"/>
          <w:lang w:val="zh-CN"/>
        </w:rPr>
        <w:t>投标人不得以任何方式影响评标，否则其投标文件将被作为无效投标文件。</w:t>
      </w:r>
    </w:p>
    <w:p w14:paraId="173B88D6">
      <w:pPr>
        <w:ind w:firstLine="420"/>
        <w:rPr>
          <w:rFonts w:ascii="宋体"/>
          <w:sz w:val="24"/>
          <w:lang w:val="zh-CN"/>
        </w:rPr>
      </w:pPr>
      <w:r>
        <w:rPr>
          <w:rFonts w:hint="eastAsia" w:ascii="宋体"/>
          <w:sz w:val="24"/>
          <w:lang w:val="zh-CN"/>
        </w:rPr>
        <w:t>2</w:t>
      </w:r>
      <w:r>
        <w:rPr>
          <w:rFonts w:hint="eastAsia" w:ascii="宋体"/>
          <w:sz w:val="24"/>
        </w:rPr>
        <w:t>2</w:t>
      </w:r>
      <w:r>
        <w:rPr>
          <w:rFonts w:hint="eastAsia" w:ascii="宋体"/>
          <w:sz w:val="24"/>
          <w:lang w:val="zh-CN"/>
        </w:rPr>
        <w:t>.3 交易中心和评委会不向未中标的投标人解释未中标原因，也不公布评标过程中的相关细节。</w:t>
      </w:r>
    </w:p>
    <w:p w14:paraId="61FD2952">
      <w:pPr>
        <w:ind w:firstLine="420"/>
        <w:rPr>
          <w:rFonts w:ascii="宋体"/>
          <w:sz w:val="24"/>
          <w:lang w:val="zh-CN"/>
        </w:rPr>
      </w:pPr>
      <w:r>
        <w:rPr>
          <w:rFonts w:hint="eastAsia" w:ascii="宋体"/>
          <w:sz w:val="24"/>
          <w:lang w:val="zh-CN"/>
        </w:rPr>
        <w:t>2</w:t>
      </w:r>
      <w:r>
        <w:rPr>
          <w:rFonts w:hint="eastAsia" w:ascii="宋体"/>
          <w:sz w:val="24"/>
        </w:rPr>
        <w:t>2</w:t>
      </w:r>
      <w:r>
        <w:rPr>
          <w:rFonts w:hint="eastAsia" w:ascii="宋体"/>
          <w:sz w:val="24"/>
          <w:lang w:val="zh-CN"/>
        </w:rPr>
        <w:t>.4 采用综合评分法的项目，未中标的投标人可于中标结果公告期限届满之日起通过苏采云系统查看本单位的评审得分及排名情况。</w:t>
      </w:r>
    </w:p>
    <w:p w14:paraId="482715BE">
      <w:pPr>
        <w:pStyle w:val="357"/>
        <w:spacing w:before="0" w:after="0"/>
        <w:ind w:firstLine="392"/>
        <w:rPr>
          <w:rFonts w:ascii="方正楷体_GBK" w:eastAsia="方正楷体_GBK" w:cs="方正楷体_GBK"/>
        </w:rPr>
      </w:pPr>
      <w:bookmarkStart w:id="133" w:name="_Toc16938548"/>
      <w:bookmarkStart w:id="134" w:name="_Toc20823304"/>
      <w:bookmarkStart w:id="135" w:name="_Toc513029232"/>
      <w:r>
        <w:rPr>
          <w:rFonts w:hint="eastAsia" w:ascii="方正楷体_GBK" w:eastAsia="方正楷体_GBK" w:cs="方正楷体_GBK"/>
        </w:rPr>
        <w:t>23.投标文件的澄清</w:t>
      </w:r>
      <w:bookmarkEnd w:id="133"/>
      <w:bookmarkEnd w:id="134"/>
      <w:bookmarkEnd w:id="135"/>
    </w:p>
    <w:p w14:paraId="1E79E388">
      <w:pPr>
        <w:ind w:firstLine="420"/>
        <w:rPr>
          <w:rFonts w:ascii="宋体"/>
          <w:sz w:val="24"/>
          <w:lang w:val="zh-CN"/>
        </w:rPr>
      </w:pPr>
      <w:r>
        <w:rPr>
          <w:rFonts w:hint="eastAsia" w:ascii="宋体"/>
          <w:sz w:val="24"/>
          <w:lang w:val="zh-CN"/>
        </w:rPr>
        <w:t>2</w:t>
      </w:r>
      <w:r>
        <w:rPr>
          <w:rFonts w:hint="eastAsia" w:ascii="宋体"/>
          <w:sz w:val="24"/>
        </w:rPr>
        <w:t>3</w:t>
      </w:r>
      <w:r>
        <w:rPr>
          <w:rFonts w:hint="eastAsia" w:ascii="宋体"/>
          <w:sz w:val="24"/>
          <w:lang w:val="zh-CN"/>
        </w:rPr>
        <w:t>.1</w:t>
      </w:r>
      <w:r>
        <w:rPr>
          <w:rFonts w:hint="eastAsia" w:ascii="宋体"/>
          <w:sz w:val="24"/>
        </w:rPr>
        <w:t xml:space="preserve"> </w:t>
      </w:r>
      <w:r>
        <w:rPr>
          <w:rFonts w:hint="eastAsia" w:ascii="宋体"/>
          <w:sz w:val="24"/>
          <w:lang w:val="zh-CN"/>
        </w:rPr>
        <w:t>评标期间，评委会对投标文件中含义不明确、同类问题表述不一致或者有明显文字和计算错误的内容，有权要求投标人作出必要的澄清、说明或者补正。</w:t>
      </w:r>
    </w:p>
    <w:p w14:paraId="451A9326">
      <w:pPr>
        <w:ind w:firstLine="420"/>
        <w:rPr>
          <w:rFonts w:ascii="宋体"/>
          <w:sz w:val="24"/>
          <w:lang w:val="zh-CN"/>
        </w:rPr>
      </w:pPr>
      <w:r>
        <w:rPr>
          <w:rFonts w:hint="eastAsia" w:ascii="宋体"/>
          <w:sz w:val="24"/>
          <w:lang w:val="zh-CN"/>
        </w:rPr>
        <w:t>投标人的澄清、说明或者补正不得超出投标文件的范围或者改变投标文件的实质性内容。</w:t>
      </w:r>
    </w:p>
    <w:p w14:paraId="278C023B">
      <w:pPr>
        <w:ind w:firstLine="420"/>
        <w:rPr>
          <w:rFonts w:ascii="宋体"/>
          <w:sz w:val="24"/>
          <w:lang w:val="zh-CN"/>
        </w:rPr>
      </w:pPr>
      <w:r>
        <w:rPr>
          <w:rFonts w:hint="eastAsia" w:ascii="宋体"/>
          <w:sz w:val="24"/>
          <w:lang w:val="zh-CN"/>
        </w:rPr>
        <w:t>评委会并非对每个投标人都做澄清要求。</w:t>
      </w:r>
    </w:p>
    <w:p w14:paraId="413E5AB7">
      <w:pPr>
        <w:ind w:firstLine="420"/>
        <w:rPr>
          <w:rFonts w:ascii="宋体"/>
          <w:sz w:val="24"/>
          <w:lang w:val="zh-CN"/>
        </w:rPr>
      </w:pPr>
      <w:r>
        <w:rPr>
          <w:rFonts w:hint="eastAsia" w:ascii="宋体"/>
          <w:sz w:val="24"/>
          <w:lang w:val="zh-CN"/>
        </w:rPr>
        <w:t>2</w:t>
      </w:r>
      <w:r>
        <w:rPr>
          <w:rFonts w:hint="eastAsia" w:ascii="宋体"/>
          <w:sz w:val="24"/>
        </w:rPr>
        <w:t>3</w:t>
      </w:r>
      <w:r>
        <w:rPr>
          <w:rFonts w:hint="eastAsia" w:ascii="宋体"/>
          <w:sz w:val="24"/>
          <w:lang w:val="zh-CN"/>
        </w:rPr>
        <w:t>.2</w:t>
      </w:r>
      <w:r>
        <w:rPr>
          <w:rFonts w:hint="eastAsia" w:ascii="宋体"/>
          <w:sz w:val="24"/>
        </w:rPr>
        <w:t xml:space="preserve"> </w:t>
      </w:r>
      <w:r>
        <w:rPr>
          <w:rFonts w:hint="eastAsia" w:ascii="宋体"/>
          <w:sz w:val="24"/>
          <w:lang w:val="zh-CN"/>
        </w:rPr>
        <w:t>需要供应商进行澄清、说明和补正的，评委会将通过苏采云系统向</w:t>
      </w:r>
      <w:r>
        <w:rPr>
          <w:rFonts w:hint="eastAsia" w:ascii="宋体"/>
          <w:sz w:val="24"/>
        </w:rPr>
        <w:t>投标人</w:t>
      </w:r>
      <w:r>
        <w:rPr>
          <w:rFonts w:hint="eastAsia" w:ascii="宋体"/>
          <w:sz w:val="24"/>
          <w:lang w:val="zh-CN"/>
        </w:rPr>
        <w:t>发出《澄清要求函》，接到《澄清要求函》的</w:t>
      </w:r>
      <w:r>
        <w:rPr>
          <w:rFonts w:hint="eastAsia" w:ascii="宋体"/>
          <w:sz w:val="24"/>
        </w:rPr>
        <w:t>投标人</w:t>
      </w:r>
      <w:r>
        <w:rPr>
          <w:rFonts w:hint="eastAsia" w:ascii="宋体"/>
          <w:sz w:val="24"/>
          <w:lang w:val="zh-CN"/>
        </w:rPr>
        <w:t>应当按照要求在苏采云系统中提交《澄清响应函》并加盖电子公章。澄清、说明和补正的内容作为投标文件的补充部分，具体操作方式见《操作手册》。</w:t>
      </w:r>
    </w:p>
    <w:p w14:paraId="102AEAB0">
      <w:pPr>
        <w:ind w:firstLine="420"/>
        <w:rPr>
          <w:rFonts w:ascii="宋体"/>
          <w:sz w:val="24"/>
          <w:lang w:val="zh-CN"/>
        </w:rPr>
      </w:pPr>
      <w:r>
        <w:rPr>
          <w:rFonts w:hint="eastAsia" w:ascii="宋体"/>
          <w:sz w:val="24"/>
          <w:lang w:val="zh-CN"/>
        </w:rPr>
        <w:t>2</w:t>
      </w:r>
      <w:r>
        <w:rPr>
          <w:rFonts w:hint="eastAsia" w:ascii="宋体"/>
          <w:sz w:val="24"/>
        </w:rPr>
        <w:t>3</w:t>
      </w:r>
      <w:r>
        <w:rPr>
          <w:rFonts w:hint="eastAsia" w:ascii="宋体"/>
          <w:sz w:val="24"/>
          <w:lang w:val="zh-CN"/>
        </w:rPr>
        <w:t>.3 接到评委会澄清、说明和补正要求的，投标人如未按规定作出澄清、说明和补正，其风险由投标人自行承担。</w:t>
      </w:r>
    </w:p>
    <w:p w14:paraId="597A0AFF">
      <w:pPr>
        <w:pStyle w:val="357"/>
        <w:spacing w:before="0" w:after="0"/>
        <w:ind w:firstLine="392"/>
        <w:rPr>
          <w:rFonts w:ascii="方正楷体_GBK" w:eastAsia="方正楷体_GBK" w:cs="方正楷体_GBK"/>
        </w:rPr>
      </w:pPr>
      <w:bookmarkStart w:id="136" w:name="_Toc513029233"/>
      <w:bookmarkStart w:id="137" w:name="_Toc20823305"/>
      <w:bookmarkStart w:id="138" w:name="_Toc16938549"/>
      <w:r>
        <w:rPr>
          <w:rFonts w:hint="eastAsia" w:ascii="方正楷体_GBK" w:eastAsia="方正楷体_GBK" w:cs="方正楷体_GBK"/>
        </w:rPr>
        <w:t>24.投标文件的</w:t>
      </w:r>
      <w:bookmarkEnd w:id="136"/>
      <w:bookmarkEnd w:id="137"/>
      <w:bookmarkEnd w:id="138"/>
      <w:r>
        <w:rPr>
          <w:rFonts w:hint="eastAsia" w:ascii="方正楷体_GBK" w:eastAsia="方正楷体_GBK" w:cs="方正楷体_GBK"/>
        </w:rPr>
        <w:t>审查</w:t>
      </w:r>
    </w:p>
    <w:p w14:paraId="3A04C728">
      <w:pPr>
        <w:ind w:firstLine="420"/>
        <w:rPr>
          <w:rFonts w:ascii="宋体"/>
          <w:sz w:val="24"/>
          <w:lang w:val="zh-CN"/>
        </w:rPr>
      </w:pPr>
      <w:r>
        <w:rPr>
          <w:rFonts w:hint="eastAsia" w:ascii="宋体"/>
          <w:sz w:val="24"/>
          <w:lang w:val="zh-CN"/>
        </w:rPr>
        <w:t>24.1 投标文件审查分为资格审查和符合性审查。</w:t>
      </w:r>
    </w:p>
    <w:p w14:paraId="6459204C">
      <w:pPr>
        <w:ind w:firstLine="420"/>
        <w:rPr>
          <w:rFonts w:ascii="宋体"/>
          <w:sz w:val="24"/>
          <w:lang w:val="zh-CN"/>
        </w:rPr>
      </w:pPr>
      <w:r>
        <w:rPr>
          <w:rFonts w:hint="eastAsia" w:ascii="宋体"/>
          <w:sz w:val="24"/>
          <w:lang w:val="zh-CN"/>
        </w:rPr>
        <w:t>24.1.1 资格审查。依据法律法规和招标文件规定，由采购人对投标文件中的资格证明文件进行审查，并向评委会反馈审查结论。</w:t>
      </w:r>
    </w:p>
    <w:p w14:paraId="4A38EA7C">
      <w:pPr>
        <w:ind w:firstLine="420"/>
        <w:rPr>
          <w:rFonts w:ascii="宋体"/>
          <w:sz w:val="24"/>
          <w:lang w:val="zh-CN"/>
        </w:rPr>
      </w:pPr>
      <w:r>
        <w:rPr>
          <w:rFonts w:hint="eastAsia" w:ascii="宋体"/>
          <w:sz w:val="24"/>
          <w:lang w:val="zh-CN"/>
        </w:rPr>
        <w:t>采购人进行资格审查时，将在“信用中国”网站（www.creditchina.gov.cn）查询投标人的信用记录，以确定投标人是否具备投标资格，查询结果留存并归档。</w:t>
      </w:r>
    </w:p>
    <w:p w14:paraId="04887FF3">
      <w:pPr>
        <w:ind w:firstLine="420"/>
        <w:rPr>
          <w:rFonts w:ascii="宋体"/>
          <w:sz w:val="24"/>
          <w:lang w:val="zh-CN"/>
        </w:rPr>
      </w:pPr>
      <w:r>
        <w:rPr>
          <w:rFonts w:hint="eastAsia" w:ascii="宋体"/>
          <w:sz w:val="24"/>
          <w:lang w:val="zh-CN"/>
        </w:rPr>
        <w:t>接受联合体的项目，联合体成员存在不良信用记录的，视同联合体存在不良信用记录。</w:t>
      </w:r>
    </w:p>
    <w:p w14:paraId="03A14C25">
      <w:pPr>
        <w:ind w:firstLine="420"/>
        <w:rPr>
          <w:rFonts w:ascii="宋体"/>
          <w:sz w:val="24"/>
          <w:lang w:val="zh-CN"/>
        </w:rPr>
      </w:pPr>
      <w:r>
        <w:rPr>
          <w:rFonts w:hint="eastAsia" w:ascii="宋体"/>
          <w:sz w:val="24"/>
          <w:lang w:val="zh-CN"/>
        </w:rPr>
        <w:t>24.1.2 符合性审查。依据招标文件的规定，由评委会从有效性、完整性和对招标文件的响应程度等方面对投标文件进行审查，以确定是否对招标文件的实质性要求作出响应。</w:t>
      </w:r>
    </w:p>
    <w:p w14:paraId="5DF2EA20">
      <w:pPr>
        <w:ind w:firstLine="420"/>
        <w:rPr>
          <w:rFonts w:ascii="宋体"/>
          <w:sz w:val="24"/>
          <w:lang w:val="zh-CN"/>
        </w:rPr>
      </w:pPr>
      <w:r>
        <w:rPr>
          <w:rFonts w:hint="eastAsia" w:ascii="宋体"/>
          <w:sz w:val="24"/>
          <w:lang w:val="zh-CN"/>
        </w:rPr>
        <w:t>24.1.3 未通过资格审查或符合性审查的投标人，交易中心将通过苏采云系统告知其具体原因，评标结束后不再接受有关询问。</w:t>
      </w:r>
    </w:p>
    <w:p w14:paraId="4B0CC0CA">
      <w:pPr>
        <w:ind w:firstLine="420"/>
        <w:rPr>
          <w:rFonts w:ascii="宋体"/>
          <w:sz w:val="24"/>
          <w:lang w:val="zh-CN"/>
        </w:rPr>
      </w:pPr>
      <w:r>
        <w:rPr>
          <w:rFonts w:hint="eastAsia" w:ascii="宋体"/>
          <w:sz w:val="24"/>
          <w:lang w:val="zh-CN"/>
        </w:rPr>
        <w:t>24.2 评委会仅对实质性响应招标文件要求的投标文件进行详细评审。实质性响应的投标文件应该是与招标文件要求的全部条款、条件和规格相符，没有重大偏离或保留的文件。</w:t>
      </w:r>
    </w:p>
    <w:p w14:paraId="434CE631">
      <w:pPr>
        <w:ind w:firstLine="420"/>
        <w:rPr>
          <w:rFonts w:ascii="宋体"/>
          <w:sz w:val="24"/>
          <w:lang w:val="zh-CN"/>
        </w:rPr>
      </w:pPr>
      <w:r>
        <w:rPr>
          <w:rFonts w:hint="eastAsia" w:ascii="宋体"/>
          <w:sz w:val="24"/>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7827B359">
      <w:pPr>
        <w:ind w:firstLine="420"/>
        <w:rPr>
          <w:rFonts w:ascii="宋体"/>
          <w:sz w:val="24"/>
          <w:lang w:val="zh-CN"/>
        </w:rPr>
      </w:pPr>
      <w:r>
        <w:rPr>
          <w:rFonts w:hint="eastAsia" w:ascii="宋体"/>
          <w:sz w:val="24"/>
          <w:lang w:val="zh-CN"/>
        </w:rPr>
        <w:t>2</w:t>
      </w:r>
      <w:r>
        <w:rPr>
          <w:rFonts w:hint="eastAsia" w:ascii="宋体"/>
          <w:sz w:val="24"/>
        </w:rPr>
        <w:t>4</w:t>
      </w:r>
      <w:r>
        <w:rPr>
          <w:rFonts w:hint="eastAsia" w:ascii="宋体"/>
          <w:sz w:val="24"/>
          <w:lang w:val="zh-CN"/>
        </w:rPr>
        <w:t>.3</w:t>
      </w:r>
      <w:r>
        <w:rPr>
          <w:rFonts w:hint="eastAsia" w:ascii="宋体"/>
          <w:sz w:val="24"/>
        </w:rPr>
        <w:t xml:space="preserve"> </w:t>
      </w:r>
      <w:r>
        <w:rPr>
          <w:rFonts w:hint="eastAsia" w:ascii="宋体"/>
          <w:sz w:val="24"/>
          <w:lang w:val="zh-CN"/>
        </w:rPr>
        <w:t>如果投标文件实质上没有响应招标文件的要求，评委会将予以拒绝，投标人不得通过修改或撤销不合要求的偏离或保留而使其投标成为实质性响应的投标。</w:t>
      </w:r>
    </w:p>
    <w:p w14:paraId="26185D76">
      <w:pPr>
        <w:ind w:firstLine="420"/>
        <w:rPr>
          <w:rFonts w:ascii="宋体"/>
          <w:sz w:val="24"/>
          <w:lang w:val="zh-CN"/>
        </w:rPr>
      </w:pPr>
      <w:r>
        <w:rPr>
          <w:rFonts w:hint="eastAsia" w:ascii="宋体"/>
          <w:sz w:val="24"/>
          <w:lang w:val="zh-CN"/>
        </w:rPr>
        <w:t>2</w:t>
      </w:r>
      <w:r>
        <w:rPr>
          <w:rFonts w:hint="eastAsia" w:ascii="宋体"/>
          <w:sz w:val="24"/>
        </w:rPr>
        <w:t>4</w:t>
      </w:r>
      <w:r>
        <w:rPr>
          <w:rFonts w:hint="eastAsia" w:ascii="宋体"/>
          <w:sz w:val="24"/>
          <w:lang w:val="zh-CN"/>
        </w:rPr>
        <w:t>.4</w:t>
      </w:r>
      <w:r>
        <w:rPr>
          <w:rFonts w:hint="eastAsia" w:ascii="宋体"/>
          <w:sz w:val="24"/>
        </w:rPr>
        <w:t xml:space="preserve"> </w:t>
      </w:r>
      <w:r>
        <w:rPr>
          <w:rFonts w:hint="eastAsia" w:ascii="宋体"/>
          <w:sz w:val="24"/>
          <w:lang w:val="zh-CN"/>
        </w:rPr>
        <w:t>评委会将对确定为实质性响应的投标进行进一步审核，确定其是否有计算上或累加上的算术错误。修正错误的原则如下：</w:t>
      </w:r>
    </w:p>
    <w:p w14:paraId="0FC642B9">
      <w:pPr>
        <w:ind w:firstLine="420"/>
        <w:rPr>
          <w:rFonts w:ascii="宋体"/>
          <w:sz w:val="24"/>
          <w:lang w:val="zh-CN"/>
        </w:rPr>
      </w:pPr>
      <w:r>
        <w:rPr>
          <w:rFonts w:hint="eastAsia" w:ascii="宋体"/>
          <w:sz w:val="24"/>
          <w:lang w:val="zh-CN"/>
        </w:rPr>
        <w:t>（1）投标文件中开标一览表内容与投标文件中相应内容不一致的，以开标一览表为准；</w:t>
      </w:r>
    </w:p>
    <w:p w14:paraId="43FA784A">
      <w:pPr>
        <w:ind w:firstLine="420"/>
        <w:rPr>
          <w:rFonts w:ascii="宋体"/>
          <w:sz w:val="24"/>
          <w:lang w:val="zh-CN"/>
        </w:rPr>
      </w:pPr>
      <w:r>
        <w:rPr>
          <w:rFonts w:hint="eastAsia" w:ascii="宋体"/>
          <w:sz w:val="24"/>
          <w:lang w:val="zh-CN"/>
        </w:rPr>
        <w:t>（2）大写金额和小写金额不一致的，以大写金额为准；</w:t>
      </w:r>
    </w:p>
    <w:p w14:paraId="7AE59ADA">
      <w:pPr>
        <w:ind w:firstLine="420"/>
        <w:rPr>
          <w:rFonts w:ascii="宋体"/>
          <w:sz w:val="24"/>
          <w:lang w:val="zh-CN"/>
        </w:rPr>
      </w:pPr>
      <w:r>
        <w:rPr>
          <w:rFonts w:hint="eastAsia" w:ascii="宋体"/>
          <w:sz w:val="24"/>
          <w:lang w:val="zh-CN"/>
        </w:rPr>
        <w:t>（3）单价金额小数点或者百分比有明显错位的，以开标一览表的总价为准，并修改单价；</w:t>
      </w:r>
    </w:p>
    <w:p w14:paraId="55729395">
      <w:pPr>
        <w:ind w:firstLine="420"/>
        <w:rPr>
          <w:rFonts w:ascii="宋体"/>
          <w:sz w:val="24"/>
          <w:lang w:val="zh-CN"/>
        </w:rPr>
      </w:pPr>
      <w:r>
        <w:rPr>
          <w:rFonts w:hint="eastAsia" w:ascii="宋体"/>
          <w:sz w:val="24"/>
          <w:lang w:val="zh-CN"/>
        </w:rPr>
        <w:t>（4）总价金额与按单价汇总金额不一致的，以单价金额计算结果为准。</w:t>
      </w:r>
    </w:p>
    <w:p w14:paraId="279494AC">
      <w:pPr>
        <w:ind w:firstLine="420"/>
        <w:rPr>
          <w:rFonts w:ascii="宋体"/>
          <w:sz w:val="24"/>
          <w:lang w:val="zh-CN"/>
        </w:rPr>
      </w:pPr>
      <w:r>
        <w:rPr>
          <w:rFonts w:hint="eastAsia" w:ascii="宋体"/>
          <w:sz w:val="24"/>
          <w:lang w:val="zh-CN"/>
        </w:rPr>
        <w:t>同时出现两种以上错误的，按照前款规定的顺序修正。</w:t>
      </w:r>
    </w:p>
    <w:p w14:paraId="0A184049">
      <w:pPr>
        <w:ind w:firstLine="420"/>
        <w:rPr>
          <w:rFonts w:ascii="宋体"/>
          <w:sz w:val="24"/>
          <w:lang w:val="zh-CN"/>
        </w:rPr>
      </w:pPr>
      <w:r>
        <w:rPr>
          <w:rFonts w:hint="eastAsia" w:ascii="宋体"/>
          <w:sz w:val="24"/>
          <w:lang w:val="zh-CN"/>
        </w:rPr>
        <w:t>2</w:t>
      </w:r>
      <w:r>
        <w:rPr>
          <w:rFonts w:hint="eastAsia" w:ascii="宋体"/>
          <w:sz w:val="24"/>
        </w:rPr>
        <w:t>4</w:t>
      </w:r>
      <w:r>
        <w:rPr>
          <w:rFonts w:hint="eastAsia" w:ascii="宋体"/>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5F66F407">
      <w:pPr>
        <w:ind w:firstLine="420"/>
        <w:rPr>
          <w:rFonts w:ascii="宋体"/>
          <w:sz w:val="24"/>
          <w:lang w:val="zh-CN"/>
        </w:rPr>
      </w:pPr>
      <w:bookmarkStart w:id="139" w:name="_Toc513029234"/>
      <w:bookmarkStart w:id="140" w:name="_Toc16938550"/>
      <w:bookmarkStart w:id="141" w:name="_Toc20823306"/>
      <w:r>
        <w:rPr>
          <w:rFonts w:hint="eastAsia" w:ascii="宋体"/>
          <w:sz w:val="24"/>
          <w:lang w:val="zh-CN"/>
        </w:rPr>
        <w:t>2</w:t>
      </w:r>
      <w:r>
        <w:rPr>
          <w:rFonts w:hint="eastAsia" w:ascii="宋体"/>
          <w:sz w:val="24"/>
        </w:rPr>
        <w:t>4</w:t>
      </w:r>
      <w:r>
        <w:rPr>
          <w:rFonts w:hint="eastAsia" w:ascii="宋体"/>
          <w:sz w:val="24"/>
          <w:lang w:val="zh-CN"/>
        </w:rPr>
        <w:t>.6</w:t>
      </w:r>
      <w:r>
        <w:rPr>
          <w:rFonts w:hint="eastAsia" w:ascii="宋体"/>
          <w:sz w:val="24"/>
        </w:rPr>
        <w:t xml:space="preserve"> </w:t>
      </w:r>
      <w:r>
        <w:rPr>
          <w:rFonts w:hint="eastAsia" w:ascii="宋体"/>
          <w:sz w:val="24"/>
          <w:lang w:val="zh-CN"/>
        </w:rPr>
        <w:t>投标人在开、评标全过程中应保持通讯畅通，及时登录苏采云系统查阅、答复相关信息，并安排专人与交易中心及评委会联系。</w:t>
      </w:r>
    </w:p>
    <w:p w14:paraId="0BACA3A3">
      <w:pPr>
        <w:pStyle w:val="357"/>
        <w:spacing w:before="0" w:after="0"/>
        <w:ind w:firstLine="392"/>
        <w:rPr>
          <w:rFonts w:ascii="方正楷体_GBK" w:eastAsia="方正楷体_GBK" w:cs="方正楷体_GBK"/>
        </w:rPr>
      </w:pPr>
      <w:r>
        <w:rPr>
          <w:rFonts w:hint="eastAsia" w:ascii="方正楷体_GBK" w:eastAsia="方正楷体_GBK" w:cs="方正楷体_GBK"/>
        </w:rPr>
        <w:t>2</w:t>
      </w:r>
      <w:bookmarkEnd w:id="139"/>
      <w:bookmarkEnd w:id="140"/>
      <w:bookmarkEnd w:id="141"/>
      <w:r>
        <w:rPr>
          <w:rFonts w:hint="eastAsia" w:ascii="方正楷体_GBK" w:eastAsia="方正楷体_GBK" w:cs="方正楷体_GBK"/>
        </w:rPr>
        <w:t>5.无效投标和废标</w:t>
      </w:r>
    </w:p>
    <w:p w14:paraId="790E57B0">
      <w:pPr>
        <w:ind w:firstLine="420"/>
        <w:rPr>
          <w:rFonts w:ascii="宋体"/>
          <w:sz w:val="24"/>
          <w:lang w:val="zh-CN"/>
        </w:rPr>
      </w:pPr>
      <w:bookmarkStart w:id="142" w:name="_Toc20823307"/>
      <w:bookmarkStart w:id="143" w:name="_Toc16938551"/>
      <w:bookmarkStart w:id="144" w:name="_Toc513029235"/>
      <w:r>
        <w:rPr>
          <w:rFonts w:hint="eastAsia" w:ascii="宋体"/>
          <w:sz w:val="24"/>
          <w:lang w:val="zh-CN"/>
        </w:rPr>
        <w:t>2</w:t>
      </w:r>
      <w:r>
        <w:rPr>
          <w:rFonts w:hint="eastAsia" w:ascii="宋体"/>
          <w:sz w:val="24"/>
        </w:rPr>
        <w:t>5</w:t>
      </w:r>
      <w:r>
        <w:rPr>
          <w:rFonts w:hint="eastAsia" w:ascii="宋体"/>
          <w:sz w:val="24"/>
          <w:lang w:val="zh-CN"/>
        </w:rPr>
        <w:t>.1</w:t>
      </w:r>
      <w:r>
        <w:rPr>
          <w:rFonts w:hint="eastAsia" w:ascii="宋体"/>
          <w:sz w:val="24"/>
        </w:rPr>
        <w:t xml:space="preserve"> </w:t>
      </w:r>
      <w:r>
        <w:rPr>
          <w:rFonts w:hint="eastAsia" w:ascii="宋体"/>
          <w:sz w:val="24"/>
          <w:lang w:val="zh-CN"/>
        </w:rPr>
        <w:t>无效投标情形</w:t>
      </w:r>
    </w:p>
    <w:p w14:paraId="3646F2F9">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.1.1</w:t>
      </w:r>
      <w:r>
        <w:rPr>
          <w:rFonts w:hint="eastAsia" w:ascii="宋体"/>
          <w:sz w:val="24"/>
        </w:rPr>
        <w:t xml:space="preserve"> </w:t>
      </w:r>
      <w:r>
        <w:rPr>
          <w:rFonts w:hint="eastAsia" w:ascii="宋体"/>
          <w:sz w:val="24"/>
          <w:lang w:val="zh-CN"/>
        </w:rPr>
        <w:t>投标人在苏采云系统规定的时间内未成功解密电子投标文件。</w:t>
      </w:r>
    </w:p>
    <w:p w14:paraId="5AE413FF">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.1.2</w:t>
      </w:r>
      <w:r>
        <w:rPr>
          <w:rFonts w:hint="eastAsia" w:ascii="宋体"/>
          <w:sz w:val="24"/>
        </w:rPr>
        <w:t xml:space="preserve"> </w:t>
      </w:r>
      <w:r>
        <w:rPr>
          <w:rFonts w:hint="eastAsia" w:ascii="宋体"/>
          <w:sz w:val="24"/>
          <w:lang w:val="zh-CN"/>
        </w:rPr>
        <w:t>投标人未按照招标文件要求上传电子投标文件。</w:t>
      </w:r>
    </w:p>
    <w:p w14:paraId="7ADFF9CC">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.1.3</w:t>
      </w:r>
      <w:r>
        <w:rPr>
          <w:rFonts w:hint="eastAsia" w:ascii="宋体"/>
          <w:sz w:val="24"/>
        </w:rPr>
        <w:t xml:space="preserve"> </w:t>
      </w:r>
      <w:r>
        <w:rPr>
          <w:rFonts w:hint="eastAsia" w:ascii="宋体"/>
          <w:sz w:val="24"/>
          <w:lang w:val="zh-CN"/>
        </w:rPr>
        <w:t>同一投标人提交两个（含两个）以上不同的投标报价。</w:t>
      </w:r>
    </w:p>
    <w:p w14:paraId="7D7EF0FB">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.1.4</w:t>
      </w:r>
      <w:r>
        <w:rPr>
          <w:rFonts w:hint="eastAsia" w:ascii="宋体"/>
          <w:sz w:val="24"/>
        </w:rPr>
        <w:t xml:space="preserve"> </w:t>
      </w:r>
      <w:r>
        <w:rPr>
          <w:rFonts w:hint="eastAsia" w:ascii="宋体"/>
          <w:sz w:val="24"/>
          <w:lang w:val="zh-CN"/>
        </w:rPr>
        <w:t>投标人不具备招标文件中规定资格要求。</w:t>
      </w:r>
    </w:p>
    <w:p w14:paraId="09EFC05A">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.1.5</w:t>
      </w:r>
      <w:r>
        <w:rPr>
          <w:rFonts w:hint="eastAsia" w:ascii="宋体"/>
          <w:sz w:val="24"/>
        </w:rPr>
        <w:t xml:space="preserve"> </w:t>
      </w:r>
      <w:r>
        <w:rPr>
          <w:rFonts w:hint="eastAsia" w:ascii="宋体"/>
          <w:sz w:val="24"/>
          <w:lang w:val="zh-CN"/>
        </w:rPr>
        <w:t>投标人的报价超过了采购预算或最高限价。</w:t>
      </w:r>
    </w:p>
    <w:p w14:paraId="4DB2F737">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.1.6</w:t>
      </w:r>
      <w:r>
        <w:rPr>
          <w:rFonts w:hint="eastAsia" w:ascii="宋体"/>
          <w:sz w:val="24"/>
        </w:rPr>
        <w:t xml:space="preserve"> </w:t>
      </w:r>
      <w:r>
        <w:rPr>
          <w:rFonts w:hint="eastAsia" w:ascii="宋体"/>
          <w:sz w:val="24"/>
          <w:lang w:val="zh-CN"/>
        </w:rPr>
        <w:t>未通过符合性审查。</w:t>
      </w:r>
    </w:p>
    <w:p w14:paraId="65C2CD7F">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.1.7</w:t>
      </w:r>
      <w:r>
        <w:rPr>
          <w:rFonts w:hint="eastAsia" w:ascii="宋体"/>
          <w:sz w:val="24"/>
        </w:rPr>
        <w:t xml:space="preserve"> </w:t>
      </w:r>
      <w:r>
        <w:rPr>
          <w:rFonts w:hint="eastAsia" w:ascii="宋体"/>
          <w:sz w:val="24"/>
          <w:lang w:val="zh-CN"/>
        </w:rPr>
        <w:t>不符合招标文件中实质性要求和条件</w:t>
      </w:r>
      <w:r>
        <w:rPr>
          <w:rFonts w:hint="eastAsia" w:ascii="宋体"/>
          <w:iCs/>
          <w:sz w:val="24"/>
          <w:lang w:val="zh-CN"/>
        </w:rPr>
        <w:t>（</w:t>
      </w:r>
      <w:r>
        <w:rPr>
          <w:rFonts w:hint="eastAsia" w:ascii="宋体"/>
          <w:b/>
          <w:bCs/>
          <w:iCs/>
          <w:sz w:val="24"/>
          <w:lang w:val="zh-CN"/>
        </w:rPr>
        <w:t>本文件中斜体且有下划线部分，或者打“</w:t>
      </w:r>
      <w:r>
        <w:rPr>
          <w:rFonts w:hint="eastAsia" w:ascii="宋体"/>
          <w:b/>
          <w:bCs/>
          <w:iCs/>
          <w:sz w:val="24"/>
        </w:rPr>
        <w:t>★</w:t>
      </w:r>
      <w:r>
        <w:rPr>
          <w:rFonts w:hint="eastAsia" w:ascii="宋体"/>
          <w:b/>
          <w:bCs/>
          <w:iCs/>
          <w:sz w:val="24"/>
          <w:lang w:val="zh-CN"/>
        </w:rPr>
        <w:t>”内容为实质性要求和条件</w:t>
      </w:r>
      <w:r>
        <w:rPr>
          <w:rFonts w:hint="eastAsia" w:ascii="宋体"/>
          <w:iCs/>
          <w:sz w:val="24"/>
          <w:lang w:val="zh-CN"/>
        </w:rPr>
        <w:t>）。</w:t>
      </w:r>
    </w:p>
    <w:p w14:paraId="7D527D24">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.1.8</w:t>
      </w:r>
      <w:r>
        <w:rPr>
          <w:rFonts w:hint="eastAsia" w:ascii="宋体"/>
          <w:sz w:val="24"/>
        </w:rPr>
        <w:t xml:space="preserve"> </w:t>
      </w:r>
      <w:r>
        <w:rPr>
          <w:rFonts w:hint="eastAsia" w:ascii="宋体"/>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097BF85">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.1.9</w:t>
      </w:r>
      <w:r>
        <w:rPr>
          <w:rFonts w:hint="eastAsia" w:ascii="宋体"/>
          <w:sz w:val="24"/>
        </w:rPr>
        <w:t xml:space="preserve"> </w:t>
      </w:r>
      <w:r>
        <w:rPr>
          <w:rFonts w:hint="eastAsia" w:ascii="宋体"/>
          <w:sz w:val="24"/>
          <w:lang w:val="zh-CN"/>
        </w:rPr>
        <w:t>投标文件含有采购人不能接受的附加条件。</w:t>
      </w:r>
    </w:p>
    <w:p w14:paraId="389B2B75">
      <w:pPr>
        <w:ind w:firstLine="420"/>
        <w:rPr>
          <w:rFonts w:ascii="宋体"/>
          <w:sz w:val="24"/>
        </w:rPr>
      </w:pPr>
      <w:r>
        <w:rPr>
          <w:rFonts w:hint="eastAsia" w:ascii="宋体"/>
          <w:sz w:val="24"/>
          <w:lang w:val="zh-CN"/>
        </w:rPr>
        <w:t>2</w:t>
      </w:r>
      <w:r>
        <w:rPr>
          <w:rFonts w:hint="eastAsia" w:ascii="宋体"/>
          <w:sz w:val="24"/>
        </w:rPr>
        <w:t>5</w:t>
      </w:r>
      <w:r>
        <w:rPr>
          <w:rFonts w:hint="eastAsia" w:ascii="宋体"/>
          <w:sz w:val="24"/>
          <w:lang w:val="zh-CN"/>
        </w:rPr>
        <w:t>.1.10</w:t>
      </w:r>
      <w:r>
        <w:rPr>
          <w:rFonts w:hint="eastAsia" w:ascii="宋体"/>
          <w:sz w:val="24"/>
        </w:rPr>
        <w:t xml:space="preserve"> 根据省财政厅《关于推动解决政府采购异常低价问题相关工作的通知》（苏财购〔2025〕62号）要求，评审过程中出现下列情形之一的，评审委员会应当启动异常低价投标（响应）审查程序：</w:t>
      </w:r>
    </w:p>
    <w:p w14:paraId="33DEEEB0">
      <w:pPr>
        <w:ind w:firstLine="420"/>
        <w:rPr>
          <w:rFonts w:ascii="宋体"/>
          <w:sz w:val="24"/>
        </w:rPr>
      </w:pPr>
      <w:r>
        <w:rPr>
          <w:rFonts w:hint="eastAsia" w:ascii="宋体"/>
          <w:sz w:val="24"/>
        </w:rPr>
        <w:t>（1）投标(响应)报价低于采购项目预算50%的，即投标(响应)报价&lt;采购项目预算×50%;</w:t>
      </w:r>
    </w:p>
    <w:p w14:paraId="0A779ED9">
      <w:pPr>
        <w:ind w:firstLine="420"/>
        <w:rPr>
          <w:rFonts w:ascii="宋体"/>
          <w:sz w:val="24"/>
        </w:rPr>
      </w:pPr>
      <w:r>
        <w:rPr>
          <w:rFonts w:hint="eastAsia" w:ascii="宋体"/>
          <w:sz w:val="24"/>
        </w:rPr>
        <w:t>（2）投标(响应)报价低于采购项目最高限价45%的，即投标(响应)报价&lt;采购项目最高限价×45%;</w:t>
      </w:r>
    </w:p>
    <w:p w14:paraId="2A159432">
      <w:pPr>
        <w:ind w:firstLine="420"/>
        <w:rPr>
          <w:rFonts w:ascii="宋体"/>
          <w:sz w:val="24"/>
        </w:rPr>
      </w:pPr>
      <w:r>
        <w:rPr>
          <w:rFonts w:hint="eastAsia" w:ascii="宋体"/>
          <w:sz w:val="24"/>
        </w:rPr>
        <w:t>（3）评审委员会认定的供应商报价过低、有可能影响产品质量或者不能诚信履约的其他情形。</w:t>
      </w:r>
    </w:p>
    <w:p w14:paraId="18E2FFD5">
      <w:pPr>
        <w:ind w:firstLine="420"/>
        <w:rPr>
          <w:rFonts w:hint="eastAsia" w:ascii="宋体" w:hAnsi="宋体"/>
          <w:sz w:val="24"/>
          <w:lang w:val="zh-CN"/>
        </w:rPr>
      </w:pPr>
      <w:r>
        <w:rPr>
          <w:rFonts w:hint="eastAsia" w:ascii="宋体"/>
          <w:sz w:val="24"/>
          <w:lang w:val="zh-CN"/>
        </w:rPr>
        <w:t>2</w:t>
      </w:r>
      <w:r>
        <w:rPr>
          <w:rFonts w:hint="eastAsia" w:ascii="宋体"/>
          <w:sz w:val="24"/>
        </w:rPr>
        <w:t>5</w:t>
      </w:r>
      <w:r>
        <w:rPr>
          <w:rFonts w:hint="eastAsia" w:ascii="宋体"/>
          <w:sz w:val="24"/>
          <w:lang w:val="zh-CN"/>
        </w:rPr>
        <w:t>.1.1</w:t>
      </w:r>
      <w:r>
        <w:rPr>
          <w:rFonts w:hint="eastAsia" w:ascii="宋体"/>
          <w:sz w:val="24"/>
        </w:rPr>
        <w:t>1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77D54A9">
      <w:pPr>
        <w:ind w:firstLine="420"/>
        <w:rPr>
          <w:rFonts w:ascii="宋体"/>
          <w:sz w:val="24"/>
        </w:rPr>
      </w:pPr>
      <w:r>
        <w:rPr>
          <w:rFonts w:hint="eastAsia" w:ascii="宋体"/>
          <w:sz w:val="24"/>
          <w:lang w:val="zh-CN"/>
        </w:rPr>
        <w:t>2</w:t>
      </w:r>
      <w:r>
        <w:rPr>
          <w:rFonts w:hint="eastAsia" w:ascii="宋体"/>
          <w:sz w:val="24"/>
        </w:rPr>
        <w:t>5</w:t>
      </w:r>
      <w:r>
        <w:rPr>
          <w:rFonts w:hint="eastAsia" w:ascii="宋体"/>
          <w:sz w:val="24"/>
          <w:lang w:val="zh-CN"/>
        </w:rPr>
        <w:t>.1.1</w:t>
      </w:r>
      <w:r>
        <w:rPr>
          <w:rFonts w:hint="eastAsia" w:ascii="宋体"/>
          <w:sz w:val="24"/>
        </w:rPr>
        <w:t>2</w:t>
      </w:r>
      <w:r>
        <w:rPr>
          <w:rFonts w:hint="eastAsia" w:ascii="宋体"/>
          <w:sz w:val="24"/>
          <w:lang w:val="zh-CN"/>
        </w:rPr>
        <w:t>投标文件未按照招标文件要求加盖电子公章。</w:t>
      </w:r>
    </w:p>
    <w:p w14:paraId="7E25BFC4">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.1.1</w:t>
      </w:r>
      <w:r>
        <w:rPr>
          <w:rFonts w:hint="eastAsia" w:ascii="宋体"/>
          <w:sz w:val="24"/>
        </w:rPr>
        <w:t xml:space="preserve">3 </w:t>
      </w:r>
      <w:r>
        <w:rPr>
          <w:rFonts w:hint="eastAsia" w:ascii="宋体"/>
          <w:sz w:val="24"/>
          <w:lang w:val="zh-CN"/>
        </w:rPr>
        <w:t>法律法规及本招标文件规定的</w:t>
      </w:r>
      <w:r>
        <w:rPr>
          <w:rFonts w:hint="eastAsia" w:ascii="宋体"/>
          <w:sz w:val="24"/>
        </w:rPr>
        <w:t>其他</w:t>
      </w:r>
      <w:r>
        <w:rPr>
          <w:rFonts w:hint="eastAsia" w:ascii="宋体"/>
          <w:sz w:val="24"/>
          <w:lang w:val="zh-CN"/>
        </w:rPr>
        <w:t>无效投标情形。</w:t>
      </w:r>
    </w:p>
    <w:p w14:paraId="093AC362">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w:t>
      </w:r>
      <w:r>
        <w:rPr>
          <w:rFonts w:hint="eastAsia" w:ascii="宋体"/>
          <w:sz w:val="24"/>
        </w:rPr>
        <w:t xml:space="preserve"> </w:t>
      </w:r>
      <w:r>
        <w:rPr>
          <w:rFonts w:hint="eastAsia" w:ascii="宋体"/>
          <w:sz w:val="24"/>
          <w:lang w:val="zh-CN"/>
        </w:rPr>
        <w:t>废标情形</w:t>
      </w:r>
    </w:p>
    <w:p w14:paraId="2E663FC6">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.2.1</w:t>
      </w:r>
      <w:r>
        <w:rPr>
          <w:rFonts w:hint="eastAsia" w:ascii="宋体"/>
          <w:sz w:val="24"/>
        </w:rPr>
        <w:t xml:space="preserve"> </w:t>
      </w:r>
      <w:r>
        <w:rPr>
          <w:rFonts w:hint="eastAsia" w:ascii="宋体"/>
          <w:sz w:val="24"/>
          <w:lang w:val="zh-CN"/>
        </w:rPr>
        <w:t>符合资格条件的供应商或者对招标文件作实质响应的供应商不足三家。</w:t>
      </w:r>
    </w:p>
    <w:p w14:paraId="23A9591C">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.2.2</w:t>
      </w:r>
      <w:r>
        <w:rPr>
          <w:rFonts w:hint="eastAsia" w:ascii="宋体"/>
          <w:sz w:val="24"/>
        </w:rPr>
        <w:t xml:space="preserve"> </w:t>
      </w:r>
      <w:r>
        <w:rPr>
          <w:rFonts w:hint="eastAsia" w:ascii="宋体"/>
          <w:sz w:val="24"/>
          <w:lang w:val="zh-CN"/>
        </w:rPr>
        <w:t>出现影响采购公正的违法、违规行为。</w:t>
      </w:r>
    </w:p>
    <w:p w14:paraId="32CC5A45">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.2.3</w:t>
      </w:r>
      <w:r>
        <w:rPr>
          <w:rFonts w:hint="eastAsia" w:ascii="宋体"/>
          <w:sz w:val="24"/>
        </w:rPr>
        <w:t xml:space="preserve"> </w:t>
      </w:r>
      <w:r>
        <w:rPr>
          <w:rFonts w:hint="eastAsia" w:ascii="宋体"/>
          <w:sz w:val="24"/>
          <w:lang w:val="zh-CN"/>
        </w:rPr>
        <w:t>因重大变故采购任务取消。</w:t>
      </w:r>
    </w:p>
    <w:p w14:paraId="64AFCD66">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.2.4</w:t>
      </w:r>
      <w:r>
        <w:rPr>
          <w:rFonts w:hint="eastAsia" w:ascii="宋体"/>
          <w:sz w:val="24"/>
        </w:rPr>
        <w:t xml:space="preserve"> </w:t>
      </w:r>
      <w:r>
        <w:rPr>
          <w:rFonts w:hint="eastAsia" w:ascii="宋体"/>
          <w:sz w:val="24"/>
          <w:lang w:val="zh-CN"/>
        </w:rPr>
        <w:t>评委会认定招标文件存在歧义、重大缺陷导致评审工作无法进行。</w:t>
      </w:r>
    </w:p>
    <w:p w14:paraId="4767B512">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.2.5</w:t>
      </w:r>
      <w:r>
        <w:rPr>
          <w:rFonts w:hint="eastAsia" w:ascii="宋体"/>
          <w:sz w:val="24"/>
        </w:rPr>
        <w:t xml:space="preserve"> </w:t>
      </w:r>
      <w:r>
        <w:rPr>
          <w:rFonts w:hint="eastAsia" w:ascii="宋体"/>
          <w:sz w:val="24"/>
          <w:lang w:val="zh-CN"/>
        </w:rPr>
        <w:t>因苏采云系统故障造成开标不成功。</w:t>
      </w:r>
    </w:p>
    <w:p w14:paraId="709A4668">
      <w:pPr>
        <w:ind w:firstLine="420"/>
        <w:rPr>
          <w:rFonts w:ascii="宋体"/>
          <w:sz w:val="24"/>
          <w:lang w:val="zh-CN"/>
        </w:rPr>
      </w:pPr>
      <w:r>
        <w:rPr>
          <w:rFonts w:hint="eastAsia" w:ascii="宋体"/>
          <w:sz w:val="24"/>
          <w:lang w:val="zh-CN"/>
        </w:rPr>
        <w:t>2</w:t>
      </w:r>
      <w:r>
        <w:rPr>
          <w:rFonts w:hint="eastAsia" w:ascii="宋体"/>
          <w:sz w:val="24"/>
        </w:rPr>
        <w:t>5</w:t>
      </w:r>
      <w:r>
        <w:rPr>
          <w:rFonts w:hint="eastAsia" w:ascii="宋体"/>
          <w:sz w:val="24"/>
          <w:lang w:val="zh-CN"/>
        </w:rPr>
        <w:t>.3 如出现投标截止时间后参加投标的供应商或者对招标文件作出实质</w:t>
      </w:r>
      <w:r>
        <w:rPr>
          <w:rFonts w:hint="eastAsia" w:ascii="宋体"/>
          <w:sz w:val="24"/>
        </w:rPr>
        <w:t>性</w:t>
      </w:r>
      <w:r>
        <w:rPr>
          <w:rFonts w:hint="eastAsia" w:ascii="宋体"/>
          <w:sz w:val="24"/>
          <w:lang w:val="zh-CN"/>
        </w:rPr>
        <w:t>响应的供应商不足三家</w:t>
      </w:r>
      <w:r>
        <w:rPr>
          <w:rFonts w:hint="eastAsia" w:ascii="宋体"/>
          <w:sz w:val="24"/>
        </w:rPr>
        <w:t>的</w:t>
      </w:r>
      <w:r>
        <w:rPr>
          <w:rFonts w:hint="eastAsia" w:ascii="宋体"/>
          <w:sz w:val="24"/>
          <w:lang w:val="zh-CN"/>
        </w:rPr>
        <w:t>情况，按政府采购相关规定执行。</w:t>
      </w:r>
      <w:bookmarkEnd w:id="107"/>
      <w:bookmarkEnd w:id="108"/>
      <w:bookmarkEnd w:id="109"/>
      <w:bookmarkEnd w:id="142"/>
      <w:bookmarkEnd w:id="143"/>
      <w:bookmarkEnd w:id="144"/>
    </w:p>
    <w:p w14:paraId="698BFFEF">
      <w:pPr>
        <w:pStyle w:val="355"/>
        <w:spacing w:before="120" w:after="120"/>
        <w:ind w:firstLine="465"/>
        <w:rPr>
          <w:rFonts w:ascii="方正黑体_GBK" w:eastAsia="方正黑体_GBK" w:cs="方正黑体_GBK"/>
        </w:rPr>
      </w:pPr>
      <w:bookmarkStart w:id="145" w:name="_Toc120614219"/>
      <w:r>
        <w:rPr>
          <w:rFonts w:hint="eastAsia" w:ascii="方正黑体_GBK" w:eastAsia="方正黑体_GBK" w:cs="方正黑体_GBK"/>
        </w:rPr>
        <w:t>六、定标</w:t>
      </w:r>
      <w:bookmarkEnd w:id="145"/>
    </w:p>
    <w:p w14:paraId="3AE67347">
      <w:pPr>
        <w:pStyle w:val="357"/>
        <w:spacing w:before="0" w:after="0"/>
        <w:ind w:firstLine="392"/>
        <w:rPr>
          <w:rFonts w:ascii="方正楷体_GBK" w:eastAsia="方正楷体_GBK" w:cs="方正楷体_GBK"/>
        </w:rPr>
      </w:pPr>
      <w:bookmarkStart w:id="146" w:name="_Toc513029238"/>
      <w:bookmarkStart w:id="147" w:name="_Toc20823310"/>
      <w:bookmarkStart w:id="148" w:name="_Toc16938554"/>
      <w:r>
        <w:rPr>
          <w:rFonts w:hint="eastAsia" w:ascii="方正楷体_GBK" w:eastAsia="方正楷体_GBK" w:cs="方正楷体_GBK"/>
        </w:rPr>
        <w:t>2</w:t>
      </w:r>
      <w:bookmarkEnd w:id="146"/>
      <w:r>
        <w:rPr>
          <w:rFonts w:hint="eastAsia" w:ascii="方正楷体_GBK" w:eastAsia="方正楷体_GBK" w:cs="方正楷体_GBK"/>
        </w:rPr>
        <w:t>6.确定</w:t>
      </w:r>
      <w:bookmarkEnd w:id="147"/>
      <w:bookmarkEnd w:id="148"/>
      <w:r>
        <w:rPr>
          <w:rFonts w:hint="eastAsia" w:ascii="方正楷体_GBK" w:eastAsia="方正楷体_GBK" w:cs="方正楷体_GBK"/>
        </w:rPr>
        <w:t>中标单位</w:t>
      </w:r>
    </w:p>
    <w:p w14:paraId="35E14382">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.1</w:t>
      </w:r>
      <w:r>
        <w:rPr>
          <w:rFonts w:hint="eastAsia" w:ascii="宋体"/>
          <w:sz w:val="24"/>
        </w:rPr>
        <w:t xml:space="preserve"> </w:t>
      </w:r>
      <w:r>
        <w:rPr>
          <w:rFonts w:hint="eastAsia" w:ascii="宋体"/>
          <w:sz w:val="24"/>
          <w:lang w:val="zh-CN"/>
        </w:rPr>
        <w:t>中标候选人的</w:t>
      </w:r>
      <w:r>
        <w:rPr>
          <w:rFonts w:hint="eastAsia" w:ascii="宋体"/>
          <w:sz w:val="24"/>
        </w:rPr>
        <w:t>确定</w:t>
      </w:r>
      <w:r>
        <w:rPr>
          <w:rFonts w:hint="eastAsia" w:ascii="宋体"/>
          <w:sz w:val="24"/>
          <w:lang w:val="zh-CN"/>
        </w:rPr>
        <w:t xml:space="preserve">原则和数量见招标文件第五章。 </w:t>
      </w:r>
    </w:p>
    <w:p w14:paraId="1DE7AE77">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.2 按以下第（</w:t>
      </w:r>
      <w:r>
        <w:rPr>
          <w:rFonts w:hint="eastAsia" w:ascii="宋体"/>
          <w:sz w:val="24"/>
        </w:rPr>
        <w:t>1</w:t>
      </w:r>
      <w:r>
        <w:rPr>
          <w:rFonts w:hint="eastAsia" w:ascii="宋体"/>
          <w:sz w:val="24"/>
          <w:lang w:val="zh-CN"/>
        </w:rPr>
        <w:t>）种方式确定中标人：</w:t>
      </w:r>
    </w:p>
    <w:p w14:paraId="5C1CD5B5">
      <w:pPr>
        <w:ind w:firstLine="420"/>
        <w:rPr>
          <w:rFonts w:ascii="宋体"/>
          <w:sz w:val="24"/>
          <w:lang w:val="zh-CN"/>
        </w:rPr>
      </w:pPr>
      <w:r>
        <w:rPr>
          <w:rFonts w:hint="eastAsia" w:ascii="宋体"/>
          <w:sz w:val="24"/>
          <w:lang w:val="zh-CN"/>
        </w:rPr>
        <w:t>（1）评委会直接确定排名第一的中标候选人为中标人；</w:t>
      </w:r>
    </w:p>
    <w:p w14:paraId="593F6FB9">
      <w:pPr>
        <w:ind w:firstLine="420"/>
        <w:rPr>
          <w:rFonts w:ascii="宋体"/>
          <w:sz w:val="24"/>
          <w:lang w:val="zh-CN"/>
        </w:rPr>
      </w:pPr>
      <w:r>
        <w:rPr>
          <w:rFonts w:hint="eastAsia" w:ascii="宋体"/>
          <w:sz w:val="24"/>
          <w:lang w:val="zh-CN"/>
        </w:rPr>
        <w:t>（2）采购人在评委会推荐的中标候选人中按顺序确定中标人。</w:t>
      </w:r>
    </w:p>
    <w:p w14:paraId="71ADE66B">
      <w:pPr>
        <w:ind w:firstLine="420"/>
        <w:rPr>
          <w:rFonts w:ascii="宋体"/>
          <w:sz w:val="24"/>
          <w:lang w:val="zh-CN"/>
        </w:rPr>
      </w:pPr>
      <w:r>
        <w:rPr>
          <w:rFonts w:hint="eastAsia" w:ascii="宋体"/>
          <w:sz w:val="24"/>
          <w:lang w:val="zh-CN"/>
        </w:rPr>
        <w:t>按第二种方式确定中标人的，交易中心自评审结束之日起两个工作日内将评审报告送</w:t>
      </w:r>
      <w:r>
        <w:rPr>
          <w:rFonts w:hint="eastAsia" w:ascii="宋体"/>
          <w:sz w:val="24"/>
        </w:rPr>
        <w:t>达</w:t>
      </w:r>
      <w:r>
        <w:rPr>
          <w:rFonts w:hint="eastAsia" w:ascii="宋体"/>
          <w:sz w:val="24"/>
          <w:lang w:val="zh-CN"/>
        </w:rPr>
        <w:t>采购人，采购人自收到评审报告之日起五个工作日内，在评审报告推荐的中标候选人中按顺序确定中标人。</w:t>
      </w:r>
    </w:p>
    <w:p w14:paraId="376D8B63">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.3 交易中心将在“江苏政府采购网”发布中标公告，公告期限为1个工作日。</w:t>
      </w:r>
    </w:p>
    <w:p w14:paraId="008919D4">
      <w:pPr>
        <w:ind w:firstLine="420"/>
        <w:rPr>
          <w:rFonts w:ascii="宋体"/>
          <w:b/>
          <w:bCs/>
          <w:sz w:val="24"/>
          <w:lang w:val="zh-CN"/>
        </w:rPr>
      </w:pPr>
      <w:r>
        <w:rPr>
          <w:rFonts w:hint="eastAsia" w:ascii="宋体"/>
          <w:sz w:val="24"/>
          <w:lang w:val="zh-CN"/>
        </w:rPr>
        <w:t>2</w:t>
      </w:r>
      <w:r>
        <w:rPr>
          <w:rFonts w:hint="eastAsia" w:ascii="宋体"/>
          <w:sz w:val="24"/>
        </w:rPr>
        <w:t>6</w:t>
      </w:r>
      <w:r>
        <w:rPr>
          <w:rFonts w:hint="eastAsia" w:ascii="宋体"/>
          <w:sz w:val="24"/>
          <w:lang w:val="zh-CN"/>
        </w:rPr>
        <w:t>.4</w:t>
      </w:r>
      <w:r>
        <w:rPr>
          <w:rFonts w:hint="eastAsia" w:ascii="宋体"/>
          <w:sz w:val="24"/>
        </w:rPr>
        <w:t xml:space="preserve"> </w:t>
      </w:r>
      <w:r>
        <w:rPr>
          <w:rFonts w:hint="eastAsia" w:ascii="宋体"/>
          <w:b/>
          <w:bCs/>
          <w:sz w:val="24"/>
          <w:lang w:val="zh-CN"/>
        </w:rPr>
        <w:t>若有充分证据证明中标人</w:t>
      </w:r>
      <w:r>
        <w:rPr>
          <w:rFonts w:hint="eastAsia" w:ascii="宋体"/>
          <w:b/>
          <w:bCs/>
          <w:sz w:val="24"/>
        </w:rPr>
        <w:t>有</w:t>
      </w:r>
      <w:r>
        <w:rPr>
          <w:rFonts w:hint="eastAsia" w:ascii="宋体"/>
          <w:b/>
          <w:bCs/>
          <w:sz w:val="24"/>
          <w:lang w:val="zh-CN"/>
        </w:rPr>
        <w:t>下列情况之一的，一经查实将被取消中标资格：</w:t>
      </w:r>
    </w:p>
    <w:p w14:paraId="26B08AB9">
      <w:pPr>
        <w:ind w:firstLine="420"/>
        <w:rPr>
          <w:rFonts w:ascii="宋体"/>
          <w:sz w:val="24"/>
          <w:lang w:val="zh-CN"/>
        </w:rPr>
      </w:pPr>
      <w:r>
        <w:rPr>
          <w:rFonts w:hint="eastAsia" w:ascii="宋体"/>
          <w:sz w:val="24"/>
          <w:lang w:val="zh-CN"/>
        </w:rPr>
        <w:t>26.4.1 提供虚假材料谋取中标。</w:t>
      </w:r>
    </w:p>
    <w:p w14:paraId="5DC6913B">
      <w:pPr>
        <w:ind w:firstLine="420"/>
        <w:rPr>
          <w:rFonts w:ascii="宋体"/>
          <w:sz w:val="24"/>
          <w:lang w:val="zh-CN"/>
        </w:rPr>
      </w:pPr>
      <w:r>
        <w:rPr>
          <w:rFonts w:hint="eastAsia" w:ascii="宋体"/>
          <w:sz w:val="24"/>
          <w:lang w:val="zh-CN"/>
        </w:rPr>
        <w:t>26.4.2 向评审专家、采购人或交易中心工作人员行贿或者提供其他不正当利益。</w:t>
      </w:r>
    </w:p>
    <w:p w14:paraId="25BE685A">
      <w:pPr>
        <w:ind w:firstLine="420"/>
        <w:rPr>
          <w:rFonts w:ascii="宋体"/>
          <w:sz w:val="24"/>
          <w:lang w:val="zh-CN"/>
        </w:rPr>
      </w:pPr>
      <w:r>
        <w:rPr>
          <w:rFonts w:hint="eastAsia" w:ascii="宋体"/>
          <w:sz w:val="24"/>
          <w:lang w:val="zh-CN"/>
        </w:rPr>
        <w:t>26.4.3 与其他供应商、评审专家、采购人或交易中心工作人员恶意串通。</w:t>
      </w:r>
    </w:p>
    <w:p w14:paraId="14B613AC">
      <w:pPr>
        <w:ind w:firstLine="420"/>
        <w:rPr>
          <w:rFonts w:ascii="宋体"/>
          <w:sz w:val="24"/>
          <w:lang w:val="zh-CN"/>
        </w:rPr>
      </w:pPr>
      <w:r>
        <w:rPr>
          <w:rFonts w:hint="eastAsia" w:ascii="宋体"/>
          <w:sz w:val="24"/>
          <w:lang w:val="zh-CN"/>
        </w:rPr>
        <w:t>26.4.4 属于本文件规定的无效投标情形，但在评标过程中未被评委会发现。</w:t>
      </w:r>
    </w:p>
    <w:p w14:paraId="281D7232">
      <w:pPr>
        <w:ind w:firstLine="420"/>
        <w:rPr>
          <w:rFonts w:ascii="宋体"/>
          <w:sz w:val="24"/>
          <w:lang w:val="zh-CN"/>
        </w:rPr>
      </w:pPr>
      <w:r>
        <w:rPr>
          <w:rFonts w:hint="eastAsia" w:ascii="宋体"/>
          <w:sz w:val="24"/>
          <w:lang w:val="zh-CN"/>
        </w:rPr>
        <w:t>26.4.5 采取不正当手段诋毁、排挤其他供应商。</w:t>
      </w:r>
    </w:p>
    <w:p w14:paraId="0CB2B14C">
      <w:pPr>
        <w:ind w:firstLine="420"/>
        <w:rPr>
          <w:rFonts w:ascii="宋体"/>
          <w:b/>
          <w:bCs/>
          <w:sz w:val="24"/>
          <w:lang w:val="zh-CN"/>
        </w:rPr>
      </w:pPr>
      <w:bookmarkStart w:id="149" w:name="_Toc200451960"/>
      <w:r>
        <w:rPr>
          <w:rFonts w:hint="eastAsia" w:ascii="宋体"/>
          <w:sz w:val="24"/>
          <w:lang w:val="zh-CN"/>
        </w:rPr>
        <w:t>2</w:t>
      </w:r>
      <w:r>
        <w:rPr>
          <w:rFonts w:hint="eastAsia" w:ascii="宋体"/>
          <w:sz w:val="24"/>
        </w:rPr>
        <w:t>6</w:t>
      </w:r>
      <w:r>
        <w:rPr>
          <w:rFonts w:hint="eastAsia" w:ascii="宋体"/>
          <w:sz w:val="24"/>
          <w:lang w:val="zh-CN"/>
        </w:rPr>
        <w:t>.5</w:t>
      </w:r>
      <w:r>
        <w:rPr>
          <w:rFonts w:hint="eastAsia" w:ascii="宋体"/>
          <w:sz w:val="24"/>
        </w:rPr>
        <w:t xml:space="preserve"> </w:t>
      </w:r>
      <w:r>
        <w:rPr>
          <w:rFonts w:hint="eastAsia" w:ascii="宋体"/>
          <w:b/>
          <w:bCs/>
          <w:sz w:val="24"/>
          <w:lang w:val="zh-CN"/>
        </w:rPr>
        <w:t>有下列情形之一的视为投标人串通投标，投标无效：</w:t>
      </w:r>
    </w:p>
    <w:p w14:paraId="3E486EE0">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.5.1</w:t>
      </w:r>
      <w:r>
        <w:rPr>
          <w:rFonts w:hint="eastAsia" w:ascii="宋体"/>
          <w:sz w:val="24"/>
        </w:rPr>
        <w:t xml:space="preserve"> </w:t>
      </w:r>
      <w:r>
        <w:rPr>
          <w:rFonts w:hint="eastAsia" w:ascii="宋体"/>
          <w:sz w:val="24"/>
          <w:lang w:val="zh-CN"/>
        </w:rPr>
        <w:t>不同投标人的投标文件由同一单位或者个人编制。</w:t>
      </w:r>
    </w:p>
    <w:p w14:paraId="7BD25F0A">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.5.2</w:t>
      </w:r>
      <w:r>
        <w:rPr>
          <w:rFonts w:hint="eastAsia" w:ascii="宋体"/>
          <w:sz w:val="24"/>
        </w:rPr>
        <w:t xml:space="preserve"> </w:t>
      </w:r>
      <w:r>
        <w:rPr>
          <w:rFonts w:hint="eastAsia" w:ascii="宋体"/>
          <w:sz w:val="24"/>
          <w:lang w:val="zh-CN"/>
        </w:rPr>
        <w:t>不同投标人委托同一单位或者个人办理投标事宜。</w:t>
      </w:r>
    </w:p>
    <w:p w14:paraId="5094F067">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.5.3</w:t>
      </w:r>
      <w:r>
        <w:rPr>
          <w:rFonts w:hint="eastAsia" w:ascii="宋体"/>
          <w:sz w:val="24"/>
        </w:rPr>
        <w:t xml:space="preserve"> </w:t>
      </w:r>
      <w:r>
        <w:rPr>
          <w:rFonts w:hint="eastAsia" w:ascii="宋体"/>
          <w:sz w:val="24"/>
          <w:lang w:val="zh-CN"/>
        </w:rPr>
        <w:t>不同投标人的投标文件载明的项目管理成员或者联系人员为同一人。</w:t>
      </w:r>
    </w:p>
    <w:p w14:paraId="7CD77D4D">
      <w:pPr>
        <w:ind w:firstLine="420"/>
        <w:rPr>
          <w:rFonts w:ascii="宋体"/>
          <w:sz w:val="24"/>
          <w:lang w:val="zh-CN"/>
        </w:rPr>
      </w:pPr>
      <w:r>
        <w:rPr>
          <w:rFonts w:hint="eastAsia" w:ascii="宋体"/>
          <w:sz w:val="24"/>
          <w:lang w:val="zh-CN"/>
        </w:rPr>
        <w:t>2</w:t>
      </w:r>
      <w:r>
        <w:rPr>
          <w:rFonts w:hint="eastAsia" w:ascii="宋体"/>
          <w:sz w:val="24"/>
        </w:rPr>
        <w:t>6</w:t>
      </w:r>
      <w:r>
        <w:rPr>
          <w:rFonts w:hint="eastAsia" w:ascii="宋体"/>
          <w:sz w:val="24"/>
          <w:lang w:val="zh-CN"/>
        </w:rPr>
        <w:t>.5.4</w:t>
      </w:r>
      <w:r>
        <w:rPr>
          <w:rFonts w:hint="eastAsia" w:ascii="宋体"/>
          <w:sz w:val="24"/>
        </w:rPr>
        <w:t xml:space="preserve"> </w:t>
      </w:r>
      <w:r>
        <w:rPr>
          <w:rFonts w:hint="eastAsia" w:ascii="宋体"/>
          <w:sz w:val="24"/>
          <w:lang w:val="zh-CN"/>
        </w:rPr>
        <w:t>不同投标人的投标文件异常一致或者投标报价呈规律性差异。</w:t>
      </w:r>
      <w:bookmarkEnd w:id="149"/>
    </w:p>
    <w:p w14:paraId="71EEE3A9">
      <w:pPr>
        <w:pStyle w:val="357"/>
        <w:spacing w:before="0" w:after="0"/>
        <w:ind w:firstLine="392"/>
        <w:rPr>
          <w:rFonts w:ascii="方正楷体_GBK" w:eastAsia="方正楷体_GBK" w:cs="方正楷体_GBK"/>
        </w:rPr>
      </w:pPr>
      <w:r>
        <w:rPr>
          <w:rFonts w:hint="eastAsia" w:ascii="方正楷体_GBK" w:eastAsia="方正楷体_GBK" w:cs="方正楷体_GBK"/>
        </w:rPr>
        <w:t>27.中标通知书</w:t>
      </w:r>
    </w:p>
    <w:p w14:paraId="74A0D1C9">
      <w:pPr>
        <w:ind w:firstLine="420"/>
        <w:rPr>
          <w:rFonts w:ascii="宋体"/>
          <w:sz w:val="24"/>
          <w:lang w:val="zh-CN"/>
        </w:rPr>
      </w:pPr>
      <w:r>
        <w:rPr>
          <w:rFonts w:hint="eastAsia" w:ascii="宋体"/>
          <w:sz w:val="24"/>
          <w:lang w:val="zh-CN"/>
        </w:rPr>
        <w:t>2</w:t>
      </w:r>
      <w:r>
        <w:rPr>
          <w:rFonts w:hint="eastAsia" w:ascii="宋体"/>
          <w:sz w:val="24"/>
        </w:rPr>
        <w:t>7</w:t>
      </w:r>
      <w:r>
        <w:rPr>
          <w:rFonts w:hint="eastAsia" w:ascii="宋体"/>
          <w:sz w:val="24"/>
          <w:lang w:val="zh-CN"/>
        </w:rPr>
        <w:t>.l 中标结果确定后，交易中心将向中标人发出《中标通知书》。中标人</w:t>
      </w:r>
      <w:r>
        <w:rPr>
          <w:rFonts w:hint="eastAsia" w:ascii="宋体"/>
          <w:sz w:val="24"/>
        </w:rPr>
        <w:t>可</w:t>
      </w:r>
      <w:r>
        <w:rPr>
          <w:rFonts w:hint="eastAsia" w:ascii="宋体"/>
          <w:sz w:val="24"/>
          <w:lang w:val="zh-CN"/>
        </w:rPr>
        <w:t>在中标结果公告届满之日起三十日内，登录苏采云系统下载。</w:t>
      </w:r>
    </w:p>
    <w:p w14:paraId="589D14EA">
      <w:pPr>
        <w:ind w:firstLine="420"/>
        <w:rPr>
          <w:rFonts w:ascii="宋体"/>
          <w:sz w:val="24"/>
          <w:lang w:val="zh-CN"/>
        </w:rPr>
      </w:pPr>
      <w:r>
        <w:rPr>
          <w:rFonts w:hint="eastAsia" w:ascii="宋体"/>
          <w:sz w:val="24"/>
          <w:lang w:val="zh-CN"/>
        </w:rPr>
        <w:t>因系统存储空间有限，中标结果公告届满之日起三十日后，苏采云系统不再保证提供下载《中标通知书》服务，因未及时下载而造成的不利后果由中标人自行承担。</w:t>
      </w:r>
    </w:p>
    <w:p w14:paraId="1D382974">
      <w:pPr>
        <w:ind w:firstLine="420"/>
        <w:rPr>
          <w:rFonts w:ascii="宋体"/>
          <w:sz w:val="24"/>
          <w:lang w:val="zh-CN"/>
        </w:rPr>
      </w:pPr>
      <w:r>
        <w:rPr>
          <w:rFonts w:hint="eastAsia" w:ascii="宋体"/>
          <w:sz w:val="24"/>
          <w:lang w:val="zh-CN"/>
        </w:rPr>
        <w:t>2</w:t>
      </w:r>
      <w:r>
        <w:rPr>
          <w:rFonts w:hint="eastAsia" w:ascii="宋体"/>
          <w:sz w:val="24"/>
        </w:rPr>
        <w:t>7</w:t>
      </w:r>
      <w:r>
        <w:rPr>
          <w:rFonts w:hint="eastAsia" w:ascii="宋体"/>
          <w:sz w:val="24"/>
          <w:lang w:val="zh-CN"/>
        </w:rPr>
        <w:t>.2</w:t>
      </w:r>
      <w:r>
        <w:rPr>
          <w:rFonts w:hint="eastAsia" w:ascii="宋体"/>
          <w:sz w:val="24"/>
        </w:rPr>
        <w:t xml:space="preserve"> 《</w:t>
      </w:r>
      <w:r>
        <w:rPr>
          <w:rFonts w:hint="eastAsia" w:ascii="宋体"/>
          <w:sz w:val="24"/>
          <w:lang w:val="zh-CN"/>
        </w:rPr>
        <w:t>中标通知书</w:t>
      </w:r>
      <w:r>
        <w:rPr>
          <w:rFonts w:hint="eastAsia" w:ascii="宋体"/>
          <w:sz w:val="24"/>
        </w:rPr>
        <w:t>》</w:t>
      </w:r>
      <w:r>
        <w:rPr>
          <w:rFonts w:hint="eastAsia" w:ascii="宋体"/>
          <w:sz w:val="24"/>
          <w:lang w:val="zh-CN"/>
        </w:rPr>
        <w:t>是合同的一个组成部分，对采购人和中标人均具有法律效力。《中标通知书》发出后，采购人改变中标结果或者中标人放弃中标项目的，应当依法承担法律责任。</w:t>
      </w:r>
    </w:p>
    <w:p w14:paraId="0E9B15D2">
      <w:pPr>
        <w:pStyle w:val="355"/>
        <w:spacing w:before="120" w:after="120"/>
        <w:ind w:firstLine="465"/>
        <w:rPr>
          <w:rFonts w:ascii="方正黑体_GBK" w:eastAsia="方正黑体_GBK" w:cs="方正黑体_GBK"/>
        </w:rPr>
      </w:pPr>
      <w:bookmarkStart w:id="150" w:name="_Toc513029236"/>
      <w:bookmarkStart w:id="151" w:name="_Toc16938552"/>
      <w:bookmarkStart w:id="152" w:name="_Toc120614220"/>
      <w:bookmarkStart w:id="153" w:name="_Toc20823308"/>
      <w:r>
        <w:rPr>
          <w:rFonts w:hint="eastAsia" w:ascii="方正黑体_GBK" w:eastAsia="方正黑体_GBK" w:cs="方正黑体_GBK"/>
        </w:rPr>
        <w:t>七、授予合同</w:t>
      </w:r>
      <w:bookmarkEnd w:id="150"/>
      <w:bookmarkEnd w:id="151"/>
      <w:bookmarkEnd w:id="152"/>
      <w:bookmarkEnd w:id="153"/>
    </w:p>
    <w:p w14:paraId="6EA0C21F">
      <w:pPr>
        <w:pStyle w:val="357"/>
        <w:spacing w:before="0" w:after="0"/>
        <w:ind w:firstLine="392"/>
        <w:rPr>
          <w:rFonts w:ascii="方正楷体_GBK" w:eastAsia="方正楷体_GBK" w:cs="方正楷体_GBK"/>
        </w:rPr>
      </w:pPr>
      <w:r>
        <w:rPr>
          <w:rFonts w:hint="eastAsia" w:ascii="方正楷体_GBK" w:eastAsia="方正楷体_GBK" w:cs="方正楷体_GBK"/>
        </w:rPr>
        <w:t>28.签订合同</w:t>
      </w:r>
    </w:p>
    <w:p w14:paraId="28441F3E">
      <w:pPr>
        <w:ind w:firstLine="420"/>
        <w:rPr>
          <w:rFonts w:ascii="宋体"/>
          <w:sz w:val="24"/>
        </w:rPr>
      </w:pPr>
      <w:r>
        <w:rPr>
          <w:rFonts w:hint="eastAsia" w:ascii="宋体"/>
          <w:sz w:val="24"/>
          <w:lang w:val="zh-CN"/>
        </w:rPr>
        <w:t>28</w:t>
      </w:r>
      <w:r>
        <w:rPr>
          <w:rFonts w:hint="eastAsia" w:ascii="宋体"/>
          <w:sz w:val="24"/>
        </w:rPr>
        <w:t>.l</w:t>
      </w:r>
      <w:r>
        <w:rPr>
          <w:rFonts w:hint="eastAsia" w:ascii="宋体"/>
          <w:sz w:val="24"/>
          <w:lang w:val="zh-CN"/>
        </w:rPr>
        <w:t xml:space="preserve"> </w:t>
      </w:r>
      <w:r>
        <w:rPr>
          <w:rFonts w:hint="eastAsia" w:ascii="宋体"/>
          <w:sz w:val="24"/>
        </w:rPr>
        <w:t>中标人应当</w:t>
      </w:r>
      <w:r>
        <w:rPr>
          <w:rFonts w:hint="eastAsia" w:ascii="宋体"/>
          <w:sz w:val="24"/>
          <w:lang w:val="zh-CN"/>
        </w:rPr>
        <w:t>在《</w:t>
      </w:r>
      <w:r>
        <w:rPr>
          <w:rFonts w:hint="eastAsia" w:ascii="宋体"/>
          <w:sz w:val="24"/>
        </w:rPr>
        <w:t>中标通知书</w:t>
      </w:r>
      <w:r>
        <w:rPr>
          <w:rFonts w:hint="eastAsia" w:ascii="宋体"/>
          <w:sz w:val="24"/>
          <w:lang w:val="zh-CN"/>
        </w:rPr>
        <w:t>》</w:t>
      </w:r>
      <w:r>
        <w:rPr>
          <w:rFonts w:hint="eastAsia" w:ascii="宋体"/>
          <w:sz w:val="24"/>
        </w:rPr>
        <w:t>发出之日起三十日内，按照招标文件确定的事项与采购人签订政府采购合同。</w:t>
      </w:r>
      <w:r>
        <w:rPr>
          <w:rFonts w:hint="eastAsia" w:ascii="宋体"/>
          <w:sz w:val="24"/>
          <w:lang w:val="zh-CN"/>
        </w:rPr>
        <w:t>采购人于合同签订后2个工作日内通过苏采云系统进行公示。</w:t>
      </w:r>
    </w:p>
    <w:p w14:paraId="586F4A4A">
      <w:pPr>
        <w:ind w:firstLine="420"/>
        <w:rPr>
          <w:rFonts w:ascii="宋体"/>
          <w:sz w:val="24"/>
        </w:rPr>
      </w:pPr>
      <w:r>
        <w:rPr>
          <w:rFonts w:hint="eastAsia" w:ascii="宋体"/>
          <w:sz w:val="24"/>
          <w:lang w:val="zh-CN"/>
        </w:rPr>
        <w:t>28</w:t>
      </w:r>
      <w:r>
        <w:rPr>
          <w:rFonts w:hint="eastAsia" w:ascii="宋体"/>
          <w:sz w:val="24"/>
        </w:rPr>
        <w:t>.2 招标文件、中标人的投标文件及招标过程中有关澄清、承诺文件均作为合同附件。</w:t>
      </w:r>
    </w:p>
    <w:p w14:paraId="4081DEA3">
      <w:pPr>
        <w:ind w:firstLine="420"/>
        <w:rPr>
          <w:rFonts w:ascii="宋体"/>
          <w:sz w:val="24"/>
        </w:rPr>
      </w:pPr>
      <w:r>
        <w:rPr>
          <w:rFonts w:hint="eastAsia" w:ascii="宋体"/>
          <w:sz w:val="24"/>
          <w:lang w:val="zh-CN"/>
        </w:rPr>
        <w:t>28</w:t>
      </w:r>
      <w:r>
        <w:rPr>
          <w:rFonts w:hint="eastAsia" w:ascii="宋体"/>
          <w:sz w:val="24"/>
        </w:rPr>
        <w:t>.3 签订合同后，中标人不得将合同标的进行转包。未经采购人同意，中标人也不得采用分包的形式履行合同，否则采购人有权终止合同。转包或分包造成采购人损失的，中标人应承担相应赔偿责任。</w:t>
      </w:r>
    </w:p>
    <w:p w14:paraId="5146E051">
      <w:pPr>
        <w:ind w:firstLine="420"/>
        <w:rPr>
          <w:rFonts w:ascii="宋体"/>
          <w:sz w:val="24"/>
        </w:rPr>
      </w:pPr>
      <w:r>
        <w:rPr>
          <w:rFonts w:hint="eastAsia" w:ascii="宋体"/>
          <w:sz w:val="24"/>
          <w:lang w:val="zh-CN"/>
        </w:rPr>
        <w:t>28</w:t>
      </w:r>
      <w:r>
        <w:rPr>
          <w:rFonts w:hint="eastAsia" w:ascii="宋体"/>
          <w:sz w:val="24"/>
        </w:rPr>
        <w:t>.4 中标人因自身原因拒绝与采购人签订合同的，不得参加采购人</w:t>
      </w:r>
      <w:r>
        <w:rPr>
          <w:rFonts w:hint="eastAsia" w:ascii="宋体"/>
          <w:sz w:val="24"/>
          <w:lang w:val="zh-CN"/>
        </w:rPr>
        <w:t>重新组织的</w:t>
      </w:r>
      <w:r>
        <w:rPr>
          <w:rFonts w:hint="eastAsia" w:ascii="宋体"/>
          <w:sz w:val="24"/>
        </w:rPr>
        <w:t>采购活动</w:t>
      </w:r>
      <w:r>
        <w:rPr>
          <w:rFonts w:hint="eastAsia" w:ascii="宋体"/>
          <w:sz w:val="24"/>
          <w:lang w:val="zh-CN"/>
        </w:rPr>
        <w:t>，且将可能被拒绝参加该采购人</w:t>
      </w:r>
      <w:r>
        <w:rPr>
          <w:rFonts w:hint="eastAsia" w:ascii="宋体"/>
          <w:sz w:val="24"/>
        </w:rPr>
        <w:t>一年内</w:t>
      </w:r>
      <w:r>
        <w:rPr>
          <w:rFonts w:hint="eastAsia" w:ascii="宋体"/>
          <w:sz w:val="24"/>
          <w:lang w:val="zh-CN"/>
        </w:rPr>
        <w:t>的其他</w:t>
      </w:r>
      <w:r>
        <w:rPr>
          <w:rFonts w:hint="eastAsia" w:ascii="宋体"/>
          <w:sz w:val="24"/>
        </w:rPr>
        <w:t>政府采购活动。</w:t>
      </w:r>
    </w:p>
    <w:p w14:paraId="271859BF">
      <w:pPr>
        <w:pStyle w:val="357"/>
        <w:spacing w:before="0" w:after="0"/>
        <w:ind w:firstLine="392"/>
        <w:rPr>
          <w:rFonts w:ascii="方正楷体_GBK" w:eastAsia="方正楷体_GBK" w:cs="方正楷体_GBK"/>
        </w:rPr>
      </w:pPr>
      <w:r>
        <w:rPr>
          <w:rFonts w:hint="eastAsia" w:ascii="方正楷体_GBK" w:eastAsia="方正楷体_GBK" w:cs="方正楷体_GBK"/>
        </w:rPr>
        <w:t>29.标的物的追加</w:t>
      </w:r>
    </w:p>
    <w:p w14:paraId="6C37B173">
      <w:pPr>
        <w:ind w:firstLine="420"/>
        <w:rPr>
          <w:rFonts w:ascii="宋体"/>
          <w:sz w:val="24"/>
        </w:rPr>
      </w:pPr>
      <w:r>
        <w:rPr>
          <w:rFonts w:hint="eastAsia" w:ascii="宋体"/>
          <w:sz w:val="24"/>
        </w:rPr>
        <w:t>29.1 合同履行中，采购人需追加与合同标的相同的服务（包含与服务相关的货物），在不改变合同其他条款的前提下，可以与中标人协商签订补充合同，但所有补充合同的金额不超过原合同金额的10%。</w:t>
      </w:r>
    </w:p>
    <w:p w14:paraId="2F9F8A68">
      <w:pPr>
        <w:pStyle w:val="357"/>
        <w:spacing w:before="0" w:after="0"/>
        <w:ind w:firstLine="392"/>
        <w:rPr>
          <w:rFonts w:ascii="方正楷体_GBK" w:eastAsia="方正楷体_GBK" w:cs="方正楷体_GBK"/>
        </w:rPr>
      </w:pPr>
      <w:r>
        <w:rPr>
          <w:rFonts w:hint="eastAsia" w:ascii="方正楷体_GBK" w:eastAsia="方正楷体_GBK" w:cs="方正楷体_GBK"/>
        </w:rPr>
        <w:t>30.政府采购履约资金扶持政策</w:t>
      </w:r>
    </w:p>
    <w:p w14:paraId="168D748D">
      <w:pPr>
        <w:ind w:firstLine="420"/>
        <w:rPr>
          <w:rFonts w:ascii="宋体"/>
          <w:sz w:val="24"/>
          <w:lang w:val="zh-CN"/>
        </w:rPr>
      </w:pPr>
      <w:r>
        <w:rPr>
          <w:rFonts w:hint="eastAsia" w:ascii="宋体"/>
          <w:sz w:val="24"/>
          <w:lang w:val="zh-CN"/>
        </w:rPr>
        <w:t>30.1 中标供应商可通过南京市公共资源交易平台网站“小企业融资平台”，选择相应的金融机构办理融资贷款。</w:t>
      </w:r>
    </w:p>
    <w:p w14:paraId="4BBD049D">
      <w:pPr>
        <w:ind w:firstLine="420"/>
        <w:rPr>
          <w:rFonts w:ascii="宋体"/>
          <w:sz w:val="24"/>
          <w:lang w:val="zh-CN"/>
        </w:rPr>
      </w:pPr>
      <w:r>
        <w:rPr>
          <w:rFonts w:hint="eastAsia" w:ascii="宋体"/>
          <w:sz w:val="24"/>
          <w:lang w:val="zh-CN"/>
        </w:rPr>
        <w:t>30.2 依据《关于在全省政府采购领域推行电子履约保函（保险）的通知》（苏财购〔2023〕150号），需要缴纳履约保证金的，中标供应商可通过江苏政府采购网“政府采购电子履约保函（保险）综合服务平台”线上办理履约保函（保险）。</w:t>
      </w:r>
    </w:p>
    <w:p w14:paraId="2D66C823">
      <w:pPr>
        <w:pStyle w:val="355"/>
        <w:spacing w:before="120" w:after="120"/>
        <w:ind w:firstLine="465"/>
        <w:rPr>
          <w:rFonts w:ascii="方正黑体_GBK" w:eastAsia="方正黑体_GBK" w:cs="方正黑体_GBK"/>
        </w:rPr>
      </w:pPr>
      <w:r>
        <w:rPr>
          <w:rFonts w:hint="eastAsia" w:ascii="方正黑体_GBK" w:eastAsia="方正黑体_GBK" w:cs="方正黑体_GBK"/>
        </w:rPr>
        <w:t>八、质疑</w:t>
      </w:r>
    </w:p>
    <w:p w14:paraId="5B18BD08">
      <w:pPr>
        <w:ind w:firstLine="420"/>
        <w:rPr>
          <w:rFonts w:ascii="宋体"/>
          <w:sz w:val="24"/>
          <w:lang w:val="zh-CN"/>
        </w:rPr>
      </w:pPr>
      <w:r>
        <w:rPr>
          <w:rFonts w:hint="eastAsia" w:ascii="宋体"/>
          <w:sz w:val="24"/>
        </w:rPr>
        <w:t>31.</w:t>
      </w:r>
      <w:r>
        <w:rPr>
          <w:rFonts w:hint="eastAsia" w:ascii="宋体"/>
          <w:sz w:val="24"/>
          <w:lang w:val="zh-CN"/>
        </w:rPr>
        <w:t>提出质疑的供应商应当是参与所质疑项目采购活动的供应商，潜在供应商依法获取其可质疑的采购文件的，可以对采购文件提出质疑。</w:t>
      </w:r>
    </w:p>
    <w:p w14:paraId="5F18BF56">
      <w:pPr>
        <w:ind w:firstLine="420"/>
        <w:rPr>
          <w:rFonts w:ascii="宋体"/>
          <w:sz w:val="24"/>
          <w:lang w:val="zh-CN"/>
        </w:rPr>
      </w:pPr>
      <w:r>
        <w:rPr>
          <w:rFonts w:hint="eastAsia" w:ascii="宋体"/>
          <w:sz w:val="24"/>
        </w:rPr>
        <w:t>32.</w:t>
      </w:r>
      <w:r>
        <w:rPr>
          <w:rFonts w:hint="eastAsia" w:ascii="宋体"/>
          <w:sz w:val="24"/>
          <w:lang w:val="zh-CN"/>
        </w:rPr>
        <w:t>供应商认为采购文件、采购过程和采购结果使自己的权益受到损害的，可以在知道或应知其权益受到损害之日起七个工作日内，</w:t>
      </w:r>
      <w:r>
        <w:rPr>
          <w:rFonts w:hint="eastAsia" w:ascii="宋体"/>
          <w:sz w:val="24"/>
        </w:rPr>
        <w:t>按照第3</w:t>
      </w:r>
      <w:r>
        <w:rPr>
          <w:rFonts w:hint="eastAsia" w:ascii="宋体"/>
          <w:sz w:val="24"/>
          <w:lang w:val="zh-CN"/>
        </w:rPr>
        <w:t>4</w:t>
      </w:r>
      <w:r>
        <w:rPr>
          <w:rFonts w:hint="eastAsia" w:ascii="宋体"/>
          <w:sz w:val="24"/>
        </w:rPr>
        <w:t>条</w:t>
      </w:r>
      <w:r>
        <w:rPr>
          <w:rFonts w:hint="eastAsia" w:ascii="宋体"/>
          <w:sz w:val="24"/>
          <w:lang w:val="zh-CN"/>
        </w:rPr>
        <w:t>、</w:t>
      </w:r>
      <w:r>
        <w:rPr>
          <w:rFonts w:hint="eastAsia" w:ascii="宋体"/>
          <w:sz w:val="24"/>
        </w:rPr>
        <w:t>第35</w:t>
      </w:r>
      <w:r>
        <w:rPr>
          <w:rFonts w:hint="eastAsia" w:ascii="宋体"/>
          <w:sz w:val="24"/>
          <w:lang w:val="zh-CN"/>
        </w:rPr>
        <w:t>条</w:t>
      </w:r>
      <w:r>
        <w:rPr>
          <w:rFonts w:hint="eastAsia" w:ascii="宋体"/>
          <w:sz w:val="24"/>
        </w:rPr>
        <w:t>之</w:t>
      </w:r>
      <w:r>
        <w:rPr>
          <w:rFonts w:hint="eastAsia" w:ascii="宋体"/>
          <w:sz w:val="24"/>
          <w:lang w:val="zh-CN"/>
        </w:rPr>
        <w:t>规定以书面形式向采购人或交易中心提出质疑。</w:t>
      </w:r>
      <w:r>
        <w:rPr>
          <w:rFonts w:hint="eastAsia" w:ascii="宋体"/>
          <w:b/>
          <w:bCs/>
          <w:sz w:val="24"/>
          <w:lang w:val="zh-CN"/>
        </w:rPr>
        <w:t>上述应知其权益受到损害之日是指</w:t>
      </w:r>
      <w:r>
        <w:rPr>
          <w:rFonts w:hint="eastAsia" w:ascii="宋体"/>
          <w:sz w:val="24"/>
          <w:lang w:val="zh-CN"/>
        </w:rPr>
        <w:t>：</w:t>
      </w:r>
    </w:p>
    <w:p w14:paraId="53712181">
      <w:pPr>
        <w:ind w:firstLine="420"/>
        <w:rPr>
          <w:rFonts w:ascii="宋体"/>
          <w:sz w:val="24"/>
          <w:lang w:val="zh-CN"/>
        </w:rPr>
      </w:pPr>
      <w:r>
        <w:rPr>
          <w:rFonts w:hint="eastAsia" w:ascii="宋体"/>
          <w:sz w:val="24"/>
        </w:rPr>
        <w:t>3</w:t>
      </w:r>
      <w:r>
        <w:rPr>
          <w:rFonts w:hint="eastAsia" w:ascii="宋体"/>
          <w:sz w:val="24"/>
          <w:lang w:val="zh-CN"/>
        </w:rPr>
        <w:t>2.1 对采购文件提出质疑的，为收到采购文件之日或者采购文件公告期限届满之日。</w:t>
      </w:r>
    </w:p>
    <w:p w14:paraId="361F34D8">
      <w:pPr>
        <w:ind w:firstLine="420"/>
        <w:rPr>
          <w:rFonts w:ascii="宋体"/>
          <w:sz w:val="24"/>
          <w:lang w:val="zh-CN"/>
        </w:rPr>
      </w:pPr>
      <w:r>
        <w:rPr>
          <w:rFonts w:hint="eastAsia" w:ascii="宋体"/>
          <w:sz w:val="24"/>
        </w:rPr>
        <w:t>3</w:t>
      </w:r>
      <w:r>
        <w:rPr>
          <w:rFonts w:hint="eastAsia" w:ascii="宋体"/>
          <w:sz w:val="24"/>
          <w:lang w:val="zh-CN"/>
        </w:rPr>
        <w:t>2.2 对采购过程提出质疑的，为各采购程序环节结束之日。</w:t>
      </w:r>
    </w:p>
    <w:p w14:paraId="663B1A48">
      <w:pPr>
        <w:ind w:firstLine="420"/>
        <w:rPr>
          <w:rFonts w:ascii="宋体"/>
          <w:sz w:val="24"/>
          <w:lang w:val="zh-CN"/>
        </w:rPr>
      </w:pPr>
      <w:r>
        <w:rPr>
          <w:rFonts w:hint="eastAsia" w:ascii="宋体"/>
          <w:sz w:val="24"/>
        </w:rPr>
        <w:t>3</w:t>
      </w:r>
      <w:r>
        <w:rPr>
          <w:rFonts w:hint="eastAsia" w:ascii="宋体"/>
          <w:sz w:val="24"/>
          <w:lang w:val="zh-CN"/>
        </w:rPr>
        <w:t>2.3 对中标或者成交结果提出质疑的，为中标或者成交结果公告期限届满之日。</w:t>
      </w:r>
    </w:p>
    <w:p w14:paraId="046C37DE">
      <w:pPr>
        <w:ind w:firstLine="420"/>
        <w:rPr>
          <w:rFonts w:ascii="宋体"/>
          <w:sz w:val="24"/>
          <w:lang w:val="zh-CN"/>
        </w:rPr>
      </w:pPr>
      <w:r>
        <w:rPr>
          <w:rFonts w:hint="eastAsia" w:ascii="宋体"/>
          <w:sz w:val="24"/>
        </w:rPr>
        <w:t>33.</w:t>
      </w:r>
      <w:r>
        <w:rPr>
          <w:rFonts w:hint="eastAsia" w:ascii="宋体"/>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46A7EEDA">
      <w:pPr>
        <w:ind w:firstLine="420"/>
        <w:rPr>
          <w:rFonts w:ascii="宋体"/>
          <w:sz w:val="24"/>
          <w:lang w:val="zh-CN"/>
        </w:rPr>
      </w:pPr>
      <w:r>
        <w:rPr>
          <w:rFonts w:hint="eastAsia" w:ascii="宋体"/>
          <w:sz w:val="24"/>
        </w:rPr>
        <w:t>34.</w:t>
      </w:r>
      <w:r>
        <w:rPr>
          <w:rFonts w:hint="eastAsia" w:ascii="宋体"/>
          <w:sz w:val="24"/>
          <w:lang w:val="zh-CN"/>
        </w:rPr>
        <w:t>供应商提出质疑应提交《质疑函》原件，且尽可能通过邮寄方式送达，交易中心和采购人不接受无运单的快件。《质疑函》应按照本招标文件中《质疑函范本》</w:t>
      </w:r>
      <w:r>
        <w:rPr>
          <w:rFonts w:hint="eastAsia" w:ascii="宋体"/>
          <w:sz w:val="24"/>
        </w:rPr>
        <w:t>的</w:t>
      </w:r>
      <w:r>
        <w:rPr>
          <w:rFonts w:hint="eastAsia" w:ascii="宋体"/>
          <w:sz w:val="24"/>
          <w:lang w:val="zh-CN"/>
        </w:rPr>
        <w:t>格式和内容填写。</w:t>
      </w:r>
    </w:p>
    <w:p w14:paraId="33830BAB">
      <w:pPr>
        <w:ind w:firstLine="420"/>
        <w:rPr>
          <w:rFonts w:ascii="宋体"/>
          <w:sz w:val="24"/>
          <w:lang w:val="zh-CN"/>
        </w:rPr>
      </w:pPr>
      <w:r>
        <w:rPr>
          <w:rFonts w:hint="eastAsia" w:ascii="宋体"/>
          <w:sz w:val="24"/>
          <w:lang w:val="zh-CN"/>
        </w:rPr>
        <w:t>供应商如组成联合体参加采购活动，《质疑函范本》中要求加盖公章之处，联合体各方均须按要求加盖公章。</w:t>
      </w:r>
    </w:p>
    <w:p w14:paraId="45637D3B">
      <w:pPr>
        <w:ind w:firstLine="420"/>
        <w:rPr>
          <w:rFonts w:ascii="宋体"/>
          <w:sz w:val="24"/>
          <w:lang w:val="zh-CN"/>
        </w:rPr>
      </w:pPr>
      <w:r>
        <w:rPr>
          <w:rFonts w:hint="eastAsia" w:ascii="宋体"/>
          <w:color w:val="000000"/>
          <w:sz w:val="24"/>
          <w:szCs w:val="21"/>
          <w:lang w:val="zh-CN"/>
        </w:rPr>
        <w:t>3</w:t>
      </w:r>
      <w:r>
        <w:rPr>
          <w:rFonts w:hint="eastAsia" w:ascii="宋体"/>
          <w:color w:val="000000"/>
          <w:sz w:val="24"/>
          <w:szCs w:val="21"/>
        </w:rPr>
        <w:t>5</w:t>
      </w:r>
      <w:r>
        <w:rPr>
          <w:rFonts w:hint="eastAsia" w:ascii="宋体"/>
          <w:color w:val="000000"/>
          <w:sz w:val="24"/>
          <w:szCs w:val="21"/>
          <w:lang w:val="zh-CN"/>
        </w:rPr>
        <w:t>.</w:t>
      </w:r>
      <w:r>
        <w:rPr>
          <w:rFonts w:hint="eastAsia" w:ascii="宋体"/>
          <w:b/>
          <w:bCs/>
          <w:sz w:val="24"/>
          <w:lang w:val="zh-CN"/>
        </w:rPr>
        <w:t>供应商（含潜在供应商）对采购方式、采购需求</w:t>
      </w:r>
      <w:r>
        <w:rPr>
          <w:rFonts w:hint="eastAsia" w:ascii="宋体" w:hAnsi="宋体"/>
          <w:color w:val="000000"/>
          <w:sz w:val="24"/>
          <w:lang w:val="zh-CN"/>
        </w:rPr>
        <w:t>、</w:t>
      </w:r>
      <w:r>
        <w:rPr>
          <w:rFonts w:hint="eastAsia" w:ascii="宋体"/>
          <w:b/>
          <w:bCs/>
          <w:sz w:val="24"/>
          <w:lang w:val="zh-CN"/>
        </w:rPr>
        <w:t>资格条件及审查结果、评标方法和评标标准、合同文本的询问、质疑向采购人提出，由采购人负责答复。</w:t>
      </w:r>
      <w:r>
        <w:rPr>
          <w:rFonts w:hint="eastAsia" w:ascii="宋体"/>
          <w:sz w:val="24"/>
          <w:lang w:val="zh-CN"/>
        </w:rPr>
        <w:t>供应商对除上述事项以外其他事项的询问、质疑向交易中心提出，由交易中心负责答复。</w:t>
      </w:r>
    </w:p>
    <w:p w14:paraId="14C81FAC">
      <w:pPr>
        <w:ind w:firstLine="422"/>
        <w:rPr>
          <w:rFonts w:ascii="宋体"/>
          <w:b/>
          <w:bCs/>
          <w:sz w:val="24"/>
          <w:lang w:val="zh-CN"/>
        </w:rPr>
      </w:pPr>
      <w:r>
        <w:rPr>
          <w:rFonts w:hint="eastAsia" w:ascii="宋体"/>
          <w:b/>
          <w:bCs/>
          <w:sz w:val="24"/>
          <w:lang w:val="zh-CN"/>
        </w:rPr>
        <w:t>采购人《质疑函》接收人及联系方式见招标文件第一章。</w:t>
      </w:r>
    </w:p>
    <w:p w14:paraId="5C73B7CA">
      <w:pPr>
        <w:ind w:firstLine="420"/>
        <w:rPr>
          <w:rFonts w:ascii="宋体"/>
          <w:sz w:val="24"/>
        </w:rPr>
      </w:pPr>
      <w:r>
        <w:rPr>
          <w:rFonts w:hint="eastAsia" w:ascii="宋体"/>
          <w:sz w:val="24"/>
          <w:lang w:val="zh-CN"/>
        </w:rPr>
        <w:t>交易中心《质疑函》接收部门为政府采购</w:t>
      </w:r>
      <w:r>
        <w:rPr>
          <w:rFonts w:hint="eastAsia" w:ascii="宋体"/>
          <w:sz w:val="24"/>
        </w:rPr>
        <w:t>处</w:t>
      </w:r>
      <w:r>
        <w:rPr>
          <w:rFonts w:hint="eastAsia" w:ascii="宋体"/>
          <w:sz w:val="24"/>
          <w:lang w:val="zh-CN"/>
        </w:rPr>
        <w:t>。收件人：南京市公共资源交易中心政府采购</w:t>
      </w:r>
      <w:r>
        <w:rPr>
          <w:rFonts w:hint="eastAsia" w:ascii="宋体"/>
          <w:sz w:val="24"/>
        </w:rPr>
        <w:t>处</w:t>
      </w:r>
      <w:r>
        <w:rPr>
          <w:rFonts w:hint="eastAsia" w:ascii="宋体"/>
          <w:sz w:val="24"/>
          <w:lang w:val="zh-CN"/>
        </w:rPr>
        <w:t>，地址：南京市浦口区江浦街道象山路4号浦口市民中心B幢五楼受理大厅，联系电话：025-6965904</w:t>
      </w:r>
      <w:r>
        <w:rPr>
          <w:rFonts w:hint="eastAsia" w:ascii="宋体"/>
          <w:sz w:val="24"/>
        </w:rPr>
        <w:t>7</w:t>
      </w:r>
      <w:r>
        <w:rPr>
          <w:rFonts w:hint="eastAsia" w:ascii="宋体"/>
          <w:sz w:val="24"/>
          <w:lang w:val="zh-CN"/>
        </w:rPr>
        <w:t>。</w:t>
      </w:r>
      <w:r>
        <w:rPr>
          <w:rFonts w:hint="eastAsia" w:ascii="宋体"/>
          <w:sz w:val="24"/>
        </w:rPr>
        <w:t xml:space="preserve">  </w:t>
      </w:r>
    </w:p>
    <w:p w14:paraId="5E5EA3F6">
      <w:pPr>
        <w:ind w:firstLine="422"/>
        <w:rPr>
          <w:rFonts w:ascii="宋体"/>
          <w:b/>
          <w:bCs/>
          <w:sz w:val="24"/>
          <w:lang w:val="zh-CN"/>
        </w:rPr>
      </w:pPr>
      <w:r>
        <w:rPr>
          <w:rFonts w:hint="eastAsia" w:ascii="宋体"/>
          <w:b/>
          <w:bCs/>
          <w:sz w:val="24"/>
          <w:lang w:val="zh-CN"/>
        </w:rPr>
        <w:t>由采购人负责答复的质疑，采购人将《质疑答复函》抄送交易中心。</w:t>
      </w:r>
    </w:p>
    <w:p w14:paraId="6FC4FD90">
      <w:pPr>
        <w:ind w:firstLine="420"/>
        <w:rPr>
          <w:rFonts w:ascii="宋体"/>
          <w:sz w:val="24"/>
          <w:lang w:val="zh-CN"/>
        </w:rPr>
      </w:pPr>
      <w:r>
        <w:rPr>
          <w:rFonts w:hint="eastAsia" w:ascii="宋体"/>
          <w:sz w:val="24"/>
        </w:rPr>
        <w:t>36.</w:t>
      </w:r>
      <w:r>
        <w:rPr>
          <w:rFonts w:hint="eastAsia" w:ascii="宋体"/>
          <w:sz w:val="24"/>
          <w:lang w:val="zh-CN"/>
        </w:rPr>
        <w:t>以下情形的质疑不予受理：</w:t>
      </w:r>
    </w:p>
    <w:p w14:paraId="73407E69">
      <w:pPr>
        <w:ind w:firstLine="420"/>
        <w:rPr>
          <w:rFonts w:ascii="宋体"/>
          <w:sz w:val="24"/>
          <w:lang w:val="zh-CN"/>
        </w:rPr>
      </w:pPr>
      <w:r>
        <w:rPr>
          <w:rFonts w:hint="eastAsia" w:ascii="宋体"/>
          <w:sz w:val="24"/>
        </w:rPr>
        <w:t>36</w:t>
      </w:r>
      <w:r>
        <w:rPr>
          <w:rFonts w:hint="eastAsia" w:ascii="宋体"/>
          <w:sz w:val="24"/>
          <w:lang w:val="zh-CN"/>
        </w:rPr>
        <w:t>.1 内容不符合《政府采购质疑和投诉办法》第十二条规定的质疑。</w:t>
      </w:r>
    </w:p>
    <w:p w14:paraId="0C3E8127">
      <w:pPr>
        <w:ind w:firstLine="420"/>
        <w:rPr>
          <w:rFonts w:ascii="宋体"/>
          <w:sz w:val="24"/>
          <w:lang w:val="zh-CN"/>
        </w:rPr>
      </w:pPr>
      <w:r>
        <w:rPr>
          <w:rFonts w:hint="eastAsia" w:ascii="宋体"/>
          <w:sz w:val="24"/>
        </w:rPr>
        <w:t>36</w:t>
      </w:r>
      <w:r>
        <w:rPr>
          <w:rFonts w:hint="eastAsia" w:ascii="宋体"/>
          <w:sz w:val="24"/>
          <w:lang w:val="zh-CN"/>
        </w:rPr>
        <w:t>.2 超出政府采购法定期限的质疑。</w:t>
      </w:r>
    </w:p>
    <w:p w14:paraId="54ED6426">
      <w:pPr>
        <w:ind w:firstLine="420"/>
        <w:rPr>
          <w:rFonts w:ascii="宋体"/>
          <w:sz w:val="24"/>
          <w:lang w:val="zh-CN"/>
        </w:rPr>
      </w:pPr>
      <w:r>
        <w:rPr>
          <w:rFonts w:hint="eastAsia" w:ascii="宋体"/>
          <w:sz w:val="24"/>
        </w:rPr>
        <w:t>36</w:t>
      </w:r>
      <w:r>
        <w:rPr>
          <w:rFonts w:hint="eastAsia" w:ascii="宋体"/>
          <w:sz w:val="24"/>
          <w:lang w:val="zh-CN"/>
        </w:rPr>
        <w:t>.3 以传真、电子邮件等方式递交的非原件形式的质疑。</w:t>
      </w:r>
    </w:p>
    <w:p w14:paraId="3227DB60">
      <w:pPr>
        <w:ind w:firstLine="420"/>
        <w:rPr>
          <w:rFonts w:ascii="宋体"/>
          <w:sz w:val="24"/>
          <w:lang w:val="zh-CN"/>
        </w:rPr>
      </w:pPr>
      <w:r>
        <w:rPr>
          <w:rFonts w:hint="eastAsia" w:ascii="宋体"/>
          <w:sz w:val="24"/>
        </w:rPr>
        <w:t>36</w:t>
      </w:r>
      <w:r>
        <w:rPr>
          <w:rFonts w:hint="eastAsia" w:ascii="宋体"/>
          <w:sz w:val="24"/>
          <w:lang w:val="zh-CN"/>
        </w:rPr>
        <w:t>.4 未参加采购活动或在采购活动中自身权益未受到损害的供应商所提出的质疑。</w:t>
      </w:r>
    </w:p>
    <w:p w14:paraId="3E17B5FC">
      <w:pPr>
        <w:ind w:firstLine="420"/>
        <w:rPr>
          <w:rFonts w:ascii="宋体"/>
          <w:sz w:val="24"/>
          <w:lang w:val="zh-CN"/>
        </w:rPr>
      </w:pPr>
      <w:r>
        <w:rPr>
          <w:rFonts w:hint="eastAsia" w:ascii="宋体"/>
          <w:sz w:val="24"/>
        </w:rPr>
        <w:t>36</w:t>
      </w:r>
      <w:r>
        <w:rPr>
          <w:rFonts w:hint="eastAsia" w:ascii="宋体"/>
          <w:sz w:val="24"/>
          <w:lang w:val="zh-CN"/>
        </w:rPr>
        <w:t>.5 供应商组成联合体参加采购活动，联合体中任何一方或多方未按要求签字</w:t>
      </w:r>
      <w:r>
        <w:rPr>
          <w:rFonts w:hint="eastAsia" w:ascii="宋体"/>
          <w:sz w:val="24"/>
        </w:rPr>
        <w:t>或签章</w:t>
      </w:r>
      <w:r>
        <w:rPr>
          <w:rFonts w:hint="eastAsia" w:ascii="宋体"/>
          <w:sz w:val="24"/>
          <w:lang w:val="zh-CN"/>
        </w:rPr>
        <w:t>、加盖公章的质疑。</w:t>
      </w:r>
    </w:p>
    <w:p w14:paraId="2EAD62A8">
      <w:pPr>
        <w:ind w:firstLine="420"/>
        <w:rPr>
          <w:rFonts w:ascii="宋体"/>
          <w:sz w:val="24"/>
          <w:lang w:val="zh-CN"/>
        </w:rPr>
      </w:pPr>
      <w:r>
        <w:rPr>
          <w:rFonts w:hint="eastAsia" w:ascii="宋体"/>
          <w:sz w:val="24"/>
        </w:rPr>
        <w:t>36</w:t>
      </w:r>
      <w:r>
        <w:rPr>
          <w:rFonts w:hint="eastAsia" w:ascii="宋体"/>
          <w:sz w:val="24"/>
          <w:lang w:val="zh-CN"/>
        </w:rPr>
        <w:t>.</w:t>
      </w:r>
      <w:r>
        <w:rPr>
          <w:rFonts w:hint="eastAsia" w:ascii="宋体"/>
          <w:sz w:val="24"/>
        </w:rPr>
        <w:t>6</w:t>
      </w:r>
      <w:r>
        <w:rPr>
          <w:rFonts w:hint="eastAsia" w:ascii="宋体"/>
          <w:sz w:val="24"/>
          <w:lang w:val="zh-CN"/>
        </w:rPr>
        <w:t xml:space="preserve"> 法律法规规定的</w:t>
      </w:r>
      <w:r>
        <w:rPr>
          <w:rFonts w:hint="eastAsia" w:ascii="宋体"/>
          <w:sz w:val="24"/>
        </w:rPr>
        <w:t>其他</w:t>
      </w:r>
      <w:r>
        <w:rPr>
          <w:rFonts w:hint="eastAsia" w:ascii="宋体"/>
          <w:sz w:val="24"/>
          <w:lang w:val="zh-CN"/>
        </w:rPr>
        <w:t>不予受理情形。</w:t>
      </w:r>
    </w:p>
    <w:p w14:paraId="4CAEA644">
      <w:pPr>
        <w:ind w:firstLine="420"/>
        <w:rPr>
          <w:rFonts w:ascii="宋体"/>
          <w:sz w:val="24"/>
          <w:lang w:val="zh-CN"/>
        </w:rPr>
      </w:pPr>
      <w:r>
        <w:rPr>
          <w:rFonts w:hint="eastAsia" w:ascii="宋体"/>
          <w:sz w:val="24"/>
        </w:rPr>
        <w:t>37.</w:t>
      </w:r>
      <w:r>
        <w:rPr>
          <w:rFonts w:hint="eastAsia" w:ascii="宋体"/>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32D535F">
      <w:pPr>
        <w:pStyle w:val="355"/>
        <w:spacing w:before="120" w:after="120"/>
        <w:ind w:firstLine="465"/>
        <w:rPr>
          <w:rFonts w:ascii="方正黑体_GBK" w:eastAsia="方正黑体_GBK" w:cs="方正黑体_GBK"/>
        </w:rPr>
      </w:pPr>
      <w:r>
        <w:rPr>
          <w:rFonts w:hint="eastAsia" w:ascii="方正黑体_GBK" w:eastAsia="方正黑体_GBK" w:cs="方正黑体_GBK"/>
        </w:rPr>
        <w:t>九、政策功能落实</w:t>
      </w:r>
    </w:p>
    <w:p w14:paraId="5CE44717">
      <w:pPr>
        <w:pStyle w:val="357"/>
        <w:spacing w:before="0" w:after="0"/>
        <w:ind w:firstLine="422"/>
        <w:rPr>
          <w:rFonts w:ascii="方正楷体_GBK" w:eastAsia="方正楷体_GBK" w:cs="方正楷体_GBK"/>
          <w:sz w:val="28"/>
          <w:lang w:val="zh-CN"/>
        </w:rPr>
      </w:pPr>
      <w:r>
        <w:rPr>
          <w:rFonts w:hint="eastAsia" w:ascii="方正楷体_GBK" w:eastAsia="方正楷体_GBK" w:cs="方正楷体_GBK"/>
          <w:sz w:val="28"/>
          <w:lang w:val="zh-CN"/>
        </w:rPr>
        <w:t>3</w:t>
      </w:r>
      <w:r>
        <w:rPr>
          <w:rFonts w:hint="eastAsia" w:ascii="方正楷体_GBK" w:eastAsia="方正楷体_GBK" w:cs="方正楷体_GBK"/>
          <w:sz w:val="28"/>
        </w:rPr>
        <w:t>8</w:t>
      </w:r>
      <w:r>
        <w:rPr>
          <w:rFonts w:hint="eastAsia" w:ascii="方正楷体_GBK" w:eastAsia="方正楷体_GBK" w:cs="方正楷体_GBK"/>
          <w:sz w:val="28"/>
          <w:lang w:val="zh-CN"/>
        </w:rPr>
        <w:t>.促进中小企业发展</w:t>
      </w:r>
    </w:p>
    <w:p w14:paraId="3C88268E">
      <w:pPr>
        <w:ind w:firstLine="420"/>
        <w:rPr>
          <w:rFonts w:ascii="宋体"/>
          <w:sz w:val="24"/>
        </w:rPr>
      </w:pPr>
      <w:r>
        <w:rPr>
          <w:rFonts w:hint="eastAsia" w:ascii="宋体"/>
          <w:sz w:val="24"/>
        </w:rPr>
        <w:t>38.1 本项目服务由中小企业承接的，投标供应商享受中小企业扶持政策。</w:t>
      </w:r>
    </w:p>
    <w:p w14:paraId="4E3BF053">
      <w:pPr>
        <w:ind w:firstLine="420"/>
        <w:rPr>
          <w:rFonts w:ascii="宋体"/>
          <w:sz w:val="24"/>
        </w:rPr>
      </w:pPr>
      <w:r>
        <w:rPr>
          <w:rFonts w:hint="eastAsia" w:ascii="宋体"/>
          <w:sz w:val="24"/>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C7F78B7">
      <w:pPr>
        <w:ind w:firstLine="420"/>
        <w:rPr>
          <w:rFonts w:ascii="宋体"/>
          <w:sz w:val="24"/>
        </w:rPr>
      </w:pPr>
      <w:r>
        <w:rPr>
          <w:rFonts w:hint="eastAsia" w:ascii="宋体"/>
          <w:sz w:val="24"/>
        </w:rPr>
        <w:t>38.3 中小企业参加政府采购活动，应当出具《中小企业声明函》，否则不享受相关中小企业支持政策。</w:t>
      </w:r>
    </w:p>
    <w:p w14:paraId="7146F924">
      <w:pPr>
        <w:ind w:firstLine="420"/>
        <w:rPr>
          <w:rFonts w:ascii="宋体"/>
          <w:sz w:val="24"/>
        </w:rPr>
      </w:pPr>
      <w:r>
        <w:rPr>
          <w:rFonts w:hint="eastAsia" w:ascii="宋体"/>
          <w:sz w:val="24"/>
        </w:rPr>
        <w:t>38.4 以联合体形式参加政府采购活动，联合体各方均为中小企业的，联合体视同中小企业。其中，联合体各方均为小微企业的，联合体视同小微企业。</w:t>
      </w:r>
    </w:p>
    <w:p w14:paraId="4AD0D33D">
      <w:pPr>
        <w:ind w:firstLine="420"/>
        <w:rPr>
          <w:rFonts w:ascii="宋体"/>
          <w:sz w:val="24"/>
        </w:rPr>
      </w:pPr>
      <w:r>
        <w:rPr>
          <w:rFonts w:hint="eastAsia" w:ascii="宋体"/>
          <w:sz w:val="24"/>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48449A0F">
      <w:pPr>
        <w:ind w:firstLine="420"/>
        <w:rPr>
          <w:rFonts w:ascii="宋体"/>
          <w:sz w:val="24"/>
        </w:rPr>
      </w:pPr>
      <w:r>
        <w:rPr>
          <w:rFonts w:hint="eastAsia" w:ascii="宋体"/>
          <w:sz w:val="24"/>
        </w:rPr>
        <w:t>38.6 残疾人福利性单位视同小型、微型企业。按照《关于促进残疾人就业政府采购政策的通知》（财库〔2017〕141号）规定，残疾人福利单位需提供《残疾人福利性单位声明函》。</w:t>
      </w:r>
    </w:p>
    <w:p w14:paraId="0AD7158F">
      <w:pPr>
        <w:pStyle w:val="101"/>
        <w:adjustRightInd w:val="0"/>
        <w:snapToGrid w:val="0"/>
        <w:spacing w:line="360" w:lineRule="auto"/>
        <w:ind w:firstLine="100" w:firstLineChars="50"/>
      </w:pPr>
    </w:p>
    <w:p w14:paraId="7862B5D5"/>
    <w:p w14:paraId="7DE6B6FE">
      <w:pPr>
        <w:rPr>
          <w:rFonts w:hint="eastAsia" w:ascii="Arial Unicode MS" w:hAnsi="Arial Unicode MS" w:eastAsia="Arial Unicode MS" w:cs="Arial Unicode MS"/>
          <w:b/>
          <w:bCs/>
          <w:color w:val="000000"/>
          <w:sz w:val="36"/>
          <w:szCs w:val="36"/>
        </w:rPr>
      </w:pPr>
      <w:r>
        <w:rPr>
          <w:rFonts w:hint="eastAsia" w:ascii="Arial Unicode MS" w:hAnsi="Arial Unicode MS" w:eastAsia="Arial Unicode MS" w:cs="Arial Unicode MS"/>
          <w:b/>
          <w:bCs/>
          <w:color w:val="000000"/>
          <w:sz w:val="36"/>
          <w:szCs w:val="36"/>
        </w:rPr>
        <w:br w:type="page"/>
      </w:r>
    </w:p>
    <w:p w14:paraId="17072FFA">
      <w:pPr>
        <w:pStyle w:val="101"/>
        <w:tabs>
          <w:tab w:val="left" w:pos="463"/>
        </w:tabs>
        <w:ind w:left="0"/>
        <w:jc w:val="center"/>
        <w:outlineLvl w:val="0"/>
        <w:rPr>
          <w:rFonts w:hint="eastAsia" w:ascii="Arial Unicode MS" w:hAnsi="Arial Unicode MS" w:eastAsia="Arial Unicode MS" w:cs="Arial Unicode MS"/>
          <w:b/>
          <w:bCs/>
          <w:color w:val="000000"/>
          <w:sz w:val="36"/>
          <w:szCs w:val="36"/>
          <w:lang w:val="en-US"/>
        </w:rPr>
      </w:pPr>
      <w:r>
        <w:rPr>
          <w:rFonts w:hint="eastAsia" w:ascii="Arial Unicode MS" w:hAnsi="Arial Unicode MS" w:eastAsia="Arial Unicode MS" w:cs="Arial Unicode MS"/>
          <w:b/>
          <w:bCs/>
          <w:color w:val="000000"/>
          <w:sz w:val="36"/>
          <w:szCs w:val="36"/>
          <w:lang w:val="en-US"/>
        </w:rPr>
        <w:t>第三章  合同</w:t>
      </w:r>
      <w:bookmarkEnd w:id="19"/>
      <w:bookmarkEnd w:id="20"/>
      <w:bookmarkEnd w:id="21"/>
      <w:bookmarkEnd w:id="22"/>
      <w:bookmarkEnd w:id="23"/>
      <w:r>
        <w:rPr>
          <w:rFonts w:hint="eastAsia" w:ascii="Arial Unicode MS" w:hAnsi="Arial Unicode MS" w:eastAsia="Arial Unicode MS" w:cs="Arial Unicode MS"/>
          <w:b/>
          <w:bCs/>
          <w:color w:val="000000"/>
          <w:sz w:val="36"/>
          <w:szCs w:val="36"/>
          <w:lang w:val="en-US"/>
        </w:rPr>
        <w:t>文本</w:t>
      </w:r>
    </w:p>
    <w:p w14:paraId="09C84D7C">
      <w:pPr>
        <w:autoSpaceDE w:val="0"/>
        <w:autoSpaceDN w:val="0"/>
        <w:adjustRightInd w:val="0"/>
        <w:snapToGrid w:val="0"/>
        <w:spacing w:line="360" w:lineRule="auto"/>
        <w:ind w:firstLine="420"/>
        <w:jc w:val="left"/>
        <w:rPr>
          <w:rFonts w:hint="eastAsia" w:ascii="宋体" w:hAnsi="宋体"/>
          <w:szCs w:val="21"/>
          <w:lang w:val="zh-CN"/>
        </w:rPr>
      </w:pPr>
      <w:bookmarkStart w:id="154" w:name="_Hlt16619369"/>
      <w:bookmarkEnd w:id="154"/>
      <w:bookmarkStart w:id="155" w:name="_Toc513029243"/>
      <w:bookmarkStart w:id="156" w:name="_Toc20823315"/>
      <w:bookmarkStart w:id="157" w:name="_Toc16938559"/>
      <w:bookmarkStart w:id="158" w:name="_Toc20823346"/>
      <w:bookmarkStart w:id="159" w:name="_Toc120614244"/>
      <w:bookmarkStart w:id="160" w:name="_Toc16938590"/>
      <w:bookmarkStart w:id="161" w:name="_Hlt16619350"/>
      <w:bookmarkStart w:id="162" w:name="_Toc479757211"/>
      <w:bookmarkStart w:id="163" w:name="_Toc462564139"/>
      <w:r>
        <w:rPr>
          <w:rFonts w:hint="eastAsia" w:ascii="宋体" w:hAnsi="宋体"/>
          <w:szCs w:val="21"/>
          <w:lang w:val="zh-CN"/>
        </w:rPr>
        <w:t>以下为成交后签订本项目合同的通用条款，供应商不得提出实质性的修改。</w:t>
      </w:r>
      <w:bookmarkEnd w:id="155"/>
      <w:bookmarkEnd w:id="156"/>
      <w:bookmarkEnd w:id="157"/>
    </w:p>
    <w:p w14:paraId="64514258">
      <w:pPr>
        <w:autoSpaceDE w:val="0"/>
        <w:autoSpaceDN w:val="0"/>
        <w:adjustRightInd w:val="0"/>
        <w:snapToGrid w:val="0"/>
        <w:spacing w:line="360" w:lineRule="auto"/>
        <w:ind w:firstLine="420"/>
        <w:jc w:val="left"/>
        <w:rPr>
          <w:rFonts w:hint="eastAsia" w:ascii="宋体" w:hAnsi="宋体"/>
          <w:szCs w:val="21"/>
          <w:lang w:val="zh-CN"/>
        </w:rPr>
      </w:pPr>
    </w:p>
    <w:bookmarkEnd w:id="158"/>
    <w:bookmarkEnd w:id="159"/>
    <w:bookmarkEnd w:id="160"/>
    <w:bookmarkEnd w:id="161"/>
    <w:p w14:paraId="1C6B21EE">
      <w:pPr>
        <w:autoSpaceDE w:val="0"/>
        <w:autoSpaceDN w:val="0"/>
        <w:adjustRightInd w:val="0"/>
        <w:snapToGrid w:val="0"/>
        <w:spacing w:line="360" w:lineRule="auto"/>
        <w:ind w:firstLine="420"/>
        <w:jc w:val="left"/>
        <w:rPr>
          <w:rFonts w:hint="eastAsia" w:ascii="宋体" w:hAnsi="宋体"/>
          <w:szCs w:val="21"/>
          <w:lang w:val="zh-CN"/>
        </w:rPr>
      </w:pPr>
      <w:bookmarkStart w:id="164" w:name="_Toc49090575"/>
      <w:bookmarkStart w:id="165" w:name="_Toc26554093"/>
      <w:bookmarkStart w:id="166" w:name="_Toc120614281"/>
      <w:r>
        <w:rPr>
          <w:rFonts w:ascii="宋体" w:hAnsi="宋体"/>
          <w:szCs w:val="21"/>
          <w:lang w:val="zh-CN"/>
        </w:rPr>
        <w:t>合同编号：</w:t>
      </w:r>
    </w:p>
    <w:p w14:paraId="550179E2">
      <w:pPr>
        <w:autoSpaceDE w:val="0"/>
        <w:autoSpaceDN w:val="0"/>
        <w:adjustRightInd w:val="0"/>
        <w:snapToGrid w:val="0"/>
        <w:spacing w:line="360" w:lineRule="auto"/>
        <w:ind w:firstLine="420"/>
        <w:jc w:val="left"/>
        <w:rPr>
          <w:rFonts w:hint="eastAsia" w:ascii="宋体" w:hAnsi="宋体"/>
          <w:szCs w:val="21"/>
          <w:lang w:val="zh-CN"/>
        </w:rPr>
      </w:pPr>
    </w:p>
    <w:p w14:paraId="34ADA573">
      <w:pPr>
        <w:autoSpaceDE w:val="0"/>
        <w:autoSpaceDN w:val="0"/>
        <w:adjustRightInd w:val="0"/>
        <w:snapToGrid w:val="0"/>
        <w:spacing w:line="360" w:lineRule="auto"/>
        <w:ind w:firstLine="420"/>
        <w:jc w:val="left"/>
        <w:rPr>
          <w:rFonts w:hint="eastAsia" w:ascii="宋体" w:hAnsi="宋体"/>
          <w:szCs w:val="21"/>
        </w:rPr>
      </w:pPr>
      <w:r>
        <w:rPr>
          <w:rFonts w:hint="eastAsia" w:ascii="宋体" w:hAnsi="宋体"/>
          <w:szCs w:val="21"/>
          <w:lang w:val="zh-CN"/>
        </w:rPr>
        <w:t>采购人（以下称甲方）：</w:t>
      </w:r>
      <w:r>
        <w:rPr>
          <w:rFonts w:hint="eastAsia" w:ascii="宋体" w:hAnsi="宋体"/>
          <w:szCs w:val="21"/>
        </w:rPr>
        <w:t xml:space="preserve">                      </w:t>
      </w:r>
    </w:p>
    <w:p w14:paraId="04B0F829">
      <w:pPr>
        <w:autoSpaceDE w:val="0"/>
        <w:autoSpaceDN w:val="0"/>
        <w:adjustRightInd w:val="0"/>
        <w:snapToGrid w:val="0"/>
        <w:spacing w:line="360" w:lineRule="auto"/>
        <w:ind w:firstLine="420"/>
        <w:jc w:val="left"/>
        <w:rPr>
          <w:rFonts w:hint="eastAsia" w:ascii="宋体" w:hAnsi="宋体"/>
          <w:szCs w:val="21"/>
        </w:rPr>
      </w:pPr>
      <w:r>
        <w:rPr>
          <w:rFonts w:hint="eastAsia" w:ascii="宋体" w:hAnsi="宋体"/>
          <w:szCs w:val="21"/>
          <w:lang w:val="zh-CN"/>
        </w:rPr>
        <w:t>住所地：</w:t>
      </w:r>
      <w:r>
        <w:rPr>
          <w:rFonts w:hint="eastAsia" w:ascii="宋体" w:hAnsi="宋体"/>
          <w:szCs w:val="21"/>
        </w:rPr>
        <w:t xml:space="preserve">                        </w:t>
      </w:r>
    </w:p>
    <w:p w14:paraId="142CE608">
      <w:pPr>
        <w:autoSpaceDE w:val="0"/>
        <w:autoSpaceDN w:val="0"/>
        <w:adjustRightInd w:val="0"/>
        <w:snapToGrid w:val="0"/>
        <w:spacing w:line="360" w:lineRule="auto"/>
        <w:ind w:firstLine="420"/>
        <w:jc w:val="left"/>
        <w:rPr>
          <w:rFonts w:hint="eastAsia" w:ascii="宋体" w:hAnsi="宋体"/>
          <w:szCs w:val="21"/>
          <w:lang w:val="zh-CN"/>
        </w:rPr>
      </w:pPr>
    </w:p>
    <w:p w14:paraId="19819008">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供应商（以下称乙方）：</w:t>
      </w:r>
    </w:p>
    <w:p w14:paraId="1A7F558E">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住所地：</w:t>
      </w:r>
    </w:p>
    <w:p w14:paraId="2201E97A">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甲、乙双方根据南京市公共资源交易中心浦口分中心组织的____________________项目</w:t>
      </w:r>
      <w:r>
        <w:rPr>
          <w:rFonts w:hint="eastAsia" w:ascii="宋体" w:hAnsi="宋体"/>
          <w:szCs w:val="21"/>
        </w:rPr>
        <w:t>公开招标的</w:t>
      </w:r>
      <w:r>
        <w:rPr>
          <w:rFonts w:hint="eastAsia" w:ascii="宋体" w:hAnsi="宋体"/>
          <w:szCs w:val="21"/>
          <w:lang w:val="zh-CN"/>
        </w:rPr>
        <w:t>结果，签署本合同。</w:t>
      </w:r>
    </w:p>
    <w:p w14:paraId="3E66AC56">
      <w:pPr>
        <w:autoSpaceDE w:val="0"/>
        <w:autoSpaceDN w:val="0"/>
        <w:adjustRightInd w:val="0"/>
        <w:snapToGrid w:val="0"/>
        <w:spacing w:line="360" w:lineRule="auto"/>
        <w:ind w:firstLine="420"/>
        <w:rPr>
          <w:rFonts w:hint="eastAsia" w:ascii="宋体" w:hAnsi="宋体"/>
          <w:szCs w:val="21"/>
          <w:lang w:val="zh-CN"/>
        </w:rPr>
      </w:pPr>
      <w:r>
        <w:rPr>
          <w:rFonts w:hint="eastAsia" w:ascii="宋体" w:hAnsi="宋体"/>
          <w:b/>
          <w:bCs/>
          <w:szCs w:val="21"/>
          <w:lang w:val="zh-CN"/>
        </w:rPr>
        <w:t>第一条</w:t>
      </w:r>
      <w:r>
        <w:rPr>
          <w:rFonts w:ascii="宋体" w:hAnsi="宋体"/>
          <w:b/>
          <w:bCs/>
          <w:szCs w:val="21"/>
          <w:lang w:val="zh-CN"/>
        </w:rPr>
        <w:t xml:space="preserve"> </w:t>
      </w:r>
      <w:r>
        <w:rPr>
          <w:rFonts w:hint="eastAsia" w:ascii="宋体" w:hAnsi="宋体"/>
          <w:b/>
          <w:bCs/>
          <w:szCs w:val="21"/>
          <w:lang w:val="zh-CN"/>
        </w:rPr>
        <w:t>合同标的</w:t>
      </w:r>
      <w:r>
        <w:rPr>
          <w:rFonts w:ascii="宋体" w:hAnsi="宋体"/>
          <w:szCs w:val="21"/>
          <w:lang w:val="zh-CN"/>
        </w:rPr>
        <w:t xml:space="preserve">  </w:t>
      </w:r>
      <w:r>
        <w:rPr>
          <w:rFonts w:hint="eastAsia" w:ascii="宋体" w:hAnsi="宋体"/>
          <w:szCs w:val="21"/>
          <w:lang w:val="zh-CN"/>
        </w:rPr>
        <w:t>乙方根据甲方需求提供下列服务：</w:t>
      </w:r>
      <w:r>
        <w:rPr>
          <w:rFonts w:ascii="宋体" w:hAnsi="宋体"/>
          <w:szCs w:val="21"/>
          <w:lang w:val="zh-CN"/>
        </w:rPr>
        <w:t xml:space="preserve">                    </w:t>
      </w:r>
      <w:r>
        <w:rPr>
          <w:rFonts w:hint="eastAsia" w:ascii="宋体" w:hAnsi="宋体"/>
          <w:szCs w:val="21"/>
          <w:lang w:val="zh-CN"/>
        </w:rPr>
        <w:t>，详见乙方投标文件。</w:t>
      </w:r>
    </w:p>
    <w:p w14:paraId="03EE2FDE">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b/>
          <w:bCs/>
          <w:szCs w:val="21"/>
          <w:lang w:val="zh-CN"/>
        </w:rPr>
        <w:t>第二条</w:t>
      </w:r>
      <w:r>
        <w:rPr>
          <w:rFonts w:ascii="宋体" w:hAnsi="宋体"/>
          <w:b/>
          <w:bCs/>
          <w:szCs w:val="21"/>
          <w:lang w:val="zh-CN"/>
        </w:rPr>
        <w:t xml:space="preserve"> </w:t>
      </w:r>
      <w:r>
        <w:rPr>
          <w:rFonts w:hint="eastAsia" w:ascii="宋体" w:hAnsi="宋体"/>
          <w:b/>
          <w:bCs/>
          <w:szCs w:val="21"/>
          <w:lang w:val="zh-CN"/>
        </w:rPr>
        <w:t>合同总价款</w:t>
      </w:r>
      <w:r>
        <w:rPr>
          <w:rFonts w:ascii="宋体" w:hAnsi="宋体"/>
          <w:szCs w:val="21"/>
          <w:lang w:val="zh-CN"/>
        </w:rPr>
        <w:t xml:space="preserve">  </w:t>
      </w:r>
      <w:r>
        <w:rPr>
          <w:rFonts w:hint="eastAsia" w:ascii="宋体" w:hAnsi="宋体"/>
          <w:szCs w:val="21"/>
          <w:lang w:val="zh-CN"/>
        </w:rPr>
        <w:t>本合同项下服务单价为</w:t>
      </w:r>
      <w:r>
        <w:rPr>
          <w:rFonts w:ascii="宋体" w:hAnsi="宋体"/>
          <w:szCs w:val="21"/>
          <w:lang w:val="zh-CN"/>
        </w:rPr>
        <w:t>___________</w:t>
      </w:r>
      <w:r>
        <w:rPr>
          <w:rFonts w:hint="eastAsia" w:ascii="宋体" w:hAnsi="宋体"/>
          <w:szCs w:val="21"/>
          <w:lang w:val="zh-CN"/>
        </w:rPr>
        <w:t>（大写）人民币总价款为</w:t>
      </w:r>
      <w:r>
        <w:rPr>
          <w:rFonts w:ascii="宋体" w:hAnsi="宋体"/>
          <w:szCs w:val="21"/>
          <w:lang w:val="zh-CN"/>
        </w:rPr>
        <w:t>___________</w:t>
      </w:r>
      <w:r>
        <w:rPr>
          <w:rFonts w:hint="eastAsia" w:ascii="宋体" w:hAnsi="宋体"/>
          <w:szCs w:val="21"/>
          <w:lang w:val="zh-CN"/>
        </w:rPr>
        <w:t>（大写）人民币，分项价款在“投标报价表”中有明确规定。</w:t>
      </w:r>
    </w:p>
    <w:p w14:paraId="63AF1C35">
      <w:pPr>
        <w:adjustRightInd w:val="0"/>
        <w:snapToGrid w:val="0"/>
        <w:spacing w:line="360" w:lineRule="auto"/>
        <w:ind w:firstLine="420" w:firstLineChars="200"/>
        <w:rPr>
          <w:rFonts w:hint="eastAsia" w:ascii="宋体" w:hAnsi="宋体"/>
          <w:b/>
          <w:szCs w:val="21"/>
        </w:rPr>
      </w:pPr>
      <w:r>
        <w:rPr>
          <w:rFonts w:hint="eastAsia" w:ascii="宋体" w:hAnsi="宋体"/>
          <w:szCs w:val="21"/>
          <w:lang w:val="zh-CN"/>
        </w:rPr>
        <w:t>本合同总价款是</w:t>
      </w:r>
      <w:r>
        <w:rPr>
          <w:rFonts w:hint="eastAsia" w:ascii="宋体" w:hAnsi="宋体" w:cs="宋体"/>
          <w:szCs w:val="21"/>
        </w:rPr>
        <w:t>包含安保服务、专用工具、人员培训等发生的所有含税费用、支付给员工的工资和国家强制缴纳的各种社会保障资金等</w:t>
      </w:r>
      <w:r>
        <w:rPr>
          <w:rFonts w:hint="eastAsia" w:ascii="宋体" w:hAnsi="宋体"/>
          <w:bCs/>
          <w:szCs w:val="21"/>
        </w:rPr>
        <w:t>，以</w:t>
      </w:r>
      <w:r>
        <w:rPr>
          <w:rFonts w:hint="eastAsia" w:ascii="宋体" w:hAnsi="宋体"/>
          <w:szCs w:val="21"/>
        </w:rPr>
        <w:t>及供应商认为需要完成本项目的其他费用等</w:t>
      </w:r>
      <w:r>
        <w:rPr>
          <w:rFonts w:hint="eastAsia" w:ascii="宋体" w:hAnsi="宋体"/>
          <w:szCs w:val="21"/>
          <w:lang w:val="zh-CN"/>
        </w:rPr>
        <w:t>。</w:t>
      </w:r>
    </w:p>
    <w:p w14:paraId="4FD9FECF">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本合同执行期间合同总价款不变。</w:t>
      </w:r>
    </w:p>
    <w:p w14:paraId="79113811">
      <w:pPr>
        <w:autoSpaceDE w:val="0"/>
        <w:autoSpaceDN w:val="0"/>
        <w:adjustRightInd w:val="0"/>
        <w:snapToGrid w:val="0"/>
        <w:spacing w:line="360" w:lineRule="auto"/>
        <w:ind w:firstLine="413" w:firstLineChars="196"/>
        <w:rPr>
          <w:rFonts w:hint="eastAsia" w:ascii="宋体" w:hAnsi="宋体"/>
          <w:szCs w:val="21"/>
          <w:lang w:val="zh-CN"/>
        </w:rPr>
      </w:pPr>
      <w:r>
        <w:rPr>
          <w:rFonts w:hint="eastAsia" w:ascii="宋体" w:hAnsi="宋体"/>
          <w:b/>
          <w:bCs/>
          <w:szCs w:val="21"/>
          <w:lang w:val="zh-CN"/>
        </w:rPr>
        <w:t>第三条</w:t>
      </w:r>
      <w:r>
        <w:rPr>
          <w:rFonts w:ascii="宋体" w:hAnsi="宋体"/>
          <w:b/>
          <w:bCs/>
          <w:szCs w:val="21"/>
          <w:lang w:val="zh-CN"/>
        </w:rPr>
        <w:t xml:space="preserve"> </w:t>
      </w:r>
      <w:r>
        <w:rPr>
          <w:rFonts w:hint="eastAsia" w:ascii="宋体" w:hAnsi="宋体"/>
          <w:b/>
          <w:bCs/>
          <w:szCs w:val="21"/>
          <w:lang w:val="zh-CN"/>
        </w:rPr>
        <w:t>组成本合同的有关文件</w:t>
      </w:r>
      <w:r>
        <w:rPr>
          <w:rFonts w:ascii="宋体" w:hAnsi="宋体"/>
          <w:szCs w:val="21"/>
          <w:lang w:val="zh-CN"/>
        </w:rPr>
        <w:t xml:space="preserve">  </w:t>
      </w:r>
      <w:r>
        <w:rPr>
          <w:rFonts w:hint="eastAsia" w:ascii="宋体" w:hAnsi="宋体"/>
          <w:szCs w:val="21"/>
          <w:lang w:val="zh-CN"/>
        </w:rPr>
        <w:t>下列关于</w:t>
      </w:r>
      <w:r>
        <w:rPr>
          <w:rFonts w:ascii="宋体" w:hAnsi="宋体"/>
          <w:szCs w:val="21"/>
          <w:u w:val="single"/>
          <w:lang w:val="zh-CN"/>
        </w:rPr>
        <w:t xml:space="preserve">                 </w:t>
      </w:r>
      <w:r>
        <w:rPr>
          <w:rFonts w:ascii="宋体" w:hAnsi="宋体"/>
          <w:szCs w:val="21"/>
          <w:lang w:val="zh-CN"/>
        </w:rPr>
        <w:t xml:space="preserve">  </w:t>
      </w:r>
      <w:r>
        <w:rPr>
          <w:rFonts w:hint="eastAsia" w:ascii="宋体" w:hAnsi="宋体"/>
          <w:szCs w:val="21"/>
          <w:lang w:val="zh-CN"/>
        </w:rPr>
        <w:t>号标的招投标文件或与本次采购活动方式相适应的文件及有关附件是本合同不可分割的组成部分，与本合同具有同等法律效力，这些文件包括但不限于：</w:t>
      </w:r>
    </w:p>
    <w:p w14:paraId="24A0E175">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w:t>
      </w:r>
      <w:r>
        <w:rPr>
          <w:rFonts w:ascii="宋体" w:hAnsi="宋体"/>
          <w:szCs w:val="21"/>
          <w:lang w:val="zh-CN"/>
        </w:rPr>
        <w:t>1</w:t>
      </w:r>
      <w:r>
        <w:rPr>
          <w:rFonts w:hint="eastAsia" w:ascii="宋体" w:hAnsi="宋体"/>
          <w:szCs w:val="21"/>
          <w:lang w:val="zh-CN"/>
        </w:rPr>
        <w:t>）乙方提供的投标文件和投标报价表；</w:t>
      </w:r>
    </w:p>
    <w:p w14:paraId="4AF613F4">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（2）技术规格响应表；</w:t>
      </w:r>
    </w:p>
    <w:p w14:paraId="5D68584C">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（3）投标承诺/服务承诺；</w:t>
      </w:r>
    </w:p>
    <w:p w14:paraId="07104197">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（4）</w:t>
      </w:r>
      <w:r>
        <w:rPr>
          <w:rFonts w:hint="eastAsia" w:ascii="宋体" w:hAnsi="宋体"/>
          <w:szCs w:val="21"/>
        </w:rPr>
        <w:t>成交</w:t>
      </w:r>
      <w:r>
        <w:rPr>
          <w:rFonts w:hint="eastAsia" w:ascii="宋体" w:hAnsi="宋体"/>
          <w:szCs w:val="21"/>
          <w:lang w:val="zh-CN"/>
        </w:rPr>
        <w:t>通知书；</w:t>
      </w:r>
    </w:p>
    <w:p w14:paraId="15B0F980">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（5）甲乙双方商定的其他文件等。</w:t>
      </w:r>
    </w:p>
    <w:p w14:paraId="41606D74">
      <w:pPr>
        <w:autoSpaceDE w:val="0"/>
        <w:autoSpaceDN w:val="0"/>
        <w:adjustRightInd w:val="0"/>
        <w:snapToGrid w:val="0"/>
        <w:spacing w:line="360" w:lineRule="auto"/>
        <w:ind w:firstLine="420"/>
        <w:jc w:val="left"/>
        <w:rPr>
          <w:rFonts w:hint="eastAsia" w:ascii="宋体" w:hAnsi="宋体"/>
          <w:b/>
          <w:bCs/>
          <w:szCs w:val="21"/>
          <w:lang w:val="zh-CN"/>
        </w:rPr>
      </w:pPr>
      <w:r>
        <w:rPr>
          <w:rFonts w:hint="eastAsia" w:ascii="宋体" w:hAnsi="宋体"/>
          <w:b/>
          <w:bCs/>
          <w:szCs w:val="21"/>
          <w:lang w:val="zh-CN"/>
        </w:rPr>
        <w:t>第四条</w:t>
      </w:r>
      <w:r>
        <w:rPr>
          <w:rFonts w:ascii="宋体" w:hAnsi="宋体"/>
          <w:b/>
          <w:bCs/>
          <w:szCs w:val="21"/>
          <w:lang w:val="zh-CN"/>
        </w:rPr>
        <w:t xml:space="preserve"> </w:t>
      </w:r>
      <w:r>
        <w:rPr>
          <w:rFonts w:hint="eastAsia" w:ascii="宋体" w:hAnsi="宋体"/>
          <w:b/>
          <w:bCs/>
          <w:szCs w:val="21"/>
          <w:lang w:val="zh-CN"/>
        </w:rPr>
        <w:t>权利保证</w:t>
      </w:r>
    </w:p>
    <w:p w14:paraId="2B53DFB2">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乙方应保证甲方在使用该服务或其任何一部分时不受第三方提出侵犯其专利权、版权、商标权或其他权利的起诉。一旦出现侵权，乙方应承担全部责任。</w:t>
      </w:r>
    </w:p>
    <w:p w14:paraId="4BB9805D">
      <w:pPr>
        <w:autoSpaceDE w:val="0"/>
        <w:autoSpaceDN w:val="0"/>
        <w:adjustRightInd w:val="0"/>
        <w:snapToGrid w:val="0"/>
        <w:spacing w:line="360" w:lineRule="auto"/>
        <w:ind w:firstLine="420"/>
        <w:jc w:val="left"/>
        <w:rPr>
          <w:rFonts w:hint="eastAsia" w:ascii="宋体" w:hAnsi="宋体"/>
          <w:b/>
          <w:bCs/>
          <w:szCs w:val="21"/>
          <w:lang w:val="zh-CN"/>
        </w:rPr>
      </w:pPr>
      <w:r>
        <w:rPr>
          <w:rFonts w:hint="eastAsia" w:ascii="宋体" w:hAnsi="宋体"/>
          <w:b/>
          <w:bCs/>
          <w:szCs w:val="21"/>
          <w:lang w:val="zh-CN"/>
        </w:rPr>
        <w:t>第五条</w:t>
      </w:r>
      <w:r>
        <w:rPr>
          <w:rFonts w:ascii="宋体" w:hAnsi="宋体"/>
          <w:b/>
          <w:bCs/>
          <w:szCs w:val="21"/>
          <w:lang w:val="zh-CN"/>
        </w:rPr>
        <w:t xml:space="preserve"> </w:t>
      </w:r>
      <w:r>
        <w:rPr>
          <w:rFonts w:hint="eastAsia" w:ascii="宋体" w:hAnsi="宋体"/>
          <w:b/>
          <w:bCs/>
          <w:szCs w:val="21"/>
          <w:lang w:val="zh-CN"/>
        </w:rPr>
        <w:t>质量保证</w:t>
      </w:r>
    </w:p>
    <w:p w14:paraId="267E3B51">
      <w:pPr>
        <w:autoSpaceDE w:val="0"/>
        <w:autoSpaceDN w:val="0"/>
        <w:adjustRightInd w:val="0"/>
        <w:snapToGrid w:val="0"/>
        <w:spacing w:line="360" w:lineRule="auto"/>
        <w:ind w:firstLine="420"/>
        <w:jc w:val="left"/>
        <w:rPr>
          <w:rFonts w:hint="eastAsia" w:ascii="宋体" w:hAnsi="宋体"/>
          <w:szCs w:val="21"/>
          <w:lang w:val="zh-CN"/>
        </w:rPr>
      </w:pPr>
      <w:r>
        <w:rPr>
          <w:rFonts w:hint="eastAsia" w:ascii="宋体" w:hAnsi="宋体"/>
          <w:szCs w:val="21"/>
          <w:lang w:val="zh-CN"/>
        </w:rPr>
        <w:t>乙方所提供的服务的技术规格应与</w:t>
      </w:r>
      <w:r>
        <w:rPr>
          <w:rFonts w:hint="eastAsia" w:ascii="宋体" w:hAnsi="宋体"/>
          <w:szCs w:val="21"/>
        </w:rPr>
        <w:t>招标</w:t>
      </w:r>
      <w:r>
        <w:rPr>
          <w:rFonts w:hint="eastAsia" w:ascii="宋体" w:hAnsi="宋体"/>
          <w:szCs w:val="21"/>
          <w:lang w:val="zh-CN"/>
        </w:rPr>
        <w:t>文件规定的技术规格及所附的“技术条款偏离表”相一致；若技术性能无特殊说明，则按国家有关部门最新颁布的标准及规范为准。</w:t>
      </w:r>
    </w:p>
    <w:p w14:paraId="53B6497F">
      <w:pPr>
        <w:autoSpaceDE w:val="0"/>
        <w:autoSpaceDN w:val="0"/>
        <w:adjustRightInd w:val="0"/>
        <w:snapToGrid w:val="0"/>
        <w:spacing w:line="360" w:lineRule="auto"/>
        <w:ind w:firstLine="420"/>
        <w:jc w:val="left"/>
        <w:rPr>
          <w:rFonts w:hint="eastAsia" w:ascii="宋体" w:hAnsi="宋体"/>
          <w:b/>
          <w:bCs/>
          <w:szCs w:val="21"/>
          <w:lang w:val="zh-CN"/>
        </w:rPr>
      </w:pPr>
      <w:r>
        <w:rPr>
          <w:rFonts w:hint="eastAsia" w:ascii="宋体" w:hAnsi="宋体"/>
          <w:b/>
          <w:bCs/>
          <w:szCs w:val="21"/>
          <w:lang w:val="zh-CN"/>
        </w:rPr>
        <w:t>第六条</w:t>
      </w:r>
      <w:r>
        <w:rPr>
          <w:rFonts w:ascii="宋体" w:hAnsi="宋体"/>
          <w:b/>
          <w:bCs/>
          <w:szCs w:val="21"/>
          <w:lang w:val="zh-CN"/>
        </w:rPr>
        <w:t xml:space="preserve"> </w:t>
      </w:r>
      <w:r>
        <w:rPr>
          <w:rFonts w:hint="eastAsia" w:ascii="宋体" w:hAnsi="宋体"/>
          <w:b/>
          <w:bCs/>
          <w:szCs w:val="21"/>
          <w:lang w:val="zh-CN"/>
        </w:rPr>
        <w:t>交付和验收</w:t>
      </w:r>
    </w:p>
    <w:p w14:paraId="132E7A63">
      <w:pPr>
        <w:autoSpaceDE w:val="0"/>
        <w:autoSpaceDN w:val="0"/>
        <w:adjustRightInd w:val="0"/>
        <w:snapToGrid w:val="0"/>
        <w:spacing w:line="360" w:lineRule="auto"/>
        <w:ind w:firstLine="420"/>
        <w:jc w:val="left"/>
        <w:rPr>
          <w:rFonts w:hint="eastAsia" w:ascii="宋体" w:hAnsi="宋体"/>
          <w:szCs w:val="21"/>
          <w:lang w:val="zh-CN"/>
        </w:rPr>
      </w:pPr>
      <w:r>
        <w:rPr>
          <w:rFonts w:ascii="宋体" w:hAnsi="宋体"/>
          <w:szCs w:val="21"/>
          <w:lang w:val="zh-CN"/>
        </w:rPr>
        <w:t>1</w:t>
      </w:r>
      <w:r>
        <w:rPr>
          <w:rFonts w:hint="eastAsia" w:ascii="宋体" w:hAnsi="宋体"/>
          <w:szCs w:val="21"/>
          <w:lang w:val="zh-CN"/>
        </w:rPr>
        <w:t>、乙方应当在</w:t>
      </w:r>
      <w:r>
        <w:rPr>
          <w:rFonts w:hint="eastAsia" w:ascii="宋体" w:hAnsi="宋体"/>
          <w:b/>
          <w:szCs w:val="21"/>
        </w:rPr>
        <w:t xml:space="preserve">   </w:t>
      </w:r>
      <w:r>
        <w:rPr>
          <w:rFonts w:hint="eastAsia" w:ascii="宋体" w:hAnsi="宋体"/>
          <w:b/>
          <w:szCs w:val="21"/>
          <w:u w:val="single"/>
        </w:rPr>
        <w:t xml:space="preserve">                           </w:t>
      </w:r>
      <w:r>
        <w:rPr>
          <w:rFonts w:hint="eastAsia" w:ascii="宋体" w:hAnsi="宋体"/>
          <w:b/>
          <w:szCs w:val="21"/>
        </w:rPr>
        <w:t xml:space="preserve"> </w:t>
      </w:r>
      <w:r>
        <w:rPr>
          <w:rFonts w:hint="eastAsia" w:ascii="宋体" w:hAnsi="宋体"/>
          <w:szCs w:val="21"/>
          <w:lang w:val="zh-CN"/>
        </w:rPr>
        <w:t>完成服务事项。</w:t>
      </w:r>
    </w:p>
    <w:p w14:paraId="7919D4FE">
      <w:pPr>
        <w:autoSpaceDE w:val="0"/>
        <w:autoSpaceDN w:val="0"/>
        <w:adjustRightInd w:val="0"/>
        <w:snapToGrid w:val="0"/>
        <w:spacing w:line="360" w:lineRule="auto"/>
        <w:ind w:firstLine="420"/>
        <w:jc w:val="left"/>
        <w:rPr>
          <w:rFonts w:hint="eastAsia" w:ascii="宋体" w:hAnsi="宋体"/>
          <w:szCs w:val="21"/>
          <w:lang w:val="zh-CN"/>
        </w:rPr>
      </w:pPr>
      <w:r>
        <w:rPr>
          <w:rFonts w:ascii="宋体" w:hAnsi="宋体"/>
          <w:szCs w:val="21"/>
          <w:lang w:val="zh-CN"/>
        </w:rPr>
        <w:t>2</w:t>
      </w:r>
      <w:r>
        <w:rPr>
          <w:rFonts w:hint="eastAsia" w:ascii="宋体" w:hAnsi="宋体"/>
          <w:szCs w:val="21"/>
          <w:lang w:val="zh-CN"/>
        </w:rPr>
        <w:t>、验收标准：按行业通行标准和乙方投标文件的承诺（详见合同附件载明的标准，并不低于国家相关标准）。</w:t>
      </w:r>
    </w:p>
    <w:p w14:paraId="6F0D1AD8">
      <w:pPr>
        <w:autoSpaceDE w:val="0"/>
        <w:autoSpaceDN w:val="0"/>
        <w:adjustRightInd w:val="0"/>
        <w:snapToGrid w:val="0"/>
        <w:spacing w:line="360" w:lineRule="auto"/>
        <w:ind w:firstLine="420"/>
        <w:jc w:val="left"/>
        <w:rPr>
          <w:rFonts w:hint="eastAsia" w:ascii="宋体" w:hAnsi="宋体"/>
          <w:b/>
          <w:bCs/>
          <w:szCs w:val="21"/>
          <w:lang w:val="zh-CN"/>
        </w:rPr>
      </w:pPr>
      <w:r>
        <w:rPr>
          <w:rFonts w:hint="eastAsia" w:ascii="宋体" w:hAnsi="宋体"/>
          <w:b/>
          <w:bCs/>
          <w:szCs w:val="21"/>
          <w:lang w:val="zh-CN"/>
        </w:rPr>
        <w:t>第七条</w:t>
      </w:r>
      <w:r>
        <w:rPr>
          <w:rFonts w:ascii="宋体" w:hAnsi="宋体"/>
          <w:b/>
          <w:bCs/>
          <w:szCs w:val="21"/>
          <w:lang w:val="zh-CN"/>
        </w:rPr>
        <w:t xml:space="preserve"> </w:t>
      </w:r>
      <w:r>
        <w:rPr>
          <w:rFonts w:hint="eastAsia" w:ascii="宋体" w:hAnsi="宋体"/>
          <w:b/>
          <w:bCs/>
          <w:szCs w:val="21"/>
          <w:lang w:val="zh-CN"/>
        </w:rPr>
        <w:t>履约保证金（不要求）</w:t>
      </w:r>
    </w:p>
    <w:p w14:paraId="64CBB2FF">
      <w:pPr>
        <w:autoSpaceDE w:val="0"/>
        <w:autoSpaceDN w:val="0"/>
        <w:adjustRightInd w:val="0"/>
        <w:snapToGrid w:val="0"/>
        <w:spacing w:line="360" w:lineRule="auto"/>
        <w:ind w:firstLine="420"/>
        <w:jc w:val="left"/>
        <w:rPr>
          <w:rFonts w:hint="eastAsia" w:ascii="宋体" w:hAnsi="宋体"/>
          <w:i/>
          <w:iCs/>
          <w:szCs w:val="21"/>
          <w:lang w:val="zh-CN"/>
        </w:rPr>
      </w:pPr>
      <w:r>
        <w:rPr>
          <w:rFonts w:hint="eastAsia" w:ascii="宋体" w:hAnsi="宋体"/>
          <w:szCs w:val="21"/>
          <w:lang w:val="zh-CN"/>
        </w:rPr>
        <w:t>/</w:t>
      </w:r>
    </w:p>
    <w:p w14:paraId="759EDB71">
      <w:pPr>
        <w:autoSpaceDE w:val="0"/>
        <w:autoSpaceDN w:val="0"/>
        <w:adjustRightInd w:val="0"/>
        <w:snapToGrid w:val="0"/>
        <w:spacing w:line="360" w:lineRule="auto"/>
        <w:ind w:firstLine="420"/>
        <w:jc w:val="left"/>
        <w:rPr>
          <w:rFonts w:hint="eastAsia" w:ascii="宋体" w:hAnsi="宋体"/>
          <w:b/>
          <w:bCs/>
          <w:i/>
          <w:iCs/>
          <w:szCs w:val="21"/>
          <w:lang w:val="zh-CN"/>
        </w:rPr>
      </w:pPr>
      <w:r>
        <w:rPr>
          <w:rFonts w:hint="eastAsia" w:ascii="宋体" w:hAnsi="宋体"/>
          <w:b/>
          <w:bCs/>
          <w:szCs w:val="21"/>
          <w:lang w:val="zh-CN"/>
        </w:rPr>
        <w:t>第八条</w:t>
      </w:r>
      <w:r>
        <w:rPr>
          <w:rFonts w:ascii="宋体" w:hAnsi="宋体"/>
          <w:b/>
          <w:bCs/>
          <w:szCs w:val="21"/>
          <w:lang w:val="zh-CN"/>
        </w:rPr>
        <w:t xml:space="preserve"> </w:t>
      </w:r>
      <w:r>
        <w:rPr>
          <w:rFonts w:hint="eastAsia" w:ascii="宋体" w:hAnsi="宋体"/>
          <w:b/>
          <w:bCs/>
          <w:szCs w:val="21"/>
          <w:lang w:val="zh-CN"/>
        </w:rPr>
        <w:t>合同款支付</w:t>
      </w:r>
    </w:p>
    <w:p w14:paraId="6A557316">
      <w:pPr>
        <w:autoSpaceDE w:val="0"/>
        <w:autoSpaceDN w:val="0"/>
        <w:adjustRightInd w:val="0"/>
        <w:snapToGrid w:val="0"/>
        <w:spacing w:line="360" w:lineRule="auto"/>
        <w:ind w:firstLine="420"/>
        <w:jc w:val="left"/>
        <w:rPr>
          <w:rFonts w:hint="eastAsia" w:ascii="宋体" w:hAnsi="宋体"/>
          <w:szCs w:val="21"/>
          <w:lang w:val="zh-CN"/>
        </w:rPr>
      </w:pPr>
      <w:r>
        <w:rPr>
          <w:rFonts w:ascii="宋体" w:hAnsi="宋体"/>
          <w:szCs w:val="21"/>
          <w:lang w:val="zh-CN"/>
        </w:rPr>
        <w:t>1</w:t>
      </w:r>
      <w:r>
        <w:rPr>
          <w:rFonts w:hint="eastAsia" w:ascii="宋体" w:hAnsi="宋体"/>
          <w:szCs w:val="21"/>
          <w:lang w:val="zh-CN"/>
        </w:rPr>
        <w:t>、本合同项下所有款项均以人民币支付。</w:t>
      </w:r>
    </w:p>
    <w:p w14:paraId="6B2D08B4">
      <w:pPr>
        <w:autoSpaceDE w:val="0"/>
        <w:autoSpaceDN w:val="0"/>
        <w:adjustRightInd w:val="0"/>
        <w:snapToGrid w:val="0"/>
        <w:spacing w:line="360" w:lineRule="auto"/>
        <w:ind w:firstLine="420"/>
        <w:jc w:val="left"/>
        <w:rPr>
          <w:rFonts w:hint="eastAsia" w:ascii="宋体" w:hAnsi="宋体"/>
          <w:szCs w:val="21"/>
          <w:lang w:val="zh-CN"/>
        </w:rPr>
      </w:pPr>
      <w:r>
        <w:rPr>
          <w:rFonts w:ascii="宋体" w:hAnsi="宋体"/>
          <w:szCs w:val="21"/>
          <w:lang w:val="zh-CN"/>
        </w:rPr>
        <w:t>2</w:t>
      </w:r>
      <w:r>
        <w:rPr>
          <w:rFonts w:hint="eastAsia" w:ascii="宋体" w:hAnsi="宋体"/>
          <w:szCs w:val="21"/>
          <w:lang w:val="zh-CN"/>
        </w:rPr>
        <w:t>、本合同项下的采购资金由甲方自行支付，乙方向甲方开具发票。</w:t>
      </w:r>
    </w:p>
    <w:p w14:paraId="39B3C8F1">
      <w:pPr>
        <w:autoSpaceDE w:val="0"/>
        <w:autoSpaceDN w:val="0"/>
        <w:adjustRightInd w:val="0"/>
        <w:snapToGrid w:val="0"/>
        <w:spacing w:line="360" w:lineRule="auto"/>
        <w:ind w:firstLine="420"/>
        <w:jc w:val="left"/>
        <w:rPr>
          <w:rFonts w:hint="eastAsia" w:ascii="宋体" w:hAnsi="宋体"/>
          <w:b/>
          <w:szCs w:val="21"/>
          <w:lang w:val="zh-CN"/>
        </w:rPr>
      </w:pPr>
      <w:r>
        <w:rPr>
          <w:rFonts w:ascii="宋体" w:hAnsi="宋体"/>
          <w:b/>
          <w:szCs w:val="21"/>
          <w:lang w:val="zh-CN"/>
        </w:rPr>
        <w:t>3</w:t>
      </w:r>
      <w:r>
        <w:rPr>
          <w:rFonts w:hint="eastAsia" w:ascii="宋体" w:hAnsi="宋体"/>
          <w:b/>
          <w:szCs w:val="21"/>
          <w:lang w:val="zh-CN"/>
        </w:rPr>
        <w:t>、付款条件：</w:t>
      </w:r>
    </w:p>
    <w:p w14:paraId="4130A097">
      <w:pPr>
        <w:autoSpaceDE w:val="0"/>
        <w:autoSpaceDN w:val="0"/>
        <w:adjustRightInd w:val="0"/>
        <w:snapToGrid w:val="0"/>
        <w:spacing w:line="360" w:lineRule="auto"/>
        <w:ind w:firstLine="420"/>
        <w:jc w:val="left"/>
        <w:rPr>
          <w:rFonts w:hint="eastAsia" w:ascii="宋体" w:hAnsi="宋体"/>
          <w:b/>
          <w:szCs w:val="21"/>
          <w:lang w:val="zh-CN"/>
        </w:rPr>
      </w:pPr>
      <w:r>
        <w:rPr>
          <w:rFonts w:hint="eastAsia" w:ascii="宋体" w:hAnsi="宋体"/>
          <w:b/>
          <w:szCs w:val="21"/>
          <w:lang w:val="zh-CN"/>
        </w:rPr>
        <w:t>（</w:t>
      </w:r>
      <w:r>
        <w:rPr>
          <w:rFonts w:hint="eastAsia" w:ascii="宋体" w:hAnsi="宋体"/>
          <w:b/>
          <w:szCs w:val="21"/>
        </w:rPr>
        <w:t>1</w:t>
      </w:r>
      <w:r>
        <w:rPr>
          <w:rFonts w:hint="eastAsia" w:ascii="宋体" w:hAnsi="宋体"/>
          <w:b/>
          <w:szCs w:val="21"/>
          <w:lang w:val="zh-CN"/>
        </w:rPr>
        <w:t>）由</w:t>
      </w:r>
      <w:r>
        <w:rPr>
          <w:rFonts w:hint="eastAsia" w:ascii="宋体" w:hAnsi="宋体"/>
          <w:b/>
          <w:szCs w:val="21"/>
        </w:rPr>
        <w:t>甲方</w:t>
      </w:r>
      <w:r>
        <w:rPr>
          <w:rFonts w:hint="eastAsia" w:ascii="宋体" w:hAnsi="宋体"/>
          <w:b/>
          <w:szCs w:val="21"/>
          <w:lang w:val="zh-CN"/>
        </w:rPr>
        <w:t>每季度支付一次；</w:t>
      </w:r>
    </w:p>
    <w:p w14:paraId="018D8EEF">
      <w:pPr>
        <w:autoSpaceDE w:val="0"/>
        <w:autoSpaceDN w:val="0"/>
        <w:adjustRightInd w:val="0"/>
        <w:snapToGrid w:val="0"/>
        <w:spacing w:line="360" w:lineRule="auto"/>
        <w:ind w:firstLine="420"/>
        <w:jc w:val="left"/>
        <w:rPr>
          <w:rFonts w:hint="eastAsia" w:ascii="宋体" w:hAnsi="宋体"/>
          <w:b/>
          <w:szCs w:val="21"/>
          <w:lang w:val="zh-CN"/>
        </w:rPr>
      </w:pPr>
      <w:r>
        <w:rPr>
          <w:rFonts w:hint="eastAsia" w:ascii="宋体" w:hAnsi="宋体"/>
          <w:b/>
          <w:szCs w:val="21"/>
          <w:lang w:val="zh-CN"/>
        </w:rPr>
        <w:t>（</w:t>
      </w:r>
      <w:r>
        <w:rPr>
          <w:rFonts w:hint="eastAsia" w:ascii="宋体" w:hAnsi="宋体"/>
          <w:b/>
          <w:szCs w:val="21"/>
        </w:rPr>
        <w:t>2</w:t>
      </w:r>
      <w:r>
        <w:rPr>
          <w:rFonts w:hint="eastAsia" w:ascii="宋体" w:hAnsi="宋体"/>
          <w:b/>
          <w:szCs w:val="21"/>
          <w:lang w:val="zh-CN"/>
        </w:rPr>
        <w:t>）</w:t>
      </w:r>
      <w:r>
        <w:rPr>
          <w:rFonts w:hint="eastAsia" w:ascii="宋体" w:hAnsi="宋体"/>
          <w:b/>
          <w:szCs w:val="21"/>
        </w:rPr>
        <w:t>甲方</w:t>
      </w:r>
      <w:r>
        <w:rPr>
          <w:rFonts w:hint="eastAsia" w:ascii="宋体" w:hAnsi="宋体"/>
          <w:b/>
          <w:szCs w:val="21"/>
          <w:lang w:val="zh-CN"/>
        </w:rPr>
        <w:t>依据相关考核标准每月实施考核，并根据考核结果核定支付费用；</w:t>
      </w:r>
    </w:p>
    <w:p w14:paraId="2EB124A4">
      <w:pPr>
        <w:autoSpaceDE w:val="0"/>
        <w:autoSpaceDN w:val="0"/>
        <w:adjustRightInd w:val="0"/>
        <w:snapToGrid w:val="0"/>
        <w:spacing w:line="360" w:lineRule="auto"/>
        <w:ind w:firstLine="420"/>
        <w:jc w:val="left"/>
        <w:rPr>
          <w:rFonts w:hint="eastAsia" w:ascii="宋体" w:hAnsi="宋体"/>
          <w:b/>
          <w:szCs w:val="21"/>
          <w:lang w:val="zh-CN"/>
        </w:rPr>
      </w:pPr>
      <w:r>
        <w:rPr>
          <w:rFonts w:hint="eastAsia" w:ascii="宋体" w:hAnsi="宋体"/>
          <w:b/>
          <w:szCs w:val="21"/>
          <w:lang w:val="zh-CN"/>
        </w:rPr>
        <w:t>（</w:t>
      </w:r>
      <w:r>
        <w:rPr>
          <w:rFonts w:hint="eastAsia" w:ascii="宋体" w:hAnsi="宋体"/>
          <w:b/>
          <w:szCs w:val="21"/>
        </w:rPr>
        <w:t>3</w:t>
      </w:r>
      <w:r>
        <w:rPr>
          <w:rFonts w:hint="eastAsia" w:ascii="宋体" w:hAnsi="宋体"/>
          <w:b/>
          <w:szCs w:val="21"/>
          <w:lang w:val="zh-CN"/>
        </w:rPr>
        <w:t>）每次付款前，成交供应商须提供等额发票，否则采购人有权拒绝付款。</w:t>
      </w:r>
    </w:p>
    <w:p w14:paraId="5CD77BCC">
      <w:pPr>
        <w:autoSpaceDE w:val="0"/>
        <w:autoSpaceDN w:val="0"/>
        <w:adjustRightInd w:val="0"/>
        <w:snapToGrid w:val="0"/>
        <w:spacing w:line="360" w:lineRule="auto"/>
        <w:ind w:firstLine="420"/>
        <w:jc w:val="left"/>
        <w:rPr>
          <w:rFonts w:hint="eastAsia" w:ascii="宋体" w:hAnsi="宋体"/>
          <w:b/>
          <w:szCs w:val="21"/>
          <w:lang w:val="zh-CN"/>
        </w:rPr>
      </w:pPr>
      <w:r>
        <w:rPr>
          <w:rFonts w:hint="eastAsia" w:ascii="宋体" w:hAnsi="宋体"/>
          <w:b/>
          <w:szCs w:val="21"/>
          <w:lang w:val="zh-CN"/>
        </w:rPr>
        <w:t>（</w:t>
      </w:r>
      <w:r>
        <w:rPr>
          <w:rFonts w:hint="eastAsia" w:ascii="宋体" w:hAnsi="宋体"/>
          <w:b/>
          <w:szCs w:val="21"/>
        </w:rPr>
        <w:t>4</w:t>
      </w:r>
      <w:r>
        <w:rPr>
          <w:rFonts w:hint="eastAsia" w:ascii="宋体" w:hAnsi="宋体"/>
          <w:b/>
          <w:szCs w:val="21"/>
          <w:lang w:val="zh-CN"/>
        </w:rPr>
        <w:t>）因财政审批导致的迟延支付，</w:t>
      </w:r>
      <w:r>
        <w:rPr>
          <w:rFonts w:hint="eastAsia" w:ascii="宋体" w:hAnsi="宋体"/>
          <w:b/>
          <w:szCs w:val="21"/>
        </w:rPr>
        <w:t>甲方</w:t>
      </w:r>
      <w:r>
        <w:rPr>
          <w:rFonts w:hint="eastAsia" w:ascii="宋体" w:hAnsi="宋体"/>
          <w:b/>
          <w:szCs w:val="21"/>
          <w:lang w:val="zh-CN"/>
        </w:rPr>
        <w:t>不承担迟延支付的违约责任。</w:t>
      </w:r>
    </w:p>
    <w:p w14:paraId="51B52CBE">
      <w:pPr>
        <w:autoSpaceDE w:val="0"/>
        <w:autoSpaceDN w:val="0"/>
        <w:adjustRightInd w:val="0"/>
        <w:snapToGrid w:val="0"/>
        <w:spacing w:line="360" w:lineRule="auto"/>
        <w:ind w:firstLine="420"/>
        <w:jc w:val="left"/>
        <w:rPr>
          <w:rFonts w:hint="eastAsia" w:ascii="宋体" w:hAnsi="宋体"/>
          <w:b/>
          <w:bCs/>
          <w:szCs w:val="21"/>
          <w:lang w:val="zh-CN"/>
        </w:rPr>
      </w:pPr>
      <w:r>
        <w:rPr>
          <w:rFonts w:hint="eastAsia" w:ascii="宋体" w:hAnsi="宋体"/>
          <w:b/>
          <w:bCs/>
          <w:szCs w:val="21"/>
          <w:lang w:val="zh-CN"/>
        </w:rPr>
        <w:t>第九条</w:t>
      </w:r>
      <w:r>
        <w:rPr>
          <w:rFonts w:ascii="宋体" w:hAnsi="宋体"/>
          <w:b/>
          <w:bCs/>
          <w:szCs w:val="21"/>
          <w:lang w:val="zh-CN"/>
        </w:rPr>
        <w:t xml:space="preserve"> </w:t>
      </w:r>
      <w:r>
        <w:rPr>
          <w:rFonts w:hint="eastAsia" w:ascii="宋体" w:hAnsi="宋体"/>
          <w:b/>
          <w:bCs/>
          <w:szCs w:val="21"/>
          <w:lang w:val="zh-CN"/>
        </w:rPr>
        <w:t>违约责任</w:t>
      </w:r>
    </w:p>
    <w:p w14:paraId="2E825F46">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１、甲方无正当理由拒收服务、拒付服务款的，由甲方向乙方偿付合同总价的</w:t>
      </w:r>
      <w:r>
        <w:rPr>
          <w:rFonts w:ascii="宋体" w:hAnsi="宋体" w:cs="宋体"/>
          <w:szCs w:val="21"/>
          <w:lang w:val="zh-CN"/>
        </w:rPr>
        <w:t>5%</w:t>
      </w:r>
      <w:r>
        <w:rPr>
          <w:rFonts w:hint="eastAsia" w:ascii="宋体" w:hAnsi="宋体" w:cs="宋体"/>
          <w:szCs w:val="21"/>
          <w:lang w:val="zh-CN"/>
        </w:rPr>
        <w:t>违约金。</w:t>
      </w:r>
    </w:p>
    <w:p w14:paraId="5A8DC9A2">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２、甲方未按合同规定的期限向乙方支付货款的，每逾期</w:t>
      </w:r>
      <w:r>
        <w:rPr>
          <w:rFonts w:ascii="宋体" w:hAnsi="宋体" w:cs="宋体"/>
          <w:szCs w:val="21"/>
          <w:lang w:val="zh-CN"/>
        </w:rPr>
        <w:t>1</w:t>
      </w:r>
      <w:r>
        <w:rPr>
          <w:rFonts w:hint="eastAsia" w:ascii="宋体" w:hAnsi="宋体" w:cs="宋体"/>
          <w:szCs w:val="21"/>
          <w:lang w:val="zh-CN"/>
        </w:rPr>
        <w:t>天甲方向乙方偿付欠款总额的</w:t>
      </w:r>
      <w:r>
        <w:rPr>
          <w:rFonts w:ascii="宋体" w:hAnsi="宋体" w:cs="宋体"/>
          <w:szCs w:val="21"/>
          <w:lang w:val="zh-CN"/>
        </w:rPr>
        <w:t>5</w:t>
      </w:r>
      <w:r>
        <w:rPr>
          <w:rFonts w:hint="eastAsia" w:ascii="宋体" w:hAnsi="宋体" w:cs="宋体"/>
          <w:szCs w:val="21"/>
          <w:lang w:val="zh-CN"/>
        </w:rPr>
        <w:t>‰滞纳金，但累计滞纳金总额不超过欠款总额的</w:t>
      </w:r>
      <w:r>
        <w:rPr>
          <w:rFonts w:ascii="宋体" w:hAnsi="宋体" w:cs="宋体"/>
          <w:szCs w:val="21"/>
          <w:lang w:val="zh-CN"/>
        </w:rPr>
        <w:t xml:space="preserve">5% </w:t>
      </w:r>
      <w:r>
        <w:rPr>
          <w:rFonts w:hint="eastAsia" w:ascii="宋体" w:hAnsi="宋体" w:cs="宋体"/>
          <w:szCs w:val="21"/>
          <w:lang w:val="zh-CN"/>
        </w:rPr>
        <w:t>。</w:t>
      </w:r>
    </w:p>
    <w:p w14:paraId="0C7D3774">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３、如乙方不能交付服务的，乙方应向甲方支付合同总价</w:t>
      </w:r>
      <w:r>
        <w:rPr>
          <w:rFonts w:ascii="宋体" w:hAnsi="宋体" w:cs="宋体"/>
          <w:szCs w:val="21"/>
          <w:lang w:val="zh-CN"/>
        </w:rPr>
        <w:t>5%</w:t>
      </w:r>
      <w:r>
        <w:rPr>
          <w:rFonts w:hint="eastAsia" w:ascii="宋体" w:hAnsi="宋体" w:cs="宋体"/>
          <w:szCs w:val="21"/>
          <w:lang w:val="zh-CN"/>
        </w:rPr>
        <w:t>的违约金。</w:t>
      </w:r>
    </w:p>
    <w:p w14:paraId="3AC50A53">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４、乙方逾期交付的，每逾期</w:t>
      </w:r>
      <w:r>
        <w:rPr>
          <w:rFonts w:ascii="宋体" w:hAnsi="宋体" w:cs="宋体"/>
          <w:szCs w:val="21"/>
          <w:lang w:val="zh-CN"/>
        </w:rPr>
        <w:t>1</w:t>
      </w:r>
      <w:r>
        <w:rPr>
          <w:rFonts w:hint="eastAsia" w:ascii="宋体" w:hAnsi="宋体" w:cs="宋体"/>
          <w:szCs w:val="21"/>
          <w:lang w:val="zh-CN"/>
        </w:rPr>
        <w:t>天，乙方向甲方偿付合同总额的</w:t>
      </w:r>
      <w:r>
        <w:rPr>
          <w:rFonts w:ascii="宋体" w:hAnsi="宋体" w:cs="宋体"/>
          <w:szCs w:val="21"/>
          <w:lang w:val="zh-CN"/>
        </w:rPr>
        <w:t>5</w:t>
      </w:r>
      <w:r>
        <w:rPr>
          <w:rFonts w:hint="eastAsia" w:ascii="宋体" w:hAnsi="宋体" w:cs="宋体"/>
          <w:szCs w:val="21"/>
          <w:lang w:val="zh-CN"/>
        </w:rPr>
        <w:t>‰的滞纳金。如乙方逾期交付达</w:t>
      </w:r>
      <w:r>
        <w:rPr>
          <w:rFonts w:ascii="宋体" w:hAnsi="宋体" w:cs="宋体"/>
          <w:szCs w:val="21"/>
          <w:lang w:val="zh-CN"/>
        </w:rPr>
        <w:t>10</w:t>
      </w:r>
      <w:r>
        <w:rPr>
          <w:rFonts w:hint="eastAsia" w:ascii="宋体" w:hAnsi="宋体" w:cs="宋体"/>
          <w:szCs w:val="21"/>
          <w:lang w:val="zh-CN"/>
        </w:rPr>
        <w:t>天，甲方有权解除合同，解除合同的通知自到达乙方时生效。</w:t>
      </w:r>
    </w:p>
    <w:p w14:paraId="3429D9EF">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５、乙方所交付的服务不符合合同规定的，甲方有权拒收。甲方拒收的，乙方应向甲方支付合同总款</w:t>
      </w:r>
      <w:r>
        <w:rPr>
          <w:rFonts w:ascii="宋体" w:hAnsi="宋体" w:cs="宋体"/>
          <w:szCs w:val="21"/>
          <w:lang w:val="zh-CN"/>
        </w:rPr>
        <w:t>5%</w:t>
      </w:r>
      <w:r>
        <w:rPr>
          <w:rFonts w:hint="eastAsia" w:ascii="宋体" w:hAnsi="宋体" w:cs="宋体"/>
          <w:szCs w:val="21"/>
          <w:lang w:val="zh-CN"/>
        </w:rPr>
        <w:t>的违约金。</w:t>
      </w:r>
    </w:p>
    <w:p w14:paraId="449A801D">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６、在乙方承诺的或国家规定的</w:t>
      </w:r>
      <w:r>
        <w:rPr>
          <w:rFonts w:hint="eastAsia" w:ascii="宋体" w:hAnsi="宋体" w:cs="宋体"/>
          <w:szCs w:val="21"/>
        </w:rPr>
        <w:t>服务</w:t>
      </w:r>
      <w:r>
        <w:rPr>
          <w:rFonts w:hint="eastAsia" w:ascii="宋体" w:hAnsi="宋体" w:cs="宋体"/>
          <w:szCs w:val="21"/>
          <w:lang w:val="zh-CN"/>
        </w:rPr>
        <w:t>期内</w:t>
      </w:r>
      <w:r>
        <w:rPr>
          <w:rFonts w:hint="eastAsia" w:ascii="宋体" w:hAnsi="宋体" w:cs="宋体"/>
          <w:szCs w:val="21"/>
        </w:rPr>
        <w:t>完成</w:t>
      </w:r>
      <w:r>
        <w:rPr>
          <w:rFonts w:hint="eastAsia" w:ascii="宋体" w:hAnsi="宋体" w:cs="宋体"/>
          <w:szCs w:val="21"/>
          <w:lang w:val="zh-CN"/>
        </w:rPr>
        <w:t>，如经乙方两次整改仍不能达到合同约定的质量标准，乙方应退回全部合同价款，并按第</w:t>
      </w:r>
      <w:r>
        <w:rPr>
          <w:rFonts w:ascii="宋体" w:hAnsi="宋体" w:cs="宋体"/>
          <w:szCs w:val="21"/>
          <w:lang w:val="zh-CN"/>
        </w:rPr>
        <w:t>3</w:t>
      </w:r>
      <w:r>
        <w:rPr>
          <w:rFonts w:hint="eastAsia" w:ascii="宋体" w:hAnsi="宋体" w:cs="宋体"/>
          <w:szCs w:val="21"/>
          <w:lang w:val="zh-CN"/>
        </w:rPr>
        <w:t>款处理，同时，乙方还须赔偿甲方因此遭受的损失。</w:t>
      </w:r>
    </w:p>
    <w:p w14:paraId="7631ADA7">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7</w:t>
      </w:r>
      <w:r>
        <w:rPr>
          <w:rFonts w:hint="eastAsia" w:ascii="宋体" w:hAnsi="宋体" w:cs="宋体"/>
          <w:szCs w:val="21"/>
          <w:lang w:val="zh-CN"/>
        </w:rPr>
        <w:t>、乙方未按本合同的规定和“服务承诺”提供伴随服务</w:t>
      </w:r>
      <w:r>
        <w:rPr>
          <w:rFonts w:ascii="宋体" w:hAnsi="宋体" w:cs="宋体"/>
          <w:szCs w:val="21"/>
          <w:lang w:val="zh-CN"/>
        </w:rPr>
        <w:t>/</w:t>
      </w:r>
      <w:r>
        <w:rPr>
          <w:rFonts w:hint="eastAsia" w:ascii="宋体" w:hAnsi="宋体" w:cs="宋体"/>
          <w:szCs w:val="21"/>
          <w:lang w:val="zh-CN"/>
        </w:rPr>
        <w:t>售后服务的，应按合同总价款的</w:t>
      </w:r>
      <w:r>
        <w:rPr>
          <w:rFonts w:ascii="宋体" w:hAnsi="宋体" w:cs="宋体"/>
          <w:szCs w:val="21"/>
          <w:lang w:val="zh-CN"/>
        </w:rPr>
        <w:t>5%</w:t>
      </w:r>
      <w:r>
        <w:rPr>
          <w:rFonts w:hint="eastAsia" w:ascii="宋体" w:hAnsi="宋体" w:cs="宋体"/>
          <w:szCs w:val="21"/>
          <w:lang w:val="zh-CN"/>
        </w:rPr>
        <w:t>向甲方承担违约责任。</w:t>
      </w:r>
    </w:p>
    <w:p w14:paraId="6ADFC6B1">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8</w:t>
      </w:r>
      <w:r>
        <w:rPr>
          <w:rFonts w:hint="eastAsia" w:ascii="宋体" w:hAnsi="宋体" w:cs="宋体"/>
          <w:szCs w:val="21"/>
          <w:lang w:val="zh-CN"/>
        </w:rPr>
        <w:t>、乙方在承担上述</w:t>
      </w:r>
      <w:r>
        <w:rPr>
          <w:rFonts w:ascii="宋体" w:hAnsi="宋体" w:cs="宋体"/>
          <w:szCs w:val="21"/>
          <w:lang w:val="zh-CN"/>
        </w:rPr>
        <w:t>4-7</w:t>
      </w:r>
      <w:r>
        <w:rPr>
          <w:rFonts w:hint="eastAsia" w:ascii="宋体" w:hAnsi="宋体" w:cs="宋体"/>
          <w:szCs w:val="21"/>
          <w:lang w:val="zh-CN"/>
        </w:rPr>
        <w:t>款一项或多项违约责任后，仍应继续履行合同规定的义务（甲方解除合同的除外）。甲方未能及时追究乙方的任何一项违约责任并不表明甲方放弃追究乙方该项或其他违约责任。</w:t>
      </w:r>
    </w:p>
    <w:p w14:paraId="25D66B37">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9</w:t>
      </w:r>
      <w:r>
        <w:rPr>
          <w:rFonts w:hint="eastAsia" w:ascii="宋体" w:hAnsi="宋体" w:cs="宋体"/>
          <w:szCs w:val="21"/>
          <w:lang w:val="zh-CN"/>
        </w:rPr>
        <w:t>、乙方投标属虚假承诺，或经权威部门检测提供的服务不能满足</w:t>
      </w:r>
      <w:r>
        <w:rPr>
          <w:rFonts w:hint="eastAsia" w:ascii="宋体" w:hAnsi="宋体" w:cs="宋体"/>
          <w:szCs w:val="21"/>
        </w:rPr>
        <w:t>招标</w:t>
      </w:r>
      <w:r>
        <w:rPr>
          <w:rFonts w:hint="eastAsia" w:ascii="宋体" w:hAnsi="宋体" w:cs="宋体"/>
          <w:szCs w:val="21"/>
          <w:lang w:val="zh-CN"/>
        </w:rPr>
        <w:t>文件要求，或是由于乙方的过错造成合同无法继续履行的，应向甲方支付不少于合同总价</w:t>
      </w:r>
      <w:r>
        <w:rPr>
          <w:rFonts w:ascii="宋体" w:hAnsi="宋体" w:cs="宋体"/>
          <w:szCs w:val="21"/>
          <w:lang w:val="zh-CN"/>
        </w:rPr>
        <w:t>30%</w:t>
      </w:r>
      <w:r>
        <w:rPr>
          <w:rFonts w:hint="eastAsia" w:ascii="宋体" w:hAnsi="宋体" w:cs="宋体"/>
          <w:szCs w:val="21"/>
          <w:lang w:val="zh-CN"/>
        </w:rPr>
        <w:t>赔偿金。</w:t>
      </w:r>
    </w:p>
    <w:p w14:paraId="2DDBDAA6">
      <w:pPr>
        <w:widowControl/>
        <w:adjustRightInd w:val="0"/>
        <w:snapToGrid w:val="0"/>
        <w:spacing w:line="360" w:lineRule="auto"/>
        <w:ind w:firstLine="420"/>
        <w:jc w:val="left"/>
        <w:rPr>
          <w:rFonts w:hint="eastAsia" w:ascii="宋体" w:hAnsi="宋体" w:cs="宋体"/>
          <w:b/>
          <w:bCs/>
          <w:szCs w:val="21"/>
          <w:lang w:val="zh-CN"/>
        </w:rPr>
      </w:pPr>
      <w:r>
        <w:rPr>
          <w:rFonts w:hint="eastAsia" w:ascii="宋体" w:hAnsi="宋体" w:cs="宋体"/>
          <w:b/>
          <w:bCs/>
          <w:szCs w:val="21"/>
          <w:lang w:val="zh-CN"/>
        </w:rPr>
        <w:t>第十条</w:t>
      </w:r>
      <w:r>
        <w:rPr>
          <w:rFonts w:ascii="宋体" w:hAnsi="宋体" w:cs="宋体"/>
          <w:b/>
          <w:bCs/>
          <w:szCs w:val="21"/>
          <w:lang w:val="zh-CN"/>
        </w:rPr>
        <w:t xml:space="preserve"> </w:t>
      </w:r>
      <w:r>
        <w:rPr>
          <w:rFonts w:hint="eastAsia" w:ascii="宋体" w:hAnsi="宋体" w:cs="宋体"/>
          <w:b/>
          <w:bCs/>
          <w:szCs w:val="21"/>
          <w:lang w:val="zh-CN"/>
        </w:rPr>
        <w:t>合同的变更和终止</w:t>
      </w:r>
    </w:p>
    <w:p w14:paraId="665FD896">
      <w:pPr>
        <w:widowControl/>
        <w:adjustRightInd w:val="0"/>
        <w:snapToGrid w:val="0"/>
        <w:spacing w:line="360" w:lineRule="auto"/>
        <w:ind w:firstLine="420" w:firstLineChars="200"/>
        <w:jc w:val="left"/>
        <w:rPr>
          <w:rFonts w:hint="eastAsia" w:ascii="宋体" w:hAnsi="宋体" w:cs="宋体"/>
          <w:szCs w:val="21"/>
          <w:lang w:val="zh-CN"/>
        </w:rPr>
      </w:pPr>
      <w:r>
        <w:rPr>
          <w:rFonts w:ascii="宋体" w:hAnsi="宋体"/>
          <w:szCs w:val="21"/>
          <w:lang w:val="zh-CN"/>
        </w:rPr>
        <w:t>1</w:t>
      </w:r>
      <w:r>
        <w:rPr>
          <w:rFonts w:hint="eastAsia" w:ascii="宋体" w:hAnsi="宋体" w:cs="宋体"/>
          <w:szCs w:val="21"/>
          <w:lang w:val="zh-CN"/>
        </w:rPr>
        <w:t>、除《政府采购法》第</w:t>
      </w:r>
      <w:r>
        <w:rPr>
          <w:rFonts w:ascii="宋体" w:hAnsi="宋体"/>
          <w:szCs w:val="21"/>
          <w:lang w:val="zh-CN"/>
        </w:rPr>
        <w:t>50</w:t>
      </w:r>
      <w:r>
        <w:rPr>
          <w:rFonts w:hint="eastAsia" w:ascii="宋体" w:hAnsi="宋体" w:cs="宋体"/>
          <w:szCs w:val="21"/>
          <w:lang w:val="zh-CN"/>
        </w:rPr>
        <w:t>条第二款规定的情形外，本合同一经签订，甲乙双方不得擅自变更、中止或终止合同。</w:t>
      </w:r>
    </w:p>
    <w:p w14:paraId="0604DADF">
      <w:pPr>
        <w:widowControl/>
        <w:adjustRightInd w:val="0"/>
        <w:snapToGrid w:val="0"/>
        <w:spacing w:line="360" w:lineRule="auto"/>
        <w:ind w:firstLine="420" w:firstLineChars="200"/>
        <w:jc w:val="left"/>
        <w:rPr>
          <w:rFonts w:hint="eastAsia" w:ascii="宋体" w:hAnsi="宋体" w:cs="宋体"/>
          <w:szCs w:val="21"/>
          <w:lang w:val="zh-CN"/>
        </w:rPr>
      </w:pPr>
      <w:r>
        <w:rPr>
          <w:rFonts w:ascii="宋体" w:hAnsi="宋体"/>
          <w:szCs w:val="21"/>
          <w:lang w:val="zh-CN"/>
        </w:rPr>
        <w:t>2</w:t>
      </w:r>
      <w:r>
        <w:rPr>
          <w:rFonts w:hint="eastAsia" w:ascii="宋体" w:hAnsi="宋体" w:cs="宋体"/>
          <w:szCs w:val="21"/>
          <w:lang w:val="zh-CN"/>
        </w:rPr>
        <w:t>、</w:t>
      </w:r>
      <w:r>
        <w:rPr>
          <w:rFonts w:hint="eastAsia" w:ascii="宋体" w:hAnsi="宋体" w:cs="宋体"/>
          <w:szCs w:val="21"/>
        </w:rPr>
        <w:t>除发生法律规定的不能预见、不能避免并不能克服的客观情况外，甲乙双方不得放弃或拒绝履行合同。乙方放弃或拒绝履行合同，保证金不予退还。</w:t>
      </w:r>
    </w:p>
    <w:p w14:paraId="034D5177">
      <w:pPr>
        <w:widowControl/>
        <w:adjustRightInd w:val="0"/>
        <w:snapToGrid w:val="0"/>
        <w:spacing w:line="360" w:lineRule="auto"/>
        <w:ind w:firstLine="420"/>
        <w:jc w:val="left"/>
        <w:rPr>
          <w:rFonts w:hint="eastAsia" w:ascii="宋体" w:hAnsi="宋体" w:cs="宋体"/>
          <w:b/>
          <w:bCs/>
          <w:szCs w:val="21"/>
          <w:lang w:val="zh-CN"/>
        </w:rPr>
      </w:pPr>
      <w:r>
        <w:rPr>
          <w:rFonts w:hint="eastAsia" w:ascii="宋体" w:hAnsi="宋体" w:cs="宋体"/>
          <w:b/>
          <w:bCs/>
          <w:szCs w:val="21"/>
          <w:lang w:val="zh-CN"/>
        </w:rPr>
        <w:t>第十一条</w:t>
      </w:r>
      <w:r>
        <w:rPr>
          <w:rFonts w:ascii="宋体" w:hAnsi="宋体" w:cs="宋体"/>
          <w:b/>
          <w:bCs/>
          <w:szCs w:val="21"/>
          <w:lang w:val="zh-CN"/>
        </w:rPr>
        <w:t xml:space="preserve"> </w:t>
      </w:r>
      <w:r>
        <w:rPr>
          <w:rFonts w:hint="eastAsia" w:ascii="宋体" w:hAnsi="宋体" w:cs="宋体"/>
          <w:b/>
          <w:bCs/>
          <w:szCs w:val="21"/>
          <w:lang w:val="zh-CN"/>
        </w:rPr>
        <w:t>合同的转让</w:t>
      </w:r>
    </w:p>
    <w:p w14:paraId="483AFB67">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乙方不得擅自部分或全部转让其应履行的合同义务。</w:t>
      </w:r>
    </w:p>
    <w:p w14:paraId="19CB689A">
      <w:pPr>
        <w:widowControl/>
        <w:adjustRightInd w:val="0"/>
        <w:snapToGrid w:val="0"/>
        <w:spacing w:line="360" w:lineRule="auto"/>
        <w:ind w:firstLine="420"/>
        <w:jc w:val="left"/>
        <w:rPr>
          <w:rFonts w:hint="eastAsia" w:ascii="宋体" w:hAnsi="宋体" w:cs="宋体"/>
          <w:b/>
          <w:bCs/>
          <w:szCs w:val="21"/>
          <w:lang w:val="zh-CN"/>
        </w:rPr>
      </w:pPr>
      <w:r>
        <w:rPr>
          <w:rFonts w:hint="eastAsia" w:ascii="宋体" w:hAnsi="宋体" w:cs="宋体"/>
          <w:b/>
          <w:bCs/>
          <w:szCs w:val="21"/>
          <w:lang w:val="zh-CN"/>
        </w:rPr>
        <w:t>第十二条</w:t>
      </w:r>
      <w:r>
        <w:rPr>
          <w:rFonts w:ascii="宋体" w:hAnsi="宋体" w:cs="宋体"/>
          <w:b/>
          <w:bCs/>
          <w:szCs w:val="21"/>
          <w:lang w:val="zh-CN"/>
        </w:rPr>
        <w:t xml:space="preserve"> </w:t>
      </w:r>
      <w:r>
        <w:rPr>
          <w:rFonts w:hint="eastAsia" w:ascii="宋体" w:hAnsi="宋体" w:cs="宋体"/>
          <w:b/>
          <w:bCs/>
          <w:szCs w:val="21"/>
          <w:lang w:val="zh-CN"/>
        </w:rPr>
        <w:t>争议的解决</w:t>
      </w:r>
    </w:p>
    <w:p w14:paraId="2B789FAF">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1</w:t>
      </w:r>
      <w:r>
        <w:rPr>
          <w:rFonts w:hint="eastAsia" w:ascii="宋体" w:hAnsi="宋体" w:cs="宋体"/>
          <w:szCs w:val="21"/>
          <w:lang w:val="zh-CN"/>
        </w:rPr>
        <w:t>、因服务的质量问题发生争议的，应当邀请国家认可的质量检测机构对服务质量进行鉴定。符合标准的，鉴定费由甲方承担；不符合质量标准的，鉴定费由乙方承担。</w:t>
      </w:r>
    </w:p>
    <w:p w14:paraId="4D92B7D8">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2</w:t>
      </w:r>
      <w:r>
        <w:rPr>
          <w:rFonts w:hint="eastAsia" w:ascii="宋体" w:hAnsi="宋体" w:cs="宋体"/>
          <w:szCs w:val="21"/>
          <w:lang w:val="zh-CN"/>
        </w:rPr>
        <w:t>、因履行本合同引起的或与本合同有关的争议，甲、乙双方应首先通过友好协商解决，如果协商不能解决争议，则采取以下第（</w:t>
      </w:r>
      <w:r>
        <w:rPr>
          <w:rFonts w:hint="eastAsia" w:ascii="宋体" w:hAnsi="宋体" w:cs="宋体"/>
          <w:szCs w:val="21"/>
        </w:rPr>
        <w:t xml:space="preserve"> </w:t>
      </w:r>
      <w:r>
        <w:rPr>
          <w:rFonts w:hint="eastAsia" w:ascii="宋体" w:hAnsi="宋体" w:cs="宋体"/>
          <w:szCs w:val="21"/>
          <w:lang w:val="zh-CN"/>
        </w:rPr>
        <w:t>）种方式解决争议：</w:t>
      </w:r>
    </w:p>
    <w:p w14:paraId="10A3A6F3">
      <w:pPr>
        <w:widowControl/>
        <w:adjustRightInd w:val="0"/>
        <w:snapToGrid w:val="0"/>
        <w:spacing w:line="360" w:lineRule="auto"/>
        <w:ind w:firstLine="560"/>
        <w:jc w:val="left"/>
        <w:rPr>
          <w:rFonts w:hint="eastAsia" w:ascii="宋体" w:hAnsi="宋体" w:cs="宋体"/>
          <w:szCs w:val="21"/>
          <w:lang w:val="zh-CN"/>
        </w:rPr>
      </w:pPr>
      <w:r>
        <w:rPr>
          <w:rFonts w:hint="eastAsia" w:ascii="宋体" w:hAnsi="宋体" w:cs="宋体"/>
          <w:szCs w:val="21"/>
          <w:lang w:val="zh-CN"/>
        </w:rPr>
        <w:t>（1）向甲方所在地有管辖权的人民法院提起诉讼；</w:t>
      </w:r>
    </w:p>
    <w:p w14:paraId="714864B5">
      <w:pPr>
        <w:widowControl/>
        <w:adjustRightInd w:val="0"/>
        <w:snapToGrid w:val="0"/>
        <w:spacing w:line="360" w:lineRule="auto"/>
        <w:ind w:firstLine="560"/>
        <w:jc w:val="left"/>
        <w:rPr>
          <w:rFonts w:hint="eastAsia" w:ascii="宋体" w:hAnsi="宋体" w:cs="宋体"/>
          <w:szCs w:val="21"/>
          <w:lang w:val="zh-CN"/>
        </w:rPr>
      </w:pPr>
      <w:r>
        <w:rPr>
          <w:rFonts w:hint="eastAsia" w:ascii="宋体" w:hAnsi="宋体" w:cs="宋体"/>
          <w:szCs w:val="21"/>
          <w:lang w:val="zh-CN"/>
        </w:rPr>
        <w:t>（2）向南京仲裁委员会按其仲裁规则申请仲裁。</w:t>
      </w:r>
    </w:p>
    <w:p w14:paraId="014C68F2">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如没有约定，默认采取第2种方式解决争议。</w:t>
      </w:r>
    </w:p>
    <w:p w14:paraId="6B62C2AF">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3</w:t>
      </w:r>
      <w:r>
        <w:rPr>
          <w:rFonts w:hint="eastAsia" w:ascii="宋体" w:hAnsi="宋体" w:cs="宋体"/>
          <w:szCs w:val="21"/>
          <w:lang w:val="zh-CN"/>
        </w:rPr>
        <w:t>、在仲裁期间，本合同应继续履行。</w:t>
      </w:r>
    </w:p>
    <w:p w14:paraId="46D3AB50">
      <w:pPr>
        <w:widowControl/>
        <w:adjustRightInd w:val="0"/>
        <w:snapToGrid w:val="0"/>
        <w:spacing w:line="360" w:lineRule="auto"/>
        <w:ind w:firstLine="420"/>
        <w:jc w:val="left"/>
        <w:rPr>
          <w:rFonts w:hint="eastAsia" w:ascii="宋体" w:hAnsi="宋体" w:cs="宋体"/>
          <w:b/>
          <w:bCs/>
          <w:szCs w:val="21"/>
          <w:lang w:val="zh-CN"/>
        </w:rPr>
      </w:pPr>
      <w:r>
        <w:rPr>
          <w:rFonts w:hint="eastAsia" w:ascii="宋体" w:hAnsi="宋体" w:cs="宋体"/>
          <w:b/>
          <w:bCs/>
          <w:szCs w:val="21"/>
          <w:lang w:val="zh-CN"/>
        </w:rPr>
        <w:t>第十三条</w:t>
      </w:r>
      <w:r>
        <w:rPr>
          <w:rFonts w:ascii="宋体" w:hAnsi="宋体" w:cs="宋体"/>
          <w:b/>
          <w:bCs/>
          <w:szCs w:val="21"/>
          <w:lang w:val="zh-CN"/>
        </w:rPr>
        <w:t xml:space="preserve"> </w:t>
      </w:r>
      <w:r>
        <w:rPr>
          <w:rFonts w:hint="eastAsia" w:ascii="宋体" w:hAnsi="宋体" w:cs="宋体"/>
          <w:b/>
          <w:bCs/>
          <w:szCs w:val="21"/>
          <w:lang w:val="zh-CN"/>
        </w:rPr>
        <w:t>诚实信用</w:t>
      </w:r>
      <w:r>
        <w:rPr>
          <w:rFonts w:ascii="宋体" w:hAnsi="宋体" w:cs="宋体"/>
          <w:b/>
          <w:bCs/>
          <w:szCs w:val="21"/>
          <w:lang w:val="zh-CN"/>
        </w:rPr>
        <w:t xml:space="preserve"> </w:t>
      </w:r>
    </w:p>
    <w:p w14:paraId="415FE51E">
      <w:pPr>
        <w:widowControl/>
        <w:adjustRightInd w:val="0"/>
        <w:snapToGrid w:val="0"/>
        <w:spacing w:line="360" w:lineRule="auto"/>
        <w:ind w:firstLine="420"/>
        <w:jc w:val="left"/>
        <w:rPr>
          <w:rFonts w:hint="eastAsia" w:ascii="宋体" w:hAnsi="宋体" w:cs="宋体"/>
          <w:szCs w:val="21"/>
          <w:lang w:val="zh-CN"/>
        </w:rPr>
      </w:pPr>
      <w:r>
        <w:rPr>
          <w:rFonts w:hint="eastAsia" w:ascii="宋体" w:hAnsi="宋体" w:cs="宋体"/>
          <w:szCs w:val="21"/>
          <w:lang w:val="zh-CN"/>
        </w:rPr>
        <w:t>乙方应诚实信用，严格按照</w:t>
      </w:r>
      <w:r>
        <w:rPr>
          <w:rFonts w:hint="eastAsia" w:ascii="宋体" w:hAnsi="宋体" w:cs="宋体"/>
          <w:szCs w:val="21"/>
        </w:rPr>
        <w:t>招标</w:t>
      </w:r>
      <w:r>
        <w:rPr>
          <w:rFonts w:hint="eastAsia" w:ascii="宋体" w:hAnsi="宋体" w:cs="宋体"/>
          <w:szCs w:val="21"/>
          <w:lang w:val="zh-CN"/>
        </w:rPr>
        <w:t>文件要求和投标承诺履行合同，不向甲方进行商业贿赂或者提供不正当利益。</w:t>
      </w:r>
    </w:p>
    <w:p w14:paraId="16E58D90">
      <w:pPr>
        <w:widowControl/>
        <w:adjustRightInd w:val="0"/>
        <w:snapToGrid w:val="0"/>
        <w:spacing w:line="360" w:lineRule="auto"/>
        <w:ind w:firstLine="420"/>
        <w:jc w:val="left"/>
        <w:rPr>
          <w:rFonts w:hint="eastAsia" w:ascii="宋体" w:hAnsi="宋体" w:cs="宋体"/>
          <w:b/>
          <w:bCs/>
          <w:szCs w:val="21"/>
          <w:lang w:val="zh-CN"/>
        </w:rPr>
      </w:pPr>
      <w:r>
        <w:rPr>
          <w:rFonts w:hint="eastAsia" w:ascii="宋体" w:hAnsi="宋体" w:cs="宋体"/>
          <w:b/>
          <w:bCs/>
          <w:szCs w:val="21"/>
          <w:lang w:val="zh-CN"/>
        </w:rPr>
        <w:t>第十四条</w:t>
      </w:r>
      <w:r>
        <w:rPr>
          <w:rFonts w:ascii="宋体" w:hAnsi="宋体" w:cs="宋体"/>
          <w:b/>
          <w:bCs/>
          <w:szCs w:val="21"/>
          <w:lang w:val="zh-CN"/>
        </w:rPr>
        <w:t xml:space="preserve"> </w:t>
      </w:r>
      <w:r>
        <w:rPr>
          <w:rFonts w:hint="eastAsia" w:ascii="宋体" w:hAnsi="宋体" w:cs="宋体"/>
          <w:b/>
          <w:bCs/>
          <w:szCs w:val="21"/>
          <w:lang w:val="zh-CN"/>
        </w:rPr>
        <w:t>合同生效及其他</w:t>
      </w:r>
    </w:p>
    <w:p w14:paraId="7F7482BC">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1</w:t>
      </w:r>
      <w:r>
        <w:rPr>
          <w:rFonts w:hint="eastAsia" w:ascii="宋体" w:hAnsi="宋体" w:cs="宋体"/>
          <w:szCs w:val="21"/>
          <w:lang w:val="zh-CN"/>
        </w:rPr>
        <w:t>、本合同自签订之日起生效。</w:t>
      </w:r>
    </w:p>
    <w:p w14:paraId="33C853B1">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2</w:t>
      </w:r>
      <w:r>
        <w:rPr>
          <w:rFonts w:hint="eastAsia" w:ascii="宋体" w:hAnsi="宋体" w:cs="宋体"/>
          <w:szCs w:val="21"/>
          <w:lang w:val="zh-CN"/>
        </w:rPr>
        <w:t>、本合同一式肆份，甲乙双方各执两份。</w:t>
      </w:r>
    </w:p>
    <w:p w14:paraId="273F8EA2">
      <w:pPr>
        <w:widowControl/>
        <w:adjustRightInd w:val="0"/>
        <w:snapToGrid w:val="0"/>
        <w:spacing w:line="360" w:lineRule="auto"/>
        <w:ind w:firstLine="420"/>
        <w:jc w:val="left"/>
        <w:rPr>
          <w:rFonts w:hint="eastAsia" w:ascii="宋体" w:hAnsi="宋体" w:cs="宋体"/>
          <w:szCs w:val="21"/>
          <w:lang w:val="zh-CN"/>
        </w:rPr>
      </w:pPr>
      <w:r>
        <w:rPr>
          <w:rFonts w:ascii="宋体" w:hAnsi="宋体" w:cs="宋体"/>
          <w:szCs w:val="21"/>
          <w:lang w:val="zh-CN"/>
        </w:rPr>
        <w:t>3</w:t>
      </w:r>
      <w:r>
        <w:rPr>
          <w:rFonts w:hint="eastAsia" w:ascii="宋体" w:hAnsi="宋体" w:cs="宋体"/>
          <w:szCs w:val="21"/>
          <w:lang w:val="zh-CN"/>
        </w:rPr>
        <w:t>、本合同应按照中华人民共和国的现行法律进行解释。</w:t>
      </w:r>
    </w:p>
    <w:p w14:paraId="4C4FB4D1">
      <w:pPr>
        <w:widowControl/>
        <w:adjustRightInd w:val="0"/>
        <w:snapToGrid w:val="0"/>
        <w:spacing w:line="360" w:lineRule="auto"/>
        <w:ind w:firstLine="420"/>
        <w:jc w:val="left"/>
        <w:rPr>
          <w:rFonts w:hint="eastAsia" w:ascii="宋体" w:hAnsi="宋体" w:cs="宋体"/>
          <w:szCs w:val="21"/>
          <w:lang w:val="zh-CN"/>
        </w:rPr>
      </w:pPr>
    </w:p>
    <w:p w14:paraId="28D89935">
      <w:pPr>
        <w:widowControl/>
        <w:adjustRightInd w:val="0"/>
        <w:snapToGrid w:val="0"/>
        <w:spacing w:line="360" w:lineRule="auto"/>
        <w:jc w:val="left"/>
        <w:rPr>
          <w:rFonts w:hint="eastAsia" w:ascii="宋体" w:hAnsi="宋体" w:cs="宋体"/>
          <w:szCs w:val="21"/>
          <w:lang w:val="zh-CN"/>
        </w:rPr>
      </w:pPr>
    </w:p>
    <w:tbl>
      <w:tblPr>
        <w:tblStyle w:val="38"/>
        <w:tblW w:w="9286" w:type="dxa"/>
        <w:tblInd w:w="-108" w:type="dxa"/>
        <w:tblLayout w:type="fixed"/>
        <w:tblCellMar>
          <w:top w:w="0" w:type="dxa"/>
          <w:left w:w="0" w:type="dxa"/>
          <w:bottom w:w="0" w:type="dxa"/>
          <w:right w:w="0" w:type="dxa"/>
        </w:tblCellMar>
      </w:tblPr>
      <w:tblGrid>
        <w:gridCol w:w="4643"/>
        <w:gridCol w:w="4643"/>
      </w:tblGrid>
      <w:tr w14:paraId="20D4A3FB">
        <w:tblPrEx>
          <w:tblCellMar>
            <w:top w:w="0" w:type="dxa"/>
            <w:left w:w="0" w:type="dxa"/>
            <w:bottom w:w="0" w:type="dxa"/>
            <w:right w:w="0" w:type="dxa"/>
          </w:tblCellMar>
        </w:tblPrEx>
        <w:tc>
          <w:tcPr>
            <w:tcW w:w="4643" w:type="dxa"/>
            <w:tcBorders>
              <w:top w:val="nil"/>
              <w:left w:val="nil"/>
              <w:bottom w:val="nil"/>
              <w:right w:val="nil"/>
            </w:tcBorders>
          </w:tcPr>
          <w:p w14:paraId="187A5395">
            <w:pPr>
              <w:widowControl/>
              <w:adjustRightInd w:val="0"/>
              <w:snapToGrid w:val="0"/>
              <w:spacing w:line="360" w:lineRule="auto"/>
              <w:jc w:val="left"/>
              <w:rPr>
                <w:rFonts w:hint="eastAsia" w:ascii="宋体" w:hAnsi="宋体" w:cs="宋体"/>
                <w:szCs w:val="21"/>
                <w:lang w:val="zh-CN"/>
              </w:rPr>
            </w:pPr>
            <w:r>
              <w:rPr>
                <w:rFonts w:hint="eastAsia" w:ascii="宋体" w:hAnsi="宋体" w:cs="宋体"/>
                <w:szCs w:val="21"/>
                <w:lang w:val="zh-CN"/>
              </w:rPr>
              <w:t>甲方（采购人）：（盖章）</w:t>
            </w:r>
          </w:p>
        </w:tc>
        <w:tc>
          <w:tcPr>
            <w:tcW w:w="4643" w:type="dxa"/>
            <w:tcBorders>
              <w:top w:val="nil"/>
              <w:left w:val="nil"/>
              <w:bottom w:val="nil"/>
              <w:right w:val="nil"/>
            </w:tcBorders>
          </w:tcPr>
          <w:p w14:paraId="27E53FFD">
            <w:pPr>
              <w:widowControl/>
              <w:adjustRightInd w:val="0"/>
              <w:snapToGrid w:val="0"/>
              <w:spacing w:line="360" w:lineRule="auto"/>
              <w:jc w:val="left"/>
              <w:rPr>
                <w:rFonts w:hint="eastAsia" w:ascii="宋体" w:hAnsi="宋体" w:cs="宋体"/>
                <w:szCs w:val="21"/>
                <w:lang w:val="zh-CN"/>
              </w:rPr>
            </w:pPr>
            <w:r>
              <w:rPr>
                <w:rFonts w:hint="eastAsia" w:ascii="宋体" w:hAnsi="宋体" w:cs="宋体"/>
                <w:szCs w:val="21"/>
                <w:lang w:val="zh-CN"/>
              </w:rPr>
              <w:t>乙方（供应商）：（盖章）</w:t>
            </w:r>
          </w:p>
        </w:tc>
      </w:tr>
      <w:tr w14:paraId="12D2E5DA">
        <w:tblPrEx>
          <w:tblCellMar>
            <w:top w:w="0" w:type="dxa"/>
            <w:left w:w="0" w:type="dxa"/>
            <w:bottom w:w="0" w:type="dxa"/>
            <w:right w:w="0" w:type="dxa"/>
          </w:tblCellMar>
        </w:tblPrEx>
        <w:tc>
          <w:tcPr>
            <w:tcW w:w="4643" w:type="dxa"/>
            <w:tcBorders>
              <w:top w:val="nil"/>
              <w:left w:val="nil"/>
              <w:bottom w:val="nil"/>
              <w:right w:val="nil"/>
            </w:tcBorders>
          </w:tcPr>
          <w:p w14:paraId="18A38A36">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代表人：</w:t>
            </w:r>
          </w:p>
        </w:tc>
        <w:tc>
          <w:tcPr>
            <w:tcW w:w="4643" w:type="dxa"/>
            <w:tcBorders>
              <w:top w:val="nil"/>
              <w:left w:val="nil"/>
              <w:bottom w:val="nil"/>
              <w:right w:val="nil"/>
            </w:tcBorders>
          </w:tcPr>
          <w:p w14:paraId="54F9EBAB">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代表人</w:t>
            </w:r>
            <w:r>
              <w:rPr>
                <w:rFonts w:hint="eastAsia" w:ascii="宋体" w:hAnsi="宋体" w:cs="宋体"/>
                <w:szCs w:val="21"/>
              </w:rPr>
              <w:t>：</w:t>
            </w:r>
          </w:p>
        </w:tc>
      </w:tr>
      <w:tr w14:paraId="7FD38B47">
        <w:tblPrEx>
          <w:tblCellMar>
            <w:top w:w="0" w:type="dxa"/>
            <w:left w:w="0" w:type="dxa"/>
            <w:bottom w:w="0" w:type="dxa"/>
            <w:right w:w="0" w:type="dxa"/>
          </w:tblCellMar>
        </w:tblPrEx>
        <w:tc>
          <w:tcPr>
            <w:tcW w:w="4643" w:type="dxa"/>
            <w:tcBorders>
              <w:top w:val="nil"/>
              <w:left w:val="nil"/>
              <w:bottom w:val="nil"/>
              <w:right w:val="nil"/>
            </w:tcBorders>
          </w:tcPr>
          <w:p w14:paraId="3FC890CC">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电</w:t>
            </w:r>
            <w:r>
              <w:rPr>
                <w:rFonts w:ascii="宋体" w:hAnsi="宋体"/>
                <w:szCs w:val="21"/>
              </w:rPr>
              <w:t xml:space="preserve">    </w:t>
            </w:r>
            <w:r>
              <w:rPr>
                <w:rFonts w:hint="eastAsia" w:ascii="宋体" w:hAnsi="宋体" w:cs="宋体"/>
                <w:szCs w:val="21"/>
                <w:lang w:val="zh-CN"/>
              </w:rPr>
              <w:t>话：</w:t>
            </w:r>
          </w:p>
        </w:tc>
        <w:tc>
          <w:tcPr>
            <w:tcW w:w="4643" w:type="dxa"/>
            <w:tcBorders>
              <w:top w:val="nil"/>
              <w:left w:val="nil"/>
              <w:bottom w:val="nil"/>
              <w:right w:val="nil"/>
            </w:tcBorders>
          </w:tcPr>
          <w:p w14:paraId="0C67A938">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电</w:t>
            </w:r>
            <w:r>
              <w:rPr>
                <w:rFonts w:ascii="宋体" w:hAnsi="宋体"/>
                <w:szCs w:val="21"/>
              </w:rPr>
              <w:t xml:space="preserve">    </w:t>
            </w:r>
            <w:r>
              <w:rPr>
                <w:rFonts w:hint="eastAsia" w:ascii="宋体" w:hAnsi="宋体" w:cs="宋体"/>
                <w:szCs w:val="21"/>
                <w:lang w:val="zh-CN"/>
              </w:rPr>
              <w:t>话：</w:t>
            </w:r>
          </w:p>
        </w:tc>
      </w:tr>
      <w:tr w14:paraId="447412C8">
        <w:tblPrEx>
          <w:tblCellMar>
            <w:top w:w="0" w:type="dxa"/>
            <w:left w:w="0" w:type="dxa"/>
            <w:bottom w:w="0" w:type="dxa"/>
            <w:right w:w="0" w:type="dxa"/>
          </w:tblCellMar>
        </w:tblPrEx>
        <w:tc>
          <w:tcPr>
            <w:tcW w:w="4643" w:type="dxa"/>
            <w:tcBorders>
              <w:top w:val="nil"/>
              <w:left w:val="nil"/>
              <w:bottom w:val="nil"/>
              <w:right w:val="nil"/>
            </w:tcBorders>
          </w:tcPr>
          <w:p w14:paraId="71931D00">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开户银行：</w:t>
            </w:r>
          </w:p>
        </w:tc>
        <w:tc>
          <w:tcPr>
            <w:tcW w:w="4643" w:type="dxa"/>
            <w:tcBorders>
              <w:top w:val="nil"/>
              <w:left w:val="nil"/>
              <w:bottom w:val="nil"/>
              <w:right w:val="nil"/>
            </w:tcBorders>
          </w:tcPr>
          <w:p w14:paraId="33CC6CBB">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开户银行：</w:t>
            </w:r>
          </w:p>
        </w:tc>
      </w:tr>
      <w:tr w14:paraId="0AA6B112">
        <w:tblPrEx>
          <w:tblCellMar>
            <w:top w:w="0" w:type="dxa"/>
            <w:left w:w="0" w:type="dxa"/>
            <w:bottom w:w="0" w:type="dxa"/>
            <w:right w:w="0" w:type="dxa"/>
          </w:tblCellMar>
        </w:tblPrEx>
        <w:tc>
          <w:tcPr>
            <w:tcW w:w="4643" w:type="dxa"/>
            <w:tcBorders>
              <w:top w:val="nil"/>
              <w:left w:val="nil"/>
              <w:bottom w:val="nil"/>
              <w:right w:val="nil"/>
            </w:tcBorders>
          </w:tcPr>
          <w:p w14:paraId="34015C1F">
            <w:pPr>
              <w:widowControl/>
              <w:adjustRightInd w:val="0"/>
              <w:snapToGrid w:val="0"/>
              <w:spacing w:line="360" w:lineRule="auto"/>
              <w:jc w:val="left"/>
              <w:rPr>
                <w:rFonts w:hint="eastAsia" w:ascii="宋体" w:hAnsi="宋体" w:cs="宋体"/>
                <w:szCs w:val="21"/>
              </w:rPr>
            </w:pPr>
            <w:r>
              <w:rPr>
                <w:rFonts w:hint="eastAsia" w:ascii="宋体" w:hAnsi="宋体" w:cs="宋体"/>
                <w:szCs w:val="21"/>
                <w:lang w:val="zh-CN"/>
              </w:rPr>
              <w:t>账</w:t>
            </w:r>
            <w:r>
              <w:rPr>
                <w:rFonts w:ascii="宋体" w:hAnsi="宋体"/>
                <w:szCs w:val="21"/>
              </w:rPr>
              <w:t xml:space="preserve">    </w:t>
            </w:r>
            <w:r>
              <w:rPr>
                <w:rFonts w:hint="eastAsia" w:ascii="宋体" w:hAnsi="宋体" w:cs="宋体"/>
                <w:szCs w:val="21"/>
                <w:lang w:val="zh-CN"/>
              </w:rPr>
              <w:t>号：</w:t>
            </w:r>
          </w:p>
        </w:tc>
        <w:tc>
          <w:tcPr>
            <w:tcW w:w="4643" w:type="dxa"/>
            <w:tcBorders>
              <w:top w:val="nil"/>
              <w:left w:val="nil"/>
              <w:bottom w:val="nil"/>
              <w:right w:val="nil"/>
            </w:tcBorders>
          </w:tcPr>
          <w:p w14:paraId="3337E675">
            <w:pPr>
              <w:widowControl/>
              <w:adjustRightInd w:val="0"/>
              <w:snapToGrid w:val="0"/>
              <w:spacing w:line="360" w:lineRule="auto"/>
              <w:jc w:val="left"/>
              <w:rPr>
                <w:rFonts w:hint="eastAsia" w:ascii="宋体" w:hAnsi="宋体" w:cs="宋体"/>
                <w:szCs w:val="21"/>
                <w:lang w:val="zh-CN"/>
              </w:rPr>
            </w:pPr>
            <w:r>
              <w:rPr>
                <w:rFonts w:hint="eastAsia" w:ascii="宋体" w:hAnsi="宋体" w:cs="宋体"/>
                <w:szCs w:val="21"/>
                <w:lang w:val="zh-CN"/>
              </w:rPr>
              <w:t>账</w:t>
            </w:r>
            <w:r>
              <w:rPr>
                <w:rFonts w:ascii="宋体" w:hAnsi="宋体"/>
                <w:szCs w:val="21"/>
              </w:rPr>
              <w:t xml:space="preserve">    </w:t>
            </w:r>
            <w:r>
              <w:rPr>
                <w:rFonts w:hint="eastAsia" w:ascii="宋体" w:hAnsi="宋体" w:cs="宋体"/>
                <w:szCs w:val="21"/>
                <w:lang w:val="zh-CN"/>
              </w:rPr>
              <w:t>号：</w:t>
            </w:r>
          </w:p>
          <w:p w14:paraId="0290DE24">
            <w:pPr>
              <w:widowControl/>
              <w:adjustRightInd w:val="0"/>
              <w:snapToGrid w:val="0"/>
              <w:spacing w:line="360" w:lineRule="auto"/>
              <w:jc w:val="left"/>
              <w:rPr>
                <w:rFonts w:hint="eastAsia" w:ascii="宋体" w:hAnsi="宋体" w:cs="宋体"/>
                <w:szCs w:val="21"/>
                <w:lang w:val="zh-CN"/>
              </w:rPr>
            </w:pPr>
          </w:p>
        </w:tc>
      </w:tr>
    </w:tbl>
    <w:p w14:paraId="37E3B68A">
      <w:pPr>
        <w:ind w:firstLine="6000"/>
        <w:jc w:val="left"/>
        <w:rPr>
          <w:rFonts w:hint="eastAsia" w:ascii="宋体" w:hAnsi="宋体" w:cs="Courier New"/>
          <w:color w:val="000000"/>
          <w:sz w:val="24"/>
          <w:szCs w:val="24"/>
        </w:rPr>
      </w:pPr>
    </w:p>
    <w:p w14:paraId="35DEA30B">
      <w:pPr>
        <w:ind w:firstLine="6000"/>
        <w:jc w:val="left"/>
        <w:rPr>
          <w:rFonts w:hint="eastAsia" w:ascii="宋体" w:hAnsi="宋体" w:cs="Courier New"/>
          <w:color w:val="000000"/>
          <w:sz w:val="24"/>
          <w:szCs w:val="24"/>
        </w:rPr>
      </w:pPr>
      <w:r>
        <w:rPr>
          <w:rFonts w:hint="eastAsia" w:ascii="宋体" w:hAnsi="宋体" w:cs="Courier New"/>
          <w:color w:val="000000"/>
          <w:sz w:val="24"/>
          <w:szCs w:val="24"/>
        </w:rPr>
        <w:t>签订日期：</w:t>
      </w:r>
    </w:p>
    <w:p w14:paraId="39219C29">
      <w:pPr>
        <w:spacing w:before="120" w:after="120" w:line="264" w:lineRule="auto"/>
        <w:jc w:val="center"/>
        <w:rPr>
          <w:rFonts w:hint="eastAsia" w:ascii="宋体" w:hAnsi="宋体"/>
          <w:b/>
          <w:color w:val="000000"/>
          <w:sz w:val="30"/>
          <w:szCs w:val="21"/>
        </w:rPr>
      </w:pPr>
      <w:r>
        <w:rPr>
          <w:rFonts w:hint="eastAsia" w:ascii="方正小标宋简体" w:hAnsi="方正小标宋简体" w:eastAsia="方正小标宋简体" w:cs="方正小标宋简体"/>
          <w:color w:val="000000"/>
          <w:sz w:val="36"/>
          <w:szCs w:val="36"/>
        </w:rPr>
        <w:br w:type="page"/>
      </w:r>
      <w:r>
        <w:rPr>
          <w:rFonts w:hint="eastAsia" w:ascii="宋体" w:hAnsi="宋体"/>
          <w:b/>
          <w:color w:val="000000"/>
          <w:sz w:val="30"/>
          <w:szCs w:val="21"/>
        </w:rPr>
        <w:t>《*******合同》补充协议（合同附件）</w:t>
      </w:r>
    </w:p>
    <w:p w14:paraId="5970AF74">
      <w:pPr>
        <w:rPr>
          <w:rFonts w:hint="eastAsia" w:ascii="方正小标宋简体" w:hAnsi="方正小标宋简体" w:eastAsia="方正小标宋简体" w:cs="方正小标宋简体"/>
          <w:color w:val="000000"/>
          <w:sz w:val="36"/>
          <w:szCs w:val="36"/>
        </w:rPr>
      </w:pPr>
      <w:r>
        <w:rPr>
          <w:rFonts w:hint="eastAsia" w:ascii="宋体" w:hAnsi="宋体" w:cs="Courier New"/>
          <w:color w:val="000000"/>
          <w:sz w:val="24"/>
          <w:szCs w:val="24"/>
        </w:rPr>
        <w:t>如遇招标文件及合同未约定事项，双方可友好协商签订补充协议。</w:t>
      </w:r>
    </w:p>
    <w:bookmarkEnd w:id="162"/>
    <w:bookmarkEnd w:id="163"/>
    <w:bookmarkEnd w:id="164"/>
    <w:bookmarkEnd w:id="165"/>
    <w:bookmarkEnd w:id="166"/>
    <w:p w14:paraId="5307D7D2">
      <w:pPr>
        <w:rPr>
          <w:rFonts w:hint="eastAsia" w:ascii="黑体" w:hAnsi="黑体" w:eastAsia="黑体" w:cs="黑体"/>
          <w:b/>
          <w:sz w:val="32"/>
          <w:szCs w:val="32"/>
          <w:lang w:val="zh-CN"/>
        </w:rPr>
      </w:pPr>
      <w:r>
        <w:rPr>
          <w:rFonts w:hint="eastAsia" w:ascii="黑体" w:hAnsi="黑体" w:eastAsia="黑体" w:cs="黑体"/>
          <w:b/>
          <w:sz w:val="32"/>
          <w:szCs w:val="32"/>
          <w:lang w:val="zh-CN"/>
        </w:rPr>
        <w:br w:type="page"/>
      </w:r>
    </w:p>
    <w:p w14:paraId="6EEF7598">
      <w:pPr>
        <w:spacing w:line="360" w:lineRule="auto"/>
        <w:ind w:firstLine="1285" w:firstLineChars="400"/>
        <w:jc w:val="left"/>
        <w:outlineLvl w:val="0"/>
        <w:rPr>
          <w:rFonts w:hint="eastAsia" w:ascii="黑体" w:hAnsi="黑体" w:eastAsia="黑体" w:cs="黑体"/>
          <w:b/>
          <w:sz w:val="32"/>
          <w:szCs w:val="32"/>
          <w:lang w:val="zh-CN"/>
        </w:rPr>
      </w:pPr>
      <w:r>
        <w:rPr>
          <w:rFonts w:hint="eastAsia" w:ascii="黑体" w:hAnsi="黑体" w:eastAsia="黑体" w:cs="黑体"/>
          <w:b/>
          <w:sz w:val="32"/>
          <w:szCs w:val="32"/>
          <w:lang w:val="zh-CN"/>
        </w:rPr>
        <w:t>第四章</w:t>
      </w:r>
      <w:r>
        <w:rPr>
          <w:rFonts w:ascii="黑体" w:hAnsi="黑体" w:eastAsia="黑体" w:cs="黑体"/>
          <w:b/>
          <w:sz w:val="32"/>
          <w:szCs w:val="32"/>
          <w:lang w:val="zh-CN"/>
        </w:rPr>
        <w:tab/>
      </w:r>
      <w:r>
        <w:rPr>
          <w:rFonts w:hint="eastAsia" w:ascii="黑体" w:hAnsi="黑体" w:eastAsia="黑体" w:cs="黑体"/>
          <w:b/>
          <w:sz w:val="32"/>
          <w:szCs w:val="32"/>
          <w:lang w:val="zh-CN"/>
        </w:rPr>
        <w:t xml:space="preserve"> 招标项目的技术规格、要求和数量等</w:t>
      </w:r>
    </w:p>
    <w:p w14:paraId="737F2E0B">
      <w:pPr>
        <w:widowControl/>
        <w:tabs>
          <w:tab w:val="left" w:pos="1260"/>
        </w:tabs>
        <w:spacing w:line="360" w:lineRule="auto"/>
        <w:rPr>
          <w:rFonts w:hint="eastAsia" w:ascii="宋体" w:hAnsi="宋体" w:cs="宋体"/>
          <w:b/>
          <w:bCs/>
          <w:spacing w:val="-1"/>
          <w:szCs w:val="21"/>
        </w:rPr>
      </w:pPr>
      <w:bookmarkStart w:id="167" w:name="第五章__合同草案条款及格式"/>
      <w:bookmarkEnd w:id="167"/>
      <w:r>
        <w:rPr>
          <w:rFonts w:hint="eastAsia" w:cs="宋体"/>
          <w:b/>
          <w:bCs/>
          <w:spacing w:val="-1"/>
          <w:szCs w:val="21"/>
        </w:rPr>
        <w:t>一、项目概况</w:t>
      </w:r>
    </w:p>
    <w:p w14:paraId="71165680">
      <w:pPr>
        <w:widowControl/>
        <w:tabs>
          <w:tab w:val="left" w:pos="1260"/>
        </w:tabs>
        <w:spacing w:line="360" w:lineRule="auto"/>
        <w:rPr>
          <w:rFonts w:hint="eastAsia" w:ascii="宋体" w:hAnsi="宋体" w:cs="宋体"/>
          <w:spacing w:val="-1"/>
          <w:szCs w:val="21"/>
        </w:rPr>
      </w:pPr>
      <w:r>
        <w:rPr>
          <w:rFonts w:hint="eastAsia" w:ascii="宋体" w:hAnsi="宋体" w:cs="宋体"/>
          <w:spacing w:val="-1"/>
          <w:szCs w:val="21"/>
        </w:rPr>
        <w:t>1、项目名称：文德路18号和文昌路12号办公区安保服务采购</w:t>
      </w:r>
    </w:p>
    <w:p w14:paraId="01016C1B">
      <w:pPr>
        <w:widowControl/>
        <w:tabs>
          <w:tab w:val="left" w:pos="1260"/>
        </w:tabs>
        <w:spacing w:line="360" w:lineRule="auto"/>
        <w:rPr>
          <w:rFonts w:hint="eastAsia" w:ascii="宋体" w:hAnsi="宋体" w:cs="宋体"/>
          <w:spacing w:val="-1"/>
          <w:szCs w:val="21"/>
        </w:rPr>
      </w:pPr>
      <w:r>
        <w:rPr>
          <w:rFonts w:hint="eastAsia" w:ascii="宋体" w:hAnsi="宋体" w:cs="宋体"/>
          <w:spacing w:val="-1"/>
          <w:szCs w:val="21"/>
        </w:rPr>
        <w:t>2、最高限价：371万元/年，投标报价不得超过限价，超过的投标报价按无效标处理。</w:t>
      </w:r>
    </w:p>
    <w:p w14:paraId="1978170D">
      <w:pPr>
        <w:widowControl/>
        <w:tabs>
          <w:tab w:val="left" w:pos="1260"/>
        </w:tabs>
        <w:spacing w:line="360" w:lineRule="auto"/>
        <w:rPr>
          <w:rFonts w:hint="eastAsia" w:ascii="宋体" w:hAnsi="宋体" w:cs="宋体"/>
          <w:spacing w:val="-1"/>
          <w:szCs w:val="21"/>
        </w:rPr>
      </w:pPr>
      <w:r>
        <w:rPr>
          <w:rFonts w:hint="eastAsia" w:ascii="宋体" w:hAnsi="宋体" w:cs="宋体"/>
          <w:spacing w:val="-1"/>
          <w:szCs w:val="21"/>
        </w:rPr>
        <w:t>3、合同履行期限：自合同签订之日起三年，合同为一年一签。合同期满，考核合格，经甲方同意后，可以续签下一年度合同。</w:t>
      </w:r>
    </w:p>
    <w:p w14:paraId="594F5AF3">
      <w:pPr>
        <w:widowControl/>
        <w:tabs>
          <w:tab w:val="left" w:pos="1260"/>
        </w:tabs>
        <w:spacing w:line="360" w:lineRule="auto"/>
        <w:rPr>
          <w:rFonts w:hint="eastAsia" w:ascii="宋体" w:hAnsi="宋体" w:cs="宋体"/>
          <w:spacing w:val="-1"/>
          <w:szCs w:val="21"/>
        </w:rPr>
      </w:pPr>
      <w:r>
        <w:rPr>
          <w:rFonts w:hint="eastAsia" w:ascii="宋体" w:hAnsi="宋体" w:cs="宋体"/>
          <w:spacing w:val="-1"/>
          <w:szCs w:val="21"/>
        </w:rPr>
        <w:t>4、本项目所属行业：租赁和商务服务业。</w:t>
      </w:r>
    </w:p>
    <w:p w14:paraId="5460EEE3">
      <w:pPr>
        <w:widowControl/>
        <w:tabs>
          <w:tab w:val="left" w:pos="1260"/>
        </w:tabs>
        <w:spacing w:line="360" w:lineRule="auto"/>
        <w:rPr>
          <w:rFonts w:hint="eastAsia" w:ascii="宋体" w:hAnsi="宋体" w:cs="宋体"/>
          <w:b/>
          <w:szCs w:val="21"/>
        </w:rPr>
      </w:pPr>
      <w:r>
        <w:rPr>
          <w:rFonts w:hint="eastAsia" w:cs="宋体"/>
          <w:b/>
          <w:szCs w:val="21"/>
        </w:rPr>
        <w:t>二、</w:t>
      </w:r>
      <w:r>
        <w:rPr>
          <w:rFonts w:hint="eastAsia" w:ascii="宋体" w:hAnsi="宋体" w:cs="宋体"/>
          <w:b/>
          <w:szCs w:val="21"/>
        </w:rPr>
        <w:t>项目背景</w:t>
      </w:r>
    </w:p>
    <w:p w14:paraId="25B94B17">
      <w:pPr>
        <w:spacing w:line="360" w:lineRule="auto"/>
        <w:rPr>
          <w:rFonts w:hint="eastAsia" w:ascii="宋体" w:hAnsi="宋体" w:cs="宋体"/>
          <w:szCs w:val="21"/>
        </w:rPr>
      </w:pPr>
      <w:r>
        <w:rPr>
          <w:rFonts w:hint="eastAsia" w:ascii="宋体" w:hAnsi="宋体" w:cs="宋体"/>
          <w:szCs w:val="21"/>
        </w:rPr>
        <w:t>为了进一步加强浦口区文德路18号和文昌路12号办公区安全保卫工作，维护办公区正常办公秩序，现拟采购第三方组建保安队伍。主要负责办公区及夜间外围 24 小时安保服务，包括办公区的安全保卫、治安巡逻、消防安全、监控值勤、车辆管理等工作。</w:t>
      </w:r>
    </w:p>
    <w:p w14:paraId="508275EA">
      <w:pPr>
        <w:spacing w:line="360" w:lineRule="auto"/>
        <w:rPr>
          <w:rFonts w:hint="eastAsia" w:ascii="宋体" w:hAnsi="宋体" w:cs="宋体"/>
          <w:b/>
          <w:bCs/>
          <w:szCs w:val="21"/>
        </w:rPr>
      </w:pPr>
      <w:r>
        <w:rPr>
          <w:rFonts w:hint="eastAsia" w:cs="宋体"/>
          <w:b/>
          <w:bCs/>
          <w:szCs w:val="21"/>
        </w:rPr>
        <w:t>三</w:t>
      </w:r>
      <w:r>
        <w:rPr>
          <w:rFonts w:hint="eastAsia" w:ascii="宋体" w:hAnsi="宋体" w:cs="宋体"/>
          <w:b/>
          <w:bCs/>
          <w:szCs w:val="21"/>
        </w:rPr>
        <w:t>、项目内容</w:t>
      </w:r>
    </w:p>
    <w:p w14:paraId="37F27391">
      <w:pPr>
        <w:spacing w:line="360" w:lineRule="auto"/>
        <w:rPr>
          <w:rFonts w:hint="eastAsia" w:ascii="宋体" w:hAnsi="宋体" w:cs="宋体"/>
          <w:szCs w:val="21"/>
        </w:rPr>
      </w:pPr>
      <w:r>
        <w:rPr>
          <w:rFonts w:hint="eastAsia" w:ascii="宋体" w:hAnsi="宋体" w:cs="宋体"/>
          <w:szCs w:val="21"/>
        </w:rPr>
        <w:t>1、负责浦口区文德路18号和文昌路12号办公区的安全保卫、治安巡逻、消防安全、监控值勤、车辆管理等工作。负责区应急值班楼安保工作等。严格遵守《浦口区文德路18号和文昌路12号办公区安保工作服务细则》等相关规定开展工作。</w:t>
      </w:r>
    </w:p>
    <w:p w14:paraId="6B48482E">
      <w:pPr>
        <w:spacing w:line="360" w:lineRule="auto"/>
        <w:rPr>
          <w:rFonts w:hint="eastAsia" w:ascii="宋体" w:hAnsi="宋体" w:cs="宋体"/>
          <w:szCs w:val="21"/>
        </w:rPr>
      </w:pPr>
      <w:r>
        <w:rPr>
          <w:rFonts w:hint="eastAsia" w:ascii="宋体" w:hAnsi="宋体" w:cs="宋体"/>
          <w:szCs w:val="21"/>
        </w:rPr>
        <w:t>2、配合公安局分管领导对负责浦口区文德路18号和文昌路12号办公区安全保卫、群体性突发事件的协调指导工作。</w:t>
      </w:r>
    </w:p>
    <w:p w14:paraId="4F0609FE">
      <w:pPr>
        <w:spacing w:line="360" w:lineRule="auto"/>
        <w:rPr>
          <w:rFonts w:hint="eastAsia" w:ascii="宋体" w:hAnsi="宋体" w:cs="宋体"/>
          <w:szCs w:val="21"/>
        </w:rPr>
      </w:pPr>
      <w:r>
        <w:rPr>
          <w:rFonts w:hint="eastAsia" w:ascii="宋体" w:hAnsi="宋体" w:cs="宋体"/>
          <w:szCs w:val="21"/>
        </w:rPr>
        <w:t>3、负责在浦口区文德路18号和文昌路12号办公区内配置保安人员45名，做好岗位划分。</w:t>
      </w:r>
    </w:p>
    <w:p w14:paraId="35BA23B9">
      <w:pPr>
        <w:spacing w:line="360" w:lineRule="auto"/>
        <w:rPr>
          <w:rFonts w:hint="eastAsia" w:ascii="宋体" w:hAnsi="宋体" w:cs="宋体"/>
          <w:szCs w:val="21"/>
        </w:rPr>
      </w:pPr>
      <w:r>
        <w:rPr>
          <w:rFonts w:hint="eastAsia" w:ascii="宋体" w:hAnsi="宋体" w:cs="宋体"/>
          <w:szCs w:val="21"/>
        </w:rPr>
        <w:t>4、坚持每周进行一次队列体能训练，每周召开一次队务会。务必使每名保安队员熟练掌握监控设备、消防设施使用与维护；掌握必备消防知识；熟悉日常值勤巡逻规定与安保常识；熟悉车辆管理；具备一定的擒拿格斗技能。</w:t>
      </w:r>
    </w:p>
    <w:p w14:paraId="40F950DD">
      <w:pPr>
        <w:spacing w:line="360" w:lineRule="auto"/>
        <w:rPr>
          <w:rFonts w:hint="eastAsia" w:ascii="宋体" w:hAnsi="宋体" w:cs="宋体"/>
          <w:szCs w:val="21"/>
        </w:rPr>
      </w:pPr>
      <w:r>
        <w:rPr>
          <w:rFonts w:hint="eastAsia" w:ascii="宋体" w:hAnsi="宋体" w:cs="宋体"/>
          <w:szCs w:val="21"/>
        </w:rPr>
        <w:t>5、实行消防监控监视24小时值班，做好监控监视值班记录。发现火情、火警要立即派队员至现场察看，及时报告政府办有关人员并报警。每年组织2次消防演练。</w:t>
      </w:r>
    </w:p>
    <w:p w14:paraId="37A01443">
      <w:pPr>
        <w:spacing w:line="360" w:lineRule="auto"/>
        <w:rPr>
          <w:rFonts w:hint="eastAsia" w:ascii="宋体" w:hAnsi="宋体" w:cs="宋体"/>
          <w:szCs w:val="21"/>
        </w:rPr>
      </w:pPr>
      <w:r>
        <w:rPr>
          <w:rFonts w:hint="eastAsia" w:ascii="宋体" w:hAnsi="宋体" w:cs="宋体"/>
          <w:szCs w:val="21"/>
        </w:rPr>
        <w:t>6、遵守国家法律法规，自行解决公司与保安人员的各种纠纷。</w:t>
      </w:r>
    </w:p>
    <w:p w14:paraId="13363059">
      <w:pPr>
        <w:pStyle w:val="16"/>
        <w:spacing w:line="360" w:lineRule="auto"/>
        <w:ind w:left="0"/>
        <w:rPr>
          <w:rFonts w:hint="eastAsia" w:ascii="宋体" w:hAnsi="宋体" w:cs="宋体"/>
          <w:b w:val="0"/>
          <w:bCs/>
          <w:szCs w:val="21"/>
        </w:rPr>
      </w:pPr>
      <w:r>
        <w:rPr>
          <w:rFonts w:hint="eastAsia" w:ascii="宋体" w:hAnsi="宋体" w:cs="宋体"/>
          <w:b w:val="0"/>
          <w:bCs/>
          <w:szCs w:val="21"/>
        </w:rPr>
        <w:t>7、供应商应具备充足的人员储备，项目执行团队应保持稳定，如需更换，须向采购人提出书面申请，并确保团队配备符合采购文件规定的资质条件，经采购人书面同意后方可更换，且不得因人员更换而影响工作的开展。</w:t>
      </w:r>
    </w:p>
    <w:p w14:paraId="20E9904A">
      <w:pPr>
        <w:pStyle w:val="16"/>
        <w:spacing w:line="360" w:lineRule="auto"/>
        <w:ind w:left="0"/>
        <w:rPr>
          <w:rFonts w:hint="eastAsia" w:ascii="宋体" w:hAnsi="宋体" w:cs="宋体"/>
          <w:bCs/>
          <w:szCs w:val="21"/>
        </w:rPr>
      </w:pPr>
      <w:r>
        <w:rPr>
          <w:rFonts w:hint="eastAsia" w:cs="宋体"/>
          <w:bCs/>
          <w:szCs w:val="21"/>
        </w:rPr>
        <w:t>四</w:t>
      </w:r>
      <w:r>
        <w:rPr>
          <w:rFonts w:hint="eastAsia" w:ascii="宋体" w:hAnsi="宋体" w:cs="宋体"/>
          <w:bCs/>
          <w:szCs w:val="21"/>
        </w:rPr>
        <w:t>、人员服务要求</w:t>
      </w:r>
    </w:p>
    <w:p w14:paraId="3B512513">
      <w:pPr>
        <w:pStyle w:val="16"/>
        <w:spacing w:line="360" w:lineRule="auto"/>
        <w:rPr>
          <w:rFonts w:hint="eastAsia" w:ascii="宋体" w:hAnsi="宋体" w:cs="宋体"/>
          <w:bCs/>
          <w:szCs w:val="21"/>
        </w:rPr>
      </w:pPr>
      <w:r>
        <w:rPr>
          <w:rFonts w:hint="eastAsia" w:ascii="宋体" w:hAnsi="宋体" w:cs="宋体"/>
          <w:szCs w:val="21"/>
        </w:rPr>
        <w:t>★</w:t>
      </w:r>
      <w:r>
        <w:rPr>
          <w:rFonts w:hint="eastAsia" w:ascii="宋体" w:hAnsi="宋体" w:cs="宋体"/>
          <w:bCs/>
          <w:szCs w:val="21"/>
        </w:rPr>
        <w:t>（一）人员岗位配置</w:t>
      </w:r>
    </w:p>
    <w:tbl>
      <w:tblPr>
        <w:tblStyle w:val="38"/>
        <w:tblW w:w="0" w:type="auto"/>
        <w:jc w:val="center"/>
        <w:tblLayout w:type="autofit"/>
        <w:tblCellMar>
          <w:top w:w="0" w:type="dxa"/>
          <w:left w:w="10" w:type="dxa"/>
          <w:bottom w:w="0" w:type="dxa"/>
          <w:right w:w="10" w:type="dxa"/>
        </w:tblCellMar>
      </w:tblPr>
      <w:tblGrid>
        <w:gridCol w:w="2263"/>
        <w:gridCol w:w="851"/>
        <w:gridCol w:w="6376"/>
      </w:tblGrid>
      <w:tr w14:paraId="7C7E2592">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33081A9A">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岗位</w:t>
            </w:r>
          </w:p>
        </w:tc>
        <w:tc>
          <w:tcPr>
            <w:tcW w:w="851" w:type="dxa"/>
            <w:tcBorders>
              <w:top w:val="single" w:color="auto" w:sz="4" w:space="0"/>
              <w:left w:val="single" w:color="auto" w:sz="4" w:space="0"/>
            </w:tcBorders>
            <w:shd w:val="clear" w:color="auto" w:fill="FFFFFF"/>
            <w:vAlign w:val="center"/>
          </w:tcPr>
          <w:p w14:paraId="58F15179">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人数</w:t>
            </w:r>
          </w:p>
        </w:tc>
        <w:tc>
          <w:tcPr>
            <w:tcW w:w="6376" w:type="dxa"/>
            <w:tcBorders>
              <w:top w:val="single" w:color="auto" w:sz="4" w:space="0"/>
              <w:left w:val="single" w:color="auto" w:sz="4" w:space="0"/>
              <w:right w:val="single" w:color="auto" w:sz="4" w:space="0"/>
            </w:tcBorders>
            <w:shd w:val="clear" w:color="auto" w:fill="FFFFFF"/>
            <w:vAlign w:val="center"/>
          </w:tcPr>
          <w:p w14:paraId="3CCF6C65">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工作时间</w:t>
            </w:r>
          </w:p>
        </w:tc>
      </w:tr>
      <w:tr w14:paraId="0270BF45">
        <w:tblPrEx>
          <w:tblCellMar>
            <w:top w:w="0" w:type="dxa"/>
            <w:left w:w="10" w:type="dxa"/>
            <w:bottom w:w="0" w:type="dxa"/>
            <w:right w:w="10" w:type="dxa"/>
          </w:tblCellMar>
        </w:tblPrEx>
        <w:trPr>
          <w:trHeight w:val="182" w:hRule="atLeast"/>
          <w:jc w:val="center"/>
        </w:trPr>
        <w:tc>
          <w:tcPr>
            <w:tcW w:w="2263" w:type="dxa"/>
            <w:tcBorders>
              <w:top w:val="single" w:color="auto" w:sz="4" w:space="0"/>
              <w:left w:val="single" w:color="auto" w:sz="4" w:space="0"/>
            </w:tcBorders>
            <w:shd w:val="clear" w:color="auto" w:fill="FFFFFF"/>
            <w:vAlign w:val="center"/>
          </w:tcPr>
          <w:p w14:paraId="0E744BCD">
            <w:pPr>
              <w:overflowPunct w:val="0"/>
              <w:adjustRightInd w:val="0"/>
              <w:contextualSpacing/>
              <w:textAlignment w:val="center"/>
              <w:rPr>
                <w:rFonts w:hint="eastAsia" w:ascii="宋体" w:hAnsi="宋体" w:cs="宋体"/>
                <w:szCs w:val="21"/>
              </w:rPr>
            </w:pPr>
            <w:r>
              <w:rPr>
                <w:rFonts w:hint="eastAsia" w:ascii="宋体" w:hAnsi="宋体" w:cs="宋体"/>
                <w:szCs w:val="21"/>
              </w:rPr>
              <w:t>项目负责人（中队长）</w:t>
            </w:r>
          </w:p>
        </w:tc>
        <w:tc>
          <w:tcPr>
            <w:tcW w:w="851" w:type="dxa"/>
            <w:tcBorders>
              <w:top w:val="single" w:color="auto" w:sz="4" w:space="0"/>
              <w:left w:val="single" w:color="auto" w:sz="4" w:space="0"/>
            </w:tcBorders>
            <w:shd w:val="clear" w:color="auto" w:fill="FFFFFF"/>
            <w:vAlign w:val="center"/>
          </w:tcPr>
          <w:p w14:paraId="1E8CB165">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1</w:t>
            </w:r>
          </w:p>
        </w:tc>
        <w:tc>
          <w:tcPr>
            <w:tcW w:w="6376" w:type="dxa"/>
            <w:tcBorders>
              <w:top w:val="single" w:color="auto" w:sz="4" w:space="0"/>
              <w:left w:val="single" w:color="auto" w:sz="4" w:space="0"/>
              <w:right w:val="single" w:color="auto" w:sz="4" w:space="0"/>
            </w:tcBorders>
            <w:shd w:val="clear" w:color="auto" w:fill="FFFFFF"/>
            <w:vAlign w:val="center"/>
          </w:tcPr>
          <w:p w14:paraId="167E32D4">
            <w:pPr>
              <w:overflowPunct w:val="0"/>
              <w:adjustRightInd w:val="0"/>
              <w:contextualSpacing/>
              <w:textAlignment w:val="center"/>
              <w:rPr>
                <w:rFonts w:hint="eastAsia" w:ascii="宋体" w:hAnsi="宋体" w:cs="宋体"/>
                <w:szCs w:val="21"/>
                <w:lang w:eastAsia="zh-TW"/>
              </w:rPr>
            </w:pPr>
            <w:r>
              <w:rPr>
                <w:rFonts w:hint="eastAsia" w:ascii="宋体" w:hAnsi="宋体" w:cs="宋体"/>
                <w:szCs w:val="21"/>
                <w:lang w:eastAsia="zh-TW"/>
              </w:rPr>
              <w:t>正常白班，周末休息1天</w:t>
            </w:r>
          </w:p>
        </w:tc>
      </w:tr>
      <w:tr w14:paraId="431F2F8E">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3A665BC9">
            <w:pPr>
              <w:overflowPunct w:val="0"/>
              <w:adjustRightInd w:val="0"/>
              <w:contextualSpacing/>
              <w:textAlignment w:val="center"/>
              <w:rPr>
                <w:rFonts w:hint="eastAsia" w:ascii="宋体" w:hAnsi="宋体" w:cs="宋体"/>
                <w:szCs w:val="21"/>
              </w:rPr>
            </w:pPr>
            <w:r>
              <w:rPr>
                <w:rFonts w:hint="eastAsia" w:ascii="宋体" w:hAnsi="宋体" w:cs="宋体"/>
                <w:szCs w:val="21"/>
              </w:rPr>
              <w:t>副中队长</w:t>
            </w:r>
          </w:p>
        </w:tc>
        <w:tc>
          <w:tcPr>
            <w:tcW w:w="851" w:type="dxa"/>
            <w:tcBorders>
              <w:top w:val="single" w:color="auto" w:sz="4" w:space="0"/>
              <w:left w:val="single" w:color="auto" w:sz="4" w:space="0"/>
            </w:tcBorders>
            <w:shd w:val="clear" w:color="auto" w:fill="FFFFFF"/>
            <w:vAlign w:val="center"/>
          </w:tcPr>
          <w:p w14:paraId="03DBFDD3">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1</w:t>
            </w:r>
          </w:p>
        </w:tc>
        <w:tc>
          <w:tcPr>
            <w:tcW w:w="6376" w:type="dxa"/>
            <w:tcBorders>
              <w:top w:val="single" w:color="auto" w:sz="4" w:space="0"/>
              <w:left w:val="single" w:color="auto" w:sz="4" w:space="0"/>
              <w:right w:val="single" w:color="auto" w:sz="4" w:space="0"/>
            </w:tcBorders>
            <w:shd w:val="clear" w:color="auto" w:fill="FFFFFF"/>
            <w:vAlign w:val="center"/>
          </w:tcPr>
          <w:p w14:paraId="29A53CEE">
            <w:pPr>
              <w:overflowPunct w:val="0"/>
              <w:adjustRightInd w:val="0"/>
              <w:contextualSpacing/>
              <w:textAlignment w:val="center"/>
              <w:rPr>
                <w:rFonts w:hint="eastAsia" w:ascii="宋体" w:hAnsi="宋体" w:cs="宋体"/>
                <w:szCs w:val="21"/>
                <w:lang w:eastAsia="zh-TW"/>
              </w:rPr>
            </w:pPr>
            <w:r>
              <w:rPr>
                <w:rFonts w:hint="eastAsia" w:ascii="宋体" w:hAnsi="宋体" w:cs="宋体"/>
                <w:szCs w:val="21"/>
                <w:lang w:eastAsia="zh-TW"/>
              </w:rPr>
              <w:t>正常白班，周末休息1天</w:t>
            </w:r>
          </w:p>
        </w:tc>
      </w:tr>
      <w:tr w14:paraId="1DC43450">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1E70442A">
            <w:pPr>
              <w:overflowPunct w:val="0"/>
              <w:adjustRightInd w:val="0"/>
              <w:contextualSpacing/>
              <w:textAlignment w:val="center"/>
              <w:rPr>
                <w:rFonts w:hint="eastAsia" w:ascii="宋体" w:hAnsi="宋体" w:cs="宋体"/>
                <w:szCs w:val="21"/>
              </w:rPr>
            </w:pPr>
            <w:r>
              <w:rPr>
                <w:rFonts w:hint="eastAsia" w:ascii="宋体" w:hAnsi="宋体" w:cs="宋体"/>
                <w:szCs w:val="21"/>
              </w:rPr>
              <w:t>夜班分队长</w:t>
            </w:r>
          </w:p>
        </w:tc>
        <w:tc>
          <w:tcPr>
            <w:tcW w:w="851" w:type="dxa"/>
            <w:tcBorders>
              <w:top w:val="single" w:color="auto" w:sz="4" w:space="0"/>
              <w:left w:val="single" w:color="auto" w:sz="4" w:space="0"/>
            </w:tcBorders>
            <w:shd w:val="clear" w:color="auto" w:fill="FFFFFF"/>
            <w:vAlign w:val="center"/>
          </w:tcPr>
          <w:p w14:paraId="53F3B01C">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1</w:t>
            </w:r>
          </w:p>
        </w:tc>
        <w:tc>
          <w:tcPr>
            <w:tcW w:w="6376" w:type="dxa"/>
            <w:tcBorders>
              <w:top w:val="single" w:color="auto" w:sz="4" w:space="0"/>
              <w:left w:val="single" w:color="auto" w:sz="4" w:space="0"/>
              <w:right w:val="single" w:color="auto" w:sz="4" w:space="0"/>
            </w:tcBorders>
            <w:shd w:val="clear" w:color="auto" w:fill="FFFFFF"/>
            <w:vAlign w:val="center"/>
          </w:tcPr>
          <w:p w14:paraId="46B80C7F">
            <w:pPr>
              <w:overflowPunct w:val="0"/>
              <w:adjustRightInd w:val="0"/>
              <w:contextualSpacing/>
              <w:textAlignment w:val="center"/>
              <w:rPr>
                <w:rFonts w:hint="eastAsia" w:ascii="宋体" w:hAnsi="宋体" w:cs="宋体"/>
                <w:szCs w:val="21"/>
                <w:lang w:eastAsia="zh-TW"/>
              </w:rPr>
            </w:pPr>
            <w:r>
              <w:rPr>
                <w:rFonts w:hint="eastAsia" w:ascii="宋体" w:hAnsi="宋体" w:cs="宋体"/>
                <w:szCs w:val="21"/>
                <w:lang w:eastAsia="zh-TW"/>
              </w:rPr>
              <w:t>正常夜班，周末休息1天</w:t>
            </w:r>
          </w:p>
        </w:tc>
      </w:tr>
      <w:tr w14:paraId="37ADF733">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0B17A22E">
            <w:pPr>
              <w:overflowPunct w:val="0"/>
              <w:adjustRightInd w:val="0"/>
              <w:contextualSpacing/>
              <w:textAlignment w:val="center"/>
              <w:rPr>
                <w:rFonts w:hint="eastAsia" w:ascii="宋体" w:hAnsi="宋体" w:cs="宋体"/>
                <w:szCs w:val="21"/>
              </w:rPr>
            </w:pPr>
            <w:r>
              <w:rPr>
                <w:rFonts w:hint="eastAsia" w:ascii="宋体" w:hAnsi="宋体" w:cs="宋体"/>
                <w:szCs w:val="21"/>
              </w:rPr>
              <w:t>大门岗</w:t>
            </w:r>
          </w:p>
        </w:tc>
        <w:tc>
          <w:tcPr>
            <w:tcW w:w="851" w:type="dxa"/>
            <w:tcBorders>
              <w:top w:val="single" w:color="auto" w:sz="4" w:space="0"/>
              <w:left w:val="single" w:color="auto" w:sz="4" w:space="0"/>
            </w:tcBorders>
            <w:shd w:val="clear" w:color="auto" w:fill="FFFFFF"/>
            <w:vAlign w:val="center"/>
          </w:tcPr>
          <w:p w14:paraId="24B56C45">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8</w:t>
            </w:r>
          </w:p>
        </w:tc>
        <w:tc>
          <w:tcPr>
            <w:tcW w:w="6376" w:type="dxa"/>
            <w:tcBorders>
              <w:top w:val="single" w:color="auto" w:sz="4" w:space="0"/>
              <w:left w:val="single" w:color="auto" w:sz="4" w:space="0"/>
              <w:right w:val="single" w:color="auto" w:sz="4" w:space="0"/>
            </w:tcBorders>
            <w:shd w:val="clear" w:color="auto" w:fill="FFFFFF"/>
            <w:vAlign w:val="center"/>
          </w:tcPr>
          <w:p w14:paraId="5F075753">
            <w:pPr>
              <w:overflowPunct w:val="0"/>
              <w:adjustRightInd w:val="0"/>
              <w:contextualSpacing/>
              <w:textAlignment w:val="center"/>
              <w:rPr>
                <w:rFonts w:hint="eastAsia" w:ascii="宋体" w:hAnsi="宋体" w:cs="宋体"/>
                <w:szCs w:val="21"/>
              </w:rPr>
            </w:pPr>
            <w:r>
              <w:rPr>
                <w:rFonts w:hint="eastAsia" w:ascii="宋体" w:hAnsi="宋体" w:cs="宋体"/>
                <w:szCs w:val="21"/>
              </w:rPr>
              <w:t>每班2人，24小时值守，1人于07:20-19:00立岗</w:t>
            </w:r>
          </w:p>
        </w:tc>
      </w:tr>
      <w:tr w14:paraId="45DAE2CE">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27F13685">
            <w:pPr>
              <w:overflowPunct w:val="0"/>
              <w:adjustRightInd w:val="0"/>
              <w:contextualSpacing/>
              <w:textAlignment w:val="center"/>
              <w:rPr>
                <w:rFonts w:hint="eastAsia" w:ascii="宋体" w:hAnsi="宋体" w:cs="宋体"/>
                <w:szCs w:val="21"/>
              </w:rPr>
            </w:pPr>
            <w:r>
              <w:rPr>
                <w:rFonts w:hint="eastAsia" w:ascii="宋体" w:hAnsi="宋体" w:cs="宋体"/>
                <w:szCs w:val="21"/>
              </w:rPr>
              <w:t>一条巷门岗</w:t>
            </w:r>
          </w:p>
        </w:tc>
        <w:tc>
          <w:tcPr>
            <w:tcW w:w="851" w:type="dxa"/>
            <w:tcBorders>
              <w:top w:val="single" w:color="auto" w:sz="4" w:space="0"/>
              <w:left w:val="single" w:color="auto" w:sz="4" w:space="0"/>
            </w:tcBorders>
            <w:shd w:val="clear" w:color="auto" w:fill="FFFFFF"/>
            <w:vAlign w:val="center"/>
          </w:tcPr>
          <w:p w14:paraId="6BC561BB">
            <w:pPr>
              <w:overflowPunct w:val="0"/>
              <w:adjustRightInd w:val="0"/>
              <w:contextualSpacing/>
              <w:jc w:val="center"/>
              <w:textAlignment w:val="center"/>
              <w:rPr>
                <w:rFonts w:hint="eastAsia" w:ascii="宋体" w:hAnsi="宋体" w:cs="宋体"/>
                <w:szCs w:val="21"/>
              </w:rPr>
            </w:pPr>
            <w:r>
              <w:rPr>
                <w:rFonts w:hint="eastAsia" w:ascii="宋体" w:hAnsi="宋体" w:cs="宋体"/>
                <w:szCs w:val="21"/>
              </w:rPr>
              <w:t>3</w:t>
            </w:r>
          </w:p>
        </w:tc>
        <w:tc>
          <w:tcPr>
            <w:tcW w:w="6376" w:type="dxa"/>
            <w:tcBorders>
              <w:top w:val="single" w:color="auto" w:sz="4" w:space="0"/>
              <w:left w:val="single" w:color="auto" w:sz="4" w:space="0"/>
              <w:right w:val="single" w:color="auto" w:sz="4" w:space="0"/>
            </w:tcBorders>
            <w:shd w:val="clear" w:color="auto" w:fill="FFFFFF"/>
            <w:vAlign w:val="center"/>
          </w:tcPr>
          <w:p w14:paraId="0E4345D6">
            <w:pPr>
              <w:overflowPunct w:val="0"/>
              <w:adjustRightInd w:val="0"/>
              <w:contextualSpacing/>
              <w:textAlignment w:val="center"/>
              <w:rPr>
                <w:rFonts w:hint="eastAsia" w:ascii="宋体" w:hAnsi="宋体" w:cs="宋体"/>
                <w:szCs w:val="21"/>
              </w:rPr>
            </w:pPr>
            <w:r>
              <w:rPr>
                <w:rFonts w:hint="eastAsia" w:ascii="宋体" w:hAnsi="宋体" w:cs="宋体"/>
                <w:szCs w:val="21"/>
              </w:rPr>
              <w:t>每班1人，坐岗，07:00-19:00，</w:t>
            </w:r>
            <w:r>
              <w:rPr>
                <w:rFonts w:hint="eastAsia" w:ascii="宋体" w:hAnsi="宋体" w:cs="宋体"/>
                <w:szCs w:val="21"/>
                <w:lang w:eastAsia="zh-TW"/>
              </w:rPr>
              <w:t>周日（调休除外）及</w:t>
            </w:r>
            <w:r>
              <w:rPr>
                <w:rFonts w:hint="eastAsia" w:ascii="宋体" w:hAnsi="宋体" w:cs="宋体"/>
                <w:szCs w:val="21"/>
              </w:rPr>
              <w:t>国家法定假日</w:t>
            </w:r>
            <w:r>
              <w:rPr>
                <w:rFonts w:hint="eastAsia" w:ascii="宋体" w:hAnsi="宋体" w:cs="宋体"/>
                <w:szCs w:val="21"/>
                <w:lang w:eastAsia="zh-TW"/>
              </w:rPr>
              <w:t>全天关闭</w:t>
            </w:r>
          </w:p>
        </w:tc>
      </w:tr>
      <w:tr w14:paraId="30BDF048">
        <w:tblPrEx>
          <w:tblCellMar>
            <w:top w:w="0" w:type="dxa"/>
            <w:left w:w="10" w:type="dxa"/>
            <w:bottom w:w="0" w:type="dxa"/>
            <w:right w:w="10" w:type="dxa"/>
          </w:tblCellMar>
        </w:tblPrEx>
        <w:trPr>
          <w:trHeight w:val="219" w:hRule="atLeast"/>
          <w:jc w:val="center"/>
        </w:trPr>
        <w:tc>
          <w:tcPr>
            <w:tcW w:w="2263" w:type="dxa"/>
            <w:tcBorders>
              <w:top w:val="single" w:color="auto" w:sz="4" w:space="0"/>
              <w:left w:val="single" w:color="auto" w:sz="4" w:space="0"/>
            </w:tcBorders>
            <w:shd w:val="clear" w:color="auto" w:fill="FFFFFF"/>
            <w:vAlign w:val="center"/>
          </w:tcPr>
          <w:p w14:paraId="793BDE49">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二条巷门岗</w:t>
            </w:r>
          </w:p>
        </w:tc>
        <w:tc>
          <w:tcPr>
            <w:tcW w:w="851" w:type="dxa"/>
            <w:tcBorders>
              <w:top w:val="single" w:color="auto" w:sz="4" w:space="0"/>
              <w:left w:val="single" w:color="auto" w:sz="4" w:space="0"/>
            </w:tcBorders>
            <w:shd w:val="clear" w:color="auto" w:fill="FFFFFF"/>
            <w:vAlign w:val="center"/>
          </w:tcPr>
          <w:p w14:paraId="08CB947A">
            <w:pPr>
              <w:overflowPunct w:val="0"/>
              <w:adjustRightInd w:val="0"/>
              <w:contextualSpacing/>
              <w:jc w:val="center"/>
              <w:textAlignment w:val="center"/>
              <w:rPr>
                <w:rFonts w:hint="eastAsia" w:ascii="宋体" w:hAnsi="宋体" w:cs="宋体"/>
                <w:szCs w:val="21"/>
                <w:highlight w:val="none"/>
                <w:lang w:eastAsia="zh-TW"/>
              </w:rPr>
            </w:pPr>
            <w:r>
              <w:rPr>
                <w:rFonts w:hint="eastAsia" w:ascii="宋体" w:hAnsi="宋体" w:cs="宋体"/>
                <w:szCs w:val="21"/>
                <w:highlight w:val="none"/>
                <w:lang w:eastAsia="zh-TW"/>
              </w:rPr>
              <w:t>6</w:t>
            </w:r>
          </w:p>
        </w:tc>
        <w:tc>
          <w:tcPr>
            <w:tcW w:w="6376" w:type="dxa"/>
            <w:tcBorders>
              <w:top w:val="single" w:color="auto" w:sz="4" w:space="0"/>
              <w:left w:val="single" w:color="auto" w:sz="4" w:space="0"/>
              <w:right w:val="single" w:color="auto" w:sz="4" w:space="0"/>
            </w:tcBorders>
            <w:shd w:val="clear" w:color="auto" w:fill="FFFFFF"/>
            <w:vAlign w:val="center"/>
          </w:tcPr>
          <w:p w14:paraId="050BCCD6">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每班2人，0</w:t>
            </w:r>
            <w:r>
              <w:rPr>
                <w:rFonts w:hint="eastAsia" w:ascii="宋体" w:hAnsi="宋体" w:cs="宋体"/>
                <w:szCs w:val="21"/>
                <w:highlight w:val="none"/>
                <w:lang w:eastAsia="zh-TW"/>
              </w:rPr>
              <w:t>6</w:t>
            </w:r>
            <w:r>
              <w:rPr>
                <w:rFonts w:hint="eastAsia" w:ascii="宋体" w:hAnsi="宋体" w:cs="宋体"/>
                <w:szCs w:val="21"/>
                <w:highlight w:val="none"/>
              </w:rPr>
              <w:t>:00-21:00值守，1人于07:20-19:00立岗</w:t>
            </w:r>
          </w:p>
        </w:tc>
      </w:tr>
      <w:tr w14:paraId="083FE596">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01B7B906">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大厅岗</w:t>
            </w:r>
          </w:p>
        </w:tc>
        <w:tc>
          <w:tcPr>
            <w:tcW w:w="851" w:type="dxa"/>
            <w:tcBorders>
              <w:top w:val="single" w:color="auto" w:sz="4" w:space="0"/>
              <w:left w:val="single" w:color="auto" w:sz="4" w:space="0"/>
            </w:tcBorders>
            <w:shd w:val="clear" w:color="auto" w:fill="FFFFFF"/>
            <w:vAlign w:val="center"/>
          </w:tcPr>
          <w:p w14:paraId="0041DDDF">
            <w:pPr>
              <w:overflowPunct w:val="0"/>
              <w:adjustRightInd w:val="0"/>
              <w:contextualSpacing/>
              <w:jc w:val="center"/>
              <w:textAlignment w:val="center"/>
              <w:rPr>
                <w:rFonts w:hint="eastAsia" w:ascii="宋体" w:hAnsi="宋体" w:cs="宋体"/>
                <w:szCs w:val="21"/>
                <w:highlight w:val="none"/>
              </w:rPr>
            </w:pPr>
            <w:r>
              <w:rPr>
                <w:rFonts w:hint="eastAsia" w:ascii="宋体" w:hAnsi="宋体" w:cs="宋体"/>
                <w:szCs w:val="21"/>
                <w:highlight w:val="none"/>
              </w:rPr>
              <w:t>4</w:t>
            </w:r>
          </w:p>
        </w:tc>
        <w:tc>
          <w:tcPr>
            <w:tcW w:w="6376" w:type="dxa"/>
            <w:tcBorders>
              <w:top w:val="single" w:color="auto" w:sz="4" w:space="0"/>
              <w:left w:val="single" w:color="auto" w:sz="4" w:space="0"/>
              <w:right w:val="single" w:color="auto" w:sz="4" w:space="0"/>
            </w:tcBorders>
            <w:shd w:val="clear" w:color="auto" w:fill="FFFFFF"/>
            <w:vAlign w:val="center"/>
          </w:tcPr>
          <w:p w14:paraId="79E95A73">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每班2人，1人于07:20-18:20立岗</w:t>
            </w:r>
          </w:p>
        </w:tc>
      </w:tr>
      <w:tr w14:paraId="160F98E1">
        <w:tblPrEx>
          <w:tblCellMar>
            <w:top w:w="0" w:type="dxa"/>
            <w:left w:w="10" w:type="dxa"/>
            <w:bottom w:w="0" w:type="dxa"/>
            <w:right w:w="10" w:type="dxa"/>
          </w:tblCellMar>
        </w:tblPrEx>
        <w:trPr>
          <w:trHeight w:val="231" w:hRule="atLeast"/>
          <w:jc w:val="center"/>
        </w:trPr>
        <w:tc>
          <w:tcPr>
            <w:tcW w:w="2263" w:type="dxa"/>
            <w:tcBorders>
              <w:top w:val="single" w:color="auto" w:sz="4" w:space="0"/>
              <w:left w:val="single" w:color="auto" w:sz="4" w:space="0"/>
            </w:tcBorders>
            <w:shd w:val="clear" w:color="auto" w:fill="FFFFFF"/>
            <w:vAlign w:val="center"/>
          </w:tcPr>
          <w:p w14:paraId="16575FDF">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监控室</w:t>
            </w:r>
          </w:p>
        </w:tc>
        <w:tc>
          <w:tcPr>
            <w:tcW w:w="851" w:type="dxa"/>
            <w:tcBorders>
              <w:top w:val="single" w:color="auto" w:sz="4" w:space="0"/>
              <w:left w:val="single" w:color="auto" w:sz="4" w:space="0"/>
            </w:tcBorders>
            <w:shd w:val="clear" w:color="auto" w:fill="FFFFFF"/>
            <w:vAlign w:val="center"/>
          </w:tcPr>
          <w:p w14:paraId="3105A037">
            <w:pPr>
              <w:overflowPunct w:val="0"/>
              <w:adjustRightInd w:val="0"/>
              <w:contextualSpacing/>
              <w:jc w:val="center"/>
              <w:textAlignment w:val="center"/>
              <w:rPr>
                <w:rFonts w:hint="eastAsia" w:ascii="宋体" w:hAnsi="宋体" w:cs="宋体"/>
                <w:szCs w:val="21"/>
                <w:highlight w:val="none"/>
                <w:lang w:eastAsia="zh-TW"/>
              </w:rPr>
            </w:pPr>
            <w:r>
              <w:rPr>
                <w:rFonts w:hint="eastAsia" w:ascii="宋体" w:hAnsi="宋体" w:cs="宋体"/>
                <w:szCs w:val="21"/>
                <w:highlight w:val="none"/>
                <w:lang w:eastAsia="zh-TW"/>
              </w:rPr>
              <w:t>6</w:t>
            </w:r>
          </w:p>
        </w:tc>
        <w:tc>
          <w:tcPr>
            <w:tcW w:w="6376" w:type="dxa"/>
            <w:tcBorders>
              <w:top w:val="single" w:color="auto" w:sz="4" w:space="0"/>
              <w:left w:val="single" w:color="auto" w:sz="4" w:space="0"/>
              <w:right w:val="single" w:color="auto" w:sz="4" w:space="0"/>
            </w:tcBorders>
            <w:shd w:val="clear" w:color="auto" w:fill="FFFFFF"/>
            <w:vAlign w:val="center"/>
          </w:tcPr>
          <w:p w14:paraId="3FE02C48">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白班2人、夜班1人，24小时值守</w:t>
            </w:r>
          </w:p>
        </w:tc>
      </w:tr>
      <w:tr w14:paraId="5E2B5A91">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6F68B798">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应急值班楼</w:t>
            </w:r>
          </w:p>
        </w:tc>
        <w:tc>
          <w:tcPr>
            <w:tcW w:w="851" w:type="dxa"/>
            <w:tcBorders>
              <w:top w:val="single" w:color="auto" w:sz="4" w:space="0"/>
              <w:left w:val="single" w:color="auto" w:sz="4" w:space="0"/>
            </w:tcBorders>
            <w:shd w:val="clear" w:color="auto" w:fill="FFFFFF"/>
            <w:vAlign w:val="center"/>
          </w:tcPr>
          <w:p w14:paraId="1F58237A">
            <w:pPr>
              <w:overflowPunct w:val="0"/>
              <w:adjustRightInd w:val="0"/>
              <w:contextualSpacing/>
              <w:jc w:val="center"/>
              <w:textAlignment w:val="center"/>
              <w:rPr>
                <w:rFonts w:hint="eastAsia" w:ascii="宋体" w:hAnsi="宋体" w:cs="宋体"/>
                <w:szCs w:val="21"/>
                <w:highlight w:val="none"/>
              </w:rPr>
            </w:pPr>
            <w:r>
              <w:rPr>
                <w:rFonts w:hint="eastAsia" w:ascii="宋体" w:hAnsi="宋体" w:cs="宋体"/>
                <w:szCs w:val="21"/>
                <w:highlight w:val="none"/>
              </w:rPr>
              <w:t>4</w:t>
            </w:r>
          </w:p>
        </w:tc>
        <w:tc>
          <w:tcPr>
            <w:tcW w:w="6376" w:type="dxa"/>
            <w:tcBorders>
              <w:top w:val="single" w:color="auto" w:sz="4" w:space="0"/>
              <w:left w:val="single" w:color="auto" w:sz="4" w:space="0"/>
              <w:right w:val="single" w:color="auto" w:sz="4" w:space="0"/>
            </w:tcBorders>
            <w:shd w:val="clear" w:color="auto" w:fill="FFFFFF"/>
            <w:vAlign w:val="center"/>
          </w:tcPr>
          <w:p w14:paraId="1355D079">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每班1人，24小时值守</w:t>
            </w:r>
          </w:p>
        </w:tc>
      </w:tr>
      <w:tr w14:paraId="03D7CAD2">
        <w:tblPrEx>
          <w:tblCellMar>
            <w:top w:w="0" w:type="dxa"/>
            <w:left w:w="10" w:type="dxa"/>
            <w:bottom w:w="0" w:type="dxa"/>
            <w:right w:w="10" w:type="dxa"/>
          </w:tblCellMar>
        </w:tblPrEx>
        <w:trPr>
          <w:trHeight w:val="60" w:hRule="atLeast"/>
          <w:jc w:val="center"/>
        </w:trPr>
        <w:tc>
          <w:tcPr>
            <w:tcW w:w="2263" w:type="dxa"/>
            <w:tcBorders>
              <w:top w:val="single" w:color="auto" w:sz="4" w:space="0"/>
              <w:left w:val="single" w:color="auto" w:sz="4" w:space="0"/>
            </w:tcBorders>
            <w:shd w:val="clear" w:color="auto" w:fill="FFFFFF"/>
            <w:vAlign w:val="center"/>
          </w:tcPr>
          <w:p w14:paraId="403E57C0">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夜间巡逻岗</w:t>
            </w:r>
          </w:p>
        </w:tc>
        <w:tc>
          <w:tcPr>
            <w:tcW w:w="851" w:type="dxa"/>
            <w:tcBorders>
              <w:top w:val="single" w:color="auto" w:sz="4" w:space="0"/>
              <w:left w:val="single" w:color="auto" w:sz="4" w:space="0"/>
            </w:tcBorders>
            <w:shd w:val="clear" w:color="auto" w:fill="FFFFFF"/>
            <w:vAlign w:val="center"/>
          </w:tcPr>
          <w:p w14:paraId="32B929E2">
            <w:pPr>
              <w:overflowPunct w:val="0"/>
              <w:adjustRightInd w:val="0"/>
              <w:contextualSpacing/>
              <w:jc w:val="center"/>
              <w:textAlignment w:val="center"/>
              <w:rPr>
                <w:rFonts w:hint="eastAsia" w:ascii="宋体" w:hAnsi="宋体" w:cs="宋体"/>
                <w:szCs w:val="21"/>
                <w:highlight w:val="none"/>
                <w:lang w:eastAsia="zh-TW"/>
              </w:rPr>
            </w:pPr>
            <w:r>
              <w:rPr>
                <w:rFonts w:hint="eastAsia" w:ascii="宋体" w:hAnsi="宋体" w:cs="宋体"/>
                <w:szCs w:val="21"/>
                <w:highlight w:val="none"/>
                <w:lang w:eastAsia="zh-TW"/>
              </w:rPr>
              <w:t>3</w:t>
            </w:r>
          </w:p>
        </w:tc>
        <w:tc>
          <w:tcPr>
            <w:tcW w:w="6376" w:type="dxa"/>
            <w:tcBorders>
              <w:top w:val="single" w:color="auto" w:sz="4" w:space="0"/>
              <w:left w:val="single" w:color="auto" w:sz="4" w:space="0"/>
              <w:right w:val="single" w:color="auto" w:sz="4" w:space="0"/>
            </w:tcBorders>
            <w:shd w:val="clear" w:color="auto" w:fill="FFFFFF"/>
            <w:vAlign w:val="center"/>
          </w:tcPr>
          <w:p w14:paraId="0488815F">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w:t>
            </w:r>
            <w:r>
              <w:rPr>
                <w:rFonts w:hint="eastAsia" w:ascii="宋体" w:hAnsi="宋体" w:cs="宋体"/>
                <w:szCs w:val="21"/>
                <w:highlight w:val="none"/>
                <w:lang w:eastAsia="zh-TW"/>
              </w:rPr>
              <w:t>1</w:t>
            </w:r>
            <w:r>
              <w:rPr>
                <w:rFonts w:hint="eastAsia" w:ascii="宋体" w:hAnsi="宋体" w:cs="宋体"/>
                <w:szCs w:val="21"/>
                <w:highlight w:val="none"/>
              </w:rPr>
              <w:t>人，19:00-次日07:00，步巡和车巡结合</w:t>
            </w:r>
          </w:p>
        </w:tc>
      </w:tr>
      <w:tr w14:paraId="2CE40E8D">
        <w:tblPrEx>
          <w:tblCellMar>
            <w:top w:w="0" w:type="dxa"/>
            <w:left w:w="10" w:type="dxa"/>
            <w:bottom w:w="0" w:type="dxa"/>
            <w:right w:w="10" w:type="dxa"/>
          </w:tblCellMar>
        </w:tblPrEx>
        <w:trPr>
          <w:trHeight w:val="40" w:hRule="atLeast"/>
          <w:jc w:val="center"/>
        </w:trPr>
        <w:tc>
          <w:tcPr>
            <w:tcW w:w="2263" w:type="dxa"/>
            <w:tcBorders>
              <w:top w:val="single" w:color="auto" w:sz="4" w:space="0"/>
              <w:left w:val="single" w:color="auto" w:sz="4" w:space="0"/>
              <w:bottom w:val="single" w:color="auto" w:sz="4" w:space="0"/>
            </w:tcBorders>
            <w:shd w:val="clear" w:color="auto" w:fill="FFFFFF"/>
            <w:vAlign w:val="center"/>
          </w:tcPr>
          <w:p w14:paraId="088C7B56">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停车场岗</w:t>
            </w:r>
          </w:p>
        </w:tc>
        <w:tc>
          <w:tcPr>
            <w:tcW w:w="851" w:type="dxa"/>
            <w:tcBorders>
              <w:top w:val="single" w:color="auto" w:sz="4" w:space="0"/>
              <w:left w:val="single" w:color="auto" w:sz="4" w:space="0"/>
              <w:bottom w:val="single" w:color="auto" w:sz="4" w:space="0"/>
            </w:tcBorders>
            <w:shd w:val="clear" w:color="auto" w:fill="FFFFFF"/>
            <w:vAlign w:val="center"/>
          </w:tcPr>
          <w:p w14:paraId="106449B1">
            <w:pPr>
              <w:overflowPunct w:val="0"/>
              <w:adjustRightInd w:val="0"/>
              <w:contextualSpacing/>
              <w:jc w:val="center"/>
              <w:textAlignment w:val="center"/>
              <w:rPr>
                <w:rFonts w:hint="eastAsia" w:ascii="宋体" w:hAnsi="宋体" w:cs="宋体"/>
                <w:szCs w:val="21"/>
                <w:highlight w:val="none"/>
              </w:rPr>
            </w:pPr>
            <w:r>
              <w:rPr>
                <w:rFonts w:hint="eastAsia" w:ascii="宋体" w:hAnsi="宋体" w:cs="宋体"/>
                <w:szCs w:val="21"/>
                <w:highlight w:val="none"/>
              </w:rPr>
              <w:t>4</w:t>
            </w:r>
          </w:p>
        </w:tc>
        <w:tc>
          <w:tcPr>
            <w:tcW w:w="6376" w:type="dxa"/>
            <w:tcBorders>
              <w:top w:val="single" w:color="auto" w:sz="4" w:space="0"/>
              <w:left w:val="single" w:color="auto" w:sz="4" w:space="0"/>
              <w:bottom w:val="single" w:color="auto" w:sz="4" w:space="0"/>
              <w:right w:val="single" w:color="auto" w:sz="4" w:space="0"/>
            </w:tcBorders>
            <w:shd w:val="clear" w:color="auto" w:fill="FFFFFF"/>
            <w:vAlign w:val="center"/>
          </w:tcPr>
          <w:p w14:paraId="726BCEA9">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每班2人，南楼车库、广场各配1人，07:30-18:00</w:t>
            </w:r>
          </w:p>
        </w:tc>
      </w:tr>
      <w:tr w14:paraId="18BFBFCF">
        <w:tblPrEx>
          <w:tblCellMar>
            <w:top w:w="0" w:type="dxa"/>
            <w:left w:w="10" w:type="dxa"/>
            <w:bottom w:w="0" w:type="dxa"/>
            <w:right w:w="10" w:type="dxa"/>
          </w:tblCellMar>
        </w:tblPrEx>
        <w:trPr>
          <w:trHeight w:val="155" w:hRule="atLeast"/>
          <w:jc w:val="center"/>
        </w:trPr>
        <w:tc>
          <w:tcPr>
            <w:tcW w:w="2263" w:type="dxa"/>
            <w:tcBorders>
              <w:top w:val="single" w:color="auto" w:sz="4" w:space="0"/>
              <w:left w:val="single" w:color="auto" w:sz="4" w:space="0"/>
              <w:bottom w:val="single" w:color="auto" w:sz="4" w:space="0"/>
            </w:tcBorders>
            <w:shd w:val="clear" w:color="auto" w:fill="FFFFFF"/>
            <w:vAlign w:val="center"/>
          </w:tcPr>
          <w:p w14:paraId="440EF317">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招待所</w:t>
            </w:r>
          </w:p>
        </w:tc>
        <w:tc>
          <w:tcPr>
            <w:tcW w:w="851" w:type="dxa"/>
            <w:tcBorders>
              <w:top w:val="single" w:color="auto" w:sz="4" w:space="0"/>
              <w:left w:val="single" w:color="auto" w:sz="4" w:space="0"/>
              <w:bottom w:val="single" w:color="auto" w:sz="4" w:space="0"/>
            </w:tcBorders>
            <w:shd w:val="clear" w:color="auto" w:fill="FFFFFF"/>
            <w:vAlign w:val="center"/>
          </w:tcPr>
          <w:p w14:paraId="0C909838">
            <w:pPr>
              <w:overflowPunct w:val="0"/>
              <w:adjustRightInd w:val="0"/>
              <w:contextualSpacing/>
              <w:jc w:val="center"/>
              <w:textAlignment w:val="center"/>
              <w:rPr>
                <w:rFonts w:hint="eastAsia" w:ascii="宋体" w:hAnsi="宋体" w:cs="宋体"/>
                <w:szCs w:val="21"/>
                <w:highlight w:val="none"/>
              </w:rPr>
            </w:pPr>
            <w:r>
              <w:rPr>
                <w:rFonts w:hint="eastAsia" w:ascii="宋体" w:hAnsi="宋体" w:cs="宋体"/>
                <w:szCs w:val="21"/>
                <w:highlight w:val="none"/>
              </w:rPr>
              <w:t>4</w:t>
            </w:r>
          </w:p>
        </w:tc>
        <w:tc>
          <w:tcPr>
            <w:tcW w:w="6376" w:type="dxa"/>
            <w:tcBorders>
              <w:top w:val="single" w:color="auto" w:sz="4" w:space="0"/>
              <w:left w:val="single" w:color="auto" w:sz="4" w:space="0"/>
              <w:bottom w:val="single" w:color="auto" w:sz="4" w:space="0"/>
              <w:right w:val="single" w:color="auto" w:sz="4" w:space="0"/>
            </w:tcBorders>
            <w:shd w:val="clear" w:color="auto" w:fill="FFFFFF"/>
            <w:vAlign w:val="center"/>
          </w:tcPr>
          <w:p w14:paraId="222C4E2C">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每班1人，24小时值守</w:t>
            </w:r>
          </w:p>
        </w:tc>
      </w:tr>
      <w:tr w14:paraId="64F2528D">
        <w:tblPrEx>
          <w:tblCellMar>
            <w:top w:w="0" w:type="dxa"/>
            <w:left w:w="10" w:type="dxa"/>
            <w:bottom w:w="0" w:type="dxa"/>
            <w:right w:w="10" w:type="dxa"/>
          </w:tblCellMar>
        </w:tblPrEx>
        <w:trPr>
          <w:trHeight w:val="40" w:hRule="atLeast"/>
          <w:jc w:val="center"/>
        </w:trPr>
        <w:tc>
          <w:tcPr>
            <w:tcW w:w="2263" w:type="dxa"/>
            <w:tcBorders>
              <w:top w:val="single" w:color="auto" w:sz="4" w:space="0"/>
              <w:left w:val="single" w:color="auto" w:sz="4" w:space="0"/>
              <w:bottom w:val="single" w:color="auto" w:sz="4" w:space="0"/>
            </w:tcBorders>
            <w:shd w:val="clear" w:color="auto" w:fill="FFFFFF"/>
            <w:vAlign w:val="center"/>
          </w:tcPr>
          <w:p w14:paraId="0F2E292A">
            <w:pPr>
              <w:overflowPunct w:val="0"/>
              <w:adjustRightInd w:val="0"/>
              <w:contextualSpacing/>
              <w:textAlignment w:val="center"/>
              <w:rPr>
                <w:rFonts w:hint="eastAsia" w:ascii="宋体" w:hAnsi="宋体" w:cs="宋体"/>
                <w:szCs w:val="21"/>
                <w:highlight w:val="none"/>
              </w:rPr>
            </w:pPr>
            <w:r>
              <w:rPr>
                <w:rFonts w:hint="eastAsia" w:ascii="宋体" w:hAnsi="宋体" w:cs="宋体"/>
                <w:szCs w:val="21"/>
                <w:highlight w:val="none"/>
              </w:rPr>
              <w:t>合计</w:t>
            </w:r>
          </w:p>
        </w:tc>
        <w:tc>
          <w:tcPr>
            <w:tcW w:w="851" w:type="dxa"/>
            <w:tcBorders>
              <w:top w:val="single" w:color="auto" w:sz="4" w:space="0"/>
              <w:left w:val="single" w:color="auto" w:sz="4" w:space="0"/>
              <w:bottom w:val="single" w:color="auto" w:sz="4" w:space="0"/>
            </w:tcBorders>
            <w:shd w:val="clear" w:color="auto" w:fill="FFFFFF"/>
            <w:vAlign w:val="center"/>
          </w:tcPr>
          <w:p w14:paraId="78EDF63D">
            <w:pPr>
              <w:overflowPunct w:val="0"/>
              <w:adjustRightInd w:val="0"/>
              <w:contextualSpacing/>
              <w:jc w:val="center"/>
              <w:textAlignment w:val="center"/>
              <w:rPr>
                <w:rFonts w:hint="eastAsia" w:ascii="宋体" w:hAnsi="宋体" w:cs="宋体"/>
                <w:szCs w:val="21"/>
                <w:highlight w:val="none"/>
              </w:rPr>
            </w:pPr>
            <w:r>
              <w:rPr>
                <w:rFonts w:hint="eastAsia" w:ascii="宋体" w:hAnsi="宋体" w:cs="宋体"/>
                <w:szCs w:val="21"/>
                <w:highlight w:val="none"/>
              </w:rPr>
              <w:t>45</w:t>
            </w:r>
          </w:p>
        </w:tc>
        <w:tc>
          <w:tcPr>
            <w:tcW w:w="6376" w:type="dxa"/>
            <w:tcBorders>
              <w:top w:val="single" w:color="auto" w:sz="4" w:space="0"/>
              <w:left w:val="single" w:color="auto" w:sz="4" w:space="0"/>
              <w:bottom w:val="single" w:color="auto" w:sz="4" w:space="0"/>
              <w:right w:val="single" w:color="auto" w:sz="4" w:space="0"/>
            </w:tcBorders>
            <w:shd w:val="clear" w:color="auto" w:fill="FFFFFF"/>
            <w:vAlign w:val="center"/>
          </w:tcPr>
          <w:p w14:paraId="5C0C7506">
            <w:pPr>
              <w:overflowPunct w:val="0"/>
              <w:adjustRightInd w:val="0"/>
              <w:contextualSpacing/>
              <w:textAlignment w:val="center"/>
              <w:rPr>
                <w:rFonts w:hint="eastAsia" w:ascii="宋体" w:hAnsi="宋体" w:cs="宋体"/>
                <w:szCs w:val="21"/>
                <w:highlight w:val="none"/>
              </w:rPr>
            </w:pPr>
          </w:p>
        </w:tc>
      </w:tr>
    </w:tbl>
    <w:p w14:paraId="3F55D03A">
      <w:pPr>
        <w:spacing w:line="360" w:lineRule="auto"/>
        <w:rPr>
          <w:rFonts w:hint="eastAsia" w:ascii="宋体" w:hAnsi="宋体" w:cs="宋体"/>
          <w:b/>
          <w:szCs w:val="21"/>
          <w:highlight w:val="none"/>
        </w:rPr>
      </w:pPr>
      <w:r>
        <w:rPr>
          <w:rFonts w:hint="eastAsia" w:ascii="宋体" w:hAnsi="宋体" w:cs="宋体"/>
          <w:b/>
          <w:szCs w:val="21"/>
          <w:highlight w:val="none"/>
        </w:rPr>
        <w:t>（二）人员上岗要求</w:t>
      </w:r>
    </w:p>
    <w:p w14:paraId="5A221537">
      <w:pPr>
        <w:spacing w:line="480" w:lineRule="auto"/>
        <w:rPr>
          <w:rFonts w:hint="eastAsia" w:ascii="宋体" w:hAnsi="宋体" w:cs="宋体"/>
          <w:szCs w:val="21"/>
        </w:rPr>
      </w:pPr>
      <w:r>
        <w:rPr>
          <w:rFonts w:hint="eastAsia" w:ascii="宋体" w:hAnsi="宋体" w:cs="宋体"/>
          <w:szCs w:val="21"/>
          <w:highlight w:val="none"/>
        </w:rPr>
        <w:t>★1、所有保安人员须具有保安员证书（提供相关证书复印件、身份证复印件加盖公章）；保安员平均年龄47（含）周岁以下，其中最大年龄不得超过55（含）周岁； 须具有初中以上文化程度，身高165厘米以上，身体、思想素质较好。其中前门岗、一条巷门岗、二条巷门岗、</w:t>
      </w:r>
      <w:r>
        <w:rPr>
          <w:rFonts w:hint="eastAsia" w:ascii="宋体" w:hAnsi="宋体" w:cs="宋体"/>
          <w:szCs w:val="21"/>
        </w:rPr>
        <w:t>大厅岗47周岁以下，身高170厘米以上。</w:t>
      </w:r>
    </w:p>
    <w:p w14:paraId="6894B825">
      <w:pPr>
        <w:spacing w:line="360" w:lineRule="auto"/>
        <w:rPr>
          <w:rFonts w:hint="eastAsia" w:ascii="宋体" w:hAnsi="宋体" w:cs="宋体"/>
          <w:szCs w:val="21"/>
        </w:rPr>
      </w:pPr>
      <w:r>
        <w:rPr>
          <w:rFonts w:hint="eastAsia" w:ascii="宋体" w:hAnsi="宋体" w:cs="宋体"/>
          <w:szCs w:val="21"/>
        </w:rPr>
        <w:t>2、所有保安人员值勤时，一律着保安制服，配戴保安标志，服饰整洁，武装整齐，着装统一，配戴齐全：</w:t>
      </w:r>
    </w:p>
    <w:p w14:paraId="2C694320">
      <w:pPr>
        <w:spacing w:line="360" w:lineRule="auto"/>
        <w:rPr>
          <w:rFonts w:hint="eastAsia" w:ascii="宋体" w:hAnsi="宋体" w:cs="宋体"/>
          <w:szCs w:val="21"/>
        </w:rPr>
      </w:pPr>
      <w:r>
        <w:rPr>
          <w:rFonts w:hint="eastAsia" w:ascii="宋体" w:hAnsi="宋体" w:cs="宋体"/>
          <w:szCs w:val="21"/>
        </w:rPr>
        <w:t>（1）着夏服，上衣系入裤内，系领带。</w:t>
      </w:r>
    </w:p>
    <w:p w14:paraId="5D40FABD">
      <w:pPr>
        <w:spacing w:line="360" w:lineRule="auto"/>
        <w:rPr>
          <w:rFonts w:hint="eastAsia" w:ascii="宋体" w:hAnsi="宋体" w:cs="宋体"/>
          <w:szCs w:val="21"/>
        </w:rPr>
      </w:pPr>
      <w:r>
        <w:rPr>
          <w:rFonts w:hint="eastAsia" w:ascii="宋体" w:hAnsi="宋体" w:cs="宋体"/>
          <w:szCs w:val="21"/>
        </w:rPr>
        <w:t>（2）着春秋服，内着保安制式衬衫，系领带，扎武装带。</w:t>
      </w:r>
    </w:p>
    <w:p w14:paraId="20E015E1">
      <w:pPr>
        <w:spacing w:line="360" w:lineRule="auto"/>
        <w:rPr>
          <w:rFonts w:hint="eastAsia" w:ascii="宋体" w:hAnsi="宋体" w:cs="宋体"/>
          <w:szCs w:val="21"/>
        </w:rPr>
      </w:pPr>
      <w:r>
        <w:rPr>
          <w:rFonts w:hint="eastAsia" w:ascii="宋体" w:hAnsi="宋体" w:cs="宋体"/>
          <w:szCs w:val="21"/>
        </w:rPr>
        <w:t>（3）着冬服，内着衬衫，扣风纪扣，扎武装带。</w:t>
      </w:r>
    </w:p>
    <w:p w14:paraId="4FB41DD2">
      <w:pPr>
        <w:spacing w:line="360" w:lineRule="auto"/>
        <w:rPr>
          <w:rFonts w:hint="eastAsia" w:ascii="宋体" w:hAnsi="宋体" w:cs="宋体"/>
          <w:szCs w:val="21"/>
        </w:rPr>
      </w:pPr>
      <w:r>
        <w:rPr>
          <w:rFonts w:hint="eastAsia" w:ascii="宋体" w:hAnsi="宋体" w:cs="宋体"/>
          <w:szCs w:val="21"/>
        </w:rPr>
        <w:t>（4）佩戴标志</w:t>
      </w:r>
      <w:r>
        <w:rPr>
          <w:rFonts w:hint="eastAsia" w:cs="宋体"/>
          <w:szCs w:val="21"/>
        </w:rPr>
        <w:t>：</w:t>
      </w:r>
      <w:r>
        <w:rPr>
          <w:rFonts w:hint="eastAsia" w:ascii="宋体" w:hAnsi="宋体" w:cs="宋体"/>
          <w:szCs w:val="21"/>
        </w:rPr>
        <w:t>大沿帽、肩牌、臂章、胸牌号。</w:t>
      </w:r>
    </w:p>
    <w:p w14:paraId="4BE8ED43">
      <w:pPr>
        <w:spacing w:line="360" w:lineRule="auto"/>
        <w:rPr>
          <w:rFonts w:hint="eastAsia" w:ascii="宋体" w:hAnsi="宋体" w:cs="宋体"/>
          <w:szCs w:val="21"/>
        </w:rPr>
      </w:pPr>
      <w:r>
        <w:rPr>
          <w:rFonts w:hint="eastAsia" w:ascii="宋体" w:hAnsi="宋体" w:cs="宋体"/>
          <w:szCs w:val="21"/>
        </w:rPr>
        <w:t>（5）值勤时，一律穿黑色皮鞋，戴白色手套。</w:t>
      </w:r>
    </w:p>
    <w:p w14:paraId="41E2F35D">
      <w:pPr>
        <w:spacing w:line="360" w:lineRule="auto"/>
        <w:rPr>
          <w:rFonts w:hint="eastAsia" w:ascii="宋体" w:hAnsi="宋体" w:cs="宋体"/>
          <w:szCs w:val="21"/>
        </w:rPr>
      </w:pPr>
      <w:r>
        <w:rPr>
          <w:rFonts w:hint="eastAsia" w:ascii="宋体" w:hAnsi="宋体" w:cs="宋体"/>
          <w:szCs w:val="21"/>
        </w:rPr>
        <w:t>（6）纽扣按要求扣系整齐，不得披衣、敞怀、挽袖、卷裤脚、歪戴帽、穿拖鞋或赤脚。</w:t>
      </w:r>
    </w:p>
    <w:p w14:paraId="3A9F1053">
      <w:pPr>
        <w:spacing w:line="360" w:lineRule="auto"/>
        <w:rPr>
          <w:rFonts w:hint="eastAsia" w:ascii="宋体" w:hAnsi="宋体" w:cs="宋体"/>
          <w:szCs w:val="21"/>
        </w:rPr>
      </w:pPr>
      <w:r>
        <w:rPr>
          <w:rFonts w:hint="eastAsia" w:ascii="宋体" w:hAnsi="宋体" w:cs="宋体"/>
          <w:szCs w:val="21"/>
        </w:rPr>
        <w:t>3、保安人员非当班时间，除因公或经批准外，不准穿着或携带制服离开辖区。</w:t>
      </w:r>
    </w:p>
    <w:p w14:paraId="03421C51">
      <w:pPr>
        <w:spacing w:line="360" w:lineRule="auto"/>
        <w:rPr>
          <w:rFonts w:hint="eastAsia" w:ascii="宋体" w:hAnsi="宋体" w:cs="宋体"/>
          <w:szCs w:val="21"/>
        </w:rPr>
      </w:pPr>
      <w:r>
        <w:rPr>
          <w:rFonts w:hint="eastAsia" w:ascii="宋体" w:hAnsi="宋体" w:cs="宋体"/>
          <w:szCs w:val="21"/>
        </w:rPr>
        <w:t>4、保安人员应讲究个人卫生，保持头发整洁，被服及时洗换，不得留长发、蓄胡须、养长指甲。</w:t>
      </w:r>
    </w:p>
    <w:p w14:paraId="1A4512F0">
      <w:pPr>
        <w:spacing w:line="360" w:lineRule="auto"/>
        <w:rPr>
          <w:rFonts w:hint="eastAsia" w:ascii="宋体" w:hAnsi="宋体" w:cs="宋体"/>
          <w:szCs w:val="21"/>
        </w:rPr>
      </w:pPr>
      <w:r>
        <w:rPr>
          <w:rFonts w:hint="eastAsia" w:ascii="宋体" w:hAnsi="宋体" w:cs="宋体"/>
          <w:szCs w:val="21"/>
        </w:rPr>
        <w:t>5、保安人员不得着奇装异服，不准配戴戒指、项链、吉祥物等，不准涂口红、戴头饰，严禁纹身。</w:t>
      </w:r>
    </w:p>
    <w:p w14:paraId="66F44DEA">
      <w:pPr>
        <w:spacing w:line="360" w:lineRule="auto"/>
        <w:rPr>
          <w:rFonts w:hint="eastAsia" w:ascii="宋体" w:hAnsi="宋体" w:cs="宋体"/>
          <w:szCs w:val="21"/>
        </w:rPr>
      </w:pPr>
      <w:r>
        <w:rPr>
          <w:rFonts w:hint="eastAsia" w:ascii="宋体" w:hAnsi="宋体" w:cs="宋体"/>
          <w:szCs w:val="21"/>
        </w:rPr>
        <w:t>6、保安人员上岗时举止应文明、端正、礼貌、大方，精神振作，姿态良好，立岗时保持立正或跨立姿势，抬头挺胸，不得东倒西歪、前倾后仰，不袖手、插腰或将手插入口袋。不准在值勤时吸烟、吃零食。不得哼歌曲、吹口哨，不得随地吐痰、乱丢果皮纸屑等杂物。不准勾肩搭背、嬉耍打闹、吹牛聊天、看书阅报、听音乐，严禁乱打电话。执勤或服务时，应面对对象进行敬礼。</w:t>
      </w:r>
    </w:p>
    <w:p w14:paraId="455DFADA">
      <w:pPr>
        <w:spacing w:line="360" w:lineRule="auto"/>
        <w:rPr>
          <w:rFonts w:hint="eastAsia" w:ascii="宋体" w:hAnsi="宋体" w:cs="宋体"/>
          <w:szCs w:val="21"/>
        </w:rPr>
      </w:pPr>
      <w:r>
        <w:rPr>
          <w:rFonts w:hint="eastAsia" w:ascii="宋体" w:hAnsi="宋体" w:cs="宋体"/>
          <w:szCs w:val="21"/>
        </w:rPr>
        <w:t>7、规范使用文明用语，坚持文明值勤，热情服务。对来访人员应说:“您好，请问您找谁?”，“请您出示证件”。对违章行车者应说:“对不起，这是单行线，请您按规定方向行驶。”、“谢谢您合作!”。对违章停车者应说:“对不起，这里不可以停车，请您将车停在……”、“谢谢合作!”。对楼内、车场内闲杂人员等应说:“您好，为确保您的安全，请您不要在此。”、“多谢您的合作!”。接听电话时应说:“您好，请问有事需要服务吗?”。</w:t>
      </w:r>
    </w:p>
    <w:p w14:paraId="416D45CD">
      <w:pPr>
        <w:spacing w:line="360" w:lineRule="auto"/>
        <w:rPr>
          <w:rFonts w:hint="eastAsia" w:ascii="宋体" w:hAnsi="宋体" w:cs="宋体"/>
          <w:szCs w:val="21"/>
        </w:rPr>
      </w:pPr>
      <w:r>
        <w:rPr>
          <w:rFonts w:hint="eastAsia" w:ascii="宋体" w:hAnsi="宋体" w:cs="宋体"/>
          <w:szCs w:val="21"/>
        </w:rPr>
        <w:t>8、保安队员着制服步行时，应严格执行队列训练要求，2人以上列队进行，2人行横队，3人以上列纵队，步伐整齐划一。</w:t>
      </w:r>
    </w:p>
    <w:p w14:paraId="181BA3B0">
      <w:pPr>
        <w:spacing w:line="360" w:lineRule="auto"/>
        <w:rPr>
          <w:rFonts w:hint="eastAsia" w:ascii="宋体" w:hAnsi="宋体" w:cs="宋体"/>
          <w:szCs w:val="21"/>
        </w:rPr>
      </w:pPr>
      <w:r>
        <w:rPr>
          <w:rFonts w:hint="eastAsia" w:ascii="宋体" w:hAnsi="宋体" w:cs="宋体"/>
          <w:szCs w:val="21"/>
        </w:rPr>
        <w:t>9、保安队员在任何场合不得大声喧哗，携带对讲机时应佩戴耳机。</w:t>
      </w:r>
    </w:p>
    <w:p w14:paraId="77636516">
      <w:pPr>
        <w:spacing w:line="360" w:lineRule="auto"/>
        <w:rPr>
          <w:rFonts w:hint="eastAsia" w:ascii="宋体" w:hAnsi="宋体" w:cs="宋体"/>
          <w:szCs w:val="21"/>
        </w:rPr>
      </w:pPr>
      <w:r>
        <w:rPr>
          <w:rFonts w:hint="eastAsia" w:ascii="宋体" w:hAnsi="宋体" w:cs="宋体"/>
          <w:szCs w:val="21"/>
        </w:rPr>
        <w:t>10、严格保密制度，出现泄密的，一律调离采购人单位。</w:t>
      </w:r>
    </w:p>
    <w:p w14:paraId="3B29E824">
      <w:pPr>
        <w:spacing w:line="360" w:lineRule="auto"/>
        <w:rPr>
          <w:rFonts w:hint="eastAsia" w:ascii="宋体" w:hAnsi="宋体" w:cs="宋体"/>
          <w:b/>
          <w:szCs w:val="21"/>
        </w:rPr>
      </w:pPr>
      <w:r>
        <w:rPr>
          <w:rFonts w:hint="eastAsia" w:ascii="宋体" w:hAnsi="宋体" w:cs="宋体"/>
          <w:b/>
          <w:szCs w:val="21"/>
        </w:rPr>
        <w:t>（三）人员岗位配置要求</w:t>
      </w:r>
    </w:p>
    <w:p w14:paraId="51BB7D53">
      <w:pPr>
        <w:spacing w:line="360" w:lineRule="auto"/>
        <w:rPr>
          <w:rFonts w:hint="eastAsia" w:ascii="宋体" w:hAnsi="宋体" w:cs="宋体"/>
          <w:szCs w:val="21"/>
        </w:rPr>
      </w:pPr>
      <w:r>
        <w:rPr>
          <w:rFonts w:hint="eastAsia" w:ascii="宋体" w:hAnsi="宋体" w:cs="宋体"/>
          <w:szCs w:val="21"/>
        </w:rPr>
        <w:t>1、</w:t>
      </w:r>
      <w:r>
        <w:rPr>
          <w:rFonts w:hint="eastAsia" w:cs="宋体"/>
          <w:szCs w:val="21"/>
        </w:rPr>
        <w:t>项目负责人（</w:t>
      </w:r>
      <w:r>
        <w:rPr>
          <w:rFonts w:hint="eastAsia" w:ascii="宋体" w:hAnsi="宋体" w:cs="宋体"/>
          <w:szCs w:val="21"/>
        </w:rPr>
        <w:t>中队长</w:t>
      </w:r>
      <w:r>
        <w:rPr>
          <w:rFonts w:hint="eastAsia" w:cs="宋体"/>
          <w:szCs w:val="21"/>
        </w:rPr>
        <w:t>）</w:t>
      </w:r>
      <w:r>
        <w:rPr>
          <w:rFonts w:hint="eastAsia" w:ascii="宋体" w:hAnsi="宋体" w:cs="宋体"/>
          <w:szCs w:val="21"/>
        </w:rPr>
        <w:t>岗位要求</w:t>
      </w:r>
    </w:p>
    <w:p w14:paraId="20C3C799">
      <w:pPr>
        <w:spacing w:line="360" w:lineRule="auto"/>
        <w:rPr>
          <w:rFonts w:hint="eastAsia" w:ascii="宋体" w:hAnsi="宋体" w:cs="宋体"/>
          <w:szCs w:val="21"/>
        </w:rPr>
      </w:pPr>
      <w:r>
        <w:rPr>
          <w:rFonts w:hint="eastAsia" w:ascii="宋体" w:hAnsi="宋体" w:cs="宋体"/>
          <w:szCs w:val="21"/>
        </w:rPr>
        <w:t>（1）须具有高中以上文化程度，熟悉安保服务运营管理；统筹协调安保服务工作，能独立处理突发状况。</w:t>
      </w:r>
    </w:p>
    <w:p w14:paraId="11CD0862">
      <w:pPr>
        <w:spacing w:line="360" w:lineRule="auto"/>
        <w:rPr>
          <w:rFonts w:hint="eastAsia" w:ascii="宋体" w:hAnsi="宋体" w:cs="宋体"/>
          <w:szCs w:val="21"/>
        </w:rPr>
      </w:pPr>
      <w:r>
        <w:rPr>
          <w:rFonts w:hint="eastAsia" w:ascii="宋体" w:hAnsi="宋体" w:cs="宋体"/>
          <w:szCs w:val="21"/>
        </w:rPr>
        <w:t>（2）每周参加采购人单位例会，及时将采购人有关指示精神、要求传达到每名保安队员。</w:t>
      </w:r>
    </w:p>
    <w:p w14:paraId="01C75C3D">
      <w:pPr>
        <w:spacing w:line="360" w:lineRule="auto"/>
        <w:rPr>
          <w:rFonts w:hint="eastAsia" w:ascii="宋体" w:hAnsi="宋体" w:cs="宋体"/>
          <w:szCs w:val="21"/>
        </w:rPr>
      </w:pPr>
      <w:r>
        <w:rPr>
          <w:rFonts w:hint="eastAsia" w:ascii="宋体" w:hAnsi="宋体" w:cs="宋体"/>
          <w:szCs w:val="21"/>
        </w:rPr>
        <w:t>（3）每周组织一次例会，分队长及队员骨干参加；适时邀请采购人、保安公司领导参加；队务会主要内容为贯彻落实采购人工作要求，对一周整体工作进行小结，部署下周工作。</w:t>
      </w:r>
    </w:p>
    <w:p w14:paraId="582A5252">
      <w:pPr>
        <w:spacing w:line="360" w:lineRule="auto"/>
        <w:rPr>
          <w:rFonts w:hint="eastAsia" w:ascii="宋体" w:hAnsi="宋体" w:cs="宋体"/>
          <w:szCs w:val="21"/>
        </w:rPr>
      </w:pPr>
      <w:r>
        <w:rPr>
          <w:rFonts w:hint="eastAsia" w:ascii="宋体" w:hAnsi="宋体" w:cs="宋体"/>
          <w:szCs w:val="21"/>
        </w:rPr>
        <w:t>（4）每月组织不少于4次的业务学习与业务训练，学习机关安保工作细则、规章制度及有关应急预案，开展队列训练，提高文明规范值勤能力；适时组织保安人员进行体能、擒拿格斗训练，定期组织消防安全演练，提高应急处置能力；保安中队要定期进行考核，并将考核结果报采购人</w:t>
      </w:r>
      <w:r>
        <w:rPr>
          <w:rFonts w:hint="eastAsia" w:cs="宋体"/>
          <w:szCs w:val="21"/>
        </w:rPr>
        <w:t>，具有</w:t>
      </w:r>
      <w:r>
        <w:rPr>
          <w:szCs w:val="21"/>
        </w:rPr>
        <w:t>建（构）筑物消防员</w:t>
      </w:r>
      <w:r>
        <w:rPr>
          <w:rFonts w:hint="eastAsia"/>
          <w:szCs w:val="21"/>
        </w:rPr>
        <w:t>国家职业资格</w:t>
      </w:r>
      <w:r>
        <w:rPr>
          <w:szCs w:val="21"/>
        </w:rPr>
        <w:t>证书</w:t>
      </w:r>
      <w:r>
        <w:rPr>
          <w:rFonts w:hint="eastAsia"/>
          <w:szCs w:val="21"/>
        </w:rPr>
        <w:t>或消防设施操作员职业资格证书</w:t>
      </w:r>
      <w:r>
        <w:rPr>
          <w:rFonts w:hint="eastAsia" w:ascii="宋体" w:hAnsi="宋体" w:cs="宋体"/>
          <w:szCs w:val="21"/>
        </w:rPr>
        <w:t>。</w:t>
      </w:r>
    </w:p>
    <w:p w14:paraId="6AA4FC8A">
      <w:pPr>
        <w:spacing w:line="360" w:lineRule="auto"/>
        <w:rPr>
          <w:rFonts w:hint="eastAsia" w:ascii="宋体" w:hAnsi="宋体" w:cs="宋体"/>
          <w:szCs w:val="21"/>
        </w:rPr>
      </w:pPr>
      <w:r>
        <w:rPr>
          <w:rFonts w:hint="eastAsia" w:ascii="宋体" w:hAnsi="宋体" w:cs="宋体"/>
          <w:szCs w:val="21"/>
        </w:rPr>
        <w:t>2、副中队长岗位要求</w:t>
      </w:r>
    </w:p>
    <w:p w14:paraId="5679286D">
      <w:pPr>
        <w:spacing w:line="360" w:lineRule="auto"/>
        <w:rPr>
          <w:rFonts w:hint="eastAsia" w:ascii="宋体" w:hAnsi="宋体" w:cs="宋体"/>
          <w:szCs w:val="21"/>
        </w:rPr>
      </w:pPr>
      <w:r>
        <w:rPr>
          <w:rFonts w:hint="eastAsia" w:ascii="宋体" w:hAnsi="宋体" w:cs="宋体"/>
          <w:szCs w:val="21"/>
        </w:rPr>
        <w:t>（1）在中队长的领导下进行工作，并接受公司办公室的业务督导、培训和技术指导，负责组织管理保安队伍的建设及其它各项工作。</w:t>
      </w:r>
    </w:p>
    <w:p w14:paraId="0110C5D4">
      <w:pPr>
        <w:spacing w:line="360" w:lineRule="auto"/>
        <w:rPr>
          <w:rFonts w:hint="eastAsia" w:ascii="宋体" w:hAnsi="宋体" w:cs="宋体"/>
          <w:szCs w:val="21"/>
        </w:rPr>
      </w:pPr>
      <w:r>
        <w:rPr>
          <w:rFonts w:hint="eastAsia" w:ascii="宋体" w:hAnsi="宋体" w:cs="宋体"/>
          <w:szCs w:val="21"/>
        </w:rPr>
        <w:t>（2）积极协助中队长做好保安的日常管理工作，做好日常巡视、检查工作，及时发现问题并予以解决，确保保安队伍每日工作质量，当队长不在岗时，能及时处理一些突发事件。</w:t>
      </w:r>
    </w:p>
    <w:p w14:paraId="7B81FC87">
      <w:pPr>
        <w:spacing w:line="360" w:lineRule="auto"/>
        <w:rPr>
          <w:rFonts w:hint="eastAsia" w:ascii="宋体" w:hAnsi="宋体" w:cs="宋体"/>
          <w:szCs w:val="21"/>
        </w:rPr>
      </w:pPr>
      <w:r>
        <w:rPr>
          <w:rFonts w:hint="eastAsia" w:ascii="宋体" w:hAnsi="宋体" w:cs="宋体"/>
          <w:szCs w:val="21"/>
        </w:rPr>
        <w:t>（3）掌握所属防区内消防、治安重点部位，熟知治安、消防方面有关法律、法规，能够熟练处理火警、盗警等各种突发事件。</w:t>
      </w:r>
    </w:p>
    <w:p w14:paraId="44C1AED2">
      <w:pPr>
        <w:spacing w:line="360" w:lineRule="auto"/>
        <w:rPr>
          <w:rFonts w:hint="eastAsia" w:ascii="宋体" w:hAnsi="宋体" w:cs="宋体"/>
          <w:szCs w:val="21"/>
        </w:rPr>
      </w:pPr>
      <w:r>
        <w:rPr>
          <w:rFonts w:hint="eastAsia" w:ascii="宋体" w:hAnsi="宋体" w:cs="宋体"/>
          <w:szCs w:val="21"/>
        </w:rPr>
        <w:t>（4）负责保安中队宿舍的内务管理，关心保安队员生活，掌握保安队员思想动向，防止保安内部出现不稳定因素，确保保安队伍思想的纯洁性。</w:t>
      </w:r>
    </w:p>
    <w:p w14:paraId="555C8355">
      <w:pPr>
        <w:spacing w:line="360" w:lineRule="auto"/>
        <w:rPr>
          <w:rFonts w:hint="eastAsia" w:ascii="宋体" w:hAnsi="宋体" w:cs="宋体"/>
          <w:szCs w:val="21"/>
        </w:rPr>
      </w:pPr>
      <w:r>
        <w:rPr>
          <w:rFonts w:hint="eastAsia" w:ascii="宋体" w:hAnsi="宋体" w:cs="宋体"/>
          <w:szCs w:val="21"/>
        </w:rPr>
        <w:t>（5）认真详细记载工作中所遇到并处理的各项情况，每周向中队长进行详细汇报。</w:t>
      </w:r>
    </w:p>
    <w:p w14:paraId="592733F0">
      <w:pPr>
        <w:spacing w:line="360" w:lineRule="auto"/>
        <w:rPr>
          <w:rFonts w:hint="eastAsia" w:ascii="宋体" w:hAnsi="宋体" w:cs="宋体"/>
          <w:szCs w:val="21"/>
        </w:rPr>
      </w:pPr>
      <w:r>
        <w:rPr>
          <w:rFonts w:hint="eastAsia" w:ascii="宋体" w:hAnsi="宋体" w:cs="宋体"/>
          <w:szCs w:val="21"/>
        </w:rPr>
        <w:t>（6）不断提高个人思想和业务水平，工作中发现问题时，及时、主动的和中队长沟通，提出自己的建议和意见，敢于同歪风邪气作斗争，大胆管理。</w:t>
      </w:r>
    </w:p>
    <w:p w14:paraId="500052C8">
      <w:pPr>
        <w:spacing w:line="360" w:lineRule="auto"/>
        <w:rPr>
          <w:rFonts w:hint="eastAsia" w:ascii="宋体" w:hAnsi="宋体" w:cs="宋体"/>
          <w:szCs w:val="21"/>
        </w:rPr>
      </w:pPr>
      <w:r>
        <w:rPr>
          <w:rFonts w:hint="eastAsia" w:ascii="宋体" w:hAnsi="宋体" w:cs="宋体"/>
          <w:szCs w:val="21"/>
        </w:rPr>
        <w:t>（7）作风严谨，以身作则，率先垂范，严格自律，清正廉明，自觉加强自身政治修养、提高思想品质素质。</w:t>
      </w:r>
    </w:p>
    <w:p w14:paraId="37749F45">
      <w:pPr>
        <w:spacing w:line="360" w:lineRule="auto"/>
        <w:rPr>
          <w:rFonts w:hint="eastAsia" w:ascii="宋体" w:hAnsi="宋体" w:cs="宋体"/>
          <w:szCs w:val="21"/>
        </w:rPr>
      </w:pPr>
      <w:r>
        <w:rPr>
          <w:rFonts w:hint="eastAsia" w:ascii="宋体" w:hAnsi="宋体" w:cs="宋体"/>
          <w:szCs w:val="21"/>
        </w:rPr>
        <w:t>3、夜班分队长岗位要求</w:t>
      </w:r>
    </w:p>
    <w:p w14:paraId="100EE107">
      <w:pPr>
        <w:spacing w:line="360" w:lineRule="auto"/>
        <w:rPr>
          <w:rFonts w:hint="eastAsia" w:ascii="宋体" w:hAnsi="宋体" w:cs="宋体"/>
          <w:szCs w:val="21"/>
        </w:rPr>
      </w:pPr>
      <w:r>
        <w:rPr>
          <w:rFonts w:hint="eastAsia" w:ascii="宋体" w:hAnsi="宋体" w:cs="宋体"/>
          <w:szCs w:val="21"/>
        </w:rPr>
        <w:t>（1）正常夜班，周末休息1天。组织安排勤务；检查考核夜间保安人员的执勤情况。</w:t>
      </w:r>
    </w:p>
    <w:p w14:paraId="25DB7D8C">
      <w:pPr>
        <w:spacing w:line="360" w:lineRule="auto"/>
        <w:rPr>
          <w:rFonts w:hint="eastAsia" w:ascii="宋体" w:hAnsi="宋体" w:cs="宋体"/>
          <w:szCs w:val="21"/>
        </w:rPr>
      </w:pPr>
      <w:r>
        <w:rPr>
          <w:rFonts w:hint="eastAsia" w:ascii="宋体" w:hAnsi="宋体" w:cs="宋体"/>
          <w:szCs w:val="21"/>
        </w:rPr>
        <w:t>（2）负责分队的学习和训练。</w:t>
      </w:r>
    </w:p>
    <w:p w14:paraId="706C1995">
      <w:pPr>
        <w:spacing w:line="360" w:lineRule="auto"/>
        <w:rPr>
          <w:rFonts w:hint="eastAsia" w:ascii="宋体" w:hAnsi="宋体" w:cs="宋体"/>
          <w:szCs w:val="21"/>
        </w:rPr>
      </w:pPr>
      <w:r>
        <w:rPr>
          <w:rFonts w:hint="eastAsia" w:ascii="宋体" w:hAnsi="宋体" w:cs="宋体"/>
          <w:szCs w:val="21"/>
        </w:rPr>
        <w:t>（3）及时准确传达上级的工作部署，负责分队实施各项保安服务任务。</w:t>
      </w:r>
    </w:p>
    <w:p w14:paraId="7E1E4C08">
      <w:pPr>
        <w:spacing w:line="360" w:lineRule="auto"/>
        <w:rPr>
          <w:rFonts w:hint="eastAsia" w:ascii="宋体" w:hAnsi="宋体" w:cs="宋体"/>
          <w:szCs w:val="21"/>
        </w:rPr>
      </w:pPr>
      <w:r>
        <w:rPr>
          <w:rFonts w:hint="eastAsia" w:ascii="宋体" w:hAnsi="宋体" w:cs="宋体"/>
          <w:szCs w:val="21"/>
        </w:rPr>
        <w:t>（4）与中队领导保持联系。协助中队长开展安全检查，发现问题及时解决，重要情况及时汇报。</w:t>
      </w:r>
    </w:p>
    <w:p w14:paraId="6B57C61D">
      <w:pPr>
        <w:spacing w:line="360" w:lineRule="auto"/>
        <w:rPr>
          <w:rFonts w:hint="eastAsia" w:ascii="宋体" w:hAnsi="宋体" w:cs="宋体"/>
          <w:szCs w:val="21"/>
        </w:rPr>
      </w:pPr>
      <w:r>
        <w:rPr>
          <w:rFonts w:hint="eastAsia" w:ascii="宋体" w:hAnsi="宋体" w:cs="宋体"/>
          <w:szCs w:val="21"/>
        </w:rPr>
        <w:t>（5）组织、召开队务会，布置工作、勤务讲评、思想教育，做到时间、人员、内容、效果四落实，做好会议记录。</w:t>
      </w:r>
    </w:p>
    <w:p w14:paraId="21584671">
      <w:pPr>
        <w:spacing w:line="360" w:lineRule="auto"/>
        <w:rPr>
          <w:rFonts w:hint="eastAsia" w:ascii="宋体" w:hAnsi="宋体" w:cs="宋体"/>
          <w:szCs w:val="21"/>
        </w:rPr>
      </w:pPr>
      <w:r>
        <w:rPr>
          <w:rFonts w:hint="eastAsia" w:ascii="宋体" w:hAnsi="宋体" w:cs="宋体"/>
          <w:szCs w:val="21"/>
        </w:rPr>
        <w:t>（6）做好思想政治工作，掌握保安员的思想动态，及时解决队伍中出现的问题，搞好队伍团结。</w:t>
      </w:r>
    </w:p>
    <w:p w14:paraId="529312EC">
      <w:pPr>
        <w:spacing w:line="360" w:lineRule="auto"/>
        <w:rPr>
          <w:rFonts w:hint="eastAsia" w:ascii="宋体" w:hAnsi="宋体" w:cs="宋体"/>
          <w:szCs w:val="21"/>
        </w:rPr>
      </w:pPr>
      <w:r>
        <w:rPr>
          <w:rFonts w:hint="eastAsia" w:ascii="宋体" w:hAnsi="宋体" w:cs="宋体"/>
          <w:szCs w:val="21"/>
        </w:rPr>
        <w:t>（7）关心保安员的生活、学习和工作情况，认真帮助解决困难和实际问题。</w:t>
      </w:r>
    </w:p>
    <w:p w14:paraId="6F49D893">
      <w:pPr>
        <w:spacing w:line="360" w:lineRule="auto"/>
        <w:rPr>
          <w:rFonts w:hint="eastAsia" w:ascii="宋体" w:hAnsi="宋体" w:cs="宋体"/>
          <w:szCs w:val="21"/>
        </w:rPr>
      </w:pPr>
      <w:r>
        <w:rPr>
          <w:rFonts w:hint="eastAsia" w:ascii="宋体" w:hAnsi="宋体" w:cs="宋体"/>
          <w:szCs w:val="21"/>
        </w:rPr>
        <w:t>（8）遇有紧急情况，及时向上级报告，立即进行现场处置，控制事态发展并做好现场保护。</w:t>
      </w:r>
    </w:p>
    <w:p w14:paraId="7F066E5E">
      <w:pPr>
        <w:spacing w:line="360" w:lineRule="auto"/>
        <w:rPr>
          <w:rFonts w:hint="eastAsia" w:ascii="宋体" w:hAnsi="宋体" w:cs="宋体"/>
          <w:szCs w:val="21"/>
        </w:rPr>
      </w:pPr>
      <w:r>
        <w:rPr>
          <w:rFonts w:hint="eastAsia" w:ascii="宋体" w:hAnsi="宋体" w:cs="宋体"/>
          <w:szCs w:val="21"/>
        </w:rPr>
        <w:t>4、前门岗岗位要求</w:t>
      </w:r>
    </w:p>
    <w:p w14:paraId="34C50CCD">
      <w:pPr>
        <w:spacing w:line="360" w:lineRule="auto"/>
        <w:rPr>
          <w:rFonts w:hint="eastAsia" w:ascii="宋体" w:hAnsi="宋体" w:cs="宋体"/>
          <w:szCs w:val="21"/>
        </w:rPr>
      </w:pPr>
      <w:r>
        <w:rPr>
          <w:rFonts w:hint="eastAsia" w:ascii="宋体" w:hAnsi="宋体" w:cs="宋体"/>
          <w:szCs w:val="21"/>
        </w:rPr>
        <w:t>（1）</w:t>
      </w:r>
      <w:bookmarkStart w:id="168" w:name="_Hlk97043531"/>
      <w:r>
        <w:rPr>
          <w:rFonts w:hint="eastAsia" w:ascii="宋体" w:hAnsi="宋体" w:cs="宋体"/>
          <w:szCs w:val="21"/>
        </w:rPr>
        <w:t>前门岗配备8人，实行四班三运转，每班2人，24小时值守，</w:t>
      </w:r>
      <w:bookmarkEnd w:id="168"/>
      <w:r>
        <w:rPr>
          <w:rFonts w:hint="eastAsia" w:ascii="宋体" w:hAnsi="宋体" w:cs="宋体"/>
          <w:szCs w:val="21"/>
        </w:rPr>
        <w:t>1人于07:20-19:00立岗。</w:t>
      </w:r>
    </w:p>
    <w:p w14:paraId="0688E9AC">
      <w:pPr>
        <w:spacing w:line="360" w:lineRule="auto"/>
        <w:rPr>
          <w:rFonts w:hint="eastAsia" w:ascii="宋体" w:hAnsi="宋体" w:cs="宋体"/>
          <w:szCs w:val="21"/>
        </w:rPr>
      </w:pPr>
      <w:r>
        <w:rPr>
          <w:rFonts w:hint="eastAsia" w:ascii="宋体" w:hAnsi="宋体" w:cs="宋体"/>
          <w:szCs w:val="21"/>
        </w:rPr>
        <w:t>（2）队员执勤时须着统一的保安制服，警容严整，举止端正，遵守值勤规范，立岗队员须戴帽子、扎腰带、戴白色手套，携带对讲机并佩带耳机。坐岗队员须保持位于警卫室里，警容严整，及时接听有关电话和处理其它情况。</w:t>
      </w:r>
    </w:p>
    <w:p w14:paraId="4D790CC1">
      <w:pPr>
        <w:spacing w:line="360" w:lineRule="auto"/>
        <w:rPr>
          <w:rFonts w:hint="eastAsia" w:ascii="宋体" w:hAnsi="宋体" w:cs="宋体"/>
          <w:szCs w:val="21"/>
        </w:rPr>
      </w:pPr>
      <w:r>
        <w:rPr>
          <w:rFonts w:hint="eastAsia" w:ascii="宋体" w:hAnsi="宋体" w:cs="宋体"/>
          <w:szCs w:val="21"/>
        </w:rPr>
        <w:t>（3）维护浦口区文德路18号和文昌路12号办公区大门安全通畅的交通秩序。对出入办公区的车辆必须查验车辆通行证，禁止无证车辆进入办公区。对需要进入办公区办事的无证车辆，须让其使用有效证件（机动车行驶证、居民身份证、工作证等）更换临时通行证后方可进入。机关下班1小时以后，禁止无通行证车辆进入办公区，确需进入办公区的车辆要填写《非工作时间出入机关登记表》，并对车辆进行认真查验。</w:t>
      </w:r>
    </w:p>
    <w:p w14:paraId="37EB1477">
      <w:pPr>
        <w:spacing w:line="360" w:lineRule="auto"/>
        <w:rPr>
          <w:rFonts w:hint="eastAsia" w:ascii="宋体" w:hAnsi="宋体" w:cs="宋体"/>
          <w:szCs w:val="21"/>
        </w:rPr>
      </w:pPr>
      <w:r>
        <w:rPr>
          <w:rFonts w:hint="eastAsia" w:ascii="宋体" w:hAnsi="宋体" w:cs="宋体"/>
          <w:szCs w:val="21"/>
        </w:rPr>
        <w:t>（4）严格执行来人来访询问、报告、登记制度。非机关工作人员进入办公区，要详细询问其去向、事由等，并电话联系目的单位，得到确认后方可允许其进放办公区；同时认真填写《来访人员登记表》。禁止无关人员擅自进入办公区。</w:t>
      </w:r>
    </w:p>
    <w:p w14:paraId="507CF697">
      <w:pPr>
        <w:spacing w:line="360" w:lineRule="auto"/>
        <w:rPr>
          <w:rFonts w:hint="eastAsia" w:ascii="宋体" w:hAnsi="宋体" w:cs="宋体"/>
          <w:szCs w:val="21"/>
        </w:rPr>
      </w:pPr>
      <w:r>
        <w:rPr>
          <w:rFonts w:hint="eastAsia" w:ascii="宋体" w:hAnsi="宋体" w:cs="宋体"/>
          <w:szCs w:val="21"/>
        </w:rPr>
        <w:t>（5）做好邮件、包裹、汇单、挂号信、书报杂志的收发工作，严格实行签收签发制度，认真填写《机关邮件（快件、挂号信）收发登记表》，确保准确无误。</w:t>
      </w:r>
    </w:p>
    <w:p w14:paraId="650CE521">
      <w:pPr>
        <w:spacing w:line="360" w:lineRule="auto"/>
        <w:rPr>
          <w:rFonts w:hint="eastAsia" w:ascii="宋体" w:hAnsi="宋体" w:cs="宋体"/>
          <w:szCs w:val="21"/>
        </w:rPr>
      </w:pPr>
      <w:r>
        <w:rPr>
          <w:rFonts w:hint="eastAsia" w:ascii="宋体" w:hAnsi="宋体" w:cs="宋体"/>
          <w:szCs w:val="21"/>
        </w:rPr>
        <w:t>（6）加强机关物资管理，物资出门需经政府主管部门或权属部门批准，经检验确认无误后方可放行。工作日期间，禁止收废旧报纸或拾荒人员进入办公区。确需收买废旧报纸的，一般安排在周末进行，并事先报政府办行政科同意。</w:t>
      </w:r>
    </w:p>
    <w:p w14:paraId="3ABF20DE">
      <w:pPr>
        <w:spacing w:line="360" w:lineRule="auto"/>
        <w:rPr>
          <w:rFonts w:hint="eastAsia" w:ascii="宋体" w:hAnsi="宋体" w:cs="宋体"/>
          <w:szCs w:val="21"/>
        </w:rPr>
      </w:pPr>
      <w:r>
        <w:rPr>
          <w:rFonts w:hint="eastAsia" w:ascii="宋体" w:hAnsi="宋体" w:cs="宋体"/>
          <w:szCs w:val="21"/>
        </w:rPr>
        <w:t>（7）保持与其它各岗位互联互通，遇领导车辆驶入或领导步行进入，立岗队员要敬礼，并及时通报大厅岗，提前做好接待准备。</w:t>
      </w:r>
    </w:p>
    <w:p w14:paraId="515CC47B">
      <w:pPr>
        <w:spacing w:line="360" w:lineRule="auto"/>
        <w:rPr>
          <w:rFonts w:hint="eastAsia" w:ascii="宋体" w:hAnsi="宋体" w:cs="宋体"/>
          <w:szCs w:val="21"/>
        </w:rPr>
      </w:pPr>
      <w:r>
        <w:rPr>
          <w:rFonts w:hint="eastAsia" w:ascii="宋体" w:hAnsi="宋体" w:cs="宋体"/>
          <w:szCs w:val="21"/>
        </w:rPr>
        <w:t>（8）加强电动伸缩门管理、控制与维护，按规定进行有效控制。每日7时30分至17时30分，电动门应保持全部打开状态，确保车辆能够顺利进出。</w:t>
      </w:r>
    </w:p>
    <w:p w14:paraId="6EEA88BC">
      <w:pPr>
        <w:spacing w:line="360" w:lineRule="auto"/>
        <w:rPr>
          <w:rFonts w:hint="eastAsia" w:ascii="宋体" w:hAnsi="宋体" w:cs="宋体"/>
          <w:szCs w:val="21"/>
        </w:rPr>
      </w:pPr>
      <w:r>
        <w:rPr>
          <w:rFonts w:hint="eastAsia" w:ascii="宋体" w:hAnsi="宋体" w:cs="宋体"/>
          <w:szCs w:val="21"/>
        </w:rPr>
        <w:t>（9）熟悉办公区路灯控制设置，按规定及时开闭办公区路灯照明系统。每日17时30分至次日6时开启办公区内路灯照明系统。注意检查开关设备，发现问题要及时报修。</w:t>
      </w:r>
    </w:p>
    <w:p w14:paraId="368C7D46">
      <w:pPr>
        <w:spacing w:line="360" w:lineRule="auto"/>
        <w:rPr>
          <w:rFonts w:hint="eastAsia" w:ascii="宋体" w:hAnsi="宋体" w:cs="宋体"/>
          <w:szCs w:val="21"/>
        </w:rPr>
      </w:pPr>
      <w:r>
        <w:rPr>
          <w:rFonts w:hint="eastAsia" w:ascii="宋体" w:hAnsi="宋体" w:cs="宋体"/>
          <w:szCs w:val="21"/>
        </w:rPr>
        <w:t>（10）注意发现掌握群访信息，如发现有上访群众或不明身份人员在办公区门口聚集时，要迅速依据处置上访预案采取预警措施，通知相关部门到现场处理，对围观群众要及时进行疏导劝离。</w:t>
      </w:r>
    </w:p>
    <w:p w14:paraId="46AEAC56">
      <w:pPr>
        <w:spacing w:line="360" w:lineRule="auto"/>
        <w:rPr>
          <w:rFonts w:hint="eastAsia" w:ascii="宋体" w:hAnsi="宋体" w:cs="宋体"/>
          <w:szCs w:val="21"/>
        </w:rPr>
      </w:pPr>
      <w:r>
        <w:rPr>
          <w:rFonts w:hint="eastAsia" w:ascii="宋体" w:hAnsi="宋体" w:cs="宋体"/>
          <w:szCs w:val="21"/>
        </w:rPr>
        <w:t>（11）维护办公区门前的治安秩序，对不明身份人员要进行盘问，并通知警务室人员处理。办公区门前禁止任何车辆停放，对随意停放在大门前的车辆要劝说其尽快驶离，劝说无效的通知交警部门前来处理。</w:t>
      </w:r>
    </w:p>
    <w:p w14:paraId="36164B24">
      <w:pPr>
        <w:spacing w:line="360" w:lineRule="auto"/>
        <w:rPr>
          <w:rFonts w:hint="eastAsia" w:ascii="宋体" w:hAnsi="宋体" w:cs="宋体"/>
          <w:szCs w:val="21"/>
        </w:rPr>
      </w:pPr>
      <w:r>
        <w:rPr>
          <w:rFonts w:hint="eastAsia" w:ascii="宋体" w:hAnsi="宋体" w:cs="宋体"/>
          <w:szCs w:val="21"/>
        </w:rPr>
        <w:t>（12）严格执行交接班规程，认真履行交接手续。立岗队员交接要规范。交班队员应向接班队员交待当班情况及注意事项，接班队员要在详细记录交接班情况，并检查警卫室物品情况，发现物品缺少要及时询问清楚。</w:t>
      </w:r>
    </w:p>
    <w:p w14:paraId="104D6D23">
      <w:pPr>
        <w:spacing w:line="360" w:lineRule="auto"/>
        <w:rPr>
          <w:rFonts w:hint="eastAsia" w:ascii="宋体" w:hAnsi="宋体" w:cs="宋体"/>
          <w:szCs w:val="21"/>
        </w:rPr>
      </w:pPr>
      <w:r>
        <w:rPr>
          <w:rFonts w:hint="eastAsia" w:ascii="宋体" w:hAnsi="宋体" w:cs="宋体"/>
          <w:szCs w:val="21"/>
        </w:rPr>
        <w:t>（13）保持警卫室、卫生包干区卫生清洁，做到无蛛网、灰尘、烟头、纸屑、果皮等杂物，禁止抄近践踏草坪。</w:t>
      </w:r>
    </w:p>
    <w:p w14:paraId="05608F04">
      <w:pPr>
        <w:spacing w:line="360" w:lineRule="auto"/>
        <w:rPr>
          <w:rFonts w:hint="eastAsia" w:ascii="宋体" w:hAnsi="宋体" w:cs="宋体"/>
          <w:szCs w:val="21"/>
        </w:rPr>
      </w:pPr>
      <w:r>
        <w:rPr>
          <w:rFonts w:hint="eastAsia" w:ascii="宋体" w:hAnsi="宋体" w:cs="宋体"/>
          <w:szCs w:val="21"/>
        </w:rPr>
        <w:t>（14）警卫室内禁止无关人员进入，严禁吸烟、聊天、嬉笑打闹等现象发生。</w:t>
      </w:r>
    </w:p>
    <w:p w14:paraId="645B41E0">
      <w:pPr>
        <w:spacing w:line="360" w:lineRule="auto"/>
        <w:rPr>
          <w:rFonts w:hint="eastAsia" w:ascii="宋体" w:hAnsi="宋体" w:cs="宋体"/>
          <w:szCs w:val="21"/>
        </w:rPr>
      </w:pPr>
      <w:r>
        <w:rPr>
          <w:rFonts w:hint="eastAsia" w:ascii="宋体" w:hAnsi="宋体" w:cs="宋体"/>
          <w:szCs w:val="21"/>
        </w:rPr>
        <w:t>（15）配合公安机关维护社会治安，打击违法犯罪活动。</w:t>
      </w:r>
    </w:p>
    <w:p w14:paraId="1BFB1BC6">
      <w:pPr>
        <w:spacing w:line="360" w:lineRule="auto"/>
        <w:rPr>
          <w:rFonts w:hint="eastAsia" w:ascii="宋体" w:hAnsi="宋体" w:cs="宋体"/>
          <w:szCs w:val="21"/>
        </w:rPr>
      </w:pPr>
      <w:r>
        <w:rPr>
          <w:rFonts w:hint="eastAsia" w:ascii="宋体" w:hAnsi="宋体" w:cs="宋体"/>
          <w:szCs w:val="21"/>
        </w:rPr>
        <w:t>5、一条巷门岗岗位要求</w:t>
      </w:r>
    </w:p>
    <w:p w14:paraId="0B6535E7">
      <w:pPr>
        <w:spacing w:line="360" w:lineRule="auto"/>
        <w:rPr>
          <w:rFonts w:hint="eastAsia" w:ascii="宋体" w:hAnsi="宋体" w:cs="宋体"/>
          <w:szCs w:val="21"/>
        </w:rPr>
      </w:pPr>
      <w:r>
        <w:rPr>
          <w:rFonts w:hint="eastAsia" w:ascii="宋体" w:hAnsi="宋体" w:cs="宋体"/>
          <w:szCs w:val="21"/>
        </w:rPr>
        <w:t>（1）配备保安员3人，实行12小时值班制，每日7时至19时，每班1人，坐岗，07:00-19:00，周日（调休除外）及春节、五一、国庆假期全天关闭。</w:t>
      </w:r>
    </w:p>
    <w:p w14:paraId="44D19085">
      <w:pPr>
        <w:spacing w:line="360" w:lineRule="auto"/>
        <w:rPr>
          <w:rFonts w:hint="eastAsia" w:ascii="宋体" w:hAnsi="宋体" w:cs="宋体"/>
          <w:szCs w:val="21"/>
        </w:rPr>
      </w:pPr>
      <w:r>
        <w:rPr>
          <w:rFonts w:hint="eastAsia" w:ascii="宋体" w:hAnsi="宋体" w:cs="宋体"/>
          <w:szCs w:val="21"/>
        </w:rPr>
        <w:t>（2）队员值勤时着统一的保安制服，举止端正，警容严整，立岗队员戴白色手套，携带对讲机时需佩带耳机。</w:t>
      </w:r>
    </w:p>
    <w:p w14:paraId="36A22199">
      <w:pPr>
        <w:spacing w:line="360" w:lineRule="auto"/>
        <w:rPr>
          <w:rFonts w:hint="eastAsia" w:ascii="宋体" w:hAnsi="宋体" w:cs="宋体"/>
          <w:szCs w:val="21"/>
        </w:rPr>
      </w:pPr>
      <w:r>
        <w:rPr>
          <w:rFonts w:hint="eastAsia" w:ascii="宋体" w:hAnsi="宋体" w:cs="宋体"/>
          <w:szCs w:val="21"/>
        </w:rPr>
        <w:t>（3）维护出入办公区安全通畅的交通秩序。对出入办公区的车辆必须查验车辆通行证，禁止无证车辆通过后门进入办公区。</w:t>
      </w:r>
    </w:p>
    <w:p w14:paraId="04EFB7E9">
      <w:pPr>
        <w:spacing w:line="360" w:lineRule="auto"/>
        <w:rPr>
          <w:rFonts w:hint="eastAsia" w:ascii="宋体" w:hAnsi="宋体" w:cs="宋体"/>
          <w:szCs w:val="21"/>
        </w:rPr>
      </w:pPr>
      <w:r>
        <w:rPr>
          <w:rFonts w:hint="eastAsia" w:ascii="宋体" w:hAnsi="宋体" w:cs="宋体"/>
          <w:szCs w:val="21"/>
        </w:rPr>
        <w:t>（4）严格执行来人来访询问、报告、登记制度，认真填写《来访人员登记表》，禁止无关人员擅自进入办公区。</w:t>
      </w:r>
    </w:p>
    <w:p w14:paraId="7B6F2A80">
      <w:pPr>
        <w:spacing w:line="360" w:lineRule="auto"/>
        <w:rPr>
          <w:rFonts w:hint="eastAsia" w:ascii="宋体" w:hAnsi="宋体" w:cs="宋体"/>
          <w:szCs w:val="21"/>
        </w:rPr>
      </w:pPr>
      <w:r>
        <w:rPr>
          <w:rFonts w:hint="eastAsia" w:ascii="宋体" w:hAnsi="宋体" w:cs="宋体"/>
          <w:szCs w:val="21"/>
        </w:rPr>
        <w:t>（5）加强机关物资管理，物资出门需经行政主管部门或权属部门批准，经检验确认无误后方可放行。未经许可，收废旧报纸或拾荒人员进入办公区。</w:t>
      </w:r>
    </w:p>
    <w:p w14:paraId="72BE6DED">
      <w:pPr>
        <w:spacing w:line="360" w:lineRule="auto"/>
        <w:rPr>
          <w:rFonts w:hint="eastAsia" w:ascii="宋体" w:hAnsi="宋体" w:cs="宋体"/>
          <w:szCs w:val="21"/>
        </w:rPr>
      </w:pPr>
      <w:r>
        <w:rPr>
          <w:rFonts w:hint="eastAsia" w:ascii="宋体" w:hAnsi="宋体" w:cs="宋体"/>
          <w:szCs w:val="21"/>
        </w:rPr>
        <w:t>（6）加强电动伸缩门管理、控制与维护，按规定进行有效控制。平时电动门保持半开启状态，遇领导车辆进出时要其时开启。</w:t>
      </w:r>
    </w:p>
    <w:p w14:paraId="0E8C2000">
      <w:pPr>
        <w:spacing w:line="360" w:lineRule="auto"/>
        <w:rPr>
          <w:rFonts w:hint="eastAsia" w:ascii="宋体" w:hAnsi="宋体" w:cs="宋体"/>
          <w:szCs w:val="21"/>
        </w:rPr>
      </w:pPr>
      <w:r>
        <w:rPr>
          <w:rFonts w:hint="eastAsia" w:ascii="宋体" w:hAnsi="宋体" w:cs="宋体"/>
          <w:szCs w:val="21"/>
        </w:rPr>
        <w:t>（7）注意发现掌握群访信息，如发现有上访群众或不明身份人员在办公区门口聚集时，要迅速依据处置上访预案采取预警措施，通知相关部门到现场处理，对围观群众要及时进行疏导劝离。</w:t>
      </w:r>
    </w:p>
    <w:p w14:paraId="30B46011">
      <w:pPr>
        <w:spacing w:line="360" w:lineRule="auto"/>
        <w:rPr>
          <w:rFonts w:hint="eastAsia" w:ascii="宋体" w:hAnsi="宋体" w:cs="宋体"/>
          <w:szCs w:val="21"/>
        </w:rPr>
      </w:pPr>
      <w:r>
        <w:rPr>
          <w:rFonts w:hint="eastAsia" w:ascii="宋体" w:hAnsi="宋体" w:cs="宋体"/>
          <w:szCs w:val="21"/>
        </w:rPr>
        <w:t>（8）维护门前的治安秩序，对不明身份人员要进行盘问，并通知警务室人员处理。门前禁止任何车辆停放，对随意停放的车辆要劝说其尽快驶离，劝说无效的通知交警部门前来处理。</w:t>
      </w:r>
    </w:p>
    <w:p w14:paraId="12D62B45">
      <w:pPr>
        <w:spacing w:line="360" w:lineRule="auto"/>
        <w:rPr>
          <w:rFonts w:hint="eastAsia" w:ascii="宋体" w:hAnsi="宋体" w:cs="宋体"/>
          <w:szCs w:val="21"/>
        </w:rPr>
      </w:pPr>
      <w:r>
        <w:rPr>
          <w:rFonts w:hint="eastAsia" w:ascii="宋体" w:hAnsi="宋体" w:cs="宋体"/>
          <w:szCs w:val="21"/>
        </w:rPr>
        <w:t>（9）严格执行保安交接班规程，认真履行交接手续。立岗队员交接要规范。交班队员应向接班队员交待当班情况及注意事项，接班队员要在详细记录交接班情况，并检查警卫室物品情况，发现物品缺少要及时询问清楚。</w:t>
      </w:r>
    </w:p>
    <w:p w14:paraId="3D46A74B">
      <w:pPr>
        <w:spacing w:line="360" w:lineRule="auto"/>
        <w:rPr>
          <w:rFonts w:hint="eastAsia" w:ascii="宋体" w:hAnsi="宋体" w:cs="宋体"/>
          <w:szCs w:val="21"/>
        </w:rPr>
      </w:pPr>
      <w:r>
        <w:rPr>
          <w:rFonts w:hint="eastAsia" w:ascii="宋体" w:hAnsi="宋体" w:cs="宋体"/>
          <w:szCs w:val="21"/>
        </w:rPr>
        <w:t>（10）保持警卫室、卫生包干区卫生清洁，做到无蛛网、灰尘、烟头、纸屑、果皮等杂物，禁止抄近践踏草坪。</w:t>
      </w:r>
    </w:p>
    <w:p w14:paraId="5A8CCF0C">
      <w:pPr>
        <w:spacing w:line="360" w:lineRule="auto"/>
        <w:rPr>
          <w:rFonts w:hint="eastAsia" w:ascii="宋体" w:hAnsi="宋体" w:cs="宋体"/>
          <w:szCs w:val="21"/>
        </w:rPr>
      </w:pPr>
      <w:r>
        <w:rPr>
          <w:rFonts w:hint="eastAsia" w:ascii="宋体" w:hAnsi="宋体" w:cs="宋体"/>
          <w:szCs w:val="21"/>
        </w:rPr>
        <w:t>（11）警卫室内禁止无关人员进入，严禁吸烟、聊天、嬉笑打闹等现象发生。</w:t>
      </w:r>
    </w:p>
    <w:p w14:paraId="66EFE14A">
      <w:pPr>
        <w:spacing w:line="360" w:lineRule="auto"/>
        <w:rPr>
          <w:rFonts w:hint="eastAsia" w:ascii="宋体" w:hAnsi="宋体" w:cs="宋体"/>
          <w:szCs w:val="21"/>
        </w:rPr>
      </w:pPr>
      <w:r>
        <w:rPr>
          <w:rFonts w:hint="eastAsia" w:ascii="宋体" w:hAnsi="宋体" w:cs="宋体"/>
          <w:szCs w:val="21"/>
        </w:rPr>
        <w:t>（12）配合公安机关维护社会治安，打击违法犯罪活动。</w:t>
      </w:r>
    </w:p>
    <w:p w14:paraId="1BA2BD3C">
      <w:pPr>
        <w:spacing w:line="360" w:lineRule="auto"/>
        <w:rPr>
          <w:rFonts w:hint="eastAsia" w:ascii="宋体" w:hAnsi="宋体" w:cs="宋体"/>
          <w:szCs w:val="21"/>
        </w:rPr>
      </w:pPr>
      <w:r>
        <w:rPr>
          <w:rFonts w:hint="eastAsia" w:ascii="宋体" w:hAnsi="宋体" w:cs="宋体"/>
          <w:szCs w:val="21"/>
        </w:rPr>
        <w:t>6、二条巷门岗岗位要求</w:t>
      </w:r>
    </w:p>
    <w:p w14:paraId="4D42691C">
      <w:pPr>
        <w:spacing w:line="360" w:lineRule="auto"/>
        <w:rPr>
          <w:rFonts w:hint="eastAsia" w:ascii="宋体" w:hAnsi="宋体" w:cs="宋体"/>
          <w:szCs w:val="21"/>
        </w:rPr>
      </w:pPr>
      <w:r>
        <w:rPr>
          <w:rFonts w:hint="eastAsia" w:ascii="宋体" w:hAnsi="宋体" w:cs="宋体"/>
          <w:szCs w:val="21"/>
          <w:highlight w:val="none"/>
        </w:rPr>
        <w:t>（1）配保安队员6人，每班2人，0</w:t>
      </w:r>
      <w:r>
        <w:rPr>
          <w:rFonts w:hint="eastAsia" w:ascii="宋体" w:hAnsi="宋体" w:cs="宋体"/>
          <w:szCs w:val="21"/>
          <w:highlight w:val="none"/>
          <w:lang w:eastAsia="zh-TW"/>
        </w:rPr>
        <w:t>6</w:t>
      </w:r>
      <w:r>
        <w:rPr>
          <w:rFonts w:hint="eastAsia" w:ascii="宋体" w:hAnsi="宋体" w:cs="宋体"/>
          <w:szCs w:val="21"/>
          <w:highlight w:val="none"/>
        </w:rPr>
        <w:t>:00-21:00值守，1人于</w:t>
      </w:r>
      <w:r>
        <w:rPr>
          <w:rFonts w:hint="eastAsia" w:ascii="宋体" w:hAnsi="宋体" w:cs="宋体"/>
          <w:szCs w:val="21"/>
        </w:rPr>
        <w:t>07:20-19:00立岗。</w:t>
      </w:r>
    </w:p>
    <w:p w14:paraId="07C72780">
      <w:pPr>
        <w:spacing w:line="360" w:lineRule="auto"/>
        <w:rPr>
          <w:rFonts w:hint="eastAsia" w:ascii="宋体" w:hAnsi="宋体" w:cs="宋体"/>
          <w:szCs w:val="21"/>
        </w:rPr>
      </w:pPr>
      <w:r>
        <w:rPr>
          <w:rFonts w:hint="eastAsia" w:ascii="宋体" w:hAnsi="宋体" w:cs="宋体"/>
          <w:szCs w:val="21"/>
        </w:rPr>
        <w:t>（2）队员值勤时着统一的保安制服，举止端正，警容严整，立岗队员戴白色手套，携带对讲机时需佩带耳机。</w:t>
      </w:r>
    </w:p>
    <w:p w14:paraId="7E43022F">
      <w:pPr>
        <w:spacing w:line="360" w:lineRule="auto"/>
        <w:rPr>
          <w:rFonts w:hint="eastAsia" w:ascii="宋体" w:hAnsi="宋体" w:cs="宋体"/>
          <w:szCs w:val="21"/>
        </w:rPr>
      </w:pPr>
      <w:r>
        <w:rPr>
          <w:rFonts w:hint="eastAsia" w:ascii="宋体" w:hAnsi="宋体" w:cs="宋体"/>
          <w:szCs w:val="21"/>
        </w:rPr>
        <w:t>（3）维护出入办公区安全通畅的交通秩序。对出入办公区的车辆必须查验车辆通行证，禁止无证车辆通过后门进入办公区。</w:t>
      </w:r>
    </w:p>
    <w:p w14:paraId="6BB7B71D">
      <w:pPr>
        <w:spacing w:line="360" w:lineRule="auto"/>
        <w:rPr>
          <w:rFonts w:hint="eastAsia" w:ascii="宋体" w:hAnsi="宋体" w:cs="宋体"/>
          <w:szCs w:val="21"/>
        </w:rPr>
      </w:pPr>
      <w:r>
        <w:rPr>
          <w:rFonts w:hint="eastAsia" w:ascii="宋体" w:hAnsi="宋体" w:cs="宋体"/>
          <w:szCs w:val="21"/>
        </w:rPr>
        <w:t>（4）严格执行来人来访询问、报告、登记制度，认真填写《来访人员登记表》，禁止无关人员擅自进入办公区。</w:t>
      </w:r>
    </w:p>
    <w:p w14:paraId="01F8BF10">
      <w:pPr>
        <w:spacing w:line="360" w:lineRule="auto"/>
        <w:rPr>
          <w:rFonts w:hint="eastAsia" w:ascii="宋体" w:hAnsi="宋体" w:cs="宋体"/>
          <w:szCs w:val="21"/>
        </w:rPr>
      </w:pPr>
      <w:r>
        <w:rPr>
          <w:rFonts w:hint="eastAsia" w:ascii="宋体" w:hAnsi="宋体" w:cs="宋体"/>
          <w:szCs w:val="21"/>
        </w:rPr>
        <w:t>（5）加强机关物资管理，物资出门需经行政主管部门或权属部门批准，经检验确认无误后方可放行。未经许可，收废旧报纸或拾荒人员进入办公区。</w:t>
      </w:r>
    </w:p>
    <w:p w14:paraId="3EC66F1A">
      <w:pPr>
        <w:spacing w:line="360" w:lineRule="auto"/>
        <w:rPr>
          <w:rFonts w:hint="eastAsia" w:ascii="宋体" w:hAnsi="宋体" w:cs="宋体"/>
          <w:szCs w:val="21"/>
        </w:rPr>
      </w:pPr>
      <w:r>
        <w:rPr>
          <w:rFonts w:hint="eastAsia" w:ascii="宋体" w:hAnsi="宋体" w:cs="宋体"/>
          <w:szCs w:val="21"/>
        </w:rPr>
        <w:t>（6）加强电动伸缩门管理、控制与维护，按规定进行有效控制。平时电动门保持半开启状态，遇领导车辆进出时要其时开启。</w:t>
      </w:r>
    </w:p>
    <w:p w14:paraId="5DA10B51">
      <w:pPr>
        <w:spacing w:line="360" w:lineRule="auto"/>
        <w:rPr>
          <w:rFonts w:hint="eastAsia" w:ascii="宋体" w:hAnsi="宋体" w:cs="宋体"/>
          <w:szCs w:val="21"/>
        </w:rPr>
      </w:pPr>
      <w:r>
        <w:rPr>
          <w:rFonts w:hint="eastAsia" w:ascii="宋体" w:hAnsi="宋体" w:cs="宋体"/>
          <w:szCs w:val="21"/>
        </w:rPr>
        <w:t>（7）注意发现掌握群访信息，如发现有上访群众或不明身份人员在办公区门口聚集时，要迅速依据处置上访预案采取预警措施，通知相关部门到现场处理，对围观群众要及时进行疏导劝离。</w:t>
      </w:r>
    </w:p>
    <w:p w14:paraId="063C0F3A">
      <w:pPr>
        <w:spacing w:line="360" w:lineRule="auto"/>
        <w:rPr>
          <w:rFonts w:hint="eastAsia" w:ascii="宋体" w:hAnsi="宋体" w:cs="宋体"/>
          <w:szCs w:val="21"/>
        </w:rPr>
      </w:pPr>
      <w:r>
        <w:rPr>
          <w:rFonts w:hint="eastAsia" w:ascii="宋体" w:hAnsi="宋体" w:cs="宋体"/>
          <w:szCs w:val="21"/>
        </w:rPr>
        <w:t>（8）维护门前的治安秩序，对不明身份人员要进行盘问，并通知警务室人员处理。门前禁止任何车辆停放，对随意停放的车辆要劝说其尽快驶离，劝说无效的通知交警部门前来处理。</w:t>
      </w:r>
    </w:p>
    <w:p w14:paraId="4920CDA8">
      <w:pPr>
        <w:spacing w:line="360" w:lineRule="auto"/>
        <w:rPr>
          <w:rFonts w:hint="eastAsia" w:ascii="宋体" w:hAnsi="宋体" w:cs="宋体"/>
          <w:szCs w:val="21"/>
        </w:rPr>
      </w:pPr>
      <w:r>
        <w:rPr>
          <w:rFonts w:hint="eastAsia" w:ascii="宋体" w:hAnsi="宋体" w:cs="宋体"/>
          <w:szCs w:val="21"/>
        </w:rPr>
        <w:t>（9）严格执行保安交接班规程，认真履行交接手续。立岗队员交接要规范。交班队员应向接班队员交待当班情况及注意事项，接班队员要在详细记录交接班情况，并检查警卫室物品情况，发现物品缺少要及时询问清楚。</w:t>
      </w:r>
    </w:p>
    <w:p w14:paraId="0A7E789B">
      <w:pPr>
        <w:spacing w:line="360" w:lineRule="auto"/>
        <w:rPr>
          <w:rFonts w:hint="eastAsia" w:ascii="宋体" w:hAnsi="宋体" w:cs="宋体"/>
          <w:szCs w:val="21"/>
        </w:rPr>
      </w:pPr>
      <w:r>
        <w:rPr>
          <w:rFonts w:hint="eastAsia" w:ascii="宋体" w:hAnsi="宋体" w:cs="宋体"/>
          <w:szCs w:val="21"/>
        </w:rPr>
        <w:t>（10）保持警卫室、卫生包干区卫生清洁，做到无蛛网、灰尘、烟头、纸屑、果皮等杂物，禁止抄近践踏草坪。</w:t>
      </w:r>
    </w:p>
    <w:p w14:paraId="30E58C3B">
      <w:pPr>
        <w:spacing w:line="360" w:lineRule="auto"/>
        <w:rPr>
          <w:rFonts w:hint="eastAsia" w:ascii="宋体" w:hAnsi="宋体" w:cs="宋体"/>
          <w:szCs w:val="21"/>
        </w:rPr>
      </w:pPr>
      <w:r>
        <w:rPr>
          <w:rFonts w:hint="eastAsia" w:ascii="宋体" w:hAnsi="宋体" w:cs="宋体"/>
          <w:szCs w:val="21"/>
        </w:rPr>
        <w:t>（11）警卫室内禁止无关人员进入，严禁吸烟、聊天、嬉笑打闹等现象发生。</w:t>
      </w:r>
    </w:p>
    <w:p w14:paraId="71417691">
      <w:pPr>
        <w:spacing w:line="360" w:lineRule="auto"/>
        <w:rPr>
          <w:rFonts w:hint="eastAsia" w:ascii="宋体" w:hAnsi="宋体" w:cs="宋体"/>
          <w:szCs w:val="21"/>
        </w:rPr>
      </w:pPr>
      <w:r>
        <w:rPr>
          <w:rFonts w:hint="eastAsia" w:ascii="宋体" w:hAnsi="宋体" w:cs="宋体"/>
          <w:szCs w:val="21"/>
        </w:rPr>
        <w:t>（12）配合公安机关维护社会治安，打击违法犯罪活动。</w:t>
      </w:r>
    </w:p>
    <w:p w14:paraId="776E8F49">
      <w:pPr>
        <w:spacing w:line="360" w:lineRule="auto"/>
        <w:rPr>
          <w:rFonts w:hint="eastAsia" w:ascii="宋体" w:hAnsi="宋体" w:cs="宋体"/>
          <w:szCs w:val="21"/>
        </w:rPr>
      </w:pPr>
      <w:r>
        <w:rPr>
          <w:rFonts w:hint="eastAsia" w:ascii="宋体" w:hAnsi="宋体" w:cs="宋体"/>
          <w:szCs w:val="21"/>
        </w:rPr>
        <w:t>7、大厅岗岗位要求</w:t>
      </w:r>
    </w:p>
    <w:p w14:paraId="677BD209">
      <w:pPr>
        <w:spacing w:line="360" w:lineRule="auto"/>
        <w:rPr>
          <w:rFonts w:hint="eastAsia" w:ascii="宋体" w:hAnsi="宋体" w:cs="宋体"/>
          <w:szCs w:val="21"/>
        </w:rPr>
      </w:pPr>
      <w:r>
        <w:rPr>
          <w:rFonts w:hint="eastAsia" w:ascii="宋体" w:hAnsi="宋体" w:cs="宋体"/>
          <w:szCs w:val="21"/>
        </w:rPr>
        <w:t>（1）大厅岗配备4人，实行两班两运转，每班2人，12小时值守，1人于07:20-18:20立岗。</w:t>
      </w:r>
    </w:p>
    <w:p w14:paraId="1435A07A">
      <w:pPr>
        <w:spacing w:line="360" w:lineRule="auto"/>
        <w:rPr>
          <w:rFonts w:hint="eastAsia" w:ascii="宋体" w:hAnsi="宋体" w:cs="宋体"/>
          <w:szCs w:val="21"/>
        </w:rPr>
      </w:pPr>
      <w:r>
        <w:rPr>
          <w:rFonts w:hint="eastAsia" w:ascii="宋体" w:hAnsi="宋体" w:cs="宋体"/>
          <w:szCs w:val="21"/>
        </w:rPr>
        <w:t>（2）队员值勤时着统一的保安制服，举止端正，警容严整，立岗队员戴白色手套，携带对讲机时需佩带耳机。</w:t>
      </w:r>
    </w:p>
    <w:p w14:paraId="685A2FCD">
      <w:pPr>
        <w:spacing w:line="360" w:lineRule="auto"/>
        <w:rPr>
          <w:rFonts w:hint="eastAsia" w:ascii="宋体" w:hAnsi="宋体" w:cs="宋体"/>
          <w:szCs w:val="21"/>
        </w:rPr>
      </w:pPr>
      <w:r>
        <w:rPr>
          <w:rFonts w:hint="eastAsia" w:ascii="宋体" w:hAnsi="宋体" w:cs="宋体"/>
          <w:szCs w:val="21"/>
        </w:rPr>
        <w:t>（3）注意值勤礼仪。四套班子及上级领导、贵宾通过时，要主动敬礼。主要领导或贵宾离开时，要及时通报前、后门岗做好迎送准备。</w:t>
      </w:r>
    </w:p>
    <w:p w14:paraId="66E8B040">
      <w:pPr>
        <w:spacing w:line="360" w:lineRule="auto"/>
        <w:rPr>
          <w:rFonts w:hint="eastAsia" w:ascii="宋体" w:hAnsi="宋体" w:cs="宋体"/>
          <w:szCs w:val="21"/>
        </w:rPr>
      </w:pPr>
      <w:r>
        <w:rPr>
          <w:rFonts w:hint="eastAsia" w:ascii="宋体" w:hAnsi="宋体" w:cs="宋体"/>
          <w:szCs w:val="21"/>
        </w:rPr>
        <w:t>（4）认真做好来人来访接待工作。对进入大楼的人员要仔细询问其去向，并电话联系相关部门确认后，方可让其进入。保持高度警惕，禁止无关、可疑人员擅自进入办公楼。</w:t>
      </w:r>
    </w:p>
    <w:p w14:paraId="07BE6CDB">
      <w:pPr>
        <w:spacing w:line="360" w:lineRule="auto"/>
        <w:rPr>
          <w:rFonts w:hint="eastAsia" w:ascii="宋体" w:hAnsi="宋体" w:cs="宋体"/>
          <w:szCs w:val="21"/>
        </w:rPr>
      </w:pPr>
      <w:r>
        <w:rPr>
          <w:rFonts w:hint="eastAsia" w:ascii="宋体" w:hAnsi="宋体" w:cs="宋体"/>
          <w:szCs w:val="21"/>
        </w:rPr>
        <w:t>（5）负责维持大楼前广场秩序，无特殊情况禁止车辆在广场长时间停留。对在广场上打球、溜冰的群众要及时予以劝离。</w:t>
      </w:r>
    </w:p>
    <w:p w14:paraId="2F62CCB9">
      <w:pPr>
        <w:spacing w:line="360" w:lineRule="auto"/>
        <w:rPr>
          <w:rFonts w:hint="eastAsia" w:ascii="宋体" w:hAnsi="宋体" w:cs="宋体"/>
          <w:szCs w:val="21"/>
        </w:rPr>
      </w:pPr>
      <w:r>
        <w:rPr>
          <w:rFonts w:hint="eastAsia" w:ascii="宋体" w:hAnsi="宋体" w:cs="宋体"/>
          <w:szCs w:val="21"/>
        </w:rPr>
        <w:t>（6）负责大厅玻璃门、会议厅门、北楼西侧门、办公楼防火门、走廊照明灯的开闭。大厅玻璃门保持24小时打开，会议厅门在会议结束的情况下每日17时30分关闭，北楼西侧门每日21时00分关闭，北楼北门每日21时00分关闭。</w:t>
      </w:r>
    </w:p>
    <w:p w14:paraId="7C54B3C3">
      <w:pPr>
        <w:spacing w:line="360" w:lineRule="auto"/>
        <w:rPr>
          <w:rFonts w:hint="eastAsia" w:ascii="宋体" w:hAnsi="宋体" w:cs="宋体"/>
          <w:szCs w:val="21"/>
        </w:rPr>
      </w:pPr>
      <w:r>
        <w:rPr>
          <w:rFonts w:hint="eastAsia" w:ascii="宋体" w:hAnsi="宋体" w:cs="宋体"/>
          <w:szCs w:val="21"/>
        </w:rPr>
        <w:t>（7）注意掌握上访信息，及时关闭进入办公楼的各个通道，采取有力措施防止上访人员进入大楼。</w:t>
      </w:r>
    </w:p>
    <w:p w14:paraId="588148E2">
      <w:pPr>
        <w:spacing w:line="360" w:lineRule="auto"/>
        <w:rPr>
          <w:rFonts w:hint="eastAsia" w:ascii="宋体" w:hAnsi="宋体" w:cs="宋体"/>
          <w:szCs w:val="21"/>
        </w:rPr>
      </w:pPr>
      <w:r>
        <w:rPr>
          <w:rFonts w:hint="eastAsia" w:ascii="宋体" w:hAnsi="宋体" w:cs="宋体"/>
          <w:szCs w:val="21"/>
        </w:rPr>
        <w:t>（8）负责国旗日常升降与保管。在天气允许的情况下，每日7时00分升国旗，17时30分降国旗。</w:t>
      </w:r>
    </w:p>
    <w:p w14:paraId="72D5E87B">
      <w:pPr>
        <w:spacing w:line="360" w:lineRule="auto"/>
        <w:rPr>
          <w:rFonts w:hint="eastAsia" w:ascii="宋体" w:hAnsi="宋体" w:cs="宋体"/>
          <w:szCs w:val="21"/>
        </w:rPr>
      </w:pPr>
      <w:r>
        <w:rPr>
          <w:rFonts w:hint="eastAsia" w:ascii="宋体" w:hAnsi="宋体" w:cs="宋体"/>
          <w:szCs w:val="21"/>
        </w:rPr>
        <w:t>8、监控室岗位要求</w:t>
      </w:r>
    </w:p>
    <w:p w14:paraId="1344A37C">
      <w:pPr>
        <w:spacing w:line="360" w:lineRule="auto"/>
        <w:rPr>
          <w:rFonts w:hint="eastAsia" w:ascii="宋体" w:hAnsi="宋体" w:cs="宋体"/>
          <w:szCs w:val="21"/>
        </w:rPr>
      </w:pPr>
      <w:r>
        <w:rPr>
          <w:rFonts w:hint="eastAsia" w:ascii="宋体" w:hAnsi="宋体" w:cs="宋体"/>
          <w:szCs w:val="21"/>
        </w:rPr>
        <w:t>（1）监控室实行24小时值班制，配备保安队员6名，白班2人、夜班1人，24小时值守。</w:t>
      </w:r>
    </w:p>
    <w:p w14:paraId="4B4075A2">
      <w:pPr>
        <w:spacing w:line="360" w:lineRule="auto"/>
        <w:rPr>
          <w:rFonts w:hint="eastAsia" w:ascii="宋体" w:hAnsi="宋体" w:cs="宋体"/>
          <w:szCs w:val="21"/>
        </w:rPr>
      </w:pPr>
      <w:r>
        <w:rPr>
          <w:rFonts w:hint="eastAsia" w:ascii="宋体" w:hAnsi="宋体" w:cs="宋体"/>
          <w:szCs w:val="21"/>
        </w:rPr>
        <w:t>（2）负责监控办公区及办公楼内情况，及时有效掌握各区域动态。</w:t>
      </w:r>
    </w:p>
    <w:p w14:paraId="02ED9A6D">
      <w:pPr>
        <w:spacing w:line="360" w:lineRule="auto"/>
        <w:rPr>
          <w:rFonts w:hint="eastAsia" w:ascii="宋体" w:hAnsi="宋体" w:cs="宋体"/>
          <w:szCs w:val="21"/>
        </w:rPr>
      </w:pPr>
      <w:r>
        <w:rPr>
          <w:rFonts w:hint="eastAsia" w:ascii="宋体" w:hAnsi="宋体" w:cs="宋体"/>
          <w:szCs w:val="21"/>
        </w:rPr>
        <w:t>（3）保持与其他各岗点互联互动，充分发挥监控中心指挥调度职能，当发现异常情况时，应立即通知有关岗位前去查看，同时向政府办相关部门汇报，密切注意监控情况。</w:t>
      </w:r>
    </w:p>
    <w:p w14:paraId="704A0184">
      <w:pPr>
        <w:spacing w:line="360" w:lineRule="auto"/>
        <w:rPr>
          <w:rFonts w:hint="eastAsia" w:ascii="宋体" w:hAnsi="宋体" w:cs="宋体"/>
          <w:szCs w:val="21"/>
        </w:rPr>
      </w:pPr>
      <w:r>
        <w:rPr>
          <w:rFonts w:hint="eastAsia" w:ascii="宋体" w:hAnsi="宋体" w:cs="宋体"/>
          <w:szCs w:val="21"/>
        </w:rPr>
        <w:t>（4）负责监控系统设备的清洁、操作、监控、记录和日常维护，严格执行监控操作程序，确保机器设备正常运行。当系统发生异常时，立即核对设备运行状态及参数，并通知维保部门，由专业技术人员进行检查处理，不得私自乱动。</w:t>
      </w:r>
    </w:p>
    <w:p w14:paraId="62290E74">
      <w:pPr>
        <w:spacing w:line="360" w:lineRule="auto"/>
        <w:rPr>
          <w:rFonts w:hint="eastAsia" w:ascii="宋体" w:hAnsi="宋体" w:cs="宋体"/>
          <w:szCs w:val="21"/>
        </w:rPr>
      </w:pPr>
      <w:r>
        <w:rPr>
          <w:rFonts w:hint="eastAsia" w:ascii="宋体" w:hAnsi="宋体" w:cs="宋体"/>
          <w:szCs w:val="21"/>
        </w:rPr>
        <w:t>（5）熟练掌握监控画面的切换、道闸启闭、大屏字幕及背景音乐播放、监控资料调放等操作规程。</w:t>
      </w:r>
    </w:p>
    <w:p w14:paraId="5C1C5F77">
      <w:pPr>
        <w:spacing w:line="360" w:lineRule="auto"/>
        <w:rPr>
          <w:rFonts w:hint="eastAsia" w:ascii="宋体" w:hAnsi="宋体" w:cs="宋体"/>
          <w:szCs w:val="21"/>
        </w:rPr>
      </w:pPr>
      <w:r>
        <w:rPr>
          <w:rFonts w:hint="eastAsia" w:ascii="宋体" w:hAnsi="宋体" w:cs="宋体"/>
          <w:szCs w:val="21"/>
        </w:rPr>
        <w:t>（6）熟练操作消防报警系统，及时处置各类报警。</w:t>
      </w:r>
    </w:p>
    <w:p w14:paraId="47874494">
      <w:pPr>
        <w:spacing w:line="360" w:lineRule="auto"/>
        <w:rPr>
          <w:rFonts w:hint="eastAsia" w:ascii="宋体" w:hAnsi="宋体" w:cs="宋体"/>
          <w:szCs w:val="21"/>
        </w:rPr>
      </w:pPr>
      <w:r>
        <w:rPr>
          <w:rFonts w:hint="eastAsia" w:ascii="宋体" w:hAnsi="宋体" w:cs="宋体"/>
          <w:szCs w:val="21"/>
        </w:rPr>
        <w:t>（7）及时向车管保安通报停车场车辆停放情况，便于车管保安引导车辆就近停放。</w:t>
      </w:r>
    </w:p>
    <w:p w14:paraId="2B5EAE45">
      <w:pPr>
        <w:spacing w:line="360" w:lineRule="auto"/>
        <w:rPr>
          <w:rFonts w:hint="eastAsia" w:ascii="宋体" w:hAnsi="宋体" w:cs="宋体"/>
          <w:szCs w:val="21"/>
        </w:rPr>
      </w:pPr>
      <w:r>
        <w:rPr>
          <w:rFonts w:hint="eastAsia" w:ascii="宋体" w:hAnsi="宋体" w:cs="宋体"/>
          <w:szCs w:val="21"/>
        </w:rPr>
        <w:t>（8）妥善保管领导房钥匙，做好领用签字和数量状态点验，认真填写《领导房钥匙领用登记表》，确保万无一失。对需要进入领导办公室进行绿化养护、卫生清洁等人员，须调派有关岗位抽人陪同。</w:t>
      </w:r>
    </w:p>
    <w:p w14:paraId="6A505200">
      <w:pPr>
        <w:spacing w:line="360" w:lineRule="auto"/>
        <w:rPr>
          <w:rFonts w:hint="eastAsia" w:ascii="宋体" w:hAnsi="宋体" w:cs="宋体"/>
          <w:szCs w:val="21"/>
        </w:rPr>
      </w:pPr>
      <w:r>
        <w:rPr>
          <w:rFonts w:hint="eastAsia" w:ascii="宋体" w:hAnsi="宋体" w:cs="宋体"/>
          <w:szCs w:val="21"/>
        </w:rPr>
        <w:t>（9）熟悉机关各部门联系电话，当临时接到其它部门事务通知时，要及时通知政府办行政科，并做好电话记录，内容包括通知接转时间、通知对象、通知内容、值班保安。</w:t>
      </w:r>
    </w:p>
    <w:p w14:paraId="2666A809">
      <w:pPr>
        <w:spacing w:line="360" w:lineRule="auto"/>
        <w:rPr>
          <w:rFonts w:hint="eastAsia" w:ascii="宋体" w:hAnsi="宋体" w:cs="宋体"/>
          <w:szCs w:val="21"/>
        </w:rPr>
      </w:pPr>
      <w:r>
        <w:rPr>
          <w:rFonts w:hint="eastAsia" w:ascii="宋体" w:hAnsi="宋体" w:cs="宋体"/>
          <w:szCs w:val="21"/>
        </w:rPr>
        <w:t>（10）严格执行交接班管理规程，完善交接手续，明确交接责任，保证监控管理的正常进行。认真做好值班记录，详细记载监控中心运行情况及异常情况的处置，其内容包括：异常点地址编号、发现时间、确认时间、故障情况及复核结论。</w:t>
      </w:r>
    </w:p>
    <w:p w14:paraId="4B493989">
      <w:pPr>
        <w:spacing w:line="360" w:lineRule="auto"/>
        <w:rPr>
          <w:rFonts w:hint="eastAsia" w:ascii="宋体" w:hAnsi="宋体" w:cs="宋体"/>
          <w:szCs w:val="21"/>
        </w:rPr>
      </w:pPr>
      <w:r>
        <w:rPr>
          <w:rFonts w:hint="eastAsia" w:ascii="宋体" w:hAnsi="宋体" w:cs="宋体"/>
          <w:szCs w:val="21"/>
        </w:rPr>
        <w:t>9、应急值班楼岗位要求</w:t>
      </w:r>
    </w:p>
    <w:p w14:paraId="5331158F">
      <w:pPr>
        <w:spacing w:line="360" w:lineRule="auto"/>
        <w:rPr>
          <w:rFonts w:hint="eastAsia" w:ascii="宋体" w:hAnsi="宋体" w:cs="宋体"/>
          <w:szCs w:val="21"/>
        </w:rPr>
      </w:pPr>
      <w:r>
        <w:rPr>
          <w:rFonts w:hint="eastAsia" w:ascii="宋体" w:hAnsi="宋体" w:cs="宋体"/>
          <w:szCs w:val="21"/>
        </w:rPr>
        <w:t>（1）配备4人，24小时值守，四班三运转，每班1人。值勤时着统一保安制服，举止端正，警容严整。当四套班子及上级机关领导、贵宾通过时应立正行注目礼。</w:t>
      </w:r>
    </w:p>
    <w:p w14:paraId="1D14F228">
      <w:pPr>
        <w:spacing w:line="360" w:lineRule="auto"/>
        <w:rPr>
          <w:rFonts w:hint="eastAsia" w:ascii="宋体" w:hAnsi="宋体" w:cs="宋体"/>
          <w:szCs w:val="21"/>
        </w:rPr>
      </w:pPr>
      <w:r>
        <w:rPr>
          <w:rFonts w:hint="eastAsia" w:ascii="宋体" w:hAnsi="宋体" w:cs="宋体"/>
          <w:szCs w:val="21"/>
        </w:rPr>
        <w:t>（2）负责楼道走廊照明灯的日常启闭工作。</w:t>
      </w:r>
    </w:p>
    <w:p w14:paraId="479AAEE4">
      <w:pPr>
        <w:spacing w:line="360" w:lineRule="auto"/>
        <w:rPr>
          <w:rFonts w:hint="eastAsia" w:ascii="宋体" w:hAnsi="宋体" w:cs="宋体"/>
          <w:szCs w:val="21"/>
        </w:rPr>
      </w:pPr>
      <w:r>
        <w:rPr>
          <w:rFonts w:hint="eastAsia" w:ascii="宋体" w:hAnsi="宋体" w:cs="宋体"/>
          <w:szCs w:val="21"/>
        </w:rPr>
        <w:t>（3）认真做好来人来访接待、联系工作，制止无关人员擅自进入楼内。</w:t>
      </w:r>
    </w:p>
    <w:p w14:paraId="143429D0">
      <w:pPr>
        <w:spacing w:line="360" w:lineRule="auto"/>
        <w:rPr>
          <w:rFonts w:hint="eastAsia" w:ascii="宋体" w:hAnsi="宋体" w:cs="宋体"/>
          <w:szCs w:val="21"/>
        </w:rPr>
      </w:pPr>
      <w:r>
        <w:rPr>
          <w:rFonts w:hint="eastAsia" w:ascii="宋体" w:hAnsi="宋体" w:cs="宋体"/>
          <w:szCs w:val="21"/>
        </w:rPr>
        <w:t>（4）维护楼前广场车辆停放秩序，制止无关车辆停放。</w:t>
      </w:r>
    </w:p>
    <w:p w14:paraId="3034C0E4">
      <w:pPr>
        <w:spacing w:line="360" w:lineRule="auto"/>
        <w:rPr>
          <w:rFonts w:hint="eastAsia" w:ascii="宋体" w:hAnsi="宋体" w:cs="宋体"/>
          <w:szCs w:val="21"/>
        </w:rPr>
      </w:pPr>
      <w:r>
        <w:rPr>
          <w:rFonts w:hint="eastAsia" w:ascii="宋体" w:hAnsi="宋体" w:cs="宋体"/>
          <w:szCs w:val="21"/>
        </w:rPr>
        <w:t>（5）加强玻璃门管理、控制与维护，按规定进行适时有效控制。</w:t>
      </w:r>
    </w:p>
    <w:p w14:paraId="72D8CABC">
      <w:pPr>
        <w:spacing w:line="360" w:lineRule="auto"/>
        <w:rPr>
          <w:rFonts w:hint="eastAsia" w:ascii="宋体" w:hAnsi="宋体" w:cs="宋体"/>
          <w:szCs w:val="21"/>
        </w:rPr>
      </w:pPr>
      <w:r>
        <w:rPr>
          <w:rFonts w:hint="eastAsia" w:ascii="宋体" w:hAnsi="宋体" w:cs="宋体"/>
          <w:szCs w:val="21"/>
        </w:rPr>
        <w:t>（6）严格执行《保安交接班规程》，认真履行交接手续，明确交接责任。</w:t>
      </w:r>
    </w:p>
    <w:p w14:paraId="01E67B52">
      <w:pPr>
        <w:spacing w:line="360" w:lineRule="auto"/>
        <w:rPr>
          <w:rFonts w:hint="eastAsia" w:ascii="宋体" w:hAnsi="宋体" w:cs="宋体"/>
          <w:szCs w:val="21"/>
        </w:rPr>
      </w:pPr>
      <w:r>
        <w:rPr>
          <w:rFonts w:hint="eastAsia" w:ascii="宋体" w:hAnsi="宋体" w:cs="宋体"/>
          <w:szCs w:val="21"/>
        </w:rPr>
        <w:t>（7）保持警卫室、卫生包干区卫生清洁、环境整洁、窗明几净。</w:t>
      </w:r>
    </w:p>
    <w:p w14:paraId="0215B75C">
      <w:pPr>
        <w:spacing w:line="360" w:lineRule="auto"/>
        <w:rPr>
          <w:rFonts w:hint="eastAsia" w:ascii="宋体" w:hAnsi="宋体" w:cs="宋体"/>
          <w:szCs w:val="21"/>
        </w:rPr>
      </w:pPr>
      <w:r>
        <w:rPr>
          <w:rFonts w:hint="eastAsia" w:ascii="宋体" w:hAnsi="宋体" w:cs="宋体"/>
          <w:szCs w:val="21"/>
        </w:rPr>
        <w:t>10、夜间巡逻岗岗位要求</w:t>
      </w:r>
    </w:p>
    <w:p w14:paraId="1627EB3D">
      <w:pPr>
        <w:spacing w:line="360" w:lineRule="auto"/>
        <w:rPr>
          <w:rFonts w:hint="eastAsia" w:ascii="宋体" w:hAnsi="宋体" w:cs="宋体"/>
          <w:szCs w:val="21"/>
        </w:rPr>
      </w:pPr>
      <w:r>
        <w:rPr>
          <w:rFonts w:hint="eastAsia" w:ascii="宋体" w:hAnsi="宋体" w:cs="宋体"/>
          <w:szCs w:val="21"/>
        </w:rPr>
        <w:t>（1）工作时间为每日19时至次日7时，配备保安3人，每班1人，19:00-次日07:00，步巡和车巡结合。</w:t>
      </w:r>
    </w:p>
    <w:p w14:paraId="14785115">
      <w:pPr>
        <w:spacing w:line="360" w:lineRule="auto"/>
        <w:rPr>
          <w:rFonts w:hint="eastAsia" w:ascii="宋体" w:hAnsi="宋体" w:cs="宋体"/>
          <w:szCs w:val="21"/>
        </w:rPr>
      </w:pPr>
      <w:r>
        <w:rPr>
          <w:rFonts w:hint="eastAsia" w:ascii="宋体" w:hAnsi="宋体" w:cs="宋体"/>
          <w:szCs w:val="21"/>
        </w:rPr>
        <w:t>（2）负责维护办公区内及政府办公楼内的安全，按照规定路线巡查17个巡更点，并使用电子巡更器记录。</w:t>
      </w:r>
    </w:p>
    <w:p w14:paraId="66CB613F">
      <w:pPr>
        <w:spacing w:line="360" w:lineRule="auto"/>
        <w:rPr>
          <w:rFonts w:hint="eastAsia" w:ascii="宋体" w:hAnsi="宋体" w:cs="宋体"/>
          <w:szCs w:val="21"/>
        </w:rPr>
      </w:pPr>
      <w:r>
        <w:rPr>
          <w:rFonts w:hint="eastAsia" w:ascii="宋体" w:hAnsi="宋体" w:cs="宋体"/>
          <w:szCs w:val="21"/>
        </w:rPr>
        <w:t>（3）夜班巡逻人员要注意检查政府办公楼内各办公室安全，提醒晚间加班人员离开时锁好门窗。负责检查各楼层消防安全，每晚22时关闭各楼层间的防火门。</w:t>
      </w:r>
    </w:p>
    <w:p w14:paraId="235E94A2">
      <w:pPr>
        <w:spacing w:line="360" w:lineRule="auto"/>
        <w:rPr>
          <w:rFonts w:hint="eastAsia" w:ascii="宋体" w:hAnsi="宋体" w:cs="宋体"/>
          <w:szCs w:val="21"/>
        </w:rPr>
      </w:pPr>
      <w:r>
        <w:rPr>
          <w:rFonts w:hint="eastAsia" w:ascii="宋体" w:hAnsi="宋体" w:cs="宋体"/>
          <w:szCs w:val="21"/>
        </w:rPr>
        <w:t>（4）巡逻人员要保持与监控室的互联互通，对进入办公区的可疑人员要详细盘查其去向；对进入办公楼内的不明身份人员要采取措施将其控制住，并及时报告队部和政府办有关部门。</w:t>
      </w:r>
    </w:p>
    <w:p w14:paraId="7E78DDF2">
      <w:pPr>
        <w:spacing w:line="360" w:lineRule="auto"/>
        <w:rPr>
          <w:rFonts w:hint="eastAsia" w:ascii="宋体" w:hAnsi="宋体" w:cs="宋体"/>
          <w:szCs w:val="21"/>
        </w:rPr>
      </w:pPr>
      <w:r>
        <w:rPr>
          <w:rFonts w:hint="eastAsia" w:ascii="宋体" w:hAnsi="宋体" w:cs="宋体"/>
          <w:szCs w:val="21"/>
        </w:rPr>
        <w:t>（5）巡逻人员要加强停车场巡逻，发现未锁好车门车窗的车辆要及时通知监控室联系车主前来处理，并做好详细记录。加强对地下车库巡查，防止无车位车辆驶入地下车库。</w:t>
      </w:r>
    </w:p>
    <w:p w14:paraId="7DE7779C">
      <w:pPr>
        <w:spacing w:line="360" w:lineRule="auto"/>
        <w:rPr>
          <w:rFonts w:hint="eastAsia" w:ascii="宋体" w:hAnsi="宋体" w:cs="宋体"/>
          <w:szCs w:val="21"/>
        </w:rPr>
      </w:pPr>
      <w:r>
        <w:rPr>
          <w:rFonts w:hint="eastAsia" w:ascii="宋体" w:hAnsi="宋体" w:cs="宋体"/>
          <w:szCs w:val="21"/>
        </w:rPr>
        <w:t>（6）巡逻人员要听从监控中心的统一调遣，遇办公区内发生聚众上访等突发事件时，迅速至现场支援。</w:t>
      </w:r>
    </w:p>
    <w:p w14:paraId="33E48EB0">
      <w:pPr>
        <w:spacing w:line="360" w:lineRule="auto"/>
        <w:rPr>
          <w:rFonts w:hint="eastAsia" w:ascii="宋体" w:hAnsi="宋体" w:cs="宋体"/>
          <w:szCs w:val="21"/>
        </w:rPr>
      </w:pPr>
      <w:r>
        <w:rPr>
          <w:rFonts w:hint="eastAsia" w:ascii="宋体" w:hAnsi="宋体" w:cs="宋体"/>
          <w:szCs w:val="21"/>
        </w:rPr>
        <w:t>（7）巡逻期间如捡拾到各类物品时，要做好登记，并上交至队部。</w:t>
      </w:r>
    </w:p>
    <w:p w14:paraId="6242C8E2">
      <w:pPr>
        <w:spacing w:line="360" w:lineRule="auto"/>
        <w:rPr>
          <w:rFonts w:hint="eastAsia" w:ascii="宋体" w:hAnsi="宋体" w:cs="宋体"/>
          <w:szCs w:val="21"/>
        </w:rPr>
      </w:pPr>
      <w:r>
        <w:rPr>
          <w:rFonts w:hint="eastAsia" w:ascii="宋体" w:hAnsi="宋体" w:cs="宋体"/>
          <w:szCs w:val="21"/>
        </w:rPr>
        <w:t>11、停车场岗岗位要求</w:t>
      </w:r>
    </w:p>
    <w:p w14:paraId="372162DD">
      <w:pPr>
        <w:spacing w:line="360" w:lineRule="auto"/>
        <w:rPr>
          <w:rFonts w:hint="eastAsia" w:ascii="宋体" w:hAnsi="宋体" w:cs="宋体"/>
          <w:szCs w:val="21"/>
        </w:rPr>
      </w:pPr>
      <w:r>
        <w:rPr>
          <w:rFonts w:hint="eastAsia" w:ascii="宋体" w:hAnsi="宋体" w:cs="宋体"/>
          <w:szCs w:val="21"/>
        </w:rPr>
        <w:t>（1）配备保安4人，</w:t>
      </w:r>
      <w:bookmarkStart w:id="169" w:name="OLE_LINK13"/>
      <w:r>
        <w:rPr>
          <w:rFonts w:hint="eastAsia" w:ascii="宋体" w:hAnsi="宋体" w:cs="宋体"/>
          <w:szCs w:val="21"/>
        </w:rPr>
        <w:t>每班2人</w:t>
      </w:r>
      <w:bookmarkEnd w:id="169"/>
      <w:r>
        <w:rPr>
          <w:rFonts w:hint="eastAsia" w:ascii="宋体" w:hAnsi="宋体" w:cs="宋体"/>
          <w:szCs w:val="21"/>
        </w:rPr>
        <w:t>。办公区内车辆停放以就近停车场停放为原则。大厅岗保安负责对办公楼平台的车辆停放进行管理。保持政府办公区内所有主干道和前、后门20米范围内，24小时无违停车辆（特定会议时间除外）。保安队员要有效指挥车辆驶至停车位内停放整齐，禁止非机动车辆停占机动车车位。</w:t>
      </w:r>
    </w:p>
    <w:p w14:paraId="16DA8D2F">
      <w:pPr>
        <w:spacing w:line="360" w:lineRule="auto"/>
        <w:rPr>
          <w:rFonts w:hint="eastAsia" w:ascii="宋体" w:hAnsi="宋体" w:cs="宋体"/>
          <w:szCs w:val="21"/>
        </w:rPr>
      </w:pPr>
      <w:r>
        <w:rPr>
          <w:rFonts w:hint="eastAsia" w:ascii="宋体" w:hAnsi="宋体" w:cs="宋体"/>
          <w:szCs w:val="21"/>
        </w:rPr>
        <w:t>（2）南、北楼地下车库仅供区领导及持有地下车库通行证的车辆停放，禁止无证车辆进入。值班保安队员要严格把关，迅速启闭道闸，加强车库内的巡查。发现有无关车辆驶入地下车库时，要及时通知车主将车移出；对不按车位停放的车辆，要及时通知车辆驾驶员将车按指定车位停好。严禁其它车辆占用区领导停车位。</w:t>
      </w:r>
    </w:p>
    <w:p w14:paraId="5966EFD5">
      <w:pPr>
        <w:spacing w:line="360" w:lineRule="auto"/>
        <w:rPr>
          <w:rFonts w:hint="eastAsia" w:ascii="宋体" w:hAnsi="宋体" w:cs="宋体"/>
          <w:szCs w:val="21"/>
        </w:rPr>
      </w:pPr>
      <w:r>
        <w:rPr>
          <w:rFonts w:hint="eastAsia" w:ascii="宋体" w:hAnsi="宋体" w:cs="宋体"/>
          <w:szCs w:val="21"/>
        </w:rPr>
        <w:t>（3）车辆驶入办公区后，车管保安要首先引导车辆至北楼后侧、东侧停车场停放，该两处停车场停满后再依次引导至政法委楼前停车场、大会堂北侧、西侧停车场。</w:t>
      </w:r>
    </w:p>
    <w:p w14:paraId="5D0B9B37">
      <w:pPr>
        <w:spacing w:line="360" w:lineRule="auto"/>
        <w:rPr>
          <w:rFonts w:hint="eastAsia" w:ascii="宋体" w:hAnsi="宋体" w:cs="宋体"/>
          <w:szCs w:val="21"/>
        </w:rPr>
      </w:pPr>
      <w:r>
        <w:rPr>
          <w:rFonts w:hint="eastAsia" w:ascii="宋体" w:hAnsi="宋体" w:cs="宋体"/>
          <w:szCs w:val="21"/>
        </w:rPr>
        <w:t>（4）会议期间，在各停车场均已停满的情况下，可依次引导车辆停放在平台前台阶南北两侧，景观池周围。上述地点停满后可再引导车辆沿主干道西侧停放，尔后视情引导车辆至办公楼前平台有序停放。平时不允许任何车辆在平台上长时间停留（不超过5分钟）。以上地方停满后，可引导车辆停在平台。大会等特殊期间，保安中队因充分利用现有条件，引导车辆有序停放。</w:t>
      </w:r>
    </w:p>
    <w:p w14:paraId="214E68D8">
      <w:pPr>
        <w:spacing w:line="360" w:lineRule="auto"/>
        <w:rPr>
          <w:rFonts w:hint="eastAsia" w:ascii="宋体" w:hAnsi="宋体" w:cs="宋体"/>
          <w:szCs w:val="21"/>
        </w:rPr>
      </w:pPr>
      <w:r>
        <w:rPr>
          <w:rFonts w:hint="eastAsia" w:ascii="宋体" w:hAnsi="宋体" w:cs="宋体"/>
          <w:szCs w:val="21"/>
        </w:rPr>
        <w:t>（5）车管保安应轮换不间断巡检停车场。发现随意停放或不按规定停放的车辆应做好记录并通知车主到场处理；对未关好车门、车窗或车内存有贵重物品等车辆要及时联系车主，告之其情况并详细做好记录，暂时联系不到车主的，应做好车辆安全管理措施，通知监控室重点注意。</w:t>
      </w:r>
    </w:p>
    <w:p w14:paraId="5818F478">
      <w:pPr>
        <w:spacing w:line="360" w:lineRule="auto"/>
        <w:rPr>
          <w:rFonts w:hint="eastAsia" w:ascii="宋体" w:hAnsi="宋体" w:cs="宋体"/>
          <w:szCs w:val="21"/>
        </w:rPr>
      </w:pPr>
      <w:r>
        <w:rPr>
          <w:rFonts w:hint="eastAsia" w:ascii="宋体" w:hAnsi="宋体" w:cs="宋体"/>
          <w:szCs w:val="21"/>
        </w:rPr>
        <w:t>（6）车管保安要注意引导摩托车、电动车、自行车等非机动车辆停放在两个指定车棚，摆放整齐。车管保安要定时对两个车棚摆放情况进行巡查，对未上锁的车辆要注意采取保管措施，将未停放好的车辆摆放整齐。对长期停放在车棚内的无主车辆，可将其堆放在指定位置。</w:t>
      </w:r>
    </w:p>
    <w:p w14:paraId="50677CCE">
      <w:pPr>
        <w:spacing w:line="360" w:lineRule="auto"/>
        <w:rPr>
          <w:rFonts w:hint="eastAsia" w:ascii="宋体" w:hAnsi="宋体" w:cs="宋体"/>
          <w:szCs w:val="21"/>
        </w:rPr>
      </w:pPr>
      <w:r>
        <w:rPr>
          <w:rFonts w:hint="eastAsia" w:ascii="宋体" w:hAnsi="宋体" w:cs="宋体"/>
          <w:szCs w:val="21"/>
        </w:rPr>
        <w:t>（7）对接送领导的外出调研的车辆，仅允许其在使用前20分钟内驶入平台或平台下广场停放接人。对长时间停留的，保安队员要及时的予以劝离。</w:t>
      </w:r>
    </w:p>
    <w:p w14:paraId="2D2BC32E">
      <w:pPr>
        <w:spacing w:line="360" w:lineRule="auto"/>
        <w:rPr>
          <w:rFonts w:hint="eastAsia" w:ascii="宋体" w:hAnsi="宋体" w:cs="宋体"/>
          <w:szCs w:val="21"/>
        </w:rPr>
      </w:pPr>
      <w:r>
        <w:rPr>
          <w:rFonts w:hint="eastAsia" w:ascii="宋体" w:hAnsi="宋体" w:cs="宋体"/>
          <w:szCs w:val="21"/>
        </w:rPr>
        <w:t>（8）车管保安应严密注视办公区车辆行驶状况和驾驶员的举止行为，若发现有酒后驾车等情况要立即制止；如发现车主在办公区内修理车辆、加油应予以劝阻；禁止车主使用消防水源洗车，或在景观池周围洗车；劝阻无效者，要记下车牌向有关部门报告。</w:t>
      </w:r>
    </w:p>
    <w:p w14:paraId="02EB751C">
      <w:pPr>
        <w:spacing w:line="360" w:lineRule="auto"/>
        <w:rPr>
          <w:rFonts w:hint="eastAsia" w:ascii="宋体" w:hAnsi="宋体" w:cs="宋体"/>
          <w:szCs w:val="21"/>
        </w:rPr>
      </w:pPr>
      <w:r>
        <w:rPr>
          <w:rFonts w:hint="eastAsia" w:ascii="宋体" w:hAnsi="宋体" w:cs="宋体"/>
          <w:szCs w:val="21"/>
        </w:rPr>
        <w:t>（9）负责地下车库的车管保安接班前必须检查防火卷帘门、消防栓、灭火器等设施。发现问题或是安全隐患要及时报告，做好记录；每日上下岗前应清查车辆，确保主要区领导停车位不被其它车辆占用。</w:t>
      </w:r>
    </w:p>
    <w:p w14:paraId="1DF86BE5">
      <w:pPr>
        <w:spacing w:line="360" w:lineRule="auto"/>
        <w:rPr>
          <w:rFonts w:hint="eastAsia" w:ascii="宋体" w:hAnsi="宋体" w:cs="宋体"/>
          <w:szCs w:val="21"/>
        </w:rPr>
      </w:pPr>
      <w:r>
        <w:rPr>
          <w:rFonts w:hint="eastAsia" w:ascii="宋体" w:hAnsi="宋体" w:cs="宋体"/>
          <w:szCs w:val="21"/>
        </w:rPr>
        <w:t>12、招待所岗位要求</w:t>
      </w:r>
    </w:p>
    <w:p w14:paraId="5E4FF6ED">
      <w:pPr>
        <w:spacing w:line="360" w:lineRule="auto"/>
        <w:rPr>
          <w:rFonts w:hint="eastAsia" w:ascii="宋体" w:hAnsi="宋体" w:eastAsia="宋体" w:cs="宋体"/>
          <w:szCs w:val="21"/>
          <w:lang w:eastAsia="zh-CN"/>
        </w:rPr>
      </w:pPr>
      <w:r>
        <w:rPr>
          <w:rFonts w:hint="eastAsia" w:ascii="宋体" w:hAnsi="宋体" w:cs="宋体"/>
          <w:szCs w:val="21"/>
        </w:rPr>
        <w:t>配备保安4人，24小时值守，四班三运转，每班1人，招待所门卫保安服务</w:t>
      </w:r>
      <w:r>
        <w:rPr>
          <w:rFonts w:hint="eastAsia" w:ascii="宋体" w:hAnsi="宋体" w:cs="宋体"/>
          <w:szCs w:val="21"/>
          <w:lang w:eastAsia="zh-CN"/>
        </w:rPr>
        <w:t>。</w:t>
      </w:r>
    </w:p>
    <w:p w14:paraId="3CC0BE8F">
      <w:pPr>
        <w:widowControl/>
        <w:spacing w:line="360" w:lineRule="auto"/>
        <w:rPr>
          <w:rFonts w:hint="eastAsia" w:ascii="宋体" w:hAnsi="宋体" w:cs="宋体"/>
          <w:b/>
          <w:szCs w:val="21"/>
        </w:rPr>
      </w:pPr>
      <w:r>
        <w:rPr>
          <w:rFonts w:hint="eastAsia" w:cs="宋体"/>
          <w:b/>
          <w:szCs w:val="21"/>
        </w:rPr>
        <w:t>五</w:t>
      </w:r>
      <w:r>
        <w:rPr>
          <w:rFonts w:hint="eastAsia" w:ascii="宋体" w:hAnsi="宋体" w:cs="宋体"/>
          <w:b/>
          <w:szCs w:val="21"/>
        </w:rPr>
        <w:t>、服务要求</w:t>
      </w:r>
    </w:p>
    <w:p w14:paraId="495B5355">
      <w:pPr>
        <w:widowControl/>
        <w:spacing w:line="360" w:lineRule="auto"/>
        <w:rPr>
          <w:rFonts w:hint="eastAsia" w:ascii="宋体" w:hAnsi="宋体" w:cs="宋体"/>
          <w:szCs w:val="21"/>
        </w:rPr>
      </w:pPr>
      <w:r>
        <w:rPr>
          <w:rFonts w:hint="eastAsia" w:ascii="宋体" w:hAnsi="宋体" w:cs="宋体"/>
          <w:szCs w:val="21"/>
        </w:rPr>
        <w:t>1、成交供应商负责管理进程中的一切安全责任，其中包括万一发生的一切工伤事故及工作人员的作业或非作业性的人身安全等责任。</w:t>
      </w:r>
    </w:p>
    <w:p w14:paraId="4F98C67C">
      <w:pPr>
        <w:widowControl/>
        <w:spacing w:line="360" w:lineRule="auto"/>
        <w:rPr>
          <w:rFonts w:hint="eastAsia" w:ascii="宋体" w:hAnsi="宋体" w:cs="宋体"/>
          <w:szCs w:val="21"/>
        </w:rPr>
      </w:pPr>
      <w:r>
        <w:rPr>
          <w:rFonts w:hint="eastAsia" w:ascii="宋体" w:hAnsi="宋体" w:cs="宋体"/>
          <w:szCs w:val="21"/>
        </w:rPr>
        <w:t>2、成交供应商必须按时发工资，服务人员工资待遇不能低于当地政府的最低工资待遇标准 (社会保险和意外保险另算) ，任何劳资纠纷全由成交供应商负责。发生到区级以上（含）部门上访拖欠工资的，采购人有权解除合同，已产生的服务费用由供应商自行负责。</w:t>
      </w:r>
    </w:p>
    <w:p w14:paraId="33035E63">
      <w:pPr>
        <w:widowControl/>
        <w:spacing w:line="360" w:lineRule="auto"/>
        <w:rPr>
          <w:rFonts w:hint="eastAsia" w:ascii="宋体" w:hAnsi="宋体" w:cs="宋体"/>
          <w:szCs w:val="21"/>
        </w:rPr>
      </w:pPr>
      <w:r>
        <w:rPr>
          <w:rFonts w:hint="eastAsia" w:ascii="宋体" w:hAnsi="宋体" w:cs="宋体"/>
          <w:szCs w:val="21"/>
        </w:rPr>
        <w:t>3、成交供应商必须按法律、法规及有关政策规定为其服务人员购买社会保险、意外保险等相关保险。</w:t>
      </w:r>
    </w:p>
    <w:p w14:paraId="2348BF8D">
      <w:pPr>
        <w:widowControl/>
        <w:spacing w:line="360" w:lineRule="auto"/>
        <w:rPr>
          <w:rFonts w:hint="eastAsia" w:ascii="宋体" w:hAnsi="宋体" w:cs="宋体"/>
          <w:szCs w:val="21"/>
        </w:rPr>
      </w:pPr>
      <w:r>
        <w:rPr>
          <w:rFonts w:hint="eastAsia" w:ascii="宋体" w:hAnsi="宋体" w:cs="宋体"/>
          <w:szCs w:val="21"/>
        </w:rPr>
        <w:t>4、成交供应商必须执行国家劳动法的相关规定。</w:t>
      </w:r>
    </w:p>
    <w:p w14:paraId="38E957EB">
      <w:pPr>
        <w:widowControl/>
        <w:spacing w:line="360" w:lineRule="auto"/>
        <w:rPr>
          <w:rFonts w:hint="eastAsia" w:ascii="宋体" w:hAnsi="宋体" w:cs="宋体"/>
          <w:szCs w:val="21"/>
        </w:rPr>
      </w:pPr>
      <w:r>
        <w:rPr>
          <w:rFonts w:hint="eastAsia" w:ascii="宋体" w:hAnsi="宋体" w:cs="宋体"/>
          <w:szCs w:val="21"/>
        </w:rPr>
        <w:t>5、成交供应商必须落实好安全生产的措施和配置安全作业的劳保用品 。</w:t>
      </w:r>
    </w:p>
    <w:p w14:paraId="6ADEA816">
      <w:pPr>
        <w:widowControl/>
        <w:spacing w:line="360" w:lineRule="auto"/>
        <w:rPr>
          <w:rFonts w:hint="eastAsia" w:ascii="宋体" w:hAnsi="宋体" w:cs="宋体"/>
          <w:szCs w:val="21"/>
        </w:rPr>
      </w:pPr>
      <w:r>
        <w:rPr>
          <w:rFonts w:hint="eastAsia" w:ascii="宋体" w:hAnsi="宋体" w:cs="宋体"/>
          <w:szCs w:val="21"/>
        </w:rPr>
        <w:t>6、成交供应商的服务人员数量必须满足采购人的实际工作要求， 且穿着统一标识的工作服。</w:t>
      </w:r>
    </w:p>
    <w:p w14:paraId="7AE34C66">
      <w:pPr>
        <w:widowControl/>
        <w:spacing w:line="360" w:lineRule="auto"/>
        <w:rPr>
          <w:rFonts w:hint="eastAsia" w:ascii="宋体" w:hAnsi="宋体" w:cs="宋体"/>
          <w:szCs w:val="21"/>
        </w:rPr>
      </w:pPr>
      <w:r>
        <w:rPr>
          <w:rFonts w:hint="eastAsia" w:ascii="宋体" w:hAnsi="宋体" w:cs="宋体"/>
          <w:szCs w:val="21"/>
        </w:rPr>
        <w:t>7、双方的权利和义务</w:t>
      </w:r>
    </w:p>
    <w:p w14:paraId="7CF6E15B">
      <w:pPr>
        <w:widowControl/>
        <w:spacing w:line="360" w:lineRule="auto"/>
        <w:rPr>
          <w:rFonts w:hint="eastAsia" w:ascii="宋体" w:hAnsi="宋体" w:cs="宋体"/>
          <w:szCs w:val="21"/>
        </w:rPr>
      </w:pPr>
      <w:r>
        <w:rPr>
          <w:rFonts w:hint="eastAsia" w:ascii="宋体" w:hAnsi="宋体" w:cs="宋体"/>
          <w:szCs w:val="21"/>
        </w:rPr>
        <w:t>（1）采购人权利和义务</w:t>
      </w:r>
    </w:p>
    <w:p w14:paraId="26306D73">
      <w:pPr>
        <w:widowControl/>
        <w:spacing w:line="360" w:lineRule="auto"/>
        <w:rPr>
          <w:rFonts w:hint="eastAsia" w:ascii="宋体" w:hAnsi="宋体" w:cs="宋体"/>
          <w:szCs w:val="21"/>
        </w:rPr>
      </w:pPr>
      <w:r>
        <w:rPr>
          <w:rFonts w:hint="eastAsia" w:ascii="宋体" w:hAnsi="宋体" w:cs="宋体"/>
          <w:szCs w:val="21"/>
        </w:rPr>
        <w:t>对供应商安保服务工作等进行公开公正的检査考核，按照考核结果进行费用拨付。在供应商不能履行本合同相应责任、义务或未完成履行而造成严重后果时，采购人将书面通知成交供应商终止合同，并按相关法律、法规对成交供应商追究责任。</w:t>
      </w:r>
    </w:p>
    <w:p w14:paraId="2AE3A554">
      <w:pPr>
        <w:widowControl/>
        <w:spacing w:line="360" w:lineRule="auto"/>
        <w:rPr>
          <w:rFonts w:hint="eastAsia" w:ascii="宋体" w:hAnsi="宋体" w:cs="宋体"/>
          <w:szCs w:val="21"/>
        </w:rPr>
      </w:pPr>
      <w:r>
        <w:rPr>
          <w:rFonts w:hint="eastAsia" w:ascii="宋体" w:hAnsi="宋体" w:cs="宋体"/>
          <w:szCs w:val="21"/>
        </w:rPr>
        <w:t>（2）成交供应商的权利、责任和义务</w:t>
      </w:r>
    </w:p>
    <w:p w14:paraId="7A4A451A">
      <w:pPr>
        <w:widowControl/>
        <w:spacing w:line="360" w:lineRule="auto"/>
        <w:rPr>
          <w:rFonts w:hint="eastAsia" w:ascii="宋体" w:hAnsi="宋体" w:cs="宋体"/>
          <w:szCs w:val="21"/>
        </w:rPr>
      </w:pPr>
      <w:r>
        <w:rPr>
          <w:rFonts w:hint="eastAsia" w:ascii="宋体" w:hAnsi="宋体" w:cs="宋体"/>
          <w:szCs w:val="21"/>
        </w:rPr>
        <w:t>成交供应商不得将所承包范围内的安保服务进行转包，完成采购人交办的临时性工作。</w:t>
      </w:r>
    </w:p>
    <w:p w14:paraId="0E4A027D">
      <w:pPr>
        <w:widowControl/>
        <w:spacing w:line="360" w:lineRule="auto"/>
        <w:rPr>
          <w:rFonts w:hint="eastAsia" w:ascii="宋体" w:hAnsi="宋体" w:cs="宋体"/>
          <w:szCs w:val="21"/>
        </w:rPr>
      </w:pPr>
      <w:r>
        <w:rPr>
          <w:rFonts w:hint="eastAsia" w:ascii="宋体" w:hAnsi="宋体" w:cs="宋体"/>
          <w:szCs w:val="21"/>
        </w:rPr>
        <w:t>8、其他要求</w:t>
      </w:r>
    </w:p>
    <w:p w14:paraId="484E3B9E">
      <w:pPr>
        <w:widowControl/>
        <w:spacing w:line="360" w:lineRule="auto"/>
        <w:rPr>
          <w:rFonts w:hint="eastAsia" w:ascii="宋体" w:hAnsi="宋体" w:cs="宋体"/>
          <w:szCs w:val="21"/>
        </w:rPr>
      </w:pPr>
      <w:r>
        <w:rPr>
          <w:rFonts w:hint="eastAsia" w:ascii="宋体" w:hAnsi="宋体" w:cs="宋体"/>
          <w:szCs w:val="21"/>
        </w:rPr>
        <w:t>（1）成交供应商所用人员必须按照《中华人民共和国民法典》的规定执行，如遇到工资纠纷问题由成交供应商自行解决。</w:t>
      </w:r>
    </w:p>
    <w:p w14:paraId="7C51FDCD">
      <w:pPr>
        <w:widowControl/>
        <w:spacing w:line="360" w:lineRule="auto"/>
        <w:rPr>
          <w:rFonts w:hint="eastAsia" w:ascii="宋体" w:hAnsi="宋体" w:cs="宋体"/>
          <w:szCs w:val="21"/>
        </w:rPr>
      </w:pPr>
      <w:r>
        <w:rPr>
          <w:rFonts w:hint="eastAsia" w:ascii="宋体" w:hAnsi="宋体" w:cs="宋体"/>
          <w:szCs w:val="21"/>
        </w:rPr>
        <w:t>（2）本次采购不接受联合报价及分包、转包。</w:t>
      </w:r>
    </w:p>
    <w:p w14:paraId="7082A6C4">
      <w:pPr>
        <w:widowControl/>
        <w:spacing w:line="360" w:lineRule="auto"/>
        <w:rPr>
          <w:rFonts w:hint="eastAsia" w:ascii="宋体" w:hAnsi="宋体" w:cs="宋体"/>
          <w:szCs w:val="21"/>
        </w:rPr>
      </w:pPr>
      <w:r>
        <w:rPr>
          <w:rFonts w:hint="eastAsia" w:ascii="宋体" w:hAnsi="宋体" w:cs="宋体"/>
          <w:szCs w:val="21"/>
        </w:rPr>
        <w:t>（3）供应商应对照采购文件要求，说明所提供资料已对采购人的需求做出了实质性的响应，或申明与需求的偏差和例外。</w:t>
      </w:r>
    </w:p>
    <w:p w14:paraId="5F44B2CC">
      <w:pPr>
        <w:widowControl/>
        <w:spacing w:line="360" w:lineRule="auto"/>
        <w:rPr>
          <w:rFonts w:hint="eastAsia" w:ascii="宋体" w:hAnsi="宋体" w:cs="宋体"/>
          <w:szCs w:val="21"/>
        </w:rPr>
      </w:pPr>
      <w:r>
        <w:rPr>
          <w:rFonts w:hint="eastAsia" w:ascii="宋体" w:hAnsi="宋体" w:cs="宋体"/>
          <w:szCs w:val="21"/>
        </w:rPr>
        <w:t>9、报价说明</w:t>
      </w:r>
    </w:p>
    <w:p w14:paraId="698C3737">
      <w:pPr>
        <w:widowControl/>
        <w:spacing w:line="360" w:lineRule="auto"/>
        <w:rPr>
          <w:rFonts w:hint="eastAsia" w:ascii="宋体" w:hAnsi="宋体" w:cs="宋体"/>
          <w:szCs w:val="21"/>
        </w:rPr>
      </w:pPr>
      <w:r>
        <w:rPr>
          <w:rFonts w:hint="eastAsia" w:ascii="宋体" w:hAnsi="宋体" w:cs="宋体"/>
          <w:szCs w:val="21"/>
        </w:rPr>
        <w:t>供应商的投标报价，应是完成本次采购项目合同条款上的全部费用，报价应包含安保服务、专用工具、人员培训等发生的所有含税费用、支付给员工的工资和国家强制缴纳的各种社会保障资金等，供应商的任何错漏、优惠不得作为减轻责任、减少服务、增加收费、降低质量的理由。</w:t>
      </w:r>
    </w:p>
    <w:p w14:paraId="432F2387">
      <w:pPr>
        <w:widowControl/>
        <w:spacing w:line="360" w:lineRule="auto"/>
        <w:rPr>
          <w:rFonts w:hint="eastAsia" w:ascii="宋体" w:hAnsi="宋体" w:cs="宋体"/>
          <w:b/>
          <w:szCs w:val="21"/>
        </w:rPr>
      </w:pPr>
      <w:r>
        <w:rPr>
          <w:rFonts w:hint="eastAsia" w:cs="宋体"/>
          <w:b/>
          <w:szCs w:val="21"/>
        </w:rPr>
        <w:t>六</w:t>
      </w:r>
      <w:r>
        <w:rPr>
          <w:rFonts w:hint="eastAsia" w:ascii="宋体" w:hAnsi="宋体" w:cs="宋体"/>
          <w:b/>
          <w:szCs w:val="21"/>
        </w:rPr>
        <w:t>、付款条件</w:t>
      </w:r>
    </w:p>
    <w:p w14:paraId="0272D720">
      <w:pPr>
        <w:widowControl/>
        <w:spacing w:line="360" w:lineRule="auto"/>
        <w:rPr>
          <w:rFonts w:hint="eastAsia" w:ascii="宋体" w:hAnsi="宋体" w:cs="宋体"/>
          <w:szCs w:val="21"/>
        </w:rPr>
      </w:pPr>
      <w:r>
        <w:rPr>
          <w:rFonts w:hint="eastAsia" w:ascii="宋体" w:hAnsi="宋体" w:cs="宋体"/>
          <w:szCs w:val="21"/>
        </w:rPr>
        <w:t>1、由采购人每季度支付一次；</w:t>
      </w:r>
    </w:p>
    <w:p w14:paraId="0AB39B61">
      <w:pPr>
        <w:widowControl/>
        <w:spacing w:line="360" w:lineRule="auto"/>
        <w:rPr>
          <w:rFonts w:hint="eastAsia" w:ascii="宋体" w:hAnsi="宋体" w:cs="宋体"/>
          <w:szCs w:val="21"/>
        </w:rPr>
      </w:pPr>
      <w:r>
        <w:rPr>
          <w:rFonts w:hint="eastAsia" w:ascii="宋体" w:hAnsi="宋体" w:cs="宋体"/>
          <w:szCs w:val="21"/>
        </w:rPr>
        <w:t>2、采购人依据相关考核标准每月实施考核，并根据考核结果核定支付费用；</w:t>
      </w:r>
    </w:p>
    <w:p w14:paraId="275C86EC">
      <w:pPr>
        <w:widowControl/>
        <w:spacing w:line="360" w:lineRule="auto"/>
        <w:rPr>
          <w:rFonts w:hint="eastAsia" w:ascii="宋体" w:hAnsi="宋体" w:cs="宋体"/>
          <w:szCs w:val="21"/>
        </w:rPr>
      </w:pPr>
      <w:r>
        <w:rPr>
          <w:rFonts w:hint="eastAsia" w:ascii="宋体" w:hAnsi="宋体" w:cs="宋体"/>
          <w:szCs w:val="21"/>
        </w:rPr>
        <w:t>3、每次付款前，成交供应商须提供等额发票，否则采购人有权拒绝付款。</w:t>
      </w:r>
    </w:p>
    <w:p w14:paraId="23B0DC6D">
      <w:pPr>
        <w:widowControl/>
        <w:spacing w:line="360" w:lineRule="auto"/>
        <w:rPr>
          <w:rFonts w:hint="eastAsia" w:ascii="宋体" w:hAnsi="宋体" w:cs="宋体"/>
          <w:szCs w:val="21"/>
        </w:rPr>
      </w:pPr>
      <w:r>
        <w:rPr>
          <w:rFonts w:hint="eastAsia" w:ascii="宋体" w:hAnsi="宋体" w:cs="宋体"/>
          <w:szCs w:val="21"/>
        </w:rPr>
        <w:t>4、因财政审批导致的迟延支付，采购人不承担迟延支付的违约责任。</w:t>
      </w:r>
    </w:p>
    <w:p w14:paraId="5304FDE0">
      <w:pPr>
        <w:widowControl/>
        <w:spacing w:line="360" w:lineRule="auto"/>
        <w:rPr>
          <w:rFonts w:hint="eastAsia" w:ascii="宋体" w:hAnsi="宋体" w:cs="宋体"/>
          <w:b/>
          <w:bCs/>
          <w:szCs w:val="21"/>
        </w:rPr>
      </w:pPr>
      <w:r>
        <w:rPr>
          <w:rFonts w:hint="eastAsia" w:ascii="宋体" w:hAnsi="宋体" w:cs="宋体"/>
          <w:b/>
          <w:bCs/>
          <w:szCs w:val="21"/>
        </w:rPr>
        <w:t>七、考核</w:t>
      </w:r>
    </w:p>
    <w:p w14:paraId="018C6C62">
      <w:pPr>
        <w:widowControl/>
        <w:spacing w:line="360" w:lineRule="auto"/>
        <w:rPr>
          <w:rFonts w:hint="eastAsia" w:ascii="宋体" w:hAnsi="宋体" w:cs="宋体"/>
          <w:szCs w:val="21"/>
        </w:rPr>
      </w:pPr>
      <w:r>
        <w:rPr>
          <w:rFonts w:hint="eastAsia" w:ascii="宋体"/>
          <w:b/>
          <w:bCs/>
          <w:iCs/>
          <w:sz w:val="24"/>
        </w:rPr>
        <w:t>★</w:t>
      </w:r>
      <w:r>
        <w:rPr>
          <w:rFonts w:hint="eastAsia" w:ascii="宋体" w:hAnsi="宋体" w:cs="宋体"/>
          <w:szCs w:val="21"/>
        </w:rPr>
        <w:t>1、考核费用：本项目考核费用为32万元/年，为固定费用，不可竞争，投标人投标报价时将此费进行固定报价32万元/年。否则按无效标处理，由此造成后果投标人自行承担。中标后采购人按照考核方案对中标单位的服务进行考核，根据考核结果支付考核费用。</w:t>
      </w:r>
    </w:p>
    <w:p w14:paraId="032699E9">
      <w:pPr>
        <w:widowControl/>
        <w:spacing w:line="360" w:lineRule="auto"/>
        <w:rPr>
          <w:rFonts w:hint="eastAsia" w:ascii="宋体" w:hAnsi="宋体" w:cs="宋体"/>
          <w:szCs w:val="21"/>
        </w:rPr>
      </w:pPr>
      <w:r>
        <w:rPr>
          <w:rFonts w:hint="eastAsia" w:ascii="宋体" w:hAnsi="宋体" w:cs="宋体"/>
          <w:szCs w:val="21"/>
        </w:rPr>
        <w:t>2、考核方案，详见附件</w:t>
      </w:r>
    </w:p>
    <w:p w14:paraId="7AEB3CDC">
      <w:pPr>
        <w:widowControl/>
        <w:spacing w:line="360" w:lineRule="auto"/>
        <w:rPr>
          <w:rFonts w:hint="eastAsia" w:ascii="宋体" w:hAnsi="宋体" w:cs="宋体"/>
          <w:b/>
          <w:szCs w:val="21"/>
        </w:rPr>
      </w:pPr>
      <w:r>
        <w:rPr>
          <w:rFonts w:hint="eastAsia" w:ascii="宋体" w:hAnsi="宋体" w:cs="宋体"/>
          <w:b/>
          <w:szCs w:val="21"/>
        </w:rPr>
        <w:t>八、其他</w:t>
      </w:r>
    </w:p>
    <w:p w14:paraId="2D8AB89F">
      <w:pPr>
        <w:pStyle w:val="16"/>
        <w:spacing w:line="360" w:lineRule="auto"/>
        <w:rPr>
          <w:rFonts w:hint="eastAsia" w:ascii="宋体" w:hAnsi="宋体" w:cs="宋体"/>
          <w:b w:val="0"/>
          <w:bCs/>
          <w:szCs w:val="21"/>
        </w:rPr>
      </w:pPr>
      <w:r>
        <w:rPr>
          <w:rFonts w:hint="eastAsia" w:ascii="宋体" w:hAnsi="宋体" w:cs="宋体"/>
          <w:b w:val="0"/>
          <w:bCs/>
          <w:szCs w:val="21"/>
        </w:rPr>
        <w:t>1、本章所有内容均为实质性需求，如有负偏离作无效响应处理。</w:t>
      </w:r>
    </w:p>
    <w:p w14:paraId="3DD97E42">
      <w:pPr>
        <w:pStyle w:val="16"/>
        <w:spacing w:line="360" w:lineRule="auto"/>
        <w:rPr>
          <w:rFonts w:hint="eastAsia" w:ascii="宋体" w:hAnsi="宋体" w:cs="宋体"/>
          <w:b w:val="0"/>
          <w:bCs/>
          <w:szCs w:val="21"/>
        </w:rPr>
      </w:pPr>
      <w:r>
        <w:rPr>
          <w:rFonts w:hint="eastAsia" w:ascii="宋体" w:hAnsi="宋体" w:cs="宋体"/>
          <w:b w:val="0"/>
          <w:bCs/>
          <w:szCs w:val="21"/>
        </w:rPr>
        <w:t>2、如有问题请及时与采购人或代理机构联系。</w:t>
      </w:r>
    </w:p>
    <w:p w14:paraId="5BCD834A">
      <w:pPr>
        <w:rPr>
          <w:rFonts w:cs="宋体"/>
          <w:b/>
          <w:bCs/>
          <w:szCs w:val="21"/>
        </w:rPr>
      </w:pPr>
      <w:r>
        <w:rPr>
          <w:rFonts w:hint="eastAsia" w:cs="宋体"/>
          <w:b/>
          <w:bCs/>
          <w:szCs w:val="21"/>
        </w:rPr>
        <w:br w:type="page"/>
      </w:r>
    </w:p>
    <w:p w14:paraId="76329B80">
      <w:pPr>
        <w:overflowPunct w:val="0"/>
        <w:autoSpaceDE w:val="0"/>
        <w:adjustRightInd w:val="0"/>
        <w:spacing w:before="240" w:beforeLines="100" w:after="240" w:afterLines="100"/>
        <w:contextualSpacing/>
        <w:textAlignment w:val="center"/>
        <w:rPr>
          <w:rFonts w:hint="eastAsia" w:ascii="华文仿宋" w:hAnsi="华文仿宋" w:eastAsia="华文仿宋"/>
          <w:sz w:val="28"/>
          <w:szCs w:val="28"/>
        </w:rPr>
      </w:pPr>
      <w:r>
        <w:rPr>
          <w:rFonts w:hint="eastAsia" w:ascii="华文仿宋" w:hAnsi="华文仿宋" w:eastAsia="华文仿宋" w:cs="方正仿宋GBK"/>
          <w:sz w:val="32"/>
          <w:szCs w:val="32"/>
        </w:rPr>
        <w:t>附件：</w:t>
      </w:r>
    </w:p>
    <w:p w14:paraId="0A5CFE4F">
      <w:pPr>
        <w:jc w:val="center"/>
        <w:rPr>
          <w:rFonts w:ascii="华文仿宋" w:hAnsi="华文仿宋" w:eastAsia="华文仿宋"/>
          <w:sz w:val="44"/>
          <w:szCs w:val="44"/>
        </w:rPr>
      </w:pPr>
      <w:r>
        <w:rPr>
          <w:rFonts w:hint="eastAsia" w:ascii="华文仿宋" w:hAnsi="华文仿宋" w:eastAsia="华文仿宋"/>
          <w:sz w:val="44"/>
          <w:szCs w:val="44"/>
        </w:rPr>
        <w:t>浦口区文德路18号和文昌路12号办公区</w:t>
      </w:r>
    </w:p>
    <w:p w14:paraId="0E8473BD">
      <w:pPr>
        <w:jc w:val="center"/>
        <w:rPr>
          <w:rFonts w:hint="eastAsia" w:ascii="华文仿宋" w:hAnsi="华文仿宋" w:eastAsia="华文仿宋"/>
          <w:sz w:val="44"/>
          <w:szCs w:val="44"/>
        </w:rPr>
      </w:pPr>
      <w:r>
        <w:rPr>
          <w:rFonts w:hint="eastAsia" w:ascii="华文仿宋" w:hAnsi="华文仿宋" w:eastAsia="华文仿宋"/>
          <w:sz w:val="44"/>
          <w:szCs w:val="44"/>
        </w:rPr>
        <w:t>安保考核管理办法</w:t>
      </w:r>
    </w:p>
    <w:p w14:paraId="0A58E56B">
      <w:pPr>
        <w:jc w:val="center"/>
        <w:rPr>
          <w:rFonts w:hint="eastAsia" w:ascii="华文仿宋" w:hAnsi="华文仿宋" w:eastAsia="华文仿宋"/>
          <w:sz w:val="32"/>
          <w:szCs w:val="32"/>
        </w:rPr>
      </w:pPr>
      <w:r>
        <w:rPr>
          <w:rFonts w:ascii="华文仿宋" w:hAnsi="华文仿宋" w:eastAsia="华文仿宋"/>
          <w:sz w:val="32"/>
          <w:szCs w:val="32"/>
        </w:rPr>
        <w:t>（试行）</w:t>
      </w:r>
    </w:p>
    <w:p w14:paraId="0F65DF7D">
      <w:pPr>
        <w:spacing w:before="240" w:beforeLines="100"/>
        <w:jc w:val="center"/>
        <w:rPr>
          <w:rFonts w:hint="eastAsia" w:ascii="华文仿宋" w:hAnsi="华文仿宋" w:eastAsia="华文仿宋"/>
          <w:sz w:val="28"/>
          <w:szCs w:val="28"/>
        </w:rPr>
      </w:pPr>
      <w:r>
        <w:rPr>
          <w:rFonts w:hint="eastAsia" w:ascii="华文仿宋" w:hAnsi="华文仿宋" w:eastAsia="华文仿宋"/>
          <w:sz w:val="28"/>
          <w:szCs w:val="28"/>
        </w:rPr>
        <w:t>第一章  总  则</w:t>
      </w:r>
    </w:p>
    <w:p w14:paraId="523B78EE">
      <w:pPr>
        <w:ind w:firstLine="560" w:firstLineChars="200"/>
        <w:rPr>
          <w:rFonts w:hint="eastAsia" w:ascii="华文仿宋" w:hAnsi="华文仿宋" w:eastAsia="华文仿宋"/>
          <w:sz w:val="28"/>
          <w:szCs w:val="28"/>
        </w:rPr>
      </w:pPr>
      <w:r>
        <w:rPr>
          <w:rFonts w:ascii="华文仿宋" w:hAnsi="华文仿宋" w:eastAsia="华文仿宋"/>
          <w:sz w:val="28"/>
          <w:szCs w:val="28"/>
        </w:rPr>
        <w:t>第一条 为</w:t>
      </w:r>
      <w:r>
        <w:rPr>
          <w:rFonts w:hint="eastAsia" w:ascii="华文仿宋" w:hAnsi="华文仿宋" w:eastAsia="华文仿宋"/>
          <w:sz w:val="28"/>
          <w:szCs w:val="28"/>
        </w:rPr>
        <w:t>强化安保</w:t>
      </w:r>
      <w:r>
        <w:rPr>
          <w:rFonts w:ascii="华文仿宋" w:hAnsi="华文仿宋" w:eastAsia="华文仿宋"/>
          <w:sz w:val="28"/>
          <w:szCs w:val="28"/>
        </w:rPr>
        <w:t>队伍管理，保障</w:t>
      </w:r>
      <w:r>
        <w:rPr>
          <w:rFonts w:hint="eastAsia" w:ascii="华文仿宋" w:hAnsi="华文仿宋" w:eastAsia="华文仿宋"/>
          <w:sz w:val="28"/>
          <w:szCs w:val="28"/>
        </w:rPr>
        <w:t>浦口区文德路18号和文昌路12号办公区</w:t>
      </w:r>
      <w:r>
        <w:rPr>
          <w:rFonts w:ascii="华文仿宋" w:hAnsi="华文仿宋" w:eastAsia="华文仿宋"/>
          <w:sz w:val="28"/>
          <w:szCs w:val="28"/>
        </w:rPr>
        <w:t>的正常工作秩序，确保</w:t>
      </w:r>
      <w:r>
        <w:rPr>
          <w:rFonts w:hint="eastAsia" w:ascii="华文仿宋" w:hAnsi="华文仿宋" w:eastAsia="华文仿宋"/>
          <w:sz w:val="28"/>
          <w:szCs w:val="28"/>
        </w:rPr>
        <w:t>办公区</w:t>
      </w:r>
      <w:r>
        <w:rPr>
          <w:rFonts w:ascii="华文仿宋" w:hAnsi="华文仿宋" w:eastAsia="华文仿宋"/>
          <w:sz w:val="28"/>
          <w:szCs w:val="28"/>
        </w:rPr>
        <w:t>人员、财产、治安、消防安全，特制定本</w:t>
      </w:r>
      <w:r>
        <w:rPr>
          <w:rFonts w:hint="eastAsia" w:ascii="华文仿宋" w:hAnsi="华文仿宋" w:eastAsia="华文仿宋"/>
          <w:sz w:val="28"/>
          <w:szCs w:val="28"/>
        </w:rPr>
        <w:t>办法</w:t>
      </w:r>
      <w:r>
        <w:rPr>
          <w:rFonts w:ascii="华文仿宋" w:hAnsi="华文仿宋" w:eastAsia="华文仿宋"/>
          <w:sz w:val="28"/>
          <w:szCs w:val="28"/>
        </w:rPr>
        <w:t>。</w:t>
      </w:r>
    </w:p>
    <w:p w14:paraId="4E9B16FB">
      <w:pPr>
        <w:ind w:firstLine="560" w:firstLineChars="200"/>
        <w:rPr>
          <w:rFonts w:hint="eastAsia" w:ascii="华文仿宋" w:hAnsi="华文仿宋" w:eastAsia="华文仿宋"/>
          <w:sz w:val="28"/>
          <w:szCs w:val="28"/>
        </w:rPr>
      </w:pPr>
      <w:r>
        <w:rPr>
          <w:rFonts w:ascii="华文仿宋" w:hAnsi="华文仿宋" w:eastAsia="华文仿宋"/>
          <w:sz w:val="28"/>
          <w:szCs w:val="28"/>
        </w:rPr>
        <w:t>第二条 本办法所称安保管理，是指</w:t>
      </w:r>
      <w:r>
        <w:rPr>
          <w:rFonts w:hint="eastAsia" w:ascii="华文仿宋" w:hAnsi="华文仿宋" w:eastAsia="华文仿宋"/>
          <w:sz w:val="28"/>
          <w:szCs w:val="28"/>
        </w:rPr>
        <w:t>浦口区文德路18号和文昌路12号办公区</w:t>
      </w:r>
      <w:r>
        <w:rPr>
          <w:rFonts w:ascii="华文仿宋" w:hAnsi="华文仿宋" w:eastAsia="华文仿宋"/>
          <w:sz w:val="28"/>
          <w:szCs w:val="28"/>
        </w:rPr>
        <w:t>通</w:t>
      </w:r>
      <w:r>
        <w:rPr>
          <w:rFonts w:hint="eastAsia" w:ascii="华文仿宋" w:hAnsi="华文仿宋" w:eastAsia="华文仿宋"/>
          <w:sz w:val="28"/>
          <w:szCs w:val="28"/>
        </w:rPr>
        <w:t>过</w:t>
      </w:r>
      <w:r>
        <w:rPr>
          <w:rFonts w:ascii="华文仿宋" w:hAnsi="华文仿宋" w:eastAsia="华文仿宋"/>
          <w:sz w:val="28"/>
          <w:szCs w:val="28"/>
        </w:rPr>
        <w:t>选聘安保</w:t>
      </w:r>
      <w:r>
        <w:rPr>
          <w:rFonts w:hint="eastAsia" w:ascii="华文仿宋" w:hAnsi="华文仿宋" w:eastAsia="华文仿宋"/>
          <w:sz w:val="28"/>
          <w:szCs w:val="28"/>
        </w:rPr>
        <w:t>公司</w:t>
      </w:r>
      <w:r>
        <w:rPr>
          <w:rFonts w:ascii="华文仿宋" w:hAnsi="华文仿宋" w:eastAsia="华文仿宋"/>
          <w:sz w:val="28"/>
          <w:szCs w:val="28"/>
        </w:rPr>
        <w:t>，根据安保合同约定，结合管理区域的环境特点和要求，提供门岗服务、巡逻服务、车辆管理服务、安全监控服务、应急服务和其他服务的活动。</w:t>
      </w:r>
    </w:p>
    <w:p w14:paraId="2ECD70D4">
      <w:pPr>
        <w:ind w:firstLine="560" w:firstLineChars="200"/>
        <w:rPr>
          <w:rFonts w:hint="eastAsia" w:ascii="华文仿宋" w:hAnsi="华文仿宋" w:eastAsia="华文仿宋"/>
          <w:sz w:val="28"/>
          <w:szCs w:val="28"/>
        </w:rPr>
      </w:pPr>
      <w:r>
        <w:rPr>
          <w:rFonts w:ascii="华文仿宋" w:hAnsi="华文仿宋" w:eastAsia="华文仿宋"/>
          <w:sz w:val="28"/>
          <w:szCs w:val="28"/>
        </w:rPr>
        <w:t xml:space="preserve">第三条 </w:t>
      </w:r>
      <w:r>
        <w:rPr>
          <w:rFonts w:hint="eastAsia" w:ascii="华文仿宋" w:hAnsi="华文仿宋" w:eastAsia="华文仿宋"/>
          <w:sz w:val="28"/>
          <w:szCs w:val="28"/>
        </w:rPr>
        <w:t>强化对浦口区文德路18号和文昌路12号办公区安保管理工作的</w:t>
      </w:r>
      <w:r>
        <w:rPr>
          <w:rFonts w:ascii="华文仿宋" w:hAnsi="华文仿宋" w:eastAsia="华文仿宋"/>
          <w:sz w:val="28"/>
          <w:szCs w:val="28"/>
        </w:rPr>
        <w:t>领导，将安保管理工作纳入</w:t>
      </w:r>
      <w:r>
        <w:rPr>
          <w:rFonts w:hint="eastAsia" w:ascii="华文仿宋" w:hAnsi="华文仿宋" w:eastAsia="华文仿宋"/>
          <w:sz w:val="28"/>
          <w:szCs w:val="28"/>
        </w:rPr>
        <w:t>办公区</w:t>
      </w:r>
      <w:r>
        <w:rPr>
          <w:rFonts w:ascii="华文仿宋" w:hAnsi="华文仿宋" w:eastAsia="华文仿宋"/>
          <w:sz w:val="28"/>
          <w:szCs w:val="28"/>
        </w:rPr>
        <w:t>后勤管理工作体系；建立后勤管理综合协调和目标责任机制，协调各相关单位共同做好后勤管理工作。</w:t>
      </w:r>
    </w:p>
    <w:p w14:paraId="1A6E4019">
      <w:pPr>
        <w:ind w:firstLine="560" w:firstLineChars="200"/>
        <w:rPr>
          <w:rFonts w:hint="eastAsia" w:ascii="华文仿宋" w:hAnsi="华文仿宋" w:eastAsia="华文仿宋"/>
          <w:sz w:val="28"/>
          <w:szCs w:val="28"/>
        </w:rPr>
      </w:pPr>
      <w:r>
        <w:rPr>
          <w:rFonts w:ascii="华文仿宋" w:hAnsi="华文仿宋" w:eastAsia="华文仿宋"/>
          <w:sz w:val="28"/>
          <w:szCs w:val="28"/>
        </w:rPr>
        <w:t>第四条</w:t>
      </w:r>
      <w:r>
        <w:rPr>
          <w:rFonts w:hint="eastAsia" w:ascii="华文仿宋" w:hAnsi="华文仿宋" w:eastAsia="华文仿宋"/>
          <w:sz w:val="28"/>
          <w:szCs w:val="28"/>
        </w:rPr>
        <w:t xml:space="preserve"> 浦口区文德路18号和文昌路12号办公区</w:t>
      </w:r>
      <w:r>
        <w:rPr>
          <w:rFonts w:ascii="华文仿宋" w:hAnsi="华文仿宋" w:eastAsia="华文仿宋"/>
          <w:sz w:val="28"/>
          <w:szCs w:val="28"/>
        </w:rPr>
        <w:t>建立</w:t>
      </w:r>
      <w:r>
        <w:rPr>
          <w:rFonts w:hint="eastAsia" w:ascii="华文仿宋" w:hAnsi="华文仿宋" w:eastAsia="华文仿宋"/>
          <w:sz w:val="28"/>
          <w:szCs w:val="28"/>
        </w:rPr>
        <w:t>安保</w:t>
      </w:r>
      <w:r>
        <w:rPr>
          <w:rFonts w:ascii="华文仿宋" w:hAnsi="华文仿宋" w:eastAsia="华文仿宋"/>
          <w:sz w:val="28"/>
          <w:szCs w:val="28"/>
        </w:rPr>
        <w:t>服务评估制度。</w:t>
      </w:r>
      <w:r>
        <w:rPr>
          <w:rFonts w:hint="eastAsia" w:ascii="华文仿宋" w:hAnsi="华文仿宋" w:eastAsia="华文仿宋"/>
          <w:sz w:val="28"/>
          <w:szCs w:val="28"/>
        </w:rPr>
        <w:t>政府办行政科</w:t>
      </w:r>
      <w:r>
        <w:rPr>
          <w:rFonts w:ascii="华文仿宋" w:hAnsi="华文仿宋" w:eastAsia="华文仿宋"/>
          <w:sz w:val="28"/>
          <w:szCs w:val="28"/>
        </w:rPr>
        <w:t>对</w:t>
      </w:r>
      <w:r>
        <w:rPr>
          <w:rFonts w:hint="eastAsia" w:ascii="华文仿宋" w:hAnsi="华文仿宋" w:eastAsia="华文仿宋"/>
          <w:sz w:val="28"/>
          <w:szCs w:val="28"/>
        </w:rPr>
        <w:t>安保</w:t>
      </w:r>
      <w:r>
        <w:rPr>
          <w:rFonts w:ascii="华文仿宋" w:hAnsi="华文仿宋" w:eastAsia="华文仿宋"/>
          <w:sz w:val="28"/>
          <w:szCs w:val="28"/>
        </w:rPr>
        <w:t>服务进行考评、打分，对</w:t>
      </w:r>
      <w:r>
        <w:rPr>
          <w:rFonts w:hint="eastAsia" w:ascii="华文仿宋" w:hAnsi="华文仿宋" w:eastAsia="华文仿宋"/>
          <w:sz w:val="28"/>
          <w:szCs w:val="28"/>
        </w:rPr>
        <w:t>安保</w:t>
      </w:r>
      <w:r>
        <w:rPr>
          <w:rFonts w:ascii="华文仿宋" w:hAnsi="华文仿宋" w:eastAsia="华文仿宋"/>
          <w:sz w:val="28"/>
          <w:szCs w:val="28"/>
        </w:rPr>
        <w:t>服务质量进行年终评估并将结果作为合同续订的重要依据。</w:t>
      </w:r>
    </w:p>
    <w:p w14:paraId="129DB2B6">
      <w:pPr>
        <w:spacing w:before="240" w:beforeLines="100"/>
        <w:jc w:val="center"/>
        <w:rPr>
          <w:rFonts w:hint="eastAsia" w:ascii="华文仿宋" w:hAnsi="华文仿宋" w:eastAsia="华文仿宋"/>
          <w:sz w:val="28"/>
          <w:szCs w:val="28"/>
        </w:rPr>
      </w:pPr>
      <w:r>
        <w:rPr>
          <w:rFonts w:ascii="华文仿宋" w:hAnsi="华文仿宋" w:eastAsia="华文仿宋"/>
          <w:sz w:val="28"/>
          <w:szCs w:val="28"/>
        </w:rPr>
        <w:t>第二章  安保公司职责</w:t>
      </w:r>
    </w:p>
    <w:p w14:paraId="46DDA95D">
      <w:pPr>
        <w:ind w:firstLine="560" w:firstLineChars="200"/>
        <w:rPr>
          <w:rFonts w:hint="eastAsia" w:ascii="华文仿宋" w:hAnsi="华文仿宋" w:eastAsia="华文仿宋"/>
          <w:sz w:val="28"/>
          <w:szCs w:val="28"/>
        </w:rPr>
      </w:pPr>
      <w:r>
        <w:rPr>
          <w:rFonts w:ascii="华文仿宋" w:hAnsi="华文仿宋" w:eastAsia="华文仿宋"/>
          <w:sz w:val="28"/>
          <w:szCs w:val="28"/>
        </w:rPr>
        <w:t xml:space="preserve">第五条 </w:t>
      </w:r>
      <w:r>
        <w:rPr>
          <w:rFonts w:hint="eastAsia" w:ascii="华文仿宋" w:hAnsi="华文仿宋" w:eastAsia="华文仿宋"/>
          <w:sz w:val="28"/>
          <w:szCs w:val="28"/>
        </w:rPr>
        <w:t>浦口区文德路18号和文昌路12号办公区</w:t>
      </w:r>
      <w:r>
        <w:rPr>
          <w:rFonts w:ascii="华文仿宋" w:hAnsi="华文仿宋" w:eastAsia="华文仿宋"/>
          <w:sz w:val="28"/>
          <w:szCs w:val="28"/>
        </w:rPr>
        <w:t>安保公司工作职责以安保服务合同约定的事项为主，包括但不限于以下内容</w:t>
      </w:r>
      <w:r>
        <w:rPr>
          <w:rFonts w:hint="eastAsia" w:ascii="华文仿宋" w:hAnsi="华文仿宋" w:eastAsia="华文仿宋"/>
          <w:sz w:val="28"/>
          <w:szCs w:val="28"/>
        </w:rPr>
        <w:t>：</w:t>
      </w:r>
    </w:p>
    <w:p w14:paraId="40B725EF">
      <w:pPr>
        <w:ind w:firstLine="560" w:firstLineChars="200"/>
        <w:rPr>
          <w:rFonts w:hint="eastAsia" w:ascii="华文仿宋" w:hAnsi="华文仿宋" w:eastAsia="华文仿宋"/>
          <w:sz w:val="28"/>
          <w:szCs w:val="28"/>
        </w:rPr>
      </w:pPr>
      <w:r>
        <w:rPr>
          <w:rFonts w:ascii="华文仿宋" w:hAnsi="华文仿宋" w:eastAsia="华文仿宋"/>
          <w:sz w:val="28"/>
          <w:szCs w:val="28"/>
        </w:rPr>
        <w:t>院内门岗服务、巡逻服务、车辆管理服务、安全监控服务、</w:t>
      </w:r>
      <w:r>
        <w:rPr>
          <w:rFonts w:hint="eastAsia" w:ascii="华文仿宋" w:hAnsi="华文仿宋" w:eastAsia="华文仿宋"/>
          <w:sz w:val="28"/>
          <w:szCs w:val="28"/>
        </w:rPr>
        <w:t>安全防范服务、</w:t>
      </w:r>
      <w:r>
        <w:rPr>
          <w:rFonts w:ascii="华文仿宋" w:hAnsi="华文仿宋" w:eastAsia="华文仿宋"/>
          <w:sz w:val="28"/>
          <w:szCs w:val="28"/>
        </w:rPr>
        <w:t>应急服务和其他服务等职责。</w:t>
      </w:r>
    </w:p>
    <w:p w14:paraId="4D3710CC">
      <w:pPr>
        <w:ind w:firstLine="560" w:firstLineChars="200"/>
        <w:rPr>
          <w:rFonts w:hint="eastAsia" w:ascii="华文仿宋" w:hAnsi="华文仿宋" w:eastAsia="华文仿宋"/>
          <w:sz w:val="28"/>
          <w:szCs w:val="28"/>
        </w:rPr>
      </w:pPr>
      <w:r>
        <w:rPr>
          <w:rFonts w:ascii="华文仿宋" w:hAnsi="华文仿宋" w:eastAsia="华文仿宋"/>
          <w:sz w:val="28"/>
          <w:szCs w:val="28"/>
        </w:rPr>
        <w:t>第六条 安保公司应配合</w:t>
      </w:r>
      <w:r>
        <w:rPr>
          <w:rFonts w:hint="eastAsia" w:ascii="华文仿宋" w:hAnsi="华文仿宋" w:eastAsia="华文仿宋"/>
          <w:sz w:val="28"/>
          <w:szCs w:val="28"/>
        </w:rPr>
        <w:t>办公区</w:t>
      </w:r>
      <w:r>
        <w:rPr>
          <w:rFonts w:ascii="华文仿宋" w:hAnsi="华文仿宋" w:eastAsia="华文仿宋"/>
          <w:sz w:val="28"/>
          <w:szCs w:val="28"/>
        </w:rPr>
        <w:t>社会治理工作，提升安保公司在具体项目服务中实际管理水平；配合</w:t>
      </w:r>
      <w:r>
        <w:rPr>
          <w:rFonts w:hint="eastAsia" w:ascii="华文仿宋" w:hAnsi="华文仿宋" w:eastAsia="华文仿宋"/>
          <w:sz w:val="28"/>
          <w:szCs w:val="28"/>
        </w:rPr>
        <w:t>政府办行政科</w:t>
      </w:r>
      <w:r>
        <w:rPr>
          <w:rFonts w:ascii="华文仿宋" w:hAnsi="华文仿宋" w:eastAsia="华文仿宋"/>
          <w:sz w:val="28"/>
          <w:szCs w:val="28"/>
        </w:rPr>
        <w:t>及时完成交办的工作；及时发现和处置突发事件，</w:t>
      </w:r>
      <w:r>
        <w:rPr>
          <w:rFonts w:hint="eastAsia" w:ascii="华文仿宋" w:hAnsi="华文仿宋" w:eastAsia="华文仿宋"/>
          <w:sz w:val="28"/>
          <w:szCs w:val="28"/>
        </w:rPr>
        <w:t>及时</w:t>
      </w:r>
      <w:r>
        <w:rPr>
          <w:rFonts w:ascii="华文仿宋" w:hAnsi="华文仿宋" w:eastAsia="华文仿宋"/>
          <w:sz w:val="28"/>
          <w:szCs w:val="28"/>
        </w:rPr>
        <w:t>制止违法违规行为并上报相关部门。</w:t>
      </w:r>
    </w:p>
    <w:p w14:paraId="548C4D2E">
      <w:pPr>
        <w:ind w:firstLine="560" w:firstLineChars="200"/>
        <w:rPr>
          <w:rFonts w:hint="eastAsia" w:ascii="华文仿宋" w:hAnsi="华文仿宋" w:eastAsia="华文仿宋"/>
          <w:sz w:val="28"/>
          <w:szCs w:val="28"/>
        </w:rPr>
      </w:pPr>
      <w:r>
        <w:rPr>
          <w:rFonts w:ascii="华文仿宋" w:hAnsi="华文仿宋" w:eastAsia="华文仿宋"/>
          <w:sz w:val="28"/>
          <w:szCs w:val="28"/>
        </w:rPr>
        <w:t>第七条 安保公司应制定并实施安保管理服务工作计划，健全安保管理规章制度和安保管理档案资料，提高服务质量标准。</w:t>
      </w:r>
    </w:p>
    <w:p w14:paraId="2579CD35">
      <w:pPr>
        <w:ind w:firstLine="560" w:firstLineChars="200"/>
        <w:rPr>
          <w:rFonts w:hint="eastAsia" w:ascii="华文仿宋" w:hAnsi="华文仿宋" w:eastAsia="华文仿宋"/>
          <w:sz w:val="28"/>
          <w:szCs w:val="28"/>
        </w:rPr>
      </w:pPr>
      <w:r>
        <w:rPr>
          <w:rFonts w:ascii="华文仿宋" w:hAnsi="华文仿宋" w:eastAsia="华文仿宋"/>
          <w:sz w:val="28"/>
          <w:szCs w:val="28"/>
        </w:rPr>
        <w:t>第八条 安保公司应加强队伍管理，提高服务质量，内强素质、外树形象。门岗、</w:t>
      </w:r>
      <w:r>
        <w:rPr>
          <w:rFonts w:hint="eastAsia" w:ascii="华文仿宋" w:hAnsi="华文仿宋" w:eastAsia="华文仿宋"/>
          <w:sz w:val="28"/>
          <w:szCs w:val="28"/>
        </w:rPr>
        <w:t>院内</w:t>
      </w:r>
      <w:r>
        <w:rPr>
          <w:rFonts w:ascii="华文仿宋" w:hAnsi="华文仿宋" w:eastAsia="华文仿宋"/>
          <w:sz w:val="28"/>
          <w:szCs w:val="28"/>
        </w:rPr>
        <w:t>巡逻、停车管理、监控管理等工种应按照规定统一着装上岗，保持仪容</w:t>
      </w:r>
      <w:r>
        <w:rPr>
          <w:rFonts w:hint="eastAsia" w:ascii="华文仿宋" w:hAnsi="华文仿宋" w:eastAsia="华文仿宋"/>
          <w:sz w:val="28"/>
          <w:szCs w:val="28"/>
        </w:rPr>
        <w:t>仪</w:t>
      </w:r>
      <w:r>
        <w:rPr>
          <w:rFonts w:ascii="华文仿宋" w:hAnsi="华文仿宋" w:eastAsia="华文仿宋"/>
          <w:sz w:val="28"/>
          <w:szCs w:val="28"/>
        </w:rPr>
        <w:t>表端正、整洁，行为举止规范得体。</w:t>
      </w:r>
    </w:p>
    <w:p w14:paraId="4CC22885">
      <w:pPr>
        <w:spacing w:before="240" w:beforeLines="100"/>
        <w:jc w:val="center"/>
        <w:rPr>
          <w:rFonts w:hint="eastAsia" w:ascii="华文仿宋" w:hAnsi="华文仿宋" w:eastAsia="华文仿宋"/>
          <w:sz w:val="28"/>
          <w:szCs w:val="28"/>
        </w:rPr>
      </w:pPr>
      <w:r>
        <w:rPr>
          <w:rFonts w:ascii="华文仿宋" w:hAnsi="华文仿宋" w:eastAsia="华文仿宋"/>
          <w:sz w:val="28"/>
          <w:szCs w:val="28"/>
        </w:rPr>
        <w:t>第三章  考核评比</w:t>
      </w:r>
    </w:p>
    <w:p w14:paraId="4F994DFB">
      <w:pPr>
        <w:ind w:firstLine="560" w:firstLineChars="200"/>
        <w:rPr>
          <w:rFonts w:hint="eastAsia" w:ascii="华文仿宋" w:hAnsi="华文仿宋" w:eastAsia="华文仿宋"/>
          <w:sz w:val="28"/>
          <w:szCs w:val="28"/>
        </w:rPr>
      </w:pPr>
      <w:r>
        <w:rPr>
          <w:rFonts w:ascii="华文仿宋" w:hAnsi="华文仿宋" w:eastAsia="华文仿宋"/>
          <w:sz w:val="28"/>
          <w:szCs w:val="28"/>
        </w:rPr>
        <w:t xml:space="preserve">第九条 </w:t>
      </w:r>
      <w:r>
        <w:rPr>
          <w:rFonts w:hint="eastAsia" w:ascii="华文仿宋" w:hAnsi="华文仿宋" w:eastAsia="华文仿宋"/>
          <w:sz w:val="28"/>
          <w:szCs w:val="28"/>
        </w:rPr>
        <w:t>浦口区文德路18号和文昌路12号办公区</w:t>
      </w:r>
      <w:r>
        <w:rPr>
          <w:rFonts w:ascii="华文仿宋" w:hAnsi="华文仿宋" w:eastAsia="华文仿宋"/>
          <w:sz w:val="28"/>
          <w:szCs w:val="28"/>
        </w:rPr>
        <w:t>成立</w:t>
      </w:r>
      <w:r>
        <w:rPr>
          <w:rFonts w:hint="eastAsia" w:ascii="华文仿宋" w:hAnsi="华文仿宋" w:eastAsia="华文仿宋"/>
          <w:sz w:val="28"/>
          <w:szCs w:val="28"/>
        </w:rPr>
        <w:t>安保</w:t>
      </w:r>
      <w:r>
        <w:rPr>
          <w:rFonts w:ascii="华文仿宋" w:hAnsi="华文仿宋" w:eastAsia="华文仿宋"/>
          <w:sz w:val="28"/>
          <w:szCs w:val="28"/>
        </w:rPr>
        <w:t>考评领导小组，考评领导小组由</w:t>
      </w:r>
      <w:r>
        <w:rPr>
          <w:rFonts w:hint="eastAsia" w:ascii="华文仿宋" w:hAnsi="华文仿宋" w:eastAsia="华文仿宋"/>
          <w:sz w:val="28"/>
          <w:szCs w:val="28"/>
        </w:rPr>
        <w:t>办公区内各</w:t>
      </w:r>
      <w:r>
        <w:rPr>
          <w:rFonts w:ascii="华文仿宋" w:hAnsi="华文仿宋" w:eastAsia="华文仿宋"/>
          <w:sz w:val="28"/>
          <w:szCs w:val="28"/>
        </w:rPr>
        <w:t>单位代表组成。</w:t>
      </w:r>
    </w:p>
    <w:p w14:paraId="475183F4">
      <w:pPr>
        <w:ind w:firstLine="560" w:firstLineChars="200"/>
        <w:rPr>
          <w:rFonts w:hint="eastAsia" w:ascii="华文仿宋" w:hAnsi="华文仿宋" w:eastAsia="华文仿宋"/>
          <w:sz w:val="28"/>
          <w:szCs w:val="28"/>
        </w:rPr>
      </w:pPr>
      <w:r>
        <w:rPr>
          <w:rFonts w:ascii="华文仿宋" w:hAnsi="华文仿宋" w:eastAsia="华文仿宋"/>
          <w:sz w:val="28"/>
          <w:szCs w:val="28"/>
        </w:rPr>
        <w:t>第十条</w:t>
      </w:r>
      <w:r>
        <w:rPr>
          <w:rFonts w:hint="eastAsia" w:ascii="华文仿宋" w:hAnsi="华文仿宋" w:eastAsia="华文仿宋"/>
          <w:sz w:val="28"/>
          <w:szCs w:val="28"/>
        </w:rPr>
        <w:t xml:space="preserve"> </w:t>
      </w:r>
      <w:r>
        <w:rPr>
          <w:rFonts w:ascii="华文仿宋" w:hAnsi="华文仿宋" w:eastAsia="华文仿宋"/>
          <w:sz w:val="28"/>
          <w:szCs w:val="28"/>
        </w:rPr>
        <w:t>考评领导小组</w:t>
      </w:r>
      <w:r>
        <w:rPr>
          <w:rFonts w:hint="eastAsia" w:ascii="华文仿宋" w:hAnsi="华文仿宋" w:eastAsia="华文仿宋"/>
          <w:sz w:val="28"/>
          <w:szCs w:val="28"/>
        </w:rPr>
        <w:t>进行打分后，由行政科根据得分情况评定考核等级。如</w:t>
      </w:r>
      <w:r>
        <w:rPr>
          <w:rFonts w:ascii="华文仿宋" w:hAnsi="华文仿宋" w:eastAsia="华文仿宋"/>
          <w:sz w:val="28"/>
          <w:szCs w:val="28"/>
        </w:rPr>
        <w:t>发现有下列行为之一的，一票否决，</w:t>
      </w:r>
      <w:r>
        <w:rPr>
          <w:rFonts w:hint="eastAsia" w:ascii="华文仿宋" w:hAnsi="华文仿宋" w:eastAsia="华文仿宋"/>
          <w:sz w:val="28"/>
          <w:szCs w:val="28"/>
        </w:rPr>
        <w:t>保安公司本月考核评分为0分</w:t>
      </w:r>
      <w:r>
        <w:rPr>
          <w:rFonts w:ascii="华文仿宋" w:hAnsi="华文仿宋" w:eastAsia="华文仿宋"/>
          <w:sz w:val="28"/>
          <w:szCs w:val="28"/>
        </w:rPr>
        <w:t>，</w:t>
      </w:r>
      <w:r>
        <w:rPr>
          <w:rFonts w:hint="eastAsia" w:ascii="华文仿宋" w:hAnsi="华文仿宋" w:eastAsia="华文仿宋"/>
          <w:sz w:val="28"/>
          <w:szCs w:val="28"/>
        </w:rPr>
        <w:t>同时保安公司要立即辞退相关涉事人员</w:t>
      </w:r>
      <w:r>
        <w:rPr>
          <w:rFonts w:ascii="华文仿宋" w:hAnsi="华文仿宋" w:eastAsia="华文仿宋"/>
          <w:sz w:val="28"/>
          <w:szCs w:val="28"/>
        </w:rPr>
        <w:t>：</w:t>
      </w:r>
    </w:p>
    <w:p w14:paraId="1D400574">
      <w:pPr>
        <w:ind w:firstLine="560" w:firstLineChars="200"/>
        <w:rPr>
          <w:rFonts w:hint="eastAsia" w:ascii="华文仿宋" w:hAnsi="华文仿宋" w:eastAsia="华文仿宋"/>
          <w:sz w:val="28"/>
          <w:szCs w:val="28"/>
        </w:rPr>
      </w:pPr>
      <w:r>
        <w:rPr>
          <w:rFonts w:ascii="华文仿宋" w:hAnsi="华文仿宋" w:eastAsia="华文仿宋"/>
          <w:sz w:val="28"/>
          <w:szCs w:val="28"/>
        </w:rPr>
        <w:t>（1）有欺骗或不诚实行为</w:t>
      </w:r>
      <w:r>
        <w:rPr>
          <w:rFonts w:hint="eastAsia" w:ascii="华文仿宋" w:hAnsi="华文仿宋" w:eastAsia="华文仿宋"/>
          <w:sz w:val="28"/>
          <w:szCs w:val="28"/>
        </w:rPr>
        <w:t>者</w:t>
      </w:r>
      <w:r>
        <w:rPr>
          <w:rFonts w:ascii="华文仿宋" w:hAnsi="华文仿宋" w:eastAsia="华文仿宋"/>
          <w:sz w:val="28"/>
          <w:szCs w:val="28"/>
        </w:rPr>
        <w:t>，有偷窃或其他不道德行为</w:t>
      </w:r>
      <w:r>
        <w:rPr>
          <w:rFonts w:hint="eastAsia" w:ascii="华文仿宋" w:hAnsi="华文仿宋" w:eastAsia="华文仿宋"/>
          <w:sz w:val="28"/>
          <w:szCs w:val="28"/>
        </w:rPr>
        <w:t>者</w:t>
      </w:r>
      <w:r>
        <w:rPr>
          <w:rFonts w:ascii="华文仿宋" w:hAnsi="华文仿宋" w:eastAsia="华文仿宋"/>
          <w:sz w:val="28"/>
          <w:szCs w:val="28"/>
        </w:rPr>
        <w:t>；利用职权受贿，或以不正当手段谋利者；</w:t>
      </w:r>
    </w:p>
    <w:p w14:paraId="3C1DF680">
      <w:pPr>
        <w:ind w:firstLine="560" w:firstLineChars="200"/>
        <w:rPr>
          <w:rFonts w:hint="eastAsia" w:ascii="华文仿宋" w:hAnsi="华文仿宋" w:eastAsia="华文仿宋"/>
          <w:sz w:val="28"/>
          <w:szCs w:val="28"/>
        </w:rPr>
      </w:pPr>
      <w:r>
        <w:rPr>
          <w:rFonts w:ascii="华文仿宋" w:hAnsi="华文仿宋" w:eastAsia="华文仿宋"/>
          <w:sz w:val="28"/>
          <w:szCs w:val="28"/>
        </w:rPr>
        <w:t>（2）违反服务细则，造成重大事故及损失者；</w:t>
      </w:r>
    </w:p>
    <w:p w14:paraId="648671A7">
      <w:pPr>
        <w:ind w:firstLine="560" w:firstLineChars="200"/>
        <w:rPr>
          <w:rFonts w:hint="eastAsia" w:ascii="华文仿宋" w:hAnsi="华文仿宋" w:eastAsia="华文仿宋"/>
          <w:sz w:val="28"/>
          <w:szCs w:val="28"/>
        </w:rPr>
      </w:pPr>
      <w:r>
        <w:rPr>
          <w:rFonts w:ascii="华文仿宋" w:hAnsi="华文仿宋" w:eastAsia="华文仿宋"/>
          <w:sz w:val="28"/>
          <w:szCs w:val="28"/>
        </w:rPr>
        <w:t>（3）</w:t>
      </w:r>
      <w:r>
        <w:rPr>
          <w:rFonts w:hint="eastAsia" w:ascii="华文仿宋" w:hAnsi="华文仿宋" w:eastAsia="华文仿宋"/>
          <w:sz w:val="28"/>
          <w:szCs w:val="28"/>
        </w:rPr>
        <w:t>违反相关保密规定，泄露秘密；</w:t>
      </w:r>
    </w:p>
    <w:p w14:paraId="14C2F5C1">
      <w:pPr>
        <w:ind w:firstLine="560" w:firstLineChars="200"/>
        <w:rPr>
          <w:rFonts w:hint="eastAsia" w:ascii="华文仿宋" w:hAnsi="华文仿宋" w:eastAsia="华文仿宋"/>
          <w:sz w:val="28"/>
          <w:szCs w:val="28"/>
        </w:rPr>
      </w:pPr>
      <w:r>
        <w:rPr>
          <w:rFonts w:ascii="华文仿宋" w:hAnsi="华文仿宋" w:eastAsia="华文仿宋"/>
          <w:sz w:val="28"/>
          <w:szCs w:val="28"/>
        </w:rPr>
        <w:t>（4）遭业主或内部重大投诉</w:t>
      </w:r>
      <w:r>
        <w:rPr>
          <w:rFonts w:hint="eastAsia" w:ascii="华文仿宋" w:hAnsi="华文仿宋" w:eastAsia="华文仿宋"/>
          <w:sz w:val="28"/>
          <w:szCs w:val="28"/>
        </w:rPr>
        <w:t>者</w:t>
      </w:r>
      <w:r>
        <w:rPr>
          <w:rFonts w:ascii="华文仿宋" w:hAnsi="华文仿宋" w:eastAsia="华文仿宋"/>
          <w:sz w:val="28"/>
          <w:szCs w:val="28"/>
        </w:rPr>
        <w:t>；</w:t>
      </w:r>
    </w:p>
    <w:p w14:paraId="165A97AD">
      <w:pPr>
        <w:ind w:firstLine="560" w:firstLineChars="200"/>
        <w:rPr>
          <w:rFonts w:hint="eastAsia" w:ascii="华文仿宋" w:hAnsi="华文仿宋" w:eastAsia="华文仿宋"/>
          <w:sz w:val="28"/>
          <w:szCs w:val="28"/>
        </w:rPr>
      </w:pPr>
      <w:r>
        <w:rPr>
          <w:rFonts w:ascii="华文仿宋" w:hAnsi="华文仿宋" w:eastAsia="华文仿宋"/>
          <w:sz w:val="28"/>
          <w:szCs w:val="28"/>
        </w:rPr>
        <w:t>（5）在办公区内争吵、打斗或伤害其他</w:t>
      </w:r>
      <w:r>
        <w:rPr>
          <w:rFonts w:hint="eastAsia" w:ascii="华文仿宋" w:hAnsi="华文仿宋" w:eastAsia="华文仿宋"/>
          <w:sz w:val="28"/>
          <w:szCs w:val="28"/>
        </w:rPr>
        <w:t>者</w:t>
      </w:r>
      <w:r>
        <w:rPr>
          <w:rFonts w:ascii="华文仿宋" w:hAnsi="华文仿宋" w:eastAsia="华文仿宋"/>
          <w:sz w:val="28"/>
          <w:szCs w:val="28"/>
        </w:rPr>
        <w:t>，或因个人原因相关人员来院内争吵、打斗，造成恶劣影响者；</w:t>
      </w:r>
    </w:p>
    <w:p w14:paraId="2C7981EB">
      <w:pPr>
        <w:ind w:firstLine="560" w:firstLineChars="200"/>
        <w:rPr>
          <w:rFonts w:hint="eastAsia" w:ascii="华文仿宋" w:hAnsi="华文仿宋" w:eastAsia="华文仿宋"/>
          <w:sz w:val="28"/>
          <w:szCs w:val="28"/>
        </w:rPr>
      </w:pPr>
      <w:r>
        <w:rPr>
          <w:rFonts w:ascii="华文仿宋" w:hAnsi="华文仿宋" w:eastAsia="华文仿宋"/>
          <w:sz w:val="28"/>
          <w:szCs w:val="28"/>
        </w:rPr>
        <w:t>（6）与服务对象发生冲突，使用亵渎性或辱骂性语言者；</w:t>
      </w:r>
    </w:p>
    <w:p w14:paraId="4C79E571">
      <w:pPr>
        <w:ind w:firstLine="560" w:firstLineChars="200"/>
        <w:rPr>
          <w:rFonts w:hint="eastAsia" w:ascii="华文仿宋" w:hAnsi="华文仿宋" w:eastAsia="华文仿宋"/>
          <w:sz w:val="28"/>
          <w:szCs w:val="28"/>
        </w:rPr>
      </w:pPr>
      <w:r>
        <w:rPr>
          <w:rFonts w:ascii="华文仿宋" w:hAnsi="华文仿宋" w:eastAsia="华文仿宋"/>
          <w:sz w:val="28"/>
          <w:szCs w:val="28"/>
        </w:rPr>
        <w:t>（</w:t>
      </w:r>
      <w:r>
        <w:rPr>
          <w:rFonts w:hint="eastAsia" w:ascii="华文仿宋" w:hAnsi="华文仿宋" w:eastAsia="华文仿宋"/>
          <w:sz w:val="28"/>
          <w:szCs w:val="28"/>
        </w:rPr>
        <w:t>7</w:t>
      </w:r>
      <w:r>
        <w:rPr>
          <w:rFonts w:ascii="华文仿宋" w:hAnsi="华文仿宋" w:eastAsia="华文仿宋"/>
          <w:sz w:val="28"/>
          <w:szCs w:val="28"/>
        </w:rPr>
        <w:t>）酒后上岗或工作期间饮酒</w:t>
      </w:r>
      <w:r>
        <w:rPr>
          <w:rFonts w:hint="eastAsia" w:ascii="华文仿宋" w:hAnsi="华文仿宋" w:eastAsia="华文仿宋"/>
          <w:sz w:val="28"/>
          <w:szCs w:val="28"/>
        </w:rPr>
        <w:t>者</w:t>
      </w:r>
      <w:r>
        <w:rPr>
          <w:rFonts w:ascii="华文仿宋" w:hAnsi="华文仿宋" w:eastAsia="华文仿宋"/>
          <w:sz w:val="28"/>
          <w:szCs w:val="28"/>
        </w:rPr>
        <w:t>；</w:t>
      </w:r>
    </w:p>
    <w:p w14:paraId="7B640E6B">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（8）因公司管理出现投诉12345或市长信箱等造成政府办不满意工单者；</w:t>
      </w:r>
    </w:p>
    <w:p w14:paraId="488A0E11">
      <w:pPr>
        <w:ind w:firstLine="560" w:firstLineChars="200"/>
        <w:rPr>
          <w:rFonts w:hint="eastAsia" w:ascii="华文仿宋" w:hAnsi="华文仿宋" w:eastAsia="华文仿宋"/>
          <w:sz w:val="28"/>
          <w:szCs w:val="28"/>
        </w:rPr>
      </w:pPr>
      <w:r>
        <w:rPr>
          <w:rFonts w:ascii="华文仿宋" w:hAnsi="华文仿宋" w:eastAsia="华文仿宋"/>
          <w:sz w:val="28"/>
          <w:szCs w:val="28"/>
        </w:rPr>
        <w:t>（</w:t>
      </w:r>
      <w:r>
        <w:rPr>
          <w:rFonts w:hint="eastAsia" w:ascii="华文仿宋" w:hAnsi="华文仿宋" w:eastAsia="华文仿宋"/>
          <w:sz w:val="28"/>
          <w:szCs w:val="28"/>
        </w:rPr>
        <w:t>9</w:t>
      </w:r>
      <w:r>
        <w:rPr>
          <w:rFonts w:ascii="华文仿宋" w:hAnsi="华文仿宋" w:eastAsia="华文仿宋"/>
          <w:sz w:val="28"/>
          <w:szCs w:val="28"/>
        </w:rPr>
        <w:t>）其他严重违反相关规章制度，造成恶劣影响者。</w:t>
      </w:r>
    </w:p>
    <w:p w14:paraId="734A6AEE">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发现其他应当扣罚情形的，由考评领导小组视情况评定。</w:t>
      </w:r>
    </w:p>
    <w:p w14:paraId="08F5149D">
      <w:pPr>
        <w:ind w:firstLine="560" w:firstLineChars="200"/>
        <w:rPr>
          <w:rFonts w:hint="eastAsia" w:ascii="华文仿宋" w:hAnsi="华文仿宋" w:eastAsia="华文仿宋"/>
          <w:sz w:val="28"/>
          <w:szCs w:val="28"/>
        </w:rPr>
      </w:pPr>
      <w:r>
        <w:rPr>
          <w:rFonts w:ascii="华文仿宋" w:hAnsi="华文仿宋" w:eastAsia="华文仿宋"/>
          <w:sz w:val="28"/>
          <w:szCs w:val="28"/>
        </w:rPr>
        <w:t>第十一条 考评方式</w:t>
      </w:r>
    </w:p>
    <w:p w14:paraId="3D249118">
      <w:pPr>
        <w:ind w:firstLine="560" w:firstLineChars="200"/>
        <w:rPr>
          <w:rFonts w:hint="eastAsia" w:ascii="华文仿宋" w:hAnsi="华文仿宋" w:eastAsia="华文仿宋"/>
          <w:sz w:val="28"/>
          <w:szCs w:val="28"/>
        </w:rPr>
      </w:pPr>
      <w:r>
        <w:rPr>
          <w:rFonts w:ascii="华文仿宋" w:hAnsi="华文仿宋" w:eastAsia="华文仿宋"/>
          <w:sz w:val="28"/>
          <w:szCs w:val="28"/>
        </w:rPr>
        <w:t>考评分</w:t>
      </w:r>
      <w:r>
        <w:rPr>
          <w:rFonts w:hint="eastAsia" w:ascii="华文仿宋" w:hAnsi="华文仿宋" w:eastAsia="华文仿宋"/>
          <w:sz w:val="28"/>
          <w:szCs w:val="28"/>
        </w:rPr>
        <w:t>为</w:t>
      </w:r>
      <w:r>
        <w:rPr>
          <w:rFonts w:ascii="华文仿宋" w:hAnsi="华文仿宋" w:eastAsia="华文仿宋"/>
          <w:sz w:val="28"/>
          <w:szCs w:val="28"/>
        </w:rPr>
        <w:t>日常考评和年度考评；其中日常考评分为月度考</w:t>
      </w:r>
      <w:r>
        <w:rPr>
          <w:rFonts w:hint="eastAsia" w:ascii="华文仿宋" w:hAnsi="华文仿宋" w:eastAsia="华文仿宋"/>
          <w:sz w:val="28"/>
          <w:szCs w:val="28"/>
        </w:rPr>
        <w:t>评</w:t>
      </w:r>
      <w:r>
        <w:rPr>
          <w:rFonts w:ascii="华文仿宋" w:hAnsi="华文仿宋" w:eastAsia="华文仿宋"/>
          <w:sz w:val="28"/>
          <w:szCs w:val="28"/>
        </w:rPr>
        <w:t>以及月度满意度考评，均实行百分制。月度考评项目见</w:t>
      </w:r>
      <w:r>
        <w:rPr>
          <w:rFonts w:hint="eastAsia" w:ascii="华文仿宋" w:hAnsi="华文仿宋" w:eastAsia="华文仿宋"/>
          <w:sz w:val="28"/>
          <w:szCs w:val="28"/>
        </w:rPr>
        <w:t>附表1</w:t>
      </w:r>
      <w:r>
        <w:rPr>
          <w:rFonts w:ascii="华文仿宋" w:hAnsi="华文仿宋" w:eastAsia="华文仿宋"/>
          <w:sz w:val="28"/>
          <w:szCs w:val="28"/>
        </w:rPr>
        <w:t>，月度满意度考评项目见</w:t>
      </w:r>
      <w:r>
        <w:rPr>
          <w:rFonts w:hint="eastAsia" w:ascii="华文仿宋" w:hAnsi="华文仿宋" w:eastAsia="华文仿宋"/>
          <w:sz w:val="28"/>
          <w:szCs w:val="28"/>
        </w:rPr>
        <w:t>附表2</w:t>
      </w:r>
      <w:r>
        <w:rPr>
          <w:rFonts w:ascii="华文仿宋" w:hAnsi="华文仿宋" w:eastAsia="华文仿宋"/>
          <w:sz w:val="28"/>
          <w:szCs w:val="28"/>
        </w:rPr>
        <w:t>。</w:t>
      </w:r>
    </w:p>
    <w:p w14:paraId="3EDF1930">
      <w:pPr>
        <w:pStyle w:val="35"/>
        <w:widowControl/>
        <w:shd w:val="clear" w:color="auto" w:fill="FFFFFF"/>
        <w:ind w:firstLine="560" w:firstLineChars="200"/>
        <w:rPr>
          <w:rFonts w:hint="eastAsia" w:ascii="华文仿宋" w:hAnsi="华文仿宋" w:eastAsia="华文仿宋"/>
          <w:color w:val="333333"/>
          <w:sz w:val="28"/>
          <w:szCs w:val="28"/>
          <w:shd w:val="clear" w:color="auto" w:fill="FFFFFF"/>
        </w:rPr>
      </w:pPr>
      <w:r>
        <w:rPr>
          <w:rFonts w:ascii="华文仿宋" w:hAnsi="华文仿宋" w:eastAsia="华文仿宋"/>
          <w:color w:val="333333"/>
          <w:sz w:val="28"/>
          <w:szCs w:val="28"/>
          <w:shd w:val="clear" w:color="auto" w:fill="FFFFFF"/>
        </w:rPr>
        <w:t>日常考评</w:t>
      </w:r>
      <w:r>
        <w:rPr>
          <w:rFonts w:hint="eastAsia" w:ascii="华文仿宋" w:hAnsi="华文仿宋" w:eastAsia="华文仿宋"/>
          <w:color w:val="333333"/>
          <w:sz w:val="28"/>
          <w:szCs w:val="28"/>
          <w:shd w:val="clear" w:color="auto" w:fill="FFFFFF"/>
        </w:rPr>
        <w:t>结果</w:t>
      </w:r>
      <w:r>
        <w:rPr>
          <w:rFonts w:ascii="华文仿宋" w:hAnsi="华文仿宋" w:eastAsia="华文仿宋"/>
          <w:color w:val="333333"/>
          <w:sz w:val="28"/>
          <w:szCs w:val="28"/>
          <w:shd w:val="clear" w:color="auto" w:fill="FFFFFF"/>
        </w:rPr>
        <w:t>中月度考核占比</w:t>
      </w:r>
      <w:r>
        <w:rPr>
          <w:rFonts w:hint="eastAsia" w:ascii="华文仿宋" w:hAnsi="华文仿宋" w:eastAsia="华文仿宋"/>
          <w:color w:val="333333"/>
          <w:sz w:val="28"/>
          <w:szCs w:val="28"/>
          <w:shd w:val="clear" w:color="auto" w:fill="FFFFFF"/>
        </w:rPr>
        <w:t>6</w:t>
      </w:r>
      <w:r>
        <w:rPr>
          <w:rFonts w:ascii="华文仿宋" w:hAnsi="华文仿宋" w:eastAsia="华文仿宋"/>
          <w:color w:val="333333"/>
          <w:sz w:val="28"/>
          <w:szCs w:val="28"/>
          <w:shd w:val="clear" w:color="auto" w:fill="FFFFFF"/>
        </w:rPr>
        <w:t>0%；满意度考评占比</w:t>
      </w:r>
      <w:r>
        <w:rPr>
          <w:rFonts w:hint="eastAsia" w:ascii="华文仿宋" w:hAnsi="华文仿宋" w:eastAsia="华文仿宋"/>
          <w:color w:val="333333"/>
          <w:sz w:val="28"/>
          <w:szCs w:val="28"/>
          <w:shd w:val="clear" w:color="auto" w:fill="FFFFFF"/>
        </w:rPr>
        <w:t>4</w:t>
      </w:r>
      <w:r>
        <w:rPr>
          <w:rFonts w:ascii="华文仿宋" w:hAnsi="华文仿宋" w:eastAsia="华文仿宋"/>
          <w:color w:val="333333"/>
          <w:sz w:val="28"/>
          <w:szCs w:val="28"/>
          <w:shd w:val="clear" w:color="auto" w:fill="FFFFFF"/>
        </w:rPr>
        <w:t>0%；年度考评结果可作为合同续订的重要依据之一。</w:t>
      </w:r>
    </w:p>
    <w:p w14:paraId="0FD62D9E">
      <w:pPr>
        <w:spacing w:before="240" w:beforeLines="100"/>
        <w:jc w:val="center"/>
        <w:rPr>
          <w:rFonts w:hint="eastAsia" w:ascii="华文仿宋" w:hAnsi="华文仿宋" w:eastAsia="华文仿宋"/>
          <w:sz w:val="28"/>
          <w:szCs w:val="28"/>
        </w:rPr>
      </w:pPr>
      <w:r>
        <w:rPr>
          <w:rFonts w:ascii="华文仿宋" w:hAnsi="华文仿宋" w:eastAsia="华文仿宋"/>
          <w:sz w:val="28"/>
          <w:szCs w:val="28"/>
        </w:rPr>
        <w:t>第四章  考核结果运用</w:t>
      </w:r>
    </w:p>
    <w:p w14:paraId="26A0BE72">
      <w:pPr>
        <w:ind w:firstLine="560" w:firstLineChars="200"/>
        <w:rPr>
          <w:rFonts w:hint="eastAsia" w:ascii="华文仿宋" w:hAnsi="华文仿宋" w:eastAsia="华文仿宋"/>
          <w:sz w:val="28"/>
          <w:szCs w:val="28"/>
        </w:rPr>
      </w:pPr>
      <w:r>
        <w:rPr>
          <w:rFonts w:ascii="华文仿宋" w:hAnsi="华文仿宋" w:eastAsia="华文仿宋"/>
          <w:sz w:val="28"/>
          <w:szCs w:val="28"/>
        </w:rPr>
        <w:t xml:space="preserve">第十二条 </w:t>
      </w:r>
      <w:r>
        <w:rPr>
          <w:rFonts w:hint="eastAsia" w:ascii="华文仿宋" w:hAnsi="华文仿宋" w:eastAsia="华文仿宋"/>
          <w:sz w:val="28"/>
          <w:szCs w:val="28"/>
        </w:rPr>
        <w:t>考核结果按季度统计，季度考评综合平均分大于等于90分的评定等级为A级，团队所有成员本季度考核按100%支付；同时全额支付本季度安保公司服务费用</w:t>
      </w:r>
      <w:r>
        <w:rPr>
          <w:rFonts w:ascii="华文仿宋" w:hAnsi="华文仿宋" w:eastAsia="华文仿宋"/>
          <w:sz w:val="28"/>
          <w:szCs w:val="28"/>
        </w:rPr>
        <w:t>；</w:t>
      </w:r>
    </w:p>
    <w:p w14:paraId="7FB6F028">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季度考评综合平均分小于90分但大于等于80分的评定等级为B级，团队所有成员本季度考核按90%支付；同时按97%的标准支付本季度安保公司服务费用</w:t>
      </w:r>
      <w:r>
        <w:rPr>
          <w:rFonts w:ascii="华文仿宋" w:hAnsi="华文仿宋" w:eastAsia="华文仿宋"/>
          <w:sz w:val="28"/>
          <w:szCs w:val="28"/>
        </w:rPr>
        <w:t>；</w:t>
      </w:r>
    </w:p>
    <w:p w14:paraId="28281915">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季度考评综合平均分小于80分但大于等于60分的评定等级为C级，团队所有成员本季度考核按80%支付；同时按95%的标准支付本季度安保公司服务费用。</w:t>
      </w:r>
    </w:p>
    <w:p w14:paraId="2556F97F">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季度考评综合平均分小于60分的评定等级为D级，团队所有成员本季度考核按60%支付；同时按90%的标准支付本季度安保公司服务费用。</w:t>
      </w:r>
    </w:p>
    <w:p w14:paraId="14AE3FD3">
      <w:pPr>
        <w:spacing w:before="240" w:beforeLines="100"/>
        <w:jc w:val="center"/>
        <w:rPr>
          <w:rFonts w:hint="eastAsia" w:ascii="华文仿宋" w:hAnsi="华文仿宋" w:eastAsia="华文仿宋"/>
          <w:sz w:val="28"/>
          <w:szCs w:val="28"/>
        </w:rPr>
      </w:pPr>
      <w:r>
        <w:rPr>
          <w:rFonts w:hint="eastAsia" w:ascii="华文仿宋" w:hAnsi="华文仿宋" w:eastAsia="华文仿宋"/>
          <w:sz w:val="28"/>
          <w:szCs w:val="28"/>
        </w:rPr>
        <w:t>第五章</w:t>
      </w:r>
      <w:r>
        <w:rPr>
          <w:rFonts w:ascii="华文仿宋" w:hAnsi="华文仿宋" w:eastAsia="华文仿宋"/>
          <w:sz w:val="28"/>
          <w:szCs w:val="28"/>
        </w:rPr>
        <w:t xml:space="preserve"> </w:t>
      </w:r>
      <w:r>
        <w:rPr>
          <w:rFonts w:hint="eastAsia" w:ascii="华文仿宋" w:hAnsi="华文仿宋" w:eastAsia="华文仿宋"/>
          <w:sz w:val="28"/>
          <w:szCs w:val="28"/>
        </w:rPr>
        <w:t>奖励性绩效</w:t>
      </w:r>
    </w:p>
    <w:p w14:paraId="7BD34E73">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第十三条 为进一步推动服务保障工作高质量发展，强化先进典型的激励引领作用，增强员工工作积极性，激发团队活力，更好地为机关运行提供坚实保障，实行“服务之星”评选。</w:t>
      </w:r>
    </w:p>
    <w:p w14:paraId="747598F2">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月底前由安保公司总结当月工作，推荐公司内部表现突出的员工名单报行政科，行政科结合实际工作情况报分管领导最终确定“服务之星”人选。</w:t>
      </w:r>
    </w:p>
    <w:p w14:paraId="5E796FD4">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“服务之星”人选以公司一线员工为主，包含1名优秀分队长，3名优秀队员，并给予“服务之星”适当经济奖励，奖励标准为分队长300元/人，队员200元/人，按月发放。</w:t>
      </w:r>
    </w:p>
    <w:p w14:paraId="73C3F1DA">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第十四条 为表彰在安保管理过程中表现突出的优秀管理者，进一步调动管理人员的工作积极性，切实履行岗位职责，不断提高服务质量管理意识和水平，推动机关事务保障工作高质量发展，安保公司当季度考评等级为A级时，将给予公司管理人员适当经济奖励，奖励标准为副中队长600/人，中队长1050/人，按季度发放。</w:t>
      </w:r>
    </w:p>
    <w:p w14:paraId="3F22303B">
      <w:pPr>
        <w:ind w:firstLine="560" w:firstLineChars="200"/>
        <w:rPr>
          <w:rFonts w:hint="eastAsia" w:ascii="华文仿宋" w:hAnsi="华文仿宋" w:eastAsia="华文仿宋"/>
          <w:sz w:val="28"/>
          <w:szCs w:val="28"/>
          <w:highlight w:val="yellow"/>
        </w:rPr>
      </w:pPr>
    </w:p>
    <w:p w14:paraId="1DA120FA">
      <w:pPr>
        <w:spacing w:before="240" w:beforeLines="100"/>
        <w:jc w:val="center"/>
        <w:rPr>
          <w:rFonts w:hint="eastAsia" w:ascii="华文仿宋" w:hAnsi="华文仿宋" w:eastAsia="华文仿宋"/>
          <w:sz w:val="28"/>
          <w:szCs w:val="28"/>
        </w:rPr>
      </w:pPr>
      <w:r>
        <w:rPr>
          <w:rFonts w:ascii="华文仿宋" w:hAnsi="华文仿宋" w:eastAsia="华文仿宋"/>
          <w:sz w:val="28"/>
          <w:szCs w:val="28"/>
        </w:rPr>
        <w:t>第</w:t>
      </w:r>
      <w:r>
        <w:rPr>
          <w:rFonts w:hint="eastAsia" w:ascii="华文仿宋" w:hAnsi="华文仿宋" w:eastAsia="华文仿宋"/>
          <w:sz w:val="28"/>
          <w:szCs w:val="28"/>
        </w:rPr>
        <w:t>六</w:t>
      </w:r>
      <w:r>
        <w:rPr>
          <w:rFonts w:ascii="华文仿宋" w:hAnsi="华文仿宋" w:eastAsia="华文仿宋"/>
          <w:sz w:val="28"/>
          <w:szCs w:val="28"/>
        </w:rPr>
        <w:t>章  附  则</w:t>
      </w:r>
    </w:p>
    <w:p w14:paraId="497ACC9E">
      <w:pPr>
        <w:ind w:firstLine="560" w:firstLineChars="200"/>
        <w:rPr>
          <w:rFonts w:hint="eastAsia" w:ascii="华文仿宋" w:hAnsi="华文仿宋" w:eastAsia="华文仿宋"/>
          <w:sz w:val="28"/>
          <w:szCs w:val="28"/>
        </w:rPr>
      </w:pPr>
      <w:r>
        <w:rPr>
          <w:rFonts w:ascii="华文仿宋" w:hAnsi="华文仿宋" w:eastAsia="华文仿宋"/>
          <w:sz w:val="28"/>
          <w:szCs w:val="28"/>
        </w:rPr>
        <w:t>第十</w:t>
      </w:r>
      <w:r>
        <w:rPr>
          <w:rFonts w:hint="eastAsia" w:ascii="华文仿宋" w:hAnsi="华文仿宋" w:eastAsia="华文仿宋"/>
          <w:sz w:val="28"/>
          <w:szCs w:val="28"/>
        </w:rPr>
        <w:t>五</w:t>
      </w:r>
      <w:r>
        <w:rPr>
          <w:rFonts w:ascii="华文仿宋" w:hAnsi="华文仿宋" w:eastAsia="华文仿宋"/>
          <w:sz w:val="28"/>
          <w:szCs w:val="28"/>
        </w:rPr>
        <w:t>条 本办法由政府办行政科负责解释。</w:t>
      </w:r>
    </w:p>
    <w:p w14:paraId="0708B347">
      <w:pPr>
        <w:widowControl/>
        <w:rPr>
          <w:rFonts w:hint="eastAsia" w:ascii="华文仿宋" w:hAnsi="华文仿宋" w:eastAsia="华文仿宋"/>
          <w:sz w:val="28"/>
          <w:szCs w:val="28"/>
        </w:rPr>
      </w:pPr>
      <w:r>
        <w:rPr>
          <w:rFonts w:ascii="华文仿宋" w:hAnsi="华文仿宋" w:eastAsia="华文仿宋"/>
          <w:sz w:val="28"/>
          <w:szCs w:val="28"/>
        </w:rPr>
        <w:br w:type="page"/>
      </w:r>
    </w:p>
    <w:p w14:paraId="73D25127">
      <w:pPr>
        <w:ind w:firstLine="560" w:firstLineChars="200"/>
        <w:rPr>
          <w:rFonts w:hint="eastAsia" w:ascii="华文仿宋" w:hAnsi="华文仿宋" w:eastAsia="华文仿宋" w:cs="黑体"/>
          <w:sz w:val="28"/>
          <w:szCs w:val="28"/>
        </w:rPr>
      </w:pPr>
      <w:r>
        <w:rPr>
          <w:rFonts w:hint="eastAsia" w:ascii="华文仿宋" w:hAnsi="华文仿宋" w:eastAsia="华文仿宋" w:cs="黑体"/>
          <w:sz w:val="28"/>
          <w:szCs w:val="28"/>
        </w:rPr>
        <w:t>附表1：</w:t>
      </w:r>
    </w:p>
    <w:tbl>
      <w:tblPr>
        <w:tblStyle w:val="38"/>
        <w:tblW w:w="5000" w:type="pct"/>
        <w:tblInd w:w="0" w:type="dxa"/>
        <w:tblLayout w:type="autofit"/>
        <w:tblCellMar>
          <w:top w:w="0" w:type="dxa"/>
          <w:left w:w="108" w:type="dxa"/>
          <w:bottom w:w="0" w:type="dxa"/>
          <w:right w:w="108" w:type="dxa"/>
        </w:tblCellMar>
      </w:tblPr>
      <w:tblGrid>
        <w:gridCol w:w="635"/>
        <w:gridCol w:w="825"/>
        <w:gridCol w:w="1466"/>
        <w:gridCol w:w="3668"/>
        <w:gridCol w:w="1907"/>
        <w:gridCol w:w="879"/>
        <w:gridCol w:w="582"/>
      </w:tblGrid>
      <w:tr w14:paraId="3972EF5B">
        <w:tblPrEx>
          <w:tblCellMar>
            <w:top w:w="0" w:type="dxa"/>
            <w:left w:w="108" w:type="dxa"/>
            <w:bottom w:w="0" w:type="dxa"/>
            <w:right w:w="108" w:type="dxa"/>
          </w:tblCellMar>
        </w:tblPrEx>
        <w:trPr>
          <w:trHeight w:val="795" w:hRule="atLeast"/>
        </w:trPr>
        <w:tc>
          <w:tcPr>
            <w:tcW w:w="319" w:type="pct"/>
            <w:tcBorders>
              <w:top w:val="single" w:color="auto" w:sz="4" w:space="0"/>
              <w:left w:val="single" w:color="auto" w:sz="4" w:space="0"/>
              <w:bottom w:val="single" w:color="auto" w:sz="4" w:space="0"/>
              <w:right w:val="single" w:color="auto" w:sz="4" w:space="0"/>
            </w:tcBorders>
            <w:vAlign w:val="center"/>
          </w:tcPr>
          <w:p w14:paraId="6680455E">
            <w:pPr>
              <w:widowControl/>
              <w:jc w:val="center"/>
              <w:rPr>
                <w:rFonts w:hint="eastAsia" w:ascii="华文仿宋" w:hAnsi="华文仿宋" w:eastAsia="华文仿宋"/>
                <w:sz w:val="22"/>
              </w:rPr>
            </w:pPr>
            <w:r>
              <w:rPr>
                <w:rFonts w:hint="eastAsia" w:ascii="华文仿宋" w:hAnsi="华文仿宋" w:eastAsia="华文仿宋"/>
                <w:sz w:val="22"/>
              </w:rPr>
              <w:t>序号</w:t>
            </w:r>
          </w:p>
        </w:tc>
        <w:tc>
          <w:tcPr>
            <w:tcW w:w="414" w:type="pct"/>
            <w:tcBorders>
              <w:top w:val="single" w:color="auto" w:sz="4" w:space="0"/>
              <w:left w:val="nil"/>
              <w:bottom w:val="single" w:color="auto" w:sz="4" w:space="0"/>
              <w:right w:val="single" w:color="auto" w:sz="4" w:space="0"/>
            </w:tcBorders>
            <w:vAlign w:val="center"/>
          </w:tcPr>
          <w:p w14:paraId="61F21F42">
            <w:pPr>
              <w:widowControl/>
              <w:jc w:val="center"/>
              <w:rPr>
                <w:rFonts w:hint="eastAsia" w:ascii="华文仿宋" w:hAnsi="华文仿宋" w:eastAsia="华文仿宋"/>
                <w:sz w:val="22"/>
              </w:rPr>
            </w:pPr>
            <w:r>
              <w:rPr>
                <w:rFonts w:hint="eastAsia" w:ascii="华文仿宋" w:hAnsi="华文仿宋" w:eastAsia="华文仿宋"/>
                <w:sz w:val="22"/>
              </w:rPr>
              <w:t>考核内容</w:t>
            </w:r>
          </w:p>
        </w:tc>
        <w:tc>
          <w:tcPr>
            <w:tcW w:w="736" w:type="pct"/>
            <w:tcBorders>
              <w:top w:val="single" w:color="auto" w:sz="4" w:space="0"/>
              <w:left w:val="nil"/>
              <w:bottom w:val="single" w:color="auto" w:sz="4" w:space="0"/>
              <w:right w:val="single" w:color="auto" w:sz="4" w:space="0"/>
            </w:tcBorders>
            <w:vAlign w:val="center"/>
          </w:tcPr>
          <w:p w14:paraId="20A60756">
            <w:pPr>
              <w:widowControl/>
              <w:jc w:val="center"/>
              <w:rPr>
                <w:rFonts w:hint="eastAsia" w:ascii="华文仿宋" w:hAnsi="华文仿宋" w:eastAsia="华文仿宋"/>
                <w:sz w:val="22"/>
              </w:rPr>
            </w:pPr>
            <w:r>
              <w:rPr>
                <w:rFonts w:hint="eastAsia" w:ascii="华文仿宋" w:hAnsi="华文仿宋" w:eastAsia="华文仿宋"/>
                <w:sz w:val="22"/>
              </w:rPr>
              <w:t>分值</w:t>
            </w:r>
            <w:r>
              <w:rPr>
                <w:rFonts w:ascii="华文仿宋" w:hAnsi="华文仿宋" w:eastAsia="华文仿宋"/>
                <w:sz w:val="22"/>
              </w:rPr>
              <w:br w:type="textWrapping"/>
            </w:r>
            <w:r>
              <w:rPr>
                <w:rFonts w:hint="eastAsia" w:ascii="华文仿宋" w:hAnsi="华文仿宋" w:eastAsia="华文仿宋"/>
                <w:sz w:val="22"/>
              </w:rPr>
              <w:t>（</w:t>
            </w:r>
            <w:r>
              <w:rPr>
                <w:rFonts w:ascii="华文仿宋" w:hAnsi="华文仿宋" w:eastAsia="华文仿宋"/>
                <w:sz w:val="22"/>
              </w:rPr>
              <w:t>100</w:t>
            </w:r>
            <w:r>
              <w:rPr>
                <w:rFonts w:hint="eastAsia" w:ascii="华文仿宋" w:hAnsi="华文仿宋" w:eastAsia="华文仿宋"/>
                <w:sz w:val="22"/>
              </w:rPr>
              <w:t>分</w:t>
            </w:r>
            <w:r>
              <w:rPr>
                <w:rFonts w:ascii="华文仿宋" w:hAnsi="华文仿宋" w:eastAsia="华文仿宋"/>
                <w:sz w:val="22"/>
              </w:rPr>
              <w:t xml:space="preserve"> </w:t>
            </w:r>
            <w:r>
              <w:rPr>
                <w:rFonts w:hint="eastAsia" w:ascii="华文仿宋" w:hAnsi="华文仿宋" w:eastAsia="华文仿宋"/>
                <w:sz w:val="22"/>
              </w:rPr>
              <w:t>）</w:t>
            </w:r>
          </w:p>
        </w:tc>
        <w:tc>
          <w:tcPr>
            <w:tcW w:w="1841" w:type="pct"/>
            <w:tcBorders>
              <w:top w:val="single" w:color="auto" w:sz="4" w:space="0"/>
              <w:left w:val="nil"/>
              <w:bottom w:val="single" w:color="auto" w:sz="4" w:space="0"/>
              <w:right w:val="single" w:color="auto" w:sz="4" w:space="0"/>
            </w:tcBorders>
            <w:vAlign w:val="center"/>
          </w:tcPr>
          <w:p w14:paraId="1C743859">
            <w:pPr>
              <w:widowControl/>
              <w:jc w:val="center"/>
              <w:rPr>
                <w:rFonts w:hint="eastAsia" w:ascii="华文仿宋" w:hAnsi="华文仿宋" w:eastAsia="华文仿宋"/>
                <w:sz w:val="22"/>
              </w:rPr>
            </w:pPr>
            <w:r>
              <w:rPr>
                <w:rFonts w:hint="eastAsia" w:ascii="华文仿宋" w:hAnsi="华文仿宋" w:eastAsia="华文仿宋"/>
                <w:sz w:val="22"/>
              </w:rPr>
              <w:t>考评指标</w:t>
            </w:r>
          </w:p>
        </w:tc>
        <w:tc>
          <w:tcPr>
            <w:tcW w:w="957" w:type="pct"/>
            <w:tcBorders>
              <w:top w:val="single" w:color="auto" w:sz="4" w:space="0"/>
              <w:left w:val="nil"/>
              <w:bottom w:val="single" w:color="auto" w:sz="4" w:space="0"/>
              <w:right w:val="single" w:color="auto" w:sz="4" w:space="0"/>
            </w:tcBorders>
            <w:vAlign w:val="center"/>
          </w:tcPr>
          <w:p w14:paraId="31A27A76">
            <w:pPr>
              <w:widowControl/>
              <w:jc w:val="center"/>
              <w:rPr>
                <w:rFonts w:hint="eastAsia" w:ascii="华文仿宋" w:hAnsi="华文仿宋" w:eastAsia="华文仿宋"/>
                <w:sz w:val="22"/>
              </w:rPr>
            </w:pPr>
            <w:r>
              <w:rPr>
                <w:rFonts w:hint="eastAsia" w:ascii="华文仿宋" w:hAnsi="华文仿宋" w:eastAsia="华文仿宋"/>
                <w:sz w:val="22"/>
              </w:rPr>
              <w:t>现场考核情况</w:t>
            </w:r>
            <w:r>
              <w:rPr>
                <w:rFonts w:ascii="华文仿宋" w:hAnsi="华文仿宋" w:eastAsia="华文仿宋"/>
                <w:sz w:val="22"/>
              </w:rPr>
              <w:br w:type="textWrapping"/>
            </w:r>
            <w:r>
              <w:rPr>
                <w:rFonts w:hint="eastAsia" w:ascii="华文仿宋" w:hAnsi="华文仿宋" w:eastAsia="华文仿宋"/>
                <w:sz w:val="22"/>
              </w:rPr>
              <w:t>（问题描述）</w:t>
            </w:r>
          </w:p>
        </w:tc>
        <w:tc>
          <w:tcPr>
            <w:tcW w:w="441" w:type="pct"/>
            <w:tcBorders>
              <w:top w:val="single" w:color="auto" w:sz="4" w:space="0"/>
              <w:left w:val="nil"/>
              <w:bottom w:val="single" w:color="auto" w:sz="4" w:space="0"/>
              <w:right w:val="single" w:color="auto" w:sz="4" w:space="0"/>
            </w:tcBorders>
            <w:vAlign w:val="center"/>
          </w:tcPr>
          <w:p w14:paraId="4140C953">
            <w:pPr>
              <w:widowControl/>
              <w:jc w:val="center"/>
              <w:rPr>
                <w:rFonts w:hint="eastAsia" w:ascii="华文仿宋" w:hAnsi="华文仿宋" w:eastAsia="华文仿宋"/>
                <w:sz w:val="22"/>
              </w:rPr>
            </w:pPr>
            <w:r>
              <w:rPr>
                <w:rFonts w:hint="eastAsia" w:ascii="华文仿宋" w:hAnsi="华文仿宋" w:eastAsia="华文仿宋"/>
                <w:sz w:val="22"/>
              </w:rPr>
              <w:t>扣分情况</w:t>
            </w:r>
          </w:p>
        </w:tc>
        <w:tc>
          <w:tcPr>
            <w:tcW w:w="292" w:type="pct"/>
            <w:tcBorders>
              <w:top w:val="single" w:color="auto" w:sz="4" w:space="0"/>
              <w:left w:val="nil"/>
              <w:bottom w:val="single" w:color="auto" w:sz="4" w:space="0"/>
              <w:right w:val="single" w:color="auto" w:sz="4" w:space="0"/>
            </w:tcBorders>
            <w:vAlign w:val="center"/>
          </w:tcPr>
          <w:p w14:paraId="6D78416D">
            <w:pPr>
              <w:widowControl/>
              <w:jc w:val="center"/>
              <w:rPr>
                <w:rFonts w:hint="eastAsia" w:ascii="华文仿宋" w:hAnsi="华文仿宋" w:eastAsia="华文仿宋"/>
                <w:sz w:val="22"/>
              </w:rPr>
            </w:pPr>
            <w:r>
              <w:rPr>
                <w:rFonts w:hint="eastAsia" w:ascii="华文仿宋" w:hAnsi="华文仿宋" w:eastAsia="华文仿宋"/>
                <w:sz w:val="22"/>
              </w:rPr>
              <w:t>备注</w:t>
            </w:r>
          </w:p>
        </w:tc>
      </w:tr>
      <w:tr w14:paraId="32D5D193">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09553A2C">
            <w:pPr>
              <w:widowControl/>
              <w:jc w:val="center"/>
              <w:rPr>
                <w:rFonts w:hint="eastAsia" w:ascii="华文仿宋" w:hAnsi="华文仿宋" w:eastAsia="华文仿宋"/>
                <w:sz w:val="22"/>
              </w:rPr>
            </w:pPr>
            <w:r>
              <w:rPr>
                <w:rFonts w:ascii="华文仿宋" w:hAnsi="华文仿宋" w:eastAsia="华文仿宋"/>
                <w:sz w:val="22"/>
              </w:rPr>
              <w:t>1</w:t>
            </w:r>
          </w:p>
        </w:tc>
        <w:tc>
          <w:tcPr>
            <w:tcW w:w="414" w:type="pct"/>
            <w:vMerge w:val="restart"/>
            <w:tcBorders>
              <w:top w:val="nil"/>
              <w:left w:val="single" w:color="auto" w:sz="4" w:space="0"/>
              <w:bottom w:val="single" w:color="auto" w:sz="4" w:space="0"/>
              <w:right w:val="single" w:color="auto" w:sz="4" w:space="0"/>
            </w:tcBorders>
            <w:vAlign w:val="center"/>
          </w:tcPr>
          <w:p w14:paraId="25A561BC">
            <w:pPr>
              <w:widowControl/>
              <w:jc w:val="center"/>
              <w:rPr>
                <w:rFonts w:hint="eastAsia" w:ascii="华文仿宋" w:hAnsi="华文仿宋" w:eastAsia="华文仿宋" w:cs="宋体"/>
                <w:sz w:val="22"/>
              </w:rPr>
            </w:pPr>
            <w:r>
              <w:rPr>
                <w:rFonts w:hint="eastAsia" w:ascii="华文仿宋" w:hAnsi="华文仿宋" w:eastAsia="华文仿宋" w:cs="宋体"/>
                <w:sz w:val="22"/>
              </w:rPr>
              <w:t>仪容仪表</w:t>
            </w:r>
          </w:p>
        </w:tc>
        <w:tc>
          <w:tcPr>
            <w:tcW w:w="736" w:type="pct"/>
            <w:tcBorders>
              <w:top w:val="nil"/>
              <w:left w:val="nil"/>
              <w:bottom w:val="single" w:color="auto" w:sz="4" w:space="0"/>
              <w:right w:val="single" w:color="auto" w:sz="4" w:space="0"/>
            </w:tcBorders>
            <w:vAlign w:val="center"/>
          </w:tcPr>
          <w:p w14:paraId="54A3222B">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1162A04B">
            <w:pPr>
              <w:widowControl/>
              <w:rPr>
                <w:rFonts w:hint="eastAsia" w:ascii="华文仿宋" w:hAnsi="华文仿宋" w:eastAsia="华文仿宋" w:cs="宋体"/>
                <w:sz w:val="22"/>
              </w:rPr>
            </w:pPr>
            <w:r>
              <w:rPr>
                <w:rFonts w:hint="eastAsia" w:ascii="华文仿宋" w:hAnsi="华文仿宋" w:eastAsia="华文仿宋" w:cs="宋体"/>
                <w:sz w:val="22"/>
              </w:rPr>
              <w:t>上班时按规定着装；工装工整、清洁；雨雪天气着雨衣执勤；（发现一处不符合扣0.5分，扣完为止）</w:t>
            </w:r>
          </w:p>
        </w:tc>
        <w:tc>
          <w:tcPr>
            <w:tcW w:w="957" w:type="pct"/>
            <w:tcBorders>
              <w:top w:val="nil"/>
              <w:left w:val="nil"/>
              <w:bottom w:val="single" w:color="auto" w:sz="4" w:space="0"/>
              <w:right w:val="single" w:color="auto" w:sz="4" w:space="0"/>
            </w:tcBorders>
            <w:vAlign w:val="center"/>
          </w:tcPr>
          <w:p w14:paraId="0FAC1A77">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58800A11">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430F08EA">
            <w:pPr>
              <w:widowControl/>
              <w:jc w:val="center"/>
              <w:rPr>
                <w:rFonts w:hint="eastAsia" w:ascii="华文仿宋" w:hAnsi="华文仿宋" w:eastAsia="华文仿宋"/>
                <w:sz w:val="22"/>
              </w:rPr>
            </w:pPr>
            <w:r>
              <w:rPr>
                <w:rFonts w:ascii="华文仿宋" w:hAnsi="华文仿宋" w:eastAsia="华文仿宋"/>
                <w:sz w:val="22"/>
              </w:rPr>
              <w:t>　</w:t>
            </w:r>
          </w:p>
        </w:tc>
      </w:tr>
      <w:tr w14:paraId="46B13455">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4FD5C2B4">
            <w:pPr>
              <w:widowControl/>
              <w:jc w:val="center"/>
              <w:rPr>
                <w:rFonts w:hint="eastAsia" w:ascii="华文仿宋" w:hAnsi="华文仿宋" w:eastAsia="华文仿宋"/>
                <w:sz w:val="22"/>
              </w:rPr>
            </w:pPr>
            <w:r>
              <w:rPr>
                <w:rFonts w:ascii="华文仿宋" w:hAnsi="华文仿宋" w:eastAsia="华文仿宋"/>
                <w:sz w:val="22"/>
              </w:rPr>
              <w:t>2</w:t>
            </w:r>
          </w:p>
        </w:tc>
        <w:tc>
          <w:tcPr>
            <w:tcW w:w="414" w:type="pct"/>
            <w:vMerge w:val="continue"/>
            <w:tcBorders>
              <w:top w:val="nil"/>
              <w:left w:val="single" w:color="auto" w:sz="4" w:space="0"/>
              <w:bottom w:val="single" w:color="auto" w:sz="4" w:space="0"/>
              <w:right w:val="single" w:color="auto" w:sz="4" w:space="0"/>
            </w:tcBorders>
            <w:vAlign w:val="center"/>
          </w:tcPr>
          <w:p w14:paraId="569B461C">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1DDD8E65">
            <w:pPr>
              <w:widowControl/>
              <w:jc w:val="center"/>
              <w:rPr>
                <w:rFonts w:hint="eastAsia" w:ascii="华文仿宋" w:hAnsi="华文仿宋" w:eastAsia="华文仿宋"/>
                <w:sz w:val="22"/>
              </w:rPr>
            </w:pPr>
            <w:r>
              <w:rPr>
                <w:rFonts w:ascii="华文仿宋" w:hAnsi="华文仿宋" w:eastAsia="华文仿宋"/>
                <w:sz w:val="22"/>
              </w:rPr>
              <w:t>6</w:t>
            </w:r>
          </w:p>
        </w:tc>
        <w:tc>
          <w:tcPr>
            <w:tcW w:w="1841" w:type="pct"/>
            <w:tcBorders>
              <w:top w:val="nil"/>
              <w:left w:val="nil"/>
              <w:bottom w:val="single" w:color="auto" w:sz="4" w:space="0"/>
              <w:right w:val="single" w:color="auto" w:sz="4" w:space="0"/>
            </w:tcBorders>
            <w:vAlign w:val="center"/>
          </w:tcPr>
          <w:p w14:paraId="57AC7395">
            <w:pPr>
              <w:widowControl/>
              <w:rPr>
                <w:rFonts w:hint="eastAsia" w:ascii="华文仿宋" w:hAnsi="华文仿宋" w:eastAsia="华文仿宋" w:cs="宋体"/>
                <w:sz w:val="22"/>
              </w:rPr>
            </w:pPr>
            <w:r>
              <w:rPr>
                <w:rFonts w:hint="eastAsia" w:ascii="华文仿宋" w:hAnsi="华文仿宋" w:eastAsia="华文仿宋" w:cs="宋体"/>
                <w:sz w:val="22"/>
              </w:rPr>
              <w:t>制服口袋盖外翻、纽扣完整；冬装上衣毛领翻平；帽檐端正；（发现一处不符合扣0.5分，扣完为止）</w:t>
            </w:r>
          </w:p>
        </w:tc>
        <w:tc>
          <w:tcPr>
            <w:tcW w:w="957" w:type="pct"/>
            <w:tcBorders>
              <w:top w:val="nil"/>
              <w:left w:val="nil"/>
              <w:bottom w:val="single" w:color="auto" w:sz="4" w:space="0"/>
              <w:right w:val="single" w:color="auto" w:sz="4" w:space="0"/>
            </w:tcBorders>
            <w:vAlign w:val="center"/>
          </w:tcPr>
          <w:p w14:paraId="0DDB127E">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28612CD0">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3300F484">
            <w:pPr>
              <w:widowControl/>
              <w:jc w:val="center"/>
              <w:rPr>
                <w:rFonts w:hint="eastAsia" w:ascii="华文仿宋" w:hAnsi="华文仿宋" w:eastAsia="华文仿宋"/>
                <w:sz w:val="22"/>
              </w:rPr>
            </w:pPr>
            <w:r>
              <w:rPr>
                <w:rFonts w:ascii="华文仿宋" w:hAnsi="华文仿宋" w:eastAsia="华文仿宋"/>
                <w:sz w:val="22"/>
              </w:rPr>
              <w:t>　</w:t>
            </w:r>
          </w:p>
        </w:tc>
      </w:tr>
      <w:tr w14:paraId="2270CA33">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17318C8E">
            <w:pPr>
              <w:widowControl/>
              <w:jc w:val="center"/>
              <w:rPr>
                <w:rFonts w:hint="eastAsia" w:ascii="华文仿宋" w:hAnsi="华文仿宋" w:eastAsia="华文仿宋"/>
                <w:sz w:val="22"/>
              </w:rPr>
            </w:pPr>
            <w:r>
              <w:rPr>
                <w:rFonts w:ascii="华文仿宋" w:hAnsi="华文仿宋" w:eastAsia="华文仿宋"/>
                <w:sz w:val="22"/>
              </w:rPr>
              <w:t>3</w:t>
            </w:r>
          </w:p>
        </w:tc>
        <w:tc>
          <w:tcPr>
            <w:tcW w:w="414" w:type="pct"/>
            <w:vMerge w:val="continue"/>
            <w:tcBorders>
              <w:top w:val="nil"/>
              <w:left w:val="single" w:color="auto" w:sz="4" w:space="0"/>
              <w:bottom w:val="single" w:color="auto" w:sz="4" w:space="0"/>
              <w:right w:val="single" w:color="auto" w:sz="4" w:space="0"/>
            </w:tcBorders>
            <w:vAlign w:val="center"/>
          </w:tcPr>
          <w:p w14:paraId="62E9D7BC">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40063152">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489EF174">
            <w:pPr>
              <w:widowControl/>
              <w:rPr>
                <w:rFonts w:hint="eastAsia" w:ascii="华文仿宋" w:hAnsi="华文仿宋" w:eastAsia="华文仿宋" w:cs="宋体"/>
                <w:sz w:val="22"/>
              </w:rPr>
            </w:pPr>
            <w:r>
              <w:rPr>
                <w:rFonts w:hint="eastAsia" w:ascii="华文仿宋" w:hAnsi="华文仿宋" w:eastAsia="华文仿宋" w:cs="宋体"/>
                <w:sz w:val="22"/>
              </w:rPr>
              <w:t>仪容仪表整洁、精神状况佳、举止文明；（发现一处不符合扣0.5分，扣完为止）</w:t>
            </w:r>
          </w:p>
        </w:tc>
        <w:tc>
          <w:tcPr>
            <w:tcW w:w="957" w:type="pct"/>
            <w:tcBorders>
              <w:top w:val="nil"/>
              <w:left w:val="nil"/>
              <w:bottom w:val="single" w:color="auto" w:sz="4" w:space="0"/>
              <w:right w:val="single" w:color="auto" w:sz="4" w:space="0"/>
            </w:tcBorders>
            <w:vAlign w:val="center"/>
          </w:tcPr>
          <w:p w14:paraId="14A1C0BE">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1C6BE515">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724028F9">
            <w:pPr>
              <w:widowControl/>
              <w:jc w:val="center"/>
              <w:rPr>
                <w:rFonts w:hint="eastAsia" w:ascii="华文仿宋" w:hAnsi="华文仿宋" w:eastAsia="华文仿宋"/>
                <w:sz w:val="22"/>
              </w:rPr>
            </w:pPr>
            <w:r>
              <w:rPr>
                <w:rFonts w:ascii="华文仿宋" w:hAnsi="华文仿宋" w:eastAsia="华文仿宋"/>
                <w:sz w:val="22"/>
              </w:rPr>
              <w:t>　</w:t>
            </w:r>
          </w:p>
        </w:tc>
      </w:tr>
      <w:tr w14:paraId="2F546F89">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5C09D62D">
            <w:pPr>
              <w:widowControl/>
              <w:jc w:val="center"/>
              <w:rPr>
                <w:rFonts w:hint="eastAsia" w:ascii="华文仿宋" w:hAnsi="华文仿宋" w:eastAsia="华文仿宋"/>
                <w:sz w:val="22"/>
              </w:rPr>
            </w:pPr>
            <w:r>
              <w:rPr>
                <w:rFonts w:ascii="华文仿宋" w:hAnsi="华文仿宋" w:eastAsia="华文仿宋"/>
                <w:sz w:val="22"/>
              </w:rPr>
              <w:t>4</w:t>
            </w:r>
          </w:p>
        </w:tc>
        <w:tc>
          <w:tcPr>
            <w:tcW w:w="414" w:type="pct"/>
            <w:vMerge w:val="continue"/>
            <w:tcBorders>
              <w:top w:val="nil"/>
              <w:left w:val="single" w:color="auto" w:sz="4" w:space="0"/>
              <w:bottom w:val="single" w:color="auto" w:sz="4" w:space="0"/>
              <w:right w:val="single" w:color="auto" w:sz="4" w:space="0"/>
            </w:tcBorders>
            <w:vAlign w:val="center"/>
          </w:tcPr>
          <w:p w14:paraId="006A596A">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0AF4DB8D">
            <w:pPr>
              <w:widowControl/>
              <w:jc w:val="center"/>
              <w:rPr>
                <w:rFonts w:hint="eastAsia" w:ascii="华文仿宋" w:hAnsi="华文仿宋" w:eastAsia="华文仿宋"/>
                <w:sz w:val="22"/>
              </w:rPr>
            </w:pPr>
            <w:r>
              <w:rPr>
                <w:rFonts w:ascii="华文仿宋" w:hAnsi="华文仿宋" w:eastAsia="华文仿宋"/>
                <w:sz w:val="22"/>
              </w:rPr>
              <w:t>6</w:t>
            </w:r>
          </w:p>
        </w:tc>
        <w:tc>
          <w:tcPr>
            <w:tcW w:w="1841" w:type="pct"/>
            <w:tcBorders>
              <w:top w:val="nil"/>
              <w:left w:val="nil"/>
              <w:bottom w:val="single" w:color="auto" w:sz="4" w:space="0"/>
              <w:right w:val="single" w:color="auto" w:sz="4" w:space="0"/>
            </w:tcBorders>
            <w:vAlign w:val="center"/>
          </w:tcPr>
          <w:p w14:paraId="6E9771DC">
            <w:pPr>
              <w:widowControl/>
              <w:rPr>
                <w:rFonts w:hint="eastAsia" w:ascii="华文仿宋" w:hAnsi="华文仿宋" w:eastAsia="华文仿宋" w:cs="宋体"/>
                <w:sz w:val="22"/>
              </w:rPr>
            </w:pPr>
            <w:r>
              <w:rPr>
                <w:rFonts w:hint="eastAsia" w:ascii="华文仿宋" w:hAnsi="华文仿宋" w:eastAsia="华文仿宋" w:cs="宋体"/>
                <w:sz w:val="22"/>
              </w:rPr>
              <w:t>无染异色发色现象、无留较长胡须、长指甲等现象（发现一处不符合扣0.5分，扣完为止）</w:t>
            </w:r>
          </w:p>
        </w:tc>
        <w:tc>
          <w:tcPr>
            <w:tcW w:w="957" w:type="pct"/>
            <w:tcBorders>
              <w:top w:val="nil"/>
              <w:left w:val="nil"/>
              <w:bottom w:val="single" w:color="auto" w:sz="4" w:space="0"/>
              <w:right w:val="single" w:color="auto" w:sz="4" w:space="0"/>
            </w:tcBorders>
            <w:vAlign w:val="center"/>
          </w:tcPr>
          <w:p w14:paraId="42F7EEC2">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3C8F6503">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64230A71">
            <w:pPr>
              <w:widowControl/>
              <w:jc w:val="center"/>
              <w:rPr>
                <w:rFonts w:hint="eastAsia" w:ascii="华文仿宋" w:hAnsi="华文仿宋" w:eastAsia="华文仿宋"/>
                <w:sz w:val="22"/>
              </w:rPr>
            </w:pPr>
            <w:r>
              <w:rPr>
                <w:rFonts w:ascii="华文仿宋" w:hAnsi="华文仿宋" w:eastAsia="华文仿宋"/>
                <w:sz w:val="22"/>
              </w:rPr>
              <w:t>　</w:t>
            </w:r>
          </w:p>
        </w:tc>
      </w:tr>
      <w:tr w14:paraId="18160548">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5547B67B">
            <w:pPr>
              <w:widowControl/>
              <w:jc w:val="center"/>
              <w:rPr>
                <w:rFonts w:hint="eastAsia" w:ascii="华文仿宋" w:hAnsi="华文仿宋" w:eastAsia="华文仿宋"/>
                <w:sz w:val="22"/>
              </w:rPr>
            </w:pPr>
            <w:r>
              <w:rPr>
                <w:rFonts w:ascii="华文仿宋" w:hAnsi="华文仿宋" w:eastAsia="华文仿宋"/>
                <w:sz w:val="22"/>
              </w:rPr>
              <w:t>5</w:t>
            </w:r>
          </w:p>
        </w:tc>
        <w:tc>
          <w:tcPr>
            <w:tcW w:w="414" w:type="pct"/>
            <w:vMerge w:val="restart"/>
            <w:tcBorders>
              <w:top w:val="nil"/>
              <w:left w:val="single" w:color="auto" w:sz="4" w:space="0"/>
              <w:bottom w:val="single" w:color="000000" w:sz="4" w:space="0"/>
              <w:right w:val="single" w:color="auto" w:sz="4" w:space="0"/>
            </w:tcBorders>
            <w:vAlign w:val="center"/>
          </w:tcPr>
          <w:p w14:paraId="3B30731C">
            <w:pPr>
              <w:widowControl/>
              <w:jc w:val="center"/>
              <w:rPr>
                <w:rFonts w:hint="eastAsia" w:ascii="华文仿宋" w:hAnsi="华文仿宋" w:eastAsia="华文仿宋" w:cs="宋体"/>
                <w:sz w:val="22"/>
              </w:rPr>
            </w:pPr>
            <w:r>
              <w:rPr>
                <w:rFonts w:hint="eastAsia" w:ascii="华文仿宋" w:hAnsi="华文仿宋" w:eastAsia="华文仿宋" w:cs="宋体"/>
                <w:sz w:val="22"/>
              </w:rPr>
              <w:t>工作纪律</w:t>
            </w:r>
          </w:p>
        </w:tc>
        <w:tc>
          <w:tcPr>
            <w:tcW w:w="736" w:type="pct"/>
            <w:tcBorders>
              <w:top w:val="nil"/>
              <w:left w:val="nil"/>
              <w:bottom w:val="single" w:color="auto" w:sz="4" w:space="0"/>
              <w:right w:val="single" w:color="auto" w:sz="4" w:space="0"/>
            </w:tcBorders>
            <w:vAlign w:val="center"/>
          </w:tcPr>
          <w:p w14:paraId="4CBCDEA0">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04B577B8">
            <w:pPr>
              <w:widowControl/>
              <w:rPr>
                <w:rFonts w:hint="eastAsia" w:ascii="华文仿宋" w:hAnsi="华文仿宋" w:eastAsia="华文仿宋" w:cs="宋体"/>
                <w:sz w:val="22"/>
              </w:rPr>
            </w:pPr>
            <w:r>
              <w:rPr>
                <w:rFonts w:hint="eastAsia" w:ascii="华文仿宋" w:hAnsi="华文仿宋" w:eastAsia="华文仿宋" w:cs="宋体"/>
                <w:sz w:val="22"/>
              </w:rPr>
              <w:t>服务人员文明用语，礼貌待人，规范服务；（发现一处不符合扣1分，扣完为止）</w:t>
            </w:r>
          </w:p>
        </w:tc>
        <w:tc>
          <w:tcPr>
            <w:tcW w:w="957" w:type="pct"/>
            <w:tcBorders>
              <w:top w:val="nil"/>
              <w:left w:val="nil"/>
              <w:bottom w:val="single" w:color="auto" w:sz="4" w:space="0"/>
              <w:right w:val="single" w:color="auto" w:sz="4" w:space="0"/>
            </w:tcBorders>
            <w:vAlign w:val="center"/>
          </w:tcPr>
          <w:p w14:paraId="40BE8E48">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69654216">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6CA52F57">
            <w:pPr>
              <w:widowControl/>
              <w:jc w:val="center"/>
              <w:rPr>
                <w:rFonts w:hint="eastAsia" w:ascii="华文仿宋" w:hAnsi="华文仿宋" w:eastAsia="华文仿宋"/>
                <w:sz w:val="22"/>
              </w:rPr>
            </w:pPr>
            <w:r>
              <w:rPr>
                <w:rFonts w:ascii="华文仿宋" w:hAnsi="华文仿宋" w:eastAsia="华文仿宋"/>
                <w:sz w:val="22"/>
              </w:rPr>
              <w:t>　</w:t>
            </w:r>
          </w:p>
        </w:tc>
      </w:tr>
      <w:tr w14:paraId="289CC4E8">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1FD56B8E">
            <w:pPr>
              <w:widowControl/>
              <w:jc w:val="center"/>
              <w:rPr>
                <w:rFonts w:hint="eastAsia" w:ascii="华文仿宋" w:hAnsi="华文仿宋" w:eastAsia="华文仿宋"/>
                <w:sz w:val="22"/>
              </w:rPr>
            </w:pPr>
            <w:r>
              <w:rPr>
                <w:rFonts w:ascii="华文仿宋" w:hAnsi="华文仿宋" w:eastAsia="华文仿宋"/>
                <w:sz w:val="22"/>
              </w:rPr>
              <w:t>6</w:t>
            </w:r>
          </w:p>
        </w:tc>
        <w:tc>
          <w:tcPr>
            <w:tcW w:w="414" w:type="pct"/>
            <w:vMerge w:val="continue"/>
            <w:tcBorders>
              <w:top w:val="nil"/>
              <w:left w:val="single" w:color="auto" w:sz="4" w:space="0"/>
              <w:bottom w:val="single" w:color="000000" w:sz="4" w:space="0"/>
              <w:right w:val="single" w:color="auto" w:sz="4" w:space="0"/>
            </w:tcBorders>
            <w:vAlign w:val="center"/>
          </w:tcPr>
          <w:p w14:paraId="598BFC9A">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6A668DDD">
            <w:pPr>
              <w:widowControl/>
              <w:jc w:val="center"/>
              <w:rPr>
                <w:rFonts w:hint="eastAsia" w:ascii="华文仿宋" w:hAnsi="华文仿宋" w:eastAsia="华文仿宋"/>
                <w:sz w:val="22"/>
              </w:rPr>
            </w:pPr>
            <w:r>
              <w:rPr>
                <w:rFonts w:ascii="华文仿宋" w:hAnsi="华文仿宋" w:eastAsia="华文仿宋"/>
                <w:sz w:val="22"/>
              </w:rPr>
              <w:t>6</w:t>
            </w:r>
          </w:p>
        </w:tc>
        <w:tc>
          <w:tcPr>
            <w:tcW w:w="1841" w:type="pct"/>
            <w:tcBorders>
              <w:top w:val="nil"/>
              <w:left w:val="nil"/>
              <w:bottom w:val="single" w:color="auto" w:sz="4" w:space="0"/>
              <w:right w:val="single" w:color="auto" w:sz="4" w:space="0"/>
            </w:tcBorders>
            <w:vAlign w:val="center"/>
          </w:tcPr>
          <w:p w14:paraId="7B5D4307">
            <w:pPr>
              <w:widowControl/>
              <w:rPr>
                <w:rFonts w:hint="eastAsia" w:ascii="华文仿宋" w:hAnsi="华文仿宋" w:eastAsia="华文仿宋" w:cs="宋体"/>
                <w:sz w:val="22"/>
              </w:rPr>
            </w:pPr>
            <w:r>
              <w:rPr>
                <w:rFonts w:hint="eastAsia" w:ascii="华文仿宋" w:hAnsi="华文仿宋" w:eastAsia="华文仿宋" w:cs="宋体"/>
                <w:sz w:val="22"/>
              </w:rPr>
              <w:t>停车管理：停车专人指引，停放规范；（发现一处不符合扣1分，扣完为止）</w:t>
            </w:r>
          </w:p>
        </w:tc>
        <w:tc>
          <w:tcPr>
            <w:tcW w:w="957" w:type="pct"/>
            <w:tcBorders>
              <w:top w:val="nil"/>
              <w:left w:val="nil"/>
              <w:bottom w:val="single" w:color="auto" w:sz="4" w:space="0"/>
              <w:right w:val="single" w:color="auto" w:sz="4" w:space="0"/>
            </w:tcBorders>
            <w:vAlign w:val="center"/>
          </w:tcPr>
          <w:p w14:paraId="43E16B63">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39E19AF1">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1F01F18F">
            <w:pPr>
              <w:widowControl/>
              <w:jc w:val="center"/>
              <w:rPr>
                <w:rFonts w:hint="eastAsia" w:ascii="华文仿宋" w:hAnsi="华文仿宋" w:eastAsia="华文仿宋"/>
                <w:sz w:val="22"/>
              </w:rPr>
            </w:pPr>
            <w:r>
              <w:rPr>
                <w:rFonts w:ascii="华文仿宋" w:hAnsi="华文仿宋" w:eastAsia="华文仿宋"/>
                <w:sz w:val="22"/>
              </w:rPr>
              <w:t>　</w:t>
            </w:r>
          </w:p>
        </w:tc>
      </w:tr>
      <w:tr w14:paraId="0F82BA54">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213AB679">
            <w:pPr>
              <w:widowControl/>
              <w:jc w:val="center"/>
              <w:rPr>
                <w:rFonts w:hint="eastAsia" w:ascii="华文仿宋" w:hAnsi="华文仿宋" w:eastAsia="华文仿宋"/>
                <w:sz w:val="22"/>
              </w:rPr>
            </w:pPr>
            <w:r>
              <w:rPr>
                <w:rFonts w:ascii="华文仿宋" w:hAnsi="华文仿宋" w:eastAsia="华文仿宋"/>
                <w:sz w:val="22"/>
              </w:rPr>
              <w:t>7</w:t>
            </w:r>
          </w:p>
        </w:tc>
        <w:tc>
          <w:tcPr>
            <w:tcW w:w="414" w:type="pct"/>
            <w:vMerge w:val="continue"/>
            <w:tcBorders>
              <w:top w:val="nil"/>
              <w:left w:val="single" w:color="auto" w:sz="4" w:space="0"/>
              <w:bottom w:val="single" w:color="000000" w:sz="4" w:space="0"/>
              <w:right w:val="single" w:color="auto" w:sz="4" w:space="0"/>
            </w:tcBorders>
            <w:vAlign w:val="center"/>
          </w:tcPr>
          <w:p w14:paraId="647710A7">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46C6C88F">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5308F362">
            <w:pPr>
              <w:widowControl/>
              <w:rPr>
                <w:rFonts w:hint="eastAsia" w:ascii="华文仿宋" w:hAnsi="华文仿宋" w:eastAsia="华文仿宋" w:cs="宋体"/>
                <w:sz w:val="22"/>
              </w:rPr>
            </w:pPr>
            <w:r>
              <w:rPr>
                <w:rFonts w:hint="eastAsia" w:ascii="华文仿宋" w:hAnsi="华文仿宋" w:eastAsia="华文仿宋" w:cs="宋体"/>
                <w:sz w:val="22"/>
              </w:rPr>
              <w:t>工作期间禁止吸烟；禁止串岗聊天；禁止袖手、背手等现象（发现一处不符合扣1分，扣完为止）</w:t>
            </w:r>
          </w:p>
        </w:tc>
        <w:tc>
          <w:tcPr>
            <w:tcW w:w="957" w:type="pct"/>
            <w:tcBorders>
              <w:top w:val="nil"/>
              <w:left w:val="nil"/>
              <w:bottom w:val="single" w:color="auto" w:sz="4" w:space="0"/>
              <w:right w:val="single" w:color="auto" w:sz="4" w:space="0"/>
            </w:tcBorders>
            <w:vAlign w:val="center"/>
          </w:tcPr>
          <w:p w14:paraId="196DE3DA">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27CACF3B">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2A7CC448">
            <w:pPr>
              <w:widowControl/>
              <w:jc w:val="center"/>
              <w:rPr>
                <w:rFonts w:hint="eastAsia" w:ascii="华文仿宋" w:hAnsi="华文仿宋" w:eastAsia="华文仿宋"/>
                <w:sz w:val="22"/>
              </w:rPr>
            </w:pPr>
            <w:r>
              <w:rPr>
                <w:rFonts w:ascii="华文仿宋" w:hAnsi="华文仿宋" w:eastAsia="华文仿宋"/>
                <w:sz w:val="22"/>
              </w:rPr>
              <w:t>　</w:t>
            </w:r>
          </w:p>
        </w:tc>
      </w:tr>
      <w:tr w14:paraId="5E874BDB">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2532D686">
            <w:pPr>
              <w:widowControl/>
              <w:jc w:val="center"/>
              <w:rPr>
                <w:rFonts w:hint="eastAsia" w:ascii="华文仿宋" w:hAnsi="华文仿宋" w:eastAsia="华文仿宋"/>
                <w:sz w:val="22"/>
              </w:rPr>
            </w:pPr>
            <w:r>
              <w:rPr>
                <w:rFonts w:ascii="华文仿宋" w:hAnsi="华文仿宋" w:eastAsia="华文仿宋"/>
                <w:sz w:val="22"/>
              </w:rPr>
              <w:t>8</w:t>
            </w:r>
          </w:p>
        </w:tc>
        <w:tc>
          <w:tcPr>
            <w:tcW w:w="414" w:type="pct"/>
            <w:vMerge w:val="continue"/>
            <w:tcBorders>
              <w:top w:val="nil"/>
              <w:left w:val="single" w:color="auto" w:sz="4" w:space="0"/>
              <w:bottom w:val="single" w:color="000000" w:sz="4" w:space="0"/>
              <w:right w:val="single" w:color="auto" w:sz="4" w:space="0"/>
            </w:tcBorders>
            <w:vAlign w:val="center"/>
          </w:tcPr>
          <w:p w14:paraId="2A5C9A63">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3D9B9B49">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15A118C3">
            <w:pPr>
              <w:widowControl/>
              <w:rPr>
                <w:rFonts w:hint="eastAsia" w:ascii="华文仿宋" w:hAnsi="华文仿宋" w:eastAsia="华文仿宋" w:cs="宋体"/>
                <w:sz w:val="22"/>
              </w:rPr>
            </w:pPr>
            <w:r>
              <w:rPr>
                <w:rFonts w:hint="eastAsia" w:ascii="华文仿宋" w:hAnsi="华文仿宋" w:eastAsia="华文仿宋" w:cs="宋体"/>
                <w:sz w:val="22"/>
              </w:rPr>
              <w:t>无争吵谩骂、使用低俗语言现象；严格做好保密工作，严禁询问、讨论、外传会议内容及领导讲话内容等。（发现一处不符合本项不得分）</w:t>
            </w:r>
          </w:p>
        </w:tc>
        <w:tc>
          <w:tcPr>
            <w:tcW w:w="957" w:type="pct"/>
            <w:tcBorders>
              <w:top w:val="nil"/>
              <w:left w:val="nil"/>
              <w:bottom w:val="single" w:color="auto" w:sz="4" w:space="0"/>
              <w:right w:val="single" w:color="auto" w:sz="4" w:space="0"/>
            </w:tcBorders>
            <w:vAlign w:val="center"/>
          </w:tcPr>
          <w:p w14:paraId="603FB120">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067B12FD">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3A9418C7">
            <w:pPr>
              <w:widowControl/>
              <w:jc w:val="center"/>
              <w:rPr>
                <w:rFonts w:hint="eastAsia" w:ascii="华文仿宋" w:hAnsi="华文仿宋" w:eastAsia="华文仿宋"/>
                <w:sz w:val="22"/>
              </w:rPr>
            </w:pPr>
            <w:r>
              <w:rPr>
                <w:rFonts w:ascii="华文仿宋" w:hAnsi="华文仿宋" w:eastAsia="华文仿宋"/>
                <w:sz w:val="22"/>
              </w:rPr>
              <w:t>　</w:t>
            </w:r>
          </w:p>
        </w:tc>
      </w:tr>
      <w:tr w14:paraId="35EC9750">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0775E7EE">
            <w:pPr>
              <w:widowControl/>
              <w:jc w:val="center"/>
              <w:rPr>
                <w:rFonts w:hint="eastAsia" w:ascii="华文仿宋" w:hAnsi="华文仿宋" w:eastAsia="华文仿宋"/>
                <w:sz w:val="22"/>
              </w:rPr>
            </w:pPr>
            <w:r>
              <w:rPr>
                <w:rFonts w:ascii="华文仿宋" w:hAnsi="华文仿宋" w:eastAsia="华文仿宋"/>
                <w:sz w:val="22"/>
              </w:rPr>
              <w:t>9</w:t>
            </w:r>
          </w:p>
        </w:tc>
        <w:tc>
          <w:tcPr>
            <w:tcW w:w="414" w:type="pct"/>
            <w:vMerge w:val="continue"/>
            <w:tcBorders>
              <w:top w:val="nil"/>
              <w:left w:val="single" w:color="auto" w:sz="4" w:space="0"/>
              <w:bottom w:val="single" w:color="000000" w:sz="4" w:space="0"/>
              <w:right w:val="single" w:color="auto" w:sz="4" w:space="0"/>
            </w:tcBorders>
            <w:vAlign w:val="center"/>
          </w:tcPr>
          <w:p w14:paraId="514F40FE">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687D3E91">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27D628E7">
            <w:pPr>
              <w:widowControl/>
              <w:rPr>
                <w:rFonts w:hint="eastAsia" w:ascii="华文仿宋" w:hAnsi="华文仿宋" w:eastAsia="华文仿宋" w:cs="宋体"/>
                <w:sz w:val="22"/>
              </w:rPr>
            </w:pPr>
            <w:r>
              <w:rPr>
                <w:rFonts w:hint="eastAsia" w:ascii="华文仿宋" w:hAnsi="华文仿宋" w:eastAsia="华文仿宋" w:cs="宋体"/>
                <w:sz w:val="22"/>
              </w:rPr>
              <w:t>发现突发情况及时上报；（发现一处不符合本项不得分）</w:t>
            </w:r>
          </w:p>
        </w:tc>
        <w:tc>
          <w:tcPr>
            <w:tcW w:w="957" w:type="pct"/>
            <w:tcBorders>
              <w:top w:val="nil"/>
              <w:left w:val="nil"/>
              <w:bottom w:val="single" w:color="auto" w:sz="4" w:space="0"/>
              <w:right w:val="single" w:color="auto" w:sz="4" w:space="0"/>
            </w:tcBorders>
            <w:vAlign w:val="center"/>
          </w:tcPr>
          <w:p w14:paraId="5DEBF2CB">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3FCE3D86">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661B071B">
            <w:pPr>
              <w:widowControl/>
              <w:jc w:val="center"/>
              <w:rPr>
                <w:rFonts w:hint="eastAsia" w:ascii="华文仿宋" w:hAnsi="华文仿宋" w:eastAsia="华文仿宋"/>
                <w:sz w:val="22"/>
              </w:rPr>
            </w:pPr>
            <w:r>
              <w:rPr>
                <w:rFonts w:ascii="华文仿宋" w:hAnsi="华文仿宋" w:eastAsia="华文仿宋"/>
                <w:sz w:val="22"/>
              </w:rPr>
              <w:t>　</w:t>
            </w:r>
          </w:p>
        </w:tc>
      </w:tr>
      <w:tr w14:paraId="35BEDC81">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50759F3E">
            <w:pPr>
              <w:widowControl/>
              <w:jc w:val="center"/>
              <w:rPr>
                <w:rFonts w:hint="eastAsia" w:ascii="华文仿宋" w:hAnsi="华文仿宋" w:eastAsia="华文仿宋"/>
                <w:sz w:val="22"/>
              </w:rPr>
            </w:pPr>
            <w:r>
              <w:rPr>
                <w:rFonts w:ascii="华文仿宋" w:hAnsi="华文仿宋" w:eastAsia="华文仿宋"/>
                <w:sz w:val="22"/>
              </w:rPr>
              <w:t>10</w:t>
            </w:r>
          </w:p>
        </w:tc>
        <w:tc>
          <w:tcPr>
            <w:tcW w:w="414" w:type="pct"/>
            <w:vMerge w:val="continue"/>
            <w:tcBorders>
              <w:top w:val="nil"/>
              <w:left w:val="single" w:color="auto" w:sz="4" w:space="0"/>
              <w:bottom w:val="single" w:color="000000" w:sz="4" w:space="0"/>
              <w:right w:val="single" w:color="auto" w:sz="4" w:space="0"/>
            </w:tcBorders>
            <w:vAlign w:val="center"/>
          </w:tcPr>
          <w:p w14:paraId="4B6AFCCB">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6270C778">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1BA12AA0">
            <w:pPr>
              <w:widowControl/>
              <w:rPr>
                <w:rFonts w:hint="eastAsia" w:ascii="华文仿宋" w:hAnsi="华文仿宋" w:eastAsia="华文仿宋" w:cs="宋体"/>
                <w:sz w:val="22"/>
              </w:rPr>
            </w:pPr>
            <w:r>
              <w:rPr>
                <w:rFonts w:hint="eastAsia" w:ascii="华文仿宋" w:hAnsi="华文仿宋" w:eastAsia="华文仿宋" w:cs="宋体"/>
                <w:sz w:val="22"/>
              </w:rPr>
              <w:t>无因岗位失职导致未经允许的人员进入办公大楼内，影响正常办公秩序的现象；（发现一处不符合本项不得分）</w:t>
            </w:r>
          </w:p>
        </w:tc>
        <w:tc>
          <w:tcPr>
            <w:tcW w:w="957" w:type="pct"/>
            <w:tcBorders>
              <w:top w:val="nil"/>
              <w:left w:val="nil"/>
              <w:bottom w:val="single" w:color="auto" w:sz="4" w:space="0"/>
              <w:right w:val="single" w:color="auto" w:sz="4" w:space="0"/>
            </w:tcBorders>
            <w:vAlign w:val="center"/>
          </w:tcPr>
          <w:p w14:paraId="10ED0269">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6F823827">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71B13157">
            <w:pPr>
              <w:widowControl/>
              <w:jc w:val="center"/>
              <w:rPr>
                <w:rFonts w:hint="eastAsia" w:ascii="华文仿宋" w:hAnsi="华文仿宋" w:eastAsia="华文仿宋"/>
                <w:sz w:val="22"/>
              </w:rPr>
            </w:pPr>
            <w:r>
              <w:rPr>
                <w:rFonts w:ascii="华文仿宋" w:hAnsi="华文仿宋" w:eastAsia="华文仿宋"/>
                <w:sz w:val="22"/>
              </w:rPr>
              <w:t>　</w:t>
            </w:r>
          </w:p>
        </w:tc>
      </w:tr>
      <w:tr w14:paraId="79E39B20">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761E0B1D">
            <w:pPr>
              <w:widowControl/>
              <w:jc w:val="center"/>
              <w:rPr>
                <w:rFonts w:hint="eastAsia" w:ascii="华文仿宋" w:hAnsi="华文仿宋" w:eastAsia="华文仿宋"/>
                <w:sz w:val="22"/>
              </w:rPr>
            </w:pPr>
            <w:r>
              <w:rPr>
                <w:rFonts w:ascii="华文仿宋" w:hAnsi="华文仿宋" w:eastAsia="华文仿宋"/>
                <w:sz w:val="22"/>
              </w:rPr>
              <w:t>11</w:t>
            </w:r>
          </w:p>
        </w:tc>
        <w:tc>
          <w:tcPr>
            <w:tcW w:w="414" w:type="pct"/>
            <w:vMerge w:val="continue"/>
            <w:tcBorders>
              <w:top w:val="nil"/>
              <w:left w:val="single" w:color="auto" w:sz="4" w:space="0"/>
              <w:bottom w:val="single" w:color="000000" w:sz="4" w:space="0"/>
              <w:right w:val="single" w:color="auto" w:sz="4" w:space="0"/>
            </w:tcBorders>
            <w:vAlign w:val="center"/>
          </w:tcPr>
          <w:p w14:paraId="799D57F6">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24445F19">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6E00F6C1">
            <w:pPr>
              <w:widowControl/>
              <w:rPr>
                <w:rFonts w:hint="eastAsia" w:ascii="华文仿宋" w:hAnsi="华文仿宋" w:eastAsia="华文仿宋" w:cs="宋体"/>
                <w:sz w:val="22"/>
              </w:rPr>
            </w:pPr>
            <w:r>
              <w:rPr>
                <w:rFonts w:hint="eastAsia" w:ascii="华文仿宋" w:hAnsi="华文仿宋" w:eastAsia="华文仿宋" w:cs="宋体"/>
                <w:sz w:val="22"/>
              </w:rPr>
              <w:t>无遗失客户单位物品现象、无扣留客户单位物品不登记不上缴现象；（发现一处不符合本项不得分）</w:t>
            </w:r>
          </w:p>
        </w:tc>
        <w:tc>
          <w:tcPr>
            <w:tcW w:w="957" w:type="pct"/>
            <w:tcBorders>
              <w:top w:val="nil"/>
              <w:left w:val="nil"/>
              <w:bottom w:val="single" w:color="auto" w:sz="4" w:space="0"/>
              <w:right w:val="single" w:color="auto" w:sz="4" w:space="0"/>
            </w:tcBorders>
            <w:vAlign w:val="center"/>
          </w:tcPr>
          <w:p w14:paraId="36073E8E">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4EF78B8D">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09B18262">
            <w:pPr>
              <w:widowControl/>
              <w:jc w:val="center"/>
              <w:rPr>
                <w:rFonts w:hint="eastAsia" w:ascii="华文仿宋" w:hAnsi="华文仿宋" w:eastAsia="华文仿宋"/>
                <w:sz w:val="22"/>
              </w:rPr>
            </w:pPr>
            <w:r>
              <w:rPr>
                <w:rFonts w:ascii="华文仿宋" w:hAnsi="华文仿宋" w:eastAsia="华文仿宋"/>
                <w:sz w:val="22"/>
              </w:rPr>
              <w:t>　</w:t>
            </w:r>
          </w:p>
        </w:tc>
      </w:tr>
      <w:tr w14:paraId="3E7FC5FF">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2BC31D4D">
            <w:pPr>
              <w:widowControl/>
              <w:jc w:val="center"/>
              <w:rPr>
                <w:rFonts w:hint="eastAsia" w:ascii="华文仿宋" w:hAnsi="华文仿宋" w:eastAsia="华文仿宋"/>
                <w:sz w:val="22"/>
              </w:rPr>
            </w:pPr>
            <w:r>
              <w:rPr>
                <w:rFonts w:ascii="华文仿宋" w:hAnsi="华文仿宋" w:eastAsia="华文仿宋"/>
                <w:sz w:val="22"/>
              </w:rPr>
              <w:t>12</w:t>
            </w:r>
          </w:p>
        </w:tc>
        <w:tc>
          <w:tcPr>
            <w:tcW w:w="414" w:type="pct"/>
            <w:vMerge w:val="continue"/>
            <w:tcBorders>
              <w:top w:val="nil"/>
              <w:left w:val="single" w:color="auto" w:sz="4" w:space="0"/>
              <w:bottom w:val="single" w:color="000000" w:sz="4" w:space="0"/>
              <w:right w:val="single" w:color="auto" w:sz="4" w:space="0"/>
            </w:tcBorders>
            <w:vAlign w:val="center"/>
          </w:tcPr>
          <w:p w14:paraId="7747E46B">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1C12C7B9">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1784B896">
            <w:pPr>
              <w:widowControl/>
              <w:rPr>
                <w:rFonts w:hint="eastAsia" w:ascii="华文仿宋" w:hAnsi="华文仿宋" w:eastAsia="华文仿宋" w:cs="宋体"/>
                <w:sz w:val="22"/>
              </w:rPr>
            </w:pPr>
            <w:r>
              <w:rPr>
                <w:rFonts w:hint="eastAsia" w:ascii="华文仿宋" w:hAnsi="华文仿宋" w:eastAsia="华文仿宋" w:cs="宋体"/>
                <w:sz w:val="22"/>
              </w:rPr>
              <w:t>工作期间禁止饮酒；无酒后上岗、脱岗睡觉等现象；（发现一处不符合本项不得分）</w:t>
            </w:r>
          </w:p>
        </w:tc>
        <w:tc>
          <w:tcPr>
            <w:tcW w:w="957" w:type="pct"/>
            <w:tcBorders>
              <w:top w:val="nil"/>
              <w:left w:val="nil"/>
              <w:bottom w:val="single" w:color="auto" w:sz="4" w:space="0"/>
              <w:right w:val="single" w:color="auto" w:sz="4" w:space="0"/>
            </w:tcBorders>
            <w:vAlign w:val="center"/>
          </w:tcPr>
          <w:p w14:paraId="59AA04B1">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6A82EEF6">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3C164C74">
            <w:pPr>
              <w:widowControl/>
              <w:jc w:val="center"/>
              <w:rPr>
                <w:rFonts w:hint="eastAsia" w:ascii="华文仿宋" w:hAnsi="华文仿宋" w:eastAsia="华文仿宋"/>
                <w:sz w:val="22"/>
              </w:rPr>
            </w:pPr>
            <w:r>
              <w:rPr>
                <w:rFonts w:ascii="华文仿宋" w:hAnsi="华文仿宋" w:eastAsia="华文仿宋"/>
                <w:sz w:val="22"/>
              </w:rPr>
              <w:t>　</w:t>
            </w:r>
          </w:p>
        </w:tc>
      </w:tr>
      <w:tr w14:paraId="3ED8F1CD">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46DBA8E5">
            <w:pPr>
              <w:widowControl/>
              <w:jc w:val="center"/>
              <w:rPr>
                <w:rFonts w:hint="eastAsia" w:ascii="华文仿宋" w:hAnsi="华文仿宋" w:eastAsia="华文仿宋"/>
                <w:sz w:val="22"/>
              </w:rPr>
            </w:pPr>
            <w:r>
              <w:rPr>
                <w:rFonts w:ascii="华文仿宋" w:hAnsi="华文仿宋" w:eastAsia="华文仿宋"/>
                <w:sz w:val="22"/>
              </w:rPr>
              <w:t>13</w:t>
            </w:r>
          </w:p>
        </w:tc>
        <w:tc>
          <w:tcPr>
            <w:tcW w:w="414" w:type="pct"/>
            <w:vMerge w:val="restart"/>
            <w:tcBorders>
              <w:top w:val="nil"/>
              <w:left w:val="single" w:color="auto" w:sz="4" w:space="0"/>
              <w:bottom w:val="single" w:color="auto" w:sz="4" w:space="0"/>
              <w:right w:val="single" w:color="auto" w:sz="4" w:space="0"/>
            </w:tcBorders>
            <w:vAlign w:val="center"/>
          </w:tcPr>
          <w:p w14:paraId="73EB2A30">
            <w:pPr>
              <w:widowControl/>
              <w:jc w:val="center"/>
              <w:rPr>
                <w:rFonts w:hint="eastAsia" w:ascii="华文仿宋" w:hAnsi="华文仿宋" w:eastAsia="华文仿宋" w:cs="宋体"/>
                <w:sz w:val="22"/>
              </w:rPr>
            </w:pPr>
            <w:r>
              <w:rPr>
                <w:rFonts w:hint="eastAsia" w:ascii="华文仿宋" w:hAnsi="华文仿宋" w:eastAsia="华文仿宋" w:cs="宋体"/>
                <w:sz w:val="22"/>
              </w:rPr>
              <w:t>管理</w:t>
            </w:r>
          </w:p>
        </w:tc>
        <w:tc>
          <w:tcPr>
            <w:tcW w:w="736" w:type="pct"/>
            <w:tcBorders>
              <w:top w:val="nil"/>
              <w:left w:val="nil"/>
              <w:bottom w:val="single" w:color="auto" w:sz="4" w:space="0"/>
              <w:right w:val="single" w:color="auto" w:sz="4" w:space="0"/>
            </w:tcBorders>
            <w:vAlign w:val="center"/>
          </w:tcPr>
          <w:p w14:paraId="1FBE5AD7">
            <w:pPr>
              <w:widowControl/>
              <w:jc w:val="center"/>
              <w:rPr>
                <w:rFonts w:hint="eastAsia" w:ascii="华文仿宋" w:hAnsi="华文仿宋" w:eastAsia="华文仿宋"/>
                <w:sz w:val="22"/>
              </w:rPr>
            </w:pPr>
            <w:r>
              <w:rPr>
                <w:rFonts w:ascii="华文仿宋" w:hAnsi="华文仿宋" w:eastAsia="华文仿宋"/>
                <w:sz w:val="22"/>
              </w:rPr>
              <w:t>6</w:t>
            </w:r>
          </w:p>
        </w:tc>
        <w:tc>
          <w:tcPr>
            <w:tcW w:w="1841" w:type="pct"/>
            <w:tcBorders>
              <w:top w:val="nil"/>
              <w:left w:val="nil"/>
              <w:bottom w:val="single" w:color="auto" w:sz="4" w:space="0"/>
              <w:right w:val="single" w:color="auto" w:sz="4" w:space="0"/>
            </w:tcBorders>
            <w:vAlign w:val="center"/>
          </w:tcPr>
          <w:p w14:paraId="64AFB70E">
            <w:pPr>
              <w:widowControl/>
              <w:rPr>
                <w:rFonts w:hint="eastAsia" w:ascii="华文仿宋" w:hAnsi="华文仿宋" w:eastAsia="华文仿宋" w:cs="宋体"/>
                <w:sz w:val="22"/>
              </w:rPr>
            </w:pPr>
            <w:r>
              <w:rPr>
                <w:rFonts w:hint="eastAsia" w:ascii="华文仿宋" w:hAnsi="华文仿宋" w:eastAsia="华文仿宋" w:cs="宋体"/>
                <w:sz w:val="22"/>
              </w:rPr>
              <w:t>无遭到业主投诉现象；（发现一处不符合扣1分，扣完为止）</w:t>
            </w:r>
          </w:p>
        </w:tc>
        <w:tc>
          <w:tcPr>
            <w:tcW w:w="957" w:type="pct"/>
            <w:tcBorders>
              <w:top w:val="nil"/>
              <w:left w:val="nil"/>
              <w:bottom w:val="single" w:color="auto" w:sz="4" w:space="0"/>
              <w:right w:val="single" w:color="auto" w:sz="4" w:space="0"/>
            </w:tcBorders>
            <w:vAlign w:val="center"/>
          </w:tcPr>
          <w:p w14:paraId="440E82D4">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7BBDEAAF">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3FE13C74">
            <w:pPr>
              <w:widowControl/>
              <w:jc w:val="center"/>
              <w:rPr>
                <w:rFonts w:hint="eastAsia" w:ascii="华文仿宋" w:hAnsi="华文仿宋" w:eastAsia="华文仿宋"/>
                <w:sz w:val="22"/>
              </w:rPr>
            </w:pPr>
            <w:r>
              <w:rPr>
                <w:rFonts w:ascii="华文仿宋" w:hAnsi="华文仿宋" w:eastAsia="华文仿宋"/>
                <w:sz w:val="22"/>
              </w:rPr>
              <w:t>　</w:t>
            </w:r>
          </w:p>
        </w:tc>
      </w:tr>
      <w:tr w14:paraId="131DDD20">
        <w:tblPrEx>
          <w:tblCellMar>
            <w:top w:w="0" w:type="dxa"/>
            <w:left w:w="108" w:type="dxa"/>
            <w:bottom w:w="0" w:type="dxa"/>
            <w:right w:w="108" w:type="dxa"/>
          </w:tblCellMar>
        </w:tblPrEx>
        <w:trPr>
          <w:trHeight w:val="300" w:hRule="atLeast"/>
        </w:trPr>
        <w:tc>
          <w:tcPr>
            <w:tcW w:w="319" w:type="pct"/>
            <w:tcBorders>
              <w:top w:val="nil"/>
              <w:left w:val="single" w:color="auto" w:sz="4" w:space="0"/>
              <w:bottom w:val="single" w:color="auto" w:sz="4" w:space="0"/>
              <w:right w:val="single" w:color="auto" w:sz="4" w:space="0"/>
            </w:tcBorders>
            <w:vAlign w:val="center"/>
          </w:tcPr>
          <w:p w14:paraId="23C12023">
            <w:pPr>
              <w:widowControl/>
              <w:jc w:val="center"/>
              <w:rPr>
                <w:rFonts w:hint="eastAsia" w:ascii="华文仿宋" w:hAnsi="华文仿宋" w:eastAsia="华文仿宋"/>
                <w:sz w:val="22"/>
              </w:rPr>
            </w:pPr>
            <w:r>
              <w:rPr>
                <w:rFonts w:ascii="华文仿宋" w:hAnsi="华文仿宋" w:eastAsia="华文仿宋"/>
                <w:sz w:val="22"/>
              </w:rPr>
              <w:t>14</w:t>
            </w:r>
          </w:p>
        </w:tc>
        <w:tc>
          <w:tcPr>
            <w:tcW w:w="414" w:type="pct"/>
            <w:vMerge w:val="continue"/>
            <w:tcBorders>
              <w:top w:val="nil"/>
              <w:left w:val="single" w:color="auto" w:sz="4" w:space="0"/>
              <w:bottom w:val="single" w:color="auto" w:sz="4" w:space="0"/>
              <w:right w:val="single" w:color="auto" w:sz="4" w:space="0"/>
            </w:tcBorders>
            <w:vAlign w:val="center"/>
          </w:tcPr>
          <w:p w14:paraId="42FAB050">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264ABF7C">
            <w:pPr>
              <w:widowControl/>
              <w:jc w:val="center"/>
              <w:rPr>
                <w:rFonts w:hint="eastAsia" w:ascii="华文仿宋" w:hAnsi="华文仿宋" w:eastAsia="华文仿宋"/>
                <w:sz w:val="22"/>
              </w:rPr>
            </w:pPr>
            <w:r>
              <w:rPr>
                <w:rFonts w:ascii="华文仿宋" w:hAnsi="华文仿宋" w:eastAsia="华文仿宋"/>
                <w:sz w:val="22"/>
              </w:rPr>
              <w:t>7</w:t>
            </w:r>
          </w:p>
        </w:tc>
        <w:tc>
          <w:tcPr>
            <w:tcW w:w="1841" w:type="pct"/>
            <w:tcBorders>
              <w:top w:val="nil"/>
              <w:left w:val="nil"/>
              <w:bottom w:val="single" w:color="auto" w:sz="4" w:space="0"/>
              <w:right w:val="single" w:color="auto" w:sz="4" w:space="0"/>
            </w:tcBorders>
            <w:vAlign w:val="center"/>
          </w:tcPr>
          <w:p w14:paraId="1CA0CA65">
            <w:pPr>
              <w:widowControl/>
              <w:rPr>
                <w:rFonts w:hint="eastAsia" w:ascii="华文仿宋" w:hAnsi="华文仿宋" w:eastAsia="华文仿宋" w:cs="宋体"/>
                <w:sz w:val="22"/>
              </w:rPr>
            </w:pPr>
            <w:r>
              <w:rPr>
                <w:rFonts w:hint="eastAsia" w:ascii="华文仿宋" w:hAnsi="华文仿宋" w:eastAsia="华文仿宋" w:cs="宋体"/>
                <w:sz w:val="22"/>
              </w:rPr>
              <w:t>无因管理不当造成重大工作事故的现象；（发现一处不符合本项不得分）</w:t>
            </w:r>
          </w:p>
        </w:tc>
        <w:tc>
          <w:tcPr>
            <w:tcW w:w="957" w:type="pct"/>
            <w:tcBorders>
              <w:top w:val="nil"/>
              <w:left w:val="nil"/>
              <w:bottom w:val="single" w:color="auto" w:sz="4" w:space="0"/>
              <w:right w:val="single" w:color="auto" w:sz="4" w:space="0"/>
            </w:tcBorders>
            <w:vAlign w:val="center"/>
          </w:tcPr>
          <w:p w14:paraId="5F815011">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7EE99209">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619458C1">
            <w:pPr>
              <w:widowControl/>
              <w:jc w:val="center"/>
              <w:rPr>
                <w:rFonts w:hint="eastAsia" w:ascii="华文仿宋" w:hAnsi="华文仿宋" w:eastAsia="华文仿宋"/>
                <w:sz w:val="22"/>
              </w:rPr>
            </w:pPr>
            <w:r>
              <w:rPr>
                <w:rFonts w:ascii="华文仿宋" w:hAnsi="华文仿宋" w:eastAsia="华文仿宋"/>
                <w:sz w:val="22"/>
              </w:rPr>
              <w:t>　</w:t>
            </w:r>
          </w:p>
        </w:tc>
      </w:tr>
      <w:tr w14:paraId="07D5A10E">
        <w:tblPrEx>
          <w:tblCellMar>
            <w:top w:w="0" w:type="dxa"/>
            <w:left w:w="108" w:type="dxa"/>
            <w:bottom w:w="0" w:type="dxa"/>
            <w:right w:w="108" w:type="dxa"/>
          </w:tblCellMar>
        </w:tblPrEx>
        <w:trPr>
          <w:trHeight w:val="540" w:hRule="atLeast"/>
        </w:trPr>
        <w:tc>
          <w:tcPr>
            <w:tcW w:w="319" w:type="pct"/>
            <w:tcBorders>
              <w:top w:val="nil"/>
              <w:left w:val="single" w:color="auto" w:sz="4" w:space="0"/>
              <w:bottom w:val="single" w:color="auto" w:sz="4" w:space="0"/>
              <w:right w:val="single" w:color="auto" w:sz="4" w:space="0"/>
            </w:tcBorders>
            <w:vAlign w:val="center"/>
          </w:tcPr>
          <w:p w14:paraId="7BB8D582">
            <w:pPr>
              <w:widowControl/>
              <w:jc w:val="center"/>
              <w:rPr>
                <w:rFonts w:hint="eastAsia" w:ascii="华文仿宋" w:hAnsi="华文仿宋" w:eastAsia="华文仿宋"/>
                <w:sz w:val="22"/>
              </w:rPr>
            </w:pPr>
            <w:r>
              <w:rPr>
                <w:rFonts w:ascii="华文仿宋" w:hAnsi="华文仿宋" w:eastAsia="华文仿宋"/>
                <w:sz w:val="22"/>
              </w:rPr>
              <w:t>15</w:t>
            </w:r>
          </w:p>
        </w:tc>
        <w:tc>
          <w:tcPr>
            <w:tcW w:w="414" w:type="pct"/>
            <w:vMerge w:val="continue"/>
            <w:tcBorders>
              <w:top w:val="nil"/>
              <w:left w:val="single" w:color="auto" w:sz="4" w:space="0"/>
              <w:bottom w:val="single" w:color="auto" w:sz="4" w:space="0"/>
              <w:right w:val="single" w:color="auto" w:sz="4" w:space="0"/>
            </w:tcBorders>
            <w:vAlign w:val="center"/>
          </w:tcPr>
          <w:p w14:paraId="7CE3E7F7">
            <w:pPr>
              <w:widowControl/>
              <w:rPr>
                <w:rFonts w:hint="eastAsia" w:ascii="华文仿宋" w:hAnsi="华文仿宋" w:eastAsia="华文仿宋" w:cs="宋体"/>
                <w:sz w:val="22"/>
              </w:rPr>
            </w:pPr>
          </w:p>
        </w:tc>
        <w:tc>
          <w:tcPr>
            <w:tcW w:w="736" w:type="pct"/>
            <w:tcBorders>
              <w:top w:val="nil"/>
              <w:left w:val="nil"/>
              <w:bottom w:val="single" w:color="auto" w:sz="4" w:space="0"/>
              <w:right w:val="single" w:color="auto" w:sz="4" w:space="0"/>
            </w:tcBorders>
            <w:vAlign w:val="center"/>
          </w:tcPr>
          <w:p w14:paraId="4E46E5CA">
            <w:pPr>
              <w:widowControl/>
              <w:jc w:val="center"/>
              <w:rPr>
                <w:rFonts w:hint="eastAsia" w:ascii="华文仿宋" w:hAnsi="华文仿宋" w:eastAsia="华文仿宋"/>
                <w:sz w:val="22"/>
              </w:rPr>
            </w:pPr>
            <w:r>
              <w:rPr>
                <w:rFonts w:ascii="华文仿宋" w:hAnsi="华文仿宋" w:eastAsia="华文仿宋"/>
                <w:sz w:val="22"/>
              </w:rPr>
              <w:t>6</w:t>
            </w:r>
          </w:p>
        </w:tc>
        <w:tc>
          <w:tcPr>
            <w:tcW w:w="1841" w:type="pct"/>
            <w:tcBorders>
              <w:top w:val="nil"/>
              <w:left w:val="nil"/>
              <w:bottom w:val="single" w:color="auto" w:sz="4" w:space="0"/>
              <w:right w:val="single" w:color="auto" w:sz="4" w:space="0"/>
            </w:tcBorders>
            <w:vAlign w:val="center"/>
          </w:tcPr>
          <w:p w14:paraId="10EA685A">
            <w:pPr>
              <w:widowControl/>
              <w:rPr>
                <w:rFonts w:hint="eastAsia" w:ascii="华文仿宋" w:hAnsi="华文仿宋" w:eastAsia="华文仿宋" w:cs="宋体"/>
                <w:sz w:val="22"/>
              </w:rPr>
            </w:pPr>
            <w:r>
              <w:rPr>
                <w:rFonts w:hint="eastAsia" w:ascii="华文仿宋" w:hAnsi="华文仿宋" w:eastAsia="华文仿宋" w:cs="宋体"/>
                <w:sz w:val="22"/>
              </w:rPr>
              <w:t>对本班组本部门员工违纪现象及时处理和上报；（发现一处不符合扣1分，扣完为止）</w:t>
            </w:r>
          </w:p>
        </w:tc>
        <w:tc>
          <w:tcPr>
            <w:tcW w:w="957" w:type="pct"/>
            <w:tcBorders>
              <w:top w:val="nil"/>
              <w:left w:val="nil"/>
              <w:bottom w:val="single" w:color="auto" w:sz="4" w:space="0"/>
              <w:right w:val="single" w:color="auto" w:sz="4" w:space="0"/>
            </w:tcBorders>
            <w:vAlign w:val="center"/>
          </w:tcPr>
          <w:p w14:paraId="0BB202BD">
            <w:pPr>
              <w:widowControl/>
              <w:jc w:val="center"/>
              <w:rPr>
                <w:rFonts w:hint="eastAsia" w:ascii="华文仿宋" w:hAnsi="华文仿宋" w:eastAsia="华文仿宋"/>
                <w:sz w:val="22"/>
              </w:rPr>
            </w:pPr>
            <w:r>
              <w:rPr>
                <w:rFonts w:ascii="华文仿宋" w:hAnsi="华文仿宋" w:eastAsia="华文仿宋"/>
                <w:sz w:val="22"/>
              </w:rPr>
              <w:t>　</w:t>
            </w:r>
          </w:p>
        </w:tc>
        <w:tc>
          <w:tcPr>
            <w:tcW w:w="441" w:type="pct"/>
            <w:tcBorders>
              <w:top w:val="nil"/>
              <w:left w:val="nil"/>
              <w:bottom w:val="single" w:color="auto" w:sz="4" w:space="0"/>
              <w:right w:val="single" w:color="auto" w:sz="4" w:space="0"/>
            </w:tcBorders>
            <w:vAlign w:val="center"/>
          </w:tcPr>
          <w:p w14:paraId="471FCF6C">
            <w:pPr>
              <w:widowControl/>
              <w:rPr>
                <w:rFonts w:hint="eastAsia" w:ascii="华文仿宋" w:hAnsi="华文仿宋" w:eastAsia="华文仿宋"/>
                <w:sz w:val="22"/>
              </w:rPr>
            </w:pPr>
            <w:r>
              <w:rPr>
                <w:rFonts w:ascii="华文仿宋" w:hAnsi="华文仿宋" w:eastAsia="华文仿宋"/>
                <w:sz w:val="22"/>
              </w:rPr>
              <w:t>　</w:t>
            </w:r>
          </w:p>
        </w:tc>
        <w:tc>
          <w:tcPr>
            <w:tcW w:w="292" w:type="pct"/>
            <w:tcBorders>
              <w:top w:val="nil"/>
              <w:left w:val="nil"/>
              <w:bottom w:val="single" w:color="auto" w:sz="4" w:space="0"/>
              <w:right w:val="single" w:color="auto" w:sz="4" w:space="0"/>
            </w:tcBorders>
            <w:vAlign w:val="center"/>
          </w:tcPr>
          <w:p w14:paraId="2A653601">
            <w:pPr>
              <w:widowControl/>
              <w:jc w:val="center"/>
              <w:rPr>
                <w:rFonts w:hint="eastAsia" w:ascii="华文仿宋" w:hAnsi="华文仿宋" w:eastAsia="华文仿宋"/>
                <w:sz w:val="22"/>
              </w:rPr>
            </w:pPr>
            <w:r>
              <w:rPr>
                <w:rFonts w:ascii="华文仿宋" w:hAnsi="华文仿宋" w:eastAsia="华文仿宋"/>
                <w:sz w:val="22"/>
              </w:rPr>
              <w:t>　</w:t>
            </w:r>
          </w:p>
        </w:tc>
      </w:tr>
      <w:tr w14:paraId="3321DA52">
        <w:tblPrEx>
          <w:tblCellMar>
            <w:top w:w="0" w:type="dxa"/>
            <w:left w:w="108" w:type="dxa"/>
            <w:bottom w:w="0" w:type="dxa"/>
            <w:right w:w="108" w:type="dxa"/>
          </w:tblCellMar>
        </w:tblPrEx>
        <w:trPr>
          <w:trHeight w:val="2862" w:hRule="atLeast"/>
        </w:trPr>
        <w:tc>
          <w:tcPr>
            <w:tcW w:w="5000" w:type="pct"/>
            <w:gridSpan w:val="7"/>
            <w:tcBorders>
              <w:top w:val="nil"/>
              <w:left w:val="nil"/>
              <w:bottom w:val="nil"/>
              <w:right w:val="nil"/>
            </w:tcBorders>
          </w:tcPr>
          <w:p w14:paraId="29903DA6">
            <w:pPr>
              <w:widowControl/>
              <w:rPr>
                <w:rFonts w:hint="eastAsia" w:ascii="华文仿宋" w:hAnsi="华文仿宋" w:eastAsia="华文仿宋" w:cs="宋体"/>
                <w:sz w:val="22"/>
              </w:rPr>
            </w:pPr>
            <w:r>
              <w:rPr>
                <w:rFonts w:hint="eastAsia" w:ascii="华文仿宋" w:hAnsi="华文仿宋" w:eastAsia="华文仿宋" w:cs="宋体"/>
                <w:sz w:val="22"/>
              </w:rPr>
              <w:t>备注：</w:t>
            </w:r>
            <w:r>
              <w:rPr>
                <w:rFonts w:hint="eastAsia" w:ascii="华文仿宋" w:hAnsi="华文仿宋" w:eastAsia="华文仿宋" w:cs="宋体"/>
                <w:sz w:val="22"/>
              </w:rPr>
              <w:br w:type="textWrapping"/>
            </w:r>
            <w:r>
              <w:rPr>
                <w:rFonts w:hint="eastAsia" w:ascii="华文仿宋" w:hAnsi="华文仿宋" w:eastAsia="华文仿宋" w:cs="宋体"/>
                <w:sz w:val="22"/>
              </w:rPr>
              <w:t>有下列情形之一严重违纪者，扣罚违纪者当月全部考核奖，并提请保安公司立即辞退相关人员：</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1</w:t>
            </w:r>
            <w:r>
              <w:rPr>
                <w:rFonts w:hint="eastAsia" w:ascii="华文仿宋" w:hAnsi="华文仿宋" w:eastAsia="华文仿宋" w:cs="宋体"/>
                <w:sz w:val="22"/>
              </w:rPr>
              <w:t>）有欺骗或不诚实行为，有偷窃或其他不道德行为；利用职权受贿，或以不正当手段谋利者；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2</w:t>
            </w:r>
            <w:r>
              <w:rPr>
                <w:rFonts w:hint="eastAsia" w:ascii="华文仿宋" w:hAnsi="华文仿宋" w:eastAsia="华文仿宋" w:cs="宋体"/>
                <w:sz w:val="22"/>
              </w:rPr>
              <w:t>）违反服务细则，造成重大事故及损失者；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3</w:t>
            </w:r>
            <w:r>
              <w:rPr>
                <w:rFonts w:hint="eastAsia" w:ascii="华文仿宋" w:hAnsi="华文仿宋" w:eastAsia="华文仿宋" w:cs="宋体"/>
                <w:sz w:val="22"/>
              </w:rPr>
              <w:t>）对外损坏政府机关声誉、泄露客户秘密者；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4</w:t>
            </w:r>
            <w:r>
              <w:rPr>
                <w:rFonts w:hint="eastAsia" w:ascii="华文仿宋" w:hAnsi="华文仿宋" w:eastAsia="华文仿宋" w:cs="宋体"/>
                <w:sz w:val="22"/>
              </w:rPr>
              <w:t>）遭业主或内部重大投诉，影响公司声誉者；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5</w:t>
            </w:r>
            <w:r>
              <w:rPr>
                <w:rFonts w:hint="eastAsia" w:ascii="华文仿宋" w:hAnsi="华文仿宋" w:eastAsia="华文仿宋" w:cs="宋体"/>
                <w:sz w:val="22"/>
              </w:rPr>
              <w:t>）在办公区内争吵、打斗或伤害其他人士，或因个人原因相关人员来院内争吵、打斗，造成恶劣影响者；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6</w:t>
            </w:r>
            <w:r>
              <w:rPr>
                <w:rFonts w:hint="eastAsia" w:ascii="华文仿宋" w:hAnsi="华文仿宋" w:eastAsia="华文仿宋" w:cs="宋体"/>
                <w:sz w:val="22"/>
              </w:rPr>
              <w:t>）与服务对象发生冲突，使用亵渎性或辱骂性语言者；</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7</w:t>
            </w:r>
            <w:r>
              <w:rPr>
                <w:rFonts w:hint="eastAsia" w:ascii="华文仿宋" w:hAnsi="华文仿宋" w:eastAsia="华文仿宋" w:cs="宋体"/>
                <w:sz w:val="22"/>
              </w:rPr>
              <w:t>）因自身原因不能胜任现岗位工作，又不能接受或无其它岗位安排者，取消本月度考核奖金，提请保安公司调离此人；</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8</w:t>
            </w:r>
            <w:r>
              <w:rPr>
                <w:rFonts w:hint="eastAsia" w:ascii="华文仿宋" w:hAnsi="华文仿宋" w:eastAsia="华文仿宋" w:cs="宋体"/>
                <w:sz w:val="22"/>
              </w:rPr>
              <w:t>）酒后上岗和工作期间饮酒；</w:t>
            </w:r>
            <w:r>
              <w:rPr>
                <w:rFonts w:ascii="华文仿宋" w:hAnsi="华文仿宋" w:eastAsia="华文仿宋"/>
                <w:sz w:val="22"/>
              </w:rPr>
              <w:br w:type="textWrapping"/>
            </w:r>
            <w:r>
              <w:rPr>
                <w:rFonts w:hint="eastAsia" w:ascii="华文仿宋" w:hAnsi="华文仿宋" w:eastAsia="华文仿宋" w:cs="宋体"/>
                <w:sz w:val="22"/>
              </w:rPr>
              <w:t>（</w:t>
            </w:r>
            <w:r>
              <w:rPr>
                <w:rFonts w:ascii="华文仿宋" w:hAnsi="华文仿宋" w:eastAsia="华文仿宋"/>
                <w:sz w:val="22"/>
              </w:rPr>
              <w:t>9</w:t>
            </w:r>
            <w:r>
              <w:rPr>
                <w:rFonts w:hint="eastAsia" w:ascii="华文仿宋" w:hAnsi="华文仿宋" w:eastAsia="华文仿宋" w:cs="宋体"/>
                <w:sz w:val="22"/>
              </w:rPr>
              <w:t>）其他严重违反相关规章制度，造成恶劣影响者。</w:t>
            </w:r>
          </w:p>
          <w:p w14:paraId="1D99DF8D">
            <w:pPr>
              <w:widowControl/>
              <w:rPr>
                <w:rFonts w:hint="eastAsia" w:ascii="华文仿宋" w:hAnsi="华文仿宋" w:eastAsia="华文仿宋" w:cs="宋体"/>
                <w:sz w:val="22"/>
              </w:rPr>
            </w:pPr>
            <w:r>
              <w:rPr>
                <w:rFonts w:hint="eastAsia" w:ascii="华文仿宋" w:hAnsi="华文仿宋" w:eastAsia="华文仿宋" w:cs="宋体"/>
                <w:sz w:val="22"/>
              </w:rPr>
              <w:t>发现其他应当扣罚情形的，由考评领导小组视情况评定。</w:t>
            </w:r>
          </w:p>
        </w:tc>
      </w:tr>
    </w:tbl>
    <w:p w14:paraId="34C15B2C">
      <w:pPr>
        <w:rPr>
          <w:rFonts w:hint="eastAsia" w:ascii="华文仿宋" w:hAnsi="华文仿宋" w:eastAsia="华文仿宋" w:cs="黑体"/>
          <w:sz w:val="28"/>
          <w:szCs w:val="28"/>
        </w:rPr>
      </w:pPr>
      <w:r>
        <w:rPr>
          <w:rFonts w:hint="eastAsia" w:ascii="华文仿宋" w:hAnsi="华文仿宋" w:eastAsia="华文仿宋" w:cs="黑体"/>
          <w:sz w:val="28"/>
          <w:szCs w:val="28"/>
        </w:rPr>
        <w:br w:type="page"/>
      </w:r>
    </w:p>
    <w:p w14:paraId="78D38996">
      <w:pPr>
        <w:rPr>
          <w:rFonts w:hint="eastAsia" w:ascii="华文仿宋" w:hAnsi="华文仿宋" w:eastAsia="华文仿宋" w:cs="黑体"/>
          <w:sz w:val="28"/>
          <w:szCs w:val="28"/>
        </w:rPr>
      </w:pPr>
      <w:r>
        <w:rPr>
          <w:rFonts w:hint="eastAsia" w:ascii="华文仿宋" w:hAnsi="华文仿宋" w:eastAsia="华文仿宋" w:cs="黑体"/>
          <w:sz w:val="28"/>
          <w:szCs w:val="28"/>
        </w:rPr>
        <w:t>附表2：</w:t>
      </w:r>
    </w:p>
    <w:p w14:paraId="66524131">
      <w:pPr>
        <w:jc w:val="center"/>
        <w:rPr>
          <w:rFonts w:hint="eastAsia" w:ascii="华文仿宋" w:hAnsi="华文仿宋" w:eastAsia="华文仿宋" w:cs="仿宋"/>
          <w:sz w:val="36"/>
          <w:szCs w:val="36"/>
        </w:rPr>
      </w:pPr>
      <w:r>
        <w:rPr>
          <w:rFonts w:hint="eastAsia" w:ascii="华文仿宋" w:hAnsi="华文仿宋" w:eastAsia="华文仿宋" w:cs="仿宋"/>
          <w:sz w:val="36"/>
          <w:szCs w:val="36"/>
        </w:rPr>
        <w:t>浦口区文德路18号和文昌路12号办公区后勤服务（安保）</w:t>
      </w:r>
    </w:p>
    <w:p w14:paraId="7C9BDED2">
      <w:pPr>
        <w:spacing w:after="480" w:afterLines="200"/>
        <w:jc w:val="center"/>
        <w:rPr>
          <w:rFonts w:hint="eastAsia" w:ascii="华文仿宋" w:hAnsi="华文仿宋" w:eastAsia="华文仿宋" w:cs="仿宋"/>
          <w:sz w:val="36"/>
          <w:szCs w:val="36"/>
        </w:rPr>
      </w:pPr>
      <w:r>
        <w:rPr>
          <w:rFonts w:hint="eastAsia" w:ascii="华文仿宋" w:hAnsi="华文仿宋" w:eastAsia="华文仿宋" w:cs="仿宋"/>
          <w:sz w:val="36"/>
          <w:szCs w:val="36"/>
        </w:rPr>
        <w:t>（  月）满意度测评评价表</w:t>
      </w:r>
    </w:p>
    <w:tbl>
      <w:tblPr>
        <w:tblStyle w:val="39"/>
        <w:tblW w:w="5000" w:type="pct"/>
        <w:jc w:val="center"/>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7"/>
        <w:gridCol w:w="1118"/>
        <w:gridCol w:w="5238"/>
        <w:gridCol w:w="2212"/>
        <w:gridCol w:w="717"/>
      </w:tblGrid>
      <w:tr w14:paraId="1F5842CC">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1" w:hRule="atLeast"/>
          <w:tblHeader/>
          <w:jc w:val="center"/>
        </w:trPr>
        <w:tc>
          <w:tcPr>
            <w:tcW w:w="340" w:type="pct"/>
            <w:tcBorders>
              <w:tl2br w:val="nil"/>
              <w:tr2bl w:val="nil"/>
            </w:tcBorders>
            <w:vAlign w:val="center"/>
          </w:tcPr>
          <w:p w14:paraId="02C01F52">
            <w:pPr>
              <w:jc w:val="center"/>
              <w:rPr>
                <w:rFonts w:hint="eastAsia" w:ascii="华文仿宋" w:hAnsi="华文仿宋" w:eastAsia="华文仿宋" w:cs="仿宋"/>
              </w:rPr>
            </w:pPr>
            <w:r>
              <w:rPr>
                <w:rFonts w:hint="eastAsia" w:ascii="华文仿宋" w:hAnsi="华文仿宋" w:eastAsia="华文仿宋" w:cs="仿宋"/>
              </w:rPr>
              <w:t>序号</w:t>
            </w:r>
          </w:p>
        </w:tc>
        <w:tc>
          <w:tcPr>
            <w:tcW w:w="561" w:type="pct"/>
            <w:tcBorders>
              <w:tl2br w:val="nil"/>
              <w:tr2bl w:val="nil"/>
            </w:tcBorders>
            <w:vAlign w:val="center"/>
          </w:tcPr>
          <w:p w14:paraId="1F7E382D">
            <w:pPr>
              <w:jc w:val="center"/>
              <w:rPr>
                <w:rFonts w:hint="eastAsia" w:ascii="华文仿宋" w:hAnsi="华文仿宋" w:eastAsia="华文仿宋" w:cs="仿宋"/>
              </w:rPr>
            </w:pPr>
            <w:r>
              <w:rPr>
                <w:rFonts w:hint="eastAsia" w:ascii="华文仿宋" w:hAnsi="华文仿宋" w:eastAsia="华文仿宋" w:cs="仿宋"/>
              </w:rPr>
              <w:t>测评主体</w:t>
            </w:r>
          </w:p>
        </w:tc>
        <w:tc>
          <w:tcPr>
            <w:tcW w:w="2629" w:type="pct"/>
            <w:tcBorders>
              <w:tl2br w:val="nil"/>
              <w:tr2bl w:val="nil"/>
            </w:tcBorders>
            <w:vAlign w:val="center"/>
          </w:tcPr>
          <w:p w14:paraId="483DD058">
            <w:pPr>
              <w:jc w:val="center"/>
              <w:rPr>
                <w:rFonts w:hint="eastAsia" w:ascii="华文仿宋" w:hAnsi="华文仿宋" w:eastAsia="华文仿宋" w:cs="仿宋"/>
              </w:rPr>
            </w:pPr>
            <w:r>
              <w:rPr>
                <w:rFonts w:hint="eastAsia" w:ascii="华文仿宋" w:hAnsi="华文仿宋" w:eastAsia="华文仿宋" w:cs="仿宋"/>
              </w:rPr>
              <w:t>测评内容</w:t>
            </w:r>
          </w:p>
        </w:tc>
        <w:tc>
          <w:tcPr>
            <w:tcW w:w="1110" w:type="pct"/>
            <w:tcBorders>
              <w:tl2br w:val="nil"/>
              <w:tr2bl w:val="nil"/>
            </w:tcBorders>
            <w:vAlign w:val="center"/>
          </w:tcPr>
          <w:p w14:paraId="066EA114">
            <w:pPr>
              <w:jc w:val="center"/>
              <w:rPr>
                <w:rFonts w:hint="eastAsia" w:ascii="华文仿宋" w:hAnsi="华文仿宋" w:eastAsia="华文仿宋" w:cs="仿宋"/>
              </w:rPr>
            </w:pPr>
            <w:r>
              <w:rPr>
                <w:rFonts w:hint="eastAsia" w:ascii="华文仿宋" w:hAnsi="华文仿宋" w:eastAsia="华文仿宋" w:cs="仿宋"/>
              </w:rPr>
              <w:t>满意程度</w:t>
            </w:r>
          </w:p>
        </w:tc>
        <w:tc>
          <w:tcPr>
            <w:tcW w:w="360" w:type="pct"/>
            <w:tcBorders>
              <w:tl2br w:val="nil"/>
              <w:tr2bl w:val="nil"/>
            </w:tcBorders>
            <w:vAlign w:val="center"/>
          </w:tcPr>
          <w:p w14:paraId="5D263F53">
            <w:pPr>
              <w:jc w:val="center"/>
              <w:rPr>
                <w:rFonts w:hint="eastAsia" w:ascii="华文仿宋" w:hAnsi="华文仿宋" w:eastAsia="华文仿宋" w:cs="仿宋"/>
              </w:rPr>
            </w:pPr>
            <w:r>
              <w:rPr>
                <w:rFonts w:hint="eastAsia" w:ascii="华文仿宋" w:hAnsi="华文仿宋" w:eastAsia="华文仿宋" w:cs="仿宋"/>
              </w:rPr>
              <w:t>备注</w:t>
            </w:r>
          </w:p>
        </w:tc>
      </w:tr>
      <w:tr w14:paraId="5F18A8C3">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10" w:hRule="atLeast"/>
          <w:jc w:val="center"/>
        </w:trPr>
        <w:tc>
          <w:tcPr>
            <w:tcW w:w="340" w:type="pct"/>
            <w:tcBorders>
              <w:tl2br w:val="nil"/>
              <w:tr2bl w:val="nil"/>
            </w:tcBorders>
            <w:vAlign w:val="center"/>
          </w:tcPr>
          <w:p w14:paraId="18075850">
            <w:pPr>
              <w:jc w:val="center"/>
              <w:rPr>
                <w:rFonts w:hint="eastAsia" w:ascii="华文仿宋" w:hAnsi="华文仿宋" w:eastAsia="华文仿宋" w:cs="仿宋"/>
              </w:rPr>
            </w:pPr>
            <w:r>
              <w:rPr>
                <w:rFonts w:hint="eastAsia" w:ascii="华文仿宋" w:hAnsi="华文仿宋" w:eastAsia="华文仿宋" w:cs="仿宋"/>
              </w:rPr>
              <w:t>A4</w:t>
            </w:r>
          </w:p>
        </w:tc>
        <w:tc>
          <w:tcPr>
            <w:tcW w:w="561" w:type="pct"/>
            <w:vMerge w:val="restart"/>
            <w:tcBorders>
              <w:tl2br w:val="nil"/>
              <w:tr2bl w:val="nil"/>
            </w:tcBorders>
            <w:vAlign w:val="center"/>
          </w:tcPr>
          <w:p w14:paraId="6CD3C47C">
            <w:pPr>
              <w:jc w:val="center"/>
              <w:rPr>
                <w:rFonts w:hint="eastAsia" w:ascii="华文仿宋" w:hAnsi="华文仿宋" w:eastAsia="华文仿宋" w:cs="仿宋"/>
              </w:rPr>
            </w:pPr>
            <w:r>
              <w:rPr>
                <w:rFonts w:hint="eastAsia" w:ascii="华文仿宋" w:hAnsi="华文仿宋" w:eastAsia="华文仿宋" w:cs="仿宋"/>
              </w:rPr>
              <w:t>安</w:t>
            </w:r>
          </w:p>
          <w:p w14:paraId="1325B792">
            <w:pPr>
              <w:jc w:val="center"/>
              <w:rPr>
                <w:rFonts w:hint="eastAsia" w:ascii="华文仿宋" w:hAnsi="华文仿宋" w:eastAsia="华文仿宋" w:cs="仿宋"/>
              </w:rPr>
            </w:pPr>
            <w:r>
              <w:rPr>
                <w:rFonts w:hint="eastAsia" w:ascii="华文仿宋" w:hAnsi="华文仿宋" w:eastAsia="华文仿宋" w:cs="仿宋"/>
              </w:rPr>
              <w:t>保</w:t>
            </w:r>
          </w:p>
          <w:p w14:paraId="29000C85">
            <w:pPr>
              <w:jc w:val="center"/>
              <w:rPr>
                <w:rFonts w:hint="eastAsia" w:ascii="华文仿宋" w:hAnsi="华文仿宋" w:eastAsia="华文仿宋" w:cs="仿宋"/>
              </w:rPr>
            </w:pPr>
            <w:r>
              <w:rPr>
                <w:rFonts w:hint="eastAsia" w:ascii="华文仿宋" w:hAnsi="华文仿宋" w:eastAsia="华文仿宋" w:cs="仿宋"/>
              </w:rPr>
              <w:t>服</w:t>
            </w:r>
          </w:p>
          <w:p w14:paraId="01ED11CD">
            <w:pPr>
              <w:jc w:val="center"/>
              <w:rPr>
                <w:rFonts w:hint="eastAsia" w:ascii="华文仿宋" w:hAnsi="华文仿宋" w:eastAsia="华文仿宋" w:cs="仿宋"/>
              </w:rPr>
            </w:pPr>
            <w:r>
              <w:rPr>
                <w:rFonts w:hint="eastAsia" w:ascii="华文仿宋" w:hAnsi="华文仿宋" w:eastAsia="华文仿宋" w:cs="仿宋"/>
              </w:rPr>
              <w:t>务</w:t>
            </w:r>
          </w:p>
        </w:tc>
        <w:tc>
          <w:tcPr>
            <w:tcW w:w="2629" w:type="pct"/>
            <w:tcBorders>
              <w:tl2br w:val="nil"/>
              <w:tr2bl w:val="nil"/>
            </w:tcBorders>
            <w:vAlign w:val="center"/>
          </w:tcPr>
          <w:p w14:paraId="7ED0A3E2">
            <w:pPr>
              <w:rPr>
                <w:rFonts w:hint="eastAsia" w:ascii="华文仿宋" w:hAnsi="华文仿宋" w:eastAsia="华文仿宋" w:cs="仿宋"/>
              </w:rPr>
            </w:pPr>
            <w:r>
              <w:rPr>
                <w:rFonts w:hint="eastAsia" w:ascii="华文仿宋" w:hAnsi="华文仿宋" w:eastAsia="华文仿宋" w:cs="仿宋"/>
              </w:rPr>
              <w:t>【门岗值守】</w:t>
            </w:r>
          </w:p>
          <w:p w14:paraId="252C2112">
            <w:pPr>
              <w:rPr>
                <w:rFonts w:hint="eastAsia" w:ascii="华文仿宋" w:hAnsi="华文仿宋" w:eastAsia="华文仿宋" w:cs="仿宋"/>
              </w:rPr>
            </w:pPr>
            <w:r>
              <w:rPr>
                <w:rFonts w:hint="eastAsia" w:ascii="华文仿宋" w:hAnsi="华文仿宋" w:eastAsia="华文仿宋" w:cs="仿宋"/>
              </w:rPr>
              <w:t>对安保服务中门岗值守情况（外来车辆及人员登记、上访接待、疫情防控、安全保卫、安保人员仪容仪表、应急处理等情况）的评价</w:t>
            </w:r>
          </w:p>
        </w:tc>
        <w:tc>
          <w:tcPr>
            <w:tcW w:w="1110" w:type="pct"/>
            <w:tcBorders>
              <w:tl2br w:val="nil"/>
              <w:tr2bl w:val="nil"/>
            </w:tcBorders>
            <w:vAlign w:val="center"/>
          </w:tcPr>
          <w:p w14:paraId="28FD85C9">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满意    </w:t>
            </w:r>
            <w:r>
              <w:rPr>
                <w:rFonts w:hint="eastAsia" w:ascii="华文仿宋" w:hAnsi="华文仿宋" w:eastAsia="华文仿宋" w:cs="仿宋"/>
              </w:rPr>
              <w:sym w:font="Wingdings" w:char="00A8"/>
            </w:r>
            <w:r>
              <w:rPr>
                <w:rFonts w:hint="eastAsia" w:ascii="华文仿宋" w:hAnsi="华文仿宋" w:eastAsia="华文仿宋" w:cs="仿宋"/>
              </w:rPr>
              <w:t>较满意</w:t>
            </w:r>
          </w:p>
          <w:p w14:paraId="2102261F">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一般    </w:t>
            </w:r>
            <w:r>
              <w:rPr>
                <w:rFonts w:hint="eastAsia" w:ascii="华文仿宋" w:hAnsi="华文仿宋" w:eastAsia="华文仿宋" w:cs="仿宋"/>
              </w:rPr>
              <w:sym w:font="Wingdings" w:char="00A8"/>
            </w:r>
            <w:r>
              <w:rPr>
                <w:rFonts w:hint="eastAsia" w:ascii="华文仿宋" w:hAnsi="华文仿宋" w:eastAsia="华文仿宋" w:cs="仿宋"/>
              </w:rPr>
              <w:t>不满意</w:t>
            </w:r>
          </w:p>
        </w:tc>
        <w:tc>
          <w:tcPr>
            <w:tcW w:w="360" w:type="pct"/>
            <w:tcBorders>
              <w:tl2br w:val="nil"/>
              <w:tr2bl w:val="nil"/>
            </w:tcBorders>
            <w:vAlign w:val="center"/>
          </w:tcPr>
          <w:p w14:paraId="6A7D2C48">
            <w:pPr>
              <w:jc w:val="center"/>
              <w:rPr>
                <w:rFonts w:hint="eastAsia" w:ascii="华文仿宋" w:hAnsi="华文仿宋" w:eastAsia="华文仿宋" w:cs="仿宋"/>
              </w:rPr>
            </w:pPr>
          </w:p>
        </w:tc>
      </w:tr>
      <w:tr w14:paraId="2D4369A9">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25" w:hRule="atLeast"/>
          <w:jc w:val="center"/>
        </w:trPr>
        <w:tc>
          <w:tcPr>
            <w:tcW w:w="340" w:type="pct"/>
            <w:tcBorders>
              <w:tl2br w:val="nil"/>
              <w:tr2bl w:val="nil"/>
            </w:tcBorders>
            <w:vAlign w:val="center"/>
          </w:tcPr>
          <w:p w14:paraId="500F1C2D">
            <w:pPr>
              <w:jc w:val="center"/>
              <w:rPr>
                <w:rFonts w:hint="eastAsia" w:ascii="华文仿宋" w:hAnsi="华文仿宋" w:eastAsia="华文仿宋" w:cs="仿宋"/>
              </w:rPr>
            </w:pPr>
            <w:r>
              <w:rPr>
                <w:rFonts w:hint="eastAsia" w:ascii="华文仿宋" w:hAnsi="华文仿宋" w:eastAsia="华文仿宋" w:cs="仿宋"/>
              </w:rPr>
              <w:t>A5</w:t>
            </w:r>
          </w:p>
        </w:tc>
        <w:tc>
          <w:tcPr>
            <w:tcW w:w="561" w:type="pct"/>
            <w:vMerge w:val="continue"/>
            <w:tcBorders>
              <w:tl2br w:val="nil"/>
              <w:tr2bl w:val="nil"/>
            </w:tcBorders>
            <w:vAlign w:val="center"/>
          </w:tcPr>
          <w:p w14:paraId="6EB8D44B">
            <w:pPr>
              <w:rPr>
                <w:rFonts w:hint="eastAsia" w:ascii="华文仿宋" w:hAnsi="华文仿宋" w:eastAsia="华文仿宋" w:cs="仿宋"/>
              </w:rPr>
            </w:pPr>
          </w:p>
        </w:tc>
        <w:tc>
          <w:tcPr>
            <w:tcW w:w="2629" w:type="pct"/>
            <w:tcBorders>
              <w:tl2br w:val="nil"/>
              <w:tr2bl w:val="nil"/>
            </w:tcBorders>
            <w:vAlign w:val="center"/>
          </w:tcPr>
          <w:p w14:paraId="43B53B4E">
            <w:pPr>
              <w:rPr>
                <w:rFonts w:hint="eastAsia" w:ascii="华文仿宋" w:hAnsi="华文仿宋" w:eastAsia="华文仿宋" w:cs="仿宋"/>
              </w:rPr>
            </w:pPr>
            <w:r>
              <w:rPr>
                <w:rFonts w:hint="eastAsia" w:ascii="华文仿宋" w:hAnsi="华文仿宋" w:eastAsia="华文仿宋" w:cs="仿宋"/>
              </w:rPr>
              <w:t>【监控管理】</w:t>
            </w:r>
          </w:p>
          <w:p w14:paraId="1AB0F522">
            <w:pPr>
              <w:rPr>
                <w:rFonts w:hint="eastAsia" w:ascii="华文仿宋" w:hAnsi="华文仿宋" w:eastAsia="华文仿宋" w:cs="仿宋"/>
              </w:rPr>
            </w:pPr>
            <w:r>
              <w:rPr>
                <w:rFonts w:hint="eastAsia" w:ascii="华文仿宋" w:hAnsi="华文仿宋" w:eastAsia="华文仿宋" w:cs="仿宋"/>
              </w:rPr>
              <w:t>对安保服务中监控值守服务情况（监控设备操作、岗位联动处置、突发应急处置、值守人员仪容仪表等）的评价</w:t>
            </w:r>
          </w:p>
        </w:tc>
        <w:tc>
          <w:tcPr>
            <w:tcW w:w="1110" w:type="pct"/>
            <w:tcBorders>
              <w:tl2br w:val="nil"/>
              <w:tr2bl w:val="nil"/>
            </w:tcBorders>
            <w:vAlign w:val="center"/>
          </w:tcPr>
          <w:p w14:paraId="11B8CC02">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满意    </w:t>
            </w:r>
            <w:r>
              <w:rPr>
                <w:rFonts w:hint="eastAsia" w:ascii="华文仿宋" w:hAnsi="华文仿宋" w:eastAsia="华文仿宋" w:cs="仿宋"/>
              </w:rPr>
              <w:sym w:font="Wingdings" w:char="00A8"/>
            </w:r>
            <w:r>
              <w:rPr>
                <w:rFonts w:hint="eastAsia" w:ascii="华文仿宋" w:hAnsi="华文仿宋" w:eastAsia="华文仿宋" w:cs="仿宋"/>
              </w:rPr>
              <w:t>较满意</w:t>
            </w:r>
          </w:p>
          <w:p w14:paraId="7977141B">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一般    </w:t>
            </w:r>
            <w:r>
              <w:rPr>
                <w:rFonts w:hint="eastAsia" w:ascii="华文仿宋" w:hAnsi="华文仿宋" w:eastAsia="华文仿宋" w:cs="仿宋"/>
              </w:rPr>
              <w:sym w:font="Wingdings" w:char="00A8"/>
            </w:r>
            <w:r>
              <w:rPr>
                <w:rFonts w:hint="eastAsia" w:ascii="华文仿宋" w:hAnsi="华文仿宋" w:eastAsia="华文仿宋" w:cs="仿宋"/>
              </w:rPr>
              <w:t>不满意</w:t>
            </w:r>
          </w:p>
        </w:tc>
        <w:tc>
          <w:tcPr>
            <w:tcW w:w="360" w:type="pct"/>
            <w:tcBorders>
              <w:tl2br w:val="nil"/>
              <w:tr2bl w:val="nil"/>
            </w:tcBorders>
            <w:vAlign w:val="center"/>
          </w:tcPr>
          <w:p w14:paraId="684B5687">
            <w:pPr>
              <w:jc w:val="center"/>
              <w:rPr>
                <w:rFonts w:hint="eastAsia" w:ascii="华文仿宋" w:hAnsi="华文仿宋" w:eastAsia="华文仿宋" w:cs="仿宋"/>
              </w:rPr>
            </w:pPr>
          </w:p>
        </w:tc>
      </w:tr>
      <w:tr w14:paraId="50337719">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jc w:val="center"/>
        </w:trPr>
        <w:tc>
          <w:tcPr>
            <w:tcW w:w="340" w:type="pct"/>
            <w:tcBorders>
              <w:tl2br w:val="nil"/>
              <w:tr2bl w:val="nil"/>
            </w:tcBorders>
            <w:vAlign w:val="center"/>
          </w:tcPr>
          <w:p w14:paraId="0E395276">
            <w:pPr>
              <w:jc w:val="center"/>
              <w:rPr>
                <w:rFonts w:hint="eastAsia" w:ascii="华文仿宋" w:hAnsi="华文仿宋" w:eastAsia="华文仿宋" w:cs="仿宋"/>
              </w:rPr>
            </w:pPr>
            <w:r>
              <w:rPr>
                <w:rFonts w:hint="eastAsia" w:ascii="华文仿宋" w:hAnsi="华文仿宋" w:eastAsia="华文仿宋" w:cs="仿宋"/>
              </w:rPr>
              <w:t>A6</w:t>
            </w:r>
          </w:p>
        </w:tc>
        <w:tc>
          <w:tcPr>
            <w:tcW w:w="561" w:type="pct"/>
            <w:vMerge w:val="continue"/>
            <w:tcBorders>
              <w:tl2br w:val="nil"/>
              <w:tr2bl w:val="nil"/>
            </w:tcBorders>
            <w:vAlign w:val="center"/>
          </w:tcPr>
          <w:p w14:paraId="481D3915">
            <w:pPr>
              <w:rPr>
                <w:rFonts w:hint="eastAsia" w:ascii="华文仿宋" w:hAnsi="华文仿宋" w:eastAsia="华文仿宋" w:cs="仿宋"/>
              </w:rPr>
            </w:pPr>
          </w:p>
        </w:tc>
        <w:tc>
          <w:tcPr>
            <w:tcW w:w="2629" w:type="pct"/>
            <w:tcBorders>
              <w:tl2br w:val="nil"/>
              <w:tr2bl w:val="nil"/>
            </w:tcBorders>
            <w:vAlign w:val="center"/>
          </w:tcPr>
          <w:p w14:paraId="2423A7A8">
            <w:pPr>
              <w:rPr>
                <w:rFonts w:hint="eastAsia" w:ascii="华文仿宋" w:hAnsi="华文仿宋" w:eastAsia="华文仿宋" w:cs="仿宋"/>
              </w:rPr>
            </w:pPr>
            <w:r>
              <w:rPr>
                <w:rFonts w:hint="eastAsia" w:ascii="华文仿宋" w:hAnsi="华文仿宋" w:eastAsia="华文仿宋" w:cs="仿宋"/>
              </w:rPr>
              <w:t>【停车管理】</w:t>
            </w:r>
          </w:p>
          <w:p w14:paraId="06E3A762">
            <w:pPr>
              <w:rPr>
                <w:rFonts w:hint="eastAsia" w:ascii="华文仿宋" w:hAnsi="华文仿宋" w:eastAsia="华文仿宋" w:cs="仿宋"/>
              </w:rPr>
            </w:pPr>
            <w:r>
              <w:rPr>
                <w:rFonts w:hint="eastAsia" w:ascii="华文仿宋" w:hAnsi="华文仿宋" w:eastAsia="华文仿宋" w:cs="仿宋"/>
              </w:rPr>
              <w:t>对安保服务中停车管理服务情况（车位管理、车辆摆放、停车引导、停车管理人员仪容仪表等）的评价</w:t>
            </w:r>
          </w:p>
        </w:tc>
        <w:tc>
          <w:tcPr>
            <w:tcW w:w="1110" w:type="pct"/>
            <w:tcBorders>
              <w:tl2br w:val="nil"/>
              <w:tr2bl w:val="nil"/>
            </w:tcBorders>
            <w:vAlign w:val="center"/>
          </w:tcPr>
          <w:p w14:paraId="66991BCA">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满意    </w:t>
            </w:r>
            <w:r>
              <w:rPr>
                <w:rFonts w:hint="eastAsia" w:ascii="华文仿宋" w:hAnsi="华文仿宋" w:eastAsia="华文仿宋" w:cs="仿宋"/>
              </w:rPr>
              <w:sym w:font="Wingdings" w:char="00A8"/>
            </w:r>
            <w:r>
              <w:rPr>
                <w:rFonts w:hint="eastAsia" w:ascii="华文仿宋" w:hAnsi="华文仿宋" w:eastAsia="华文仿宋" w:cs="仿宋"/>
              </w:rPr>
              <w:t>较满意</w:t>
            </w:r>
          </w:p>
          <w:p w14:paraId="1ACBEF46">
            <w:pPr>
              <w:rPr>
                <w:rFonts w:hint="eastAsia" w:ascii="华文仿宋" w:hAnsi="华文仿宋" w:eastAsia="华文仿宋" w:cs="仿宋"/>
              </w:rPr>
            </w:pPr>
            <w:r>
              <w:rPr>
                <w:rFonts w:hint="eastAsia" w:ascii="华文仿宋" w:hAnsi="华文仿宋" w:eastAsia="华文仿宋" w:cs="仿宋"/>
              </w:rPr>
              <w:sym w:font="Wingdings" w:char="00A8"/>
            </w:r>
            <w:r>
              <w:rPr>
                <w:rFonts w:hint="eastAsia" w:ascii="华文仿宋" w:hAnsi="华文仿宋" w:eastAsia="华文仿宋" w:cs="仿宋"/>
              </w:rPr>
              <w:t xml:space="preserve">一般    </w:t>
            </w:r>
            <w:r>
              <w:rPr>
                <w:rFonts w:hint="eastAsia" w:ascii="华文仿宋" w:hAnsi="华文仿宋" w:eastAsia="华文仿宋" w:cs="仿宋"/>
              </w:rPr>
              <w:sym w:font="Wingdings" w:char="00A8"/>
            </w:r>
            <w:r>
              <w:rPr>
                <w:rFonts w:hint="eastAsia" w:ascii="华文仿宋" w:hAnsi="华文仿宋" w:eastAsia="华文仿宋" w:cs="仿宋"/>
              </w:rPr>
              <w:t>不满意</w:t>
            </w:r>
          </w:p>
        </w:tc>
        <w:tc>
          <w:tcPr>
            <w:tcW w:w="360" w:type="pct"/>
            <w:tcBorders>
              <w:tl2br w:val="nil"/>
              <w:tr2bl w:val="nil"/>
            </w:tcBorders>
            <w:vAlign w:val="center"/>
          </w:tcPr>
          <w:p w14:paraId="1CA71092">
            <w:pPr>
              <w:jc w:val="center"/>
              <w:rPr>
                <w:rFonts w:hint="eastAsia" w:ascii="华文仿宋" w:hAnsi="华文仿宋" w:eastAsia="华文仿宋" w:cs="仿宋"/>
              </w:rPr>
            </w:pPr>
          </w:p>
        </w:tc>
      </w:tr>
      <w:tr w14:paraId="486F0477">
        <w:tblPrEx>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72" w:hRule="atLeast"/>
          <w:jc w:val="center"/>
        </w:trPr>
        <w:tc>
          <w:tcPr>
            <w:tcW w:w="901" w:type="pct"/>
            <w:gridSpan w:val="2"/>
            <w:tcBorders>
              <w:tl2br w:val="nil"/>
              <w:tr2bl w:val="nil"/>
            </w:tcBorders>
            <w:vAlign w:val="center"/>
          </w:tcPr>
          <w:p w14:paraId="616CCD8D">
            <w:pPr>
              <w:jc w:val="center"/>
              <w:rPr>
                <w:rFonts w:hint="eastAsia" w:ascii="华文仿宋" w:hAnsi="华文仿宋" w:eastAsia="华文仿宋" w:cs="仿宋"/>
              </w:rPr>
            </w:pPr>
            <w:r>
              <w:rPr>
                <w:rFonts w:hint="eastAsia" w:ascii="华文仿宋" w:hAnsi="华文仿宋" w:eastAsia="华文仿宋" w:cs="仿宋"/>
              </w:rPr>
              <w:t>意见建议</w:t>
            </w:r>
          </w:p>
        </w:tc>
        <w:tc>
          <w:tcPr>
            <w:tcW w:w="4099" w:type="pct"/>
            <w:gridSpan w:val="3"/>
            <w:tcBorders>
              <w:tl2br w:val="nil"/>
              <w:tr2bl w:val="nil"/>
            </w:tcBorders>
            <w:vAlign w:val="center"/>
          </w:tcPr>
          <w:p w14:paraId="26168167">
            <w:pPr>
              <w:jc w:val="center"/>
              <w:rPr>
                <w:rFonts w:hint="eastAsia" w:ascii="华文仿宋" w:hAnsi="华文仿宋" w:eastAsia="华文仿宋" w:cs="仿宋"/>
              </w:rPr>
            </w:pPr>
          </w:p>
        </w:tc>
      </w:tr>
    </w:tbl>
    <w:p w14:paraId="660B1DF9">
      <w:pPr>
        <w:overflowPunct w:val="0"/>
        <w:autoSpaceDE w:val="0"/>
        <w:adjustRightInd w:val="0"/>
        <w:spacing w:before="240" w:beforeLines="100" w:after="240" w:afterLines="100"/>
        <w:contextualSpacing/>
        <w:textAlignment w:val="center"/>
        <w:rPr>
          <w:rFonts w:hint="eastAsia" w:ascii="华文仿宋" w:hAnsi="华文仿宋" w:eastAsia="华文仿宋"/>
          <w:sz w:val="28"/>
          <w:szCs w:val="28"/>
        </w:rPr>
      </w:pPr>
    </w:p>
    <w:p w14:paraId="5389C401">
      <w:pPr>
        <w:widowControl/>
        <w:rPr>
          <w:rFonts w:hint="eastAsia" w:ascii="华文仿宋" w:hAnsi="华文仿宋" w:eastAsia="华文仿宋"/>
          <w:sz w:val="28"/>
          <w:szCs w:val="28"/>
        </w:rPr>
      </w:pPr>
      <w:r>
        <w:rPr>
          <w:rFonts w:ascii="华文仿宋" w:hAnsi="华文仿宋" w:eastAsia="华文仿宋"/>
          <w:sz w:val="28"/>
          <w:szCs w:val="28"/>
        </w:rPr>
        <w:br w:type="page"/>
      </w:r>
    </w:p>
    <w:p w14:paraId="67313F71">
      <w:pPr>
        <w:rPr>
          <w:rFonts w:hint="eastAsia" w:ascii="华文仿宋" w:hAnsi="华文仿宋" w:eastAsia="华文仿宋" w:cs="黑体"/>
          <w:sz w:val="28"/>
          <w:szCs w:val="28"/>
        </w:rPr>
      </w:pPr>
      <w:r>
        <w:rPr>
          <w:rFonts w:hint="eastAsia" w:ascii="华文仿宋" w:hAnsi="华文仿宋" w:eastAsia="华文仿宋" w:cs="黑体"/>
          <w:sz w:val="28"/>
          <w:szCs w:val="28"/>
        </w:rPr>
        <w:t>附表3：</w:t>
      </w:r>
    </w:p>
    <w:p w14:paraId="675BAD29">
      <w:pPr>
        <w:rPr>
          <w:rFonts w:hint="eastAsia" w:ascii="华文仿宋" w:hAnsi="华文仿宋" w:eastAsia="华文仿宋"/>
          <w:sz w:val="44"/>
          <w:szCs w:val="44"/>
        </w:rPr>
      </w:pPr>
    </w:p>
    <w:p w14:paraId="00FF810E">
      <w:pPr>
        <w:jc w:val="center"/>
        <w:rPr>
          <w:rFonts w:ascii="华文仿宋" w:hAnsi="华文仿宋" w:eastAsia="华文仿宋"/>
          <w:sz w:val="44"/>
          <w:szCs w:val="44"/>
        </w:rPr>
      </w:pPr>
      <w:r>
        <w:rPr>
          <w:rFonts w:hint="eastAsia" w:ascii="华文仿宋" w:hAnsi="华文仿宋" w:eastAsia="华文仿宋"/>
          <w:sz w:val="44"/>
          <w:szCs w:val="44"/>
        </w:rPr>
        <w:t>浦口区文德路18号和文昌路12号办公区</w:t>
      </w:r>
    </w:p>
    <w:p w14:paraId="430EF94D">
      <w:pPr>
        <w:jc w:val="center"/>
        <w:rPr>
          <w:rFonts w:hint="eastAsia" w:ascii="华文仿宋" w:hAnsi="华文仿宋" w:eastAsia="华文仿宋"/>
          <w:sz w:val="44"/>
          <w:szCs w:val="44"/>
        </w:rPr>
      </w:pPr>
      <w:r>
        <w:rPr>
          <w:rFonts w:hint="eastAsia" w:ascii="华文仿宋" w:hAnsi="华文仿宋" w:eastAsia="华文仿宋"/>
          <w:sz w:val="44"/>
          <w:szCs w:val="44"/>
        </w:rPr>
        <w:t>安保管理月度考核细则</w:t>
      </w:r>
    </w:p>
    <w:p w14:paraId="307EDF08">
      <w:pPr>
        <w:ind w:firstLine="700" w:firstLineChars="250"/>
        <w:rPr>
          <w:rFonts w:hint="eastAsia" w:ascii="华文仿宋" w:hAnsi="华文仿宋" w:eastAsia="华文仿宋"/>
          <w:sz w:val="28"/>
          <w:szCs w:val="28"/>
        </w:rPr>
      </w:pPr>
    </w:p>
    <w:p w14:paraId="0E3F0A81">
      <w:pPr>
        <w:ind w:firstLine="560" w:firstLineChars="200"/>
        <w:rPr>
          <w:rFonts w:hint="eastAsia" w:ascii="华文仿宋" w:hAnsi="华文仿宋" w:eastAsia="华文仿宋"/>
          <w:sz w:val="28"/>
          <w:szCs w:val="28"/>
        </w:rPr>
      </w:pPr>
      <w:r>
        <w:rPr>
          <w:rFonts w:ascii="华文仿宋" w:hAnsi="华文仿宋" w:eastAsia="华文仿宋"/>
          <w:sz w:val="28"/>
          <w:szCs w:val="28"/>
        </w:rPr>
        <w:t>为调动全体保安队员工作积极性，提高整体素质，强化队伍纪律和形象建设，对全体保安队员进行月度考核管理，并议定由政府办行政科按月考核，根据考核结果由保安公司发放月度考核奖。现制定考核细则如下:</w:t>
      </w:r>
    </w:p>
    <w:p w14:paraId="2382AD1D">
      <w:pPr>
        <w:ind w:firstLine="560" w:firstLineChars="200"/>
        <w:rPr>
          <w:rFonts w:hint="eastAsia" w:ascii="华文仿宋" w:hAnsi="华文仿宋" w:eastAsia="华文仿宋"/>
          <w:sz w:val="28"/>
          <w:szCs w:val="28"/>
        </w:rPr>
      </w:pPr>
      <w:r>
        <w:rPr>
          <w:rFonts w:ascii="华文仿宋" w:hAnsi="华文仿宋" w:eastAsia="华文仿宋"/>
          <w:sz w:val="28"/>
          <w:szCs w:val="28"/>
        </w:rPr>
        <w:t>一、形象</w:t>
      </w:r>
    </w:p>
    <w:p w14:paraId="6737F87D">
      <w:pPr>
        <w:ind w:firstLine="560" w:firstLineChars="200"/>
        <w:rPr>
          <w:rFonts w:hint="eastAsia" w:ascii="华文仿宋" w:hAnsi="华文仿宋" w:eastAsia="华文仿宋"/>
          <w:sz w:val="28"/>
          <w:szCs w:val="28"/>
        </w:rPr>
      </w:pPr>
      <w:r>
        <w:rPr>
          <w:rFonts w:ascii="华文仿宋" w:hAnsi="华文仿宋" w:eastAsia="华文仿宋"/>
          <w:sz w:val="28"/>
          <w:szCs w:val="28"/>
        </w:rPr>
        <w:t>1</w:t>
      </w:r>
      <w:r>
        <w:rPr>
          <w:rFonts w:hint="eastAsia" w:ascii="华文仿宋" w:hAnsi="华文仿宋" w:eastAsia="华文仿宋"/>
          <w:sz w:val="28"/>
          <w:szCs w:val="28"/>
        </w:rPr>
        <w:t>、工作期间未按要求着装的，扣1分</w:t>
      </w:r>
      <w:r>
        <w:rPr>
          <w:rFonts w:ascii="华文仿宋" w:hAnsi="华文仿宋" w:eastAsia="华文仿宋"/>
          <w:sz w:val="28"/>
          <w:szCs w:val="28"/>
        </w:rPr>
        <w:t>/</w:t>
      </w:r>
      <w:r>
        <w:rPr>
          <w:rFonts w:hint="eastAsia" w:ascii="华文仿宋" w:hAnsi="华文仿宋" w:eastAsia="华文仿宋"/>
          <w:sz w:val="28"/>
          <w:szCs w:val="28"/>
        </w:rPr>
        <w:t>次。</w:t>
      </w:r>
    </w:p>
    <w:p w14:paraId="6944D422">
      <w:pPr>
        <w:ind w:firstLine="560" w:firstLineChars="200"/>
        <w:rPr>
          <w:rFonts w:hint="eastAsia" w:ascii="华文仿宋" w:hAnsi="华文仿宋" w:eastAsia="华文仿宋"/>
          <w:sz w:val="28"/>
          <w:szCs w:val="28"/>
        </w:rPr>
      </w:pPr>
      <w:r>
        <w:rPr>
          <w:rFonts w:ascii="华文仿宋" w:hAnsi="华文仿宋" w:eastAsia="华文仿宋"/>
          <w:sz w:val="28"/>
          <w:szCs w:val="28"/>
        </w:rPr>
        <w:t>2</w:t>
      </w:r>
      <w:r>
        <w:rPr>
          <w:rFonts w:hint="eastAsia" w:ascii="华文仿宋" w:hAnsi="华文仿宋" w:eastAsia="华文仿宋"/>
          <w:sz w:val="28"/>
          <w:szCs w:val="28"/>
        </w:rPr>
        <w:t>、公共场合行为、言行举止不文明、不端正的，扣1分</w:t>
      </w:r>
      <w:r>
        <w:rPr>
          <w:rFonts w:ascii="华文仿宋" w:hAnsi="华文仿宋" w:eastAsia="华文仿宋"/>
          <w:sz w:val="28"/>
          <w:szCs w:val="28"/>
        </w:rPr>
        <w:t>/</w:t>
      </w:r>
      <w:r>
        <w:rPr>
          <w:rFonts w:hint="eastAsia" w:ascii="华文仿宋" w:hAnsi="华文仿宋" w:eastAsia="华文仿宋"/>
          <w:sz w:val="28"/>
          <w:szCs w:val="28"/>
        </w:rPr>
        <w:t>次。</w:t>
      </w:r>
    </w:p>
    <w:p w14:paraId="108B1ECE">
      <w:pPr>
        <w:ind w:firstLine="560" w:firstLineChars="200"/>
        <w:rPr>
          <w:rFonts w:hint="eastAsia" w:ascii="华文仿宋" w:hAnsi="华文仿宋" w:eastAsia="华文仿宋"/>
          <w:sz w:val="28"/>
          <w:szCs w:val="28"/>
        </w:rPr>
      </w:pPr>
      <w:r>
        <w:rPr>
          <w:rFonts w:ascii="华文仿宋" w:hAnsi="华文仿宋" w:eastAsia="华文仿宋"/>
          <w:sz w:val="28"/>
          <w:szCs w:val="28"/>
        </w:rPr>
        <w:t>3</w:t>
      </w:r>
      <w:r>
        <w:rPr>
          <w:rFonts w:hint="eastAsia" w:ascii="华文仿宋" w:hAnsi="华文仿宋" w:eastAsia="华文仿宋"/>
          <w:sz w:val="28"/>
          <w:szCs w:val="28"/>
        </w:rPr>
        <w:t>、执勤中接待、询问和纠正违章时不先敬礼再纠违的，扣1分</w:t>
      </w:r>
      <w:r>
        <w:rPr>
          <w:rFonts w:ascii="华文仿宋" w:hAnsi="华文仿宋" w:eastAsia="华文仿宋"/>
          <w:sz w:val="28"/>
          <w:szCs w:val="28"/>
        </w:rPr>
        <w:t>/</w:t>
      </w:r>
      <w:r>
        <w:rPr>
          <w:rFonts w:hint="eastAsia" w:ascii="华文仿宋" w:hAnsi="华文仿宋" w:eastAsia="华文仿宋"/>
          <w:sz w:val="28"/>
          <w:szCs w:val="28"/>
        </w:rPr>
        <w:t>次。</w:t>
      </w:r>
    </w:p>
    <w:p w14:paraId="44298161">
      <w:pPr>
        <w:ind w:firstLine="560" w:firstLineChars="200"/>
        <w:rPr>
          <w:rFonts w:hint="eastAsia" w:ascii="华文仿宋" w:hAnsi="华文仿宋" w:eastAsia="华文仿宋"/>
          <w:sz w:val="28"/>
          <w:szCs w:val="28"/>
        </w:rPr>
      </w:pPr>
      <w:r>
        <w:rPr>
          <w:rFonts w:ascii="华文仿宋" w:hAnsi="华文仿宋" w:eastAsia="华文仿宋"/>
          <w:sz w:val="28"/>
          <w:szCs w:val="28"/>
        </w:rPr>
        <w:t>4</w:t>
      </w:r>
      <w:r>
        <w:rPr>
          <w:rFonts w:hint="eastAsia" w:ascii="华文仿宋" w:hAnsi="华文仿宋" w:eastAsia="华文仿宋"/>
          <w:sz w:val="28"/>
          <w:szCs w:val="28"/>
        </w:rPr>
        <w:t>、在公共场合执勤时吸烟、聊天、袖手、背手，扣1分</w:t>
      </w:r>
      <w:r>
        <w:rPr>
          <w:rFonts w:ascii="华文仿宋" w:hAnsi="华文仿宋" w:eastAsia="华文仿宋"/>
          <w:sz w:val="28"/>
          <w:szCs w:val="28"/>
        </w:rPr>
        <w:t>/</w:t>
      </w:r>
      <w:r>
        <w:rPr>
          <w:rFonts w:hint="eastAsia" w:ascii="华文仿宋" w:hAnsi="华文仿宋" w:eastAsia="华文仿宋"/>
          <w:sz w:val="28"/>
          <w:szCs w:val="28"/>
        </w:rPr>
        <w:t>次。</w:t>
      </w:r>
    </w:p>
    <w:p w14:paraId="07553717">
      <w:pPr>
        <w:ind w:firstLine="560" w:firstLineChars="200"/>
        <w:rPr>
          <w:rFonts w:hint="eastAsia" w:ascii="华文仿宋" w:hAnsi="华文仿宋" w:eastAsia="华文仿宋"/>
          <w:sz w:val="28"/>
          <w:szCs w:val="28"/>
        </w:rPr>
      </w:pPr>
      <w:r>
        <w:rPr>
          <w:rFonts w:ascii="华文仿宋" w:hAnsi="华文仿宋" w:eastAsia="华文仿宋"/>
          <w:sz w:val="28"/>
          <w:szCs w:val="28"/>
        </w:rPr>
        <w:t>5</w:t>
      </w:r>
      <w:r>
        <w:rPr>
          <w:rFonts w:hint="eastAsia" w:ascii="华文仿宋" w:hAnsi="华文仿宋" w:eastAsia="华文仿宋"/>
          <w:sz w:val="28"/>
          <w:szCs w:val="28"/>
        </w:rPr>
        <w:t>、仪容仪表不整洁、着装不清洁、衣着不工整，扣1分</w:t>
      </w:r>
      <w:r>
        <w:rPr>
          <w:rFonts w:ascii="华文仿宋" w:hAnsi="华文仿宋" w:eastAsia="华文仿宋"/>
          <w:sz w:val="28"/>
          <w:szCs w:val="28"/>
        </w:rPr>
        <w:t>/</w:t>
      </w:r>
      <w:r>
        <w:rPr>
          <w:rFonts w:hint="eastAsia" w:ascii="华文仿宋" w:hAnsi="华文仿宋" w:eastAsia="华文仿宋"/>
          <w:sz w:val="28"/>
          <w:szCs w:val="28"/>
        </w:rPr>
        <w:t>次。</w:t>
      </w:r>
    </w:p>
    <w:p w14:paraId="6B2F2074">
      <w:pPr>
        <w:ind w:firstLine="560" w:firstLineChars="200"/>
        <w:rPr>
          <w:rFonts w:hint="eastAsia" w:ascii="华文仿宋" w:hAnsi="华文仿宋" w:eastAsia="华文仿宋"/>
          <w:sz w:val="28"/>
          <w:szCs w:val="28"/>
        </w:rPr>
      </w:pPr>
      <w:r>
        <w:rPr>
          <w:rFonts w:ascii="华文仿宋" w:hAnsi="华文仿宋" w:eastAsia="华文仿宋"/>
          <w:sz w:val="28"/>
          <w:szCs w:val="28"/>
        </w:rPr>
        <w:t>6</w:t>
      </w:r>
      <w:r>
        <w:rPr>
          <w:rFonts w:hint="eastAsia" w:ascii="华文仿宋" w:hAnsi="华文仿宋" w:eastAsia="华文仿宋"/>
          <w:sz w:val="28"/>
          <w:szCs w:val="28"/>
        </w:rPr>
        <w:t>、留长发、蓄胡须者，扣1分</w:t>
      </w:r>
      <w:r>
        <w:rPr>
          <w:rFonts w:ascii="华文仿宋" w:hAnsi="华文仿宋" w:eastAsia="华文仿宋"/>
          <w:sz w:val="28"/>
          <w:szCs w:val="28"/>
        </w:rPr>
        <w:t>/</w:t>
      </w:r>
      <w:r>
        <w:rPr>
          <w:rFonts w:hint="eastAsia" w:ascii="华文仿宋" w:hAnsi="华文仿宋" w:eastAsia="华文仿宋"/>
          <w:sz w:val="28"/>
          <w:szCs w:val="28"/>
        </w:rPr>
        <w:t>次。</w:t>
      </w:r>
    </w:p>
    <w:p w14:paraId="09FCFDB3">
      <w:pPr>
        <w:ind w:firstLine="560" w:firstLineChars="200"/>
        <w:rPr>
          <w:rFonts w:hint="eastAsia" w:ascii="华文仿宋" w:hAnsi="华文仿宋" w:eastAsia="华文仿宋"/>
          <w:sz w:val="28"/>
          <w:szCs w:val="28"/>
        </w:rPr>
      </w:pPr>
      <w:r>
        <w:rPr>
          <w:rFonts w:ascii="华文仿宋" w:hAnsi="华文仿宋" w:eastAsia="华文仿宋"/>
          <w:sz w:val="28"/>
          <w:szCs w:val="28"/>
        </w:rPr>
        <w:t>7</w:t>
      </w:r>
      <w:r>
        <w:rPr>
          <w:rFonts w:hint="eastAsia" w:ascii="华文仿宋" w:hAnsi="华文仿宋" w:eastAsia="华文仿宋"/>
          <w:sz w:val="28"/>
          <w:szCs w:val="28"/>
        </w:rPr>
        <w:t>、不按规范仪式交接岗、立岗不规范的，扣1分</w:t>
      </w:r>
      <w:r>
        <w:rPr>
          <w:rFonts w:ascii="华文仿宋" w:hAnsi="华文仿宋" w:eastAsia="华文仿宋"/>
          <w:sz w:val="28"/>
          <w:szCs w:val="28"/>
        </w:rPr>
        <w:t>/</w:t>
      </w:r>
      <w:r>
        <w:rPr>
          <w:rFonts w:hint="eastAsia" w:ascii="华文仿宋" w:hAnsi="华文仿宋" w:eastAsia="华文仿宋"/>
          <w:sz w:val="28"/>
          <w:szCs w:val="28"/>
        </w:rPr>
        <w:t>次。</w:t>
      </w:r>
    </w:p>
    <w:p w14:paraId="499D83BC">
      <w:pPr>
        <w:ind w:firstLine="560" w:firstLineChars="200"/>
        <w:rPr>
          <w:rFonts w:hint="eastAsia" w:ascii="华文仿宋" w:hAnsi="华文仿宋" w:eastAsia="华文仿宋"/>
          <w:sz w:val="28"/>
          <w:szCs w:val="28"/>
        </w:rPr>
      </w:pPr>
      <w:r>
        <w:rPr>
          <w:rFonts w:ascii="华文仿宋" w:hAnsi="华文仿宋" w:eastAsia="华文仿宋"/>
          <w:sz w:val="28"/>
          <w:szCs w:val="28"/>
        </w:rPr>
        <w:t>8</w:t>
      </w:r>
      <w:r>
        <w:rPr>
          <w:rFonts w:hint="eastAsia" w:ascii="华文仿宋" w:hAnsi="华文仿宋" w:eastAsia="华文仿宋"/>
          <w:sz w:val="28"/>
          <w:szCs w:val="28"/>
        </w:rPr>
        <w:t>、口袋盖要外翻，不准在口袋内放置较大的物品，违者扣1分</w:t>
      </w:r>
      <w:r>
        <w:rPr>
          <w:rFonts w:ascii="华文仿宋" w:hAnsi="华文仿宋" w:eastAsia="华文仿宋"/>
          <w:sz w:val="28"/>
          <w:szCs w:val="28"/>
        </w:rPr>
        <w:t>/</w:t>
      </w:r>
      <w:r>
        <w:rPr>
          <w:rFonts w:hint="eastAsia" w:ascii="华文仿宋" w:hAnsi="华文仿宋" w:eastAsia="华文仿宋"/>
          <w:sz w:val="28"/>
          <w:szCs w:val="28"/>
        </w:rPr>
        <w:t>次。</w:t>
      </w:r>
    </w:p>
    <w:p w14:paraId="3AD3969E">
      <w:pPr>
        <w:ind w:firstLine="560" w:firstLineChars="200"/>
        <w:rPr>
          <w:rFonts w:hint="eastAsia" w:ascii="华文仿宋" w:hAnsi="华文仿宋" w:eastAsia="华文仿宋"/>
          <w:sz w:val="28"/>
          <w:szCs w:val="28"/>
        </w:rPr>
      </w:pPr>
      <w:r>
        <w:rPr>
          <w:rFonts w:ascii="华文仿宋" w:hAnsi="华文仿宋" w:eastAsia="华文仿宋"/>
          <w:sz w:val="28"/>
          <w:szCs w:val="28"/>
        </w:rPr>
        <w:t>9</w:t>
      </w:r>
      <w:r>
        <w:rPr>
          <w:rFonts w:hint="eastAsia" w:ascii="华文仿宋" w:hAnsi="华文仿宋" w:eastAsia="华文仿宋"/>
          <w:sz w:val="28"/>
          <w:szCs w:val="28"/>
        </w:rPr>
        <w:t>、冬装上衣毛领不准竖立，必须翻平，违者扣1分</w:t>
      </w:r>
      <w:r>
        <w:rPr>
          <w:rFonts w:ascii="华文仿宋" w:hAnsi="华文仿宋" w:eastAsia="华文仿宋"/>
          <w:sz w:val="28"/>
          <w:szCs w:val="28"/>
        </w:rPr>
        <w:t>/</w:t>
      </w:r>
      <w:r>
        <w:rPr>
          <w:rFonts w:hint="eastAsia" w:ascii="华文仿宋" w:hAnsi="华文仿宋" w:eastAsia="华文仿宋"/>
          <w:sz w:val="28"/>
          <w:szCs w:val="28"/>
        </w:rPr>
        <w:t>次。</w:t>
      </w:r>
    </w:p>
    <w:p w14:paraId="624604A3">
      <w:pPr>
        <w:ind w:firstLine="560" w:firstLineChars="200"/>
        <w:rPr>
          <w:rFonts w:hint="eastAsia" w:ascii="华文仿宋" w:hAnsi="华文仿宋" w:eastAsia="华文仿宋"/>
          <w:sz w:val="28"/>
          <w:szCs w:val="28"/>
        </w:rPr>
      </w:pPr>
      <w:r>
        <w:rPr>
          <w:rFonts w:ascii="华文仿宋" w:hAnsi="华文仿宋" w:eastAsia="华文仿宋"/>
          <w:sz w:val="28"/>
          <w:szCs w:val="28"/>
        </w:rPr>
        <w:t>10</w:t>
      </w:r>
      <w:r>
        <w:rPr>
          <w:rFonts w:hint="eastAsia" w:ascii="华文仿宋" w:hAnsi="华文仿宋" w:eastAsia="华文仿宋"/>
          <w:sz w:val="28"/>
          <w:szCs w:val="28"/>
        </w:rPr>
        <w:t>、制服所有纽扣必须扣完整，系领带时按照标准要求规范佩戴，违者扣1分</w:t>
      </w:r>
      <w:r>
        <w:rPr>
          <w:rFonts w:ascii="华文仿宋" w:hAnsi="华文仿宋" w:eastAsia="华文仿宋"/>
          <w:sz w:val="28"/>
          <w:szCs w:val="28"/>
        </w:rPr>
        <w:t>/</w:t>
      </w:r>
      <w:r>
        <w:rPr>
          <w:rFonts w:hint="eastAsia" w:ascii="华文仿宋" w:hAnsi="华文仿宋" w:eastAsia="华文仿宋"/>
          <w:sz w:val="28"/>
          <w:szCs w:val="28"/>
        </w:rPr>
        <w:t>次。</w:t>
      </w:r>
    </w:p>
    <w:p w14:paraId="332CC7DE">
      <w:pPr>
        <w:ind w:firstLine="560" w:firstLineChars="200"/>
        <w:rPr>
          <w:rFonts w:hint="eastAsia" w:ascii="华文仿宋" w:hAnsi="华文仿宋" w:eastAsia="华文仿宋"/>
          <w:sz w:val="28"/>
          <w:szCs w:val="28"/>
        </w:rPr>
      </w:pPr>
      <w:r>
        <w:rPr>
          <w:rFonts w:ascii="华文仿宋" w:hAnsi="华文仿宋" w:eastAsia="华文仿宋"/>
          <w:sz w:val="28"/>
          <w:szCs w:val="28"/>
        </w:rPr>
        <w:t>11</w:t>
      </w:r>
      <w:r>
        <w:rPr>
          <w:rFonts w:hint="eastAsia" w:ascii="华文仿宋" w:hAnsi="华文仿宋" w:eastAsia="华文仿宋"/>
          <w:sz w:val="28"/>
          <w:szCs w:val="28"/>
        </w:rPr>
        <w:t>、制服、手套保持洁净，不能有明显的油污渍，违者扣1分</w:t>
      </w:r>
      <w:r>
        <w:rPr>
          <w:rFonts w:ascii="华文仿宋" w:hAnsi="华文仿宋" w:eastAsia="华文仿宋"/>
          <w:sz w:val="28"/>
          <w:szCs w:val="28"/>
        </w:rPr>
        <w:t>/</w:t>
      </w:r>
      <w:r>
        <w:rPr>
          <w:rFonts w:hint="eastAsia" w:ascii="华文仿宋" w:hAnsi="华文仿宋" w:eastAsia="华文仿宋"/>
          <w:sz w:val="28"/>
          <w:szCs w:val="28"/>
        </w:rPr>
        <w:t>次。</w:t>
      </w:r>
    </w:p>
    <w:p w14:paraId="57FC63A4">
      <w:pPr>
        <w:ind w:firstLine="560" w:firstLineChars="200"/>
        <w:rPr>
          <w:rFonts w:hint="eastAsia" w:ascii="华文仿宋" w:hAnsi="华文仿宋" w:eastAsia="华文仿宋"/>
          <w:sz w:val="28"/>
          <w:szCs w:val="28"/>
        </w:rPr>
      </w:pPr>
      <w:r>
        <w:rPr>
          <w:rFonts w:ascii="华文仿宋" w:hAnsi="华文仿宋" w:eastAsia="华文仿宋"/>
          <w:sz w:val="28"/>
          <w:szCs w:val="28"/>
        </w:rPr>
        <w:t>12</w:t>
      </w:r>
      <w:r>
        <w:rPr>
          <w:rFonts w:hint="eastAsia" w:ascii="华文仿宋" w:hAnsi="华文仿宋" w:eastAsia="华文仿宋"/>
          <w:sz w:val="28"/>
          <w:szCs w:val="28"/>
        </w:rPr>
        <w:t>、大檐帽要戴正，帽檐略朝下，不准歪带帽，违者扣1分</w:t>
      </w:r>
      <w:r>
        <w:rPr>
          <w:rFonts w:ascii="华文仿宋" w:hAnsi="华文仿宋" w:eastAsia="华文仿宋"/>
          <w:sz w:val="28"/>
          <w:szCs w:val="28"/>
        </w:rPr>
        <w:t>/</w:t>
      </w:r>
      <w:r>
        <w:rPr>
          <w:rFonts w:hint="eastAsia" w:ascii="华文仿宋" w:hAnsi="华文仿宋" w:eastAsia="华文仿宋"/>
          <w:sz w:val="28"/>
          <w:szCs w:val="28"/>
        </w:rPr>
        <w:t>次。</w:t>
      </w:r>
    </w:p>
    <w:p w14:paraId="08877C2C">
      <w:pPr>
        <w:ind w:firstLine="560" w:firstLineChars="200"/>
        <w:rPr>
          <w:rFonts w:hint="eastAsia" w:ascii="华文仿宋" w:hAnsi="华文仿宋" w:eastAsia="华文仿宋"/>
          <w:sz w:val="28"/>
          <w:szCs w:val="28"/>
        </w:rPr>
      </w:pPr>
      <w:r>
        <w:rPr>
          <w:rFonts w:ascii="华文仿宋" w:hAnsi="华文仿宋" w:eastAsia="华文仿宋"/>
          <w:sz w:val="28"/>
          <w:szCs w:val="28"/>
        </w:rPr>
        <w:t>13</w:t>
      </w:r>
      <w:r>
        <w:rPr>
          <w:rFonts w:hint="eastAsia" w:ascii="华文仿宋" w:hAnsi="华文仿宋" w:eastAsia="华文仿宋"/>
          <w:sz w:val="28"/>
          <w:szCs w:val="28"/>
        </w:rPr>
        <w:t>、在办公区内，即便是休息队员，只要身着制服，必须穿戴整齐，不准穿混装、穿拖鞋，违者扣1分</w:t>
      </w:r>
      <w:r>
        <w:rPr>
          <w:rFonts w:ascii="华文仿宋" w:hAnsi="华文仿宋" w:eastAsia="华文仿宋"/>
          <w:sz w:val="28"/>
          <w:szCs w:val="28"/>
        </w:rPr>
        <w:t>/</w:t>
      </w:r>
      <w:r>
        <w:rPr>
          <w:rFonts w:hint="eastAsia" w:ascii="华文仿宋" w:hAnsi="华文仿宋" w:eastAsia="华文仿宋"/>
          <w:sz w:val="28"/>
          <w:szCs w:val="28"/>
        </w:rPr>
        <w:t>次。</w:t>
      </w:r>
    </w:p>
    <w:p w14:paraId="50B3658C">
      <w:pPr>
        <w:ind w:firstLine="560" w:firstLineChars="200"/>
        <w:rPr>
          <w:rFonts w:hint="eastAsia" w:ascii="华文仿宋" w:hAnsi="华文仿宋" w:eastAsia="华文仿宋"/>
          <w:sz w:val="28"/>
          <w:szCs w:val="28"/>
        </w:rPr>
      </w:pPr>
      <w:r>
        <w:rPr>
          <w:rFonts w:ascii="华文仿宋" w:hAnsi="华文仿宋" w:eastAsia="华文仿宋"/>
          <w:sz w:val="28"/>
          <w:szCs w:val="28"/>
        </w:rPr>
        <w:t>14</w:t>
      </w:r>
      <w:r>
        <w:rPr>
          <w:rFonts w:hint="eastAsia" w:ascii="华文仿宋" w:hAnsi="华文仿宋" w:eastAsia="华文仿宋"/>
          <w:sz w:val="28"/>
          <w:szCs w:val="28"/>
        </w:rPr>
        <w:t>、身着制服，在办公区内行走时二人称横队，三人及以上成纵队，步调一致，整齐划一，不准大声喧哗，违者扣1分</w:t>
      </w:r>
      <w:r>
        <w:rPr>
          <w:rFonts w:ascii="华文仿宋" w:hAnsi="华文仿宋" w:eastAsia="华文仿宋"/>
          <w:sz w:val="28"/>
          <w:szCs w:val="28"/>
        </w:rPr>
        <w:t>/</w:t>
      </w:r>
      <w:r>
        <w:rPr>
          <w:rFonts w:hint="eastAsia" w:ascii="华文仿宋" w:hAnsi="华文仿宋" w:eastAsia="华文仿宋"/>
          <w:sz w:val="28"/>
          <w:szCs w:val="28"/>
        </w:rPr>
        <w:t>次。</w:t>
      </w:r>
    </w:p>
    <w:p w14:paraId="0D4B833B">
      <w:pPr>
        <w:ind w:firstLine="560" w:firstLineChars="200"/>
        <w:rPr>
          <w:rFonts w:hint="eastAsia" w:ascii="华文仿宋" w:hAnsi="华文仿宋" w:eastAsia="华文仿宋"/>
          <w:sz w:val="28"/>
          <w:szCs w:val="28"/>
        </w:rPr>
      </w:pPr>
      <w:r>
        <w:rPr>
          <w:rFonts w:ascii="华文仿宋" w:hAnsi="华文仿宋" w:eastAsia="华文仿宋"/>
          <w:sz w:val="28"/>
          <w:szCs w:val="28"/>
        </w:rPr>
        <w:t>15</w:t>
      </w:r>
      <w:r>
        <w:rPr>
          <w:rFonts w:hint="eastAsia" w:ascii="华文仿宋" w:hAnsi="华文仿宋" w:eastAsia="华文仿宋"/>
          <w:sz w:val="28"/>
          <w:szCs w:val="28"/>
        </w:rPr>
        <w:t>、纠违、换证时要面向车主敬礼，违者扣1分</w:t>
      </w:r>
      <w:r>
        <w:rPr>
          <w:rFonts w:ascii="华文仿宋" w:hAnsi="华文仿宋" w:eastAsia="华文仿宋"/>
          <w:sz w:val="28"/>
          <w:szCs w:val="28"/>
        </w:rPr>
        <w:t>/</w:t>
      </w:r>
      <w:r>
        <w:rPr>
          <w:rFonts w:hint="eastAsia" w:ascii="华文仿宋" w:hAnsi="华文仿宋" w:eastAsia="华文仿宋"/>
          <w:sz w:val="28"/>
          <w:szCs w:val="28"/>
        </w:rPr>
        <w:t>次。</w:t>
      </w:r>
    </w:p>
    <w:p w14:paraId="24F619F8">
      <w:pPr>
        <w:ind w:firstLine="560" w:firstLineChars="200"/>
        <w:rPr>
          <w:rFonts w:hint="eastAsia" w:ascii="华文仿宋" w:hAnsi="华文仿宋" w:eastAsia="华文仿宋"/>
          <w:sz w:val="28"/>
          <w:szCs w:val="28"/>
        </w:rPr>
      </w:pPr>
      <w:r>
        <w:rPr>
          <w:rFonts w:ascii="华文仿宋" w:hAnsi="华文仿宋" w:eastAsia="华文仿宋"/>
          <w:sz w:val="28"/>
          <w:szCs w:val="28"/>
        </w:rPr>
        <w:t>16</w:t>
      </w:r>
      <w:r>
        <w:rPr>
          <w:rFonts w:hint="eastAsia" w:ascii="华文仿宋" w:hAnsi="华文仿宋" w:eastAsia="华文仿宋"/>
          <w:sz w:val="28"/>
          <w:szCs w:val="28"/>
        </w:rPr>
        <w:t>、指挥车辆时，打手势要规范，不准单手一指，随意散漫，违者扣1分</w:t>
      </w:r>
      <w:r>
        <w:rPr>
          <w:rFonts w:ascii="华文仿宋" w:hAnsi="华文仿宋" w:eastAsia="华文仿宋"/>
          <w:sz w:val="28"/>
          <w:szCs w:val="28"/>
        </w:rPr>
        <w:t>/</w:t>
      </w:r>
      <w:r>
        <w:rPr>
          <w:rFonts w:hint="eastAsia" w:ascii="华文仿宋" w:hAnsi="华文仿宋" w:eastAsia="华文仿宋"/>
          <w:sz w:val="28"/>
          <w:szCs w:val="28"/>
        </w:rPr>
        <w:t>次。</w:t>
      </w:r>
    </w:p>
    <w:p w14:paraId="104F0707">
      <w:pPr>
        <w:ind w:firstLine="560" w:firstLineChars="200"/>
        <w:rPr>
          <w:rFonts w:hint="eastAsia" w:ascii="华文仿宋" w:hAnsi="华文仿宋" w:eastAsia="华文仿宋"/>
          <w:sz w:val="28"/>
          <w:szCs w:val="28"/>
        </w:rPr>
      </w:pPr>
      <w:r>
        <w:rPr>
          <w:rFonts w:ascii="华文仿宋" w:hAnsi="华文仿宋" w:eastAsia="华文仿宋"/>
          <w:sz w:val="28"/>
          <w:szCs w:val="28"/>
        </w:rPr>
        <w:t>17</w:t>
      </w:r>
      <w:r>
        <w:rPr>
          <w:rFonts w:hint="eastAsia" w:ascii="华文仿宋" w:hAnsi="华文仿宋" w:eastAsia="华文仿宋"/>
          <w:sz w:val="28"/>
          <w:szCs w:val="28"/>
        </w:rPr>
        <w:t>、佩戴对讲机时，一律戴上耳麦，违者扣1分</w:t>
      </w:r>
      <w:r>
        <w:rPr>
          <w:rFonts w:ascii="华文仿宋" w:hAnsi="华文仿宋" w:eastAsia="华文仿宋"/>
          <w:sz w:val="28"/>
          <w:szCs w:val="28"/>
        </w:rPr>
        <w:t>/</w:t>
      </w:r>
      <w:r>
        <w:rPr>
          <w:rFonts w:hint="eastAsia" w:ascii="华文仿宋" w:hAnsi="华文仿宋" w:eastAsia="华文仿宋"/>
          <w:sz w:val="28"/>
          <w:szCs w:val="28"/>
        </w:rPr>
        <w:t>次。</w:t>
      </w:r>
    </w:p>
    <w:p w14:paraId="42CD5968">
      <w:pPr>
        <w:ind w:firstLine="560" w:firstLineChars="200"/>
        <w:rPr>
          <w:rFonts w:hint="eastAsia" w:ascii="华文仿宋" w:hAnsi="华文仿宋" w:eastAsia="华文仿宋"/>
          <w:sz w:val="28"/>
          <w:szCs w:val="28"/>
        </w:rPr>
      </w:pPr>
      <w:r>
        <w:rPr>
          <w:rFonts w:ascii="华文仿宋" w:hAnsi="华文仿宋" w:eastAsia="华文仿宋"/>
          <w:sz w:val="28"/>
          <w:szCs w:val="28"/>
        </w:rPr>
        <w:t>18</w:t>
      </w:r>
      <w:r>
        <w:rPr>
          <w:rFonts w:hint="eastAsia" w:ascii="华文仿宋" w:hAnsi="华文仿宋" w:eastAsia="华文仿宋"/>
          <w:sz w:val="28"/>
          <w:szCs w:val="28"/>
        </w:rPr>
        <w:t>、白班值班除车管队员外，其余队员一律不准把手机带在身上，有特殊情况得到中队同意队员除外，违者扣1分</w:t>
      </w:r>
      <w:r>
        <w:rPr>
          <w:rFonts w:ascii="华文仿宋" w:hAnsi="华文仿宋" w:eastAsia="华文仿宋"/>
          <w:sz w:val="28"/>
          <w:szCs w:val="28"/>
        </w:rPr>
        <w:t>/</w:t>
      </w:r>
      <w:r>
        <w:rPr>
          <w:rFonts w:hint="eastAsia" w:ascii="华文仿宋" w:hAnsi="华文仿宋" w:eastAsia="华文仿宋"/>
          <w:sz w:val="28"/>
          <w:szCs w:val="28"/>
        </w:rPr>
        <w:t>次。</w:t>
      </w:r>
    </w:p>
    <w:p w14:paraId="5AEBB7A8">
      <w:pPr>
        <w:ind w:firstLine="560" w:firstLineChars="200"/>
        <w:rPr>
          <w:rFonts w:hint="eastAsia" w:ascii="华文仿宋" w:hAnsi="华文仿宋" w:eastAsia="华文仿宋"/>
          <w:sz w:val="28"/>
          <w:szCs w:val="28"/>
        </w:rPr>
      </w:pPr>
      <w:r>
        <w:rPr>
          <w:rFonts w:ascii="华文仿宋" w:hAnsi="华文仿宋" w:eastAsia="华文仿宋"/>
          <w:sz w:val="28"/>
          <w:szCs w:val="28"/>
        </w:rPr>
        <w:t>19</w:t>
      </w:r>
      <w:r>
        <w:rPr>
          <w:rFonts w:hint="eastAsia" w:ascii="华文仿宋" w:hAnsi="华文仿宋" w:eastAsia="华文仿宋"/>
          <w:sz w:val="28"/>
          <w:szCs w:val="28"/>
        </w:rPr>
        <w:t>、雨天一律穿雨衣执勤，严禁打伞执勤，违者扣1分</w:t>
      </w:r>
      <w:r>
        <w:rPr>
          <w:rFonts w:ascii="华文仿宋" w:hAnsi="华文仿宋" w:eastAsia="华文仿宋"/>
          <w:sz w:val="28"/>
          <w:szCs w:val="28"/>
        </w:rPr>
        <w:t>/</w:t>
      </w:r>
      <w:r>
        <w:rPr>
          <w:rFonts w:hint="eastAsia" w:ascii="华文仿宋" w:hAnsi="华文仿宋" w:eastAsia="华文仿宋"/>
          <w:sz w:val="28"/>
          <w:szCs w:val="28"/>
        </w:rPr>
        <w:t>次。</w:t>
      </w:r>
    </w:p>
    <w:p w14:paraId="1FF18FCF">
      <w:pPr>
        <w:ind w:firstLine="560" w:firstLineChars="200"/>
        <w:rPr>
          <w:rFonts w:hint="eastAsia" w:ascii="华文仿宋" w:hAnsi="华文仿宋" w:eastAsia="华文仿宋"/>
          <w:sz w:val="28"/>
          <w:szCs w:val="28"/>
        </w:rPr>
      </w:pPr>
      <w:r>
        <w:rPr>
          <w:rFonts w:ascii="华文仿宋" w:hAnsi="华文仿宋" w:eastAsia="华文仿宋"/>
          <w:sz w:val="28"/>
          <w:szCs w:val="28"/>
        </w:rPr>
        <w:t>二、内务</w:t>
      </w:r>
    </w:p>
    <w:p w14:paraId="1126C1A2">
      <w:pPr>
        <w:ind w:firstLine="560" w:firstLineChars="200"/>
        <w:rPr>
          <w:rFonts w:hint="eastAsia" w:ascii="华文仿宋" w:hAnsi="华文仿宋" w:eastAsia="华文仿宋"/>
          <w:sz w:val="28"/>
          <w:szCs w:val="28"/>
        </w:rPr>
      </w:pPr>
      <w:r>
        <w:rPr>
          <w:rFonts w:ascii="华文仿宋" w:hAnsi="华文仿宋" w:eastAsia="华文仿宋"/>
          <w:sz w:val="28"/>
          <w:szCs w:val="28"/>
        </w:rPr>
        <w:t>1、违反宿舍和食堂卫生值日规定者，扣</w:t>
      </w:r>
      <w:r>
        <w:rPr>
          <w:rFonts w:hint="eastAsia" w:ascii="华文仿宋" w:hAnsi="华文仿宋" w:eastAsia="华文仿宋"/>
          <w:sz w:val="28"/>
          <w:szCs w:val="28"/>
        </w:rPr>
        <w:t>1</w:t>
      </w:r>
      <w:r>
        <w:rPr>
          <w:rFonts w:ascii="华文仿宋" w:hAnsi="华文仿宋" w:eastAsia="华文仿宋"/>
          <w:sz w:val="28"/>
          <w:szCs w:val="28"/>
        </w:rPr>
        <w:t xml:space="preserve">分/次。 </w:t>
      </w:r>
    </w:p>
    <w:p w14:paraId="16DF17A1">
      <w:pPr>
        <w:ind w:firstLine="560" w:firstLineChars="200"/>
        <w:rPr>
          <w:rFonts w:hint="eastAsia" w:ascii="华文仿宋" w:hAnsi="华文仿宋" w:eastAsia="华文仿宋"/>
          <w:sz w:val="28"/>
          <w:szCs w:val="28"/>
        </w:rPr>
      </w:pPr>
      <w:r>
        <w:rPr>
          <w:rFonts w:ascii="华文仿宋" w:hAnsi="华文仿宋" w:eastAsia="华文仿宋"/>
          <w:sz w:val="28"/>
          <w:szCs w:val="28"/>
        </w:rPr>
        <w:t>2、违反值勤岗位卫生制度者，首次扣</w:t>
      </w:r>
      <w:r>
        <w:rPr>
          <w:rFonts w:hint="eastAsia" w:ascii="华文仿宋" w:hAnsi="华文仿宋" w:eastAsia="华文仿宋"/>
          <w:sz w:val="28"/>
          <w:szCs w:val="28"/>
        </w:rPr>
        <w:t>1</w:t>
      </w:r>
      <w:r>
        <w:rPr>
          <w:rFonts w:ascii="华文仿宋" w:hAnsi="华文仿宋" w:eastAsia="华文仿宋"/>
          <w:sz w:val="28"/>
          <w:szCs w:val="28"/>
        </w:rPr>
        <w:t xml:space="preserve">分/次，再犯处罚加倍。 </w:t>
      </w:r>
    </w:p>
    <w:p w14:paraId="079A42AD">
      <w:pPr>
        <w:ind w:firstLine="560" w:firstLineChars="200"/>
        <w:rPr>
          <w:rFonts w:hint="eastAsia" w:ascii="华文仿宋" w:hAnsi="华文仿宋" w:eastAsia="华文仿宋"/>
          <w:sz w:val="28"/>
          <w:szCs w:val="28"/>
        </w:rPr>
      </w:pPr>
      <w:r>
        <w:rPr>
          <w:rFonts w:ascii="华文仿宋" w:hAnsi="华文仿宋" w:eastAsia="华文仿宋"/>
          <w:sz w:val="28"/>
          <w:szCs w:val="28"/>
        </w:rPr>
        <w:t>3、值勤中无故进入宿舍，扣</w:t>
      </w:r>
      <w:r>
        <w:rPr>
          <w:rFonts w:hint="eastAsia" w:ascii="华文仿宋" w:hAnsi="华文仿宋" w:eastAsia="华文仿宋"/>
          <w:sz w:val="28"/>
          <w:szCs w:val="28"/>
        </w:rPr>
        <w:t>1</w:t>
      </w:r>
      <w:r>
        <w:rPr>
          <w:rFonts w:ascii="华文仿宋" w:hAnsi="华文仿宋" w:eastAsia="华文仿宋"/>
          <w:sz w:val="28"/>
          <w:szCs w:val="28"/>
        </w:rPr>
        <w:t>分/次。</w:t>
      </w:r>
    </w:p>
    <w:p w14:paraId="43FC8964">
      <w:pPr>
        <w:ind w:firstLine="560" w:firstLineChars="200"/>
        <w:rPr>
          <w:rFonts w:hint="eastAsia" w:ascii="华文仿宋" w:hAnsi="华文仿宋" w:eastAsia="华文仿宋"/>
          <w:sz w:val="28"/>
          <w:szCs w:val="28"/>
        </w:rPr>
      </w:pPr>
      <w:r>
        <w:rPr>
          <w:rFonts w:ascii="华文仿宋" w:hAnsi="华文仿宋" w:eastAsia="华文仿宋"/>
          <w:sz w:val="28"/>
          <w:szCs w:val="28"/>
        </w:rPr>
        <w:t>4、擅自留宿非中队人员者，扣</w:t>
      </w:r>
      <w:r>
        <w:rPr>
          <w:rFonts w:hint="eastAsia" w:ascii="华文仿宋" w:hAnsi="华文仿宋" w:eastAsia="华文仿宋"/>
          <w:sz w:val="28"/>
          <w:szCs w:val="28"/>
        </w:rPr>
        <w:t>4</w:t>
      </w:r>
      <w:r>
        <w:rPr>
          <w:rFonts w:ascii="华文仿宋" w:hAnsi="华文仿宋" w:eastAsia="华文仿宋"/>
          <w:sz w:val="28"/>
          <w:szCs w:val="28"/>
        </w:rPr>
        <w:t>分/次。</w:t>
      </w:r>
    </w:p>
    <w:p w14:paraId="4A2F910D">
      <w:pPr>
        <w:ind w:firstLine="560" w:firstLineChars="200"/>
        <w:rPr>
          <w:rFonts w:hint="eastAsia" w:ascii="华文仿宋" w:hAnsi="华文仿宋" w:eastAsia="华文仿宋"/>
          <w:sz w:val="28"/>
          <w:szCs w:val="28"/>
        </w:rPr>
      </w:pPr>
      <w:r>
        <w:rPr>
          <w:rFonts w:hint="eastAsia" w:ascii="华文仿宋" w:hAnsi="华文仿宋" w:eastAsia="华文仿宋"/>
          <w:sz w:val="28"/>
          <w:szCs w:val="28"/>
        </w:rPr>
        <w:t>5</w:t>
      </w:r>
      <w:r>
        <w:rPr>
          <w:rFonts w:ascii="华文仿宋" w:hAnsi="华文仿宋" w:eastAsia="华文仿宋"/>
          <w:sz w:val="28"/>
          <w:szCs w:val="28"/>
        </w:rPr>
        <w:t>、在宿舍内吃饭，扣</w:t>
      </w:r>
      <w:r>
        <w:rPr>
          <w:rFonts w:hint="eastAsia" w:ascii="华文仿宋" w:hAnsi="华文仿宋" w:eastAsia="华文仿宋"/>
          <w:sz w:val="28"/>
          <w:szCs w:val="28"/>
        </w:rPr>
        <w:t>2</w:t>
      </w:r>
      <w:r>
        <w:rPr>
          <w:rFonts w:ascii="华文仿宋" w:hAnsi="华文仿宋" w:eastAsia="华文仿宋"/>
          <w:sz w:val="28"/>
          <w:szCs w:val="28"/>
        </w:rPr>
        <w:t>分/次。喝酒、打牌或严重影响他人休息者扣</w:t>
      </w:r>
      <w:r>
        <w:rPr>
          <w:rFonts w:hint="eastAsia" w:ascii="华文仿宋" w:hAnsi="华文仿宋" w:eastAsia="华文仿宋"/>
          <w:sz w:val="28"/>
          <w:szCs w:val="28"/>
        </w:rPr>
        <w:t>4</w:t>
      </w:r>
      <w:r>
        <w:rPr>
          <w:rFonts w:ascii="华文仿宋" w:hAnsi="华文仿宋" w:eastAsia="华文仿宋"/>
          <w:sz w:val="28"/>
          <w:szCs w:val="28"/>
        </w:rPr>
        <w:t>分/次</w:t>
      </w:r>
      <w:r>
        <w:rPr>
          <w:rFonts w:hint="eastAsia" w:ascii="华文仿宋" w:hAnsi="华文仿宋" w:eastAsia="华文仿宋"/>
          <w:sz w:val="28"/>
          <w:szCs w:val="28"/>
        </w:rPr>
        <w:t>·</w:t>
      </w:r>
      <w:r>
        <w:rPr>
          <w:rFonts w:ascii="华文仿宋" w:hAnsi="华文仿宋" w:eastAsia="华文仿宋"/>
          <w:sz w:val="28"/>
          <w:szCs w:val="28"/>
        </w:rPr>
        <w:t>人。</w:t>
      </w:r>
    </w:p>
    <w:p w14:paraId="1DDC83C1">
      <w:pPr>
        <w:ind w:firstLine="560" w:firstLineChars="200"/>
        <w:rPr>
          <w:rFonts w:hint="eastAsia" w:ascii="华文仿宋" w:hAnsi="华文仿宋" w:eastAsia="华文仿宋"/>
          <w:sz w:val="28"/>
          <w:szCs w:val="28"/>
        </w:rPr>
      </w:pPr>
      <w:r>
        <w:rPr>
          <w:rFonts w:ascii="华文仿宋" w:hAnsi="华文仿宋" w:eastAsia="华文仿宋"/>
          <w:sz w:val="28"/>
          <w:szCs w:val="28"/>
        </w:rPr>
        <w:t xml:space="preserve">三、纪律 </w:t>
      </w:r>
    </w:p>
    <w:p w14:paraId="2FB74966">
      <w:pPr>
        <w:ind w:firstLine="560" w:firstLineChars="200"/>
        <w:rPr>
          <w:rFonts w:hint="eastAsia" w:ascii="华文仿宋" w:hAnsi="华文仿宋" w:eastAsia="华文仿宋"/>
          <w:sz w:val="28"/>
          <w:szCs w:val="28"/>
        </w:rPr>
      </w:pPr>
      <w:r>
        <w:rPr>
          <w:rFonts w:ascii="华文仿宋" w:hAnsi="华文仿宋" w:eastAsia="华文仿宋"/>
          <w:sz w:val="28"/>
          <w:szCs w:val="28"/>
        </w:rPr>
        <w:t>1、值勤中无故串岗、长时间打电话聊天、玩电脑或长时间看手机扣</w:t>
      </w:r>
      <w:r>
        <w:rPr>
          <w:rFonts w:hint="eastAsia" w:ascii="华文仿宋" w:hAnsi="华文仿宋" w:eastAsia="华文仿宋"/>
          <w:sz w:val="28"/>
          <w:szCs w:val="28"/>
        </w:rPr>
        <w:t>2</w:t>
      </w:r>
      <w:r>
        <w:rPr>
          <w:rFonts w:ascii="华文仿宋" w:hAnsi="华文仿宋" w:eastAsia="华文仿宋"/>
          <w:sz w:val="28"/>
          <w:szCs w:val="28"/>
        </w:rPr>
        <w:t>分/次。</w:t>
      </w:r>
    </w:p>
    <w:p w14:paraId="25879012">
      <w:pPr>
        <w:ind w:firstLine="560" w:firstLineChars="200"/>
        <w:rPr>
          <w:rFonts w:hint="eastAsia" w:ascii="华文仿宋" w:hAnsi="华文仿宋" w:eastAsia="华文仿宋"/>
          <w:sz w:val="28"/>
          <w:szCs w:val="28"/>
        </w:rPr>
      </w:pPr>
      <w:r>
        <w:rPr>
          <w:rFonts w:ascii="华文仿宋" w:hAnsi="华文仿宋" w:eastAsia="华文仿宋"/>
          <w:sz w:val="28"/>
          <w:szCs w:val="28"/>
        </w:rPr>
        <w:t>2、未经批准无故不参加中队队会、班组学习、军训及其他团队活动者（迟到十分钟视为缺席），每违反一项扣</w:t>
      </w:r>
      <w:r>
        <w:rPr>
          <w:rFonts w:hint="eastAsia" w:ascii="华文仿宋" w:hAnsi="华文仿宋" w:eastAsia="华文仿宋"/>
          <w:sz w:val="28"/>
          <w:szCs w:val="28"/>
        </w:rPr>
        <w:t>4</w:t>
      </w:r>
      <w:r>
        <w:rPr>
          <w:rFonts w:ascii="华文仿宋" w:hAnsi="华文仿宋" w:eastAsia="华文仿宋"/>
          <w:sz w:val="28"/>
          <w:szCs w:val="28"/>
        </w:rPr>
        <w:t>分/次。</w:t>
      </w:r>
    </w:p>
    <w:p w14:paraId="5CAEB6FD">
      <w:pPr>
        <w:snapToGrid w:val="0"/>
        <w:ind w:firstLine="560" w:firstLineChars="200"/>
        <w:rPr>
          <w:rFonts w:hint="eastAsia" w:ascii="华文仿宋" w:hAnsi="华文仿宋" w:eastAsia="华文仿宋"/>
          <w:sz w:val="28"/>
          <w:szCs w:val="28"/>
        </w:rPr>
      </w:pPr>
      <w:r>
        <w:rPr>
          <w:rFonts w:ascii="华文仿宋" w:hAnsi="华文仿宋" w:eastAsia="华文仿宋"/>
          <w:sz w:val="28"/>
          <w:szCs w:val="28"/>
        </w:rPr>
        <w:t>3、在日常检查中严禁通风报信，发现扣</w:t>
      </w:r>
      <w:r>
        <w:rPr>
          <w:rFonts w:hint="eastAsia" w:ascii="华文仿宋" w:hAnsi="华文仿宋" w:eastAsia="华文仿宋"/>
          <w:sz w:val="28"/>
          <w:szCs w:val="28"/>
        </w:rPr>
        <w:t>2</w:t>
      </w:r>
      <w:r>
        <w:rPr>
          <w:rFonts w:ascii="华文仿宋" w:hAnsi="华文仿宋" w:eastAsia="华文仿宋"/>
          <w:sz w:val="28"/>
          <w:szCs w:val="28"/>
        </w:rPr>
        <w:t>分/次。</w:t>
      </w:r>
    </w:p>
    <w:p w14:paraId="35AEE772">
      <w:pPr>
        <w:snapToGrid w:val="0"/>
        <w:ind w:firstLine="560" w:firstLineChars="200"/>
        <w:rPr>
          <w:rFonts w:hint="eastAsia" w:ascii="华文仿宋" w:hAnsi="华文仿宋" w:eastAsia="华文仿宋"/>
          <w:sz w:val="28"/>
          <w:szCs w:val="28"/>
        </w:rPr>
      </w:pPr>
      <w:r>
        <w:rPr>
          <w:rFonts w:ascii="华文仿宋" w:hAnsi="华文仿宋" w:eastAsia="华文仿宋"/>
          <w:sz w:val="28"/>
          <w:szCs w:val="28"/>
        </w:rPr>
        <w:t>4、被管理工作中被扣分或处罚，不得向相关当事人索取补偿。发现一次，退回补偿款，扣</w:t>
      </w:r>
      <w:r>
        <w:rPr>
          <w:rFonts w:hint="eastAsia" w:ascii="华文仿宋" w:hAnsi="华文仿宋" w:eastAsia="华文仿宋"/>
          <w:sz w:val="28"/>
          <w:szCs w:val="28"/>
        </w:rPr>
        <w:t>6</w:t>
      </w:r>
      <w:r>
        <w:rPr>
          <w:rFonts w:ascii="华文仿宋" w:hAnsi="华文仿宋" w:eastAsia="华文仿宋"/>
          <w:sz w:val="28"/>
          <w:szCs w:val="28"/>
        </w:rPr>
        <w:t>分/次。</w:t>
      </w:r>
    </w:p>
    <w:p w14:paraId="11F1CA99">
      <w:pPr>
        <w:ind w:firstLine="560" w:firstLineChars="200"/>
        <w:rPr>
          <w:rFonts w:hint="eastAsia" w:ascii="华文仿宋" w:hAnsi="华文仿宋" w:eastAsia="华文仿宋"/>
          <w:sz w:val="28"/>
          <w:szCs w:val="28"/>
        </w:rPr>
      </w:pPr>
      <w:r>
        <w:rPr>
          <w:rFonts w:ascii="华文仿宋" w:hAnsi="华文仿宋" w:eastAsia="华文仿宋"/>
          <w:sz w:val="28"/>
          <w:szCs w:val="28"/>
        </w:rPr>
        <w:t>5、不服从管理的，扣</w:t>
      </w:r>
      <w:r>
        <w:rPr>
          <w:rFonts w:hint="eastAsia" w:ascii="华文仿宋" w:hAnsi="华文仿宋" w:eastAsia="华文仿宋"/>
          <w:sz w:val="28"/>
          <w:szCs w:val="28"/>
        </w:rPr>
        <w:t>6</w:t>
      </w:r>
      <w:r>
        <w:rPr>
          <w:rFonts w:ascii="华文仿宋" w:hAnsi="华文仿宋" w:eastAsia="华文仿宋"/>
          <w:sz w:val="28"/>
          <w:szCs w:val="28"/>
        </w:rPr>
        <w:t>分/次。</w:t>
      </w:r>
    </w:p>
    <w:p w14:paraId="03F5FC51">
      <w:pPr>
        <w:ind w:firstLine="560" w:firstLineChars="200"/>
        <w:rPr>
          <w:rFonts w:hint="eastAsia" w:ascii="华文仿宋" w:hAnsi="华文仿宋" w:eastAsia="华文仿宋"/>
          <w:sz w:val="28"/>
          <w:szCs w:val="28"/>
        </w:rPr>
      </w:pPr>
      <w:r>
        <w:rPr>
          <w:rFonts w:ascii="华文仿宋" w:hAnsi="华文仿宋" w:eastAsia="华文仿宋"/>
          <w:sz w:val="28"/>
          <w:szCs w:val="28"/>
        </w:rPr>
        <w:t>6、值勤期间制度执行不力，造成未经允许的人员进入办公大楼内，影响正常办公秩序的扣</w:t>
      </w:r>
      <w:r>
        <w:rPr>
          <w:rFonts w:hint="eastAsia" w:ascii="华文仿宋" w:hAnsi="华文仿宋" w:eastAsia="华文仿宋"/>
          <w:sz w:val="28"/>
          <w:szCs w:val="28"/>
        </w:rPr>
        <w:t>2</w:t>
      </w:r>
      <w:r>
        <w:rPr>
          <w:rFonts w:ascii="华文仿宋" w:hAnsi="华文仿宋" w:eastAsia="华文仿宋"/>
          <w:sz w:val="28"/>
          <w:szCs w:val="28"/>
        </w:rPr>
        <w:t>分/次。</w:t>
      </w:r>
    </w:p>
    <w:p w14:paraId="0EDD73C4">
      <w:pPr>
        <w:ind w:firstLine="560" w:firstLineChars="200"/>
        <w:rPr>
          <w:rFonts w:hint="eastAsia" w:ascii="华文仿宋" w:hAnsi="华文仿宋" w:eastAsia="华文仿宋"/>
          <w:sz w:val="28"/>
          <w:szCs w:val="28"/>
        </w:rPr>
      </w:pPr>
      <w:r>
        <w:rPr>
          <w:rFonts w:ascii="华文仿宋" w:hAnsi="华文仿宋" w:eastAsia="华文仿宋"/>
          <w:sz w:val="28"/>
          <w:szCs w:val="28"/>
        </w:rPr>
        <w:t>7、不按时按规定交接班、擅自换班、当班期间睡岗、打盹休息以及不按规定要求巡逻者，扣</w:t>
      </w:r>
      <w:r>
        <w:rPr>
          <w:rFonts w:hint="eastAsia" w:ascii="华文仿宋" w:hAnsi="华文仿宋" w:eastAsia="华文仿宋"/>
          <w:sz w:val="28"/>
          <w:szCs w:val="28"/>
        </w:rPr>
        <w:t>2</w:t>
      </w:r>
      <w:r>
        <w:rPr>
          <w:rFonts w:ascii="华文仿宋" w:hAnsi="华文仿宋" w:eastAsia="华文仿宋"/>
          <w:sz w:val="28"/>
          <w:szCs w:val="28"/>
        </w:rPr>
        <w:t>分/次。</w:t>
      </w:r>
    </w:p>
    <w:p w14:paraId="60AECC7D">
      <w:pPr>
        <w:ind w:firstLine="560" w:firstLineChars="200"/>
        <w:rPr>
          <w:rFonts w:hint="eastAsia" w:ascii="华文仿宋" w:hAnsi="华文仿宋" w:eastAsia="华文仿宋"/>
          <w:sz w:val="28"/>
          <w:szCs w:val="28"/>
        </w:rPr>
      </w:pPr>
      <w:r>
        <w:rPr>
          <w:rFonts w:ascii="华文仿宋" w:hAnsi="华文仿宋" w:eastAsia="华文仿宋"/>
          <w:sz w:val="28"/>
          <w:szCs w:val="28"/>
        </w:rPr>
        <w:t>8、发现突发情况不及时上报的，情节严重的扣</w:t>
      </w:r>
      <w:r>
        <w:rPr>
          <w:rFonts w:hint="eastAsia" w:ascii="华文仿宋" w:hAnsi="华文仿宋" w:eastAsia="华文仿宋"/>
          <w:sz w:val="28"/>
          <w:szCs w:val="28"/>
        </w:rPr>
        <w:t>1</w:t>
      </w:r>
      <w:r>
        <w:rPr>
          <w:rFonts w:ascii="华文仿宋" w:hAnsi="华文仿宋" w:eastAsia="华文仿宋"/>
          <w:sz w:val="28"/>
          <w:szCs w:val="28"/>
        </w:rPr>
        <w:t>—</w:t>
      </w:r>
      <w:r>
        <w:rPr>
          <w:rFonts w:hint="eastAsia" w:ascii="华文仿宋" w:hAnsi="华文仿宋" w:eastAsia="华文仿宋"/>
          <w:sz w:val="28"/>
          <w:szCs w:val="28"/>
        </w:rPr>
        <w:t>3</w:t>
      </w:r>
      <w:r>
        <w:rPr>
          <w:rFonts w:ascii="华文仿宋" w:hAnsi="华文仿宋" w:eastAsia="华文仿宋"/>
          <w:sz w:val="28"/>
          <w:szCs w:val="28"/>
        </w:rPr>
        <w:t>分/次。</w:t>
      </w:r>
    </w:p>
    <w:p w14:paraId="2CE7D0A5">
      <w:pPr>
        <w:ind w:firstLine="560" w:firstLineChars="200"/>
        <w:rPr>
          <w:rFonts w:hint="eastAsia" w:ascii="华文仿宋" w:hAnsi="华文仿宋" w:eastAsia="华文仿宋"/>
          <w:sz w:val="28"/>
          <w:szCs w:val="28"/>
        </w:rPr>
      </w:pPr>
      <w:r>
        <w:rPr>
          <w:rFonts w:ascii="华文仿宋" w:hAnsi="华文仿宋" w:eastAsia="华文仿宋"/>
          <w:sz w:val="28"/>
          <w:szCs w:val="28"/>
        </w:rPr>
        <w:t>9、扣留物品不登记不上缴、遗失物品（除按原价赔偿外）、拒收客户单位同意收留的信件，一经查实扣</w:t>
      </w:r>
      <w:r>
        <w:rPr>
          <w:rFonts w:hint="eastAsia" w:ascii="华文仿宋" w:hAnsi="华文仿宋" w:eastAsia="华文仿宋"/>
          <w:sz w:val="28"/>
          <w:szCs w:val="28"/>
        </w:rPr>
        <w:t>4</w:t>
      </w:r>
      <w:r>
        <w:rPr>
          <w:rFonts w:ascii="华文仿宋" w:hAnsi="华文仿宋" w:eastAsia="华文仿宋"/>
          <w:sz w:val="28"/>
          <w:szCs w:val="28"/>
        </w:rPr>
        <w:t>分/次。</w:t>
      </w:r>
    </w:p>
    <w:p w14:paraId="543C1FBC">
      <w:pPr>
        <w:snapToGrid w:val="0"/>
        <w:ind w:firstLine="560" w:firstLineChars="200"/>
        <w:rPr>
          <w:rFonts w:hint="eastAsia" w:ascii="华文仿宋" w:hAnsi="华文仿宋" w:eastAsia="华文仿宋"/>
          <w:sz w:val="28"/>
          <w:szCs w:val="28"/>
        </w:rPr>
      </w:pPr>
      <w:r>
        <w:rPr>
          <w:rFonts w:ascii="华文仿宋" w:hAnsi="华文仿宋" w:eastAsia="华文仿宋"/>
          <w:sz w:val="28"/>
          <w:szCs w:val="28"/>
        </w:rPr>
        <w:t>10、工作区域内捡到物品不报告、上缴或私自接受客户钱物者扣</w:t>
      </w:r>
      <w:r>
        <w:rPr>
          <w:rFonts w:hint="eastAsia" w:ascii="华文仿宋" w:hAnsi="华文仿宋" w:eastAsia="华文仿宋"/>
          <w:sz w:val="28"/>
          <w:szCs w:val="28"/>
        </w:rPr>
        <w:t>2</w:t>
      </w:r>
      <w:r>
        <w:rPr>
          <w:rFonts w:ascii="华文仿宋" w:hAnsi="华文仿宋" w:eastAsia="华文仿宋"/>
          <w:sz w:val="28"/>
          <w:szCs w:val="28"/>
        </w:rPr>
        <w:t>分/次。</w:t>
      </w:r>
    </w:p>
    <w:p w14:paraId="219A4850">
      <w:pPr>
        <w:snapToGrid w:val="0"/>
        <w:ind w:firstLine="560" w:firstLineChars="200"/>
        <w:rPr>
          <w:rFonts w:hint="eastAsia" w:ascii="华文仿宋" w:hAnsi="华文仿宋" w:eastAsia="华文仿宋"/>
          <w:sz w:val="28"/>
          <w:szCs w:val="28"/>
        </w:rPr>
      </w:pPr>
      <w:r>
        <w:rPr>
          <w:rFonts w:ascii="华文仿宋" w:hAnsi="华文仿宋" w:eastAsia="华文仿宋"/>
          <w:sz w:val="28"/>
          <w:szCs w:val="28"/>
        </w:rPr>
        <w:t>11、有损政府机关形象和他人利益等行为的，每项扣</w:t>
      </w:r>
      <w:r>
        <w:rPr>
          <w:rFonts w:hint="eastAsia" w:ascii="华文仿宋" w:hAnsi="华文仿宋" w:eastAsia="华文仿宋"/>
          <w:sz w:val="28"/>
          <w:szCs w:val="28"/>
        </w:rPr>
        <w:t>2</w:t>
      </w:r>
      <w:r>
        <w:rPr>
          <w:rFonts w:ascii="华文仿宋" w:hAnsi="华文仿宋" w:eastAsia="华文仿宋"/>
          <w:sz w:val="28"/>
          <w:szCs w:val="28"/>
        </w:rPr>
        <w:t>分/次。</w:t>
      </w:r>
    </w:p>
    <w:p w14:paraId="36D4F6CF">
      <w:pPr>
        <w:ind w:firstLine="560" w:firstLineChars="200"/>
        <w:rPr>
          <w:rFonts w:hint="eastAsia" w:ascii="华文仿宋" w:hAnsi="华文仿宋" w:eastAsia="华文仿宋"/>
          <w:sz w:val="28"/>
          <w:szCs w:val="28"/>
        </w:rPr>
      </w:pPr>
      <w:r>
        <w:rPr>
          <w:rFonts w:ascii="华文仿宋" w:hAnsi="华文仿宋" w:eastAsia="华文仿宋"/>
          <w:sz w:val="28"/>
          <w:szCs w:val="28"/>
        </w:rPr>
        <w:t>四、管理人员考核细则</w:t>
      </w:r>
    </w:p>
    <w:p w14:paraId="230D438F">
      <w:pPr>
        <w:snapToGrid w:val="0"/>
        <w:ind w:firstLine="630"/>
        <w:rPr>
          <w:rFonts w:hint="eastAsia" w:ascii="华文仿宋" w:hAnsi="华文仿宋" w:eastAsia="华文仿宋"/>
          <w:sz w:val="28"/>
          <w:szCs w:val="28"/>
        </w:rPr>
      </w:pPr>
      <w:r>
        <w:rPr>
          <w:rFonts w:ascii="华文仿宋" w:hAnsi="华文仿宋" w:eastAsia="华文仿宋"/>
          <w:sz w:val="28"/>
          <w:szCs w:val="28"/>
        </w:rPr>
        <w:t>1、队员违规行为被行政科发现并扣分的，中队长连带责任扣1/3分次，分队长连带责任扣1/2分次。</w:t>
      </w:r>
    </w:p>
    <w:p w14:paraId="4EE58F0D">
      <w:pPr>
        <w:snapToGrid w:val="0"/>
        <w:ind w:firstLine="630"/>
        <w:rPr>
          <w:rFonts w:hint="eastAsia" w:ascii="华文仿宋" w:hAnsi="华文仿宋" w:eastAsia="华文仿宋"/>
          <w:sz w:val="28"/>
          <w:szCs w:val="28"/>
        </w:rPr>
      </w:pPr>
      <w:r>
        <w:rPr>
          <w:rFonts w:ascii="华文仿宋" w:hAnsi="华文仿宋" w:eastAsia="华文仿宋"/>
          <w:sz w:val="28"/>
          <w:szCs w:val="28"/>
        </w:rPr>
        <w:t>2、利用职权徇私舞弊扣</w:t>
      </w:r>
      <w:r>
        <w:rPr>
          <w:rFonts w:hint="eastAsia" w:ascii="华文仿宋" w:hAnsi="华文仿宋" w:eastAsia="华文仿宋"/>
          <w:sz w:val="28"/>
          <w:szCs w:val="28"/>
        </w:rPr>
        <w:t>2</w:t>
      </w:r>
      <w:r>
        <w:rPr>
          <w:rFonts w:ascii="华文仿宋" w:hAnsi="华文仿宋" w:eastAsia="华文仿宋"/>
          <w:sz w:val="28"/>
          <w:szCs w:val="28"/>
        </w:rPr>
        <w:t>分/次。</w:t>
      </w:r>
    </w:p>
    <w:p w14:paraId="57ADD836">
      <w:pPr>
        <w:snapToGrid w:val="0"/>
        <w:ind w:firstLine="630"/>
        <w:rPr>
          <w:rFonts w:hint="eastAsia" w:ascii="华文仿宋" w:hAnsi="华文仿宋" w:eastAsia="华文仿宋"/>
          <w:sz w:val="28"/>
          <w:szCs w:val="28"/>
        </w:rPr>
      </w:pPr>
      <w:r>
        <w:rPr>
          <w:rFonts w:ascii="华文仿宋" w:hAnsi="华文仿宋" w:eastAsia="华文仿宋"/>
          <w:sz w:val="28"/>
          <w:szCs w:val="28"/>
        </w:rPr>
        <w:t>3、处理事务不公正，造成队伍不团结扣</w:t>
      </w:r>
      <w:r>
        <w:rPr>
          <w:rFonts w:hint="eastAsia" w:ascii="华文仿宋" w:hAnsi="华文仿宋" w:eastAsia="华文仿宋"/>
          <w:sz w:val="28"/>
          <w:szCs w:val="28"/>
        </w:rPr>
        <w:t>2</w:t>
      </w:r>
      <w:r>
        <w:rPr>
          <w:rFonts w:ascii="华文仿宋" w:hAnsi="华文仿宋" w:eastAsia="华文仿宋"/>
          <w:sz w:val="28"/>
          <w:szCs w:val="28"/>
        </w:rPr>
        <w:t>分/次。</w:t>
      </w:r>
    </w:p>
    <w:p w14:paraId="434C7E70">
      <w:pPr>
        <w:snapToGrid w:val="0"/>
        <w:ind w:firstLine="630"/>
        <w:rPr>
          <w:rFonts w:hint="eastAsia" w:ascii="华文仿宋" w:hAnsi="华文仿宋" w:eastAsia="华文仿宋"/>
          <w:sz w:val="28"/>
          <w:szCs w:val="28"/>
        </w:rPr>
      </w:pPr>
      <w:r>
        <w:rPr>
          <w:rFonts w:ascii="华文仿宋" w:hAnsi="华文仿宋" w:eastAsia="华文仿宋"/>
          <w:sz w:val="28"/>
          <w:szCs w:val="28"/>
        </w:rPr>
        <w:t>4、发现问题不及时处理或不及时上报的扣</w:t>
      </w:r>
      <w:r>
        <w:rPr>
          <w:rFonts w:hint="eastAsia" w:ascii="华文仿宋" w:hAnsi="华文仿宋" w:eastAsia="华文仿宋"/>
          <w:sz w:val="28"/>
          <w:szCs w:val="28"/>
        </w:rPr>
        <w:t>2</w:t>
      </w:r>
      <w:r>
        <w:rPr>
          <w:rFonts w:ascii="华文仿宋" w:hAnsi="华文仿宋" w:eastAsia="华文仿宋"/>
          <w:sz w:val="28"/>
          <w:szCs w:val="28"/>
        </w:rPr>
        <w:t>分/次。</w:t>
      </w:r>
    </w:p>
    <w:p w14:paraId="689B5AF6">
      <w:pPr>
        <w:snapToGrid w:val="0"/>
        <w:ind w:firstLine="630"/>
        <w:rPr>
          <w:rFonts w:hint="eastAsia" w:ascii="华文仿宋" w:hAnsi="华文仿宋" w:eastAsia="华文仿宋"/>
          <w:sz w:val="28"/>
          <w:szCs w:val="28"/>
        </w:rPr>
      </w:pPr>
      <w:r>
        <w:rPr>
          <w:rFonts w:ascii="华文仿宋" w:hAnsi="华文仿宋" w:eastAsia="华文仿宋"/>
          <w:sz w:val="28"/>
          <w:szCs w:val="28"/>
        </w:rPr>
        <w:t>5、对上级主管交办的任务不能及时完成或敷衍了事的扣</w:t>
      </w:r>
      <w:r>
        <w:rPr>
          <w:rFonts w:hint="eastAsia" w:ascii="华文仿宋" w:hAnsi="华文仿宋" w:eastAsia="华文仿宋"/>
          <w:sz w:val="28"/>
          <w:szCs w:val="28"/>
        </w:rPr>
        <w:t>2</w:t>
      </w:r>
      <w:r>
        <w:rPr>
          <w:rFonts w:ascii="华文仿宋" w:hAnsi="华文仿宋" w:eastAsia="华文仿宋"/>
          <w:sz w:val="28"/>
          <w:szCs w:val="28"/>
        </w:rPr>
        <w:t>分/次。</w:t>
      </w:r>
    </w:p>
    <w:p w14:paraId="2AFD8C20">
      <w:pPr>
        <w:snapToGrid w:val="0"/>
        <w:ind w:firstLine="630"/>
        <w:rPr>
          <w:rFonts w:hint="eastAsia" w:ascii="华文仿宋" w:hAnsi="华文仿宋" w:eastAsia="华文仿宋"/>
          <w:sz w:val="28"/>
          <w:szCs w:val="28"/>
        </w:rPr>
      </w:pPr>
      <w:r>
        <w:rPr>
          <w:rFonts w:ascii="华文仿宋" w:hAnsi="华文仿宋" w:eastAsia="华文仿宋"/>
          <w:sz w:val="28"/>
          <w:szCs w:val="28"/>
        </w:rPr>
        <w:t>6、搬弄是非、挑拨离间，扣</w:t>
      </w:r>
      <w:r>
        <w:rPr>
          <w:rFonts w:hint="eastAsia" w:ascii="华文仿宋" w:hAnsi="华文仿宋" w:eastAsia="华文仿宋"/>
          <w:sz w:val="28"/>
          <w:szCs w:val="28"/>
        </w:rPr>
        <w:t>4</w:t>
      </w:r>
      <w:r>
        <w:rPr>
          <w:rFonts w:ascii="华文仿宋" w:hAnsi="华文仿宋" w:eastAsia="华文仿宋"/>
          <w:sz w:val="28"/>
          <w:szCs w:val="28"/>
        </w:rPr>
        <w:t>分/次。</w:t>
      </w:r>
    </w:p>
    <w:p w14:paraId="5BF56BA9">
      <w:pPr>
        <w:snapToGrid w:val="0"/>
        <w:ind w:firstLine="630"/>
        <w:rPr>
          <w:rFonts w:hint="eastAsia" w:ascii="华文仿宋" w:hAnsi="华文仿宋" w:eastAsia="华文仿宋"/>
          <w:sz w:val="28"/>
          <w:szCs w:val="28"/>
        </w:rPr>
      </w:pPr>
      <w:r>
        <w:rPr>
          <w:rFonts w:ascii="华文仿宋" w:hAnsi="华文仿宋" w:eastAsia="华文仿宋"/>
          <w:sz w:val="28"/>
          <w:szCs w:val="28"/>
        </w:rPr>
        <w:t>7、拉帮结派，影响队伍团结的取消当月考核。</w:t>
      </w:r>
    </w:p>
    <w:p w14:paraId="71300989">
      <w:pPr>
        <w:snapToGrid w:val="0"/>
        <w:ind w:firstLine="630"/>
        <w:rPr>
          <w:rFonts w:hint="eastAsia" w:ascii="华文仿宋" w:hAnsi="华文仿宋" w:eastAsia="华文仿宋"/>
          <w:sz w:val="28"/>
          <w:szCs w:val="28"/>
        </w:rPr>
      </w:pPr>
      <w:r>
        <w:rPr>
          <w:rFonts w:ascii="华文仿宋" w:hAnsi="华文仿宋" w:eastAsia="华文仿宋"/>
          <w:sz w:val="28"/>
          <w:szCs w:val="28"/>
        </w:rPr>
        <w:t>8、在工作岗位或院内发生内部争吵的，每人扣</w:t>
      </w:r>
      <w:r>
        <w:rPr>
          <w:rFonts w:hint="eastAsia" w:ascii="华文仿宋" w:hAnsi="华文仿宋" w:eastAsia="华文仿宋"/>
          <w:sz w:val="28"/>
          <w:szCs w:val="28"/>
        </w:rPr>
        <w:t>2</w:t>
      </w:r>
      <w:r>
        <w:rPr>
          <w:rFonts w:ascii="华文仿宋" w:hAnsi="华文仿宋" w:eastAsia="华文仿宋"/>
          <w:sz w:val="28"/>
          <w:szCs w:val="28"/>
        </w:rPr>
        <w:t>分/次，情节严重的，扣</w:t>
      </w:r>
      <w:r>
        <w:rPr>
          <w:rFonts w:hint="eastAsia" w:ascii="华文仿宋" w:hAnsi="华文仿宋" w:eastAsia="华文仿宋"/>
          <w:sz w:val="28"/>
          <w:szCs w:val="28"/>
          <w:lang w:val="en-US" w:eastAsia="zh-CN"/>
        </w:rPr>
        <w:t>4</w:t>
      </w:r>
      <w:r>
        <w:rPr>
          <w:rFonts w:ascii="华文仿宋" w:hAnsi="华文仿宋" w:eastAsia="华文仿宋"/>
          <w:sz w:val="28"/>
          <w:szCs w:val="28"/>
        </w:rPr>
        <w:t>分/次，动手打架的取消当月考核。</w:t>
      </w:r>
    </w:p>
    <w:p w14:paraId="5AEAB020">
      <w:pPr>
        <w:snapToGrid w:val="0"/>
        <w:ind w:firstLine="630"/>
        <w:rPr>
          <w:rFonts w:hint="eastAsia" w:ascii="华文仿宋" w:hAnsi="华文仿宋" w:eastAsia="华文仿宋"/>
          <w:sz w:val="28"/>
          <w:szCs w:val="28"/>
        </w:rPr>
      </w:pPr>
      <w:r>
        <w:rPr>
          <w:rFonts w:ascii="华文仿宋" w:hAnsi="华文仿宋" w:eastAsia="华文仿宋"/>
          <w:sz w:val="28"/>
          <w:szCs w:val="28"/>
        </w:rPr>
        <w:t>9、因管理不当造成工作事故的，视情况</w:t>
      </w:r>
      <w:r>
        <w:rPr>
          <w:rFonts w:hint="eastAsia" w:ascii="华文仿宋" w:hAnsi="华文仿宋" w:eastAsia="华文仿宋"/>
          <w:sz w:val="28"/>
          <w:szCs w:val="28"/>
        </w:rPr>
        <w:t>1</w:t>
      </w:r>
      <w:r>
        <w:rPr>
          <w:rFonts w:ascii="华文仿宋" w:hAnsi="华文仿宋" w:eastAsia="华文仿宋"/>
          <w:sz w:val="28"/>
          <w:szCs w:val="28"/>
        </w:rPr>
        <w:t>-</w:t>
      </w:r>
      <w:r>
        <w:rPr>
          <w:rFonts w:hint="eastAsia" w:ascii="华文仿宋" w:hAnsi="华文仿宋" w:eastAsia="华文仿宋"/>
          <w:sz w:val="28"/>
          <w:szCs w:val="28"/>
        </w:rPr>
        <w:t>4</w:t>
      </w:r>
      <w:r>
        <w:rPr>
          <w:rFonts w:ascii="华文仿宋" w:hAnsi="华文仿宋" w:eastAsia="华文仿宋"/>
          <w:sz w:val="28"/>
          <w:szCs w:val="28"/>
        </w:rPr>
        <w:t>分，情节严重的，扣除当月考核奖。</w:t>
      </w:r>
    </w:p>
    <w:p w14:paraId="78739011">
      <w:pPr>
        <w:ind w:left="720"/>
        <w:rPr>
          <w:rFonts w:hint="eastAsia" w:ascii="华文仿宋" w:hAnsi="华文仿宋" w:eastAsia="华文仿宋"/>
          <w:sz w:val="28"/>
          <w:szCs w:val="28"/>
        </w:rPr>
      </w:pPr>
      <w:r>
        <w:rPr>
          <w:rFonts w:ascii="华文仿宋" w:hAnsi="华文仿宋" w:eastAsia="华文仿宋"/>
          <w:sz w:val="28"/>
          <w:szCs w:val="28"/>
        </w:rPr>
        <w:t>五、重大情节的处罚方式</w:t>
      </w:r>
    </w:p>
    <w:p w14:paraId="046AD138">
      <w:pPr>
        <w:ind w:firstLine="640"/>
        <w:rPr>
          <w:rFonts w:hint="eastAsia" w:ascii="华文仿宋" w:hAnsi="华文仿宋" w:eastAsia="华文仿宋"/>
          <w:sz w:val="28"/>
          <w:szCs w:val="28"/>
        </w:rPr>
      </w:pPr>
      <w:r>
        <w:rPr>
          <w:rFonts w:ascii="华文仿宋" w:hAnsi="华文仿宋" w:eastAsia="华文仿宋"/>
          <w:sz w:val="28"/>
          <w:szCs w:val="28"/>
        </w:rPr>
        <w:t>有下列情形之一严重违纪者，扣罚全部考核奖，并提请保安公司禁止在政府办公区内工作：</w:t>
      </w:r>
    </w:p>
    <w:p w14:paraId="10E8FA55">
      <w:pPr>
        <w:ind w:firstLine="640"/>
        <w:rPr>
          <w:rFonts w:hint="eastAsia" w:ascii="华文仿宋" w:hAnsi="华文仿宋" w:eastAsia="华文仿宋"/>
          <w:sz w:val="28"/>
          <w:szCs w:val="28"/>
        </w:rPr>
      </w:pPr>
      <w:r>
        <w:rPr>
          <w:rFonts w:ascii="华文仿宋" w:hAnsi="华文仿宋" w:eastAsia="华文仿宋"/>
          <w:sz w:val="28"/>
          <w:szCs w:val="28"/>
        </w:rPr>
        <w:t>（1）有欺骗或不诚实行为，有偷窃或其他不道德行为。利用职权受贿，或以不正当手段谋利者；</w:t>
      </w:r>
    </w:p>
    <w:p w14:paraId="54D85011">
      <w:pPr>
        <w:ind w:firstLine="640"/>
        <w:rPr>
          <w:rFonts w:hint="eastAsia" w:ascii="华文仿宋" w:hAnsi="华文仿宋" w:eastAsia="华文仿宋"/>
          <w:sz w:val="28"/>
          <w:szCs w:val="28"/>
        </w:rPr>
      </w:pPr>
      <w:r>
        <w:rPr>
          <w:rFonts w:ascii="华文仿宋" w:hAnsi="华文仿宋" w:eastAsia="华文仿宋"/>
          <w:sz w:val="28"/>
          <w:szCs w:val="28"/>
        </w:rPr>
        <w:t>（2）违反服务细则，造成事故及损失者；</w:t>
      </w:r>
    </w:p>
    <w:p w14:paraId="09847711">
      <w:pPr>
        <w:tabs>
          <w:tab w:val="left" w:pos="900"/>
        </w:tabs>
        <w:ind w:firstLine="640"/>
        <w:rPr>
          <w:rFonts w:hint="eastAsia" w:ascii="华文仿宋" w:hAnsi="华文仿宋" w:eastAsia="华文仿宋"/>
          <w:sz w:val="28"/>
          <w:szCs w:val="28"/>
        </w:rPr>
      </w:pPr>
      <w:r>
        <w:rPr>
          <w:rFonts w:ascii="华文仿宋" w:hAnsi="华文仿宋" w:eastAsia="华文仿宋"/>
          <w:sz w:val="28"/>
          <w:szCs w:val="28"/>
        </w:rPr>
        <w:t>（3）对外损坏政府机关声誉、泄露客户秘密者。</w:t>
      </w:r>
    </w:p>
    <w:p w14:paraId="39D88751">
      <w:pPr>
        <w:ind w:firstLine="640"/>
        <w:rPr>
          <w:rFonts w:hint="eastAsia" w:ascii="华文仿宋" w:hAnsi="华文仿宋" w:eastAsia="华文仿宋"/>
          <w:sz w:val="28"/>
          <w:szCs w:val="28"/>
        </w:rPr>
      </w:pPr>
      <w:r>
        <w:rPr>
          <w:rFonts w:ascii="华文仿宋" w:hAnsi="华文仿宋" w:eastAsia="华文仿宋"/>
          <w:sz w:val="28"/>
          <w:szCs w:val="28"/>
        </w:rPr>
        <w:t>（4）遭业主或内部重大投诉，影响公司声誉者；</w:t>
      </w:r>
    </w:p>
    <w:p w14:paraId="42CBF47C">
      <w:pPr>
        <w:ind w:firstLine="640"/>
        <w:rPr>
          <w:rFonts w:hint="eastAsia" w:ascii="华文仿宋" w:hAnsi="华文仿宋" w:eastAsia="华文仿宋"/>
          <w:sz w:val="28"/>
          <w:szCs w:val="28"/>
        </w:rPr>
      </w:pPr>
      <w:r>
        <w:rPr>
          <w:rFonts w:ascii="华文仿宋" w:hAnsi="华文仿宋" w:eastAsia="华文仿宋"/>
          <w:sz w:val="28"/>
          <w:szCs w:val="28"/>
        </w:rPr>
        <w:t>（5）在办公区内争吵、打斗或伤害其他人士，或因个人原因相关人员来院内争吵、打斗，造成恶劣影响者；</w:t>
      </w:r>
    </w:p>
    <w:p w14:paraId="256F0C85">
      <w:pPr>
        <w:ind w:firstLine="640"/>
        <w:rPr>
          <w:rFonts w:hint="eastAsia" w:ascii="华文仿宋" w:hAnsi="华文仿宋" w:eastAsia="华文仿宋"/>
          <w:sz w:val="28"/>
          <w:szCs w:val="28"/>
        </w:rPr>
      </w:pPr>
      <w:r>
        <w:rPr>
          <w:rFonts w:ascii="华文仿宋" w:hAnsi="华文仿宋" w:eastAsia="华文仿宋"/>
          <w:sz w:val="28"/>
          <w:szCs w:val="28"/>
        </w:rPr>
        <w:t>（6）与服务对象发生冲突，使用亵渎性或辱骂性语言者；</w:t>
      </w:r>
    </w:p>
    <w:p w14:paraId="30400B21">
      <w:pPr>
        <w:snapToGrid w:val="0"/>
        <w:ind w:firstLine="560" w:firstLineChars="200"/>
        <w:rPr>
          <w:rFonts w:hint="eastAsia" w:ascii="华文仿宋" w:hAnsi="华文仿宋" w:eastAsia="华文仿宋"/>
          <w:sz w:val="28"/>
          <w:szCs w:val="28"/>
        </w:rPr>
      </w:pPr>
      <w:r>
        <w:rPr>
          <w:rFonts w:ascii="华文仿宋" w:hAnsi="华文仿宋" w:eastAsia="华文仿宋"/>
          <w:sz w:val="28"/>
          <w:szCs w:val="28"/>
        </w:rPr>
        <w:t>（7）因自身原因不能胜任现岗位工作，又不能接受或无其它岗位安排者，取消本月度考核奖金，提请保安公司调离此人。</w:t>
      </w:r>
    </w:p>
    <w:p w14:paraId="23F7CF66">
      <w:pPr>
        <w:ind w:firstLine="640"/>
        <w:rPr>
          <w:rFonts w:hint="eastAsia" w:ascii="华文仿宋" w:hAnsi="华文仿宋" w:eastAsia="华文仿宋"/>
          <w:sz w:val="28"/>
          <w:szCs w:val="28"/>
        </w:rPr>
      </w:pPr>
      <w:r>
        <w:rPr>
          <w:rFonts w:ascii="华文仿宋" w:hAnsi="华文仿宋" w:eastAsia="华文仿宋"/>
          <w:sz w:val="28"/>
          <w:szCs w:val="28"/>
        </w:rPr>
        <w:t>（8）被考核拒接签名的，取消本月度全部考核奖金。</w:t>
      </w:r>
    </w:p>
    <w:p w14:paraId="74DC50CC">
      <w:pPr>
        <w:ind w:firstLine="640"/>
        <w:rPr>
          <w:rFonts w:hint="eastAsia" w:ascii="华文仿宋" w:hAnsi="华文仿宋" w:eastAsia="华文仿宋"/>
          <w:sz w:val="28"/>
          <w:szCs w:val="28"/>
        </w:rPr>
      </w:pPr>
      <w:r>
        <w:rPr>
          <w:rFonts w:ascii="华文仿宋" w:hAnsi="华文仿宋" w:eastAsia="华文仿宋"/>
          <w:sz w:val="28"/>
          <w:szCs w:val="28"/>
        </w:rPr>
        <w:t>（9）酒后上岗和工作期间饮酒；</w:t>
      </w:r>
    </w:p>
    <w:p w14:paraId="43148CA8">
      <w:pPr>
        <w:ind w:firstLine="640"/>
        <w:rPr>
          <w:rFonts w:hint="eastAsia" w:ascii="华文仿宋" w:hAnsi="华文仿宋" w:eastAsia="华文仿宋"/>
          <w:sz w:val="28"/>
          <w:szCs w:val="28"/>
        </w:rPr>
      </w:pPr>
      <w:r>
        <w:rPr>
          <w:rFonts w:ascii="华文仿宋" w:hAnsi="华文仿宋" w:eastAsia="华文仿宋"/>
          <w:sz w:val="28"/>
          <w:szCs w:val="28"/>
        </w:rPr>
        <w:t>（10）其他严重违反相关规章制度，造成恶劣影响者。</w:t>
      </w:r>
    </w:p>
    <w:p w14:paraId="0664EE43">
      <w:pPr>
        <w:ind w:firstLine="560" w:firstLineChars="200"/>
        <w:rPr>
          <w:rFonts w:hint="eastAsia" w:ascii="华文仿宋" w:hAnsi="华文仿宋" w:eastAsia="华文仿宋"/>
          <w:sz w:val="28"/>
          <w:szCs w:val="28"/>
        </w:rPr>
      </w:pPr>
      <w:r>
        <w:rPr>
          <w:rFonts w:ascii="华文仿宋" w:hAnsi="华文仿宋" w:eastAsia="华文仿宋"/>
          <w:sz w:val="28"/>
          <w:szCs w:val="28"/>
        </w:rPr>
        <w:t>六、相关说明</w:t>
      </w:r>
    </w:p>
    <w:p w14:paraId="69154306">
      <w:pPr>
        <w:ind w:firstLine="640"/>
        <w:rPr>
          <w:rFonts w:hint="eastAsia" w:ascii="华文仿宋" w:hAnsi="华文仿宋" w:eastAsia="华文仿宋"/>
          <w:sz w:val="28"/>
          <w:szCs w:val="28"/>
        </w:rPr>
      </w:pPr>
      <w:r>
        <w:rPr>
          <w:rFonts w:ascii="华文仿宋" w:hAnsi="华文仿宋" w:eastAsia="华文仿宋"/>
          <w:sz w:val="28"/>
          <w:szCs w:val="28"/>
        </w:rPr>
        <w:t>1、本考核奖金为政府办独立考核奖金，与员工所在公司的内部考核有所区别。同一事件，可以两个同时扣罚。</w:t>
      </w:r>
    </w:p>
    <w:p w14:paraId="6FB93058">
      <w:pPr>
        <w:ind w:firstLine="640"/>
        <w:rPr>
          <w:rFonts w:hint="eastAsia" w:ascii="华文仿宋" w:hAnsi="华文仿宋" w:eastAsia="华文仿宋"/>
          <w:sz w:val="28"/>
          <w:szCs w:val="28"/>
        </w:rPr>
      </w:pPr>
      <w:r>
        <w:rPr>
          <w:rFonts w:ascii="华文仿宋" w:hAnsi="华文仿宋" w:eastAsia="华文仿宋"/>
          <w:sz w:val="28"/>
          <w:szCs w:val="28"/>
        </w:rPr>
        <w:t>2、员工考核奖金每月由保安中队初考并汇总报行政科，经分管主任核定后，由行政科反馈相关公司。相关公司根据反馈情况发放给员工，同时开具发票给区政府办。</w:t>
      </w:r>
    </w:p>
    <w:p w14:paraId="2E8080C7">
      <w:pPr>
        <w:ind w:firstLine="640"/>
        <w:rPr>
          <w:rFonts w:hint="eastAsia" w:ascii="华文仿宋" w:hAnsi="华文仿宋" w:eastAsia="华文仿宋"/>
          <w:sz w:val="28"/>
          <w:szCs w:val="28"/>
        </w:rPr>
      </w:pPr>
      <w:r>
        <w:rPr>
          <w:rFonts w:ascii="华文仿宋" w:hAnsi="华文仿宋" w:eastAsia="华文仿宋"/>
          <w:sz w:val="28"/>
          <w:szCs w:val="28"/>
        </w:rPr>
        <w:t>3、本表中的考核奖，是区政府办对保安中队工作人员的鼓励，不列为工资。</w:t>
      </w:r>
    </w:p>
    <w:p w14:paraId="12D91FD9">
      <w:pPr>
        <w:keepNext/>
        <w:rPr>
          <w:rFonts w:hint="eastAsia" w:ascii="方正小标宋简体" w:hAnsi="方正小标宋简体" w:eastAsia="方正小标宋简体" w:cs="方正小标宋简体"/>
          <w:color w:val="000000"/>
          <w:sz w:val="36"/>
          <w:szCs w:val="36"/>
        </w:rPr>
      </w:pPr>
    </w:p>
    <w:p w14:paraId="2EA77B3C">
      <w:pPr>
        <w:keepNext/>
        <w:jc w:val="center"/>
        <w:rPr>
          <w:rFonts w:hint="eastAsia" w:ascii="方正小标宋简体" w:hAnsi="方正小标宋简体" w:eastAsia="方正小标宋简体" w:cs="方正小标宋简体"/>
          <w:color w:val="000000"/>
          <w:sz w:val="36"/>
          <w:szCs w:val="36"/>
        </w:rPr>
      </w:pPr>
    </w:p>
    <w:p w14:paraId="6A2F7780">
      <w:pPr>
        <w:pStyle w:val="48"/>
        <w:rPr>
          <w:rFonts w:hint="eastAsia" w:ascii="方正小标宋简体" w:hAnsi="方正小标宋简体" w:eastAsia="方正小标宋简体" w:cs="方正小标宋简体"/>
          <w:color w:val="000000"/>
          <w:sz w:val="36"/>
          <w:szCs w:val="36"/>
        </w:rPr>
      </w:pPr>
    </w:p>
    <w:p w14:paraId="3A084703">
      <w:pPr>
        <w:rPr>
          <w:spacing w:val="11"/>
          <w:sz w:val="40"/>
          <w:szCs w:val="40"/>
          <w14:textOutline w14:w="7353" w14:cap="flat" w14:cmpd="sng" w14:algn="ctr">
            <w14:solidFill>
              <w14:srgbClr w14:val="000000"/>
            </w14:solidFill>
            <w14:prstDash w14:val="solid"/>
            <w14:miter w14:val="0"/>
          </w14:textOutline>
        </w:rPr>
      </w:pPr>
      <w:r>
        <w:rPr>
          <w:rFonts w:hint="eastAsia"/>
          <w:spacing w:val="11"/>
          <w:sz w:val="40"/>
          <w:szCs w:val="40"/>
          <w14:textOutline w14:w="7353" w14:cap="flat" w14:cmpd="sng" w14:algn="ctr">
            <w14:solidFill>
              <w14:srgbClr w14:val="000000"/>
            </w14:solidFill>
            <w14:prstDash w14:val="solid"/>
            <w14:miter w14:val="0"/>
          </w14:textOutline>
        </w:rPr>
        <w:br w:type="page"/>
      </w:r>
    </w:p>
    <w:p w14:paraId="6A990BF0">
      <w:pPr>
        <w:jc w:val="center"/>
        <w:outlineLvl w:val="0"/>
        <w:rPr>
          <w:spacing w:val="11"/>
          <w:sz w:val="40"/>
          <w:szCs w:val="40"/>
          <w14:textOutline w14:w="7353" w14:cap="flat" w14:cmpd="sng" w14:algn="ctr">
            <w14:solidFill>
              <w14:srgbClr w14:val="000000"/>
            </w14:solidFill>
            <w14:prstDash w14:val="solid"/>
            <w14:miter w14:val="0"/>
          </w14:textOutline>
        </w:rPr>
      </w:pPr>
      <w:r>
        <w:rPr>
          <w:spacing w:val="11"/>
          <w:sz w:val="40"/>
          <w:szCs w:val="40"/>
          <w14:textOutline w14:w="7353" w14:cap="flat" w14:cmpd="sng" w14:algn="ctr">
            <w14:solidFill>
              <w14:srgbClr w14:val="000000"/>
            </w14:solidFill>
            <w14:prstDash w14:val="solid"/>
            <w14:miter w14:val="0"/>
          </w14:textOutline>
        </w:rPr>
        <w:t>第</w:t>
      </w:r>
      <w:r>
        <w:rPr>
          <w:rFonts w:hint="eastAsia"/>
          <w:spacing w:val="11"/>
          <w:sz w:val="40"/>
          <w:szCs w:val="40"/>
          <w14:textOutline w14:w="7353" w14:cap="flat" w14:cmpd="sng" w14:algn="ctr">
            <w14:solidFill>
              <w14:srgbClr w14:val="000000"/>
            </w14:solidFill>
            <w14:prstDash w14:val="solid"/>
            <w14:miter w14:val="0"/>
          </w14:textOutline>
        </w:rPr>
        <w:t>五</w:t>
      </w:r>
      <w:r>
        <w:rPr>
          <w:spacing w:val="11"/>
          <w:sz w:val="40"/>
          <w:szCs w:val="40"/>
          <w14:textOutline w14:w="7353" w14:cap="flat" w14:cmpd="sng" w14:algn="ctr">
            <w14:solidFill>
              <w14:srgbClr w14:val="000000"/>
            </w14:solidFill>
            <w14:prstDash w14:val="solid"/>
            <w14:miter w14:val="0"/>
          </w14:textOutline>
        </w:rPr>
        <w:t>章</w:t>
      </w:r>
      <w:r>
        <w:rPr>
          <w:spacing w:val="42"/>
          <w:sz w:val="40"/>
          <w:szCs w:val="40"/>
        </w:rPr>
        <w:t xml:space="preserve">  </w:t>
      </w:r>
      <w:r>
        <w:rPr>
          <w:rFonts w:hint="eastAsia"/>
          <w:spacing w:val="11"/>
          <w:sz w:val="40"/>
          <w:szCs w:val="40"/>
          <w14:textOutline w14:w="7353" w14:cap="flat" w14:cmpd="sng" w14:algn="ctr">
            <w14:solidFill>
              <w14:srgbClr w14:val="000000"/>
            </w14:solidFill>
            <w14:prstDash w14:val="solid"/>
            <w14:miter w14:val="0"/>
          </w14:textOutline>
        </w:rPr>
        <w:t>评标方法与评标标准</w:t>
      </w:r>
    </w:p>
    <w:p w14:paraId="0C6BEBD4">
      <w:pPr>
        <w:spacing w:line="264" w:lineRule="auto"/>
        <w:ind w:firstLine="480"/>
        <w:rPr>
          <w:rFonts w:hint="eastAsia" w:ascii="宋体" w:hAnsi="宋体" w:cs="宋体"/>
          <w:sz w:val="24"/>
          <w:szCs w:val="24"/>
        </w:rPr>
      </w:pPr>
      <w:r>
        <w:rPr>
          <w:rFonts w:hint="eastAsia" w:ascii="宋体" w:hAnsi="宋体" w:cs="宋体"/>
          <w:sz w:val="24"/>
          <w:szCs w:val="24"/>
        </w:rPr>
        <w:t>一、评标方法</w:t>
      </w:r>
    </w:p>
    <w:p w14:paraId="2342DE3D">
      <w:pPr>
        <w:spacing w:line="360" w:lineRule="auto"/>
        <w:ind w:firstLine="482"/>
        <w:rPr>
          <w:rFonts w:hint="eastAsia"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评标标准中2.1-2.6项”得分由高到低顺序排列。在投标文件满足招标文件全部实质性要求的供应商中，按照评审得分最高的供应商为中标候选人。</w:t>
      </w:r>
    </w:p>
    <w:p w14:paraId="575482CE">
      <w:pPr>
        <w:spacing w:line="360" w:lineRule="auto"/>
        <w:ind w:firstLine="482"/>
        <w:rPr>
          <w:rFonts w:hint="eastAsia" w:ascii="宋体" w:hAnsi="宋体" w:cs="宋体"/>
          <w:sz w:val="24"/>
          <w:szCs w:val="24"/>
        </w:rPr>
      </w:pPr>
      <w:r>
        <w:rPr>
          <w:rFonts w:hint="eastAsia" w:ascii="宋体" w:hAnsi="宋体" w:cs="宋体"/>
          <w:sz w:val="24"/>
          <w:szCs w:val="24"/>
        </w:rPr>
        <w:t>二、政府采购政策功能落实</w:t>
      </w:r>
      <w:bookmarkStart w:id="191" w:name="_GoBack"/>
      <w:bookmarkEnd w:id="191"/>
    </w:p>
    <w:p w14:paraId="602AFEF6">
      <w:pPr>
        <w:spacing w:line="360" w:lineRule="auto"/>
        <w:ind w:firstLine="482"/>
        <w:rPr>
          <w:rFonts w:hint="eastAsia" w:ascii="宋体" w:hAnsi="宋体" w:cs="宋体"/>
          <w:sz w:val="24"/>
          <w:szCs w:val="24"/>
        </w:rPr>
      </w:pPr>
      <w:r>
        <w:rPr>
          <w:rFonts w:hint="eastAsia" w:ascii="宋体" w:hAnsi="宋体" w:cs="宋体"/>
          <w:sz w:val="24"/>
          <w:szCs w:val="24"/>
        </w:rPr>
        <w:t>1.本项目服务全部由小微企业承接的，对报价给予1</w:t>
      </w:r>
      <w:r>
        <w:rPr>
          <w:rFonts w:hint="eastAsia" w:ascii="宋体" w:hAnsi="宋体" w:cs="宋体"/>
          <w:sz w:val="24"/>
          <w:szCs w:val="24"/>
          <w:lang w:val="en-US" w:eastAsia="zh-CN"/>
        </w:rPr>
        <w:t>0</w:t>
      </w:r>
      <w:r>
        <w:rPr>
          <w:rFonts w:hint="eastAsia" w:ascii="宋体" w:hAnsi="宋体" w:cs="宋体"/>
          <w:sz w:val="24"/>
          <w:szCs w:val="24"/>
        </w:rPr>
        <w:t>%的扣除，用扣除后的价格参与评审。</w:t>
      </w:r>
    </w:p>
    <w:p w14:paraId="6C84134F">
      <w:pPr>
        <w:spacing w:line="360" w:lineRule="auto"/>
        <w:ind w:firstLine="482"/>
        <w:rPr>
          <w:rFonts w:hint="eastAsia" w:ascii="宋体" w:hAnsi="宋体" w:cs="宋体"/>
          <w:sz w:val="24"/>
          <w:szCs w:val="24"/>
        </w:rPr>
      </w:pPr>
      <w:r>
        <w:rPr>
          <w:rFonts w:hint="eastAsia" w:ascii="宋体" w:hAnsi="宋体" w:cs="宋体"/>
          <w:sz w:val="24"/>
          <w:szCs w:val="24"/>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21E5A5C7">
      <w:pPr>
        <w:spacing w:line="264" w:lineRule="auto"/>
        <w:ind w:firstLine="480"/>
        <w:rPr>
          <w:rFonts w:hint="eastAsia" w:ascii="宋体" w:hAnsi="宋体" w:cs="宋体"/>
          <w:sz w:val="24"/>
          <w:szCs w:val="24"/>
        </w:rPr>
      </w:pPr>
      <w:r>
        <w:rPr>
          <w:rFonts w:hint="eastAsia" w:ascii="宋体" w:hAnsi="宋体" w:cs="宋体"/>
          <w:sz w:val="24"/>
          <w:szCs w:val="24"/>
        </w:rPr>
        <w:t>三、评审标准</w:t>
      </w:r>
    </w:p>
    <w:tbl>
      <w:tblPr>
        <w:tblStyle w:val="38"/>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02"/>
        <w:gridCol w:w="6930"/>
        <w:gridCol w:w="750"/>
      </w:tblGrid>
      <w:tr w14:paraId="29F7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02158250">
            <w:pPr>
              <w:widowControl/>
              <w:spacing w:line="360" w:lineRule="auto"/>
              <w:jc w:val="center"/>
              <w:rPr>
                <w:b/>
                <w:szCs w:val="21"/>
              </w:rPr>
            </w:pPr>
            <w:r>
              <w:rPr>
                <w:rFonts w:hint="eastAsia"/>
                <w:b/>
                <w:szCs w:val="21"/>
              </w:rPr>
              <w:t>序号</w:t>
            </w:r>
          </w:p>
        </w:tc>
        <w:tc>
          <w:tcPr>
            <w:tcW w:w="1202" w:type="dxa"/>
            <w:vAlign w:val="center"/>
          </w:tcPr>
          <w:p w14:paraId="0E34E153">
            <w:pPr>
              <w:widowControl/>
              <w:spacing w:line="360" w:lineRule="auto"/>
              <w:jc w:val="center"/>
              <w:rPr>
                <w:b/>
                <w:szCs w:val="21"/>
              </w:rPr>
            </w:pPr>
            <w:r>
              <w:rPr>
                <w:rFonts w:hint="eastAsia"/>
                <w:b/>
                <w:szCs w:val="21"/>
              </w:rPr>
              <w:t>评分因素</w:t>
            </w:r>
          </w:p>
        </w:tc>
        <w:tc>
          <w:tcPr>
            <w:tcW w:w="6930" w:type="dxa"/>
            <w:vAlign w:val="center"/>
          </w:tcPr>
          <w:p w14:paraId="1DB4F1B7">
            <w:pPr>
              <w:widowControl/>
              <w:spacing w:line="360" w:lineRule="auto"/>
              <w:jc w:val="center"/>
              <w:rPr>
                <w:b/>
                <w:szCs w:val="21"/>
              </w:rPr>
            </w:pPr>
            <w:r>
              <w:rPr>
                <w:rFonts w:hint="eastAsia"/>
                <w:b/>
                <w:szCs w:val="21"/>
              </w:rPr>
              <w:t>评审标准</w:t>
            </w:r>
          </w:p>
        </w:tc>
        <w:tc>
          <w:tcPr>
            <w:tcW w:w="750" w:type="dxa"/>
            <w:vAlign w:val="center"/>
          </w:tcPr>
          <w:p w14:paraId="41A9CBAD">
            <w:pPr>
              <w:widowControl/>
              <w:spacing w:line="360" w:lineRule="auto"/>
              <w:jc w:val="center"/>
              <w:rPr>
                <w:b/>
                <w:szCs w:val="21"/>
              </w:rPr>
            </w:pPr>
            <w:r>
              <w:rPr>
                <w:rFonts w:hint="eastAsia"/>
                <w:b/>
                <w:szCs w:val="21"/>
              </w:rPr>
              <w:t>分值</w:t>
            </w:r>
          </w:p>
        </w:tc>
      </w:tr>
      <w:tr w14:paraId="761C5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194ED169">
            <w:pPr>
              <w:widowControl/>
              <w:spacing w:line="360" w:lineRule="auto"/>
              <w:jc w:val="center"/>
              <w:rPr>
                <w:szCs w:val="21"/>
              </w:rPr>
            </w:pPr>
            <w:r>
              <w:rPr>
                <w:rFonts w:hint="eastAsia"/>
                <w:szCs w:val="21"/>
              </w:rPr>
              <w:t>1</w:t>
            </w:r>
          </w:p>
        </w:tc>
        <w:tc>
          <w:tcPr>
            <w:tcW w:w="1202" w:type="dxa"/>
            <w:vAlign w:val="center"/>
          </w:tcPr>
          <w:p w14:paraId="7FC47784">
            <w:pPr>
              <w:widowControl/>
              <w:spacing w:line="360" w:lineRule="auto"/>
              <w:jc w:val="center"/>
              <w:rPr>
                <w:szCs w:val="21"/>
              </w:rPr>
            </w:pPr>
            <w:r>
              <w:rPr>
                <w:rFonts w:hint="eastAsia"/>
                <w:szCs w:val="21"/>
              </w:rPr>
              <w:t>价格</w:t>
            </w:r>
          </w:p>
          <w:p w14:paraId="2F2A0302">
            <w:pPr>
              <w:widowControl/>
              <w:spacing w:line="360" w:lineRule="auto"/>
              <w:jc w:val="center"/>
              <w:rPr>
                <w:szCs w:val="21"/>
              </w:rPr>
            </w:pPr>
            <w:r>
              <w:rPr>
                <w:rFonts w:hint="eastAsia"/>
                <w:szCs w:val="21"/>
              </w:rPr>
              <w:t>（</w:t>
            </w:r>
            <w:r>
              <w:rPr>
                <w:szCs w:val="21"/>
              </w:rPr>
              <w:t>1</w:t>
            </w:r>
            <w:r>
              <w:rPr>
                <w:rFonts w:hint="eastAsia"/>
                <w:szCs w:val="21"/>
              </w:rPr>
              <w:t>0分）</w:t>
            </w:r>
          </w:p>
        </w:tc>
        <w:tc>
          <w:tcPr>
            <w:tcW w:w="6930" w:type="dxa"/>
            <w:vAlign w:val="center"/>
          </w:tcPr>
          <w:p w14:paraId="79C22789">
            <w:pPr>
              <w:spacing w:line="360" w:lineRule="auto"/>
              <w:rPr>
                <w:szCs w:val="21"/>
              </w:rPr>
            </w:pPr>
            <w:r>
              <w:rPr>
                <w:rFonts w:hint="eastAsia"/>
                <w:szCs w:val="21"/>
              </w:rPr>
              <w:t>采用低价优先的方法，即满足招标文件要求且最终报价最低的报价为评审基准价，其价格分为满分。其他供应商的价格分按照下列公式计算：响应报价得分=(评审基准价／响应报价)×</w:t>
            </w:r>
            <w:r>
              <w:rPr>
                <w:szCs w:val="21"/>
              </w:rPr>
              <w:t>1</w:t>
            </w:r>
            <w:r>
              <w:rPr>
                <w:rFonts w:hint="eastAsia"/>
                <w:szCs w:val="21"/>
              </w:rPr>
              <w:t>0。（小数点后面保留两位）。</w:t>
            </w:r>
          </w:p>
        </w:tc>
        <w:tc>
          <w:tcPr>
            <w:tcW w:w="750" w:type="dxa"/>
            <w:vAlign w:val="center"/>
          </w:tcPr>
          <w:p w14:paraId="28739B5F">
            <w:pPr>
              <w:widowControl/>
              <w:spacing w:line="360" w:lineRule="auto"/>
              <w:jc w:val="center"/>
              <w:rPr>
                <w:bCs/>
                <w:szCs w:val="21"/>
              </w:rPr>
            </w:pPr>
            <w:r>
              <w:rPr>
                <w:bCs/>
                <w:szCs w:val="21"/>
              </w:rPr>
              <w:t>1</w:t>
            </w:r>
            <w:r>
              <w:rPr>
                <w:rFonts w:hint="eastAsia"/>
                <w:bCs/>
                <w:szCs w:val="21"/>
              </w:rPr>
              <w:t>0</w:t>
            </w:r>
          </w:p>
        </w:tc>
      </w:tr>
      <w:tr w14:paraId="23164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37F09BD2">
            <w:pPr>
              <w:widowControl/>
              <w:spacing w:line="360" w:lineRule="auto"/>
              <w:jc w:val="center"/>
              <w:rPr>
                <w:szCs w:val="21"/>
              </w:rPr>
            </w:pPr>
            <w:r>
              <w:rPr>
                <w:rFonts w:hint="eastAsia"/>
                <w:szCs w:val="21"/>
              </w:rPr>
              <w:t>2.1</w:t>
            </w:r>
          </w:p>
        </w:tc>
        <w:tc>
          <w:tcPr>
            <w:tcW w:w="1202" w:type="dxa"/>
            <w:vMerge w:val="restart"/>
            <w:vAlign w:val="center"/>
          </w:tcPr>
          <w:p w14:paraId="249692BE">
            <w:pPr>
              <w:widowControl/>
              <w:spacing w:line="360" w:lineRule="auto"/>
              <w:jc w:val="center"/>
              <w:rPr>
                <w:szCs w:val="21"/>
              </w:rPr>
            </w:pPr>
            <w:r>
              <w:rPr>
                <w:rFonts w:hint="eastAsia"/>
                <w:szCs w:val="21"/>
              </w:rPr>
              <w:t>服务方案</w:t>
            </w:r>
          </w:p>
          <w:p w14:paraId="3F88597E">
            <w:pPr>
              <w:widowControl/>
              <w:spacing w:line="360" w:lineRule="auto"/>
              <w:jc w:val="center"/>
              <w:rPr>
                <w:szCs w:val="21"/>
              </w:rPr>
            </w:pPr>
            <w:r>
              <w:rPr>
                <w:rFonts w:hint="eastAsia"/>
                <w:szCs w:val="21"/>
              </w:rPr>
              <w:t>（52分）</w:t>
            </w:r>
          </w:p>
        </w:tc>
        <w:tc>
          <w:tcPr>
            <w:tcW w:w="6930" w:type="dxa"/>
            <w:vAlign w:val="center"/>
          </w:tcPr>
          <w:p w14:paraId="6CDE01C6">
            <w:pPr>
              <w:spacing w:line="360" w:lineRule="auto"/>
              <w:rPr>
                <w:szCs w:val="21"/>
              </w:rPr>
            </w:pPr>
            <w:r>
              <w:rPr>
                <w:rFonts w:hint="eastAsia"/>
                <w:szCs w:val="21"/>
              </w:rPr>
              <w:t>项目</w:t>
            </w:r>
            <w:r>
              <w:rPr>
                <w:szCs w:val="21"/>
              </w:rPr>
              <w:t>总体措施</w:t>
            </w:r>
            <w:r>
              <w:rPr>
                <w:rFonts w:hint="eastAsia"/>
                <w:szCs w:val="21"/>
              </w:rPr>
              <w:t>（内部管理架构、管理制度、监督机制）</w:t>
            </w:r>
            <w:r>
              <w:rPr>
                <w:szCs w:val="21"/>
              </w:rPr>
              <w:t>合理性</w:t>
            </w:r>
            <w:r>
              <w:rPr>
                <w:rFonts w:hint="eastAsia"/>
                <w:szCs w:val="21"/>
              </w:rPr>
              <w:t>进行综合评审：</w:t>
            </w:r>
          </w:p>
          <w:p w14:paraId="1BF70251">
            <w:pPr>
              <w:spacing w:line="360" w:lineRule="auto"/>
              <w:rPr>
                <w:szCs w:val="21"/>
              </w:rPr>
            </w:pPr>
            <w:r>
              <w:rPr>
                <w:szCs w:val="21"/>
              </w:rPr>
              <w:t>方案完整、详细、科学，能体现项目实际情况的得</w:t>
            </w:r>
            <w:r>
              <w:rPr>
                <w:rFonts w:hint="eastAsia"/>
                <w:szCs w:val="21"/>
              </w:rPr>
              <w:t>9</w:t>
            </w:r>
            <w:r>
              <w:rPr>
                <w:szCs w:val="21"/>
              </w:rPr>
              <w:t>分；</w:t>
            </w:r>
          </w:p>
          <w:p w14:paraId="6E209ACA">
            <w:pPr>
              <w:spacing w:line="360" w:lineRule="auto"/>
              <w:rPr>
                <w:szCs w:val="21"/>
              </w:rPr>
            </w:pPr>
            <w:r>
              <w:rPr>
                <w:szCs w:val="21"/>
              </w:rPr>
              <w:t>方案较为完整</w:t>
            </w:r>
            <w:r>
              <w:rPr>
                <w:rFonts w:hint="eastAsia"/>
                <w:szCs w:val="21"/>
              </w:rPr>
              <w:t>，</w:t>
            </w:r>
            <w:r>
              <w:rPr>
                <w:szCs w:val="21"/>
              </w:rPr>
              <w:t>科学性及详细性较好，但对项目实际情况体现不足的得</w:t>
            </w:r>
            <w:r>
              <w:rPr>
                <w:rFonts w:hint="eastAsia"/>
                <w:szCs w:val="21"/>
              </w:rPr>
              <w:t>6</w:t>
            </w:r>
            <w:r>
              <w:rPr>
                <w:szCs w:val="21"/>
              </w:rPr>
              <w:t>分；</w:t>
            </w:r>
          </w:p>
          <w:p w14:paraId="73DF2E84">
            <w:pPr>
              <w:spacing w:line="360" w:lineRule="auto"/>
              <w:rPr>
                <w:szCs w:val="21"/>
              </w:rPr>
            </w:pPr>
            <w:r>
              <w:rPr>
                <w:szCs w:val="21"/>
              </w:rPr>
              <w:t>方案完整性、科学性、</w:t>
            </w:r>
            <w:r>
              <w:rPr>
                <w:rFonts w:hint="eastAsia"/>
                <w:szCs w:val="21"/>
              </w:rPr>
              <w:t>实用</w:t>
            </w:r>
            <w:r>
              <w:rPr>
                <w:szCs w:val="21"/>
              </w:rPr>
              <w:t>性</w:t>
            </w:r>
            <w:r>
              <w:rPr>
                <w:rFonts w:hint="eastAsia"/>
                <w:szCs w:val="21"/>
              </w:rPr>
              <w:t>基本满足项目实际情况</w:t>
            </w:r>
            <w:r>
              <w:rPr>
                <w:szCs w:val="21"/>
              </w:rPr>
              <w:t>的得</w:t>
            </w:r>
            <w:r>
              <w:rPr>
                <w:rFonts w:hint="eastAsia"/>
                <w:szCs w:val="21"/>
              </w:rPr>
              <w:t>3</w:t>
            </w:r>
            <w:r>
              <w:rPr>
                <w:szCs w:val="21"/>
              </w:rPr>
              <w:t>分；</w:t>
            </w:r>
          </w:p>
          <w:p w14:paraId="540876F6">
            <w:pPr>
              <w:spacing w:line="360" w:lineRule="auto"/>
              <w:rPr>
                <w:szCs w:val="21"/>
              </w:rPr>
            </w:pPr>
            <w:r>
              <w:rPr>
                <w:szCs w:val="21"/>
              </w:rPr>
              <w:t>未提供不得分</w:t>
            </w:r>
            <w:r>
              <w:rPr>
                <w:rFonts w:hint="eastAsia"/>
                <w:szCs w:val="21"/>
              </w:rPr>
              <w:t>。</w:t>
            </w:r>
          </w:p>
        </w:tc>
        <w:tc>
          <w:tcPr>
            <w:tcW w:w="750" w:type="dxa"/>
            <w:vAlign w:val="center"/>
          </w:tcPr>
          <w:p w14:paraId="63C8A2B1">
            <w:pPr>
              <w:widowControl/>
              <w:spacing w:line="360" w:lineRule="auto"/>
              <w:jc w:val="center"/>
              <w:rPr>
                <w:bCs/>
                <w:szCs w:val="21"/>
              </w:rPr>
            </w:pPr>
            <w:r>
              <w:rPr>
                <w:rFonts w:hint="eastAsia"/>
                <w:bCs/>
                <w:szCs w:val="21"/>
              </w:rPr>
              <w:t>9</w:t>
            </w:r>
          </w:p>
        </w:tc>
      </w:tr>
      <w:tr w14:paraId="5439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298748CF">
            <w:pPr>
              <w:widowControl/>
              <w:spacing w:line="360" w:lineRule="auto"/>
              <w:jc w:val="center"/>
              <w:rPr>
                <w:szCs w:val="21"/>
              </w:rPr>
            </w:pPr>
            <w:r>
              <w:rPr>
                <w:rFonts w:hint="eastAsia"/>
                <w:szCs w:val="21"/>
              </w:rPr>
              <w:t>2.2</w:t>
            </w:r>
          </w:p>
        </w:tc>
        <w:tc>
          <w:tcPr>
            <w:tcW w:w="1202" w:type="dxa"/>
            <w:vMerge w:val="continue"/>
            <w:vAlign w:val="center"/>
          </w:tcPr>
          <w:p w14:paraId="4600F222">
            <w:pPr>
              <w:widowControl/>
              <w:spacing w:line="360" w:lineRule="auto"/>
              <w:jc w:val="center"/>
              <w:rPr>
                <w:szCs w:val="21"/>
              </w:rPr>
            </w:pPr>
          </w:p>
        </w:tc>
        <w:tc>
          <w:tcPr>
            <w:tcW w:w="6930" w:type="dxa"/>
            <w:vAlign w:val="center"/>
          </w:tcPr>
          <w:p w14:paraId="2D55E063">
            <w:pPr>
              <w:spacing w:line="360" w:lineRule="auto"/>
              <w:rPr>
                <w:szCs w:val="21"/>
              </w:rPr>
            </w:pPr>
            <w:r>
              <w:rPr>
                <w:szCs w:val="21"/>
              </w:rPr>
              <w:t>项目实施方案</w:t>
            </w:r>
            <w:r>
              <w:rPr>
                <w:rFonts w:hint="eastAsia"/>
                <w:szCs w:val="21"/>
              </w:rPr>
              <w:t>（包括工作流程、规章制度等方面）</w:t>
            </w:r>
            <w:r>
              <w:rPr>
                <w:szCs w:val="21"/>
              </w:rPr>
              <w:t>规范性</w:t>
            </w:r>
            <w:r>
              <w:rPr>
                <w:rFonts w:hint="eastAsia"/>
                <w:szCs w:val="21"/>
              </w:rPr>
              <w:t>进行综合评审：</w:t>
            </w:r>
          </w:p>
          <w:p w14:paraId="528E0E3B">
            <w:pPr>
              <w:spacing w:line="360" w:lineRule="auto"/>
              <w:rPr>
                <w:szCs w:val="21"/>
              </w:rPr>
            </w:pPr>
            <w:r>
              <w:rPr>
                <w:szCs w:val="21"/>
              </w:rPr>
              <w:t>方案性强规范、</w:t>
            </w:r>
            <w:r>
              <w:rPr>
                <w:rFonts w:hint="eastAsia" w:ascii="宋体" w:hAnsi="宋体" w:cs="宋体"/>
                <w:spacing w:val="1"/>
                <w:szCs w:val="21"/>
              </w:rPr>
              <w:t>工作流程完整、科学、可行，各类规章制度健全规范</w:t>
            </w:r>
            <w:r>
              <w:rPr>
                <w:szCs w:val="21"/>
              </w:rPr>
              <w:t>的得9分；</w:t>
            </w:r>
          </w:p>
          <w:p w14:paraId="2EC4C63A">
            <w:pPr>
              <w:spacing w:line="360" w:lineRule="auto"/>
              <w:rPr>
                <w:szCs w:val="21"/>
              </w:rPr>
            </w:pPr>
            <w:r>
              <w:rPr>
                <w:szCs w:val="21"/>
              </w:rPr>
              <w:t>方案规范性较好，</w:t>
            </w:r>
            <w:r>
              <w:rPr>
                <w:rFonts w:hint="eastAsia" w:ascii="宋体" w:hAnsi="宋体" w:cs="宋体"/>
                <w:spacing w:val="1"/>
                <w:szCs w:val="21"/>
              </w:rPr>
              <w:t>工作流程基本完整，各类规章制度基本健全</w:t>
            </w:r>
            <w:r>
              <w:rPr>
                <w:szCs w:val="21"/>
              </w:rPr>
              <w:t>的得6分；方案规范性一般，</w:t>
            </w:r>
            <w:r>
              <w:rPr>
                <w:rFonts w:hint="eastAsia" w:ascii="宋体" w:hAnsi="宋体" w:cs="宋体"/>
                <w:spacing w:val="1"/>
                <w:szCs w:val="21"/>
              </w:rPr>
              <w:t>工作流程</w:t>
            </w:r>
            <w:r>
              <w:rPr>
                <w:rFonts w:hint="eastAsia" w:cs="宋体"/>
                <w:spacing w:val="1"/>
                <w:szCs w:val="21"/>
              </w:rPr>
              <w:t>、</w:t>
            </w:r>
            <w:r>
              <w:rPr>
                <w:rFonts w:hint="eastAsia" w:ascii="宋体" w:hAnsi="宋体" w:cs="宋体"/>
                <w:spacing w:val="1"/>
                <w:szCs w:val="21"/>
              </w:rPr>
              <w:t>规章制度不健全</w:t>
            </w:r>
            <w:r>
              <w:rPr>
                <w:szCs w:val="21"/>
              </w:rPr>
              <w:t>的得3分；</w:t>
            </w:r>
          </w:p>
          <w:p w14:paraId="4DF55BE9">
            <w:pPr>
              <w:spacing w:line="360" w:lineRule="auto"/>
              <w:rPr>
                <w:szCs w:val="21"/>
              </w:rPr>
            </w:pPr>
            <w:r>
              <w:rPr>
                <w:szCs w:val="21"/>
              </w:rPr>
              <w:t>未提供不得分。</w:t>
            </w:r>
          </w:p>
        </w:tc>
        <w:tc>
          <w:tcPr>
            <w:tcW w:w="750" w:type="dxa"/>
            <w:vAlign w:val="center"/>
          </w:tcPr>
          <w:p w14:paraId="58D3E65D">
            <w:pPr>
              <w:widowControl/>
              <w:spacing w:line="360" w:lineRule="auto"/>
              <w:jc w:val="center"/>
              <w:rPr>
                <w:bCs/>
                <w:szCs w:val="21"/>
              </w:rPr>
            </w:pPr>
            <w:r>
              <w:rPr>
                <w:bCs/>
                <w:szCs w:val="21"/>
              </w:rPr>
              <w:t>9</w:t>
            </w:r>
          </w:p>
        </w:tc>
      </w:tr>
      <w:tr w14:paraId="71D59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3A1C61AE">
            <w:pPr>
              <w:widowControl/>
              <w:spacing w:line="360" w:lineRule="auto"/>
              <w:jc w:val="center"/>
              <w:rPr>
                <w:szCs w:val="21"/>
              </w:rPr>
            </w:pPr>
            <w:r>
              <w:rPr>
                <w:rFonts w:hint="eastAsia"/>
                <w:szCs w:val="21"/>
              </w:rPr>
              <w:t>2.3</w:t>
            </w:r>
          </w:p>
        </w:tc>
        <w:tc>
          <w:tcPr>
            <w:tcW w:w="1202" w:type="dxa"/>
            <w:vMerge w:val="continue"/>
            <w:vAlign w:val="center"/>
          </w:tcPr>
          <w:p w14:paraId="6DDC301E">
            <w:pPr>
              <w:widowControl/>
              <w:spacing w:line="360" w:lineRule="auto"/>
              <w:jc w:val="center"/>
              <w:rPr>
                <w:szCs w:val="21"/>
              </w:rPr>
            </w:pPr>
          </w:p>
        </w:tc>
        <w:tc>
          <w:tcPr>
            <w:tcW w:w="6930" w:type="dxa"/>
            <w:vAlign w:val="center"/>
          </w:tcPr>
          <w:p w14:paraId="332EDBEC">
            <w:pPr>
              <w:spacing w:line="360" w:lineRule="auto"/>
              <w:rPr>
                <w:szCs w:val="21"/>
              </w:rPr>
            </w:pPr>
            <w:r>
              <w:rPr>
                <w:szCs w:val="21"/>
              </w:rPr>
              <w:t>应急预案</w:t>
            </w:r>
            <w:r>
              <w:rPr>
                <w:rFonts w:hint="eastAsia"/>
                <w:szCs w:val="21"/>
              </w:rPr>
              <w:t>（如遇恶劣天气、冰雪、公共卫生等方面）处理方案</w:t>
            </w:r>
            <w:r>
              <w:rPr>
                <w:szCs w:val="21"/>
              </w:rPr>
              <w:t>可行性</w:t>
            </w:r>
            <w:r>
              <w:rPr>
                <w:rFonts w:hint="eastAsia"/>
                <w:szCs w:val="21"/>
              </w:rPr>
              <w:t>进行综合评审：</w:t>
            </w:r>
          </w:p>
          <w:p w14:paraId="27B7AB4D">
            <w:pPr>
              <w:spacing w:line="360" w:lineRule="auto"/>
              <w:rPr>
                <w:szCs w:val="21"/>
              </w:rPr>
            </w:pPr>
            <w:r>
              <w:rPr>
                <w:szCs w:val="21"/>
              </w:rPr>
              <w:t>方案合理、可行，符合项目实际需求的得9分；</w:t>
            </w:r>
          </w:p>
          <w:p w14:paraId="4C337626">
            <w:pPr>
              <w:spacing w:line="360" w:lineRule="auto"/>
              <w:rPr>
                <w:szCs w:val="21"/>
              </w:rPr>
            </w:pPr>
            <w:r>
              <w:rPr>
                <w:szCs w:val="21"/>
              </w:rPr>
              <w:t>方案较合理、可行</w:t>
            </w:r>
            <w:r>
              <w:rPr>
                <w:rFonts w:hint="eastAsia"/>
                <w:szCs w:val="21"/>
              </w:rPr>
              <w:t>，</w:t>
            </w:r>
            <w:r>
              <w:rPr>
                <w:szCs w:val="21"/>
              </w:rPr>
              <w:t>较能符合项目实际需求的得6分；</w:t>
            </w:r>
          </w:p>
          <w:p w14:paraId="6D486D17">
            <w:pPr>
              <w:spacing w:line="360" w:lineRule="auto"/>
              <w:rPr>
                <w:szCs w:val="21"/>
              </w:rPr>
            </w:pPr>
            <w:r>
              <w:rPr>
                <w:szCs w:val="21"/>
              </w:rPr>
              <w:t>方案合理、可行性一般、与项目实际需求符合度一般得3分</w:t>
            </w:r>
            <w:r>
              <w:rPr>
                <w:rFonts w:hint="eastAsia"/>
                <w:szCs w:val="21"/>
              </w:rPr>
              <w:t>；</w:t>
            </w:r>
          </w:p>
          <w:p w14:paraId="0E8DEAAB">
            <w:pPr>
              <w:spacing w:line="360" w:lineRule="auto"/>
              <w:rPr>
                <w:szCs w:val="21"/>
              </w:rPr>
            </w:pPr>
            <w:r>
              <w:rPr>
                <w:szCs w:val="21"/>
              </w:rPr>
              <w:t>未提供不得分。</w:t>
            </w:r>
          </w:p>
        </w:tc>
        <w:tc>
          <w:tcPr>
            <w:tcW w:w="750" w:type="dxa"/>
            <w:vAlign w:val="center"/>
          </w:tcPr>
          <w:p w14:paraId="75705764">
            <w:pPr>
              <w:widowControl/>
              <w:spacing w:line="360" w:lineRule="auto"/>
              <w:jc w:val="center"/>
              <w:rPr>
                <w:bCs/>
                <w:szCs w:val="21"/>
              </w:rPr>
            </w:pPr>
            <w:r>
              <w:rPr>
                <w:bCs/>
                <w:szCs w:val="21"/>
              </w:rPr>
              <w:t>9</w:t>
            </w:r>
          </w:p>
        </w:tc>
      </w:tr>
      <w:tr w14:paraId="1434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2AFAA488">
            <w:pPr>
              <w:widowControl/>
              <w:spacing w:line="360" w:lineRule="auto"/>
              <w:jc w:val="center"/>
              <w:rPr>
                <w:szCs w:val="21"/>
              </w:rPr>
            </w:pPr>
            <w:r>
              <w:rPr>
                <w:rFonts w:hint="eastAsia"/>
                <w:szCs w:val="21"/>
              </w:rPr>
              <w:t>2</w:t>
            </w:r>
            <w:r>
              <w:rPr>
                <w:szCs w:val="21"/>
              </w:rPr>
              <w:t>.4</w:t>
            </w:r>
          </w:p>
        </w:tc>
        <w:tc>
          <w:tcPr>
            <w:tcW w:w="1202" w:type="dxa"/>
            <w:vMerge w:val="continue"/>
            <w:vAlign w:val="center"/>
          </w:tcPr>
          <w:p w14:paraId="6C86B445">
            <w:pPr>
              <w:widowControl/>
              <w:spacing w:line="360" w:lineRule="auto"/>
              <w:jc w:val="center"/>
              <w:rPr>
                <w:szCs w:val="21"/>
              </w:rPr>
            </w:pPr>
          </w:p>
        </w:tc>
        <w:tc>
          <w:tcPr>
            <w:tcW w:w="6930" w:type="dxa"/>
            <w:vAlign w:val="center"/>
          </w:tcPr>
          <w:p w14:paraId="06BEA41F">
            <w:pPr>
              <w:spacing w:line="360" w:lineRule="auto"/>
              <w:rPr>
                <w:szCs w:val="21"/>
              </w:rPr>
            </w:pPr>
            <w:r>
              <w:rPr>
                <w:szCs w:val="21"/>
              </w:rPr>
              <w:t>现场管理</w:t>
            </w:r>
            <w:r>
              <w:rPr>
                <w:rFonts w:hint="eastAsia"/>
                <w:szCs w:val="21"/>
              </w:rPr>
              <w:t>、安排</w:t>
            </w:r>
            <w:r>
              <w:rPr>
                <w:szCs w:val="21"/>
              </w:rPr>
              <w:t>方案</w:t>
            </w:r>
            <w:r>
              <w:rPr>
                <w:rFonts w:hint="eastAsia"/>
                <w:szCs w:val="21"/>
              </w:rPr>
              <w:t>合理性进行综合评审：</w:t>
            </w:r>
          </w:p>
          <w:p w14:paraId="5AAADFD9">
            <w:pPr>
              <w:spacing w:line="360" w:lineRule="auto"/>
              <w:rPr>
                <w:szCs w:val="21"/>
              </w:rPr>
            </w:pPr>
            <w:r>
              <w:rPr>
                <w:szCs w:val="21"/>
              </w:rPr>
              <w:t>方案内容科学、合理、全面、可行、有效的得</w:t>
            </w:r>
            <w:r>
              <w:rPr>
                <w:rFonts w:hint="eastAsia"/>
                <w:szCs w:val="21"/>
              </w:rPr>
              <w:t>9</w:t>
            </w:r>
            <w:r>
              <w:rPr>
                <w:szCs w:val="21"/>
              </w:rPr>
              <w:t>分；</w:t>
            </w:r>
          </w:p>
          <w:p w14:paraId="685A7693">
            <w:pPr>
              <w:spacing w:line="360" w:lineRule="auto"/>
              <w:rPr>
                <w:szCs w:val="21"/>
              </w:rPr>
            </w:pPr>
            <w:r>
              <w:rPr>
                <w:szCs w:val="21"/>
              </w:rPr>
              <w:t>方案内容科学、合理，但可行性及全面性不足的得</w:t>
            </w:r>
            <w:r>
              <w:rPr>
                <w:rFonts w:hint="eastAsia"/>
                <w:szCs w:val="21"/>
              </w:rPr>
              <w:t>6</w:t>
            </w:r>
            <w:r>
              <w:rPr>
                <w:szCs w:val="21"/>
              </w:rPr>
              <w:t>分；</w:t>
            </w:r>
          </w:p>
          <w:p w14:paraId="7183D112">
            <w:pPr>
              <w:spacing w:line="360" w:lineRule="auto"/>
              <w:rPr>
                <w:szCs w:val="21"/>
              </w:rPr>
            </w:pPr>
            <w:r>
              <w:rPr>
                <w:szCs w:val="21"/>
              </w:rPr>
              <w:t>方案内容普通，科学性、合理性不足的得</w:t>
            </w:r>
            <w:r>
              <w:rPr>
                <w:rFonts w:hint="eastAsia"/>
                <w:szCs w:val="21"/>
              </w:rPr>
              <w:t>3</w:t>
            </w:r>
            <w:r>
              <w:rPr>
                <w:szCs w:val="21"/>
              </w:rPr>
              <w:t>分</w:t>
            </w:r>
            <w:r>
              <w:rPr>
                <w:rFonts w:hint="eastAsia"/>
                <w:szCs w:val="21"/>
              </w:rPr>
              <w:t>；</w:t>
            </w:r>
          </w:p>
          <w:p w14:paraId="68F8A06A">
            <w:pPr>
              <w:spacing w:line="360" w:lineRule="auto"/>
              <w:rPr>
                <w:szCs w:val="21"/>
              </w:rPr>
            </w:pPr>
            <w:r>
              <w:rPr>
                <w:szCs w:val="21"/>
              </w:rPr>
              <w:t>未提供不得分。</w:t>
            </w:r>
          </w:p>
        </w:tc>
        <w:tc>
          <w:tcPr>
            <w:tcW w:w="750" w:type="dxa"/>
            <w:vAlign w:val="center"/>
          </w:tcPr>
          <w:p w14:paraId="252EEC89">
            <w:pPr>
              <w:widowControl/>
              <w:spacing w:line="360" w:lineRule="auto"/>
              <w:jc w:val="center"/>
              <w:rPr>
                <w:bCs/>
                <w:szCs w:val="21"/>
              </w:rPr>
            </w:pPr>
            <w:r>
              <w:rPr>
                <w:rFonts w:hint="eastAsia"/>
                <w:bCs/>
                <w:szCs w:val="21"/>
              </w:rPr>
              <w:t>9</w:t>
            </w:r>
          </w:p>
        </w:tc>
      </w:tr>
      <w:tr w14:paraId="2C70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4F1D9C23">
            <w:pPr>
              <w:widowControl/>
              <w:spacing w:line="360" w:lineRule="auto"/>
              <w:jc w:val="center"/>
              <w:rPr>
                <w:szCs w:val="21"/>
              </w:rPr>
            </w:pPr>
            <w:r>
              <w:rPr>
                <w:rFonts w:hint="eastAsia"/>
                <w:szCs w:val="21"/>
              </w:rPr>
              <w:t>2</w:t>
            </w:r>
            <w:r>
              <w:rPr>
                <w:szCs w:val="21"/>
              </w:rPr>
              <w:t>.5</w:t>
            </w:r>
          </w:p>
        </w:tc>
        <w:tc>
          <w:tcPr>
            <w:tcW w:w="1202" w:type="dxa"/>
            <w:vMerge w:val="continue"/>
            <w:vAlign w:val="center"/>
          </w:tcPr>
          <w:p w14:paraId="3DFBBD23">
            <w:pPr>
              <w:widowControl/>
              <w:spacing w:line="360" w:lineRule="auto"/>
              <w:jc w:val="center"/>
              <w:rPr>
                <w:szCs w:val="21"/>
              </w:rPr>
            </w:pPr>
          </w:p>
        </w:tc>
        <w:tc>
          <w:tcPr>
            <w:tcW w:w="6930" w:type="dxa"/>
            <w:vAlign w:val="center"/>
          </w:tcPr>
          <w:p w14:paraId="7D93BA0F">
            <w:pPr>
              <w:spacing w:line="360" w:lineRule="auto"/>
              <w:rPr>
                <w:szCs w:val="21"/>
              </w:rPr>
            </w:pPr>
            <w:r>
              <w:rPr>
                <w:szCs w:val="21"/>
              </w:rPr>
              <w:t>安保人员分工</w:t>
            </w:r>
            <w:r>
              <w:rPr>
                <w:rFonts w:hint="eastAsia"/>
                <w:szCs w:val="21"/>
              </w:rPr>
              <w:t>、人员培训</w:t>
            </w:r>
            <w:r>
              <w:rPr>
                <w:szCs w:val="21"/>
              </w:rPr>
              <w:t>安排</w:t>
            </w:r>
            <w:r>
              <w:rPr>
                <w:rFonts w:hint="eastAsia"/>
                <w:szCs w:val="21"/>
              </w:rPr>
              <w:t>合理性进行综合评审：</w:t>
            </w:r>
          </w:p>
          <w:p w14:paraId="2755C331">
            <w:pPr>
              <w:spacing w:line="360" w:lineRule="auto"/>
              <w:rPr>
                <w:szCs w:val="21"/>
              </w:rPr>
            </w:pPr>
            <w:r>
              <w:rPr>
                <w:szCs w:val="21"/>
              </w:rPr>
              <w:t>人员分工合理、全面、可行、有效、符合</w:t>
            </w:r>
            <w:r>
              <w:rPr>
                <w:rFonts w:hint="eastAsia"/>
                <w:szCs w:val="21"/>
              </w:rPr>
              <w:t>采购人</w:t>
            </w:r>
            <w:r>
              <w:rPr>
                <w:szCs w:val="21"/>
              </w:rPr>
              <w:t>要求的得8分；</w:t>
            </w:r>
          </w:p>
          <w:p w14:paraId="202DFE74">
            <w:pPr>
              <w:spacing w:line="360" w:lineRule="auto"/>
              <w:rPr>
                <w:szCs w:val="21"/>
              </w:rPr>
            </w:pPr>
            <w:r>
              <w:rPr>
                <w:szCs w:val="21"/>
              </w:rPr>
              <w:t>人员分工较为合理、全面，与</w:t>
            </w:r>
            <w:r>
              <w:rPr>
                <w:rFonts w:hint="eastAsia"/>
                <w:szCs w:val="21"/>
              </w:rPr>
              <w:t>采购人</w:t>
            </w:r>
            <w:r>
              <w:rPr>
                <w:szCs w:val="21"/>
              </w:rPr>
              <w:t>要求符合性一般的得5分；</w:t>
            </w:r>
          </w:p>
          <w:p w14:paraId="1F875ED7">
            <w:pPr>
              <w:spacing w:line="360" w:lineRule="auto"/>
              <w:rPr>
                <w:szCs w:val="21"/>
              </w:rPr>
            </w:pPr>
            <w:r>
              <w:rPr>
                <w:szCs w:val="21"/>
              </w:rPr>
              <w:t>人员分工合理、全面性一般、与</w:t>
            </w:r>
            <w:r>
              <w:rPr>
                <w:rFonts w:hint="eastAsia"/>
                <w:szCs w:val="21"/>
              </w:rPr>
              <w:t>采购人</w:t>
            </w:r>
            <w:r>
              <w:rPr>
                <w:szCs w:val="21"/>
              </w:rPr>
              <w:t>要求符合性一般的得2分</w:t>
            </w:r>
            <w:r>
              <w:rPr>
                <w:rFonts w:hint="eastAsia"/>
                <w:szCs w:val="21"/>
              </w:rPr>
              <w:t>；</w:t>
            </w:r>
          </w:p>
          <w:p w14:paraId="274E2883">
            <w:pPr>
              <w:spacing w:line="360" w:lineRule="auto"/>
              <w:rPr>
                <w:szCs w:val="21"/>
              </w:rPr>
            </w:pPr>
            <w:r>
              <w:rPr>
                <w:szCs w:val="21"/>
              </w:rPr>
              <w:t>未提供不得分</w:t>
            </w:r>
            <w:r>
              <w:rPr>
                <w:rFonts w:hint="eastAsia"/>
                <w:szCs w:val="21"/>
              </w:rPr>
              <w:t>。</w:t>
            </w:r>
          </w:p>
        </w:tc>
        <w:tc>
          <w:tcPr>
            <w:tcW w:w="750" w:type="dxa"/>
            <w:vAlign w:val="center"/>
          </w:tcPr>
          <w:p w14:paraId="7C74EB39">
            <w:pPr>
              <w:widowControl/>
              <w:spacing w:line="360" w:lineRule="auto"/>
              <w:jc w:val="center"/>
              <w:rPr>
                <w:bCs/>
                <w:szCs w:val="21"/>
              </w:rPr>
            </w:pPr>
            <w:r>
              <w:rPr>
                <w:bCs/>
                <w:szCs w:val="21"/>
              </w:rPr>
              <w:t>8</w:t>
            </w:r>
          </w:p>
        </w:tc>
      </w:tr>
      <w:tr w14:paraId="3EE76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1" w:hRule="atLeast"/>
          <w:jc w:val="center"/>
        </w:trPr>
        <w:tc>
          <w:tcPr>
            <w:tcW w:w="750" w:type="dxa"/>
            <w:vAlign w:val="center"/>
          </w:tcPr>
          <w:p w14:paraId="0376D9A3">
            <w:pPr>
              <w:widowControl/>
              <w:spacing w:line="360" w:lineRule="auto"/>
              <w:jc w:val="center"/>
              <w:rPr>
                <w:szCs w:val="21"/>
              </w:rPr>
            </w:pPr>
            <w:r>
              <w:rPr>
                <w:rFonts w:hint="eastAsia"/>
                <w:szCs w:val="21"/>
              </w:rPr>
              <w:t>2</w:t>
            </w:r>
            <w:r>
              <w:rPr>
                <w:szCs w:val="21"/>
              </w:rPr>
              <w:t>.6</w:t>
            </w:r>
          </w:p>
        </w:tc>
        <w:tc>
          <w:tcPr>
            <w:tcW w:w="1202" w:type="dxa"/>
            <w:vMerge w:val="continue"/>
            <w:vAlign w:val="center"/>
          </w:tcPr>
          <w:p w14:paraId="0187EB21">
            <w:pPr>
              <w:widowControl/>
              <w:spacing w:line="360" w:lineRule="auto"/>
              <w:jc w:val="center"/>
              <w:rPr>
                <w:szCs w:val="21"/>
              </w:rPr>
            </w:pPr>
          </w:p>
        </w:tc>
        <w:tc>
          <w:tcPr>
            <w:tcW w:w="6930" w:type="dxa"/>
            <w:vAlign w:val="center"/>
          </w:tcPr>
          <w:p w14:paraId="56540B35">
            <w:pPr>
              <w:spacing w:line="360" w:lineRule="auto"/>
              <w:rPr>
                <w:szCs w:val="21"/>
              </w:rPr>
            </w:pPr>
            <w:r>
              <w:rPr>
                <w:rFonts w:hint="eastAsia"/>
                <w:szCs w:val="21"/>
              </w:rPr>
              <w:t>服务质量保障体系和措施针对性进行综合评审：</w:t>
            </w:r>
          </w:p>
          <w:p w14:paraId="713ECF43">
            <w:pPr>
              <w:spacing w:line="360" w:lineRule="auto"/>
              <w:rPr>
                <w:szCs w:val="21"/>
              </w:rPr>
            </w:pPr>
            <w:r>
              <w:rPr>
                <w:rFonts w:hint="eastAsia"/>
                <w:szCs w:val="21"/>
              </w:rPr>
              <w:t>质量控制和保障措施、安全措施考虑全面，针对性强的得8分；</w:t>
            </w:r>
          </w:p>
          <w:p w14:paraId="11A22EEF">
            <w:pPr>
              <w:spacing w:line="360" w:lineRule="auto"/>
              <w:rPr>
                <w:szCs w:val="21"/>
              </w:rPr>
            </w:pPr>
            <w:r>
              <w:rPr>
                <w:rFonts w:hint="eastAsia"/>
                <w:szCs w:val="21"/>
              </w:rPr>
              <w:t>质量控制和保障措施、安全措施较完善、有一定的针对性的得5分；</w:t>
            </w:r>
          </w:p>
          <w:p w14:paraId="15EF4864">
            <w:pPr>
              <w:spacing w:line="360" w:lineRule="auto"/>
              <w:rPr>
                <w:szCs w:val="21"/>
              </w:rPr>
            </w:pPr>
            <w:r>
              <w:rPr>
                <w:rFonts w:hint="eastAsia"/>
                <w:szCs w:val="21"/>
              </w:rPr>
              <w:t>质量控制和保障基本完善的得2分；</w:t>
            </w:r>
          </w:p>
          <w:p w14:paraId="17B8D556">
            <w:pPr>
              <w:spacing w:line="360" w:lineRule="auto"/>
              <w:rPr>
                <w:szCs w:val="21"/>
              </w:rPr>
            </w:pPr>
            <w:r>
              <w:rPr>
                <w:rFonts w:hint="eastAsia"/>
                <w:szCs w:val="21"/>
              </w:rPr>
              <w:t>未提供不得分。</w:t>
            </w:r>
          </w:p>
        </w:tc>
        <w:tc>
          <w:tcPr>
            <w:tcW w:w="750" w:type="dxa"/>
            <w:vAlign w:val="center"/>
          </w:tcPr>
          <w:p w14:paraId="28DCEFC7">
            <w:pPr>
              <w:widowControl/>
              <w:spacing w:line="360" w:lineRule="auto"/>
              <w:jc w:val="center"/>
              <w:rPr>
                <w:bCs/>
                <w:szCs w:val="21"/>
              </w:rPr>
            </w:pPr>
            <w:r>
              <w:rPr>
                <w:rFonts w:hint="eastAsia"/>
                <w:bCs/>
                <w:szCs w:val="21"/>
              </w:rPr>
              <w:t>8</w:t>
            </w:r>
          </w:p>
        </w:tc>
      </w:tr>
      <w:tr w14:paraId="2404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750" w:type="dxa"/>
            <w:vAlign w:val="center"/>
          </w:tcPr>
          <w:p w14:paraId="4F560BEF">
            <w:pPr>
              <w:widowControl/>
              <w:spacing w:line="360" w:lineRule="auto"/>
              <w:jc w:val="center"/>
              <w:rPr>
                <w:szCs w:val="21"/>
              </w:rPr>
            </w:pPr>
            <w:r>
              <w:rPr>
                <w:szCs w:val="21"/>
              </w:rPr>
              <w:t>3</w:t>
            </w:r>
          </w:p>
        </w:tc>
        <w:tc>
          <w:tcPr>
            <w:tcW w:w="1202" w:type="dxa"/>
            <w:vAlign w:val="center"/>
          </w:tcPr>
          <w:p w14:paraId="33149CB4">
            <w:pPr>
              <w:widowControl/>
              <w:spacing w:line="360" w:lineRule="auto"/>
              <w:jc w:val="center"/>
              <w:rPr>
                <w:szCs w:val="21"/>
              </w:rPr>
            </w:pPr>
            <w:r>
              <w:rPr>
                <w:rFonts w:hint="eastAsia"/>
                <w:szCs w:val="21"/>
              </w:rPr>
              <w:t>业绩</w:t>
            </w:r>
          </w:p>
          <w:p w14:paraId="38CC66CE">
            <w:pPr>
              <w:widowControl/>
              <w:spacing w:line="360" w:lineRule="auto"/>
              <w:jc w:val="center"/>
              <w:rPr>
                <w:szCs w:val="21"/>
              </w:rPr>
            </w:pPr>
            <w:r>
              <w:rPr>
                <w:rFonts w:hint="eastAsia"/>
                <w:szCs w:val="21"/>
              </w:rPr>
              <w:t>（9分）</w:t>
            </w:r>
          </w:p>
        </w:tc>
        <w:tc>
          <w:tcPr>
            <w:tcW w:w="6930" w:type="dxa"/>
            <w:vAlign w:val="center"/>
          </w:tcPr>
          <w:p w14:paraId="1490B645">
            <w:pPr>
              <w:spacing w:line="360" w:lineRule="auto"/>
              <w:rPr>
                <w:szCs w:val="21"/>
              </w:rPr>
            </w:pPr>
            <w:r>
              <w:rPr>
                <w:rFonts w:hint="eastAsia"/>
                <w:szCs w:val="21"/>
              </w:rPr>
              <w:t>供应商自</w:t>
            </w:r>
            <w:r>
              <w:rPr>
                <w:szCs w:val="21"/>
              </w:rPr>
              <w:t>202</w:t>
            </w:r>
            <w:r>
              <w:rPr>
                <w:rFonts w:hint="eastAsia"/>
                <w:szCs w:val="21"/>
              </w:rPr>
              <w:t>3</w:t>
            </w:r>
            <w:r>
              <w:rPr>
                <w:szCs w:val="21"/>
              </w:rPr>
              <w:t>年</w:t>
            </w:r>
            <w:r>
              <w:rPr>
                <w:rFonts w:hint="eastAsia"/>
                <w:szCs w:val="21"/>
              </w:rPr>
              <w:t>02</w:t>
            </w:r>
            <w:r>
              <w:rPr>
                <w:szCs w:val="21"/>
              </w:rPr>
              <w:t>月01日以来承担过</w:t>
            </w:r>
            <w:r>
              <w:rPr>
                <w:rFonts w:hint="eastAsia"/>
                <w:szCs w:val="21"/>
              </w:rPr>
              <w:t>类似安保服务项目业绩，每提供一个得</w:t>
            </w:r>
            <w:r>
              <w:rPr>
                <w:szCs w:val="21"/>
              </w:rPr>
              <w:t>3分</w:t>
            </w:r>
            <w:r>
              <w:rPr>
                <w:rFonts w:hint="eastAsia"/>
                <w:szCs w:val="21"/>
              </w:rPr>
              <w:t>，</w:t>
            </w:r>
            <w:r>
              <w:rPr>
                <w:szCs w:val="21"/>
              </w:rPr>
              <w:t>满分</w:t>
            </w:r>
            <w:r>
              <w:rPr>
                <w:rFonts w:hint="eastAsia"/>
                <w:szCs w:val="21"/>
              </w:rPr>
              <w:t>9</w:t>
            </w:r>
            <w:r>
              <w:rPr>
                <w:szCs w:val="21"/>
              </w:rPr>
              <w:t>分</w:t>
            </w:r>
            <w:r>
              <w:rPr>
                <w:rFonts w:hint="eastAsia"/>
                <w:szCs w:val="21"/>
              </w:rPr>
              <w:t>。</w:t>
            </w:r>
            <w:r>
              <w:rPr>
                <w:szCs w:val="21"/>
              </w:rPr>
              <w:t>（</w:t>
            </w:r>
            <w:r>
              <w:rPr>
                <w:rFonts w:hint="eastAsia"/>
                <w:szCs w:val="21"/>
              </w:rPr>
              <w:t>时间以合同签订日期为准，内容以合同为准，</w:t>
            </w:r>
            <w:r>
              <w:rPr>
                <w:szCs w:val="21"/>
              </w:rPr>
              <w:t>提供合</w:t>
            </w:r>
            <w:r>
              <w:rPr>
                <w:rFonts w:hint="eastAsia"/>
                <w:szCs w:val="21"/>
              </w:rPr>
              <w:t>同扫描件加盖公章）</w:t>
            </w:r>
          </w:p>
        </w:tc>
        <w:tc>
          <w:tcPr>
            <w:tcW w:w="750" w:type="dxa"/>
            <w:vAlign w:val="center"/>
          </w:tcPr>
          <w:p w14:paraId="0EAD28D8">
            <w:pPr>
              <w:spacing w:line="360" w:lineRule="auto"/>
              <w:jc w:val="center"/>
              <w:rPr>
                <w:szCs w:val="21"/>
              </w:rPr>
            </w:pPr>
            <w:r>
              <w:rPr>
                <w:rFonts w:hint="eastAsia"/>
                <w:szCs w:val="21"/>
              </w:rPr>
              <w:t>9</w:t>
            </w:r>
          </w:p>
        </w:tc>
      </w:tr>
      <w:tr w14:paraId="5165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6286A892">
            <w:pPr>
              <w:widowControl/>
              <w:spacing w:line="360" w:lineRule="auto"/>
              <w:jc w:val="center"/>
              <w:rPr>
                <w:szCs w:val="21"/>
              </w:rPr>
            </w:pPr>
            <w:r>
              <w:rPr>
                <w:rFonts w:hint="eastAsia"/>
                <w:szCs w:val="21"/>
              </w:rPr>
              <w:t>4.</w:t>
            </w:r>
            <w:r>
              <w:rPr>
                <w:szCs w:val="21"/>
              </w:rPr>
              <w:t>1</w:t>
            </w:r>
          </w:p>
        </w:tc>
        <w:tc>
          <w:tcPr>
            <w:tcW w:w="1202" w:type="dxa"/>
            <w:vMerge w:val="restart"/>
            <w:vAlign w:val="center"/>
          </w:tcPr>
          <w:p w14:paraId="62FDDF20">
            <w:pPr>
              <w:widowControl/>
              <w:spacing w:line="360" w:lineRule="auto"/>
              <w:jc w:val="center"/>
              <w:rPr>
                <w:szCs w:val="21"/>
              </w:rPr>
            </w:pPr>
            <w:r>
              <w:rPr>
                <w:szCs w:val="21"/>
              </w:rPr>
              <w:t>团队人员</w:t>
            </w:r>
          </w:p>
          <w:p w14:paraId="4065B2A8">
            <w:pPr>
              <w:widowControl/>
              <w:spacing w:line="360" w:lineRule="auto"/>
              <w:jc w:val="center"/>
              <w:rPr>
                <w:szCs w:val="21"/>
              </w:rPr>
            </w:pPr>
            <w:r>
              <w:rPr>
                <w:rFonts w:hint="eastAsia"/>
                <w:szCs w:val="21"/>
              </w:rPr>
              <w:t>（29分）</w:t>
            </w:r>
          </w:p>
        </w:tc>
        <w:tc>
          <w:tcPr>
            <w:tcW w:w="6930" w:type="dxa"/>
            <w:vAlign w:val="center"/>
          </w:tcPr>
          <w:p w14:paraId="18839D51">
            <w:pPr>
              <w:spacing w:line="360" w:lineRule="auto"/>
              <w:rPr>
                <w:szCs w:val="21"/>
              </w:rPr>
            </w:pPr>
            <w:r>
              <w:rPr>
                <w:rFonts w:hint="eastAsia"/>
                <w:szCs w:val="21"/>
              </w:rPr>
              <w:t>项目负责人（中队长）：</w:t>
            </w:r>
          </w:p>
          <w:p w14:paraId="0C36EE71">
            <w:pPr>
              <w:pStyle w:val="14"/>
              <w:spacing w:line="360" w:lineRule="auto"/>
              <w:rPr>
                <w:szCs w:val="21"/>
              </w:rPr>
            </w:pPr>
            <w:r>
              <w:rPr>
                <w:rFonts w:hint="eastAsia"/>
                <w:szCs w:val="21"/>
              </w:rPr>
              <w:t>供应商拟派项目负责人（中队长）具有</w:t>
            </w:r>
            <w:r>
              <w:rPr>
                <w:rFonts w:hint="eastAsia"/>
                <w:szCs w:val="21"/>
                <w:lang w:val="en-US" w:eastAsia="zh-CN"/>
              </w:rPr>
              <w:t>本</w:t>
            </w:r>
            <w:r>
              <w:rPr>
                <w:rFonts w:hint="eastAsia"/>
                <w:szCs w:val="21"/>
              </w:rPr>
              <w:t>科及以上学历同时具有三级/</w:t>
            </w:r>
            <w:r>
              <w:rPr>
                <w:rFonts w:hint="eastAsia"/>
              </w:rPr>
              <w:t>高级及以上保安员证书的得3分</w:t>
            </w:r>
            <w:r>
              <w:rPr>
                <w:rFonts w:hint="eastAsia"/>
                <w:szCs w:val="21"/>
              </w:rPr>
              <w:t>，具有中级</w:t>
            </w:r>
            <w:bookmarkStart w:id="170" w:name="OLE_LINK5"/>
            <w:r>
              <w:rPr>
                <w:rFonts w:hint="eastAsia"/>
                <w:szCs w:val="21"/>
              </w:rPr>
              <w:t>及以上</w:t>
            </w:r>
            <w:r>
              <w:rPr>
                <w:szCs w:val="21"/>
              </w:rPr>
              <w:t>建（构）筑物消防员证书</w:t>
            </w:r>
            <w:bookmarkEnd w:id="170"/>
            <w:r>
              <w:rPr>
                <w:rFonts w:hint="eastAsia"/>
                <w:szCs w:val="21"/>
              </w:rPr>
              <w:t>或消防设施操作员证书加2分，满分5分。</w:t>
            </w:r>
          </w:p>
          <w:p w14:paraId="32661980">
            <w:pPr>
              <w:spacing w:line="360" w:lineRule="auto"/>
              <w:rPr>
                <w:szCs w:val="21"/>
              </w:rPr>
            </w:pPr>
            <w:r>
              <w:rPr>
                <w:szCs w:val="21"/>
              </w:rPr>
              <w:t>（提供学历证书</w:t>
            </w:r>
            <w:r>
              <w:rPr>
                <w:rFonts w:hint="eastAsia"/>
                <w:szCs w:val="21"/>
              </w:rPr>
              <w:t>、相关证书扫描件</w:t>
            </w:r>
            <w:r>
              <w:rPr>
                <w:szCs w:val="21"/>
              </w:rPr>
              <w:t>加盖公章</w:t>
            </w:r>
            <w:r>
              <w:rPr>
                <w:rFonts w:hint="eastAsia" w:ascii="宋体" w:hAnsi="宋体" w:cs="宋体"/>
                <w:szCs w:val="21"/>
              </w:rPr>
              <w:t>及供应商为其缴纳的2025年</w:t>
            </w:r>
            <w:r>
              <w:rPr>
                <w:rFonts w:hint="eastAsia" w:cs="宋体"/>
                <w:szCs w:val="21"/>
              </w:rPr>
              <w:t>9</w:t>
            </w:r>
            <w:r>
              <w:rPr>
                <w:rFonts w:hint="eastAsia" w:ascii="宋体" w:hAnsi="宋体" w:cs="宋体"/>
                <w:szCs w:val="21"/>
              </w:rPr>
              <w:t>月至2026年</w:t>
            </w:r>
            <w:r>
              <w:rPr>
                <w:rFonts w:hint="eastAsia" w:cs="宋体"/>
                <w:szCs w:val="21"/>
              </w:rPr>
              <w:t>2</w:t>
            </w:r>
            <w:r>
              <w:rPr>
                <w:rFonts w:hint="eastAsia" w:ascii="宋体" w:hAnsi="宋体" w:cs="宋体"/>
                <w:szCs w:val="21"/>
              </w:rPr>
              <w:t>月以来任意一个月的社保证明</w:t>
            </w:r>
            <w:r>
              <w:rPr>
                <w:szCs w:val="21"/>
              </w:rPr>
              <w:t>，</w:t>
            </w:r>
            <w:r>
              <w:rPr>
                <w:rFonts w:hint="eastAsia"/>
                <w:szCs w:val="21"/>
              </w:rPr>
              <w:t>缺一不可，</w:t>
            </w:r>
            <w:r>
              <w:rPr>
                <w:szCs w:val="21"/>
              </w:rPr>
              <w:t>缺项不得分）</w:t>
            </w:r>
          </w:p>
        </w:tc>
        <w:tc>
          <w:tcPr>
            <w:tcW w:w="750" w:type="dxa"/>
            <w:vAlign w:val="center"/>
          </w:tcPr>
          <w:p w14:paraId="11ED2309">
            <w:pPr>
              <w:spacing w:line="360" w:lineRule="auto"/>
              <w:jc w:val="center"/>
              <w:rPr>
                <w:szCs w:val="21"/>
              </w:rPr>
            </w:pPr>
            <w:r>
              <w:rPr>
                <w:rFonts w:hint="eastAsia"/>
                <w:szCs w:val="21"/>
              </w:rPr>
              <w:t>5</w:t>
            </w:r>
          </w:p>
        </w:tc>
      </w:tr>
      <w:tr w14:paraId="09A4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4B7A40DF">
            <w:pPr>
              <w:widowControl/>
              <w:spacing w:line="360" w:lineRule="auto"/>
              <w:jc w:val="center"/>
              <w:rPr>
                <w:szCs w:val="21"/>
              </w:rPr>
            </w:pPr>
            <w:r>
              <w:rPr>
                <w:rFonts w:hint="eastAsia"/>
                <w:szCs w:val="21"/>
              </w:rPr>
              <w:t>4</w:t>
            </w:r>
            <w:r>
              <w:rPr>
                <w:szCs w:val="21"/>
              </w:rPr>
              <w:t>.2</w:t>
            </w:r>
          </w:p>
        </w:tc>
        <w:tc>
          <w:tcPr>
            <w:tcW w:w="1202" w:type="dxa"/>
            <w:vMerge w:val="continue"/>
            <w:vAlign w:val="center"/>
          </w:tcPr>
          <w:p w14:paraId="2C1795B6">
            <w:pPr>
              <w:widowControl/>
              <w:spacing w:line="360" w:lineRule="auto"/>
              <w:jc w:val="center"/>
              <w:rPr>
                <w:szCs w:val="21"/>
              </w:rPr>
            </w:pPr>
          </w:p>
        </w:tc>
        <w:tc>
          <w:tcPr>
            <w:tcW w:w="6930" w:type="dxa"/>
            <w:vAlign w:val="center"/>
          </w:tcPr>
          <w:p w14:paraId="1FD733C5">
            <w:pPr>
              <w:spacing w:line="360" w:lineRule="auto"/>
              <w:rPr>
                <w:szCs w:val="21"/>
              </w:rPr>
            </w:pPr>
            <w:r>
              <w:rPr>
                <w:rFonts w:hint="eastAsia"/>
                <w:szCs w:val="21"/>
              </w:rPr>
              <w:t>项目组成员（不含项目负责人）：</w:t>
            </w:r>
          </w:p>
          <w:p w14:paraId="1DE9DF71">
            <w:pPr>
              <w:spacing w:line="360" w:lineRule="auto"/>
              <w:rPr>
                <w:szCs w:val="21"/>
              </w:rPr>
            </w:pPr>
            <w:r>
              <w:rPr>
                <w:rFonts w:hint="eastAsia"/>
                <w:szCs w:val="21"/>
              </w:rPr>
              <w:t>（</w:t>
            </w:r>
            <w:r>
              <w:rPr>
                <w:szCs w:val="21"/>
              </w:rPr>
              <w:t>1）供应商拟派项目组成员中</w:t>
            </w:r>
            <w:r>
              <w:rPr>
                <w:rFonts w:hint="eastAsia"/>
                <w:szCs w:val="21"/>
              </w:rPr>
              <w:t>具有三级/高级及以上保安员证书的</w:t>
            </w:r>
            <w:r>
              <w:rPr>
                <w:szCs w:val="21"/>
              </w:rPr>
              <w:t>，有一</w:t>
            </w:r>
            <w:r>
              <w:rPr>
                <w:rFonts w:hint="eastAsia"/>
                <w:szCs w:val="21"/>
              </w:rPr>
              <w:t>个得2</w:t>
            </w:r>
            <w:r>
              <w:rPr>
                <w:szCs w:val="21"/>
              </w:rPr>
              <w:t>分</w:t>
            </w:r>
            <w:r>
              <w:rPr>
                <w:rFonts w:hint="eastAsia"/>
                <w:szCs w:val="21"/>
              </w:rPr>
              <w:t>/人</w:t>
            </w:r>
            <w:r>
              <w:rPr>
                <w:szCs w:val="21"/>
              </w:rPr>
              <w:t>，最多得</w:t>
            </w:r>
            <w:r>
              <w:rPr>
                <w:rFonts w:hint="eastAsia"/>
                <w:szCs w:val="21"/>
              </w:rPr>
              <w:t>12</w:t>
            </w:r>
            <w:r>
              <w:rPr>
                <w:szCs w:val="21"/>
              </w:rPr>
              <w:t>分；</w:t>
            </w:r>
          </w:p>
          <w:p w14:paraId="302DA17B">
            <w:pPr>
              <w:spacing w:line="360" w:lineRule="auto"/>
              <w:rPr>
                <w:szCs w:val="21"/>
              </w:rPr>
            </w:pPr>
            <w:r>
              <w:rPr>
                <w:rFonts w:hint="eastAsia"/>
                <w:szCs w:val="21"/>
              </w:rPr>
              <w:t>（</w:t>
            </w:r>
            <w:r>
              <w:rPr>
                <w:szCs w:val="21"/>
              </w:rPr>
              <w:t>2）</w:t>
            </w:r>
            <w:bookmarkStart w:id="171" w:name="OLE_LINK14"/>
            <w:r>
              <w:rPr>
                <w:szCs w:val="21"/>
              </w:rPr>
              <w:t>供应商拟派项目组成员中</w:t>
            </w:r>
            <w:r>
              <w:rPr>
                <w:rFonts w:hint="eastAsia" w:ascii="宋体" w:hAnsi="宋体"/>
                <w:snapToGrid w:val="0"/>
                <w:szCs w:val="21"/>
              </w:rPr>
              <w:t>有</w:t>
            </w:r>
            <w:r>
              <w:rPr>
                <w:rFonts w:hint="eastAsia" w:ascii="宋体" w:hAnsi="宋体"/>
                <w:szCs w:val="21"/>
              </w:rPr>
              <w:t>退伍军人</w:t>
            </w:r>
            <w:r>
              <w:rPr>
                <w:szCs w:val="21"/>
              </w:rPr>
              <w:t>，有一</w:t>
            </w:r>
            <w:r>
              <w:rPr>
                <w:rFonts w:hint="eastAsia"/>
                <w:szCs w:val="21"/>
              </w:rPr>
              <w:t>个得2</w:t>
            </w:r>
            <w:r>
              <w:rPr>
                <w:szCs w:val="21"/>
              </w:rPr>
              <w:t>分，最多</w:t>
            </w:r>
            <w:r>
              <w:rPr>
                <w:rFonts w:hint="eastAsia"/>
                <w:szCs w:val="21"/>
              </w:rPr>
              <w:t>4</w:t>
            </w:r>
            <w:r>
              <w:rPr>
                <w:szCs w:val="21"/>
              </w:rPr>
              <w:t>分；</w:t>
            </w:r>
          </w:p>
          <w:bookmarkEnd w:id="171"/>
          <w:p w14:paraId="6198C4B2">
            <w:pPr>
              <w:spacing w:line="360" w:lineRule="auto"/>
              <w:rPr>
                <w:szCs w:val="21"/>
              </w:rPr>
            </w:pPr>
            <w:r>
              <w:rPr>
                <w:rFonts w:hint="eastAsia"/>
                <w:szCs w:val="21"/>
              </w:rPr>
              <w:t>（</w:t>
            </w:r>
            <w:r>
              <w:rPr>
                <w:szCs w:val="21"/>
              </w:rPr>
              <w:t>3）供应商拟派项目组成员中具备</w:t>
            </w:r>
            <w:bookmarkStart w:id="172" w:name="OLE_LINK6"/>
            <w:r>
              <w:rPr>
                <w:rFonts w:hint="eastAsia"/>
                <w:szCs w:val="21"/>
              </w:rPr>
              <w:t>中级及以上</w:t>
            </w:r>
            <w:r>
              <w:rPr>
                <w:szCs w:val="21"/>
              </w:rPr>
              <w:t>建（构）筑物消防员证书</w:t>
            </w:r>
            <w:r>
              <w:rPr>
                <w:rFonts w:hint="eastAsia"/>
                <w:szCs w:val="21"/>
              </w:rPr>
              <w:t>或消防设施操作员证书</w:t>
            </w:r>
            <w:bookmarkEnd w:id="172"/>
            <w:r>
              <w:rPr>
                <w:rFonts w:hint="eastAsia"/>
                <w:szCs w:val="21"/>
              </w:rPr>
              <w:t>的，有一个得2</w:t>
            </w:r>
            <w:r>
              <w:rPr>
                <w:szCs w:val="21"/>
              </w:rPr>
              <w:t>分</w:t>
            </w:r>
            <w:r>
              <w:rPr>
                <w:rFonts w:hint="eastAsia"/>
                <w:szCs w:val="21"/>
              </w:rPr>
              <w:t>/人</w:t>
            </w:r>
            <w:r>
              <w:rPr>
                <w:szCs w:val="21"/>
              </w:rPr>
              <w:t>，最多得</w:t>
            </w:r>
            <w:r>
              <w:rPr>
                <w:rFonts w:hint="eastAsia"/>
                <w:szCs w:val="21"/>
              </w:rPr>
              <w:t>8</w:t>
            </w:r>
            <w:r>
              <w:rPr>
                <w:szCs w:val="21"/>
              </w:rPr>
              <w:t>分</w:t>
            </w:r>
            <w:r>
              <w:rPr>
                <w:rFonts w:hint="eastAsia"/>
                <w:szCs w:val="21"/>
              </w:rPr>
              <w:t>；</w:t>
            </w:r>
          </w:p>
          <w:p w14:paraId="3CBED8C6">
            <w:pPr>
              <w:spacing w:line="360" w:lineRule="auto"/>
              <w:rPr>
                <w:szCs w:val="21"/>
              </w:rPr>
            </w:pPr>
            <w:r>
              <w:rPr>
                <w:szCs w:val="21"/>
              </w:rPr>
              <w:t>(</w:t>
            </w:r>
            <w:r>
              <w:rPr>
                <w:rFonts w:hint="eastAsia"/>
                <w:szCs w:val="21"/>
              </w:rPr>
              <w:t>同一人员不重复得分，</w:t>
            </w:r>
            <w:r>
              <w:rPr>
                <w:szCs w:val="21"/>
              </w:rPr>
              <w:t>提供</w:t>
            </w:r>
            <w:r>
              <w:rPr>
                <w:rFonts w:hint="eastAsia"/>
                <w:szCs w:val="21"/>
              </w:rPr>
              <w:t>相关证书、军人提供军人退伍相关证明材料扫描件</w:t>
            </w:r>
            <w:r>
              <w:rPr>
                <w:szCs w:val="21"/>
              </w:rPr>
              <w:t>加盖公章</w:t>
            </w:r>
            <w:r>
              <w:rPr>
                <w:rFonts w:hint="eastAsia" w:ascii="宋体" w:hAnsi="宋体" w:cs="宋体"/>
                <w:szCs w:val="21"/>
              </w:rPr>
              <w:t>及供应商为其缴纳的2025年</w:t>
            </w:r>
            <w:r>
              <w:rPr>
                <w:rFonts w:hint="eastAsia" w:cs="宋体"/>
                <w:szCs w:val="21"/>
              </w:rPr>
              <w:t>9</w:t>
            </w:r>
            <w:r>
              <w:rPr>
                <w:rFonts w:hint="eastAsia" w:ascii="宋体" w:hAnsi="宋体" w:cs="宋体"/>
                <w:szCs w:val="21"/>
              </w:rPr>
              <w:t>月至2026年</w:t>
            </w:r>
            <w:r>
              <w:rPr>
                <w:rFonts w:hint="eastAsia" w:cs="宋体"/>
                <w:szCs w:val="21"/>
              </w:rPr>
              <w:t>2</w:t>
            </w:r>
            <w:r>
              <w:rPr>
                <w:rFonts w:hint="eastAsia" w:ascii="宋体" w:hAnsi="宋体" w:cs="宋体"/>
                <w:szCs w:val="21"/>
              </w:rPr>
              <w:t>月以来任意一个月的社保证明</w:t>
            </w:r>
            <w:r>
              <w:rPr>
                <w:szCs w:val="21"/>
              </w:rPr>
              <w:t>，</w:t>
            </w:r>
            <w:r>
              <w:rPr>
                <w:rFonts w:hint="eastAsia"/>
                <w:szCs w:val="21"/>
              </w:rPr>
              <w:t>缺一不可，</w:t>
            </w:r>
            <w:r>
              <w:rPr>
                <w:szCs w:val="21"/>
              </w:rPr>
              <w:t>缺项不得分）</w:t>
            </w:r>
          </w:p>
        </w:tc>
        <w:tc>
          <w:tcPr>
            <w:tcW w:w="750" w:type="dxa"/>
            <w:vAlign w:val="center"/>
          </w:tcPr>
          <w:p w14:paraId="008F044B">
            <w:pPr>
              <w:spacing w:line="360" w:lineRule="auto"/>
              <w:jc w:val="center"/>
              <w:rPr>
                <w:szCs w:val="21"/>
              </w:rPr>
            </w:pPr>
            <w:r>
              <w:rPr>
                <w:rFonts w:hint="eastAsia"/>
                <w:szCs w:val="21"/>
              </w:rPr>
              <w:t>24</w:t>
            </w:r>
          </w:p>
        </w:tc>
      </w:tr>
      <w:tr w14:paraId="72AE2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2" w:type="dxa"/>
            <w:gridSpan w:val="3"/>
            <w:vAlign w:val="center"/>
          </w:tcPr>
          <w:p w14:paraId="005D3A0B">
            <w:pPr>
              <w:spacing w:line="360" w:lineRule="auto"/>
              <w:jc w:val="center"/>
              <w:rPr>
                <w:szCs w:val="21"/>
              </w:rPr>
            </w:pPr>
            <w:r>
              <w:rPr>
                <w:rFonts w:hint="eastAsia"/>
                <w:szCs w:val="21"/>
              </w:rPr>
              <w:t>合计</w:t>
            </w:r>
          </w:p>
        </w:tc>
        <w:tc>
          <w:tcPr>
            <w:tcW w:w="750" w:type="dxa"/>
            <w:vAlign w:val="center"/>
          </w:tcPr>
          <w:p w14:paraId="13886598">
            <w:pPr>
              <w:spacing w:line="360" w:lineRule="auto"/>
              <w:jc w:val="center"/>
              <w:rPr>
                <w:szCs w:val="21"/>
              </w:rPr>
            </w:pPr>
            <w:r>
              <w:rPr>
                <w:rFonts w:hint="eastAsia"/>
                <w:szCs w:val="21"/>
              </w:rPr>
              <w:t>1</w:t>
            </w:r>
            <w:r>
              <w:rPr>
                <w:szCs w:val="21"/>
              </w:rPr>
              <w:t>00</w:t>
            </w:r>
          </w:p>
        </w:tc>
      </w:tr>
    </w:tbl>
    <w:p w14:paraId="1EF8D9D5">
      <w:pPr>
        <w:rPr>
          <w:rFonts w:hint="eastAsia" w:ascii="方正小标宋简体" w:hAnsi="方正小标宋简体" w:eastAsia="方正小标宋简体" w:cs="方正小标宋简体"/>
          <w:color w:val="000000"/>
          <w:sz w:val="36"/>
          <w:szCs w:val="36"/>
        </w:rPr>
      </w:pPr>
    </w:p>
    <w:p w14:paraId="4BC9744E">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r>
    </w:p>
    <w:p w14:paraId="0A7FA975">
      <w:pPr>
        <w:pStyle w:val="15"/>
        <w:spacing w:before="130" w:line="221" w:lineRule="auto"/>
        <w:jc w:val="center"/>
        <w:outlineLvl w:val="0"/>
        <w:rPr>
          <w:spacing w:val="11"/>
          <w:sz w:val="40"/>
          <w:szCs w:val="40"/>
          <w14:textOutline w14:w="7353" w14:cap="flat" w14:cmpd="sng" w14:algn="ctr">
            <w14:solidFill>
              <w14:srgbClr w14:val="000000"/>
            </w14:solidFill>
            <w14:prstDash w14:val="solid"/>
            <w14:miter w14:val="0"/>
          </w14:textOutline>
        </w:rPr>
      </w:pPr>
      <w:r>
        <w:rPr>
          <w:rFonts w:hint="eastAsia"/>
          <w:spacing w:val="11"/>
          <w:sz w:val="40"/>
          <w:szCs w:val="40"/>
          <w14:textOutline w14:w="7353" w14:cap="flat" w14:cmpd="sng" w14:algn="ctr">
            <w14:solidFill>
              <w14:srgbClr w14:val="000000"/>
            </w14:solidFill>
            <w14:prstDash w14:val="solid"/>
            <w14:miter w14:val="0"/>
          </w14:textOutline>
        </w:rPr>
        <w:t>第六章  投标文件格式</w:t>
      </w:r>
    </w:p>
    <w:p w14:paraId="5E94AE2A">
      <w:pPr>
        <w:jc w:val="center"/>
        <w:rPr>
          <w:rFonts w:hint="eastAsia" w:ascii="宋体" w:hAnsi="宋体"/>
          <w:b/>
          <w:sz w:val="72"/>
        </w:rPr>
      </w:pPr>
      <w:bookmarkStart w:id="173" w:name="_Hlt26955039"/>
      <w:bookmarkEnd w:id="173"/>
      <w:bookmarkStart w:id="174" w:name="_Hlt26671244"/>
      <w:bookmarkEnd w:id="174"/>
      <w:bookmarkStart w:id="175" w:name="_Toc120614282"/>
      <w:bookmarkStart w:id="176" w:name="_Toc49090576"/>
      <w:bookmarkStart w:id="177" w:name="_Toc26554094"/>
    </w:p>
    <w:p w14:paraId="08EA7819">
      <w:pPr>
        <w:ind w:firstLine="1446" w:firstLineChars="200"/>
        <w:rPr>
          <w:rFonts w:hint="eastAsia" w:ascii="宋体" w:hAnsi="宋体"/>
          <w:b/>
          <w:sz w:val="72"/>
        </w:rPr>
      </w:pPr>
      <w:r>
        <w:rPr>
          <w:rFonts w:hint="eastAsia" w:ascii="宋体" w:hAnsi="宋体"/>
          <w:b/>
          <w:sz w:val="72"/>
        </w:rPr>
        <w:t>投  标  文  件</w:t>
      </w:r>
    </w:p>
    <w:p w14:paraId="260E0DB5">
      <w:pPr>
        <w:jc w:val="center"/>
        <w:rPr>
          <w:rFonts w:hint="eastAsia" w:ascii="宋体" w:hAnsi="宋体"/>
          <w:b/>
          <w:sz w:val="72"/>
        </w:rPr>
      </w:pPr>
    </w:p>
    <w:p w14:paraId="04309C31">
      <w:pPr>
        <w:jc w:val="center"/>
        <w:rPr>
          <w:rFonts w:hint="eastAsia" w:ascii="宋体" w:hAnsi="宋体"/>
          <w:b/>
          <w:sz w:val="72"/>
        </w:rPr>
      </w:pPr>
    </w:p>
    <w:p w14:paraId="57E4C98F">
      <w:pPr>
        <w:jc w:val="center"/>
        <w:rPr>
          <w:rFonts w:hint="eastAsia" w:ascii="宋体" w:hAnsi="宋体"/>
          <w:b/>
          <w:sz w:val="36"/>
        </w:rPr>
      </w:pPr>
    </w:p>
    <w:p w14:paraId="7F1550E8">
      <w:pPr>
        <w:jc w:val="center"/>
        <w:rPr>
          <w:rFonts w:hint="eastAsia" w:ascii="宋体" w:hAnsi="宋体"/>
          <w:b/>
          <w:sz w:val="36"/>
        </w:rPr>
      </w:pPr>
    </w:p>
    <w:p w14:paraId="6FCDCBF0">
      <w:pPr>
        <w:jc w:val="center"/>
        <w:rPr>
          <w:rFonts w:hint="eastAsia" w:ascii="宋体" w:hAnsi="宋体"/>
          <w:b/>
          <w:sz w:val="36"/>
        </w:rPr>
      </w:pPr>
    </w:p>
    <w:p w14:paraId="4515B989">
      <w:pPr>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D7BA6A4">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3BB4D4AB">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p>
    <w:p w14:paraId="234F7DF6">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3BA0180A">
      <w:pPr>
        <w:spacing w:line="440" w:lineRule="exact"/>
        <w:jc w:val="center"/>
        <w:rPr>
          <w:rFonts w:hint="eastAsia" w:ascii="宋体" w:hAnsi="宋体"/>
          <w:b/>
          <w:bCs/>
          <w:sz w:val="32"/>
          <w:szCs w:val="32"/>
        </w:rPr>
      </w:pPr>
    </w:p>
    <w:p w14:paraId="07C71107">
      <w:pPr>
        <w:spacing w:line="440" w:lineRule="exact"/>
        <w:rPr>
          <w:rFonts w:hint="eastAsia" w:ascii="宋体" w:hAnsi="宋体"/>
        </w:rPr>
      </w:pPr>
    </w:p>
    <w:p w14:paraId="7AE4E167">
      <w:pPr>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投标文件目录</w:t>
      </w:r>
    </w:p>
    <w:p w14:paraId="39A81E89">
      <w:pPr>
        <w:spacing w:line="600" w:lineRule="exact"/>
        <w:ind w:firstLine="560"/>
        <w:rPr>
          <w:rFonts w:hint="eastAsia" w:ascii="宋体" w:hAnsi="宋体" w:cs="宋体"/>
          <w:sz w:val="28"/>
          <w:szCs w:val="28"/>
        </w:rPr>
      </w:pPr>
      <w:r>
        <w:rPr>
          <w:rFonts w:hint="eastAsia" w:ascii="宋体" w:hAnsi="宋体" w:cs="宋体"/>
          <w:sz w:val="28"/>
          <w:szCs w:val="28"/>
        </w:rPr>
        <w:t>一、供应商信用承诺函</w:t>
      </w:r>
    </w:p>
    <w:p w14:paraId="01A839D3">
      <w:pPr>
        <w:spacing w:line="600" w:lineRule="exact"/>
        <w:ind w:firstLine="560"/>
        <w:rPr>
          <w:rFonts w:hint="eastAsia" w:ascii="宋体" w:hAnsi="宋体" w:cs="宋体"/>
          <w:sz w:val="28"/>
          <w:szCs w:val="28"/>
        </w:rPr>
      </w:pPr>
      <w:r>
        <w:rPr>
          <w:rFonts w:hint="eastAsia" w:ascii="宋体" w:hAnsi="宋体" w:cs="宋体"/>
          <w:sz w:val="28"/>
          <w:szCs w:val="28"/>
        </w:rPr>
        <w:t>二、满足特定资格要求的证明文件（如有特定资格要求）</w:t>
      </w:r>
    </w:p>
    <w:p w14:paraId="2DBF1524">
      <w:pPr>
        <w:spacing w:line="600" w:lineRule="exact"/>
        <w:ind w:firstLine="560"/>
        <w:rPr>
          <w:rFonts w:hint="eastAsia" w:ascii="宋体" w:hAnsi="宋体" w:cs="宋体"/>
          <w:sz w:val="28"/>
          <w:szCs w:val="28"/>
        </w:rPr>
      </w:pPr>
      <w:r>
        <w:rPr>
          <w:rFonts w:hint="eastAsia" w:ascii="宋体" w:hAnsi="宋体" w:cs="宋体"/>
          <w:sz w:val="28"/>
          <w:szCs w:val="28"/>
        </w:rPr>
        <w:t>三、法人授权书</w:t>
      </w:r>
    </w:p>
    <w:p w14:paraId="169AD67B">
      <w:pPr>
        <w:spacing w:line="600" w:lineRule="exact"/>
        <w:ind w:firstLine="560"/>
        <w:rPr>
          <w:rFonts w:hint="eastAsia" w:ascii="宋体" w:hAnsi="宋体" w:cs="宋体"/>
          <w:sz w:val="28"/>
          <w:szCs w:val="28"/>
        </w:rPr>
      </w:pPr>
      <w:r>
        <w:rPr>
          <w:rFonts w:hint="eastAsia" w:ascii="宋体" w:hAnsi="宋体" w:cs="宋体"/>
          <w:sz w:val="28"/>
          <w:szCs w:val="28"/>
        </w:rPr>
        <w:t>四、投标函</w:t>
      </w:r>
    </w:p>
    <w:p w14:paraId="4D22E7D7">
      <w:pPr>
        <w:spacing w:line="600" w:lineRule="exact"/>
        <w:ind w:firstLine="560"/>
        <w:rPr>
          <w:rFonts w:hint="eastAsia" w:ascii="宋体" w:hAnsi="宋体" w:cs="宋体"/>
          <w:sz w:val="28"/>
          <w:szCs w:val="28"/>
        </w:rPr>
      </w:pPr>
      <w:r>
        <w:rPr>
          <w:rFonts w:hint="eastAsia" w:ascii="宋体" w:hAnsi="宋体" w:cs="宋体"/>
          <w:sz w:val="28"/>
          <w:szCs w:val="28"/>
        </w:rPr>
        <w:t>五、开标一览表</w:t>
      </w:r>
    </w:p>
    <w:p w14:paraId="4F24F94F">
      <w:pPr>
        <w:spacing w:line="600" w:lineRule="exact"/>
        <w:ind w:firstLine="560"/>
        <w:rPr>
          <w:rFonts w:hint="eastAsia" w:ascii="宋体" w:hAnsi="宋体" w:cs="宋体"/>
          <w:sz w:val="28"/>
          <w:szCs w:val="28"/>
        </w:rPr>
      </w:pPr>
      <w:r>
        <w:rPr>
          <w:rFonts w:hint="eastAsia" w:ascii="宋体" w:hAnsi="宋体" w:cs="宋体"/>
          <w:sz w:val="28"/>
          <w:szCs w:val="28"/>
        </w:rPr>
        <w:t>六、投标报价明细表</w:t>
      </w:r>
    </w:p>
    <w:p w14:paraId="587D37E5">
      <w:pPr>
        <w:spacing w:line="600" w:lineRule="exact"/>
        <w:ind w:firstLine="560"/>
        <w:rPr>
          <w:rFonts w:hint="eastAsia" w:ascii="宋体" w:hAnsi="宋体" w:cs="宋体"/>
          <w:sz w:val="28"/>
          <w:szCs w:val="28"/>
        </w:rPr>
      </w:pPr>
      <w:r>
        <w:rPr>
          <w:rFonts w:hint="eastAsia" w:ascii="宋体" w:hAnsi="宋体" w:cs="宋体"/>
          <w:sz w:val="28"/>
          <w:szCs w:val="28"/>
        </w:rPr>
        <w:t>七、技术要求响应及偏离表</w:t>
      </w:r>
    </w:p>
    <w:p w14:paraId="56D6311E">
      <w:pPr>
        <w:spacing w:line="600" w:lineRule="exact"/>
        <w:ind w:firstLine="560"/>
        <w:rPr>
          <w:rFonts w:hint="eastAsia" w:ascii="宋体" w:hAnsi="宋体" w:cs="宋体"/>
          <w:sz w:val="28"/>
          <w:szCs w:val="28"/>
        </w:rPr>
      </w:pPr>
      <w:r>
        <w:rPr>
          <w:rFonts w:hint="eastAsia" w:ascii="宋体" w:hAnsi="宋体" w:cs="宋体"/>
          <w:sz w:val="28"/>
          <w:szCs w:val="28"/>
        </w:rPr>
        <w:t>八、商务要求响应及偏离表</w:t>
      </w:r>
    </w:p>
    <w:p w14:paraId="72273F6F">
      <w:pPr>
        <w:spacing w:line="600" w:lineRule="exact"/>
        <w:ind w:firstLine="560"/>
        <w:rPr>
          <w:rFonts w:hint="eastAsia" w:ascii="宋体" w:hAnsi="宋体" w:cs="宋体"/>
          <w:sz w:val="28"/>
          <w:szCs w:val="28"/>
        </w:rPr>
      </w:pPr>
      <w:r>
        <w:rPr>
          <w:rFonts w:hint="eastAsia" w:ascii="宋体" w:hAnsi="宋体" w:cs="宋体"/>
          <w:sz w:val="28"/>
          <w:szCs w:val="28"/>
        </w:rPr>
        <w:t>九、中小企业声明函</w:t>
      </w:r>
    </w:p>
    <w:p w14:paraId="66B988F9">
      <w:pPr>
        <w:spacing w:line="600" w:lineRule="exact"/>
        <w:ind w:firstLine="560"/>
        <w:rPr>
          <w:rFonts w:hint="eastAsia" w:ascii="宋体" w:hAnsi="宋体" w:cs="宋体"/>
          <w:sz w:val="28"/>
          <w:szCs w:val="28"/>
        </w:rPr>
      </w:pPr>
      <w:r>
        <w:rPr>
          <w:rFonts w:hint="eastAsia" w:ascii="宋体" w:hAnsi="宋体" w:cs="宋体"/>
          <w:sz w:val="28"/>
          <w:szCs w:val="28"/>
        </w:rPr>
        <w:t>十、残疾人福利性单位声明函（如有）</w:t>
      </w:r>
    </w:p>
    <w:p w14:paraId="76C897D6">
      <w:pPr>
        <w:spacing w:line="440" w:lineRule="exact"/>
        <w:ind w:firstLine="480"/>
        <w:rPr>
          <w:rFonts w:hint="eastAsia" w:ascii="宋体" w:hAnsi="宋体"/>
          <w:sz w:val="24"/>
        </w:rPr>
      </w:pPr>
    </w:p>
    <w:p w14:paraId="0875F5B7">
      <w:pPr>
        <w:spacing w:line="440" w:lineRule="exact"/>
        <w:ind w:firstLine="480"/>
        <w:rPr>
          <w:rFonts w:hint="eastAsia" w:ascii="宋体" w:hAnsi="宋体"/>
          <w:sz w:val="24"/>
        </w:rPr>
      </w:pPr>
    </w:p>
    <w:p w14:paraId="30602275">
      <w:pPr>
        <w:spacing w:line="440" w:lineRule="exact"/>
        <w:ind w:firstLine="480"/>
        <w:rPr>
          <w:rFonts w:hint="eastAsia" w:ascii="宋体" w:hAnsi="宋体"/>
          <w:sz w:val="24"/>
        </w:rPr>
      </w:pPr>
    </w:p>
    <w:p w14:paraId="7316A616">
      <w:pPr>
        <w:spacing w:line="440" w:lineRule="exact"/>
        <w:ind w:firstLine="480"/>
        <w:rPr>
          <w:rFonts w:hint="eastAsia" w:ascii="宋体" w:hAnsi="宋体"/>
          <w:sz w:val="24"/>
        </w:rPr>
      </w:pPr>
    </w:p>
    <w:p w14:paraId="46EE940D">
      <w:pPr>
        <w:spacing w:line="440" w:lineRule="exact"/>
        <w:ind w:firstLine="480"/>
        <w:rPr>
          <w:rFonts w:hint="eastAsia" w:ascii="宋体" w:hAnsi="宋体"/>
          <w:sz w:val="24"/>
        </w:rPr>
      </w:pPr>
    </w:p>
    <w:p w14:paraId="49B28C84">
      <w:pPr>
        <w:spacing w:line="440" w:lineRule="exact"/>
        <w:ind w:firstLine="480"/>
        <w:rPr>
          <w:rFonts w:hint="eastAsia" w:ascii="宋体" w:hAnsi="宋体"/>
          <w:sz w:val="24"/>
          <w:szCs w:val="24"/>
        </w:rPr>
      </w:pPr>
    </w:p>
    <w:p w14:paraId="61C57CF7">
      <w:pPr>
        <w:spacing w:line="440" w:lineRule="exact"/>
        <w:ind w:firstLine="480"/>
        <w:rPr>
          <w:rFonts w:hint="eastAsia" w:ascii="宋体" w:hAnsi="宋体"/>
          <w:sz w:val="24"/>
          <w:szCs w:val="24"/>
        </w:rPr>
      </w:pPr>
    </w:p>
    <w:p w14:paraId="705807D7">
      <w:pPr>
        <w:spacing w:line="440" w:lineRule="exact"/>
        <w:ind w:firstLine="480"/>
        <w:rPr>
          <w:rFonts w:hint="eastAsia" w:ascii="宋体" w:hAnsi="宋体"/>
          <w:sz w:val="24"/>
          <w:szCs w:val="24"/>
        </w:rPr>
      </w:pPr>
    </w:p>
    <w:p w14:paraId="7C31A376">
      <w:pPr>
        <w:spacing w:line="440" w:lineRule="exact"/>
        <w:ind w:firstLine="480"/>
        <w:rPr>
          <w:rFonts w:hint="eastAsia" w:ascii="宋体" w:hAnsi="宋体"/>
          <w:sz w:val="24"/>
          <w:szCs w:val="24"/>
        </w:rPr>
      </w:pPr>
    </w:p>
    <w:p w14:paraId="1758D67D">
      <w:pPr>
        <w:spacing w:line="440" w:lineRule="exact"/>
        <w:ind w:firstLine="480"/>
        <w:rPr>
          <w:rFonts w:hint="eastAsia" w:ascii="宋体" w:hAnsi="宋体"/>
          <w:sz w:val="24"/>
          <w:szCs w:val="24"/>
        </w:rPr>
      </w:pPr>
    </w:p>
    <w:p w14:paraId="46292D30">
      <w:pPr>
        <w:ind w:left="120"/>
        <w:rPr>
          <w:rFonts w:hint="eastAsia" w:ascii="宋体" w:hAnsi="宋体" w:cs="宋体"/>
          <w:sz w:val="24"/>
          <w:szCs w:val="21"/>
          <w:lang w:val="zh-CN" w:bidi="zh-CN"/>
        </w:rPr>
      </w:pPr>
    </w:p>
    <w:p w14:paraId="34B7519F">
      <w:pPr>
        <w:ind w:left="120"/>
        <w:rPr>
          <w:rFonts w:hint="eastAsia" w:ascii="宋体" w:hAnsi="宋体" w:cs="宋体"/>
          <w:sz w:val="24"/>
          <w:szCs w:val="21"/>
          <w:lang w:val="zh-CN" w:bidi="zh-CN"/>
        </w:rPr>
      </w:pPr>
    </w:p>
    <w:bookmarkEnd w:id="175"/>
    <w:bookmarkEnd w:id="176"/>
    <w:bookmarkEnd w:id="177"/>
    <w:p w14:paraId="77C309AA">
      <w:pPr>
        <w:ind w:left="120"/>
        <w:rPr>
          <w:rFonts w:hint="eastAsia" w:ascii="宋体" w:hAnsi="宋体" w:cs="宋体"/>
          <w:sz w:val="24"/>
          <w:szCs w:val="21"/>
          <w:lang w:val="zh-CN" w:bidi="zh-CN"/>
        </w:rPr>
      </w:pPr>
    </w:p>
    <w:p w14:paraId="1056B4D9">
      <w:pPr>
        <w:ind w:left="120"/>
        <w:rPr>
          <w:rFonts w:hint="eastAsia" w:ascii="宋体" w:hAnsi="宋体" w:cs="宋体"/>
          <w:sz w:val="24"/>
          <w:szCs w:val="21"/>
          <w:lang w:val="zh-CN" w:bidi="zh-CN"/>
        </w:rPr>
      </w:pPr>
    </w:p>
    <w:p w14:paraId="6964A67F">
      <w:pPr>
        <w:ind w:left="120"/>
        <w:rPr>
          <w:rFonts w:hint="eastAsia" w:ascii="宋体" w:hAnsi="宋体" w:cs="宋体"/>
          <w:sz w:val="24"/>
          <w:szCs w:val="21"/>
          <w:lang w:val="zh-CN" w:bidi="zh-CN"/>
        </w:rPr>
      </w:pPr>
    </w:p>
    <w:p w14:paraId="555442C8">
      <w:pPr>
        <w:jc w:val="left"/>
        <w:rPr>
          <w:rFonts w:hint="eastAsia" w:ascii="黑体" w:hAnsi="黑体" w:eastAsia="黑体"/>
          <w:sz w:val="32"/>
          <w:szCs w:val="32"/>
        </w:rPr>
      </w:pPr>
      <w:r>
        <w:rPr>
          <w:rFonts w:hint="eastAsia" w:ascii="黑体" w:hAnsi="黑体" w:eastAsia="黑体"/>
          <w:sz w:val="32"/>
          <w:szCs w:val="32"/>
        </w:rPr>
        <w:br w:type="page" w:clear="all"/>
      </w:r>
    </w:p>
    <w:p w14:paraId="1C92DB09">
      <w:pPr>
        <w:spacing w:line="360" w:lineRule="auto"/>
        <w:jc w:val="left"/>
        <w:rPr>
          <w:rFonts w:hint="eastAsia" w:ascii="黑体" w:hAnsi="黑体" w:eastAsia="黑体"/>
          <w:sz w:val="32"/>
          <w:szCs w:val="32"/>
        </w:rPr>
      </w:pPr>
      <w:r>
        <w:rPr>
          <w:rFonts w:hint="eastAsia" w:ascii="黑体" w:hAnsi="黑体" w:eastAsia="黑体"/>
          <w:sz w:val="32"/>
          <w:szCs w:val="32"/>
        </w:rPr>
        <w:t>一、供应商信用承诺函</w:t>
      </w:r>
    </w:p>
    <w:p w14:paraId="48E99CB8">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供应商信用承诺函</w:t>
      </w:r>
    </w:p>
    <w:p w14:paraId="452E1E61">
      <w:pPr>
        <w:spacing w:line="460" w:lineRule="exact"/>
        <w:rPr>
          <w:rFonts w:hint="eastAsia" w:ascii="宋体" w:hAnsi="宋体"/>
          <w:sz w:val="24"/>
          <w:szCs w:val="24"/>
        </w:rPr>
      </w:pPr>
      <w:r>
        <w:rPr>
          <w:rFonts w:hint="eastAsia" w:ascii="宋体" w:hAnsi="宋体"/>
          <w:sz w:val="24"/>
          <w:szCs w:val="24"/>
        </w:rPr>
        <w:t>南京市公共资源交易中心浦口分中心：</w:t>
      </w:r>
    </w:p>
    <w:p w14:paraId="1550396C">
      <w:pPr>
        <w:spacing w:line="460" w:lineRule="exact"/>
        <w:ind w:firstLine="492"/>
        <w:rPr>
          <w:rFonts w:hint="eastAsia" w:ascii="宋体" w:hAnsi="宋体"/>
          <w:sz w:val="24"/>
          <w:szCs w:val="24"/>
        </w:rPr>
      </w:pPr>
      <w:r>
        <w:rPr>
          <w:rFonts w:hint="eastAsia" w:ascii="宋体" w:hAnsi="宋体"/>
          <w:sz w:val="24"/>
          <w:szCs w:val="24"/>
        </w:rPr>
        <w:t>我公司</w:t>
      </w:r>
      <w:r>
        <w:rPr>
          <w:rFonts w:hint="eastAsia" w:ascii="宋体" w:hAnsi="宋体"/>
          <w:sz w:val="24"/>
          <w:szCs w:val="24"/>
          <w:u w:val="single"/>
        </w:rPr>
        <w:t xml:space="preserve">                             </w:t>
      </w:r>
      <w:r>
        <w:rPr>
          <w:rFonts w:hint="eastAsia" w:ascii="宋体" w:hAnsi="宋体"/>
          <w:sz w:val="24"/>
          <w:szCs w:val="24"/>
        </w:rPr>
        <w:t>（供应商名称）郑重承诺：</w:t>
      </w:r>
    </w:p>
    <w:p w14:paraId="41B790F7">
      <w:pPr>
        <w:spacing w:line="460" w:lineRule="exact"/>
        <w:ind w:firstLine="492"/>
        <w:rPr>
          <w:rFonts w:hint="eastAsia" w:ascii="宋体" w:hAnsi="宋体"/>
          <w:sz w:val="24"/>
          <w:szCs w:val="24"/>
        </w:rPr>
      </w:pPr>
      <w:r>
        <w:rPr>
          <w:rFonts w:hint="eastAsia" w:ascii="宋体" w:hAnsi="宋体"/>
          <w:sz w:val="24"/>
          <w:szCs w:val="24"/>
        </w:rPr>
        <w:t>我公司符合下列要求：</w:t>
      </w:r>
    </w:p>
    <w:p w14:paraId="3A413E6E">
      <w:pPr>
        <w:spacing w:line="460" w:lineRule="exact"/>
        <w:ind w:firstLine="492"/>
        <w:rPr>
          <w:rFonts w:hint="eastAsia" w:ascii="宋体" w:hAnsi="宋体"/>
          <w:sz w:val="24"/>
          <w:szCs w:val="24"/>
        </w:rPr>
      </w:pPr>
      <w:r>
        <w:rPr>
          <w:rFonts w:hint="eastAsia" w:ascii="宋体" w:hAnsi="宋体"/>
          <w:sz w:val="24"/>
          <w:szCs w:val="24"/>
        </w:rPr>
        <w:t>(一)具有独立承担民事责任的能力；</w:t>
      </w:r>
    </w:p>
    <w:p w14:paraId="7404CE9C">
      <w:pPr>
        <w:spacing w:line="460" w:lineRule="exact"/>
        <w:ind w:firstLine="492"/>
        <w:rPr>
          <w:rFonts w:hint="eastAsia" w:ascii="宋体" w:hAnsi="宋体"/>
          <w:sz w:val="24"/>
          <w:szCs w:val="24"/>
        </w:rPr>
      </w:pPr>
      <w:r>
        <w:rPr>
          <w:rFonts w:hint="eastAsia" w:ascii="宋体" w:hAnsi="宋体"/>
          <w:sz w:val="24"/>
          <w:szCs w:val="24"/>
        </w:rPr>
        <w:t>(二)具有良好的商业信誉和健全的财务会计制度；</w:t>
      </w:r>
    </w:p>
    <w:p w14:paraId="77772FE7">
      <w:pPr>
        <w:spacing w:line="460" w:lineRule="exact"/>
        <w:ind w:firstLine="492"/>
        <w:rPr>
          <w:rFonts w:hint="eastAsia" w:ascii="宋体" w:hAnsi="宋体"/>
          <w:sz w:val="24"/>
          <w:szCs w:val="24"/>
        </w:rPr>
      </w:pPr>
      <w:r>
        <w:rPr>
          <w:rFonts w:hint="eastAsia" w:ascii="宋体" w:hAnsi="宋体"/>
          <w:sz w:val="24"/>
          <w:szCs w:val="24"/>
        </w:rPr>
        <w:t>(三)具有履行合同所必需的设备和专业技术能力；</w:t>
      </w:r>
    </w:p>
    <w:p w14:paraId="3275AD3A">
      <w:pPr>
        <w:spacing w:line="460" w:lineRule="exact"/>
        <w:ind w:firstLine="492"/>
        <w:rPr>
          <w:rFonts w:hint="eastAsia" w:ascii="宋体" w:hAnsi="宋体"/>
          <w:sz w:val="24"/>
          <w:szCs w:val="24"/>
        </w:rPr>
      </w:pPr>
      <w:r>
        <w:rPr>
          <w:rFonts w:hint="eastAsia" w:ascii="宋体" w:hAnsi="宋体"/>
          <w:sz w:val="24"/>
          <w:szCs w:val="24"/>
        </w:rPr>
        <w:t>(四)有依法缴纳税收和社会保障资金的良好记录；</w:t>
      </w:r>
    </w:p>
    <w:p w14:paraId="67834ABB">
      <w:pPr>
        <w:spacing w:line="460" w:lineRule="exact"/>
        <w:ind w:firstLine="492"/>
        <w:rPr>
          <w:rFonts w:hint="eastAsia" w:ascii="宋体" w:hAnsi="宋体"/>
          <w:sz w:val="24"/>
          <w:szCs w:val="24"/>
        </w:rPr>
      </w:pPr>
      <w:r>
        <w:rPr>
          <w:rFonts w:hint="eastAsia" w:ascii="宋体" w:hAnsi="宋体"/>
          <w:sz w:val="24"/>
          <w:szCs w:val="24"/>
        </w:rPr>
        <w:t>(五)参加政府采购活动前三年内，在经营活动中没有重大违法记录。</w:t>
      </w:r>
    </w:p>
    <w:p w14:paraId="32D6DEC5">
      <w:pPr>
        <w:spacing w:line="460" w:lineRule="exact"/>
        <w:ind w:firstLine="492"/>
        <w:rPr>
          <w:rFonts w:hint="eastAsia" w:ascii="宋体" w:hAnsi="宋体"/>
          <w:sz w:val="24"/>
          <w:szCs w:val="24"/>
        </w:rPr>
      </w:pPr>
      <w:r>
        <w:rPr>
          <w:rFonts w:hint="eastAsia" w:ascii="宋体" w:hAnsi="宋体"/>
          <w:sz w:val="24"/>
          <w:szCs w:val="24"/>
        </w:rPr>
        <w:t>如果我公司中标，将在中标结果公示后七个工作日内向采购人提供下列材料核验：</w:t>
      </w:r>
    </w:p>
    <w:p w14:paraId="782D088D">
      <w:pPr>
        <w:spacing w:line="460" w:lineRule="exact"/>
        <w:ind w:firstLine="492"/>
        <w:rPr>
          <w:rFonts w:hint="eastAsia" w:ascii="宋体" w:hAnsi="宋体"/>
          <w:sz w:val="24"/>
          <w:szCs w:val="24"/>
        </w:rPr>
      </w:pPr>
      <w:r>
        <w:rPr>
          <w:rFonts w:hint="eastAsia" w:ascii="宋体" w:hAnsi="宋体"/>
          <w:sz w:val="24"/>
          <w:szCs w:val="24"/>
        </w:rPr>
        <w:t>（1）营业执照副本或事业单位法人登记证书；</w:t>
      </w:r>
    </w:p>
    <w:p w14:paraId="72ADF305">
      <w:pPr>
        <w:spacing w:line="460" w:lineRule="exact"/>
        <w:ind w:firstLine="492"/>
        <w:rPr>
          <w:rFonts w:hint="eastAsia" w:ascii="宋体" w:hAnsi="宋体"/>
          <w:sz w:val="24"/>
          <w:szCs w:val="24"/>
        </w:rPr>
      </w:pPr>
      <w:r>
        <w:rPr>
          <w:rFonts w:hint="eastAsia" w:ascii="宋体" w:hAnsi="宋体"/>
          <w:sz w:val="24"/>
          <w:szCs w:val="24"/>
        </w:rPr>
        <w:t>（2）参加本次政府采购活动前一年的经审计的</w:t>
      </w:r>
      <w:bookmarkStart w:id="178" w:name="OLE_LINK3"/>
      <w:r>
        <w:rPr>
          <w:rFonts w:hint="eastAsia" w:ascii="宋体" w:hAnsi="宋体"/>
          <w:sz w:val="24"/>
          <w:szCs w:val="24"/>
        </w:rPr>
        <w:t>财务报告</w:t>
      </w:r>
      <w:bookmarkEnd w:id="178"/>
      <w:r>
        <w:rPr>
          <w:rFonts w:hint="eastAsia" w:ascii="宋体" w:hAnsi="宋体"/>
          <w:sz w:val="24"/>
          <w:szCs w:val="24"/>
        </w:rPr>
        <w:t>（提供2023年度的财务报表，包括“四表一注”，法人成立满一年的提供）或参加本次政府采购活动前一年内的银行资信证明（法人或其他组织提供）或其他证明材料；</w:t>
      </w:r>
    </w:p>
    <w:p w14:paraId="1650F2F1">
      <w:pPr>
        <w:spacing w:line="460" w:lineRule="exact"/>
        <w:ind w:firstLine="492"/>
        <w:rPr>
          <w:rFonts w:hint="eastAsia" w:ascii="宋体" w:hAnsi="宋体"/>
          <w:sz w:val="24"/>
          <w:szCs w:val="24"/>
        </w:rPr>
      </w:pPr>
      <w:r>
        <w:rPr>
          <w:rFonts w:hint="eastAsia" w:ascii="宋体" w:hAnsi="宋体"/>
          <w:sz w:val="24"/>
          <w:szCs w:val="24"/>
        </w:rPr>
        <w:t>（3）履行合同所必需的设备和专业技术能力证明材料；</w:t>
      </w:r>
    </w:p>
    <w:p w14:paraId="3A84BF39">
      <w:pPr>
        <w:spacing w:line="460" w:lineRule="exact"/>
        <w:ind w:firstLine="492"/>
        <w:rPr>
          <w:rFonts w:hint="eastAsia" w:ascii="宋体" w:hAnsi="宋体"/>
          <w:sz w:val="24"/>
          <w:szCs w:val="24"/>
        </w:rPr>
      </w:pPr>
      <w:r>
        <w:rPr>
          <w:rFonts w:hint="eastAsia" w:ascii="宋体" w:hAnsi="宋体"/>
          <w:sz w:val="24"/>
          <w:szCs w:val="24"/>
        </w:rPr>
        <w:t>（4）参加本次政府采购活动前一年内至少一个月依法缴纳税收和社会保障资金的证明材料。</w:t>
      </w:r>
    </w:p>
    <w:p w14:paraId="11A8C5FA">
      <w:pPr>
        <w:spacing w:line="460" w:lineRule="exact"/>
        <w:ind w:firstLine="492"/>
        <w:rPr>
          <w:sz w:val="24"/>
          <w:szCs w:val="24"/>
        </w:rPr>
      </w:pPr>
      <w:r>
        <w:rPr>
          <w:rFonts w:hint="eastAsia"/>
          <w:sz w:val="24"/>
          <w:szCs w:val="24"/>
        </w:rPr>
        <w:t>本公司对上述承诺内容的真实性、合法性、有效性负责，如有虚假，将依法承担相应责任。</w:t>
      </w:r>
    </w:p>
    <w:p w14:paraId="12BFBA40">
      <w:pPr>
        <w:spacing w:line="460" w:lineRule="exact"/>
        <w:ind w:firstLine="492"/>
        <w:rPr>
          <w:sz w:val="24"/>
          <w:szCs w:val="24"/>
        </w:rPr>
      </w:pPr>
    </w:p>
    <w:p w14:paraId="6058E617">
      <w:pPr>
        <w:jc w:val="center"/>
        <w:rPr>
          <w:b/>
          <w:bCs/>
          <w:sz w:val="24"/>
          <w:szCs w:val="24"/>
        </w:rPr>
      </w:pPr>
    </w:p>
    <w:p w14:paraId="4D7FED13">
      <w:pPr>
        <w:spacing w:line="560" w:lineRule="exact"/>
        <w:ind w:right="181" w:firstLine="6000"/>
        <w:rPr>
          <w:rFonts w:hint="eastAsia" w:ascii="宋体" w:hAnsi="宋体"/>
          <w:sz w:val="24"/>
          <w:szCs w:val="24"/>
        </w:rPr>
      </w:pPr>
      <w:r>
        <w:rPr>
          <w:rFonts w:hint="eastAsia" w:ascii="宋体" w:hAnsi="宋体"/>
          <w:sz w:val="24"/>
          <w:szCs w:val="24"/>
        </w:rPr>
        <w:t>供应商名称：（加盖电子公章）</w:t>
      </w:r>
    </w:p>
    <w:p w14:paraId="3FB6E13F">
      <w:pPr>
        <w:spacing w:line="560" w:lineRule="exact"/>
        <w:ind w:right="181" w:firstLine="6000"/>
        <w:rPr>
          <w:rFonts w:hint="eastAsia" w:ascii="宋体" w:hAnsi="宋体"/>
          <w:sz w:val="24"/>
          <w:szCs w:val="24"/>
        </w:rPr>
      </w:pPr>
      <w:r>
        <w:rPr>
          <w:rFonts w:hint="eastAsia" w:ascii="宋体" w:hAnsi="宋体"/>
          <w:sz w:val="24"/>
          <w:szCs w:val="24"/>
        </w:rPr>
        <w:t>日  期：</w:t>
      </w:r>
    </w:p>
    <w:p w14:paraId="65EC0494">
      <w:pPr>
        <w:rPr>
          <w:sz w:val="24"/>
          <w:szCs w:val="24"/>
        </w:rPr>
      </w:pPr>
    </w:p>
    <w:p w14:paraId="2A7881AD">
      <w:pPr>
        <w:spacing w:line="440" w:lineRule="exact"/>
        <w:rPr>
          <w:rFonts w:hint="eastAsia" w:ascii="宋体" w:hAnsi="宋体"/>
          <w:sz w:val="24"/>
          <w:szCs w:val="24"/>
        </w:rPr>
      </w:pPr>
    </w:p>
    <w:p w14:paraId="6C139081">
      <w:pPr>
        <w:spacing w:line="440" w:lineRule="exact"/>
        <w:ind w:firstLine="480"/>
        <w:rPr>
          <w:rFonts w:hint="eastAsia" w:ascii="宋体" w:hAnsi="宋体"/>
          <w:sz w:val="24"/>
          <w:szCs w:val="24"/>
        </w:rPr>
      </w:pPr>
    </w:p>
    <w:p w14:paraId="459B89B7">
      <w:pPr>
        <w:rPr>
          <w:rFonts w:ascii="宋体" w:hAnsi="宋体" w:eastAsia="Arial" w:cs="Arial"/>
          <w:b/>
          <w:bCs/>
          <w:szCs w:val="21"/>
        </w:rPr>
      </w:pPr>
    </w:p>
    <w:p w14:paraId="7AFF1E33">
      <w:pPr>
        <w:rPr>
          <w:rFonts w:hint="eastAsia" w:ascii="宋体" w:hAnsi="宋体"/>
          <w:b/>
          <w:bCs/>
        </w:rPr>
      </w:pPr>
    </w:p>
    <w:p w14:paraId="283679DF">
      <w:pPr>
        <w:spacing w:line="360" w:lineRule="auto"/>
        <w:ind w:firstLine="420"/>
        <w:rPr>
          <w:rFonts w:hint="eastAsia" w:ascii="宋体" w:hAnsi="宋体"/>
          <w:szCs w:val="20"/>
        </w:rPr>
      </w:pPr>
    </w:p>
    <w:p w14:paraId="4CEE36DA">
      <w:pPr>
        <w:spacing w:line="360" w:lineRule="auto"/>
        <w:ind w:firstLine="420"/>
        <w:rPr>
          <w:rFonts w:hint="eastAsia" w:ascii="宋体" w:hAnsi="宋体"/>
          <w:szCs w:val="20"/>
        </w:rPr>
      </w:pPr>
    </w:p>
    <w:p w14:paraId="69BB370A">
      <w:pPr>
        <w:rPr>
          <w:rFonts w:hint="eastAsia" w:ascii="黑体" w:hAnsi="黑体" w:eastAsia="黑体"/>
          <w:sz w:val="32"/>
          <w:szCs w:val="32"/>
        </w:rPr>
      </w:pPr>
    </w:p>
    <w:p w14:paraId="4E3B5F69">
      <w:pPr>
        <w:rPr>
          <w:rFonts w:hint="eastAsia" w:ascii="黑体" w:hAnsi="黑体" w:eastAsia="黑体"/>
          <w:i/>
          <w:sz w:val="32"/>
          <w:szCs w:val="32"/>
          <w:u w:val="single"/>
        </w:rPr>
      </w:pPr>
      <w:r>
        <w:rPr>
          <w:rFonts w:hint="eastAsia" w:ascii="黑体" w:hAnsi="黑体" w:eastAsia="黑体"/>
          <w:sz w:val="32"/>
          <w:szCs w:val="32"/>
        </w:rPr>
        <w:t>二、满足特定资格要求的证明文件</w:t>
      </w:r>
    </w:p>
    <w:p w14:paraId="56C824BF">
      <w:pPr>
        <w:tabs>
          <w:tab w:val="left" w:pos="360"/>
        </w:tabs>
        <w:ind w:firstLine="480"/>
        <w:rPr>
          <w:sz w:val="24"/>
          <w:szCs w:val="24"/>
        </w:rPr>
      </w:pPr>
      <w:r>
        <w:rPr>
          <w:rFonts w:hint="eastAsia"/>
          <w:sz w:val="24"/>
          <w:szCs w:val="24"/>
        </w:rPr>
        <w:t>本项目申请人的特定资格要求中要求提供的材料。</w:t>
      </w:r>
    </w:p>
    <w:p w14:paraId="573698EA">
      <w:pPr>
        <w:rPr>
          <w:rFonts w:hint="eastAsia" w:ascii="黑体" w:hAnsi="黑体" w:eastAsia="黑体"/>
          <w:i/>
          <w:sz w:val="32"/>
          <w:szCs w:val="32"/>
          <w:u w:val="single"/>
        </w:rPr>
      </w:pPr>
    </w:p>
    <w:p w14:paraId="64952791">
      <w:pPr>
        <w:rPr>
          <w:rFonts w:ascii="Arial" w:hAnsi="Arial" w:eastAsia="Arial" w:cs="Arial"/>
          <w:szCs w:val="21"/>
        </w:rPr>
      </w:pPr>
    </w:p>
    <w:p w14:paraId="491BC85B"/>
    <w:p w14:paraId="49E22D5D">
      <w:pPr>
        <w:rPr>
          <w:rFonts w:hint="eastAsia" w:ascii="黑体" w:hAnsi="黑体" w:eastAsia="黑体"/>
          <w:i/>
          <w:sz w:val="32"/>
          <w:szCs w:val="32"/>
          <w:u w:val="single"/>
        </w:rPr>
      </w:pPr>
    </w:p>
    <w:p w14:paraId="04F32E9E">
      <w:pPr>
        <w:rPr>
          <w:rFonts w:hint="eastAsia" w:ascii="黑体" w:hAnsi="黑体" w:eastAsia="黑体"/>
          <w:i/>
          <w:sz w:val="32"/>
          <w:szCs w:val="32"/>
          <w:u w:val="single"/>
        </w:rPr>
      </w:pPr>
    </w:p>
    <w:p w14:paraId="0050111C">
      <w:pPr>
        <w:rPr>
          <w:rFonts w:hint="eastAsia" w:ascii="黑体" w:hAnsi="黑体" w:eastAsia="黑体"/>
          <w:i/>
          <w:sz w:val="32"/>
          <w:szCs w:val="32"/>
          <w:u w:val="single"/>
        </w:rPr>
      </w:pPr>
    </w:p>
    <w:p w14:paraId="1AAD0B02">
      <w:pPr>
        <w:rPr>
          <w:rFonts w:hint="eastAsia" w:ascii="黑体" w:hAnsi="黑体" w:eastAsia="黑体"/>
          <w:i/>
          <w:sz w:val="32"/>
          <w:szCs w:val="32"/>
          <w:u w:val="single"/>
        </w:rPr>
      </w:pPr>
    </w:p>
    <w:p w14:paraId="7B8C092A">
      <w:pPr>
        <w:spacing w:line="360" w:lineRule="auto"/>
        <w:jc w:val="left"/>
        <w:rPr>
          <w:rFonts w:hint="eastAsia" w:ascii="黑体" w:hAnsi="黑体" w:eastAsia="黑体"/>
          <w:sz w:val="32"/>
          <w:szCs w:val="32"/>
        </w:rPr>
      </w:pPr>
    </w:p>
    <w:p w14:paraId="46489CBB">
      <w:pPr>
        <w:spacing w:line="360" w:lineRule="auto"/>
        <w:jc w:val="left"/>
        <w:rPr>
          <w:rFonts w:hint="eastAsia" w:ascii="黑体" w:hAnsi="黑体" w:eastAsia="黑体"/>
          <w:sz w:val="32"/>
          <w:szCs w:val="32"/>
        </w:rPr>
      </w:pPr>
      <w:r>
        <w:rPr>
          <w:rFonts w:hint="eastAsia" w:ascii="黑体" w:hAnsi="黑体" w:eastAsia="黑体"/>
          <w:sz w:val="32"/>
          <w:szCs w:val="32"/>
        </w:rPr>
        <w:t>三、法人授权书</w:t>
      </w:r>
    </w:p>
    <w:p w14:paraId="6AB18361">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法人授权书</w:t>
      </w:r>
    </w:p>
    <w:p w14:paraId="370A0B16">
      <w:pPr>
        <w:tabs>
          <w:tab w:val="left" w:pos="360"/>
        </w:tabs>
        <w:spacing w:line="420" w:lineRule="exact"/>
        <w:ind w:firstLine="480"/>
        <w:rPr>
          <w:sz w:val="24"/>
          <w:szCs w:val="24"/>
        </w:rPr>
      </w:pPr>
    </w:p>
    <w:p w14:paraId="17582595">
      <w:pPr>
        <w:tabs>
          <w:tab w:val="left" w:pos="360"/>
        </w:tabs>
        <w:spacing w:line="480" w:lineRule="exact"/>
        <w:ind w:firstLine="480"/>
        <w:rPr>
          <w:sz w:val="24"/>
          <w:szCs w:val="24"/>
        </w:rPr>
      </w:pPr>
      <w:r>
        <w:rPr>
          <w:rFonts w:hint="eastAsia"/>
          <w:sz w:val="24"/>
          <w:szCs w:val="24"/>
        </w:rPr>
        <w:t>本授权书声明：</w:t>
      </w:r>
      <w:r>
        <w:rPr>
          <w:rFonts w:hint="eastAsia" w:ascii="宋体" w:hAnsi="宋体" w:cs="宋体"/>
          <w:sz w:val="24"/>
          <w:szCs w:val="24"/>
          <w:u w:val="single"/>
        </w:rPr>
        <w:t xml:space="preserve">            </w:t>
      </w:r>
      <w:r>
        <w:rPr>
          <w:rFonts w:hint="eastAsia"/>
          <w:sz w:val="24"/>
          <w:szCs w:val="24"/>
        </w:rPr>
        <w:t>（投标人名称）授权</w:t>
      </w:r>
      <w:r>
        <w:rPr>
          <w:rFonts w:hint="eastAsia" w:ascii="宋体" w:hAnsi="宋体" w:cs="宋体"/>
          <w:sz w:val="24"/>
          <w:szCs w:val="24"/>
          <w:u w:val="single"/>
        </w:rPr>
        <w:t xml:space="preserve">                 </w:t>
      </w:r>
      <w:r>
        <w:rPr>
          <w:rFonts w:hint="eastAsia"/>
          <w:sz w:val="24"/>
          <w:szCs w:val="24"/>
        </w:rPr>
        <w:t>（被授权人姓名）作为我方参加编号为</w:t>
      </w:r>
      <w:r>
        <w:rPr>
          <w:rFonts w:hint="eastAsia" w:ascii="宋体" w:hAnsi="宋体"/>
          <w:sz w:val="24"/>
          <w:szCs w:val="24"/>
          <w:u w:val="single"/>
        </w:rPr>
        <w:t xml:space="preserve">                              </w:t>
      </w:r>
      <w:r>
        <w:rPr>
          <w:rFonts w:hint="eastAsia"/>
          <w:sz w:val="24"/>
          <w:szCs w:val="24"/>
        </w:rPr>
        <w:t>项目采购活动的合法代理人，以本单位名义全权处理一切与该项目采购有关的事务。</w:t>
      </w:r>
    </w:p>
    <w:p w14:paraId="2BA68FC2">
      <w:pPr>
        <w:tabs>
          <w:tab w:val="left" w:pos="360"/>
        </w:tabs>
        <w:spacing w:line="480" w:lineRule="exact"/>
        <w:ind w:firstLine="480"/>
        <w:rPr>
          <w:sz w:val="24"/>
          <w:szCs w:val="24"/>
        </w:rPr>
      </w:pPr>
      <w:r>
        <w:rPr>
          <w:rFonts w:hint="eastAsia"/>
          <w:sz w:val="24"/>
          <w:szCs w:val="24"/>
        </w:rPr>
        <w:t>本授权书自______年____月____日起生效，特此声明。</w:t>
      </w:r>
    </w:p>
    <w:p w14:paraId="2FE5DC05">
      <w:pPr>
        <w:tabs>
          <w:tab w:val="left" w:pos="360"/>
        </w:tabs>
        <w:spacing w:line="480" w:lineRule="exact"/>
        <w:ind w:firstLine="480"/>
        <w:rPr>
          <w:sz w:val="24"/>
          <w:szCs w:val="24"/>
        </w:rPr>
      </w:pPr>
      <w:r>
        <w:rPr>
          <w:rFonts w:hint="eastAsia"/>
          <w:sz w:val="24"/>
          <w:szCs w:val="24"/>
        </w:rPr>
        <w:t>被授权人身份证号码：</w:t>
      </w:r>
    </w:p>
    <w:p w14:paraId="20367DCA">
      <w:pPr>
        <w:tabs>
          <w:tab w:val="left" w:pos="360"/>
        </w:tabs>
        <w:spacing w:line="480" w:lineRule="exact"/>
        <w:ind w:firstLine="480"/>
        <w:rPr>
          <w:sz w:val="24"/>
          <w:szCs w:val="24"/>
          <w:u w:val="single"/>
        </w:rPr>
      </w:pPr>
      <w:r>
        <w:rPr>
          <w:rFonts w:hint="eastAsia"/>
          <w:sz w:val="24"/>
          <w:szCs w:val="24"/>
        </w:rPr>
        <w:t>被授权人联系电话：（手机）</w:t>
      </w:r>
    </w:p>
    <w:p w14:paraId="65847D48">
      <w:pPr>
        <w:tabs>
          <w:tab w:val="left" w:pos="360"/>
        </w:tabs>
        <w:spacing w:line="480" w:lineRule="exact"/>
        <w:ind w:firstLine="468"/>
        <w:rPr>
          <w:sz w:val="24"/>
          <w:szCs w:val="24"/>
        </w:rPr>
      </w:pPr>
      <w:r>
        <w:rPr>
          <w:rFonts w:hint="eastAsia"/>
          <w:sz w:val="24"/>
          <w:szCs w:val="24"/>
        </w:rPr>
        <w:t>单位名称：</w:t>
      </w:r>
      <w:r>
        <w:rPr>
          <w:rFonts w:hint="eastAsia" w:ascii="宋体" w:hAnsi="宋体" w:cs="宋体"/>
          <w:sz w:val="24"/>
          <w:szCs w:val="24"/>
        </w:rPr>
        <w:t>（加盖电子公章）</w:t>
      </w:r>
    </w:p>
    <w:p w14:paraId="26C71743">
      <w:pPr>
        <w:tabs>
          <w:tab w:val="left" w:pos="360"/>
        </w:tabs>
        <w:spacing w:line="480" w:lineRule="exact"/>
        <w:ind w:firstLine="480"/>
        <w:rPr>
          <w:sz w:val="24"/>
          <w:szCs w:val="24"/>
          <w:u w:val="single"/>
        </w:rPr>
      </w:pPr>
      <w:r>
        <w:rPr>
          <w:rFonts w:hint="eastAsia"/>
          <w:sz w:val="24"/>
          <w:szCs w:val="24"/>
        </w:rPr>
        <w:t>单位地址：</w:t>
      </w:r>
    </w:p>
    <w:p w14:paraId="3ED43297">
      <w:pPr>
        <w:tabs>
          <w:tab w:val="left" w:pos="360"/>
        </w:tabs>
        <w:spacing w:line="480" w:lineRule="exact"/>
        <w:ind w:firstLine="480"/>
        <w:rPr>
          <w:sz w:val="24"/>
          <w:szCs w:val="24"/>
        </w:rPr>
      </w:pPr>
      <w:r>
        <w:rPr>
          <w:rFonts w:hint="eastAsia"/>
          <w:sz w:val="24"/>
          <w:szCs w:val="24"/>
        </w:rPr>
        <w:t>日    期：</w:t>
      </w:r>
      <w:bookmarkStart w:id="179" w:name="_Hlt26671380"/>
      <w:bookmarkEnd w:id="179"/>
      <w:bookmarkStart w:id="180" w:name="_格式3__银行出具的资信证明"/>
      <w:bookmarkEnd w:id="180"/>
      <w:bookmarkStart w:id="181" w:name="_Hlt26955070"/>
      <w:bookmarkEnd w:id="181"/>
    </w:p>
    <w:p w14:paraId="6DA5AF1B">
      <w:pPr>
        <w:ind w:firstLine="420"/>
        <w:rPr>
          <w:i/>
          <w:sz w:val="24"/>
          <w:szCs w:val="24"/>
          <w:u w:val="single"/>
        </w:rPr>
      </w:pPr>
    </w:p>
    <w:p w14:paraId="083BA05D">
      <w:pPr>
        <w:rPr>
          <w:szCs w:val="21"/>
        </w:rPr>
      </w:pPr>
    </w:p>
    <w:p w14:paraId="7283C582">
      <w:pPr>
        <w:spacing w:line="460" w:lineRule="exact"/>
        <w:rPr>
          <w:rFonts w:hint="eastAsia" w:ascii="楷体" w:hAnsi="楷体" w:eastAsia="楷体"/>
          <w:bCs/>
          <w:sz w:val="24"/>
          <w:szCs w:val="24"/>
        </w:rPr>
      </w:pPr>
    </w:p>
    <w:p w14:paraId="443CEF22">
      <w:pPr>
        <w:spacing w:line="460" w:lineRule="exact"/>
        <w:rPr>
          <w:rFonts w:hint="eastAsia" w:ascii="宋体" w:hAnsi="宋体"/>
          <w:bCs/>
          <w:sz w:val="24"/>
        </w:rPr>
      </w:pPr>
    </w:p>
    <w:p w14:paraId="70AEBC32">
      <w:pPr>
        <w:ind w:left="120"/>
        <w:rPr>
          <w:rFonts w:hint="eastAsia" w:ascii="宋体" w:hAnsi="宋体" w:cs="宋体"/>
          <w:bCs/>
          <w:sz w:val="24"/>
          <w:szCs w:val="21"/>
          <w:lang w:val="zh-CN" w:bidi="zh-CN"/>
        </w:rPr>
      </w:pPr>
    </w:p>
    <w:p w14:paraId="7A76C9FD">
      <w:pPr>
        <w:ind w:left="120"/>
        <w:rPr>
          <w:rFonts w:hint="eastAsia" w:ascii="宋体" w:hAnsi="宋体" w:cs="宋体"/>
          <w:bCs/>
          <w:sz w:val="24"/>
          <w:szCs w:val="21"/>
          <w:lang w:val="zh-CN" w:bidi="zh-CN"/>
        </w:rPr>
      </w:pPr>
    </w:p>
    <w:p w14:paraId="3A2FEA9E">
      <w:pPr>
        <w:rPr>
          <w:rFonts w:hint="eastAsia" w:ascii="黑体" w:hAnsi="黑体" w:eastAsia="黑体"/>
          <w:i/>
          <w:sz w:val="32"/>
          <w:szCs w:val="32"/>
          <w:u w:val="single"/>
        </w:rPr>
      </w:pPr>
    </w:p>
    <w:p w14:paraId="5B48850A">
      <w:pPr>
        <w:rPr>
          <w:rFonts w:hint="eastAsia" w:ascii="黑体" w:hAnsi="黑体" w:eastAsia="黑体"/>
          <w:i/>
          <w:sz w:val="32"/>
          <w:szCs w:val="32"/>
          <w:u w:val="single"/>
        </w:rPr>
      </w:pPr>
    </w:p>
    <w:p w14:paraId="0824C214">
      <w:pPr>
        <w:rPr>
          <w:rFonts w:hint="eastAsia" w:ascii="黑体" w:hAnsi="黑体" w:eastAsia="黑体"/>
          <w:i/>
          <w:sz w:val="32"/>
          <w:szCs w:val="32"/>
          <w:u w:val="single"/>
        </w:rPr>
      </w:pPr>
    </w:p>
    <w:p w14:paraId="05362CE5">
      <w:pPr>
        <w:rPr>
          <w:rFonts w:hint="eastAsia" w:ascii="黑体" w:hAnsi="黑体" w:eastAsia="黑体"/>
          <w:i/>
          <w:sz w:val="32"/>
          <w:szCs w:val="32"/>
          <w:u w:val="single"/>
        </w:rPr>
      </w:pPr>
    </w:p>
    <w:p w14:paraId="0A650671">
      <w:pPr>
        <w:spacing w:line="360" w:lineRule="auto"/>
        <w:jc w:val="left"/>
        <w:rPr>
          <w:rFonts w:hint="eastAsia" w:ascii="黑体" w:hAnsi="黑体" w:eastAsia="黑体"/>
          <w:sz w:val="32"/>
          <w:szCs w:val="32"/>
        </w:rPr>
      </w:pPr>
      <w:r>
        <w:rPr>
          <w:rFonts w:hint="eastAsia" w:ascii="黑体" w:hAnsi="黑体" w:eastAsia="黑体"/>
          <w:sz w:val="32"/>
          <w:szCs w:val="32"/>
        </w:rPr>
        <w:t>四、投标函</w:t>
      </w:r>
    </w:p>
    <w:p w14:paraId="60B4C7D5">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投标函</w:t>
      </w:r>
    </w:p>
    <w:p w14:paraId="12632BB8">
      <w:pPr>
        <w:spacing w:line="420" w:lineRule="exact"/>
        <w:jc w:val="left"/>
        <w:rPr>
          <w:rFonts w:hint="eastAsia" w:ascii="宋体" w:hAnsi="宋体"/>
          <w:sz w:val="24"/>
          <w:szCs w:val="21"/>
        </w:rPr>
      </w:pPr>
      <w:r>
        <w:rPr>
          <w:rFonts w:hint="eastAsia" w:ascii="宋体" w:hAnsi="宋体"/>
          <w:sz w:val="24"/>
          <w:szCs w:val="21"/>
        </w:rPr>
        <w:t>致：南京市公共资源交易中心浦口分中心</w:t>
      </w:r>
    </w:p>
    <w:p w14:paraId="0190F68F">
      <w:pPr>
        <w:spacing w:line="420" w:lineRule="exact"/>
        <w:ind w:firstLine="480"/>
        <w:jc w:val="left"/>
        <w:rPr>
          <w:rFonts w:hint="eastAsia" w:ascii="宋体" w:hAnsi="宋体"/>
          <w:sz w:val="24"/>
          <w:szCs w:val="21"/>
        </w:rPr>
      </w:pPr>
      <w:r>
        <w:rPr>
          <w:rFonts w:hint="eastAsia" w:ascii="宋体" w:hAnsi="宋体"/>
          <w:sz w:val="24"/>
          <w:szCs w:val="21"/>
        </w:rPr>
        <w:t>根据贵方编号为</w:t>
      </w:r>
      <w:r>
        <w:rPr>
          <w:rFonts w:hint="eastAsia" w:ascii="宋体" w:hAnsi="宋体"/>
          <w:sz w:val="24"/>
          <w:szCs w:val="24"/>
          <w:u w:val="single"/>
        </w:rPr>
        <w:t xml:space="preserve">                             </w:t>
      </w:r>
      <w:r>
        <w:rPr>
          <w:rFonts w:hint="eastAsia" w:ascii="宋体" w:hAnsi="宋体"/>
          <w:sz w:val="24"/>
          <w:szCs w:val="24"/>
        </w:rPr>
        <w:t>的</w:t>
      </w:r>
      <w:r>
        <w:rPr>
          <w:rFonts w:hint="eastAsia" w:ascii="宋体" w:hAnsi="宋体"/>
          <w:sz w:val="24"/>
          <w:szCs w:val="21"/>
        </w:rPr>
        <w:t>项目招标文件，我方正式提</w:t>
      </w:r>
      <w:r>
        <w:rPr>
          <w:rFonts w:hint="eastAsia" w:ascii="宋体" w:hAnsi="宋体" w:cs="宋体"/>
          <w:sz w:val="24"/>
          <w:szCs w:val="24"/>
        </w:rPr>
        <w:t>交投标函，</w:t>
      </w:r>
      <w:r>
        <w:rPr>
          <w:rFonts w:hint="eastAsia" w:ascii="宋体" w:hAnsi="宋体"/>
          <w:sz w:val="24"/>
          <w:szCs w:val="21"/>
        </w:rPr>
        <w:t>并宣布同意如下内容：</w:t>
      </w:r>
    </w:p>
    <w:p w14:paraId="314F6EB8">
      <w:pPr>
        <w:spacing w:line="420" w:lineRule="exact"/>
        <w:ind w:firstLine="480"/>
        <w:jc w:val="left"/>
        <w:rPr>
          <w:rFonts w:hint="eastAsia" w:ascii="宋体" w:hAnsi="宋体"/>
          <w:sz w:val="24"/>
          <w:szCs w:val="21"/>
        </w:rPr>
      </w:pPr>
      <w:r>
        <w:rPr>
          <w:rFonts w:hint="eastAsia" w:ascii="宋体" w:hAnsi="宋体"/>
          <w:sz w:val="24"/>
          <w:szCs w:val="21"/>
        </w:rPr>
        <w:t>1.按招标文件规定的各项要求，向买方提供所需服务（包含与服务相关的货物）。</w:t>
      </w:r>
    </w:p>
    <w:p w14:paraId="4F57471C">
      <w:pPr>
        <w:spacing w:line="420" w:lineRule="exact"/>
        <w:ind w:firstLine="480"/>
        <w:jc w:val="left"/>
        <w:rPr>
          <w:rFonts w:hint="eastAsia" w:ascii="宋体" w:hAnsi="宋体"/>
          <w:sz w:val="24"/>
          <w:szCs w:val="21"/>
        </w:rPr>
      </w:pPr>
      <w:r>
        <w:rPr>
          <w:rFonts w:hint="eastAsia" w:ascii="宋体" w:hAnsi="宋体"/>
          <w:sz w:val="24"/>
          <w:szCs w:val="21"/>
        </w:rPr>
        <w:t>2.我们完全理解贵方不一定将合同授予最低报价的投标人。</w:t>
      </w:r>
    </w:p>
    <w:p w14:paraId="624FE056">
      <w:pPr>
        <w:spacing w:line="420" w:lineRule="exact"/>
        <w:ind w:firstLine="480"/>
        <w:jc w:val="left"/>
        <w:rPr>
          <w:rFonts w:hint="eastAsia"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2D5E3FA0">
      <w:pPr>
        <w:spacing w:line="420" w:lineRule="exact"/>
        <w:ind w:firstLine="480"/>
        <w:jc w:val="left"/>
        <w:rPr>
          <w:rFonts w:hint="eastAsia"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13BBA4AF">
      <w:pPr>
        <w:spacing w:line="420" w:lineRule="exact"/>
        <w:ind w:firstLine="480"/>
        <w:jc w:val="left"/>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20A992F6">
      <w:pPr>
        <w:spacing w:line="420" w:lineRule="exact"/>
        <w:ind w:firstLine="480"/>
        <w:jc w:val="left"/>
        <w:rPr>
          <w:rFonts w:hint="eastAsia"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2477A27D">
      <w:pPr>
        <w:spacing w:line="420" w:lineRule="exact"/>
        <w:ind w:firstLine="480"/>
        <w:jc w:val="left"/>
        <w:rPr>
          <w:rFonts w:hint="eastAsia" w:ascii="宋体" w:hAnsi="宋体"/>
          <w:sz w:val="24"/>
          <w:szCs w:val="24"/>
        </w:rPr>
      </w:pPr>
      <w:r>
        <w:rPr>
          <w:rFonts w:hint="eastAsia" w:ascii="宋体" w:hAnsi="宋体"/>
          <w:sz w:val="24"/>
          <w:szCs w:val="24"/>
        </w:rPr>
        <w:t>7.我方为：</w:t>
      </w:r>
      <w:r>
        <w:rPr>
          <w:rFonts w:ascii="Wingdings" w:hAnsi="Wingdings" w:eastAsia="Wingdings" w:cs="Wingdings"/>
          <w:sz w:val="24"/>
          <w:szCs w:val="24"/>
        </w:rPr>
        <w:t></w:t>
      </w:r>
      <w:r>
        <w:rPr>
          <w:rFonts w:hint="eastAsia" w:ascii="宋体" w:hAnsi="宋体"/>
          <w:sz w:val="24"/>
          <w:szCs w:val="24"/>
        </w:rPr>
        <w:t xml:space="preserve">大型企业 </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微型企业（在对应</w:t>
      </w:r>
      <w:r>
        <w:rPr>
          <w:rFonts w:ascii="Wingdings" w:hAnsi="Wingdings" w:eastAsia="Wingdings" w:cs="Wingdings"/>
          <w:sz w:val="24"/>
          <w:szCs w:val="24"/>
        </w:rPr>
        <w:t></w:t>
      </w:r>
      <w:r>
        <w:rPr>
          <w:rFonts w:hint="eastAsia" w:ascii="宋体" w:hAnsi="宋体" w:cs="宋体"/>
          <w:sz w:val="24"/>
          <w:szCs w:val="24"/>
        </w:rPr>
        <w:t>内</w:t>
      </w:r>
      <w:r>
        <w:rPr>
          <w:rFonts w:hint="eastAsia" w:ascii="宋体" w:hAnsi="宋体"/>
          <w:sz w:val="24"/>
          <w:szCs w:val="24"/>
          <w:lang w:val="zh-CN"/>
        </w:rPr>
        <w:t>打</w:t>
      </w:r>
      <w:r>
        <w:rPr>
          <w:rFonts w:hint="eastAsia" w:ascii="宋体" w:hAnsi="宋体" w:cs="Verdana"/>
          <w:sz w:val="24"/>
          <w:szCs w:val="24"/>
          <w:lang w:val="zh-CN"/>
        </w:rPr>
        <w:t>“√”</w:t>
      </w:r>
      <w:r>
        <w:rPr>
          <w:rFonts w:hint="eastAsia" w:ascii="宋体" w:hAnsi="宋体"/>
          <w:sz w:val="24"/>
          <w:szCs w:val="24"/>
        </w:rPr>
        <w:t>）</w:t>
      </w:r>
    </w:p>
    <w:p w14:paraId="1CA154F4">
      <w:pPr>
        <w:spacing w:line="420" w:lineRule="exact"/>
        <w:ind w:firstLine="480"/>
        <w:jc w:val="left"/>
        <w:rPr>
          <w:rFonts w:hint="eastAsia" w:ascii="宋体" w:hAnsi="宋体"/>
          <w:sz w:val="24"/>
          <w:szCs w:val="21"/>
        </w:rPr>
      </w:pPr>
      <w:r>
        <w:rPr>
          <w:rFonts w:hint="eastAsia" w:ascii="宋体" w:hAnsi="宋体"/>
          <w:sz w:val="24"/>
          <w:szCs w:val="21"/>
        </w:rPr>
        <w:t>8.我方与本次投标有关信息</w:t>
      </w:r>
    </w:p>
    <w:p w14:paraId="7444C950">
      <w:pPr>
        <w:spacing w:line="420" w:lineRule="exact"/>
        <w:ind w:firstLine="480"/>
        <w:jc w:val="left"/>
        <w:rPr>
          <w:rFonts w:hint="eastAsia" w:ascii="宋体" w:hAnsi="宋体"/>
          <w:sz w:val="24"/>
          <w:szCs w:val="21"/>
        </w:rPr>
      </w:pPr>
      <w:r>
        <w:rPr>
          <w:rFonts w:hint="eastAsia" w:ascii="宋体" w:hAnsi="宋体"/>
          <w:sz w:val="24"/>
          <w:szCs w:val="21"/>
        </w:rPr>
        <w:t>地  址：</w:t>
      </w:r>
    </w:p>
    <w:p w14:paraId="0DEBF681">
      <w:pPr>
        <w:spacing w:line="420" w:lineRule="exact"/>
        <w:ind w:firstLine="480"/>
        <w:jc w:val="left"/>
        <w:rPr>
          <w:rFonts w:hint="eastAsia" w:ascii="宋体" w:hAnsi="宋体"/>
          <w:sz w:val="24"/>
          <w:szCs w:val="21"/>
        </w:rPr>
      </w:pPr>
      <w:r>
        <w:rPr>
          <w:rFonts w:hint="eastAsia" w:ascii="宋体" w:hAnsi="宋体"/>
          <w:sz w:val="24"/>
          <w:szCs w:val="21"/>
        </w:rPr>
        <w:t>邮  编：</w:t>
      </w:r>
    </w:p>
    <w:p w14:paraId="305C70D5">
      <w:pPr>
        <w:spacing w:line="420" w:lineRule="exact"/>
        <w:ind w:firstLine="480"/>
        <w:jc w:val="left"/>
        <w:rPr>
          <w:rFonts w:hint="eastAsia" w:ascii="宋体" w:hAnsi="宋体"/>
          <w:sz w:val="24"/>
          <w:szCs w:val="21"/>
          <w:u w:val="single"/>
        </w:rPr>
      </w:pPr>
      <w:r>
        <w:rPr>
          <w:rFonts w:hint="eastAsia" w:ascii="宋体" w:hAnsi="宋体"/>
          <w:sz w:val="24"/>
          <w:szCs w:val="21"/>
        </w:rPr>
        <w:t>电  话：</w:t>
      </w:r>
    </w:p>
    <w:p w14:paraId="6561572B">
      <w:pPr>
        <w:spacing w:line="420" w:lineRule="exact"/>
        <w:ind w:firstLine="480"/>
        <w:jc w:val="left"/>
        <w:rPr>
          <w:rFonts w:hint="eastAsia" w:ascii="宋体" w:hAnsi="宋体"/>
          <w:sz w:val="24"/>
          <w:szCs w:val="21"/>
          <w:u w:val="single"/>
        </w:rPr>
      </w:pPr>
      <w:r>
        <w:rPr>
          <w:rFonts w:hint="eastAsia" w:ascii="宋体" w:hAnsi="宋体"/>
          <w:sz w:val="24"/>
          <w:szCs w:val="21"/>
        </w:rPr>
        <w:t>传  真：</w:t>
      </w:r>
    </w:p>
    <w:p w14:paraId="625A0AE0">
      <w:pPr>
        <w:spacing w:line="420" w:lineRule="exact"/>
        <w:ind w:firstLine="480"/>
        <w:jc w:val="left"/>
        <w:rPr>
          <w:rFonts w:hint="eastAsia" w:ascii="宋体" w:hAnsi="宋体"/>
          <w:sz w:val="24"/>
          <w:szCs w:val="21"/>
          <w:u w:val="single"/>
        </w:rPr>
      </w:pPr>
      <w:r>
        <w:rPr>
          <w:rFonts w:hint="eastAsia" w:ascii="宋体" w:hAnsi="宋体"/>
          <w:sz w:val="24"/>
          <w:szCs w:val="21"/>
        </w:rPr>
        <w:t>开户行：</w:t>
      </w:r>
    </w:p>
    <w:p w14:paraId="33600FB0">
      <w:pPr>
        <w:spacing w:line="420" w:lineRule="exact"/>
        <w:ind w:firstLine="480"/>
        <w:jc w:val="left"/>
        <w:rPr>
          <w:rFonts w:hint="eastAsia" w:ascii="宋体" w:hAnsi="宋体"/>
          <w:sz w:val="24"/>
          <w:szCs w:val="21"/>
          <w:u w:val="single"/>
        </w:rPr>
      </w:pPr>
      <w:r>
        <w:rPr>
          <w:rFonts w:hint="eastAsia" w:ascii="宋体" w:hAnsi="宋体"/>
          <w:sz w:val="24"/>
          <w:szCs w:val="21"/>
        </w:rPr>
        <w:t>账  号：</w:t>
      </w:r>
    </w:p>
    <w:p w14:paraId="0746A463">
      <w:pPr>
        <w:spacing w:line="560" w:lineRule="exact"/>
        <w:ind w:right="180" w:firstLine="480"/>
        <w:rPr>
          <w:rFonts w:hint="eastAsia" w:ascii="宋体" w:hAnsi="宋体"/>
          <w:sz w:val="24"/>
          <w:szCs w:val="24"/>
        </w:rPr>
      </w:pPr>
      <w:r>
        <w:rPr>
          <w:rFonts w:hint="eastAsia" w:ascii="宋体" w:hAnsi="宋体"/>
          <w:sz w:val="24"/>
          <w:szCs w:val="24"/>
        </w:rPr>
        <w:t>投标人名称：（加盖电子公章）</w:t>
      </w:r>
    </w:p>
    <w:p w14:paraId="3C1D2E73">
      <w:pPr>
        <w:spacing w:line="420" w:lineRule="exact"/>
        <w:ind w:firstLine="480"/>
        <w:jc w:val="left"/>
        <w:rPr>
          <w:rFonts w:hint="eastAsia" w:ascii="宋体" w:hAnsi="宋体"/>
          <w:sz w:val="24"/>
          <w:szCs w:val="21"/>
        </w:rPr>
      </w:pPr>
      <w:r>
        <w:rPr>
          <w:rFonts w:hint="eastAsia" w:ascii="宋体" w:hAnsi="宋体"/>
          <w:sz w:val="24"/>
          <w:szCs w:val="21"/>
        </w:rPr>
        <w:t>日  期：</w:t>
      </w:r>
    </w:p>
    <w:p w14:paraId="468BCC5E">
      <w:pPr>
        <w:spacing w:line="420" w:lineRule="exact"/>
        <w:ind w:left="420" w:firstLine="480"/>
        <w:jc w:val="left"/>
        <w:rPr>
          <w:rFonts w:hint="eastAsia" w:ascii="宋体" w:hAnsi="宋体"/>
          <w:sz w:val="24"/>
          <w:szCs w:val="21"/>
        </w:rPr>
      </w:pPr>
    </w:p>
    <w:p w14:paraId="7C2BFCC6">
      <w:pPr>
        <w:spacing w:line="560" w:lineRule="exact"/>
        <w:ind w:firstLine="240"/>
        <w:jc w:val="center"/>
        <w:rPr>
          <w:rFonts w:hint="eastAsia" w:ascii="宋体" w:hAnsi="宋体"/>
          <w:bCs/>
          <w:sz w:val="24"/>
        </w:rPr>
      </w:pPr>
    </w:p>
    <w:p w14:paraId="3E8D34D6">
      <w:pPr>
        <w:spacing w:line="560" w:lineRule="exact"/>
        <w:ind w:firstLine="240"/>
        <w:jc w:val="center"/>
        <w:rPr>
          <w:rFonts w:hint="eastAsia" w:ascii="宋体" w:hAnsi="宋体"/>
          <w:bCs/>
          <w:sz w:val="24"/>
        </w:rPr>
      </w:pPr>
    </w:p>
    <w:p w14:paraId="4A30C7CA">
      <w:pPr>
        <w:rPr>
          <w:rFonts w:hint="eastAsia" w:ascii="黑体" w:hAnsi="黑体" w:eastAsia="黑体"/>
          <w:i/>
          <w:sz w:val="32"/>
          <w:szCs w:val="32"/>
          <w:u w:val="single"/>
        </w:rPr>
      </w:pPr>
    </w:p>
    <w:p w14:paraId="4C6D6640">
      <w:pPr>
        <w:spacing w:line="360" w:lineRule="auto"/>
        <w:jc w:val="left"/>
        <w:rPr>
          <w:rFonts w:hint="eastAsia" w:ascii="黑体" w:hAnsi="黑体" w:eastAsia="黑体"/>
          <w:sz w:val="32"/>
          <w:szCs w:val="32"/>
        </w:rPr>
      </w:pPr>
    </w:p>
    <w:p w14:paraId="1BF8853C">
      <w:pPr>
        <w:rPr>
          <w:rFonts w:hint="eastAsia" w:ascii="黑体" w:hAnsi="黑体" w:eastAsia="黑体"/>
          <w:sz w:val="32"/>
          <w:szCs w:val="32"/>
        </w:rPr>
      </w:pPr>
    </w:p>
    <w:p w14:paraId="281C1C6D">
      <w:pPr>
        <w:spacing w:line="360" w:lineRule="auto"/>
        <w:jc w:val="left"/>
        <w:rPr>
          <w:rFonts w:hint="eastAsia" w:ascii="黑体" w:hAnsi="黑体" w:eastAsia="黑体"/>
          <w:sz w:val="32"/>
          <w:szCs w:val="32"/>
        </w:rPr>
      </w:pPr>
      <w:r>
        <w:rPr>
          <w:rFonts w:hint="eastAsia" w:ascii="黑体" w:hAnsi="黑体" w:eastAsia="黑体"/>
          <w:sz w:val="32"/>
          <w:szCs w:val="32"/>
        </w:rPr>
        <w:t>五、开标一览表</w:t>
      </w:r>
    </w:p>
    <w:p w14:paraId="597B3BF7">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开标一览表</w:t>
      </w:r>
    </w:p>
    <w:p w14:paraId="67B85FAD">
      <w:pPr>
        <w:spacing w:line="480" w:lineRule="auto"/>
        <w:rPr>
          <w:rFonts w:hint="eastAsia" w:ascii="宋体" w:hAnsi="宋体"/>
          <w:sz w:val="24"/>
          <w:szCs w:val="24"/>
        </w:rPr>
      </w:pPr>
      <w:r>
        <w:rPr>
          <w:rFonts w:hint="eastAsia" w:ascii="宋体" w:hAnsi="宋体"/>
          <w:sz w:val="24"/>
          <w:szCs w:val="24"/>
        </w:rPr>
        <w:t>投标人名称：（加盖电子公章）</w:t>
      </w:r>
    </w:p>
    <w:p w14:paraId="273B4DBC">
      <w:pPr>
        <w:spacing w:line="480" w:lineRule="auto"/>
        <w:rPr>
          <w:sz w:val="24"/>
          <w:szCs w:val="24"/>
        </w:rPr>
      </w:pPr>
      <w:r>
        <w:rPr>
          <w:rFonts w:hint="eastAsia" w:ascii="宋体" w:hAnsi="宋体"/>
          <w:sz w:val="24"/>
          <w:szCs w:val="24"/>
        </w:rPr>
        <w:t>项目名称：</w:t>
      </w:r>
    </w:p>
    <w:p w14:paraId="2921EFA1">
      <w:pPr>
        <w:spacing w:line="480" w:lineRule="auto"/>
        <w:rPr>
          <w:rFonts w:hint="eastAsia" w:ascii="宋体" w:hAnsi="宋体"/>
          <w:sz w:val="24"/>
          <w:szCs w:val="24"/>
        </w:rPr>
      </w:pPr>
      <w:r>
        <w:rPr>
          <w:rFonts w:hint="eastAsia" w:ascii="宋体" w:hAnsi="宋体"/>
          <w:sz w:val="24"/>
          <w:szCs w:val="24"/>
        </w:rPr>
        <w:t xml:space="preserve">项目编号：                                   </w:t>
      </w:r>
    </w:p>
    <w:tbl>
      <w:tblPr>
        <w:tblStyle w:val="38"/>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11"/>
      </w:tblGrid>
      <w:tr w14:paraId="1A101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311" w:type="dxa"/>
            <w:vAlign w:val="center"/>
          </w:tcPr>
          <w:p w14:paraId="15F2AE29">
            <w:pPr>
              <w:spacing w:line="480" w:lineRule="auto"/>
              <w:jc w:val="center"/>
              <w:rPr>
                <w:rFonts w:hint="eastAsia" w:ascii="宋体" w:hAnsi="宋体"/>
                <w:sz w:val="24"/>
                <w:szCs w:val="24"/>
              </w:rPr>
            </w:pPr>
            <w:r>
              <w:rPr>
                <w:rFonts w:hint="eastAsia" w:ascii="宋体" w:hAnsi="宋体"/>
                <w:sz w:val="24"/>
                <w:szCs w:val="24"/>
              </w:rPr>
              <w:t>投标总报价</w:t>
            </w:r>
          </w:p>
        </w:tc>
      </w:tr>
      <w:tr w14:paraId="448E8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vAlign w:val="center"/>
          </w:tcPr>
          <w:p w14:paraId="764EB54F">
            <w:pPr>
              <w:spacing w:line="480" w:lineRule="auto"/>
              <w:jc w:val="left"/>
              <w:rPr>
                <w:rFonts w:hint="eastAsia" w:ascii="宋体" w:hAnsi="宋体"/>
                <w:sz w:val="24"/>
                <w:szCs w:val="21"/>
              </w:rPr>
            </w:pPr>
            <w:r>
              <w:rPr>
                <w:rFonts w:hint="eastAsia" w:ascii="宋体" w:hAnsi="宋体" w:cs="宋体"/>
                <w:sz w:val="24"/>
                <w:szCs w:val="24"/>
              </w:rPr>
              <w:t>小写（元）：</w:t>
            </w:r>
          </w:p>
        </w:tc>
      </w:tr>
      <w:tr w14:paraId="3AD90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vAlign w:val="center"/>
          </w:tcPr>
          <w:p w14:paraId="2B4CC2C6">
            <w:pPr>
              <w:spacing w:line="480" w:lineRule="auto"/>
              <w:jc w:val="left"/>
              <w:rPr>
                <w:rFonts w:hint="eastAsia" w:ascii="宋体" w:hAnsi="宋体" w:cs="宋体"/>
                <w:sz w:val="24"/>
                <w:szCs w:val="24"/>
              </w:rPr>
            </w:pPr>
            <w:r>
              <w:rPr>
                <w:rFonts w:hint="eastAsia" w:ascii="宋体" w:hAnsi="宋体" w:cs="宋体"/>
                <w:sz w:val="24"/>
                <w:szCs w:val="24"/>
              </w:rPr>
              <w:t>大写（元）：</w:t>
            </w:r>
          </w:p>
        </w:tc>
      </w:tr>
    </w:tbl>
    <w:p w14:paraId="32491532">
      <w:pPr>
        <w:spacing w:line="480" w:lineRule="auto"/>
        <w:rPr>
          <w:rFonts w:hint="eastAsia" w:ascii="宋体" w:hAnsi="宋体"/>
          <w:sz w:val="24"/>
          <w:szCs w:val="24"/>
        </w:rPr>
      </w:pPr>
    </w:p>
    <w:p w14:paraId="38BEF149">
      <w:pPr>
        <w:spacing w:line="480" w:lineRule="auto"/>
        <w:ind w:firstLine="480"/>
        <w:rPr>
          <w:rFonts w:hint="eastAsia" w:ascii="宋体" w:hAnsi="宋体"/>
          <w:sz w:val="24"/>
          <w:szCs w:val="24"/>
        </w:rPr>
      </w:pPr>
      <w:r>
        <w:rPr>
          <w:rFonts w:hint="eastAsia" w:ascii="宋体" w:hAnsi="宋体"/>
          <w:sz w:val="24"/>
          <w:szCs w:val="24"/>
        </w:rPr>
        <w:t xml:space="preserve">                                            日    期：    年    月    日</w:t>
      </w:r>
    </w:p>
    <w:p w14:paraId="103B5A5C">
      <w:pPr>
        <w:pStyle w:val="101"/>
        <w:rPr>
          <w:rFonts w:hint="eastAsia" w:ascii="宋体" w:hAnsi="宋体" w:eastAsia="宋体" w:cs="Times New Roman"/>
          <w:sz w:val="24"/>
          <w:szCs w:val="24"/>
        </w:rPr>
      </w:pPr>
    </w:p>
    <w:p w14:paraId="500630EC">
      <w:pPr>
        <w:rPr>
          <w:rFonts w:hint="eastAsia" w:ascii="宋体" w:hAnsi="宋体"/>
          <w:sz w:val="24"/>
          <w:szCs w:val="24"/>
        </w:rPr>
      </w:pPr>
    </w:p>
    <w:p w14:paraId="188F9BBD">
      <w:pPr>
        <w:pStyle w:val="101"/>
        <w:rPr>
          <w:rFonts w:hint="eastAsia" w:ascii="宋体" w:hAnsi="宋体" w:eastAsia="宋体" w:cs="Times New Roman"/>
          <w:sz w:val="24"/>
          <w:szCs w:val="24"/>
        </w:rPr>
      </w:pPr>
    </w:p>
    <w:p w14:paraId="58565882">
      <w:pPr>
        <w:rPr>
          <w:rFonts w:hint="eastAsia" w:ascii="宋体" w:hAnsi="宋体"/>
          <w:sz w:val="24"/>
          <w:szCs w:val="24"/>
        </w:rPr>
      </w:pPr>
    </w:p>
    <w:p w14:paraId="038E4B92">
      <w:pPr>
        <w:pStyle w:val="101"/>
        <w:rPr>
          <w:rFonts w:hint="eastAsia" w:ascii="宋体" w:hAnsi="宋体" w:eastAsia="宋体" w:cs="Times New Roman"/>
          <w:sz w:val="24"/>
          <w:szCs w:val="24"/>
        </w:rPr>
      </w:pPr>
    </w:p>
    <w:p w14:paraId="04F5D970">
      <w:pPr>
        <w:rPr>
          <w:rFonts w:hint="eastAsia" w:ascii="宋体" w:hAnsi="宋体"/>
          <w:sz w:val="24"/>
          <w:szCs w:val="24"/>
        </w:rPr>
      </w:pPr>
    </w:p>
    <w:p w14:paraId="66A35668">
      <w:pPr>
        <w:pStyle w:val="101"/>
        <w:rPr>
          <w:rFonts w:hint="eastAsia" w:ascii="宋体" w:hAnsi="宋体" w:eastAsia="宋体" w:cs="Times New Roman"/>
          <w:sz w:val="24"/>
          <w:szCs w:val="24"/>
        </w:rPr>
      </w:pPr>
    </w:p>
    <w:p w14:paraId="2336C0E1">
      <w:pPr>
        <w:rPr>
          <w:rFonts w:hint="eastAsia" w:ascii="宋体" w:hAnsi="宋体"/>
          <w:sz w:val="24"/>
          <w:szCs w:val="24"/>
        </w:rPr>
      </w:pPr>
    </w:p>
    <w:p w14:paraId="06923D33">
      <w:pPr>
        <w:pStyle w:val="101"/>
        <w:rPr>
          <w:rFonts w:hint="eastAsia" w:ascii="宋体" w:hAnsi="宋体" w:eastAsia="宋体" w:cs="Times New Roman"/>
          <w:sz w:val="24"/>
          <w:szCs w:val="24"/>
        </w:rPr>
      </w:pPr>
    </w:p>
    <w:p w14:paraId="33428F9D">
      <w:pPr>
        <w:rPr>
          <w:rFonts w:hint="eastAsia" w:ascii="宋体" w:hAnsi="宋体"/>
          <w:sz w:val="24"/>
          <w:szCs w:val="24"/>
        </w:rPr>
      </w:pPr>
    </w:p>
    <w:p w14:paraId="1B8C5BD2">
      <w:pPr>
        <w:pStyle w:val="101"/>
        <w:rPr>
          <w:rFonts w:hint="eastAsia" w:ascii="宋体" w:hAnsi="宋体" w:eastAsia="宋体" w:cs="Times New Roman"/>
          <w:sz w:val="24"/>
          <w:szCs w:val="24"/>
        </w:rPr>
      </w:pPr>
    </w:p>
    <w:p w14:paraId="72AB3C56">
      <w:pPr>
        <w:rPr>
          <w:rFonts w:hint="eastAsia" w:ascii="宋体" w:hAnsi="宋体"/>
          <w:sz w:val="24"/>
          <w:szCs w:val="24"/>
        </w:rPr>
      </w:pPr>
    </w:p>
    <w:p w14:paraId="2E36A029">
      <w:pPr>
        <w:pStyle w:val="101"/>
        <w:rPr>
          <w:rFonts w:hint="eastAsia" w:ascii="宋体" w:hAnsi="宋体" w:eastAsia="宋体" w:cs="Times New Roman"/>
          <w:sz w:val="24"/>
          <w:szCs w:val="24"/>
        </w:rPr>
      </w:pPr>
    </w:p>
    <w:p w14:paraId="00AB148C">
      <w:pPr>
        <w:rPr>
          <w:rFonts w:hint="eastAsia" w:ascii="宋体" w:hAnsi="宋体"/>
          <w:sz w:val="24"/>
          <w:szCs w:val="24"/>
        </w:rPr>
      </w:pPr>
    </w:p>
    <w:p w14:paraId="3E3FF58F">
      <w:pPr>
        <w:pStyle w:val="101"/>
        <w:rPr>
          <w:rFonts w:hint="eastAsia" w:ascii="宋体" w:hAnsi="宋体" w:eastAsia="宋体" w:cs="Times New Roman"/>
          <w:sz w:val="24"/>
          <w:szCs w:val="24"/>
        </w:rPr>
      </w:pPr>
    </w:p>
    <w:p w14:paraId="36BC395B">
      <w:pPr>
        <w:rPr>
          <w:rFonts w:hint="eastAsia" w:ascii="宋体" w:hAnsi="宋体"/>
          <w:sz w:val="24"/>
          <w:szCs w:val="24"/>
        </w:rPr>
      </w:pPr>
    </w:p>
    <w:p w14:paraId="6DF12528">
      <w:pPr>
        <w:pStyle w:val="101"/>
        <w:rPr>
          <w:rFonts w:hint="eastAsia" w:ascii="宋体" w:hAnsi="宋体" w:eastAsia="宋体" w:cs="Times New Roman"/>
          <w:sz w:val="24"/>
          <w:szCs w:val="24"/>
        </w:rPr>
      </w:pPr>
    </w:p>
    <w:p w14:paraId="572B6C36">
      <w:pPr>
        <w:rPr>
          <w:rFonts w:hint="eastAsia" w:ascii="宋体" w:hAnsi="宋体"/>
          <w:sz w:val="24"/>
          <w:szCs w:val="24"/>
        </w:rPr>
      </w:pPr>
    </w:p>
    <w:p w14:paraId="37E3370C">
      <w:pPr>
        <w:pStyle w:val="101"/>
        <w:rPr>
          <w:rFonts w:hint="eastAsia" w:ascii="宋体" w:hAnsi="宋体" w:eastAsia="宋体" w:cs="Times New Roman"/>
          <w:sz w:val="24"/>
          <w:szCs w:val="24"/>
        </w:rPr>
      </w:pPr>
    </w:p>
    <w:p w14:paraId="22C3A2A0">
      <w:pPr>
        <w:rPr>
          <w:rFonts w:hint="eastAsia" w:ascii="宋体" w:hAnsi="宋体"/>
          <w:sz w:val="24"/>
          <w:szCs w:val="24"/>
        </w:rPr>
      </w:pPr>
    </w:p>
    <w:p w14:paraId="464290BE">
      <w:pPr>
        <w:rPr>
          <w:rFonts w:hint="eastAsia" w:ascii="黑体" w:hAnsi="黑体" w:eastAsia="黑体"/>
          <w:sz w:val="32"/>
          <w:szCs w:val="32"/>
        </w:rPr>
      </w:pPr>
      <w:r>
        <w:rPr>
          <w:rFonts w:hint="eastAsia" w:ascii="黑体" w:hAnsi="黑体" w:eastAsia="黑体"/>
          <w:sz w:val="32"/>
          <w:szCs w:val="32"/>
        </w:rPr>
        <w:br w:type="page"/>
      </w:r>
    </w:p>
    <w:p w14:paraId="02B7A0D8">
      <w:pPr>
        <w:spacing w:line="360" w:lineRule="auto"/>
        <w:jc w:val="left"/>
        <w:rPr>
          <w:rFonts w:hint="eastAsia" w:ascii="黑体" w:hAnsi="黑体" w:eastAsia="黑体"/>
          <w:sz w:val="32"/>
          <w:szCs w:val="32"/>
        </w:rPr>
      </w:pPr>
      <w:r>
        <w:rPr>
          <w:rFonts w:hint="eastAsia" w:ascii="黑体" w:hAnsi="黑体" w:eastAsia="黑体"/>
          <w:sz w:val="32"/>
          <w:szCs w:val="32"/>
        </w:rPr>
        <w:t>六、投标报价明细表</w:t>
      </w:r>
    </w:p>
    <w:p w14:paraId="59A22D73">
      <w:pPr>
        <w:spacing w:line="480" w:lineRule="auto"/>
        <w:jc w:val="center"/>
        <w:outlineLvl w:val="1"/>
        <w:rPr>
          <w:rFonts w:hint="eastAsia" w:ascii="黑体" w:hAnsi="黑体" w:eastAsia="黑体" w:cs="黑体"/>
          <w:sz w:val="32"/>
          <w:szCs w:val="32"/>
          <w:highlight w:val="none"/>
        </w:rPr>
      </w:pPr>
      <w:r>
        <w:rPr>
          <w:rFonts w:hint="eastAsia" w:ascii="黑体" w:hAnsi="黑体" w:eastAsia="黑体" w:cs="黑体"/>
          <w:sz w:val="32"/>
          <w:szCs w:val="32"/>
          <w:highlight w:val="none"/>
        </w:rPr>
        <w:t>投标报价明细表</w:t>
      </w:r>
    </w:p>
    <w:p w14:paraId="3DB66A59">
      <w:pPr>
        <w:rPr>
          <w:rFonts w:hint="eastAsia" w:ascii="宋体" w:hAnsi="宋体"/>
          <w:sz w:val="24"/>
          <w:szCs w:val="24"/>
        </w:rPr>
      </w:pPr>
      <w:r>
        <w:rPr>
          <w:rFonts w:hint="eastAsia" w:ascii="宋体" w:hAnsi="宋体"/>
          <w:sz w:val="24"/>
          <w:szCs w:val="24"/>
        </w:rPr>
        <w:t>投标人名称：（加盖电子公章）</w:t>
      </w:r>
    </w:p>
    <w:p w14:paraId="1A1AB373">
      <w:pPr>
        <w:rPr>
          <w:rFonts w:hint="eastAsia" w:ascii="宋体" w:hAnsi="宋体"/>
          <w:sz w:val="24"/>
          <w:szCs w:val="24"/>
        </w:rPr>
      </w:pPr>
      <w:r>
        <w:rPr>
          <w:rFonts w:hint="eastAsia" w:ascii="宋体" w:hAnsi="宋体"/>
          <w:sz w:val="24"/>
          <w:szCs w:val="24"/>
        </w:rPr>
        <w:t>项目名称：</w:t>
      </w:r>
    </w:p>
    <w:p w14:paraId="0D62F176">
      <w:pPr>
        <w:rPr>
          <w:rFonts w:hint="eastAsia" w:ascii="宋体" w:hAnsi="宋体"/>
          <w:sz w:val="24"/>
          <w:szCs w:val="24"/>
        </w:rPr>
      </w:pPr>
      <w:r>
        <w:rPr>
          <w:rFonts w:hint="eastAsia" w:ascii="宋体" w:hAnsi="宋体"/>
          <w:sz w:val="24"/>
          <w:szCs w:val="24"/>
        </w:rPr>
        <w:t>项目编号：</w:t>
      </w:r>
    </w:p>
    <w:p w14:paraId="27D5F590">
      <w:pPr>
        <w:widowControl/>
        <w:spacing w:line="360" w:lineRule="auto"/>
        <w:jc w:val="left"/>
        <w:rPr>
          <w:rFonts w:hint="eastAsia" w:ascii="宋体" w:hAnsi="宋体"/>
          <w:sz w:val="24"/>
          <w:szCs w:val="24"/>
        </w:rPr>
      </w:pPr>
    </w:p>
    <w:tbl>
      <w:tblPr>
        <w:tblStyle w:val="38"/>
        <w:tblW w:w="10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2327"/>
        <w:gridCol w:w="1645"/>
        <w:gridCol w:w="1223"/>
        <w:gridCol w:w="1304"/>
        <w:gridCol w:w="1384"/>
        <w:gridCol w:w="1581"/>
      </w:tblGrid>
      <w:tr w14:paraId="413F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698" w:type="dxa"/>
            <w:vAlign w:val="center"/>
          </w:tcPr>
          <w:p w14:paraId="563A69E8">
            <w:pPr>
              <w:jc w:val="center"/>
              <w:rPr>
                <w:rFonts w:hint="eastAsia" w:ascii="宋体" w:hAnsi="宋体"/>
                <w:sz w:val="22"/>
              </w:rPr>
            </w:pPr>
            <w:r>
              <w:rPr>
                <w:rFonts w:hint="eastAsia" w:ascii="宋体" w:hAnsi="宋体"/>
                <w:sz w:val="22"/>
              </w:rPr>
              <w:t>序号</w:t>
            </w:r>
          </w:p>
        </w:tc>
        <w:tc>
          <w:tcPr>
            <w:tcW w:w="2327" w:type="dxa"/>
            <w:vAlign w:val="center"/>
          </w:tcPr>
          <w:p w14:paraId="19FDC5E5">
            <w:pPr>
              <w:rPr>
                <w:rFonts w:hint="eastAsia" w:ascii="宋体" w:hAnsi="宋体"/>
                <w:sz w:val="22"/>
              </w:rPr>
            </w:pPr>
            <w:r>
              <w:rPr>
                <w:rFonts w:hint="eastAsia" w:ascii="宋体" w:hAnsi="宋体"/>
                <w:sz w:val="22"/>
              </w:rPr>
              <w:t>分项名称</w:t>
            </w:r>
          </w:p>
        </w:tc>
        <w:tc>
          <w:tcPr>
            <w:tcW w:w="1645" w:type="dxa"/>
            <w:vAlign w:val="center"/>
          </w:tcPr>
          <w:p w14:paraId="379DA926">
            <w:pPr>
              <w:rPr>
                <w:rFonts w:hint="eastAsia" w:ascii="宋体" w:hAnsi="宋体"/>
                <w:sz w:val="22"/>
              </w:rPr>
            </w:pPr>
            <w:r>
              <w:rPr>
                <w:rFonts w:hint="eastAsia" w:ascii="宋体" w:hAnsi="宋体"/>
                <w:sz w:val="22"/>
              </w:rPr>
              <w:t>单位</w:t>
            </w:r>
          </w:p>
        </w:tc>
        <w:tc>
          <w:tcPr>
            <w:tcW w:w="1223" w:type="dxa"/>
            <w:vAlign w:val="center"/>
          </w:tcPr>
          <w:p w14:paraId="366EF12B">
            <w:pPr>
              <w:rPr>
                <w:rFonts w:hint="eastAsia" w:ascii="宋体" w:hAnsi="宋体"/>
                <w:sz w:val="22"/>
              </w:rPr>
            </w:pPr>
            <w:r>
              <w:rPr>
                <w:rFonts w:hint="eastAsia" w:ascii="宋体" w:hAnsi="宋体"/>
                <w:sz w:val="22"/>
              </w:rPr>
              <w:t>数量</w:t>
            </w:r>
          </w:p>
        </w:tc>
        <w:tc>
          <w:tcPr>
            <w:tcW w:w="1304" w:type="dxa"/>
            <w:vAlign w:val="center"/>
          </w:tcPr>
          <w:p w14:paraId="5926DAB5">
            <w:pPr>
              <w:rPr>
                <w:rFonts w:hint="eastAsia" w:ascii="宋体" w:hAnsi="宋体"/>
                <w:sz w:val="22"/>
              </w:rPr>
            </w:pPr>
            <w:r>
              <w:rPr>
                <w:rFonts w:hint="eastAsia" w:ascii="宋体" w:hAnsi="宋体"/>
                <w:sz w:val="22"/>
              </w:rPr>
              <w:t>单价（元）</w:t>
            </w:r>
          </w:p>
        </w:tc>
        <w:tc>
          <w:tcPr>
            <w:tcW w:w="1384" w:type="dxa"/>
            <w:vAlign w:val="center"/>
          </w:tcPr>
          <w:p w14:paraId="42A134A9">
            <w:pPr>
              <w:rPr>
                <w:rFonts w:hint="eastAsia" w:ascii="宋体" w:hAnsi="宋体"/>
                <w:sz w:val="22"/>
              </w:rPr>
            </w:pPr>
            <w:r>
              <w:rPr>
                <w:rFonts w:hint="eastAsia" w:ascii="宋体" w:hAnsi="宋体"/>
                <w:sz w:val="22"/>
              </w:rPr>
              <w:t>合价（元）</w:t>
            </w:r>
          </w:p>
        </w:tc>
        <w:tc>
          <w:tcPr>
            <w:tcW w:w="1581" w:type="dxa"/>
            <w:vAlign w:val="center"/>
          </w:tcPr>
          <w:p w14:paraId="3D6E083E">
            <w:pPr>
              <w:rPr>
                <w:rFonts w:hint="eastAsia" w:ascii="宋体" w:hAnsi="宋体"/>
                <w:sz w:val="22"/>
              </w:rPr>
            </w:pPr>
            <w:r>
              <w:rPr>
                <w:rFonts w:hint="eastAsia" w:ascii="宋体" w:hAnsi="宋体"/>
                <w:sz w:val="22"/>
              </w:rPr>
              <w:t>备注</w:t>
            </w:r>
          </w:p>
        </w:tc>
      </w:tr>
      <w:tr w14:paraId="4545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98" w:type="dxa"/>
            <w:vAlign w:val="center"/>
          </w:tcPr>
          <w:p w14:paraId="2ABBBE1B">
            <w:pPr>
              <w:jc w:val="center"/>
              <w:rPr>
                <w:rFonts w:hint="eastAsia" w:ascii="宋体" w:hAnsi="宋体"/>
                <w:sz w:val="22"/>
              </w:rPr>
            </w:pPr>
            <w:r>
              <w:rPr>
                <w:rFonts w:hint="eastAsia" w:ascii="宋体" w:hAnsi="宋体"/>
                <w:sz w:val="22"/>
              </w:rPr>
              <w:t>1</w:t>
            </w:r>
          </w:p>
        </w:tc>
        <w:tc>
          <w:tcPr>
            <w:tcW w:w="2327" w:type="dxa"/>
            <w:vAlign w:val="center"/>
          </w:tcPr>
          <w:p w14:paraId="7F78D970">
            <w:pPr>
              <w:rPr>
                <w:rFonts w:hint="eastAsia" w:ascii="宋体" w:hAnsi="宋体"/>
                <w:sz w:val="22"/>
              </w:rPr>
            </w:pPr>
          </w:p>
        </w:tc>
        <w:tc>
          <w:tcPr>
            <w:tcW w:w="1645" w:type="dxa"/>
            <w:vAlign w:val="center"/>
          </w:tcPr>
          <w:p w14:paraId="5A3A9067">
            <w:pPr>
              <w:rPr>
                <w:rFonts w:hint="eastAsia" w:ascii="宋体" w:hAnsi="宋体"/>
                <w:sz w:val="22"/>
              </w:rPr>
            </w:pPr>
          </w:p>
        </w:tc>
        <w:tc>
          <w:tcPr>
            <w:tcW w:w="1223" w:type="dxa"/>
            <w:vAlign w:val="center"/>
          </w:tcPr>
          <w:p w14:paraId="13C29CDB">
            <w:pPr>
              <w:rPr>
                <w:rFonts w:hint="eastAsia" w:ascii="宋体" w:hAnsi="宋体"/>
                <w:sz w:val="22"/>
              </w:rPr>
            </w:pPr>
          </w:p>
        </w:tc>
        <w:tc>
          <w:tcPr>
            <w:tcW w:w="1304" w:type="dxa"/>
            <w:vAlign w:val="center"/>
          </w:tcPr>
          <w:p w14:paraId="2C084471">
            <w:pPr>
              <w:rPr>
                <w:rFonts w:hint="eastAsia" w:ascii="宋体" w:hAnsi="宋体"/>
                <w:sz w:val="22"/>
              </w:rPr>
            </w:pPr>
          </w:p>
        </w:tc>
        <w:tc>
          <w:tcPr>
            <w:tcW w:w="1384" w:type="dxa"/>
          </w:tcPr>
          <w:p w14:paraId="54367672">
            <w:pPr>
              <w:rPr>
                <w:rFonts w:hint="eastAsia" w:ascii="宋体" w:hAnsi="宋体"/>
                <w:sz w:val="22"/>
              </w:rPr>
            </w:pPr>
          </w:p>
        </w:tc>
        <w:tc>
          <w:tcPr>
            <w:tcW w:w="1581" w:type="dxa"/>
          </w:tcPr>
          <w:p w14:paraId="486AD39F">
            <w:pPr>
              <w:rPr>
                <w:rFonts w:hint="eastAsia" w:ascii="宋体" w:hAnsi="宋体"/>
                <w:sz w:val="22"/>
              </w:rPr>
            </w:pPr>
          </w:p>
        </w:tc>
      </w:tr>
      <w:tr w14:paraId="1044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98" w:type="dxa"/>
            <w:vAlign w:val="center"/>
          </w:tcPr>
          <w:p w14:paraId="1118DA9E">
            <w:pPr>
              <w:jc w:val="center"/>
              <w:rPr>
                <w:rFonts w:hint="eastAsia" w:ascii="宋体" w:hAnsi="宋体"/>
                <w:sz w:val="22"/>
              </w:rPr>
            </w:pPr>
            <w:r>
              <w:rPr>
                <w:rFonts w:hint="eastAsia" w:ascii="宋体" w:hAnsi="宋体"/>
                <w:sz w:val="22"/>
              </w:rPr>
              <w:t>2</w:t>
            </w:r>
          </w:p>
        </w:tc>
        <w:tc>
          <w:tcPr>
            <w:tcW w:w="2327" w:type="dxa"/>
            <w:vAlign w:val="center"/>
          </w:tcPr>
          <w:p w14:paraId="0187A71C">
            <w:pPr>
              <w:rPr>
                <w:rFonts w:hint="eastAsia" w:ascii="宋体" w:hAnsi="宋体"/>
                <w:sz w:val="22"/>
              </w:rPr>
            </w:pPr>
          </w:p>
        </w:tc>
        <w:tc>
          <w:tcPr>
            <w:tcW w:w="1645" w:type="dxa"/>
            <w:vAlign w:val="center"/>
          </w:tcPr>
          <w:p w14:paraId="4C228A21">
            <w:pPr>
              <w:rPr>
                <w:rFonts w:hint="eastAsia" w:ascii="宋体" w:hAnsi="宋体"/>
                <w:sz w:val="22"/>
              </w:rPr>
            </w:pPr>
          </w:p>
        </w:tc>
        <w:tc>
          <w:tcPr>
            <w:tcW w:w="1223" w:type="dxa"/>
            <w:vAlign w:val="center"/>
          </w:tcPr>
          <w:p w14:paraId="6419ED3A">
            <w:pPr>
              <w:rPr>
                <w:rFonts w:hint="eastAsia" w:ascii="宋体" w:hAnsi="宋体"/>
                <w:sz w:val="22"/>
              </w:rPr>
            </w:pPr>
          </w:p>
        </w:tc>
        <w:tc>
          <w:tcPr>
            <w:tcW w:w="1304" w:type="dxa"/>
            <w:vAlign w:val="center"/>
          </w:tcPr>
          <w:p w14:paraId="51AEBC2F">
            <w:pPr>
              <w:rPr>
                <w:rFonts w:hint="eastAsia" w:ascii="宋体" w:hAnsi="宋体"/>
                <w:sz w:val="22"/>
              </w:rPr>
            </w:pPr>
          </w:p>
        </w:tc>
        <w:tc>
          <w:tcPr>
            <w:tcW w:w="1384" w:type="dxa"/>
          </w:tcPr>
          <w:p w14:paraId="3776496A">
            <w:pPr>
              <w:rPr>
                <w:rFonts w:hint="eastAsia" w:ascii="宋体" w:hAnsi="宋体"/>
                <w:sz w:val="22"/>
              </w:rPr>
            </w:pPr>
          </w:p>
        </w:tc>
        <w:tc>
          <w:tcPr>
            <w:tcW w:w="1581" w:type="dxa"/>
          </w:tcPr>
          <w:p w14:paraId="4FEB4864">
            <w:pPr>
              <w:rPr>
                <w:rFonts w:hint="eastAsia" w:ascii="宋体" w:hAnsi="宋体"/>
                <w:sz w:val="22"/>
              </w:rPr>
            </w:pPr>
          </w:p>
        </w:tc>
      </w:tr>
      <w:tr w14:paraId="36B3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98" w:type="dxa"/>
            <w:vAlign w:val="center"/>
          </w:tcPr>
          <w:p w14:paraId="410B727A">
            <w:pPr>
              <w:jc w:val="center"/>
              <w:rPr>
                <w:rFonts w:hint="eastAsia" w:ascii="宋体" w:hAnsi="宋体"/>
                <w:sz w:val="22"/>
              </w:rPr>
            </w:pPr>
            <w:r>
              <w:rPr>
                <w:rFonts w:hint="eastAsia" w:ascii="宋体" w:hAnsi="宋体"/>
                <w:sz w:val="22"/>
              </w:rPr>
              <w:t>3</w:t>
            </w:r>
          </w:p>
        </w:tc>
        <w:tc>
          <w:tcPr>
            <w:tcW w:w="2327" w:type="dxa"/>
            <w:vAlign w:val="center"/>
          </w:tcPr>
          <w:p w14:paraId="6F337D65">
            <w:pPr>
              <w:rPr>
                <w:rFonts w:hint="eastAsia" w:ascii="宋体" w:hAnsi="宋体"/>
                <w:sz w:val="22"/>
              </w:rPr>
            </w:pPr>
          </w:p>
        </w:tc>
        <w:tc>
          <w:tcPr>
            <w:tcW w:w="1645" w:type="dxa"/>
            <w:vAlign w:val="center"/>
          </w:tcPr>
          <w:p w14:paraId="255E8C0C">
            <w:pPr>
              <w:rPr>
                <w:rFonts w:hint="eastAsia" w:ascii="宋体" w:hAnsi="宋体"/>
                <w:sz w:val="22"/>
              </w:rPr>
            </w:pPr>
          </w:p>
        </w:tc>
        <w:tc>
          <w:tcPr>
            <w:tcW w:w="1223" w:type="dxa"/>
            <w:vAlign w:val="center"/>
          </w:tcPr>
          <w:p w14:paraId="372F61AE">
            <w:pPr>
              <w:rPr>
                <w:rFonts w:hint="eastAsia" w:ascii="宋体" w:hAnsi="宋体"/>
                <w:sz w:val="22"/>
              </w:rPr>
            </w:pPr>
          </w:p>
        </w:tc>
        <w:tc>
          <w:tcPr>
            <w:tcW w:w="1304" w:type="dxa"/>
            <w:vAlign w:val="center"/>
          </w:tcPr>
          <w:p w14:paraId="2FC32854">
            <w:pPr>
              <w:rPr>
                <w:rFonts w:hint="eastAsia" w:ascii="宋体" w:hAnsi="宋体"/>
                <w:sz w:val="22"/>
              </w:rPr>
            </w:pPr>
          </w:p>
        </w:tc>
        <w:tc>
          <w:tcPr>
            <w:tcW w:w="1384" w:type="dxa"/>
          </w:tcPr>
          <w:p w14:paraId="6CEEE95E">
            <w:pPr>
              <w:rPr>
                <w:rFonts w:hint="eastAsia" w:ascii="宋体" w:hAnsi="宋体"/>
                <w:sz w:val="22"/>
              </w:rPr>
            </w:pPr>
          </w:p>
        </w:tc>
        <w:tc>
          <w:tcPr>
            <w:tcW w:w="1581" w:type="dxa"/>
          </w:tcPr>
          <w:p w14:paraId="247BA699">
            <w:pPr>
              <w:rPr>
                <w:rFonts w:hint="eastAsia" w:ascii="宋体" w:hAnsi="宋体"/>
                <w:sz w:val="22"/>
              </w:rPr>
            </w:pPr>
          </w:p>
        </w:tc>
      </w:tr>
      <w:tr w14:paraId="7409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98" w:type="dxa"/>
            <w:vAlign w:val="center"/>
          </w:tcPr>
          <w:p w14:paraId="0C474492">
            <w:pPr>
              <w:jc w:val="center"/>
              <w:rPr>
                <w:rFonts w:hint="eastAsia" w:ascii="宋体" w:hAnsi="宋体"/>
                <w:sz w:val="22"/>
              </w:rPr>
            </w:pPr>
            <w:r>
              <w:rPr>
                <w:rFonts w:hint="eastAsia" w:ascii="宋体" w:hAnsi="宋体"/>
                <w:sz w:val="22"/>
              </w:rPr>
              <w:t>....</w:t>
            </w:r>
          </w:p>
        </w:tc>
        <w:tc>
          <w:tcPr>
            <w:tcW w:w="2327" w:type="dxa"/>
            <w:vAlign w:val="center"/>
          </w:tcPr>
          <w:p w14:paraId="251E3FFA">
            <w:pPr>
              <w:rPr>
                <w:rFonts w:hint="eastAsia" w:ascii="宋体" w:hAnsi="宋体"/>
                <w:sz w:val="22"/>
              </w:rPr>
            </w:pPr>
          </w:p>
        </w:tc>
        <w:tc>
          <w:tcPr>
            <w:tcW w:w="1645" w:type="dxa"/>
            <w:vAlign w:val="center"/>
          </w:tcPr>
          <w:p w14:paraId="1489105F">
            <w:pPr>
              <w:rPr>
                <w:rFonts w:hint="eastAsia" w:ascii="宋体" w:hAnsi="宋体"/>
                <w:sz w:val="22"/>
              </w:rPr>
            </w:pPr>
          </w:p>
        </w:tc>
        <w:tc>
          <w:tcPr>
            <w:tcW w:w="1223" w:type="dxa"/>
            <w:vAlign w:val="center"/>
          </w:tcPr>
          <w:p w14:paraId="6945C8FA">
            <w:pPr>
              <w:rPr>
                <w:rFonts w:hint="eastAsia" w:ascii="宋体" w:hAnsi="宋体"/>
                <w:sz w:val="22"/>
              </w:rPr>
            </w:pPr>
          </w:p>
        </w:tc>
        <w:tc>
          <w:tcPr>
            <w:tcW w:w="1304" w:type="dxa"/>
            <w:vAlign w:val="center"/>
          </w:tcPr>
          <w:p w14:paraId="353C0F10">
            <w:pPr>
              <w:rPr>
                <w:rFonts w:hint="eastAsia" w:ascii="宋体" w:hAnsi="宋体"/>
                <w:sz w:val="22"/>
              </w:rPr>
            </w:pPr>
          </w:p>
        </w:tc>
        <w:tc>
          <w:tcPr>
            <w:tcW w:w="1384" w:type="dxa"/>
          </w:tcPr>
          <w:p w14:paraId="5C1AB666">
            <w:pPr>
              <w:rPr>
                <w:rFonts w:hint="eastAsia" w:ascii="宋体" w:hAnsi="宋体"/>
                <w:sz w:val="22"/>
              </w:rPr>
            </w:pPr>
          </w:p>
        </w:tc>
        <w:tc>
          <w:tcPr>
            <w:tcW w:w="1581" w:type="dxa"/>
          </w:tcPr>
          <w:p w14:paraId="07D43BE1">
            <w:pPr>
              <w:rPr>
                <w:rFonts w:hint="eastAsia" w:ascii="宋体" w:hAnsi="宋体"/>
                <w:sz w:val="22"/>
              </w:rPr>
            </w:pPr>
          </w:p>
        </w:tc>
      </w:tr>
      <w:tr w14:paraId="0D83F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98" w:type="dxa"/>
            <w:vAlign w:val="center"/>
          </w:tcPr>
          <w:p w14:paraId="36D1DB00">
            <w:pPr>
              <w:jc w:val="center"/>
              <w:rPr>
                <w:rFonts w:hint="eastAsia" w:ascii="宋体" w:hAnsi="宋体"/>
                <w:sz w:val="22"/>
              </w:rPr>
            </w:pPr>
          </w:p>
        </w:tc>
        <w:tc>
          <w:tcPr>
            <w:tcW w:w="2327" w:type="dxa"/>
            <w:vAlign w:val="center"/>
          </w:tcPr>
          <w:p w14:paraId="2BCB6AA4">
            <w:pPr>
              <w:rPr>
                <w:rFonts w:hint="eastAsia" w:ascii="宋体" w:hAnsi="宋体"/>
                <w:sz w:val="22"/>
              </w:rPr>
            </w:pPr>
            <w:r>
              <w:rPr>
                <w:rFonts w:hint="eastAsia" w:ascii="宋体" w:hAnsi="宋体"/>
                <w:sz w:val="22"/>
              </w:rPr>
              <w:t>考核费用</w:t>
            </w:r>
          </w:p>
        </w:tc>
        <w:tc>
          <w:tcPr>
            <w:tcW w:w="1645" w:type="dxa"/>
            <w:vAlign w:val="center"/>
          </w:tcPr>
          <w:p w14:paraId="35C6CEAD">
            <w:pPr>
              <w:rPr>
                <w:rFonts w:hint="eastAsia" w:ascii="宋体" w:hAnsi="宋体"/>
                <w:sz w:val="22"/>
              </w:rPr>
            </w:pPr>
          </w:p>
        </w:tc>
        <w:tc>
          <w:tcPr>
            <w:tcW w:w="1223" w:type="dxa"/>
            <w:vAlign w:val="center"/>
          </w:tcPr>
          <w:p w14:paraId="26F3860F">
            <w:pPr>
              <w:rPr>
                <w:rFonts w:hint="eastAsia" w:ascii="宋体" w:hAnsi="宋体"/>
                <w:sz w:val="22"/>
              </w:rPr>
            </w:pPr>
          </w:p>
        </w:tc>
        <w:tc>
          <w:tcPr>
            <w:tcW w:w="1304" w:type="dxa"/>
            <w:vAlign w:val="center"/>
          </w:tcPr>
          <w:p w14:paraId="676AC4AA">
            <w:pPr>
              <w:rPr>
                <w:rFonts w:hint="eastAsia" w:ascii="宋体" w:hAnsi="宋体"/>
                <w:sz w:val="22"/>
              </w:rPr>
            </w:pPr>
          </w:p>
        </w:tc>
        <w:tc>
          <w:tcPr>
            <w:tcW w:w="1384" w:type="dxa"/>
          </w:tcPr>
          <w:p w14:paraId="06079816">
            <w:pPr>
              <w:rPr>
                <w:rFonts w:hint="eastAsia" w:ascii="宋体" w:hAnsi="宋体"/>
                <w:sz w:val="22"/>
              </w:rPr>
            </w:pPr>
            <w:r>
              <w:rPr>
                <w:rFonts w:hint="eastAsia" w:ascii="宋体" w:hAnsi="宋体"/>
                <w:sz w:val="22"/>
              </w:rPr>
              <w:t>32万元/年</w:t>
            </w:r>
          </w:p>
        </w:tc>
        <w:tc>
          <w:tcPr>
            <w:tcW w:w="1581" w:type="dxa"/>
          </w:tcPr>
          <w:p w14:paraId="6C622DCD">
            <w:pPr>
              <w:jc w:val="left"/>
              <w:rPr>
                <w:rFonts w:hint="eastAsia" w:ascii="宋体" w:hAnsi="宋体"/>
                <w:sz w:val="22"/>
              </w:rPr>
            </w:pPr>
            <w:r>
              <w:rPr>
                <w:rFonts w:hint="eastAsia" w:ascii="宋体" w:hAnsi="宋体"/>
                <w:sz w:val="22"/>
              </w:rPr>
              <w:t>不可竞争费用</w:t>
            </w:r>
          </w:p>
        </w:tc>
      </w:tr>
      <w:tr w14:paraId="5878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98" w:type="dxa"/>
            <w:vAlign w:val="center"/>
          </w:tcPr>
          <w:p w14:paraId="1AF25646">
            <w:pPr>
              <w:jc w:val="center"/>
              <w:rPr>
                <w:rFonts w:hint="eastAsia" w:ascii="宋体" w:hAnsi="宋体"/>
                <w:sz w:val="22"/>
              </w:rPr>
            </w:pPr>
          </w:p>
        </w:tc>
        <w:tc>
          <w:tcPr>
            <w:tcW w:w="2327" w:type="dxa"/>
            <w:vAlign w:val="center"/>
          </w:tcPr>
          <w:p w14:paraId="5DE486A8">
            <w:pPr>
              <w:rPr>
                <w:rFonts w:hint="eastAsia" w:ascii="宋体" w:hAnsi="宋体"/>
                <w:sz w:val="22"/>
              </w:rPr>
            </w:pPr>
            <w:r>
              <w:rPr>
                <w:rFonts w:hint="eastAsia" w:ascii="宋体" w:hAnsi="宋体"/>
                <w:sz w:val="22"/>
              </w:rPr>
              <w:t>合计</w:t>
            </w:r>
          </w:p>
        </w:tc>
        <w:tc>
          <w:tcPr>
            <w:tcW w:w="1645" w:type="dxa"/>
          </w:tcPr>
          <w:p w14:paraId="230EC2F5">
            <w:pPr>
              <w:rPr>
                <w:rFonts w:hint="eastAsia" w:ascii="宋体" w:hAnsi="宋体"/>
                <w:sz w:val="22"/>
              </w:rPr>
            </w:pPr>
          </w:p>
        </w:tc>
        <w:tc>
          <w:tcPr>
            <w:tcW w:w="1223" w:type="dxa"/>
          </w:tcPr>
          <w:p w14:paraId="085A0860">
            <w:pPr>
              <w:rPr>
                <w:rFonts w:hint="eastAsia" w:ascii="宋体" w:hAnsi="宋体"/>
                <w:sz w:val="22"/>
              </w:rPr>
            </w:pPr>
          </w:p>
        </w:tc>
        <w:tc>
          <w:tcPr>
            <w:tcW w:w="1304" w:type="dxa"/>
          </w:tcPr>
          <w:p w14:paraId="00FFF66A">
            <w:pPr>
              <w:rPr>
                <w:rFonts w:hint="eastAsia" w:ascii="宋体" w:hAnsi="宋体"/>
                <w:sz w:val="22"/>
              </w:rPr>
            </w:pPr>
          </w:p>
        </w:tc>
        <w:tc>
          <w:tcPr>
            <w:tcW w:w="1384" w:type="dxa"/>
          </w:tcPr>
          <w:p w14:paraId="769CE213">
            <w:pPr>
              <w:rPr>
                <w:rFonts w:hint="eastAsia" w:ascii="宋体" w:hAnsi="宋体"/>
                <w:sz w:val="22"/>
              </w:rPr>
            </w:pPr>
          </w:p>
        </w:tc>
        <w:tc>
          <w:tcPr>
            <w:tcW w:w="1581" w:type="dxa"/>
          </w:tcPr>
          <w:p w14:paraId="7B99DB20">
            <w:pPr>
              <w:rPr>
                <w:rFonts w:hint="eastAsia" w:ascii="宋体" w:hAnsi="宋体"/>
                <w:sz w:val="22"/>
              </w:rPr>
            </w:pPr>
          </w:p>
        </w:tc>
      </w:tr>
    </w:tbl>
    <w:p w14:paraId="1C0D8B18">
      <w:pPr>
        <w:widowControl/>
        <w:spacing w:line="360" w:lineRule="auto"/>
        <w:jc w:val="left"/>
        <w:rPr>
          <w:rFonts w:hint="eastAsia" w:ascii="宋体" w:hAnsi="宋体"/>
          <w:sz w:val="24"/>
          <w:szCs w:val="24"/>
        </w:rPr>
      </w:pPr>
    </w:p>
    <w:p w14:paraId="4E9DCF2A">
      <w:pPr>
        <w:widowControl/>
        <w:spacing w:line="360" w:lineRule="auto"/>
        <w:jc w:val="left"/>
        <w:rPr>
          <w:rFonts w:hint="eastAsia" w:ascii="宋体" w:hAnsi="宋体"/>
          <w:sz w:val="24"/>
          <w:szCs w:val="24"/>
        </w:rPr>
      </w:pPr>
    </w:p>
    <w:p w14:paraId="172167FC">
      <w:pPr>
        <w:widowControl/>
        <w:spacing w:line="360" w:lineRule="auto"/>
        <w:jc w:val="left"/>
        <w:rPr>
          <w:rFonts w:hint="eastAsia" w:ascii="宋体" w:hAnsi="宋体"/>
          <w:sz w:val="24"/>
          <w:szCs w:val="24"/>
        </w:rPr>
      </w:pPr>
      <w:r>
        <w:rPr>
          <w:rFonts w:hint="eastAsia" w:ascii="宋体" w:hAnsi="宋体"/>
          <w:sz w:val="24"/>
          <w:szCs w:val="24"/>
        </w:rPr>
        <w:t>日     期：      年    月    日</w:t>
      </w:r>
    </w:p>
    <w:p w14:paraId="779EED55">
      <w:pPr>
        <w:widowControl/>
        <w:spacing w:line="360" w:lineRule="auto"/>
        <w:jc w:val="left"/>
        <w:rPr>
          <w:rFonts w:hint="eastAsia" w:ascii="宋体" w:hAnsi="宋体"/>
          <w:sz w:val="24"/>
          <w:szCs w:val="24"/>
        </w:rPr>
      </w:pPr>
      <w:r>
        <w:rPr>
          <w:rFonts w:hint="eastAsia" w:ascii="宋体" w:hAnsi="宋体"/>
          <w:sz w:val="24"/>
          <w:szCs w:val="24"/>
        </w:rPr>
        <w:t>说明：</w:t>
      </w:r>
    </w:p>
    <w:p w14:paraId="2703DE53">
      <w:pPr>
        <w:widowControl/>
        <w:spacing w:line="360" w:lineRule="auto"/>
        <w:jc w:val="left"/>
        <w:rPr>
          <w:rFonts w:hint="eastAsia" w:ascii="宋体" w:hAnsi="宋体"/>
          <w:bCs/>
          <w:sz w:val="24"/>
          <w:szCs w:val="24"/>
        </w:rPr>
      </w:pPr>
      <w:r>
        <w:rPr>
          <w:rFonts w:hint="eastAsia" w:ascii="宋体" w:hAnsi="宋体"/>
          <w:bCs/>
          <w:sz w:val="24"/>
          <w:szCs w:val="24"/>
        </w:rPr>
        <w:t>注：1.此表为表样，行数可自行添加。</w:t>
      </w:r>
    </w:p>
    <w:p w14:paraId="5A74E726">
      <w:pPr>
        <w:widowControl/>
        <w:spacing w:line="360" w:lineRule="auto"/>
        <w:jc w:val="left"/>
        <w:rPr>
          <w:rFonts w:hint="eastAsia" w:ascii="宋体" w:hAnsi="宋体"/>
          <w:bCs/>
          <w:sz w:val="24"/>
          <w:szCs w:val="24"/>
        </w:rPr>
      </w:pPr>
      <w:r>
        <w:rPr>
          <w:rFonts w:hint="eastAsia" w:ascii="宋体" w:hAnsi="宋体"/>
          <w:bCs/>
          <w:sz w:val="24"/>
          <w:szCs w:val="24"/>
        </w:rPr>
        <w:t>2.供应商必须保证承诺使用小、微型企业参加投标的真实性，如出现虚假响应，一经查实，将按照采购方采购有关法律法规进行处理。</w:t>
      </w:r>
    </w:p>
    <w:p w14:paraId="51D48434">
      <w:pPr>
        <w:widowControl/>
        <w:spacing w:line="360" w:lineRule="auto"/>
        <w:jc w:val="left"/>
        <w:rPr>
          <w:rFonts w:hint="eastAsia" w:ascii="宋体" w:hAnsi="宋体"/>
          <w:bCs/>
          <w:sz w:val="24"/>
          <w:szCs w:val="24"/>
        </w:rPr>
      </w:pPr>
      <w:r>
        <w:rPr>
          <w:rFonts w:hint="eastAsia" w:ascii="宋体" w:hAnsi="宋体"/>
          <w:bCs/>
          <w:sz w:val="24"/>
          <w:szCs w:val="24"/>
        </w:rPr>
        <w:t>3.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p>
    <w:p w14:paraId="60E0B234">
      <w:pPr>
        <w:rPr>
          <w:rFonts w:hint="eastAsia" w:ascii="黑体" w:hAnsi="黑体" w:eastAsia="黑体"/>
          <w:bCs/>
          <w:sz w:val="32"/>
          <w:szCs w:val="32"/>
        </w:rPr>
      </w:pPr>
      <w:r>
        <w:rPr>
          <w:rFonts w:hint="eastAsia" w:ascii="黑体" w:hAnsi="黑体" w:eastAsia="黑体"/>
          <w:bCs/>
          <w:sz w:val="32"/>
          <w:szCs w:val="32"/>
        </w:rPr>
        <w:br w:type="page" w:clear="all"/>
      </w:r>
    </w:p>
    <w:p w14:paraId="272163A3">
      <w:pPr>
        <w:spacing w:line="360" w:lineRule="auto"/>
        <w:jc w:val="left"/>
        <w:rPr>
          <w:rFonts w:hint="eastAsia" w:ascii="黑体" w:hAnsi="黑体" w:eastAsia="黑体"/>
          <w:sz w:val="32"/>
          <w:szCs w:val="32"/>
        </w:rPr>
      </w:pPr>
      <w:r>
        <w:rPr>
          <w:rFonts w:hint="eastAsia" w:ascii="黑体" w:hAnsi="黑体" w:eastAsia="黑体"/>
          <w:sz w:val="32"/>
          <w:szCs w:val="32"/>
        </w:rPr>
        <w:t>七、技术要求响应及偏离表</w:t>
      </w:r>
    </w:p>
    <w:p w14:paraId="46F82986">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技术要求响应及偏离表</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1CD01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3" w:hRule="atLeast"/>
        </w:trPr>
        <w:tc>
          <w:tcPr>
            <w:tcW w:w="748" w:type="dxa"/>
            <w:vAlign w:val="center"/>
          </w:tcPr>
          <w:p w14:paraId="395DD432">
            <w:pPr>
              <w:jc w:val="center"/>
              <w:rPr>
                <w:rFonts w:hint="eastAsia" w:ascii="宋体" w:hAnsi="宋体"/>
                <w:sz w:val="24"/>
                <w:szCs w:val="24"/>
              </w:rPr>
            </w:pPr>
            <w:r>
              <w:rPr>
                <w:rFonts w:hint="eastAsia" w:ascii="宋体" w:hAnsi="宋体"/>
                <w:sz w:val="24"/>
                <w:szCs w:val="24"/>
              </w:rPr>
              <w:t>序号</w:t>
            </w:r>
          </w:p>
        </w:tc>
        <w:tc>
          <w:tcPr>
            <w:tcW w:w="2925" w:type="dxa"/>
            <w:vAlign w:val="center"/>
          </w:tcPr>
          <w:p w14:paraId="5FA245D3">
            <w:pPr>
              <w:jc w:val="center"/>
              <w:rPr>
                <w:rFonts w:hint="eastAsia" w:ascii="宋体" w:hAnsi="宋体"/>
                <w:sz w:val="24"/>
                <w:szCs w:val="24"/>
              </w:rPr>
            </w:pPr>
            <w:r>
              <w:rPr>
                <w:rFonts w:hint="eastAsia" w:ascii="宋体" w:hAnsi="宋体"/>
                <w:sz w:val="24"/>
                <w:szCs w:val="24"/>
              </w:rPr>
              <w:t>招标文件要求</w:t>
            </w:r>
          </w:p>
        </w:tc>
        <w:tc>
          <w:tcPr>
            <w:tcW w:w="2832" w:type="dxa"/>
            <w:vAlign w:val="center"/>
          </w:tcPr>
          <w:p w14:paraId="6F5D8A50">
            <w:pPr>
              <w:jc w:val="center"/>
              <w:rPr>
                <w:rFonts w:hint="eastAsia" w:ascii="宋体" w:hAnsi="宋体"/>
                <w:sz w:val="24"/>
                <w:szCs w:val="24"/>
              </w:rPr>
            </w:pPr>
            <w:r>
              <w:rPr>
                <w:rFonts w:hint="eastAsia" w:ascii="宋体" w:hAnsi="宋体"/>
                <w:sz w:val="24"/>
                <w:szCs w:val="24"/>
              </w:rPr>
              <w:t>投标响应情况</w:t>
            </w:r>
          </w:p>
        </w:tc>
        <w:tc>
          <w:tcPr>
            <w:tcW w:w="3346" w:type="dxa"/>
            <w:vAlign w:val="center"/>
          </w:tcPr>
          <w:p w14:paraId="72901705">
            <w:pPr>
              <w:jc w:val="center"/>
              <w:rPr>
                <w:rFonts w:hint="eastAsia" w:ascii="宋体" w:hAnsi="宋体"/>
                <w:sz w:val="24"/>
                <w:szCs w:val="24"/>
              </w:rPr>
            </w:pPr>
            <w:r>
              <w:rPr>
                <w:rFonts w:hint="eastAsia" w:cs="宋体"/>
                <w:sz w:val="24"/>
                <w:szCs w:val="24"/>
              </w:rPr>
              <w:t>正偏离、无偏离或负偏离</w:t>
            </w:r>
          </w:p>
        </w:tc>
      </w:tr>
      <w:tr w14:paraId="4FBDD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758FAD3C">
            <w:pPr>
              <w:jc w:val="center"/>
              <w:rPr>
                <w:rFonts w:hint="eastAsia" w:ascii="宋体" w:hAnsi="宋体"/>
                <w:sz w:val="24"/>
                <w:szCs w:val="24"/>
              </w:rPr>
            </w:pPr>
          </w:p>
        </w:tc>
        <w:tc>
          <w:tcPr>
            <w:tcW w:w="2925" w:type="dxa"/>
          </w:tcPr>
          <w:p w14:paraId="23F5CB63">
            <w:pPr>
              <w:jc w:val="center"/>
              <w:rPr>
                <w:rFonts w:hint="eastAsia" w:ascii="宋体" w:hAnsi="宋体"/>
                <w:sz w:val="24"/>
                <w:szCs w:val="24"/>
              </w:rPr>
            </w:pPr>
          </w:p>
        </w:tc>
        <w:tc>
          <w:tcPr>
            <w:tcW w:w="2832" w:type="dxa"/>
          </w:tcPr>
          <w:p w14:paraId="278860B8">
            <w:pPr>
              <w:jc w:val="center"/>
              <w:rPr>
                <w:rFonts w:hint="eastAsia" w:ascii="宋体" w:hAnsi="宋体"/>
                <w:sz w:val="24"/>
                <w:szCs w:val="24"/>
              </w:rPr>
            </w:pPr>
          </w:p>
        </w:tc>
        <w:tc>
          <w:tcPr>
            <w:tcW w:w="3346" w:type="dxa"/>
          </w:tcPr>
          <w:p w14:paraId="35F33ED2">
            <w:pPr>
              <w:jc w:val="center"/>
              <w:rPr>
                <w:rFonts w:hint="eastAsia" w:ascii="宋体" w:hAnsi="宋体"/>
                <w:sz w:val="24"/>
                <w:szCs w:val="24"/>
              </w:rPr>
            </w:pPr>
          </w:p>
        </w:tc>
      </w:tr>
      <w:tr w14:paraId="77D59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42276F81">
            <w:pPr>
              <w:jc w:val="center"/>
              <w:rPr>
                <w:rFonts w:hint="eastAsia" w:ascii="宋体" w:hAnsi="宋体"/>
                <w:sz w:val="24"/>
                <w:szCs w:val="24"/>
              </w:rPr>
            </w:pPr>
          </w:p>
        </w:tc>
        <w:tc>
          <w:tcPr>
            <w:tcW w:w="2925" w:type="dxa"/>
          </w:tcPr>
          <w:p w14:paraId="7DED7D81">
            <w:pPr>
              <w:jc w:val="center"/>
              <w:rPr>
                <w:rFonts w:hint="eastAsia" w:ascii="宋体" w:hAnsi="宋体"/>
                <w:sz w:val="24"/>
                <w:szCs w:val="24"/>
              </w:rPr>
            </w:pPr>
          </w:p>
        </w:tc>
        <w:tc>
          <w:tcPr>
            <w:tcW w:w="2832" w:type="dxa"/>
          </w:tcPr>
          <w:p w14:paraId="1AF4AF4F">
            <w:pPr>
              <w:jc w:val="center"/>
              <w:rPr>
                <w:rFonts w:hint="eastAsia" w:ascii="宋体" w:hAnsi="宋体"/>
                <w:sz w:val="24"/>
                <w:szCs w:val="24"/>
              </w:rPr>
            </w:pPr>
          </w:p>
        </w:tc>
        <w:tc>
          <w:tcPr>
            <w:tcW w:w="3346" w:type="dxa"/>
          </w:tcPr>
          <w:p w14:paraId="37F61D7A">
            <w:pPr>
              <w:jc w:val="center"/>
              <w:rPr>
                <w:rFonts w:hint="eastAsia" w:ascii="宋体" w:hAnsi="宋体"/>
                <w:sz w:val="24"/>
                <w:szCs w:val="24"/>
              </w:rPr>
            </w:pPr>
          </w:p>
        </w:tc>
      </w:tr>
      <w:tr w14:paraId="0E90C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584855C4">
            <w:pPr>
              <w:jc w:val="center"/>
              <w:rPr>
                <w:rFonts w:hint="eastAsia" w:ascii="宋体" w:hAnsi="宋体"/>
                <w:sz w:val="24"/>
                <w:szCs w:val="24"/>
              </w:rPr>
            </w:pPr>
          </w:p>
        </w:tc>
        <w:tc>
          <w:tcPr>
            <w:tcW w:w="2925" w:type="dxa"/>
          </w:tcPr>
          <w:p w14:paraId="6A0F365D">
            <w:pPr>
              <w:jc w:val="center"/>
              <w:rPr>
                <w:rFonts w:hint="eastAsia" w:ascii="宋体" w:hAnsi="宋体"/>
                <w:sz w:val="24"/>
                <w:szCs w:val="24"/>
              </w:rPr>
            </w:pPr>
          </w:p>
        </w:tc>
        <w:tc>
          <w:tcPr>
            <w:tcW w:w="2832" w:type="dxa"/>
          </w:tcPr>
          <w:p w14:paraId="64A578C8">
            <w:pPr>
              <w:jc w:val="center"/>
              <w:rPr>
                <w:rFonts w:hint="eastAsia" w:ascii="宋体" w:hAnsi="宋体"/>
                <w:sz w:val="24"/>
                <w:szCs w:val="24"/>
              </w:rPr>
            </w:pPr>
          </w:p>
        </w:tc>
        <w:tc>
          <w:tcPr>
            <w:tcW w:w="3346" w:type="dxa"/>
          </w:tcPr>
          <w:p w14:paraId="3B17792F">
            <w:pPr>
              <w:jc w:val="center"/>
              <w:rPr>
                <w:rFonts w:hint="eastAsia" w:ascii="宋体" w:hAnsi="宋体"/>
                <w:sz w:val="24"/>
                <w:szCs w:val="24"/>
              </w:rPr>
            </w:pPr>
          </w:p>
        </w:tc>
      </w:tr>
      <w:tr w14:paraId="3B81B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62810028">
            <w:pPr>
              <w:jc w:val="center"/>
              <w:rPr>
                <w:rFonts w:hint="eastAsia" w:ascii="宋体" w:hAnsi="宋体"/>
                <w:sz w:val="24"/>
                <w:szCs w:val="24"/>
              </w:rPr>
            </w:pPr>
          </w:p>
        </w:tc>
        <w:tc>
          <w:tcPr>
            <w:tcW w:w="2925" w:type="dxa"/>
          </w:tcPr>
          <w:p w14:paraId="09EFEFD4">
            <w:pPr>
              <w:jc w:val="center"/>
              <w:rPr>
                <w:rFonts w:hint="eastAsia" w:ascii="宋体" w:hAnsi="宋体"/>
                <w:sz w:val="24"/>
                <w:szCs w:val="24"/>
              </w:rPr>
            </w:pPr>
          </w:p>
        </w:tc>
        <w:tc>
          <w:tcPr>
            <w:tcW w:w="2832" w:type="dxa"/>
          </w:tcPr>
          <w:p w14:paraId="54D03DB4">
            <w:pPr>
              <w:jc w:val="center"/>
              <w:rPr>
                <w:rFonts w:hint="eastAsia" w:ascii="宋体" w:hAnsi="宋体"/>
                <w:sz w:val="24"/>
                <w:szCs w:val="24"/>
              </w:rPr>
            </w:pPr>
          </w:p>
        </w:tc>
        <w:tc>
          <w:tcPr>
            <w:tcW w:w="3346" w:type="dxa"/>
          </w:tcPr>
          <w:p w14:paraId="53DC0A3E">
            <w:pPr>
              <w:jc w:val="center"/>
              <w:rPr>
                <w:rFonts w:hint="eastAsia" w:ascii="宋体" w:hAnsi="宋体"/>
                <w:sz w:val="24"/>
                <w:szCs w:val="24"/>
              </w:rPr>
            </w:pPr>
          </w:p>
        </w:tc>
      </w:tr>
      <w:tr w14:paraId="7E546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7B397FC0">
            <w:pPr>
              <w:jc w:val="center"/>
              <w:rPr>
                <w:rFonts w:hint="eastAsia" w:ascii="宋体" w:hAnsi="宋体"/>
                <w:sz w:val="24"/>
                <w:szCs w:val="24"/>
              </w:rPr>
            </w:pPr>
          </w:p>
        </w:tc>
        <w:tc>
          <w:tcPr>
            <w:tcW w:w="2925" w:type="dxa"/>
          </w:tcPr>
          <w:p w14:paraId="67E6D6AB">
            <w:pPr>
              <w:jc w:val="center"/>
              <w:rPr>
                <w:rFonts w:hint="eastAsia" w:ascii="宋体" w:hAnsi="宋体"/>
                <w:sz w:val="24"/>
                <w:szCs w:val="24"/>
              </w:rPr>
            </w:pPr>
          </w:p>
        </w:tc>
        <w:tc>
          <w:tcPr>
            <w:tcW w:w="2832" w:type="dxa"/>
          </w:tcPr>
          <w:p w14:paraId="1DC649F2">
            <w:pPr>
              <w:jc w:val="center"/>
              <w:rPr>
                <w:rFonts w:hint="eastAsia" w:ascii="宋体" w:hAnsi="宋体"/>
                <w:sz w:val="24"/>
                <w:szCs w:val="24"/>
              </w:rPr>
            </w:pPr>
          </w:p>
        </w:tc>
        <w:tc>
          <w:tcPr>
            <w:tcW w:w="3346" w:type="dxa"/>
          </w:tcPr>
          <w:p w14:paraId="5B0F8B00">
            <w:pPr>
              <w:jc w:val="center"/>
              <w:rPr>
                <w:rFonts w:hint="eastAsia" w:ascii="宋体" w:hAnsi="宋体"/>
                <w:sz w:val="24"/>
                <w:szCs w:val="24"/>
              </w:rPr>
            </w:pPr>
          </w:p>
        </w:tc>
      </w:tr>
      <w:tr w14:paraId="362F8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0611B413">
            <w:pPr>
              <w:jc w:val="center"/>
              <w:rPr>
                <w:rFonts w:hint="eastAsia" w:ascii="宋体" w:hAnsi="宋体"/>
                <w:sz w:val="24"/>
                <w:szCs w:val="24"/>
              </w:rPr>
            </w:pPr>
          </w:p>
        </w:tc>
        <w:tc>
          <w:tcPr>
            <w:tcW w:w="2925" w:type="dxa"/>
          </w:tcPr>
          <w:p w14:paraId="7035E117">
            <w:pPr>
              <w:jc w:val="center"/>
              <w:rPr>
                <w:rFonts w:hint="eastAsia" w:ascii="宋体" w:hAnsi="宋体"/>
                <w:sz w:val="24"/>
                <w:szCs w:val="24"/>
              </w:rPr>
            </w:pPr>
          </w:p>
        </w:tc>
        <w:tc>
          <w:tcPr>
            <w:tcW w:w="2832" w:type="dxa"/>
          </w:tcPr>
          <w:p w14:paraId="5E09254B">
            <w:pPr>
              <w:jc w:val="center"/>
              <w:rPr>
                <w:rFonts w:hint="eastAsia" w:ascii="宋体" w:hAnsi="宋体"/>
                <w:sz w:val="24"/>
                <w:szCs w:val="24"/>
              </w:rPr>
            </w:pPr>
          </w:p>
        </w:tc>
        <w:tc>
          <w:tcPr>
            <w:tcW w:w="3346" w:type="dxa"/>
          </w:tcPr>
          <w:p w14:paraId="1FE8847E">
            <w:pPr>
              <w:jc w:val="center"/>
              <w:rPr>
                <w:rFonts w:hint="eastAsia" w:ascii="宋体" w:hAnsi="宋体"/>
                <w:sz w:val="24"/>
                <w:szCs w:val="24"/>
              </w:rPr>
            </w:pPr>
          </w:p>
        </w:tc>
      </w:tr>
      <w:tr w14:paraId="5FA42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5915C965">
            <w:pPr>
              <w:jc w:val="center"/>
              <w:rPr>
                <w:rFonts w:hint="eastAsia" w:ascii="宋体" w:hAnsi="宋体"/>
                <w:sz w:val="24"/>
                <w:szCs w:val="24"/>
              </w:rPr>
            </w:pPr>
          </w:p>
        </w:tc>
        <w:tc>
          <w:tcPr>
            <w:tcW w:w="2925" w:type="dxa"/>
          </w:tcPr>
          <w:p w14:paraId="33DC0A4C">
            <w:pPr>
              <w:jc w:val="center"/>
              <w:rPr>
                <w:rFonts w:hint="eastAsia" w:ascii="宋体" w:hAnsi="宋体"/>
                <w:sz w:val="24"/>
                <w:szCs w:val="24"/>
              </w:rPr>
            </w:pPr>
          </w:p>
        </w:tc>
        <w:tc>
          <w:tcPr>
            <w:tcW w:w="2832" w:type="dxa"/>
          </w:tcPr>
          <w:p w14:paraId="1B83E0F3">
            <w:pPr>
              <w:jc w:val="center"/>
              <w:rPr>
                <w:rFonts w:hint="eastAsia" w:ascii="宋体" w:hAnsi="宋体"/>
                <w:sz w:val="24"/>
                <w:szCs w:val="24"/>
              </w:rPr>
            </w:pPr>
          </w:p>
        </w:tc>
        <w:tc>
          <w:tcPr>
            <w:tcW w:w="3346" w:type="dxa"/>
          </w:tcPr>
          <w:p w14:paraId="2D598DDD">
            <w:pPr>
              <w:jc w:val="center"/>
              <w:rPr>
                <w:rFonts w:hint="eastAsia" w:ascii="宋体" w:hAnsi="宋体"/>
                <w:sz w:val="24"/>
                <w:szCs w:val="24"/>
              </w:rPr>
            </w:pPr>
          </w:p>
        </w:tc>
      </w:tr>
      <w:tr w14:paraId="4F6F8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tcPr>
          <w:p w14:paraId="3811B4E7">
            <w:pPr>
              <w:jc w:val="center"/>
              <w:rPr>
                <w:rFonts w:hint="eastAsia" w:ascii="宋体" w:hAnsi="宋体"/>
                <w:sz w:val="24"/>
                <w:szCs w:val="24"/>
              </w:rPr>
            </w:pPr>
          </w:p>
        </w:tc>
        <w:tc>
          <w:tcPr>
            <w:tcW w:w="2925" w:type="dxa"/>
          </w:tcPr>
          <w:p w14:paraId="1A55D3F8">
            <w:pPr>
              <w:jc w:val="center"/>
              <w:rPr>
                <w:rFonts w:hint="eastAsia" w:ascii="宋体" w:hAnsi="宋体"/>
                <w:sz w:val="24"/>
                <w:szCs w:val="24"/>
              </w:rPr>
            </w:pPr>
          </w:p>
        </w:tc>
        <w:tc>
          <w:tcPr>
            <w:tcW w:w="2832" w:type="dxa"/>
          </w:tcPr>
          <w:p w14:paraId="69B18099">
            <w:pPr>
              <w:jc w:val="center"/>
              <w:rPr>
                <w:rFonts w:hint="eastAsia" w:ascii="宋体" w:hAnsi="宋体"/>
                <w:sz w:val="24"/>
                <w:szCs w:val="24"/>
              </w:rPr>
            </w:pPr>
          </w:p>
        </w:tc>
        <w:tc>
          <w:tcPr>
            <w:tcW w:w="3346" w:type="dxa"/>
          </w:tcPr>
          <w:p w14:paraId="599F4D90">
            <w:pPr>
              <w:jc w:val="center"/>
              <w:rPr>
                <w:rFonts w:hint="eastAsia" w:ascii="宋体" w:hAnsi="宋体"/>
                <w:sz w:val="24"/>
                <w:szCs w:val="24"/>
              </w:rPr>
            </w:pPr>
          </w:p>
        </w:tc>
      </w:tr>
    </w:tbl>
    <w:p w14:paraId="03C047B6">
      <w:pPr>
        <w:widowControl/>
        <w:rPr>
          <w:rFonts w:hint="eastAsia" w:ascii="宋体" w:hAnsi="宋体" w:cs="宋体"/>
          <w:sz w:val="24"/>
          <w:szCs w:val="24"/>
        </w:rPr>
      </w:pPr>
    </w:p>
    <w:p w14:paraId="028BB157">
      <w:pPr>
        <w:spacing w:line="360" w:lineRule="auto"/>
        <w:ind w:right="180" w:firstLine="480"/>
        <w:rPr>
          <w:rFonts w:hint="eastAsia" w:ascii="宋体" w:hAnsi="宋体"/>
          <w:sz w:val="24"/>
          <w:szCs w:val="24"/>
        </w:rPr>
      </w:pPr>
      <w:r>
        <w:rPr>
          <w:rFonts w:hint="eastAsia" w:ascii="宋体" w:hAnsi="宋体"/>
          <w:sz w:val="24"/>
          <w:szCs w:val="24"/>
        </w:rPr>
        <w:t>投标人名称：（加盖电子公章）</w:t>
      </w:r>
    </w:p>
    <w:p w14:paraId="441F0E21">
      <w:pPr>
        <w:rPr>
          <w:rFonts w:hint="eastAsia" w:ascii="宋体" w:hAnsi="宋体"/>
          <w:sz w:val="24"/>
          <w:szCs w:val="24"/>
        </w:rPr>
      </w:pPr>
    </w:p>
    <w:p w14:paraId="766DD251">
      <w:pPr>
        <w:widowControl/>
        <w:spacing w:line="360" w:lineRule="auto"/>
        <w:ind w:firstLine="480"/>
        <w:rPr>
          <w:rFonts w:hint="eastAsia" w:ascii="宋体" w:hAnsi="宋体" w:cs="宋体"/>
          <w:sz w:val="24"/>
          <w:szCs w:val="24"/>
        </w:rPr>
      </w:pPr>
      <w:r>
        <w:rPr>
          <w:rFonts w:ascii="宋体" w:hAnsi="宋体" w:cs="宋体"/>
          <w:sz w:val="24"/>
          <w:szCs w:val="24"/>
        </w:rPr>
        <w:t xml:space="preserve">备注： </w:t>
      </w:r>
    </w:p>
    <w:p w14:paraId="6E2A6575">
      <w:pPr>
        <w:widowControl/>
        <w:spacing w:line="360" w:lineRule="auto"/>
        <w:ind w:firstLine="480"/>
        <w:rPr>
          <w:rFonts w:hint="eastAsia" w:ascii="宋体" w:hAnsi="宋体" w:cs="宋体"/>
          <w:sz w:val="24"/>
          <w:szCs w:val="24"/>
        </w:rPr>
      </w:pPr>
      <w:r>
        <w:rPr>
          <w:rFonts w:hint="eastAsia" w:ascii="宋体" w:hAnsi="宋体" w:cs="宋体"/>
          <w:sz w:val="24"/>
          <w:szCs w:val="24"/>
        </w:rPr>
        <w:t>1.供应商须对招标文件技术要求中的实质性要求（斜体下划线内容或打“★”内容）做出明确响应，否则视为无效投标。</w:t>
      </w:r>
    </w:p>
    <w:p w14:paraId="6B833967">
      <w:pPr>
        <w:widowControl/>
        <w:spacing w:line="360" w:lineRule="auto"/>
        <w:ind w:firstLine="480"/>
        <w:rPr>
          <w:rFonts w:hint="eastAsia" w:ascii="宋体" w:hAnsi="宋体" w:cs="宋体"/>
          <w:sz w:val="24"/>
          <w:szCs w:val="24"/>
        </w:rPr>
      </w:pPr>
      <w:r>
        <w:rPr>
          <w:rFonts w:hint="eastAsia" w:ascii="宋体" w:hAnsi="宋体" w:cs="宋体"/>
          <w:sz w:val="24"/>
          <w:szCs w:val="24"/>
        </w:rPr>
        <w:t>2.行数不够，可自行添加。</w:t>
      </w:r>
    </w:p>
    <w:p w14:paraId="243E2705">
      <w:pPr>
        <w:jc w:val="center"/>
        <w:rPr>
          <w:rFonts w:ascii="黑体" w:hAnsi="Arial" w:eastAsia="黑体"/>
          <w:b/>
          <w:sz w:val="36"/>
        </w:rPr>
      </w:pPr>
    </w:p>
    <w:p w14:paraId="7F6BB55E">
      <w:pPr>
        <w:rPr>
          <w:rFonts w:hint="eastAsia" w:ascii="黑体" w:hAnsi="黑体" w:eastAsia="黑体"/>
          <w:iCs/>
          <w:sz w:val="32"/>
          <w:szCs w:val="32"/>
        </w:rPr>
      </w:pPr>
      <w:bookmarkStart w:id="182" w:name="_Hlt26955054"/>
      <w:bookmarkEnd w:id="182"/>
    </w:p>
    <w:p w14:paraId="6219CD15">
      <w:pPr>
        <w:rPr>
          <w:rFonts w:hint="eastAsia" w:ascii="黑体" w:hAnsi="黑体" w:eastAsia="黑体"/>
          <w:iCs/>
          <w:sz w:val="32"/>
          <w:szCs w:val="32"/>
        </w:rPr>
      </w:pPr>
      <w:r>
        <w:rPr>
          <w:rFonts w:hint="eastAsia" w:ascii="黑体" w:hAnsi="黑体" w:eastAsia="黑体"/>
          <w:iCs/>
          <w:sz w:val="32"/>
          <w:szCs w:val="32"/>
        </w:rPr>
        <w:br w:type="page" w:clear="all"/>
      </w:r>
    </w:p>
    <w:p w14:paraId="12DD9B3D">
      <w:pPr>
        <w:rPr>
          <w:rFonts w:hint="eastAsia" w:ascii="黑体" w:hAnsi="黑体" w:eastAsia="黑体"/>
          <w:iCs/>
          <w:sz w:val="32"/>
          <w:szCs w:val="32"/>
        </w:rPr>
      </w:pPr>
      <w:r>
        <w:rPr>
          <w:rFonts w:hint="eastAsia" w:ascii="黑体" w:hAnsi="黑体" w:eastAsia="黑体"/>
          <w:iCs/>
          <w:sz w:val="32"/>
          <w:szCs w:val="32"/>
        </w:rPr>
        <w:t>八、商务要求响应及偏离表</w:t>
      </w:r>
    </w:p>
    <w:p w14:paraId="5A992942">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商务要求响应及偏离表</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41499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7" w:hRule="atLeast"/>
        </w:trPr>
        <w:tc>
          <w:tcPr>
            <w:tcW w:w="835" w:type="dxa"/>
            <w:vAlign w:val="center"/>
          </w:tcPr>
          <w:p w14:paraId="40D0A85C">
            <w:pPr>
              <w:jc w:val="center"/>
              <w:rPr>
                <w:rFonts w:hint="eastAsia" w:ascii="宋体" w:hAnsi="宋体"/>
                <w:sz w:val="24"/>
                <w:szCs w:val="24"/>
              </w:rPr>
            </w:pPr>
            <w:bookmarkStart w:id="183" w:name="_Hlt26609391"/>
            <w:bookmarkEnd w:id="183"/>
            <w:bookmarkStart w:id="184" w:name="_Hlt26671343"/>
            <w:bookmarkEnd w:id="184"/>
            <w:bookmarkStart w:id="185" w:name="_Hlt26955064"/>
            <w:bookmarkEnd w:id="185"/>
            <w:bookmarkStart w:id="186" w:name="_Hlt24879081"/>
            <w:bookmarkEnd w:id="186"/>
            <w:bookmarkStart w:id="187" w:name="_Hlt26782999"/>
            <w:bookmarkEnd w:id="187"/>
            <w:bookmarkStart w:id="188" w:name="_Hlt26580838"/>
            <w:bookmarkEnd w:id="188"/>
            <w:bookmarkStart w:id="189" w:name="_Hlt26955056"/>
            <w:bookmarkEnd w:id="189"/>
            <w:bookmarkStart w:id="190" w:name="_Hlt26671372"/>
            <w:bookmarkEnd w:id="190"/>
            <w:r>
              <w:rPr>
                <w:rFonts w:hint="eastAsia" w:ascii="宋体" w:hAnsi="宋体"/>
                <w:sz w:val="24"/>
                <w:szCs w:val="24"/>
              </w:rPr>
              <w:t>序号</w:t>
            </w:r>
          </w:p>
        </w:tc>
        <w:tc>
          <w:tcPr>
            <w:tcW w:w="2838" w:type="dxa"/>
            <w:vAlign w:val="center"/>
          </w:tcPr>
          <w:p w14:paraId="1FD7B408">
            <w:pPr>
              <w:jc w:val="center"/>
              <w:rPr>
                <w:rFonts w:hint="eastAsia" w:ascii="宋体" w:hAnsi="宋体"/>
                <w:sz w:val="24"/>
                <w:szCs w:val="24"/>
              </w:rPr>
            </w:pPr>
            <w:r>
              <w:rPr>
                <w:rFonts w:hint="eastAsia" w:ascii="宋体" w:hAnsi="宋体"/>
                <w:sz w:val="24"/>
                <w:szCs w:val="24"/>
              </w:rPr>
              <w:t>招标文件要求</w:t>
            </w:r>
          </w:p>
        </w:tc>
        <w:tc>
          <w:tcPr>
            <w:tcW w:w="2832" w:type="dxa"/>
            <w:vAlign w:val="center"/>
          </w:tcPr>
          <w:p w14:paraId="31224BE2">
            <w:pPr>
              <w:jc w:val="center"/>
              <w:rPr>
                <w:rFonts w:hint="eastAsia" w:ascii="宋体" w:hAnsi="宋体"/>
                <w:sz w:val="24"/>
                <w:szCs w:val="24"/>
              </w:rPr>
            </w:pPr>
            <w:r>
              <w:rPr>
                <w:rFonts w:hint="eastAsia" w:ascii="宋体" w:hAnsi="宋体"/>
                <w:sz w:val="24"/>
                <w:szCs w:val="24"/>
              </w:rPr>
              <w:t>投标响应情况</w:t>
            </w:r>
          </w:p>
        </w:tc>
        <w:tc>
          <w:tcPr>
            <w:tcW w:w="3346" w:type="dxa"/>
            <w:vAlign w:val="center"/>
          </w:tcPr>
          <w:p w14:paraId="0BC5E0B1">
            <w:pPr>
              <w:jc w:val="center"/>
              <w:rPr>
                <w:rFonts w:hint="eastAsia" w:ascii="宋体" w:hAnsi="宋体"/>
                <w:sz w:val="24"/>
                <w:szCs w:val="24"/>
              </w:rPr>
            </w:pPr>
            <w:r>
              <w:rPr>
                <w:rFonts w:hint="eastAsia" w:cs="宋体"/>
                <w:sz w:val="24"/>
                <w:szCs w:val="24"/>
              </w:rPr>
              <w:t>正偏离、无偏离或负偏离</w:t>
            </w:r>
          </w:p>
        </w:tc>
      </w:tr>
      <w:tr w14:paraId="36EE0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3EB18392">
            <w:pPr>
              <w:jc w:val="center"/>
              <w:rPr>
                <w:rFonts w:hint="eastAsia" w:ascii="宋体" w:hAnsi="宋体"/>
                <w:sz w:val="24"/>
                <w:szCs w:val="24"/>
              </w:rPr>
            </w:pPr>
          </w:p>
        </w:tc>
        <w:tc>
          <w:tcPr>
            <w:tcW w:w="2838" w:type="dxa"/>
          </w:tcPr>
          <w:p w14:paraId="3B114A16">
            <w:pPr>
              <w:jc w:val="center"/>
              <w:rPr>
                <w:rFonts w:hint="eastAsia" w:ascii="宋体" w:hAnsi="宋体"/>
                <w:sz w:val="24"/>
                <w:szCs w:val="24"/>
              </w:rPr>
            </w:pPr>
          </w:p>
        </w:tc>
        <w:tc>
          <w:tcPr>
            <w:tcW w:w="2832" w:type="dxa"/>
          </w:tcPr>
          <w:p w14:paraId="215403DD">
            <w:pPr>
              <w:jc w:val="center"/>
              <w:rPr>
                <w:rFonts w:hint="eastAsia" w:ascii="宋体" w:hAnsi="宋体"/>
                <w:sz w:val="24"/>
                <w:szCs w:val="24"/>
              </w:rPr>
            </w:pPr>
          </w:p>
        </w:tc>
        <w:tc>
          <w:tcPr>
            <w:tcW w:w="3346" w:type="dxa"/>
          </w:tcPr>
          <w:p w14:paraId="2F24EEE8">
            <w:pPr>
              <w:jc w:val="center"/>
              <w:rPr>
                <w:rFonts w:hint="eastAsia" w:ascii="宋体" w:hAnsi="宋体"/>
                <w:sz w:val="24"/>
                <w:szCs w:val="24"/>
              </w:rPr>
            </w:pPr>
          </w:p>
        </w:tc>
      </w:tr>
      <w:tr w14:paraId="0180B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64B23003">
            <w:pPr>
              <w:jc w:val="center"/>
              <w:rPr>
                <w:rFonts w:hint="eastAsia" w:ascii="宋体" w:hAnsi="宋体"/>
                <w:sz w:val="24"/>
                <w:szCs w:val="24"/>
              </w:rPr>
            </w:pPr>
          </w:p>
        </w:tc>
        <w:tc>
          <w:tcPr>
            <w:tcW w:w="2838" w:type="dxa"/>
          </w:tcPr>
          <w:p w14:paraId="22E8D00A">
            <w:pPr>
              <w:jc w:val="center"/>
              <w:rPr>
                <w:rFonts w:hint="eastAsia" w:ascii="宋体" w:hAnsi="宋体"/>
                <w:sz w:val="24"/>
                <w:szCs w:val="24"/>
              </w:rPr>
            </w:pPr>
          </w:p>
        </w:tc>
        <w:tc>
          <w:tcPr>
            <w:tcW w:w="2832" w:type="dxa"/>
          </w:tcPr>
          <w:p w14:paraId="5881C727">
            <w:pPr>
              <w:jc w:val="center"/>
              <w:rPr>
                <w:rFonts w:hint="eastAsia" w:ascii="宋体" w:hAnsi="宋体"/>
                <w:sz w:val="24"/>
                <w:szCs w:val="24"/>
              </w:rPr>
            </w:pPr>
          </w:p>
        </w:tc>
        <w:tc>
          <w:tcPr>
            <w:tcW w:w="3346" w:type="dxa"/>
          </w:tcPr>
          <w:p w14:paraId="05C213DD">
            <w:pPr>
              <w:jc w:val="center"/>
              <w:rPr>
                <w:rFonts w:hint="eastAsia" w:ascii="宋体" w:hAnsi="宋体"/>
                <w:sz w:val="24"/>
                <w:szCs w:val="24"/>
              </w:rPr>
            </w:pPr>
          </w:p>
        </w:tc>
      </w:tr>
      <w:tr w14:paraId="6F2E9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4350D619">
            <w:pPr>
              <w:jc w:val="center"/>
              <w:rPr>
                <w:rFonts w:hint="eastAsia" w:ascii="宋体" w:hAnsi="宋体"/>
                <w:sz w:val="24"/>
                <w:szCs w:val="24"/>
              </w:rPr>
            </w:pPr>
          </w:p>
        </w:tc>
        <w:tc>
          <w:tcPr>
            <w:tcW w:w="2838" w:type="dxa"/>
          </w:tcPr>
          <w:p w14:paraId="0F324A7D">
            <w:pPr>
              <w:jc w:val="center"/>
              <w:rPr>
                <w:rFonts w:hint="eastAsia" w:ascii="宋体" w:hAnsi="宋体"/>
                <w:sz w:val="24"/>
                <w:szCs w:val="24"/>
              </w:rPr>
            </w:pPr>
          </w:p>
        </w:tc>
        <w:tc>
          <w:tcPr>
            <w:tcW w:w="2832" w:type="dxa"/>
          </w:tcPr>
          <w:p w14:paraId="17604E57">
            <w:pPr>
              <w:jc w:val="center"/>
              <w:rPr>
                <w:rFonts w:hint="eastAsia" w:ascii="宋体" w:hAnsi="宋体"/>
                <w:sz w:val="24"/>
                <w:szCs w:val="24"/>
              </w:rPr>
            </w:pPr>
          </w:p>
        </w:tc>
        <w:tc>
          <w:tcPr>
            <w:tcW w:w="3346" w:type="dxa"/>
          </w:tcPr>
          <w:p w14:paraId="64AA2A88">
            <w:pPr>
              <w:jc w:val="center"/>
              <w:rPr>
                <w:rFonts w:hint="eastAsia" w:ascii="宋体" w:hAnsi="宋体"/>
                <w:sz w:val="24"/>
                <w:szCs w:val="24"/>
              </w:rPr>
            </w:pPr>
          </w:p>
        </w:tc>
      </w:tr>
      <w:tr w14:paraId="58D64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69368123">
            <w:pPr>
              <w:jc w:val="center"/>
              <w:rPr>
                <w:rFonts w:hint="eastAsia" w:ascii="宋体" w:hAnsi="宋体"/>
                <w:sz w:val="24"/>
                <w:szCs w:val="24"/>
              </w:rPr>
            </w:pPr>
          </w:p>
        </w:tc>
        <w:tc>
          <w:tcPr>
            <w:tcW w:w="2838" w:type="dxa"/>
          </w:tcPr>
          <w:p w14:paraId="6B0512A0">
            <w:pPr>
              <w:jc w:val="center"/>
              <w:rPr>
                <w:rFonts w:hint="eastAsia" w:ascii="宋体" w:hAnsi="宋体"/>
                <w:sz w:val="24"/>
                <w:szCs w:val="24"/>
              </w:rPr>
            </w:pPr>
          </w:p>
        </w:tc>
        <w:tc>
          <w:tcPr>
            <w:tcW w:w="2832" w:type="dxa"/>
          </w:tcPr>
          <w:p w14:paraId="3CA86814">
            <w:pPr>
              <w:jc w:val="center"/>
              <w:rPr>
                <w:rFonts w:hint="eastAsia" w:ascii="宋体" w:hAnsi="宋体"/>
                <w:sz w:val="24"/>
                <w:szCs w:val="24"/>
              </w:rPr>
            </w:pPr>
          </w:p>
        </w:tc>
        <w:tc>
          <w:tcPr>
            <w:tcW w:w="3346" w:type="dxa"/>
          </w:tcPr>
          <w:p w14:paraId="23ADAD18">
            <w:pPr>
              <w:jc w:val="center"/>
              <w:rPr>
                <w:rFonts w:hint="eastAsia" w:ascii="宋体" w:hAnsi="宋体"/>
                <w:sz w:val="24"/>
                <w:szCs w:val="24"/>
              </w:rPr>
            </w:pPr>
          </w:p>
        </w:tc>
      </w:tr>
      <w:tr w14:paraId="5EACC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2F402895">
            <w:pPr>
              <w:jc w:val="center"/>
              <w:rPr>
                <w:rFonts w:hint="eastAsia" w:ascii="宋体" w:hAnsi="宋体"/>
                <w:sz w:val="24"/>
                <w:szCs w:val="24"/>
              </w:rPr>
            </w:pPr>
          </w:p>
        </w:tc>
        <w:tc>
          <w:tcPr>
            <w:tcW w:w="2838" w:type="dxa"/>
          </w:tcPr>
          <w:p w14:paraId="4B619992">
            <w:pPr>
              <w:jc w:val="center"/>
              <w:rPr>
                <w:rFonts w:hint="eastAsia" w:ascii="宋体" w:hAnsi="宋体"/>
                <w:sz w:val="24"/>
                <w:szCs w:val="24"/>
              </w:rPr>
            </w:pPr>
          </w:p>
        </w:tc>
        <w:tc>
          <w:tcPr>
            <w:tcW w:w="2832" w:type="dxa"/>
          </w:tcPr>
          <w:p w14:paraId="7A4D4DC7">
            <w:pPr>
              <w:jc w:val="center"/>
              <w:rPr>
                <w:rFonts w:hint="eastAsia" w:ascii="宋体" w:hAnsi="宋体"/>
                <w:sz w:val="24"/>
                <w:szCs w:val="24"/>
              </w:rPr>
            </w:pPr>
          </w:p>
        </w:tc>
        <w:tc>
          <w:tcPr>
            <w:tcW w:w="3346" w:type="dxa"/>
          </w:tcPr>
          <w:p w14:paraId="02ADC009">
            <w:pPr>
              <w:jc w:val="center"/>
              <w:rPr>
                <w:rFonts w:hint="eastAsia" w:ascii="宋体" w:hAnsi="宋体"/>
                <w:sz w:val="24"/>
                <w:szCs w:val="24"/>
              </w:rPr>
            </w:pPr>
          </w:p>
        </w:tc>
      </w:tr>
      <w:tr w14:paraId="0707F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26378D10">
            <w:pPr>
              <w:jc w:val="center"/>
              <w:rPr>
                <w:rFonts w:hint="eastAsia" w:ascii="宋体" w:hAnsi="宋体"/>
                <w:sz w:val="24"/>
                <w:szCs w:val="24"/>
              </w:rPr>
            </w:pPr>
          </w:p>
        </w:tc>
        <w:tc>
          <w:tcPr>
            <w:tcW w:w="2838" w:type="dxa"/>
          </w:tcPr>
          <w:p w14:paraId="3C2B68D8">
            <w:pPr>
              <w:jc w:val="center"/>
              <w:rPr>
                <w:rFonts w:hint="eastAsia" w:ascii="宋体" w:hAnsi="宋体"/>
                <w:sz w:val="24"/>
                <w:szCs w:val="24"/>
              </w:rPr>
            </w:pPr>
          </w:p>
        </w:tc>
        <w:tc>
          <w:tcPr>
            <w:tcW w:w="2832" w:type="dxa"/>
          </w:tcPr>
          <w:p w14:paraId="6861EBA0">
            <w:pPr>
              <w:jc w:val="center"/>
              <w:rPr>
                <w:rFonts w:hint="eastAsia" w:ascii="宋体" w:hAnsi="宋体"/>
                <w:sz w:val="24"/>
                <w:szCs w:val="24"/>
              </w:rPr>
            </w:pPr>
          </w:p>
        </w:tc>
        <w:tc>
          <w:tcPr>
            <w:tcW w:w="3346" w:type="dxa"/>
          </w:tcPr>
          <w:p w14:paraId="0F994C11">
            <w:pPr>
              <w:jc w:val="center"/>
              <w:rPr>
                <w:rFonts w:hint="eastAsia" w:ascii="宋体" w:hAnsi="宋体"/>
                <w:sz w:val="24"/>
                <w:szCs w:val="24"/>
              </w:rPr>
            </w:pPr>
          </w:p>
        </w:tc>
      </w:tr>
      <w:tr w14:paraId="09AC2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572B7D2E">
            <w:pPr>
              <w:jc w:val="center"/>
              <w:rPr>
                <w:rFonts w:hint="eastAsia" w:ascii="宋体" w:hAnsi="宋体"/>
                <w:sz w:val="24"/>
                <w:szCs w:val="24"/>
              </w:rPr>
            </w:pPr>
          </w:p>
        </w:tc>
        <w:tc>
          <w:tcPr>
            <w:tcW w:w="2838" w:type="dxa"/>
          </w:tcPr>
          <w:p w14:paraId="3A6E265A">
            <w:pPr>
              <w:jc w:val="center"/>
              <w:rPr>
                <w:rFonts w:hint="eastAsia" w:ascii="宋体" w:hAnsi="宋体"/>
                <w:sz w:val="24"/>
                <w:szCs w:val="24"/>
              </w:rPr>
            </w:pPr>
          </w:p>
        </w:tc>
        <w:tc>
          <w:tcPr>
            <w:tcW w:w="2832" w:type="dxa"/>
          </w:tcPr>
          <w:p w14:paraId="2EC21FF7">
            <w:pPr>
              <w:jc w:val="center"/>
              <w:rPr>
                <w:rFonts w:hint="eastAsia" w:ascii="宋体" w:hAnsi="宋体"/>
                <w:sz w:val="24"/>
                <w:szCs w:val="24"/>
              </w:rPr>
            </w:pPr>
          </w:p>
        </w:tc>
        <w:tc>
          <w:tcPr>
            <w:tcW w:w="3346" w:type="dxa"/>
          </w:tcPr>
          <w:p w14:paraId="68511554">
            <w:pPr>
              <w:jc w:val="center"/>
              <w:rPr>
                <w:rFonts w:hint="eastAsia" w:ascii="宋体" w:hAnsi="宋体"/>
                <w:sz w:val="24"/>
                <w:szCs w:val="24"/>
              </w:rPr>
            </w:pPr>
          </w:p>
        </w:tc>
      </w:tr>
      <w:tr w14:paraId="6BE75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tcPr>
          <w:p w14:paraId="2C3EDDE9">
            <w:pPr>
              <w:jc w:val="center"/>
              <w:rPr>
                <w:rFonts w:hint="eastAsia" w:ascii="宋体" w:hAnsi="宋体"/>
                <w:sz w:val="24"/>
                <w:szCs w:val="24"/>
              </w:rPr>
            </w:pPr>
          </w:p>
        </w:tc>
        <w:tc>
          <w:tcPr>
            <w:tcW w:w="2838" w:type="dxa"/>
          </w:tcPr>
          <w:p w14:paraId="02D3F00A">
            <w:pPr>
              <w:jc w:val="center"/>
              <w:rPr>
                <w:rFonts w:hint="eastAsia" w:ascii="宋体" w:hAnsi="宋体"/>
                <w:sz w:val="24"/>
                <w:szCs w:val="24"/>
              </w:rPr>
            </w:pPr>
          </w:p>
        </w:tc>
        <w:tc>
          <w:tcPr>
            <w:tcW w:w="2832" w:type="dxa"/>
          </w:tcPr>
          <w:p w14:paraId="17AC728C">
            <w:pPr>
              <w:jc w:val="center"/>
              <w:rPr>
                <w:rFonts w:hint="eastAsia" w:ascii="宋体" w:hAnsi="宋体"/>
                <w:sz w:val="24"/>
                <w:szCs w:val="24"/>
              </w:rPr>
            </w:pPr>
          </w:p>
        </w:tc>
        <w:tc>
          <w:tcPr>
            <w:tcW w:w="3346" w:type="dxa"/>
          </w:tcPr>
          <w:p w14:paraId="4DB32034">
            <w:pPr>
              <w:jc w:val="center"/>
              <w:rPr>
                <w:rFonts w:hint="eastAsia" w:ascii="宋体" w:hAnsi="宋体"/>
                <w:sz w:val="24"/>
                <w:szCs w:val="24"/>
              </w:rPr>
            </w:pPr>
          </w:p>
        </w:tc>
      </w:tr>
    </w:tbl>
    <w:p w14:paraId="24E80D37">
      <w:pPr>
        <w:widowControl/>
        <w:rPr>
          <w:rFonts w:hint="eastAsia" w:ascii="宋体" w:hAnsi="宋体" w:cs="宋体"/>
          <w:sz w:val="24"/>
          <w:szCs w:val="24"/>
        </w:rPr>
      </w:pPr>
    </w:p>
    <w:p w14:paraId="754FC713">
      <w:pPr>
        <w:spacing w:line="360" w:lineRule="auto"/>
        <w:ind w:right="180" w:firstLine="480"/>
        <w:rPr>
          <w:rFonts w:hint="eastAsia" w:ascii="宋体" w:hAnsi="宋体"/>
          <w:sz w:val="24"/>
          <w:szCs w:val="24"/>
        </w:rPr>
      </w:pPr>
      <w:r>
        <w:rPr>
          <w:rFonts w:hint="eastAsia" w:ascii="宋体" w:hAnsi="宋体"/>
          <w:sz w:val="24"/>
          <w:szCs w:val="24"/>
        </w:rPr>
        <w:t>投标人名称：（加盖电子公章）</w:t>
      </w:r>
    </w:p>
    <w:p w14:paraId="10952AC7">
      <w:pPr>
        <w:rPr>
          <w:rFonts w:hint="eastAsia" w:ascii="宋体" w:hAnsi="宋体"/>
          <w:sz w:val="24"/>
          <w:szCs w:val="24"/>
        </w:rPr>
      </w:pPr>
    </w:p>
    <w:p w14:paraId="4596C5F8">
      <w:pPr>
        <w:widowControl/>
        <w:spacing w:line="360" w:lineRule="auto"/>
        <w:ind w:firstLine="480"/>
        <w:rPr>
          <w:rFonts w:hint="eastAsia" w:ascii="宋体" w:hAnsi="宋体" w:cs="宋体"/>
          <w:sz w:val="24"/>
          <w:szCs w:val="24"/>
        </w:rPr>
      </w:pPr>
      <w:r>
        <w:rPr>
          <w:rFonts w:hint="eastAsia" w:ascii="宋体" w:hAnsi="宋体" w:cs="宋体"/>
          <w:sz w:val="24"/>
          <w:szCs w:val="24"/>
        </w:rPr>
        <w:t xml:space="preserve">备注： </w:t>
      </w:r>
    </w:p>
    <w:p w14:paraId="4435A558">
      <w:pPr>
        <w:widowControl/>
        <w:spacing w:line="360" w:lineRule="auto"/>
        <w:ind w:firstLine="480"/>
        <w:rPr>
          <w:rFonts w:hint="eastAsia" w:ascii="宋体" w:hAnsi="宋体" w:cs="宋体"/>
          <w:sz w:val="24"/>
          <w:szCs w:val="24"/>
        </w:rPr>
      </w:pPr>
      <w:r>
        <w:rPr>
          <w:rFonts w:hint="eastAsia" w:ascii="宋体" w:hAnsi="宋体" w:cs="宋体"/>
          <w:sz w:val="24"/>
          <w:szCs w:val="24"/>
        </w:rPr>
        <w:t>1.供应商须对招标文件商务要求中的实质性要求（斜体下划线内容或打“★”内容）做出明确响应，否则视为无效投标。</w:t>
      </w:r>
    </w:p>
    <w:p w14:paraId="5914EA2C">
      <w:pPr>
        <w:widowControl/>
        <w:spacing w:line="360" w:lineRule="auto"/>
        <w:ind w:firstLine="480"/>
        <w:rPr>
          <w:rFonts w:hint="eastAsia" w:ascii="宋体" w:hAnsi="宋体" w:cs="宋体"/>
          <w:sz w:val="24"/>
          <w:szCs w:val="24"/>
        </w:rPr>
      </w:pPr>
      <w:r>
        <w:rPr>
          <w:rFonts w:hint="eastAsia" w:ascii="宋体" w:hAnsi="宋体" w:cs="宋体"/>
          <w:sz w:val="24"/>
          <w:szCs w:val="24"/>
        </w:rPr>
        <w:t>2.行数不够，可自行添加。</w:t>
      </w:r>
    </w:p>
    <w:p w14:paraId="12688596"/>
    <w:p w14:paraId="4ED978AC">
      <w:pPr>
        <w:jc w:val="center"/>
        <w:rPr>
          <w:rFonts w:hint="eastAsia" w:ascii="宋体" w:hAnsi="宋体" w:cs="仿宋"/>
          <w:b/>
          <w:bCs/>
          <w:sz w:val="32"/>
          <w:szCs w:val="32"/>
        </w:rPr>
      </w:pPr>
    </w:p>
    <w:p w14:paraId="07F74CA2">
      <w:pPr>
        <w:ind w:left="1260"/>
        <w:rPr>
          <w:rFonts w:ascii="宋体" w:hAnsi="宋体" w:eastAsia="Calibri" w:cs="仿宋"/>
          <w:b/>
          <w:bCs/>
          <w:sz w:val="32"/>
          <w:szCs w:val="32"/>
          <w:lang w:val="zh-CN"/>
        </w:rPr>
      </w:pPr>
    </w:p>
    <w:p w14:paraId="354396C7">
      <w:pPr>
        <w:rPr>
          <w:rFonts w:hint="eastAsia" w:ascii="黑体" w:hAnsi="黑体" w:eastAsia="黑体"/>
          <w:iCs/>
          <w:sz w:val="32"/>
          <w:szCs w:val="32"/>
        </w:rPr>
      </w:pPr>
      <w:r>
        <w:rPr>
          <w:rFonts w:hint="eastAsia" w:ascii="黑体" w:hAnsi="黑体" w:eastAsia="黑体"/>
          <w:iCs/>
          <w:sz w:val="32"/>
          <w:szCs w:val="32"/>
        </w:rPr>
        <w:br w:type="page" w:clear="all"/>
      </w:r>
    </w:p>
    <w:p w14:paraId="7CFC2568">
      <w:pPr>
        <w:rPr>
          <w:rFonts w:hint="eastAsia" w:ascii="黑体" w:hAnsi="黑体" w:eastAsia="黑体"/>
          <w:iCs/>
          <w:sz w:val="32"/>
          <w:szCs w:val="32"/>
        </w:rPr>
      </w:pPr>
      <w:r>
        <w:rPr>
          <w:rFonts w:hint="eastAsia" w:ascii="黑体" w:hAnsi="黑体" w:eastAsia="黑体"/>
          <w:iCs/>
          <w:sz w:val="32"/>
          <w:szCs w:val="32"/>
        </w:rPr>
        <w:t>九、中小企业声明函</w:t>
      </w:r>
    </w:p>
    <w:p w14:paraId="7034142B">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中小企业声明函（服务）</w:t>
      </w:r>
    </w:p>
    <w:p w14:paraId="18F6AC89">
      <w:pPr>
        <w:spacing w:line="360" w:lineRule="auto"/>
        <w:ind w:firstLine="48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项目（分包号：</w:t>
      </w:r>
      <w:r>
        <w:rPr>
          <w:rFonts w:hint="eastAsia" w:ascii="宋体" w:hAnsi="宋体"/>
          <w:sz w:val="24"/>
          <w:szCs w:val="24"/>
          <w:u w:val="single"/>
        </w:rPr>
        <w:t>XXX</w:t>
      </w:r>
      <w:r>
        <w:rPr>
          <w:rFonts w:hint="eastAsia" w:ascii="宋体" w:hAnsi="宋体"/>
          <w:sz w:val="24"/>
          <w:szCs w:val="24"/>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300号)的规定，相关企业（含联合体中的小微企业、签订分包意向协议的中小企业）的具体情况如下：</w:t>
      </w:r>
    </w:p>
    <w:p w14:paraId="4A45C16F">
      <w:pPr>
        <w:spacing w:line="360" w:lineRule="auto"/>
        <w:ind w:firstLine="48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711AABF8">
      <w:pPr>
        <w:spacing w:line="360" w:lineRule="auto"/>
        <w:ind w:firstLine="48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ascii="Wingdings" w:hAnsi="Wingdings" w:eastAsia="Wingdings" w:cs="Wingdings"/>
          <w:sz w:val="24"/>
          <w:szCs w:val="24"/>
        </w:rPr>
        <w:t></w:t>
      </w:r>
      <w:r>
        <w:rPr>
          <w:rFonts w:hint="eastAsia" w:ascii="宋体" w:hAnsi="宋体"/>
          <w:sz w:val="24"/>
          <w:szCs w:val="24"/>
        </w:rPr>
        <w:t xml:space="preserve">中型企业 </w:t>
      </w:r>
      <w:r>
        <w:rPr>
          <w:rFonts w:ascii="Wingdings" w:hAnsi="Wingdings" w:eastAsia="Wingdings" w:cs="Wingdings"/>
          <w:sz w:val="24"/>
          <w:szCs w:val="24"/>
        </w:rPr>
        <w:t></w:t>
      </w:r>
      <w:r>
        <w:rPr>
          <w:rFonts w:hint="eastAsia" w:ascii="宋体" w:hAnsi="宋体"/>
          <w:sz w:val="24"/>
          <w:szCs w:val="24"/>
        </w:rPr>
        <w:t xml:space="preserve">小型企业 </w:t>
      </w:r>
      <w:r>
        <w:rPr>
          <w:rFonts w:ascii="Wingdings" w:hAnsi="Wingdings" w:eastAsia="Wingdings" w:cs="Wingdings"/>
          <w:sz w:val="24"/>
          <w:szCs w:val="24"/>
        </w:rPr>
        <w:t></w:t>
      </w:r>
      <w:r>
        <w:rPr>
          <w:rFonts w:hint="eastAsia" w:ascii="宋体" w:hAnsi="宋体"/>
          <w:sz w:val="24"/>
          <w:szCs w:val="24"/>
        </w:rPr>
        <w:t>微型企业。</w:t>
      </w:r>
    </w:p>
    <w:p w14:paraId="27443178">
      <w:pPr>
        <w:spacing w:line="360" w:lineRule="auto"/>
        <w:ind w:firstLine="360"/>
        <w:rPr>
          <w:rFonts w:hint="eastAsia" w:ascii="宋体" w:hAnsi="宋体"/>
          <w:sz w:val="24"/>
          <w:szCs w:val="24"/>
        </w:rPr>
      </w:pPr>
      <w:r>
        <w:rPr>
          <w:rFonts w:hint="eastAsia" w:ascii="宋体" w:hAnsi="宋体"/>
          <w:sz w:val="24"/>
          <w:szCs w:val="24"/>
        </w:rPr>
        <w:t>……</w:t>
      </w:r>
    </w:p>
    <w:p w14:paraId="7E2AA37A">
      <w:pPr>
        <w:spacing w:line="360" w:lineRule="auto"/>
        <w:ind w:firstLine="48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4CE8C2F">
      <w:pPr>
        <w:spacing w:line="360" w:lineRule="auto"/>
        <w:ind w:firstLine="48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42E4D37F">
      <w:pPr>
        <w:spacing w:line="360" w:lineRule="auto"/>
        <w:ind w:left="1260"/>
        <w:rPr>
          <w:rFonts w:ascii="宋体" w:hAnsi="宋体" w:eastAsia="Calibri" w:cs="宋体"/>
          <w:sz w:val="24"/>
          <w:szCs w:val="24"/>
          <w:lang w:val="zh-CN"/>
        </w:rPr>
      </w:pPr>
    </w:p>
    <w:p w14:paraId="5F92829B">
      <w:pPr>
        <w:spacing w:line="360" w:lineRule="auto"/>
      </w:pPr>
    </w:p>
    <w:p w14:paraId="12A95B7D">
      <w:pPr>
        <w:spacing w:line="360" w:lineRule="auto"/>
        <w:ind w:right="180" w:firstLine="360"/>
        <w:jc w:val="center"/>
        <w:rPr>
          <w:rFonts w:hint="eastAsia" w:ascii="宋体" w:hAnsi="宋体"/>
          <w:sz w:val="24"/>
          <w:szCs w:val="24"/>
        </w:rPr>
      </w:pPr>
      <w:r>
        <w:rPr>
          <w:rFonts w:hint="eastAsia" w:ascii="宋体" w:hAnsi="宋体"/>
          <w:sz w:val="24"/>
          <w:szCs w:val="24"/>
        </w:rPr>
        <w:t xml:space="preserve">                                           企业名称：（加盖电子公章）</w:t>
      </w:r>
    </w:p>
    <w:p w14:paraId="06278276">
      <w:pPr>
        <w:spacing w:line="360" w:lineRule="auto"/>
        <w:ind w:firstLine="6000"/>
        <w:rPr>
          <w:rFonts w:hint="eastAsia" w:ascii="宋体" w:hAnsi="宋体"/>
          <w:sz w:val="24"/>
          <w:szCs w:val="24"/>
        </w:rPr>
      </w:pPr>
      <w:r>
        <w:rPr>
          <w:rFonts w:hint="eastAsia"/>
          <w:sz w:val="24"/>
          <w:szCs w:val="24"/>
        </w:rPr>
        <w:t>日    期：</w:t>
      </w:r>
    </w:p>
    <w:p w14:paraId="34C49740">
      <w:pPr>
        <w:widowControl/>
        <w:spacing w:line="360" w:lineRule="auto"/>
        <w:ind w:firstLine="480"/>
        <w:rPr>
          <w:rFonts w:hint="eastAsia" w:ascii="宋体" w:hAnsi="宋体"/>
          <w:sz w:val="24"/>
          <w:szCs w:val="24"/>
        </w:rPr>
      </w:pPr>
    </w:p>
    <w:p w14:paraId="74EB366F">
      <w:pPr>
        <w:spacing w:line="360" w:lineRule="auto"/>
        <w:ind w:firstLine="480"/>
        <w:rPr>
          <w:rFonts w:hint="eastAsia" w:ascii="黑体" w:hAnsi="黑体" w:eastAsia="黑体"/>
          <w:sz w:val="32"/>
          <w:szCs w:val="32"/>
        </w:rPr>
      </w:pPr>
      <w:r>
        <w:rPr>
          <w:rFonts w:hint="eastAsia" w:ascii="宋体" w:hAnsi="宋体"/>
          <w:sz w:val="24"/>
          <w:szCs w:val="24"/>
        </w:rPr>
        <w:t>备注：1.从业人员、营业收入、资产总额填报上一年度数据，无上一年度数据的新成立企业可不填报。2.在所属企业类型前的</w:t>
      </w:r>
      <w:r>
        <w:rPr>
          <w:rFonts w:ascii="Wingdings" w:hAnsi="Wingdings" w:eastAsia="Wingdings" w:cs="Wingdings"/>
          <w:sz w:val="24"/>
          <w:szCs w:val="24"/>
        </w:rPr>
        <w:t></w:t>
      </w:r>
      <w:r>
        <w:rPr>
          <w:rFonts w:hint="eastAsia" w:ascii="宋体" w:hAnsi="宋体"/>
          <w:sz w:val="24"/>
          <w:szCs w:val="24"/>
        </w:rPr>
        <w:t>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十、</w:t>
      </w:r>
      <w:r>
        <w:rPr>
          <w:rFonts w:hint="eastAsia" w:ascii="黑体" w:hAnsi="黑体" w:eastAsia="黑体"/>
          <w:sz w:val="32"/>
          <w:szCs w:val="32"/>
        </w:rPr>
        <w:t>残疾人福利性单位声明函</w:t>
      </w:r>
    </w:p>
    <w:p w14:paraId="7E942566">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残疾人福利性单位声明函</w:t>
      </w:r>
    </w:p>
    <w:p w14:paraId="146BBB9C">
      <w:pPr>
        <w:spacing w:line="360" w:lineRule="auto"/>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项目（分包号：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w:t>
      </w:r>
      <w:r>
        <w:rPr>
          <w:rFonts w:hint="eastAsia" w:ascii="宋体" w:hAnsi="宋体"/>
          <w:sz w:val="24"/>
          <w:szCs w:val="24"/>
        </w:rPr>
        <w:t>服务全部由本单位提供</w:t>
      </w:r>
      <w:r>
        <w:rPr>
          <w:rFonts w:hint="eastAsia" w:ascii="宋体" w:hAnsi="宋体"/>
          <w:sz w:val="24"/>
        </w:rPr>
        <w:t>。</w:t>
      </w:r>
    </w:p>
    <w:p w14:paraId="04090566">
      <w:pPr>
        <w:spacing w:line="360" w:lineRule="auto"/>
        <w:ind w:firstLine="480"/>
        <w:rPr>
          <w:rFonts w:hint="eastAsia" w:ascii="宋体" w:hAnsi="宋体"/>
          <w:sz w:val="24"/>
        </w:rPr>
      </w:pPr>
      <w:r>
        <w:rPr>
          <w:rFonts w:hint="eastAsia" w:ascii="宋体" w:hAnsi="宋体"/>
          <w:sz w:val="24"/>
        </w:rPr>
        <w:t>本单位对上述声明的真实性负责，如有虚假，将依法承担相应责任。</w:t>
      </w:r>
    </w:p>
    <w:p w14:paraId="6920D698">
      <w:pPr>
        <w:spacing w:line="360" w:lineRule="auto"/>
        <w:ind w:left="1260"/>
        <w:rPr>
          <w:rFonts w:ascii="宋体" w:hAnsi="宋体" w:eastAsia="Calibri" w:cs="宋体"/>
          <w:sz w:val="24"/>
          <w:szCs w:val="24"/>
          <w:lang w:val="zh-CN"/>
        </w:rPr>
      </w:pPr>
    </w:p>
    <w:p w14:paraId="2BD57C6E">
      <w:pPr>
        <w:spacing w:line="360" w:lineRule="auto"/>
      </w:pPr>
    </w:p>
    <w:p w14:paraId="3813616D">
      <w:pPr>
        <w:spacing w:line="360" w:lineRule="auto"/>
        <w:ind w:right="180" w:firstLine="360"/>
        <w:jc w:val="center"/>
        <w:rPr>
          <w:rFonts w:hint="eastAsia" w:ascii="宋体" w:hAnsi="宋体"/>
          <w:sz w:val="24"/>
          <w:szCs w:val="24"/>
        </w:rPr>
      </w:pPr>
      <w:r>
        <w:rPr>
          <w:rFonts w:hint="eastAsia" w:ascii="宋体" w:hAnsi="宋体"/>
          <w:sz w:val="24"/>
          <w:szCs w:val="24"/>
        </w:rPr>
        <w:t xml:space="preserve">                                           企业名称：（加盖电子公章）</w:t>
      </w:r>
    </w:p>
    <w:p w14:paraId="5A8D67CA">
      <w:pPr>
        <w:spacing w:line="360" w:lineRule="auto"/>
        <w:ind w:firstLine="6000"/>
        <w:rPr>
          <w:rFonts w:hint="eastAsia" w:ascii="宋体" w:hAnsi="宋体"/>
          <w:sz w:val="24"/>
          <w:szCs w:val="24"/>
        </w:rPr>
      </w:pPr>
      <w:r>
        <w:rPr>
          <w:rFonts w:hint="eastAsia"/>
          <w:sz w:val="24"/>
          <w:szCs w:val="24"/>
        </w:rPr>
        <w:t>日    期：</w:t>
      </w:r>
    </w:p>
    <w:p w14:paraId="7DD39E60">
      <w:pPr>
        <w:spacing w:line="360" w:lineRule="auto"/>
        <w:ind w:firstLine="480"/>
        <w:rPr>
          <w:rFonts w:hint="eastAsia" w:ascii="宋体" w:hAnsi="宋体"/>
          <w:sz w:val="24"/>
        </w:rPr>
      </w:pPr>
    </w:p>
    <w:p w14:paraId="3A6FBB97">
      <w:pPr>
        <w:spacing w:line="360" w:lineRule="auto"/>
        <w:ind w:firstLine="480"/>
        <w:rPr>
          <w:rFonts w:hint="eastAsia" w:ascii="宋体" w:hAnsi="宋体"/>
          <w:sz w:val="24"/>
        </w:rPr>
      </w:pPr>
      <w:r>
        <w:rPr>
          <w:rFonts w:hint="eastAsia" w:ascii="宋体" w:hAnsi="宋体"/>
          <w:sz w:val="24"/>
        </w:rPr>
        <w:t>备注：</w:t>
      </w:r>
    </w:p>
    <w:p w14:paraId="6B7C6D4A">
      <w:pPr>
        <w:spacing w:line="360" w:lineRule="auto"/>
        <w:ind w:firstLine="480"/>
        <w:rPr>
          <w:rFonts w:hint="eastAsia" w:ascii="宋体" w:hAnsi="宋体"/>
          <w:sz w:val="24"/>
        </w:rPr>
      </w:pPr>
      <w:r>
        <w:rPr>
          <w:rFonts w:hint="eastAsia" w:ascii="宋体" w:hAnsi="宋体"/>
          <w:sz w:val="24"/>
        </w:rPr>
        <w:t>1.投标人如不提供此声明函，价格将不作相应扣除。</w:t>
      </w:r>
    </w:p>
    <w:p w14:paraId="1F799D21">
      <w:pPr>
        <w:spacing w:line="360" w:lineRule="auto"/>
        <w:ind w:firstLine="480"/>
        <w:rPr>
          <w:rFonts w:hint="eastAsia" w:ascii="宋体" w:hAnsi="宋体"/>
          <w:sz w:val="24"/>
        </w:rPr>
      </w:pPr>
      <w:r>
        <w:rPr>
          <w:rFonts w:hint="eastAsia" w:ascii="宋体" w:hAnsi="宋体"/>
          <w:sz w:val="24"/>
        </w:rPr>
        <w:t>2.中标人为残疾人福利性单位的，此声明函将随中标结果同时公告，接受社会监督。</w:t>
      </w:r>
    </w:p>
    <w:p w14:paraId="178DCE89">
      <w:pPr>
        <w:spacing w:line="480" w:lineRule="exact"/>
        <w:ind w:firstLine="480"/>
        <w:rPr>
          <w:rFonts w:hint="eastAsia" w:ascii="宋体" w:hAnsi="宋体"/>
          <w:sz w:val="24"/>
        </w:rPr>
      </w:pPr>
    </w:p>
    <w:p w14:paraId="3639258D">
      <w:pPr>
        <w:spacing w:line="560" w:lineRule="exact"/>
        <w:jc w:val="center"/>
        <w:rPr>
          <w:rFonts w:hint="eastAsia" w:ascii="黑体" w:hAnsi="黑体" w:eastAsia="黑体"/>
          <w:b/>
          <w:sz w:val="32"/>
          <w:szCs w:val="32"/>
        </w:rPr>
      </w:pPr>
    </w:p>
    <w:p w14:paraId="49626C83">
      <w:pPr>
        <w:spacing w:line="560" w:lineRule="exact"/>
        <w:jc w:val="center"/>
        <w:rPr>
          <w:rFonts w:hint="eastAsia" w:ascii="黑体" w:hAnsi="黑体" w:eastAsia="黑体"/>
          <w:b/>
          <w:sz w:val="32"/>
          <w:szCs w:val="32"/>
        </w:rPr>
      </w:pPr>
    </w:p>
    <w:p w14:paraId="5FE9B2B5">
      <w:pPr>
        <w:spacing w:line="560" w:lineRule="exact"/>
        <w:jc w:val="center"/>
        <w:rPr>
          <w:rFonts w:hint="eastAsia" w:ascii="黑体" w:hAnsi="黑体" w:eastAsia="黑体"/>
          <w:b/>
          <w:sz w:val="32"/>
          <w:szCs w:val="32"/>
        </w:rPr>
      </w:pPr>
    </w:p>
    <w:p w14:paraId="2379B0C8">
      <w:pPr>
        <w:spacing w:line="560" w:lineRule="exact"/>
        <w:jc w:val="center"/>
        <w:rPr>
          <w:rFonts w:hint="eastAsia" w:ascii="黑体" w:hAnsi="黑体" w:eastAsia="黑体"/>
          <w:b/>
          <w:sz w:val="32"/>
          <w:szCs w:val="32"/>
        </w:rPr>
      </w:pPr>
    </w:p>
    <w:p w14:paraId="0E7FB922">
      <w:pPr>
        <w:spacing w:line="560" w:lineRule="exact"/>
        <w:jc w:val="center"/>
        <w:rPr>
          <w:rFonts w:hint="eastAsia" w:ascii="黑体" w:hAnsi="黑体" w:eastAsia="黑体"/>
          <w:b/>
          <w:sz w:val="32"/>
          <w:szCs w:val="32"/>
        </w:rPr>
      </w:pPr>
    </w:p>
    <w:p w14:paraId="54EE03F9">
      <w:pPr>
        <w:spacing w:line="560" w:lineRule="exact"/>
        <w:jc w:val="center"/>
        <w:rPr>
          <w:rFonts w:hint="eastAsia" w:ascii="黑体" w:hAnsi="黑体" w:eastAsia="黑体"/>
          <w:b/>
          <w:sz w:val="32"/>
          <w:szCs w:val="32"/>
        </w:rPr>
      </w:pPr>
    </w:p>
    <w:p w14:paraId="4A1B5141">
      <w:pPr>
        <w:spacing w:line="560" w:lineRule="exact"/>
        <w:jc w:val="center"/>
        <w:rPr>
          <w:rFonts w:hint="eastAsia" w:ascii="黑体" w:hAnsi="黑体" w:eastAsia="黑体"/>
          <w:b/>
          <w:sz w:val="32"/>
          <w:szCs w:val="32"/>
        </w:rPr>
      </w:pPr>
    </w:p>
    <w:p w14:paraId="150916BD">
      <w:pPr>
        <w:spacing w:line="560" w:lineRule="exact"/>
        <w:jc w:val="center"/>
        <w:rPr>
          <w:rFonts w:hint="eastAsia" w:ascii="黑体" w:hAnsi="黑体" w:eastAsia="黑体"/>
          <w:b/>
          <w:sz w:val="32"/>
          <w:szCs w:val="32"/>
        </w:rPr>
      </w:pPr>
    </w:p>
    <w:p w14:paraId="18BA0842">
      <w:pPr>
        <w:spacing w:line="560" w:lineRule="exact"/>
        <w:jc w:val="center"/>
        <w:rPr>
          <w:rFonts w:hint="eastAsia" w:ascii="黑体" w:hAnsi="黑体" w:eastAsia="黑体"/>
          <w:b/>
          <w:sz w:val="32"/>
          <w:szCs w:val="32"/>
        </w:rPr>
      </w:pPr>
    </w:p>
    <w:p w14:paraId="33DB9D46">
      <w:pPr>
        <w:spacing w:line="560" w:lineRule="exact"/>
        <w:jc w:val="center"/>
        <w:rPr>
          <w:rFonts w:hint="eastAsia" w:ascii="黑体" w:hAnsi="黑体" w:eastAsia="黑体"/>
          <w:b/>
          <w:sz w:val="32"/>
          <w:szCs w:val="32"/>
        </w:rPr>
      </w:pPr>
    </w:p>
    <w:p w14:paraId="0B2D6358">
      <w:pPr>
        <w:rPr>
          <w:rFonts w:hint="eastAsia" w:ascii="黑体" w:hAnsi="黑体" w:eastAsia="黑体" w:cs="黑体"/>
          <w:sz w:val="32"/>
          <w:szCs w:val="32"/>
        </w:rPr>
      </w:pPr>
      <w:r>
        <w:rPr>
          <w:rFonts w:hint="eastAsia" w:ascii="黑体" w:hAnsi="黑体" w:eastAsia="黑体" w:cs="黑体"/>
          <w:sz w:val="32"/>
          <w:szCs w:val="32"/>
        </w:rPr>
        <w:br w:type="page"/>
      </w:r>
    </w:p>
    <w:p w14:paraId="6748E36F">
      <w:pPr>
        <w:spacing w:line="360" w:lineRule="auto"/>
        <w:jc w:val="center"/>
        <w:outlineLvl w:val="1"/>
        <w:rPr>
          <w:rFonts w:hint="eastAsia" w:ascii="黑体" w:hAnsi="黑体" w:eastAsia="黑体" w:cs="黑体"/>
          <w:sz w:val="32"/>
          <w:szCs w:val="32"/>
        </w:rPr>
      </w:pPr>
      <w:r>
        <w:rPr>
          <w:rFonts w:hint="eastAsia" w:ascii="黑体" w:hAnsi="黑体" w:eastAsia="黑体" w:cs="黑体"/>
          <w:sz w:val="32"/>
          <w:szCs w:val="32"/>
        </w:rPr>
        <w:t>质疑函范本</w:t>
      </w:r>
    </w:p>
    <w:p w14:paraId="724A0990">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1D5DDD43">
      <w:pPr>
        <w:spacing w:line="360" w:lineRule="auto"/>
        <w:rPr>
          <w:rFonts w:hint="eastAsia" w:ascii="宋体" w:hAnsi="宋体" w:cs="仿宋"/>
          <w:sz w:val="24"/>
          <w:szCs w:val="24"/>
          <w:u w:val="single"/>
        </w:rPr>
      </w:pPr>
      <w:r>
        <w:rPr>
          <w:rFonts w:hint="eastAsia" w:ascii="宋体" w:hAnsi="宋体" w:cs="仿宋"/>
          <w:sz w:val="24"/>
          <w:szCs w:val="24"/>
        </w:rPr>
        <w:t>供应商名称：</w:t>
      </w:r>
      <w:r>
        <w:rPr>
          <w:rFonts w:hint="eastAsia" w:ascii="宋体" w:hAnsi="宋体" w:cs="仿宋"/>
          <w:sz w:val="24"/>
          <w:szCs w:val="24"/>
          <w:u w:val="single"/>
        </w:rPr>
        <w:t xml:space="preserve">                                                              </w:t>
      </w:r>
    </w:p>
    <w:p w14:paraId="34FE283C">
      <w:pPr>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155A57EC">
      <w:pPr>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45EBAF35">
      <w:pPr>
        <w:spacing w:line="360" w:lineRule="auto"/>
        <w:rPr>
          <w:rFonts w:hint="eastAsia"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7DAD601D">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7F4D2CE5">
      <w:pPr>
        <w:spacing w:line="360" w:lineRule="auto"/>
        <w:rPr>
          <w:rFonts w:hint="eastAsia"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4EC050D7">
      <w:pPr>
        <w:spacing w:line="360" w:lineRule="auto"/>
        <w:rPr>
          <w:rFonts w:hint="eastAsia"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rPr>
        <w:t>分包号：</w:t>
      </w:r>
      <w:r>
        <w:rPr>
          <w:rFonts w:hint="eastAsia" w:ascii="宋体" w:hAnsi="宋体" w:cs="仿宋"/>
          <w:sz w:val="24"/>
          <w:szCs w:val="24"/>
          <w:u w:val="single"/>
        </w:rPr>
        <w:t xml:space="preserve">                   </w:t>
      </w:r>
    </w:p>
    <w:p w14:paraId="42EA277D">
      <w:pPr>
        <w:spacing w:line="360" w:lineRule="auto"/>
        <w:rPr>
          <w:rFonts w:hint="eastAsia"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BF9C904">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28A179CB">
      <w:pPr>
        <w:spacing w:line="360" w:lineRule="auto"/>
        <w:rPr>
          <w:rFonts w:hint="eastAsia"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55CA2455">
      <w:pPr>
        <w:spacing w:line="360" w:lineRule="auto"/>
        <w:rPr>
          <w:rFonts w:hint="eastAsia"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46E0A493">
      <w:pPr>
        <w:spacing w:line="360" w:lineRule="auto"/>
        <w:rPr>
          <w:rFonts w:hint="eastAsia" w:ascii="宋体" w:hAnsi="宋体" w:cs="仿宋"/>
          <w:sz w:val="24"/>
          <w:szCs w:val="24"/>
        </w:rPr>
      </w:pPr>
      <w:r>
        <w:rPr>
          <w:rFonts w:hint="eastAsia" w:ascii="宋体" w:hAnsi="宋体" w:cs="仿宋"/>
          <w:sz w:val="24"/>
          <w:szCs w:val="24"/>
          <w:u w:val="single"/>
        </w:rPr>
        <w:t xml:space="preserve">                                                                          </w:t>
      </w:r>
    </w:p>
    <w:p w14:paraId="3316711F">
      <w:pPr>
        <w:spacing w:line="360" w:lineRule="auto"/>
        <w:rPr>
          <w:rFonts w:hint="eastAsia"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7EFE844E">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p>
    <w:p w14:paraId="0526A092">
      <w:pPr>
        <w:spacing w:line="360" w:lineRule="auto"/>
        <w:rPr>
          <w:rFonts w:hint="eastAsia"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u w:val="single"/>
        </w:rPr>
        <w:t xml:space="preserve">                                                                </w:t>
      </w:r>
    </w:p>
    <w:p w14:paraId="35EABACF">
      <w:pPr>
        <w:spacing w:line="360" w:lineRule="auto"/>
        <w:rPr>
          <w:rFonts w:hint="eastAsia" w:ascii="宋体" w:hAnsi="宋体" w:cs="仿宋"/>
          <w:sz w:val="24"/>
          <w:szCs w:val="24"/>
        </w:rPr>
      </w:pPr>
      <w:r>
        <w:rPr>
          <w:rFonts w:hint="eastAsia" w:ascii="宋体" w:hAnsi="宋体" w:cs="仿宋"/>
          <w:sz w:val="24"/>
          <w:szCs w:val="24"/>
        </w:rPr>
        <w:t>……</w:t>
      </w:r>
    </w:p>
    <w:p w14:paraId="090D72C4">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63F87B54">
      <w:pPr>
        <w:spacing w:line="360" w:lineRule="auto"/>
        <w:rPr>
          <w:rFonts w:hint="eastAsia"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4EA03336">
      <w:pPr>
        <w:rPr>
          <w:rFonts w:hint="eastAsia" w:ascii="宋体" w:hAnsi="宋体"/>
          <w:sz w:val="24"/>
          <w:szCs w:val="24"/>
        </w:rPr>
      </w:pPr>
    </w:p>
    <w:p w14:paraId="72D97575">
      <w:pPr>
        <w:rPr>
          <w:rFonts w:hint="eastAsia" w:ascii="宋体" w:hAnsi="宋体"/>
          <w:sz w:val="24"/>
          <w:szCs w:val="24"/>
        </w:rPr>
      </w:pPr>
      <w:r>
        <w:rPr>
          <w:rFonts w:hint="eastAsia" w:ascii="宋体" w:hAnsi="宋体"/>
          <w:sz w:val="24"/>
          <w:szCs w:val="24"/>
        </w:rPr>
        <w:t xml:space="preserve">签  字(签章)：                                 公  章：                      </w:t>
      </w:r>
    </w:p>
    <w:p w14:paraId="1B7BF75A">
      <w:pPr>
        <w:rPr>
          <w:rFonts w:hint="eastAsia" w:ascii="宋体" w:hAnsi="宋体"/>
          <w:sz w:val="24"/>
          <w:szCs w:val="24"/>
        </w:rPr>
      </w:pPr>
      <w:r>
        <w:rPr>
          <w:rFonts w:hint="eastAsia" w:ascii="宋体" w:hAnsi="宋体"/>
          <w:sz w:val="24"/>
          <w:szCs w:val="24"/>
        </w:rPr>
        <w:t xml:space="preserve">日  期：    </w:t>
      </w:r>
    </w:p>
    <w:p w14:paraId="7DCCF642">
      <w:pPr>
        <w:spacing w:line="480" w:lineRule="exact"/>
        <w:rPr>
          <w:rFonts w:hint="eastAsia" w:ascii="宋体" w:hAnsi="宋体"/>
          <w:bCs/>
          <w:sz w:val="24"/>
          <w:szCs w:val="24"/>
        </w:rPr>
      </w:pPr>
    </w:p>
    <w:p w14:paraId="3B103584">
      <w:pPr>
        <w:spacing w:line="480" w:lineRule="exact"/>
        <w:ind w:firstLine="480"/>
        <w:rPr>
          <w:rFonts w:hint="eastAsia" w:ascii="宋体" w:hAnsi="宋体"/>
          <w:bCs/>
          <w:sz w:val="24"/>
          <w:szCs w:val="24"/>
        </w:rPr>
      </w:pPr>
    </w:p>
    <w:p w14:paraId="77E1E663">
      <w:pPr>
        <w:spacing w:line="480" w:lineRule="exact"/>
        <w:ind w:firstLine="480"/>
        <w:rPr>
          <w:rFonts w:hint="eastAsia" w:ascii="宋体" w:hAnsi="宋体"/>
          <w:bCs/>
          <w:sz w:val="24"/>
          <w:szCs w:val="24"/>
        </w:rPr>
      </w:pPr>
    </w:p>
    <w:p w14:paraId="30505136">
      <w:pPr>
        <w:spacing w:line="480" w:lineRule="exact"/>
        <w:ind w:firstLine="480"/>
        <w:rPr>
          <w:rFonts w:hint="eastAsia" w:ascii="宋体" w:hAnsi="宋体"/>
          <w:bCs/>
          <w:sz w:val="24"/>
          <w:szCs w:val="24"/>
        </w:rPr>
      </w:pPr>
    </w:p>
    <w:p w14:paraId="1448582A">
      <w:pPr>
        <w:spacing w:line="480" w:lineRule="exact"/>
        <w:ind w:firstLine="480"/>
        <w:rPr>
          <w:rFonts w:hint="eastAsia" w:ascii="宋体" w:hAnsi="宋体"/>
          <w:bCs/>
          <w:sz w:val="24"/>
          <w:szCs w:val="24"/>
        </w:rPr>
      </w:pPr>
      <w:r>
        <w:rPr>
          <w:rFonts w:hint="eastAsia" w:ascii="宋体" w:hAnsi="宋体"/>
          <w:bCs/>
          <w:sz w:val="24"/>
          <w:szCs w:val="24"/>
        </w:rPr>
        <w:t>相关说明：</w:t>
      </w:r>
    </w:p>
    <w:p w14:paraId="366B0B0A">
      <w:pPr>
        <w:spacing w:line="480" w:lineRule="exact"/>
        <w:ind w:firstLine="480"/>
        <w:rPr>
          <w:rFonts w:hint="eastAsia" w:ascii="宋体" w:hAnsi="宋体" w:cs="仿宋"/>
          <w:sz w:val="24"/>
          <w:szCs w:val="24"/>
        </w:rPr>
      </w:pPr>
      <w:r>
        <w:rPr>
          <w:rFonts w:hint="eastAsia" w:ascii="宋体" w:hAnsi="宋体" w:cs="仿宋"/>
          <w:sz w:val="24"/>
          <w:szCs w:val="24"/>
        </w:rPr>
        <w:t>1.供应商提出质疑，应提交《质疑函》和必要的证明材料。</w:t>
      </w:r>
    </w:p>
    <w:p w14:paraId="439358EC">
      <w:pPr>
        <w:spacing w:line="480" w:lineRule="exact"/>
        <w:ind w:firstLine="480"/>
        <w:rPr>
          <w:rFonts w:hint="eastAsia" w:ascii="宋体" w:hAnsi="宋体" w:cs="仿宋"/>
          <w:sz w:val="24"/>
          <w:szCs w:val="24"/>
        </w:rPr>
      </w:pPr>
      <w:r>
        <w:rPr>
          <w:rFonts w:hint="eastAsia" w:ascii="宋体" w:hAnsi="宋体" w:cs="仿宋"/>
          <w:sz w:val="24"/>
          <w:szCs w:val="24"/>
        </w:rPr>
        <w:t>2.由授权代表负责质疑事宜的，《质疑函》附件中应提交由质疑供应商法定代表人签署的《授权委托书》。</w:t>
      </w:r>
    </w:p>
    <w:p w14:paraId="06C72ADB">
      <w:pPr>
        <w:spacing w:line="480" w:lineRule="exact"/>
        <w:ind w:firstLine="480"/>
        <w:rPr>
          <w:rFonts w:hint="eastAsia" w:ascii="宋体" w:hAnsi="宋体" w:cs="仿宋"/>
          <w:sz w:val="24"/>
          <w:szCs w:val="24"/>
        </w:rPr>
      </w:pPr>
      <w:r>
        <w:rPr>
          <w:rFonts w:hint="eastAsia" w:ascii="宋体" w:hAnsi="宋体" w:cs="仿宋"/>
          <w:sz w:val="24"/>
          <w:szCs w:val="24"/>
        </w:rPr>
        <w:t>3.质疑供应商针对项目的某一分包进行质疑的，《质疑函》中应明确分包号。</w:t>
      </w:r>
    </w:p>
    <w:p w14:paraId="21C3D439">
      <w:pPr>
        <w:spacing w:line="480" w:lineRule="exact"/>
        <w:ind w:firstLine="480"/>
        <w:rPr>
          <w:rFonts w:hint="eastAsia" w:ascii="宋体" w:hAnsi="宋体" w:cs="仿宋"/>
          <w:sz w:val="24"/>
          <w:szCs w:val="24"/>
        </w:rPr>
      </w:pPr>
      <w:r>
        <w:rPr>
          <w:rFonts w:hint="eastAsia" w:ascii="宋体" w:hAnsi="宋体" w:cs="仿宋"/>
          <w:sz w:val="24"/>
          <w:szCs w:val="24"/>
        </w:rPr>
        <w:t>4.《质疑函》的质疑事项应具体、明确，并有必要的事实依据和法律依据。</w:t>
      </w:r>
    </w:p>
    <w:p w14:paraId="70B15F2D">
      <w:pPr>
        <w:spacing w:line="480" w:lineRule="exact"/>
        <w:ind w:firstLine="480"/>
        <w:rPr>
          <w:rFonts w:hint="eastAsia" w:ascii="宋体" w:hAnsi="宋体" w:cs="仿宋"/>
          <w:sz w:val="24"/>
          <w:szCs w:val="24"/>
        </w:rPr>
      </w:pPr>
      <w:r>
        <w:rPr>
          <w:rFonts w:hint="eastAsia" w:ascii="宋体" w:hAnsi="宋体" w:cs="仿宋"/>
          <w:sz w:val="24"/>
          <w:szCs w:val="24"/>
        </w:rPr>
        <w:t>5.《质疑函》的质疑请求应与质疑事项相关。</w:t>
      </w:r>
    </w:p>
    <w:p w14:paraId="5F9D44B2">
      <w:pPr>
        <w:spacing w:line="480" w:lineRule="exact"/>
        <w:ind w:firstLine="480"/>
        <w:rPr>
          <w:rFonts w:hint="eastAsia" w:ascii="宋体" w:hAnsi="宋体" w:cs="仿宋"/>
          <w:sz w:val="24"/>
          <w:szCs w:val="24"/>
        </w:rPr>
      </w:pPr>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2F614A8A">
      <w:r>
        <w:rPr>
          <w:rFonts w:hint="eastAsia" w:ascii="宋体" w:hAnsi="宋体" w:cs="仿宋"/>
          <w:sz w:val="24"/>
          <w:szCs w:val="24"/>
        </w:rPr>
        <w:t>7.质疑</w:t>
      </w:r>
      <w:r>
        <w:rPr>
          <w:rFonts w:hint="eastAsia" w:ascii="宋体" w:hAnsi="宋体" w:cs="仿宋"/>
          <w:sz w:val="24"/>
          <w:szCs w:val="24"/>
          <w:lang w:val="zh-CN"/>
        </w:rPr>
        <w:t>供应商</w:t>
      </w:r>
      <w:r>
        <w:rPr>
          <w:rFonts w:hint="eastAsia" w:ascii="宋体" w:hAnsi="宋体" w:cs="仿宋"/>
          <w:sz w:val="24"/>
          <w:szCs w:val="24"/>
        </w:rPr>
        <w:t>为</w:t>
      </w:r>
      <w:r>
        <w:rPr>
          <w:rFonts w:hint="eastAsia" w:ascii="宋体" w:hAnsi="宋体" w:cs="仿宋"/>
          <w:sz w:val="24"/>
          <w:szCs w:val="24"/>
          <w:lang w:val="zh-CN"/>
        </w:rPr>
        <w:t>联合体</w:t>
      </w:r>
      <w:r>
        <w:rPr>
          <w:rFonts w:hint="eastAsia" w:ascii="宋体" w:hAnsi="宋体" w:cs="仿宋"/>
          <w:sz w:val="24"/>
          <w:szCs w:val="24"/>
        </w:rPr>
        <w:t>的</w:t>
      </w:r>
      <w:r>
        <w:rPr>
          <w:rFonts w:hint="eastAsia" w:ascii="宋体" w:hAnsi="宋体" w:cs="仿宋"/>
          <w:sz w:val="24"/>
          <w:szCs w:val="24"/>
          <w:lang w:val="zh-CN"/>
        </w:rPr>
        <w:t>，则《质疑函》中要求加盖公章之处，联合体各方均须按要求加盖公章。</w:t>
      </w:r>
    </w:p>
    <w:p w14:paraId="42755CDC">
      <w:pPr>
        <w:pStyle w:val="101"/>
        <w:rPr>
          <w:rFonts w:hint="eastAsia" w:ascii="宋体" w:hAnsi="宋体" w:eastAsia="宋体" w:cs="Times New Roman"/>
          <w:sz w:val="24"/>
          <w:szCs w:val="24"/>
        </w:rPr>
      </w:pPr>
    </w:p>
    <w:p w14:paraId="2B783DC3">
      <w:pPr>
        <w:ind w:firstLine="420"/>
        <w:rPr>
          <w:sz w:val="24"/>
          <w:szCs w:val="24"/>
        </w:rPr>
      </w:pPr>
    </w:p>
    <w:p w14:paraId="3EE63383">
      <w:pPr>
        <w:rPr>
          <w:spacing w:val="11"/>
          <w:sz w:val="40"/>
          <w:szCs w:val="40"/>
          <w14:textOutline w14:w="7353" w14:cap="flat" w14:cmpd="sng" w14:algn="ctr">
            <w14:solidFill>
              <w14:srgbClr w14:val="000000"/>
            </w14:solidFill>
            <w14:prstDash w14:val="solid"/>
            <w14:miter w14:val="0"/>
          </w14:textOutline>
        </w:rPr>
      </w:pPr>
    </w:p>
    <w:sectPr>
      <w:footerReference r:id="rId9" w:type="first"/>
      <w:footerReference r:id="rId8" w:type="default"/>
      <w:pgSz w:w="11906" w:h="16838"/>
      <w:pgMar w:top="1440" w:right="1080" w:bottom="1440" w:left="1080"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3BAE3EC-86C9-4CD8-98FC-3839C61F29C5}"/>
  </w:font>
  <w:font w:name="Arial">
    <w:panose1 w:val="020B0604020202020204"/>
    <w:charset w:val="01"/>
    <w:family w:val="swiss"/>
    <w:pitch w:val="default"/>
    <w:sig w:usb0="E0002EFF" w:usb1="C000785B" w:usb2="00000009" w:usb3="00000000" w:csb0="400001FF" w:csb1="FFFF0000"/>
    <w:embedRegular r:id="rId2" w:fontKey="{45912E1F-0EF7-4CA6-B0D4-08D6A10C173A}"/>
  </w:font>
  <w:font w:name="黑体">
    <w:panose1 w:val="02010609060101010101"/>
    <w:charset w:val="86"/>
    <w:family w:val="auto"/>
    <w:pitch w:val="default"/>
    <w:sig w:usb0="800002BF" w:usb1="38CF7CFA" w:usb2="00000016" w:usb3="00000000" w:csb0="00040001" w:csb1="00000000"/>
    <w:embedRegular r:id="rId3" w:fontKey="{5A368B51-5D32-434E-A36C-2CF63A53FEF2}"/>
  </w:font>
  <w:font w:name="Courier New">
    <w:panose1 w:val="02070309020205020404"/>
    <w:charset w:val="01"/>
    <w:family w:val="modern"/>
    <w:pitch w:val="default"/>
    <w:sig w:usb0="E0002EFF" w:usb1="C0007843" w:usb2="00000009" w:usb3="00000000" w:csb0="400001FF" w:csb1="FFFF0000"/>
    <w:embedRegular r:id="rId4" w:fontKey="{648E1F39-D882-42F5-A324-6F9E3176527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5" w:fontKey="{EE06C9F5-64AA-4D76-9E22-6C4CB20D6BAC}"/>
  </w:font>
  <w:font w:name="仿宋_GB2312">
    <w:altName w:val="仿宋"/>
    <w:panose1 w:val="02010609030101010101"/>
    <w:charset w:val="86"/>
    <w:family w:val="modern"/>
    <w:pitch w:val="default"/>
    <w:sig w:usb0="00000001" w:usb1="080E0000" w:usb2="00000000" w:usb3="00000000" w:csb0="00040000" w:csb1="00000000"/>
    <w:embedRegular r:id="rId6" w:fontKey="{467F20AF-6998-44BB-8285-D46291520AC3}"/>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7" w:fontKey="{1A3E1983-E4E3-4485-BA8E-2D0092965252}"/>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8" w:fontKey="{AA95FC73-6B4D-4BDF-B32A-4E4AF6D7B4D4}"/>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embedRegular r:id="rId9" w:fontKey="{335EE8DB-3F23-4CA0-B264-F2B7B3C730E4}"/>
  </w:font>
  <w:font w:name="方正黑体_GBK">
    <w:panose1 w:val="03000509000000000000"/>
    <w:charset w:val="86"/>
    <w:family w:val="script"/>
    <w:pitch w:val="default"/>
    <w:sig w:usb0="00000001" w:usb1="080E0000" w:usb2="00000000" w:usb3="00000000" w:csb0="00040000" w:csb1="00000000"/>
    <w:embedRegular r:id="rId10" w:fontKey="{225F3104-9CA7-4105-9444-395EB872B6D8}"/>
  </w:font>
  <w:font w:name="Verdana">
    <w:panose1 w:val="020B0604030504040204"/>
    <w:charset w:val="00"/>
    <w:family w:val="swiss"/>
    <w:pitch w:val="default"/>
    <w:sig w:usb0="A00006FF" w:usb1="4000205B" w:usb2="00000010" w:usb3="00000000" w:csb0="2000019F" w:csb1="00000000"/>
    <w:embedRegular r:id="rId11" w:fontKey="{F60DA9A1-E7F7-4430-997E-0B1FBFF38DD7}"/>
  </w:font>
  <w:font w:name="方正小标宋_GBK">
    <w:altName w:val="Arial Unicode MS"/>
    <w:panose1 w:val="03000509000000000000"/>
    <w:charset w:val="86"/>
    <w:family w:val="script"/>
    <w:pitch w:val="default"/>
    <w:sig w:usb0="00000000" w:usb1="00000000" w:usb2="00000010" w:usb3="00000000" w:csb0="00040000" w:csb1="00000000"/>
  </w:font>
  <w:font w:name="Showcard Gothic">
    <w:panose1 w:val="04020904020102020604"/>
    <w:charset w:val="00"/>
    <w:family w:val="decorative"/>
    <w:pitch w:val="default"/>
    <w:sig w:usb0="00000003" w:usb1="00000000" w:usb2="00000000" w:usb3="00000000" w:csb0="20000001" w:csb1="00000000"/>
    <w:embedRegular r:id="rId12" w:fontKey="{1CF7AED4-732C-48F0-8F36-367B1414F67D}"/>
  </w:font>
  <w:font w:name="方正楷体_GBK">
    <w:panose1 w:val="02000000000000000000"/>
    <w:charset w:val="86"/>
    <w:family w:val="script"/>
    <w:pitch w:val="default"/>
    <w:sig w:usb0="800002BF" w:usb1="38CF7CFA" w:usb2="00000016" w:usb3="00000000" w:csb0="00040000" w:csb1="00000000"/>
    <w:embedRegular r:id="rId13" w:fontKey="{DCA2C3C4-E4BD-4DE7-883C-6F6A34C5FE99}"/>
  </w:font>
  <w:font w:name="方正小标宋简体">
    <w:altName w:val="黑体"/>
    <w:panose1 w:val="02010601030101010101"/>
    <w:charset w:val="86"/>
    <w:family w:val="auto"/>
    <w:pitch w:val="default"/>
    <w:sig w:usb0="00000000" w:usb1="00000000" w:usb2="00000010" w:usb3="00000000" w:csb0="00040000" w:csb1="00000000"/>
    <w:embedRegular r:id="rId14" w:fontKey="{2823CAC9-D60A-4AB5-B9E6-2F96AD4AB104}"/>
  </w:font>
  <w:font w:name="华文仿宋">
    <w:panose1 w:val="02010600040101010101"/>
    <w:charset w:val="86"/>
    <w:family w:val="auto"/>
    <w:pitch w:val="default"/>
    <w:sig w:usb0="00000287" w:usb1="080F0000" w:usb2="00000000" w:usb3="00000000" w:csb0="0004009F" w:csb1="DFD70000"/>
    <w:embedRegular r:id="rId15" w:fontKey="{C9C1941C-2536-4169-AE91-60691519BBDA}"/>
  </w:font>
  <w:font w:name="方正仿宋GBK">
    <w:altName w:val="仿宋"/>
    <w:panose1 w:val="00000000000000000000"/>
    <w:charset w:val="00"/>
    <w:family w:val="auto"/>
    <w:pitch w:val="default"/>
    <w:sig w:usb0="00000000" w:usb1="00000000" w:usb2="00000000" w:usb3="00000000" w:csb0="00040001" w:csb1="00000000"/>
    <w:embedRegular r:id="rId16" w:fontKey="{A0394BF9-8E22-45D4-AE44-2CCAAD0236A3}"/>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2000000000000000000"/>
    <w:charset w:val="86"/>
    <w:family w:val="auto"/>
    <w:pitch w:val="default"/>
    <w:sig w:usb0="800002BF" w:usb1="38CF7CFA" w:usb2="00000016"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DDC2B">
    <w:pPr>
      <w:pStyle w:val="268"/>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58E0A">
    <w:pPr>
      <w:pStyle w:val="268"/>
      <w:framePr w:wrap="around" w:vAnchor="text" w:hAnchor="margin" w:xAlign="center" w:y="1"/>
      <w:rPr>
        <w:rStyle w:val="293"/>
      </w:rPr>
    </w:pPr>
    <w:r>
      <w:fldChar w:fldCharType="begin"/>
    </w:r>
    <w:r>
      <w:rPr>
        <w:rStyle w:val="293"/>
      </w:rPr>
      <w:instrText xml:space="preserve">PAGE  </w:instrText>
    </w:r>
    <w:r>
      <w:fldChar w:fldCharType="separate"/>
    </w:r>
    <w:r>
      <w:rPr>
        <w:rStyle w:val="293"/>
      </w:rPr>
      <w:t>1</w:t>
    </w:r>
    <w:r>
      <w:fldChar w:fldCharType="end"/>
    </w:r>
  </w:p>
  <w:p w14:paraId="5ED70533">
    <w:pPr>
      <w:pStyle w:val="26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5871">
    <w:pPr>
      <w:pStyle w:val="268"/>
      <w:jc w:val="center"/>
      <w:rPr>
        <w:b/>
        <w:i/>
      </w:rPr>
    </w:pP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421F3">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CC30A">
    <w:pPr>
      <w:pStyle w:val="268"/>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BEAC5">
                          <w:pPr>
                            <w:pStyle w:val="2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0CBEAC5">
                    <w:pPr>
                      <w:pStyle w:val="24"/>
                    </w:pPr>
                    <w:r>
                      <w:fldChar w:fldCharType="begin"/>
                    </w:r>
                    <w:r>
                      <w:instrText xml:space="preserve"> PAGE  \* MERGEFORMAT </w:instrText>
                    </w:r>
                    <w:r>
                      <w:fldChar w:fldCharType="separate"/>
                    </w:r>
                    <w:r>
                      <w:t>4</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EEF87">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0C31F">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890C31F">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99DEC">
    <w:pPr>
      <w:pStyle w:val="27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30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2"/>
      <w:suff w:val="nothing"/>
      <w:lvlText w:val=""/>
      <w:lvlJc w:val="left"/>
      <w:pPr>
        <w:ind w:left="0" w:firstLine="0"/>
      </w:pPr>
      <w:rPr>
        <w:rFonts w:hint="eastAsia"/>
      </w:rPr>
    </w:lvl>
    <w:lvl w:ilvl="6" w:tentative="0">
      <w:start w:val="1"/>
      <w:numFmt w:val="decimal"/>
      <w:pStyle w:val="233"/>
      <w:suff w:val="nothing"/>
      <w:lvlText w:val=""/>
      <w:lvlJc w:val="left"/>
      <w:pPr>
        <w:ind w:left="0" w:firstLine="0"/>
      </w:pPr>
      <w:rPr>
        <w:rFonts w:hint="eastAsia"/>
      </w:rPr>
    </w:lvl>
    <w:lvl w:ilvl="7" w:tentative="0">
      <w:start w:val="1"/>
      <w:numFmt w:val="decimal"/>
      <w:pStyle w:val="234"/>
      <w:suff w:val="nothing"/>
      <w:lvlText w:val=""/>
      <w:lvlJc w:val="left"/>
      <w:pPr>
        <w:ind w:left="0" w:firstLine="0"/>
      </w:pPr>
      <w:rPr>
        <w:rFonts w:hint="eastAsia"/>
      </w:rPr>
    </w:lvl>
    <w:lvl w:ilvl="8" w:tentative="0">
      <w:start w:val="1"/>
      <w:numFmt w:val="decimal"/>
      <w:pStyle w:val="235"/>
      <w:suff w:val="nothing"/>
      <w:lvlText w:val=""/>
      <w:lvlJc w:val="left"/>
      <w:pPr>
        <w:ind w:left="0" w:firstLine="0"/>
      </w:pPr>
      <w:rPr>
        <w:rFonts w:hint="eastAsia"/>
      </w:rPr>
    </w:lvl>
  </w:abstractNum>
  <w:abstractNum w:abstractNumId="2">
    <w:nsid w:val="59ADCABA"/>
    <w:multiLevelType w:val="multilevel"/>
    <w:tmpl w:val="59ADCABA"/>
    <w:lvl w:ilvl="0" w:tentative="0">
      <w:start w:val="1"/>
      <w:numFmt w:val="decimal"/>
      <w:pStyle w:val="31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706"/>
    <w:rsid w:val="00097114"/>
    <w:rsid w:val="000A1A0D"/>
    <w:rsid w:val="00200404"/>
    <w:rsid w:val="00271CA6"/>
    <w:rsid w:val="003D4706"/>
    <w:rsid w:val="00825732"/>
    <w:rsid w:val="009444C8"/>
    <w:rsid w:val="00AD4F5F"/>
    <w:rsid w:val="00C603FA"/>
    <w:rsid w:val="00C96CA8"/>
    <w:rsid w:val="00F17E32"/>
    <w:rsid w:val="01235AEB"/>
    <w:rsid w:val="01323CE1"/>
    <w:rsid w:val="01BB7833"/>
    <w:rsid w:val="02B0310F"/>
    <w:rsid w:val="02F91B38"/>
    <w:rsid w:val="032375BB"/>
    <w:rsid w:val="03582BDC"/>
    <w:rsid w:val="035C3943"/>
    <w:rsid w:val="050734B9"/>
    <w:rsid w:val="05422D69"/>
    <w:rsid w:val="058C1C12"/>
    <w:rsid w:val="07A56FBB"/>
    <w:rsid w:val="07C7191B"/>
    <w:rsid w:val="07FD104D"/>
    <w:rsid w:val="08484D33"/>
    <w:rsid w:val="092B38AE"/>
    <w:rsid w:val="097874D0"/>
    <w:rsid w:val="0A3604C6"/>
    <w:rsid w:val="0A851326"/>
    <w:rsid w:val="0AA176D0"/>
    <w:rsid w:val="0B2935A3"/>
    <w:rsid w:val="0B4A3216"/>
    <w:rsid w:val="0C01678A"/>
    <w:rsid w:val="0C491650"/>
    <w:rsid w:val="0CB7787A"/>
    <w:rsid w:val="0CFE523C"/>
    <w:rsid w:val="0D315C80"/>
    <w:rsid w:val="0E9C4E0F"/>
    <w:rsid w:val="0EA55AF2"/>
    <w:rsid w:val="0F0F11BE"/>
    <w:rsid w:val="0F29227F"/>
    <w:rsid w:val="0F8C0A60"/>
    <w:rsid w:val="0FEE613F"/>
    <w:rsid w:val="10675755"/>
    <w:rsid w:val="10D40911"/>
    <w:rsid w:val="11113DCB"/>
    <w:rsid w:val="113D5816"/>
    <w:rsid w:val="11733F8E"/>
    <w:rsid w:val="11DA3722"/>
    <w:rsid w:val="120B2110"/>
    <w:rsid w:val="126D12DF"/>
    <w:rsid w:val="12872282"/>
    <w:rsid w:val="12D56770"/>
    <w:rsid w:val="12D74E4C"/>
    <w:rsid w:val="13225F35"/>
    <w:rsid w:val="137E14C3"/>
    <w:rsid w:val="13D05BAA"/>
    <w:rsid w:val="13EA68FF"/>
    <w:rsid w:val="14943023"/>
    <w:rsid w:val="149E726C"/>
    <w:rsid w:val="15CA3954"/>
    <w:rsid w:val="168A3971"/>
    <w:rsid w:val="16AD7E22"/>
    <w:rsid w:val="170D14F9"/>
    <w:rsid w:val="177B3894"/>
    <w:rsid w:val="178F6275"/>
    <w:rsid w:val="179761F4"/>
    <w:rsid w:val="18131D1F"/>
    <w:rsid w:val="1865622B"/>
    <w:rsid w:val="187153AE"/>
    <w:rsid w:val="192A2F8B"/>
    <w:rsid w:val="193C52A5"/>
    <w:rsid w:val="19992DEB"/>
    <w:rsid w:val="19B25A82"/>
    <w:rsid w:val="1A8707A2"/>
    <w:rsid w:val="1B491093"/>
    <w:rsid w:val="1B4B17D0"/>
    <w:rsid w:val="1BD23C9F"/>
    <w:rsid w:val="1C0F4EF3"/>
    <w:rsid w:val="1C760A5D"/>
    <w:rsid w:val="1DA2481A"/>
    <w:rsid w:val="1E026ABD"/>
    <w:rsid w:val="1E092864"/>
    <w:rsid w:val="1E291486"/>
    <w:rsid w:val="1E684E22"/>
    <w:rsid w:val="1E6D20BF"/>
    <w:rsid w:val="1E71154D"/>
    <w:rsid w:val="1EC2692A"/>
    <w:rsid w:val="1F4B3249"/>
    <w:rsid w:val="1F83661B"/>
    <w:rsid w:val="1F8F25D3"/>
    <w:rsid w:val="20210D51"/>
    <w:rsid w:val="21812927"/>
    <w:rsid w:val="21B41F35"/>
    <w:rsid w:val="22244B28"/>
    <w:rsid w:val="22A87507"/>
    <w:rsid w:val="23B15197"/>
    <w:rsid w:val="24003A9F"/>
    <w:rsid w:val="251A0B90"/>
    <w:rsid w:val="25DC0BEB"/>
    <w:rsid w:val="25DD396C"/>
    <w:rsid w:val="262F5AAF"/>
    <w:rsid w:val="265E66A0"/>
    <w:rsid w:val="26973678"/>
    <w:rsid w:val="26F15D0D"/>
    <w:rsid w:val="2736391D"/>
    <w:rsid w:val="289B0A0A"/>
    <w:rsid w:val="28CF193B"/>
    <w:rsid w:val="28EB043E"/>
    <w:rsid w:val="29266631"/>
    <w:rsid w:val="2932674E"/>
    <w:rsid w:val="2964687E"/>
    <w:rsid w:val="298760C9"/>
    <w:rsid w:val="298F4F7D"/>
    <w:rsid w:val="29C54E43"/>
    <w:rsid w:val="2A4E706A"/>
    <w:rsid w:val="2AB87F94"/>
    <w:rsid w:val="2B0E57A7"/>
    <w:rsid w:val="2B4D766B"/>
    <w:rsid w:val="2BF336FF"/>
    <w:rsid w:val="2C386E53"/>
    <w:rsid w:val="2C60493C"/>
    <w:rsid w:val="2CAB441F"/>
    <w:rsid w:val="2D731129"/>
    <w:rsid w:val="2D8C6181"/>
    <w:rsid w:val="2D9F07E7"/>
    <w:rsid w:val="2DFD104F"/>
    <w:rsid w:val="2E6E5AA9"/>
    <w:rsid w:val="2F963509"/>
    <w:rsid w:val="2FB76505"/>
    <w:rsid w:val="302263CA"/>
    <w:rsid w:val="30C00D64"/>
    <w:rsid w:val="313A7EC4"/>
    <w:rsid w:val="317A57A7"/>
    <w:rsid w:val="320F28B0"/>
    <w:rsid w:val="32566F80"/>
    <w:rsid w:val="326A3047"/>
    <w:rsid w:val="32930334"/>
    <w:rsid w:val="32C25AD6"/>
    <w:rsid w:val="32C739DA"/>
    <w:rsid w:val="334D1053"/>
    <w:rsid w:val="3354235C"/>
    <w:rsid w:val="342C0380"/>
    <w:rsid w:val="34874126"/>
    <w:rsid w:val="34AE28E6"/>
    <w:rsid w:val="34BA1A48"/>
    <w:rsid w:val="352560FA"/>
    <w:rsid w:val="358E1726"/>
    <w:rsid w:val="35B13500"/>
    <w:rsid w:val="35DF49B3"/>
    <w:rsid w:val="36B85B13"/>
    <w:rsid w:val="36D81C0F"/>
    <w:rsid w:val="37083764"/>
    <w:rsid w:val="371B7FB2"/>
    <w:rsid w:val="378123A9"/>
    <w:rsid w:val="379245B6"/>
    <w:rsid w:val="37B50FA4"/>
    <w:rsid w:val="38523D46"/>
    <w:rsid w:val="38A41F58"/>
    <w:rsid w:val="38B075E0"/>
    <w:rsid w:val="38F20861"/>
    <w:rsid w:val="39A131D7"/>
    <w:rsid w:val="3A5F086E"/>
    <w:rsid w:val="3A695799"/>
    <w:rsid w:val="3B0B71E7"/>
    <w:rsid w:val="3B1B0D67"/>
    <w:rsid w:val="3B386282"/>
    <w:rsid w:val="3B661803"/>
    <w:rsid w:val="3BBD597A"/>
    <w:rsid w:val="3BE27355"/>
    <w:rsid w:val="3C0D6901"/>
    <w:rsid w:val="3C883EDF"/>
    <w:rsid w:val="3CC85226"/>
    <w:rsid w:val="3DD60F75"/>
    <w:rsid w:val="3DED77E8"/>
    <w:rsid w:val="3E261EFC"/>
    <w:rsid w:val="3E703177"/>
    <w:rsid w:val="3E8B358E"/>
    <w:rsid w:val="3EB85B81"/>
    <w:rsid w:val="3ECA1839"/>
    <w:rsid w:val="3EF77CFA"/>
    <w:rsid w:val="3F12422F"/>
    <w:rsid w:val="3F585A92"/>
    <w:rsid w:val="3FF1653A"/>
    <w:rsid w:val="4065450D"/>
    <w:rsid w:val="4140091F"/>
    <w:rsid w:val="418575FE"/>
    <w:rsid w:val="419E7FFC"/>
    <w:rsid w:val="41D103D1"/>
    <w:rsid w:val="42173F3E"/>
    <w:rsid w:val="42725710"/>
    <w:rsid w:val="42831F26"/>
    <w:rsid w:val="42ED2FE9"/>
    <w:rsid w:val="42FE57D8"/>
    <w:rsid w:val="43993170"/>
    <w:rsid w:val="43B104BA"/>
    <w:rsid w:val="44213E6A"/>
    <w:rsid w:val="4469669F"/>
    <w:rsid w:val="44AC01D4"/>
    <w:rsid w:val="450F3ADA"/>
    <w:rsid w:val="454964D0"/>
    <w:rsid w:val="45F94EA0"/>
    <w:rsid w:val="46671304"/>
    <w:rsid w:val="473462CA"/>
    <w:rsid w:val="47586EF7"/>
    <w:rsid w:val="4783216D"/>
    <w:rsid w:val="48541414"/>
    <w:rsid w:val="48547666"/>
    <w:rsid w:val="4855757D"/>
    <w:rsid w:val="48843EED"/>
    <w:rsid w:val="489A369A"/>
    <w:rsid w:val="490823AF"/>
    <w:rsid w:val="4A2A4B22"/>
    <w:rsid w:val="4A7F4E6E"/>
    <w:rsid w:val="4AAE5B50"/>
    <w:rsid w:val="4AC22FAD"/>
    <w:rsid w:val="4AD827D0"/>
    <w:rsid w:val="4B84756E"/>
    <w:rsid w:val="4BC915C7"/>
    <w:rsid w:val="4CC02118"/>
    <w:rsid w:val="4CE27CEC"/>
    <w:rsid w:val="4D453C8D"/>
    <w:rsid w:val="4E147F73"/>
    <w:rsid w:val="4E8A7B66"/>
    <w:rsid w:val="4E964A16"/>
    <w:rsid w:val="4F0D785A"/>
    <w:rsid w:val="4F837195"/>
    <w:rsid w:val="4F936CC6"/>
    <w:rsid w:val="4F952A3E"/>
    <w:rsid w:val="4F9A1380"/>
    <w:rsid w:val="4F9C3DCC"/>
    <w:rsid w:val="4FA03191"/>
    <w:rsid w:val="4FE74DF9"/>
    <w:rsid w:val="500C110B"/>
    <w:rsid w:val="503F0BFC"/>
    <w:rsid w:val="50402687"/>
    <w:rsid w:val="50FC4267"/>
    <w:rsid w:val="517035DF"/>
    <w:rsid w:val="51E24360"/>
    <w:rsid w:val="52550DA6"/>
    <w:rsid w:val="52FB3500"/>
    <w:rsid w:val="54134879"/>
    <w:rsid w:val="54271E31"/>
    <w:rsid w:val="542771FC"/>
    <w:rsid w:val="54E579B0"/>
    <w:rsid w:val="550F5041"/>
    <w:rsid w:val="558279A6"/>
    <w:rsid w:val="55BD2CEE"/>
    <w:rsid w:val="56382375"/>
    <w:rsid w:val="566F4FFD"/>
    <w:rsid w:val="56DC6D26"/>
    <w:rsid w:val="56FC1B80"/>
    <w:rsid w:val="56FE5CEA"/>
    <w:rsid w:val="5712060A"/>
    <w:rsid w:val="575F0520"/>
    <w:rsid w:val="57B669EE"/>
    <w:rsid w:val="57FF75EE"/>
    <w:rsid w:val="58187BB3"/>
    <w:rsid w:val="58917BC2"/>
    <w:rsid w:val="58920462"/>
    <w:rsid w:val="58C56AF2"/>
    <w:rsid w:val="59AC5554"/>
    <w:rsid w:val="59B20D31"/>
    <w:rsid w:val="5B0D55FD"/>
    <w:rsid w:val="5B4B48F9"/>
    <w:rsid w:val="5B50627E"/>
    <w:rsid w:val="5B6807EE"/>
    <w:rsid w:val="5B860DDB"/>
    <w:rsid w:val="5BA13EB5"/>
    <w:rsid w:val="5BA67D81"/>
    <w:rsid w:val="5CA6628A"/>
    <w:rsid w:val="5CCC5468"/>
    <w:rsid w:val="5D5D1CD6"/>
    <w:rsid w:val="5D867E6A"/>
    <w:rsid w:val="5D9766F2"/>
    <w:rsid w:val="5DAD189A"/>
    <w:rsid w:val="5E3D443B"/>
    <w:rsid w:val="5E55191B"/>
    <w:rsid w:val="5EB60850"/>
    <w:rsid w:val="5EC46E9C"/>
    <w:rsid w:val="5EF536C6"/>
    <w:rsid w:val="5F117C07"/>
    <w:rsid w:val="5F1D035A"/>
    <w:rsid w:val="5F381946"/>
    <w:rsid w:val="5F6004BF"/>
    <w:rsid w:val="5F751F44"/>
    <w:rsid w:val="5FDB068E"/>
    <w:rsid w:val="6022031E"/>
    <w:rsid w:val="6023228B"/>
    <w:rsid w:val="60255718"/>
    <w:rsid w:val="603E2C7E"/>
    <w:rsid w:val="6048675F"/>
    <w:rsid w:val="60561D75"/>
    <w:rsid w:val="608B03AD"/>
    <w:rsid w:val="60A933F7"/>
    <w:rsid w:val="61186D8B"/>
    <w:rsid w:val="611A6E56"/>
    <w:rsid w:val="61227EAA"/>
    <w:rsid w:val="620D46B6"/>
    <w:rsid w:val="63A40AAC"/>
    <w:rsid w:val="64572560"/>
    <w:rsid w:val="650405A4"/>
    <w:rsid w:val="663C145B"/>
    <w:rsid w:val="66B67667"/>
    <w:rsid w:val="66E31994"/>
    <w:rsid w:val="66F57DCC"/>
    <w:rsid w:val="678C0773"/>
    <w:rsid w:val="679B09B6"/>
    <w:rsid w:val="67D70F95"/>
    <w:rsid w:val="680A64A2"/>
    <w:rsid w:val="68880E09"/>
    <w:rsid w:val="68ED228A"/>
    <w:rsid w:val="68F16ADF"/>
    <w:rsid w:val="690379FD"/>
    <w:rsid w:val="69236EB5"/>
    <w:rsid w:val="69CA10DE"/>
    <w:rsid w:val="6A267F18"/>
    <w:rsid w:val="6AAD4C88"/>
    <w:rsid w:val="6ABF49BB"/>
    <w:rsid w:val="6B014FD4"/>
    <w:rsid w:val="6B5F0C75"/>
    <w:rsid w:val="6B8C3A06"/>
    <w:rsid w:val="6C223747"/>
    <w:rsid w:val="6C592260"/>
    <w:rsid w:val="6CB5251A"/>
    <w:rsid w:val="6D1C4347"/>
    <w:rsid w:val="6D1D4563"/>
    <w:rsid w:val="6D856FFD"/>
    <w:rsid w:val="6E3E2114"/>
    <w:rsid w:val="6E586EDC"/>
    <w:rsid w:val="6E7706DE"/>
    <w:rsid w:val="6EB56557"/>
    <w:rsid w:val="6EBE04E3"/>
    <w:rsid w:val="6FFF263B"/>
    <w:rsid w:val="702C2AF3"/>
    <w:rsid w:val="702E686B"/>
    <w:rsid w:val="70441BEA"/>
    <w:rsid w:val="715F7A20"/>
    <w:rsid w:val="716A2EEA"/>
    <w:rsid w:val="716D33C3"/>
    <w:rsid w:val="71D4161F"/>
    <w:rsid w:val="721E646B"/>
    <w:rsid w:val="73682094"/>
    <w:rsid w:val="73804286"/>
    <w:rsid w:val="74AD0DE9"/>
    <w:rsid w:val="74C652C4"/>
    <w:rsid w:val="758D4034"/>
    <w:rsid w:val="75A1363B"/>
    <w:rsid w:val="75CF01A8"/>
    <w:rsid w:val="76275D56"/>
    <w:rsid w:val="768F3F5C"/>
    <w:rsid w:val="76E748BD"/>
    <w:rsid w:val="772774BF"/>
    <w:rsid w:val="772D3549"/>
    <w:rsid w:val="77EC13B7"/>
    <w:rsid w:val="7860333A"/>
    <w:rsid w:val="78CC4E73"/>
    <w:rsid w:val="78F9553C"/>
    <w:rsid w:val="79D815F5"/>
    <w:rsid w:val="7A097A01"/>
    <w:rsid w:val="7A9D399F"/>
    <w:rsid w:val="7AA80CC3"/>
    <w:rsid w:val="7AAD607D"/>
    <w:rsid w:val="7B3B2FAC"/>
    <w:rsid w:val="7B4D01D8"/>
    <w:rsid w:val="7C0E2290"/>
    <w:rsid w:val="7C120F4C"/>
    <w:rsid w:val="7C4D6FA2"/>
    <w:rsid w:val="7D460757"/>
    <w:rsid w:val="7DB36601"/>
    <w:rsid w:val="7E950D42"/>
    <w:rsid w:val="7F225738"/>
    <w:rsid w:val="7F8A5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0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0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10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7"/>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08"/>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09"/>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semiHidden/>
    <w:qFormat/>
    <w:uiPriority w:val="0"/>
  </w:style>
  <w:style w:type="paragraph" w:styleId="16">
    <w:name w:val="Body Text Indent"/>
    <w:basedOn w:val="1"/>
    <w:unhideWhenUsed/>
    <w:qFormat/>
    <w:uiPriority w:val="0"/>
    <w:pPr>
      <w:spacing w:after="120"/>
      <w:ind w:left="420"/>
    </w:pPr>
    <w:rPr>
      <w:b/>
    </w:rPr>
  </w:style>
  <w:style w:type="paragraph" w:styleId="17">
    <w:name w:val="index 4"/>
    <w:next w:val="1"/>
    <w:qFormat/>
    <w:uiPriority w:val="0"/>
    <w:pPr>
      <w:widowControl w:val="0"/>
      <w:ind w:left="600"/>
      <w:jc w:val="both"/>
    </w:pPr>
    <w:rPr>
      <w:rFonts w:ascii="Times New Roman" w:hAnsi="Times New Roman" w:eastAsia="宋体" w:cs="Times New Roman"/>
      <w:sz w:val="21"/>
      <w:szCs w:val="24"/>
      <w:lang w:val="en-US" w:eastAsia="zh-CN" w:bidi="ar-S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 w:val="20"/>
    </w:r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ind w:left="630" w:firstLine="640"/>
    </w:pPr>
    <w:rPr>
      <w:rFonts w:ascii="Arial" w:hAnsi="Arial" w:eastAsia="仿宋_GB2312"/>
      <w:sz w:val="32"/>
    </w:rPr>
  </w:style>
  <w:style w:type="paragraph" w:styleId="23">
    <w:name w:val="endnote text"/>
    <w:basedOn w:val="1"/>
    <w:link w:val="229"/>
    <w:semiHidden/>
    <w:unhideWhenUsed/>
    <w:qFormat/>
    <w:uiPriority w:val="99"/>
    <w:rPr>
      <w:sz w:val="20"/>
    </w:rPr>
  </w:style>
  <w:style w:type="paragraph" w:styleId="24">
    <w:name w:val="footer"/>
    <w:basedOn w:val="1"/>
    <w:link w:val="121"/>
    <w:unhideWhenUsed/>
    <w:qFormat/>
    <w:uiPriority w:val="99"/>
    <w:pPr>
      <w:tabs>
        <w:tab w:val="center" w:pos="7143"/>
        <w:tab w:val="right" w:pos="14287"/>
      </w:tabs>
    </w:pPr>
  </w:style>
  <w:style w:type="paragraph" w:styleId="25">
    <w:name w:val="envelope return"/>
    <w:basedOn w:val="1"/>
    <w:qFormat/>
    <w:uiPriority w:val="0"/>
    <w:rPr>
      <w:rFonts w:ascii="Arial" w:hAnsi="Arial" w:cs="宋体"/>
    </w:rPr>
  </w:style>
  <w:style w:type="paragraph" w:styleId="26">
    <w:name w:val="header"/>
    <w:basedOn w:val="1"/>
    <w:link w:val="119"/>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14"/>
    <w:qFormat/>
    <w:uiPriority w:val="11"/>
    <w:pPr>
      <w:spacing w:before="200" w:after="200"/>
    </w:pPr>
    <w:rPr>
      <w:sz w:val="24"/>
      <w:szCs w:val="24"/>
    </w:rPr>
  </w:style>
  <w:style w:type="paragraph" w:styleId="30">
    <w:name w:val="footnote text"/>
    <w:basedOn w:val="1"/>
    <w:link w:val="228"/>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rPr>
      <w:sz w:val="24"/>
    </w:rPr>
  </w:style>
  <w:style w:type="paragraph" w:styleId="36">
    <w:name w:val="Title"/>
    <w:basedOn w:val="1"/>
    <w:next w:val="1"/>
    <w:link w:val="113"/>
    <w:qFormat/>
    <w:uiPriority w:val="10"/>
    <w:pPr>
      <w:spacing w:before="300" w:after="200"/>
      <w:contextualSpacing/>
    </w:pPr>
    <w:rPr>
      <w:sz w:val="48"/>
      <w:szCs w:val="48"/>
    </w:rPr>
  </w:style>
  <w:style w:type="paragraph" w:styleId="37">
    <w:name w:val="Body Text First Indent 2"/>
    <w:basedOn w:val="16"/>
    <w:next w:val="1"/>
    <w:qFormat/>
    <w:uiPriority w:val="0"/>
    <w:pPr>
      <w:spacing w:after="0" w:line="360" w:lineRule="auto"/>
      <w:ind w:left="0" w:firstLine="420"/>
    </w:pPr>
    <w:rPr>
      <w:rFonts w:ascii="宋体" w:hAnsi="宋体"/>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首行缩进 211"/>
    <w:basedOn w:val="46"/>
    <w:next w:val="1"/>
    <w:qFormat/>
    <w:uiPriority w:val="99"/>
    <w:pPr>
      <w:spacing w:line="360" w:lineRule="auto"/>
      <w:ind w:firstLine="420"/>
    </w:pPr>
    <w:rPr>
      <w:rFonts w:ascii="宋体" w:hAnsi="宋体" w:eastAsia="宋体"/>
      <w:sz w:val="20"/>
    </w:rPr>
  </w:style>
  <w:style w:type="paragraph" w:customStyle="1" w:styleId="46">
    <w:name w:val="正文文本缩进11"/>
    <w:basedOn w:val="1"/>
    <w:next w:val="47"/>
    <w:qFormat/>
    <w:uiPriority w:val="0"/>
    <w:pPr>
      <w:ind w:firstLine="645"/>
    </w:pPr>
    <w:rPr>
      <w:rFonts w:ascii="楷体_GB2312" w:eastAsia="楷体_GB2312"/>
      <w:sz w:val="32"/>
    </w:rPr>
  </w:style>
  <w:style w:type="paragraph" w:customStyle="1" w:styleId="47">
    <w:name w:val="寄信人地址1"/>
    <w:basedOn w:val="1"/>
    <w:qFormat/>
    <w:uiPriority w:val="0"/>
    <w:rPr>
      <w:rFonts w:ascii="Arial" w:hAnsi="Arial" w:cs="宋体"/>
    </w:rPr>
  </w:style>
  <w:style w:type="paragraph" w:customStyle="1" w:styleId="48">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9">
    <w:name w:val="正文文本首行缩进 21"/>
    <w:basedOn w:val="50"/>
    <w:next w:val="1"/>
    <w:qFormat/>
    <w:uiPriority w:val="99"/>
    <w:pPr>
      <w:spacing w:after="0" w:line="360" w:lineRule="auto"/>
      <w:ind w:left="0" w:firstLine="420"/>
    </w:pPr>
    <w:rPr>
      <w:rFonts w:ascii="宋体" w:hAnsi="宋体"/>
      <w:szCs w:val="20"/>
    </w:rPr>
  </w:style>
  <w:style w:type="paragraph" w:customStyle="1" w:styleId="50">
    <w:name w:val="正文文本缩进111"/>
    <w:basedOn w:val="1"/>
    <w:next w:val="51"/>
    <w:unhideWhenUsed/>
    <w:qFormat/>
    <w:uiPriority w:val="0"/>
    <w:pPr>
      <w:spacing w:after="120"/>
      <w:ind w:left="420"/>
    </w:pPr>
  </w:style>
  <w:style w:type="paragraph" w:customStyle="1" w:styleId="51">
    <w:name w:val="寄信人地址11"/>
    <w:basedOn w:val="1"/>
    <w:qFormat/>
    <w:uiPriority w:val="0"/>
    <w:rPr>
      <w:rFonts w:ascii="Arial" w:hAnsi="Arial" w:cs="宋体"/>
    </w:rPr>
  </w:style>
  <w:style w:type="character" w:customStyle="1" w:styleId="52">
    <w:name w:val="Heading 1 Char"/>
    <w:basedOn w:val="40"/>
    <w:qFormat/>
    <w:uiPriority w:val="9"/>
    <w:rPr>
      <w:rFonts w:ascii="Arial" w:hAnsi="Arial" w:eastAsia="Arial" w:cs="Arial"/>
      <w:sz w:val="40"/>
      <w:szCs w:val="40"/>
    </w:rPr>
  </w:style>
  <w:style w:type="character" w:customStyle="1" w:styleId="53">
    <w:name w:val="Heading 2 Char"/>
    <w:basedOn w:val="40"/>
    <w:qFormat/>
    <w:uiPriority w:val="9"/>
    <w:rPr>
      <w:rFonts w:ascii="Arial" w:hAnsi="Arial" w:eastAsia="Arial" w:cs="Arial"/>
      <w:sz w:val="34"/>
    </w:rPr>
  </w:style>
  <w:style w:type="character" w:customStyle="1" w:styleId="54">
    <w:name w:val="Heading 3 Char"/>
    <w:basedOn w:val="40"/>
    <w:qFormat/>
    <w:uiPriority w:val="9"/>
    <w:rPr>
      <w:rFonts w:ascii="Arial" w:hAnsi="Arial" w:eastAsia="Arial" w:cs="Arial"/>
      <w:sz w:val="30"/>
      <w:szCs w:val="30"/>
    </w:rPr>
  </w:style>
  <w:style w:type="character" w:customStyle="1" w:styleId="55">
    <w:name w:val="Heading 4 Char"/>
    <w:basedOn w:val="40"/>
    <w:qFormat/>
    <w:uiPriority w:val="9"/>
    <w:rPr>
      <w:rFonts w:ascii="Arial" w:hAnsi="Arial" w:eastAsia="Arial" w:cs="Arial"/>
      <w:b/>
      <w:bCs/>
      <w:sz w:val="26"/>
      <w:szCs w:val="26"/>
    </w:rPr>
  </w:style>
  <w:style w:type="character" w:customStyle="1" w:styleId="56">
    <w:name w:val="Heading 5 Char"/>
    <w:basedOn w:val="40"/>
    <w:qFormat/>
    <w:uiPriority w:val="9"/>
    <w:rPr>
      <w:rFonts w:ascii="Arial" w:hAnsi="Arial" w:eastAsia="Arial" w:cs="Arial"/>
      <w:b/>
      <w:bCs/>
      <w:sz w:val="24"/>
      <w:szCs w:val="24"/>
    </w:rPr>
  </w:style>
  <w:style w:type="character" w:customStyle="1" w:styleId="57">
    <w:name w:val="Heading 6 Char"/>
    <w:basedOn w:val="40"/>
    <w:qFormat/>
    <w:uiPriority w:val="9"/>
    <w:rPr>
      <w:rFonts w:ascii="Arial" w:hAnsi="Arial" w:eastAsia="Arial" w:cs="Arial"/>
      <w:b/>
      <w:bCs/>
      <w:sz w:val="22"/>
      <w:szCs w:val="22"/>
    </w:rPr>
  </w:style>
  <w:style w:type="character" w:customStyle="1" w:styleId="58">
    <w:name w:val="Heading 7 Char"/>
    <w:basedOn w:val="40"/>
    <w:qFormat/>
    <w:uiPriority w:val="9"/>
    <w:rPr>
      <w:rFonts w:ascii="Arial" w:hAnsi="Arial" w:eastAsia="Arial" w:cs="Arial"/>
      <w:b/>
      <w:bCs/>
      <w:i/>
      <w:iCs/>
      <w:sz w:val="22"/>
      <w:szCs w:val="22"/>
    </w:rPr>
  </w:style>
  <w:style w:type="character" w:customStyle="1" w:styleId="59">
    <w:name w:val="Heading 8 Char"/>
    <w:basedOn w:val="40"/>
    <w:qFormat/>
    <w:uiPriority w:val="9"/>
    <w:rPr>
      <w:rFonts w:ascii="Arial" w:hAnsi="Arial" w:eastAsia="Arial" w:cs="Arial"/>
      <w:i/>
      <w:iCs/>
      <w:sz w:val="22"/>
      <w:szCs w:val="22"/>
    </w:rPr>
  </w:style>
  <w:style w:type="character" w:customStyle="1" w:styleId="60">
    <w:name w:val="Heading 9 Char"/>
    <w:basedOn w:val="40"/>
    <w:qFormat/>
    <w:uiPriority w:val="9"/>
    <w:rPr>
      <w:rFonts w:ascii="Arial" w:hAnsi="Arial" w:eastAsia="Arial" w:cs="Arial"/>
      <w:i/>
      <w:iCs/>
      <w:sz w:val="21"/>
      <w:szCs w:val="21"/>
    </w:rPr>
  </w:style>
  <w:style w:type="character" w:customStyle="1" w:styleId="61">
    <w:name w:val="Title Char"/>
    <w:basedOn w:val="40"/>
    <w:qFormat/>
    <w:uiPriority w:val="10"/>
    <w:rPr>
      <w:sz w:val="48"/>
      <w:szCs w:val="48"/>
    </w:rPr>
  </w:style>
  <w:style w:type="character" w:customStyle="1" w:styleId="62">
    <w:name w:val="Subtitle Char"/>
    <w:basedOn w:val="40"/>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character" w:customStyle="1" w:styleId="65">
    <w:name w:val="Header Char"/>
    <w:basedOn w:val="40"/>
    <w:qFormat/>
    <w:uiPriority w:val="99"/>
  </w:style>
  <w:style w:type="character" w:customStyle="1" w:styleId="66">
    <w:name w:val="Caption Char"/>
    <w:qFormat/>
    <w:uiPriority w:val="99"/>
  </w:style>
  <w:style w:type="table" w:customStyle="1" w:styleId="67">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basedOn w:val="38"/>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basedOn w:val="38"/>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basedOn w:val="38"/>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清单表 1 浅色1"/>
    <w:basedOn w:val="38"/>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清单表 7 彩色1"/>
    <w:basedOn w:val="38"/>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标题1"/>
    <w:unhideWhenUsed/>
    <w:qFormat/>
    <w:uiPriority w:val="39"/>
    <w:rPr>
      <w:rFonts w:ascii="Times New Roman" w:hAnsi="Times New Roman" w:eastAsia="宋体" w:cs="Times New Roman"/>
      <w:lang w:val="en-US" w:eastAsia="zh-CN" w:bidi="ar-SA"/>
    </w:rPr>
  </w:style>
  <w:style w:type="character" w:customStyle="1" w:styleId="89">
    <w:name w:val="标题 3 Char"/>
    <w:link w:val="90"/>
    <w:qFormat/>
    <w:uiPriority w:val="0"/>
    <w:rPr>
      <w:rFonts w:ascii="Times New Roman" w:hAnsi="Times New Roman" w:eastAsia="宋体" w:cs="Times New Roman"/>
      <w:b/>
      <w:bCs/>
      <w:sz w:val="32"/>
      <w:szCs w:val="32"/>
    </w:rPr>
  </w:style>
  <w:style w:type="paragraph" w:customStyle="1" w:styleId="90">
    <w:name w:val="标题 31"/>
    <w:basedOn w:val="1"/>
    <w:next w:val="91"/>
    <w:link w:val="89"/>
    <w:qFormat/>
    <w:uiPriority w:val="0"/>
    <w:pPr>
      <w:keepNext/>
      <w:keepLines/>
      <w:spacing w:before="260" w:after="260" w:line="416" w:lineRule="auto"/>
      <w:outlineLvl w:val="2"/>
    </w:pPr>
    <w:rPr>
      <w:b/>
      <w:bCs/>
      <w:sz w:val="32"/>
      <w:szCs w:val="32"/>
    </w:rPr>
  </w:style>
  <w:style w:type="paragraph" w:customStyle="1" w:styleId="91">
    <w:name w:val="正文缩进11"/>
    <w:basedOn w:val="1"/>
    <w:qFormat/>
    <w:uiPriority w:val="0"/>
    <w:pPr>
      <w:ind w:firstLine="420"/>
    </w:pPr>
  </w:style>
  <w:style w:type="paragraph" w:customStyle="1" w:styleId="92">
    <w:name w:val="正文缩进1"/>
    <w:basedOn w:val="1"/>
    <w:link w:val="237"/>
    <w:qFormat/>
    <w:uiPriority w:val="0"/>
    <w:pPr>
      <w:ind w:firstLine="420"/>
    </w:pPr>
    <w:rPr>
      <w:szCs w:val="21"/>
    </w:rPr>
  </w:style>
  <w:style w:type="character" w:customStyle="1" w:styleId="93">
    <w:name w:val="标题 2 Char"/>
    <w:link w:val="94"/>
    <w:qFormat/>
    <w:uiPriority w:val="0"/>
    <w:rPr>
      <w:rFonts w:ascii="Arial" w:hAnsi="Arial" w:eastAsia="幼圆" w:cs="Arial"/>
      <w:b/>
      <w:bCs/>
      <w:sz w:val="44"/>
      <w:szCs w:val="44"/>
    </w:rPr>
  </w:style>
  <w:style w:type="paragraph" w:customStyle="1" w:styleId="94">
    <w:name w:val="标题 21"/>
    <w:basedOn w:val="1"/>
    <w:next w:val="92"/>
    <w:link w:val="93"/>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95">
    <w:name w:val="标题 1 Char"/>
    <w:link w:val="96"/>
    <w:qFormat/>
    <w:uiPriority w:val="0"/>
    <w:rPr>
      <w:rFonts w:ascii="楷体_GB2312" w:hAnsi="Times New Roman" w:eastAsia="楷体_GB2312" w:cs="Times New Roman"/>
      <w:sz w:val="28"/>
      <w:szCs w:val="28"/>
    </w:rPr>
  </w:style>
  <w:style w:type="paragraph" w:customStyle="1" w:styleId="96">
    <w:name w:val="标题 11"/>
    <w:basedOn w:val="1"/>
    <w:next w:val="1"/>
    <w:link w:val="95"/>
    <w:qFormat/>
    <w:uiPriority w:val="0"/>
    <w:pPr>
      <w:keepNext/>
      <w:jc w:val="center"/>
      <w:outlineLvl w:val="0"/>
    </w:pPr>
    <w:rPr>
      <w:rFonts w:ascii="楷体_GB2312" w:eastAsia="楷体_GB2312"/>
      <w:sz w:val="28"/>
      <w:szCs w:val="28"/>
    </w:rPr>
  </w:style>
  <w:style w:type="character" w:customStyle="1" w:styleId="97">
    <w:name w:val="标题 4 Char"/>
    <w:link w:val="98"/>
    <w:qFormat/>
    <w:uiPriority w:val="0"/>
    <w:rPr>
      <w:rFonts w:ascii="Arial" w:hAnsi="Arial" w:eastAsia="黑体" w:cs="Arial"/>
      <w:b/>
      <w:bCs/>
      <w:sz w:val="28"/>
      <w:szCs w:val="28"/>
    </w:rPr>
  </w:style>
  <w:style w:type="paragraph" w:customStyle="1" w:styleId="98">
    <w:name w:val="标题 41"/>
    <w:basedOn w:val="1"/>
    <w:next w:val="92"/>
    <w:link w:val="97"/>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99">
    <w:name w:val="font41"/>
    <w:basedOn w:val="100"/>
    <w:qFormat/>
    <w:uiPriority w:val="0"/>
    <w:rPr>
      <w:rFonts w:hint="eastAsia" w:ascii="仿宋" w:hAnsi="仿宋" w:eastAsia="仿宋" w:cs="仿宋"/>
      <w:color w:val="000000"/>
      <w:sz w:val="24"/>
      <w:szCs w:val="24"/>
      <w:u w:val="none"/>
    </w:rPr>
  </w:style>
  <w:style w:type="character" w:customStyle="1" w:styleId="100">
    <w:name w:val="默认段落字体1"/>
    <w:unhideWhenUsed/>
    <w:qFormat/>
    <w:uiPriority w:val="1"/>
  </w:style>
  <w:style w:type="paragraph" w:customStyle="1" w:styleId="101">
    <w:name w:val="索引 41"/>
    <w:basedOn w:val="1"/>
    <w:next w:val="1"/>
    <w:semiHidden/>
    <w:qFormat/>
    <w:uiPriority w:val="0"/>
    <w:pPr>
      <w:ind w:left="1260"/>
    </w:pPr>
    <w:rPr>
      <w:rFonts w:ascii="Calibri" w:hAnsi="Calibri" w:eastAsia="Calibri" w:cs="宋体"/>
      <w:sz w:val="20"/>
      <w:lang w:val="zh-CN"/>
    </w:rPr>
  </w:style>
  <w:style w:type="character" w:customStyle="1" w:styleId="102">
    <w:name w:val="标题 1 字符"/>
    <w:link w:val="2"/>
    <w:qFormat/>
    <w:uiPriority w:val="9"/>
    <w:rPr>
      <w:rFonts w:ascii="Arial" w:hAnsi="Arial" w:eastAsia="Arial" w:cs="Arial"/>
      <w:sz w:val="40"/>
      <w:szCs w:val="40"/>
    </w:rPr>
  </w:style>
  <w:style w:type="character" w:customStyle="1" w:styleId="103">
    <w:name w:val="标题 2 字符"/>
    <w:link w:val="3"/>
    <w:qFormat/>
    <w:uiPriority w:val="9"/>
    <w:rPr>
      <w:rFonts w:ascii="Arial" w:hAnsi="Arial" w:eastAsia="Arial" w:cs="Arial"/>
      <w:sz w:val="34"/>
    </w:rPr>
  </w:style>
  <w:style w:type="character" w:customStyle="1" w:styleId="104">
    <w:name w:val="标题 3 字符"/>
    <w:link w:val="4"/>
    <w:qFormat/>
    <w:uiPriority w:val="9"/>
    <w:rPr>
      <w:rFonts w:ascii="Arial" w:hAnsi="Arial" w:eastAsia="Arial" w:cs="Arial"/>
      <w:sz w:val="30"/>
      <w:szCs w:val="30"/>
    </w:rPr>
  </w:style>
  <w:style w:type="character" w:customStyle="1" w:styleId="105">
    <w:name w:val="标题 4 字符"/>
    <w:link w:val="5"/>
    <w:qFormat/>
    <w:uiPriority w:val="9"/>
    <w:rPr>
      <w:rFonts w:ascii="Arial" w:hAnsi="Arial" w:eastAsia="Arial" w:cs="Arial"/>
      <w:b/>
      <w:bCs/>
      <w:sz w:val="26"/>
      <w:szCs w:val="26"/>
    </w:rPr>
  </w:style>
  <w:style w:type="character" w:customStyle="1" w:styleId="106">
    <w:name w:val="标题 5 字符"/>
    <w:link w:val="7"/>
    <w:qFormat/>
    <w:uiPriority w:val="9"/>
    <w:rPr>
      <w:rFonts w:ascii="Arial" w:hAnsi="Arial" w:eastAsia="Arial" w:cs="Arial"/>
      <w:b/>
      <w:bCs/>
      <w:sz w:val="24"/>
      <w:szCs w:val="24"/>
    </w:rPr>
  </w:style>
  <w:style w:type="character" w:customStyle="1" w:styleId="107">
    <w:name w:val="标题 6 字符"/>
    <w:link w:val="8"/>
    <w:qFormat/>
    <w:uiPriority w:val="9"/>
    <w:rPr>
      <w:rFonts w:ascii="Arial" w:hAnsi="Arial" w:eastAsia="Arial" w:cs="Arial"/>
      <w:b/>
      <w:bCs/>
      <w:sz w:val="22"/>
      <w:szCs w:val="22"/>
    </w:rPr>
  </w:style>
  <w:style w:type="character" w:customStyle="1" w:styleId="108">
    <w:name w:val="标题 7 字符"/>
    <w:link w:val="9"/>
    <w:qFormat/>
    <w:uiPriority w:val="9"/>
    <w:rPr>
      <w:rFonts w:ascii="Arial" w:hAnsi="Arial" w:eastAsia="Arial" w:cs="Arial"/>
      <w:b/>
      <w:bCs/>
      <w:i/>
      <w:iCs/>
      <w:sz w:val="22"/>
      <w:szCs w:val="22"/>
    </w:rPr>
  </w:style>
  <w:style w:type="character" w:customStyle="1" w:styleId="109">
    <w:name w:val="标题 8 字符"/>
    <w:link w:val="10"/>
    <w:qFormat/>
    <w:uiPriority w:val="9"/>
    <w:rPr>
      <w:rFonts w:ascii="Arial" w:hAnsi="Arial" w:eastAsia="Arial" w:cs="Arial"/>
      <w:i/>
      <w:iCs/>
      <w:sz w:val="22"/>
      <w:szCs w:val="22"/>
    </w:rPr>
  </w:style>
  <w:style w:type="character" w:customStyle="1" w:styleId="110">
    <w:name w:val="标题 9 字符"/>
    <w:link w:val="11"/>
    <w:qFormat/>
    <w:uiPriority w:val="9"/>
    <w:rPr>
      <w:rFonts w:ascii="Arial" w:hAnsi="Arial" w:eastAsia="Arial" w:cs="Arial"/>
      <w:i/>
      <w:iCs/>
      <w:sz w:val="21"/>
      <w:szCs w:val="21"/>
    </w:rPr>
  </w:style>
  <w:style w:type="paragraph" w:styleId="111">
    <w:name w:val="List Paragraph"/>
    <w:basedOn w:val="1"/>
    <w:qFormat/>
    <w:uiPriority w:val="34"/>
    <w:pPr>
      <w:ind w:left="720"/>
      <w:contextualSpacing/>
    </w:pPr>
  </w:style>
  <w:style w:type="paragraph" w:styleId="112">
    <w:name w:val="No Spacing"/>
    <w:qFormat/>
    <w:uiPriority w:val="1"/>
    <w:rPr>
      <w:rFonts w:ascii="Times New Roman" w:hAnsi="Times New Roman" w:eastAsia="宋体" w:cs="Times New Roman"/>
      <w:lang w:val="en-US" w:eastAsia="zh-CN" w:bidi="ar-SA"/>
    </w:rPr>
  </w:style>
  <w:style w:type="character" w:customStyle="1" w:styleId="113">
    <w:name w:val="标题 字符"/>
    <w:link w:val="36"/>
    <w:qFormat/>
    <w:uiPriority w:val="10"/>
    <w:rPr>
      <w:sz w:val="48"/>
      <w:szCs w:val="48"/>
    </w:rPr>
  </w:style>
  <w:style w:type="character" w:customStyle="1" w:styleId="114">
    <w:name w:val="副标题 字符"/>
    <w:link w:val="29"/>
    <w:qFormat/>
    <w:uiPriority w:val="11"/>
    <w:rPr>
      <w:sz w:val="24"/>
      <w:szCs w:val="24"/>
    </w:rPr>
  </w:style>
  <w:style w:type="paragraph" w:styleId="115">
    <w:name w:val="Quote"/>
    <w:basedOn w:val="1"/>
    <w:next w:val="1"/>
    <w:link w:val="116"/>
    <w:qFormat/>
    <w:uiPriority w:val="29"/>
    <w:pPr>
      <w:ind w:left="720" w:right="720"/>
    </w:pPr>
    <w:rPr>
      <w:i/>
    </w:rPr>
  </w:style>
  <w:style w:type="character" w:customStyle="1" w:styleId="116">
    <w:name w:val="引用 字符"/>
    <w:link w:val="115"/>
    <w:qFormat/>
    <w:uiPriority w:val="29"/>
    <w:rPr>
      <w:i/>
    </w:rPr>
  </w:style>
  <w:style w:type="paragraph" w:styleId="117">
    <w:name w:val="Intense Quote"/>
    <w:basedOn w:val="1"/>
    <w:next w:val="1"/>
    <w:link w:val="1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8">
    <w:name w:val="明显引用 字符"/>
    <w:link w:val="117"/>
    <w:qFormat/>
    <w:uiPriority w:val="30"/>
    <w:rPr>
      <w:i/>
    </w:rPr>
  </w:style>
  <w:style w:type="character" w:customStyle="1" w:styleId="119">
    <w:name w:val="页眉 字符"/>
    <w:link w:val="26"/>
    <w:qFormat/>
    <w:uiPriority w:val="99"/>
  </w:style>
  <w:style w:type="character" w:customStyle="1" w:styleId="120">
    <w:name w:val="Footer Char"/>
    <w:qFormat/>
    <w:uiPriority w:val="99"/>
  </w:style>
  <w:style w:type="character" w:customStyle="1" w:styleId="121">
    <w:name w:val="页脚 字符"/>
    <w:link w:val="24"/>
    <w:qFormat/>
    <w:uiPriority w:val="99"/>
  </w:style>
  <w:style w:type="table" w:customStyle="1" w:styleId="12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30"/>
    <w:qFormat/>
    <w:uiPriority w:val="99"/>
    <w:rPr>
      <w:sz w:val="18"/>
    </w:rPr>
  </w:style>
  <w:style w:type="character" w:customStyle="1" w:styleId="229">
    <w:name w:val="尾注文本 字符"/>
    <w:link w:val="23"/>
    <w:qFormat/>
    <w:uiPriority w:val="99"/>
    <w:rPr>
      <w:sz w:val="20"/>
    </w:rPr>
  </w:style>
  <w:style w:type="paragraph" w:customStyle="1" w:styleId="230">
    <w:name w:val="TOC 标题11"/>
    <w:unhideWhenUsed/>
    <w:qFormat/>
    <w:uiPriority w:val="39"/>
    <w:rPr>
      <w:rFonts w:ascii="Times New Roman" w:hAnsi="Times New Roman" w:eastAsia="宋体" w:cs="Times New Roman"/>
      <w:lang w:val="en-US" w:eastAsia="zh-CN" w:bidi="ar-SA"/>
    </w:rPr>
  </w:style>
  <w:style w:type="paragraph" w:customStyle="1" w:styleId="231">
    <w:name w:val="标题 51"/>
    <w:basedOn w:val="1"/>
    <w:next w:val="92"/>
    <w:link w:val="238"/>
    <w:qFormat/>
    <w:uiPriority w:val="0"/>
    <w:pPr>
      <w:keepNext/>
      <w:outlineLvl w:val="4"/>
    </w:pPr>
    <w:rPr>
      <w:rFonts w:ascii="宋体"/>
      <w:color w:val="000000"/>
      <w:sz w:val="28"/>
      <w:szCs w:val="28"/>
    </w:rPr>
  </w:style>
  <w:style w:type="paragraph" w:customStyle="1" w:styleId="232">
    <w:name w:val="标题 61"/>
    <w:basedOn w:val="1"/>
    <w:next w:val="1"/>
    <w:link w:val="23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3">
    <w:name w:val="标题 71"/>
    <w:basedOn w:val="1"/>
    <w:next w:val="1"/>
    <w:link w:val="240"/>
    <w:qFormat/>
    <w:uiPriority w:val="0"/>
    <w:pPr>
      <w:keepNext/>
      <w:keepLines/>
      <w:numPr>
        <w:ilvl w:val="6"/>
        <w:numId w:val="1"/>
      </w:numPr>
      <w:spacing w:before="240" w:after="64" w:line="320" w:lineRule="auto"/>
      <w:outlineLvl w:val="6"/>
    </w:pPr>
    <w:rPr>
      <w:b/>
      <w:bCs/>
      <w:sz w:val="24"/>
      <w:szCs w:val="24"/>
    </w:rPr>
  </w:style>
  <w:style w:type="paragraph" w:customStyle="1" w:styleId="234">
    <w:name w:val="标题 81"/>
    <w:basedOn w:val="1"/>
    <w:next w:val="1"/>
    <w:link w:val="24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5">
    <w:name w:val="标题 91"/>
    <w:basedOn w:val="1"/>
    <w:next w:val="1"/>
    <w:link w:val="242"/>
    <w:qFormat/>
    <w:uiPriority w:val="0"/>
    <w:pPr>
      <w:keepNext/>
      <w:keepLines/>
      <w:numPr>
        <w:ilvl w:val="8"/>
        <w:numId w:val="1"/>
      </w:numPr>
      <w:spacing w:before="240" w:after="64" w:line="320" w:lineRule="auto"/>
      <w:outlineLvl w:val="8"/>
    </w:pPr>
    <w:rPr>
      <w:rFonts w:ascii="Arial" w:hAnsi="Arial" w:eastAsia="黑体"/>
      <w:szCs w:val="21"/>
    </w:rPr>
  </w:style>
  <w:style w:type="table" w:customStyle="1" w:styleId="236">
    <w:name w:val="普通表格11"/>
    <w:unhideWhenUsed/>
    <w:qFormat/>
    <w:uiPriority w:val="99"/>
    <w:tblPr>
      <w:tblCellMar>
        <w:top w:w="0" w:type="dxa"/>
        <w:left w:w="0" w:type="dxa"/>
        <w:bottom w:w="0" w:type="dxa"/>
        <w:right w:w="0" w:type="dxa"/>
      </w:tblCellMar>
    </w:tblPr>
  </w:style>
  <w:style w:type="character" w:customStyle="1" w:styleId="237">
    <w:name w:val="正文缩进 Char"/>
    <w:link w:val="92"/>
    <w:qFormat/>
    <w:uiPriority w:val="0"/>
    <w:rPr>
      <w:szCs w:val="21"/>
    </w:rPr>
  </w:style>
  <w:style w:type="character" w:customStyle="1" w:styleId="238">
    <w:name w:val="标题 5 Char"/>
    <w:link w:val="231"/>
    <w:qFormat/>
    <w:uiPriority w:val="0"/>
    <w:rPr>
      <w:rFonts w:ascii="宋体" w:hAnsi="Times New Roman" w:eastAsia="宋体" w:cs="Times New Roman"/>
      <w:color w:val="000000"/>
      <w:sz w:val="28"/>
      <w:szCs w:val="28"/>
    </w:rPr>
  </w:style>
  <w:style w:type="character" w:customStyle="1" w:styleId="239">
    <w:name w:val="标题 6 Char"/>
    <w:link w:val="232"/>
    <w:qFormat/>
    <w:uiPriority w:val="0"/>
    <w:rPr>
      <w:rFonts w:ascii="Arial" w:hAnsi="Arial" w:eastAsia="黑体" w:cs="Times New Roman"/>
      <w:b/>
      <w:bCs/>
      <w:sz w:val="24"/>
      <w:szCs w:val="24"/>
    </w:rPr>
  </w:style>
  <w:style w:type="character" w:customStyle="1" w:styleId="240">
    <w:name w:val="标题 7 Char"/>
    <w:link w:val="233"/>
    <w:qFormat/>
    <w:uiPriority w:val="0"/>
    <w:rPr>
      <w:rFonts w:ascii="Times New Roman" w:hAnsi="Times New Roman" w:eastAsia="宋体" w:cs="Times New Roman"/>
      <w:b/>
      <w:bCs/>
      <w:sz w:val="24"/>
      <w:szCs w:val="24"/>
    </w:rPr>
  </w:style>
  <w:style w:type="character" w:customStyle="1" w:styleId="241">
    <w:name w:val="标题 8 Char"/>
    <w:link w:val="234"/>
    <w:qFormat/>
    <w:uiPriority w:val="0"/>
    <w:rPr>
      <w:rFonts w:ascii="Arial" w:hAnsi="Arial" w:eastAsia="黑体" w:cs="Times New Roman"/>
      <w:sz w:val="24"/>
      <w:szCs w:val="24"/>
    </w:rPr>
  </w:style>
  <w:style w:type="character" w:customStyle="1" w:styleId="242">
    <w:name w:val="标题 9 Char"/>
    <w:link w:val="235"/>
    <w:qFormat/>
    <w:uiPriority w:val="0"/>
    <w:rPr>
      <w:rFonts w:ascii="Arial" w:hAnsi="Arial" w:eastAsia="黑体" w:cs="Times New Roman"/>
      <w:szCs w:val="21"/>
    </w:rPr>
  </w:style>
  <w:style w:type="paragraph" w:customStyle="1" w:styleId="243">
    <w:name w:val="列表 31"/>
    <w:basedOn w:val="1"/>
    <w:qFormat/>
    <w:uiPriority w:val="0"/>
    <w:pPr>
      <w:ind w:left="100" w:hanging="200"/>
    </w:pPr>
    <w:rPr>
      <w:szCs w:val="21"/>
    </w:rPr>
  </w:style>
  <w:style w:type="paragraph" w:customStyle="1" w:styleId="244">
    <w:name w:val="目录 71"/>
    <w:basedOn w:val="1"/>
    <w:next w:val="1"/>
    <w:semiHidden/>
    <w:qFormat/>
    <w:uiPriority w:val="0"/>
    <w:pPr>
      <w:ind w:left="1260"/>
      <w:jc w:val="left"/>
    </w:pPr>
    <w:rPr>
      <w:szCs w:val="21"/>
    </w:rPr>
  </w:style>
  <w:style w:type="paragraph" w:customStyle="1" w:styleId="245">
    <w:name w:val="文档结构图1"/>
    <w:basedOn w:val="1"/>
    <w:link w:val="246"/>
    <w:semiHidden/>
    <w:qFormat/>
    <w:uiPriority w:val="0"/>
    <w:pPr>
      <w:shd w:val="clear" w:color="auto" w:fill="000080"/>
    </w:pPr>
    <w:rPr>
      <w:szCs w:val="21"/>
    </w:rPr>
  </w:style>
  <w:style w:type="character" w:customStyle="1" w:styleId="246">
    <w:name w:val="文档结构图 Char"/>
    <w:link w:val="245"/>
    <w:semiHidden/>
    <w:qFormat/>
    <w:uiPriority w:val="0"/>
    <w:rPr>
      <w:rFonts w:ascii="Times New Roman" w:hAnsi="Times New Roman" w:eastAsia="宋体" w:cs="Times New Roman"/>
      <w:szCs w:val="21"/>
      <w:shd w:val="clear" w:color="auto" w:fill="000080"/>
    </w:rPr>
  </w:style>
  <w:style w:type="paragraph" w:customStyle="1" w:styleId="247">
    <w:name w:val="批注文字1"/>
    <w:basedOn w:val="1"/>
    <w:link w:val="248"/>
    <w:unhideWhenUsed/>
    <w:qFormat/>
    <w:uiPriority w:val="0"/>
    <w:pPr>
      <w:jc w:val="left"/>
    </w:pPr>
  </w:style>
  <w:style w:type="character" w:customStyle="1" w:styleId="248">
    <w:name w:val="批注文字 Char"/>
    <w:basedOn w:val="100"/>
    <w:link w:val="247"/>
    <w:semiHidden/>
    <w:qFormat/>
    <w:uiPriority w:val="99"/>
  </w:style>
  <w:style w:type="paragraph" w:customStyle="1" w:styleId="249">
    <w:name w:val="正文文本 31"/>
    <w:basedOn w:val="1"/>
    <w:link w:val="250"/>
    <w:qFormat/>
    <w:uiPriority w:val="0"/>
    <w:rPr>
      <w:rFonts w:ascii="仿宋_GB2312" w:hAnsi="Arial" w:eastAsia="仿宋_GB2312"/>
      <w:sz w:val="32"/>
      <w:szCs w:val="32"/>
    </w:rPr>
  </w:style>
  <w:style w:type="character" w:customStyle="1" w:styleId="250">
    <w:name w:val="正文文本 3 Char"/>
    <w:link w:val="249"/>
    <w:qFormat/>
    <w:uiPriority w:val="0"/>
    <w:rPr>
      <w:rFonts w:ascii="仿宋_GB2312" w:hAnsi="Arial" w:eastAsia="仿宋_GB2312" w:cs="Times New Roman"/>
      <w:sz w:val="32"/>
      <w:szCs w:val="32"/>
    </w:rPr>
  </w:style>
  <w:style w:type="paragraph" w:customStyle="1" w:styleId="251">
    <w:name w:val="正文文本11"/>
    <w:basedOn w:val="1"/>
    <w:link w:val="252"/>
    <w:qFormat/>
    <w:uiPriority w:val="0"/>
    <w:rPr>
      <w:rFonts w:ascii="楷体_GB2312" w:hAnsi="Arial" w:eastAsia="楷体_GB2312"/>
      <w:sz w:val="28"/>
      <w:szCs w:val="28"/>
    </w:rPr>
  </w:style>
  <w:style w:type="character" w:customStyle="1" w:styleId="252">
    <w:name w:val="正文文本 Char"/>
    <w:link w:val="251"/>
    <w:qFormat/>
    <w:uiPriority w:val="0"/>
    <w:rPr>
      <w:rFonts w:ascii="楷体_GB2312" w:hAnsi="Arial" w:eastAsia="楷体_GB2312" w:cs="Times New Roman"/>
      <w:sz w:val="28"/>
      <w:szCs w:val="28"/>
    </w:rPr>
  </w:style>
  <w:style w:type="paragraph" w:customStyle="1" w:styleId="253">
    <w:name w:val="正文文本缩进1"/>
    <w:basedOn w:val="1"/>
    <w:link w:val="254"/>
    <w:unhideWhenUsed/>
    <w:qFormat/>
    <w:uiPriority w:val="0"/>
    <w:pPr>
      <w:spacing w:after="120"/>
      <w:ind w:left="420"/>
    </w:pPr>
  </w:style>
  <w:style w:type="character" w:customStyle="1" w:styleId="254">
    <w:name w:val="正文文本缩进 Char"/>
    <w:basedOn w:val="100"/>
    <w:link w:val="253"/>
    <w:semiHidden/>
    <w:qFormat/>
    <w:uiPriority w:val="99"/>
  </w:style>
  <w:style w:type="paragraph" w:customStyle="1" w:styleId="255">
    <w:name w:val="列表 21"/>
    <w:basedOn w:val="1"/>
    <w:qFormat/>
    <w:uiPriority w:val="0"/>
    <w:pPr>
      <w:ind w:left="100" w:hanging="200"/>
    </w:pPr>
    <w:rPr>
      <w:szCs w:val="21"/>
    </w:rPr>
  </w:style>
  <w:style w:type="paragraph" w:customStyle="1" w:styleId="256">
    <w:name w:val="索引 42"/>
    <w:basedOn w:val="1"/>
    <w:next w:val="1"/>
    <w:semiHidden/>
    <w:qFormat/>
    <w:uiPriority w:val="0"/>
    <w:pPr>
      <w:ind w:left="1260"/>
    </w:pPr>
    <w:rPr>
      <w:rFonts w:ascii="Calibri" w:hAnsi="Calibri" w:eastAsia="Calibri" w:cs="宋体"/>
      <w:sz w:val="20"/>
      <w:lang w:val="zh-CN"/>
    </w:rPr>
  </w:style>
  <w:style w:type="paragraph" w:customStyle="1" w:styleId="257">
    <w:name w:val="目录 51"/>
    <w:basedOn w:val="1"/>
    <w:next w:val="1"/>
    <w:semiHidden/>
    <w:qFormat/>
    <w:uiPriority w:val="0"/>
    <w:pPr>
      <w:ind w:left="840"/>
      <w:jc w:val="left"/>
    </w:pPr>
    <w:rPr>
      <w:szCs w:val="21"/>
    </w:rPr>
  </w:style>
  <w:style w:type="paragraph" w:customStyle="1" w:styleId="258">
    <w:name w:val="目录 31"/>
    <w:basedOn w:val="1"/>
    <w:next w:val="1"/>
    <w:semiHidden/>
    <w:qFormat/>
    <w:uiPriority w:val="0"/>
    <w:pPr>
      <w:ind w:left="420"/>
      <w:jc w:val="left"/>
    </w:pPr>
    <w:rPr>
      <w:i/>
      <w:iCs/>
      <w:szCs w:val="24"/>
    </w:rPr>
  </w:style>
  <w:style w:type="paragraph" w:customStyle="1" w:styleId="259">
    <w:name w:val="纯文本1"/>
    <w:basedOn w:val="1"/>
    <w:link w:val="260"/>
    <w:qFormat/>
    <w:uiPriority w:val="0"/>
    <w:rPr>
      <w:rFonts w:ascii="宋体" w:hAnsi="Courier New" w:cs="Courier New"/>
      <w:szCs w:val="21"/>
    </w:rPr>
  </w:style>
  <w:style w:type="character" w:customStyle="1" w:styleId="260">
    <w:name w:val="纯文本 Char"/>
    <w:link w:val="259"/>
    <w:qFormat/>
    <w:uiPriority w:val="0"/>
    <w:rPr>
      <w:rFonts w:ascii="宋体" w:hAnsi="Courier New" w:eastAsia="宋体" w:cs="Courier New"/>
      <w:szCs w:val="21"/>
    </w:rPr>
  </w:style>
  <w:style w:type="paragraph" w:customStyle="1" w:styleId="261">
    <w:name w:val="目录 81"/>
    <w:basedOn w:val="1"/>
    <w:next w:val="1"/>
    <w:semiHidden/>
    <w:qFormat/>
    <w:uiPriority w:val="0"/>
    <w:pPr>
      <w:ind w:left="1470"/>
      <w:jc w:val="left"/>
    </w:pPr>
    <w:rPr>
      <w:szCs w:val="21"/>
    </w:rPr>
  </w:style>
  <w:style w:type="paragraph" w:customStyle="1" w:styleId="262">
    <w:name w:val="日期1"/>
    <w:basedOn w:val="1"/>
    <w:next w:val="1"/>
    <w:link w:val="263"/>
    <w:qFormat/>
    <w:uiPriority w:val="0"/>
    <w:rPr>
      <w:sz w:val="24"/>
      <w:szCs w:val="24"/>
    </w:rPr>
  </w:style>
  <w:style w:type="character" w:customStyle="1" w:styleId="263">
    <w:name w:val="日期 Char"/>
    <w:link w:val="262"/>
    <w:qFormat/>
    <w:uiPriority w:val="0"/>
    <w:rPr>
      <w:rFonts w:ascii="Times New Roman" w:hAnsi="Times New Roman" w:eastAsia="宋体" w:cs="Times New Roman"/>
      <w:sz w:val="24"/>
      <w:szCs w:val="24"/>
    </w:rPr>
  </w:style>
  <w:style w:type="paragraph" w:customStyle="1" w:styleId="264">
    <w:name w:val="正文文本缩进 21"/>
    <w:basedOn w:val="1"/>
    <w:link w:val="265"/>
    <w:qFormat/>
    <w:uiPriority w:val="0"/>
    <w:pPr>
      <w:ind w:left="630" w:firstLine="645"/>
    </w:pPr>
    <w:rPr>
      <w:rFonts w:ascii="Arial" w:hAnsi="Arial" w:eastAsia="仿宋_GB2312" w:cs="Arial"/>
      <w:sz w:val="32"/>
      <w:szCs w:val="32"/>
    </w:rPr>
  </w:style>
  <w:style w:type="character" w:customStyle="1" w:styleId="265">
    <w:name w:val="正文文本缩进 2 Char"/>
    <w:link w:val="264"/>
    <w:qFormat/>
    <w:uiPriority w:val="0"/>
    <w:rPr>
      <w:rFonts w:ascii="Arial" w:hAnsi="Arial" w:eastAsia="仿宋_GB2312" w:cs="Arial"/>
      <w:sz w:val="32"/>
      <w:szCs w:val="32"/>
    </w:rPr>
  </w:style>
  <w:style w:type="paragraph" w:customStyle="1" w:styleId="266">
    <w:name w:val="批注框文本1"/>
    <w:basedOn w:val="1"/>
    <w:link w:val="267"/>
    <w:semiHidden/>
    <w:qFormat/>
    <w:uiPriority w:val="0"/>
    <w:rPr>
      <w:sz w:val="18"/>
      <w:szCs w:val="18"/>
    </w:rPr>
  </w:style>
  <w:style w:type="character" w:customStyle="1" w:styleId="267">
    <w:name w:val="批注框文本 Char"/>
    <w:link w:val="266"/>
    <w:semiHidden/>
    <w:qFormat/>
    <w:uiPriority w:val="0"/>
    <w:rPr>
      <w:rFonts w:ascii="Times New Roman" w:hAnsi="Times New Roman" w:eastAsia="宋体" w:cs="Times New Roman"/>
      <w:sz w:val="18"/>
      <w:szCs w:val="18"/>
    </w:rPr>
  </w:style>
  <w:style w:type="paragraph" w:customStyle="1" w:styleId="268">
    <w:name w:val="页脚1"/>
    <w:basedOn w:val="1"/>
    <w:link w:val="269"/>
    <w:qFormat/>
    <w:uiPriority w:val="0"/>
    <w:pPr>
      <w:tabs>
        <w:tab w:val="center" w:pos="4153"/>
        <w:tab w:val="right" w:pos="8306"/>
      </w:tabs>
      <w:jc w:val="left"/>
    </w:pPr>
    <w:rPr>
      <w:sz w:val="18"/>
      <w:szCs w:val="18"/>
    </w:rPr>
  </w:style>
  <w:style w:type="character" w:customStyle="1" w:styleId="269">
    <w:name w:val="页脚 Char"/>
    <w:link w:val="268"/>
    <w:qFormat/>
    <w:uiPriority w:val="0"/>
    <w:rPr>
      <w:rFonts w:ascii="Times New Roman" w:hAnsi="Times New Roman" w:eastAsia="宋体" w:cs="Times New Roman"/>
      <w:sz w:val="18"/>
      <w:szCs w:val="18"/>
    </w:rPr>
  </w:style>
  <w:style w:type="paragraph" w:customStyle="1" w:styleId="270">
    <w:name w:val="页眉1"/>
    <w:basedOn w:val="1"/>
    <w:link w:val="271"/>
    <w:qFormat/>
    <w:uiPriority w:val="0"/>
    <w:pPr>
      <w:pBdr>
        <w:bottom w:val="single" w:color="000000" w:sz="6" w:space="1"/>
      </w:pBdr>
      <w:tabs>
        <w:tab w:val="center" w:pos="4153"/>
        <w:tab w:val="right" w:pos="8306"/>
      </w:tabs>
      <w:jc w:val="center"/>
    </w:pPr>
    <w:rPr>
      <w:sz w:val="18"/>
      <w:szCs w:val="18"/>
    </w:rPr>
  </w:style>
  <w:style w:type="character" w:customStyle="1" w:styleId="271">
    <w:name w:val="页眉 Char"/>
    <w:link w:val="270"/>
    <w:qFormat/>
    <w:uiPriority w:val="0"/>
    <w:rPr>
      <w:rFonts w:ascii="Times New Roman" w:hAnsi="Times New Roman" w:eastAsia="宋体" w:cs="Times New Roman"/>
      <w:sz w:val="18"/>
      <w:szCs w:val="18"/>
    </w:rPr>
  </w:style>
  <w:style w:type="paragraph" w:customStyle="1" w:styleId="27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3">
    <w:name w:val="目录 41"/>
    <w:basedOn w:val="1"/>
    <w:next w:val="1"/>
    <w:semiHidden/>
    <w:qFormat/>
    <w:uiPriority w:val="0"/>
    <w:pPr>
      <w:ind w:left="630"/>
      <w:jc w:val="left"/>
    </w:pPr>
    <w:rPr>
      <w:szCs w:val="21"/>
    </w:rPr>
  </w:style>
  <w:style w:type="paragraph" w:customStyle="1" w:styleId="274">
    <w:name w:val="列表1"/>
    <w:basedOn w:val="1"/>
    <w:qFormat/>
    <w:uiPriority w:val="0"/>
    <w:pPr>
      <w:ind w:left="200" w:hanging="200"/>
    </w:pPr>
    <w:rPr>
      <w:szCs w:val="21"/>
    </w:rPr>
  </w:style>
  <w:style w:type="paragraph" w:customStyle="1" w:styleId="275">
    <w:name w:val="目录 61"/>
    <w:basedOn w:val="1"/>
    <w:next w:val="1"/>
    <w:semiHidden/>
    <w:qFormat/>
    <w:uiPriority w:val="0"/>
    <w:pPr>
      <w:ind w:left="1050"/>
      <w:jc w:val="left"/>
    </w:pPr>
    <w:rPr>
      <w:szCs w:val="21"/>
    </w:rPr>
  </w:style>
  <w:style w:type="paragraph" w:customStyle="1" w:styleId="276">
    <w:name w:val="正文文本缩进 31"/>
    <w:basedOn w:val="1"/>
    <w:link w:val="277"/>
    <w:qFormat/>
    <w:uiPriority w:val="0"/>
    <w:pPr>
      <w:ind w:left="645" w:firstLine="645"/>
    </w:pPr>
    <w:rPr>
      <w:rFonts w:ascii="Arial" w:hAnsi="Arial" w:eastAsia="仿宋_GB2312" w:cs="Arial"/>
      <w:color w:val="FFFF00"/>
      <w:sz w:val="32"/>
      <w:szCs w:val="32"/>
    </w:rPr>
  </w:style>
  <w:style w:type="character" w:customStyle="1" w:styleId="277">
    <w:name w:val="正文文本缩进 3 Char"/>
    <w:link w:val="276"/>
    <w:qFormat/>
    <w:uiPriority w:val="0"/>
    <w:rPr>
      <w:rFonts w:ascii="Arial" w:hAnsi="Arial" w:eastAsia="仿宋_GB2312" w:cs="Arial"/>
      <w:color w:val="FFFF00"/>
      <w:sz w:val="32"/>
      <w:szCs w:val="32"/>
    </w:rPr>
  </w:style>
  <w:style w:type="paragraph" w:customStyle="1" w:styleId="278">
    <w:name w:val="图表目录1"/>
    <w:basedOn w:val="1"/>
    <w:next w:val="1"/>
    <w:semiHidden/>
    <w:qFormat/>
    <w:uiPriority w:val="0"/>
    <w:pPr>
      <w:ind w:left="840" w:hanging="420"/>
    </w:pPr>
    <w:rPr>
      <w:szCs w:val="21"/>
    </w:rPr>
  </w:style>
  <w:style w:type="paragraph" w:customStyle="1" w:styleId="279">
    <w:name w:val="目录 21"/>
    <w:basedOn w:val="1"/>
    <w:next w:val="1"/>
    <w:semiHidden/>
    <w:qFormat/>
    <w:uiPriority w:val="0"/>
    <w:pPr>
      <w:ind w:left="210"/>
      <w:jc w:val="left"/>
    </w:pPr>
    <w:rPr>
      <w:smallCaps/>
      <w:szCs w:val="24"/>
    </w:rPr>
  </w:style>
  <w:style w:type="paragraph" w:customStyle="1" w:styleId="280">
    <w:name w:val="目录 91"/>
    <w:basedOn w:val="1"/>
    <w:next w:val="1"/>
    <w:semiHidden/>
    <w:qFormat/>
    <w:uiPriority w:val="0"/>
    <w:pPr>
      <w:ind w:left="1680"/>
      <w:jc w:val="left"/>
    </w:pPr>
    <w:rPr>
      <w:szCs w:val="21"/>
    </w:rPr>
  </w:style>
  <w:style w:type="paragraph" w:customStyle="1" w:styleId="281">
    <w:name w:val="正文文本 21"/>
    <w:basedOn w:val="1"/>
    <w:link w:val="282"/>
    <w:qFormat/>
    <w:uiPriority w:val="0"/>
    <w:pPr>
      <w:widowControl/>
      <w:jc w:val="center"/>
    </w:pPr>
    <w:rPr>
      <w:rFonts w:ascii="楷体_GB2312" w:eastAsia="楷体_GB2312"/>
      <w:sz w:val="28"/>
      <w:szCs w:val="28"/>
    </w:rPr>
  </w:style>
  <w:style w:type="character" w:customStyle="1" w:styleId="282">
    <w:name w:val="正文文本 2 Char"/>
    <w:link w:val="281"/>
    <w:qFormat/>
    <w:uiPriority w:val="0"/>
    <w:rPr>
      <w:rFonts w:ascii="楷体_GB2312" w:hAnsi="Times New Roman" w:eastAsia="楷体_GB2312" w:cs="Times New Roman"/>
      <w:sz w:val="28"/>
      <w:szCs w:val="28"/>
    </w:rPr>
  </w:style>
  <w:style w:type="paragraph" w:customStyle="1" w:styleId="28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4">
    <w:name w:val="索引 11"/>
    <w:basedOn w:val="1"/>
    <w:next w:val="1"/>
    <w:semiHidden/>
    <w:qFormat/>
    <w:uiPriority w:val="0"/>
    <w:pPr>
      <w:spacing w:line="240" w:lineRule="atLeast"/>
    </w:pPr>
    <w:rPr>
      <w:b/>
      <w:bCs/>
      <w:szCs w:val="21"/>
    </w:rPr>
  </w:style>
  <w:style w:type="paragraph" w:customStyle="1" w:styleId="285">
    <w:name w:val="批注主题1"/>
    <w:basedOn w:val="247"/>
    <w:next w:val="247"/>
    <w:link w:val="286"/>
    <w:semiHidden/>
    <w:qFormat/>
    <w:uiPriority w:val="0"/>
    <w:rPr>
      <w:b/>
      <w:bCs/>
      <w:szCs w:val="21"/>
    </w:rPr>
  </w:style>
  <w:style w:type="character" w:customStyle="1" w:styleId="286">
    <w:name w:val="批注主题 Char"/>
    <w:link w:val="285"/>
    <w:semiHidden/>
    <w:qFormat/>
    <w:uiPriority w:val="0"/>
    <w:rPr>
      <w:rFonts w:ascii="Times New Roman" w:hAnsi="Times New Roman" w:eastAsia="宋体" w:cs="Times New Roman"/>
      <w:b/>
      <w:bCs/>
      <w:szCs w:val="21"/>
    </w:rPr>
  </w:style>
  <w:style w:type="paragraph" w:customStyle="1" w:styleId="287">
    <w:name w:val="正文首行缩进1"/>
    <w:basedOn w:val="1"/>
    <w:link w:val="288"/>
    <w:qFormat/>
    <w:uiPriority w:val="0"/>
    <w:pPr>
      <w:spacing w:line="360" w:lineRule="auto"/>
      <w:ind w:firstLine="200"/>
    </w:pPr>
    <w:rPr>
      <w:rFonts w:ascii="仿宋_GB2312" w:eastAsia="仿宋_GB2312"/>
      <w:sz w:val="30"/>
      <w:szCs w:val="30"/>
    </w:rPr>
  </w:style>
  <w:style w:type="character" w:customStyle="1" w:styleId="288">
    <w:name w:val="正文首行缩进 Char"/>
    <w:link w:val="287"/>
    <w:qFormat/>
    <w:uiPriority w:val="0"/>
    <w:rPr>
      <w:rFonts w:ascii="仿宋_GB2312" w:hAnsi="Times New Roman" w:eastAsia="仿宋_GB2312" w:cs="Times New Roman"/>
      <w:sz w:val="30"/>
      <w:szCs w:val="30"/>
    </w:rPr>
  </w:style>
  <w:style w:type="paragraph" w:customStyle="1" w:styleId="289">
    <w:name w:val="正文首行缩进 21"/>
    <w:basedOn w:val="253"/>
    <w:link w:val="290"/>
    <w:qFormat/>
    <w:uiPriority w:val="0"/>
    <w:pPr>
      <w:spacing w:after="0" w:line="360" w:lineRule="auto"/>
      <w:ind w:left="0" w:firstLine="420"/>
    </w:pPr>
    <w:rPr>
      <w:rFonts w:ascii="宋体" w:hAnsi="宋体"/>
      <w:szCs w:val="20"/>
    </w:rPr>
  </w:style>
  <w:style w:type="character" w:customStyle="1" w:styleId="290">
    <w:name w:val="正文首行缩进 2 Char"/>
    <w:link w:val="289"/>
    <w:qFormat/>
    <w:uiPriority w:val="0"/>
    <w:rPr>
      <w:rFonts w:ascii="宋体" w:hAnsi="宋体" w:eastAsia="宋体" w:cs="Times New Roman"/>
      <w:szCs w:val="20"/>
    </w:rPr>
  </w:style>
  <w:style w:type="table" w:customStyle="1" w:styleId="291">
    <w:name w:val="网格型11"/>
    <w:basedOn w:val="236"/>
    <w:qFormat/>
    <w:uiPriority w:val="0"/>
    <w:pPr>
      <w:widowControl w:val="0"/>
      <w:jc w:val="both"/>
    </w:pPr>
  </w:style>
  <w:style w:type="character" w:customStyle="1" w:styleId="292">
    <w:name w:val="要点1"/>
    <w:qFormat/>
    <w:uiPriority w:val="0"/>
    <w:rPr>
      <w:b/>
      <w:bCs/>
    </w:rPr>
  </w:style>
  <w:style w:type="character" w:customStyle="1" w:styleId="293">
    <w:name w:val="页码1"/>
    <w:qFormat/>
    <w:uiPriority w:val="0"/>
  </w:style>
  <w:style w:type="character" w:customStyle="1" w:styleId="294">
    <w:name w:val="已访问的超链接1"/>
    <w:qFormat/>
    <w:uiPriority w:val="0"/>
    <w:rPr>
      <w:color w:val="800080"/>
      <w:u w:val="single"/>
    </w:rPr>
  </w:style>
  <w:style w:type="character" w:customStyle="1" w:styleId="295">
    <w:name w:val="超链接1"/>
    <w:qFormat/>
    <w:uiPriority w:val="0"/>
    <w:rPr>
      <w:color w:val="0000FF"/>
      <w:u w:val="single"/>
    </w:rPr>
  </w:style>
  <w:style w:type="character" w:customStyle="1" w:styleId="296">
    <w:name w:val="批注引用1"/>
    <w:semiHidden/>
    <w:qFormat/>
    <w:uiPriority w:val="0"/>
    <w:rPr>
      <w:sz w:val="21"/>
      <w:szCs w:val="21"/>
    </w:rPr>
  </w:style>
  <w:style w:type="character" w:customStyle="1" w:styleId="297">
    <w:name w:val="font5 Char"/>
    <w:qFormat/>
    <w:uiPriority w:val="0"/>
    <w:rPr>
      <w:rFonts w:ascii="宋体" w:hAnsi="宋体" w:eastAsia="宋体"/>
      <w:sz w:val="28"/>
      <w:szCs w:val="28"/>
      <w:lang w:val="en-US" w:eastAsia="zh-CN" w:bidi="ar-SA"/>
    </w:rPr>
  </w:style>
  <w:style w:type="character" w:customStyle="1" w:styleId="298">
    <w:name w:val="二级目录 Char"/>
    <w:link w:val="299"/>
    <w:qFormat/>
    <w:uiPriority w:val="0"/>
    <w:rPr>
      <w:b/>
      <w:sz w:val="30"/>
      <w:szCs w:val="28"/>
    </w:rPr>
  </w:style>
  <w:style w:type="paragraph" w:customStyle="1" w:styleId="299">
    <w:name w:val="二级目录"/>
    <w:next w:val="1"/>
    <w:link w:val="298"/>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300">
    <w:name w:val="列出段落 Char"/>
    <w:link w:val="301"/>
    <w:qFormat/>
    <w:uiPriority w:val="0"/>
    <w:rPr>
      <w:rFonts w:ascii="Calibri" w:hAnsi="Calibri"/>
      <w:sz w:val="24"/>
      <w:szCs w:val="24"/>
      <w:lang w:eastAsia="en-US" w:bidi="en-US"/>
    </w:rPr>
  </w:style>
  <w:style w:type="paragraph" w:customStyle="1" w:styleId="301">
    <w:name w:val="列出段落1"/>
    <w:basedOn w:val="1"/>
    <w:link w:val="300"/>
    <w:qFormat/>
    <w:uiPriority w:val="0"/>
    <w:pPr>
      <w:widowControl/>
      <w:ind w:left="720"/>
      <w:contextualSpacing/>
      <w:jc w:val="left"/>
    </w:pPr>
    <w:rPr>
      <w:rFonts w:ascii="Calibri" w:hAnsi="Calibri"/>
      <w:sz w:val="24"/>
      <w:szCs w:val="24"/>
      <w:lang w:eastAsia="en-US" w:bidi="en-US"/>
    </w:rPr>
  </w:style>
  <w:style w:type="paragraph" w:customStyle="1" w:styleId="302">
    <w:name w:val="Body Text(ch)"/>
    <w:basedOn w:val="1"/>
    <w:next w:val="251"/>
    <w:qFormat/>
    <w:uiPriority w:val="0"/>
    <w:pPr>
      <w:spacing w:after="120"/>
    </w:pPr>
    <w:rPr>
      <w:rFonts w:ascii="宋体" w:hAnsi="Arial"/>
      <w:bCs/>
      <w:iCs/>
      <w:szCs w:val="24"/>
    </w:rPr>
  </w:style>
  <w:style w:type="paragraph" w:customStyle="1" w:styleId="3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5">
    <w:name w:val="Char"/>
    <w:basedOn w:val="1"/>
    <w:qFormat/>
    <w:uiPriority w:val="0"/>
    <w:pPr>
      <w:tabs>
        <w:tab w:val="left" w:pos="360"/>
      </w:tabs>
      <w:ind w:firstLine="200"/>
    </w:pPr>
    <w:rPr>
      <w:sz w:val="28"/>
      <w:szCs w:val="30"/>
    </w:rPr>
  </w:style>
  <w:style w:type="paragraph" w:customStyle="1" w:styleId="306">
    <w:name w:val="Char1"/>
    <w:basedOn w:val="245"/>
    <w:qFormat/>
    <w:uiPriority w:val="0"/>
    <w:rPr>
      <w:rFonts w:ascii="Tahoma" w:hAnsi="Tahoma"/>
      <w:sz w:val="24"/>
      <w:szCs w:val="24"/>
    </w:rPr>
  </w:style>
  <w:style w:type="paragraph" w:customStyle="1" w:styleId="30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8">
    <w:name w:val="table_lines"/>
    <w:basedOn w:val="1"/>
    <w:qFormat/>
    <w:uiPriority w:val="0"/>
    <w:pPr>
      <w:widowControl/>
      <w:jc w:val="left"/>
    </w:pPr>
    <w:rPr>
      <w:sz w:val="20"/>
      <w:szCs w:val="20"/>
      <w:lang w:val="de-DE" w:eastAsia="de-DE"/>
    </w:rPr>
  </w:style>
  <w:style w:type="paragraph" w:customStyle="1" w:styleId="309">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31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1">
    <w:name w:val="Char Char Char Char"/>
    <w:basedOn w:val="245"/>
    <w:qFormat/>
    <w:uiPriority w:val="0"/>
    <w:pPr>
      <w:spacing w:line="360" w:lineRule="auto"/>
    </w:pPr>
    <w:rPr>
      <w:rFonts w:ascii="Tahoma" w:hAnsi="Tahoma"/>
      <w:sz w:val="24"/>
      <w:szCs w:val="24"/>
    </w:rPr>
  </w:style>
  <w:style w:type="paragraph" w:customStyle="1" w:styleId="312">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13">
    <w:name w:val="4"/>
    <w:basedOn w:val="1"/>
    <w:next w:val="276"/>
    <w:qFormat/>
    <w:uiPriority w:val="0"/>
    <w:pPr>
      <w:spacing w:line="360" w:lineRule="auto"/>
      <w:ind w:firstLine="420"/>
    </w:pPr>
    <w:rPr>
      <w:color w:val="FF0000"/>
      <w:sz w:val="24"/>
      <w:szCs w:val="24"/>
    </w:rPr>
  </w:style>
  <w:style w:type="paragraph" w:customStyle="1" w:styleId="31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5">
    <w:name w:val="Char Char Char Char Char Char Char Char Char Char"/>
    <w:basedOn w:val="1"/>
    <w:qFormat/>
    <w:uiPriority w:val="0"/>
    <w:pPr>
      <w:spacing w:line="360" w:lineRule="auto"/>
    </w:pPr>
    <w:rPr>
      <w:sz w:val="24"/>
      <w:szCs w:val="20"/>
    </w:rPr>
  </w:style>
  <w:style w:type="paragraph" w:customStyle="1" w:styleId="316">
    <w:name w:val="样式1"/>
    <w:basedOn w:val="1"/>
    <w:qFormat/>
    <w:uiPriority w:val="0"/>
    <w:pPr>
      <w:numPr>
        <w:ilvl w:val="0"/>
        <w:numId w:val="3"/>
      </w:numPr>
    </w:pPr>
    <w:rPr>
      <w:rFonts w:ascii="宋体" w:hAnsi="宋体"/>
      <w:szCs w:val="21"/>
    </w:rPr>
  </w:style>
  <w:style w:type="paragraph" w:customStyle="1" w:styleId="31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2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7">
    <w:name w:val="Char Char Char Char1"/>
    <w:basedOn w:val="245"/>
    <w:qFormat/>
    <w:uiPriority w:val="0"/>
    <w:pPr>
      <w:spacing w:line="360" w:lineRule="auto"/>
    </w:pPr>
    <w:rPr>
      <w:rFonts w:ascii="Tahoma" w:hAnsi="Tahoma"/>
      <w:sz w:val="24"/>
      <w:szCs w:val="24"/>
    </w:rPr>
  </w:style>
  <w:style w:type="paragraph" w:customStyle="1" w:styleId="328">
    <w:name w:val="table_1stline"/>
    <w:basedOn w:val="1"/>
    <w:qFormat/>
    <w:uiPriority w:val="0"/>
    <w:pPr>
      <w:widowControl/>
      <w:spacing w:before="120"/>
      <w:jc w:val="left"/>
    </w:pPr>
    <w:rPr>
      <w:bCs/>
      <w:sz w:val="20"/>
      <w:szCs w:val="20"/>
      <w:lang w:val="de-DE" w:eastAsia="de-DE"/>
    </w:rPr>
  </w:style>
  <w:style w:type="paragraph" w:customStyle="1" w:styleId="32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1">
    <w:name w:val="修订1"/>
    <w:semiHidden/>
    <w:qFormat/>
    <w:uiPriority w:val="99"/>
    <w:rPr>
      <w:rFonts w:ascii="Times New Roman" w:hAnsi="Times New Roman" w:eastAsia="宋体" w:cs="Times New Roman"/>
      <w:sz w:val="21"/>
      <w:szCs w:val="21"/>
      <w:lang w:val="en-US" w:eastAsia="zh-CN" w:bidi="ar-SA"/>
    </w:rPr>
  </w:style>
  <w:style w:type="table" w:customStyle="1" w:styleId="332">
    <w:name w:val="Table Normal"/>
    <w:qFormat/>
    <w:uiPriority w:val="0"/>
    <w:tblPr>
      <w:tblCellMar>
        <w:top w:w="0" w:type="dxa"/>
        <w:left w:w="0" w:type="dxa"/>
        <w:bottom w:w="0" w:type="dxa"/>
        <w:right w:w="0" w:type="dxa"/>
      </w:tblCellMar>
    </w:tblPr>
  </w:style>
  <w:style w:type="paragraph" w:customStyle="1" w:styleId="333">
    <w:name w:val="正文文本 211"/>
    <w:basedOn w:val="1"/>
    <w:qFormat/>
    <w:uiPriority w:val="99"/>
    <w:pPr>
      <w:jc w:val="center"/>
    </w:pPr>
    <w:rPr>
      <w:b/>
      <w:bCs/>
      <w:sz w:val="20"/>
      <w:szCs w:val="20"/>
    </w:rPr>
  </w:style>
  <w:style w:type="paragraph" w:customStyle="1" w:styleId="334">
    <w:name w:val="正文文本1"/>
    <w:basedOn w:val="1"/>
    <w:next w:val="1"/>
    <w:semiHidden/>
    <w:qFormat/>
    <w:uiPriority w:val="0"/>
    <w:rPr>
      <w:rFonts w:ascii="Arial" w:hAnsi="Arial" w:eastAsia="Arial" w:cs="Arial"/>
      <w:szCs w:val="21"/>
      <w:lang w:eastAsia="en-US"/>
    </w:rPr>
  </w:style>
  <w:style w:type="paragraph" w:customStyle="1" w:styleId="335">
    <w:name w:val="正文文本12"/>
    <w:basedOn w:val="1"/>
    <w:qFormat/>
    <w:uiPriority w:val="1"/>
    <w:pPr>
      <w:ind w:left="120"/>
    </w:pPr>
    <w:rPr>
      <w:rFonts w:ascii="宋体" w:hAnsi="宋体" w:cs="宋体"/>
      <w:szCs w:val="21"/>
      <w:lang w:val="zh-CN" w:bidi="zh-CN"/>
    </w:rPr>
  </w:style>
  <w:style w:type="paragraph" w:customStyle="1" w:styleId="336">
    <w:name w:val="Table Text"/>
    <w:basedOn w:val="1"/>
    <w:semiHidden/>
    <w:qFormat/>
    <w:uiPriority w:val="0"/>
    <w:rPr>
      <w:rFonts w:ascii="宋体" w:hAnsi="宋体" w:cs="宋体"/>
      <w:szCs w:val="21"/>
      <w:lang w:eastAsia="en-US"/>
    </w:rPr>
  </w:style>
  <w:style w:type="table" w:customStyle="1" w:styleId="337">
    <w:name w:val="网格型1"/>
    <w:basedOn w:val="338"/>
    <w:qFormat/>
    <w:uiPriority w:val="0"/>
    <w:pPr>
      <w:widowControl w:val="0"/>
      <w:jc w:val="both"/>
    </w:pPr>
  </w:style>
  <w:style w:type="table" w:customStyle="1" w:styleId="338">
    <w:name w:val="普通表格1"/>
    <w:unhideWhenUsed/>
    <w:qFormat/>
    <w:uiPriority w:val="99"/>
    <w:tblPr>
      <w:tblCellMar>
        <w:top w:w="0" w:type="dxa"/>
        <w:left w:w="0" w:type="dxa"/>
        <w:bottom w:w="0" w:type="dxa"/>
        <w:right w:w="0" w:type="dxa"/>
      </w:tblCellMar>
    </w:tblPr>
  </w:style>
  <w:style w:type="character" w:customStyle="1" w:styleId="339">
    <w:name w:val="font31"/>
    <w:basedOn w:val="100"/>
    <w:qFormat/>
    <w:uiPriority w:val="0"/>
    <w:rPr>
      <w:rFonts w:hint="eastAsia" w:ascii="宋体" w:hAnsi="宋体" w:eastAsia="宋体" w:cs="宋体"/>
      <w:b/>
      <w:bCs/>
      <w:color w:val="000000"/>
      <w:sz w:val="21"/>
      <w:szCs w:val="21"/>
      <w:u w:val="none"/>
    </w:rPr>
  </w:style>
  <w:style w:type="character" w:customStyle="1" w:styleId="340">
    <w:name w:val="font21"/>
    <w:basedOn w:val="100"/>
    <w:qFormat/>
    <w:uiPriority w:val="0"/>
    <w:rPr>
      <w:rFonts w:hint="eastAsia" w:ascii="宋体" w:hAnsi="宋体" w:eastAsia="宋体" w:cs="宋体"/>
      <w:b/>
      <w:bCs/>
      <w:color w:val="000000"/>
      <w:sz w:val="21"/>
      <w:szCs w:val="21"/>
      <w:u w:val="single"/>
    </w:rPr>
  </w:style>
  <w:style w:type="paragraph" w:customStyle="1" w:styleId="341">
    <w:name w:val="Table Paragraph"/>
    <w:basedOn w:val="1"/>
    <w:qFormat/>
    <w:uiPriority w:val="1"/>
  </w:style>
  <w:style w:type="paragraph" w:customStyle="1" w:styleId="342">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343">
    <w:name w:val="font71"/>
    <w:basedOn w:val="100"/>
    <w:qFormat/>
    <w:uiPriority w:val="0"/>
    <w:rPr>
      <w:rFonts w:ascii="Times New Roman" w:hAnsi="Times New Roman" w:eastAsia="宋体" w:cs="Times New Roman"/>
      <w:sz w:val="21"/>
      <w:szCs w:val="22"/>
      <w:lang w:val="en-US" w:eastAsia="zh-CN" w:bidi="ar-SA"/>
    </w:rPr>
  </w:style>
  <w:style w:type="table" w:customStyle="1" w:styleId="344">
    <w:name w:val="Table Normal_0"/>
    <w:qFormat/>
    <w:uiPriority w:val="0"/>
    <w:tblPr>
      <w:tblCellMar>
        <w:top w:w="0" w:type="dxa"/>
        <w:left w:w="0" w:type="dxa"/>
        <w:bottom w:w="0" w:type="dxa"/>
        <w:right w:w="0" w:type="dxa"/>
      </w:tblCellMar>
    </w:tblPr>
  </w:style>
  <w:style w:type="paragraph" w:customStyle="1" w:styleId="345">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46">
    <w:name w:val="首行缩进"/>
    <w:basedOn w:val="1"/>
    <w:qFormat/>
    <w:uiPriority w:val="99"/>
    <w:pPr>
      <w:spacing w:line="360" w:lineRule="auto"/>
      <w:ind w:firstLine="480"/>
      <w:jc w:val="left"/>
    </w:pPr>
    <w:rPr>
      <w:rFonts w:ascii="宋体" w:hAnsi="宋体"/>
      <w:sz w:val="24"/>
      <w:szCs w:val="24"/>
    </w:rPr>
  </w:style>
  <w:style w:type="paragraph" w:customStyle="1" w:styleId="347">
    <w:name w:val="正文2"/>
    <w:basedOn w:val="1"/>
    <w:qFormat/>
    <w:uiPriority w:val="0"/>
    <w:pPr>
      <w:spacing w:before="156" w:line="360" w:lineRule="auto"/>
      <w:ind w:firstLine="510"/>
    </w:pPr>
    <w:rPr>
      <w:sz w:val="24"/>
    </w:rPr>
  </w:style>
  <w:style w:type="paragraph" w:customStyle="1" w:styleId="348">
    <w:name w:val="@@正文"/>
    <w:qFormat/>
    <w:uiPriority w:val="0"/>
    <w:pPr>
      <w:ind w:firstLine="200"/>
    </w:pPr>
    <w:rPr>
      <w:rFonts w:ascii="Times New Roman" w:hAnsi="Times New Roman" w:eastAsia="宋体" w:cs="Times New Roman"/>
      <w:sz w:val="28"/>
      <w:szCs w:val="22"/>
      <w:lang w:val="en-US" w:eastAsia="zh-CN" w:bidi="ar-SA"/>
    </w:rPr>
  </w:style>
  <w:style w:type="paragraph" w:customStyle="1" w:styleId="349">
    <w:name w:val="Other|1"/>
    <w:basedOn w:val="1"/>
    <w:qFormat/>
    <w:uiPriority w:val="0"/>
    <w:pPr>
      <w:spacing w:line="277" w:lineRule="exact"/>
      <w:ind w:firstLine="220"/>
    </w:pPr>
    <w:rPr>
      <w:rFonts w:ascii="宋体" w:hAnsi="宋体" w:cs="宋体"/>
      <w:sz w:val="18"/>
      <w:szCs w:val="18"/>
      <w:lang w:val="zh-TW" w:eastAsia="zh-TW" w:bidi="zh-TW"/>
    </w:rPr>
  </w:style>
  <w:style w:type="table" w:customStyle="1" w:styleId="350">
    <w:name w:val="网格型12"/>
    <w:qFormat/>
    <w:uiPriority w:val="59"/>
    <w:tblPr>
      <w:tblCellMar>
        <w:top w:w="0" w:type="dxa"/>
        <w:left w:w="0" w:type="dxa"/>
        <w:bottom w:w="0" w:type="dxa"/>
        <w:right w:w="0" w:type="dxa"/>
      </w:tblCellMar>
    </w:tblPr>
  </w:style>
  <w:style w:type="paragraph" w:customStyle="1" w:styleId="351">
    <w:name w:val="批注文字11"/>
    <w:basedOn w:val="1"/>
    <w:unhideWhenUsed/>
    <w:qFormat/>
    <w:uiPriority w:val="99"/>
    <w:pPr>
      <w:jc w:val="left"/>
    </w:pPr>
  </w:style>
  <w:style w:type="character" w:customStyle="1" w:styleId="352">
    <w:name w:val="默认段落字体11"/>
    <w:unhideWhenUsed/>
    <w:qFormat/>
    <w:uiPriority w:val="1"/>
  </w:style>
  <w:style w:type="character" w:customStyle="1" w:styleId="353">
    <w:name w:val="NormalCharacter"/>
    <w:qFormat/>
    <w:uiPriority w:val="0"/>
  </w:style>
  <w:style w:type="character" w:customStyle="1" w:styleId="354">
    <w:name w:val="已访问的超链接11"/>
    <w:qFormat/>
    <w:uiPriority w:val="0"/>
    <w:rPr>
      <w:color w:val="800080"/>
      <w:u w:val="single"/>
    </w:rPr>
  </w:style>
  <w:style w:type="paragraph" w:customStyle="1" w:styleId="355">
    <w:name w:val="标题 312"/>
    <w:next w:val="356"/>
    <w:qFormat/>
    <w:uiPriority w:val="0"/>
    <w:pPr>
      <w:keepNext/>
      <w:keepLines/>
      <w:widowControl w:val="0"/>
      <w:spacing w:before="320" w:after="200"/>
      <w:jc w:val="both"/>
      <w:outlineLvl w:val="2"/>
    </w:pPr>
    <w:rPr>
      <w:rFonts w:ascii="Arial" w:hAnsi="Arial" w:eastAsia="Arial" w:cs="Arial"/>
      <w:sz w:val="30"/>
      <w:szCs w:val="30"/>
      <w:lang w:val="en-US" w:eastAsia="zh-CN" w:bidi="ar-SA"/>
    </w:rPr>
  </w:style>
  <w:style w:type="paragraph" w:customStyle="1" w:styleId="356">
    <w:name w:val="正文缩进12"/>
    <w:qFormat/>
    <w:uiPriority w:val="0"/>
    <w:pPr>
      <w:widowControl w:val="0"/>
      <w:ind w:firstLine="420"/>
      <w:jc w:val="both"/>
    </w:pPr>
    <w:rPr>
      <w:rFonts w:ascii="Times New Roman" w:hAnsi="Times New Roman" w:eastAsia="宋体" w:cs="Times New Roman"/>
      <w:sz w:val="21"/>
      <w:szCs w:val="21"/>
      <w:lang w:val="en-US" w:eastAsia="zh-CN" w:bidi="ar-SA"/>
    </w:rPr>
  </w:style>
  <w:style w:type="paragraph" w:customStyle="1" w:styleId="357">
    <w:name w:val="标题 411"/>
    <w:next w:val="356"/>
    <w:qFormat/>
    <w:uiPriority w:val="0"/>
    <w:pPr>
      <w:keepNext/>
      <w:keepLines/>
      <w:widowControl w:val="0"/>
      <w:spacing w:before="320" w:after="200"/>
      <w:jc w:val="both"/>
      <w:outlineLvl w:val="3"/>
    </w:pPr>
    <w:rPr>
      <w:rFonts w:ascii="Arial" w:hAnsi="Arial" w:eastAsia="Arial" w:cs="Arial"/>
      <w:b/>
      <w:bCs/>
      <w:sz w:val="26"/>
      <w:szCs w:val="2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52</Pages>
  <Words>9874</Words>
  <Characters>10807</Characters>
  <Lines>1010</Lines>
  <Paragraphs>1081</Paragraphs>
  <TotalTime>23</TotalTime>
  <ScaleCrop>false</ScaleCrop>
  <LinksUpToDate>false</LinksUpToDate>
  <CharactersWithSpaces>11139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现在进行时.</cp:lastModifiedBy>
  <cp:lastPrinted>2025-12-17T03:20:00Z</cp:lastPrinted>
  <dcterms:modified xsi:type="dcterms:W3CDTF">2026-03-09T01:25:17Z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C5AE76EE714B4812B55C3FE48535C7A9_13</vt:lpwstr>
  </property>
  <property fmtid="{D5CDD505-2E9C-101B-9397-08002B2CF9AE}" pid="4" name="KSOTemplateDocerSaveRecord">
    <vt:lpwstr>eyJoZGlkIjoiNWNiMjc2MWNmMjdlOWEwNTU3MDE4MWQ3OWVjOWFiMzQiLCJ1c2VySWQiOiI3OTM5Mzc0NjMifQ==</vt:lpwstr>
  </property>
</Properties>
</file>