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9BE" w:rsidRDefault="00BC6712">
      <w:pPr>
        <w:snapToGrid w:val="0"/>
        <w:spacing w:line="360" w:lineRule="auto"/>
        <w:jc w:val="center"/>
        <w:rPr>
          <w:rFonts w:ascii="宋体" w:hAnsi="宋体" w:cs="宋体"/>
          <w:b/>
          <w:sz w:val="30"/>
          <w:szCs w:val="30"/>
        </w:rPr>
      </w:pPr>
      <w:r>
        <w:rPr>
          <w:rFonts w:ascii="宋体" w:hAnsi="宋体" w:cs="宋体" w:hint="eastAsia"/>
          <w:b/>
          <w:sz w:val="30"/>
          <w:szCs w:val="30"/>
        </w:rPr>
        <w:t>无锡市公安局交管支队2026至2027年房屋建筑物中小型修缮及零星维修供应商采购清单编制说明</w:t>
      </w:r>
    </w:p>
    <w:p w:rsidR="00E629BE" w:rsidRDefault="00BC6712">
      <w:pPr>
        <w:pStyle w:val="20"/>
        <w:numPr>
          <w:ilvl w:val="0"/>
          <w:numId w:val="1"/>
        </w:numPr>
        <w:adjustRightInd w:val="0"/>
        <w:snapToGrid w:val="0"/>
        <w:ind w:firstLineChars="200" w:firstLine="482"/>
        <w:rPr>
          <w:rFonts w:ascii="宋体" w:eastAsia="宋体" w:cs="宋体"/>
        </w:rPr>
      </w:pPr>
      <w:r>
        <w:rPr>
          <w:rFonts w:ascii="宋体" w:eastAsia="宋体" w:cs="宋体" w:hint="eastAsia"/>
        </w:rPr>
        <w:t>工程概况：</w:t>
      </w:r>
    </w:p>
    <w:p w:rsidR="00E629BE" w:rsidRDefault="00BC6712">
      <w:pPr>
        <w:numPr>
          <w:ilvl w:val="0"/>
          <w:numId w:val="2"/>
        </w:numPr>
        <w:adjustRightInd w:val="0"/>
        <w:snapToGrid w:val="0"/>
        <w:spacing w:line="360" w:lineRule="auto"/>
        <w:ind w:firstLineChars="200" w:firstLine="480"/>
        <w:rPr>
          <w:rFonts w:ascii="宋体" w:hAnsi="宋体" w:cs="宋体"/>
          <w:sz w:val="24"/>
        </w:rPr>
      </w:pPr>
      <w:r>
        <w:rPr>
          <w:rFonts w:ascii="宋体" w:hAnsi="宋体" w:cs="宋体" w:hint="eastAsia"/>
          <w:sz w:val="24"/>
        </w:rPr>
        <w:t>工程名称：无锡市公安局交管支队2026至2027年房屋建筑物中小型修缮及零星维修供应商采购项目；</w:t>
      </w:r>
    </w:p>
    <w:p w:rsidR="00E629BE" w:rsidRDefault="00BC6712">
      <w:pPr>
        <w:numPr>
          <w:ilvl w:val="0"/>
          <w:numId w:val="2"/>
        </w:numPr>
        <w:adjustRightInd w:val="0"/>
        <w:snapToGrid w:val="0"/>
        <w:spacing w:line="360" w:lineRule="auto"/>
        <w:ind w:firstLineChars="200" w:firstLine="480"/>
        <w:rPr>
          <w:rFonts w:ascii="宋体" w:hAnsi="宋体" w:cs="宋体"/>
          <w:sz w:val="24"/>
        </w:rPr>
      </w:pPr>
      <w:r>
        <w:rPr>
          <w:rFonts w:ascii="宋体" w:hAnsi="宋体" w:cs="宋体" w:hint="eastAsia"/>
          <w:sz w:val="24"/>
        </w:rPr>
        <w:t>工程地址：本工程位于江苏省无锡市；</w:t>
      </w:r>
    </w:p>
    <w:p w:rsidR="00E629BE" w:rsidRDefault="00BC6712">
      <w:pPr>
        <w:numPr>
          <w:ilvl w:val="0"/>
          <w:numId w:val="2"/>
        </w:numPr>
        <w:adjustRightInd w:val="0"/>
        <w:snapToGrid w:val="0"/>
        <w:spacing w:line="360" w:lineRule="auto"/>
        <w:ind w:firstLineChars="200" w:firstLine="480"/>
        <w:rPr>
          <w:rFonts w:ascii="宋体" w:hAnsi="宋体" w:cs="宋体"/>
          <w:sz w:val="24"/>
        </w:rPr>
      </w:pPr>
      <w:r>
        <w:rPr>
          <w:rFonts w:ascii="宋体" w:hAnsi="宋体" w:cs="宋体" w:hint="eastAsia"/>
          <w:sz w:val="24"/>
        </w:rPr>
        <w:t>环境要求：执行无锡市环境保护规定。</w:t>
      </w:r>
    </w:p>
    <w:p w:rsidR="00E629BE" w:rsidRDefault="00BC6712">
      <w:pPr>
        <w:pStyle w:val="20"/>
        <w:numPr>
          <w:ilvl w:val="0"/>
          <w:numId w:val="1"/>
        </w:numPr>
        <w:adjustRightInd w:val="0"/>
        <w:snapToGrid w:val="0"/>
        <w:ind w:firstLineChars="200" w:firstLine="482"/>
        <w:rPr>
          <w:rFonts w:ascii="宋体" w:eastAsia="宋体" w:cs="宋体"/>
        </w:rPr>
      </w:pPr>
      <w:r>
        <w:rPr>
          <w:rFonts w:ascii="宋体" w:eastAsia="宋体" w:cs="宋体" w:hint="eastAsia"/>
        </w:rPr>
        <w:t>工程招标范围：</w:t>
      </w:r>
    </w:p>
    <w:p w:rsidR="00E629BE" w:rsidRDefault="00BC6712">
      <w:pPr>
        <w:adjustRightInd w:val="0"/>
        <w:snapToGrid w:val="0"/>
        <w:spacing w:line="360" w:lineRule="auto"/>
        <w:ind w:firstLineChars="200" w:firstLine="480"/>
        <w:rPr>
          <w:rFonts w:ascii="宋体" w:hAnsi="宋体" w:cs="宋体"/>
          <w:sz w:val="24"/>
        </w:rPr>
      </w:pPr>
      <w:r>
        <w:rPr>
          <w:rFonts w:ascii="宋体" w:hAnsi="宋体" w:cs="宋体" w:hint="eastAsia"/>
          <w:sz w:val="24"/>
        </w:rPr>
        <w:t>无锡市公安局交管支队2026至2027年房屋建筑物中小型修缮及零星维修供应商采购的装修、安装等，具体</w:t>
      </w:r>
      <w:r>
        <w:rPr>
          <w:rFonts w:ascii="宋体" w:hAnsi="宋体" w:hint="eastAsia"/>
          <w:sz w:val="24"/>
          <w:szCs w:val="22"/>
        </w:rPr>
        <w:t>详见工程量清单</w:t>
      </w:r>
      <w:r>
        <w:rPr>
          <w:rFonts w:ascii="宋体" w:hAnsi="宋体" w:cs="宋体" w:hint="eastAsia"/>
          <w:sz w:val="24"/>
        </w:rPr>
        <w:t>。</w:t>
      </w:r>
    </w:p>
    <w:p w:rsidR="00E629BE" w:rsidRDefault="00BC6712">
      <w:pPr>
        <w:pStyle w:val="20"/>
        <w:numPr>
          <w:ilvl w:val="0"/>
          <w:numId w:val="1"/>
        </w:numPr>
        <w:adjustRightInd w:val="0"/>
        <w:snapToGrid w:val="0"/>
        <w:ind w:firstLineChars="200" w:firstLine="482"/>
        <w:rPr>
          <w:rFonts w:ascii="宋体" w:eastAsia="宋体" w:cs="宋体"/>
        </w:rPr>
      </w:pPr>
      <w:r>
        <w:rPr>
          <w:rFonts w:ascii="宋体" w:eastAsia="宋体" w:cs="宋体" w:hint="eastAsia"/>
        </w:rPr>
        <w:t>工程招标控制价：</w:t>
      </w:r>
    </w:p>
    <w:p w:rsidR="00E629BE" w:rsidRDefault="00BC6712">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招标控制价：</w:t>
      </w:r>
      <w:r>
        <w:rPr>
          <w:rFonts w:ascii="宋体" w:hAnsi="宋体" w:cs="宋体" w:hint="eastAsia"/>
          <w:kern w:val="0"/>
          <w:sz w:val="24"/>
          <w:u w:val="single"/>
        </w:rPr>
        <w:t>2</w:t>
      </w:r>
      <w:r w:rsidR="00072467">
        <w:rPr>
          <w:rFonts w:ascii="宋体" w:hAnsi="宋体" w:cs="宋体" w:hint="eastAsia"/>
          <w:kern w:val="0"/>
          <w:sz w:val="24"/>
          <w:u w:val="single"/>
        </w:rPr>
        <w:t>554872</w:t>
      </w:r>
      <w:r>
        <w:rPr>
          <w:rFonts w:ascii="宋体" w:hAnsi="宋体" w:cs="宋体" w:hint="eastAsia"/>
          <w:kern w:val="0"/>
          <w:sz w:val="24"/>
        </w:rPr>
        <w:t>元，其中暂列金</w:t>
      </w:r>
      <w:r>
        <w:rPr>
          <w:rFonts w:ascii="宋体" w:hAnsi="宋体" w:cs="宋体" w:hint="eastAsia"/>
          <w:kern w:val="0"/>
          <w:sz w:val="24"/>
          <w:u w:val="single"/>
        </w:rPr>
        <w:t xml:space="preserve"> 0</w:t>
      </w:r>
      <w:r>
        <w:rPr>
          <w:rFonts w:ascii="宋体" w:hAnsi="宋体" w:cs="宋体" w:hint="eastAsia"/>
          <w:kern w:val="0"/>
          <w:sz w:val="24"/>
        </w:rPr>
        <w:t>元。</w:t>
      </w:r>
      <w:bookmarkStart w:id="0" w:name="_GoBack"/>
      <w:bookmarkEnd w:id="0"/>
    </w:p>
    <w:p w:rsidR="00E629BE" w:rsidRDefault="00BC6712">
      <w:pPr>
        <w:pStyle w:val="20"/>
        <w:numPr>
          <w:ilvl w:val="0"/>
          <w:numId w:val="1"/>
        </w:numPr>
        <w:adjustRightInd w:val="0"/>
        <w:snapToGrid w:val="0"/>
        <w:ind w:firstLineChars="200" w:firstLine="482"/>
        <w:rPr>
          <w:rFonts w:ascii="宋体" w:eastAsia="宋体" w:cs="宋体"/>
        </w:rPr>
      </w:pPr>
      <w:r>
        <w:rPr>
          <w:rFonts w:ascii="宋体" w:eastAsia="宋体" w:cs="宋体" w:hint="eastAsia"/>
        </w:rPr>
        <w:t>招标控制价编制说明：</w:t>
      </w:r>
    </w:p>
    <w:p w:rsidR="00E629BE" w:rsidRDefault="00BC6712">
      <w:pPr>
        <w:pStyle w:val="20"/>
        <w:adjustRightInd w:val="0"/>
        <w:snapToGrid w:val="0"/>
        <w:ind w:left="482" w:firstLineChars="0" w:firstLine="0"/>
        <w:rPr>
          <w:rFonts w:ascii="宋体" w:cs="宋体"/>
        </w:rPr>
      </w:pPr>
      <w:r>
        <w:rPr>
          <w:rFonts w:ascii="宋体" w:eastAsia="宋体" w:cs="宋体" w:hint="eastAsia"/>
        </w:rPr>
        <w:t>（一）工程量清单编制依据</w:t>
      </w:r>
    </w:p>
    <w:p w:rsidR="00E629BE" w:rsidRDefault="00BC6712">
      <w:pPr>
        <w:numPr>
          <w:ilvl w:val="0"/>
          <w:numId w:val="3"/>
        </w:numPr>
        <w:adjustRightInd w:val="0"/>
        <w:snapToGrid w:val="0"/>
        <w:spacing w:line="360" w:lineRule="auto"/>
        <w:ind w:left="0" w:firstLineChars="200" w:firstLine="480"/>
        <w:rPr>
          <w:rFonts w:ascii="宋体" w:hAnsi="宋体" w:cs="宋体"/>
          <w:sz w:val="24"/>
        </w:rPr>
      </w:pPr>
      <w:r>
        <w:rPr>
          <w:rFonts w:ascii="宋体" w:hAnsi="宋体" w:cs="宋体" w:hint="eastAsia"/>
          <w:sz w:val="24"/>
        </w:rPr>
        <w:t>现行的国家有关建筑规范、规程、标准、规定和当地有关法规、条例及规定；</w:t>
      </w:r>
    </w:p>
    <w:p w:rsidR="00E629BE" w:rsidRDefault="00BC6712">
      <w:pPr>
        <w:numPr>
          <w:ilvl w:val="0"/>
          <w:numId w:val="3"/>
        </w:numPr>
        <w:adjustRightInd w:val="0"/>
        <w:snapToGrid w:val="0"/>
        <w:spacing w:line="360" w:lineRule="auto"/>
        <w:ind w:left="0" w:firstLineChars="200" w:firstLine="480"/>
        <w:rPr>
          <w:rFonts w:ascii="宋体" w:hAnsi="宋体" w:cs="宋体"/>
          <w:sz w:val="24"/>
        </w:rPr>
      </w:pPr>
      <w:r>
        <w:rPr>
          <w:rFonts w:ascii="宋体" w:hAnsi="宋体" w:cs="宋体" w:hint="eastAsia"/>
          <w:sz w:val="24"/>
        </w:rPr>
        <w:t>苏建价【2014】448号《省住房城乡建设厅关于《建设工程工程量清单计价规范》（GB50500-2013）及其9本工程量计算规范的贯彻意见》；</w:t>
      </w:r>
    </w:p>
    <w:p w:rsidR="00E629BE" w:rsidRDefault="00BC6712">
      <w:pPr>
        <w:numPr>
          <w:ilvl w:val="0"/>
          <w:numId w:val="3"/>
        </w:numPr>
        <w:adjustRightInd w:val="0"/>
        <w:snapToGrid w:val="0"/>
        <w:spacing w:line="360" w:lineRule="auto"/>
        <w:ind w:left="0" w:firstLineChars="200" w:firstLine="480"/>
        <w:rPr>
          <w:rFonts w:ascii="宋体" w:hAnsi="宋体" w:cs="宋体"/>
          <w:sz w:val="24"/>
        </w:rPr>
      </w:pPr>
      <w:r>
        <w:rPr>
          <w:rFonts w:ascii="宋体" w:hAnsi="宋体" w:cs="宋体" w:hint="eastAsia"/>
          <w:sz w:val="24"/>
        </w:rPr>
        <w:t>2014年6月江苏省住房和城乡建设厅颁发的《江苏省建设工程费用定额》；</w:t>
      </w:r>
    </w:p>
    <w:p w:rsidR="00E629BE" w:rsidRDefault="00BC6712">
      <w:pPr>
        <w:numPr>
          <w:ilvl w:val="0"/>
          <w:numId w:val="3"/>
        </w:numPr>
        <w:adjustRightInd w:val="0"/>
        <w:snapToGrid w:val="0"/>
        <w:spacing w:line="360" w:lineRule="auto"/>
        <w:ind w:left="0" w:firstLineChars="200" w:firstLine="480"/>
        <w:rPr>
          <w:rFonts w:ascii="宋体" w:hAnsi="宋体" w:cs="宋体"/>
          <w:sz w:val="24"/>
        </w:rPr>
      </w:pPr>
      <w:r>
        <w:rPr>
          <w:rFonts w:ascii="宋体" w:hAnsi="宋体" w:cs="宋体" w:hint="eastAsia"/>
          <w:sz w:val="24"/>
        </w:rPr>
        <w:t>苏建价〔2016〕154 号文《省住房城乡建设厅关于建筑业实施营改增后江苏省建设工程计价依据调整的通知》及《省住房城乡建设厅关于调整建设工程计价增值税税率的通知》（苏建函价【2019】178号）文；</w:t>
      </w:r>
    </w:p>
    <w:p w:rsidR="00E629BE" w:rsidRDefault="00BC6712">
      <w:pPr>
        <w:numPr>
          <w:ilvl w:val="0"/>
          <w:numId w:val="3"/>
        </w:numPr>
        <w:adjustRightInd w:val="0"/>
        <w:snapToGrid w:val="0"/>
        <w:spacing w:line="360" w:lineRule="auto"/>
        <w:ind w:left="0" w:firstLineChars="200" w:firstLine="480"/>
        <w:rPr>
          <w:rFonts w:ascii="宋体" w:hAnsi="宋体" w:cs="宋体"/>
          <w:sz w:val="24"/>
        </w:rPr>
      </w:pPr>
      <w:bookmarkStart w:id="1" w:name="_Hlk193380294"/>
      <w:r>
        <w:rPr>
          <w:rFonts w:ascii="宋体" w:hAnsi="宋体" w:cs="宋体" w:hint="eastAsia"/>
          <w:sz w:val="24"/>
        </w:rPr>
        <w:t>苏建函价(025)2号文《关于明确材料预算价格中含税价和除税价计算方式的通知》</w:t>
      </w:r>
      <w:bookmarkEnd w:id="1"/>
      <w:r>
        <w:rPr>
          <w:rFonts w:ascii="宋体" w:hAnsi="宋体" w:cs="宋体" w:hint="eastAsia"/>
          <w:sz w:val="24"/>
        </w:rPr>
        <w:t>；</w:t>
      </w:r>
    </w:p>
    <w:p w:rsidR="00E629BE" w:rsidRDefault="00BC6712">
      <w:pPr>
        <w:numPr>
          <w:ilvl w:val="0"/>
          <w:numId w:val="3"/>
        </w:numPr>
        <w:adjustRightInd w:val="0"/>
        <w:snapToGrid w:val="0"/>
        <w:spacing w:line="360" w:lineRule="auto"/>
        <w:ind w:left="0" w:firstLineChars="200" w:firstLine="480"/>
        <w:rPr>
          <w:rFonts w:ascii="宋体" w:hAnsi="宋体" w:cs="宋体"/>
          <w:sz w:val="24"/>
        </w:rPr>
      </w:pPr>
      <w:r>
        <w:rPr>
          <w:rFonts w:ascii="宋体" w:hAnsi="宋体" w:cs="宋体" w:hint="eastAsia"/>
          <w:sz w:val="24"/>
        </w:rPr>
        <w:t>无锡市建设局有关文件。</w:t>
      </w:r>
    </w:p>
    <w:p w:rsidR="00E629BE" w:rsidRDefault="00BC6712">
      <w:pPr>
        <w:pStyle w:val="20"/>
        <w:adjustRightInd w:val="0"/>
        <w:snapToGrid w:val="0"/>
        <w:ind w:left="482" w:firstLineChars="0" w:firstLine="0"/>
        <w:rPr>
          <w:rFonts w:ascii="宋体" w:eastAsia="宋体" w:cs="宋体"/>
        </w:rPr>
      </w:pPr>
      <w:r>
        <w:rPr>
          <w:rFonts w:ascii="宋体" w:eastAsia="宋体" w:cs="宋体" w:hint="eastAsia"/>
        </w:rPr>
        <w:t>（二）招标控制价编制依据：</w:t>
      </w:r>
    </w:p>
    <w:p w:rsidR="00E629BE" w:rsidRDefault="00BC6712">
      <w:pPr>
        <w:numPr>
          <w:ilvl w:val="0"/>
          <w:numId w:val="4"/>
        </w:numPr>
        <w:adjustRightInd w:val="0"/>
        <w:snapToGrid w:val="0"/>
        <w:spacing w:line="360" w:lineRule="auto"/>
        <w:ind w:left="0" w:firstLine="420"/>
        <w:rPr>
          <w:rFonts w:ascii="宋体" w:hAnsi="宋体" w:cs="宋体"/>
          <w:sz w:val="24"/>
        </w:rPr>
      </w:pPr>
      <w:r>
        <w:rPr>
          <w:rFonts w:ascii="宋体" w:hAnsi="宋体" w:cs="宋体" w:hint="eastAsia"/>
          <w:sz w:val="24"/>
        </w:rPr>
        <w:t>人工工资单价按2025年9月江苏省住房城乡建设厅发布的《省住房城乡建设厅关于发布建设工程人工工资指导价的通知》《苏建函价〔2025〕273号》计算</w:t>
      </w:r>
      <w:r w:rsidRPr="000B3265">
        <w:rPr>
          <w:rFonts w:ascii="宋体" w:hAnsi="宋体" w:cs="宋体" w:hint="eastAsia"/>
          <w:b/>
          <w:sz w:val="24"/>
          <w:u w:val="single"/>
        </w:rPr>
        <w:t>，装饰人工取中间值</w:t>
      </w:r>
      <w:r>
        <w:rPr>
          <w:rFonts w:ascii="宋体" w:hAnsi="宋体" w:cs="宋体" w:hint="eastAsia"/>
          <w:sz w:val="24"/>
        </w:rPr>
        <w:t>；</w:t>
      </w:r>
    </w:p>
    <w:p w:rsidR="00E629BE" w:rsidRDefault="00BC6712">
      <w:pPr>
        <w:numPr>
          <w:ilvl w:val="0"/>
          <w:numId w:val="4"/>
        </w:numPr>
        <w:adjustRightInd w:val="0"/>
        <w:snapToGrid w:val="0"/>
        <w:spacing w:line="360" w:lineRule="auto"/>
        <w:ind w:left="0" w:firstLine="420"/>
        <w:rPr>
          <w:rFonts w:ascii="宋体" w:hAnsi="宋体" w:cs="宋体"/>
          <w:sz w:val="24"/>
        </w:rPr>
      </w:pPr>
      <w:r>
        <w:rPr>
          <w:rFonts w:ascii="宋体" w:hAnsi="宋体" w:cs="宋体" w:hint="eastAsia"/>
          <w:sz w:val="24"/>
        </w:rPr>
        <w:lastRenderedPageBreak/>
        <w:t>主要材料价格参照《无锡工程造价信息》2025年第</w:t>
      </w:r>
      <w:r>
        <w:rPr>
          <w:rFonts w:ascii="宋体" w:hAnsi="宋体" w:cs="宋体"/>
          <w:sz w:val="24"/>
        </w:rPr>
        <w:t>12</w:t>
      </w:r>
      <w:r>
        <w:rPr>
          <w:rFonts w:ascii="宋体" w:hAnsi="宋体" w:cs="宋体" w:hint="eastAsia"/>
          <w:sz w:val="24"/>
        </w:rPr>
        <w:t>期及当前的市场价格行情；</w:t>
      </w:r>
    </w:p>
    <w:p w:rsidR="00E629BE" w:rsidRDefault="00BC6712">
      <w:pPr>
        <w:numPr>
          <w:ilvl w:val="0"/>
          <w:numId w:val="4"/>
        </w:numPr>
        <w:adjustRightInd w:val="0"/>
        <w:snapToGrid w:val="0"/>
        <w:spacing w:line="360" w:lineRule="auto"/>
        <w:ind w:left="0" w:firstLine="420"/>
        <w:rPr>
          <w:rFonts w:ascii="宋体" w:hAnsi="宋体" w:cs="宋体"/>
          <w:sz w:val="24"/>
        </w:rPr>
      </w:pPr>
      <w:r>
        <w:rPr>
          <w:rFonts w:ascii="宋体" w:hAnsi="宋体" w:cs="宋体" w:hint="eastAsia"/>
          <w:sz w:val="24"/>
        </w:rPr>
        <w:t>机械费按二〇〇七年江苏省建设厅发布的《江苏省施工机械台班费用定额》同时调整人工费、油料差价及税金；</w:t>
      </w:r>
    </w:p>
    <w:p w:rsidR="00E629BE" w:rsidRDefault="00BC6712">
      <w:pPr>
        <w:numPr>
          <w:ilvl w:val="0"/>
          <w:numId w:val="4"/>
        </w:numPr>
        <w:adjustRightInd w:val="0"/>
        <w:snapToGrid w:val="0"/>
        <w:spacing w:line="360" w:lineRule="auto"/>
        <w:ind w:left="0" w:firstLine="420"/>
        <w:rPr>
          <w:rFonts w:ascii="宋体" w:hAnsi="宋体" w:cs="宋体"/>
          <w:sz w:val="24"/>
        </w:rPr>
      </w:pPr>
      <w:r>
        <w:rPr>
          <w:rFonts w:ascii="宋体" w:hAnsi="宋体" w:cs="宋体" w:hint="eastAsia"/>
          <w:sz w:val="24"/>
        </w:rPr>
        <w:t>管理费、利润、规费、税金按苏建价〔2016〕154 号文《省住房城乡建设厅关于建筑业实施营改增后江苏省建设工程计价依据调整的通知》和苏建函价</w:t>
      </w:r>
      <w:r>
        <w:rPr>
          <w:rFonts w:ascii="宋体" w:hAnsi="宋体" w:cs="宋体" w:hint="eastAsia"/>
          <w:sz w:val="24"/>
          <w:szCs w:val="22"/>
        </w:rPr>
        <w:t>[2019]178号省住房城乡建设厅关于建筑业增值税计价政策调整的通知；</w:t>
      </w:r>
    </w:p>
    <w:p w:rsidR="00E629BE" w:rsidRDefault="00BC6712">
      <w:pPr>
        <w:numPr>
          <w:ilvl w:val="0"/>
          <w:numId w:val="4"/>
        </w:numPr>
        <w:adjustRightInd w:val="0"/>
        <w:snapToGrid w:val="0"/>
        <w:spacing w:line="360" w:lineRule="auto"/>
        <w:ind w:left="0" w:firstLine="420"/>
        <w:rPr>
          <w:rFonts w:ascii="宋体" w:hAnsi="宋体" w:cs="宋体"/>
          <w:sz w:val="24"/>
        </w:rPr>
      </w:pPr>
      <w:r>
        <w:rPr>
          <w:rFonts w:ascii="宋体" w:hAnsi="宋体" w:hint="eastAsia"/>
          <w:sz w:val="24"/>
        </w:rPr>
        <w:t>按锡建建市〔2019〕8号文《关于明确建设工程环境保护税计价问题的通知》不再计列环境保护税；</w:t>
      </w:r>
    </w:p>
    <w:p w:rsidR="00E629BE" w:rsidRDefault="00BC6712">
      <w:pPr>
        <w:numPr>
          <w:ilvl w:val="0"/>
          <w:numId w:val="4"/>
        </w:numPr>
        <w:adjustRightInd w:val="0"/>
        <w:snapToGrid w:val="0"/>
        <w:spacing w:line="360" w:lineRule="auto"/>
        <w:ind w:left="0" w:firstLine="420"/>
        <w:rPr>
          <w:rFonts w:ascii="宋体" w:hAnsi="宋体" w:cs="宋体"/>
          <w:sz w:val="24"/>
        </w:rPr>
      </w:pPr>
      <w:r>
        <w:rPr>
          <w:rFonts w:ascii="宋体" w:hAnsi="宋体" w:cs="宋体" w:hint="eastAsia"/>
          <w:sz w:val="24"/>
        </w:rPr>
        <w:t>根据各专业参考费率按中间值计取临时设施费；其它总价措施费按招标人要求均没有计取。</w:t>
      </w:r>
    </w:p>
    <w:p w:rsidR="00E629BE" w:rsidRDefault="00BC6712">
      <w:pPr>
        <w:pStyle w:val="20"/>
        <w:numPr>
          <w:ilvl w:val="0"/>
          <w:numId w:val="1"/>
        </w:numPr>
        <w:adjustRightInd w:val="0"/>
        <w:snapToGrid w:val="0"/>
        <w:ind w:firstLineChars="200" w:firstLine="482"/>
        <w:rPr>
          <w:rFonts w:ascii="宋体" w:eastAsia="宋体" w:cs="宋体"/>
        </w:rPr>
      </w:pPr>
      <w:r>
        <w:rPr>
          <w:rFonts w:ascii="宋体" w:eastAsia="宋体" w:cs="宋体" w:hint="eastAsia"/>
        </w:rPr>
        <w:t>工程质量、材料、施工等特殊要求：</w:t>
      </w:r>
    </w:p>
    <w:p w:rsidR="00E629BE" w:rsidRDefault="00BC6712">
      <w:pPr>
        <w:numPr>
          <w:ilvl w:val="0"/>
          <w:numId w:val="5"/>
        </w:numPr>
        <w:adjustRightInd w:val="0"/>
        <w:snapToGrid w:val="0"/>
        <w:spacing w:line="360" w:lineRule="auto"/>
        <w:ind w:left="0" w:firstLineChars="200" w:firstLine="480"/>
        <w:rPr>
          <w:rFonts w:ascii="宋体" w:hAnsi="宋体" w:cs="宋体"/>
          <w:sz w:val="24"/>
        </w:rPr>
      </w:pPr>
      <w:r>
        <w:rPr>
          <w:rFonts w:ascii="宋体" w:hAnsi="宋体" w:cs="宋体" w:hint="eastAsia"/>
          <w:sz w:val="24"/>
        </w:rPr>
        <w:t>工程质量达到一次性验收合格；</w:t>
      </w:r>
    </w:p>
    <w:p w:rsidR="00E629BE" w:rsidRDefault="00BC6712">
      <w:pPr>
        <w:spacing w:line="360" w:lineRule="auto"/>
        <w:ind w:firstLineChars="200" w:firstLine="480"/>
        <w:rPr>
          <w:rFonts w:ascii="宋体" w:hAnsi="宋体" w:cs="宋体"/>
          <w:kern w:val="0"/>
          <w:sz w:val="24"/>
        </w:rPr>
      </w:pPr>
      <w:r>
        <w:rPr>
          <w:rFonts w:ascii="宋体" w:hAnsi="宋体" w:cs="宋体" w:hint="eastAsia"/>
          <w:sz w:val="24"/>
        </w:rPr>
        <w:t>2、</w:t>
      </w:r>
      <w:r>
        <w:rPr>
          <w:rFonts w:ascii="宋体" w:hAnsi="宋体" w:cs="宋体" w:hint="eastAsia"/>
          <w:kern w:val="0"/>
          <w:sz w:val="24"/>
        </w:rPr>
        <w:t>环境保护要求：符合主管部门及建设单位对环境保护的规定及招标文件的要求；</w:t>
      </w:r>
    </w:p>
    <w:p w:rsidR="00E629BE" w:rsidRDefault="00BC6712">
      <w:pPr>
        <w:pStyle w:val="20"/>
        <w:numPr>
          <w:ilvl w:val="0"/>
          <w:numId w:val="1"/>
        </w:numPr>
        <w:adjustRightInd w:val="0"/>
        <w:snapToGrid w:val="0"/>
        <w:ind w:firstLineChars="200" w:firstLine="482"/>
        <w:rPr>
          <w:rFonts w:ascii="宋体" w:eastAsia="宋体" w:cs="宋体"/>
        </w:rPr>
      </w:pPr>
      <w:r>
        <w:rPr>
          <w:rFonts w:ascii="宋体" w:eastAsia="宋体" w:cs="宋体" w:hint="eastAsia"/>
        </w:rPr>
        <w:t>招标人自行采购材料名称、规格、型号及招标人暂列金额，暂估价：</w:t>
      </w:r>
    </w:p>
    <w:p w:rsidR="00E629BE" w:rsidRDefault="00BC6712">
      <w:pPr>
        <w:adjustRightInd w:val="0"/>
        <w:snapToGrid w:val="0"/>
        <w:spacing w:line="360" w:lineRule="auto"/>
        <w:ind w:firstLineChars="200" w:firstLine="480"/>
        <w:rPr>
          <w:rFonts w:ascii="宋体" w:hAnsi="宋体" w:cs="宋体"/>
          <w:sz w:val="24"/>
        </w:rPr>
      </w:pPr>
      <w:r>
        <w:rPr>
          <w:rFonts w:ascii="宋体" w:hAnsi="宋体" w:cs="宋体" w:hint="eastAsia"/>
          <w:sz w:val="24"/>
        </w:rPr>
        <w:t>工程暂列金额：无</w:t>
      </w:r>
    </w:p>
    <w:p w:rsidR="00E629BE" w:rsidRDefault="00BC6712">
      <w:pPr>
        <w:adjustRightInd w:val="0"/>
        <w:snapToGrid w:val="0"/>
        <w:spacing w:line="360" w:lineRule="auto"/>
        <w:ind w:firstLineChars="200" w:firstLine="480"/>
        <w:rPr>
          <w:rFonts w:ascii="宋体" w:hAnsi="宋体" w:cs="宋体"/>
          <w:bCs/>
          <w:sz w:val="24"/>
        </w:rPr>
      </w:pPr>
      <w:r>
        <w:rPr>
          <w:rFonts w:ascii="宋体" w:hAnsi="宋体" w:cs="宋体" w:hint="eastAsia"/>
          <w:sz w:val="24"/>
        </w:rPr>
        <w:t>专业工程暂估价：无</w:t>
      </w:r>
      <w:r>
        <w:rPr>
          <w:rFonts w:ascii="宋体" w:hAnsi="宋体" w:cs="宋体" w:hint="eastAsia"/>
          <w:bCs/>
          <w:sz w:val="24"/>
        </w:rPr>
        <w:t>。</w:t>
      </w:r>
    </w:p>
    <w:p w:rsidR="00E629BE" w:rsidRDefault="00BC6712">
      <w:pPr>
        <w:pStyle w:val="20"/>
        <w:numPr>
          <w:ilvl w:val="0"/>
          <w:numId w:val="1"/>
        </w:numPr>
        <w:adjustRightInd w:val="0"/>
        <w:snapToGrid w:val="0"/>
        <w:ind w:firstLineChars="200" w:firstLine="482"/>
        <w:rPr>
          <w:rFonts w:ascii="宋体" w:eastAsia="宋体" w:cs="宋体"/>
          <w:lang w:val="zh-CN"/>
        </w:rPr>
      </w:pPr>
      <w:r>
        <w:rPr>
          <w:rFonts w:ascii="宋体" w:eastAsia="宋体" w:cs="宋体" w:hint="eastAsia"/>
        </w:rPr>
        <w:t>其他需说明的问题：</w:t>
      </w:r>
    </w:p>
    <w:p w:rsidR="00E629BE" w:rsidRDefault="00BC6712">
      <w:pPr>
        <w:numPr>
          <w:ilvl w:val="0"/>
          <w:numId w:val="6"/>
        </w:numPr>
        <w:spacing w:line="360" w:lineRule="auto"/>
        <w:ind w:firstLineChars="196" w:firstLine="470"/>
        <w:rPr>
          <w:rFonts w:ascii="宋体" w:hAnsi="宋体" w:cs="宋体"/>
          <w:sz w:val="24"/>
        </w:rPr>
      </w:pPr>
      <w:r>
        <w:rPr>
          <w:rFonts w:ascii="宋体" w:hAnsi="宋体" w:cs="宋体" w:hint="eastAsia"/>
          <w:sz w:val="24"/>
        </w:rPr>
        <w:t>根据《关于印发进一步优化营商环境加强房屋建筑和市政基础设施工程招标投标监管的实施意见的通知》（锡建规发[2021]3号）有关规定，施工招标项目中，属于承包人自行采购的主要材料、设备，招标人可以在招标文件中提出材料、设备的技术标准或者质量要求，或者提供3个以上符合要求的不同厂家品牌的同档次产品供投标人在合同履行过程中进行选择，不得要求投标人在投标时明确所选的厂家品牌产品。投标人拟增加厂家或品牌的，应在招标文件规定的澄清答疑期限结束之前提出，满足招标文件中明确的技术标准和质量要求，并由招标人同意。本项目招标人对本工程部分材料、设备设置了推荐厂家品牌，详见清单编制说明《主要材料、设备品牌要求》,投标人一旦中标，在合同履行过程中按招标文件中设置的推荐厂家品牌选用。</w:t>
      </w:r>
    </w:p>
    <w:p w:rsidR="00E629BE" w:rsidRDefault="00BC6712">
      <w:pPr>
        <w:numPr>
          <w:ilvl w:val="0"/>
          <w:numId w:val="6"/>
        </w:numPr>
        <w:spacing w:line="360" w:lineRule="auto"/>
        <w:ind w:firstLineChars="196" w:firstLine="470"/>
        <w:rPr>
          <w:rFonts w:ascii="宋体" w:hAnsi="宋体" w:cs="宋体"/>
          <w:sz w:val="24"/>
        </w:rPr>
      </w:pPr>
      <w:r>
        <w:rPr>
          <w:rFonts w:ascii="宋体" w:hAnsi="宋体" w:cs="宋体" w:hint="eastAsia"/>
          <w:sz w:val="24"/>
        </w:rPr>
        <w:t>施工过程中产生的建筑垃圾装车及外运，统一计取在装饰工程中，安装</w:t>
      </w:r>
      <w:r>
        <w:rPr>
          <w:rFonts w:ascii="宋体" w:hAnsi="宋体" w:cs="宋体" w:hint="eastAsia"/>
          <w:sz w:val="24"/>
        </w:rPr>
        <w:lastRenderedPageBreak/>
        <w:t>专业中不再重复计取。</w:t>
      </w:r>
    </w:p>
    <w:p w:rsidR="00E629BE" w:rsidRDefault="00E629BE" w:rsidP="000B3265">
      <w:pPr>
        <w:adjustRightInd w:val="0"/>
        <w:snapToGrid w:val="0"/>
        <w:spacing w:line="360" w:lineRule="auto"/>
        <w:ind w:leftChars="200" w:left="420"/>
        <w:rPr>
          <w:rFonts w:ascii="宋体" w:hAnsi="宋体" w:cs="宋体"/>
          <w:sz w:val="24"/>
        </w:rPr>
      </w:pPr>
    </w:p>
    <w:p w:rsidR="00E629BE" w:rsidRDefault="00BC6712">
      <w:pPr>
        <w:pStyle w:val="20"/>
        <w:numPr>
          <w:ilvl w:val="0"/>
          <w:numId w:val="1"/>
        </w:numPr>
        <w:adjustRightInd w:val="0"/>
        <w:snapToGrid w:val="0"/>
        <w:ind w:firstLineChars="200" w:firstLine="482"/>
        <w:rPr>
          <w:rFonts w:ascii="宋体" w:eastAsia="宋体" w:cs="宋体"/>
        </w:rPr>
      </w:pPr>
      <w:r>
        <w:rPr>
          <w:rFonts w:ascii="宋体" w:eastAsia="宋体" w:cs="宋体" w:hint="eastAsia"/>
        </w:rPr>
        <w:t>不可竞争费如下表：</w:t>
      </w:r>
    </w:p>
    <w:tbl>
      <w:tblPr>
        <w:tblW w:w="8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4"/>
        <w:gridCol w:w="1997"/>
        <w:gridCol w:w="2137"/>
        <w:gridCol w:w="1566"/>
        <w:gridCol w:w="1496"/>
      </w:tblGrid>
      <w:tr w:rsidR="00E629BE">
        <w:trPr>
          <w:trHeight w:val="476"/>
          <w:jc w:val="center"/>
        </w:trPr>
        <w:tc>
          <w:tcPr>
            <w:tcW w:w="1514" w:type="dxa"/>
            <w:noWrap/>
            <w:vAlign w:val="center"/>
          </w:tcPr>
          <w:p w:rsidR="00E629BE" w:rsidRDefault="00BC6712">
            <w:pPr>
              <w:jc w:val="center"/>
              <w:rPr>
                <w:rFonts w:ascii="宋体" w:hAnsi="宋体" w:cs="宋体"/>
                <w:sz w:val="22"/>
                <w:szCs w:val="22"/>
              </w:rPr>
            </w:pPr>
            <w:bookmarkStart w:id="2" w:name="_Hlk122878703"/>
            <w:r>
              <w:rPr>
                <w:rFonts w:ascii="宋体" w:hAnsi="宋体" w:cs="宋体" w:hint="eastAsia"/>
                <w:sz w:val="22"/>
                <w:szCs w:val="22"/>
              </w:rPr>
              <w:t>序号</w:t>
            </w:r>
          </w:p>
        </w:tc>
        <w:tc>
          <w:tcPr>
            <w:tcW w:w="4134" w:type="dxa"/>
            <w:gridSpan w:val="2"/>
            <w:noWrap/>
            <w:vAlign w:val="center"/>
          </w:tcPr>
          <w:p w:rsidR="00E629BE" w:rsidRDefault="00BC6712">
            <w:pPr>
              <w:jc w:val="center"/>
              <w:rPr>
                <w:rFonts w:ascii="宋体" w:hAnsi="宋体" w:cs="宋体"/>
                <w:sz w:val="22"/>
                <w:szCs w:val="22"/>
              </w:rPr>
            </w:pPr>
            <w:r>
              <w:rPr>
                <w:rFonts w:ascii="宋体" w:hAnsi="宋体" w:cs="宋体" w:hint="eastAsia"/>
                <w:sz w:val="22"/>
                <w:szCs w:val="22"/>
              </w:rPr>
              <w:t>费用类别</w:t>
            </w:r>
          </w:p>
        </w:tc>
        <w:tc>
          <w:tcPr>
            <w:tcW w:w="1566" w:type="dxa"/>
            <w:noWrap/>
            <w:vAlign w:val="center"/>
          </w:tcPr>
          <w:p w:rsidR="00E629BE" w:rsidRDefault="00BC6712">
            <w:pPr>
              <w:jc w:val="center"/>
              <w:rPr>
                <w:rFonts w:ascii="宋体" w:hAnsi="宋体" w:cs="宋体"/>
                <w:sz w:val="22"/>
                <w:szCs w:val="22"/>
              </w:rPr>
            </w:pPr>
            <w:r>
              <w:rPr>
                <w:rFonts w:ascii="宋体" w:hAnsi="宋体" w:cs="宋体" w:hint="eastAsia"/>
                <w:sz w:val="22"/>
                <w:szCs w:val="22"/>
              </w:rPr>
              <w:t>装饰工程</w:t>
            </w:r>
          </w:p>
        </w:tc>
        <w:tc>
          <w:tcPr>
            <w:tcW w:w="1496" w:type="dxa"/>
            <w:noWrap/>
            <w:vAlign w:val="center"/>
          </w:tcPr>
          <w:p w:rsidR="00E629BE" w:rsidRDefault="00BC6712">
            <w:pPr>
              <w:jc w:val="center"/>
              <w:rPr>
                <w:rFonts w:ascii="宋体" w:hAnsi="宋体" w:cs="宋体"/>
                <w:sz w:val="22"/>
                <w:szCs w:val="22"/>
              </w:rPr>
            </w:pPr>
            <w:r>
              <w:rPr>
                <w:rFonts w:ascii="宋体" w:hAnsi="宋体" w:cs="宋体" w:hint="eastAsia"/>
                <w:sz w:val="22"/>
                <w:szCs w:val="22"/>
              </w:rPr>
              <w:t>安装工程</w:t>
            </w:r>
          </w:p>
        </w:tc>
      </w:tr>
      <w:tr w:rsidR="00E629BE">
        <w:trPr>
          <w:trHeight w:val="476"/>
          <w:jc w:val="center"/>
        </w:trPr>
        <w:tc>
          <w:tcPr>
            <w:tcW w:w="1514" w:type="dxa"/>
            <w:noWrap/>
            <w:vAlign w:val="center"/>
          </w:tcPr>
          <w:p w:rsidR="00E629BE" w:rsidRDefault="00BC6712">
            <w:pPr>
              <w:jc w:val="center"/>
              <w:rPr>
                <w:rFonts w:ascii="宋体" w:hAnsi="宋体" w:cs="宋体"/>
                <w:sz w:val="22"/>
                <w:szCs w:val="22"/>
              </w:rPr>
            </w:pPr>
            <w:r>
              <w:rPr>
                <w:rFonts w:ascii="宋体" w:hAnsi="宋体" w:cs="宋体" w:hint="eastAsia"/>
                <w:sz w:val="22"/>
                <w:szCs w:val="22"/>
              </w:rPr>
              <w:t>1</w:t>
            </w:r>
          </w:p>
        </w:tc>
        <w:tc>
          <w:tcPr>
            <w:tcW w:w="1997" w:type="dxa"/>
            <w:vMerge w:val="restart"/>
            <w:noWrap/>
            <w:vAlign w:val="center"/>
          </w:tcPr>
          <w:p w:rsidR="00E629BE" w:rsidRDefault="00BC6712">
            <w:pPr>
              <w:rPr>
                <w:rFonts w:ascii="宋体" w:hAnsi="宋体" w:cs="宋体"/>
                <w:sz w:val="22"/>
                <w:szCs w:val="22"/>
              </w:rPr>
            </w:pPr>
            <w:r>
              <w:rPr>
                <w:rFonts w:ascii="宋体" w:hAnsi="宋体" w:cs="宋体" w:hint="eastAsia"/>
                <w:sz w:val="22"/>
                <w:szCs w:val="22"/>
              </w:rPr>
              <w:t>现场安全文明施工措施费费率（%）</w:t>
            </w:r>
          </w:p>
        </w:tc>
        <w:tc>
          <w:tcPr>
            <w:tcW w:w="2137" w:type="dxa"/>
            <w:noWrap/>
            <w:vAlign w:val="center"/>
          </w:tcPr>
          <w:p w:rsidR="00E629BE" w:rsidRDefault="00BC6712">
            <w:pPr>
              <w:jc w:val="center"/>
              <w:rPr>
                <w:rFonts w:ascii="宋体" w:hAnsi="宋体" w:cs="宋体"/>
                <w:sz w:val="22"/>
                <w:szCs w:val="22"/>
              </w:rPr>
            </w:pPr>
            <w:r>
              <w:rPr>
                <w:rFonts w:ascii="宋体" w:hAnsi="宋体" w:cs="宋体" w:hint="eastAsia"/>
                <w:sz w:val="22"/>
                <w:szCs w:val="22"/>
              </w:rPr>
              <w:t>基本费率</w:t>
            </w:r>
          </w:p>
        </w:tc>
        <w:tc>
          <w:tcPr>
            <w:tcW w:w="1566" w:type="dxa"/>
            <w:noWrap/>
            <w:vAlign w:val="center"/>
          </w:tcPr>
          <w:p w:rsidR="00E629BE" w:rsidRDefault="00BC6712">
            <w:pPr>
              <w:jc w:val="center"/>
              <w:rPr>
                <w:rFonts w:ascii="宋体" w:hAnsi="宋体" w:cs="宋体"/>
                <w:sz w:val="22"/>
                <w:szCs w:val="22"/>
              </w:rPr>
            </w:pPr>
            <w:r>
              <w:rPr>
                <w:rFonts w:ascii="宋体" w:hAnsi="宋体" w:cs="宋体"/>
                <w:sz w:val="22"/>
                <w:szCs w:val="22"/>
              </w:rPr>
              <w:t>1.7</w:t>
            </w:r>
          </w:p>
        </w:tc>
        <w:tc>
          <w:tcPr>
            <w:tcW w:w="1496" w:type="dxa"/>
            <w:noWrap/>
            <w:vAlign w:val="center"/>
          </w:tcPr>
          <w:p w:rsidR="00E629BE" w:rsidRDefault="00BC6712">
            <w:pPr>
              <w:jc w:val="center"/>
              <w:rPr>
                <w:rFonts w:ascii="宋体" w:hAnsi="宋体" w:cs="宋体"/>
                <w:sz w:val="22"/>
                <w:szCs w:val="22"/>
              </w:rPr>
            </w:pPr>
            <w:r>
              <w:rPr>
                <w:rFonts w:ascii="宋体" w:hAnsi="宋体" w:cs="宋体" w:hint="eastAsia"/>
                <w:sz w:val="22"/>
                <w:szCs w:val="22"/>
              </w:rPr>
              <w:t>1.5</w:t>
            </w:r>
          </w:p>
        </w:tc>
      </w:tr>
      <w:tr w:rsidR="00E629BE">
        <w:trPr>
          <w:trHeight w:val="476"/>
          <w:jc w:val="center"/>
        </w:trPr>
        <w:tc>
          <w:tcPr>
            <w:tcW w:w="1514" w:type="dxa"/>
            <w:noWrap/>
            <w:vAlign w:val="center"/>
          </w:tcPr>
          <w:p w:rsidR="00E629BE" w:rsidRDefault="00BC6712">
            <w:pPr>
              <w:jc w:val="center"/>
              <w:rPr>
                <w:rFonts w:ascii="宋体" w:hAnsi="宋体" w:cs="宋体"/>
                <w:sz w:val="22"/>
                <w:szCs w:val="22"/>
              </w:rPr>
            </w:pPr>
            <w:r>
              <w:rPr>
                <w:rFonts w:ascii="宋体" w:hAnsi="宋体" w:cs="宋体" w:hint="eastAsia"/>
                <w:sz w:val="22"/>
                <w:szCs w:val="22"/>
              </w:rPr>
              <w:t>2</w:t>
            </w:r>
          </w:p>
        </w:tc>
        <w:tc>
          <w:tcPr>
            <w:tcW w:w="1997" w:type="dxa"/>
            <w:vMerge/>
            <w:noWrap/>
            <w:vAlign w:val="center"/>
          </w:tcPr>
          <w:p w:rsidR="00E629BE" w:rsidRDefault="00E629BE">
            <w:pPr>
              <w:rPr>
                <w:rFonts w:ascii="宋体" w:hAnsi="宋体" w:cs="宋体"/>
                <w:sz w:val="22"/>
                <w:szCs w:val="22"/>
              </w:rPr>
            </w:pPr>
          </w:p>
        </w:tc>
        <w:tc>
          <w:tcPr>
            <w:tcW w:w="2137" w:type="dxa"/>
            <w:noWrap/>
            <w:vAlign w:val="center"/>
          </w:tcPr>
          <w:p w:rsidR="00E629BE" w:rsidRDefault="00BC6712">
            <w:pPr>
              <w:jc w:val="center"/>
              <w:rPr>
                <w:rFonts w:ascii="宋体" w:hAnsi="宋体" w:cs="宋体"/>
                <w:sz w:val="22"/>
                <w:szCs w:val="22"/>
              </w:rPr>
            </w:pPr>
            <w:r>
              <w:rPr>
                <w:rFonts w:ascii="宋体" w:hAnsi="宋体" w:cs="宋体" w:hint="eastAsia"/>
                <w:sz w:val="22"/>
                <w:szCs w:val="22"/>
              </w:rPr>
              <w:t>标化增加费</w:t>
            </w:r>
          </w:p>
        </w:tc>
        <w:tc>
          <w:tcPr>
            <w:tcW w:w="1566" w:type="dxa"/>
            <w:noWrap/>
            <w:vAlign w:val="center"/>
          </w:tcPr>
          <w:p w:rsidR="00E629BE" w:rsidRDefault="00BC6712">
            <w:pPr>
              <w:jc w:val="center"/>
              <w:rPr>
                <w:rFonts w:ascii="宋体" w:hAnsi="宋体" w:cs="宋体"/>
                <w:sz w:val="22"/>
                <w:szCs w:val="22"/>
              </w:rPr>
            </w:pPr>
            <w:r>
              <w:rPr>
                <w:rFonts w:ascii="宋体" w:hAnsi="宋体" w:cs="宋体" w:hint="eastAsia"/>
                <w:sz w:val="22"/>
                <w:szCs w:val="22"/>
              </w:rPr>
              <w:t>/</w:t>
            </w:r>
          </w:p>
        </w:tc>
        <w:tc>
          <w:tcPr>
            <w:tcW w:w="1496" w:type="dxa"/>
            <w:noWrap/>
            <w:vAlign w:val="center"/>
          </w:tcPr>
          <w:p w:rsidR="00E629BE" w:rsidRDefault="00BC6712">
            <w:pPr>
              <w:jc w:val="center"/>
              <w:rPr>
                <w:rFonts w:ascii="宋体" w:hAnsi="宋体" w:cs="宋体"/>
                <w:sz w:val="22"/>
                <w:szCs w:val="22"/>
              </w:rPr>
            </w:pPr>
            <w:r>
              <w:rPr>
                <w:rFonts w:ascii="宋体" w:hAnsi="宋体" w:cs="宋体" w:hint="eastAsia"/>
                <w:sz w:val="22"/>
                <w:szCs w:val="22"/>
              </w:rPr>
              <w:t>/</w:t>
            </w:r>
          </w:p>
        </w:tc>
      </w:tr>
      <w:tr w:rsidR="00E629BE">
        <w:trPr>
          <w:trHeight w:val="476"/>
          <w:jc w:val="center"/>
        </w:trPr>
        <w:tc>
          <w:tcPr>
            <w:tcW w:w="1514" w:type="dxa"/>
            <w:noWrap/>
            <w:vAlign w:val="center"/>
          </w:tcPr>
          <w:p w:rsidR="00E629BE" w:rsidRDefault="00BC6712">
            <w:pPr>
              <w:jc w:val="center"/>
              <w:rPr>
                <w:rFonts w:ascii="宋体" w:hAnsi="宋体" w:cs="宋体"/>
                <w:sz w:val="22"/>
                <w:szCs w:val="22"/>
              </w:rPr>
            </w:pPr>
            <w:r>
              <w:rPr>
                <w:rFonts w:ascii="宋体" w:hAnsi="宋体" w:cs="宋体" w:hint="eastAsia"/>
                <w:sz w:val="22"/>
                <w:szCs w:val="22"/>
              </w:rPr>
              <w:t>3</w:t>
            </w:r>
          </w:p>
        </w:tc>
        <w:tc>
          <w:tcPr>
            <w:tcW w:w="1997" w:type="dxa"/>
            <w:vMerge/>
            <w:noWrap/>
            <w:vAlign w:val="center"/>
          </w:tcPr>
          <w:p w:rsidR="00E629BE" w:rsidRDefault="00E629BE">
            <w:pPr>
              <w:rPr>
                <w:rFonts w:ascii="宋体" w:hAnsi="宋体" w:cs="宋体"/>
                <w:sz w:val="22"/>
                <w:szCs w:val="22"/>
              </w:rPr>
            </w:pPr>
          </w:p>
        </w:tc>
        <w:tc>
          <w:tcPr>
            <w:tcW w:w="2137" w:type="dxa"/>
            <w:noWrap/>
            <w:vAlign w:val="center"/>
          </w:tcPr>
          <w:p w:rsidR="00E629BE" w:rsidRDefault="00BC6712">
            <w:pPr>
              <w:jc w:val="center"/>
              <w:rPr>
                <w:rFonts w:ascii="宋体" w:hAnsi="宋体" w:cs="宋体"/>
                <w:sz w:val="22"/>
                <w:szCs w:val="22"/>
              </w:rPr>
            </w:pPr>
            <w:r>
              <w:rPr>
                <w:rFonts w:ascii="宋体" w:hAnsi="宋体" w:cs="宋体" w:hint="eastAsia"/>
                <w:sz w:val="22"/>
                <w:szCs w:val="22"/>
              </w:rPr>
              <w:t>扬尘污染防治增加费</w:t>
            </w:r>
          </w:p>
        </w:tc>
        <w:tc>
          <w:tcPr>
            <w:tcW w:w="1566" w:type="dxa"/>
            <w:noWrap/>
            <w:vAlign w:val="center"/>
          </w:tcPr>
          <w:p w:rsidR="00E629BE" w:rsidRDefault="00BC6712">
            <w:pPr>
              <w:jc w:val="center"/>
              <w:rPr>
                <w:rFonts w:ascii="宋体" w:hAnsi="宋体" w:cs="宋体"/>
                <w:sz w:val="22"/>
                <w:szCs w:val="22"/>
              </w:rPr>
            </w:pPr>
            <w:r>
              <w:rPr>
                <w:rFonts w:ascii="宋体" w:hAnsi="宋体" w:cs="宋体" w:hint="eastAsia"/>
                <w:sz w:val="22"/>
                <w:szCs w:val="22"/>
              </w:rPr>
              <w:t>0.2</w:t>
            </w:r>
            <w:r>
              <w:rPr>
                <w:rFonts w:ascii="宋体" w:hAnsi="宋体" w:cs="宋体"/>
                <w:sz w:val="22"/>
                <w:szCs w:val="22"/>
              </w:rPr>
              <w:t>2</w:t>
            </w:r>
          </w:p>
        </w:tc>
        <w:tc>
          <w:tcPr>
            <w:tcW w:w="1496" w:type="dxa"/>
            <w:noWrap/>
            <w:vAlign w:val="center"/>
          </w:tcPr>
          <w:p w:rsidR="00E629BE" w:rsidRDefault="00BC6712">
            <w:pPr>
              <w:jc w:val="center"/>
              <w:rPr>
                <w:rFonts w:ascii="宋体" w:hAnsi="宋体" w:cs="宋体"/>
                <w:sz w:val="22"/>
                <w:szCs w:val="22"/>
              </w:rPr>
            </w:pPr>
            <w:r>
              <w:rPr>
                <w:rFonts w:ascii="宋体" w:hAnsi="宋体" w:cs="宋体" w:hint="eastAsia"/>
                <w:sz w:val="22"/>
                <w:szCs w:val="22"/>
              </w:rPr>
              <w:t>0.21</w:t>
            </w:r>
          </w:p>
        </w:tc>
      </w:tr>
      <w:tr w:rsidR="00E629BE">
        <w:trPr>
          <w:trHeight w:val="476"/>
          <w:jc w:val="center"/>
        </w:trPr>
        <w:tc>
          <w:tcPr>
            <w:tcW w:w="1514" w:type="dxa"/>
            <w:noWrap/>
            <w:vAlign w:val="center"/>
          </w:tcPr>
          <w:p w:rsidR="00E629BE" w:rsidRDefault="00BC6712">
            <w:pPr>
              <w:jc w:val="center"/>
              <w:rPr>
                <w:rFonts w:ascii="宋体" w:hAnsi="宋体" w:cs="宋体"/>
                <w:sz w:val="22"/>
                <w:szCs w:val="22"/>
              </w:rPr>
            </w:pPr>
            <w:r>
              <w:rPr>
                <w:rFonts w:ascii="宋体" w:hAnsi="宋体" w:cs="宋体" w:hint="eastAsia"/>
                <w:sz w:val="22"/>
                <w:szCs w:val="22"/>
              </w:rPr>
              <w:t>4</w:t>
            </w:r>
          </w:p>
        </w:tc>
        <w:tc>
          <w:tcPr>
            <w:tcW w:w="1997" w:type="dxa"/>
            <w:vMerge w:val="restart"/>
            <w:noWrap/>
            <w:vAlign w:val="center"/>
          </w:tcPr>
          <w:p w:rsidR="00E629BE" w:rsidRDefault="00BC6712">
            <w:pPr>
              <w:rPr>
                <w:rFonts w:ascii="宋体" w:hAnsi="宋体" w:cs="宋体"/>
                <w:sz w:val="22"/>
                <w:szCs w:val="22"/>
              </w:rPr>
            </w:pPr>
            <w:r>
              <w:rPr>
                <w:rFonts w:ascii="宋体" w:hAnsi="宋体" w:cs="宋体" w:hint="eastAsia"/>
                <w:sz w:val="22"/>
                <w:szCs w:val="22"/>
              </w:rPr>
              <w:t>规费（%）</w:t>
            </w:r>
          </w:p>
        </w:tc>
        <w:tc>
          <w:tcPr>
            <w:tcW w:w="2137" w:type="dxa"/>
            <w:noWrap/>
            <w:vAlign w:val="center"/>
          </w:tcPr>
          <w:p w:rsidR="00E629BE" w:rsidRDefault="00BC6712">
            <w:pPr>
              <w:jc w:val="center"/>
              <w:rPr>
                <w:rFonts w:ascii="宋体" w:hAnsi="宋体" w:cs="宋体"/>
                <w:sz w:val="22"/>
                <w:szCs w:val="22"/>
              </w:rPr>
            </w:pPr>
            <w:r>
              <w:rPr>
                <w:rFonts w:ascii="宋体" w:hAnsi="宋体" w:cs="宋体" w:hint="eastAsia"/>
                <w:sz w:val="22"/>
                <w:szCs w:val="22"/>
              </w:rPr>
              <w:t>社会保障费率</w:t>
            </w:r>
          </w:p>
        </w:tc>
        <w:tc>
          <w:tcPr>
            <w:tcW w:w="1566" w:type="dxa"/>
            <w:noWrap/>
            <w:vAlign w:val="center"/>
          </w:tcPr>
          <w:p w:rsidR="00E629BE" w:rsidRDefault="00BC6712">
            <w:pPr>
              <w:jc w:val="center"/>
              <w:rPr>
                <w:rFonts w:ascii="宋体" w:hAnsi="宋体" w:cs="宋体"/>
                <w:sz w:val="22"/>
                <w:szCs w:val="22"/>
              </w:rPr>
            </w:pPr>
            <w:r>
              <w:rPr>
                <w:rFonts w:ascii="宋体" w:hAnsi="宋体" w:cs="宋体"/>
                <w:sz w:val="22"/>
                <w:szCs w:val="22"/>
              </w:rPr>
              <w:t>2.4</w:t>
            </w:r>
          </w:p>
        </w:tc>
        <w:tc>
          <w:tcPr>
            <w:tcW w:w="1496" w:type="dxa"/>
            <w:noWrap/>
            <w:vAlign w:val="center"/>
          </w:tcPr>
          <w:p w:rsidR="00E629BE" w:rsidRDefault="00BC6712">
            <w:pPr>
              <w:jc w:val="center"/>
              <w:rPr>
                <w:rFonts w:ascii="宋体" w:hAnsi="宋体" w:cs="宋体"/>
                <w:sz w:val="22"/>
                <w:szCs w:val="22"/>
              </w:rPr>
            </w:pPr>
            <w:r>
              <w:rPr>
                <w:rFonts w:ascii="宋体" w:hAnsi="宋体" w:cs="宋体"/>
                <w:sz w:val="22"/>
                <w:szCs w:val="22"/>
              </w:rPr>
              <w:t>2.4</w:t>
            </w:r>
          </w:p>
        </w:tc>
      </w:tr>
      <w:tr w:rsidR="00E629BE">
        <w:trPr>
          <w:trHeight w:val="476"/>
          <w:jc w:val="center"/>
        </w:trPr>
        <w:tc>
          <w:tcPr>
            <w:tcW w:w="1514" w:type="dxa"/>
            <w:noWrap/>
            <w:vAlign w:val="center"/>
          </w:tcPr>
          <w:p w:rsidR="00E629BE" w:rsidRDefault="00BC6712">
            <w:pPr>
              <w:jc w:val="center"/>
              <w:rPr>
                <w:rFonts w:ascii="宋体" w:hAnsi="宋体" w:cs="宋体"/>
                <w:sz w:val="22"/>
                <w:szCs w:val="22"/>
              </w:rPr>
            </w:pPr>
            <w:r>
              <w:rPr>
                <w:rFonts w:ascii="宋体" w:hAnsi="宋体" w:cs="宋体" w:hint="eastAsia"/>
                <w:sz w:val="22"/>
                <w:szCs w:val="22"/>
              </w:rPr>
              <w:t>5</w:t>
            </w:r>
          </w:p>
        </w:tc>
        <w:tc>
          <w:tcPr>
            <w:tcW w:w="1997" w:type="dxa"/>
            <w:vMerge/>
            <w:noWrap/>
            <w:vAlign w:val="center"/>
          </w:tcPr>
          <w:p w:rsidR="00E629BE" w:rsidRDefault="00E629BE">
            <w:pPr>
              <w:rPr>
                <w:rFonts w:ascii="宋体" w:hAnsi="宋体" w:cs="宋体"/>
                <w:sz w:val="22"/>
                <w:szCs w:val="22"/>
              </w:rPr>
            </w:pPr>
          </w:p>
        </w:tc>
        <w:tc>
          <w:tcPr>
            <w:tcW w:w="2137" w:type="dxa"/>
            <w:noWrap/>
            <w:vAlign w:val="center"/>
          </w:tcPr>
          <w:p w:rsidR="00E629BE" w:rsidRDefault="00BC6712">
            <w:pPr>
              <w:jc w:val="center"/>
              <w:rPr>
                <w:rFonts w:ascii="宋体" w:hAnsi="宋体" w:cs="宋体"/>
                <w:sz w:val="22"/>
                <w:szCs w:val="22"/>
              </w:rPr>
            </w:pPr>
            <w:r>
              <w:rPr>
                <w:rFonts w:ascii="宋体" w:hAnsi="宋体" w:cs="宋体" w:hint="eastAsia"/>
                <w:sz w:val="22"/>
                <w:szCs w:val="22"/>
              </w:rPr>
              <w:t>住房公积金率</w:t>
            </w:r>
          </w:p>
        </w:tc>
        <w:tc>
          <w:tcPr>
            <w:tcW w:w="1566" w:type="dxa"/>
            <w:noWrap/>
            <w:vAlign w:val="center"/>
          </w:tcPr>
          <w:p w:rsidR="00E629BE" w:rsidRDefault="00BC6712">
            <w:pPr>
              <w:jc w:val="center"/>
              <w:rPr>
                <w:rFonts w:ascii="宋体" w:hAnsi="宋体" w:cs="宋体"/>
                <w:sz w:val="22"/>
                <w:szCs w:val="22"/>
              </w:rPr>
            </w:pPr>
            <w:r>
              <w:rPr>
                <w:rFonts w:ascii="宋体" w:hAnsi="宋体" w:cs="宋体"/>
                <w:sz w:val="22"/>
                <w:szCs w:val="22"/>
              </w:rPr>
              <w:t>0.42</w:t>
            </w:r>
          </w:p>
        </w:tc>
        <w:tc>
          <w:tcPr>
            <w:tcW w:w="1496" w:type="dxa"/>
            <w:noWrap/>
            <w:vAlign w:val="center"/>
          </w:tcPr>
          <w:p w:rsidR="00E629BE" w:rsidRDefault="00BC6712">
            <w:pPr>
              <w:jc w:val="center"/>
              <w:rPr>
                <w:rFonts w:ascii="宋体" w:hAnsi="宋体" w:cs="宋体"/>
                <w:sz w:val="22"/>
                <w:szCs w:val="22"/>
              </w:rPr>
            </w:pPr>
            <w:r>
              <w:rPr>
                <w:rFonts w:ascii="宋体" w:hAnsi="宋体" w:cs="宋体" w:hint="eastAsia"/>
                <w:sz w:val="22"/>
                <w:szCs w:val="22"/>
              </w:rPr>
              <w:t>0</w:t>
            </w:r>
            <w:r>
              <w:rPr>
                <w:rFonts w:ascii="宋体" w:hAnsi="宋体" w:cs="宋体"/>
                <w:sz w:val="22"/>
                <w:szCs w:val="22"/>
              </w:rPr>
              <w:t>.42</w:t>
            </w:r>
          </w:p>
        </w:tc>
      </w:tr>
      <w:tr w:rsidR="00E629BE">
        <w:trPr>
          <w:trHeight w:val="476"/>
          <w:jc w:val="center"/>
        </w:trPr>
        <w:tc>
          <w:tcPr>
            <w:tcW w:w="1514" w:type="dxa"/>
            <w:noWrap/>
            <w:vAlign w:val="center"/>
          </w:tcPr>
          <w:p w:rsidR="00E629BE" w:rsidRDefault="00BC6712">
            <w:pPr>
              <w:jc w:val="center"/>
              <w:rPr>
                <w:rFonts w:ascii="宋体" w:hAnsi="宋体" w:cs="宋体"/>
                <w:sz w:val="22"/>
                <w:szCs w:val="22"/>
              </w:rPr>
            </w:pPr>
            <w:r>
              <w:rPr>
                <w:rFonts w:ascii="宋体" w:hAnsi="宋体" w:cs="宋体" w:hint="eastAsia"/>
                <w:sz w:val="22"/>
                <w:szCs w:val="22"/>
              </w:rPr>
              <w:t>6</w:t>
            </w:r>
          </w:p>
        </w:tc>
        <w:tc>
          <w:tcPr>
            <w:tcW w:w="1997" w:type="dxa"/>
            <w:noWrap/>
            <w:vAlign w:val="center"/>
          </w:tcPr>
          <w:p w:rsidR="00E629BE" w:rsidRDefault="00BC6712">
            <w:pPr>
              <w:rPr>
                <w:rFonts w:ascii="宋体" w:hAnsi="宋体" w:cs="宋体"/>
                <w:sz w:val="22"/>
                <w:szCs w:val="22"/>
              </w:rPr>
            </w:pPr>
            <w:r>
              <w:rPr>
                <w:rFonts w:ascii="宋体" w:hAnsi="宋体" w:cs="宋体" w:hint="eastAsia"/>
                <w:sz w:val="22"/>
                <w:szCs w:val="22"/>
              </w:rPr>
              <w:t>税金（%）</w:t>
            </w:r>
          </w:p>
        </w:tc>
        <w:tc>
          <w:tcPr>
            <w:tcW w:w="2137" w:type="dxa"/>
            <w:noWrap/>
            <w:vAlign w:val="center"/>
          </w:tcPr>
          <w:p w:rsidR="00E629BE" w:rsidRDefault="00BC6712">
            <w:pPr>
              <w:jc w:val="center"/>
              <w:rPr>
                <w:rFonts w:ascii="宋体" w:hAnsi="宋体" w:cs="宋体"/>
                <w:sz w:val="22"/>
                <w:szCs w:val="22"/>
              </w:rPr>
            </w:pPr>
            <w:r>
              <w:rPr>
                <w:rFonts w:ascii="宋体" w:hAnsi="宋体" w:cs="宋体" w:hint="eastAsia"/>
                <w:sz w:val="22"/>
                <w:szCs w:val="22"/>
              </w:rPr>
              <w:t>增值税一般计税</w:t>
            </w:r>
          </w:p>
        </w:tc>
        <w:tc>
          <w:tcPr>
            <w:tcW w:w="1566" w:type="dxa"/>
            <w:noWrap/>
            <w:vAlign w:val="center"/>
          </w:tcPr>
          <w:p w:rsidR="00E629BE" w:rsidRDefault="00BC6712">
            <w:pPr>
              <w:jc w:val="center"/>
              <w:rPr>
                <w:rFonts w:ascii="宋体" w:hAnsi="宋体" w:cs="宋体"/>
                <w:sz w:val="22"/>
                <w:szCs w:val="22"/>
              </w:rPr>
            </w:pPr>
            <w:r>
              <w:rPr>
                <w:rFonts w:ascii="宋体" w:hAnsi="宋体" w:cs="宋体" w:hint="eastAsia"/>
                <w:sz w:val="22"/>
                <w:szCs w:val="22"/>
              </w:rPr>
              <w:t>9</w:t>
            </w:r>
          </w:p>
        </w:tc>
        <w:tc>
          <w:tcPr>
            <w:tcW w:w="1496" w:type="dxa"/>
            <w:noWrap/>
            <w:vAlign w:val="center"/>
          </w:tcPr>
          <w:p w:rsidR="00E629BE" w:rsidRDefault="00BC6712">
            <w:pPr>
              <w:jc w:val="center"/>
              <w:rPr>
                <w:rFonts w:ascii="宋体" w:hAnsi="宋体" w:cs="宋体"/>
                <w:sz w:val="22"/>
                <w:szCs w:val="22"/>
              </w:rPr>
            </w:pPr>
            <w:r>
              <w:rPr>
                <w:rFonts w:ascii="宋体" w:hAnsi="宋体" w:cs="宋体" w:hint="eastAsia"/>
                <w:sz w:val="22"/>
                <w:szCs w:val="22"/>
              </w:rPr>
              <w:t>9</w:t>
            </w:r>
          </w:p>
        </w:tc>
      </w:tr>
      <w:bookmarkEnd w:id="2"/>
    </w:tbl>
    <w:p w:rsidR="00E629BE" w:rsidRDefault="00E629BE">
      <w:pPr>
        <w:pStyle w:val="a5"/>
        <w:widowControl/>
        <w:spacing w:beforeAutospacing="0" w:afterAutospacing="0"/>
        <w:ind w:firstLineChars="100" w:firstLine="240"/>
        <w:rPr>
          <w:rFonts w:ascii="宋体" w:hAnsi="宋体" w:cs="宋体"/>
          <w:kern w:val="2"/>
        </w:rPr>
      </w:pPr>
    </w:p>
    <w:sectPr w:rsidR="00E629BE" w:rsidSect="00E629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CCD" w:rsidRDefault="00227CCD" w:rsidP="000B3265">
      <w:r>
        <w:separator/>
      </w:r>
    </w:p>
  </w:endnote>
  <w:endnote w:type="continuationSeparator" w:id="1">
    <w:p w:rsidR="00227CCD" w:rsidRDefault="00227CCD" w:rsidP="000B326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CCD" w:rsidRDefault="00227CCD" w:rsidP="000B3265">
      <w:r>
        <w:separator/>
      </w:r>
    </w:p>
  </w:footnote>
  <w:footnote w:type="continuationSeparator" w:id="1">
    <w:p w:rsidR="00227CCD" w:rsidRDefault="00227CCD" w:rsidP="000B32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F01AF2"/>
    <w:multiLevelType w:val="singleLevel"/>
    <w:tmpl w:val="93F01AF2"/>
    <w:lvl w:ilvl="0">
      <w:start w:val="1"/>
      <w:numFmt w:val="decimal"/>
      <w:suff w:val="nothing"/>
      <w:lvlText w:val="%1、"/>
      <w:lvlJc w:val="left"/>
      <w:pPr>
        <w:ind w:left="220" w:firstLine="0"/>
      </w:pPr>
    </w:lvl>
  </w:abstractNum>
  <w:abstractNum w:abstractNumId="1">
    <w:nsid w:val="C3A58560"/>
    <w:multiLevelType w:val="singleLevel"/>
    <w:tmpl w:val="C3A58560"/>
    <w:lvl w:ilvl="0">
      <w:start w:val="1"/>
      <w:numFmt w:val="decimal"/>
      <w:suff w:val="nothing"/>
      <w:lvlText w:val="%1、"/>
      <w:lvlJc w:val="left"/>
    </w:lvl>
  </w:abstractNum>
  <w:abstractNum w:abstractNumId="2">
    <w:nsid w:val="D69B9278"/>
    <w:multiLevelType w:val="singleLevel"/>
    <w:tmpl w:val="D69B9278"/>
    <w:lvl w:ilvl="0">
      <w:start w:val="1"/>
      <w:numFmt w:val="decimal"/>
      <w:suff w:val="nothing"/>
      <w:lvlText w:val="%1、"/>
      <w:lvlJc w:val="left"/>
    </w:lvl>
  </w:abstractNum>
  <w:abstractNum w:abstractNumId="3">
    <w:nsid w:val="47B81DE1"/>
    <w:multiLevelType w:val="singleLevel"/>
    <w:tmpl w:val="47B81DE1"/>
    <w:lvl w:ilvl="0">
      <w:start w:val="1"/>
      <w:numFmt w:val="decimal"/>
      <w:suff w:val="nothing"/>
      <w:lvlText w:val="%1、"/>
      <w:lvlJc w:val="left"/>
      <w:pPr>
        <w:ind w:left="220" w:firstLine="0"/>
      </w:pPr>
    </w:lvl>
  </w:abstractNum>
  <w:abstractNum w:abstractNumId="4">
    <w:nsid w:val="54B744AC"/>
    <w:multiLevelType w:val="multilevel"/>
    <w:tmpl w:val="54B744AC"/>
    <w:lvl w:ilvl="0">
      <w:start w:val="1"/>
      <w:numFmt w:val="decimal"/>
      <w:lvlText w:val="%1、"/>
      <w:lvlJc w:val="left"/>
      <w:pPr>
        <w:ind w:left="900" w:hanging="420"/>
      </w:pPr>
      <w:rPr>
        <w:rFonts w:ascii="宋体" w:eastAsia="宋体" w:hAnsi="宋体" w:hint="eastAsia"/>
        <w:sz w:val="24"/>
        <w:szCs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5CA554F0"/>
    <w:multiLevelType w:val="singleLevel"/>
    <w:tmpl w:val="5CA554F0"/>
    <w:lvl w:ilvl="0">
      <w:start w:val="1"/>
      <w:numFmt w:val="chineseCounting"/>
      <w:suff w:val="nothing"/>
      <w:lvlText w:val="%1、"/>
      <w:lvlJc w:val="left"/>
      <w:pPr>
        <w:ind w:left="0" w:firstLine="420"/>
      </w:pPr>
      <w:rPr>
        <w:rFonts w:hint="eastAsia"/>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U4YzI4MjhmMjY2OWUyYjIzYTk5M2ZlY2E4OWM2YmQifQ=="/>
  </w:docVars>
  <w:rsids>
    <w:rsidRoot w:val="00E075F0"/>
    <w:rsid w:val="00072467"/>
    <w:rsid w:val="000B3265"/>
    <w:rsid w:val="001003BA"/>
    <w:rsid w:val="001D6CAE"/>
    <w:rsid w:val="001E4133"/>
    <w:rsid w:val="001F7F7E"/>
    <w:rsid w:val="00227CCD"/>
    <w:rsid w:val="00334EA2"/>
    <w:rsid w:val="004348CB"/>
    <w:rsid w:val="00436C9A"/>
    <w:rsid w:val="00495BAA"/>
    <w:rsid w:val="00791F72"/>
    <w:rsid w:val="00812832"/>
    <w:rsid w:val="0089163E"/>
    <w:rsid w:val="00A0541E"/>
    <w:rsid w:val="00A90527"/>
    <w:rsid w:val="00B61D12"/>
    <w:rsid w:val="00B74EC5"/>
    <w:rsid w:val="00BC6712"/>
    <w:rsid w:val="00E075F0"/>
    <w:rsid w:val="00E629BE"/>
    <w:rsid w:val="00E73A0B"/>
    <w:rsid w:val="00EA35A9"/>
    <w:rsid w:val="00F33F1E"/>
    <w:rsid w:val="00F52E5D"/>
    <w:rsid w:val="01282E62"/>
    <w:rsid w:val="016A3BC3"/>
    <w:rsid w:val="0298568C"/>
    <w:rsid w:val="059E7B97"/>
    <w:rsid w:val="062D13C1"/>
    <w:rsid w:val="064B5610"/>
    <w:rsid w:val="06B56F46"/>
    <w:rsid w:val="07106873"/>
    <w:rsid w:val="07A70F85"/>
    <w:rsid w:val="084367D4"/>
    <w:rsid w:val="091D7025"/>
    <w:rsid w:val="09F03D6D"/>
    <w:rsid w:val="0A857C1C"/>
    <w:rsid w:val="0AB614DF"/>
    <w:rsid w:val="0AE8631F"/>
    <w:rsid w:val="0B3F3282"/>
    <w:rsid w:val="0C0339BC"/>
    <w:rsid w:val="0C7D7389"/>
    <w:rsid w:val="0D0E4BDC"/>
    <w:rsid w:val="0EC75A69"/>
    <w:rsid w:val="0F7C7D96"/>
    <w:rsid w:val="11DD37F5"/>
    <w:rsid w:val="12C10A21"/>
    <w:rsid w:val="1A0A7151"/>
    <w:rsid w:val="1A62712A"/>
    <w:rsid w:val="1CE63354"/>
    <w:rsid w:val="1DE172FF"/>
    <w:rsid w:val="1EF94085"/>
    <w:rsid w:val="20EC1AB6"/>
    <w:rsid w:val="211D0F81"/>
    <w:rsid w:val="218D2B42"/>
    <w:rsid w:val="221548E5"/>
    <w:rsid w:val="24124623"/>
    <w:rsid w:val="26982A81"/>
    <w:rsid w:val="2762190B"/>
    <w:rsid w:val="28E77CDD"/>
    <w:rsid w:val="29932EF0"/>
    <w:rsid w:val="29EF3C6E"/>
    <w:rsid w:val="2AFB200E"/>
    <w:rsid w:val="2D5E73A6"/>
    <w:rsid w:val="2F6141F2"/>
    <w:rsid w:val="2F9965EB"/>
    <w:rsid w:val="2FEE1920"/>
    <w:rsid w:val="306B04F2"/>
    <w:rsid w:val="30913CD1"/>
    <w:rsid w:val="30DA11D4"/>
    <w:rsid w:val="3236000D"/>
    <w:rsid w:val="333E5CA5"/>
    <w:rsid w:val="350D596A"/>
    <w:rsid w:val="388F766F"/>
    <w:rsid w:val="39DF5AAD"/>
    <w:rsid w:val="3C59561A"/>
    <w:rsid w:val="3CB43221"/>
    <w:rsid w:val="3D840E45"/>
    <w:rsid w:val="3E2717D1"/>
    <w:rsid w:val="3EC82CF3"/>
    <w:rsid w:val="3F70388D"/>
    <w:rsid w:val="42FC322C"/>
    <w:rsid w:val="4365176F"/>
    <w:rsid w:val="451E1B7F"/>
    <w:rsid w:val="459C3AC6"/>
    <w:rsid w:val="4732535B"/>
    <w:rsid w:val="47C14A44"/>
    <w:rsid w:val="496B4C67"/>
    <w:rsid w:val="4B2960B4"/>
    <w:rsid w:val="4B47428B"/>
    <w:rsid w:val="4B5361F8"/>
    <w:rsid w:val="4D4001B9"/>
    <w:rsid w:val="4F44160B"/>
    <w:rsid w:val="50F458C7"/>
    <w:rsid w:val="521C5D12"/>
    <w:rsid w:val="52D11A64"/>
    <w:rsid w:val="53051C89"/>
    <w:rsid w:val="53A143CB"/>
    <w:rsid w:val="5452177E"/>
    <w:rsid w:val="546B1FBF"/>
    <w:rsid w:val="546F7DE6"/>
    <w:rsid w:val="558D7BA1"/>
    <w:rsid w:val="567A0BDF"/>
    <w:rsid w:val="56B22F62"/>
    <w:rsid w:val="59070457"/>
    <w:rsid w:val="59344A9E"/>
    <w:rsid w:val="5A8C4F26"/>
    <w:rsid w:val="5B037D4D"/>
    <w:rsid w:val="5B641947"/>
    <w:rsid w:val="5B9067AF"/>
    <w:rsid w:val="5BB92010"/>
    <w:rsid w:val="5C780939"/>
    <w:rsid w:val="5D3F0C92"/>
    <w:rsid w:val="5F020973"/>
    <w:rsid w:val="5F3552CE"/>
    <w:rsid w:val="5F660942"/>
    <w:rsid w:val="62715958"/>
    <w:rsid w:val="63D86F45"/>
    <w:rsid w:val="64EA7242"/>
    <w:rsid w:val="65A2219C"/>
    <w:rsid w:val="67463457"/>
    <w:rsid w:val="67F86290"/>
    <w:rsid w:val="684C2F14"/>
    <w:rsid w:val="69C8205B"/>
    <w:rsid w:val="6A701F11"/>
    <w:rsid w:val="6B86628C"/>
    <w:rsid w:val="6C156F89"/>
    <w:rsid w:val="6CD24E7A"/>
    <w:rsid w:val="6D227B63"/>
    <w:rsid w:val="6D577885"/>
    <w:rsid w:val="6D586E9C"/>
    <w:rsid w:val="6EEA6885"/>
    <w:rsid w:val="70AA0656"/>
    <w:rsid w:val="719B1CDE"/>
    <w:rsid w:val="72DA31B8"/>
    <w:rsid w:val="74E11738"/>
    <w:rsid w:val="74F95328"/>
    <w:rsid w:val="75134281"/>
    <w:rsid w:val="754B3A1B"/>
    <w:rsid w:val="75D05CCE"/>
    <w:rsid w:val="75F602EE"/>
    <w:rsid w:val="7959210E"/>
    <w:rsid w:val="7AB31AF1"/>
    <w:rsid w:val="7CE252CB"/>
    <w:rsid w:val="7D5D0232"/>
    <w:rsid w:val="7E6C6882"/>
    <w:rsid w:val="7F0C37F3"/>
    <w:rsid w:val="7F217C35"/>
    <w:rsid w:val="7FE966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29BE"/>
    <w:pPr>
      <w:widowControl w:val="0"/>
      <w:jc w:val="both"/>
    </w:pPr>
    <w:rPr>
      <w:kern w:val="2"/>
      <w:sz w:val="21"/>
      <w:szCs w:val="24"/>
    </w:rPr>
  </w:style>
  <w:style w:type="paragraph" w:styleId="2">
    <w:name w:val="heading 2"/>
    <w:basedOn w:val="a"/>
    <w:next w:val="a"/>
    <w:link w:val="2Char"/>
    <w:autoRedefine/>
    <w:unhideWhenUsed/>
    <w:qFormat/>
    <w:rsid w:val="00E629B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nhideWhenUsed/>
    <w:qFormat/>
    <w:rsid w:val="00E629BE"/>
    <w:pPr>
      <w:keepNext/>
      <w:keepLines/>
      <w:spacing w:before="260" w:after="260" w:line="416" w:lineRule="auto"/>
      <w:jc w:val="center"/>
      <w:outlineLvl w:val="2"/>
    </w:pPr>
    <w:rPr>
      <w:b/>
      <w:bCs/>
      <w:sz w:val="28"/>
      <w:szCs w:val="32"/>
    </w:rPr>
  </w:style>
  <w:style w:type="paragraph" w:styleId="4">
    <w:name w:val="heading 4"/>
    <w:basedOn w:val="a"/>
    <w:next w:val="a"/>
    <w:uiPriority w:val="1"/>
    <w:qFormat/>
    <w:rsid w:val="00E629BE"/>
    <w:pPr>
      <w:outlineLvl w:val="3"/>
    </w:pPr>
    <w:rPr>
      <w:rFonts w:ascii="黑体" w:eastAsia="黑体" w:hAnsi="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qFormat/>
    <w:rsid w:val="00E629BE"/>
    <w:pPr>
      <w:spacing w:line="360" w:lineRule="auto"/>
      <w:ind w:firstLineChars="199" w:firstLine="479"/>
    </w:pPr>
    <w:rPr>
      <w:rFonts w:ascii="仿宋_GB2312" w:eastAsia="仿宋_GB2312" w:hAnsi="宋体"/>
      <w:b/>
      <w:sz w:val="24"/>
    </w:rPr>
  </w:style>
  <w:style w:type="paragraph" w:styleId="a3">
    <w:name w:val="footer"/>
    <w:basedOn w:val="a"/>
    <w:link w:val="Char"/>
    <w:autoRedefine/>
    <w:qFormat/>
    <w:rsid w:val="00E629BE"/>
    <w:pPr>
      <w:tabs>
        <w:tab w:val="center" w:pos="4153"/>
        <w:tab w:val="right" w:pos="8306"/>
      </w:tabs>
      <w:snapToGrid w:val="0"/>
      <w:jc w:val="left"/>
    </w:pPr>
    <w:rPr>
      <w:sz w:val="18"/>
      <w:szCs w:val="18"/>
    </w:rPr>
  </w:style>
  <w:style w:type="paragraph" w:styleId="a4">
    <w:name w:val="header"/>
    <w:basedOn w:val="a"/>
    <w:link w:val="Char0"/>
    <w:autoRedefine/>
    <w:qFormat/>
    <w:rsid w:val="00E629BE"/>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qFormat/>
    <w:rsid w:val="00E629BE"/>
    <w:pPr>
      <w:spacing w:beforeAutospacing="1" w:afterAutospacing="1"/>
      <w:jc w:val="left"/>
    </w:pPr>
    <w:rPr>
      <w:kern w:val="0"/>
      <w:sz w:val="24"/>
    </w:rPr>
  </w:style>
  <w:style w:type="table" w:styleId="a6">
    <w:name w:val="Table Grid"/>
    <w:basedOn w:val="a1"/>
    <w:qFormat/>
    <w:rsid w:val="00E629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autoRedefine/>
    <w:qFormat/>
    <w:rsid w:val="00E629BE"/>
    <w:rPr>
      <w:kern w:val="2"/>
      <w:sz w:val="18"/>
      <w:szCs w:val="18"/>
    </w:rPr>
  </w:style>
  <w:style w:type="character" w:customStyle="1" w:styleId="Char">
    <w:name w:val="页脚 Char"/>
    <w:basedOn w:val="a0"/>
    <w:link w:val="a3"/>
    <w:autoRedefine/>
    <w:qFormat/>
    <w:rsid w:val="00E629BE"/>
    <w:rPr>
      <w:kern w:val="2"/>
      <w:sz w:val="18"/>
      <w:szCs w:val="18"/>
    </w:rPr>
  </w:style>
  <w:style w:type="character" w:customStyle="1" w:styleId="2Char">
    <w:name w:val="标题 2 Char"/>
    <w:basedOn w:val="a0"/>
    <w:link w:val="2"/>
    <w:autoRedefine/>
    <w:qFormat/>
    <w:rsid w:val="00E629BE"/>
    <w:rPr>
      <w:rFonts w:asciiTheme="majorHAnsi" w:eastAsiaTheme="majorEastAsia" w:hAnsiTheme="majorHAnsi" w:cstheme="majorBidi"/>
      <w:b/>
      <w:bCs/>
      <w:kern w:val="2"/>
      <w:sz w:val="32"/>
      <w:szCs w:val="32"/>
    </w:rPr>
  </w:style>
  <w:style w:type="character" w:customStyle="1" w:styleId="3Char">
    <w:name w:val="标题 3 Char"/>
    <w:basedOn w:val="a0"/>
    <w:link w:val="3"/>
    <w:autoRedefine/>
    <w:qFormat/>
    <w:rsid w:val="00E629BE"/>
    <w:rPr>
      <w:b/>
      <w:bCs/>
      <w:kern w:val="2"/>
      <w:sz w:val="28"/>
      <w:szCs w:val="32"/>
    </w:rPr>
  </w:style>
  <w:style w:type="paragraph" w:customStyle="1" w:styleId="1">
    <w:name w:val="列出段落1"/>
    <w:basedOn w:val="a"/>
    <w:autoRedefine/>
    <w:uiPriority w:val="34"/>
    <w:qFormat/>
    <w:rsid w:val="00E629B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241</Words>
  <Characters>1374</Characters>
  <Application>Microsoft Office Word</Application>
  <DocSecurity>0</DocSecurity>
  <Lines>11</Lines>
  <Paragraphs>3</Paragraphs>
  <ScaleCrop>false</ScaleCrop>
  <Company>Microsoft</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cp:lastModifiedBy>
  <cp:revision>17</cp:revision>
  <dcterms:created xsi:type="dcterms:W3CDTF">2023-02-20T02:20:00Z</dcterms:created>
  <dcterms:modified xsi:type="dcterms:W3CDTF">2026-03-06T00:53:00Z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32D0E267335E46C7BFADE560107E80D7</vt:lpwstr>
  </property>
  <property fmtid="{D5CDD505-2E9C-101B-9397-08002B2CF9AE}" pid="4" name="KSOTemplateDocerSaveRecord">
    <vt:lpwstr>eyJoZGlkIjoiYzU4YzI4MjhmMjY2OWUyYjIzYTk5M2ZlY2E4OWM2YmQiLCJ1c2VySWQiOiIxMDE2NzQ1Nzc1In0=</vt:lpwstr>
  </property>
</Properties>
</file>