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44"/>
        </w:rPr>
        <w:t xml:space="preserve">  </w:t>
      </w:r>
      <w:r/>
      <w:r>
        <w:rPr>
          <w:rFonts w:ascii="SimSun" w:hAnsi="SimSun" w:eastAsia="SimSun" w:cs="SimSun"/>
          <w:color w:val="000000"/>
          <w:spacing w:val="20"/>
          <w:sz w:val="44"/>
        </w:rPr>
        <w:t xml:space="preserve">苏锡通科技产业园区人民医院彩色多普勒超声诊断仪采购项目（重新招标）</w:t>
      </w: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00"/>
        </w:rPr>
        <w:t xml:space="preserve">政府采购招标文件</w:t>
      </w:r>
      <w:r/>
    </w:p>
    <w:p>
      <w:pPr>
        <w:pStyle w:val="712"/>
        <w:ind w:left="0" w:right="0" w:firstLine="0"/>
        <w:jc w:val="both"/>
        <w:spacing w:before="32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pStyle w:val="712"/>
        <w:ind w:left="0" w:right="0" w:firstLine="0"/>
        <w:jc w:val="center"/>
        <w:spacing w:before="320" w:after="20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采购文件编号：</w:t>
      </w:r>
      <w:r>
        <w:rPr>
          <w:rFonts w:ascii="SimSun" w:hAnsi="SimSun" w:eastAsia="SimSun" w:cs="SimSun"/>
          <w:b/>
          <w:color w:val="000000"/>
          <w:sz w:val="36"/>
        </w:rPr>
        <w:t xml:space="preserve">JSZC-320693-JSHY-G2026-0014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333625" cy="17907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920021" name=""/>
                              <pic:cNvPicPr>
                                <a:picLocks noChangeAspect="1"/>
                              </pic:cNvPicPr>
                              <pic:nvPr/>
                            </pic:nvPicPr>
                            <pic:blipFill>
                              <a:blip/>
                              <a:stretch/>
                            </pic:blipFill>
                            <pic:spPr bwMode="auto">
                              <a:xfrm>
                                <a:off x="0" y="0"/>
                                <a:ext cx="2333624"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8pt;height:141.0pt;mso-wrap-distance-left:0.0pt;mso-wrap-distance-top:0.0pt;mso-wrap-distance-right:0.0pt;mso-wrap-distance-bottom:0.0pt;" stroked="false">
                      <v:path textboxrect="0,0,0,0"/>
                    </v:shape>
                  </w:pict>
                </mc:Fallback>
              </mc:AlternateConten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44"/>
        </w:rPr>
        <w:t xml:space="preserve">江苏弘业国际技术工程有限公司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3</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p>
    <w:p>
      <w:pPr>
        <w:ind w:left="0" w:right="0" w:firstLine="0"/>
        <w:jc w:val="center"/>
        <w:spacing w:before="0" w:after="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p>
    <w:p>
      <w:pPr>
        <w:ind w:left="0" w:right="0" w:firstLine="0"/>
        <w:jc w:val="center"/>
        <w:spacing w:before="0" w:after="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8"/>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p>
    <w:p>
      <w:pPr>
        <w:numPr>
          <w:ilvl w:val="0"/>
          <w:numId w:val="18"/>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p>
    <w:p>
      <w:pPr>
        <w:numPr>
          <w:ilvl w:val="0"/>
          <w:numId w:val="18"/>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8"/>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8"/>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shd w:val="nil"/>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p>
    <w:p>
      <w:pPr>
        <w:numPr>
          <w:ilvl w:val="0"/>
          <w:numId w:val="19"/>
        </w:numPr>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苏锡通科技产业园区人民医院]的委托，江苏弘业国际技术工程有限公司就[苏锡通科技产业园区人民医院彩色多普勒超声诊断仪采购项目（重新招标）]([项目编号JSZC-320693-JSHY-G2026-0014])项目进行公开招标采购，欢迎符合条件的供应商投标。</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苏锡通科技产业园区人民医院彩色多普勒超声诊断仪采购项目（重新招标）</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2026年4月14日14点00分（</w:t>
      </w:r>
      <w:r>
        <w:rPr>
          <w:rFonts w:ascii="SimSun" w:hAnsi="SimSun" w:eastAsia="SimSun" w:cs="SimSun"/>
          <w:color w:val="000000"/>
          <w:sz w:val="24"/>
        </w:rPr>
        <w:t xml:space="preserve">北京时间）前递交投标文件。</w:t>
      </w:r>
      <w:r/>
    </w:p>
    <w:p>
      <w:pPr>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tab/>
        <w:t xml:space="preserve">JSZC-320693-JSHY-G2026-0014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苏锡通科技产业园区人民医院彩色多普勒超声诊断仪采购项目（重新招标）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3.项目类型：货物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4.项目行业：工业</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1728"/>
        <w:gridCol w:w="1136"/>
        <w:gridCol w:w="1117"/>
        <w:gridCol w:w="1401"/>
        <w:gridCol w:w="2216"/>
      </w:tblGrid>
      <w:tr>
        <w:trPr>
          <w:trHeight w:val="5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w:t>
            </w:r>
            <w:r/>
          </w:p>
        </w:tc>
      </w:tr>
      <w:tr>
        <w:trPr>
          <w:trHeight w:val="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全身机偏心脏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全身机偏腹部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180万</w:t>
            </w:r>
            <w:r/>
          </w:p>
        </w:tc>
        <w:tc>
          <w:tcPr>
            <w:vMerge w:val="continue"/>
            <w:textDirection w:val="lrTb"/>
            <w:noWrap w:val="false"/>
          </w:tcPr>
          <w:p>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投标报价超过最高限价的投标将作为无效投标处理。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投标人可对本项目项下任意一包或全部包进行投标，但应对所投包内全部采购内容进行投标，不允许只对该包内部分内容进行投标。本项目共分为2个采购包，允许兼投兼中。</w:t>
      </w:r>
      <w:r/>
    </w:p>
    <w:p>
      <w:pPr>
        <w:numPr>
          <w:ilvl w:val="0"/>
          <w:numId w:val="20"/>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采购需求：详细内容见本招标文件第三章，请仔细研究。</w:t>
      </w:r>
      <w:r/>
    </w:p>
    <w:p>
      <w:pPr>
        <w:numPr>
          <w:ilvl w:val="0"/>
          <w:numId w:val="20"/>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合同履行期限：合同签订后60天内交货。</w:t>
      </w:r>
      <w:r/>
    </w:p>
    <w:p>
      <w:pPr>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（一）满足《中华人民共和国政府采购法》第二十二条规定，并提供相关材料：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法人或者其他组织的营业执照等证明文件；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(2)2024年度或2025年度的财务状况报告，至少包括资产负债表和利润表（成立不满一年不需提供）；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具备履行合同所必需的设备和专业技术能力的证明材料；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color w:val="000000"/>
          <w:sz w:val="24"/>
          <w:u w:val="single"/>
        </w:rPr>
        <w:t xml:space="preserve">本项目为非专门面向中小微企业采购项目。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5.本项目不接受分包。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（2）投标人须提供有效的医疗器械产品注册证，投标时需提供复印件加盖公章。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p>
    <w:p>
      <w:pPr>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1.时间：自公告发布之日起五个工作日（提供期限自本公告发布之日起不得少于5个工作日）。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 数字证书”，CA办理指南及“苏采云”操作手册可至江苏省政府采购网—办事指南-资料下载中心下载。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3.5招标代理机构（采购代理机构）将数据电文形式的采购文件加载至“苏采云”系统，供潜在供应商下载或者查阅。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1.2026年4月14日14点00分</w:t>
      </w:r>
      <w:r>
        <w:rPr>
          <w:rFonts w:ascii="SimSun" w:hAnsi="SimSun" w:eastAsia="SimSun" w:cs="SimSun"/>
          <w:color w:val="000000"/>
          <w:sz w:val="24"/>
        </w:rPr>
        <w:t xml:space="preserve">（北京时间）。（自招标文件开始发出之日起至投标人提交投标文件截止之日止，不得少于20日。）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SimSun" w:hAnsi="SimSun" w:eastAsia="SimSun" w:cs="SimSun"/>
          <w:b/>
          <w:color w:val="000000"/>
          <w:sz w:val="24"/>
        </w:rPr>
        <w:t xml:space="preserve">投标供应商解密限定在开标后30分钟之内完成</w:t>
      </w:r>
      <w:r>
        <w:rPr>
          <w:rFonts w:ascii="SimSun" w:hAnsi="SimSun" w:eastAsia="SimSun" w:cs="SimSun"/>
          <w:color w:val="000000"/>
          <w:sz w:val="24"/>
        </w:rPr>
        <w:t xml:space="preserve">。</w:t>
      </w:r>
      <w:r>
        <w:rPr>
          <w:rFonts w:ascii="SimSun" w:hAnsi="SimSun" w:eastAsia="SimSun" w:cs="SimSun"/>
          <w:b/>
          <w:color w:val="000000"/>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ascii="SimSun" w:hAnsi="SimSun" w:eastAsia="SimSun" w:cs="SimSun"/>
          <w:color w:val="000000"/>
          <w:sz w:val="24"/>
        </w:rPr>
        <w:t xml:space="preserve">因采购人原因或网上招投标平台发生故障，导致无法按时完成响应文件解密或开、评标工作无法进行的，可根据实际情况相应延迟解密时间或调整开、评标时间。</w:t>
      </w:r>
      <w:r/>
    </w:p>
    <w:p>
      <w:pPr>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1.投标保证金：免收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2.项目开标活动模式：不见面远程开标模式，投标人在各自地点通过“苏采云”政府采购交易系统参加开标会。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3.项目演示、样品、答辩等（如有请描述）：无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6.有关本次招标的事项若存在变动或修改，敬请及时关注采购人或采购代理机构在“江苏政府采购网”发布的更正公告。</w:t>
      </w:r>
      <w:r/>
    </w:p>
    <w:p>
      <w:pPr>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名称：苏锡通科技产业园区人民医院</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地址：南通市通州区张芝山镇健康路8号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主要联系人：徐洪</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联系方式：（0513）82523198</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相关联系人：黄玉宇</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联系方式：（0513）82521152</w:t>
      </w:r>
      <w:r/>
    </w:p>
    <w:p>
      <w:pPr>
        <w:ind w:left="479" w:right="0" w:firstLine="37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名称：江苏弘业国际技术工程有限公司</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地址：南京市中华路50号弘业大厦10楼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联系人：茅燕凤</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联系方式：15951603205</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主要负责人：茅燕凤</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相关负责人：丁昕、王苏琪</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招标文件制作人:王苏琪</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项目开标人：18352665859</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附件:1、招标文件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2、采购人信用承诺</w:t>
      </w:r>
      <w:r/>
    </w:p>
    <w:p>
      <w:pPr>
        <w:ind w:left="0" w:right="0" w:firstLine="7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3、公平竞争审查二维码、公平竞争审查表</w:t>
      </w:r>
      <w:r/>
    </w:p>
    <w:p>
      <w:pPr>
        <w:ind w:left="0" w:right="0" w:firstLine="7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4、南通市政府采购线上合同信用融资政策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br w:type="page" w:clear="all"/>
      </w:r>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第二部分投标须知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投标人应自行承担所有与参加投标有关的费用，无论投标过程中的做法和结果如何，采购人和采购代理机构在任何情况下均无义务和责任承担这些费用。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4.2本次招标不收取标书工本费。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采购代理服务费由中标供应商支付，代理服务费应包含（分摊）在响应报价中，但无须单独列出。中标供应商在应领取中标通知书前向代理机构支付服务费，服务费率参照江苏省招标投标协会(苏招协[2022]002)《江苏省招标代理服务收费的指导意见》货物收费指导价标准计取。</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（3）采购需求</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（4）评标方法与评标标准</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（5）投标文件格式</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（6）附件（如有）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请仔细检查招标文件是否齐全，如有缺漏请立即与采购人或采购代理机构联系解决。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前按招标公告中的通讯地址，以书面形式通知采购人或采购代理机构。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7.2采购人视情组织答疑会。</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在投标截止时间前，采购人或采购代理机构可以对招标文件进行修改。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采购人有权按照法定的要求推迟投标截止日期和开标日期。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投标人应按照招标文件要求提交证明文件，证明其及投标标的符合招标文件规定。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15.投标函和开标一览表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numPr>
          <w:ilvl w:val="0"/>
          <w:numId w:val="21"/>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投标文件的递交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525"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u w:val="single"/>
        </w:rPr>
        <w:t xml:space="preserve">投标人上传电子投标文件的时间不得迟于招标公告中规定的投标截止时间。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采购人拒绝接收在其规定的投标截止时间后上传的任何投标文件。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22.2开标仪式由采购代理机构组织。苏采云系统将自动对项目进行开标，并宣布各投标人名称和投标价格。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23.1开标后，采购代理机构将立即组织评标委员会（以下简称评委会）进行评标。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23.3评委会独立工作，负责评审所有投标文件并确定中标侯选人。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24.1凡是与审查、澄清、评价和比较投标的有关资料以及授标建议等，采购人、评委均不得向投标人或与评标无关的其他人员透露。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采购人和评标委员会不向未中标的投标人解释未中标原因，也不公布评标过程中的相关细节。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其他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一个中标候选人，其他同品牌投标人不作为中标候选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26.7投标人在开、评标全过程中应保持通讯畅通，及时登录苏采云系统查阅、答复相关信息，并安排专人与采购人或采购代理机构及评标委员会联系。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27.2.1符合专业条件的供应商或者对招标文件作实质响应的供应商不足三家的。27.2.2出现影响采购公正的违法、违规行为的。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28.1中标候选人的选取原则和数量见招标文件第四章规定。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28.2采购人应根据评委会推荐的中标候选人确定中标人。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28.3采购代理机构将在“江苏政府采购网”发布中标公告，公告期限为1个工作日。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28.4若有充分证据证明，中标人出现下列情况之一的，一经查实，将被取消中标资格：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28.4.2向采购人、采购代理机构行贿或者提供其他不正当利益的。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28.5.5不同投标人的投标文件相互混装。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采购人或采购代理机构只接收以纸质原件形式送达的质疑,建议供应商尽量通过邮寄方式提交质疑（采购人或采购代理机构不接受未填写快递运单的快件）。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采购人及采购代理机构质疑接收人及联系方式见本招标文件第一章。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29.5.1内容不符合《政府采购质疑和投诉办法》第十二条规定的质疑。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29.5.2超出政府采购法定期限的质疑。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29.5.3以传真、电子邮件等方式递交的非原件形式的质疑。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29.5.4未参加投标活动的供应商或在投标活动中自身权益未受到损害的供应商所提出的质疑。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33.1中标供应商如需获得履约保证金支持，可凭政府采购合同办理融资贷款，详情请见江苏政府采购网“政采贷”专栏。</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一、采购需求包括拟采购的标的及其需要满足的技术、商务要求。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二、政府采购中实施本国产品标准及相关政策: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采购包一：</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一、配置需求：</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1"/>
        <w:gridCol w:w="4485"/>
        <w:gridCol w:w="1272"/>
        <w:gridCol w:w="10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彩色超声诊断系统主机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单晶体腹部凸阵探头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单晶体相控阵探头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单晶体腔内探头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超宽频血管线阵探头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配备采集卡工作站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bl>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二、实质性响应参数</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1．高分辨率液晶显示器≥21英寸，分辨率≥1080p（1920x1080），可上下左右旋转、倾斜；</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2.操作面板具备液晶触摸屏≥12英寸 </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3.数字化通道≥700万；</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医学数字图像和通信协议， DICOM 3.0 版接口部件；</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5.主机内置硬盘≥1T(SSD固态硬盘)，可扩展的存储装置：大容量移动硬盘、DVD-RW、DVR等；</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实时任意多平面成像；（提供技术规格书并加盖公章）</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7.支持左心室自动应变定量技术；（提供技术规格书并加盖公章）</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自动2D心肌运动定量技术：牛眼图显示左心室18或17节段；（提供技术规格书并加盖公章）</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支持自动多普勒分析技术；（提供技术规格书并加盖公章）</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10．自动化心脏2D量化软件技术 使用2D和双平面图像进行左心室和左心房整体容积分析；（提供技术规格书并加盖公章）</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采购包二：</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一、配置需求：</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3"/>
        <w:gridCol w:w="4418"/>
        <w:gridCol w:w="1257"/>
        <w:gridCol w:w="10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彩色超声多普勒诊断系统主机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单晶体腹部凸阵探头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线阵探头/单晶体线阵探头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腔内凸阵探头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单晶体相控阵探头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配备采集卡的工作站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bl>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二、实质性响应参数</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1.探头接口≥4个，全激活可互换。</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2.具有二维灰阶血流或超微细血流成像功能，实现超低速血流的高分辨率显示。</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3.图像储存，硬盘≥1TB ，USB接口输出，支持压缩和高清DICOM图像传输。</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4.支持影像融合技术:示踪各种超声探头，将超声（US）与CT、MRI、CB-CT或PET/ CT融合以找到兴趣区，更加轻松地进行成像模态组合；（提供技术规格书，中标后原件备查加盖原厂公章））</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5.具备宽景成像技术。</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6.具备穿刺引导线及针尖增强技术。</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7.具备高清放大功能，并可增加感兴趣区细节显示。</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8.主机屏幕尺寸≥22英寸，触摸屏尺寸≥12英寸。（提供技术规格书并加盖公章）</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9.产品注册证范围内探头最大阵元数≥1000阵元。（提供技术规格书并加盖公章）</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10.支持造影微血流成像技术。（提供技术规格书并加盖公章）</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以上条款为技术条款中的实质性条款，需在技术部分正负偏离表中逐条响应，负偏离则符合性审查不通过，作为无效投标处理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一、购项目交付或者实施的时间和地点：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合同签订，收到采购人送货通知后60天内送货至苏锡通科技产业园区人民医院，所提供机器须均为交货前6个月内生产的全新机器，并提供承诺函加盖公章。</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二、采购标的需满足的服务标准、期限、效率等要求：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设备验收合格后进入质保期，原厂质保≥</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年，中标后需在采购合同签订前</w:t>
      </w:r>
      <w:r>
        <w:rPr>
          <w:rFonts w:ascii="SimSun" w:hAnsi="SimSun" w:eastAsia="SimSun" w:cs="SimSun"/>
          <w:b/>
          <w:color w:val="000000"/>
          <w:sz w:val="24"/>
        </w:rPr>
        <w:t xml:space="preserve">提供原厂质保承诺函，加盖制造商公章。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投标报价包含调试费、接口费、人工费、服务费、税金、可能涉及到的场地拆改费以及交付使用过程中涉及到的其他一切费用，</w:t>
      </w:r>
      <w:r>
        <w:rPr>
          <w:rFonts w:ascii="SimSun" w:hAnsi="SimSun" w:eastAsia="SimSun" w:cs="SimSun"/>
          <w:b/>
          <w:color w:val="000000"/>
          <w:sz w:val="24"/>
        </w:rPr>
        <w:t xml:space="preserve">并提供承诺函加盖公章。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供应商须为本项目配备专业的售后服务团队，人数不少于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人，具备基本的医疗设备销售及服务经验，投标时提供团队成员情况一览表，包括人员姓名、年龄、学历、专业、工作年限、工作经历等（格式自拟）。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售后服务团队在质保期内提供</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小时服务，设备试运行及正常运行期间如有质量问题，一般障碍</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小时内做出响应，</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小时内应派专业技术人员到达现场提供免费咨询、维修服务，重大障碍 </w:t>
      </w: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小时内解决；如在</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小时内无法排除故障的，必须在</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小时内免费提供原厂同等配置的备用设备以保证用户设备的正常运行。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若未能在规定的时间内进行现场响应和解决设备问题的，采购人采取一切措施所产生的费用和风险由供应商承担。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设备安装调试合格，正常运行期间，中标供应商须提供巡检服务，巡检人员须为售后服务团队成员，巡检每月至少</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次，巡检时需观察设备运行程序的状态、了解和解答采购人相关使用问题等。巡检时若发现潜在故障问题和隐患，及时联系属地工程师上门检修处理。以上服务均由供应商免费提供。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对已经验收的合格产品在质保期内若出现非人为的质量问题，供应商需在</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小时内提供解决方案，无条件更换全新零配件，</w:t>
      </w:r>
      <w:r>
        <w:rPr>
          <w:rFonts w:ascii="SimSun" w:hAnsi="SimSun" w:eastAsia="SimSun" w:cs="SimSun"/>
          <w:b/>
          <w:color w:val="000000"/>
          <w:sz w:val="24"/>
        </w:rPr>
        <w:t xml:space="preserve">提供承诺函加盖公章</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三、采购标的的验收标准：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详见附件货物服务履约验收方案。所提供机器须均为交货前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个月内生产的全新机器。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四、采购标的的其他技术、服务等要求：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包装要求：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4.1.1</w:t>
      </w:r>
      <w:r>
        <w:rPr>
          <w:rFonts w:ascii="SimSun" w:hAnsi="SimSun" w:eastAsia="SimSun" w:cs="SimSun"/>
          <w:color w:val="000000"/>
          <w:sz w:val="24"/>
        </w:rPr>
        <w:t xml:space="preserve">商品包装环保要求：应当按《关于印发〈商品包装政府采购需求标准（试行）〉、〈快递包装政府采购需求标准（试行）〉的通知》（财办库〔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）商品包装层数不得超过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层，空隙率不大于 </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）塑料材质商品包装上呈现的印刷颜色不得超过</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）木质商品包装的原料应来源于可持续性森林。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4.1.2</w:t>
      </w:r>
      <w:r>
        <w:rPr>
          <w:rFonts w:ascii="SimSun" w:hAnsi="SimSun" w:eastAsia="SimSun" w:cs="SimSun"/>
          <w:color w:val="000000"/>
          <w:sz w:val="24"/>
        </w:rPr>
        <w:t xml:space="preserve">快递包装环保要求：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）快递包装中重金属（铅、汞、镉、六价铬）总量应不大于 </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）快递包装中使用纸基材的包装材料，纸基材中的有机氯的含量应不大于 </w:t>
      </w:r>
      <w:r>
        <w:rPr>
          <w:rFonts w:ascii="Times New Roman" w:hAnsi="Times New Roman" w:eastAsia="Times New Roman" w:cs="Times New Roman"/>
          <w:color w:val="000000"/>
          <w:sz w:val="24"/>
        </w:rPr>
        <w:t xml:space="preserve">150 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己酯、邻苯二甲酸二异癸酯、邻苯二甲酸丁基苄基酯、邻苯二甲酸二丁酯等作为增塑剂；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）快递中使用的集装袋应为单一材质制成，其重复使用次数应不小于 </w:t>
      </w:r>
      <w:r>
        <w:rPr>
          <w:rFonts w:ascii="Times New Roman" w:hAnsi="Times New Roman" w:eastAsia="Times New Roman" w:cs="Times New Roman"/>
          <w:color w:val="000000"/>
          <w:sz w:val="24"/>
        </w:rPr>
        <w:t xml:space="preserve">80 </w:t>
      </w:r>
      <w:r>
        <w:rPr>
          <w:rFonts w:ascii="SimSun" w:hAnsi="SimSun" w:eastAsia="SimSun" w:cs="SimSun"/>
          <w:color w:val="000000"/>
          <w:sz w:val="24"/>
        </w:rPr>
        <w:t xml:space="preserve">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 </w:t>
      </w:r>
      <w:r>
        <w:rPr>
          <w:rFonts w:ascii="SimSun" w:hAnsi="SimSun" w:eastAsia="SimSun" w:cs="SimSun"/>
          <w:color w:val="000000"/>
          <w:sz w:val="24"/>
        </w:rPr>
        <w:t xml:space="preserve">的生物降解胶带；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）快递包装中不得使用溶剂型胶粘剂；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）快递应使用电子面单；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）直接使用商品包装作为快递包装的商品，其商品包装满足《商品包装政府采购需求标准（试行）》即可；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）快递包装产品质量和封装方式应符合相关国家或行业标准技术指标要求。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五、履约保证金：</w:t>
      </w:r>
      <w:r>
        <w:rPr>
          <w:rFonts w:ascii="SimSun" w:hAnsi="SimSun" w:eastAsia="SimSun" w:cs="SimSun"/>
          <w:color w:val="000000"/>
          <w:sz w:val="24"/>
        </w:rPr>
        <w:t xml:space="preserve">本项目免收履约保证金。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六、合同条款（详见附件）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七、政府采购中实施本国产品标准及相关政策</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7.1本项目对采购本国产品给予政策支持，具体内容见招标文件第四部分。</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八、采购项目需求中必须满足的实质性要求。</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8.1技术部分实质性要求</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第三部分 采购需求中的采购清单及技术参数均为实质性指标，凡有负偏离的作无效投标处理。</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8.2商务部分实质性要求</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7"/>
        <w:gridCol w:w="74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设备质保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≥3年，中标后签订合同之前需提供原厂质保函并加盖公章。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交货期：接到用户通知后10个工作日内交货。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交货要求：所有货品必须原包装进场，运送及安装到用户指定地点。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10个工作日内，预付合同款的30%，货到安装调试、培训、试运行、验收合格，凭发票、验收合格报告且良好运行后付合同款的60%，一年后一次性付清余款，其中涉及预付款的：合同签订后10个工作日内，预付合同款的30%。</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1.到货期：合同签订之日起30日内。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2.安装完成时间：接用户通知后10个工作日内全部调试完成。</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所提供机器须均为交货前6个月内生产的全新机器，并提供承诺函。</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本项目不接受进口产品投标。</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货物服务履约验收方案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一、验收目的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项目履约验收是指采购人组织验收小组对供应商履行政府采购合同情况及结果进行检查、核实和评估等，以确认其提供的货物或者服务是否符合政府采购合同约定要求的活动，验收结果是政府采购项目资金支付的重要依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二、验收依据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采购人通过政府采购方式和程序确定供应商的货物和服务类政府采购项目应当执行《江苏省政府采购履约验收管理办法》。政府采购文件、供应商投标（响应）文件、政府采购合同是履约验收工作的基本依据。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三、验收方式及验收内容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3.1日常考核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ascii="SimSun" w:hAnsi="SimSun" w:eastAsia="SimSun" w:cs="SimSun"/>
          <w:b/>
          <w:color w:val="000000"/>
          <w:sz w:val="24"/>
        </w:rPr>
        <w:t xml:space="preserve">采购人书面要求供应商限期整改，由此造成的一切损失由供应商承担。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3.2检测(检验)验收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w:t>
      </w:r>
      <w:r>
        <w:rPr>
          <w:rFonts w:ascii="SimSun" w:hAnsi="SimSun" w:eastAsia="SimSun" w:cs="SimSun"/>
          <w:b/>
          <w:color w:val="000000"/>
          <w:sz w:val="24"/>
        </w:rPr>
        <w:t xml:space="preserve">采购文件中设置检测报告相关要求的，应由采购人聘请有资质的检测机构实施检验、出具检测报告</w:t>
      </w:r>
      <w:r>
        <w:rPr>
          <w:rFonts w:ascii="SimSun" w:hAnsi="SimSun" w:eastAsia="SimSun" w:cs="SimSun"/>
          <w:color w:val="000000"/>
          <w:sz w:val="24"/>
        </w:rPr>
        <w:t xml:space="preserve">，且检测机构、检测标准、检测内容等应与采购文件中的要求一致或相关，</w:t>
      </w:r>
      <w:r>
        <w:rPr>
          <w:rFonts w:ascii="SimSun" w:hAnsi="SimSun" w:eastAsia="SimSun" w:cs="SimSun"/>
          <w:b/>
          <w:color w:val="000000"/>
          <w:sz w:val="24"/>
        </w:rPr>
        <w:t xml:space="preserve">相关费用由中标供应商承担。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ascii="SimSun" w:hAnsi="SimSun" w:eastAsia="SimSun" w:cs="SimSun"/>
          <w:b/>
          <w:color w:val="000000"/>
          <w:sz w:val="24"/>
        </w:rPr>
        <w:t xml:space="preserve">供应商拒不配合抽样送检的，其所移交货物作不合格处理。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3.2.3当某一产品检验不合格时，认定该类产品均不合格，采购人书面通知供应商限期进行整改，供应商应在限期完成不合格产品的更换，若供应商未按时完成整改或整改后再次抽检仍不合格的，</w:t>
      </w:r>
      <w:r>
        <w:rPr>
          <w:rFonts w:ascii="SimSun" w:hAnsi="SimSun" w:eastAsia="SimSun" w:cs="SimSun"/>
          <w:b/>
          <w:color w:val="000000"/>
          <w:sz w:val="24"/>
        </w:rPr>
        <w:t xml:space="preserve">则采购人有权终止合同，重新采购，由此造成的一切损失由供应商承担。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3.2.4对检验结果存在异议时，启用备样检验，</w:t>
      </w:r>
      <w:r>
        <w:rPr>
          <w:rFonts w:ascii="SimSun" w:hAnsi="SimSun" w:eastAsia="SimSun" w:cs="SimSun"/>
          <w:b/>
          <w:color w:val="000000"/>
          <w:sz w:val="24"/>
        </w:rPr>
        <w:t xml:space="preserve">相关费用由异议提出方承担。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3.2.5实施检验检测所造成的产品损坏、损耗，</w:t>
      </w:r>
      <w:r>
        <w:rPr>
          <w:rFonts w:ascii="SimSun" w:hAnsi="SimSun" w:eastAsia="SimSun" w:cs="SimSun"/>
          <w:b/>
          <w:color w:val="000000"/>
          <w:sz w:val="24"/>
        </w:rPr>
        <w:t xml:space="preserve">其替换补充或维修费用由中标供应商承担。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3.3最终验收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3.3.1验收准备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3.3.1.1政府采购合同约定的履约验收条件达到时，采购人应当在</w:t>
      </w:r>
      <w:r>
        <w:rPr>
          <w:rFonts w:ascii="SimSun" w:hAnsi="SimSun" w:eastAsia="SimSun" w:cs="SimSun"/>
          <w:b/>
          <w:color w:val="000000"/>
          <w:sz w:val="24"/>
        </w:rPr>
        <w:t xml:space="preserve">15个工作日内</w:t>
      </w:r>
      <w:r>
        <w:rPr>
          <w:rFonts w:ascii="SimSun" w:hAnsi="SimSun" w:eastAsia="SimSun" w:cs="SimSun"/>
          <w:color w:val="000000"/>
          <w:sz w:val="24"/>
        </w:rPr>
        <w:t xml:space="preserve">启动履约验收工作，并向供应商发出</w:t>
      </w:r>
      <w:r>
        <w:rPr>
          <w:rFonts w:ascii="SimSun" w:hAnsi="SimSun" w:eastAsia="SimSun" w:cs="SimSun"/>
          <w:b/>
          <w:color w:val="000000"/>
          <w:sz w:val="24"/>
        </w:rPr>
        <w:t xml:space="preserve">《政府采购履约验收通知单》（见下表1）。</w:t>
      </w:r>
      <w:r>
        <w:rPr>
          <w:rFonts w:ascii="SimSun" w:hAnsi="SimSun" w:eastAsia="SimSun" w:cs="SimSun"/>
          <w:color w:val="000000"/>
          <w:sz w:val="24"/>
        </w:rPr>
        <w:t xml:space="preserve">在政府采购合同约定的履行验收条件达到时，供应商可以主动联系采购人启动履约验收工作。</w:t>
      </w:r>
      <w:r>
        <w:rPr>
          <w:rFonts w:ascii="SimSun" w:hAnsi="SimSun" w:eastAsia="SimSun" w:cs="SimSun"/>
          <w:b/>
          <w:color w:val="000000"/>
          <w:sz w:val="24"/>
        </w:rPr>
        <w:t xml:space="preserve">供应商在收到验收通知单后五个工作日内拒不配合的，采购人应依照合同约定追究其责任。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3.3.1.2供应商应当配合采购人做好项目验收工作，及时提供与项目验收相关的生产、技术、服务、数量、质量、安全、合格证明及验收所必须具备的其他材料。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3.3.1.3采购人应及时全面准备验收，在验收日期前做好通水、通电、准备验收工具等必要的验收准备工作。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3.3.2验收小组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3.3.2.1</w:t>
      </w:r>
      <w:r>
        <w:rPr>
          <w:rFonts w:ascii="SimSun" w:hAnsi="SimSun" w:eastAsia="SimSun" w:cs="SimSun"/>
          <w:b/>
          <w:color w:val="000000"/>
          <w:sz w:val="24"/>
        </w:rPr>
        <w:t xml:space="preserve">采购人应当组织成立验收小组</w:t>
      </w:r>
      <w:r>
        <w:rPr>
          <w:rFonts w:ascii="SimSun" w:hAnsi="SimSun" w:eastAsia="SimSun" w:cs="SimSun"/>
          <w:color w:val="000000"/>
          <w:sz w:val="24"/>
        </w:rPr>
        <w:t xml:space="preserve">，验收小组负责实施项目验收工作，其成员构成、人员数量以及负责人由采购人确定，验收小组一般由采购人指定的 </w:t>
      </w:r>
      <w:r>
        <w:rPr>
          <w:rFonts w:ascii="SimSun" w:hAnsi="SimSun" w:eastAsia="SimSun" w:cs="SimSun"/>
          <w:b/>
          <w:color w:val="000000"/>
          <w:sz w:val="24"/>
        </w:rPr>
        <w:t xml:space="preserve">3 名（含）以上单数工作人员组成，并确定一名负责人。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3.3.2.2根据采购项目特点和实际需要，可以邀请相关领域专业技术人员等作为验收小组成员参与验收</w:t>
      </w:r>
      <w:r>
        <w:rPr>
          <w:rFonts w:ascii="SimSun" w:hAnsi="SimSun" w:eastAsia="SimSun" w:cs="SimSun"/>
          <w:b/>
          <w:color w:val="000000"/>
          <w:sz w:val="24"/>
        </w:rPr>
        <w:t xml:space="preserve">。</w:t>
      </w:r>
      <w:r>
        <w:rPr>
          <w:rFonts w:ascii="SimSun" w:hAnsi="SimSun" w:eastAsia="SimSun" w:cs="SimSun"/>
          <w:color w:val="000000"/>
          <w:sz w:val="24"/>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3.3.3参与验收人员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3.3.3.1技术复杂或专业性强的政府采购项目，可以邀请有资质的第三方专业机构参加验收并出具专业意见。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3.3.4验收内容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3.3.4.1验收时，验收小组应与供应商一起验货，如发现货物短缺、质次、损坏、产地和规格不符等问题，应作详细记录由双方进行签字确认，</w:t>
      </w:r>
      <w:r>
        <w:rPr>
          <w:rFonts w:ascii="SimSun" w:hAnsi="SimSun" w:eastAsia="SimSun" w:cs="SimSun"/>
          <w:b/>
          <w:color w:val="000000"/>
          <w:sz w:val="24"/>
        </w:rPr>
        <w:t xml:space="preserve">供应商立即无条件地在合同约定期限内调换或补齐，由此造成的一切损失由供应商承担。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3.3.4.2交付验收标准适用标准为：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①按照现行国家标准执行，无国家标准的，按行业标准执行，无国家和行业标准的，按企业标准执行，并且应符合相关法律、法规规定的要求；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②采购文件所列的各项要求、采购合同、供应商在投标（响应）文件中承诺的质量技术指标。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3.3.5验收记录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3.3.5.1验收小组应当要求参与验收的供应商、专业机构、专家和服务对象等出具书面意见，作为验收书的重要组成部分。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对现场情况描述且签字等方式留存证明材料，由供应商确认，作为履约验收的重要凭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四、验收结果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rPr>
          <w:rFonts w:ascii="SimSun" w:hAnsi="SimSun" w:eastAsia="SimSun" w:cs="SimSun"/>
          <w:b/>
          <w:color w:val="000000"/>
          <w:sz w:val="24"/>
        </w:rPr>
        <w:t xml:space="preserve">《政府采购履约验收书》（见下表2）、合同是申请支付政府采购合同价款的必备资料</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五、验收资料归档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三十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政府采购履约验收通知单</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38"/>
        <w:gridCol w:w="2238"/>
        <w:gridCol w:w="2238"/>
        <w:gridCol w:w="2238"/>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履约验收方案及工作要求</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893" w:firstLine="0"/>
              <w:jc w:val="right"/>
              <w:spacing w:before="7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单位公章</w:t>
            </w:r>
            <w:r/>
          </w:p>
          <w:p>
            <w:pPr>
              <w:ind w:left="0" w:right="2893" w:firstLine="0"/>
              <w:jc w:val="right"/>
              <w:spacing w:before="7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pacing w:val="-16"/>
                <w:sz w:val="24"/>
              </w:rPr>
              <w:t xml:space="preserve">年</w:t>
            </w:r>
            <w:r>
              <w:rPr>
                <w:rFonts w:ascii="SimSun" w:hAnsi="SimSun" w:eastAsia="SimSun" w:cs="SimSun"/>
                <w:color w:val="000000"/>
                <w:spacing w:val="18"/>
                <w:sz w:val="24"/>
              </w:rPr>
              <w:t xml:space="preserve">   </w:t>
            </w:r>
            <w:r>
              <w:rPr>
                <w:rFonts w:ascii="SimSun" w:hAnsi="SimSun" w:eastAsia="SimSun" w:cs="SimSun"/>
                <w:color w:val="000000"/>
                <w:spacing w:val="-16"/>
                <w:sz w:val="24"/>
              </w:rPr>
              <w:t xml:space="preserve">月</w:t>
            </w:r>
            <w:r>
              <w:rPr>
                <w:rFonts w:ascii="SimSun" w:hAnsi="SimSun" w:eastAsia="SimSun" w:cs="SimSun"/>
                <w:color w:val="000000"/>
                <w:spacing w:val="12"/>
                <w:sz w:val="24"/>
              </w:rPr>
              <w:t xml:space="preserve">   </w:t>
            </w:r>
            <w:r>
              <w:rPr>
                <w:rFonts w:ascii="SimSun" w:hAnsi="SimSun" w:eastAsia="SimSun" w:cs="SimSun"/>
                <w:color w:val="000000"/>
                <w:spacing w:val="-16"/>
                <w:sz w:val="24"/>
              </w:rPr>
              <w:t xml:space="preserve">日</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6"/>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6"/>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6"/>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6"/>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6"/>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政府采购履约验收书（货物类）</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2"/>
        <w:gridCol w:w="1492"/>
        <w:gridCol w:w="1492"/>
        <w:gridCol w:w="1492"/>
        <w:gridCol w:w="1492"/>
        <w:gridCol w:w="1492"/>
      </w:tblGrid>
      <w:tr>
        <w:trPr>
          <w:trHeight w:val="23"/>
        </w:trPr>
        <w:tc>
          <w:tcPr>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采购人</w:t>
            </w:r>
            <w:r/>
          </w:p>
        </w:tc>
        <w:tc>
          <w:tcPr>
            <w:gridSpan w:val="2"/>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112" w:right="246" w:firstLine="22"/>
              <w:jc w:val="center"/>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 </w:t>
            </w:r>
            <w:r/>
          </w:p>
        </w:tc>
        <w:tc>
          <w:tcPr>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供应商</w:t>
            </w:r>
            <w:r/>
          </w:p>
        </w:tc>
        <w:tc>
          <w:tcPr>
            <w:gridSpan w:val="2"/>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（姓名+职务+单位）</w:t>
            </w:r>
            <w:r/>
          </w:p>
        </w:tc>
      </w:tr>
      <w:tr>
        <w:trPr>
          <w:trHeight w:val="271"/>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代理机构</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 </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项目名称</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验收地点</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 </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验收时间</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合同金额</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 </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采购方式</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合同名称</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 </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项目及合同编号</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验收组织形式</w:t>
            </w:r>
            <w:r/>
          </w:p>
        </w:tc>
        <w:tc>
          <w:tcPr>
            <w:gridSpan w:val="5"/>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74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□采购人自行简易验收    □验收小组验收      □委托代理机构验收</w:t>
            </w:r>
            <w:r/>
          </w:p>
        </w:tc>
      </w:tr>
      <w:tr>
        <w:trPr>
          <w:trHeight w:val="23"/>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是否日常检查/分段验收</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□否</w:t>
            </w:r>
            <w:r/>
          </w:p>
        </w:tc>
        <w:tc>
          <w:tcPr>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日常检查/分段验收情况</w:t>
            </w:r>
            <w:r/>
          </w:p>
        </w:tc>
        <w:tc>
          <w:tcPr>
            <w:gridSpan w:val="3"/>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4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本项目验收共分   期（段），本次为第   期（段）</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4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验收小组成员（按实际情况勾选）</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验收内容（可附附件）</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验收意见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（是否合格）</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28" w:type="dxa"/>
              <w:top w:w="11" w:type="dxa"/>
              <w:right w:w="11" w:type="dxa"/>
              <w:bottom w:w="11" w:type="dxa"/>
            </w:tcMar>
            <w:tcW w:w="29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（非日常考核/分段验收时必选）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（姓名+所属部门）</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负责人：</w:t>
            </w:r>
            <w:r/>
          </w:p>
        </w:tc>
        <w:tc>
          <w:tcPr>
            <w:gridSpan w:val="2"/>
            <w:tcBorders>
              <w:top w:val="none" w:color="000000" w:sz="4" w:space="0"/>
              <w:left w:val="single" w:color="000000" w:sz="8" w:space="0"/>
              <w:bottom w:val="none" w:color="000000" w:sz="4" w:space="0"/>
              <w:right w:val="single" w:color="000000" w:sz="8" w:space="0"/>
            </w:tcBorders>
            <w:tcMar>
              <w:left w:w="11" w:type="dxa"/>
              <w:top w:w="11" w:type="dxa"/>
              <w:right w:w="11" w:type="dxa"/>
              <w:bottom w:w="11" w:type="dxa"/>
            </w:tcMar>
            <w:tcW w:w="2984"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□货物清单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□外包装检查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□检查标的物合格证、说明书等质量证明文件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□品牌、型号、规格、数量、外观质量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□技术、性能、指标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□运行状况及安装调试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□核实供应商售后服务等在响应文件中承诺的内容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□安全标准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□合同履约时间、地点、方式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□对照采购文件中检测机构、检测标准、检测内容对相应标的物进行抽查检验</w:t>
            </w:r>
            <w:r>
              <w:rPr>
                <w:rFonts w:ascii="SimSun" w:hAnsi="SimSun" w:eastAsia="SimSun" w:cs="SimSun"/>
                <w:b/>
                <w:color w:val="000000"/>
                <w:spacing w:val="-3"/>
                <w:sz w:val="22"/>
              </w:rPr>
              <w:t xml:space="preserve">（采购文件中设置相关要求时必选）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□对照采购人需求，对标的物中涉及专业领域的部分进行复核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□其他：</w:t>
            </w:r>
            <w:r/>
          </w:p>
        </w:tc>
        <w:tc>
          <w:tcPr>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top"/>
            <w:vMerge w:val="restart"/>
            <w:textDirection w:val="lrTb"/>
            <w:noWrap w:val="false"/>
          </w:tcPr>
          <w:p>
            <w:pPr>
              <w:ind w:left="135" w:right="0" w:firstLine="0"/>
              <w:spacing w:before="14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 </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28" w:type="dxa"/>
              <w:top w:w="11" w:type="dxa"/>
              <w:right w:w="11" w:type="dxa"/>
              <w:bottom w:w="11" w:type="dxa"/>
            </w:tcMar>
            <w:tcW w:w="29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□采购邀请相关领域专业技术人员：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（姓名+单位）</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vMerge w:val="continue"/>
            <w:textDirection w:val="lrTb"/>
            <w:noWrap w:val="false"/>
          </w:tcPr>
          <w:p>
            <w:r/>
            <w:r/>
          </w:p>
        </w:tc>
        <w:tc>
          <w:tcPr>
            <w:vMerge w:val="continue"/>
            <w:textDirection w:val="lrTb"/>
            <w:noWrap w:val="false"/>
          </w:tcPr>
          <w:p>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28" w:type="dxa"/>
              <w:top w:w="11" w:type="dxa"/>
              <w:right w:w="11" w:type="dxa"/>
              <w:bottom w:w="11" w:type="dxa"/>
            </w:tcMar>
            <w:tcW w:w="29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□受采购人委托的代理机构：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vMerge w:val="continue"/>
            <w:textDirection w:val="lrTb"/>
            <w:noWrap w:val="false"/>
          </w:tcPr>
          <w:p>
            <w:r/>
            <w:r/>
          </w:p>
        </w:tc>
        <w:tc>
          <w:tcPr>
            <w:vMerge w:val="continue"/>
            <w:textDirection w:val="lrTb"/>
            <w:noWrap w:val="false"/>
          </w:tcPr>
          <w:p>
            <w:r/>
            <w:r/>
          </w:p>
        </w:tc>
      </w:tr>
      <w:tr>
        <w:trPr>
          <w:trHeight w:val="1257"/>
        </w:trPr>
        <w:tc>
          <w:tcPr>
            <w:gridSpan w:val="2"/>
            <w:tcBorders>
              <w:top w:val="none" w:color="000000" w:sz="4" w:space="0"/>
              <w:left w:val="single" w:color="000000" w:sz="8" w:space="0"/>
              <w:bottom w:val="single" w:color="000000" w:sz="8" w:space="0"/>
              <w:right w:val="single" w:color="000000" w:sz="8" w:space="0"/>
            </w:tcBorders>
            <w:tcMar>
              <w:left w:w="28" w:type="dxa"/>
              <w:top w:w="11" w:type="dxa"/>
              <w:right w:w="11" w:type="dxa"/>
              <w:bottom w:w="11" w:type="dxa"/>
            </w:tcMar>
            <w:tcW w:w="29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□代建单位：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（姓名+单位+所属部门）</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vMerge w:val="continue"/>
            <w:textDirection w:val="lrTb"/>
            <w:noWrap w:val="false"/>
          </w:tcPr>
          <w:p>
            <w:r/>
            <w:r/>
          </w:p>
        </w:tc>
        <w:tc>
          <w:tcPr>
            <w:vMerge w:val="continue"/>
            <w:textDirection w:val="lrTb"/>
            <w:noWrap w:val="false"/>
          </w:tcPr>
          <w:p>
            <w:r/>
            <w:r/>
          </w:p>
        </w:tc>
      </w:tr>
      <w:tr>
        <w:trPr>
          <w:trHeight w:val="82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验收参与人员意见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w:t>
            </w:r>
            <w:r/>
          </w:p>
        </w:tc>
        <w:tc>
          <w:tcPr>
            <w:gridSpan w:val="5"/>
            <w:tcBorders>
              <w:top w:val="single" w:color="000000" w:sz="8" w:space="0"/>
              <w:left w:val="none" w:color="000000" w:sz="4" w:space="0"/>
              <w:bottom w:val="single" w:color="000000" w:sz="8" w:space="0"/>
              <w:right w:val="single" w:color="000000" w:sz="8" w:space="0"/>
            </w:tcBorders>
            <w:tcMar>
              <w:left w:w="28" w:type="dxa"/>
              <w:top w:w="0" w:type="dxa"/>
              <w:right w:w="0" w:type="dxa"/>
              <w:bottom w:w="0" w:type="dxa"/>
            </w:tcMar>
            <w:tcW w:w="74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□第三方专业机构：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□实际使用人：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□社会公众服务对象：</w:t>
            </w:r>
            <w:r/>
          </w:p>
        </w:tc>
      </w:tr>
      <w:tr>
        <w:trP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存在问题和改进意见</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112" w:right="0" w:firstLine="0"/>
              <w:jc w:val="center"/>
              <w:spacing w:before="7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最终结论</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             □不合格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（如意见一致，请全体验收小组成员分别签名，如有异议，请分别签署异议意见并签名）</w:t>
            </w:r>
            <w:r/>
          </w:p>
        </w:tc>
      </w:tr>
      <w:tr>
        <w:trPr>
          <w:trHeight w:val="6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验收小组成员签字</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异议复核</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异议事项：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复核意见：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rHeight w:val="9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采购代理机构意见（如有委托）</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负责人：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（采购代理机构公章）</w:t>
            </w:r>
            <w:r/>
          </w:p>
        </w:tc>
      </w:tr>
      <w:tr>
        <w:trPr>
          <w:trHeight w:val="9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采购人意见</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负责人：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（采购人公章）</w:t>
            </w:r>
            <w:r/>
          </w:p>
        </w:tc>
      </w:tr>
      <w:tr>
        <w:trPr>
          <w:trHeight w:val="9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（单位公章或授权代表签字）</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w:t>
      </w:r>
      <w:r>
        <w:rPr>
          <w:rFonts w:ascii="SimHei" w:hAnsi="SimHei" w:eastAsia="SimHei" w:cs="SimHei"/>
          <w:b/>
          <w:color w:val="000000"/>
          <w:sz w:val="44"/>
        </w:rPr>
        <w:t xml:space="preserve">评标方法与评标标准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采购人按照下列指标对各投标人的资格进行审查，未通过审查的为无效标，不参与评标。</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65"/>
        <w:gridCol w:w="199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法人或者其他组织的营业执照等证明文件</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995" w:type="dxa"/>
            <w:vAlign w:val="center"/>
            <w:vMerge w:val="restart"/>
            <w:textDirection w:val="lrTb"/>
            <w:noWrap w:val="false"/>
          </w:tcPr>
          <w:p>
            <w:pPr>
              <w:ind w:left="0" w:right="0" w:firstLine="21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2024年度或2025年度的财务状况报告，至少包括资产负债表和利润表（成立不满一年不需提供）；</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依法缴纳税收和社会保障资金的相关材料</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具备履行合同所必需的设备和专业技术能力的声明或证明材料</w:t>
            </w:r>
            <w:r/>
          </w:p>
        </w:tc>
        <w:tc>
          <w:tcPr>
            <w:vMerge w:val="continue"/>
            <w:textDirection w:val="lrTb"/>
            <w:noWrap w:val="false"/>
          </w:tcPr>
          <w:p>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参加政府采购活动前3年内在经营活动中没有重大违法记录的书面声明</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p>
            <w:pPr>
              <w:ind w:left="10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p>
          <w:p>
            <w:pPr>
              <w:ind w:left="10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（2）投标人须提供有效的医疗器械产品注册证或产品备案凭证，投标时需提供复印件加盖公章。</w:t>
            </w:r>
            <w:r/>
          </w:p>
          <w:p>
            <w:pPr>
              <w:ind w:left="10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tc>
        <w:tc>
          <w:tcPr>
            <w:vMerge w:val="continue"/>
            <w:textDirection w:val="lrTb"/>
            <w:noWrap w:val="false"/>
          </w:tcPr>
          <w:p>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二、评分办法—综合评分法</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1、评标办法：</w:t>
      </w:r>
      <w:r>
        <w:rPr>
          <w:rFonts w:ascii="SimSun" w:hAnsi="SimSun" w:eastAsia="SimSun" w:cs="SimSun"/>
          <w:color w:val="000000"/>
          <w:sz w:val="24"/>
        </w:rPr>
        <w:t xml:space="preserve">本项目采用综合评分办法，评标委员会严格按照采购文件规定的评分标准和要求，对各投标文件进行综合评审，按评审后得分由高到低顺序对投标人进行排序。得分相同的，按投标报价由低到高顺序排序。得分且投标报价相同的并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评标委员会根据评审后投标人排序推荐综合评分前三名为中标候选人。投标文件满足采购文件全部实质性要求，且评审后排序第一的投标人为第一中标候选人，依次类推。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w:t>
      </w:r>
      <w:r/>
    </w:p>
    <w:p>
      <w:pPr>
        <w:numPr>
          <w:ilvl w:val="0"/>
          <w:numId w:val="22"/>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34"/>
        <w:gridCol w:w="4925"/>
      </w:tblGrid>
      <w:tr>
        <w:trPr>
          <w:trHeight w:val="32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rHeight w:val="3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rPr>
                <w:rFonts w:ascii="SimSun" w:hAnsi="SimSun" w:eastAsia="SimSun" w:cs="SimSun"/>
                <w:b/>
                <w:i/>
                <w:color w:val="000000"/>
                <w:sz w:val="21"/>
              </w:rPr>
              <w:t xml:space="preserve">详见采购需求中加粗并倾斜部分</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numPr>
          <w:ilvl w:val="0"/>
          <w:numId w:val="22"/>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详细评审。</w:t>
      </w:r>
      <w:r>
        <w:rPr>
          <w:rFonts w:ascii="SimSun" w:hAnsi="SimSun" w:eastAsia="SimSun" w:cs="SimSun"/>
          <w:color w:val="000000"/>
          <w:sz w:val="24"/>
        </w:rPr>
        <w:t xml:space="preserve">评标委员会按照采购文件规定的评分标准，对各投标文件进行详细评审打分。评标委员会组长对各评审专家的打分情况进行复核无误后汇总，形成评审报告。</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采购包一：</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1"/>
        <w:gridCol w:w="1791"/>
        <w:gridCol w:w="1791"/>
        <w:gridCol w:w="1791"/>
        <w:gridCol w:w="1791"/>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主/客观分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r>
      <w:tr>
        <w:trPr>
          <w:trHeight w:val="5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价格分统一采用低价优先法计算，即满足招标文件要求且投标价格最低的投标报价为评标基准价，其价格分为满分。其他投标人的价格分统一按照下列公式计算：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投标报价得分=（评标基准价/投标报价）×价格权值×100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落实《关于在全省政府采购领域推行电子履约保函（保险）的通知》（苏财购〔2023〕150号）。</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根据财库〔2026〕2号文件，评审委员会启动异常低价投标审查的情形和具体要求，包括：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（一）1.投标报价低于全部通过符合性审查供应商投标报价平均值50%的，即投标报价&lt;全部通过符合性审查供应商投标报价平均值×50%；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2.投标报价低于通过符合性审查的次低报价供应商投标报价50%的，即投标报价&lt;通过符合性审查的次低报价供应商投标报价×50%；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3.投标报价低于采购项目最高限价45%的，即投标报价&lt;采购项目最高限价×45%；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功能参数及商务要求等响应情况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在满足实质性参数要求的基础上，评标委员会对以下参数按要求进行评审。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1.系统成像帧频能力：</w:t>
            </w:r>
            <w:r>
              <w:rPr>
                <w:rFonts w:ascii="SimSun" w:hAnsi="SimSun" w:eastAsia="SimSun" w:cs="SimSun"/>
                <w:color w:val="000000"/>
                <w:sz w:val="22"/>
              </w:rPr>
              <w:t xml:space="preserve">①满足4 dB≤可视可调步长≤ 5dB，得1分，②满足2dB＜可视可调步长≤ 3dB，得2分；③满足可视可调步长≤2dB，得3分。需要提供相邻两帧图片证明。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 可支持单晶体探头数量：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①可支持单晶体探头数量≥6支的得1分；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②可支持单晶体探头数量≥9支的得2分；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③可支持单晶体探头数量≥12支的得3分；最高得3分。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3.参考信号：</w:t>
            </w:r>
            <w:r>
              <w:rPr>
                <w:rFonts w:ascii="SimSun" w:hAnsi="SimSun" w:eastAsia="SimSun" w:cs="SimSun"/>
                <w:color w:val="000000"/>
                <w:sz w:val="22"/>
              </w:rPr>
              <w:t xml:space="preserve">①同时具有心电、心音的得1分；②同时具有心电、心音、脉搏波的得2分；③同时具有心电、心音、脉搏波、心电触发的得 3分；最高得3分。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4.四维成像单元支持：</w:t>
            </w:r>
            <w:r>
              <w:rPr>
                <w:rFonts w:ascii="SimSun" w:hAnsi="SimSun" w:eastAsia="SimSun" w:cs="SimSun"/>
                <w:color w:val="000000"/>
                <w:sz w:val="22"/>
              </w:rPr>
              <w:t xml:space="preserve">①支持成人经胸矩阵成像探头的得1分；②支持儿童经胸矩阵成像探头的得1分；③支持经食道矩阵成像探头的得1分；最高得3分。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5.具备血管斑块容积分析技术：</w:t>
            </w:r>
            <w:r>
              <w:rPr>
                <w:rFonts w:ascii="SimSun" w:hAnsi="SimSun" w:eastAsia="SimSun" w:cs="SimSun"/>
                <w:color w:val="000000"/>
                <w:sz w:val="22"/>
              </w:rPr>
              <w:t xml:space="preserve">①快速获取血管三维容积图像，并进行分析的得1分;②自动获得血管斑块的边界、斑块体积得1分;③可获得标准化血管指数(NWI)及斑块灰度中位数(GSM)等多个参数得1分;最高得3分。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6.自动心肌应变分析功能</w:t>
            </w:r>
            <w:r>
              <w:rPr>
                <w:rFonts w:ascii="SimSun" w:hAnsi="SimSun" w:eastAsia="SimSun" w:cs="SimSun"/>
                <w:color w:val="000000"/>
                <w:sz w:val="22"/>
              </w:rPr>
              <w:t xml:space="preserve">：①具有自动心肌应变定量分析及左心室自动定量分析功能的得1分；②具有自动心肌应变定量分析及右心室自动定量分析功能的得1分；③具有自动心肌应变定量分析及左心房自动定量分析功能的得1分。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7.智能心肌运动定量：</w:t>
            </w:r>
            <w:r>
              <w:rPr>
                <w:rFonts w:ascii="SimSun" w:hAnsi="SimSun" w:eastAsia="SimSun" w:cs="SimSun"/>
                <w:color w:val="000000"/>
                <w:sz w:val="22"/>
              </w:rPr>
              <w:t xml:space="preserve">①基于斑点追踪技术，提供16段牛眼图的得1分；②基于斑点追踪技术，提供17段牛眼图的得2分；③基于斑点追踪技术，提供18段或以上牛眼图的得3分；最高得3分。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8.断层超声显像技术：</w:t>
            </w:r>
            <w:r>
              <w:rPr>
                <w:rFonts w:ascii="SimSun" w:hAnsi="SimSun" w:eastAsia="SimSun" w:cs="SimSun"/>
                <w:color w:val="000000"/>
                <w:sz w:val="22"/>
              </w:rPr>
              <w:t xml:space="preserve">①0.3mm＜最小层厚≤0.4mm的得1分；②0.2mm＜最小层厚≤0.3mm的得2分；③最小层厚≤0.2mm的得3分；最高得3分。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9.造影感兴趣区域定量分析：</w:t>
            </w:r>
            <w:r>
              <w:rPr>
                <w:rFonts w:ascii="SimSun" w:hAnsi="SimSun" w:eastAsia="SimSun" w:cs="SimSun"/>
                <w:color w:val="000000"/>
                <w:sz w:val="22"/>
              </w:rPr>
              <w:t xml:space="preserve">①6≤感兴趣区域定量分析＜8个的得1分；②8≤感兴趣区域定量分析＜10个的得2分；③感兴趣区域定量分析≥10个的得3分；最高得3分。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10.特殊造影技术：</w:t>
            </w:r>
            <w:r>
              <w:rPr>
                <w:rFonts w:ascii="SimSun" w:hAnsi="SimSun" w:eastAsia="SimSun" w:cs="SimSun"/>
                <w:color w:val="000000"/>
                <w:sz w:val="22"/>
              </w:rPr>
              <w:t xml:space="preserve">①支持高率造影技术的得1分；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②支持超分辨造影微血流技术的得1分;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③支持成人心脏探头（经胸）支持造影的得1分;最高得3分。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11.多平面成像：</w:t>
            </w:r>
            <w:r>
              <w:rPr>
                <w:rFonts w:ascii="SimSun" w:hAnsi="SimSun" w:eastAsia="SimSun" w:cs="SimSun"/>
                <w:color w:val="000000"/>
                <w:sz w:val="22"/>
              </w:rPr>
              <w:t xml:space="preserve">①具有实时双平面成像功能的得1分；②具有实时三平面成像功能的得1分；③具有二维灰阶及彩色模式的得1分；最高得3分。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12.血管测量：</w:t>
            </w:r>
            <w:r>
              <w:rPr>
                <w:rFonts w:ascii="SimSun" w:hAnsi="SimSun" w:eastAsia="SimSun" w:cs="SimSun"/>
                <w:color w:val="000000"/>
                <w:sz w:val="22"/>
              </w:rPr>
              <w:t xml:space="preserve">①具有血管内中膜厚度自动测量功能的得1分；②具有颈动脉流速自动测量功能的得1分；③具有颈内动脉/颈总动脉速度比自动测量功能的得1分；最高得3分。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13.支持心脏定量功能：</w:t>
            </w:r>
            <w:r>
              <w:rPr>
                <w:rFonts w:ascii="SimSun" w:hAnsi="SimSun" w:eastAsia="SimSun" w:cs="SimSun"/>
                <w:color w:val="000000"/>
                <w:sz w:val="22"/>
              </w:rPr>
              <w:t xml:space="preserve">①一键实现取样容积自动定位的得1分；②同步左心室左心房三维定量功能得1分；③支持取样容积手动调整的得1分；最高得3分。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 支持与CT、MRI设备实现影像融合功能：</w:t>
            </w:r>
            <w:r>
              <w:rPr>
                <w:rFonts w:ascii="SimSun" w:hAnsi="SimSun" w:eastAsia="SimSun" w:cs="SimSun"/>
                <w:color w:val="000000"/>
                <w:sz w:val="22"/>
              </w:rPr>
              <w:t xml:space="preserve">①具备影像融合功能，可实现二维与造影，二维与三维图像融合、影像融合及手术计划的得1分；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②造影模式下可进行测量的得1分；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③可实现同一患者不同时间段的CT和CT图像自动融合功能的得1分；最高得3分。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b/>
                <w:color w:val="000000"/>
                <w:sz w:val="22"/>
              </w:rPr>
              <w:t xml:space="preserve">以上1-14项需在投标文件中提供以下任意一项证明材料：1.具备CMA标识的的检测报告复印件；2.功能官网截图和链接，相关证明材料复印件并加盖公章；3.技术参数彩页或药监备案的说明书证明文件加盖投标单位公章。否则视为负偏离本项不得分。</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人员安排，实施方案；故障响应时间、服务方案、系统重大故障的应急预案以及措施安排。根据方案全面有效合理可行性强的得3分；方案较完善较全面可行性较强的得2分；方案简单未踩点编写可行性不强的及不提供不得分。</w:t>
            </w:r>
            <w:r/>
          </w:p>
        </w:tc>
      </w:tr>
      <w:tr>
        <w:trPr>
          <w:trHeight w:val="182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项目验收方案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包括本项目采购设备的交货进度安排、交货时间保障计划、安装调试方案、安装调试项目人员安排、项目验收方案等5个方面。由评委根据方案的完整性、与本项目符合性进行评定，每一个方面都完整且丰富的方案内容得3分,方案较完善较全面可行性较强的得2分；方案简单未踩点编写可行性不强的及不提供不得分。</w:t>
            </w:r>
            <w:r/>
          </w:p>
        </w:tc>
      </w:tr>
      <w:tr>
        <w:trPr>
          <w:trHeight w:val="115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包括日常维护内容、巡检周期、保养方案、人员安排、易损零配件价格、应急事件处置等6个方面。根据方案承诺的响应时间以及承诺的服务内容细节进行评审。售后服务内容充分、应急措施完善、对可能出现的情况有具体应对方案和具体时间节点安排，服务管理体系完善，技术人员具有针对本项目服务的专业素养和经验，售后服务承诺清晰明确且能满足采购人需求的得3分；与本项目符合性进行评定，每一个方面都完整的方案内容得2分,方案较完善较全面可行性较强的得1分；方案简单未踩点编写可行性不强的及不提供不得分。</w:t>
            </w:r>
            <w:r/>
          </w:p>
        </w:tc>
      </w:tr>
      <w:tr>
        <w:trPr>
          <w:trHeight w:val="11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培训方案，通过培训应使采购人单位相关人员掌握相应的设备使用技能、常规维修保养能力。方案应至少包括培训内容、培训计划安排、培训人员安排等内容，根据方案的响应时间以及承诺的服务内容细节进行评审。完全响应且符合采购人实际需求的得3分，与本项目符合性进行评定，每一个方面都完整的方案内容得2分,方案较完善较全面可行性较强的得1分；方案简单未踩点编写可行性不强的及不提供不得分。</w:t>
            </w:r>
            <w:r/>
          </w:p>
        </w:tc>
      </w:tr>
      <w:tr>
        <w:trPr>
          <w:trHeight w:val="9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投标人履约能力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具有2022年1月1日以来投标产品供货及安装业绩的，每提供1个得0.5分，最多得1分（必须提供有效合同复印件，复印件需清晰可见内容主体）。</w:t>
            </w:r>
            <w:r/>
          </w:p>
        </w:tc>
      </w:tr>
      <w:tr>
        <w:trPr>
          <w:trHeight w:val="21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产品综合性能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产品综合性能评价：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评委根据所投设备的配置选型、所投产品的设计、制造等因素，结合投标文件提供的佐证材料等进行评审。佐证材料包括但不限于产品技术白皮书、公开发行的宣传彩页、技术指标的描述、检测文件及证明照片等内容。完全响应且符合采购人需求的得5分，与本项目符合性进行评定，基本满足采购文件技术指标的得3分,不完全响应采购文件技术要求，可行性较强的得1分；于采购文件技术指标相差较大，可行性不强的及不提供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采购包二：</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4"/>
        <w:gridCol w:w="924"/>
        <w:gridCol w:w="795"/>
        <w:gridCol w:w="670"/>
        <w:gridCol w:w="6270"/>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主/客观分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r>
      <w:tr>
        <w:trPr>
          <w:trHeight w:val="5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0"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价格分统一采用低价优先法计算，即满足招标文件要求且投标价格最低的投标报价为评标基准价，其价格分为满分。其他投标人的价格分统一按照下列公式计算：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投标报价得分=（评标基准价/投标报价）×价格权值×100</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根据财库〔2026〕2号文件，评审委员会启动异常低价投标审查的情形和具体要求，包括：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（一）1.投标报价低于全部通过符合性审查供应商投标报价平均值50%的，即投标报价&lt;全部通过符合性审查供应商投标报价平均值×50%；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2.投标报价低于通过符合性审查的次低报价供应商投标报价50%的，即投标报价&lt;通过符合性审查的次低报价供应商投标报价×50%；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3.投标报价低于采购项目最高限价45%的，即投标报价&lt;采购项目最高限价×45%；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功能参数及商务要求等响应情况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在满足实质性参数要求的基础上，评标委员会对以下参数按要求进行评审。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1、主机屏幕尺寸</w:t>
            </w:r>
            <w:r>
              <w:rPr>
                <w:rFonts w:ascii="SimSun" w:hAnsi="SimSun" w:eastAsia="SimSun" w:cs="SimSun"/>
                <w:color w:val="000000"/>
                <w:sz w:val="22"/>
              </w:rPr>
              <w:t xml:space="preserve">≥22英寸，触摸屏尺寸≥12英寸得1分；主机屏幕尺寸≥23英寸，触摸屏尺寸≥12英寸得2分；主机屏幕尺寸≥24英寸，触摸屏尺寸≥12英寸得3分，最多得3分；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2、符合人体工程学设计要求，控制面板支持电动升降调节</w:t>
            </w:r>
            <w:r>
              <w:rPr>
                <w:rFonts w:ascii="SimSun" w:hAnsi="SimSun" w:eastAsia="SimSun" w:cs="SimSun"/>
                <w:color w:val="000000"/>
                <w:sz w:val="22"/>
              </w:rPr>
              <w:t xml:space="preserve">，操作面板可支持电动上下升降得1分；具备中央刹车和直行锁功能，得1分，最多得2分；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3、具备脂肪分数定量技术，</w:t>
            </w:r>
            <w:r>
              <w:rPr>
                <w:rFonts w:ascii="SimSun" w:hAnsi="SimSun" w:eastAsia="SimSun" w:cs="SimSun"/>
                <w:color w:val="000000"/>
                <w:sz w:val="22"/>
              </w:rPr>
              <w:t xml:space="preserve">声衰减成像进行脂肪肝定量，并支持多参数报告，得1分；具备自动肝肾比值分析得1分；具备肝纤维化的得1分，最多得3分</w:t>
            </w:r>
            <w:r>
              <w:rPr>
                <w:rFonts w:ascii="SimSun" w:hAnsi="SimSun" w:eastAsia="SimSun" w:cs="SimSun"/>
                <w:color w:val="000000"/>
                <w:sz w:val="21"/>
              </w:rPr>
              <w:t xml:space="preserve">（提供相应功能在机图片证明）</w:t>
            </w:r>
            <w:r>
              <w:rPr>
                <w:rFonts w:ascii="SimSun" w:hAnsi="SimSun" w:eastAsia="SimSun" w:cs="SimSun"/>
                <w:color w:val="000000"/>
                <w:sz w:val="2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4、具有造影定量相关技术的功能</w:t>
            </w:r>
            <w:r>
              <w:rPr>
                <w:rFonts w:ascii="SimSun" w:hAnsi="SimSun" w:eastAsia="SimSun" w:cs="SimSun"/>
                <w:color w:val="000000"/>
                <w:sz w:val="22"/>
              </w:rPr>
              <w:t xml:space="preserve">，造影功能支持凸阵、线阵、相控阵、多维阵列、腔内、凸阵容积等。造影支持探头频率≥18MHz，得1分；造影支持单晶体线阵探头，得1分；造影支持腔内探头，得1分；支持二次谐波造影，得1分；支持高帧率造影，得1分；最多得5分</w:t>
            </w:r>
            <w:r>
              <w:rPr>
                <w:rFonts w:ascii="SimSun" w:hAnsi="SimSun" w:eastAsia="SimSun" w:cs="SimSun"/>
                <w:color w:val="000000"/>
                <w:sz w:val="21"/>
              </w:rPr>
              <w:t xml:space="preserve">（提供相应功能在机图片证明）</w:t>
            </w:r>
            <w:r>
              <w:rPr>
                <w:rFonts w:ascii="SimSun" w:hAnsi="SimSun" w:eastAsia="SimSun" w:cs="SimSun"/>
                <w:color w:val="000000"/>
                <w:sz w:val="2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5、具备多种剪切波定量分析功能，可支持腹部、浅表探头、</w:t>
            </w:r>
            <w:r>
              <w:rPr>
                <w:rFonts w:ascii="SimSun" w:hAnsi="SimSun" w:eastAsia="SimSun" w:cs="SimSun"/>
                <w:color w:val="000000"/>
                <w:sz w:val="22"/>
              </w:rPr>
              <w:t xml:space="preserve">得1分；剪切波感兴趣区域2cm*3cm时，帧率≥5帧/秒的，得1分；支持在同一切面下同时进行应变式弹性成像和剪切波弹性成像并实时双幅显示，得1分，最多得3分</w:t>
            </w:r>
            <w:r>
              <w:rPr>
                <w:rFonts w:ascii="SimSun" w:hAnsi="SimSun" w:eastAsia="SimSun" w:cs="SimSun"/>
                <w:color w:val="000000"/>
                <w:sz w:val="21"/>
              </w:rPr>
              <w:t xml:space="preserve">（提供相应功能在机图片证明）</w:t>
            </w:r>
            <w:r>
              <w:rPr>
                <w:rFonts w:ascii="SimSun" w:hAnsi="SimSun" w:eastAsia="SimSun" w:cs="SimSun"/>
                <w:color w:val="000000"/>
                <w:sz w:val="2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6、具备多功能联合定量分析功能，可以实现双幅模式显示。</w:t>
            </w:r>
            <w:r>
              <w:rPr>
                <w:rFonts w:ascii="SimSun" w:hAnsi="SimSun" w:eastAsia="SimSun" w:cs="SimSun"/>
                <w:color w:val="000000"/>
                <w:sz w:val="22"/>
              </w:rPr>
              <w:t xml:space="preserve">支持二维灰阶图像与剪切波弹性成像图谱同切面同屏显示的，得1分；支持剪切波弹性成像与造影成像同屏显示的，得1分；最多得2分</w:t>
            </w:r>
            <w:r>
              <w:rPr>
                <w:rFonts w:ascii="SimSun" w:hAnsi="SimSun" w:eastAsia="SimSun" w:cs="SimSun"/>
                <w:color w:val="000000"/>
                <w:sz w:val="21"/>
              </w:rPr>
              <w:t xml:space="preserve">（提供相应功能在机图片证明）</w:t>
            </w:r>
            <w:r>
              <w:rPr>
                <w:rFonts w:ascii="SimSun" w:hAnsi="SimSun" w:eastAsia="SimSun" w:cs="SimSun"/>
                <w:color w:val="000000"/>
                <w:sz w:val="2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7、具备先进的探头技术：</w:t>
            </w:r>
            <w:r>
              <w:rPr>
                <w:rFonts w:ascii="SimSun" w:hAnsi="SimSun" w:eastAsia="SimSun" w:cs="SimSun"/>
                <w:color w:val="000000"/>
                <w:sz w:val="22"/>
              </w:rPr>
              <w:t xml:space="preserve">包括单晶体或纯净波线阵探头、矩阵或面阵探头技术、DAX探头、单晶体微凸阵探头技术，至少3种。支持单晶体或纯净波探头类型包括线阵、相控阵和心脏探头，得1分；支持超高频单晶体线阵探头≥18MHz，得1分，支持经食道探头的，得1分，最多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8、产品注册证或者白皮书范围内探头最高阵元数≥500。</w:t>
            </w:r>
            <w:r>
              <w:rPr>
                <w:rFonts w:ascii="SimSun" w:hAnsi="SimSun" w:eastAsia="SimSun" w:cs="SimSun"/>
                <w:color w:val="000000"/>
                <w:sz w:val="22"/>
              </w:rPr>
              <w:t xml:space="preserve">阵元数≥500，得1分；阵元数≥1000，得2分；阵元数≥2000，得3分；阵元数≥3000，得4分；阵元数≥4000，得5分；最多得5分；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9、支持单晶体材质探头数量</w:t>
            </w:r>
            <w:r>
              <w:rPr>
                <w:rFonts w:ascii="SimSun" w:hAnsi="SimSun" w:eastAsia="SimSun" w:cs="SimSun"/>
                <w:color w:val="000000"/>
                <w:sz w:val="22"/>
              </w:rPr>
              <w:t xml:space="preserve">≥6把，得1分；支持单晶体材质探头数量≥8把，得2分；支持单晶体材质探头数量≥10把，得3分；支持单晶体材质探头数量≥11把，得4分；最多得4分；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10、系统最高可支持探头频率≥18Mhz。</w:t>
            </w:r>
            <w:r>
              <w:rPr>
                <w:rFonts w:ascii="SimSun" w:hAnsi="SimSun" w:eastAsia="SimSun" w:cs="SimSun"/>
                <w:color w:val="000000"/>
                <w:sz w:val="22"/>
              </w:rPr>
              <w:t xml:space="preserve">系统可支持探头频率≥18Mhz,得1分；系统可支持探头频率≥20Mhz,得2分；系统可支持探头频率≥22Mhz得3分；系统可支持探头频率≥24Mhz，得4分；最多得4分。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11、配备线阵探头类型：</w:t>
            </w:r>
            <w:r>
              <w:rPr>
                <w:rFonts w:ascii="SimSun" w:hAnsi="SimSun" w:eastAsia="SimSun" w:cs="SimSun"/>
                <w:color w:val="000000"/>
                <w:sz w:val="22"/>
              </w:rPr>
              <w:t xml:space="preserve">配备普通线阵探头，不得分；配备单晶体线阵探头，得2分；配备矩阵线阵探头，得3分。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12、腹部造影帧率≥30帧/秒</w:t>
            </w:r>
            <w:r>
              <w:rPr>
                <w:rFonts w:ascii="SimSun" w:hAnsi="SimSun" w:eastAsia="SimSun" w:cs="SimSun"/>
                <w:color w:val="000000"/>
                <w:sz w:val="22"/>
              </w:rPr>
              <w:t xml:space="preserve">，得1分；造影帧率≥40帧/秒，得2分；造影帧率≥50帧/秒，得3分；最多得3分。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注：以上参数投标供应商均需提供证明材料，佐证材料包括但不限于产品技术白皮书、公开发行的宣传彩页、技术指标的描述、检测文件及证明照片等内容，所有佐证资料需加盖厂家公章。</w:t>
            </w:r>
            <w:r/>
          </w:p>
        </w:tc>
      </w:tr>
      <w:tr>
        <w:trPr>
          <w:trHeight w:val="1258"/>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人员安排，实施方案；故障响应时间、服务方案、系统重大故障的应急预案以及措施安排。根据方案全面有效合理可行性强的得4分；方案较完善较全面可行性较强的得2分；方案简单未踩点编写可行性不强的及不提供不得分。</w:t>
            </w:r>
            <w:r/>
          </w:p>
        </w:tc>
      </w:tr>
      <w:tr>
        <w:trPr>
          <w:trHeight w:val="186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项目验收方案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包括本项目采购设备的交货进度安排、交货时间保障计划、安装调试方案、安装调试项目人员安排、项目验收方案等5个方面。由评委根据方案的完整性、与本项目符合性进行评定，每一个方面都完整且丰富的方案内容得4分,方案较完善较全面可行性较强的得3分；方案简单未踩点编写可行性不强的及不提供不得分。</w:t>
            </w:r>
            <w:r/>
          </w:p>
        </w:tc>
      </w:tr>
      <w:tr>
        <w:trPr>
          <w:trHeight w:val="1227"/>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包括日常维护内容、巡检周期、保养方案、人员安排、易损零配件价格、应急事件处置等6个方面。根据方案承诺的响应时间以及承诺的服务内容细节进行评审。售后服务内容充分、应急措施完善、对可能出现的情况有具体应对方案和具体时间节点安排，服务管理体系完善，技术人员具有针对本项目服务的专业素养和经验，售后服务承诺清晰明确且能满足采购人需求的得4分；与本项目符合性进行评定，每一个方面都完整的方案内容得2分,方案较完善较全面可行性较强的得1分；方案简单未踩点编写可行性不强的及不提供不得分。。</w:t>
            </w:r>
            <w:r/>
          </w:p>
        </w:tc>
      </w:tr>
      <w:tr>
        <w:trPr>
          <w:trHeight w:val="9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培训方案，通过培训应使采购人单位相关人员掌握相应的设备使用技能、常规维修保养能力。方案应至少包括培训内容、培训计划安排、培训人员安排等内容，根据方案的响应时间以及承诺的服务内容细节进行评审。完全响应且针对性根据采购人实际需求定制方案的得3分，与本项目符合性进行评定，每一个方面都完整的方案内容得2分,方案较完善较全面可行性较强的得1分；方案简单未踩点编写可行性不强的及不提供不得分。</w:t>
            </w:r>
            <w:r/>
          </w:p>
        </w:tc>
      </w:tr>
      <w:tr>
        <w:trPr>
          <w:trHeight w:val="9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投标人履约能力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具有2022年1月1日以来投标产品供货及安装业绩的，每提供1个得0.5分，最多得1分（必须提供有效合同复印件，复印件需清晰可见内容主体）。</w:t>
            </w:r>
            <w:r/>
          </w:p>
        </w:tc>
      </w:tr>
      <w:tr>
        <w:trPr>
          <w:trHeight w:val="21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产品综合性能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评委根据所投设备的配置选型、所投产品的设计、制造等因素，结合投标文件提供的佐证材料等进行评审。佐证材料包括但不限于产品技术白皮书、公开发行的宣传彩页、技术指标的描述、检测文件及证明照片等内容。完全响应且符合采购人需求的得4分，与本项目符合性进行评定，基本满足采购文件技术指标的得2分,不完全响应采购文件技术要求，可行性较强的得1分；于采购文件技术指标相差较大，可行性不强的及不提供不得分。</w:t>
            </w:r>
            <w:r/>
          </w:p>
        </w:tc>
      </w:tr>
    </w:tbl>
    <w:p>
      <w:pPr>
        <w:ind w:left="0" w:right="0" w:firstLine="44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请供应商制作投标文件的时候保证图片、文字材料的完整、清晰可辨，任何原因导致评委看不清楚或无法查看，后果由供应商自负。</w:t>
      </w:r>
      <w:r/>
    </w:p>
    <w:p>
      <w:pPr>
        <w:ind w:left="0" w:right="0" w:firstLine="44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制作投标文件时所用的材料（原件）均须准备好，在中标公告结束后5日内由采购人进行核查，如核查时供应商不能提供相关原件材料，或材料存在弄虚作假，采购人将报请财政局作无效投标处理，供应商自行承担相应法律后果。</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三、政府采购政策功能落实</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（1）本项目对小型和微型企业产品给予10%的扣除价格，用扣除后的价格参与评审。</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（2）供应商需按照《政府采购促进中小企业发展管理办法》（财库﹝2020﹞46 号）的规定提供相应的《中小企业声明函》。</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（1）本项目对残疾人福利性单位，给予10%的价格扣除，用扣除后的价格参与评审。</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（1）本项目对监狱和戒毒企业（简称监狱企业）给予10%的价格扣除，用扣除后的价格参与评审。</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8、专门面向中小企业采购的项目或者采购包，不再执行价格评审优惠的扶持政策。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9、采购本国产品的支持政策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供应商需按照招标文件的要求提供《关于符合本国产品标准的声明函》（以下简称《声明函》），如不提供将不享受本国产品价格评审优惠。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四、中标人的确定</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评委会汇总各评委评分后，按照得分从高到低的顺序推荐三名中标候选人，并编写评标报告。</w:t>
      </w:r>
      <w:r/>
    </w:p>
    <w:p>
      <w:pPr>
        <w:ind w:left="0" w:right="0" w:firstLine="4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采购人应根据磋商小组推荐的中标候选供应商确定中标供应商。</w:t>
      </w:r>
      <w:r/>
    </w:p>
    <w:p>
      <w:pPr>
        <w:ind w:left="0" w:right="0" w:firstLine="47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采购人代表宣布评标结果。</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五、公告中标结果</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自确定中标人之日起2个工作日内，在江苏政府采购网公告中标结果，公告期限为1个工作日。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六、发放中标通知书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公告中标结果的同时，采购人或采购代理机构向中标供应商发放中标通知书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中标通知书发出后，采购人不得违法改变中标结果，中标供应商无正当理由不得放弃中标。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中标供应商装订3份纸质投标资料、刻录1份电子投标文件（光盘）到交易中心备案。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合同格式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0"/>
          <w:sz w:val="48"/>
        </w:rPr>
        <w:t xml:space="preserve">政府采购货物买卖合同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0"/>
          <w:sz w:val="48"/>
        </w:rPr>
        <w:t xml:space="preserve">（试行）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rPr>
          <w:rFonts w:ascii="SimSun" w:hAnsi="SimSun" w:eastAsia="SimSun" w:cs="SimSun"/>
          <w:color w:val="000000"/>
          <w:sz w:val="32"/>
          <w:u w:val="single"/>
        </w:rPr>
        <w:t xml:space="preserve">苏锡通科技产业园区人民医院彩色多普勒超声诊断仪采购项目（重新招标）</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rPr>
          <w:rFonts w:ascii="SimSun" w:hAnsi="SimSun" w:eastAsia="SimSun" w:cs="SimSu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rPr>
          <w:rFonts w:ascii="SimSun" w:hAnsi="SimSun" w:eastAsia="SimSun" w:cs="SimSun"/>
          <w:color w:val="000000"/>
          <w:sz w:val="32"/>
          <w:u w:val="single"/>
        </w:rPr>
        <w:t xml:space="preserve"> 苏锡通科技产业园区人民医院</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rPr>
          <w:rFonts w:ascii="SimSun" w:hAnsi="SimSun" w:eastAsia="SimSun" w:cs="SimSu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rPr>
          <w:rFonts w:ascii="SimSun" w:hAnsi="SimSun" w:eastAsia="SimSun" w:cs="SimSun"/>
          <w:color w:val="000000"/>
          <w:sz w:val="32"/>
          <w:u w:val="single"/>
        </w:rPr>
        <w:t xml:space="preserve">      </w:t>
      </w:r>
      <w:r>
        <w:rPr>
          <w:rFonts w:ascii="Times New Roman" w:hAnsi="Times New Roman" w:eastAsia="Times New Roman" w:cs="Times New Roman"/>
          <w:color w:val="000000"/>
          <w:sz w:val="32"/>
          <w:u w:val="single"/>
        </w:rPr>
        <w:t xml:space="preserve">           </w:t>
      </w:r>
      <w:r>
        <w:rPr>
          <w:rFonts w:ascii="SimSun" w:hAnsi="SimSun" w:eastAsia="SimSun" w:cs="SimSu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使 用 说 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Pr>
          <w:rFonts w:ascii="FangSong" w:hAnsi="FangSong" w:eastAsia="FangSong" w:cs="FangSong"/>
          <w:color w:val="000000"/>
          <w:sz w:val="32"/>
        </w:rPr>
        <w:t xml:space="preserve">2.本合同标准文本为政府采购货物买卖合同编制提供参考，可以结合采购项目具体情况，对文本作必要的调整修订后使用。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08"/>
        <w:ind w:left="0" w:right="0" w:firstLine="0"/>
        <w:jc w:val="center"/>
        <w:spacing w:before="360" w:after="20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第一节 政府采购合同协议书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w:t>
      </w:r>
      <w:r>
        <w:rPr>
          <w:rFonts w:ascii="SimSun" w:hAnsi="SimSun" w:eastAsia="SimSun" w:cs="SimSun"/>
          <w:color w:val="000000"/>
          <w:sz w:val="21"/>
          <w:u w:val="single"/>
        </w:rPr>
        <w:t xml:space="preserve"> 苏锡通科技产业园区人民医院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乙方（全称）：</w:t>
      </w:r>
      <w:r>
        <w:rPr>
          <w:rFonts w:ascii="SimSun" w:hAnsi="SimSun" w:eastAsia="SimSun" w:cs="SimSun"/>
          <w:color w:val="000000"/>
          <w:sz w:val="21"/>
          <w:u w:val="single"/>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numPr>
          <w:ilvl w:val="0"/>
          <w:numId w:val="2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项目信息</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rPr>
          <w:rFonts w:ascii="SimSun" w:hAnsi="SimSun" w:eastAsia="SimSun" w:cs="SimSun"/>
          <w:color w:val="000000"/>
          <w:sz w:val="21"/>
          <w:u w:val="single"/>
        </w:rPr>
        <w:t xml:space="preserve">  苏锡通科技产业园区人民医院彩色多普勒超声诊断仪采购项目（重新招标）</w:t>
      </w:r>
      <w:r/>
    </w:p>
    <w:p>
      <w:pPr>
        <w:numPr>
          <w:ilvl w:val="0"/>
          <w:numId w:val="24"/>
        </w:numPr>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采购项目编号：</w:t>
      </w:r>
      <w:r>
        <w:rPr>
          <w:rFonts w:ascii="SimSun" w:hAnsi="SimSun" w:eastAsia="SimSun" w:cs="SimSun"/>
          <w:color w:val="000000"/>
          <w:sz w:val="21"/>
          <w:u w:val="single"/>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（2）采购计划编号：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（3）项目内容：</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7"/>
        <w:gridCol w:w="1020"/>
        <w:gridCol w:w="980"/>
        <w:gridCol w:w="820"/>
        <w:gridCol w:w="1180"/>
        <w:gridCol w:w="1280"/>
      </w:tblGrid>
      <w:tr>
        <w:trPr>
          <w:trHeight w:val="7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采购标的的技术要求、商务要求具体见附件。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（4）政府采购组织形式：</w:t>
      </w:r>
      <w:r>
        <w:rPr>
          <w:rFonts w:ascii="Wingdings" w:hAnsi="Wingdings" w:eastAsia="Wingdings" w:cs="Wingdings"/>
          <w:color w:val="000000"/>
          <w:sz w:val="21"/>
        </w:rPr>
        <w:t xml:space="preserve">¨</w:t>
      </w:r>
      <w:r>
        <w:rPr>
          <w:rFonts w:ascii="SimSun" w:hAnsi="SimSun" w:eastAsia="SimSun" w:cs="SimSun"/>
          <w:color w:val="000000"/>
          <w:sz w:val="21"/>
        </w:rPr>
        <w:t xml:space="preserve">政府集中采购</w:t>
      </w:r>
      <w:r>
        <w:rPr>
          <w:rFonts w:ascii="Wingdings" w:hAnsi="Wingdings" w:eastAsia="Wingdings" w:cs="Wingdings"/>
          <w:color w:val="000000"/>
          <w:sz w:val="21"/>
        </w:rPr>
        <w:t xml:space="preserve">¨</w:t>
      </w:r>
      <w:r>
        <w:rPr>
          <w:rFonts w:ascii="SimSun" w:hAnsi="SimSun" w:eastAsia="SimSun" w:cs="SimSun"/>
          <w:color w:val="000000"/>
          <w:sz w:val="21"/>
        </w:rPr>
        <w:t xml:space="preserve">部门集中采购</w:t>
      </w:r>
      <w:r>
        <w:rPr>
          <w:rFonts w:ascii="Wingdings" w:hAnsi="Wingdings" w:eastAsia="Wingdings" w:cs="Wingdings"/>
          <w:color w:val="000000"/>
          <w:sz w:val="21"/>
        </w:rPr>
        <w:t xml:space="preserve">þ</w:t>
      </w:r>
      <w:r>
        <w:rPr>
          <w:rFonts w:ascii="SimSun" w:hAnsi="SimSun" w:eastAsia="SimSun" w:cs="SimSun"/>
          <w:color w:val="000000"/>
          <w:sz w:val="21"/>
        </w:rPr>
        <w:t xml:space="preserve">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（5）政府采购方式：</w:t>
      </w:r>
      <w:r>
        <w:rPr>
          <w:rFonts w:ascii="Wingdings" w:hAnsi="Wingdings" w:eastAsia="Wingdings" w:cs="Wingdings"/>
          <w:color w:val="000000"/>
          <w:sz w:val="21"/>
        </w:rPr>
        <w:t xml:space="preserve">þ</w:t>
      </w:r>
      <w:r>
        <w:rPr>
          <w:rFonts w:ascii="SimSun" w:hAnsi="SimSun" w:eastAsia="SimSun" w:cs="SimSun"/>
          <w:color w:val="000000"/>
          <w:sz w:val="21"/>
        </w:rPr>
        <w:t xml:space="preserve">公开招标 </w:t>
      </w:r>
      <w:r>
        <w:rPr>
          <w:rFonts w:ascii="Wingdings" w:hAnsi="Wingdings" w:eastAsia="Wingdings" w:cs="Wingdings"/>
          <w:color w:val="000000"/>
          <w:sz w:val="21"/>
        </w:rPr>
        <w:t xml:space="preserve">¨</w:t>
      </w:r>
      <w:r>
        <w:rPr>
          <w:rFonts w:ascii="SimSun" w:hAnsi="SimSun" w:eastAsia="SimSun" w:cs="SimSun"/>
          <w:color w:val="000000"/>
          <w:sz w:val="21"/>
        </w:rPr>
        <w:t xml:space="preserve">邀请招标 </w:t>
      </w:r>
      <w:r>
        <w:rPr>
          <w:rFonts w:ascii="Wingdings" w:hAnsi="Wingdings" w:eastAsia="Wingdings" w:cs="Wingdings"/>
          <w:color w:val="000000"/>
          <w:sz w:val="21"/>
        </w:rPr>
        <w:t xml:space="preserve">¨</w:t>
      </w:r>
      <w:r>
        <w:rPr>
          <w:rFonts w:ascii="SimSun" w:hAnsi="SimSun" w:eastAsia="SimSun" w:cs="SimSun"/>
          <w:color w:val="000000"/>
          <w:sz w:val="21"/>
        </w:rPr>
        <w:t xml:space="preserve">竞争性谈判 </w:t>
      </w:r>
      <w:r>
        <w:rPr>
          <w:rFonts w:ascii="Wingdings" w:hAnsi="Wingdings" w:eastAsia="Wingdings" w:cs="Wingdings"/>
          <w:color w:val="000000"/>
          <w:sz w:val="21"/>
        </w:rPr>
        <w:t xml:space="preserve">¨</w:t>
      </w:r>
      <w:r>
        <w:rPr>
          <w:rFonts w:ascii="SimSun" w:hAnsi="SimSun" w:eastAsia="SimSun" w:cs="SimSun"/>
          <w:color w:val="000000"/>
          <w:sz w:val="21"/>
        </w:rPr>
        <w:t xml:space="preserve">竞争性磋商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询价 </w:t>
      </w:r>
      <w:r>
        <w:rPr>
          <w:rFonts w:ascii="Wingdings" w:hAnsi="Wingdings" w:eastAsia="Wingdings" w:cs="Wingdings"/>
          <w:color w:val="000000"/>
          <w:sz w:val="21"/>
        </w:rPr>
        <w:t xml:space="preserve">¨</w:t>
      </w:r>
      <w:r>
        <w:rPr>
          <w:rFonts w:ascii="SimSun" w:hAnsi="SimSun" w:eastAsia="SimSun" w:cs="SimSun"/>
          <w:color w:val="000000"/>
          <w:sz w:val="21"/>
        </w:rPr>
        <w:t xml:space="preserve">单一来源 </w:t>
      </w:r>
      <w:r>
        <w:rPr>
          <w:rFonts w:ascii="Wingdings" w:hAnsi="Wingdings" w:eastAsia="Wingdings" w:cs="Wingdings"/>
          <w:color w:val="000000"/>
          <w:sz w:val="21"/>
        </w:rPr>
        <w:t xml:space="preserve">¨</w:t>
      </w:r>
      <w:r>
        <w:rPr>
          <w:rFonts w:ascii="SimSun" w:hAnsi="SimSun" w:eastAsia="SimSun" w:cs="SimSun"/>
          <w:color w:val="000000"/>
          <w:sz w:val="21"/>
        </w:rPr>
        <w:t xml:space="preserve">框架协议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rPr>
          <w:rFonts w:ascii="SimSun" w:hAnsi="SimSun" w:eastAsia="SimSun" w:cs="SimSun"/>
          <w:color w:val="000000"/>
          <w:sz w:val="21"/>
          <w:u w:val="single"/>
        </w:rPr>
        <w:t xml:space="preserve">          </w:t>
      </w:r>
      <w:r/>
    </w:p>
    <w:p>
      <w:pPr>
        <w:ind w:left="0" w:right="0" w:firstLine="2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2"/>
        </w:rPr>
        <w:t xml:space="preserve">6</w:t>
      </w:r>
      <w:r>
        <w:rPr>
          <w:rFonts w:ascii="STKaiti" w:hAnsi="STKaiti" w:eastAsia="STKaiti" w:cs="STKaiti"/>
          <w:color w:val="000000"/>
          <w:sz w:val="22"/>
        </w:rPr>
        <w:t xml:space="preserve">）</w:t>
      </w:r>
      <w:r>
        <w:rPr>
          <w:rFonts w:ascii="SimSun" w:hAnsi="SimSun" w:eastAsia="SimSun" w:cs="SimSun"/>
          <w:color w:val="000000"/>
          <w:sz w:val="21"/>
        </w:rPr>
        <w:t xml:space="preserve">中标采购标的制造商是否为中小企业：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若本项目不专门面向中小企业采购，是否给予小微企业评审优惠：</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中标采购标的制造商是否为残疾人福利性单位：</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中标采购标的制造商是否为监狱企业：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（7）合同是否分包：</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（8）中标供应商是否为外商投资企业：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240" w:after="240"/>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外商投资企业类型：</w:t>
      </w:r>
      <w:r>
        <w:rPr>
          <w:rFonts w:ascii="Wingdings" w:hAnsi="Wingdings" w:eastAsia="Wingdings" w:cs="Wingdings"/>
          <w:color w:val="000000"/>
          <w:sz w:val="21"/>
        </w:rPr>
        <w:t xml:space="preserve">¨</w:t>
      </w:r>
      <w:r>
        <w:rPr>
          <w:rFonts w:ascii="SimSun" w:hAnsi="SimSun" w:eastAsia="SimSun" w:cs="SimSun"/>
          <w:color w:val="000000"/>
          <w:sz w:val="21"/>
        </w:rPr>
        <w:t xml:space="preserve">全部由外国投资者投资</w:t>
      </w:r>
      <w:r>
        <w:rPr>
          <w:rFonts w:ascii="Wingdings" w:hAnsi="Wingdings" w:eastAsia="Wingdings" w:cs="Wingdings"/>
          <w:color w:val="000000"/>
          <w:sz w:val="21"/>
        </w:rPr>
        <w:t xml:space="preserve">¨</w:t>
      </w:r>
      <w:r>
        <w:rPr>
          <w:rFonts w:ascii="SimSun" w:hAnsi="SimSun" w:eastAsia="SimSun" w:cs="SimSun"/>
          <w:color w:val="000000"/>
          <w:sz w:val="21"/>
        </w:rPr>
        <w:t xml:space="preserve">部分由外国投资者投资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（9）不涉及进口产品：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（10）是否涉及节能产品：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是，《节能产品政府采购品目清单》的底级品目名称：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是否涉及环境标志产品：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是，《环境标志产品政府采购品目清单》的底级品目名称：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1"/>
        </w:rPr>
        <w:t xml:space="preserve">          </w:t>
      </w:r>
      <w:r>
        <w:rPr>
          <w:rFonts w:ascii="SimSun" w:hAnsi="SimSun" w:eastAsia="SimSun" w:cs="SimSun"/>
          <w:color w:val="000000"/>
          <w:sz w:val="21"/>
        </w:rPr>
        <w:t xml:space="preserve">是否涉及绿色产品：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是，绿色产品政府采购相关政策确定的底级品目名称：</w:t>
      </w:r>
      <w:r>
        <w:rPr>
          <w:rFonts w:ascii="SimSun" w:hAnsi="SimSun" w:eastAsia="SimSun" w:cs="SimSun"/>
          <w:color w:val="000000"/>
          <w:sz w:val="22"/>
          <w:u w:val="single"/>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rPr>
          <w:rFonts w:ascii="Wingdings" w:hAnsi="Wingdings" w:eastAsia="Wingdings" w:cs="Wingdings"/>
          <w:color w:val="000000"/>
          <w:sz w:val="21"/>
        </w:rPr>
        <w:t xml:space="preserve">¨</w:t>
      </w:r>
      <w:r>
        <w:rPr>
          <w:rFonts w:ascii="SimSun" w:hAnsi="SimSun" w:eastAsia="SimSun" w:cs="SimSun"/>
          <w:color w:val="000000"/>
          <w:sz w:val="21"/>
        </w:rPr>
        <w:t xml:space="preserve">不涉及</w:t>
      </w:r>
      <w:r/>
    </w:p>
    <w:p>
      <w:pPr>
        <w:numPr>
          <w:ilvl w:val="0"/>
          <w:numId w:val="2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（1）合同金额小写：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付款方式：分期付款：</w:t>
      </w:r>
      <w:r>
        <w:rPr>
          <w:rFonts w:ascii="SimSun" w:hAnsi="SimSun" w:eastAsia="SimSun" w:cs="SimSun"/>
          <w:color w:val="000000"/>
          <w:sz w:val="21"/>
          <w:u w:val="single"/>
        </w:rPr>
        <w:t xml:space="preserve">合同签订后10个工作日内，预付合同款的 30%，货到安装调试、培训、试运行、验收合格，凭发票、验收合格报告且良好运行后付合同款的60%，一年后一次性付清余款。</w:t>
      </w:r>
      <w:r/>
    </w:p>
    <w:p>
      <w:pPr>
        <w:numPr>
          <w:ilvl w:val="0"/>
          <w:numId w:val="2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（1）起始日期：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日，完成日期：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（2）履约地点：</w:t>
      </w:r>
      <w:r>
        <w:rPr>
          <w:rFonts w:ascii="SimSun" w:hAnsi="SimSun" w:eastAsia="SimSun" w:cs="SimSun"/>
          <w:color w:val="000000"/>
          <w:sz w:val="21"/>
          <w:u w:val="single"/>
        </w:rPr>
        <w:t xml:space="preserve"> 苏锡通科技产业园区人民医院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（3）履约担保：是否收取履约保证金：</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（4）分期履行要求：</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（5）风险处置措施和替代方案：</w:t>
      </w:r>
      <w:r>
        <w:rPr>
          <w:rFonts w:ascii="SimSun" w:hAnsi="SimSun" w:eastAsia="SimSun" w:cs="SimSun"/>
          <w:color w:val="000000"/>
          <w:sz w:val="21"/>
          <w:u w:val="single"/>
        </w:rPr>
        <w:t xml:space="preserve">                                                               </w:t>
      </w:r>
      <w:r/>
    </w:p>
    <w:p>
      <w:pPr>
        <w:numPr>
          <w:ilvl w:val="0"/>
          <w:numId w:val="2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合同验收</w:t>
      </w:r>
      <w:r/>
    </w:p>
    <w:p>
      <w:pPr>
        <w:numPr>
          <w:ilvl w:val="0"/>
          <w:numId w:val="2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验收组织方式：</w:t>
      </w:r>
      <w:r>
        <w:rPr>
          <w:rFonts w:ascii="Wingdings" w:hAnsi="Wingdings" w:eastAsia="Wingdings" w:cs="Wingdings"/>
          <w:color w:val="000000"/>
          <w:sz w:val="21"/>
        </w:rPr>
        <w:t xml:space="preserve">þ</w:t>
      </w:r>
      <w:r>
        <w:rPr>
          <w:rFonts w:ascii="SimSun" w:hAnsi="SimSun" w:eastAsia="SimSun" w:cs="SimSun"/>
          <w:color w:val="000000"/>
          <w:sz w:val="21"/>
        </w:rPr>
        <w:t xml:space="preserve">自行组织 </w:t>
      </w:r>
      <w:r>
        <w:rPr>
          <w:rFonts w:ascii="Wingdings" w:hAnsi="Wingdings" w:eastAsia="Wingdings" w:cs="Wingdings"/>
          <w:color w:val="000000"/>
          <w:sz w:val="21"/>
        </w:rPr>
        <w:t xml:space="preserve">¨</w:t>
      </w:r>
      <w:r>
        <w:rPr>
          <w:rFonts w:ascii="SimSun" w:hAnsi="SimSun" w:eastAsia="SimSun" w:cs="SimSun"/>
          <w:color w:val="000000"/>
          <w:sz w:val="21"/>
        </w:rPr>
        <w:t xml:space="preserve">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验收主体：</w:t>
      </w:r>
      <w:r>
        <w:rPr>
          <w:rFonts w:ascii="SimSun" w:hAnsi="SimSun" w:eastAsia="SimSun" w:cs="SimSun"/>
          <w:color w:val="000000"/>
          <w:sz w:val="21"/>
          <w:u w:val="single"/>
        </w:rPr>
        <w:t xml:space="preserve">  苏锡通科技产业园区人民医院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是否邀请本项目的其他供应商参加验收：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是否邀请专家参加验收：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是否邀请服务对象参加验收：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是否邀请第三方检测机构参加验收：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是否进行抽查检测：</w:t>
      </w:r>
      <w:r>
        <w:rPr>
          <w:rFonts w:ascii="Wingdings" w:hAnsi="Wingdings" w:eastAsia="Wingdings" w:cs="Wingdings"/>
          <w:color w:val="000000"/>
          <w:sz w:val="21"/>
        </w:rPr>
        <w:t xml:space="preserve">¨</w:t>
      </w:r>
      <w:r>
        <w:rPr>
          <w:rFonts w:ascii="SimSun" w:hAnsi="SimSun" w:eastAsia="SimSun" w:cs="SimSun"/>
          <w:color w:val="000000"/>
          <w:sz w:val="21"/>
        </w:rPr>
        <w:t xml:space="preserve">是，抽查比例：</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是否存在破坏性检测：</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SimSun" w:hAnsi="SimSun" w:eastAsia="SimSun" w:cs="SimSun"/>
          <w:color w:val="000000"/>
          <w:sz w:val="21"/>
          <w:u w:val="single"/>
        </w:rPr>
        <w:t xml:space="preserve">（应明确对被破坏的检测产品的处理方式）</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验收组织的其他事项：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（2）履约验收时间：</w:t>
      </w:r>
      <w:r>
        <w:rPr>
          <w:rFonts w:ascii="SimSun" w:hAnsi="SimSun" w:eastAsia="SimSun" w:cs="SimSun"/>
          <w:color w:val="000000"/>
          <w:sz w:val="21"/>
          <w:u w:val="single"/>
        </w:rPr>
        <w:t xml:space="preserve">（计划于何时验收/供应商提出验收申请之日起30日内组织验收）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（3）履约验收方式：</w:t>
      </w:r>
      <w:r>
        <w:rPr>
          <w:rFonts w:ascii="Wingdings" w:hAnsi="Wingdings" w:eastAsia="Wingdings" w:cs="Wingdings"/>
          <w:color w:val="000000"/>
          <w:sz w:val="21"/>
        </w:rPr>
        <w:t xml:space="preserve">þ</w:t>
      </w:r>
      <w:r>
        <w:rPr>
          <w:rFonts w:ascii="SimSun" w:hAnsi="SimSun" w:eastAsia="SimSun" w:cs="SimSun"/>
          <w:color w:val="000000"/>
          <w:sz w:val="21"/>
        </w:rPr>
        <w:t xml:space="preserve">一次性验收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（4）履约验收程序：</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（5）履约验收的内容：</w:t>
      </w:r>
      <w:r>
        <w:rPr>
          <w:rFonts w:ascii="SimSun" w:hAnsi="SimSun" w:eastAsia="SimSun" w:cs="SimSun"/>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（6）履约验收标准：</w:t>
      </w: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（8）履约验收其他事项：</w:t>
      </w:r>
      <w:r>
        <w:rPr>
          <w:rFonts w:ascii="SimSun" w:hAnsi="SimSun" w:eastAsia="SimSun" w:cs="SimSun"/>
          <w:color w:val="000000"/>
          <w:sz w:val="21"/>
          <w:u w:val="single"/>
        </w:rPr>
        <w:t xml:space="preserve">   无</w:t>
      </w:r>
      <w:r/>
    </w:p>
    <w:p>
      <w:pPr>
        <w:numPr>
          <w:ilvl w:val="0"/>
          <w:numId w:val="2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（7）有关技术文件，图纸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（8）国家法律、行政法规和规章制度规定或合同约定的作为合同组成部分的其他文件</w:t>
      </w:r>
      <w:r/>
    </w:p>
    <w:p>
      <w:pPr>
        <w:numPr>
          <w:ilvl w:val="0"/>
          <w:numId w:val="2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双方签字盖章后</w:t>
      </w:r>
      <w:r>
        <w:rPr>
          <w:rFonts w:ascii="SimSun" w:hAnsi="SimSun" w:eastAsia="SimSun" w:cs="SimSun"/>
          <w:color w:val="000000"/>
          <w:sz w:val="21"/>
        </w:rPr>
        <w:t xml:space="preserve">生效。</w:t>
      </w:r>
      <w:r/>
    </w:p>
    <w:p>
      <w:pPr>
        <w:numPr>
          <w:ilvl w:val="0"/>
          <w:numId w:val="2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1"/>
        </w:rPr>
        <w:t xml:space="preserve">份，甲方执</w:t>
      </w:r>
      <w:r>
        <w:rPr>
          <w:rFonts w:ascii="SimSun" w:hAnsi="SimSun" w:eastAsia="SimSun" w:cs="SimSun"/>
          <w:color w:val="000000"/>
          <w:sz w:val="21"/>
          <w:u w:val="single"/>
        </w:rPr>
        <w:t xml:space="preserve">    </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    </w:t>
      </w:r>
      <w:r>
        <w:rPr>
          <w:rFonts w:ascii="SimSun" w:hAnsi="SimSun" w:eastAsia="SimSun" w:cs="SimSun"/>
          <w:color w:val="000000"/>
          <w:sz w:val="21"/>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w:t>
      </w:r>
      <w:r>
        <w:rPr>
          <w:rFonts w:ascii="SimSun" w:hAnsi="SimSun" w:eastAsia="SimSun" w:cs="SimSun"/>
          <w:color w:val="000000"/>
          <w:sz w:val="21"/>
          <w:u w:val="single"/>
        </w:rPr>
        <w:t xml:space="preserve">    南通市苏锡通科技产业园区人民医院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附件：具体标的及其技术要求和商务要求、联合协议、分包意向协议等。</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4"/>
        <w:gridCol w:w="2530"/>
        <w:gridCol w:w="2077"/>
        <w:gridCol w:w="2221"/>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苏锡通科技产业园区人民医院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10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2" w:type="dxa"/>
            <w:vAlign w:val="center"/>
            <w:textDirection w:val="lrTb"/>
            <w:noWrap w:val="false"/>
          </w:tcPr>
          <w:p>
            <w:pPr>
              <w:ind w:left="0" w:right="0" w:firstLine="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注：涉及联合体或其他合同主体的信息应按上表格式加列。</w:t>
            </w:r>
            <w:r/>
          </w:p>
        </w:tc>
      </w:tr>
    </w:tbl>
    <w:p>
      <w:pPr>
        <w:pStyle w:val="708"/>
        <w:ind w:left="0" w:right="0" w:firstLine="0"/>
        <w:jc w:val="center"/>
        <w:spacing w:before="156" w:after="200"/>
        <w:pBdr>
          <w:top w:val="none" w:color="000000" w:sz="4" w:space="0"/>
          <w:left w:val="none" w:color="000000" w:sz="4" w:space="0"/>
          <w:bottom w:val="none" w:color="000000" w:sz="4" w:space="0"/>
          <w:right w:val="none" w:color="000000" w:sz="4" w:space="0"/>
        </w:pBdr>
      </w:pPr>
      <w:r>
        <w:br w:type="page" w:clear="all"/>
      </w:r>
      <w:r/>
    </w:p>
    <w:p>
      <w:pPr>
        <w:pStyle w:val="708"/>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（3）其他合同主体是指除采购人和供应商以外，依法参与合同缔结或履行，享有权利、承担义务的合同当事人。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（2）“合同价款”系指根据本合同规定乙方在全面履行合同义务后甲方应支付给乙方的价款。</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（7）其他术语解释，见【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numPr>
          <w:ilvl w:val="0"/>
          <w:numId w:val="2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甲方应当按照合同约定及时对交付的货物进行验收，未在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36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5.3乙方有权根据合同约定向甲方收取合同价款。</w:t>
      </w:r>
      <w:r/>
    </w:p>
    <w:p>
      <w:pPr>
        <w:ind w:left="0" w:right="0" w:firstLine="36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】约定应由乙方承担的其他义务和责任。</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甲乙双方应当按照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本合同涉及商品包装、快递包装的，除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另有约定外，包装应适应远距离运输、防潮、防震、防锈和防野蛮装卸等要求，确保货物安全无损地运抵</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货物保险要求按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乙方在运输到达之前应提前通知甲方，并提示货物运输装卸的注意事项，甲方配合乙方做好货物的接收工作。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（3）乙方收到通知后，应在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合同价款支付按照国库集中支付制度及财政管理相关规定执行。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乙方应当以支票、汇票、本票或者金融机构、担保机构出具的保函等非现金形式提交。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如果乙方出现</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甲方在项目通过验收后按照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规定的时间内将履约保证金退还乙方；逾期退还的，乙方可要求甲方支付违约金，违约金按照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（4）在制造商所在地或指定现场就货物的安装、启动、运营、维护、废弃处置等对甲方操作人员进行培训；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（5）依照法律、行政法规的规定或者按照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乙方提供的产品不符合合同约定的质量标准或存在产品质量缺陷，甲方有权要求乙方根据</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甲方存在迟延支付乙方合同款项的，应当承担</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15.4其他违约责任根据项目实际需要按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（2）乙方未按合同约定履行，构成根本性违约的，甲方有权终止合同，并追究乙方的违约责任。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w:t>
      </w:r>
      <w:r>
        <w:rPr>
          <w:rFonts w:ascii="SimSun" w:hAnsi="SimSun" w:eastAsia="SimSun" w:cs="SimSun"/>
          <w:color w:val="000000"/>
          <w:sz w:val="21"/>
        </w:rPr>
        <w:t xml:space="preserve">涉及国家利益、社会公共利益的情形</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选择仲裁的，应在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中明确仲裁机构及仲裁地；通过诉讼方式解决的，可以在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中进一步约定选择与争议有实际联系的地点的人民法院管辖，但管辖法院的约定不得违反级别管辖和专属管辖的规定。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本合同应当按照规定执行政府采购政策。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本合同的订立、生效、解释、履行及与本合同有关的争议解决，均适用法律、行政法规。</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22.4通知以送达之日或通知书中规定的生效之日起生效，两者中以较迟之日为准。</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23.1合同未尽事项见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08"/>
        <w:ind w:left="0" w:right="0" w:firstLine="0"/>
        <w:jc w:val="center"/>
        <w:spacing w:before="36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第三节 政府采购合同专用条款</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不接受联合体招标</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乙方应在货物发运前对其进行满足运输距离、防潮、防震、防锈和防破损装卸等要求包装，以保证货物安全运达甲方指定地点。</w:t>
            </w:r>
            <w:r/>
          </w:p>
        </w:tc>
      </w:tr>
      <w:tr>
        <w:trPr>
          <w:trHeight w:val="562"/>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南通市苏锡通科技产业园区人民医院</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合同签订后10个工作日内，预付合同款的 30%，货到安装调试、培训、试运行、验收合格，凭发票、验收合格报告且良好运行后付合同款的60%，一年后一次性付清余款。</w:t>
            </w:r>
            <w:r/>
          </w:p>
        </w:tc>
      </w:tr>
      <w:tr>
        <w:trPr>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不收取履约保证金</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不收取履约保证金</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乙方提供的货物在质保期内因货物本身的质量问题发生故障，乙方应负责免费更换。对达不到技术要求者，根据实际情况，经双方协商，可按以下办法处理：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⑴ 更换：由乙方承担所发生的全部费用。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⑵ 贬值处理：由甲乙双方合议定价。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⑶ 退货处理：乙方应退还甲方支付的合同款，同时应承担该货物的直接费用（运输、保险、检验、货款利息及银行手续费等）。</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甲方无正当理由拒收货物的，甲方向乙方偿付拒收货款总值的</w:t>
            </w:r>
            <w:r>
              <w:rPr>
                <w:rFonts w:ascii="SimSun" w:hAnsi="SimSun" w:eastAsia="SimSun" w:cs="SimSun"/>
                <w:color w:val="000000"/>
                <w:sz w:val="21"/>
                <w:u w:val="single"/>
              </w:rPr>
              <w:t xml:space="preserve">     </w:t>
            </w:r>
            <w:r>
              <w:rPr>
                <w:rFonts w:ascii="SimSun" w:hAnsi="SimSun" w:eastAsia="SimSun" w:cs="SimSun"/>
                <w:color w:val="000000"/>
                <w:sz w:val="21"/>
              </w:rPr>
              <w:t xml:space="preserve">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2.甲方无故逾期验收和办理货物款项支付手续的,甲方应按逾期付款总额每日</w:t>
            </w:r>
            <w:r>
              <w:rPr>
                <w:rFonts w:ascii="SimSun" w:hAnsi="SimSun" w:eastAsia="SimSun" w:cs="SimSun"/>
                <w:color w:val="000000"/>
                <w:sz w:val="21"/>
                <w:u w:val="single"/>
              </w:rPr>
              <w:t xml:space="preserve">        </w:t>
            </w:r>
            <w:r>
              <w:rPr>
                <w:rFonts w:ascii="SimSun" w:hAnsi="SimSun" w:eastAsia="SimSun" w:cs="SimSun"/>
                <w:color w:val="000000"/>
                <w:sz w:val="21"/>
              </w:rPr>
              <w:t xml:space="preserve">向乙方支付违约金。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3.乙方逾期交付货物的，乙方应按逾期交货总额每日</w:t>
            </w:r>
            <w:r>
              <w:rPr>
                <w:rFonts w:ascii="SimSun" w:hAnsi="SimSun" w:eastAsia="SimSun" w:cs="SimSun"/>
                <w:color w:val="000000"/>
                <w:sz w:val="21"/>
                <w:u w:val="single"/>
              </w:rPr>
              <w:t xml:space="preserve">      </w:t>
            </w:r>
            <w:r>
              <w:rPr>
                <w:rFonts w:ascii="SimSun" w:hAnsi="SimSun" w:eastAsia="SimSun" w:cs="SimSun"/>
                <w:color w:val="000000"/>
                <w:sz w:val="21"/>
              </w:rPr>
              <w:t xml:space="preserve">向甲方支付违约金，由甲方从待付货款中扣除。逾期超过约定日期</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个工作日不能交货的，甲方可解除本合同。乙方因逾期交货或因其他违约行为导致甲方解除合同的，乙方应向甲方支付合同总值</w:t>
            </w:r>
            <w:r>
              <w:rPr>
                <w:rFonts w:ascii="SimSun" w:hAnsi="SimSun" w:eastAsia="SimSun" w:cs="SimSun"/>
                <w:color w:val="000000"/>
                <w:sz w:val="21"/>
                <w:u w:val="single"/>
              </w:rPr>
              <w:t xml:space="preserve">       </w:t>
            </w:r>
            <w:r>
              <w:rPr>
                <w:rFonts w:ascii="SimSun" w:hAnsi="SimSun" w:eastAsia="SimSun" w:cs="SimSun"/>
                <w:color w:val="000000"/>
                <w:sz w:val="21"/>
              </w:rPr>
              <w:t xml:space="preserve">的违约金，如造成甲方损失超过违约金的，超出部分由乙方继续承担赔偿责任。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所交的货物品种、型号、规格、技术参数、质量不符合合同规定及采购文件规定标准的，甲方有权拒收该货物，乙方愿意更换货物但逾期交货的，按乙方逾期交货处理。乙方拒绝更换货物的，甲方可单方面解除合同。</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1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仲裁委员会申请仲裁，仲裁地点为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1"/>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投标文件目录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一、资格审查证明材料</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二、符合性审查证明材料</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三、商务技术标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四、价格标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五、其他资料（如有）</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法人或者其他组织的营业执照等证明文件，自然人的身份证明。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2.2024年度或2025年度的财务状况报告，至少包括资产负债表和利润表（成立不满一年不需提供）；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4.具备履行合同所必需的设备和专业技术能力的证明材料（格式详见附件1）；</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5.参加政府采购活动前3年内在经营活动中没有重大违法记录的书面声明（格式详见附件2）；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7.投标人须提供有效的医疗器械产品注册证或产品备案凭证，投标时需提供复印件加盖公章。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二、符合性审查证明材料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1.投标函（格式见附件5）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2.法定代表人身份证明或授权委托书（格式见附件3或格式见附件4）</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3.投标文件对招标文件的实质性条款的响应性（详见第三章 采购需求的实质性条款）。</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三、商务技术标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1.商务部分正负偏离表；（格式见附件6）</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2.技术部分正负偏离表；（格式见附件7）</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3.商务、技术评分标准中须提供的相关得分佐证材料；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4.投标人认为需要提交的其他商务、技术材料。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四、价格标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2.分项报价明细表（格式见附件9）</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3.投标方案、货物（服务）清单。具有项目、数量、品牌、型号、配置性能等；</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五、其他资料（如有）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1.中小企业声明函（如有）（格式见附件10）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2.残疾人福利性单位声明函（如有）（格式见附件11）</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3.监狱和戒毒企业证明材料（如有）（格式见附件12）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4.关于符合本国产品标准的声明函（格式见附件13）</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苏锡通科技产业园区人民医院：</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我方参加你方的（项目名称）的投标，现我方向你方慎重承诺：</w:t>
      </w:r>
      <w:r/>
    </w:p>
    <w:p>
      <w:pPr>
        <w:ind w:left="44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本单位（具备/不具备）履行合同所必需的设备和专业技术能力。</w:t>
      </w:r>
      <w:r/>
    </w:p>
    <w:p>
      <w:pPr>
        <w:ind w:left="0" w:right="-512"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512" w:firstLine="3120"/>
        <w:jc w:val="both"/>
        <w:spacing w:before="0" w:after="0" w:line="85"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法定代表人或其授权委托人（签字或盖章）：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______</w:t>
      </w:r>
      <w:r>
        <w:rPr>
          <w:rFonts w:ascii="SimSun" w:hAnsi="SimSun" w:eastAsia="SimSun" w:cs="SimSun"/>
          <w:color w:val="000000"/>
          <w:sz w:val="24"/>
        </w:rPr>
        <w:t xml:space="preserve">年</w:t>
      </w:r>
      <w:r>
        <w:rPr>
          <w:rFonts w:ascii="SimSun" w:hAnsi="SimSun" w:eastAsia="SimSun" w:cs="SimSun"/>
          <w:color w:val="000000"/>
          <w:sz w:val="21"/>
          <w:u w:val="single"/>
        </w:rPr>
        <w:t xml:space="preserve">______</w:t>
      </w:r>
      <w:r>
        <w:rPr>
          <w:rFonts w:ascii="SimSun" w:hAnsi="SimSun" w:eastAsia="SimSun" w:cs="SimSun"/>
          <w:color w:val="000000"/>
          <w:sz w:val="24"/>
        </w:rPr>
        <w:t xml:space="preserve">月</w:t>
      </w:r>
      <w:r>
        <w:rPr>
          <w:rFonts w:ascii="SimSun" w:hAnsi="SimSun" w:eastAsia="SimSun" w:cs="SimSun"/>
          <w:color w:val="000000"/>
          <w:sz w:val="21"/>
          <w:u w:val="single"/>
        </w:rPr>
        <w:t xml:space="preserve">______</w:t>
      </w:r>
      <w:r>
        <w:rPr>
          <w:rFonts w:ascii="SimSun" w:hAnsi="SimSun" w:eastAsia="SimSun" w:cs="SimSun"/>
          <w:color w:val="000000"/>
          <w:sz w:val="24"/>
        </w:rPr>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附件2</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1"/>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我公司（本人）郑重声明：参加本次政府采购活动前 3 年内，我公司在经营活动中没有因违法经营受到刑事处罚或者责令停产停业、吊销许可证或者执照、较大数额罚款等行政处罚。</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_______________________</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______</w:t>
      </w:r>
      <w:r>
        <w:rPr>
          <w:rFonts w:ascii="SimSun" w:hAnsi="SimSun" w:eastAsia="SimSun" w:cs="SimSun"/>
          <w:color w:val="000000"/>
          <w:sz w:val="21"/>
        </w:rPr>
        <w:t xml:space="preserve">年</w:t>
      </w:r>
      <w:r>
        <w:rPr>
          <w:rFonts w:ascii="SimSun" w:hAnsi="SimSun" w:eastAsia="SimSun" w:cs="SimSun"/>
          <w:color w:val="000000"/>
          <w:sz w:val="21"/>
          <w:u w:val="single"/>
        </w:rPr>
        <w:t xml:space="preserve">______</w:t>
      </w:r>
      <w:r>
        <w:rPr>
          <w:rFonts w:ascii="SimSun" w:hAnsi="SimSun" w:eastAsia="SimSun" w:cs="SimSun"/>
          <w:color w:val="000000"/>
          <w:sz w:val="21"/>
        </w:rPr>
        <w:t xml:space="preserve">月</w:t>
      </w:r>
      <w:r>
        <w:rPr>
          <w:rFonts w:ascii="SimSun" w:hAnsi="SimSun" w:eastAsia="SimSun" w:cs="SimSun"/>
          <w:color w:val="000000"/>
          <w:sz w:val="21"/>
          <w:u w:val="single"/>
        </w:rPr>
        <w:t xml:space="preserve">______</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3</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先生/女士：现任我单位职务，为法定代表人，特此证明。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注：提供法定代表人的身份证复印件盖公章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4</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（被授权人的姓名）为我方就项目编号：项目采购活动的合法代理人，以本单位名义全权处理一切与该项目采购有关的事务。</w:t>
      </w:r>
      <w:r/>
    </w:p>
    <w:p>
      <w:pPr>
        <w:ind w:left="0" w:right="0" w:firstLine="48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120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0" w:after="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5</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投标函</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根据贵方的项目编号：招标文件，正式授权下述签字人_________________(姓名)代表我方______________（投标人的名称），全权处理本次项目投标的有关事宜。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投标供应商全称(盖公章)：</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6</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（由投标人据实填写，表格不够自行添加）</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2235"/>
        <w:gridCol w:w="1952"/>
        <w:gridCol w:w="2515"/>
        <w:gridCol w:w="139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1.投标人提交的投标文件中与招标文件第三部分“项目需求”中的商务部分的要求，应逐条填列在偏离表中。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2.“偏离说明”一栏选择“正偏离”、“无偏离”、“负偏离”进行填写。正偏离、无偏离的确认和负偏离的是否响应招标文件，由评委认定。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3.投标人如果虚假响应，将被暂停参加采购人组织政府采购活动。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7</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（由投标人据实填写，表格不够自行添加）</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2235"/>
        <w:gridCol w:w="1952"/>
        <w:gridCol w:w="2515"/>
        <w:gridCol w:w="139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招标文件要求的技术要求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1.投标人提交的投标文件中与招标文件第三部分“项目需求”中的技术部分的要求，应逐条填列在偏离表中。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2.“偏离说明”一栏选择“正偏离”、“无偏离”、“负偏离”进行填写。正偏离、无偏离的确认和负偏离的是否响应招标文件，由评委认定。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3.投标人如果虚假响应，将被暂停参加采购人组织政府采购活动。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8</w:t>
      </w:r>
      <w:r/>
    </w:p>
    <w:p>
      <w:pPr>
        <w:ind w:left="0" w:right="0" w:firstLine="0"/>
        <w:jc w:val="center"/>
        <w:spacing w:before="10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  标 一 览  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投标人全称（加盖公章）：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分包号：</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48"/>
        <w:gridCol w:w="46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投标货物、服务名称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投标总报价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w:t>
              <w:br/>
              <w:t xml:space="preserve">小写：元（人民币）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主要货物、服务制造商及产地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1、开标一览表必须加盖投标单位公章（复印件无效）。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2、如有分包，投标人投任何一个包的标的，都需单独填写开标一览表。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9</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1</w:t>
      </w:r>
      <w:r>
        <w:rPr>
          <w:rFonts w:ascii="SimSun" w:hAnsi="SimSun" w:eastAsia="SimSun" w:cs="SimSun"/>
          <w:b/>
          <w:color w:val="000000"/>
          <w:sz w:val="32"/>
        </w:rPr>
        <w:t xml:space="preserve">、分项报价明细表（货物类）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投标人（盖章）：</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5"/>
        <w:gridCol w:w="895"/>
        <w:gridCol w:w="895"/>
        <w:gridCol w:w="895"/>
        <w:gridCol w:w="895"/>
        <w:gridCol w:w="895"/>
        <w:gridCol w:w="895"/>
        <w:gridCol w:w="895"/>
        <w:gridCol w:w="895"/>
        <w:gridCol w:w="895"/>
      </w:tblGrid>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数量（台/套）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备注（是否为主要标的）</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41"/>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本采购包中提供的符合本国产品标准的产品成本之和占该采购包提供的全部产品成本之和的比例为</w:t>
            </w:r>
            <w:r>
              <w:rPr>
                <w:rFonts w:ascii="Arial" w:hAnsi="Arial" w:eastAsia="Arial" w:cs="Arial"/>
                <w:color w:val="000000"/>
                <w:sz w:val="28"/>
                <w:u w:val="single"/>
              </w:rPr>
              <w:t xml:space="preserve">***</w:t>
            </w:r>
            <w:r>
              <w:rPr>
                <w:rFonts w:ascii="Arial" w:hAnsi="Arial" w:eastAsia="Arial" w:cs="Arial"/>
                <w:color w:val="000000"/>
                <w:sz w:val="28"/>
              </w:rPr>
              <w:t xml:space="preserve">%。</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18"/>
        </w:numPr>
        <w:spacing w:before="120" w:after="12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涉及到专用耗材价格</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5"/>
        <w:gridCol w:w="1075"/>
        <w:gridCol w:w="967"/>
        <w:gridCol w:w="1111"/>
        <w:gridCol w:w="1300"/>
        <w:gridCol w:w="1222"/>
        <w:gridCol w:w="1000"/>
        <w:gridCol w:w="119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省平台产品编码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注册证编号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生产企业名称/品牌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559" w:lineRule="atLeast"/>
              <w:tabs>
                <w:tab w:val="left" w:pos="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备注：中标后五个工作日内，耗材需提供耗材目录截图(需在江苏省药品、医用耗材招采管理系统和集采品种范围内)。</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 供应商须详细备注主要标的信息，并将随中标公告进行公示。内容不实的，属于提供虚假材料谋取中标、成交，依照《中华人民共和国政府采购法》等国家有关规定追究相应责任。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10</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中小企业声明函（货物）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w:t>
      </w:r>
      <w:r>
        <w:rPr>
          <w:rFonts w:ascii="Times New Roman" w:hAnsi="Times New Roman" w:eastAsia="Times New Roman" w:cs="Times New Roman"/>
          <w:color w:val="000000"/>
          <w:sz w:val="28"/>
        </w:rPr>
        <w:t xml:space="preserve">2020</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46 </w:t>
      </w:r>
      <w:r>
        <w:rPr>
          <w:rFonts w:ascii="SimSun" w:hAnsi="SimSun" w:eastAsia="SimSun" w:cs="SimSun"/>
          <w:color w:val="000000"/>
          <w:sz w:val="28"/>
        </w:rPr>
        <w:t xml:space="preserve">号）的规定，本公司（联合体）参加</w:t>
      </w:r>
      <w:r>
        <w:rPr>
          <w:rFonts w:ascii="SimSun" w:hAnsi="SimSun" w:eastAsia="SimSun" w:cs="SimSun"/>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采购活动，提供的货物全部由符合政策要求的中小企业制造。相关企业（含联合体中的中小企业、签订分包意向协议的中小企业）</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的具体情况如下：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（标的名称）</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行业；制造商为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Times New Roman" w:hAnsi="Times New Roman" w:eastAsia="Times New Roman" w:cs="Times New Roman"/>
          <w:color w:val="000000"/>
          <w:sz w:val="28"/>
          <w:u w:val="single"/>
        </w:rPr>
        <w:tab/>
      </w:r>
      <w:r>
        <w:rPr>
          <w:rFonts w:ascii="SimSun" w:hAnsi="SimSun" w:eastAsia="SimSun" w:cs="SimSun"/>
          <w:color w:val="000000"/>
          <w:sz w:val="28"/>
        </w:rPr>
        <w:t xml:space="preserve">人，营业收入为</w:t>
      </w:r>
      <w:r>
        <w:rPr>
          <w:rFonts w:ascii="Times New Roman" w:hAnsi="Times New Roman" w:eastAsia="Times New Roman" w:cs="Times New Roman"/>
          <w:color w:val="000000"/>
          <w:sz w:val="28"/>
          <w:u w:val="single"/>
        </w:rPr>
        <w:tab/>
      </w:r>
      <w:r>
        <w:rPr>
          <w:rFonts w:ascii="SimSun" w:hAnsi="SimSun" w:eastAsia="SimSun" w:cs="SimSun"/>
          <w:color w:val="000000"/>
          <w:sz w:val="28"/>
        </w:rPr>
        <w:t xml:space="preserve">万元，资产总额为</w:t>
      </w:r>
      <w:r>
        <w:rPr>
          <w:rFonts w:ascii="Times New Roman" w:hAnsi="Times New Roman" w:eastAsia="Times New Roman" w:cs="Times New Roman"/>
          <w:color w:val="000000"/>
          <w:sz w:val="28"/>
          <w:u w:val="single"/>
        </w:rPr>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u w:val="single"/>
        </w:rPr>
        <w:t xml:space="preserve">（标的名称）</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行业；制造商为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Times New Roman" w:hAnsi="Times New Roman" w:eastAsia="Times New Roman" w:cs="Times New Roman"/>
          <w:color w:val="000000"/>
          <w:sz w:val="28"/>
          <w:u w:val="single"/>
        </w:rPr>
        <w:tab/>
      </w:r>
      <w:r>
        <w:rPr>
          <w:rFonts w:ascii="SimSun" w:hAnsi="SimSun" w:eastAsia="SimSun" w:cs="SimSun"/>
          <w:color w:val="000000"/>
          <w:sz w:val="28"/>
        </w:rPr>
        <w:t xml:space="preserve">人，营业收入为</w:t>
      </w:r>
      <w:r>
        <w:rPr>
          <w:rFonts w:ascii="Times New Roman" w:hAnsi="Times New Roman" w:eastAsia="Times New Roman" w:cs="Times New Roman"/>
          <w:color w:val="000000"/>
          <w:sz w:val="28"/>
          <w:u w:val="single"/>
        </w:rPr>
        <w:tab/>
      </w:r>
      <w:r>
        <w:rPr>
          <w:rFonts w:ascii="SimSun" w:hAnsi="SimSun" w:eastAsia="SimSun" w:cs="SimSun"/>
          <w:color w:val="000000"/>
          <w:sz w:val="28"/>
        </w:rPr>
        <w:t xml:space="preserve">万元，资产总额为</w:t>
      </w:r>
      <w:r>
        <w:rPr>
          <w:rFonts w:ascii="Times New Roman" w:hAnsi="Times New Roman" w:eastAsia="Times New Roman" w:cs="Times New Roman"/>
          <w:color w:val="000000"/>
          <w:sz w:val="28"/>
          <w:u w:val="single"/>
        </w:rPr>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注：1.如项目属性为“货物”，请按本表填写。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3.投标供应商须根据上述要求，详细列明货物清单中所有产品制造商的具体情况，否则不能享受中小企业扶持政策。</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11</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本单位对上述声明的真实性负责。如有虚假，将依法承担相应责任。</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p>
    <w:p>
      <w:pPr>
        <w:ind w:left="0" w:right="1560" w:firstLine="58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供应商全称（盖章）：</w:t>
      </w:r>
      <w:r/>
    </w:p>
    <w:p>
      <w:pPr>
        <w:ind w:left="0" w:right="1560" w:firstLine="56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12</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、中标供应商为监狱企业的，此声明函将随中标结果同时公告，</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接受社会监督。供应商按照本办法规定提供声明函内容不实的，属于</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提供虚假材料谋取中标、成交，依照《中华人民共和国政府采购法》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13</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关于符合本国产品标准的声明函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8"/>
        </w:numPr>
        <w:spacing w:before="30" w:after="30"/>
        <w:tabs>
          <w:tab w:val="left" w:pos="312"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28650" cy="2000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081796" name=""/>
                        <pic:cNvPicPr>
                          <a:picLocks noChangeAspect="1"/>
                        </pic:cNvPicPr>
                        <pic:nvPr/>
                      </pic:nvPicPr>
                      <pic:blipFill>
                        <a:blip/>
                        <a:stretch/>
                      </pic:blipFill>
                      <pic:spPr bwMode="auto">
                        <a:xfrm>
                          <a:off x="0" y="0"/>
                          <a:ext cx="628649" cy="200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9.5pt;height:15.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524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296948" name=""/>
                        <pic:cNvPicPr>
                          <a:picLocks noChangeAspect="1"/>
                        </pic:cNvPicPr>
                        <pic:nvPr/>
                      </pic:nvPicPr>
                      <pic:blipFill>
                        <a:blip/>
                        <a:stretch/>
                      </pic:blipFill>
                      <pic:spPr bwMode="auto">
                        <a:xfrm>
                          <a:off x="0" y="0"/>
                          <a:ext cx="7334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95325" cy="1428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736630" name=""/>
                        <pic:cNvPicPr>
                          <a:picLocks noChangeAspect="1"/>
                        </pic:cNvPicPr>
                        <pic:nvPr/>
                      </pic:nvPicPr>
                      <pic:blipFill>
                        <a:blip/>
                        <a:stretch/>
                      </pic:blipFill>
                      <pic:spPr bwMode="auto">
                        <a:xfrm>
                          <a:off x="0" y="0"/>
                          <a:ext cx="695323"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4.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286989"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00075" cy="952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706630" name=""/>
                        <pic:cNvPicPr>
                          <a:picLocks noChangeAspect="1"/>
                        </pic:cNvPicPr>
                        <pic:nvPr/>
                      </pic:nvPicPr>
                      <pic:blipFill>
                        <a:blip/>
                        <a:stretch/>
                      </pic:blipFill>
                      <pic:spPr bwMode="auto">
                        <a:xfrm>
                          <a:off x="0" y="0"/>
                          <a:ext cx="6000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2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52450" cy="1619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167344" name=""/>
                        <pic:cNvPicPr>
                          <a:picLocks noChangeAspect="1"/>
                        </pic:cNvPicPr>
                        <pic:nvPr/>
                      </pic:nvPicPr>
                      <pic:blipFill>
                        <a:blip/>
                        <a:stretch/>
                      </pic:blipFill>
                      <pic:spPr bwMode="auto">
                        <a:xfrm>
                          <a:off x="0" y="0"/>
                          <a:ext cx="5524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3.5pt;height:12.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14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35320"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601995"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66725" cy="1619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773658" name=""/>
                        <pic:cNvPicPr>
                          <a:picLocks noChangeAspect="1"/>
                        </pic:cNvPicPr>
                        <pic:nvPr/>
                      </pic:nvPicPr>
                      <pic:blipFill>
                        <a:blip/>
                        <a:stretch/>
                      </pic:blipFill>
                      <pic:spPr bwMode="auto">
                        <a:xfrm>
                          <a:off x="0" y="0"/>
                          <a:ext cx="4667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8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977953"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4287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82064" name=""/>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33219"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9.0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6.用斜线划除的地方无需填写。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14</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Kaiti">
    <w:panose1 w:val="02010600040101010101"/>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方正黑体_GBK">
    <w:panose1 w:val="020B0503020202020204"/>
  </w:font>
  <w:font w:name="Tahoma">
    <w:panose1 w:val="020B0604030504040204"/>
  </w:font>
  <w:font w:name="Calibri">
    <w:panose1 w:val="020F0502020204030204"/>
  </w:font>
  <w:font w:name="楷体_GB2312">
    <w:panose1 w:val="02010609060101010101"/>
  </w:font>
  <w:font w:name="华文楷体">
    <w:panose1 w:val="02010600040101010101"/>
  </w:font>
  <w:font w:name="Wingdings">
    <w:panose1 w:val="05000000000000000000"/>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7"/>
      <w:isLgl w:val="false"/>
      <w:suff w:val="nothing"/>
      <w:lvlText w:val=""/>
      <w:lvlJc w:val="left"/>
      <w:pPr>
        <w:ind w:left="0" w:firstLine="0"/>
      </w:pPr>
      <w:rPr>
        <w:rFonts w:hint="eastAsia"/>
      </w:rPr>
    </w:lvl>
    <w:lvl w:ilvl="6">
      <w:start w:val="1"/>
      <w:numFmt w:val="decimal"/>
      <w:pStyle w:val="948"/>
      <w:isLgl w:val="false"/>
      <w:suff w:val="nothing"/>
      <w:lvlText w:val=""/>
      <w:lvlJc w:val="left"/>
      <w:pPr>
        <w:ind w:left="0" w:firstLine="0"/>
      </w:pPr>
      <w:rPr>
        <w:rFonts w:hint="eastAsia"/>
      </w:rPr>
    </w:lvl>
    <w:lvl w:ilvl="7">
      <w:start w:val="1"/>
      <w:numFmt w:val="decimal"/>
      <w:pStyle w:val="949"/>
      <w:isLgl w:val="false"/>
      <w:suff w:val="nothing"/>
      <w:lvlText w:val=""/>
      <w:lvlJc w:val="left"/>
      <w:pPr>
        <w:ind w:left="0" w:firstLine="0"/>
      </w:pPr>
      <w:rPr>
        <w:rFonts w:hint="eastAsia"/>
      </w:rPr>
    </w:lvl>
    <w:lvl w:ilvl="8">
      <w:start w:val="1"/>
      <w:numFmt w:val="decimal"/>
      <w:pStyle w:val="950"/>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7">
    <w:name w:val="Heading 1"/>
    <w:basedOn w:val="706"/>
    <w:next w:val="706"/>
    <w:link w:val="812"/>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813"/>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814"/>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815"/>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816"/>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18"/>
    <w:link w:val="817"/>
    <w:uiPriority w:val="9"/>
    <w:unhideWhenUsed/>
    <w:qFormat/>
    <w:pPr>
      <w:keepLines/>
      <w:keepNext/>
      <w:spacing w:before="320" w:after="200"/>
      <w:outlineLvl w:val="5"/>
    </w:pPr>
    <w:rPr>
      <w:rFonts w:ascii="Arial" w:hAnsi="Arial" w:eastAsia="Arial" w:cs="Arial"/>
      <w:b/>
      <w:bCs/>
      <w:sz w:val="22"/>
    </w:rPr>
  </w:style>
  <w:style w:type="paragraph" w:styleId="713">
    <w:name w:val="Heading 7"/>
    <w:basedOn w:val="706"/>
    <w:next w:val="706"/>
    <w:link w:val="818"/>
    <w:uiPriority w:val="9"/>
    <w:unhideWhenUsed/>
    <w:qFormat/>
    <w:pPr>
      <w:keepLines/>
      <w:keepNext/>
      <w:spacing w:before="320" w:after="200"/>
      <w:outlineLvl w:val="6"/>
    </w:pPr>
    <w:rPr>
      <w:rFonts w:ascii="Arial" w:hAnsi="Arial" w:eastAsia="Arial" w:cs="Arial"/>
      <w:b/>
      <w:bCs/>
      <w:i/>
      <w:iCs/>
      <w:sz w:val="22"/>
    </w:rPr>
  </w:style>
  <w:style w:type="paragraph" w:styleId="714">
    <w:name w:val="Heading 8"/>
    <w:basedOn w:val="706"/>
    <w:next w:val="706"/>
    <w:link w:val="819"/>
    <w:uiPriority w:val="9"/>
    <w:unhideWhenUsed/>
    <w:qFormat/>
    <w:pPr>
      <w:keepLines/>
      <w:keepNext/>
      <w:spacing w:before="320" w:after="200"/>
      <w:outlineLvl w:val="7"/>
    </w:pPr>
    <w:rPr>
      <w:rFonts w:ascii="Arial" w:hAnsi="Arial" w:eastAsia="Arial" w:cs="Arial"/>
      <w:i/>
      <w:iCs/>
      <w:sz w:val="22"/>
    </w:rPr>
  </w:style>
  <w:style w:type="paragraph" w:styleId="715">
    <w:name w:val="Heading 9"/>
    <w:basedOn w:val="706"/>
    <w:next w:val="706"/>
    <w:link w:val="820"/>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Normal Indent"/>
    <w:basedOn w:val="706"/>
    <w:uiPriority w:val="0"/>
    <w:qFormat/>
    <w:pPr>
      <w:ind w:firstLine="420"/>
    </w:pPr>
    <w:rPr>
      <w:sz w:val="20"/>
      <w:szCs w:val="20"/>
    </w:rPr>
  </w:style>
  <w:style w:type="paragraph" w:styleId="719">
    <w:name w:val="toc 7"/>
    <w:basedOn w:val="706"/>
    <w:next w:val="706"/>
    <w:uiPriority w:val="39"/>
    <w:unhideWhenUsed/>
    <w:qFormat/>
    <w:pPr>
      <w:ind w:left="1701"/>
      <w:spacing w:after="57"/>
    </w:pPr>
  </w:style>
  <w:style w:type="paragraph" w:styleId="720">
    <w:name w:val="Caption"/>
    <w:basedOn w:val="706"/>
    <w:next w:val="70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6"/>
    <w:link w:val="1055"/>
    <w:uiPriority w:val="99"/>
    <w:unhideWhenUsed/>
    <w:qFormat/>
    <w:pPr>
      <w:jc w:val="left"/>
    </w:pPr>
  </w:style>
  <w:style w:type="paragraph" w:styleId="722">
    <w:name w:val="Body Text"/>
    <w:basedOn w:val="706"/>
    <w:next w:val="706"/>
    <w:uiPriority w:val="0"/>
    <w:qFormat/>
    <w:rPr>
      <w:rFonts w:ascii="仿宋_GB2312" w:eastAsia="仿宋_GB2312"/>
      <w:sz w:val="24"/>
      <w:szCs w:val="20"/>
    </w:rPr>
  </w:style>
  <w:style w:type="paragraph" w:styleId="723">
    <w:name w:val="Body Text Indent"/>
    <w:basedOn w:val="706"/>
    <w:uiPriority w:val="0"/>
    <w:qFormat/>
    <w:pPr>
      <w:ind w:left="420"/>
      <w:spacing w:after="120"/>
    </w:pPr>
  </w:style>
  <w:style w:type="paragraph" w:styleId="724">
    <w:name w:val="toc 5"/>
    <w:basedOn w:val="706"/>
    <w:next w:val="706"/>
    <w:uiPriority w:val="39"/>
    <w:unhideWhenUsed/>
    <w:qFormat/>
    <w:pPr>
      <w:ind w:left="1134"/>
      <w:spacing w:after="57"/>
    </w:pPr>
  </w:style>
  <w:style w:type="paragraph" w:styleId="725">
    <w:name w:val="toc 3"/>
    <w:basedOn w:val="706"/>
    <w:next w:val="706"/>
    <w:uiPriority w:val="39"/>
    <w:unhideWhenUsed/>
    <w:qFormat/>
    <w:pPr>
      <w:ind w:left="567"/>
      <w:spacing w:after="57"/>
    </w:pPr>
  </w:style>
  <w:style w:type="paragraph" w:styleId="726">
    <w:name w:val="Plain Text"/>
    <w:basedOn w:val="706"/>
    <w:uiPriority w:val="0"/>
    <w:qFormat/>
    <w:rPr>
      <w:rFonts w:ascii="宋体" w:hAnsi="Courier New" w:cs="Courier New"/>
      <w:szCs w:val="21"/>
    </w:rPr>
  </w:style>
  <w:style w:type="paragraph" w:styleId="727">
    <w:name w:val="toc 8"/>
    <w:basedOn w:val="706"/>
    <w:next w:val="706"/>
    <w:uiPriority w:val="39"/>
    <w:unhideWhenUsed/>
    <w:qFormat/>
    <w:pPr>
      <w:ind w:left="1984"/>
      <w:spacing w:after="57"/>
    </w:pPr>
  </w:style>
  <w:style w:type="paragraph" w:styleId="728">
    <w:name w:val="endnote text"/>
    <w:basedOn w:val="706"/>
    <w:link w:val="939"/>
    <w:uiPriority w:val="99"/>
    <w:unhideWhenUsed/>
    <w:qFormat/>
    <w:rPr>
      <w:sz w:val="20"/>
    </w:rPr>
  </w:style>
  <w:style w:type="paragraph" w:styleId="729">
    <w:name w:val="Balloon Text"/>
    <w:basedOn w:val="706"/>
    <w:link w:val="1057"/>
    <w:uiPriority w:val="99"/>
    <w:unhideWhenUsed/>
    <w:qFormat/>
    <w:rPr>
      <w:sz w:val="18"/>
      <w:szCs w:val="18"/>
    </w:rPr>
  </w:style>
  <w:style w:type="paragraph" w:styleId="730">
    <w:name w:val="Footer"/>
    <w:basedOn w:val="706"/>
    <w:link w:val="831"/>
    <w:uiPriority w:val="99"/>
    <w:unhideWhenUsed/>
    <w:qFormat/>
    <w:pPr>
      <w:tabs>
        <w:tab w:val="center" w:pos="7143" w:leader="none"/>
        <w:tab w:val="right" w:pos="14287" w:leader="none"/>
      </w:tabs>
    </w:pPr>
  </w:style>
  <w:style w:type="paragraph" w:styleId="731">
    <w:name w:val="Header"/>
    <w:basedOn w:val="706"/>
    <w:link w:val="829"/>
    <w:uiPriority w:val="99"/>
    <w:unhideWhenUsed/>
    <w:qFormat/>
    <w:pPr>
      <w:tabs>
        <w:tab w:val="center" w:pos="7143" w:leader="none"/>
        <w:tab w:val="right" w:pos="14287" w:leader="none"/>
      </w:tabs>
    </w:pPr>
  </w:style>
  <w:style w:type="paragraph" w:styleId="732">
    <w:name w:val="toc 1"/>
    <w:basedOn w:val="706"/>
    <w:next w:val="706"/>
    <w:uiPriority w:val="39"/>
    <w:unhideWhenUsed/>
    <w:qFormat/>
    <w:pPr>
      <w:spacing w:after="57"/>
    </w:pPr>
  </w:style>
  <w:style w:type="paragraph" w:styleId="733">
    <w:name w:val="toc 4"/>
    <w:basedOn w:val="706"/>
    <w:next w:val="706"/>
    <w:uiPriority w:val="39"/>
    <w:unhideWhenUsed/>
    <w:qFormat/>
    <w:pPr>
      <w:ind w:left="850"/>
      <w:spacing w:after="57"/>
    </w:pPr>
  </w:style>
  <w:style w:type="paragraph" w:styleId="734">
    <w:name w:val="Subtitle"/>
    <w:basedOn w:val="706"/>
    <w:next w:val="706"/>
    <w:link w:val="824"/>
    <w:uiPriority w:val="11"/>
    <w:qFormat/>
    <w:pPr>
      <w:spacing w:before="200" w:after="200"/>
    </w:pPr>
    <w:rPr>
      <w:sz w:val="24"/>
      <w:szCs w:val="24"/>
    </w:rPr>
  </w:style>
  <w:style w:type="paragraph" w:styleId="735">
    <w:name w:val="footnote text"/>
    <w:basedOn w:val="706"/>
    <w:link w:val="938"/>
    <w:uiPriority w:val="99"/>
    <w:unhideWhenUsed/>
    <w:qFormat/>
    <w:pPr>
      <w:spacing w:after="40"/>
    </w:pPr>
    <w:rPr>
      <w:sz w:val="18"/>
    </w:rPr>
  </w:style>
  <w:style w:type="paragraph" w:styleId="736">
    <w:name w:val="toc 6"/>
    <w:basedOn w:val="706"/>
    <w:next w:val="706"/>
    <w:uiPriority w:val="39"/>
    <w:unhideWhenUsed/>
    <w:qFormat/>
    <w:pPr>
      <w:ind w:left="1417"/>
      <w:spacing w:after="57"/>
    </w:pPr>
  </w:style>
  <w:style w:type="paragraph" w:styleId="737">
    <w:name w:val="table of figures"/>
    <w:basedOn w:val="706"/>
    <w:next w:val="706"/>
    <w:uiPriority w:val="99"/>
    <w:unhideWhenUsed/>
    <w:qFormat/>
  </w:style>
  <w:style w:type="paragraph" w:styleId="738">
    <w:name w:val="toc 2"/>
    <w:basedOn w:val="706"/>
    <w:next w:val="706"/>
    <w:uiPriority w:val="39"/>
    <w:unhideWhenUsed/>
    <w:qFormat/>
    <w:pPr>
      <w:ind w:left="283"/>
      <w:spacing w:after="57"/>
    </w:pPr>
  </w:style>
  <w:style w:type="paragraph" w:styleId="739">
    <w:name w:val="toc 9"/>
    <w:basedOn w:val="706"/>
    <w:next w:val="706"/>
    <w:uiPriority w:val="39"/>
    <w:unhideWhenUsed/>
    <w:qFormat/>
    <w:pPr>
      <w:ind w:left="2268"/>
      <w:spacing w:after="57"/>
    </w:pPr>
  </w:style>
  <w:style w:type="paragraph" w:styleId="740">
    <w:name w:val="Normal (Web)"/>
    <w:basedOn w:val="706"/>
    <w:uiPriority w:val="0"/>
    <w:qFormat/>
    <w:pPr>
      <w:jc w:val="left"/>
      <w:spacing w:before="100" w:beforeAutospacing="1" w:after="100" w:afterAutospacing="1"/>
      <w:widowControl/>
    </w:pPr>
    <w:rPr>
      <w:rFonts w:ascii="宋体" w:hAnsi="宋体"/>
      <w:color w:val="000000"/>
      <w:sz w:val="24"/>
    </w:rPr>
  </w:style>
  <w:style w:type="paragraph" w:styleId="741">
    <w:name w:val="Title"/>
    <w:basedOn w:val="706"/>
    <w:next w:val="706"/>
    <w:link w:val="823"/>
    <w:uiPriority w:val="10"/>
    <w:qFormat/>
    <w:pPr>
      <w:contextualSpacing/>
      <w:spacing w:before="300" w:after="200"/>
    </w:pPr>
    <w:rPr>
      <w:sz w:val="48"/>
      <w:szCs w:val="48"/>
    </w:rPr>
  </w:style>
  <w:style w:type="paragraph" w:styleId="742">
    <w:name w:val="annotation subject"/>
    <w:basedOn w:val="721"/>
    <w:next w:val="721"/>
    <w:link w:val="1056"/>
    <w:uiPriority w:val="99"/>
    <w:unhideWhenUsed/>
    <w:qFormat/>
    <w:rPr>
      <w:b/>
      <w:bCs/>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unhideWhenUsed/>
    <w:qFormat/>
    <w:rPr>
      <w:vertAlign w:val="superscript"/>
    </w:rPr>
  </w:style>
  <w:style w:type="character" w:styleId="745">
    <w:name w:val="Emphasis"/>
    <w:uiPriority w:val="0"/>
    <w:qFormat/>
    <w:rPr>
      <w:i/>
      <w:iCs/>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annotation reference"/>
    <w:basedOn w:val="716"/>
    <w:uiPriority w:val="99"/>
    <w:unhideWhenUsed/>
    <w:qFormat/>
    <w:rPr>
      <w:sz w:val="21"/>
      <w:szCs w:val="21"/>
    </w:rPr>
  </w:style>
  <w:style w:type="character" w:styleId="748">
    <w:name w:val="footnote reference"/>
    <w:uiPriority w:val="99"/>
    <w:unhideWhenUsed/>
    <w:qFormat/>
    <w:rPr>
      <w:vertAlign w:val="superscript"/>
    </w:rPr>
  </w:style>
  <w:style w:type="paragraph" w:styleId="749">
    <w:name w:val="List Paragraph"/>
    <w:basedOn w:val="706"/>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paragraph" w:styleId="751">
    <w:name w:val="Quote"/>
    <w:basedOn w:val="706"/>
    <w:next w:val="706"/>
    <w:uiPriority w:val="29"/>
    <w:qFormat/>
    <w:pPr>
      <w:ind w:left="720" w:right="720"/>
    </w:pPr>
    <w:rPr>
      <w:i/>
    </w:rPr>
  </w:style>
  <w:style w:type="paragraph" w:styleId="752">
    <w:name w:val="Intense Quote"/>
    <w:basedOn w:val="706"/>
    <w:next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53"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2" w:customStyle="1">
    <w:name w:val="TOC Heading"/>
    <w:uiPriority w:val="39"/>
    <w:unhideWhenUsed/>
    <w:qFormat/>
    <w:rPr>
      <w:rFonts w:hint="default" w:ascii="Times New Roman" w:hAnsi="Times New Roman" w:eastAsia="宋体" w:cs="Times New Roman"/>
    </w:rPr>
  </w:style>
  <w:style w:type="table" w:styleId="773"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basedOn w:val="7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basedOn w:val="7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basedOn w:val="7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清单表 1 浅色1"/>
    <w:basedOn w:val="71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清单表 6 彩色1"/>
    <w:basedOn w:val="71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清单表 7 彩色1"/>
    <w:basedOn w:val="71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2" w:customStyle="1">
    <w:name w:val="TOC 标题1"/>
    <w:uiPriority w:val="39"/>
    <w:unhideWhenUsed/>
    <w:qFormat/>
    <w:rPr>
      <w:rFonts w:hint="default" w:ascii="Times New Roman" w:hAnsi="Times New Roman" w:eastAsia="宋体" w:cs="Times New Roman"/>
      <w:lang w:val="en-US" w:eastAsia="zh-CN" w:bidi="ar-SA"/>
    </w:rPr>
  </w:style>
  <w:style w:type="paragraph" w:styleId="79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94" w:customStyle="1">
    <w:name w:val="Heading 1 Char"/>
    <w:basedOn w:val="716"/>
    <w:uiPriority w:val="9"/>
    <w:qFormat/>
    <w:rPr>
      <w:rFonts w:ascii="Arial" w:hAnsi="Arial" w:eastAsia="Arial" w:cs="Arial"/>
      <w:sz w:val="40"/>
      <w:szCs w:val="40"/>
    </w:rPr>
  </w:style>
  <w:style w:type="character" w:styleId="795" w:customStyle="1">
    <w:name w:val="Heading 2 Char"/>
    <w:basedOn w:val="716"/>
    <w:uiPriority w:val="9"/>
    <w:qFormat/>
    <w:rPr>
      <w:rFonts w:ascii="Arial" w:hAnsi="Arial" w:eastAsia="Arial" w:cs="Arial"/>
      <w:sz w:val="34"/>
    </w:rPr>
  </w:style>
  <w:style w:type="character" w:styleId="796" w:customStyle="1">
    <w:name w:val="Heading 3 Char"/>
    <w:basedOn w:val="716"/>
    <w:uiPriority w:val="9"/>
    <w:qFormat/>
    <w:rPr>
      <w:rFonts w:ascii="Arial" w:hAnsi="Arial" w:eastAsia="Arial" w:cs="Arial"/>
      <w:sz w:val="30"/>
      <w:szCs w:val="30"/>
    </w:rPr>
  </w:style>
  <w:style w:type="character" w:styleId="797" w:customStyle="1">
    <w:name w:val="Heading 4 Char"/>
    <w:basedOn w:val="716"/>
    <w:uiPriority w:val="9"/>
    <w:qFormat/>
    <w:rPr>
      <w:rFonts w:ascii="Arial" w:hAnsi="Arial" w:eastAsia="Arial" w:cs="Arial"/>
      <w:b/>
      <w:bCs/>
      <w:sz w:val="26"/>
      <w:szCs w:val="26"/>
    </w:rPr>
  </w:style>
  <w:style w:type="character" w:styleId="798" w:customStyle="1">
    <w:name w:val="Heading 5 Char"/>
    <w:basedOn w:val="716"/>
    <w:uiPriority w:val="9"/>
    <w:qFormat/>
    <w:rPr>
      <w:rFonts w:ascii="Arial" w:hAnsi="Arial" w:eastAsia="Arial" w:cs="Arial"/>
      <w:b/>
      <w:bCs/>
      <w:sz w:val="24"/>
      <w:szCs w:val="24"/>
    </w:rPr>
  </w:style>
  <w:style w:type="character" w:styleId="799" w:customStyle="1">
    <w:name w:val="Heading 6 Char"/>
    <w:basedOn w:val="716"/>
    <w:uiPriority w:val="9"/>
    <w:qFormat/>
    <w:rPr>
      <w:rFonts w:ascii="Arial" w:hAnsi="Arial" w:eastAsia="Arial" w:cs="Arial"/>
      <w:b/>
      <w:bCs/>
      <w:sz w:val="22"/>
      <w:szCs w:val="22"/>
    </w:rPr>
  </w:style>
  <w:style w:type="character" w:styleId="800" w:customStyle="1">
    <w:name w:val="Heading 7 Char"/>
    <w:basedOn w:val="716"/>
    <w:uiPriority w:val="9"/>
    <w:qFormat/>
    <w:rPr>
      <w:rFonts w:ascii="Arial" w:hAnsi="Arial" w:eastAsia="Arial" w:cs="Arial"/>
      <w:b/>
      <w:bCs/>
      <w:i/>
      <w:iCs/>
      <w:sz w:val="22"/>
      <w:szCs w:val="22"/>
    </w:rPr>
  </w:style>
  <w:style w:type="character" w:styleId="801" w:customStyle="1">
    <w:name w:val="Heading 8 Char"/>
    <w:basedOn w:val="716"/>
    <w:uiPriority w:val="9"/>
    <w:qFormat/>
    <w:rPr>
      <w:rFonts w:ascii="Arial" w:hAnsi="Arial" w:eastAsia="Arial" w:cs="Arial"/>
      <w:i/>
      <w:iCs/>
      <w:sz w:val="22"/>
      <w:szCs w:val="22"/>
    </w:rPr>
  </w:style>
  <w:style w:type="character" w:styleId="802" w:customStyle="1">
    <w:name w:val="Heading 9 Char"/>
    <w:basedOn w:val="716"/>
    <w:uiPriority w:val="9"/>
    <w:qFormat/>
    <w:rPr>
      <w:rFonts w:ascii="Arial" w:hAnsi="Arial" w:eastAsia="Arial" w:cs="Arial"/>
      <w:i/>
      <w:iCs/>
      <w:sz w:val="21"/>
      <w:szCs w:val="21"/>
    </w:rPr>
  </w:style>
  <w:style w:type="character" w:styleId="803" w:customStyle="1">
    <w:name w:val="Title Char"/>
    <w:basedOn w:val="716"/>
    <w:uiPriority w:val="10"/>
    <w:qFormat/>
    <w:rPr>
      <w:sz w:val="48"/>
      <w:szCs w:val="48"/>
    </w:rPr>
  </w:style>
  <w:style w:type="character" w:styleId="804" w:customStyle="1">
    <w:name w:val="Subtitle Char"/>
    <w:basedOn w:val="716"/>
    <w:uiPriority w:val="11"/>
    <w:qFormat/>
    <w:rPr>
      <w:sz w:val="24"/>
      <w:szCs w:val="24"/>
    </w:rPr>
  </w:style>
  <w:style w:type="character" w:styleId="805" w:customStyle="1">
    <w:name w:val="Quote Char"/>
    <w:uiPriority w:val="29"/>
    <w:qFormat/>
    <w:rPr>
      <w:i/>
    </w:rPr>
  </w:style>
  <w:style w:type="character" w:styleId="806" w:customStyle="1">
    <w:name w:val="Intense Quote Char"/>
    <w:uiPriority w:val="30"/>
    <w:qFormat/>
    <w:rPr>
      <w:i/>
    </w:rPr>
  </w:style>
  <w:style w:type="character" w:styleId="807" w:customStyle="1">
    <w:name w:val="Header Char"/>
    <w:basedOn w:val="716"/>
    <w:uiPriority w:val="99"/>
    <w:qFormat/>
  </w:style>
  <w:style w:type="character" w:styleId="808" w:customStyle="1">
    <w:name w:val="Caption Char"/>
    <w:uiPriority w:val="99"/>
    <w:qFormat/>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paragraph" w:styleId="811" w:customStyle="1">
    <w:name w:val="TOC 标题111"/>
    <w:uiPriority w:val="39"/>
    <w:unhideWhenUsed/>
    <w:qFormat/>
    <w:rPr>
      <w:rFonts w:hint="default" w:ascii="Times New Roman" w:hAnsi="Times New Roman" w:eastAsia="宋体" w:cs="Times New Roman"/>
      <w:lang w:val="en-US" w:eastAsia="zh-CN" w:bidi="ar-SA"/>
    </w:rPr>
  </w:style>
  <w:style w:type="character" w:styleId="812" w:customStyle="1">
    <w:name w:val="标题 1 字符"/>
    <w:link w:val="707"/>
    <w:uiPriority w:val="9"/>
    <w:qFormat/>
    <w:rPr>
      <w:rFonts w:ascii="Arial" w:hAnsi="Arial" w:eastAsia="Arial" w:cs="Arial"/>
      <w:sz w:val="40"/>
      <w:szCs w:val="40"/>
    </w:rPr>
  </w:style>
  <w:style w:type="character" w:styleId="813" w:customStyle="1">
    <w:name w:val="标题 2 字符"/>
    <w:link w:val="708"/>
    <w:uiPriority w:val="9"/>
    <w:qFormat/>
    <w:rPr>
      <w:rFonts w:ascii="Arial" w:hAnsi="Arial" w:eastAsia="Arial" w:cs="Arial"/>
      <w:sz w:val="34"/>
    </w:rPr>
  </w:style>
  <w:style w:type="character" w:styleId="814" w:customStyle="1">
    <w:name w:val="标题 3 字符"/>
    <w:link w:val="709"/>
    <w:uiPriority w:val="9"/>
    <w:qFormat/>
    <w:rPr>
      <w:rFonts w:ascii="Arial" w:hAnsi="Arial" w:eastAsia="Arial" w:cs="Arial"/>
      <w:sz w:val="30"/>
      <w:szCs w:val="30"/>
    </w:rPr>
  </w:style>
  <w:style w:type="character" w:styleId="815" w:customStyle="1">
    <w:name w:val="标题 4 字符"/>
    <w:link w:val="710"/>
    <w:uiPriority w:val="9"/>
    <w:qFormat/>
    <w:rPr>
      <w:rFonts w:ascii="Arial" w:hAnsi="Arial" w:eastAsia="Arial" w:cs="Arial"/>
      <w:b/>
      <w:bCs/>
      <w:sz w:val="26"/>
      <w:szCs w:val="26"/>
    </w:rPr>
  </w:style>
  <w:style w:type="character" w:styleId="816" w:customStyle="1">
    <w:name w:val="标题 5 字符"/>
    <w:link w:val="711"/>
    <w:uiPriority w:val="9"/>
    <w:qFormat/>
    <w:rPr>
      <w:rFonts w:ascii="Arial" w:hAnsi="Arial" w:eastAsia="Arial" w:cs="Arial"/>
      <w:b/>
      <w:bCs/>
      <w:sz w:val="24"/>
      <w:szCs w:val="24"/>
    </w:rPr>
  </w:style>
  <w:style w:type="character" w:styleId="817" w:customStyle="1">
    <w:name w:val="标题 6 字符"/>
    <w:link w:val="712"/>
    <w:uiPriority w:val="9"/>
    <w:qFormat/>
    <w:rPr>
      <w:rFonts w:ascii="Arial" w:hAnsi="Arial" w:eastAsia="Arial" w:cs="Arial"/>
      <w:b/>
      <w:bCs/>
      <w:sz w:val="22"/>
      <w:szCs w:val="22"/>
    </w:rPr>
  </w:style>
  <w:style w:type="character" w:styleId="818" w:customStyle="1">
    <w:name w:val="标题 7 字符"/>
    <w:link w:val="713"/>
    <w:uiPriority w:val="9"/>
    <w:qFormat/>
    <w:rPr>
      <w:rFonts w:ascii="Arial" w:hAnsi="Arial" w:eastAsia="Arial" w:cs="Arial"/>
      <w:b/>
      <w:bCs/>
      <w:i/>
      <w:iCs/>
      <w:sz w:val="22"/>
      <w:szCs w:val="22"/>
    </w:rPr>
  </w:style>
  <w:style w:type="character" w:styleId="819" w:customStyle="1">
    <w:name w:val="标题 8 字符"/>
    <w:link w:val="714"/>
    <w:uiPriority w:val="9"/>
    <w:qFormat/>
    <w:rPr>
      <w:rFonts w:ascii="Arial" w:hAnsi="Arial" w:eastAsia="Arial" w:cs="Arial"/>
      <w:i/>
      <w:iCs/>
      <w:sz w:val="22"/>
      <w:szCs w:val="22"/>
    </w:rPr>
  </w:style>
  <w:style w:type="character" w:styleId="820" w:customStyle="1">
    <w:name w:val="标题 9 字符"/>
    <w:link w:val="715"/>
    <w:uiPriority w:val="9"/>
    <w:qFormat/>
    <w:rPr>
      <w:rFonts w:ascii="Arial" w:hAnsi="Arial" w:eastAsia="Arial" w:cs="Arial"/>
      <w:i/>
      <w:iCs/>
      <w:sz w:val="21"/>
      <w:szCs w:val="21"/>
    </w:rPr>
  </w:style>
  <w:style w:type="paragraph" w:styleId="821" w:customStyle="1">
    <w:name w:val="列出段落1"/>
    <w:basedOn w:val="706"/>
    <w:uiPriority w:val="34"/>
    <w:qFormat/>
    <w:pPr>
      <w:contextualSpacing/>
      <w:ind w:left="720"/>
    </w:pPr>
  </w:style>
  <w:style w:type="paragraph" w:styleId="822" w:customStyle="1">
    <w:name w:val="无间隔1"/>
    <w:uiPriority w:val="1"/>
    <w:qFormat/>
    <w:rPr>
      <w:rFonts w:hint="default" w:ascii="Times New Roman" w:hAnsi="Times New Roman" w:eastAsia="宋体" w:cs="Times New Roman"/>
      <w:lang w:val="en-US" w:eastAsia="zh-CN" w:bidi="ar-SA"/>
    </w:rPr>
  </w:style>
  <w:style w:type="character" w:styleId="823" w:customStyle="1">
    <w:name w:val="标题 字符"/>
    <w:link w:val="741"/>
    <w:uiPriority w:val="10"/>
    <w:qFormat/>
    <w:rPr>
      <w:sz w:val="48"/>
      <w:szCs w:val="48"/>
    </w:rPr>
  </w:style>
  <w:style w:type="character" w:styleId="824" w:customStyle="1">
    <w:name w:val="副标题 字符"/>
    <w:link w:val="734"/>
    <w:uiPriority w:val="11"/>
    <w:qFormat/>
    <w:rPr>
      <w:sz w:val="24"/>
      <w:szCs w:val="24"/>
    </w:rPr>
  </w:style>
  <w:style w:type="paragraph" w:styleId="825" w:customStyle="1">
    <w:name w:val="引用1"/>
    <w:basedOn w:val="706"/>
    <w:next w:val="706"/>
    <w:link w:val="826"/>
    <w:uiPriority w:val="29"/>
    <w:qFormat/>
    <w:pPr>
      <w:ind w:left="720" w:right="720"/>
    </w:pPr>
    <w:rPr>
      <w:i/>
    </w:rPr>
  </w:style>
  <w:style w:type="character" w:styleId="826" w:customStyle="1">
    <w:name w:val="引用 字符"/>
    <w:link w:val="825"/>
    <w:uiPriority w:val="29"/>
    <w:qFormat/>
    <w:rPr>
      <w:i/>
    </w:rPr>
  </w:style>
  <w:style w:type="paragraph" w:styleId="827" w:customStyle="1">
    <w:name w:val="明显引用1"/>
    <w:basedOn w:val="706"/>
    <w:next w:val="706"/>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
    <w:link w:val="731"/>
    <w:uiPriority w:val="99"/>
    <w:qFormat/>
  </w:style>
  <w:style w:type="character" w:styleId="830" w:customStyle="1">
    <w:name w:val="Footer Char"/>
    <w:uiPriority w:val="99"/>
    <w:qFormat/>
  </w:style>
  <w:style w:type="character" w:styleId="831" w:customStyle="1">
    <w:name w:val="页脚 字符"/>
    <w:link w:val="730"/>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35"/>
    <w:uiPriority w:val="99"/>
    <w:qFormat/>
    <w:rPr>
      <w:sz w:val="18"/>
    </w:rPr>
  </w:style>
  <w:style w:type="character" w:styleId="939" w:customStyle="1">
    <w:name w:val="尾注文本 字符"/>
    <w:link w:val="728"/>
    <w:uiPriority w:val="99"/>
    <w:qFormat/>
    <w:rPr>
      <w:sz w:val="20"/>
    </w:rPr>
  </w:style>
  <w:style w:type="paragraph" w:styleId="940" w:customStyle="1">
    <w:name w:val="TOC 标题11"/>
    <w:uiPriority w:val="39"/>
    <w:unhideWhenUsed/>
    <w:qFormat/>
    <w:rPr>
      <w:rFonts w:hint="default" w:ascii="Times New Roman" w:hAnsi="Times New Roman" w:eastAsia="宋体" w:cs="Times New Roman"/>
      <w:lang w:val="en-US" w:eastAsia="zh-CN" w:bidi="ar-SA"/>
    </w:rPr>
  </w:style>
  <w:style w:type="paragraph" w:styleId="941" w:customStyle="1">
    <w:name w:val="标题 11"/>
    <w:basedOn w:val="706"/>
    <w:next w:val="706"/>
    <w:link w:val="955"/>
    <w:uiPriority w:val="0"/>
    <w:qFormat/>
    <w:pPr>
      <w:jc w:val="center"/>
      <w:keepNext/>
      <w:outlineLvl w:val="0"/>
    </w:pPr>
    <w:rPr>
      <w:rFonts w:ascii="楷体_GB2312" w:eastAsia="楷体_GB2312"/>
      <w:sz w:val="28"/>
      <w:szCs w:val="28"/>
    </w:rPr>
  </w:style>
  <w:style w:type="paragraph" w:styleId="942" w:customStyle="1">
    <w:name w:val="标题 21"/>
    <w:basedOn w:val="706"/>
    <w:next w:val="943"/>
    <w:link w:val="956"/>
    <w:uiPriority w:val="0"/>
    <w:qFormat/>
    <w:pPr>
      <w:jc w:val="center"/>
      <w:keepLines/>
      <w:keepNext/>
      <w:spacing w:before="260" w:after="260" w:line="416" w:lineRule="auto"/>
      <w:outlineLvl w:val="1"/>
    </w:pPr>
    <w:rPr>
      <w:rFonts w:ascii="Arial" w:hAnsi="Arial" w:eastAsia="幼圆"/>
      <w:b/>
      <w:bCs/>
      <w:sz w:val="44"/>
      <w:szCs w:val="44"/>
    </w:rPr>
  </w:style>
  <w:style w:type="paragraph" w:styleId="943" w:customStyle="1">
    <w:name w:val="正文缩进1"/>
    <w:basedOn w:val="706"/>
    <w:link w:val="957"/>
    <w:uiPriority w:val="0"/>
    <w:qFormat/>
    <w:pPr>
      <w:ind w:firstLine="420"/>
    </w:pPr>
    <w:rPr>
      <w:sz w:val="20"/>
      <w:szCs w:val="21"/>
    </w:rPr>
  </w:style>
  <w:style w:type="paragraph" w:styleId="944" w:customStyle="1">
    <w:name w:val="标题 31"/>
    <w:basedOn w:val="706"/>
    <w:next w:val="943"/>
    <w:link w:val="958"/>
    <w:uiPriority w:val="0"/>
    <w:qFormat/>
    <w:pPr>
      <w:keepLines/>
      <w:keepNext/>
      <w:spacing w:before="260" w:after="260" w:line="416" w:lineRule="auto"/>
      <w:outlineLvl w:val="2"/>
    </w:pPr>
    <w:rPr>
      <w:b/>
      <w:bCs/>
      <w:sz w:val="32"/>
      <w:szCs w:val="32"/>
    </w:rPr>
  </w:style>
  <w:style w:type="paragraph" w:styleId="945" w:customStyle="1">
    <w:name w:val="标题 41"/>
    <w:basedOn w:val="706"/>
    <w:next w:val="943"/>
    <w:link w:val="959"/>
    <w:uiPriority w:val="0"/>
    <w:qFormat/>
    <w:pPr>
      <w:keepLines/>
      <w:keepNext/>
      <w:spacing w:before="280" w:after="290" w:line="376" w:lineRule="auto"/>
      <w:outlineLvl w:val="3"/>
    </w:pPr>
    <w:rPr>
      <w:rFonts w:ascii="Arial" w:hAnsi="Arial" w:eastAsia="黑体"/>
      <w:b/>
      <w:bCs/>
      <w:sz w:val="28"/>
      <w:szCs w:val="28"/>
    </w:rPr>
  </w:style>
  <w:style w:type="paragraph" w:styleId="946" w:customStyle="1">
    <w:name w:val="标题 51"/>
    <w:basedOn w:val="706"/>
    <w:next w:val="943"/>
    <w:link w:val="960"/>
    <w:uiPriority w:val="0"/>
    <w:qFormat/>
    <w:pPr>
      <w:keepNext/>
      <w:outlineLvl w:val="4"/>
    </w:pPr>
    <w:rPr>
      <w:rFonts w:ascii="宋体"/>
      <w:color w:val="000000"/>
      <w:sz w:val="28"/>
      <w:szCs w:val="28"/>
    </w:rPr>
  </w:style>
  <w:style w:type="paragraph" w:styleId="947" w:customStyle="1">
    <w:name w:val="标题 61"/>
    <w:basedOn w:val="706"/>
    <w:next w:val="706"/>
    <w:link w:val="96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8" w:customStyle="1">
    <w:name w:val="标题 71"/>
    <w:basedOn w:val="706"/>
    <w:next w:val="706"/>
    <w:link w:val="962"/>
    <w:uiPriority w:val="0"/>
    <w:qFormat/>
    <w:pPr>
      <w:numPr>
        <w:ilvl w:val="6"/>
        <w:numId w:val="1"/>
      </w:numPr>
      <w:keepLines/>
      <w:keepNext/>
      <w:spacing w:before="240" w:after="64" w:line="320" w:lineRule="auto"/>
      <w:outlineLvl w:val="6"/>
    </w:pPr>
    <w:rPr>
      <w:b/>
      <w:bCs/>
      <w:sz w:val="24"/>
      <w:szCs w:val="24"/>
    </w:rPr>
  </w:style>
  <w:style w:type="paragraph" w:styleId="949" w:customStyle="1">
    <w:name w:val="标题 81"/>
    <w:basedOn w:val="706"/>
    <w:next w:val="706"/>
    <w:link w:val="9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0" w:customStyle="1">
    <w:name w:val="标题 91"/>
    <w:basedOn w:val="706"/>
    <w:next w:val="706"/>
    <w:link w:val="964"/>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51" w:customStyle="1">
    <w:name w:val="默认段落字体1"/>
    <w:uiPriority w:val="0"/>
    <w:qFormat/>
    <w:rPr>
      <w:rFonts w:ascii="Times New Roman" w:hAnsi="Times New Roman" w:eastAsia="宋体" w:cs="Times New Roman"/>
    </w:rPr>
  </w:style>
  <w:style w:type="table" w:styleId="952" w:customStyle="1">
    <w:name w:val="普通表格1"/>
    <w:uiPriority w:val="0"/>
    <w:qFormat/>
    <w:tblPr>
      <w:tblCellMar>
        <w:left w:w="0" w:type="dxa"/>
        <w:top w:w="0" w:type="dxa"/>
        <w:right w:w="0" w:type="dxa"/>
        <w:bottom w:w="0" w:type="dxa"/>
      </w:tblCellMar>
    </w:tblPr>
  </w:style>
  <w:style w:type="paragraph" w:styleId="953" w:customStyle="1">
    <w:name w:val="正文文本11"/>
    <w:basedOn w:val="706"/>
    <w:next w:val="706"/>
    <w:link w:val="954"/>
    <w:uiPriority w:val="0"/>
    <w:qFormat/>
    <w:rPr>
      <w:rFonts w:ascii="楷体_GB2312" w:hAnsi="Arial" w:eastAsia="楷体_GB2312"/>
      <w:sz w:val="28"/>
      <w:szCs w:val="28"/>
    </w:rPr>
  </w:style>
  <w:style w:type="character" w:styleId="954" w:customStyle="1">
    <w:name w:val="正文文本 Char"/>
    <w:link w:val="953"/>
    <w:uiPriority w:val="0"/>
    <w:qFormat/>
    <w:rPr>
      <w:rFonts w:ascii="楷体_GB2312" w:hAnsi="Arial" w:eastAsia="楷体_GB2312" w:cs="Times New Roman"/>
      <w:sz w:val="28"/>
      <w:szCs w:val="28"/>
    </w:rPr>
  </w:style>
  <w:style w:type="character" w:styleId="955" w:customStyle="1">
    <w:name w:val="标题 1 Char"/>
    <w:link w:val="941"/>
    <w:uiPriority w:val="0"/>
    <w:qFormat/>
    <w:rPr>
      <w:rFonts w:ascii="楷体_GB2312" w:hAnsi="Times New Roman" w:eastAsia="楷体_GB2312" w:cs="Times New Roman"/>
      <w:sz w:val="28"/>
      <w:szCs w:val="28"/>
    </w:rPr>
  </w:style>
  <w:style w:type="character" w:styleId="956" w:customStyle="1">
    <w:name w:val="标题 2 Char"/>
    <w:link w:val="942"/>
    <w:uiPriority w:val="0"/>
    <w:qFormat/>
    <w:rPr>
      <w:rFonts w:ascii="Arial" w:hAnsi="Arial" w:eastAsia="幼圆" w:cs="Arial"/>
      <w:b/>
      <w:bCs/>
      <w:sz w:val="44"/>
      <w:szCs w:val="44"/>
    </w:rPr>
  </w:style>
  <w:style w:type="character" w:styleId="957" w:customStyle="1">
    <w:name w:val="正文缩进 Char"/>
    <w:link w:val="943"/>
    <w:uiPriority w:val="0"/>
    <w:qFormat/>
    <w:rPr>
      <w:rFonts w:ascii="Times New Roman" w:hAnsi="Times New Roman" w:eastAsia="宋体" w:cs="Times New Roman"/>
      <w:szCs w:val="21"/>
    </w:rPr>
  </w:style>
  <w:style w:type="character" w:styleId="958" w:customStyle="1">
    <w:name w:val="标题 3 Char"/>
    <w:link w:val="944"/>
    <w:uiPriority w:val="0"/>
    <w:qFormat/>
    <w:rPr>
      <w:rFonts w:ascii="Times New Roman" w:hAnsi="Times New Roman" w:eastAsia="宋体" w:cs="Times New Roman"/>
      <w:b/>
      <w:bCs/>
      <w:sz w:val="32"/>
      <w:szCs w:val="32"/>
    </w:rPr>
  </w:style>
  <w:style w:type="character" w:styleId="959" w:customStyle="1">
    <w:name w:val="标题 4 Char"/>
    <w:link w:val="945"/>
    <w:uiPriority w:val="0"/>
    <w:qFormat/>
    <w:rPr>
      <w:rFonts w:ascii="Arial" w:hAnsi="Arial" w:eastAsia="黑体" w:cs="Arial"/>
      <w:b/>
      <w:bCs/>
      <w:sz w:val="28"/>
      <w:szCs w:val="28"/>
    </w:rPr>
  </w:style>
  <w:style w:type="character" w:styleId="960" w:customStyle="1">
    <w:name w:val="标题 5 Char"/>
    <w:link w:val="946"/>
    <w:uiPriority w:val="0"/>
    <w:qFormat/>
    <w:rPr>
      <w:rFonts w:ascii="宋体" w:hAnsi="Times New Roman" w:eastAsia="宋体" w:cs="Times New Roman"/>
      <w:color w:val="000000"/>
      <w:sz w:val="28"/>
      <w:szCs w:val="28"/>
    </w:rPr>
  </w:style>
  <w:style w:type="character" w:styleId="961" w:customStyle="1">
    <w:name w:val="标题 6 Char"/>
    <w:link w:val="947"/>
    <w:uiPriority w:val="0"/>
    <w:qFormat/>
    <w:rPr>
      <w:rFonts w:ascii="Arial" w:hAnsi="Arial" w:eastAsia="黑体" w:cs="Times New Roman"/>
      <w:b/>
      <w:bCs/>
      <w:sz w:val="24"/>
      <w:szCs w:val="24"/>
    </w:rPr>
  </w:style>
  <w:style w:type="character" w:styleId="962" w:customStyle="1">
    <w:name w:val="标题 7 Char"/>
    <w:link w:val="948"/>
    <w:uiPriority w:val="0"/>
    <w:qFormat/>
    <w:rPr>
      <w:rFonts w:ascii="Times New Roman" w:hAnsi="Times New Roman" w:eastAsia="宋体" w:cs="Times New Roman"/>
      <w:b/>
      <w:bCs/>
      <w:sz w:val="24"/>
      <w:szCs w:val="24"/>
    </w:rPr>
  </w:style>
  <w:style w:type="character" w:styleId="963" w:customStyle="1">
    <w:name w:val="标题 8 Char"/>
    <w:link w:val="949"/>
    <w:uiPriority w:val="0"/>
    <w:qFormat/>
    <w:rPr>
      <w:rFonts w:ascii="Arial" w:hAnsi="Arial" w:eastAsia="黑体" w:cs="Times New Roman"/>
      <w:sz w:val="24"/>
      <w:szCs w:val="24"/>
    </w:rPr>
  </w:style>
  <w:style w:type="character" w:styleId="964" w:customStyle="1">
    <w:name w:val="标题 9 Char"/>
    <w:link w:val="950"/>
    <w:uiPriority w:val="0"/>
    <w:qFormat/>
    <w:rPr>
      <w:rFonts w:ascii="Arial" w:hAnsi="Arial" w:eastAsia="黑体" w:cs="Times New Roman"/>
      <w:szCs w:val="21"/>
    </w:rPr>
  </w:style>
  <w:style w:type="paragraph" w:styleId="965" w:customStyle="1">
    <w:name w:val="列表 31"/>
    <w:basedOn w:val="706"/>
    <w:uiPriority w:val="0"/>
    <w:qFormat/>
    <w:pPr>
      <w:ind w:left="100" w:hanging="200"/>
    </w:pPr>
    <w:rPr>
      <w:szCs w:val="21"/>
    </w:rPr>
  </w:style>
  <w:style w:type="paragraph" w:styleId="966" w:customStyle="1">
    <w:name w:val="目录 71"/>
    <w:basedOn w:val="706"/>
    <w:next w:val="706"/>
    <w:uiPriority w:val="0"/>
    <w:qFormat/>
    <w:pPr>
      <w:ind w:left="1260"/>
      <w:jc w:val="left"/>
    </w:pPr>
    <w:rPr>
      <w:szCs w:val="21"/>
    </w:rPr>
  </w:style>
  <w:style w:type="paragraph" w:styleId="967" w:customStyle="1">
    <w:name w:val="文档结构图1"/>
    <w:basedOn w:val="706"/>
    <w:link w:val="968"/>
    <w:uiPriority w:val="0"/>
    <w:qFormat/>
    <w:pPr>
      <w:shd w:val="clear" w:color="auto" w:fill="000080"/>
    </w:pPr>
    <w:rPr>
      <w:sz w:val="20"/>
      <w:szCs w:val="21"/>
    </w:rPr>
  </w:style>
  <w:style w:type="character" w:styleId="968" w:customStyle="1">
    <w:name w:val="文档结构图 Char"/>
    <w:link w:val="967"/>
    <w:uiPriority w:val="0"/>
    <w:qFormat/>
    <w:rPr>
      <w:rFonts w:ascii="Times New Roman" w:hAnsi="Times New Roman" w:eastAsia="宋体" w:cs="Times New Roman"/>
      <w:szCs w:val="21"/>
      <w:shd w:val="clear" w:color="auto" w:fill="000080"/>
    </w:rPr>
  </w:style>
  <w:style w:type="paragraph" w:styleId="969" w:customStyle="1">
    <w:name w:val="批注文字1"/>
    <w:basedOn w:val="706"/>
    <w:link w:val="970"/>
    <w:uiPriority w:val="0"/>
    <w:qFormat/>
    <w:pPr>
      <w:jc w:val="left"/>
    </w:pPr>
  </w:style>
  <w:style w:type="character" w:styleId="970" w:customStyle="1">
    <w:name w:val="批注文字 Char"/>
    <w:basedOn w:val="951"/>
    <w:link w:val="969"/>
    <w:uiPriority w:val="0"/>
    <w:qFormat/>
    <w:rPr>
      <w:rFonts w:ascii="Times New Roman" w:hAnsi="Times New Roman" w:eastAsia="宋体" w:cs="Times New Roman"/>
    </w:rPr>
  </w:style>
  <w:style w:type="paragraph" w:styleId="971" w:customStyle="1">
    <w:name w:val="正文文本 31"/>
    <w:basedOn w:val="706"/>
    <w:link w:val="972"/>
    <w:uiPriority w:val="0"/>
    <w:qFormat/>
    <w:rPr>
      <w:rFonts w:ascii="仿宋_GB2312" w:hAnsi="Arial" w:eastAsia="仿宋_GB2312"/>
      <w:sz w:val="32"/>
      <w:szCs w:val="32"/>
    </w:rPr>
  </w:style>
  <w:style w:type="character" w:styleId="972" w:customStyle="1">
    <w:name w:val="正文文本 3 Char"/>
    <w:link w:val="971"/>
    <w:uiPriority w:val="0"/>
    <w:qFormat/>
    <w:rPr>
      <w:rFonts w:ascii="仿宋_GB2312" w:hAnsi="Arial" w:eastAsia="仿宋_GB2312" w:cs="Times New Roman"/>
      <w:sz w:val="32"/>
      <w:szCs w:val="32"/>
    </w:rPr>
  </w:style>
  <w:style w:type="paragraph" w:styleId="973" w:customStyle="1">
    <w:name w:val="正文文本缩进1"/>
    <w:basedOn w:val="706"/>
    <w:link w:val="974"/>
    <w:uiPriority w:val="0"/>
    <w:qFormat/>
    <w:pPr>
      <w:ind w:left="420"/>
      <w:spacing w:after="120"/>
    </w:pPr>
  </w:style>
  <w:style w:type="character" w:styleId="974" w:customStyle="1">
    <w:name w:val="正文文本缩进 Char"/>
    <w:basedOn w:val="951"/>
    <w:link w:val="973"/>
    <w:uiPriority w:val="0"/>
    <w:qFormat/>
    <w:rPr>
      <w:rFonts w:ascii="Times New Roman" w:hAnsi="Times New Roman" w:eastAsia="宋体" w:cs="Times New Roman"/>
    </w:rPr>
  </w:style>
  <w:style w:type="paragraph" w:styleId="975" w:customStyle="1">
    <w:name w:val="列表 21"/>
    <w:basedOn w:val="706"/>
    <w:uiPriority w:val="0"/>
    <w:qFormat/>
    <w:pPr>
      <w:ind w:left="100" w:hanging="200"/>
    </w:pPr>
    <w:rPr>
      <w:szCs w:val="21"/>
    </w:rPr>
  </w:style>
  <w:style w:type="paragraph" w:styleId="976" w:customStyle="1">
    <w:name w:val="目录 51"/>
    <w:basedOn w:val="706"/>
    <w:next w:val="706"/>
    <w:uiPriority w:val="0"/>
    <w:qFormat/>
    <w:pPr>
      <w:ind w:left="840"/>
      <w:jc w:val="left"/>
    </w:pPr>
    <w:rPr>
      <w:szCs w:val="21"/>
    </w:rPr>
  </w:style>
  <w:style w:type="paragraph" w:styleId="977" w:customStyle="1">
    <w:name w:val="目录 31"/>
    <w:basedOn w:val="706"/>
    <w:next w:val="706"/>
    <w:uiPriority w:val="0"/>
    <w:qFormat/>
    <w:pPr>
      <w:ind w:left="420"/>
      <w:jc w:val="left"/>
    </w:pPr>
    <w:rPr>
      <w:i/>
      <w:iCs/>
      <w:szCs w:val="24"/>
    </w:rPr>
  </w:style>
  <w:style w:type="paragraph" w:styleId="978" w:customStyle="1">
    <w:name w:val="纯文本1"/>
    <w:basedOn w:val="706"/>
    <w:link w:val="979"/>
    <w:uiPriority w:val="0"/>
    <w:qFormat/>
    <w:rPr>
      <w:rFonts w:ascii="宋体" w:hAnsi="Courier New"/>
      <w:sz w:val="20"/>
      <w:szCs w:val="21"/>
    </w:rPr>
  </w:style>
  <w:style w:type="character" w:styleId="979" w:customStyle="1">
    <w:name w:val="纯文本 Char"/>
    <w:link w:val="978"/>
    <w:uiPriority w:val="0"/>
    <w:qFormat/>
    <w:rPr>
      <w:rFonts w:ascii="宋体" w:hAnsi="Courier New" w:eastAsia="宋体" w:cs="Courier New"/>
      <w:szCs w:val="21"/>
    </w:rPr>
  </w:style>
  <w:style w:type="paragraph" w:styleId="980" w:customStyle="1">
    <w:name w:val="目录 81"/>
    <w:basedOn w:val="706"/>
    <w:next w:val="706"/>
    <w:uiPriority w:val="0"/>
    <w:qFormat/>
    <w:pPr>
      <w:ind w:left="1470"/>
      <w:jc w:val="left"/>
    </w:pPr>
    <w:rPr>
      <w:szCs w:val="21"/>
    </w:rPr>
  </w:style>
  <w:style w:type="paragraph" w:styleId="981" w:customStyle="1">
    <w:name w:val="日期1"/>
    <w:basedOn w:val="706"/>
    <w:next w:val="706"/>
    <w:link w:val="982"/>
    <w:uiPriority w:val="0"/>
    <w:qFormat/>
    <w:rPr>
      <w:sz w:val="24"/>
      <w:szCs w:val="24"/>
    </w:rPr>
  </w:style>
  <w:style w:type="character" w:styleId="982" w:customStyle="1">
    <w:name w:val="日期 Char"/>
    <w:link w:val="981"/>
    <w:uiPriority w:val="0"/>
    <w:qFormat/>
    <w:rPr>
      <w:rFonts w:ascii="Times New Roman" w:hAnsi="Times New Roman" w:eastAsia="宋体" w:cs="Times New Roman"/>
      <w:sz w:val="24"/>
      <w:szCs w:val="24"/>
    </w:rPr>
  </w:style>
  <w:style w:type="paragraph" w:styleId="983" w:customStyle="1">
    <w:name w:val="正文文本缩进 21"/>
    <w:basedOn w:val="706"/>
    <w:link w:val="984"/>
    <w:uiPriority w:val="0"/>
    <w:qFormat/>
    <w:pPr>
      <w:ind w:left="630" w:firstLine="645"/>
    </w:pPr>
    <w:rPr>
      <w:rFonts w:ascii="Arial" w:hAnsi="Arial" w:eastAsia="仿宋_GB2312"/>
      <w:sz w:val="32"/>
      <w:szCs w:val="32"/>
    </w:rPr>
  </w:style>
  <w:style w:type="character" w:styleId="984" w:customStyle="1">
    <w:name w:val="正文文本缩进 2 Char"/>
    <w:link w:val="983"/>
    <w:uiPriority w:val="0"/>
    <w:qFormat/>
    <w:rPr>
      <w:rFonts w:ascii="Arial" w:hAnsi="Arial" w:eastAsia="仿宋_GB2312" w:cs="Arial"/>
      <w:sz w:val="32"/>
      <w:szCs w:val="32"/>
    </w:rPr>
  </w:style>
  <w:style w:type="paragraph" w:styleId="985" w:customStyle="1">
    <w:name w:val="批注框文本1"/>
    <w:basedOn w:val="706"/>
    <w:link w:val="986"/>
    <w:uiPriority w:val="0"/>
    <w:qFormat/>
    <w:rPr>
      <w:sz w:val="18"/>
      <w:szCs w:val="18"/>
    </w:rPr>
  </w:style>
  <w:style w:type="character" w:styleId="986" w:customStyle="1">
    <w:name w:val="批注框文本 Char"/>
    <w:link w:val="985"/>
    <w:uiPriority w:val="0"/>
    <w:qFormat/>
    <w:rPr>
      <w:rFonts w:ascii="Times New Roman" w:hAnsi="Times New Roman" w:eastAsia="宋体" w:cs="Times New Roman"/>
      <w:sz w:val="18"/>
      <w:szCs w:val="18"/>
    </w:rPr>
  </w:style>
  <w:style w:type="paragraph" w:styleId="987" w:customStyle="1">
    <w:name w:val="页脚1"/>
    <w:basedOn w:val="706"/>
    <w:link w:val="988"/>
    <w:uiPriority w:val="0"/>
    <w:qFormat/>
    <w:pPr>
      <w:jc w:val="left"/>
      <w:tabs>
        <w:tab w:val="center" w:pos="4153" w:leader="none"/>
        <w:tab w:val="right" w:pos="8306" w:leader="none"/>
      </w:tabs>
    </w:pPr>
    <w:rPr>
      <w:sz w:val="18"/>
      <w:szCs w:val="18"/>
    </w:rPr>
  </w:style>
  <w:style w:type="character" w:styleId="988" w:customStyle="1">
    <w:name w:val="页脚 Char"/>
    <w:link w:val="987"/>
    <w:uiPriority w:val="0"/>
    <w:qFormat/>
    <w:rPr>
      <w:rFonts w:ascii="Times New Roman" w:hAnsi="Times New Roman" w:eastAsia="宋体" w:cs="Times New Roman"/>
      <w:sz w:val="18"/>
      <w:szCs w:val="18"/>
    </w:rPr>
  </w:style>
  <w:style w:type="paragraph" w:styleId="989" w:customStyle="1">
    <w:name w:val="页眉1"/>
    <w:basedOn w:val="706"/>
    <w:link w:val="990"/>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页眉 Char"/>
    <w:link w:val="989"/>
    <w:uiPriority w:val="0"/>
    <w:qFormat/>
    <w:rPr>
      <w:rFonts w:ascii="Times New Roman" w:hAnsi="Times New Roman" w:eastAsia="宋体" w:cs="Times New Roman"/>
      <w:sz w:val="18"/>
      <w:szCs w:val="18"/>
    </w:rPr>
  </w:style>
  <w:style w:type="paragraph" w:styleId="991" w:customStyle="1">
    <w:name w:val="目录 11"/>
    <w:basedOn w:val="706"/>
    <w:next w:val="706"/>
    <w:uiPriority w:val="0"/>
    <w:qFormat/>
    <w:pPr>
      <w:jc w:val="left"/>
      <w:spacing w:before="120" w:after="120" w:line="400" w:lineRule="exact"/>
      <w:tabs>
        <w:tab w:val="right" w:pos="8720" w:leader="dot"/>
      </w:tabs>
    </w:pPr>
    <w:rPr>
      <w:rFonts w:ascii="宋体" w:hAnsi="宋体"/>
      <w:caps/>
      <w:sz w:val="24"/>
      <w:szCs w:val="24"/>
    </w:rPr>
  </w:style>
  <w:style w:type="paragraph" w:styleId="992" w:customStyle="1">
    <w:name w:val="目录 41"/>
    <w:basedOn w:val="706"/>
    <w:next w:val="706"/>
    <w:uiPriority w:val="0"/>
    <w:qFormat/>
    <w:pPr>
      <w:ind w:left="630"/>
      <w:jc w:val="left"/>
    </w:pPr>
    <w:rPr>
      <w:szCs w:val="21"/>
    </w:rPr>
  </w:style>
  <w:style w:type="paragraph" w:styleId="993" w:customStyle="1">
    <w:name w:val="列表1"/>
    <w:basedOn w:val="706"/>
    <w:uiPriority w:val="0"/>
    <w:qFormat/>
    <w:pPr>
      <w:ind w:left="200" w:hanging="200"/>
    </w:pPr>
    <w:rPr>
      <w:szCs w:val="21"/>
    </w:rPr>
  </w:style>
  <w:style w:type="paragraph" w:styleId="994" w:customStyle="1">
    <w:name w:val="目录 61"/>
    <w:basedOn w:val="706"/>
    <w:next w:val="706"/>
    <w:uiPriority w:val="0"/>
    <w:qFormat/>
    <w:pPr>
      <w:ind w:left="1050"/>
      <w:jc w:val="left"/>
    </w:pPr>
    <w:rPr>
      <w:szCs w:val="21"/>
    </w:rPr>
  </w:style>
  <w:style w:type="paragraph" w:styleId="995" w:customStyle="1">
    <w:name w:val="正文文本缩进 31"/>
    <w:basedOn w:val="706"/>
    <w:link w:val="996"/>
    <w:uiPriority w:val="0"/>
    <w:qFormat/>
    <w:pPr>
      <w:ind w:left="645" w:firstLine="645"/>
    </w:pPr>
    <w:rPr>
      <w:rFonts w:ascii="Arial" w:hAnsi="Arial" w:eastAsia="仿宋_GB2312"/>
      <w:color w:val="ffff00"/>
      <w:sz w:val="32"/>
      <w:szCs w:val="32"/>
    </w:rPr>
  </w:style>
  <w:style w:type="character" w:styleId="996" w:customStyle="1">
    <w:name w:val="正文文本缩进 3 Char"/>
    <w:link w:val="995"/>
    <w:uiPriority w:val="0"/>
    <w:qFormat/>
    <w:rPr>
      <w:rFonts w:ascii="Arial" w:hAnsi="Arial" w:eastAsia="仿宋_GB2312" w:cs="Arial"/>
      <w:color w:val="ffff00"/>
      <w:sz w:val="32"/>
      <w:szCs w:val="32"/>
    </w:rPr>
  </w:style>
  <w:style w:type="paragraph" w:styleId="997" w:customStyle="1">
    <w:name w:val="图表目录1"/>
    <w:basedOn w:val="706"/>
    <w:next w:val="706"/>
    <w:uiPriority w:val="0"/>
    <w:qFormat/>
    <w:pPr>
      <w:ind w:left="840" w:hanging="420"/>
    </w:pPr>
    <w:rPr>
      <w:szCs w:val="21"/>
    </w:rPr>
  </w:style>
  <w:style w:type="paragraph" w:styleId="998" w:customStyle="1">
    <w:name w:val="目录 21"/>
    <w:basedOn w:val="706"/>
    <w:next w:val="706"/>
    <w:uiPriority w:val="0"/>
    <w:qFormat/>
    <w:pPr>
      <w:ind w:left="210"/>
      <w:jc w:val="left"/>
    </w:pPr>
    <w:rPr>
      <w:smallCaps/>
      <w:szCs w:val="24"/>
    </w:rPr>
  </w:style>
  <w:style w:type="paragraph" w:styleId="999" w:customStyle="1">
    <w:name w:val="目录 91"/>
    <w:basedOn w:val="706"/>
    <w:next w:val="706"/>
    <w:uiPriority w:val="0"/>
    <w:qFormat/>
    <w:pPr>
      <w:ind w:left="1680"/>
      <w:jc w:val="left"/>
    </w:pPr>
    <w:rPr>
      <w:szCs w:val="21"/>
    </w:rPr>
  </w:style>
  <w:style w:type="paragraph" w:styleId="1000" w:customStyle="1">
    <w:name w:val="正文文本 21"/>
    <w:basedOn w:val="706"/>
    <w:link w:val="1001"/>
    <w:uiPriority w:val="0"/>
    <w:qFormat/>
    <w:pPr>
      <w:jc w:val="center"/>
      <w:widowControl/>
    </w:pPr>
    <w:rPr>
      <w:rFonts w:ascii="楷体_GB2312" w:eastAsia="楷体_GB2312"/>
      <w:sz w:val="28"/>
      <w:szCs w:val="28"/>
    </w:rPr>
  </w:style>
  <w:style w:type="character" w:styleId="1001" w:customStyle="1">
    <w:name w:val="正文文本 2 Char"/>
    <w:link w:val="1000"/>
    <w:uiPriority w:val="0"/>
    <w:qFormat/>
    <w:rPr>
      <w:rFonts w:ascii="楷体_GB2312" w:hAnsi="Times New Roman" w:eastAsia="楷体_GB2312" w:cs="Times New Roman"/>
      <w:sz w:val="28"/>
      <w:szCs w:val="28"/>
    </w:rPr>
  </w:style>
  <w:style w:type="paragraph" w:styleId="1002" w:customStyle="1">
    <w:name w:val="普通(网站)1"/>
    <w:basedOn w:val="706"/>
    <w:uiPriority w:val="0"/>
    <w:qFormat/>
    <w:pPr>
      <w:jc w:val="left"/>
      <w:spacing w:before="100" w:beforeAutospacing="1" w:after="100" w:afterAutospacing="1"/>
      <w:widowControl/>
    </w:pPr>
    <w:rPr>
      <w:rFonts w:ascii="宋体" w:hAnsi="宋体" w:cs="宋体"/>
      <w:sz w:val="24"/>
      <w:szCs w:val="24"/>
    </w:rPr>
  </w:style>
  <w:style w:type="paragraph" w:styleId="1003" w:customStyle="1">
    <w:name w:val="索引 11"/>
    <w:basedOn w:val="706"/>
    <w:next w:val="706"/>
    <w:uiPriority w:val="0"/>
    <w:qFormat/>
    <w:pPr>
      <w:spacing w:line="240" w:lineRule="atLeast"/>
    </w:pPr>
    <w:rPr>
      <w:b/>
      <w:bCs/>
      <w:szCs w:val="21"/>
    </w:rPr>
  </w:style>
  <w:style w:type="paragraph" w:styleId="1004" w:customStyle="1">
    <w:name w:val="批注主题1"/>
    <w:basedOn w:val="969"/>
    <w:next w:val="969"/>
    <w:link w:val="1005"/>
    <w:uiPriority w:val="0"/>
    <w:qFormat/>
    <w:rPr>
      <w:b/>
      <w:bCs/>
      <w:sz w:val="20"/>
      <w:szCs w:val="21"/>
    </w:rPr>
  </w:style>
  <w:style w:type="character" w:styleId="1005" w:customStyle="1">
    <w:name w:val="批注主题 Char"/>
    <w:link w:val="1004"/>
    <w:uiPriority w:val="0"/>
    <w:qFormat/>
    <w:rPr>
      <w:rFonts w:ascii="Times New Roman" w:hAnsi="Times New Roman" w:eastAsia="宋体" w:cs="Times New Roman"/>
      <w:b/>
      <w:bCs/>
      <w:szCs w:val="21"/>
    </w:rPr>
  </w:style>
  <w:style w:type="paragraph" w:styleId="1006" w:customStyle="1">
    <w:name w:val="正文首行缩进1"/>
    <w:basedOn w:val="706"/>
    <w:link w:val="1007"/>
    <w:uiPriority w:val="0"/>
    <w:qFormat/>
    <w:pPr>
      <w:ind w:firstLine="200"/>
      <w:spacing w:line="360" w:lineRule="auto"/>
    </w:pPr>
    <w:rPr>
      <w:rFonts w:ascii="仿宋_GB2312" w:eastAsia="仿宋_GB2312"/>
      <w:sz w:val="30"/>
      <w:szCs w:val="30"/>
    </w:rPr>
  </w:style>
  <w:style w:type="character" w:styleId="1007" w:customStyle="1">
    <w:name w:val="正文首行缩进 Char"/>
    <w:link w:val="1006"/>
    <w:uiPriority w:val="0"/>
    <w:qFormat/>
    <w:rPr>
      <w:rFonts w:ascii="仿宋_GB2312" w:hAnsi="Times New Roman" w:eastAsia="仿宋_GB2312" w:cs="Times New Roman"/>
      <w:sz w:val="30"/>
      <w:szCs w:val="30"/>
    </w:rPr>
  </w:style>
  <w:style w:type="paragraph" w:styleId="1008" w:customStyle="1">
    <w:name w:val="正文首行缩进 21"/>
    <w:basedOn w:val="973"/>
    <w:link w:val="1009"/>
    <w:uiPriority w:val="0"/>
    <w:qFormat/>
    <w:pPr>
      <w:ind w:left="0" w:firstLine="420"/>
      <w:spacing w:after="0" w:line="360" w:lineRule="auto"/>
    </w:pPr>
    <w:rPr>
      <w:rFonts w:ascii="宋体" w:hAnsi="宋体"/>
      <w:sz w:val="20"/>
      <w:szCs w:val="20"/>
    </w:rPr>
  </w:style>
  <w:style w:type="character" w:styleId="1009" w:customStyle="1">
    <w:name w:val="正文首行缩进 2 Char"/>
    <w:link w:val="1008"/>
    <w:uiPriority w:val="0"/>
    <w:qFormat/>
    <w:rPr>
      <w:rFonts w:ascii="宋体" w:hAnsi="宋体" w:eastAsia="宋体" w:cs="Times New Roman"/>
      <w:szCs w:val="20"/>
    </w:rPr>
  </w:style>
  <w:style w:type="table" w:styleId="1010" w:customStyle="1">
    <w:name w:val="网格型1"/>
    <w:basedOn w:val="952"/>
    <w:uiPriority w:val="0"/>
    <w:qFormat/>
    <w:pPr>
      <w:jc w:val="both"/>
      <w:widowControl w:val="off"/>
    </w:pPr>
    <w:tblPr/>
  </w:style>
  <w:style w:type="character" w:styleId="1011" w:customStyle="1">
    <w:name w:val="要点1"/>
    <w:uiPriority w:val="0"/>
    <w:qFormat/>
    <w:rPr>
      <w:rFonts w:ascii="Times New Roman" w:hAnsi="Times New Roman" w:eastAsia="宋体" w:cs="Times New Roman"/>
      <w:b/>
      <w:bCs/>
    </w:rPr>
  </w:style>
  <w:style w:type="character" w:styleId="1012" w:customStyle="1">
    <w:name w:val="页码1"/>
    <w:uiPriority w:val="0"/>
    <w:qFormat/>
    <w:rPr>
      <w:rFonts w:ascii="Times New Roman" w:hAnsi="Times New Roman" w:eastAsia="宋体" w:cs="Times New Roman"/>
    </w:rPr>
  </w:style>
  <w:style w:type="character" w:styleId="1013" w:customStyle="1">
    <w:name w:val="已访问的超链接1"/>
    <w:uiPriority w:val="0"/>
    <w:qFormat/>
    <w:rPr>
      <w:rFonts w:ascii="Times New Roman" w:hAnsi="Times New Roman" w:eastAsia="宋体" w:cs="Times New Roman"/>
      <w:color w:val="800080"/>
      <w:u w:val="single"/>
    </w:rPr>
  </w:style>
  <w:style w:type="character" w:styleId="1014" w:customStyle="1">
    <w:name w:val="强调1"/>
    <w:basedOn w:val="951"/>
    <w:uiPriority w:val="0"/>
    <w:qFormat/>
    <w:rPr>
      <w:rFonts w:ascii="Times New Roman" w:hAnsi="Times New Roman" w:eastAsia="宋体" w:cs="Times New Roman"/>
      <w:i/>
      <w:iCs/>
    </w:rPr>
  </w:style>
  <w:style w:type="character" w:styleId="1015" w:customStyle="1">
    <w:name w:val="超链接1"/>
    <w:uiPriority w:val="0"/>
    <w:qFormat/>
    <w:rPr>
      <w:rFonts w:ascii="Times New Roman" w:hAnsi="Times New Roman" w:eastAsia="宋体" w:cs="Times New Roman"/>
      <w:color w:val="0000ff"/>
      <w:u w:val="single"/>
    </w:rPr>
  </w:style>
  <w:style w:type="character" w:styleId="1016" w:customStyle="1">
    <w:name w:val="批注引用1"/>
    <w:uiPriority w:val="0"/>
    <w:qFormat/>
    <w:rPr>
      <w:rFonts w:ascii="Times New Roman" w:hAnsi="Times New Roman" w:eastAsia="宋体" w:cs="Times New Roman"/>
      <w:sz w:val="21"/>
      <w:szCs w:val="21"/>
    </w:rPr>
  </w:style>
  <w:style w:type="paragraph" w:styleId="1017"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1018" w:customStyle="1">
    <w:name w:val="列出段落111"/>
    <w:basedOn w:val="706"/>
    <w:uiPriority w:val="0"/>
    <w:qFormat/>
    <w:pPr>
      <w:contextualSpacing/>
      <w:ind w:left="720"/>
      <w:jc w:val="left"/>
      <w:widowControl/>
    </w:pPr>
    <w:rPr>
      <w:rFonts w:ascii="Calibri" w:hAnsi="Calibri"/>
      <w:sz w:val="24"/>
      <w:szCs w:val="24"/>
      <w:lang w:eastAsia="en-US" w:bidi="en-US"/>
    </w:rPr>
  </w:style>
  <w:style w:type="character" w:styleId="1019" w:customStyle="1">
    <w:name w:val="font5 Char"/>
    <w:uiPriority w:val="0"/>
    <w:qFormat/>
    <w:rPr>
      <w:rFonts w:ascii="宋体" w:hAnsi="宋体" w:eastAsia="宋体" w:cs="Times New Roman"/>
      <w:sz w:val="28"/>
      <w:szCs w:val="28"/>
      <w:lang w:val="en-US" w:eastAsia="zh-CN" w:bidi="ar-SA"/>
    </w:rPr>
  </w:style>
  <w:style w:type="character" w:styleId="1020" w:customStyle="1">
    <w:name w:val="二级目录 Char"/>
    <w:link w:val="1021"/>
    <w:uiPriority w:val="0"/>
    <w:qFormat/>
    <w:rPr>
      <w:b/>
      <w:sz w:val="30"/>
      <w:szCs w:val="28"/>
    </w:rPr>
  </w:style>
  <w:style w:type="paragraph" w:styleId="1021" w:customStyle="1">
    <w:name w:val="二级目录"/>
    <w:next w:val="706"/>
    <w:link w:val="1020"/>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2" w:customStyle="1">
    <w:name w:val="列出段落 Char"/>
    <w:link w:val="1023"/>
    <w:uiPriority w:val="0"/>
    <w:qFormat/>
    <w:rPr>
      <w:rFonts w:ascii="Calibri" w:hAnsi="Calibri" w:eastAsia="宋体" w:cs="Times New Roman"/>
      <w:sz w:val="24"/>
      <w:szCs w:val="24"/>
      <w:lang w:eastAsia="en-US" w:bidi="en-US"/>
    </w:rPr>
  </w:style>
  <w:style w:type="paragraph" w:styleId="1023" w:customStyle="1">
    <w:name w:val="列出段落11"/>
    <w:basedOn w:val="706"/>
    <w:link w:val="1022"/>
    <w:uiPriority w:val="0"/>
    <w:qFormat/>
    <w:pPr>
      <w:contextualSpacing/>
      <w:ind w:left="720"/>
      <w:jc w:val="left"/>
      <w:widowControl/>
    </w:pPr>
    <w:rPr>
      <w:sz w:val="24"/>
      <w:szCs w:val="24"/>
      <w:lang w:eastAsia="en-US" w:bidi="en-US"/>
    </w:rPr>
  </w:style>
  <w:style w:type="paragraph" w:styleId="1024" w:customStyle="1">
    <w:name w:val="Body Text(ch)"/>
    <w:basedOn w:val="706"/>
    <w:next w:val="953"/>
    <w:uiPriority w:val="0"/>
    <w:qFormat/>
    <w:pPr>
      <w:spacing w:after="120"/>
    </w:pPr>
    <w:rPr>
      <w:rFonts w:ascii="宋体" w:hAnsi="Arial"/>
      <w:bCs/>
      <w:iCs/>
      <w:szCs w:val="24"/>
    </w:rPr>
  </w:style>
  <w:style w:type="paragraph" w:styleId="1025"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customStyle="1">
    <w:name w:val="Char"/>
    <w:basedOn w:val="706"/>
    <w:uiPriority w:val="0"/>
    <w:qFormat/>
    <w:pPr>
      <w:ind w:firstLine="200"/>
      <w:tabs>
        <w:tab w:val="left" w:pos="360" w:leader="none"/>
      </w:tabs>
    </w:pPr>
    <w:rPr>
      <w:sz w:val="28"/>
      <w:szCs w:val="30"/>
    </w:rPr>
  </w:style>
  <w:style w:type="paragraph" w:styleId="1028" w:customStyle="1">
    <w:name w:val="Char1"/>
    <w:basedOn w:val="967"/>
    <w:uiPriority w:val="0"/>
    <w:qFormat/>
    <w:rPr>
      <w:rFonts w:ascii="Tahoma" w:hAnsi="Tahoma"/>
      <w:sz w:val="24"/>
      <w:szCs w:val="24"/>
    </w:rPr>
  </w:style>
  <w:style w:type="paragraph" w:styleId="1029" w:customStyle="1">
    <w:name w:val="table_lines"/>
    <w:basedOn w:val="706"/>
    <w:uiPriority w:val="0"/>
    <w:qFormat/>
    <w:pPr>
      <w:jc w:val="left"/>
      <w:widowControl/>
    </w:pPr>
    <w:rPr>
      <w:sz w:val="20"/>
      <w:szCs w:val="20"/>
      <w:lang w:val="de-DE" w:eastAsia="de-DE"/>
    </w:rPr>
  </w:style>
  <w:style w:type="paragraph" w:styleId="10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1"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1032" w:customStyle="1">
    <w:name w:val="Char Char Char Char"/>
    <w:basedOn w:val="967"/>
    <w:uiPriority w:val="0"/>
    <w:qFormat/>
    <w:pPr>
      <w:spacing w:line="360" w:lineRule="auto"/>
    </w:pPr>
    <w:rPr>
      <w:rFonts w:ascii="Tahoma" w:hAnsi="Tahoma"/>
      <w:sz w:val="24"/>
      <w:szCs w:val="24"/>
    </w:rPr>
  </w:style>
  <w:style w:type="paragraph" w:styleId="1033" w:customStyle="1">
    <w:name w:val="4"/>
    <w:basedOn w:val="706"/>
    <w:next w:val="995"/>
    <w:uiPriority w:val="0"/>
    <w:qFormat/>
    <w:pPr>
      <w:ind w:firstLine="420"/>
      <w:spacing w:line="360" w:lineRule="auto"/>
    </w:pPr>
    <w:rPr>
      <w:color w:val="ff0000"/>
      <w:sz w:val="24"/>
      <w:szCs w:val="24"/>
    </w:rPr>
  </w:style>
  <w:style w:type="paragraph" w:styleId="1034"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1035" w:customStyle="1">
    <w:name w:val="Char Char Char Char Char Char Char Char Char Char"/>
    <w:basedOn w:val="706"/>
    <w:uiPriority w:val="0"/>
    <w:qFormat/>
    <w:pPr>
      <w:spacing w:line="360" w:lineRule="auto"/>
    </w:pPr>
    <w:rPr>
      <w:sz w:val="24"/>
      <w:szCs w:val="20"/>
    </w:rPr>
  </w:style>
  <w:style w:type="paragraph" w:styleId="1036" w:customStyle="1">
    <w:name w:val="样式1"/>
    <w:basedOn w:val="706"/>
    <w:uiPriority w:val="0"/>
    <w:qFormat/>
    <w:pPr>
      <w:numPr>
        <w:ilvl w:val="0"/>
        <w:numId w:val="3"/>
      </w:numPr>
    </w:pPr>
    <w:rPr>
      <w:rFonts w:ascii="宋体" w:hAnsi="宋体"/>
      <w:szCs w:val="21"/>
    </w:rPr>
  </w:style>
  <w:style w:type="paragraph" w:styleId="1037"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1038"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1041"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1044"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5"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1046"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1047" w:customStyle="1">
    <w:name w:val="Char Char Char Char1"/>
    <w:basedOn w:val="967"/>
    <w:uiPriority w:val="0"/>
    <w:qFormat/>
    <w:pPr>
      <w:spacing w:line="360" w:lineRule="auto"/>
    </w:pPr>
    <w:rPr>
      <w:rFonts w:ascii="Tahoma" w:hAnsi="Tahoma"/>
      <w:sz w:val="24"/>
      <w:szCs w:val="24"/>
    </w:rPr>
  </w:style>
  <w:style w:type="paragraph" w:styleId="1048" w:customStyle="1">
    <w:name w:val="table_1stline"/>
    <w:basedOn w:val="706"/>
    <w:uiPriority w:val="0"/>
    <w:qFormat/>
    <w:pPr>
      <w:jc w:val="left"/>
      <w:spacing w:before="120"/>
      <w:widowControl/>
    </w:pPr>
    <w:rPr>
      <w:bCs/>
      <w:sz w:val="20"/>
      <w:szCs w:val="20"/>
      <w:lang w:val="de-DE" w:eastAsia="de-DE"/>
    </w:rPr>
  </w:style>
  <w:style w:type="paragraph" w:styleId="1049"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1050"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customStyle="1">
    <w:name w:val="修订1"/>
    <w:uiPriority w:val="0"/>
    <w:qFormat/>
    <w:rPr>
      <w:rFonts w:hint="default" w:ascii="Times New Roman" w:hAnsi="Times New Roman" w:eastAsia="宋体" w:cs="Times New Roman"/>
      <w:sz w:val="21"/>
      <w:szCs w:val="21"/>
      <w:lang w:val="en-US" w:eastAsia="zh-CN" w:bidi="ar-SA"/>
    </w:rPr>
  </w:style>
  <w:style w:type="paragraph" w:styleId="1052" w:customStyle="1">
    <w:name w:val="无间隔1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5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正文文本1"/>
    <w:basedOn w:val="706"/>
    <w:next w:val="706"/>
    <w:uiPriority w:val="0"/>
    <w:qFormat/>
    <w:rPr>
      <w:rFonts w:ascii="仿宋_GB2312" w:eastAsia="仿宋_GB2312"/>
      <w:sz w:val="24"/>
      <w:szCs w:val="20"/>
    </w:rPr>
  </w:style>
  <w:style w:type="character" w:styleId="1055" w:customStyle="1">
    <w:name w:val="批注文字 字符"/>
    <w:basedOn w:val="716"/>
    <w:link w:val="721"/>
    <w:uiPriority w:val="99"/>
    <w:semiHidden/>
    <w:qFormat/>
    <w:rPr>
      <w:sz w:val="21"/>
      <w:szCs w:val="22"/>
    </w:rPr>
  </w:style>
  <w:style w:type="character" w:styleId="1056" w:customStyle="1">
    <w:name w:val="批注主题 字符"/>
    <w:basedOn w:val="1055"/>
    <w:link w:val="742"/>
    <w:uiPriority w:val="99"/>
    <w:semiHidden/>
    <w:qFormat/>
    <w:rPr>
      <w:b/>
      <w:bCs/>
      <w:sz w:val="21"/>
      <w:szCs w:val="22"/>
    </w:rPr>
  </w:style>
  <w:style w:type="character" w:styleId="1057" w:customStyle="1">
    <w:name w:val="批注框文本 字符"/>
    <w:basedOn w:val="716"/>
    <w:link w:val="729"/>
    <w:uiPriority w:val="99"/>
    <w:semiHidden/>
    <w:qFormat/>
    <w:rPr>
      <w:sz w:val="18"/>
      <w:szCs w:val="18"/>
    </w:rPr>
  </w:style>
  <w:style w:type="character" w:styleId="1058" w:customStyle="1">
    <w:name w:val="font31"/>
    <w:basedOn w:val="716"/>
    <w:uiPriority w:val="0"/>
    <w:qFormat/>
    <w:rPr>
      <w:rFonts w:hint="eastAsia" w:ascii="宋体" w:hAnsi="宋体" w:eastAsia="宋体" w:cs="宋体"/>
      <w:color w:val="000000"/>
      <w:sz w:val="24"/>
      <w:szCs w:val="24"/>
      <w:u w:val="none"/>
    </w:rPr>
  </w:style>
  <w:style w:type="character" w:styleId="1059" w:customStyle="1">
    <w:name w:val="font41"/>
    <w:basedOn w:val="716"/>
    <w:uiPriority w:val="0"/>
    <w:qFormat/>
    <w:rPr>
      <w:rFonts w:hint="eastAsia" w:ascii="宋体" w:hAnsi="宋体" w:eastAsia="宋体" w:cs="宋体"/>
      <w:color w:val="ff0000"/>
      <w:sz w:val="24"/>
      <w:szCs w:val="24"/>
      <w:u w:val="none"/>
    </w:rPr>
  </w:style>
  <w:style w:type="character" w:styleId="1060" w:customStyle="1">
    <w:name w:val="font11"/>
    <w:basedOn w:val="716"/>
    <w:uiPriority w:val="0"/>
    <w:qFormat/>
    <w:rPr>
      <w:rFonts w:hint="eastAsia" w:ascii="宋体" w:hAnsi="宋体" w:eastAsia="宋体" w:cs="宋体"/>
      <w:color w:val="000000"/>
      <w:sz w:val="24"/>
      <w:szCs w:val="24"/>
      <w:u w:val="none"/>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王苏琪</cp:lastModifiedBy>
  <cp:revision>20</cp:revision>
  <dcterms:created xsi:type="dcterms:W3CDTF">2025-11-10T22:07:00Z</dcterms:created>
  <dcterms:modified xsi:type="dcterms:W3CDTF">2026-03-20T07:21:48Z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eyJoZGlkIjoiYzQyMzdkOTA4NGFjNTcxZjM5YWQ3NWUxNmJiYmMzN2MiLCJ1c2VySWQiOiIzMTg5MzgxNzEifQ==</vt:lpwstr>
  </property>
  <property fmtid="{D5CDD505-2E9C-101B-9397-08002B2CF9AE}" pid="3" name="KSOProductBuildVer">
    <vt:lpwstr>2052-12.1.0.24657</vt:lpwstr>
  </property>
  <property fmtid="{D5CDD505-2E9C-101B-9397-08002B2CF9AE}" pid="4" name="ICV">
    <vt:lpwstr>8670A4A73A094C7B88214C647994A6FF_13</vt:lpwstr>
  </property>
</Properties>
</file>