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lang w:val="zh-CN"/>
        </w:rPr>
      </w:pPr>
      <w:r/>
      <w:bookmarkStart w:id="0" w:name="_Toc2583690"/>
      <w:r>
        <w:rPr>
          <w:rFonts w:hint="eastAsia" w:ascii="宋体" w:hAnsi="宋体"/>
          <w:b/>
          <w:color w:val="auto"/>
          <w:sz w:val="72"/>
          <w:szCs w:val="20"/>
          <w:highlight w:val="none"/>
        </w:rPr>
        <w:t xml:space="preserve">苏州市吴江区</w:t>
      </w:r>
      <w:r>
        <w:rPr>
          <w:rFonts w:hint="eastAsia" w:ascii="宋体" w:hAnsi="宋体"/>
          <w:b/>
          <w:color w:val="auto"/>
          <w:sz w:val="72"/>
          <w:szCs w:val="20"/>
          <w:highlight w:val="none"/>
          <w:lang w:val="zh-CN"/>
        </w:rPr>
        <w:t xml:space="preserve">政府采购</w:t>
      </w:r>
      <w:r/>
    </w:p>
    <w:p>
      <w:pPr>
        <w:jc w:val="center"/>
        <w:spacing w:line="360" w:lineRule="auto"/>
        <w:rPr>
          <w:rStyle w:val="680"/>
          <w:rFonts w:ascii="宋体" w:hAnsi="宋体" w:cs="宋体"/>
          <w:color w:val="auto"/>
          <w:sz w:val="72"/>
          <w:szCs w:val="72"/>
          <w:highlight w:val="none"/>
        </w:rPr>
      </w:pPr>
      <w:r>
        <w:rPr>
          <w:rStyle w:val="680"/>
          <w:rFonts w:hint="eastAsia" w:ascii="宋体" w:hAnsi="宋体" w:cs="宋体"/>
          <w:color w:val="auto"/>
          <w:sz w:val="72"/>
          <w:szCs w:val="72"/>
          <w:highlight w:val="none"/>
        </w:rPr>
        <w:t xml:space="preserve"> 货物类公开招标项目</w:t>
      </w:r>
      <w:r/>
    </w:p>
    <w:p>
      <w:pPr>
        <w:jc w:val="center"/>
        <w:spacing w:line="360" w:lineRule="auto"/>
        <w:rPr>
          <w:rStyle w:val="680"/>
          <w:rFonts w:ascii="宋体" w:hAnsi="宋体" w:cs="宋体"/>
          <w:color w:val="auto"/>
          <w:sz w:val="72"/>
          <w:szCs w:val="72"/>
          <w:highlight w:val="none"/>
          <w:lang w:val="zh-CN"/>
        </w:rPr>
      </w:pPr>
      <w:r>
        <w:rPr>
          <w:rFonts w:hint="eastAsia" w:ascii="宋体" w:hAnsi="宋体"/>
          <w:b/>
          <w:color w:val="auto"/>
          <w:sz w:val="72"/>
          <w:szCs w:val="20"/>
          <w:highlight w:val="none"/>
          <w:lang w:val="zh-CN"/>
        </w:rPr>
        <w:t xml:space="preserve">招标文件</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1606"/>
        <w:jc w:val="left"/>
        <w:spacing w:line="48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JSZC-320509-SZHS-G2026-0006</w:t>
      </w:r>
      <w:r/>
    </w:p>
    <w:p>
      <w:pPr>
        <w:ind w:firstLine="1606"/>
        <w:jc w:val="left"/>
        <w:spacing w:line="48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盛泽二中塑胶跑道面层项目</w:t>
      </w:r>
      <w:r/>
    </w:p>
    <w:p>
      <w:pPr>
        <w:ind w:firstLine="1606"/>
        <w:jc w:val="left"/>
        <w:spacing w:line="48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采购单位：</w:t>
      </w:r>
      <w:r>
        <w:rPr>
          <w:rFonts w:hint="eastAsia" w:ascii="宋体" w:hAnsi="宋体" w:cs="宋体"/>
          <w:b/>
          <w:color w:val="auto"/>
          <w:sz w:val="32"/>
          <w:highlight w:val="none"/>
          <w:lang w:eastAsia="zh-CN"/>
        </w:rPr>
        <w:t xml:space="preserve">苏州市吴江区盛泽第二中学</w:t>
      </w:r>
      <w:r/>
    </w:p>
    <w:p>
      <w:pPr>
        <w:ind w:firstLine="1606"/>
        <w:jc w:val="left"/>
        <w:spacing w:line="480" w:lineRule="auto"/>
        <w:tabs>
          <w:tab w:val="center" w:pos="6264" w:leader="none"/>
        </w:tabs>
        <w:rPr>
          <w:rFonts w:hint="eastAsia" w:ascii="宋体" w:hAnsi="宋体" w:cs="宋体"/>
          <w:b/>
          <w:color w:val="auto"/>
          <w:spacing w:val="20"/>
          <w:sz w:val="32"/>
          <w:highlight w:val="none"/>
        </w:rPr>
      </w:pPr>
      <w:r>
        <w:rPr>
          <w:rFonts w:hint="eastAsia" w:ascii="宋体" w:hAnsi="宋体" w:eastAsia="宋体" w:cs="宋体"/>
          <w:b/>
          <w:color w:val="auto"/>
          <w:sz w:val="32"/>
          <w:highlight w:val="none"/>
        </w:rPr>
        <w:t xml:space="preserve">项目类别：货物类</w:t>
      </w:r>
      <w:r/>
    </w:p>
    <w:p>
      <w:pPr>
        <w:ind w:firstLine="2695"/>
        <w:jc w:val="left"/>
        <w:rPr>
          <w:rFonts w:hint="eastAsia" w:ascii="宋体" w:hAnsi="宋体" w:cs="宋体"/>
          <w:b/>
          <w:color w:val="auto"/>
          <w:sz w:val="32"/>
          <w:highlight w:val="none"/>
        </w:rPr>
      </w:pPr>
      <w:r>
        <w:rPr>
          <w:rFonts w:hint="eastAsia" w:ascii="宋体" w:hAnsi="宋体" w:cs="宋体"/>
          <w:b/>
          <w:color w:val="auto"/>
          <w:sz w:val="32"/>
          <w:highlight w:val="none"/>
        </w:rPr>
      </w:r>
      <w:r/>
    </w:p>
    <w:p>
      <w:pPr>
        <w:jc w:val="left"/>
        <w:rPr>
          <w:rFonts w:hint="eastAsia" w:ascii="宋体" w:hAnsi="宋体" w:cs="宋体"/>
          <w:b/>
          <w:color w:val="auto"/>
          <w:sz w:val="32"/>
          <w:highlight w:val="none"/>
        </w:rPr>
      </w:pPr>
      <w:r>
        <w:rPr>
          <w:rFonts w:hint="eastAsia" w:ascii="宋体" w:hAnsi="宋体" w:cs="宋体"/>
          <w:b/>
          <w:color w:val="auto"/>
          <w:sz w:val="32"/>
          <w:highlight w:val="none"/>
        </w:rPr>
      </w:r>
      <w:r/>
    </w:p>
    <w:p>
      <w:pPr>
        <w:jc w:val="left"/>
        <w:tabs>
          <w:tab w:val="left" w:pos="7265" w:leader="none"/>
        </w:tabs>
        <w:rPr>
          <w:rFonts w:hint="eastAsia" w:ascii="宋体" w:hAnsi="宋体" w:cs="宋体"/>
          <w:b/>
          <w:color w:val="auto"/>
          <w:sz w:val="32"/>
          <w:highlight w:val="none"/>
        </w:rPr>
      </w:pPr>
      <w:r>
        <w:rPr>
          <w:rFonts w:hint="eastAsia" w:ascii="宋体" w:hAnsi="宋体" w:eastAsia="宋体" w:cs="宋体"/>
          <w:b/>
          <w:color w:val="auto"/>
          <w:sz w:val="32"/>
          <w:highlight w:val="none"/>
        </w:rPr>
        <w:tab/>
      </w:r>
      <w:r/>
    </w:p>
    <w:p>
      <w:pPr>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firstLine="1928"/>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lang w:eastAsia="zh-CN"/>
        </w:rPr>
        <w:t xml:space="preserve">苏州汇顺项目管理咨询有限公司</w:t>
      </w:r>
      <w:r/>
    </w:p>
    <w:p>
      <w:pPr>
        <w:ind w:firstLine="3213"/>
        <w:spacing w:line="360" w:lineRule="auto"/>
        <w:rPr>
          <w:rFonts w:hint="eastAsia" w:ascii="宋体" w:hAnsi="宋体" w:cs="宋体"/>
          <w:color w:val="auto"/>
          <w:highlight w:val="none"/>
        </w:rPr>
      </w:pPr>
      <w:r>
        <w:rPr>
          <w:rFonts w:hint="eastAsia" w:ascii="宋体" w:hAnsi="宋体" w:eastAsia="宋体" w:cs="宋体"/>
          <w:b/>
          <w:color w:val="auto"/>
          <w:sz w:val="32"/>
          <w:highlight w:val="none"/>
          <w:lang w:val="en-US" w:eastAsia="zh-CN"/>
        </w:rPr>
        <w:t xml:space="preserve">二</w:t>
      </w:r>
      <w:r>
        <w:rPr>
          <w:rFonts w:hint="eastAsia" w:ascii="宋体" w:hAnsi="宋体" w:cs="宋体"/>
          <w:b/>
          <w:color w:val="auto"/>
          <w:sz w:val="32"/>
          <w:highlight w:val="none"/>
          <w:lang w:val="en-US" w:eastAsia="zh-CN"/>
        </w:rPr>
        <w:t xml:space="preserve">零</w:t>
      </w:r>
      <w:r>
        <w:rPr>
          <w:rFonts w:hint="eastAsia" w:ascii="宋体" w:hAnsi="宋体" w:eastAsia="宋体" w:cs="宋体"/>
          <w:b/>
          <w:color w:val="auto"/>
          <w:sz w:val="32"/>
          <w:highlight w:val="none"/>
          <w:lang w:val="en-US" w:eastAsia="zh-CN"/>
        </w:rPr>
        <w:t xml:space="preserve">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lang w:val="en-US"/>
        </w:rPr>
        <w:t xml:space="preserve">年</w:t>
      </w:r>
      <w:r>
        <w:rPr>
          <w:rFonts w:hint="eastAsia" w:ascii="宋体" w:hAnsi="宋体" w:cs="宋体"/>
          <w:b/>
          <w:color w:val="auto"/>
          <w:sz w:val="32"/>
          <w:highlight w:val="none"/>
          <w:lang w:val="en-US" w:eastAsia="zh-CN"/>
        </w:rPr>
        <w:t xml:space="preserve">四</w:t>
      </w:r>
      <w:r>
        <w:rPr>
          <w:rFonts w:hint="eastAsia" w:ascii="宋体" w:hAnsi="宋体" w:eastAsia="宋体" w:cs="宋体"/>
          <w:b/>
          <w:color w:val="auto"/>
          <w:sz w:val="32"/>
          <w:highlight w:val="none"/>
          <w:lang w:val="en-US"/>
        </w:rPr>
        <w:t xml:space="preserve">月</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eastAsia="宋体" w:cs="宋体"/>
          <w:color w:val="auto"/>
          <w:sz w:val="48"/>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sz w:val="48"/>
          <w:highlight w:val="none"/>
        </w:rPr>
      </w:r>
      <w:r/>
    </w:p>
    <w:p>
      <w:pPr>
        <w:jc w:val="center"/>
        <w:rPr>
          <w:rFonts w:hint="eastAsia" w:ascii="宋体" w:hAnsi="宋体" w:cs="宋体"/>
          <w:color w:val="auto"/>
          <w:sz w:val="48"/>
          <w:highlight w:val="none"/>
        </w:rPr>
      </w:pPr>
      <w:r>
        <w:rPr>
          <w:rFonts w:hint="eastAsia" w:ascii="宋体" w:hAnsi="宋体" w:eastAsia="宋体" w:cs="宋体"/>
          <w:color w:val="auto"/>
          <w:sz w:val="48"/>
          <w:highlight w:val="none"/>
        </w:rPr>
        <w:t xml:space="preserve">总目录</w:t>
      </w:r>
      <w:r/>
    </w:p>
    <w:p>
      <w:pPr>
        <w:pStyle w:val="873"/>
        <w:keepLines/>
        <w:keepNext/>
        <w:pageBreakBefore w:val="0"/>
        <w:spacing w:before="181" w:line="480" w:lineRule="auto"/>
        <w:widowControl w:val="off"/>
        <w:rPr>
          <w:rStyle w:val="862"/>
          <w:rFonts w:hint="eastAsia" w:ascii="宋体" w:hAnsi="宋体" w:cs="宋体"/>
          <w:color w:val="auto"/>
          <w:sz w:val="32"/>
          <w:highlight w:val="none"/>
          <w:u w:val="none"/>
        </w:rPr>
      </w:pPr>
      <w:r>
        <w:rPr>
          <w:rStyle w:val="862"/>
          <w:rFonts w:hint="eastAsia" w:ascii="宋体" w:hAnsi="宋体" w:eastAsia="宋体" w:cs="宋体"/>
          <w:color w:val="auto"/>
          <w:sz w:val="32"/>
          <w:highlight w:val="none"/>
          <w:u w:val="none"/>
        </w:rPr>
        <w:t xml:space="preserve">前附表</w:t>
      </w:r>
      <w:r/>
    </w:p>
    <w:p>
      <w:pPr>
        <w:pStyle w:val="851"/>
        <w:pageBreakBefore w:val="0"/>
        <w:spacing w:line="480" w:lineRule="auto"/>
        <w:widowControl w:val="off"/>
        <w:tabs>
          <w:tab w:val="right" w:pos="9854" w:leader="dot"/>
        </w:tabs>
        <w:rPr>
          <w:rFonts w:hint="eastAsia" w:ascii="宋体" w:hAnsi="宋体" w:cs="宋体"/>
          <w:color w:val="auto"/>
          <w:sz w:val="32"/>
          <w:szCs w:val="32"/>
          <w:highlight w:val="none"/>
          <w:u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TOC \o "1-1" \h \z \u </w:instrText>
      </w:r>
      <w:r>
        <w:rPr>
          <w:rFonts w:hint="eastAsia" w:ascii="宋体" w:hAnsi="宋体" w:eastAsia="宋体" w:cs="宋体"/>
          <w:color w:val="auto"/>
          <w:sz w:val="32"/>
          <w:szCs w:val="32"/>
          <w:highlight w:val="none"/>
        </w:rPr>
        <w:fldChar w:fldCharType="separate"/>
      </w:r>
      <w:r>
        <w:rPr>
          <w:rStyle w:val="862"/>
          <w:rFonts w:hint="eastAsia" w:ascii="宋体" w:hAnsi="宋体" w:eastAsia="宋体" w:cs="宋体"/>
          <w:color w:val="auto"/>
          <w:sz w:val="32"/>
          <w:szCs w:val="32"/>
          <w:highlight w:val="none"/>
        </w:rPr>
        <w:fldChar w:fldCharType="begin"/>
      </w:r>
      <w:r>
        <w:rPr>
          <w:rStyle w:val="862"/>
          <w:rFonts w:hint="eastAsia" w:ascii="宋体" w:hAnsi="宋体" w:eastAsia="宋体" w:cs="宋体"/>
          <w:color w:val="auto"/>
          <w:sz w:val="32"/>
          <w:szCs w:val="32"/>
          <w:highlight w:val="none"/>
        </w:rPr>
        <w:instrText xml:space="preserve"> </w:instrText>
      </w:r>
      <w:r>
        <w:rPr>
          <w:rFonts w:hint="eastAsia" w:ascii="宋体" w:hAnsi="宋体" w:eastAsia="宋体" w:cs="宋体"/>
          <w:color w:val="auto"/>
          <w:sz w:val="32"/>
          <w:szCs w:val="32"/>
          <w:highlight w:val="none"/>
        </w:rPr>
        <w:instrText xml:space="preserve">HYPERLINK \l "_Toc71810477"</w:instrText>
      </w:r>
      <w:r>
        <w:rPr>
          <w:rStyle w:val="862"/>
          <w:rFonts w:hint="eastAsia" w:ascii="宋体" w:hAnsi="宋体" w:eastAsia="宋体" w:cs="宋体"/>
          <w:color w:val="auto"/>
          <w:sz w:val="32"/>
          <w:szCs w:val="32"/>
          <w:highlight w:val="none"/>
        </w:rPr>
        <w:instrText xml:space="preserve"> </w:instrText>
      </w:r>
      <w:r>
        <w:rPr>
          <w:rStyle w:val="862"/>
          <w:rFonts w:hint="eastAsia" w:ascii="宋体" w:hAnsi="宋体" w:eastAsia="宋体" w:cs="宋体"/>
          <w:color w:val="auto"/>
          <w:sz w:val="32"/>
          <w:szCs w:val="32"/>
          <w:highlight w:val="none"/>
        </w:rPr>
        <w:fldChar w:fldCharType="separate"/>
      </w:r>
      <w:r>
        <w:rPr>
          <w:rStyle w:val="862"/>
          <w:rFonts w:hint="eastAsia" w:ascii="宋体" w:hAnsi="宋体" w:eastAsia="宋体" w:cs="宋体"/>
          <w:color w:val="auto"/>
          <w:sz w:val="32"/>
          <w:szCs w:val="32"/>
          <w:highlight w:val="none"/>
          <w:u w:val="none"/>
        </w:rPr>
        <w:t xml:space="preserve">第一章 投标邀请函</w:t>
      </w:r>
      <w:r>
        <w:rPr>
          <w:rFonts w:hint="eastAsia" w:ascii="宋体" w:hAnsi="宋体" w:eastAsia="宋体" w:cs="宋体"/>
          <w:color w:val="auto"/>
          <w:sz w:val="32"/>
          <w:szCs w:val="32"/>
          <w:highlight w:val="none"/>
          <w:u w:val="none"/>
          <w:lang w:val="en-US" w:eastAsia="zh-CN"/>
        </w:rPr>
        <w:t xml:space="preserve"> </w:t>
      </w:r>
      <w:r>
        <w:rPr>
          <w:rStyle w:val="862"/>
          <w:rFonts w:hint="eastAsia" w:ascii="宋体" w:hAnsi="宋体" w:eastAsia="宋体" w:cs="宋体"/>
          <w:color w:val="auto"/>
          <w:sz w:val="32"/>
          <w:szCs w:val="32"/>
          <w:highlight w:val="none"/>
          <w:u w:val="none"/>
        </w:rPr>
        <w:fldChar w:fldCharType="end"/>
      </w:r>
      <w:r/>
    </w:p>
    <w:p>
      <w:pPr>
        <w:pStyle w:val="851"/>
        <w:pageBreakBefore w:val="0"/>
        <w:spacing w:line="480" w:lineRule="auto"/>
        <w:widowControl w:val="off"/>
        <w:tabs>
          <w:tab w:val="right" w:pos="9854" w:leader="dot"/>
        </w:tabs>
        <w:rPr>
          <w:rFonts w:hint="eastAsia" w:ascii="宋体" w:hAnsi="宋体" w:eastAsia="宋体" w:cs="宋体"/>
          <w:color w:val="auto"/>
          <w:sz w:val="32"/>
          <w:szCs w:val="32"/>
          <w:highlight w:val="none"/>
          <w:u w:val="none"/>
          <w:lang w:eastAsia="zh-CN"/>
        </w:rPr>
      </w:pPr>
      <w:r>
        <w:rPr>
          <w:rStyle w:val="862"/>
          <w:rFonts w:hint="eastAsia" w:ascii="宋体" w:hAnsi="宋体" w:eastAsia="宋体" w:cs="宋体"/>
          <w:color w:val="auto"/>
          <w:sz w:val="32"/>
          <w:szCs w:val="32"/>
          <w:highlight w:val="none"/>
          <w:u w:val="none"/>
        </w:rPr>
        <w:fldChar w:fldCharType="begin"/>
      </w:r>
      <w:r>
        <w:rPr>
          <w:rStyle w:val="862"/>
          <w:rFonts w:hint="eastAsia" w:ascii="宋体" w:hAnsi="宋体" w:eastAsia="宋体" w:cs="宋体"/>
          <w:color w:val="auto"/>
          <w:sz w:val="32"/>
          <w:szCs w:val="32"/>
          <w:highlight w:val="none"/>
          <w:u w:val="none"/>
        </w:rPr>
        <w:instrText xml:space="preserve"> </w:instrText>
      </w:r>
      <w:r>
        <w:rPr>
          <w:rFonts w:hint="eastAsia" w:ascii="宋体" w:hAnsi="宋体" w:eastAsia="宋体" w:cs="宋体"/>
          <w:color w:val="auto"/>
          <w:sz w:val="32"/>
          <w:szCs w:val="32"/>
          <w:highlight w:val="none"/>
          <w:u w:val="none"/>
        </w:rPr>
        <w:instrText xml:space="preserve">HYPERLINK \l "_Toc71810478"</w:instrText>
      </w:r>
      <w:r>
        <w:rPr>
          <w:rStyle w:val="862"/>
          <w:rFonts w:hint="eastAsia" w:ascii="宋体" w:hAnsi="宋体" w:eastAsia="宋体" w:cs="宋体"/>
          <w:color w:val="auto"/>
          <w:sz w:val="32"/>
          <w:szCs w:val="32"/>
          <w:highlight w:val="none"/>
          <w:u w:val="none"/>
        </w:rPr>
        <w:instrText xml:space="preserve"> </w:instrText>
      </w:r>
      <w:r>
        <w:rPr>
          <w:rStyle w:val="862"/>
          <w:rFonts w:hint="eastAsia" w:ascii="宋体" w:hAnsi="宋体" w:eastAsia="宋体" w:cs="宋体"/>
          <w:color w:val="auto"/>
          <w:sz w:val="32"/>
          <w:szCs w:val="32"/>
          <w:highlight w:val="none"/>
          <w:u w:val="none"/>
        </w:rPr>
        <w:fldChar w:fldCharType="separate"/>
      </w:r>
      <w:r>
        <w:rPr>
          <w:rStyle w:val="862"/>
          <w:rFonts w:hint="eastAsia" w:ascii="宋体" w:hAnsi="宋体" w:eastAsia="宋体" w:cs="宋体"/>
          <w:color w:val="auto"/>
          <w:sz w:val="32"/>
          <w:szCs w:val="32"/>
          <w:highlight w:val="none"/>
          <w:u w:val="none"/>
        </w:rPr>
        <w:t xml:space="preserve">第二章 投标人须知</w:t>
      </w:r>
      <w:r>
        <w:rPr>
          <w:rStyle w:val="862"/>
          <w:rFonts w:hint="eastAsia" w:ascii="宋体" w:hAnsi="宋体" w:eastAsia="宋体" w:cs="宋体"/>
          <w:color w:val="auto"/>
          <w:sz w:val="32"/>
          <w:szCs w:val="32"/>
          <w:highlight w:val="none"/>
          <w:u w:val="none"/>
        </w:rPr>
        <w:fldChar w:fldCharType="end"/>
      </w:r>
      <w:r/>
    </w:p>
    <w:p>
      <w:pPr>
        <w:pStyle w:val="851"/>
        <w:pageBreakBefore w:val="0"/>
        <w:spacing w:line="480" w:lineRule="auto"/>
        <w:widowControl w:val="off"/>
        <w:tabs>
          <w:tab w:val="right" w:pos="9854" w:leader="dot"/>
        </w:tabs>
        <w:rPr>
          <w:rFonts w:hint="eastAsia" w:ascii="宋体" w:hAnsi="宋体" w:cs="宋体"/>
          <w:color w:val="auto"/>
          <w:sz w:val="32"/>
          <w:szCs w:val="32"/>
          <w:highlight w:val="none"/>
          <w:u w:val="none"/>
        </w:rPr>
      </w:pPr>
      <w:r>
        <w:rPr>
          <w:rStyle w:val="862"/>
          <w:rFonts w:hint="eastAsia" w:ascii="宋体" w:hAnsi="宋体" w:eastAsia="宋体" w:cs="宋体"/>
          <w:color w:val="auto"/>
          <w:sz w:val="32"/>
          <w:szCs w:val="32"/>
          <w:highlight w:val="none"/>
          <w:u w:val="none"/>
        </w:rPr>
        <w:fldChar w:fldCharType="begin"/>
      </w:r>
      <w:r>
        <w:rPr>
          <w:rStyle w:val="862"/>
          <w:rFonts w:hint="eastAsia" w:ascii="宋体" w:hAnsi="宋体" w:eastAsia="宋体" w:cs="宋体"/>
          <w:color w:val="auto"/>
          <w:sz w:val="32"/>
          <w:szCs w:val="32"/>
          <w:highlight w:val="none"/>
          <w:u w:val="none"/>
        </w:rPr>
        <w:instrText xml:space="preserve"> </w:instrText>
      </w:r>
      <w:r>
        <w:rPr>
          <w:rFonts w:hint="eastAsia" w:ascii="宋体" w:hAnsi="宋体" w:eastAsia="宋体" w:cs="宋体"/>
          <w:color w:val="auto"/>
          <w:sz w:val="32"/>
          <w:szCs w:val="32"/>
          <w:highlight w:val="none"/>
          <w:u w:val="none"/>
        </w:rPr>
        <w:instrText xml:space="preserve">HYPERLINK \l "_Toc71810479"</w:instrText>
      </w:r>
      <w:r>
        <w:rPr>
          <w:rStyle w:val="862"/>
          <w:rFonts w:hint="eastAsia" w:ascii="宋体" w:hAnsi="宋体" w:eastAsia="宋体" w:cs="宋体"/>
          <w:color w:val="auto"/>
          <w:sz w:val="32"/>
          <w:szCs w:val="32"/>
          <w:highlight w:val="none"/>
          <w:u w:val="none"/>
        </w:rPr>
        <w:instrText xml:space="preserve"> </w:instrText>
      </w:r>
      <w:r>
        <w:rPr>
          <w:rStyle w:val="862"/>
          <w:rFonts w:hint="eastAsia" w:ascii="宋体" w:hAnsi="宋体" w:eastAsia="宋体" w:cs="宋体"/>
          <w:color w:val="auto"/>
          <w:sz w:val="32"/>
          <w:szCs w:val="32"/>
          <w:highlight w:val="none"/>
          <w:u w:val="none"/>
        </w:rPr>
        <w:fldChar w:fldCharType="separate"/>
      </w:r>
      <w:r>
        <w:rPr>
          <w:rStyle w:val="862"/>
          <w:rFonts w:hint="eastAsia" w:ascii="宋体" w:hAnsi="宋体" w:eastAsia="宋体" w:cs="宋体"/>
          <w:color w:val="auto"/>
          <w:sz w:val="32"/>
          <w:szCs w:val="32"/>
          <w:highlight w:val="none"/>
          <w:u w:val="none"/>
        </w:rPr>
        <w:t xml:space="preserve">第三章 投标文件格式</w:t>
      </w:r>
      <w:r>
        <w:rPr>
          <w:rStyle w:val="862"/>
          <w:rFonts w:hint="eastAsia" w:ascii="宋体" w:hAnsi="宋体" w:eastAsia="宋体" w:cs="宋体"/>
          <w:color w:val="auto"/>
          <w:sz w:val="32"/>
          <w:szCs w:val="32"/>
          <w:highlight w:val="none"/>
          <w:u w:val="none"/>
        </w:rPr>
        <w:fldChar w:fldCharType="end"/>
      </w:r>
      <w:r/>
    </w:p>
    <w:p>
      <w:pPr>
        <w:pStyle w:val="851"/>
        <w:pageBreakBefore w:val="0"/>
        <w:spacing w:line="480" w:lineRule="auto"/>
        <w:widowControl w:val="off"/>
        <w:tabs>
          <w:tab w:val="right" w:pos="9854" w:leader="dot"/>
        </w:tabs>
        <w:rPr>
          <w:rFonts w:hint="eastAsia" w:ascii="宋体" w:hAnsi="宋体" w:cs="宋体"/>
          <w:color w:val="auto"/>
          <w:sz w:val="32"/>
          <w:szCs w:val="32"/>
          <w:highlight w:val="none"/>
          <w:u w:val="none"/>
        </w:rPr>
      </w:pPr>
      <w:r>
        <w:rPr>
          <w:rStyle w:val="862"/>
          <w:rFonts w:hint="eastAsia" w:ascii="宋体" w:hAnsi="宋体" w:eastAsia="宋体" w:cs="宋体"/>
          <w:color w:val="auto"/>
          <w:sz w:val="32"/>
          <w:szCs w:val="32"/>
          <w:highlight w:val="none"/>
          <w:u w:val="none"/>
        </w:rPr>
        <w:fldChar w:fldCharType="begin"/>
      </w:r>
      <w:r>
        <w:rPr>
          <w:rStyle w:val="862"/>
          <w:rFonts w:hint="eastAsia" w:ascii="宋体" w:hAnsi="宋体" w:eastAsia="宋体" w:cs="宋体"/>
          <w:color w:val="auto"/>
          <w:sz w:val="32"/>
          <w:szCs w:val="32"/>
          <w:highlight w:val="none"/>
          <w:u w:val="none"/>
        </w:rPr>
        <w:instrText xml:space="preserve"> </w:instrText>
      </w:r>
      <w:r>
        <w:rPr>
          <w:rFonts w:hint="eastAsia" w:ascii="宋体" w:hAnsi="宋体" w:eastAsia="宋体" w:cs="宋体"/>
          <w:color w:val="auto"/>
          <w:sz w:val="32"/>
          <w:szCs w:val="32"/>
          <w:highlight w:val="none"/>
          <w:u w:val="none"/>
        </w:rPr>
        <w:instrText xml:space="preserve">HYPERLINK \l "_Toc71810492"</w:instrText>
      </w:r>
      <w:r>
        <w:rPr>
          <w:rStyle w:val="862"/>
          <w:rFonts w:hint="eastAsia" w:ascii="宋体" w:hAnsi="宋体" w:eastAsia="宋体" w:cs="宋体"/>
          <w:color w:val="auto"/>
          <w:sz w:val="32"/>
          <w:szCs w:val="32"/>
          <w:highlight w:val="none"/>
          <w:u w:val="none"/>
        </w:rPr>
        <w:instrText xml:space="preserve"> </w:instrText>
      </w:r>
      <w:r>
        <w:rPr>
          <w:rStyle w:val="862"/>
          <w:rFonts w:hint="eastAsia" w:ascii="宋体" w:hAnsi="宋体" w:eastAsia="宋体" w:cs="宋体"/>
          <w:color w:val="auto"/>
          <w:sz w:val="32"/>
          <w:szCs w:val="32"/>
          <w:highlight w:val="none"/>
          <w:u w:val="none"/>
        </w:rPr>
        <w:fldChar w:fldCharType="separate"/>
      </w:r>
      <w:r>
        <w:rPr>
          <w:rStyle w:val="862"/>
          <w:rFonts w:hint="eastAsia" w:ascii="宋体" w:hAnsi="宋体" w:eastAsia="宋体" w:cs="宋体"/>
          <w:color w:val="auto"/>
          <w:sz w:val="32"/>
          <w:szCs w:val="32"/>
          <w:highlight w:val="none"/>
          <w:u w:val="none"/>
        </w:rPr>
        <w:t xml:space="preserve">第四章 招标书</w:t>
      </w:r>
      <w:r>
        <w:rPr>
          <w:rStyle w:val="862"/>
          <w:rFonts w:hint="eastAsia" w:ascii="宋体" w:hAnsi="宋体" w:eastAsia="宋体" w:cs="宋体"/>
          <w:color w:val="auto"/>
          <w:sz w:val="32"/>
          <w:szCs w:val="32"/>
          <w:highlight w:val="none"/>
          <w:u w:val="none"/>
        </w:rPr>
        <w:fldChar w:fldCharType="end"/>
      </w:r>
      <w:r/>
    </w:p>
    <w:p>
      <w:pPr>
        <w:pStyle w:val="851"/>
        <w:pageBreakBefore w:val="0"/>
        <w:spacing w:line="480" w:lineRule="auto"/>
        <w:widowControl w:val="off"/>
        <w:tabs>
          <w:tab w:val="right" w:pos="9854" w:leader="dot"/>
        </w:tabs>
        <w:rPr>
          <w:rFonts w:hint="eastAsia" w:ascii="宋体" w:hAnsi="宋体" w:cs="宋体"/>
          <w:color w:val="auto"/>
          <w:sz w:val="32"/>
          <w:szCs w:val="32"/>
          <w:highlight w:val="none"/>
          <w:u w:val="none"/>
        </w:rPr>
      </w:pPr>
      <w:r>
        <w:rPr>
          <w:rStyle w:val="862"/>
          <w:rFonts w:hint="eastAsia" w:ascii="宋体" w:hAnsi="宋体" w:eastAsia="宋体" w:cs="宋体"/>
          <w:color w:val="auto"/>
          <w:sz w:val="32"/>
          <w:szCs w:val="32"/>
          <w:highlight w:val="none"/>
          <w:u w:val="none"/>
        </w:rPr>
        <w:fldChar w:fldCharType="begin"/>
      </w:r>
      <w:r>
        <w:rPr>
          <w:rStyle w:val="862"/>
          <w:rFonts w:hint="eastAsia" w:ascii="宋体" w:hAnsi="宋体" w:eastAsia="宋体" w:cs="宋体"/>
          <w:color w:val="auto"/>
          <w:sz w:val="32"/>
          <w:szCs w:val="32"/>
          <w:highlight w:val="none"/>
          <w:u w:val="none"/>
        </w:rPr>
        <w:instrText xml:space="preserve"> </w:instrText>
      </w:r>
      <w:r>
        <w:rPr>
          <w:rFonts w:hint="eastAsia" w:ascii="宋体" w:hAnsi="宋体" w:eastAsia="宋体" w:cs="宋体"/>
          <w:color w:val="auto"/>
          <w:sz w:val="32"/>
          <w:szCs w:val="32"/>
          <w:highlight w:val="none"/>
          <w:u w:val="none"/>
        </w:rPr>
        <w:instrText xml:space="preserve">HYPERLINK \l "_Toc71810493"</w:instrText>
      </w:r>
      <w:r>
        <w:rPr>
          <w:rStyle w:val="862"/>
          <w:rFonts w:hint="eastAsia" w:ascii="宋体" w:hAnsi="宋体" w:eastAsia="宋体" w:cs="宋体"/>
          <w:color w:val="auto"/>
          <w:sz w:val="32"/>
          <w:szCs w:val="32"/>
          <w:highlight w:val="none"/>
          <w:u w:val="none"/>
        </w:rPr>
        <w:instrText xml:space="preserve"> </w:instrText>
      </w:r>
      <w:r>
        <w:rPr>
          <w:rStyle w:val="862"/>
          <w:rFonts w:hint="eastAsia" w:ascii="宋体" w:hAnsi="宋体" w:eastAsia="宋体" w:cs="宋体"/>
          <w:color w:val="auto"/>
          <w:sz w:val="32"/>
          <w:szCs w:val="32"/>
          <w:highlight w:val="none"/>
          <w:u w:val="none"/>
        </w:rPr>
        <w:fldChar w:fldCharType="separate"/>
      </w:r>
      <w:r>
        <w:rPr>
          <w:rStyle w:val="862"/>
          <w:rFonts w:hint="eastAsia" w:ascii="宋体" w:hAnsi="宋体" w:eastAsia="宋体" w:cs="宋体"/>
          <w:color w:val="auto"/>
          <w:sz w:val="32"/>
          <w:szCs w:val="32"/>
          <w:highlight w:val="none"/>
          <w:u w:val="none"/>
        </w:rPr>
        <w:t xml:space="preserve">第五章 合同及主要条款</w:t>
      </w:r>
      <w:r>
        <w:rPr>
          <w:rStyle w:val="862"/>
          <w:rFonts w:hint="eastAsia" w:ascii="宋体" w:hAnsi="宋体" w:eastAsia="宋体" w:cs="宋体"/>
          <w:color w:val="auto"/>
          <w:sz w:val="32"/>
          <w:szCs w:val="32"/>
          <w:highlight w:val="none"/>
          <w:u w:val="none"/>
        </w:rPr>
        <w:fldChar w:fldCharType="end"/>
      </w:r>
      <w:r/>
    </w:p>
    <w:p>
      <w:pPr>
        <w:pStyle w:val="851"/>
        <w:pageBreakBefore w:val="0"/>
        <w:spacing w:line="480" w:lineRule="auto"/>
        <w:widowControl w:val="off"/>
        <w:tabs>
          <w:tab w:val="right" w:pos="9854" w:leader="dot"/>
        </w:tabs>
        <w:rPr>
          <w:rFonts w:hint="default" w:ascii="宋体" w:hAnsi="宋体" w:cs="宋体"/>
          <w:color w:val="auto"/>
          <w:sz w:val="32"/>
          <w:szCs w:val="32"/>
          <w:highlight w:val="none"/>
          <w:u w:val="none"/>
          <w:lang w:val="en-US"/>
        </w:rPr>
      </w:pPr>
      <w:r>
        <w:rPr>
          <w:rStyle w:val="862"/>
          <w:rFonts w:hint="eastAsia" w:ascii="宋体" w:hAnsi="宋体" w:eastAsia="宋体" w:cs="宋体"/>
          <w:color w:val="auto"/>
          <w:sz w:val="32"/>
          <w:szCs w:val="32"/>
          <w:highlight w:val="none"/>
          <w:u w:val="none"/>
        </w:rPr>
        <w:fldChar w:fldCharType="begin"/>
      </w:r>
      <w:r>
        <w:rPr>
          <w:rStyle w:val="862"/>
          <w:rFonts w:hint="eastAsia" w:ascii="宋体" w:hAnsi="宋体" w:eastAsia="宋体" w:cs="宋体"/>
          <w:color w:val="auto"/>
          <w:sz w:val="32"/>
          <w:szCs w:val="32"/>
          <w:highlight w:val="none"/>
          <w:u w:val="none"/>
        </w:rPr>
        <w:instrText xml:space="preserve"> </w:instrText>
      </w:r>
      <w:r>
        <w:rPr>
          <w:rFonts w:hint="eastAsia" w:ascii="宋体" w:hAnsi="宋体" w:eastAsia="宋体" w:cs="宋体"/>
          <w:color w:val="auto"/>
          <w:sz w:val="32"/>
          <w:szCs w:val="32"/>
          <w:highlight w:val="none"/>
          <w:u w:val="none"/>
        </w:rPr>
        <w:instrText xml:space="preserve">HYPERLINK \l "_Toc71810494"</w:instrText>
      </w:r>
      <w:r>
        <w:rPr>
          <w:rStyle w:val="862"/>
          <w:rFonts w:hint="eastAsia" w:ascii="宋体" w:hAnsi="宋体" w:eastAsia="宋体" w:cs="宋体"/>
          <w:color w:val="auto"/>
          <w:sz w:val="32"/>
          <w:szCs w:val="32"/>
          <w:highlight w:val="none"/>
          <w:u w:val="none"/>
        </w:rPr>
        <w:instrText xml:space="preserve"> </w:instrText>
      </w:r>
      <w:r>
        <w:rPr>
          <w:rStyle w:val="862"/>
          <w:rFonts w:hint="eastAsia" w:ascii="宋体" w:hAnsi="宋体" w:eastAsia="宋体" w:cs="宋体"/>
          <w:color w:val="auto"/>
          <w:sz w:val="32"/>
          <w:szCs w:val="32"/>
          <w:highlight w:val="none"/>
          <w:u w:val="none"/>
        </w:rPr>
        <w:fldChar w:fldCharType="separate"/>
      </w:r>
      <w:r>
        <w:rPr>
          <w:rStyle w:val="862"/>
          <w:rFonts w:hint="eastAsia" w:ascii="宋体" w:hAnsi="宋体" w:eastAsia="宋体" w:cs="宋体"/>
          <w:color w:val="auto"/>
          <w:sz w:val="32"/>
          <w:szCs w:val="32"/>
          <w:highlight w:val="none"/>
          <w:u w:val="none"/>
        </w:rPr>
        <w:t xml:space="preserve">第六章 评标办法和评分标准</w:t>
      </w:r>
      <w:r>
        <w:rPr>
          <w:rStyle w:val="862"/>
          <w:rFonts w:hint="eastAsia" w:ascii="宋体" w:hAnsi="宋体" w:eastAsia="宋体" w:cs="宋体"/>
          <w:color w:val="auto"/>
          <w:sz w:val="32"/>
          <w:szCs w:val="32"/>
          <w:highlight w:val="none"/>
          <w:u w:val="none"/>
        </w:rPr>
        <w:fldChar w:fldCharType="end"/>
      </w:r>
      <w:r/>
    </w:p>
    <w:p>
      <w:pPr>
        <w:pageBreakBefore w:val="0"/>
        <w:spacing w:line="480" w:lineRule="auto"/>
        <w:widowControl w:val="off"/>
        <w:rPr>
          <w:rFonts w:hint="eastAsia" w:ascii="宋体" w:hAnsi="宋体" w:cs="宋体"/>
          <w:color w:val="auto"/>
          <w:highlight w:val="none"/>
          <w:u w:val="none"/>
        </w:rPr>
      </w:pPr>
      <w:r>
        <w:rPr>
          <w:rFonts w:hint="eastAsia" w:ascii="宋体" w:hAnsi="宋体" w:eastAsia="宋体" w:cs="宋体"/>
          <w:color w:val="auto"/>
          <w:sz w:val="32"/>
          <w:szCs w:val="32"/>
          <w:highlight w:val="none"/>
          <w:u w:val="none"/>
        </w:rPr>
        <w:fldChar w:fldCharType="end"/>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after="181"/>
        <w:widowControl w:val="off"/>
        <w:rPr>
          <w:rFonts w:hint="eastAsia" w:ascii="宋体" w:hAnsi="宋体" w:cs="宋体"/>
          <w:b/>
          <w:color w:val="auto"/>
          <w:spacing w:val="20"/>
          <w:sz w:val="30"/>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pacing w:val="20"/>
          <w:sz w:val="30"/>
          <w:highlight w:val="none"/>
        </w:rPr>
        <w:t xml:space="preserve">前附表</w:t>
      </w:r>
      <w:r/>
    </w:p>
    <w:tbl>
      <w:tblPr>
        <w:tblStyle w:val="650"/>
        <w:tblW w:w="9102" w:type="dxa"/>
        <w:tblInd w:w="0" w:type="dxa"/>
        <w:tblLayout w:type="fixed"/>
        <w:tblCellMar>
          <w:left w:w="108" w:type="dxa"/>
          <w:top w:w="0" w:type="dxa"/>
          <w:right w:w="108" w:type="dxa"/>
          <w:bottom w:w="0" w:type="dxa"/>
        </w:tblCellMar>
        <w:tblLook w:val="04A0" w:firstRow="1" w:lastRow="0" w:firstColumn="1" w:lastColumn="0" w:noHBand="0" w:noVBand="1"/>
      </w:tblPr>
      <w:tblGrid>
        <w:gridCol w:w="753"/>
        <w:gridCol w:w="1783"/>
        <w:gridCol w:w="6566"/>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内容</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JSZC-320509-SZHS-G2026-0006</w:t>
            </w:r>
            <w:r/>
          </w:p>
        </w:tc>
      </w:tr>
      <w:tr>
        <w:trPr>
          <w:trHeight w:val="5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盛泽二中塑胶跑道面层项目</w:t>
            </w:r>
            <w:r/>
          </w:p>
        </w:tc>
      </w:tr>
      <w:tr>
        <w:trPr>
          <w:trHeight w:val="17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tabs>
                <w:tab w:val="left" w:pos="252"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采购代理机构</w:t>
            </w:r>
            <w:r/>
          </w:p>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苏州汇顺项目管理咨询有限公司</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cs="宋体"/>
                <w:color w:val="auto"/>
                <w:szCs w:val="21"/>
                <w:highlight w:val="none"/>
                <w:lang w:eastAsia="zh-CN"/>
              </w:rPr>
              <w:t xml:space="preserve">苏州市吴江区长安路650号安普思四楼</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eastAsia="zh-CN"/>
              </w:rPr>
              <w:t xml:space="preserve">周蕴希、陆阳、谢东宏</w:t>
            </w:r>
            <w:r/>
          </w:p>
          <w:p>
            <w:pPr>
              <w:jc w:val="left"/>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联系电话：</w:t>
            </w:r>
            <w:r>
              <w:rPr>
                <w:rFonts w:hint="eastAsia" w:ascii="宋体" w:hAnsi="宋体" w:cs="宋体"/>
                <w:color w:val="auto"/>
                <w:szCs w:val="21"/>
                <w:highlight w:val="none"/>
                <w:lang w:eastAsia="zh-CN"/>
              </w:rPr>
              <w:t xml:space="preserve">0512-63672251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苏州市吴江区盛泽第二中学</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cs="宋体"/>
                <w:color w:val="auto"/>
                <w:szCs w:val="21"/>
                <w:highlight w:val="none"/>
                <w:lang w:eastAsia="zh-CN"/>
              </w:rPr>
              <w:t xml:space="preserve">苏州市吴江区盛泽镇秋泽路680号</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eastAsia="zh-CN"/>
              </w:rPr>
              <w:t xml:space="preserve">顾</w:t>
            </w:r>
            <w:r>
              <w:rPr>
                <w:rFonts w:hint="eastAsia" w:ascii="宋体" w:hAnsi="宋体" w:cs="宋体"/>
                <w:color w:val="auto"/>
                <w:szCs w:val="21"/>
                <w:highlight w:val="none"/>
                <w:lang w:val="en-US" w:eastAsia="zh-CN"/>
              </w:rPr>
              <w:t xml:space="preserve">老师</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cs="宋体"/>
                <w:color w:val="auto"/>
                <w:szCs w:val="21"/>
                <w:highlight w:val="none"/>
                <w:lang w:eastAsia="zh-CN"/>
              </w:rPr>
              <w:t xml:space="preserve">0512-</w:t>
            </w:r>
            <w:r>
              <w:rPr>
                <w:rFonts w:hint="eastAsia" w:ascii="宋体" w:hAnsi="宋体" w:cs="宋体"/>
                <w:color w:val="auto"/>
                <w:szCs w:val="21"/>
                <w:highlight w:val="none"/>
                <w:lang w:val="en-US" w:eastAsia="zh-CN"/>
              </w:rPr>
              <w:t xml:space="preserve">63976568</w:t>
            </w:r>
            <w:r/>
          </w:p>
        </w:tc>
      </w:tr>
      <w:tr>
        <w:trPr>
          <w:trHeight w:val="6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详见招标文件第二章</w:t>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本项目不收取投标保证金</w:t>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九十天（日历日）</w:t>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获取招标文件</w:t>
            </w:r>
            <w:r/>
          </w:p>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自招标文件公告发布之日起5个工作日</w:t>
            </w:r>
            <w:r/>
          </w:p>
        </w:tc>
      </w:tr>
      <w:tr>
        <w:trPr>
          <w:trHeight w:val="13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04</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28</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投标文件必须在截止时间前完成提交（上传），逾期提交（上传）的投标文件恕不接受。</w:t>
            </w:r>
            <w:r/>
          </w:p>
        </w:tc>
      </w:tr>
      <w:tr>
        <w:trPr>
          <w:trHeight w:val="13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04</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28</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left"/>
              <w:spacing w:line="360" w:lineRule="auto"/>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11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04</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28</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苏州市吴江区公共资源交易中心三楼评标室</w:t>
            </w:r>
            <w:r/>
          </w:p>
        </w:tc>
      </w:tr>
      <w:tr>
        <w:trPr>
          <w:trHeight w:val="13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pStyle w:val="874"/>
              <w:ind w:firstLine="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本项目采用电子投标文件，投标单位按照招标文件要求制作上传电子投标文件，投标单位无需提供纸质投标文件。</w:t>
            </w:r>
            <w:r/>
          </w:p>
          <w:p>
            <w:pPr>
              <w:pStyle w:val="874"/>
              <w:ind w:firstLine="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中标后中标单位提供与投标时上传的电子投标响应文件一致的全套纸质投标文件（四份），纸质投标文件送至采购代理机构。</w:t>
            </w:r>
            <w:r/>
          </w:p>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注：纸质投标文件仅用归档使用。</w:t>
            </w:r>
            <w:r/>
          </w:p>
        </w:tc>
      </w:tr>
      <w:tr>
        <w:trPr>
          <w:trHeight w:val="5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w:t>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投标人可对有关现场和周围环境进行踏勘，以获取编制投标文件和签署合同所需的信息，踏勘现场所发生的费用由投标人自己承担。</w:t>
            </w:r>
            <w:r>
              <w:rPr>
                <w:rFonts w:hint="eastAsia" w:ascii="宋体" w:hAnsi="宋体" w:eastAsia="宋体" w:cs="宋体"/>
                <w:b/>
                <w:color w:val="auto"/>
                <w:szCs w:val="21"/>
                <w:highlight w:val="none"/>
              </w:rPr>
              <w:t xml:space="preserve">（不涉及此条的忽略）</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合同金额的</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w:t>
            </w:r>
            <w:r/>
          </w:p>
        </w:tc>
      </w:tr>
      <w:tr>
        <w:trPr>
          <w:trHeight w:val="13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由中标单位在领取中标通知书时</w:t>
            </w:r>
            <w:r>
              <w:rPr>
                <w:rFonts w:hint="eastAsia" w:ascii="宋体" w:hAnsi="宋体" w:cs="宋体"/>
                <w:color w:val="auto"/>
                <w:highlight w:val="none"/>
                <w:lang w:val="en-US" w:eastAsia="zh-CN"/>
              </w:rPr>
              <w:t xml:space="preserve">向代理机构</w:t>
            </w:r>
            <w:r>
              <w:rPr>
                <w:rFonts w:hint="eastAsia" w:ascii="宋体" w:hAnsi="宋体" w:cs="宋体"/>
                <w:color w:val="auto"/>
                <w:highlight w:val="none"/>
              </w:rPr>
              <w:t xml:space="preserve">付清。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本项目中标服务费</w:t>
            </w:r>
            <w:r>
              <w:rPr>
                <w:rFonts w:hint="eastAsia" w:ascii="宋体" w:hAnsi="宋体" w:cs="宋体"/>
                <w:color w:val="auto"/>
                <w:szCs w:val="21"/>
                <w:highlight w:val="none"/>
                <w:lang w:val="zh-CN"/>
              </w:rPr>
              <w:t xml:space="preserve">经</w:t>
            </w:r>
            <w:r>
              <w:rPr>
                <w:rFonts w:hint="eastAsia" w:ascii="宋体" w:hAnsi="宋体" w:cs="宋体"/>
                <w:color w:val="auto"/>
                <w:szCs w:val="21"/>
                <w:highlight w:val="none"/>
                <w:lang w:val="zh-CN" w:eastAsia="zh-CN"/>
              </w:rPr>
              <w:t xml:space="preserve">吴江区</w:t>
            </w:r>
            <w:r>
              <w:rPr>
                <w:rFonts w:hint="eastAsia" w:ascii="宋体" w:hAnsi="宋体" w:cs="宋体"/>
                <w:color w:val="auto"/>
                <w:szCs w:val="21"/>
                <w:highlight w:val="none"/>
                <w:lang w:val="zh-CN"/>
              </w:rPr>
              <w:t xml:space="preserve">中介超市竞价为：</w:t>
            </w:r>
            <w:r>
              <w:rPr>
                <w:rFonts w:hint="eastAsia" w:ascii="宋体" w:hAnsi="宋体" w:cs="宋体"/>
                <w:b/>
                <w:bCs/>
                <w:color w:val="auto"/>
                <w:szCs w:val="21"/>
                <w:highlight w:val="none"/>
                <w:lang w:val="zh-CN"/>
              </w:rPr>
              <w:t xml:space="preserve">人民币</w:t>
            </w:r>
            <w:r>
              <w:rPr>
                <w:rFonts w:hint="eastAsia" w:ascii="宋体" w:hAnsi="宋体" w:cs="宋体"/>
                <w:b/>
                <w:bCs/>
                <w:color w:val="auto"/>
                <w:szCs w:val="21"/>
                <w:highlight w:val="none"/>
                <w:lang w:val="en-US" w:eastAsia="zh-CN"/>
              </w:rPr>
              <w:t xml:space="preserve">叁万贰仟叁佰捌拾伍元整</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¥：32385.00</w:t>
            </w:r>
            <w:r>
              <w:rPr>
                <w:rFonts w:hint="eastAsia" w:ascii="宋体" w:hAnsi="宋体" w:cs="宋体"/>
                <w:b/>
                <w:bCs/>
                <w:color w:val="auto"/>
                <w:szCs w:val="21"/>
                <w:highlight w:val="none"/>
                <w:lang w:val="zh-CN"/>
              </w:rPr>
              <w:t xml:space="preserve">）</w:t>
            </w:r>
            <w:r>
              <w:rPr>
                <w:rFonts w:hint="eastAsia" w:ascii="宋体" w:hAnsi="宋体" w:cs="宋体"/>
                <w:color w:val="auto"/>
                <w:highlight w:val="none"/>
              </w:rPr>
              <w:t xml:space="preserve">。</w:t>
            </w:r>
            <w:r/>
          </w:p>
        </w:tc>
      </w:tr>
      <w:tr>
        <w:trPr>
          <w:trHeight w:val="17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pStyle w:val="870"/>
              <w:ind w:firstLine="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val="en-US"/>
              </w:rPr>
              <w:t xml:space="preserve">确定出中标人后，采购代理机构在法定时间内向中标人发出中标通知书。中标通知书将成为合同的组成部分。</w:t>
            </w:r>
            <w:r/>
          </w:p>
          <w:p>
            <w:pPr>
              <w:pStyle w:val="870"/>
              <w:ind w:firstLine="0"/>
              <w:spacing w:line="360" w:lineRule="auto"/>
              <w:rPr>
                <w:rFonts w:hint="eastAsia" w:ascii="宋体" w:hAnsi="宋体" w:cs="宋体"/>
                <w:color w:val="auto"/>
                <w:szCs w:val="21"/>
                <w:highlight w:val="none"/>
              </w:rPr>
            </w:pPr>
            <w:r>
              <w:rPr>
                <w:rFonts w:hint="eastAsia" w:ascii="宋体" w:hAnsi="宋体" w:eastAsia="宋体" w:cs="宋体"/>
                <w:b/>
                <w:bCs/>
                <w:color w:val="auto"/>
                <w:szCs w:val="21"/>
                <w:highlight w:val="none"/>
                <w:lang w:val="en-US"/>
              </w:rPr>
              <w:t xml:space="preserve">请中标人在中标结果公告届满之日起30日内</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rPr>
              <w:t xml:space="preserve">使用CA证书登录“苏采云”系统及时下载中标通知书。</w:t>
            </w:r>
            <w:r/>
          </w:p>
        </w:tc>
      </w:tr>
      <w:tr>
        <w:trP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360" w:lineRule="auto"/>
              <w:tabs>
                <w:tab w:val="left" w:pos="42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出现下列情形之一的，为废标：</w:t>
            </w:r>
            <w:r/>
          </w:p>
          <w:p>
            <w:pPr>
              <w:numPr>
                <w:ilvl w:val="0"/>
                <w:numId w:val="2"/>
              </w:numPr>
              <w:jc w:val="left"/>
              <w:spacing w:line="360" w:lineRule="auto"/>
              <w:tabs>
                <w:tab w:val="left" w:pos="42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符合专业条件的投标人或者对招标文件作实质响应的投标人不足三家的；</w:t>
            </w:r>
            <w:r/>
          </w:p>
          <w:p>
            <w:pPr>
              <w:jc w:val="left"/>
              <w:spacing w:line="360" w:lineRule="auto"/>
              <w:tabs>
                <w:tab w:val="left" w:pos="42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（二）出现影响采购公正的违法、违规行为的；</w:t>
            </w:r>
            <w:r/>
          </w:p>
          <w:p>
            <w:pPr>
              <w:jc w:val="left"/>
              <w:spacing w:line="360" w:lineRule="auto"/>
              <w:tabs>
                <w:tab w:val="left" w:pos="42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（三）投标人的报价均超过了采购预算，采购人不能支付的；</w:t>
            </w:r>
            <w:r/>
          </w:p>
          <w:p>
            <w:pPr>
              <w:jc w:val="left"/>
              <w:spacing w:line="360" w:lineRule="auto"/>
              <w:tabs>
                <w:tab w:val="left" w:pos="420" w:leader="none"/>
              </w:tabs>
              <w:rPr>
                <w:rFonts w:hint="eastAsia" w:ascii="宋体" w:hAnsi="宋体" w:cs="宋体"/>
                <w:color w:val="auto"/>
                <w:highlight w:val="none"/>
              </w:rPr>
            </w:pPr>
            <w:r>
              <w:rPr>
                <w:rFonts w:hint="eastAsia" w:ascii="宋体" w:hAnsi="宋体" w:eastAsia="宋体" w:cs="宋体"/>
                <w:color w:val="auto"/>
                <w:szCs w:val="21"/>
                <w:highlight w:val="none"/>
              </w:rPr>
              <w:t xml:space="preserve">（四）因重大变故，采购任务取消的。</w:t>
            </w:r>
            <w:r/>
          </w:p>
        </w:tc>
      </w:tr>
      <w:tr>
        <w:trP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6" w:type="dxa"/>
            <w:vAlign w:val="center"/>
            <w:textDirection w:val="lrTb"/>
            <w:noWrap w:val="false"/>
          </w:tcPr>
          <w:p>
            <w:pPr>
              <w:jc w:val="left"/>
              <w:spacing w:line="360" w:lineRule="auto"/>
              <w:tabs>
                <w:tab w:val="left" w:pos="42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投标文件属下列情况之一的，在资格性、符合性检查时按照无效投标处理：</w:t>
            </w:r>
            <w:r/>
          </w:p>
          <w:p>
            <w:pPr>
              <w:pStyle w:val="870"/>
              <w:ind w:firstLine="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一</w:t>
            </w:r>
            <w:r>
              <w:rPr>
                <w:rFonts w:hint="eastAsia" w:ascii="宋体" w:hAnsi="宋体" w:eastAsia="宋体" w:cs="宋体"/>
                <w:color w:val="auto"/>
                <w:szCs w:val="21"/>
                <w:highlight w:val="none"/>
              </w:rPr>
              <w:t xml:space="preserve">）投标文件未按招标文件要求签署、盖章的；</w:t>
            </w:r>
            <w:r/>
          </w:p>
          <w:p>
            <w:pPr>
              <w:pStyle w:val="870"/>
              <w:ind w:firstLine="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二</w:t>
            </w:r>
            <w:r>
              <w:rPr>
                <w:rFonts w:hint="eastAsia" w:ascii="宋体" w:hAnsi="宋体" w:eastAsia="宋体" w:cs="宋体"/>
                <w:color w:val="auto"/>
                <w:szCs w:val="21"/>
                <w:highlight w:val="none"/>
              </w:rPr>
              <w:t xml:space="preserve">）不具备招标文件中规定的资格要求的；</w:t>
            </w:r>
            <w:r/>
          </w:p>
          <w:p>
            <w:pPr>
              <w:pStyle w:val="870"/>
              <w:ind w:firstLine="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三</w:t>
            </w:r>
            <w:r>
              <w:rPr>
                <w:rFonts w:hint="eastAsia" w:ascii="宋体" w:hAnsi="宋体" w:eastAsia="宋体" w:cs="宋体"/>
                <w:color w:val="auto"/>
                <w:szCs w:val="21"/>
                <w:highlight w:val="none"/>
              </w:rPr>
              <w:t xml:space="preserve">）报价超过招标文件中规定的预算金额或者最高限价的；</w:t>
            </w:r>
            <w:r/>
          </w:p>
          <w:p>
            <w:pPr>
              <w:pStyle w:val="870"/>
              <w:ind w:firstLine="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四</w:t>
            </w:r>
            <w:r>
              <w:rPr>
                <w:rFonts w:hint="eastAsia" w:ascii="宋体" w:hAnsi="宋体" w:eastAsia="宋体" w:cs="宋体"/>
                <w:color w:val="auto"/>
                <w:szCs w:val="21"/>
                <w:highlight w:val="none"/>
              </w:rPr>
              <w:t xml:space="preserve">）投标文件含有采购人不能接受的附加条件的；</w:t>
            </w:r>
            <w:r/>
          </w:p>
          <w:p>
            <w:pPr>
              <w:pStyle w:val="870"/>
              <w:ind w:firstLine="0"/>
              <w:spacing w:line="360" w:lineRule="auto"/>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（五）机器码检查中，不同投标人使用同一台电脑编制投标文件的；</w:t>
            </w:r>
            <w:r/>
          </w:p>
          <w:p>
            <w:pPr>
              <w:pStyle w:val="687"/>
              <w:ind w:left="0" w:firstLine="0"/>
              <w:spacing w:line="360" w:lineRule="auto"/>
              <w:rPr>
                <w:rFonts w:hint="eastAsia" w:ascii="宋体" w:hAnsi="宋体" w:cs="宋体"/>
                <w:color w:val="auto"/>
                <w:highlight w:val="none"/>
              </w:rPr>
            </w:pPr>
            <w:r>
              <w:rPr>
                <w:rFonts w:hint="eastAsia" w:ascii="宋体" w:hAnsi="宋体" w:eastAsia="宋体" w:cs="宋体"/>
                <w:color w:val="auto"/>
                <w:szCs w:val="21"/>
                <w:highlight w:val="none"/>
              </w:rPr>
              <w:t xml:space="preserve">（六）法律、法规和招标文件规定的其他无效情形。</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after="361"/>
        <w:widowControl w:val="off"/>
        <w:rPr>
          <w:rStyle w:val="872"/>
          <w:rFonts w:hint="eastAsia" w:ascii="宋体" w:hAnsi="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22"/>
          <w:highlight w:val="none"/>
        </w:rPr>
        <w:t xml:space="preserve">第一章 投标邀请函</w:t>
      </w:r>
      <w:r/>
    </w:p>
    <w:tbl>
      <w:tblPr>
        <w:tblStyle w:val="679"/>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5"/>
      </w:tblGrid>
      <w:tr>
        <w:trPr/>
        <w:tc>
          <w:tcPr>
            <w:tcW w:w="9185" w:type="dxa"/>
            <w:textDirection w:val="lrTb"/>
            <w:noWrap w:val="false"/>
          </w:tcPr>
          <w:p>
            <w:pPr>
              <w:spacing w:after="0" w:line="360" w:lineRule="auto"/>
              <w:rPr>
                <w:rFonts w:hint="default" w:ascii="宋体"/>
                <w:bCs/>
                <w:color w:val="auto"/>
                <w:szCs w:val="21"/>
                <w:highlight w:val="none"/>
                <w:u w:val="single"/>
                <w:lang w:val="en-US" w:eastAsia="zh-CN"/>
              </w:rPr>
            </w:pPr>
            <w:r/>
            <w:bookmarkStart w:id="1" w:name="_Toc35393790"/>
            <w:r/>
            <w:bookmarkStart w:id="2" w:name="_Toc28359079"/>
            <w:r/>
            <w:bookmarkStart w:id="3" w:name="_Toc28359002"/>
            <w:r/>
            <w:bookmarkStart w:id="4" w:name="_Toc35393621"/>
            <w:r/>
            <w:bookmarkStart w:id="5" w:name="_Hlk24379207"/>
            <w:r>
              <w:rPr>
                <w:rFonts w:hint="eastAsia" w:ascii="宋体"/>
                <w:bCs/>
                <w:color w:val="auto"/>
                <w:szCs w:val="21"/>
                <w:highlight w:val="none"/>
                <w:u w:val="single"/>
                <w:lang w:val="en-US" w:eastAsia="zh-CN"/>
              </w:rPr>
              <w:t xml:space="preserve">项目概况</w:t>
            </w:r>
            <w:r/>
          </w:p>
          <w:p>
            <w:pPr>
              <w:ind w:firstLine="420"/>
              <w:spacing w:after="0" w:line="360" w:lineRule="auto"/>
              <w:rPr>
                <w:rFonts w:hint="eastAsia" w:ascii="宋体" w:hAnsi="宋体" w:eastAsia="宋体" w:cs="宋体"/>
                <w:b/>
                <w:color w:val="auto"/>
                <w:szCs w:val="21"/>
                <w:highlight w:val="none"/>
                <w:vertAlign w:val="baseline"/>
                <w:lang w:eastAsia="zh-CN"/>
              </w:rPr>
            </w:pPr>
            <w:r>
              <w:rPr>
                <w:rFonts w:hint="eastAsia" w:ascii="宋体"/>
                <w:bCs/>
                <w:color w:val="auto"/>
                <w:szCs w:val="21"/>
                <w:highlight w:val="none"/>
                <w:u w:val="single"/>
                <w:lang w:eastAsia="zh-CN"/>
              </w:rPr>
              <w:t xml:space="preserve">盛泽二中塑胶跑道面层项目</w:t>
            </w:r>
            <w:r>
              <w:rPr>
                <w:rFonts w:hint="eastAsia" w:ascii="宋体" w:hAnsi="宋体" w:cs="宋体"/>
                <w:color w:val="auto"/>
                <w:szCs w:val="21"/>
                <w:highlight w:val="none"/>
                <w:lang w:bidi="ar"/>
              </w:rPr>
              <w:t xml:space="preserve">招标项目的潜在投标人应在</w:t>
            </w:r>
            <w:r>
              <w:rPr>
                <w:rFonts w:hint="eastAsia" w:ascii="宋体" w:hAnsi="宋体" w:eastAsia="宋体" w:cs="宋体"/>
                <w:color w:val="auto"/>
                <w:szCs w:val="21"/>
                <w:highlight w:val="none"/>
                <w:u w:val="single"/>
                <w:lang w:bidi="ar"/>
              </w:rPr>
              <w:t xml:space="preserve">“苏采云”系统（网址：http://jszfcg.jsczt.cn/）</w:t>
            </w:r>
            <w:r>
              <w:rPr>
                <w:rFonts w:hint="eastAsia" w:ascii="仿宋" w:hAnsi="仿宋" w:eastAsia="仿宋" w:cs="仿宋"/>
                <w:i w:val="0"/>
                <w:iCs w:val="0"/>
                <w:caps w:val="0"/>
                <w:color w:val="auto"/>
                <w:spacing w:val="0"/>
                <w:sz w:val="19"/>
                <w:szCs w:val="19"/>
                <w:highlight w:val="none"/>
                <w:shd w:val="clear" w:color="auto" w:fill="ffffff"/>
              </w:rPr>
              <w:t xml:space="preserve"> </w:t>
            </w:r>
            <w:r>
              <w:rPr>
                <w:rFonts w:hint="eastAsia" w:ascii="宋体" w:hAnsi="宋体" w:cs="宋体"/>
                <w:color w:val="auto"/>
                <w:szCs w:val="21"/>
                <w:highlight w:val="none"/>
                <w:lang w:bidi="ar"/>
              </w:rPr>
              <w:t xml:space="preserve">获取招标文件，并于</w:t>
            </w:r>
            <w:r>
              <w:rPr>
                <w:rFonts w:hint="eastAsia" w:ascii="宋体" w:hAnsi="宋体" w:cs="宋体"/>
                <w:color w:val="auto"/>
                <w:szCs w:val="21"/>
                <w:highlight w:val="none"/>
                <w:u w:val="single"/>
                <w:lang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bidi="ar"/>
              </w:rPr>
              <w:t xml:space="preserve">年</w:t>
            </w:r>
            <w:r>
              <w:rPr>
                <w:rFonts w:hint="eastAsia" w:ascii="宋体" w:hAnsi="宋体" w:cs="宋体"/>
                <w:color w:val="auto"/>
                <w:szCs w:val="21"/>
                <w:highlight w:val="none"/>
                <w:u w:val="single"/>
                <w:lang w:val="en-US" w:eastAsia="zh-CN" w:bidi="ar"/>
              </w:rPr>
              <w:t xml:space="preserve">04</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28</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13</w:t>
            </w:r>
            <w:r>
              <w:rPr>
                <w:rFonts w:hint="eastAsia" w:ascii="宋体" w:hAnsi="宋体" w:cs="宋体"/>
                <w:color w:val="auto"/>
                <w:szCs w:val="21"/>
                <w:highlight w:val="none"/>
                <w:u w:val="single"/>
                <w:lang w:bidi="ar"/>
              </w:rPr>
              <w:t xml:space="preserve">点30分</w:t>
            </w:r>
            <w:r>
              <w:rPr>
                <w:rFonts w:hint="eastAsia" w:ascii="宋体" w:hAnsi="宋体" w:cs="宋体"/>
                <w:bCs/>
                <w:color w:val="auto"/>
                <w:szCs w:val="21"/>
                <w:highlight w:val="none"/>
                <w:u w:val="none"/>
                <w:lang w:bidi="ar"/>
              </w:rPr>
              <w:t xml:space="preserve">（</w:t>
            </w:r>
            <w:r>
              <w:rPr>
                <w:rFonts w:hint="eastAsia" w:ascii="宋体" w:hAnsi="宋体" w:cs="宋体"/>
                <w:bCs/>
                <w:color w:val="auto"/>
                <w:szCs w:val="21"/>
                <w:highlight w:val="none"/>
                <w:lang w:bidi="ar"/>
              </w:rPr>
              <w:t xml:space="preserve">北京时间）前递交投标文件</w:t>
            </w:r>
            <w:r>
              <w:rPr>
                <w:rFonts w:hint="eastAsia" w:ascii="宋体" w:hAnsi="宋体" w:cs="宋体"/>
                <w:bCs/>
                <w:color w:val="auto"/>
                <w:szCs w:val="21"/>
                <w:highlight w:val="none"/>
                <w:lang w:eastAsia="zh-CN" w:bidi="ar"/>
              </w:rPr>
              <w:t xml:space="preserve">。</w:t>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1"/>
      <w:r/>
      <w:bookmarkEnd w:id="2"/>
      <w:r/>
      <w:bookmarkEnd w:id="3"/>
      <w:r/>
      <w:bookmarkEnd w:id="4"/>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JSZC-320509-SZHS-G2026-0006</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5"/>
      <w:r>
        <w:rPr>
          <w:rFonts w:hint="eastAsia" w:ascii="宋体" w:hAnsi="宋体" w:cs="宋体"/>
          <w:color w:val="auto"/>
          <w:szCs w:val="21"/>
          <w:highlight w:val="none"/>
          <w:lang w:eastAsia="zh-CN"/>
        </w:rPr>
        <w:t xml:space="preserve">盛泽二中塑胶跑道面层项目</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eastAsia="zh-CN"/>
        </w:rPr>
        <w:t xml:space="preserve">人民币贰佰捌拾伍万柒仟陆佰元整（¥：2857600.00）</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eastAsia="zh-CN"/>
        </w:rPr>
        <w:t xml:space="preserve">人民币贰佰捌拾伍万柒仟陆佰元整（¥：2857600.00）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4.采购需求：</w:t>
      </w:r>
      <w:r>
        <w:rPr>
          <w:rFonts w:hint="eastAsia" w:ascii="宋体" w:hAnsi="宋体" w:cs="宋体"/>
          <w:color w:val="auto"/>
          <w:szCs w:val="21"/>
          <w:highlight w:val="none"/>
          <w:lang w:eastAsia="zh-CN"/>
        </w:rPr>
        <w:t xml:space="preserve">盛泽二中塑胶跑道面层项目</w:t>
      </w:r>
      <w:r>
        <w:rPr>
          <w:rFonts w:hint="eastAsia" w:ascii="宋体" w:hAnsi="宋体" w:cs="宋体"/>
          <w:color w:val="auto"/>
          <w:szCs w:val="21"/>
          <w:highlight w:val="none"/>
        </w:rPr>
        <w:t xml:space="preserve">（具体清单见招标文件）。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bookmarkStart w:id="6" w:name="_Toc28359003"/>
      <w:r/>
      <w:bookmarkStart w:id="7" w:name="_Toc35393791"/>
      <w:r/>
      <w:bookmarkStart w:id="8" w:name="_Toc28359080"/>
      <w:r/>
      <w:bookmarkStart w:id="9" w:name="_Toc35393622"/>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eastAsia="zh-CN"/>
        </w:rPr>
        <w:t xml:space="preserve">40</w:t>
      </w:r>
      <w:r>
        <w:rPr>
          <w:rFonts w:hint="eastAsia" w:ascii="宋体" w:hAnsi="宋体" w:cs="宋体"/>
          <w:color w:val="auto"/>
          <w:szCs w:val="21"/>
          <w:highlight w:val="none"/>
          <w:lang w:val="en-US" w:eastAsia="zh-CN"/>
        </w:rPr>
        <w:t xml:space="preserve">日历天（具体起止时间以合同签订为准）</w:t>
      </w:r>
      <w:r>
        <w:rPr>
          <w:rFonts w:hint="eastAsia" w:ascii="宋体" w:hAnsi="宋体" w:cs="宋体"/>
          <w:color w:val="auto"/>
          <w:szCs w:val="21"/>
          <w:highlight w:val="none"/>
        </w:rPr>
        <w:t xml:space="preserve">。</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6.本项目不接受联合体投标。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6"/>
      <w:r/>
      <w:bookmarkEnd w:id="7"/>
      <w:r/>
      <w:bookmarkEnd w:id="8"/>
      <w:r/>
      <w:bookmarkEnd w:id="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0" w:name="_Toc28359004"/>
      <w:r/>
      <w:bookmarkStart w:id="11" w:name="_Toc28359081"/>
      <w:r>
        <w:rPr>
          <w:rFonts w:hint="eastAsia" w:ascii="宋体" w:hAnsi="宋体" w:cs="宋体"/>
          <w:color w:val="auto"/>
          <w:szCs w:val="21"/>
          <w:highlight w:val="none"/>
        </w:rPr>
        <w:t xml:space="preserve">（二）落实政府采购政策需满足的资格要求：</w:t>
      </w:r>
      <w:bookmarkStart w:id="12" w:name="OLE_LINK6"/>
      <w:r/>
      <w:bookmarkStart w:id="13" w:name="OLE_LINK7"/>
      <w:r>
        <w:rPr>
          <w:rFonts w:hint="eastAsia" w:ascii="宋体" w:hAnsi="宋体"/>
          <w:color w:val="auto"/>
          <w:highlight w:val="none"/>
        </w:rPr>
        <w:t xml:space="preserve">根据《政府采购促进中小企业发展管理办法》的相关规定，</w:t>
      </w:r>
      <w:r>
        <w:rPr>
          <w:rFonts w:hint="eastAsia" w:ascii="宋体" w:hAnsi="宋体"/>
          <w:b/>
          <w:bCs/>
          <w:color w:val="auto"/>
          <w:highlight w:val="none"/>
        </w:rPr>
        <w:t xml:space="preserve">本项目专门面向中小企业采购。</w:t>
      </w:r>
      <w:r>
        <w:rPr>
          <w:rFonts w:hint="eastAsia" w:ascii="宋体" w:hAnsi="宋体" w:cs="宋体"/>
          <w:b/>
          <w:bCs/>
          <w:color w:val="auto"/>
          <w:szCs w:val="21"/>
          <w:highlight w:val="none"/>
        </w:rPr>
        <w:t xml:space="preserve">本项目所属行业为工业</w:t>
      </w:r>
      <w:r>
        <w:rPr>
          <w:rFonts w:hint="eastAsia" w:ascii="宋体" w:hAnsi="宋体" w:cs="宋体"/>
          <w:color w:val="auto"/>
          <w:szCs w:val="21"/>
          <w:highlight w:val="none"/>
        </w:rPr>
        <w:t xml:space="preserve">。</w:t>
      </w:r>
      <w:bookmarkEnd w:id="12"/>
      <w:r/>
      <w:bookmarkEnd w:id="13"/>
      <w:r>
        <w:rPr>
          <w:rFonts w:hint="eastAsia" w:ascii="宋体" w:hAnsi="宋体" w:eastAsia="宋体" w:cs="宋体"/>
          <w:color w:val="auto"/>
          <w:szCs w:val="21"/>
          <w:highlight w:val="none"/>
        </w:rPr>
        <w:t xml:space="preserve">投标人应提供《中小企业声明函》或《残疾人福利性单位声明函》或省级以上监狱管理局、戒毒管理局（含新疆生产建设兵团）出具的属于监狱企业的证明文件。</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（三）本项目特定资格条件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无。</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4.法人的分支机构不得参加投标(除银行、保险、石油石化、电力、电信等行业特殊情况外)。</w:t>
      </w:r>
      <w:r/>
    </w:p>
    <w:p>
      <w:pPr>
        <w:ind w:firstLine="422"/>
        <w:spacing w:line="360" w:lineRule="auto"/>
        <w:rPr>
          <w:rFonts w:ascii="宋体" w:hAnsi="宋体" w:cs="宋体"/>
          <w:b/>
          <w:color w:val="auto"/>
          <w:szCs w:val="21"/>
          <w:highlight w:val="none"/>
        </w:rPr>
      </w:pPr>
      <w:r/>
      <w:bookmarkStart w:id="14" w:name="_Toc35393623"/>
      <w:r/>
      <w:bookmarkStart w:id="15" w:name="_Toc35393792"/>
      <w:r>
        <w:rPr>
          <w:rFonts w:hint="eastAsia" w:ascii="宋体" w:hAnsi="宋体" w:cs="宋体"/>
          <w:b/>
          <w:color w:val="auto"/>
          <w:szCs w:val="21"/>
          <w:highlight w:val="none"/>
        </w:rPr>
        <w:t xml:space="preserve">三、</w:t>
      </w:r>
      <w:bookmarkEnd w:id="10"/>
      <w:r/>
      <w:bookmarkEnd w:id="11"/>
      <w:r/>
      <w:bookmarkEnd w:id="14"/>
      <w:r/>
      <w:bookmarkEnd w:id="15"/>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color w:val="auto"/>
          <w:szCs w:val="21"/>
          <w:highlight w:val="none"/>
          <w:shd w:val="clear" w:color="auto" w:fill="ffffff"/>
        </w:rPr>
        <w:t xml:space="preserve">1.时间：</w:t>
      </w:r>
      <w:r>
        <w:rPr>
          <w:rFonts w:hint="eastAsia" w:ascii="宋体" w:hAnsi="宋体" w:eastAsia="宋体" w:cs="宋体"/>
          <w:color w:val="auto"/>
          <w:szCs w:val="21"/>
          <w:highlight w:val="none"/>
          <w:lang w:val="zh-CN"/>
        </w:rPr>
        <w:t xml:space="preserve">自招标文件公告发布之日起5个工作日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eastAsia="宋体" w:cs="宋体"/>
          <w:color w:val="auto"/>
          <w:szCs w:val="21"/>
          <w:highlight w:val="none"/>
          <w:lang w:val="zh-CN"/>
        </w:rPr>
        <w:t xml:space="preserve">“苏采云”系统（网址：http://jszfcg.jsczt.cn/）</w:t>
      </w:r>
      <w:r/>
    </w:p>
    <w:p>
      <w:pPr>
        <w:ind w:firstLine="420"/>
        <w:spacing w:line="360" w:lineRule="auto"/>
        <w:rPr>
          <w:rFonts w:hint="default"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3.方式：</w:t>
      </w:r>
      <w:r>
        <w:rPr>
          <w:rFonts w:hint="eastAsia" w:ascii="宋体" w:hAnsi="宋体" w:cs="宋体"/>
          <w:color w:val="auto"/>
          <w:szCs w:val="21"/>
          <w:highlight w:val="none"/>
          <w:shd w:val="clear" w:color="auto" w:fill="ffffff"/>
          <w:lang w:val="en-US" w:eastAsia="zh-CN"/>
        </w:rPr>
        <w:t xml:space="preserve">自行下载</w:t>
      </w:r>
      <w:r/>
    </w:p>
    <w:p>
      <w:pPr>
        <w:ind w:firstLine="420"/>
        <w:spacing w:line="360" w:lineRule="auto"/>
        <w:rPr>
          <w:rFonts w:hint="eastAsia" w:ascii="宋体" w:hAnsi="宋体" w:eastAsia="宋体" w:cs="宋体"/>
          <w:color w:val="auto"/>
          <w:sz w:val="21"/>
          <w:szCs w:val="21"/>
          <w:highlight w:val="none"/>
          <w:shd w:val="clear" w:color="auto" w:fill="ffffff"/>
        </w:rPr>
      </w:pPr>
      <w:r>
        <w:rPr>
          <w:rFonts w:hint="eastAsia" w:ascii="宋体" w:hAnsi="宋体" w:cs="宋体"/>
          <w:color w:val="auto"/>
          <w:szCs w:val="21"/>
          <w:highlight w:val="none"/>
        </w:rPr>
        <w:t xml:space="preserve">4.售价：免费。</w:t>
      </w:r>
      <w:r/>
    </w:p>
    <w:p>
      <w:pPr>
        <w:pStyle w:val="652"/>
        <w:spacing w:line="360" w:lineRule="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5.报名流程：</w:t>
      </w:r>
      <w:r/>
    </w:p>
    <w:p>
      <w:pPr>
        <w:pStyle w:val="652"/>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苏州现场办理地址：苏州市高新区邓尉路105号狮山科技馆一楼服务大厅，咨询电话：0512-65737699</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6"/>
      <w:r/>
      <w:bookmarkEnd w:id="17"/>
      <w:r>
        <w:rPr>
          <w:rFonts w:hint="eastAsia" w:ascii="宋体" w:hAnsi="宋体" w:cs="宋体"/>
          <w:b/>
          <w:color w:val="auto"/>
          <w:szCs w:val="21"/>
          <w:highlight w:val="none"/>
        </w:rPr>
        <w:t xml:space="preserve">截止时间、开标时间和地点</w:t>
      </w:r>
      <w:bookmarkEnd w:id="18"/>
      <w:r/>
      <w:bookmarkEnd w:id="19"/>
      <w:r/>
      <w:r/>
    </w:p>
    <w:p>
      <w:pPr>
        <w:pStyle w:val="652"/>
        <w:spacing w:line="360" w:lineRule="auto"/>
        <w:rPr>
          <w:rFonts w:ascii="宋体" w:hAnsi="宋体" w:eastAsia="宋体" w:cs="宋体"/>
          <w:color w:val="auto"/>
          <w:sz w:val="21"/>
          <w:szCs w:val="21"/>
          <w:highlight w:val="none"/>
        </w:rPr>
      </w:pPr>
      <w:r/>
      <w:bookmarkStart w:id="20" w:name="_Toc28359007"/>
      <w:r/>
      <w:bookmarkStart w:id="21" w:name="_Toc28359084"/>
      <w:r/>
      <w:bookmarkStart w:id="22" w:name="_Toc35393794"/>
      <w:r/>
      <w:bookmarkStart w:id="23" w:name="_Toc35393625"/>
      <w:r>
        <w:rPr>
          <w:rFonts w:hint="eastAsia" w:ascii="宋体" w:hAnsi="宋体" w:eastAsia="宋体" w:cs="宋体"/>
          <w:color w:val="auto"/>
          <w:sz w:val="21"/>
          <w:szCs w:val="21"/>
          <w:highlight w:val="none"/>
        </w:rPr>
        <w:t xml:space="preserve">1.截止时间：2026年</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pStyle w:val="65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2.开标时间：2026年</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pStyle w:val="65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65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65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w:t>
      </w:r>
      <w:r>
        <w:rPr>
          <w:rFonts w:hint="eastAsia" w:ascii="宋体" w:hAnsi="宋体" w:eastAsia="宋体" w:cs="宋体"/>
          <w:b/>
          <w:bCs/>
          <w:color w:val="auto"/>
          <w:sz w:val="21"/>
          <w:szCs w:val="21"/>
          <w:highlight w:val="none"/>
        </w:rPr>
        <w:t xml:space="preserve">30分钟</w:t>
      </w:r>
      <w:r>
        <w:rPr>
          <w:rFonts w:hint="eastAsia" w:ascii="宋体" w:hAnsi="宋体" w:eastAsia="宋体" w:cs="宋体"/>
          <w:color w:val="auto"/>
          <w:sz w:val="21"/>
          <w:szCs w:val="21"/>
          <w:highlight w:val="none"/>
        </w:rPr>
        <w:t xml:space="preserve">）内未能完成解密的视为放弃投标。</w:t>
      </w:r>
      <w:r/>
    </w:p>
    <w:p>
      <w:pPr>
        <w:pStyle w:val="65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0"/>
        </w:numPr>
        <w:ind w:firstLine="422"/>
        <w:spacing w:line="360" w:lineRule="auto"/>
        <w:rPr>
          <w:rFonts w:ascii="宋体" w:hAnsi="宋体" w:cs="宋体"/>
          <w:b/>
          <w:color w:val="auto"/>
          <w:szCs w:val="21"/>
          <w:highlight w:val="none"/>
        </w:rPr>
      </w:pPr>
      <w:r/>
      <w:bookmarkStart w:id="24" w:name="_Toc35393626"/>
      <w:r/>
      <w:bookmarkStart w:id="25" w:name="_Toc35393795"/>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其他补充事宜</w:t>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2.本项目支持政府采购合同信用融资。</w:t>
      </w:r>
      <w:r/>
    </w:p>
    <w:p>
      <w:pPr>
        <w:ind w:firstLine="422"/>
        <w:spacing w:line="360" w:lineRule="auto"/>
        <w:rPr>
          <w:rFonts w:ascii="宋体" w:hAnsi="宋体" w:cs="宋体"/>
          <w:b/>
          <w:color w:val="auto"/>
          <w:szCs w:val="21"/>
          <w:highlight w:val="none"/>
        </w:rPr>
      </w:pPr>
      <w:r/>
      <w:bookmarkStart w:id="26" w:name="_Toc35393627"/>
      <w:r/>
      <w:bookmarkStart w:id="27" w:name="_Toc28359085"/>
      <w:r/>
      <w:bookmarkStart w:id="28" w:name="_Toc28359008"/>
      <w:r/>
      <w:bookmarkStart w:id="29" w:name="_Toc35393796"/>
      <w:r>
        <w:rPr>
          <w:rFonts w:hint="eastAsia" w:ascii="宋体" w:hAnsi="宋体" w:cs="宋体"/>
          <w:b/>
          <w:color w:val="auto"/>
          <w:szCs w:val="21"/>
          <w:highlight w:val="none"/>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auto"/>
          <w:szCs w:val="21"/>
          <w:highlight w:val="none"/>
        </w:rPr>
      </w:pPr>
      <w:r/>
      <w:bookmarkStart w:id="30" w:name="_Toc28358998"/>
      <w:r/>
      <w:bookmarkStart w:id="31" w:name="_Toc28359075"/>
      <w:r/>
      <w:bookmarkStart w:id="32" w:name="_Toc35393786"/>
      <w:r/>
      <w:bookmarkStart w:id="33" w:name="_Toc35393617"/>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采购单位信息</w:t>
      </w:r>
      <w:bookmarkEnd w:id="30"/>
      <w:r/>
      <w:bookmarkEnd w:id="31"/>
      <w:r/>
      <w:bookmarkEnd w:id="32"/>
      <w:r/>
      <w:bookmarkEnd w:id="33"/>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名    称：</w:t>
      </w:r>
      <w:r>
        <w:rPr>
          <w:rFonts w:hint="eastAsia" w:ascii="宋体" w:hAnsi="宋体" w:cs="Arial"/>
          <w:color w:val="auto"/>
          <w:szCs w:val="21"/>
          <w:highlight w:val="none"/>
          <w:lang w:eastAsia="zh-CN"/>
        </w:rPr>
        <w:t xml:space="preserve">苏州市吴江区盛泽第二中学</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苏州市吴江区盛泽镇秋泽路680号</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顾</w:t>
      </w:r>
      <w:r>
        <w:rPr>
          <w:rFonts w:hint="eastAsia" w:ascii="宋体" w:hAnsi="宋体" w:cs="宋体"/>
          <w:color w:val="auto"/>
          <w:szCs w:val="21"/>
          <w:highlight w:val="none"/>
          <w:lang w:val="en-US" w:eastAsia="zh-CN"/>
        </w:rPr>
        <w:t xml:space="preserve">老师     </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w:t>
      </w:r>
      <w:r>
        <w:rPr>
          <w:rFonts w:hint="eastAsia" w:ascii="宋体" w:hAnsi="宋体" w:cs="宋体"/>
          <w:color w:val="auto"/>
          <w:szCs w:val="21"/>
          <w:highlight w:val="none"/>
          <w:lang w:val="en-US" w:eastAsia="zh-CN"/>
        </w:rPr>
        <w:t xml:space="preserve">63976568</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采购代理机构信息</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苏州汇顺项目管理咨询有限公司</w:t>
      </w:r>
      <w:r>
        <w:rPr>
          <w:rFonts w:hint="eastAsia" w:ascii="宋体" w:hAnsi="宋体" w:cs="宋体"/>
          <w:color w:val="auto"/>
          <w:szCs w:val="21"/>
          <w:highlight w:val="none"/>
        </w:rPr>
        <w:t xml:space="preserve">                </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苏州市吴江区长安路650号安普思四楼</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周蕴希、陆阳、谢东宏</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0512-63672251</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r>
      <w:r>
        <w:rPr>
          <w:rFonts w:hint="eastAsia" w:ascii="宋体" w:hAnsi="宋体" w:cs="宋体"/>
          <w:color w:val="auto"/>
          <w:szCs w:val="21"/>
          <w:highlight w:val="none"/>
          <w:lang w:eastAsia="zh-CN"/>
        </w:rPr>
        <w:t xml:space="preserve">周蕴希、陆阳、谢东宏</w:t>
      </w:r>
      <w:r/>
      <w:r>
        <w:rPr>
          <w:rFonts w:hint="eastAsia" w:ascii="宋体" w:hAnsi="宋体" w:cs="宋体"/>
          <w:color w:val="auto"/>
          <w:szCs w:val="21"/>
          <w:highlight w:val="none"/>
          <w:lang w:eastAsia="zh-CN"/>
        </w:rPr>
      </w:r>
      <w:r/>
    </w:p>
    <w:p>
      <w:pPr>
        <w:ind w:firstLine="420"/>
        <w:jc w:val="left"/>
        <w:spacing w:line="360" w:lineRule="auto"/>
        <w:widowControl/>
        <w:rPr>
          <w:rFonts w:hint="eastAsia" w:ascii="宋体" w:hAnsi="宋体" w:cs="宋体"/>
          <w:b/>
          <w:bCs/>
          <w:color w:val="auto"/>
          <w:sz w:val="44"/>
          <w:szCs w:val="44"/>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0512-63672251</w:t>
      </w:r>
      <w:r/>
    </w:p>
    <w:p>
      <w:pPr>
        <w:jc w:val="center"/>
        <w:keepLines w:val="0"/>
        <w:keepNext w:val="0"/>
        <w:pageBreakBefore w:val="0"/>
        <w:spacing w:before="901" w:after="181"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政府采购合同信用融资政策告知函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cs="宋体"/>
          <w:b/>
          <w:bCs/>
          <w:color w:val="auto"/>
          <w:sz w:val="44"/>
          <w:szCs w:val="44"/>
          <w:highlight w:val="none"/>
        </w:rPr>
      </w:pPr>
      <w:r>
        <w:rPr>
          <w:rFonts w:hint="eastAsia" w:ascii="宋体" w:hAnsi="宋体" w:eastAsia="宋体" w:cs="宋体"/>
          <w:b/>
          <w:color w:val="auto"/>
          <w:sz w:val="44"/>
          <w:highlight w:val="none"/>
        </w:rPr>
        <w:t xml:space="preserve">第二章 投标人须知</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一、说明和释义</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1.说明</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1.1本招标文件仅适用</w:t>
      </w:r>
      <w:r>
        <w:rPr>
          <w:rFonts w:hint="eastAsia" w:ascii="宋体" w:hAnsi="宋体" w:cs="宋体"/>
          <w:color w:val="auto"/>
          <w:szCs w:val="21"/>
          <w:highlight w:val="none"/>
          <w:lang w:eastAsia="zh-CN"/>
        </w:rPr>
        <w:t xml:space="preserve">苏州汇顺项目管理咨询有限公司</w:t>
      </w:r>
      <w:r>
        <w:rPr>
          <w:rFonts w:hint="eastAsia" w:ascii="宋体" w:hAnsi="宋体" w:eastAsia="宋体" w:cs="宋体"/>
          <w:color w:val="auto"/>
          <w:szCs w:val="21"/>
          <w:highlight w:val="none"/>
        </w:rPr>
        <w:t xml:space="preserve">组织的招标活动。</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1.2本次招标活动及因本次招标产生的合同受中国法律制约和保护。</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1.3本招标文件的解释权属</w:t>
      </w:r>
      <w:r>
        <w:rPr>
          <w:rFonts w:hint="eastAsia" w:ascii="宋体" w:hAnsi="宋体" w:cs="宋体"/>
          <w:color w:val="auto"/>
          <w:szCs w:val="21"/>
          <w:highlight w:val="none"/>
          <w:lang w:eastAsia="zh-CN"/>
        </w:rPr>
        <w:t xml:space="preserve">苏州汇顺项目管理咨询有限公司</w:t>
      </w:r>
      <w:r>
        <w:rPr>
          <w:rFonts w:hint="eastAsia" w:ascii="宋体" w:hAnsi="宋体" w:eastAsia="宋体" w:cs="宋体"/>
          <w:color w:val="auto"/>
          <w:szCs w:val="21"/>
          <w:highlight w:val="none"/>
        </w:rPr>
        <w:t xml:space="preserve">。</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2.词语释义</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2.1采购人：指依法进行政府采购的国家机关、事业单位、团体组织。</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2.2采购代理机构：指依法接受采购人委托，从事货物、工程和服务等政府采购业务的采购代理机构。本项目采购代理机构是</w:t>
      </w:r>
      <w:r>
        <w:rPr>
          <w:rFonts w:hint="eastAsia" w:ascii="宋体" w:hAnsi="宋体" w:cs="宋体"/>
          <w:color w:val="auto"/>
          <w:szCs w:val="21"/>
          <w:highlight w:val="none"/>
          <w:lang w:eastAsia="zh-CN"/>
        </w:rPr>
        <w:t xml:space="preserve">苏州汇顺项目管理咨询有限公司</w:t>
      </w:r>
      <w:r>
        <w:rPr>
          <w:rFonts w:hint="eastAsia" w:ascii="宋体" w:hAnsi="宋体" w:eastAsia="宋体" w:cs="宋体"/>
          <w:color w:val="auto"/>
          <w:szCs w:val="21"/>
          <w:highlight w:val="none"/>
        </w:rPr>
        <w:t xml:space="preserve">。</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2.3投标人：指投标招标、参加投标竞争的法人、其他组织或自然人。</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投标：投标人根据采购人或采购代理机构发布的招标文件，编制投标文件并按规定投标的行为。</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甲方（采购人）：指采购文件中载明的，依法进行政府采购的国家机关、事业单位、团体组织。</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乙方（供应商）：合同中规定的向采购人提供货物和服务的法人或其他组织和自然人。</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天：日历日。</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时间：除特别说明，均指北京时间。</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知识产权：指专利权、商标权、著作权等无形财产专有权的统称。</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交货地点：合同中明确约定的乙方提交的货物和服务最终到达地点。</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合同价款：根据合同规定</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乙方在正确地履行合同义务后甲方应支付乙方的价款。</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产地：货物开采、生长、生产、最终制造、加工或提供服务的来源地。</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货物：系指乙方按招标采购文件规定，应向甲方提供的一切设备、备品、备件、工具、手册及其他有关技术资料和材料。</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不可抗力：不能预见、不能避免并且不能克服的客观情况。</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实质性</w:t>
      </w: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：满足有关本次采购标的、数量、质量、价款或者报酬、履行期限、履行地点和方式、违约责任和解决争议方法等要求。</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进口产品：指通过中国海关报关验放进入中国境内且产自境外的产品。</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书面形式：指书面文字、合同书、信件和传真等可以有形地表现所载内容的形式。</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核心产品:根据本项目技术构成、产品价格比重等合理确定的产品。</w:t>
      </w:r>
      <w:r/>
    </w:p>
    <w:p>
      <w:pPr>
        <w:pStyle w:val="841"/>
        <w:ind w:left="0"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二、投标人</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3.合格投标人的资格条件</w:t>
      </w:r>
      <w:r/>
    </w:p>
    <w:p>
      <w:pPr>
        <w:pStyle w:val="841"/>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3.1详见本项目招标公告及招标文件第一章“</w:t>
      </w:r>
      <w:r>
        <w:rPr>
          <w:rFonts w:hint="eastAsia" w:ascii="宋体" w:hAnsi="宋体" w:eastAsia="宋体" w:cs="宋体"/>
          <w:color w:val="auto"/>
          <w:sz w:val="21"/>
          <w:szCs w:val="21"/>
          <w:highlight w:val="none"/>
          <w:lang w:val="zh-CN" w:eastAsia="zh-CN" w:bidi="ar-SA"/>
        </w:rPr>
        <w:t xml:space="preserve">申请人的资格要求</w:t>
      </w:r>
      <w:r>
        <w:rPr>
          <w:rFonts w:hint="eastAsia" w:ascii="宋体" w:hAnsi="宋体" w:eastAsia="宋体" w:cs="宋体"/>
          <w:color w:val="auto"/>
          <w:sz w:val="21"/>
          <w:szCs w:val="21"/>
          <w:highlight w:val="none"/>
          <w:lang w:val="en-US" w:eastAsia="zh-CN" w:bidi="ar-SA"/>
        </w:rPr>
        <w:t xml:space="preserve">”。</w:t>
      </w:r>
      <w:r/>
    </w:p>
    <w:p>
      <w:pPr>
        <w:pStyle w:val="855"/>
        <w:ind w:firstLine="422"/>
        <w:keepLines w:val="0"/>
        <w:keepNext w:val="0"/>
        <w:pageBreakBefore w:val="0"/>
        <w:spacing w:beforeAutospacing="0" w:afterAutospacing="0" w:line="400" w:lineRule="exact"/>
        <w:widowControl w:val="off"/>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rPr>
        <w:t xml:space="preserve">4.投标人代表</w:t>
      </w:r>
      <w:r/>
    </w:p>
    <w:p>
      <w:pPr>
        <w:pStyle w:val="855"/>
        <w:ind w:firstLine="420"/>
        <w:keepLines w:val="0"/>
        <w:keepNext w:val="0"/>
        <w:pageBreakBefore w:val="0"/>
        <w:spacing w:beforeAutospacing="0" w:afterAutospacing="0"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55"/>
        <w:ind w:firstLine="422"/>
        <w:keepLines w:val="0"/>
        <w:keepNext w:val="0"/>
        <w:pageBreakBefore w:val="0"/>
        <w:spacing w:beforeAutospacing="0" w:afterAutospacing="0" w:line="400" w:lineRule="exact"/>
        <w:widowControl w:val="off"/>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rPr>
        <w:t xml:space="preserve">5.投标费用</w:t>
      </w:r>
      <w:r/>
    </w:p>
    <w:p>
      <w:pPr>
        <w:pStyle w:val="855"/>
        <w:ind w:firstLine="420"/>
        <w:keepLines w:val="0"/>
        <w:keepNext w:val="0"/>
        <w:pageBreakBefore w:val="0"/>
        <w:spacing w:beforeAutospacing="0" w:afterAutospacing="0"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5.1无论投标过程中的做法和结果如何，投标人自行承担所有与参加投标有关的全部费用。</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6.联合投标及转包、分包</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6.1本项目不接受联合体投标。</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6.2本项目不接受转包、分包。</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三、招标文件的说明</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7.招标文件</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7.1招标文件由招标文件总目录所列内容组成，投标人获取招标文件后，应仔细检查招标文件的所有内容，如有缺失等问题应在获取招标文件后及时向采购代理机构提出，否则，由此产生的影响由供应商自己承担。投标人同时应认真审阅招标文件中所有的事项、格式、条款和规范要求等，若投标人的投标文件没有按招标文件要求提交全部资料，或投标文件没有对招标文件做出实质性投标，其风险由投标人自行承担，并根据有关条款规定，</w:t>
      </w:r>
      <w:r>
        <w:rPr>
          <w:rFonts w:hint="eastAsia" w:ascii="宋体" w:hAnsi="宋体"/>
          <w:color w:val="auto"/>
          <w:sz w:val="21"/>
          <w:szCs w:val="21"/>
          <w:highlight w:val="none"/>
        </w:rPr>
        <w:t xml:space="preserve">该投标有可能被拒绝</w:t>
      </w:r>
      <w:r>
        <w:rPr>
          <w:rFonts w:hint="eastAsia" w:ascii="宋体" w:hAnsi="宋体" w:eastAsia="宋体" w:cs="宋体"/>
          <w:color w:val="auto"/>
          <w:szCs w:val="21"/>
          <w:highlight w:val="none"/>
        </w:rPr>
        <w:t xml:space="preserve">。</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7.2招标文件</w:t>
      </w:r>
      <w:r>
        <w:rPr>
          <w:rFonts w:hint="eastAsia" w:ascii="宋体" w:hAnsi="宋体" w:eastAsia="宋体" w:cs="宋体"/>
          <w:color w:val="auto"/>
          <w:szCs w:val="21"/>
          <w:highlight w:val="none"/>
          <w:lang w:bidi="ar"/>
        </w:rPr>
        <w:t xml:space="preserve">及其补充通知（包括更正公告）</w:t>
      </w:r>
      <w:r>
        <w:rPr>
          <w:rFonts w:hint="eastAsia" w:ascii="宋体" w:hAnsi="宋体" w:eastAsia="宋体" w:cs="宋体"/>
          <w:color w:val="auto"/>
          <w:szCs w:val="21"/>
          <w:highlight w:val="none"/>
        </w:rPr>
        <w:t xml:space="preserve">未按招标文件规定的方式获得的，采</w:t>
      </w:r>
      <w:r>
        <w:rPr>
          <w:rFonts w:hint="eastAsia" w:ascii="宋体" w:hAnsi="宋体" w:eastAsia="宋体" w:cs="宋体"/>
          <w:color w:val="auto"/>
          <w:szCs w:val="21"/>
          <w:highlight w:val="none"/>
          <w:lang w:bidi="ar"/>
        </w:rPr>
        <w:t xml:space="preserve">购人或采购代理机构对招标文件及其补遗的真实性、完整性不承担任何责任。</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8.招标文件的澄清和修改</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8.2为保证供应商有足够时间修正投标文件，或出于其他合理原因，采购代理机构可依法顺延投标截止时间和开标时间。</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9.勘察现场（不涉及此条的忽略）</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w:t>
      </w:r>
      <w:r>
        <w:rPr>
          <w:rFonts w:hint="eastAsia" w:ascii="宋体" w:hAnsi="宋体" w:cs="宋体"/>
          <w:color w:val="auto"/>
          <w:szCs w:val="21"/>
          <w:highlight w:val="none"/>
          <w:lang w:eastAsia="zh-CN"/>
        </w:rPr>
        <w:t xml:space="preserve">做</w:t>
      </w:r>
      <w:r>
        <w:rPr>
          <w:rFonts w:hint="eastAsia" w:ascii="宋体" w:hAnsi="宋体" w:eastAsia="宋体" w:cs="宋体"/>
          <w:color w:val="auto"/>
          <w:szCs w:val="21"/>
          <w:highlight w:val="none"/>
        </w:rPr>
        <w:t xml:space="preserve">任何答复与考虑。</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10.投标质疑</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10.2本次招标文件要求供应商在法定质疑期内一次性提出针对同一采购程序环节的质疑，否则不予受理。</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10.3供应商提出质疑应当提交质疑函和必要的证明材料，质疑函应当包括下列内容：</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877"/>
        <w:ind w:firstLine="422"/>
        <w:keepLines w:val="0"/>
        <w:keepNext w:val="0"/>
        <w:pageBreakBefore w:val="0"/>
        <w:spacing w:line="400" w:lineRule="exact"/>
        <w:widowControl w:val="off"/>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877"/>
        <w:keepLines w:val="0"/>
        <w:keepNext w:val="0"/>
        <w:pageBreakBefore w:val="0"/>
        <w:spacing w:line="400" w:lineRule="exact"/>
        <w:widowControl w:val="off"/>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77"/>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10.5接收质疑函的方式：书面形式（当场送达或邮寄方式）。</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10.6联系单位：</w:t>
      </w:r>
      <w:r>
        <w:rPr>
          <w:rFonts w:hint="eastAsia" w:ascii="宋体" w:hAnsi="宋体" w:cs="宋体"/>
          <w:color w:val="auto"/>
          <w:szCs w:val="21"/>
          <w:highlight w:val="none"/>
          <w:lang w:eastAsia="zh-CN"/>
        </w:rPr>
        <w:t xml:space="preserve">苏州汇顺项目管理咨询有限公司</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10.7收件人：</w:t>
      </w:r>
      <w:r>
        <w:rPr>
          <w:rFonts w:hint="eastAsia" w:ascii="宋体" w:hAnsi="宋体" w:cs="宋体"/>
          <w:color w:val="auto"/>
          <w:szCs w:val="21"/>
          <w:highlight w:val="none"/>
          <w:lang w:eastAsia="zh-CN"/>
        </w:rPr>
        <w:t xml:space="preserve">陆阳</w:t>
      </w:r>
      <w:r/>
    </w:p>
    <w:p>
      <w:pPr>
        <w:ind w:firstLine="420"/>
        <w:keepLines w:val="0"/>
        <w:keepNext w:val="0"/>
        <w:pageBreakBefore w:val="0"/>
        <w:spacing w:line="40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10.8联系电话：</w:t>
      </w:r>
      <w:r>
        <w:rPr>
          <w:rFonts w:hint="eastAsia" w:ascii="宋体" w:hAnsi="宋体" w:cs="宋体"/>
          <w:color w:val="auto"/>
          <w:szCs w:val="21"/>
          <w:highlight w:val="none"/>
          <w:lang w:val="en-US" w:eastAsia="zh-CN"/>
        </w:rPr>
        <w:t xml:space="preserve">18051741285</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10.9通讯地址：</w:t>
      </w:r>
      <w:r>
        <w:rPr>
          <w:rFonts w:hint="eastAsia" w:ascii="宋体" w:hAnsi="宋体" w:cs="宋体"/>
          <w:color w:val="auto"/>
          <w:szCs w:val="21"/>
          <w:highlight w:val="none"/>
          <w:lang w:eastAsia="zh-CN"/>
        </w:rPr>
        <w:t xml:space="preserve">苏州市吴江区长安路650号安普思四楼</w:t>
      </w:r>
      <w:r>
        <w:rPr>
          <w:rFonts w:hint="eastAsia" w:ascii="宋体" w:hAnsi="宋体" w:eastAsia="宋体" w:cs="宋体"/>
          <w:color w:val="auto"/>
          <w:szCs w:val="21"/>
          <w:highlight w:val="none"/>
        </w:rPr>
        <w:t xml:space="preserve">。</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四、投标文件说明</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11.提示与要求</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11.2无论是否递交投标文件，投标人都应将招标文件及以后的所有通知、文件等视为保密文件。</w:t>
      </w:r>
      <w:r/>
    </w:p>
    <w:p>
      <w:pPr>
        <w:pStyle w:val="841"/>
        <w:ind w:left="0"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12.投标文件计量单位和使用文字</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12.1投标文件中所使用的计量单位，除招标文件中有特殊要求外，均应使用中华人民共和国法定计量单位。</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13.知识产权</w:t>
      </w:r>
      <w:r/>
    </w:p>
    <w:p>
      <w:pPr>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keepLines w:val="0"/>
        <w:keepNext w:val="0"/>
        <w:pageBreakBefore w:val="0"/>
        <w:spacing w:line="400" w:lineRule="exact"/>
        <w:widowControl w:val="off"/>
        <w:tabs>
          <w:tab w:val="left" w:pos="567" w:leader="none"/>
        </w:tabs>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14.投标文件的组成</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14.1投标书一（报价部分）(格式见第三章)：</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14.1.1开标一览表（详见苏采云系统）；</w:t>
      </w:r>
      <w:r/>
    </w:p>
    <w:p>
      <w:pPr>
        <w:pStyle w:val="841"/>
        <w:ind w:left="0" w:firstLine="420"/>
        <w:keepLines w:val="0"/>
        <w:keepNext w:val="0"/>
        <w:pageBreakBefore w:val="0"/>
        <w:spacing w:line="400" w:lineRule="exact"/>
        <w:widowControl w:val="off"/>
        <w:rPr>
          <w:rFonts w:hint="eastAsia" w:ascii="宋体" w:hAnsi="宋体" w:cs="宋体"/>
          <w:color w:val="auto"/>
          <w:highlight w:val="none"/>
        </w:rPr>
      </w:pPr>
      <w:r>
        <w:rPr>
          <w:rFonts w:hint="eastAsia" w:ascii="宋体" w:hAnsi="宋体" w:eastAsia="宋体" w:cs="宋体"/>
          <w:color w:val="auto"/>
          <w:szCs w:val="21"/>
          <w:highlight w:val="none"/>
        </w:rPr>
        <w:t xml:space="preserve">14.1.2投标报价分析表；</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14.2</w:t>
      </w:r>
      <w:r>
        <w:rPr>
          <w:rFonts w:hint="eastAsia" w:ascii="宋体" w:hAnsi="宋体" w:eastAsia="宋体" w:cs="宋体"/>
          <w:b/>
          <w:color w:val="auto"/>
          <w:sz w:val="21"/>
          <w:szCs w:val="21"/>
          <w:highlight w:val="none"/>
        </w:rPr>
        <w:t xml:space="preserve">资格审查文件</w:t>
      </w:r>
      <w:r/>
    </w:p>
    <w:p>
      <w:pPr>
        <w:pStyle w:val="841"/>
        <w:ind w:left="0" w:firstLine="420"/>
        <w:keepLines w:val="0"/>
        <w:keepNext w:val="0"/>
        <w:pageBreakBefore w:val="0"/>
        <w:spacing w:line="400" w:lineRule="exact"/>
        <w:widowControl w:val="off"/>
        <w:tabs>
          <w:tab w:val="left" w:pos="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14.2.1合格投标人资格证明材料：</w:t>
      </w:r>
      <w:r/>
    </w:p>
    <w:p>
      <w:pPr>
        <w:pStyle w:val="841"/>
        <w:numPr>
          <w:ilvl w:val="0"/>
          <w:numId w:val="3"/>
        </w:numPr>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具有独立承担民事责任的能力。包括法人或者其他组织的营业执照等证明文件，自然</w:t>
      </w:r>
      <w:r/>
    </w:p>
    <w:p>
      <w:pPr>
        <w:pStyle w:val="841"/>
        <w:ind w:left="0"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人的身份证明；</w:t>
      </w:r>
      <w:r/>
    </w:p>
    <w:p>
      <w:pPr>
        <w:pStyle w:val="841"/>
        <w:numPr>
          <w:ilvl w:val="0"/>
          <w:numId w:val="3"/>
        </w:numPr>
        <w:ind w:firstLine="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具有良好的商业信誉和健全的财务会计制度。包括但不限于最近一期经审计的财务报</w:t>
      </w:r>
      <w:r/>
    </w:p>
    <w:p>
      <w:pPr>
        <w:pStyle w:val="841"/>
        <w:ind w:left="0" w:firstLine="0"/>
        <w:keepLines w:val="0"/>
        <w:keepNext w:val="0"/>
        <w:pageBreakBefore w:val="0"/>
        <w:spacing w:line="400" w:lineRule="exact"/>
        <w:widowControl w:val="off"/>
        <w:rPr>
          <w:rFonts w:hint="eastAsia" w:ascii="宋体" w:hAnsi="宋体" w:cs="宋体"/>
          <w:color w:val="auto"/>
          <w:highlight w:val="none"/>
        </w:rPr>
      </w:pPr>
      <w:r>
        <w:rPr>
          <w:rFonts w:hint="eastAsia" w:ascii="宋体" w:hAnsi="宋体" w:eastAsia="宋体" w:cs="宋体"/>
          <w:color w:val="auto"/>
          <w:szCs w:val="21"/>
          <w:highlight w:val="none"/>
        </w:rPr>
        <w:t xml:space="preserve">告，其他组织、自然人及成立未满一年的法人应提供银行出具的资信证明；</w:t>
      </w:r>
      <w:r/>
    </w:p>
    <w:p>
      <w:pPr>
        <w:pStyle w:val="841"/>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（3）具有履行合同所必需的设备和专业技术能力的证明材料或承诺；</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spacing w:val="-1"/>
          <w:highlight w:val="none"/>
        </w:rPr>
        <w:t xml:space="preserve">依法免税或不需要缴纳社会保障资金的供应商，应提供相应证明资料证明其依法免税或不需要缴纳社会保障资金，否则不予认可</w:t>
      </w:r>
      <w:r>
        <w:rPr>
          <w:rFonts w:hint="eastAsia" w:ascii="宋体" w:hAnsi="宋体" w:eastAsia="宋体" w:cs="宋体"/>
          <w:color w:val="auto"/>
          <w:szCs w:val="21"/>
          <w:highlight w:val="none"/>
        </w:rPr>
        <w:t xml:space="preserve">；</w:t>
      </w:r>
      <w:r/>
    </w:p>
    <w:p>
      <w:pPr>
        <w:pStyle w:val="841"/>
        <w:ind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（5）参加政府采购活动前三年内</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在经营活动中没有重大违法记录的书面声明函。</w:t>
      </w:r>
      <w:r/>
    </w:p>
    <w:p>
      <w:pPr>
        <w:pStyle w:val="841"/>
        <w:ind w:left="0" w:firstLine="420"/>
        <w:keepLines w:val="0"/>
        <w:keepNext w:val="0"/>
        <w:pageBreakBefore w:val="0"/>
        <w:spacing w:line="400" w:lineRule="exact"/>
        <w:widowControl w:val="off"/>
        <w:tabs>
          <w:tab w:val="left" w:pos="0" w:leader="none"/>
        </w:tabs>
        <w:rPr>
          <w:rFonts w:hint="eastAsia" w:ascii="宋体" w:hAnsi="宋体" w:cs="宋体"/>
          <w:b/>
          <w:bCs/>
          <w:color w:val="auto"/>
          <w:szCs w:val="21"/>
          <w:highlight w:val="none"/>
        </w:rPr>
      </w:pPr>
      <w:r>
        <w:rPr>
          <w:rFonts w:hint="eastAsia" w:ascii="宋体" w:hAnsi="宋体" w:eastAsia="宋体" w:cs="宋体"/>
          <w:color w:val="auto"/>
          <w:szCs w:val="21"/>
          <w:highlight w:val="none"/>
        </w:rPr>
        <w:t xml:space="preserve">14.2.2本项目专门面向中小企业采购。投标单位应提供《中小企业声明函》或《残疾人福利性单位声明函》或省级以上监狱管理局、戒毒管理局（含新疆生产建设兵团）出具的属于监狱企业的证明文件。</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14.3</w:t>
      </w:r>
      <w:r>
        <w:rPr>
          <w:rFonts w:hint="eastAsia" w:ascii="宋体" w:hAnsi="宋体" w:eastAsia="宋体" w:cs="宋体"/>
          <w:b/>
          <w:color w:val="auto"/>
          <w:szCs w:val="21"/>
          <w:highlight w:val="none"/>
          <w:lang w:val="en-US" w:eastAsia="zh-CN"/>
        </w:rPr>
        <w:t xml:space="preserve">符合性</w:t>
      </w:r>
      <w:r>
        <w:rPr>
          <w:rStyle w:val="863"/>
          <w:rFonts w:hint="eastAsia" w:ascii="宋体" w:hAnsi="宋体" w:eastAsia="宋体" w:cs="宋体"/>
          <w:b/>
          <w:color w:val="auto"/>
          <w:highlight w:val="none"/>
        </w:rPr>
        <w:t xml:space="preserve">审查</w:t>
      </w:r>
      <w:r>
        <w:rPr>
          <w:rStyle w:val="863"/>
          <w:rFonts w:hint="eastAsia" w:ascii="宋体" w:hAnsi="宋体" w:eastAsia="宋体" w:cs="宋体"/>
          <w:b/>
          <w:color w:val="auto"/>
          <w:highlight w:val="none"/>
          <w:lang w:val="en-US" w:eastAsia="zh-CN"/>
        </w:rPr>
        <w:t xml:space="preserve">文件</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14.3.1关于资格文件的声明函（格式见第三章）；</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14.3.2投标函（格式见第三章）；</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14.3.3投标人</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情况表（格式见第三章）；</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14.3.4投标人《营业执照》副本复印件；</w:t>
      </w:r>
      <w:r/>
    </w:p>
    <w:p>
      <w:pPr>
        <w:pStyle w:val="841"/>
        <w:ind w:left="0"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14.3.5投标人法定代表人身份证复印件；</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14.3.6法定代表人授权委托书、投标人授权代理人身份证复印件（如有授权）（格式见第三章）；</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14.3.7投标货物和服务数量、品牌规格、性能、交货期说明表（不得出现价格，格式见第三章）；</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14.3.8技术参数响应及偏离表（格式见第三章）；</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14.3.9商务条款响应及偏离表（格式见第三章）；</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14.3.10</w:t>
      </w:r>
      <w:r>
        <w:rPr>
          <w:rFonts w:hint="eastAsia" w:ascii="宋体" w:hAnsi="宋体" w:eastAsia="宋体" w:cs="宋体"/>
          <w:color w:val="auto"/>
          <w:szCs w:val="21"/>
          <w:highlight w:val="none"/>
        </w:rPr>
        <w:t xml:space="preserve">投标</w:t>
      </w:r>
      <w:r>
        <w:rPr>
          <w:rFonts w:hint="eastAsia" w:ascii="宋体" w:hAnsi="宋体" w:eastAsia="宋体" w:cs="宋体"/>
          <w:color w:val="auto"/>
          <w:szCs w:val="21"/>
          <w:highlight w:val="none"/>
          <w:lang w:val="zh-CN"/>
        </w:rPr>
        <w:t xml:space="preserve">单位与其他单位存在控股、管理关系情况表（格式见第三章）；</w:t>
      </w:r>
      <w:r/>
    </w:p>
    <w:p>
      <w:pPr>
        <w:pStyle w:val="841"/>
        <w:ind w:left="0"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投标（响应）保证承诺书（格式见第三章）</w:t>
      </w:r>
      <w:r>
        <w:rPr>
          <w:rFonts w:hint="eastAsia" w:ascii="宋体" w:hAnsi="宋体" w:eastAsia="宋体" w:cs="宋体"/>
          <w:color w:val="auto"/>
          <w:szCs w:val="21"/>
          <w:highlight w:val="none"/>
          <w:lang w:val="en-US"/>
        </w:rPr>
        <w:t xml:space="preserve">；</w:t>
      </w:r>
      <w:r/>
    </w:p>
    <w:p>
      <w:pPr>
        <w:pStyle w:val="841"/>
        <w:ind w:left="0"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14.</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 w:val="21"/>
          <w:szCs w:val="21"/>
          <w:highlight w:val="none"/>
        </w:rPr>
        <w:t xml:space="preserve">综合评审文件（评分要点及技术要求）</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14.4.1针对本项目的方案；</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14.4.2采购需求及评分标准中所涉及到的其他材料等；</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14.4.3与本次招标相关的证明材料。</w:t>
      </w:r>
      <w:r/>
    </w:p>
    <w:p>
      <w:pPr>
        <w:pStyle w:val="870"/>
        <w:ind w:firstLine="430"/>
        <w:keepLines w:val="0"/>
        <w:keepNext w:val="0"/>
        <w:pageBreakBefore w:val="0"/>
        <w:spacing w:line="400" w:lineRule="exact"/>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val="en-US" w:eastAsia="zh-CN"/>
        </w:rPr>
        <w:t xml:space="preserve">14.5</w:t>
      </w:r>
      <w:r>
        <w:rPr>
          <w:rFonts w:ascii="宋体" w:hAnsi="宋体" w:eastAsia="宋体" w:cs="宋体"/>
          <w:b/>
          <w:bCs/>
          <w:color w:val="auto"/>
          <w:sz w:val="21"/>
          <w:highlight w:val="none"/>
        </w:rPr>
        <w:t xml:space="preserve">企业报价折扣证明</w:t>
      </w:r>
      <w:r>
        <w:rPr>
          <w:rFonts w:hint="eastAsia" w:ascii="宋体" w:hAnsi="宋体" w:eastAsia="宋体" w:cs="宋体"/>
          <w:b/>
          <w:bCs/>
          <w:color w:val="auto"/>
          <w:sz w:val="21"/>
          <w:highlight w:val="none"/>
          <w:lang w:eastAsia="zh-CN"/>
        </w:rPr>
        <w:t xml:space="preserve">。</w:t>
      </w:r>
      <w:r/>
    </w:p>
    <w:p>
      <w:pPr>
        <w:pStyle w:val="870"/>
        <w:ind w:firstLine="430"/>
        <w:keepLines w:val="0"/>
        <w:keepNext w:val="0"/>
        <w:pageBreakBefore w:val="0"/>
        <w:spacing w:line="400" w:lineRule="exact"/>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lang w:val="en-US" w:eastAsia="zh-CN"/>
        </w:rPr>
        <w:t xml:space="preserve">14.6</w:t>
      </w:r>
      <w:r>
        <w:rPr>
          <w:rFonts w:hint="eastAsia" w:ascii="宋体" w:hAnsi="宋体" w:eastAsia="宋体" w:cs="宋体"/>
          <w:b/>
          <w:bCs/>
          <w:color w:val="auto"/>
          <w:sz w:val="21"/>
          <w:highlight w:val="none"/>
          <w:lang w:val="zh-CN" w:eastAsia="zh-CN"/>
        </w:rPr>
        <w:t xml:space="preserve">关于符合本国产品标准的声明函。</w:t>
      </w:r>
      <w:r/>
    </w:p>
    <w:p>
      <w:pPr>
        <w:pStyle w:val="870"/>
        <w:ind w:firstLine="430"/>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b/>
          <w:bCs/>
          <w:color w:val="auto"/>
          <w:sz w:val="21"/>
          <w:szCs w:val="21"/>
          <w:highlight w:val="none"/>
          <w:lang w:val="en-US"/>
        </w:rPr>
        <w:t xml:space="preserve">注：</w:t>
      </w:r>
      <w:r/>
    </w:p>
    <w:p>
      <w:pPr>
        <w:pStyle w:val="870"/>
        <w:ind w:firstLine="430"/>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投标文件由“14.1-14.</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”款规定的内容共同组成，投标人必须提交上述“14.1”、“14.2”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14.3.1-14.3.1</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14.5、14.6</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款规定的资料，否则，投标文件将被视为未实质性响应招标要求。</w:t>
      </w:r>
      <w:r/>
    </w:p>
    <w:p>
      <w:pPr>
        <w:ind w:firstLine="422"/>
        <w:keepLines w:val="0"/>
        <w:keepNext w:val="0"/>
        <w:pageBreakBefore w:val="0"/>
        <w:spacing w:line="400" w:lineRule="exact"/>
        <w:widowControl w:val="off"/>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投标文件</w:t>
      </w:r>
      <w:r>
        <w:rPr>
          <w:rFonts w:hint="eastAsia" w:ascii="宋体" w:hAnsi="宋体" w:eastAsia="宋体" w:cs="宋体"/>
          <w:b/>
          <w:bCs/>
          <w:color w:val="auto"/>
          <w:sz w:val="21"/>
          <w:szCs w:val="21"/>
          <w:highlight w:val="none"/>
          <w:lang w:val="en-US" w:eastAsia="zh-CN"/>
        </w:rPr>
        <w:t xml:space="preserve">中14.2、14.3、14.4</w:t>
      </w:r>
      <w:r>
        <w:rPr>
          <w:rFonts w:hint="eastAsia" w:ascii="宋体" w:hAnsi="宋体" w:cs="宋体"/>
          <w:b/>
          <w:bCs/>
          <w:color w:val="auto"/>
          <w:sz w:val="21"/>
          <w:szCs w:val="21"/>
          <w:highlight w:val="none"/>
          <w:lang w:val="en-US" w:eastAsia="zh-CN"/>
        </w:rPr>
        <w:t xml:space="preserve">、14.5</w:t>
      </w:r>
      <w:r>
        <w:rPr>
          <w:rFonts w:hint="eastAsia" w:ascii="宋体" w:hAnsi="宋体" w:eastAsia="宋体" w:cs="宋体"/>
          <w:b/>
          <w:bCs/>
          <w:color w:val="auto"/>
          <w:sz w:val="21"/>
          <w:szCs w:val="21"/>
          <w:highlight w:val="none"/>
          <w:lang w:val="en-US" w:eastAsia="zh-CN"/>
        </w:rPr>
        <w:t xml:space="preserve">的内容中不得出现投标报价，</w:t>
      </w:r>
      <w:r>
        <w:rPr>
          <w:rFonts w:hint="eastAsia" w:ascii="宋体" w:hAnsi="宋体" w:eastAsia="宋体" w:cs="宋体"/>
          <w:b/>
          <w:bCs/>
          <w:color w:val="auto"/>
          <w:sz w:val="21"/>
          <w:szCs w:val="21"/>
          <w:highlight w:val="none"/>
        </w:rPr>
        <w:t xml:space="preserve">否则，投标文件将被视为未实质性响应</w:t>
      </w:r>
      <w:r>
        <w:rPr>
          <w:rFonts w:hint="eastAsia" w:ascii="宋体" w:hAnsi="宋体" w:eastAsia="宋体" w:cs="宋体"/>
          <w:b/>
          <w:bCs/>
          <w:color w:val="auto"/>
          <w:sz w:val="21"/>
          <w:szCs w:val="21"/>
          <w:highlight w:val="none"/>
          <w:lang w:eastAsia="zh-CN"/>
        </w:rPr>
        <w:t xml:space="preserve">。</w:t>
      </w:r>
      <w:r/>
    </w:p>
    <w:p>
      <w:pPr>
        <w:ind w:firstLine="422"/>
        <w:keepLines w:val="0"/>
        <w:keepNext w:val="0"/>
        <w:pageBreakBefore w:val="0"/>
        <w:spacing w:line="400" w:lineRule="exact"/>
        <w:widowControl w:val="off"/>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）制作电子投标文件时应保证上传的投标文件完整、清晰可辨认，若因上传资料过小或模糊不清等无法辨认的都视为该资料未提供。</w:t>
      </w:r>
      <w:r/>
    </w:p>
    <w:p>
      <w:pPr>
        <w:ind w:firstLine="422"/>
        <w:keepLines w:val="0"/>
        <w:keepNext w:val="0"/>
        <w:pageBreakBefore w:val="0"/>
        <w:spacing w:line="400" w:lineRule="exact"/>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keepLines w:val="0"/>
        <w:keepNext w:val="0"/>
        <w:pageBreakBefore w:val="0"/>
        <w:spacing w:line="400" w:lineRule="exact"/>
        <w:widowControl w:val="off"/>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rPr>
        <w:t xml:space="preserve">15.投标文件编制要求</w:t>
      </w:r>
      <w:r/>
    </w:p>
    <w:p>
      <w:pPr>
        <w:ind w:firstLine="420"/>
        <w:keepLines w:val="0"/>
        <w:keepNext w:val="0"/>
        <w:pageBreakBefore w:val="0"/>
        <w:spacing w:line="400" w:lineRule="exact"/>
        <w:widowControl w:val="off"/>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b/>
          <w:color w:val="auto"/>
          <w:sz w:val="21"/>
          <w:szCs w:val="21"/>
          <w:highlight w:val="none"/>
        </w:rPr>
        <w:t xml:space="preserve">投标文件按统一格式、顺序编写。</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15.2《开标一览表》为在开标仪式上唱标的内容，要求按格式填写，统一规范，不得自行增减</w:t>
      </w:r>
      <w:r>
        <w:rPr>
          <w:rFonts w:hint="eastAsia" w:ascii="宋体" w:hAnsi="宋体" w:eastAsia="宋体" w:cs="宋体"/>
          <w:color w:val="auto"/>
          <w:szCs w:val="21"/>
          <w:highlight w:val="none"/>
        </w:rPr>
        <w:t xml:space="preserve">内容。</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16.投标报价（编制）要求的说明</w:t>
      </w:r>
      <w:r/>
    </w:p>
    <w:p>
      <w:pPr>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16.1除非合同中另有规定，投标人对《开标一览表》中的报价</w:t>
      </w:r>
      <w:r>
        <w:rPr>
          <w:rFonts w:hint="eastAsia" w:ascii="宋体" w:hAnsi="宋体" w:eastAsia="宋体" w:cs="宋体"/>
          <w:color w:val="auto"/>
          <w:sz w:val="21"/>
          <w:szCs w:val="21"/>
          <w:highlight w:val="none"/>
          <w:lang w:val="zh-CN"/>
        </w:rPr>
        <w:t xml:space="preserve">包含了完成标的物全部内容的成本、材料、安装、调试、人工、机械、</w:t>
      </w:r>
      <w:r>
        <w:rPr>
          <w:rFonts w:hint="eastAsia" w:ascii="宋体" w:hAnsi="宋体" w:cs="宋体"/>
          <w:color w:val="auto"/>
          <w:sz w:val="21"/>
          <w:szCs w:val="21"/>
          <w:highlight w:val="none"/>
          <w:lang w:val="zh-CN"/>
        </w:rPr>
        <w:t xml:space="preserve">保险、运费、检测费、</w:t>
      </w:r>
      <w:r>
        <w:rPr>
          <w:rFonts w:hint="eastAsia" w:ascii="宋体" w:hAnsi="宋体" w:eastAsia="宋体" w:cs="宋体"/>
          <w:color w:val="auto"/>
          <w:sz w:val="21"/>
          <w:szCs w:val="21"/>
          <w:highlight w:val="none"/>
          <w:lang w:val="zh-CN"/>
        </w:rPr>
        <w:t xml:space="preserve">劳保、包装、</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lang w:val="zh-CN"/>
        </w:rPr>
        <w:t xml:space="preserve">各种税费</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zh-CN"/>
        </w:rPr>
        <w:t xml:space="preserve">以及质保期间的一切费用</w:t>
      </w:r>
      <w:r>
        <w:rPr>
          <w:rFonts w:hint="eastAsia" w:ascii="宋体" w:hAnsi="宋体" w:eastAsia="宋体" w:cs="宋体"/>
          <w:color w:val="auto"/>
          <w:sz w:val="21"/>
          <w:szCs w:val="21"/>
          <w:highlight w:val="none"/>
          <w:lang w:val="zh-CN"/>
        </w:rPr>
        <w:t xml:space="preserve">。</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16.2投标人应按《开标一览表》要求的内容填写，并由其法定代表人或授权代理人签署。</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16.4一项投标内容只允许一个报价，招标人不接受任何有选择性的投标报价。</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16.5投标文件报价采用人民币表示，除非合同的特殊条款另有规定。</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16.6最低的报价或最高的折扣率不能作为中标的保证。</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17.投标保证金：</w:t>
      </w:r>
      <w:r>
        <w:rPr>
          <w:rFonts w:hint="eastAsia" w:ascii="宋体" w:hAnsi="宋体" w:eastAsia="宋体" w:cs="宋体"/>
          <w:b/>
          <w:color w:val="auto"/>
          <w:szCs w:val="21"/>
          <w:highlight w:val="none"/>
          <w:lang w:val="en-US"/>
        </w:rPr>
        <w:t xml:space="preserve">本项目不收取投标保证金。</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18.投标文件的有效期</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18.1自提交投标文件截止之日起90天内，投标文件中承诺的投标有效期应当不少于招标文件中载明的投标有效期。</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18.2在特殊情况下，采购人、采购代理机构可与投标人协商延长投标书的有效期。这种要求和答复都应以书面形式进行。同意延长有效期的投标人不能修改投标文件。</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19.投标文件的制作、签署、上传</w:t>
      </w:r>
      <w:r/>
    </w:p>
    <w:p>
      <w:pPr>
        <w:pStyle w:val="870"/>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19.1本项目采用电子招投标形式，请供应商按照</w:t>
      </w:r>
      <w:r>
        <w:rPr>
          <w:rFonts w:hint="eastAsia" w:ascii="宋体" w:hAnsi="宋体" w:eastAsia="宋体" w:cs="宋体"/>
          <w:b/>
          <w:color w:val="auto"/>
          <w:szCs w:val="21"/>
          <w:highlight w:val="none"/>
        </w:rPr>
        <w:t xml:space="preserve">《苏采云系统供应商操作手册》</w:t>
      </w:r>
      <w:r>
        <w:rPr>
          <w:rFonts w:hint="eastAsia" w:ascii="宋体" w:hAnsi="宋体" w:eastAsia="宋体" w:cs="宋体"/>
          <w:color w:val="auto"/>
          <w:szCs w:val="21"/>
          <w:highlight w:val="none"/>
        </w:rPr>
        <w:t xml:space="preserve">进行制作、上传电子投标文件。</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19.2制作电子投标文件时，应按照招标文件要求加盖投标人电子公章。</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19.3</w:t>
      </w:r>
      <w:r>
        <w:rPr>
          <w:rFonts w:hint="eastAsia" w:ascii="宋体" w:hAnsi="宋体" w:eastAsia="宋体" w:cs="宋体"/>
          <w:b/>
          <w:color w:val="auto"/>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870"/>
        <w:ind w:firstLine="422"/>
        <w:keepLines w:val="0"/>
        <w:keepNext w:val="0"/>
        <w:pageBreakBefore w:val="0"/>
        <w:spacing w:line="400" w:lineRule="exact"/>
        <w:widowControl w:val="off"/>
        <w:rPr>
          <w:rFonts w:hint="eastAsia" w:ascii="宋体" w:hAnsi="宋体" w:eastAsia="宋体" w:cs="宋体"/>
          <w:b/>
          <w:color w:val="auto"/>
          <w:szCs w:val="21"/>
          <w:highlight w:val="none"/>
          <w:lang w:val="en-US"/>
        </w:rPr>
      </w:pPr>
      <w:r>
        <w:rPr>
          <w:rFonts w:hint="eastAsia" w:ascii="宋体" w:hAnsi="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投标文件的递交、补充、修改和撤回</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lang w:val="en-US"/>
        </w:rPr>
        <w:t xml:space="preserve">20.</w:t>
      </w:r>
      <w:r>
        <w:rPr>
          <w:rFonts w:hint="eastAsia" w:ascii="宋体" w:hAnsi="宋体" w:eastAsia="宋体" w:cs="宋体"/>
          <w:b/>
          <w:color w:val="auto"/>
          <w:szCs w:val="21"/>
          <w:highlight w:val="none"/>
        </w:rPr>
        <w:t xml:space="preserve">投标文件的递交（</w:t>
      </w:r>
      <w:r>
        <w:rPr>
          <w:rFonts w:hint="eastAsia" w:ascii="宋体" w:hAnsi="宋体" w:eastAsia="宋体" w:cs="宋体"/>
          <w:b/>
          <w:color w:val="auto"/>
          <w:szCs w:val="21"/>
          <w:highlight w:val="none"/>
          <w:lang w:val="en-US"/>
        </w:rPr>
        <w:t xml:space="preserve">上传</w:t>
      </w:r>
      <w:r>
        <w:rPr>
          <w:rFonts w:hint="eastAsia" w:ascii="宋体" w:hAnsi="宋体" w:eastAsia="宋体" w:cs="宋体"/>
          <w:b/>
          <w:color w:val="auto"/>
          <w:szCs w:val="21"/>
          <w:highlight w:val="none"/>
        </w:rPr>
        <w:t xml:space="preserve">）</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en-US"/>
        </w:rPr>
        <w:t xml:space="preserve">20.1</w:t>
      </w:r>
      <w:r>
        <w:rPr>
          <w:rFonts w:hint="eastAsia" w:ascii="宋体" w:hAnsi="宋体" w:eastAsia="宋体" w:cs="宋体"/>
          <w:color w:val="auto"/>
          <w:szCs w:val="21"/>
          <w:highlight w:val="none"/>
        </w:rPr>
        <w:t xml:space="preserve">投标人应当在在投标截止时间前制作并上传电子投标文件。</w:t>
      </w:r>
      <w:r/>
    </w:p>
    <w:p>
      <w:pPr>
        <w:pStyle w:val="877"/>
        <w:keepLines w:val="0"/>
        <w:keepNext w:val="0"/>
        <w:pageBreakBefore w:val="0"/>
        <w:spacing w:line="400" w:lineRule="exact"/>
        <w:widowControl w:val="off"/>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20.2投标人通过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21.投标截止时间</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21.1投标人应当在招标文件要求投标文件网上提交截止时间前，将投标文件完成提交（上传）。逾期提交（上传）的投标文件，采购人和采购代理机构拒绝接收。</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21.3在投标截止时间止成功解密的</w:t>
      </w:r>
      <w:r>
        <w:rPr>
          <w:rFonts w:hint="eastAsia" w:ascii="宋体" w:hAnsi="宋体" w:eastAsia="宋体" w:cs="宋体"/>
          <w:color w:val="auto"/>
          <w:szCs w:val="21"/>
          <w:highlight w:val="none"/>
          <w:lang w:val="en-US"/>
        </w:rPr>
        <w:t xml:space="preserve">各标段</w:t>
      </w:r>
      <w:r>
        <w:rPr>
          <w:rFonts w:hint="eastAsia" w:ascii="宋体" w:hAnsi="宋体" w:eastAsia="宋体" w:cs="宋体"/>
          <w:color w:val="auto"/>
          <w:szCs w:val="21"/>
          <w:highlight w:val="none"/>
        </w:rPr>
        <w:t xml:space="preserve">投标文件少于三份，采购代理机构有权宣布本次招标失败。</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22.投标文件的补充、修改和撤回</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70"/>
        <w:ind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六、开标和评标</w:t>
      </w:r>
      <w:r/>
    </w:p>
    <w:p>
      <w:pPr>
        <w:pStyle w:val="870"/>
        <w:ind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23.开标</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23.1开标由采购代理机构</w:t>
      </w:r>
      <w:r>
        <w:rPr>
          <w:rFonts w:hint="eastAsia" w:ascii="宋体" w:hAnsi="宋体" w:eastAsia="宋体" w:cs="宋体"/>
          <w:color w:val="auto"/>
          <w:szCs w:val="21"/>
          <w:highlight w:val="none"/>
          <w:lang w:val="en-US"/>
        </w:rPr>
        <w:t xml:space="preserve">在线</w:t>
      </w:r>
      <w:r>
        <w:rPr>
          <w:rFonts w:hint="eastAsia" w:ascii="宋体" w:hAnsi="宋体" w:eastAsia="宋体" w:cs="宋体"/>
          <w:color w:val="auto"/>
          <w:szCs w:val="21"/>
          <w:highlight w:val="none"/>
        </w:rPr>
        <w:t xml:space="preserve">主持，邀请投标人</w:t>
      </w:r>
      <w:r>
        <w:rPr>
          <w:rFonts w:hint="eastAsia" w:ascii="宋体" w:hAnsi="宋体" w:eastAsia="宋体" w:cs="宋体"/>
          <w:color w:val="auto"/>
          <w:szCs w:val="21"/>
          <w:highlight w:val="none"/>
          <w:lang w:val="en-US"/>
        </w:rPr>
        <w:t xml:space="preserve">在线</w:t>
      </w:r>
      <w:r>
        <w:rPr>
          <w:rFonts w:hint="eastAsia" w:ascii="宋体" w:hAnsi="宋体" w:eastAsia="宋体" w:cs="宋体"/>
          <w:color w:val="auto"/>
          <w:szCs w:val="21"/>
          <w:highlight w:val="none"/>
        </w:rPr>
        <w:t xml:space="preserve">参加。投标人应当按照《苏采云系统供应商操作手册》规定，</w:t>
      </w:r>
      <w:r>
        <w:rPr>
          <w:rFonts w:hint="eastAsia" w:ascii="宋体" w:hAnsi="宋体" w:eastAsia="宋体" w:cs="宋体"/>
          <w:b/>
          <w:color w:val="auto"/>
          <w:szCs w:val="21"/>
          <w:highlight w:val="none"/>
        </w:rPr>
        <w:t xml:space="preserve">参加开标活动和在“苏采云”系统规定的时间内对投标文件进行解密</w:t>
      </w:r>
      <w:r>
        <w:rPr>
          <w:rFonts w:hint="eastAsia" w:ascii="宋体" w:hAnsi="宋体" w:eastAsia="宋体" w:cs="宋体"/>
          <w:color w:val="auto"/>
          <w:szCs w:val="21"/>
          <w:highlight w:val="none"/>
        </w:rPr>
        <w:t xml:space="preserve">。评标委员会成员不得参加开标活动。</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23.2采购代理机构</w:t>
      </w:r>
      <w:r>
        <w:rPr>
          <w:rFonts w:hint="eastAsia" w:ascii="宋体" w:hAnsi="宋体" w:eastAsia="宋体" w:cs="宋体"/>
          <w:color w:val="auto"/>
          <w:szCs w:val="21"/>
          <w:highlight w:val="none"/>
          <w:lang w:val="en-US"/>
        </w:rPr>
        <w:t xml:space="preserve">通过“苏采云”系统在线</w:t>
      </w:r>
      <w:r>
        <w:rPr>
          <w:rFonts w:hint="eastAsia" w:ascii="宋体" w:hAnsi="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投标人在不见面开标系统中确认投标价格，如</w:t>
      </w:r>
      <w:r>
        <w:rPr>
          <w:rFonts w:hint="eastAsia" w:ascii="宋体" w:hAnsi="宋体" w:eastAsia="宋体" w:cs="宋体"/>
          <w:color w:val="auto"/>
          <w:szCs w:val="21"/>
          <w:highlight w:val="none"/>
        </w:rPr>
        <w:t xml:space="preserve">投标人未</w:t>
      </w:r>
      <w:r>
        <w:rPr>
          <w:rFonts w:hint="eastAsia" w:ascii="宋体" w:hAnsi="宋体" w:eastAsia="宋体" w:cs="宋体"/>
          <w:color w:val="auto"/>
          <w:szCs w:val="21"/>
          <w:highlight w:val="none"/>
          <w:lang w:val="en-US"/>
        </w:rPr>
        <w:t xml:space="preserve">在线</w:t>
      </w:r>
      <w:r>
        <w:rPr>
          <w:rFonts w:hint="eastAsia" w:ascii="宋体" w:hAnsi="宋体" w:eastAsia="宋体" w:cs="宋体"/>
          <w:color w:val="auto"/>
          <w:szCs w:val="21"/>
          <w:highlight w:val="none"/>
        </w:rPr>
        <w:t xml:space="preserve">参加开标</w:t>
      </w:r>
      <w:r>
        <w:rPr>
          <w:rFonts w:hint="eastAsia" w:ascii="宋体" w:hAnsi="宋体" w:eastAsia="宋体" w:cs="宋体"/>
          <w:color w:val="auto"/>
          <w:szCs w:val="21"/>
          <w:highlight w:val="none"/>
          <w:lang w:val="en-US"/>
        </w:rPr>
        <w:t xml:space="preserve">或未在规定时间内确认价格</w:t>
      </w:r>
      <w:r>
        <w:rPr>
          <w:rFonts w:hint="eastAsia" w:ascii="宋体" w:hAnsi="宋体" w:eastAsia="宋体" w:cs="宋体"/>
          <w:color w:val="auto"/>
          <w:szCs w:val="21"/>
          <w:highlight w:val="none"/>
        </w:rPr>
        <w:t xml:space="preserve">的，视同认可开标结果。</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23.3资格审查</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23.3.1公开招标采购项目开标结束后，采购人应当依法对投标人的资格进行审查，未通过资格审查的视为无效投标。</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23.3.2.1查询时间：投标文件递交截止时间。</w:t>
      </w:r>
      <w:r/>
    </w:p>
    <w:p>
      <w:pPr>
        <w:pStyle w:val="870"/>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23.3.2.2查询渠道：采购代理机构会在接收投标文件截止时间后，查询供应商的信用记录，并将查询结果递交评标委员会。</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23.3.</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(二)财政部门与法院、工商、税务等部门联合惩戒的失信信息，包括：</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(1)被列入失信被执行人名单；</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(2)被列入重大税收违法案件当事人名单；</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870"/>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23.3.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评审</w:t>
      </w:r>
      <w:r>
        <w:rPr>
          <w:rFonts w:hint="eastAsia" w:ascii="宋体" w:hAnsi="宋体" w:cs="宋体"/>
          <w:color w:val="auto"/>
          <w:szCs w:val="21"/>
          <w:highlight w:val="none"/>
          <w:lang w:val="en-US" w:eastAsia="zh-CN"/>
        </w:rPr>
        <w:t xml:space="preserve">委员会</w:t>
      </w:r>
      <w:r>
        <w:rPr>
          <w:rFonts w:hint="eastAsia" w:ascii="宋体" w:hAnsi="宋体" w:eastAsia="宋体" w:cs="宋体"/>
          <w:color w:val="auto"/>
          <w:szCs w:val="21"/>
          <w:highlight w:val="none"/>
        </w:rPr>
        <w:t xml:space="preserve">应当对投标文件进行评审，并根据招标文件规定的程序、评定中标的标准等事项与实质性响应招标文件要求的供应商进行评审。未实质性响应招标文件的投标文件按无效处理，评审</w:t>
      </w:r>
      <w:r>
        <w:rPr>
          <w:rFonts w:hint="eastAsia" w:ascii="宋体" w:hAnsi="宋体" w:cs="宋体"/>
          <w:color w:val="auto"/>
          <w:szCs w:val="21"/>
          <w:highlight w:val="none"/>
          <w:lang w:val="en-US" w:eastAsia="zh-CN"/>
        </w:rPr>
        <w:t xml:space="preserve">委员会</w:t>
      </w:r>
      <w:r>
        <w:rPr>
          <w:rFonts w:hint="eastAsia" w:ascii="宋体" w:hAnsi="宋体" w:eastAsia="宋体" w:cs="宋体"/>
          <w:color w:val="auto"/>
          <w:szCs w:val="21"/>
          <w:highlight w:val="none"/>
        </w:rPr>
        <w:t xml:space="preserve">应当告知有关供应商。</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24.评标委员会</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24.1评标委员会负责具体评标事务，并独立履行下列职责：</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24.1.1审查、评价投标文件是否符合招标文件的商务、技术等实质性要求；</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24.1.2要求投标人对投标文件有关事项作出澄清或者说明；</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24.1.3对投标文件进行比较和评价；</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24.1.4确定中标候选人名单，以及根据采购人委托直接确定中标人；</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24.1.5向采购人、采购代理机构或者有关部门报告评标中发现的违法行为。</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24.2评标委员会成员应当履行下列义务：</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24.2.1遵纪守法，客观、公正、廉洁地履行职责；</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24.2.2按照招标文件规定的评标办法和评标标准进行评标，对评审意见承担个人责任；</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24.2.3对评标过程和结果，以及投标人的商业秘密保密；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24.2.4评标委员会根据全体评标成员签字的原始评标记录和评标结果编写评标报告。评标报告应当包括以下内容：</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（一）招标公告刊登的媒体名称、开标日期和地点；</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（二）投标人名单和评标委员会成员名单；</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（三）评标方法和标准；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（四）开标记录和评标情况及说明，包括无效投标人名单及原因；</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（五）评标结果，确定的中标候选人名单或者经采购人委托直接确定的中标人；</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（六）其他需要说明的情况，包括评标过程中投标人根据评标委员会要求进行的澄清、说明或者补正，评标委员会成员的更换等。</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24.2.5配合相关部门的投诉处理工作；</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24.2.6配合</w:t>
      </w:r>
      <w:r>
        <w:rPr>
          <w:rFonts w:hint="eastAsia" w:ascii="宋体" w:hAnsi="宋体" w:cs="宋体"/>
          <w:color w:val="auto"/>
          <w:szCs w:val="21"/>
          <w:highlight w:val="none"/>
          <w:lang w:eastAsia="zh-CN"/>
        </w:rPr>
        <w:t xml:space="preserve">采购人或采购代理机构</w:t>
      </w:r>
      <w:r>
        <w:rPr>
          <w:rFonts w:hint="eastAsia" w:ascii="宋体" w:hAnsi="宋体" w:eastAsia="宋体" w:cs="宋体"/>
          <w:color w:val="auto"/>
          <w:szCs w:val="21"/>
          <w:highlight w:val="none"/>
        </w:rPr>
        <w:t xml:space="preserve">答复投标供应商提出的质疑。</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25.评标内容的保密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25.1公开开标后，直到宣布授予中标单位合同为止，凡属于审查、澄清、评价和比较投标的所有资料，有关授予合同的信息都不应向投标人或与评标无关的其他人泄露。</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25.2在投标文件的审查、澄清、评价和比较以及授予合同的过程中，投标人对</w:t>
      </w:r>
      <w:r>
        <w:rPr>
          <w:rFonts w:hint="eastAsia" w:ascii="宋体" w:hAnsi="宋体" w:cs="宋体"/>
          <w:color w:val="auto"/>
          <w:szCs w:val="21"/>
          <w:highlight w:val="none"/>
          <w:lang w:eastAsia="zh-CN"/>
        </w:rPr>
        <w:t xml:space="preserve">采购人或采购代理机构</w:t>
      </w:r>
      <w:r>
        <w:rPr>
          <w:rFonts w:hint="eastAsia" w:ascii="宋体" w:hAnsi="宋体" w:eastAsia="宋体" w:cs="宋体"/>
          <w:color w:val="auto"/>
          <w:szCs w:val="21"/>
          <w:highlight w:val="none"/>
        </w:rPr>
        <w:t xml:space="preserve">和评标委员会成员施加影响的任何行为，都将取消其中标资格。</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26.对投标文件初审</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26.1评标委员会应当对符合资格的投标人的投标文件进行符合性审查，以确定其是否满足招标文件的实质性要求。</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投标文件有下列情况之一者评标委员会有权将其拒绝：</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26.1.1投标人的投标文件未按照本须知规定制作的；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26.1.2未按本须知规定提交资格文件；</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26.1.3与招标文件有重大偏离；</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26.1.4投标人拒绝修正错误；</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26.1.5投标人的报价是选择性的；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26.1.6投标人的报价只投了部分内容；</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26.1.7投标人的投标文件出现了评标委员会认为不应当雷同的情况；</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26.1.8其他被评委会认定无效的情况。</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26.2</w:t>
      </w:r>
      <w:r>
        <w:rPr>
          <w:rFonts w:hint="eastAsia" w:ascii="宋体" w:hAnsi="宋体" w:cs="宋体"/>
          <w:color w:val="auto"/>
          <w:sz w:val="21"/>
          <w:szCs w:val="21"/>
          <w:highlight w:val="none"/>
        </w:rPr>
        <w:t xml:space="preserve">评标委员会</w:t>
      </w:r>
      <w:r>
        <w:rPr>
          <w:rFonts w:hint="eastAsia" w:ascii="宋体" w:hAnsi="宋体" w:eastAsia="宋体" w:cs="宋体"/>
          <w:color w:val="auto"/>
          <w:szCs w:val="21"/>
          <w:highlight w:val="none"/>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26.3投标文件报价出现前后不一致的，除招标文件另有规定外，按照下列规定修正：</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（一）投标文件中开标一览表（报价表）内容与投标文件中相应内容不一致的，以开标一览表（报价表）为准；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（二）大写金额和小写金额不一致的，以大写金额为准；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（三）单价金额小数点或者百分比有明显错位的，以开标一览表的总价为准，并修改单价；</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（四）总价金额与按单价汇总金额不一致的，以单价金额计算结果为准。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jc w:val="both"/>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26.4异常低价响应审查</w:t>
      </w:r>
      <w:r>
        <w:rPr>
          <w:rFonts w:hint="eastAsia" w:ascii="宋体" w:hAnsi="宋体" w:eastAsia="宋体" w:cs="宋体"/>
          <w:b/>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26.4.1评审中出现下列情形之一的，评审委员会应当启动异常低价</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审查程序：</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26.4.1.1</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报价低于全部通过符合性审查供应商</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报价平均值50%的，即</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报价&lt;全部通过符合性审查供应商</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报价平均值×50%；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26.4.1.2</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报价低于通过符合性审查的次低报价供应商</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报价50%的，即</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报价&lt;通过符合性审查的次低报价供应商</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26.4.1.3</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报价低于采购项目最高限价45%的，即</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报价&lt;采购项目最高限价×45%；</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26.4.1.4评审委员会基于专业判断，认为供应商报价过低，有可能影响产品质量或者不能诚信履约的其他情形。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26.4.2评审委员会启动异常低价</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审查后，属于前述第26.4.1.1项至第26.4.1.4项情形的，应当要求相关供应商在评审现场合理的时间内对</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价格作出解释，提供项目具体成本测算等与报价合理性相关的书面说明及必要的证明材料，包括但不限于原材料成本、人工成本、制造费用等，给予相关供应商的合理时间一般不少于30分钟。其中，属于第26.4.1.3项情形，供应商已随</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Cs w:val="21"/>
          <w:highlight w:val="none"/>
        </w:rPr>
      </w:pPr>
      <w:r>
        <w:rPr>
          <w:rFonts w:hint="eastAsia" w:ascii="宋体" w:hAnsi="宋体" w:eastAsia="宋体" w:cs="宋体"/>
          <w:b/>
          <w:color w:val="auto"/>
          <w:sz w:val="21"/>
          <w:szCs w:val="21"/>
          <w:highlight w:val="none"/>
          <w:lang w:val="en-US" w:eastAsia="zh-CN" w:bidi="ar-SA"/>
        </w:rPr>
        <w:t xml:space="preserve">26.4.3评审委员会依据专业经验，参考同类项目中标（成交）价格、类似产品市场价格水平、行业人工费用标准、国家有关部门指导行业协会发布的行业平均成本等情况，对报价合理性进行判断。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供应商不能提供书面说明、证明材料，或者提供的书面说明、证明材料不能证明其报价合理性的，评审委员会应当将其作为无效</w:t>
      </w:r>
      <w:r>
        <w:rPr>
          <w:rFonts w:hint="eastAsia" w:ascii="宋体" w:hAnsi="宋体" w:cs="宋体"/>
          <w:b/>
          <w:color w:val="auto"/>
          <w:sz w:val="21"/>
          <w:szCs w:val="21"/>
          <w:highlight w:val="none"/>
          <w:lang w:val="en-US" w:eastAsia="zh-CN" w:bidi="ar-SA"/>
        </w:rPr>
        <w:t xml:space="preserve">投标</w:t>
      </w:r>
      <w:r>
        <w:rPr>
          <w:rFonts w:hint="eastAsia" w:ascii="宋体" w:hAnsi="宋体" w:eastAsia="宋体" w:cs="宋体"/>
          <w:b/>
          <w:color w:val="auto"/>
          <w:sz w:val="21"/>
          <w:szCs w:val="21"/>
          <w:highlight w:val="none"/>
          <w:lang w:val="en-US" w:eastAsia="zh-CN" w:bidi="ar-SA"/>
        </w:rPr>
        <w:t xml:space="preserve">处理。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27.投标的澄清</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27.1对于投标文件中含义不明确、同类问题表述不一致或者有明显文字和计算错误的内容，评标委员会应当以书面形式要求投标人作出必要的澄清、说明或者补正。</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27.2投标人的澄清、说明或者补正应当采用书面形式，并加盖</w:t>
      </w:r>
      <w:r>
        <w:rPr>
          <w:rFonts w:hint="eastAsia" w:ascii="宋体" w:hAnsi="宋体" w:eastAsia="宋体" w:cs="宋体"/>
          <w:color w:val="auto"/>
          <w:szCs w:val="21"/>
          <w:highlight w:val="none"/>
          <w:lang w:val="en-US"/>
        </w:rPr>
        <w:t xml:space="preserve">其单位电子</w:t>
      </w:r>
      <w:r>
        <w:rPr>
          <w:rFonts w:hint="eastAsia" w:ascii="宋体" w:hAnsi="宋体" w:eastAsia="宋体" w:cs="宋体"/>
          <w:color w:val="auto"/>
          <w:szCs w:val="21"/>
          <w:highlight w:val="none"/>
        </w:rPr>
        <w:t xml:space="preserve">公章，或者由法定代表人/负责人或其授权的代表签字。投标人的澄清、说明或者补正不得超出投标文件的范围或者改变投标文件的实质性内容。</w:t>
      </w:r>
      <w:r/>
    </w:p>
    <w:p>
      <w:pPr>
        <w:pStyle w:val="870"/>
        <w:ind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Cs w:val="21"/>
          <w:highlight w:val="none"/>
        </w:rPr>
        <w:t xml:space="preserve">供应商应随时保持系统在线，如因供应商自身原因未在规定时间内提交澄清确认资料的，导致的不利后果由供应商自行承担。</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28.投标无效</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28.1投标人存在下列情况之一的，投标无效：</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一</w:t>
      </w:r>
      <w:r>
        <w:rPr>
          <w:rFonts w:hint="eastAsia" w:ascii="宋体" w:hAnsi="宋体" w:eastAsia="宋体" w:cs="宋体"/>
          <w:color w:val="auto"/>
          <w:szCs w:val="21"/>
          <w:highlight w:val="none"/>
        </w:rPr>
        <w:t xml:space="preserve">）投标文件未按招标文件要求签署、盖章的；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二</w:t>
      </w:r>
      <w:r>
        <w:rPr>
          <w:rFonts w:hint="eastAsia" w:ascii="宋体" w:hAnsi="宋体" w:eastAsia="宋体" w:cs="宋体"/>
          <w:color w:val="auto"/>
          <w:szCs w:val="21"/>
          <w:highlight w:val="none"/>
        </w:rPr>
        <w:t xml:space="preserve">）不具备招标文件中规定的资格要求的；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三</w:t>
      </w:r>
      <w:r>
        <w:rPr>
          <w:rFonts w:hint="eastAsia" w:ascii="宋体" w:hAnsi="宋体" w:eastAsia="宋体" w:cs="宋体"/>
          <w:color w:val="auto"/>
          <w:szCs w:val="21"/>
          <w:highlight w:val="none"/>
        </w:rPr>
        <w:t xml:space="preserve">）报价超过招标文件中规定的预算金额或者最高限价的；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四</w:t>
      </w:r>
      <w:r>
        <w:rPr>
          <w:rFonts w:hint="eastAsia" w:ascii="宋体" w:hAnsi="宋体" w:eastAsia="宋体" w:cs="宋体"/>
          <w:color w:val="auto"/>
          <w:szCs w:val="21"/>
          <w:highlight w:val="none"/>
        </w:rPr>
        <w:t xml:space="preserve">）投标文件含有采购人不能接受的附加条件的；</w:t>
      </w:r>
      <w:r/>
    </w:p>
    <w:p>
      <w:pPr>
        <w:pStyle w:val="870"/>
        <w:ind w:firstLine="422"/>
        <w:keepLines w:val="0"/>
        <w:keepNext w:val="0"/>
        <w:pageBreakBefore w:val="0"/>
        <w:spacing w:line="400" w:lineRule="exact"/>
        <w:widowControl w:val="off"/>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（五）机器码检查中，不同投标人使用同一台电脑编制投标文件的；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六</w:t>
      </w:r>
      <w:r>
        <w:rPr>
          <w:rFonts w:hint="eastAsia" w:ascii="宋体" w:hAnsi="宋体" w:eastAsia="宋体" w:cs="宋体"/>
          <w:color w:val="auto"/>
          <w:szCs w:val="21"/>
          <w:highlight w:val="none"/>
        </w:rPr>
        <w:t xml:space="preserve">）法律、法规和招标文件规定的其他无效情形。</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28.2投标人应当遵循公平竞争的原则，不得恶意串通，不得妨碍其他投标人的竞争行为，不得损害采购人或者其他投标人的合法权益。</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在评标过程中发现投标人有上述情形的，评标委员会应当认定其投标无效，并书面报告本级财政部门。</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28.3有下列情形之一的，视为投标人串通投标，其投标无效：</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（一）不同投标人的投标文件由同一单位或者个人编制；</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（二）不同投标人委托同一单位或者个人办理投标事宜；</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（三）不同投标人的投标文件载明的项目管理成员或者联系人员为同一人；</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（四）不同投标人的投标文件异常一致或者投标报价呈规律性差异；</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（五）不同投标人的投标文件相互混装。</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29.废标</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29.1在招标过程中，出现下列情况之一的，应予废标：</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29.1.1符合专业条件的供应商或者对招标文件作实质投标的供应商不足</w:t>
      </w:r>
      <w:r>
        <w:rPr>
          <w:rFonts w:hint="eastAsia" w:ascii="宋体" w:hAnsi="宋体" w:eastAsia="宋体" w:cs="宋体"/>
          <w:color w:val="auto"/>
          <w:szCs w:val="21"/>
          <w:highlight w:val="none"/>
          <w:lang w:val="en-US"/>
        </w:rPr>
        <w:t xml:space="preserve">三</w:t>
      </w:r>
      <w:r>
        <w:rPr>
          <w:rFonts w:hint="eastAsia" w:ascii="宋体" w:hAnsi="宋体" w:eastAsia="宋体" w:cs="宋体"/>
          <w:color w:val="auto"/>
          <w:szCs w:val="21"/>
          <w:highlight w:val="none"/>
        </w:rPr>
        <w:t xml:space="preserve">家的；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29.1.2出现影响采购公正的违法、违规行为的；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29.1.3投标人的报价均超过了采购预算，采购人不能支付的；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28.1.4因重大变故，采购任务取消的；</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29.2废标后，</w:t>
      </w:r>
      <w:r>
        <w:rPr>
          <w:rFonts w:hint="eastAsia" w:ascii="宋体" w:hAnsi="宋体" w:cs="宋体"/>
          <w:color w:val="auto"/>
          <w:szCs w:val="21"/>
          <w:highlight w:val="none"/>
          <w:lang w:eastAsia="zh-CN"/>
        </w:rPr>
        <w:t xml:space="preserve">采购代理机构</w:t>
      </w:r>
      <w:r>
        <w:rPr>
          <w:rFonts w:hint="eastAsia" w:ascii="宋体" w:hAnsi="宋体" w:eastAsia="宋体" w:cs="宋体"/>
          <w:color w:val="auto"/>
          <w:szCs w:val="21"/>
          <w:highlight w:val="none"/>
        </w:rPr>
        <w:t xml:space="preserve">将把废标的理由通知所有投标人。</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30.投标文件的评价和比较</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30.1采用综合评分法的，评标结果按评审后得分由高到低顺序排列。得分相同的，按投标报价由低到高顺序排列。得分且投标报价相同的并列，则由</w:t>
      </w:r>
      <w:r>
        <w:rPr>
          <w:rFonts w:hint="eastAsia" w:ascii="宋体" w:hAnsi="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组织抽签确定中标人。投标文件满足招标文件全部实质性要求，且按照评审因素的量化指标评审得分最高的投标人为排名第一的中标候选人。</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30.2最低的投标报价或最高的折扣比例是中标的重要条件，但不是唯一条件。</w:t>
      </w:r>
      <w:r/>
    </w:p>
    <w:p>
      <w:pPr>
        <w:pStyle w:val="870"/>
        <w:ind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七、授予合同</w:t>
      </w:r>
      <w:r/>
    </w:p>
    <w:p>
      <w:pPr>
        <w:pStyle w:val="870"/>
        <w:ind w:firstLine="422"/>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31.中标单位的确认</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31.1评标委员会根据投标人资格审查情况，对投标文件进行评价和比较，按照评标办法和标准进行评标，并按采购</w:t>
      </w:r>
      <w:r>
        <w:rPr>
          <w:rFonts w:hint="eastAsia" w:ascii="宋体" w:hAnsi="宋体" w:cs="宋体"/>
          <w:color w:val="auto"/>
          <w:szCs w:val="21"/>
          <w:highlight w:val="none"/>
          <w:lang w:eastAsia="zh-CN"/>
        </w:rPr>
        <w:t xml:space="preserve">人</w:t>
      </w:r>
      <w:r>
        <w:rPr>
          <w:rFonts w:hint="eastAsia" w:ascii="宋体" w:hAnsi="宋体" w:eastAsia="宋体" w:cs="宋体"/>
          <w:color w:val="auto"/>
          <w:szCs w:val="21"/>
          <w:highlight w:val="none"/>
        </w:rPr>
        <w:t xml:space="preserve">的委托向采购</w:t>
      </w:r>
      <w:r>
        <w:rPr>
          <w:rFonts w:hint="eastAsia" w:ascii="宋体" w:hAnsi="宋体" w:cs="宋体"/>
          <w:color w:val="auto"/>
          <w:szCs w:val="21"/>
          <w:highlight w:val="none"/>
          <w:lang w:eastAsia="zh-CN"/>
        </w:rPr>
        <w:t xml:space="preserve">人</w:t>
      </w:r>
      <w:r>
        <w:rPr>
          <w:rFonts w:hint="eastAsia" w:ascii="宋体" w:hAnsi="宋体" w:eastAsia="宋体" w:cs="宋体"/>
          <w:color w:val="auto"/>
          <w:szCs w:val="21"/>
          <w:highlight w:val="none"/>
        </w:rPr>
        <w:t xml:space="preserve">推荐中标</w:t>
      </w:r>
      <w:r>
        <w:rPr>
          <w:rFonts w:hint="eastAsia" w:ascii="宋体" w:hAnsi="宋体" w:cs="宋体"/>
          <w:color w:val="auto"/>
          <w:szCs w:val="21"/>
          <w:highlight w:val="none"/>
          <w:lang w:eastAsia="zh-CN"/>
        </w:rPr>
        <w:t xml:space="preserve">人</w:t>
      </w:r>
      <w:r>
        <w:rPr>
          <w:rFonts w:hint="eastAsia" w:ascii="宋体" w:hAnsi="宋体" w:eastAsia="宋体" w:cs="宋体"/>
          <w:color w:val="auto"/>
          <w:szCs w:val="21"/>
          <w:highlight w:val="none"/>
        </w:rPr>
        <w:t xml:space="preserve">。</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31.2经评标委员会评审并确定中标单位后，</w:t>
      </w:r>
      <w:r>
        <w:rPr>
          <w:rFonts w:hint="eastAsia" w:ascii="宋体" w:hAnsi="宋体" w:cs="宋体"/>
          <w:color w:val="auto"/>
          <w:szCs w:val="21"/>
          <w:highlight w:val="none"/>
          <w:lang w:eastAsia="zh-CN"/>
        </w:rPr>
        <w:t xml:space="preserve">采购代理机构</w:t>
      </w:r>
      <w:r>
        <w:rPr>
          <w:rFonts w:hint="eastAsia" w:ascii="宋体" w:hAnsi="宋体" w:eastAsia="宋体" w:cs="宋体"/>
          <w:color w:val="auto"/>
          <w:szCs w:val="21"/>
          <w:highlight w:val="none"/>
        </w:rPr>
        <w:t xml:space="preserve">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32.合同授予标准</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采购</w:t>
      </w:r>
      <w:r>
        <w:rPr>
          <w:rFonts w:hint="eastAsia" w:ascii="宋体" w:hAnsi="宋体" w:cs="宋体"/>
          <w:color w:val="auto"/>
          <w:szCs w:val="21"/>
          <w:highlight w:val="none"/>
          <w:lang w:eastAsia="zh-CN"/>
        </w:rPr>
        <w:t xml:space="preserve">人</w:t>
      </w:r>
      <w:r>
        <w:rPr>
          <w:rFonts w:hint="eastAsia" w:ascii="宋体" w:hAnsi="宋体" w:eastAsia="宋体" w:cs="宋体"/>
          <w:color w:val="auto"/>
          <w:szCs w:val="21"/>
          <w:highlight w:val="none"/>
        </w:rPr>
        <w:t xml:space="preserve">将把合同授予其投标文件在实质上响应投标招标文件要求且按本须知规定评选出的投标人。确定为中标的投标人必须具有实施本合同的能力和资源。</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33.中标通知书</w:t>
      </w:r>
      <w:r/>
    </w:p>
    <w:p>
      <w:pPr>
        <w:pStyle w:val="870"/>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33.1确定出中标人后，采购代理机构在法定时间内向中标人发出中标通知书。</w:t>
      </w:r>
      <w:r>
        <w:rPr>
          <w:rFonts w:hint="eastAsia" w:ascii="宋体" w:hAnsi="宋体" w:eastAsia="宋体" w:cs="宋体"/>
          <w:b/>
          <w:color w:val="auto"/>
          <w:szCs w:val="21"/>
          <w:highlight w:val="none"/>
        </w:rPr>
        <w:t xml:space="preserve">请中标人在中标结果公告届满之日起30日内</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使用CA证书登录“苏采云”系统及时下载中标通知书。</w:t>
      </w:r>
      <w:r>
        <w:rPr>
          <w:rFonts w:hint="eastAsia" w:ascii="宋体" w:hAnsi="宋体" w:eastAsia="宋体" w:cs="宋体"/>
          <w:color w:val="auto"/>
          <w:szCs w:val="21"/>
          <w:highlight w:val="none"/>
        </w:rPr>
        <w:t xml:space="preserve">因系统存储空间有限，自中标结果公告届满之日起30日后，“苏采云”系统不再保证提供下载中标通知书服务</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因未及时下载而造成的不利后果由中标人自行承担。对未通过资格审查的供应商，应当告知其未通过的原因；未</w:t>
      </w:r>
      <w:r>
        <w:rPr>
          <w:rFonts w:hint="eastAsia" w:ascii="宋体" w:hAnsi="宋体" w:eastAsia="宋体" w:cs="宋体"/>
          <w:color w:val="auto"/>
          <w:szCs w:val="21"/>
          <w:highlight w:val="none"/>
          <w:lang w:val="en-US"/>
        </w:rPr>
        <w:t xml:space="preserve">中标</w:t>
      </w:r>
      <w:r>
        <w:rPr>
          <w:rFonts w:hint="eastAsia" w:ascii="宋体" w:hAnsi="宋体" w:eastAsia="宋体" w:cs="宋体"/>
          <w:color w:val="auto"/>
          <w:szCs w:val="21"/>
          <w:highlight w:val="none"/>
        </w:rPr>
        <w:t xml:space="preserve">供应商须在</w:t>
      </w:r>
      <w:r>
        <w:rPr>
          <w:rFonts w:hint="eastAsia" w:ascii="宋体" w:hAnsi="宋体" w:eastAsia="宋体" w:cs="宋体"/>
          <w:color w:val="auto"/>
          <w:szCs w:val="21"/>
          <w:highlight w:val="none"/>
          <w:lang w:val="en-US"/>
        </w:rPr>
        <w:t xml:space="preserve">中标</w:t>
      </w:r>
      <w:r>
        <w:rPr>
          <w:rFonts w:hint="eastAsia" w:ascii="宋体" w:hAnsi="宋体" w:eastAsia="宋体" w:cs="宋体"/>
          <w:color w:val="auto"/>
          <w:szCs w:val="21"/>
          <w:highlight w:val="none"/>
        </w:rPr>
        <w:t xml:space="preserve">公告发出之日起2个工作日内向采购代理机构另行提供用以接收《未</w:t>
      </w:r>
      <w:r>
        <w:rPr>
          <w:rFonts w:hint="eastAsia" w:ascii="宋体" w:hAnsi="宋体" w:eastAsia="宋体" w:cs="宋体"/>
          <w:color w:val="auto"/>
          <w:szCs w:val="21"/>
          <w:highlight w:val="none"/>
          <w:lang w:val="en-US"/>
        </w:rPr>
        <w:t xml:space="preserve">中标</w:t>
      </w:r>
      <w:r>
        <w:rPr>
          <w:rFonts w:hint="eastAsia" w:ascii="宋体" w:hAnsi="宋体" w:eastAsia="宋体" w:cs="宋体"/>
          <w:color w:val="auto"/>
          <w:szCs w:val="21"/>
          <w:highlight w:val="none"/>
        </w:rPr>
        <w:t xml:space="preserve">通知书》的电子邮件地址，未按时提供电子邮件地址或提供信息有误的，视为自动放弃并自行承担相应后果。</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33.2中标通知书将成为合同的组成部分，对采购人和中标人具有同等法律效力。</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rPr>
        <w:t xml:space="preserve">3</w:t>
      </w:r>
      <w:r>
        <w:rPr>
          <w:rFonts w:hint="eastAsia" w:ascii="宋体" w:hAnsi="宋体" w:eastAsia="宋体" w:cs="宋体"/>
          <w:color w:val="auto"/>
          <w:szCs w:val="21"/>
          <w:highlight w:val="none"/>
        </w:rPr>
        <w:t xml:space="preserve">.3中标通知书发出后，采购人不得违法改变中标结果，中标人无正当理由不得放弃中标。</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34.合同的签订</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按照招标文件及投标文件确定的事项签订政府采购合同，最长不得超过三十日。</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34.2</w:t>
      </w:r>
      <w:r>
        <w:rPr>
          <w:rFonts w:hint="eastAsia" w:ascii="宋体" w:hAnsi="宋体" w:eastAsia="宋体" w:cs="宋体"/>
          <w:color w:val="auto"/>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70"/>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34.3招标文件、中标人的投标文件及招标过程中有关澄清、承诺文件均应作为合同附件。</w:t>
      </w:r>
      <w:r/>
    </w:p>
    <w:p>
      <w:pPr>
        <w:pStyle w:val="870"/>
        <w:ind w:firstLine="420"/>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八、其他事项</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35.代理服务费：</w:t>
      </w:r>
      <w:r>
        <w:rPr>
          <w:rFonts w:hint="eastAsia" w:ascii="宋体" w:hAnsi="宋体" w:eastAsia="宋体" w:cs="宋体"/>
          <w:color w:val="auto"/>
          <w:szCs w:val="21"/>
          <w:highlight w:val="none"/>
        </w:rPr>
        <w:t xml:space="preserve">中标人须按</w:t>
      </w:r>
      <w:r>
        <w:rPr>
          <w:rFonts w:hint="eastAsia" w:ascii="宋体" w:hAnsi="宋体" w:cs="宋体"/>
          <w:color w:val="auto"/>
          <w:szCs w:val="21"/>
          <w:highlight w:val="none"/>
          <w:lang w:val="en-US" w:eastAsia="zh-CN"/>
        </w:rPr>
        <w:t xml:space="preserve">前附表的</w:t>
      </w:r>
      <w:r>
        <w:rPr>
          <w:rFonts w:hint="eastAsia" w:ascii="宋体" w:hAnsi="宋体" w:eastAsia="宋体" w:cs="宋体"/>
          <w:color w:val="auto"/>
          <w:szCs w:val="21"/>
          <w:highlight w:val="none"/>
        </w:rPr>
        <w:t xml:space="preserve">规定支付中标服务费，该费用应在领取中标通知书时付清。</w:t>
      </w:r>
      <w:r/>
    </w:p>
    <w:p>
      <w:pPr>
        <w:pStyle w:val="870"/>
        <w:ind w:firstLine="422"/>
        <w:keepLines w:val="0"/>
        <w:keepNext w:val="0"/>
        <w:pageBreakBefore w:val="0"/>
        <w:spacing w:line="40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36.有关监督部门将对招投标全过程进行监督。</w:t>
      </w:r>
      <w:r/>
    </w:p>
    <w:p>
      <w:pPr>
        <w:ind w:firstLine="422"/>
        <w:keepLines w:val="0"/>
        <w:keepNext w:val="0"/>
        <w:pageBreakBefore w:val="0"/>
        <w:spacing w:line="400" w:lineRule="exact"/>
        <w:widowControl w:val="off"/>
        <w:rPr>
          <w:rFonts w:hint="eastAsia" w:ascii="宋体" w:hAnsi="宋体" w:cs="宋体"/>
          <w:color w:val="auto"/>
          <w:highlight w:val="none"/>
        </w:rPr>
      </w:pPr>
      <w:r>
        <w:rPr>
          <w:rFonts w:hint="eastAsia" w:ascii="宋体" w:hAnsi="宋体" w:eastAsia="宋体" w:cs="宋体"/>
          <w:b/>
          <w:color w:val="auto"/>
          <w:szCs w:val="21"/>
          <w:highlight w:val="none"/>
        </w:rPr>
        <w:t xml:space="preserve">37.未尽事宜：</w:t>
      </w:r>
      <w:r>
        <w:rPr>
          <w:rFonts w:hint="eastAsia" w:ascii="宋体" w:hAnsi="宋体" w:eastAsia="宋体" w:cs="宋体"/>
          <w:color w:val="auto"/>
          <w:szCs w:val="21"/>
          <w:highlight w:val="none"/>
        </w:rPr>
        <w:t xml:space="preserve">按《中华人民共和国政府采购法》及其他有关的法律法规的规定执行。</w:t>
      </w:r>
      <w:r/>
    </w:p>
    <w:p>
      <w:pPr>
        <w:jc w:val="center"/>
        <w:rPr>
          <w:rFonts w:hint="eastAsia" w:ascii="宋体" w:hAnsi="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22"/>
          <w:highlight w:val="none"/>
        </w:rPr>
        <w:t xml:space="preserve">第三章 投标文件格式</w:t>
      </w:r>
      <w:r/>
    </w:p>
    <w:p>
      <w:pPr>
        <w:spacing w:line="44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说明：</w:t>
      </w:r>
      <w:r/>
    </w:p>
    <w:p>
      <w:pPr>
        <w:pStyle w:val="870"/>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对本章所有的投标书格式，投标方可根据自身情况进行补充和修改，但补充和修改不得造成与本格式内容有实质性的违背。</w:t>
      </w:r>
      <w:r/>
    </w:p>
    <w:p>
      <w:pPr>
        <w:jc w:val="left"/>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pStyle w:val="686"/>
        <w:ind w:firstLine="48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pStyle w:val="845"/>
        <w:rPr>
          <w:rFonts w:hint="eastAsia" w:ascii="宋体" w:hAnsi="宋体" w:cs="宋体"/>
          <w:color w:val="auto"/>
          <w:highlight w:val="none"/>
        </w:rPr>
      </w:pPr>
      <w:r>
        <w:rPr>
          <w:rFonts w:hint="eastAsia" w:ascii="宋体" w:hAnsi="宋体" w:cs="宋体"/>
          <w:color w:val="auto"/>
          <w:highlight w:val="none"/>
        </w:rPr>
      </w:r>
      <w:r/>
    </w:p>
    <w:p>
      <w:pPr>
        <w:pStyle w:val="846"/>
        <w:rPr>
          <w:rFonts w:hint="eastAsia" w:ascii="宋体" w:hAnsi="宋体" w:cs="宋体"/>
          <w:color w:val="auto"/>
          <w:highlight w:val="none"/>
        </w:rPr>
      </w:pPr>
      <w:r>
        <w:rPr>
          <w:rFonts w:hint="eastAsia" w:ascii="宋体" w:hAnsi="宋体" w:cs="宋体"/>
          <w:color w:val="auto"/>
          <w:highlight w:val="none"/>
        </w:rPr>
      </w:r>
      <w:r/>
    </w:p>
    <w:p>
      <w:pPr>
        <w:pStyle w:val="846"/>
        <w:rPr>
          <w:rFonts w:hint="eastAsia" w:ascii="宋体" w:hAnsi="宋体" w:cs="宋体"/>
          <w:color w:val="auto"/>
          <w:highlight w:val="none"/>
        </w:rPr>
      </w:pPr>
      <w:r>
        <w:rPr>
          <w:rFonts w:hint="eastAsia" w:ascii="宋体" w:hAnsi="宋体" w:cs="宋体"/>
          <w:color w:val="auto"/>
          <w:highlight w:val="none"/>
        </w:rPr>
      </w:r>
      <w:r/>
    </w:p>
    <w:p>
      <w:pPr>
        <w:pStyle w:val="846"/>
        <w:rPr>
          <w:rFonts w:hint="eastAsia" w:ascii="宋体" w:hAnsi="宋体" w:cs="宋体"/>
          <w:color w:val="auto"/>
          <w:highlight w:val="none"/>
        </w:rPr>
      </w:pPr>
      <w:r>
        <w:rPr>
          <w:rFonts w:hint="eastAsia" w:ascii="宋体" w:hAnsi="宋体" w:cs="宋体"/>
          <w:color w:val="auto"/>
          <w:highlight w:val="none"/>
        </w:rPr>
      </w:r>
      <w:r/>
    </w:p>
    <w:p>
      <w:pPr>
        <w:pStyle w:val="846"/>
        <w:rPr>
          <w:rFonts w:hint="eastAsia" w:ascii="宋体" w:hAnsi="宋体" w:cs="宋体"/>
          <w:color w:val="auto"/>
          <w:highlight w:val="none"/>
        </w:rPr>
      </w:pPr>
      <w:r>
        <w:rPr>
          <w:rFonts w:hint="eastAsia" w:ascii="宋体" w:hAnsi="宋体" w:cs="宋体"/>
          <w:color w:val="auto"/>
          <w:highlight w:val="none"/>
        </w:rPr>
      </w:r>
      <w:r/>
    </w:p>
    <w:p>
      <w:pPr>
        <w:pStyle w:val="84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0"/>
      </w:pPr>
      <w:r>
        <w:rPr>
          <w:rFonts w:hint="eastAsia" w:ascii="宋体" w:hAnsi="宋体" w:eastAsia="宋体" w:cs="宋体"/>
          <w:b/>
          <w:color w:val="auto"/>
          <w:szCs w:val="21"/>
          <w:highlight w:val="none"/>
        </w:rPr>
        <w:t xml:space="preserve">附件1.投标函</w:t>
      </w:r>
      <w:r/>
    </w:p>
    <w:p>
      <w:pPr>
        <w:ind w:firstLine="4638"/>
        <w:jc w:val="left"/>
        <w:spacing w:line="44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投标函</w:t>
      </w:r>
      <w:r/>
    </w:p>
    <w:p>
      <w:pPr>
        <w:ind w:firstLine="4638"/>
        <w:jc w:val="left"/>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苏州汇顺项目管理咨询有限公司</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我方收到贵公司</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（项目编号）招标文件，经仔细阅读和研究，我方决定参加投标，并向贵公司作出如下承诺：</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4、本投标书的有效期限为投标截止时间之日起90天。</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、如果本公司中标，本公司愿意按招标文件规定支付代理服务费。</w:t>
      </w:r>
      <w:r/>
    </w:p>
    <w:p>
      <w:pPr>
        <w:ind w:left="0" w:firstLine="420"/>
        <w:jc w:val="left"/>
        <w:spacing w:line="44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、我方承诺该项投标在开标后的全过程中保持有效，不作任何更改和变动。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、我方承诺满足《中华人民共和国政府采购法》第二十二条规定的所有条件。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、与本投标有关的通讯地址：</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单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 位：                                             联 系 人： </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地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  址：                                             邮政编码： </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联系电话：                                             电子邮箱：</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    期：     年     月    日</w:t>
      </w:r>
      <w:r/>
    </w:p>
    <w:p>
      <w:pPr>
        <w:rPr>
          <w:rFonts w:hint="eastAsia" w:ascii="宋体" w:hAnsi="宋体" w:cs="宋体"/>
          <w:b/>
          <w:color w:val="auto"/>
          <w:szCs w:val="21"/>
          <w:highlight w:val="none"/>
        </w:rPr>
        <w:outlineLvl w:val="0"/>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附件2.开标一览表</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ind w:firstLine="3453"/>
        <w:spacing w:line="60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开标一览表</w:t>
      </w:r>
      <w:r/>
    </w:p>
    <w:p>
      <w:pPr>
        <w:rPr>
          <w:rFonts w:hint="eastAsia" w:ascii="宋体" w:hAnsi="宋体" w:cs="宋体"/>
          <w:color w:val="auto"/>
          <w:szCs w:val="21"/>
          <w:highlight w:val="none"/>
        </w:rPr>
      </w:pPr>
      <w:r>
        <w:rPr>
          <w:rFonts w:hint="eastAsia" w:ascii="宋体" w:hAnsi="宋体" w:eastAsia="宋体" w:cs="宋体"/>
          <w:color w:val="auto"/>
          <w:szCs w:val="21"/>
          <w:highlight w:val="none"/>
        </w:rPr>
        <w:t xml:space="preserve">详见苏采云系统</w:t>
      </w:r>
      <w:r/>
    </w:p>
    <w:p>
      <w:pPr>
        <w:jc w:val="left"/>
        <w:rPr>
          <w:rFonts w:hint="eastAsia" w:ascii="宋体" w:hAnsi="宋体" w:cs="宋体"/>
          <w:b/>
          <w:color w:val="auto"/>
          <w:szCs w:val="21"/>
          <w:highlight w:val="none"/>
        </w:rPr>
        <w:outlineLvl w:val="0"/>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附件3.投标报价分析表</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投标报价分析表</w:t>
      </w:r>
      <w:r/>
    </w:p>
    <w:p>
      <w:pPr>
        <w:pStyle w:val="845"/>
        <w:jc w:val="righ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单位：元（人民币）</w:t>
      </w:r>
      <w:r/>
    </w:p>
    <w:tbl>
      <w:tblPr>
        <w:tblStyle w:val="650"/>
        <w:tblW w:w="9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标的物名称</w:t>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品牌、规格型号</w:t>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生产厂家</w:t>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单位</w:t>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数量</w:t>
            </w:r>
            <w:r/>
          </w:p>
        </w:tc>
        <w:tc>
          <w:tcPr>
            <w:tcW w:w="99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单价</w:t>
            </w:r>
            <w:r/>
          </w:p>
        </w:tc>
        <w:tc>
          <w:tcPr>
            <w:tcW w:w="11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总价</w:t>
            </w:r>
            <w:r/>
          </w:p>
        </w:tc>
      </w:tr>
      <w:tr>
        <w:trPr>
          <w:cantSplit/>
          <w:jc w:val="center"/>
          <w:trHeight w:val="443"/>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360"/>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3</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296"/>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286"/>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5</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203"/>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6</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2"/>
        </w:trPr>
        <w:tc>
          <w:tcPr>
            <w:tcW w:w="9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p>
        </w:tc>
        <w:tc>
          <w:tcPr>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1"/>
        </w:trPr>
        <w:tc>
          <w:tcPr>
            <w:gridSpan w:val="8"/>
            <w:tcW w:w="9961" w:type="dxa"/>
            <w:vAlign w:val="center"/>
            <w:textDirection w:val="lrTb"/>
            <w:noWrap w:val="false"/>
          </w:tcPr>
          <w:p>
            <w:pPr>
              <w:jc w:val="both"/>
              <w:spacing w:line="360" w:lineRule="auto"/>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合计</w:t>
            </w:r>
            <w:r>
              <w:rPr>
                <w:rFonts w:hint="eastAsia" w:ascii="宋体" w:hAnsi="宋体" w:eastAsia="宋体" w:cs="宋体"/>
                <w:color w:val="auto"/>
                <w:szCs w:val="21"/>
                <w:highlight w:val="none"/>
              </w:rPr>
              <w:t xml:space="preserve">：              元（大写：                 ）</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1.报价表包含投标单位各项成本核算和投入的成本明细，合计金额应与开标一览表合计金额一致；否则，以开标一览表为准。</w:t>
      </w:r>
      <w:r/>
    </w:p>
    <w:p>
      <w:pPr>
        <w:numPr>
          <w:ilvl w:val="0"/>
          <w:numId w:val="0"/>
        </w:num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此价格</w:t>
      </w:r>
      <w:r>
        <w:rPr>
          <w:rFonts w:hint="eastAsia" w:ascii="宋体" w:hAnsi="宋体" w:eastAsia="宋体" w:cs="宋体"/>
          <w:color w:val="auto"/>
          <w:sz w:val="21"/>
          <w:szCs w:val="21"/>
          <w:highlight w:val="none"/>
          <w:lang w:val="zh-CN"/>
        </w:rPr>
        <w:t xml:space="preserve">包含了完成标的物全部内容的成本、材料、安装、调试、人工、机械、</w:t>
      </w:r>
      <w:r>
        <w:rPr>
          <w:rFonts w:hint="eastAsia" w:ascii="宋体" w:hAnsi="宋体" w:cs="宋体"/>
          <w:color w:val="auto"/>
          <w:sz w:val="21"/>
          <w:szCs w:val="21"/>
          <w:highlight w:val="none"/>
          <w:lang w:val="zh-CN"/>
        </w:rPr>
        <w:t xml:space="preserve">保险、运费、检测费、</w:t>
      </w:r>
      <w:r>
        <w:rPr>
          <w:rFonts w:hint="eastAsia" w:ascii="宋体" w:hAnsi="宋体" w:eastAsia="宋体" w:cs="宋体"/>
          <w:color w:val="auto"/>
          <w:sz w:val="21"/>
          <w:szCs w:val="21"/>
          <w:highlight w:val="none"/>
          <w:lang w:val="zh-CN"/>
        </w:rPr>
        <w:t xml:space="preserve">劳保、包装、</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lang w:val="zh-CN"/>
        </w:rPr>
        <w:t xml:space="preserve">各种税费</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zh-CN"/>
        </w:rPr>
        <w:t xml:space="preserve">以及质保期间的一切费用。</w:t>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各投标人应根据此表格式按项目分别填写报价详细清单，栏数不够可自加。</w:t>
      </w:r>
      <w:r/>
    </w:p>
    <w:p>
      <w:pPr>
        <w:ind w:right="-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78"/>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rPr>
          <w:rFonts w:hint="eastAsia" w:ascii="宋体" w:hAnsi="宋体" w:cs="宋体"/>
          <w:color w:val="auto"/>
          <w:szCs w:val="21"/>
          <w:highlight w:val="none"/>
        </w:rPr>
        <w:outlineLvl w:val="0"/>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附件4.法定代表人授权委托书</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3584"/>
        <w:spacing w:before="100" w:beforeAutospacing="1" w:after="100" w:afterAutospacing="1" w:line="480" w:lineRule="auto"/>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法定代表人授权委托书</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本授权委托书声明：我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投标人名称）的法定代表人，现授权委托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w:t>
      </w:r>
      <w:r>
        <w:rPr>
          <w:rFonts w:hint="eastAsia" w:ascii="宋体" w:hAnsi="宋体" w:cs="宋体"/>
          <w:color w:val="auto"/>
          <w:szCs w:val="21"/>
          <w:highlight w:val="none"/>
          <w:lang w:val="en-US" w:eastAsia="zh-CN"/>
        </w:rPr>
        <w:t xml:space="preserve">+手机号码</w:t>
      </w:r>
      <w:r>
        <w:rPr>
          <w:rFonts w:hint="eastAsia" w:ascii="宋体" w:hAnsi="宋体" w:eastAsia="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lang w:eastAsia="zh-CN"/>
        </w:rPr>
        <w:t xml:space="preserve">苏州汇顺项目管理咨询有限公司</w:t>
      </w:r>
      <w:r>
        <w:rPr>
          <w:rFonts w:hint="eastAsia" w:ascii="宋体" w:hAnsi="宋体" w:eastAsia="宋体" w:cs="宋体"/>
          <w:color w:val="auto"/>
          <w:szCs w:val="21"/>
          <w:highlight w:val="none"/>
        </w:rPr>
        <w:t xml:space="preserve">组织实施的编号为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号（项目编号）的招标活动。代理人在开标、评标、合同谈判过程中所签署的一切文件和处理与这有关的一切事务，我均予以承认。</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代理人无转委托权。特此委托。</w:t>
      </w:r>
      <w:r/>
    </w:p>
    <w:p>
      <w:pPr>
        <w:pStyle w:val="845"/>
        <w:rPr>
          <w:rFonts w:hint="eastAsia" w:ascii="宋体" w:hAnsi="宋体" w:cs="宋体"/>
          <w:color w:val="auto"/>
          <w:highlight w:val="none"/>
        </w:rPr>
      </w:pPr>
      <w:r>
        <w:rPr>
          <w:rFonts w:hint="eastAsia" w:ascii="宋体" w:hAnsi="宋体" w:cs="宋体"/>
          <w:color w:val="auto"/>
          <w:highlight w:val="none"/>
        </w:rPr>
      </w:r>
      <w:r/>
    </w:p>
    <w:p>
      <w:pPr>
        <w:ind w:firstLine="420"/>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 </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pStyle w:val="687"/>
        <w:ind w:left="0" w:firstLine="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keepLines w:val="0"/>
        <w:keepNext w:val="0"/>
        <w:pageBreakBefore w:val="0"/>
        <w:spacing w:line="400" w:lineRule="exact"/>
        <w:widowControl w:val="off"/>
        <w:rPr>
          <w:rFonts w:hint="eastAsia" w:ascii="宋体" w:hAnsi="宋体" w:cs="宋体"/>
          <w:b/>
          <w:color w:val="auto"/>
          <w:szCs w:val="21"/>
          <w:highlight w:val="none"/>
        </w:rPr>
        <w:outlineLvl w:val="0"/>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Cs w:val="21"/>
          <w:highlight w:val="none"/>
        </w:rPr>
        <w:t xml:space="preserve">附件5.中小企业声明函</w:t>
      </w:r>
      <w:r/>
    </w:p>
    <w:p>
      <w:pPr>
        <w:jc w:val="center"/>
        <w:keepLines w:val="0"/>
        <w:keepNext w:val="0"/>
        <w:pageBreakBefore w:val="0"/>
        <w:spacing w:line="400" w:lineRule="exact"/>
        <w:widowControl w:val="off"/>
        <w:rPr>
          <w:rFonts w:hint="eastAsia" w:ascii="宋体" w:hAnsi="宋体" w:eastAsia="宋体" w:cs="宋体"/>
          <w:b/>
          <w:bCs/>
          <w:color w:val="auto"/>
          <w:szCs w:val="21"/>
          <w:highlight w:val="none"/>
          <w:u w:val="none"/>
        </w:rPr>
      </w:pPr>
      <w:r>
        <w:rPr>
          <w:rFonts w:hint="eastAsia" w:ascii="宋体" w:hAnsi="宋体" w:eastAsia="宋体" w:cs="宋体"/>
          <w:b/>
          <w:bCs/>
          <w:color w:val="auto"/>
          <w:szCs w:val="21"/>
          <w:highlight w:val="none"/>
          <w:u w:val="none"/>
        </w:rPr>
        <w:t xml:space="preserve">中小企业声明函（货物）</w:t>
      </w:r>
      <w:r/>
    </w:p>
    <w:p>
      <w:pPr>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苏州汇顺项目管理咨询有限公司</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苏州市吴江区盛泽第二中学</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盛泽二中塑胶跑道面层项目</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cs="宋体"/>
          <w:b/>
          <w:bCs/>
          <w:color w:val="auto"/>
          <w:szCs w:val="21"/>
          <w:highlight w:val="none"/>
          <w:u w:val="single"/>
          <w:lang w:val="en-US" w:eastAsia="zh-CN"/>
        </w:rPr>
        <w:t xml:space="preserve">工业行业</w:t>
      </w:r>
      <w:r>
        <w:rPr>
          <w:rFonts w:hint="eastAsia" w:ascii="宋体" w:hAnsi="宋体" w:eastAsia="宋体" w:cs="宋体"/>
          <w:color w:val="auto"/>
          <w:szCs w:val="21"/>
          <w:highlight w:val="none"/>
        </w:rPr>
        <w:t xml:space="preserve">；制造商为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（企业名称）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w:t>
      </w:r>
      <w:r>
        <w:rPr>
          <w:rFonts w:hint="eastAsia" w:ascii="宋体" w:hAnsi="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中型企业、</w:t>
      </w:r>
      <w:r>
        <w:rPr>
          <w:rFonts w:hint="eastAsia" w:ascii="宋体" w:hAnsi="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小型企业、</w:t>
      </w:r>
      <w:r>
        <w:rPr>
          <w:rFonts w:hint="eastAsia" w:ascii="宋体" w:hAnsi="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微型企业）</w:t>
      </w:r>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cs="宋体"/>
          <w:b/>
          <w:bCs/>
          <w:color w:val="auto"/>
          <w:szCs w:val="21"/>
          <w:highlight w:val="none"/>
          <w:u w:val="single"/>
          <w:lang w:val="en-US" w:eastAsia="zh-CN"/>
        </w:rPr>
        <w:t xml:space="preserve">工业行业</w:t>
      </w:r>
      <w:r>
        <w:rPr>
          <w:rFonts w:hint="eastAsia" w:ascii="宋体" w:hAnsi="宋体" w:eastAsia="宋体" w:cs="宋体"/>
          <w:color w:val="auto"/>
          <w:szCs w:val="21"/>
          <w:highlight w:val="none"/>
        </w:rPr>
        <w:t xml:space="preserve">；制造商为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（企业名称）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w:t>
      </w:r>
      <w:r>
        <w:rPr>
          <w:rFonts w:hint="eastAsia" w:ascii="宋体" w:hAnsi="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中型企业、</w:t>
      </w:r>
      <w:r>
        <w:rPr>
          <w:rFonts w:hint="eastAsia" w:ascii="宋体" w:hAnsi="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小型企业、</w:t>
      </w:r>
      <w:r>
        <w:rPr>
          <w:rFonts w:hint="eastAsia" w:ascii="宋体" w:hAnsi="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微型企业）</w:t>
      </w:r>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righ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企业名称（盖章）：</w:t>
      </w:r>
      <w:r/>
    </w:p>
    <w:p>
      <w:pPr>
        <w:ind w:firstLine="420"/>
        <w:jc w:val="right"/>
        <w:keepLines w:val="0"/>
        <w:keepNext w:val="0"/>
        <w:pageBreakBefore w:val="0"/>
        <w:spacing w:line="400" w:lineRule="exact"/>
        <w:widowControl w:val="off"/>
        <w:rPr>
          <w:rFonts w:hint="eastAsia" w:ascii="宋体" w:hAnsi="宋体" w:eastAsia="宋体" w:cs="宋体"/>
          <w:b/>
          <w:bCs w:val="0"/>
          <w:color w:val="auto"/>
          <w:sz w:val="18"/>
          <w:szCs w:val="18"/>
          <w:highlight w:val="none"/>
        </w:rPr>
      </w:pPr>
      <w:r>
        <w:rPr>
          <w:rFonts w:hint="eastAsia" w:ascii="宋体" w:hAnsi="宋体" w:eastAsia="宋体" w:cs="宋体"/>
          <w:color w:val="auto"/>
          <w:szCs w:val="21"/>
          <w:highlight w:val="none"/>
        </w:rPr>
        <w:t xml:space="preserve">日期：    年   月   日</w:t>
      </w:r>
      <w:r/>
    </w:p>
    <w:p>
      <w:pPr>
        <w:keepLines w:val="0"/>
        <w:keepNext w:val="0"/>
        <w:pageBreakBefore w:val="0"/>
        <w:spacing w:line="360" w:lineRule="exact"/>
        <w:widowControl w:val="off"/>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r>
      <w:r/>
    </w:p>
    <w:p>
      <w:pPr>
        <w:keepLines w:val="0"/>
        <w:keepNext w:val="0"/>
        <w:pageBreakBefore w:val="0"/>
        <w:spacing w:line="360" w:lineRule="exact"/>
        <w:widowControl w:val="off"/>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r>
      <w:r/>
    </w:p>
    <w:p>
      <w:pPr>
        <w:keepLines w:val="0"/>
        <w:keepNext w:val="0"/>
        <w:pageBreakBefore w:val="0"/>
        <w:spacing w:line="360" w:lineRule="exact"/>
        <w:widowControl w:val="off"/>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备注：</w:t>
      </w:r>
      <w:r/>
    </w:p>
    <w:p>
      <w:pPr>
        <w:keepLines w:val="0"/>
        <w:keepNext w:val="0"/>
        <w:pageBreakBefore w:val="0"/>
        <w:spacing w:line="360" w:lineRule="exact"/>
        <w:widowControl w:val="off"/>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1.从业人员、营业收入、资产总额填报上一年度数据，无上一年度数据的新成立企业可不填报。</w:t>
      </w:r>
      <w:r/>
    </w:p>
    <w:p>
      <w:pPr>
        <w:keepLines w:val="0"/>
        <w:keepNext w:val="0"/>
        <w:pageBreakBefore w:val="0"/>
        <w:spacing w:line="360" w:lineRule="exact"/>
        <w:widowControl w:val="off"/>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2.供应商应对照《工业和信息化部、国家统计局、国家发展和改革委员会、财政部关于印发中小企业划型标准规定的通知》（工信部企业[2011]300号)的规定，对制造商的企业规模类型（中型企业、小型企业、微型企业）进行勾选或明确，如供应商未进行勾选或明确的，自行承担《中小企业声明函》可能不被认可的不利后果。</w:t>
      </w:r>
      <w:r/>
    </w:p>
    <w:p>
      <w:pPr>
        <w:keepLines w:val="0"/>
        <w:keepNext w:val="0"/>
        <w:pageBreakBefore w:val="0"/>
        <w:spacing w:line="360" w:lineRule="exact"/>
        <w:widowControl w:val="off"/>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3.《中小企业声明函》中所填的行业应与本采购标的对应的中小企业划分标准所属行业一致，本采购标的对应的中小企业划分标准所属行业，以</w:t>
      </w:r>
      <w:r>
        <w:rPr>
          <w:rFonts w:hint="eastAsia" w:ascii="宋体" w:hAnsi="宋体" w:cs="宋体"/>
          <w:b w:val="0"/>
          <w:bCs/>
          <w:color w:val="auto"/>
          <w:sz w:val="18"/>
          <w:szCs w:val="18"/>
          <w:highlight w:val="none"/>
          <w:lang w:val="en-US" w:eastAsia="zh-CN"/>
        </w:rPr>
        <w:t xml:space="preserve">招标文件</w:t>
      </w:r>
      <w:r>
        <w:rPr>
          <w:rFonts w:hint="eastAsia" w:ascii="宋体" w:hAnsi="宋体" w:eastAsia="宋体" w:cs="宋体"/>
          <w:b w:val="0"/>
          <w:bCs/>
          <w:color w:val="auto"/>
          <w:sz w:val="18"/>
          <w:szCs w:val="18"/>
          <w:highlight w:val="none"/>
        </w:rPr>
        <w:t xml:space="preserve">规定为准。</w:t>
      </w:r>
      <w:r/>
    </w:p>
    <w:p>
      <w:pPr>
        <w:keepLines w:val="0"/>
        <w:keepNext w:val="0"/>
        <w:pageBreakBefore w:val="0"/>
        <w:spacing w:line="360" w:lineRule="exact"/>
        <w:widowControl w:val="off"/>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4.在货物采购项目中，货物由中小企业制造，即货物由中小企业生产且使用该中小企业商号或者注册商标。供应商提供的货物既有中小企业制造货物，也有大型企业制造货物的，不享受中小企业扶持政策。</w:t>
      </w:r>
      <w:r/>
    </w:p>
    <w:p>
      <w:pPr>
        <w:keepLines w:val="0"/>
        <w:keepNext w:val="0"/>
        <w:pageBreakBefore w:val="0"/>
        <w:spacing w:line="360" w:lineRule="exact"/>
        <w:widowControl w:val="off"/>
        <w:rPr>
          <w:rFonts w:hint="eastAsia" w:ascii="宋体" w:hAnsi="宋体" w:eastAsia="宋体" w:cs="宋体"/>
          <w:b w:val="0"/>
          <w:bCs/>
          <w:color w:val="auto"/>
          <w:sz w:val="18"/>
          <w:szCs w:val="18"/>
          <w:highlight w:val="none"/>
          <w:lang w:val="zh-CN"/>
        </w:rPr>
      </w:pPr>
      <w:r>
        <w:rPr>
          <w:rFonts w:hint="eastAsia" w:ascii="宋体" w:hAnsi="宋体" w:cs="宋体"/>
          <w:b w:val="0"/>
          <w:bCs/>
          <w:color w:val="auto"/>
          <w:sz w:val="18"/>
          <w:szCs w:val="18"/>
          <w:highlight w:val="none"/>
          <w:lang w:val="en-US" w:eastAsia="zh-CN"/>
        </w:rPr>
        <w:t xml:space="preserve">5</w:t>
      </w:r>
      <w:r>
        <w:rPr>
          <w:rFonts w:hint="eastAsia" w:ascii="宋体" w:hAnsi="宋体" w:eastAsia="宋体" w:cs="宋体"/>
          <w:b w:val="0"/>
          <w:bCs/>
          <w:color w:val="auto"/>
          <w:sz w:val="18"/>
          <w:szCs w:val="18"/>
          <w:highlight w:val="none"/>
          <w:lang w:val="en-US" w:eastAsia="zh-CN"/>
        </w:rPr>
        <w:t xml:space="preserve">.</w:t>
      </w:r>
      <w:r>
        <w:rPr>
          <w:rFonts w:hint="eastAsia" w:ascii="宋体" w:hAnsi="宋体" w:eastAsia="宋体" w:cs="宋体"/>
          <w:b w:val="0"/>
          <w:bCs/>
          <w:color w:val="auto"/>
          <w:sz w:val="18"/>
          <w:szCs w:val="18"/>
          <w:highlight w:val="none"/>
          <w:lang w:val="zh-CN"/>
        </w:rPr>
        <w:t xml:space="preserve">中小企业是指在中华人民共和国境内依法设立，依据国务院批准的中小企业划分标准确定的中型企业、小型企业和微型企业。</w:t>
      </w:r>
      <w:bookmarkStart w:id="34" w:name="_Hlk72923453"/>
      <w:r>
        <w:rPr>
          <w:rFonts w:hint="eastAsia" w:ascii="宋体" w:hAnsi="宋体" w:eastAsia="宋体" w:cs="宋体"/>
          <w:b w:val="0"/>
          <w:bCs/>
          <w:color w:val="auto"/>
          <w:sz w:val="18"/>
          <w:szCs w:val="18"/>
          <w:highlight w:val="none"/>
          <w:lang w:val="zh-CN"/>
        </w:rPr>
        <w:t xml:space="preserve">符合中小企业划分标准的个体工商户，在政府采购活动中视同中小企业</w:t>
      </w:r>
      <w:bookmarkEnd w:id="34"/>
      <w:r>
        <w:rPr>
          <w:rFonts w:hint="eastAsia" w:ascii="宋体" w:hAnsi="宋体" w:eastAsia="宋体" w:cs="宋体"/>
          <w:b w:val="0"/>
          <w:bCs/>
          <w:color w:val="auto"/>
          <w:sz w:val="18"/>
          <w:szCs w:val="18"/>
          <w:highlight w:val="none"/>
          <w:lang w:val="zh-CN"/>
        </w:rPr>
        <w:t xml:space="preserve">。</w:t>
      </w:r>
      <w:r/>
    </w:p>
    <w:p>
      <w:pPr>
        <w:keepLines w:val="0"/>
        <w:keepNext w:val="0"/>
        <w:pageBreakBefore w:val="0"/>
        <w:spacing w:line="360" w:lineRule="exact"/>
        <w:widowControl w:val="off"/>
        <w:rPr>
          <w:rFonts w:hint="eastAsia" w:ascii="宋体" w:hAnsi="宋体" w:eastAsia="宋体" w:cs="宋体"/>
          <w:color w:val="auto"/>
          <w:sz w:val="18"/>
          <w:szCs w:val="18"/>
          <w:highlight w:val="none"/>
          <w:lang w:val="zh-CN"/>
        </w:rPr>
      </w:pPr>
      <w:r/>
      <w:bookmarkStart w:id="35" w:name="_Hlk94450593"/>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cs="宋体"/>
          <w:color w:val="auto"/>
          <w:sz w:val="18"/>
          <w:szCs w:val="18"/>
          <w:highlight w:val="none"/>
          <w:lang w:val="zh-CN"/>
        </w:rPr>
        <w:t xml:space="preserve">。</w:t>
      </w:r>
      <w:r/>
    </w:p>
    <w:p>
      <w:pPr>
        <w:keepLines w:val="0"/>
        <w:keepNext w:val="0"/>
        <w:pageBreakBefore w:val="0"/>
        <w:spacing w:line="360" w:lineRule="exact"/>
        <w:widowControl w:val="off"/>
        <w:rPr>
          <w:rFonts w:hint="eastAsia" w:ascii="宋体" w:hAnsi="宋体" w:eastAsia="宋体" w:cs="宋体"/>
          <w:b w:val="0"/>
          <w:bCs/>
          <w:color w:val="auto"/>
          <w:sz w:val="18"/>
          <w:szCs w:val="18"/>
          <w:highlight w:val="none"/>
          <w:lang w:val="zh-CN"/>
        </w:rPr>
      </w:pPr>
      <w:r>
        <w:rPr>
          <w:rFonts w:hint="eastAsia" w:ascii="宋体" w:hAnsi="宋体" w:cs="宋体"/>
          <w:b w:val="0"/>
          <w:bCs/>
          <w:color w:val="auto"/>
          <w:sz w:val="18"/>
          <w:szCs w:val="18"/>
          <w:highlight w:val="none"/>
          <w:lang w:val="en-US" w:eastAsia="zh-CN"/>
        </w:rPr>
        <w:t xml:space="preserve">7</w:t>
      </w:r>
      <w:r>
        <w:rPr>
          <w:rFonts w:hint="eastAsia" w:ascii="宋体" w:hAnsi="宋体" w:eastAsia="宋体" w:cs="宋体"/>
          <w:b w:val="0"/>
          <w:bCs/>
          <w:color w:val="auto"/>
          <w:sz w:val="18"/>
          <w:szCs w:val="18"/>
          <w:highlight w:val="none"/>
          <w:lang w:val="en-US" w:eastAsia="zh-CN"/>
        </w:rPr>
        <w:t xml:space="preserve">.</w:t>
      </w:r>
      <w:r>
        <w:rPr>
          <w:rFonts w:hint="eastAsia" w:ascii="宋体" w:hAnsi="宋体" w:eastAsia="宋体" w:cs="宋体"/>
          <w:b w:val="0"/>
          <w:bCs/>
          <w:color w:val="auto"/>
          <w:sz w:val="18"/>
          <w:szCs w:val="18"/>
          <w:highlight w:val="none"/>
          <w:lang w:val="zh-CN"/>
        </w:rPr>
        <w:t xml:space="preserve">投标文件中的电子签章视为供应商对本声明进行了签署盖章并承担相应责任。</w:t>
      </w:r>
      <w:bookmarkEnd w:id="35"/>
      <w:r/>
      <w:r/>
    </w:p>
    <w:p>
      <w:pPr>
        <w:keepLines w:val="0"/>
        <w:keepNext w:val="0"/>
        <w:pageBreakBefore w:val="0"/>
        <w:spacing w:line="360" w:lineRule="exact"/>
        <w:widowControl w:val="off"/>
        <w:rPr>
          <w:rFonts w:hint="eastAsia" w:ascii="宋体" w:hAnsi="宋体" w:eastAsia="宋体" w:cs="宋体"/>
          <w:b w:val="0"/>
          <w:bCs/>
          <w:color w:val="auto"/>
          <w:sz w:val="18"/>
          <w:szCs w:val="18"/>
          <w:highlight w:val="none"/>
        </w:rPr>
      </w:pPr>
      <w:r>
        <w:rPr>
          <w:rFonts w:hint="eastAsia" w:ascii="宋体" w:hAnsi="宋体" w:cs="宋体"/>
          <w:b w:val="0"/>
          <w:bCs/>
          <w:color w:val="auto"/>
          <w:sz w:val="18"/>
          <w:szCs w:val="18"/>
          <w:highlight w:val="none"/>
          <w:lang w:val="en-US" w:eastAsia="zh-CN"/>
        </w:rPr>
        <w:t xml:space="preserve">8</w:t>
      </w:r>
      <w:r>
        <w:rPr>
          <w:rFonts w:hint="eastAsia" w:ascii="宋体" w:hAnsi="宋体" w:eastAsia="宋体" w:cs="宋体"/>
          <w:b w:val="0"/>
          <w:bCs/>
          <w:color w:val="auto"/>
          <w:sz w:val="18"/>
          <w:szCs w:val="18"/>
          <w:highlight w:val="none"/>
        </w:rPr>
        <w:t xml:space="preserve">.</w:t>
      </w:r>
      <w:r>
        <w:rPr>
          <w:rFonts w:hint="eastAsia" w:ascii="宋体" w:hAnsi="宋体" w:eastAsia="宋体" w:cs="宋体"/>
          <w:b w:val="0"/>
          <w:bCs/>
          <w:color w:val="auto"/>
          <w:sz w:val="18"/>
          <w:szCs w:val="18"/>
          <w:highlight w:val="none"/>
          <w:lang w:val="en-US" w:eastAsia="zh-CN"/>
        </w:rPr>
        <w:t xml:space="preserve">中标单位为中小企业</w:t>
      </w:r>
      <w:r>
        <w:rPr>
          <w:rFonts w:hint="eastAsia" w:ascii="宋体" w:hAnsi="宋体" w:eastAsia="宋体" w:cs="宋体"/>
          <w:b w:val="0"/>
          <w:bCs/>
          <w:color w:val="auto"/>
          <w:sz w:val="18"/>
          <w:szCs w:val="18"/>
          <w:highlight w:val="none"/>
        </w:rPr>
        <w:t xml:space="preserve">的，《中小企业声明函》将随中标结果同时公告。</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00" w:lineRule="exact"/>
        <w:rPr>
          <w:rFonts w:hint="eastAsia" w:ascii="宋体" w:hAnsi="宋体" w:cs="宋体"/>
          <w:b/>
          <w:bCs/>
          <w:color w:val="auto"/>
          <w:highlight w:val="none"/>
        </w:rPr>
      </w:pPr>
      <w:r>
        <w:rPr>
          <w:rFonts w:hint="eastAsia" w:ascii="宋体" w:hAnsi="宋体" w:eastAsia="宋体" w:cs="宋体"/>
          <w:b/>
          <w:color w:val="auto"/>
          <w:szCs w:val="21"/>
          <w:highlight w:val="none"/>
        </w:rPr>
        <w:t xml:space="preserve">附：中小企业划型标准规定</w:t>
      </w:r>
      <w:r/>
    </w:p>
    <w:p>
      <w:pPr>
        <w:ind w:firstLine="422"/>
        <w:spacing w:line="400" w:lineRule="exac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687"/>
        <w:rPr>
          <w:rFonts w:hint="eastAsia" w:ascii="宋体" w:hAnsi="宋体" w:cs="宋体"/>
          <w:color w:val="auto"/>
          <w:highlight w:val="none"/>
        </w:rPr>
      </w:pPr>
      <w:r>
        <w:rPr>
          <w:rFonts w:hint="eastAsia" w:ascii="宋体" w:hAnsi="宋体" w:cs="宋体"/>
          <w:color w:val="auto"/>
          <w:highlight w:val="none"/>
        </w:rPr>
      </w:r>
      <w:r/>
    </w:p>
    <w:p>
      <w:pPr>
        <w:pStyle w:val="845"/>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1"/>
        <w:rPr>
          <w:rFonts w:hint="eastAsia" w:ascii="宋体" w:hAnsi="宋体" w:cs="宋体"/>
          <w:b/>
          <w:bCs/>
          <w:color w:val="auto"/>
          <w:highlight w:val="none"/>
        </w:rPr>
      </w:pPr>
      <w:r>
        <w:rPr>
          <w:rFonts w:hint="eastAsia" w:ascii="宋体" w:hAnsi="宋体" w:cs="宋体"/>
          <w:b/>
          <w:bCs/>
          <w:color w:val="auto"/>
          <w:highlight w:val="none"/>
        </w:rPr>
      </w:r>
      <w:r/>
    </w:p>
    <w:p>
      <w:pPr>
        <w:pStyle w:val="841"/>
        <w:rPr>
          <w:rFonts w:hint="eastAsia" w:ascii="宋体" w:hAnsi="宋体" w:cs="宋体"/>
          <w:b/>
          <w:bCs/>
          <w:color w:val="auto"/>
          <w:highlight w:val="none"/>
        </w:rPr>
      </w:pPr>
      <w:r>
        <w:rPr>
          <w:rFonts w:hint="eastAsia" w:ascii="宋体" w:hAnsi="宋体" w:cs="宋体"/>
          <w:b/>
          <w:bCs/>
          <w:color w:val="auto"/>
          <w:highlight w:val="none"/>
        </w:rPr>
      </w:r>
      <w:r/>
    </w:p>
    <w:p>
      <w:pPr>
        <w:pStyle w:val="841"/>
        <w:rPr>
          <w:rFonts w:hint="eastAsia" w:ascii="宋体" w:hAnsi="宋体" w:cs="宋体"/>
          <w:b/>
          <w:bCs/>
          <w:color w:val="auto"/>
          <w:highlight w:val="none"/>
        </w:rPr>
      </w:pPr>
      <w:r>
        <w:rPr>
          <w:rFonts w:hint="eastAsia" w:ascii="宋体" w:hAnsi="宋体" w:cs="宋体"/>
          <w:b/>
          <w:bCs/>
          <w:color w:val="auto"/>
          <w:highlight w:val="none"/>
        </w:rPr>
      </w:r>
      <w:r/>
    </w:p>
    <w:p>
      <w:pPr>
        <w:pStyle w:val="841"/>
        <w:rPr>
          <w:rFonts w:hint="eastAsia" w:ascii="宋体" w:hAnsi="宋体" w:cs="宋体"/>
          <w:b/>
          <w:bCs/>
          <w:color w:val="auto"/>
          <w:highlight w:val="none"/>
        </w:rPr>
      </w:pPr>
      <w:r>
        <w:rPr>
          <w:rFonts w:hint="eastAsia" w:ascii="宋体" w:hAnsi="宋体" w:cs="宋体"/>
          <w:b/>
          <w:bCs/>
          <w:color w:val="auto"/>
          <w:highlight w:val="none"/>
        </w:rPr>
      </w:r>
      <w:r/>
    </w:p>
    <w:p>
      <w:pPr>
        <w:pStyle w:val="841"/>
        <w:rPr>
          <w:rFonts w:hint="eastAsia" w:ascii="宋体" w:hAnsi="宋体" w:cs="宋体"/>
          <w:b/>
          <w:bCs/>
          <w:color w:val="auto"/>
          <w:highlight w:val="none"/>
        </w:rPr>
      </w:pPr>
      <w:r>
        <w:rPr>
          <w:rFonts w:hint="eastAsia" w:ascii="宋体" w:hAnsi="宋体" w:cs="宋体"/>
          <w:b/>
          <w:bCs/>
          <w:color w:val="auto"/>
          <w:highlight w:val="none"/>
        </w:rPr>
      </w:r>
      <w:r/>
    </w:p>
    <w:p>
      <w:pPr>
        <w:pStyle w:val="841"/>
        <w:ind w:left="0" w:firstLine="0"/>
        <w:rPr>
          <w:rFonts w:hint="eastAsia" w:ascii="宋体" w:hAnsi="宋体" w:cs="宋体"/>
          <w:b/>
          <w:bCs/>
          <w:color w:val="auto"/>
          <w:highlight w:val="none"/>
        </w:rPr>
      </w:pPr>
      <w:r>
        <w:rPr>
          <w:rFonts w:hint="eastAsia" w:ascii="宋体" w:hAnsi="宋体" w:cs="宋体"/>
          <w:b/>
          <w:bCs/>
          <w:color w:val="auto"/>
          <w:highlight w:val="none"/>
        </w:rPr>
      </w:r>
      <w:r/>
    </w:p>
    <w:p>
      <w:pPr>
        <w:jc w:val="left"/>
        <w:rPr>
          <w:rFonts w:hint="eastAsia" w:ascii="宋体" w:hAnsi="宋体" w:cs="宋体"/>
          <w:b/>
          <w:bCs/>
          <w:color w:val="auto"/>
          <w:szCs w:val="21"/>
          <w:highlight w:val="none"/>
        </w:rPr>
        <w:outlineLvl w:val="0"/>
      </w:pPr>
      <w:r>
        <w:rPr>
          <w:rFonts w:hint="eastAsia" w:ascii="宋体" w:hAnsi="宋体" w:eastAsia="宋体" w:cs="宋体"/>
          <w:b/>
          <w:color w:val="auto"/>
          <w:szCs w:val="21"/>
          <w:highlight w:val="none"/>
        </w:rPr>
        <w:t xml:space="preserve">附件6.残疾人福利性单位声明函</w:t>
      </w:r>
      <w:r/>
    </w:p>
    <w:p>
      <w:pPr>
        <w:jc w:val="center"/>
        <w:spacing w:before="100" w:beforeAutospacing="1" w:after="100" w:afterAutospacing="1" w:line="480" w:lineRule="auto"/>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残疾人福利性单位声明函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zh-CN"/>
        </w:rPr>
        <w:t xml:space="preserve">苏州汇顺项目管理咨询有限公司</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lang w:val="zh-CN"/>
        </w:rPr>
        <w:t xml:space="preserve">贵公司组织实施的编号为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号的招标活动</w:t>
      </w:r>
      <w:r>
        <w:rPr>
          <w:rFonts w:hint="eastAsia" w:ascii="宋体" w:hAnsi="宋体" w:eastAsia="宋体" w:cs="宋体"/>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pStyle w:val="871"/>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单位名称</w:t>
      </w:r>
      <w:r>
        <w:rPr>
          <w:rFonts w:hint="eastAsia" w:ascii="宋体" w:hAnsi="宋体" w:eastAsia="宋体" w:cs="宋体"/>
          <w:color w:val="auto"/>
          <w:szCs w:val="21"/>
          <w:highlight w:val="none"/>
        </w:rPr>
        <w:t xml:space="preserve">：（盖章）</w:t>
      </w:r>
      <w:r/>
    </w:p>
    <w:p>
      <w:pPr>
        <w:pStyle w:val="687"/>
        <w:ind w:left="0" w:firstLine="0"/>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pStyle w:val="687"/>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pStyle w:val="656"/>
        <w:rPr>
          <w:rFonts w:hint="eastAsia" w:ascii="宋体" w:hAnsi="宋体" w:cs="宋体"/>
          <w:b/>
          <w:bCs/>
          <w:color w:val="auto"/>
          <w:highlight w:val="none"/>
        </w:rPr>
      </w:pPr>
      <w:r>
        <w:rPr>
          <w:rFonts w:hint="eastAsia" w:ascii="宋体" w:hAnsi="宋体" w:cs="宋体"/>
          <w:b/>
          <w:bCs/>
          <w:color w:val="auto"/>
          <w:highlight w:val="none"/>
        </w:rPr>
      </w:r>
      <w:r/>
    </w:p>
    <w:p>
      <w:pPr>
        <w:rPr>
          <w:rFonts w:hint="eastAsia"/>
          <w:color w:val="auto"/>
          <w:highlight w:val="none"/>
        </w:rPr>
      </w:pPr>
      <w:r>
        <w:rPr>
          <w:rFonts w:hint="eastAsia"/>
          <w:color w:val="auto"/>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jc w:val="left"/>
        <w:rPr>
          <w:rFonts w:hint="eastAsia" w:ascii="宋体" w:hAnsi="宋体" w:cs="宋体"/>
          <w:b/>
          <w:bCs/>
          <w:color w:val="auto"/>
          <w:highlight w:val="none"/>
        </w:rPr>
        <w:outlineLvl w:val="0"/>
      </w:pPr>
      <w:r>
        <w:rPr>
          <w:rFonts w:hint="eastAsia" w:ascii="宋体" w:hAnsi="宋体" w:cs="宋体"/>
          <w:b/>
          <w:bCs/>
          <w:color w:val="auto"/>
          <w:highlight w:val="none"/>
        </w:rPr>
      </w:r>
      <w:r/>
    </w:p>
    <w:p>
      <w:pPr>
        <w:jc w:val="left"/>
        <w:rPr>
          <w:rFonts w:hint="eastAsia" w:ascii="宋体" w:hAnsi="宋体" w:cs="宋体"/>
          <w:b/>
          <w:color w:val="auto"/>
          <w:szCs w:val="21"/>
          <w:highlight w:val="none"/>
        </w:rPr>
        <w:outlineLvl w:val="0"/>
      </w:pPr>
      <w:r>
        <w:rPr>
          <w:rFonts w:hint="eastAsia" w:ascii="宋体" w:hAnsi="宋体" w:eastAsia="宋体" w:cs="宋体"/>
          <w:b/>
          <w:color w:val="auto"/>
          <w:szCs w:val="21"/>
          <w:highlight w:val="none"/>
        </w:rPr>
        <w:t xml:space="preserve">附件7.投标货物和服务数量、品牌规格、性能、交货期说明表</w:t>
      </w:r>
      <w:r/>
    </w:p>
    <w:p>
      <w:pPr>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8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投标货物和服务数量、品牌规格、性能、交货期说明表</w:t>
      </w:r>
      <w:r/>
    </w:p>
    <w:p>
      <w:pPr>
        <w:jc w:val="left"/>
        <w:spacing w:line="380" w:lineRule="exact"/>
        <w:rPr>
          <w:rFonts w:hint="eastAsia" w:ascii="宋体" w:hAnsi="宋体" w:cs="宋体"/>
          <w:color w:val="auto"/>
          <w:szCs w:val="21"/>
          <w:highlight w:val="none"/>
        </w:rPr>
      </w:pPr>
      <w:r>
        <w:rPr>
          <w:rFonts w:hint="eastAsia" w:ascii="宋体" w:hAnsi="宋体" w:cs="宋体"/>
          <w:color w:val="auto"/>
          <w:szCs w:val="21"/>
          <w:highlight w:val="none"/>
        </w:rPr>
      </w:r>
      <w:r/>
    </w:p>
    <w:tbl>
      <w:tblPr>
        <w:tblStyle w:val="650"/>
        <w:tblW w:w="9429" w:type="dxa"/>
        <w:jc w:val="center"/>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1554"/>
        <w:gridCol w:w="1683"/>
        <w:gridCol w:w="1500"/>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ind w:right="480"/>
        <w:jc w:val="righ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right="1320"/>
        <w:spacing w:line="400" w:lineRule="exact"/>
        <w:rPr>
          <w:rFonts w:hint="eastAsia" w:ascii="宋体" w:hAnsi="宋体" w:cs="宋体"/>
          <w:b/>
          <w:color w:val="auto"/>
          <w:szCs w:val="21"/>
          <w:highlight w:val="none"/>
        </w:rPr>
        <w:outlineLvl w:val="0"/>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Cs w:val="21"/>
          <w:highlight w:val="none"/>
        </w:rPr>
        <w:t xml:space="preserve">附件8.技术参数响应及偏离表</w:t>
      </w:r>
      <w:r/>
    </w:p>
    <w:p>
      <w:pPr>
        <w:pStyle w:val="845"/>
        <w:rPr>
          <w:rFonts w:hint="eastAsia" w:ascii="宋体" w:hAnsi="宋体" w:cs="宋体"/>
          <w:color w:val="auto"/>
          <w:highlight w:val="none"/>
        </w:rPr>
      </w:pPr>
      <w:r>
        <w:rPr>
          <w:rFonts w:hint="eastAsia" w:ascii="宋体" w:hAnsi="宋体" w:cs="宋体"/>
          <w:color w:val="auto"/>
          <w:highlight w:val="none"/>
        </w:rPr>
      </w:r>
      <w:r/>
    </w:p>
    <w:p>
      <w:pPr>
        <w:jc w:val="center"/>
        <w:spacing w:line="40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技术参数响应及偏离表</w:t>
      </w:r>
      <w:r/>
    </w:p>
    <w:p>
      <w:pPr>
        <w:pStyle w:val="845"/>
        <w:rPr>
          <w:rFonts w:hint="eastAsia" w:ascii="宋体" w:hAnsi="宋体" w:cs="宋体"/>
          <w:color w:val="auto"/>
          <w:highlight w:val="none"/>
        </w:rPr>
      </w:pPr>
      <w:r>
        <w:rPr>
          <w:rFonts w:hint="eastAsia" w:ascii="宋体" w:hAnsi="宋体" w:cs="宋体"/>
          <w:color w:val="auto"/>
          <w:highlight w:val="none"/>
        </w:rPr>
      </w:r>
      <w:r/>
    </w:p>
    <w:tbl>
      <w:tblPr>
        <w:tblStyle w:val="6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项目</w:t>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招标要求</w:t>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投标内容</w:t>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偏离说明</w:t>
            </w:r>
            <w:r/>
          </w:p>
        </w:tc>
        <w:tc>
          <w:tcPr>
            <w:tcW w:w="141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keepLines w:val="0"/>
        <w:keepNext w:val="0"/>
        <w:pageBreakBefore w:val="0"/>
        <w:spacing w:before="181" w:line="360" w:lineRule="auto"/>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注：投标人应在本表中对照招标文件技术要求对应列出响应内容，并在“偏离说明”项下填写以下内容：优于的，填写“正偏离”；符合的，填写“无偏离”；低于的，填写“负偏离”。</w:t>
      </w:r>
      <w:r>
        <w:rPr>
          <w:rFonts w:hint="eastAsia" w:ascii="宋体" w:hAnsi="宋体" w:eastAsia="宋体" w:cs="宋体"/>
          <w:color w:val="auto"/>
          <w:highlight w:val="none"/>
        </w:rPr>
        <w:t xml:space="preserve">正偏离和无偏离为响应，负偏离为不响应。</w:t>
      </w:r>
      <w:r>
        <w:rPr>
          <w:rFonts w:hint="eastAsia" w:cs="宋体"/>
          <w:color w:val="auto"/>
          <w:highlight w:val="none"/>
        </w:rPr>
        <w:t xml:space="preserve">未在上表中说明的，如在投标文件其他内容中已有文字说明的，则以已有文字说明为准，否则，将被认为完全响应招标文件的规定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ind w:right="156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ind w:right="1320"/>
        <w:spacing w:line="400" w:lineRule="exact"/>
        <w:rPr>
          <w:rFonts w:hint="eastAsia" w:ascii="宋体" w:hAnsi="宋体" w:cs="宋体"/>
          <w:b/>
          <w:color w:val="auto"/>
          <w:szCs w:val="21"/>
          <w:highlight w:val="none"/>
        </w:rPr>
        <w:outlineLvl w:val="0"/>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附件9.商务条款响应及偏离表</w:t>
      </w:r>
      <w:r/>
    </w:p>
    <w:p>
      <w:pPr>
        <w:pStyle w:val="845"/>
        <w:rPr>
          <w:rFonts w:hint="eastAsia" w:ascii="宋体" w:hAnsi="宋体" w:cs="宋体"/>
          <w:color w:val="auto"/>
          <w:highlight w:val="none"/>
        </w:rPr>
      </w:pPr>
      <w:r>
        <w:rPr>
          <w:rFonts w:hint="eastAsia" w:ascii="宋体" w:hAnsi="宋体" w:cs="宋体"/>
          <w:color w:val="auto"/>
          <w:highlight w:val="none"/>
        </w:rPr>
      </w:r>
      <w:r/>
    </w:p>
    <w:p>
      <w:pPr>
        <w:jc w:val="center"/>
        <w:spacing w:line="38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商务条款响应及偏离表</w:t>
      </w:r>
      <w:r/>
    </w:p>
    <w:p>
      <w:pPr>
        <w:pStyle w:val="845"/>
        <w:rPr>
          <w:rFonts w:hint="eastAsia" w:ascii="宋体" w:hAnsi="宋体" w:cs="宋体"/>
          <w:color w:val="auto"/>
          <w:highlight w:val="none"/>
        </w:rPr>
      </w:pPr>
      <w:r>
        <w:rPr>
          <w:rFonts w:hint="eastAsia" w:ascii="宋体" w:hAnsi="宋体" w:cs="宋体"/>
          <w:color w:val="auto"/>
          <w:highlight w:val="none"/>
        </w:rPr>
      </w:r>
      <w:r/>
    </w:p>
    <w:tbl>
      <w:tblPr>
        <w:tblStyle w:val="6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W w:w="18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项目</w:t>
            </w:r>
            <w:r/>
          </w:p>
        </w:tc>
        <w:tc>
          <w:tcPr>
            <w:tcW w:w="1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招标要求</w:t>
            </w:r>
            <w:r/>
          </w:p>
        </w:tc>
        <w:tc>
          <w:tcPr>
            <w:tcW w:w="21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投标内容</w:t>
            </w:r>
            <w:r/>
          </w:p>
        </w:tc>
        <w:tc>
          <w:tcPr>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rPr>
              <w:t xml:space="preserve">偏离说明</w:t>
            </w:r>
            <w:r/>
          </w:p>
        </w:tc>
        <w:tc>
          <w:tcPr>
            <w:tcW w:w="141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72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2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12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4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keepLines w:val="0"/>
        <w:keepNext w:val="0"/>
        <w:pageBreakBefore w:val="0"/>
        <w:spacing w:before="181" w:line="360" w:lineRule="auto"/>
        <w:widowControl w:val="off"/>
        <w:rPr>
          <w:rFonts w:hint="eastAsia" w:ascii="宋体" w:hAnsi="宋体" w:cs="宋体"/>
          <w:color w:val="auto"/>
          <w:highlight w:val="none"/>
        </w:rPr>
      </w:pPr>
      <w:r>
        <w:rPr>
          <w:rFonts w:hint="eastAsia" w:ascii="宋体" w:hAnsi="宋体" w:eastAsia="宋体" w:cs="宋体"/>
          <w:color w:val="auto"/>
          <w:highlight w:val="none"/>
        </w:rPr>
        <w:t xml:space="preserve">注：投标人应在本表中对照招标文件商务条款要求对应列出响应内容，并在“偏离说明”项下填写以下内容：优于的，填写“正偏离”；符合的，填写“无偏离”；低于的，填写“负偏离”。正偏离和无偏离为响应，负偏离为不响应。</w:t>
      </w:r>
      <w:r>
        <w:rPr>
          <w:rFonts w:hint="eastAsia" w:cs="宋体"/>
          <w:color w:val="auto"/>
          <w:highlight w:val="none"/>
        </w:rPr>
        <w:t xml:space="preserve">未在上表中说明的，如在投标文件其他内容中已有文字说明的，则以已有文字说明为准，否则，将被认为完全响应招标文件的规定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ind w:right="7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845"/>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686"/>
        <w:ind w:left="0" w:firstLine="0"/>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eastAsia="宋体" w:cs="宋体"/>
          <w:b/>
          <w:bCs/>
          <w:color w:val="auto"/>
          <w:highlight w:val="none"/>
        </w:rPr>
        <w:outlineLvl w:val="0"/>
      </w:pPr>
      <w:r>
        <w:rPr>
          <w:rFonts w:hint="eastAsia" w:ascii="宋体" w:hAnsi="宋体" w:eastAsia="宋体" w:cs="宋体"/>
          <w:b/>
          <w:color w:val="auto"/>
          <w:szCs w:val="21"/>
          <w:highlight w:val="none"/>
        </w:rPr>
        <w:t xml:space="preserve">附件10.关于资格文件的声明函</w:t>
      </w:r>
      <w:r/>
    </w:p>
    <w:p>
      <w:pPr>
        <w:ind w:firstLine="420"/>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center"/>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关于资格文件的声明函</w:t>
      </w:r>
      <w:r/>
    </w:p>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苏州汇顺项目管理咨询有限公司</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本公司愿就由贵公司组织实施的编号为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spacing w:line="360" w:lineRule="auto"/>
        <w:rPr>
          <w:rFonts w:hint="eastAsia" w:ascii="宋体" w:hAnsi="宋体" w:cs="宋体"/>
          <w:b/>
          <w:color w:val="auto"/>
          <w:szCs w:val="21"/>
          <w:highlight w:val="none"/>
        </w:rPr>
        <w:outlineLvl w:val="0"/>
      </w:pPr>
      <w:r>
        <w:rPr>
          <w:rFonts w:hint="eastAsia" w:ascii="宋体" w:hAnsi="宋体" w:eastAsia="宋体" w:cs="宋体"/>
          <w:color w:val="auto"/>
          <w:szCs w:val="21"/>
          <w:highlight w:val="none"/>
        </w:rPr>
        <w:br w:type="page" w:clear="all"/>
      </w:r>
      <w:r>
        <w:rPr>
          <w:rFonts w:hint="eastAsia" w:ascii="宋体" w:hAnsi="宋体" w:eastAsia="宋体" w:cs="宋体"/>
          <w:b/>
          <w:color w:val="auto"/>
          <w:szCs w:val="21"/>
          <w:highlight w:val="none"/>
        </w:rPr>
        <w:t xml:space="preserve">附件11.投标人基本情况表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50"/>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年   </w:t>
            </w:r>
            <w:r>
              <w:rPr>
                <w:rFonts w:hint="eastAsia" w:ascii="宋体" w:hAnsi="宋体" w:eastAsia="宋体" w:cs="宋体"/>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317"/>
        <w:jc w:val="left"/>
        <w:keepLines w:val="0"/>
        <w:keepNext w:val="0"/>
        <w:pageBreakBefore w:val="0"/>
        <w:spacing w:before="181" w:line="360" w:lineRule="auto"/>
        <w:widowControl w:val="off"/>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注：若事项较多，投标人可根据投标内容的实际情况另纸说明。</w:t>
      </w:r>
      <w:r/>
    </w:p>
    <w:p>
      <w:pPr>
        <w:pStyle w:val="878"/>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投标人：（盖章）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法定代表人或授权代理人：（签字或签章）</w:t>
      </w:r>
      <w:r/>
    </w:p>
    <w:p>
      <w:pPr>
        <w:pStyle w:val="878"/>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846"/>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6"/>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6"/>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6"/>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400" w:lineRule="exact"/>
        <w:rPr>
          <w:rFonts w:hint="eastAsia" w:ascii="宋体" w:hAnsi="宋体" w:eastAsia="宋体" w:cs="宋体"/>
          <w:b/>
          <w:bCs/>
          <w:color w:val="auto"/>
          <w:sz w:val="21"/>
          <w:szCs w:val="21"/>
          <w:highlight w:val="none"/>
          <w:lang w:val="zh-CN"/>
        </w:rPr>
        <w:outlineLvl w:val="0"/>
      </w:pPr>
      <w:r>
        <w:rPr>
          <w:rFonts w:hint="eastAsia" w:ascii="宋体" w:hAnsi="宋体" w:eastAsia="宋体" w:cs="宋体"/>
          <w:b/>
          <w:color w:val="auto"/>
          <w:sz w:val="21"/>
          <w:szCs w:val="21"/>
          <w:highlight w:val="none"/>
        </w:rPr>
        <w:t xml:space="preserve">附件1</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zh-CN"/>
        </w:rPr>
        <w:t xml:space="preserve">单位与其他单位存在控股、管理关系情况表</w:t>
      </w:r>
      <w:r/>
    </w:p>
    <w:p>
      <w:pPr>
        <w:jc w:val="center"/>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rPr>
        <w:t xml:space="preserve">投标</w:t>
      </w:r>
      <w:r>
        <w:rPr>
          <w:rFonts w:hint="eastAsia" w:ascii="宋体" w:hAnsi="宋体" w:eastAsia="宋体" w:cs="宋体"/>
          <w:b w:val="0"/>
          <w:bCs w:val="0"/>
          <w:color w:val="auto"/>
          <w:sz w:val="21"/>
          <w:szCs w:val="21"/>
          <w:highlight w:val="none"/>
          <w:lang w:val="zh-CN"/>
        </w:rPr>
        <w:t xml:space="preserve">单位与其他单位存在控股、管理关系情况表</w:t>
      </w:r>
      <w:r/>
    </w:p>
    <w:p>
      <w:pPr>
        <w:ind w:firstLine="482"/>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bl>
      <w:tblPr>
        <w:tblStyle w:val="6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与</w:t>
            </w:r>
            <w:r>
              <w:rPr>
                <w:rFonts w:hint="eastAsia" w:ascii="宋体" w:hAnsi="宋体" w:eastAsia="宋体"/>
                <w:b w:val="0"/>
                <w:bCs w:val="0"/>
                <w:color w:val="auto"/>
                <w:sz w:val="21"/>
                <w:szCs w:val="21"/>
                <w:highlight w:val="none"/>
              </w:rPr>
              <w:t xml:space="preserve">供应商</w:t>
            </w:r>
            <w:r>
              <w:rPr>
                <w:rFonts w:hint="eastAsia" w:ascii="宋体" w:hAnsi="宋体" w:eastAsia="宋体"/>
                <w:b w:val="0"/>
                <w:bCs w:val="0"/>
                <w:color w:val="auto"/>
                <w:sz w:val="21"/>
                <w:szCs w:val="21"/>
                <w:highlight w:val="none"/>
                <w:shd w:val="clear" w:color="auto" w:fill="ffffff"/>
              </w:rPr>
              <w:t xml:space="preserve">存在直接股权关系</w:t>
            </w:r>
            <w:r/>
          </w:p>
        </w:tc>
        <w:tc>
          <w:tcPr>
            <w:gridSpan w:val="3"/>
            <w:tcW w:w="3455"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与</w:t>
            </w:r>
            <w:r>
              <w:rPr>
                <w:rFonts w:hint="eastAsia" w:ascii="宋体" w:hAnsi="宋体" w:eastAsia="宋体"/>
                <w:b w:val="0"/>
                <w:bCs w:val="0"/>
                <w:color w:val="auto"/>
                <w:sz w:val="21"/>
                <w:szCs w:val="21"/>
                <w:highlight w:val="none"/>
              </w:rPr>
              <w:t xml:space="preserve">供应商</w:t>
            </w:r>
            <w:r>
              <w:rPr>
                <w:rFonts w:hint="eastAsia" w:ascii="宋体" w:hAnsi="宋体" w:eastAsia="宋体"/>
                <w:b w:val="0"/>
                <w:bCs w:val="0"/>
                <w:color w:val="auto"/>
                <w:sz w:val="21"/>
                <w:szCs w:val="21"/>
                <w:highlight w:val="none"/>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单位名称</w:t>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是否为大型企业</w:t>
            </w:r>
            <w:r/>
          </w:p>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（填写“是”或 “否”）</w:t>
            </w:r>
            <w:r/>
          </w:p>
        </w:tc>
        <w:tc>
          <w:tcPr>
            <w:tcW w:w="1653" w:type="dxa"/>
            <w:vAlign w:val="top"/>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是否直接控股</w:t>
            </w:r>
            <w:r/>
          </w:p>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（填写“是”或 “否”）</w:t>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直接控股关系情况说明（持股比例等）</w:t>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单位名称</w:t>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是否为大型企业</w:t>
            </w:r>
            <w:r/>
          </w:p>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（填写“是”或 “否”）</w:t>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hint="eastAsia" w:ascii="宋体" w:hAnsi="宋体" w:eastAsia="宋体"/>
                <w:b w:val="0"/>
                <w:bCs w:val="0"/>
                <w:color w:val="auto"/>
                <w:sz w:val="21"/>
                <w:szCs w:val="21"/>
                <w:highlight w:val="none"/>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82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664"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653"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c>
          <w:tcPr>
            <w:tcW w:w="1138" w:type="dxa"/>
            <w:vAlign w:val="center"/>
            <w:textDirection w:val="lrTb"/>
            <w:noWrap w:val="false"/>
          </w:tcPr>
          <w:p>
            <w:pPr>
              <w:jc w:val="center"/>
              <w:widowControl/>
              <w:rPr>
                <w:rFonts w:ascii="宋体" w:hAnsi="宋体" w:eastAsia="宋体"/>
                <w:b w:val="0"/>
                <w:bCs w:val="0"/>
                <w:color w:val="auto"/>
                <w:sz w:val="21"/>
                <w:szCs w:val="21"/>
                <w:highlight w:val="none"/>
                <w:shd w:val="clear" w:color="auto" w:fill="ffffff"/>
              </w:rPr>
            </w:pPr>
            <w:r>
              <w:rPr>
                <w:rFonts w:ascii="宋体" w:hAnsi="宋体" w:eastAsia="宋体"/>
                <w:b w:val="0"/>
                <w:bCs w:val="0"/>
                <w:color w:val="auto"/>
                <w:sz w:val="21"/>
                <w:szCs w:val="21"/>
                <w:highlight w:val="none"/>
                <w:shd w:val="clear" w:color="auto" w:fill="ffffff"/>
              </w:rPr>
            </w:r>
            <w:r/>
          </w:p>
        </w:tc>
      </w:tr>
    </w:tbl>
    <w:p>
      <w:pPr>
        <w:ind w:firstLine="482"/>
        <w:keepLines w:val="0"/>
        <w:keepNext w:val="0"/>
        <w:pageBreakBefore w:val="0"/>
        <w:spacing w:before="181" w:line="36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注</w:t>
      </w:r>
      <w:r>
        <w:rPr>
          <w:rFonts w:hint="eastAsia" w:ascii="宋体" w:hAnsi="宋体" w:eastAsia="宋体" w:cs="宋体"/>
          <w:b/>
          <w:bCs/>
          <w:color w:val="auto"/>
          <w:sz w:val="21"/>
          <w:szCs w:val="21"/>
          <w:highlight w:val="none"/>
          <w:shd w:val="clear" w:color="auto" w:fill="ffffff"/>
          <w:lang w:val="en-US" w:eastAsia="zh-CN"/>
        </w:rPr>
        <w:t xml:space="preserve">1</w:t>
      </w:r>
      <w:r>
        <w:rPr>
          <w:rFonts w:hint="eastAsia" w:ascii="宋体" w:hAnsi="宋体" w:eastAsia="宋体" w:cs="宋体"/>
          <w:b/>
          <w:bCs/>
          <w:color w:val="auto"/>
          <w:sz w:val="21"/>
          <w:szCs w:val="21"/>
          <w:highlight w:val="none"/>
          <w:shd w:val="clear" w:color="auto" w:fill="ffffff"/>
        </w:rPr>
        <w:t xml:space="preserve">：本表仅须填写与</w:t>
      </w:r>
      <w:r>
        <w:rPr>
          <w:rFonts w:hint="eastAsia" w:ascii="宋体" w:hAnsi="宋体" w:eastAsia="宋体" w:cs="宋体"/>
          <w:b/>
          <w:bCs/>
          <w:color w:val="auto"/>
          <w:sz w:val="21"/>
          <w:szCs w:val="21"/>
          <w:highlight w:val="none"/>
        </w:rPr>
        <w:t xml:space="preserve">供应商</w:t>
      </w:r>
      <w:r>
        <w:rPr>
          <w:rFonts w:hint="eastAsia" w:ascii="宋体" w:hAnsi="宋体" w:eastAsia="宋体" w:cs="宋体"/>
          <w:b/>
          <w:bCs/>
          <w:color w:val="auto"/>
          <w:sz w:val="21"/>
          <w:szCs w:val="21"/>
          <w:highlight w:val="none"/>
          <w:shd w:val="clear" w:color="auto" w:fill="ffffff"/>
        </w:rPr>
        <w:t xml:space="preserve">存在直接股权、管理关系的企业情况。</w:t>
      </w:r>
      <w:r>
        <w:rPr>
          <w:rFonts w:hint="eastAsia" w:ascii="宋体" w:hAnsi="宋体" w:eastAsia="宋体" w:cs="宋体"/>
          <w:b/>
          <w:bCs/>
          <w:color w:val="auto"/>
          <w:sz w:val="21"/>
          <w:szCs w:val="21"/>
          <w:highlight w:val="none"/>
        </w:rPr>
        <w:t xml:space="preserve">供应商</w:t>
      </w:r>
      <w:r>
        <w:rPr>
          <w:rFonts w:hint="eastAsia" w:ascii="宋体" w:hAnsi="宋体" w:eastAsia="宋体" w:cs="宋体"/>
          <w:b/>
          <w:bCs/>
          <w:color w:val="auto"/>
          <w:sz w:val="21"/>
          <w:szCs w:val="21"/>
          <w:highlight w:val="none"/>
          <w:shd w:val="clear" w:color="auto" w:fill="ffffff"/>
        </w:rPr>
        <w:t xml:space="preserve">应按上表要求据实填写，如填写“无”或不填写，均视为</w:t>
      </w:r>
      <w:r>
        <w:rPr>
          <w:rFonts w:hint="eastAsia" w:ascii="宋体" w:hAnsi="宋体" w:eastAsia="宋体" w:cs="宋体"/>
          <w:b/>
          <w:bCs/>
          <w:color w:val="auto"/>
          <w:sz w:val="21"/>
          <w:szCs w:val="21"/>
          <w:highlight w:val="none"/>
        </w:rPr>
        <w:t xml:space="preserve">供应商</w:t>
      </w:r>
      <w:r>
        <w:rPr>
          <w:rFonts w:hint="eastAsia" w:ascii="宋体" w:hAnsi="宋体" w:eastAsia="宋体" w:cs="宋体"/>
          <w:b/>
          <w:bCs/>
          <w:color w:val="auto"/>
          <w:sz w:val="21"/>
          <w:szCs w:val="21"/>
          <w:highlight w:val="none"/>
          <w:shd w:val="clear" w:color="auto" w:fill="ffffff"/>
        </w:rPr>
        <w:t xml:space="preserve">声明不存在有关情形。</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注</w:t>
      </w:r>
      <w:r>
        <w:rPr>
          <w:rFonts w:hint="eastAsia" w:ascii="宋体" w:hAnsi="宋体" w:eastAsia="宋体" w:cs="宋体"/>
          <w:b/>
          <w:bCs/>
          <w:color w:val="auto"/>
          <w:sz w:val="21"/>
          <w:szCs w:val="21"/>
          <w:highlight w:val="none"/>
          <w:shd w:val="clear" w:color="auto" w:fill="ffffff"/>
          <w:lang w:val="en-US" w:eastAsia="zh-CN"/>
        </w:rPr>
        <w:t xml:space="preserve">2</w:t>
      </w:r>
      <w:r>
        <w:rPr>
          <w:rFonts w:hint="eastAsia" w:ascii="宋体" w:hAnsi="宋体" w:eastAsia="宋体" w:cs="宋体"/>
          <w:b/>
          <w:bCs/>
          <w:color w:val="auto"/>
          <w:sz w:val="21"/>
          <w:szCs w:val="21"/>
          <w:highlight w:val="none"/>
          <w:shd w:val="clear" w:color="auto" w:fill="ffffff"/>
        </w:rPr>
        <w:t xml:space="preserve">：其中“直接控股”是指</w:t>
      </w:r>
      <w:r>
        <w:rPr>
          <w:rFonts w:hint="eastAsia" w:ascii="宋体" w:hAnsi="宋体" w:eastAsia="宋体" w:cs="宋体"/>
          <w:b/>
          <w:bCs/>
          <w:color w:val="auto"/>
          <w:sz w:val="21"/>
          <w:szCs w:val="21"/>
          <w:highlight w:val="none"/>
        </w:rPr>
        <w:t xml:space="preserve">供应商</w:t>
      </w:r>
      <w:r>
        <w:rPr>
          <w:rFonts w:hint="eastAsia" w:ascii="宋体" w:hAnsi="宋体" w:eastAsia="宋体" w:cs="宋体"/>
          <w:b/>
          <w:bCs/>
          <w:color w:val="auto"/>
          <w:sz w:val="21"/>
          <w:szCs w:val="21"/>
          <w:highlight w:val="none"/>
          <w:shd w:val="clear" w:color="auto" w:fill="ffffff"/>
        </w:rPr>
        <w:t xml:space="preserve">与大型企业之间存在直接投资并控股（非普通持股）的关系。</w:t>
      </w:r>
      <w:r/>
    </w:p>
    <w:p>
      <w:pPr>
        <w:ind w:right="0" w:firstLine="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8"/>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pStyle w:val="878"/>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400"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r>
      <w:r/>
    </w:p>
    <w:p>
      <w:pPr>
        <w:jc w:val="left"/>
        <w:spacing w:line="400"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r>
      <w:r/>
    </w:p>
    <w:p>
      <w:pPr>
        <w:jc w:val="left"/>
        <w:spacing w:line="400"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r>
      <w:r/>
    </w:p>
    <w:p>
      <w:pPr>
        <w:pStyle w:val="65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color w:val="auto"/>
          <w:highlight w:val="none"/>
        </w:rPr>
      </w:pPr>
      <w:r>
        <w:rPr>
          <w:rFonts w:hint="eastAsia"/>
          <w:color w:val="auto"/>
          <w:highlight w:val="none"/>
        </w:rPr>
      </w:r>
      <w:r/>
    </w:p>
    <w:p>
      <w:pPr>
        <w:pStyle w:val="656"/>
        <w:rPr>
          <w:rFonts w:hint="eastAsia"/>
          <w:color w:val="auto"/>
          <w:highlight w:val="none"/>
        </w:rPr>
      </w:pPr>
      <w:r>
        <w:rPr>
          <w:rFonts w:hint="eastAsia"/>
          <w:color w:val="auto"/>
          <w:highlight w:val="none"/>
        </w:rPr>
      </w:r>
      <w:r/>
    </w:p>
    <w:p>
      <w:pPr>
        <w:jc w:val="left"/>
        <w:spacing w:line="400" w:lineRule="exact"/>
        <w:rPr>
          <w:rFonts w:hint="eastAsia" w:ascii="宋体" w:hAnsi="宋体" w:cs="宋体"/>
          <w:b/>
          <w:color w:val="auto"/>
          <w:szCs w:val="21"/>
          <w:highlight w:val="none"/>
        </w:rPr>
        <w:outlineLvl w:val="0"/>
      </w:pPr>
      <w:r>
        <w:rPr>
          <w:rFonts w:hint="eastAsia" w:ascii="宋体" w:hAnsi="宋体" w:eastAsia="宋体" w:cs="宋体"/>
          <w:b/>
          <w:color w:val="auto"/>
          <w:szCs w:val="21"/>
          <w:highlight w:val="none"/>
        </w:rPr>
        <w:t xml:space="preserve">附件1</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.投标（响应）保证承诺书</w:t>
      </w:r>
      <w:r/>
    </w:p>
    <w:p>
      <w:pPr>
        <w:jc w:val="center"/>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投标（响应）保证承诺书</w:t>
      </w:r>
      <w:r/>
    </w:p>
    <w:p>
      <w:pPr>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cs/>
        </w:rPr>
        <w:t xml:space="preserve"> </w:t>
      </w:r>
      <w:r>
        <w:rPr>
          <w:rFonts w:hint="eastAsia" w:ascii="宋体" w:hAnsi="宋体" w:eastAsia="宋体" w:cs="宋体"/>
          <w:color w:val="auto"/>
          <w:szCs w:val="21"/>
          <w:highlight w:val="none"/>
          <w:u w:val="single"/>
        </w:rPr>
        <w:t xml:space="preserve">（采购代理机构名称）</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（项目名称和采购编号）</w:t>
      </w:r>
      <w:r>
        <w:rPr>
          <w:rFonts w:hint="eastAsia" w:ascii="宋体" w:hAnsi="宋体" w:eastAsia="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并做出如下承诺：</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一、除不可抗力外，我单位如果发生以下行为，将在行为发生的10个工作日内，向贵方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支付本采购文件公布的预算金额的2%作为违约赔偿金。</w:t>
      </w:r>
      <w:r/>
    </w:p>
    <w:p>
      <w:pPr>
        <w:ind w:firstLine="84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1、自投标（响应）截止时间至本项目发布中标（成交）公告为止，撤销投标（响应）；</w:t>
      </w:r>
      <w:r/>
    </w:p>
    <w:p>
      <w:pPr>
        <w:ind w:firstLine="84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2、中标（成交）后不依法与采购人签订合同；</w:t>
      </w:r>
      <w:r/>
    </w:p>
    <w:p>
      <w:pPr>
        <w:ind w:firstLine="84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3、中标（成交）后不按本采购文件规定向贵方缴纳采购代理费。</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二、我单位知晓上述行为的法律后果，承认本承诺书作为贵方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要求我单位履行违约赔偿义务的依据作用。</w:t>
      </w:r>
      <w:r/>
    </w:p>
    <w:p>
      <w:pPr>
        <w:ind w:firstLine="420"/>
        <w:jc w:val="left"/>
        <w:spacing w:line="400" w:lineRule="exac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投标（响应）人：（盖公章）</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cs/>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传真：</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电子邮件：</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法定代表人或委托代理人(签字或签章)：</w:t>
      </w:r>
      <w:r>
        <w:rPr>
          <w:rFonts w:hint="eastAsia" w:ascii="宋体" w:hAnsi="宋体" w:eastAsia="宋体" w:cs="宋体"/>
          <w:color w:val="auto"/>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cs/>
        </w:rPr>
        <w:t xml:space="preserve">      </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left"/>
        <w:rPr>
          <w:rFonts w:ascii="宋体" w:hAnsi="宋体" w:cs="宋体"/>
          <w:b/>
          <w:bCs/>
          <w:color w:val="auto"/>
          <w:szCs w:val="21"/>
          <w:highlight w:val="none"/>
        </w:rPr>
      </w:pPr>
      <w:r>
        <w:rPr>
          <w:rFonts w:hint="eastAsia" w:ascii="宋体" w:hAnsi="宋体" w:cs="宋体"/>
          <w:b/>
          <w:bCs/>
          <w:color w:val="auto"/>
          <w:spacing w:val="6"/>
          <w:szCs w:val="21"/>
          <w:highlight w:val="none"/>
        </w:rPr>
        <w:t xml:space="preserve">附件14</w:t>
      </w:r>
      <w:r>
        <w:rPr>
          <w:rFonts w:hint="eastAsia" w:ascii="宋体" w:hAnsi="宋体" w:cs="宋体"/>
          <w:b/>
          <w:bCs/>
          <w:color w:val="auto"/>
          <w:spacing w:val="6"/>
          <w:szCs w:val="21"/>
          <w:highlight w:val="none"/>
          <w:lang w:val="en-US" w:eastAsia="zh-CN"/>
        </w:rPr>
        <w:t xml:space="preserve">.</w:t>
      </w:r>
      <w:r>
        <w:rPr>
          <w:rFonts w:hint="eastAsia" w:ascii="宋体" w:hAnsi="宋体" w:cs="宋体"/>
          <w:b/>
          <w:bCs/>
          <w:color w:val="auto"/>
          <w:szCs w:val="21"/>
          <w:highlight w:val="none"/>
        </w:rPr>
        <w:t xml:space="preserve">关于符合本国产品标准的声明函（招标编号：）</w:t>
      </w:r>
      <w:r/>
    </w:p>
    <w:p>
      <w:pPr>
        <w:pStyle w:val="675"/>
        <w:ind w:firstLine="420"/>
        <w:spacing w:beforeAutospacing="0" w:afterAutospacing="0" w:line="0" w:lineRule="atLeast"/>
        <w:rPr>
          <w:rFonts w:ascii="宋体" w:hAnsi="宋体" w:cs="宋体"/>
          <w:color w:val="auto"/>
          <w:sz w:val="21"/>
          <w:szCs w:val="21"/>
          <w:highlight w:val="none"/>
        </w:rPr>
      </w:pPr>
      <w:r>
        <w:rPr>
          <w:rFonts w:ascii="宋体" w:hAnsi="宋体" w:cs="宋体"/>
          <w:color w:val="auto"/>
          <w:sz w:val="21"/>
          <w:szCs w:val="21"/>
          <w:highlight w:val="none"/>
        </w:rPr>
      </w:r>
      <w:r/>
    </w:p>
    <w:p>
      <w:pPr>
        <w:pStyle w:val="675"/>
        <w:ind w:firstLine="420"/>
        <w:jc w:val="center"/>
        <w:spacing w:beforeAutospacing="0" w:afterAutospacing="0" w:line="0" w:lineRule="atLeast"/>
        <w:rPr>
          <w:rFonts w:ascii="宋体" w:hAnsi="宋体" w:cs="宋体"/>
          <w:b/>
          <w:color w:val="auto"/>
          <w:sz w:val="21"/>
          <w:szCs w:val="21"/>
          <w:highlight w:val="none"/>
        </w:rPr>
      </w:pPr>
      <w:r>
        <w:rPr>
          <w:rFonts w:hint="eastAsia" w:ascii="宋体" w:hAnsi="宋体" w:cs="宋体"/>
          <w:b/>
          <w:color w:val="auto"/>
          <w:sz w:val="21"/>
          <w:szCs w:val="21"/>
          <w:highlight w:val="none"/>
        </w:rPr>
        <w:t xml:space="preserve">关于符合本国产品标准的声明函</w:t>
      </w:r>
      <w:r/>
    </w:p>
    <w:p>
      <w:pPr>
        <w:pStyle w:val="675"/>
        <w:ind w:firstLine="420"/>
        <w:jc w:val="center"/>
        <w:spacing w:beforeAutospacing="0" w:afterAutospacing="0" w:line="0" w:lineRule="atLeast"/>
        <w:rPr>
          <w:rFonts w:ascii="宋体" w:hAnsi="宋体" w:cs="宋体"/>
          <w:b/>
          <w:color w:val="auto"/>
          <w:sz w:val="21"/>
          <w:szCs w:val="21"/>
          <w:highlight w:val="none"/>
        </w:rPr>
      </w:pPr>
      <w:r>
        <w:rPr>
          <w:rFonts w:ascii="宋体" w:hAnsi="宋体" w:cs="宋体"/>
          <w:b/>
          <w:color w:val="auto"/>
          <w:sz w:val="21"/>
          <w:szCs w:val="21"/>
          <w:highlight w:val="none"/>
        </w:rPr>
      </w:r>
      <w:r/>
    </w:p>
    <w:p>
      <w:pPr>
        <w:pStyle w:val="675"/>
        <w:ind w:firstLine="420"/>
        <w:spacing w:beforeAutospacing="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提供的以下产品属于本国产品。具体情况如下：</w:t>
      </w:r>
      <w:r/>
    </w:p>
    <w:p>
      <w:pPr>
        <w:pStyle w:val="675"/>
        <w:ind w:firstLine="420"/>
        <w:spacing w:before="30" w:beforeAutospacing="0" w:after="30" w:afterAutospacing="0" w:line="0" w:lineRule="atLeast"/>
        <w:rPr>
          <w:rFonts w:ascii="宋体" w:hAnsi="宋体" w:cs="宋体"/>
          <w:color w:val="auto"/>
          <w:sz w:val="21"/>
          <w:szCs w:val="21"/>
          <w:highlight w:val="none"/>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527050</wp:posOffset>
                </wp:positionH>
                <wp:positionV relativeFrom="paragraph">
                  <wp:posOffset>398145</wp:posOffset>
                </wp:positionV>
                <wp:extent cx="840740" cy="130810"/>
                <wp:effectExtent l="635" t="4445" r="15875" b="17145"/>
                <wp:wrapNone/>
                <wp:docPr id="2" name="任意多边形 8"/>
                <wp:cNvGraphicFramePr/>
                <a:graphic xmlns:a="http://schemas.openxmlformats.org/drawingml/2006/main">
                  <a:graphicData uri="http://schemas.microsoft.com/office/word/2010/wordprocessingShape">
                    <wps:wsp>
                      <wps:cNvPr id="0" name=""/>
                      <wps:cNvSpPr/>
                      <wps:spPr bwMode="auto">
                        <a:xfrm flipV="1">
                          <a:off x="0" y="0"/>
                          <a:ext cx="840740"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8480;o:allowoverlap:true;o:allowincell:true;mso-position-horizontal-relative:text;margin-left:41.5pt;mso-position-horizontal:absolute;mso-position-vertical-relative:text;margin-top:31.3pt;mso-position-vertical:absolute;width:66.2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3" name="任意多边形 9"/>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4"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5"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6" name="任意多边形 12"/>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7" name="任意多边形 13"/>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auto"/>
          <w:sz w:val="21"/>
          <w:szCs w:val="21"/>
          <w:highlight w:val="none"/>
          <w:shd w:val="clear" w:color="auto" w:fill="ffffff"/>
        </w:rPr>
        <w:t xml:space="preserve">1.</w:t>
      </w:r>
      <w:r>
        <w:rPr>
          <w:rStyle w:val="683"/>
          <w:rFonts w:hint="eastAsia" w:ascii="宋体" w:hAnsi="宋体" w:cs="宋体"/>
          <w:i w:val="0"/>
          <w:color w:val="auto"/>
          <w:sz w:val="21"/>
          <w:szCs w:val="21"/>
          <w:highlight w:val="none"/>
          <w:u w:val="single"/>
          <w:shd w:val="clear" w:color="auto" w:fill="ffffff"/>
        </w:rPr>
        <w:t xml:space="preserve">（产品名称1）</w:t>
      </w:r>
      <w:r>
        <w:rPr>
          <w:rStyle w:val="683"/>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683"/>
          <w:rFonts w:hint="eastAsia" w:ascii="宋体" w:hAnsi="宋体" w:cs="宋体"/>
          <w:i w:val="0"/>
          <w:color w:val="auto"/>
          <w:sz w:val="21"/>
          <w:szCs w:val="21"/>
          <w:highlight w:val="none"/>
          <w:u w:val="single"/>
          <w:shd w:val="clear" w:color="auto" w:fill="ffffff"/>
        </w:rPr>
        <w:t xml:space="preserve">（厂名）</w:t>
      </w:r>
      <w:r>
        <w:rPr>
          <w:rStyle w:val="683"/>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683"/>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683"/>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683"/>
          <w:rFonts w:hint="eastAsia" w:ascii="宋体" w:hAnsi="宋体" w:cs="宋体"/>
          <w:i w:val="0"/>
          <w:color w:val="auto"/>
          <w:sz w:val="21"/>
          <w:szCs w:val="21"/>
          <w:highlight w:val="none"/>
          <w:u w:val="single"/>
          <w:shd w:val="clear" w:color="auto" w:fill="ffffff"/>
        </w:rPr>
        <w:t xml:space="preserve">（规定比例）</w:t>
      </w:r>
      <w:r>
        <w:rPr>
          <w:rStyle w:val="683"/>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68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683"/>
          <w:rFonts w:hint="eastAsia" w:ascii="宋体" w:hAnsi="宋体" w:cs="宋体"/>
          <w:i w:val="0"/>
          <w:color w:val="auto"/>
          <w:sz w:val="21"/>
          <w:szCs w:val="21"/>
          <w:highlight w:val="none"/>
          <w:u w:val="single"/>
          <w:shd w:val="clear" w:color="auto" w:fill="ffffff"/>
        </w:rPr>
        <w:t xml:space="preserve">（关键组件）</w:t>
      </w:r>
      <w:r>
        <w:rPr>
          <w:rStyle w:val="683"/>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68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683"/>
          <w:rFonts w:hint="eastAsia" w:ascii="宋体" w:hAnsi="宋体" w:cs="宋体"/>
          <w:i w:val="0"/>
          <w:color w:val="auto"/>
          <w:sz w:val="21"/>
          <w:szCs w:val="21"/>
          <w:highlight w:val="none"/>
          <w:u w:val="single"/>
          <w:shd w:val="clear" w:color="auto" w:fill="ffffff"/>
        </w:rPr>
        <w:t xml:space="preserve">（关键工序）</w:t>
      </w:r>
      <w:r>
        <w:rPr>
          <w:rStyle w:val="683"/>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675"/>
        <w:ind w:firstLine="420"/>
        <w:spacing w:before="30" w:beforeAutospacing="0" w:after="30" w:afterAutospacing="0" w:line="0" w:lineRule="atLeast"/>
        <w:rPr>
          <w:rFonts w:ascii="宋体" w:hAnsi="宋体" w:cs="宋体"/>
          <w:color w:val="auto"/>
          <w:sz w:val="21"/>
          <w:szCs w:val="21"/>
          <w:highlight w:val="none"/>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8"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280670</wp:posOffset>
                </wp:positionH>
                <wp:positionV relativeFrom="paragraph">
                  <wp:posOffset>404495</wp:posOffset>
                </wp:positionV>
                <wp:extent cx="815340" cy="143510"/>
                <wp:effectExtent l="635" t="4445" r="3175" b="23495"/>
                <wp:wrapNone/>
                <wp:docPr id="9" name="任意多边形 15"/>
                <wp:cNvGraphicFramePr/>
                <a:graphic xmlns:a="http://schemas.openxmlformats.org/drawingml/2006/main">
                  <a:graphicData uri="http://schemas.microsoft.com/office/word/2010/wordprocessingShape">
                    <wps:wsp>
                      <wps:cNvPr id="0" name=""/>
                      <wps:cNvSpPr/>
                      <wps:spPr bwMode="auto">
                        <a:xfrm flipV="1">
                          <a:off x="0" y="0"/>
                          <a:ext cx="815340" cy="1435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2.1pt;mso-position-horizontal:absolute;mso-position-vertical-relative:text;margin-top:31.8pt;mso-position-vertical:absolute;width:64.2pt;height:11.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0"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1"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2"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3" name="任意多边形 1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auto"/>
          <w:sz w:val="21"/>
          <w:szCs w:val="21"/>
          <w:highlight w:val="none"/>
          <w:shd w:val="clear" w:color="auto" w:fill="ffffff"/>
        </w:rPr>
        <w:t xml:space="preserve">2.</w:t>
      </w:r>
      <w:r>
        <w:rPr>
          <w:rStyle w:val="68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683"/>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683"/>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68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683"/>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68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683"/>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68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683"/>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675"/>
        <w:ind w:firstLine="420"/>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675"/>
        <w:ind w:firstLine="420"/>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675"/>
        <w:spacing w:before="30" w:beforeAutospacing="0" w:after="30" w:afterAutospacing="0" w:line="0" w:lineRule="atLeast"/>
        <w:rPr>
          <w:rFonts w:ascii="宋体" w:hAnsi="宋体" w:cs="宋体"/>
          <w:color w:val="auto"/>
          <w:sz w:val="21"/>
          <w:szCs w:val="21"/>
          <w:highlight w:val="none"/>
        </w:rPr>
      </w:pPr>
      <w:r>
        <w:rPr>
          <w:rFonts w:ascii="宋体" w:hAnsi="宋体" w:cs="宋体"/>
          <w:color w:val="auto"/>
          <w:sz w:val="21"/>
          <w:szCs w:val="21"/>
          <w:highlight w:val="none"/>
        </w:rPr>
      </w:r>
      <w:r/>
    </w:p>
    <w:p>
      <w:pPr>
        <w:pStyle w:val="675"/>
        <w:ind w:right="480" w:firstLine="3255"/>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675"/>
        <w:jc w:val="center"/>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                                日期：　   年　  月　  日         </w:t>
      </w:r>
      <w:r/>
    </w:p>
    <w:p>
      <w:pPr>
        <w:pStyle w:val="675"/>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675"/>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675"/>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675"/>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675"/>
        <w:spacing w:before="30" w:beforeAutospacing="0" w:after="30" w:afterAutospacing="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675"/>
        <w:spacing w:before="30" w:beforeAutospacing="0" w:after="30" w:afterAutospacing="0" w:line="0" w:lineRule="atLeast"/>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spacing w:line="360" w:lineRule="auto"/>
        <w:rPr>
          <w:rFonts w:ascii="宋体" w:hAnsi="宋体" w:cs="宋体"/>
          <w:b/>
          <w:bCs/>
          <w:color w:val="auto"/>
          <w:spacing w:val="6"/>
          <w:szCs w:val="21"/>
          <w:highlight w:val="none"/>
        </w:rPr>
      </w:pPr>
      <w:r>
        <w:rPr>
          <w:rFonts w:hint="eastAsia" w:ascii="宋体" w:hAnsi="宋体" w:cs="宋体"/>
          <w:color w:val="auto"/>
          <w:szCs w:val="21"/>
          <w:highlight w:val="none"/>
          <w:shd w:val="clear" w:color="auto" w:fill="ffffff"/>
        </w:rPr>
        <w:t xml:space="preserve">6.用斜线划除的地方无需填写。</w:t>
      </w:r>
      <w:r/>
    </w:p>
    <w:p>
      <w:pPr>
        <w:jc w:val="center"/>
        <w:keepLines w:val="0"/>
        <w:keepNext w:val="0"/>
        <w:pageBreakBefore w:val="0"/>
        <w:spacing w:after="181"/>
        <w:widowControl w:val="off"/>
        <w:rPr>
          <w:rFonts w:hint="eastAsia" w:ascii="宋体" w:hAnsi="宋体" w:cs="宋体"/>
          <w:b/>
          <w:color w:val="auto"/>
          <w:sz w:val="44"/>
          <w:szCs w:val="22"/>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22"/>
          <w:highlight w:val="none"/>
        </w:rPr>
        <w:t xml:space="preserve">第四章 </w:t>
      </w:r>
      <w:bookmarkStart w:id="36" w:name="招标书"/>
      <w:r/>
      <w:bookmarkEnd w:id="36"/>
      <w:r>
        <w:rPr>
          <w:rFonts w:hint="eastAsia" w:ascii="宋体" w:hAnsi="宋体" w:eastAsia="宋体" w:cs="宋体"/>
          <w:b/>
          <w:color w:val="auto"/>
          <w:sz w:val="44"/>
          <w:szCs w:val="22"/>
          <w:highlight w:val="none"/>
        </w:rPr>
        <w:t xml:space="preserve">招标书</w:t>
      </w:r>
      <w:r/>
    </w:p>
    <w:p>
      <w:pPr>
        <w:ind w:firstLine="420"/>
        <w:spacing w:line="400" w:lineRule="exact"/>
        <w:widowControl/>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苏州汇顺项目管理咨询有限公司</w:t>
      </w:r>
      <w:r>
        <w:rPr>
          <w:rFonts w:hint="eastAsia" w:ascii="宋体" w:hAnsi="宋体" w:eastAsia="宋体" w:cs="宋体"/>
          <w:color w:val="auto"/>
          <w:szCs w:val="21"/>
          <w:highlight w:val="none"/>
          <w:u w:val="none"/>
        </w:rPr>
        <w:t xml:space="preserve">受</w:t>
      </w:r>
      <w:r>
        <w:rPr>
          <w:rFonts w:hint="eastAsia" w:ascii="宋体" w:hAnsi="宋体" w:cs="宋体"/>
          <w:color w:val="auto"/>
          <w:szCs w:val="21"/>
          <w:highlight w:val="none"/>
          <w:u w:val="none"/>
          <w:lang w:eastAsia="zh-CN"/>
        </w:rPr>
        <w:t xml:space="preserve">苏州市吴江区盛泽第二中学</w:t>
      </w:r>
      <w:r>
        <w:rPr>
          <w:rFonts w:hint="eastAsia" w:ascii="宋体" w:hAnsi="宋体" w:eastAsia="宋体" w:cs="宋体"/>
          <w:color w:val="auto"/>
          <w:szCs w:val="21"/>
          <w:highlight w:val="none"/>
          <w:u w:val="none"/>
        </w:rPr>
        <w:t xml:space="preserve">的委托，就</w:t>
      </w:r>
      <w:r>
        <w:rPr>
          <w:rFonts w:hint="eastAsia" w:ascii="宋体" w:hAnsi="宋体" w:cs="宋体"/>
          <w:color w:val="auto"/>
          <w:szCs w:val="21"/>
          <w:highlight w:val="none"/>
          <w:u w:val="none"/>
          <w:lang w:eastAsia="zh-CN"/>
        </w:rPr>
        <w:t xml:space="preserve">盛泽二中塑胶跑道面层项目</w:t>
      </w:r>
      <w:r>
        <w:rPr>
          <w:rFonts w:hint="eastAsia" w:ascii="宋体" w:hAnsi="宋体" w:eastAsia="宋体" w:cs="宋体"/>
          <w:color w:val="auto"/>
          <w:szCs w:val="21"/>
          <w:highlight w:val="none"/>
        </w:rPr>
        <w:t xml:space="preserve">进行公开招标，现欢迎符合相关条件的供应商参加投标。</w:t>
      </w:r>
      <w:r/>
    </w:p>
    <w:p>
      <w:pPr>
        <w:spacing w:line="400" w:lineRule="exact"/>
        <w:widowControl/>
        <w:tabs>
          <w:tab w:val="left" w:pos="0" w:leader="none"/>
        </w:tabs>
        <w:rPr>
          <w:rFonts w:hint="eastAsia" w:ascii="宋体" w:hAnsi="宋体" w:cs="宋体"/>
          <w:color w:val="auto"/>
          <w:szCs w:val="21"/>
          <w:highlight w:val="none"/>
        </w:rPr>
      </w:pPr>
      <w:r>
        <w:rPr>
          <w:rFonts w:hint="eastAsia" w:ascii="宋体" w:hAnsi="宋体" w:eastAsia="宋体" w:cs="宋体"/>
          <w:b/>
          <w:bCs/>
          <w:color w:val="auto"/>
          <w:szCs w:val="21"/>
          <w:highlight w:val="none"/>
        </w:rPr>
        <w:t xml:space="preserve">一、项目编号：</w:t>
      </w:r>
      <w:r>
        <w:rPr>
          <w:rFonts w:hint="eastAsia" w:ascii="宋体" w:hAnsi="宋体" w:cs="宋体"/>
          <w:color w:val="auto"/>
          <w:szCs w:val="21"/>
          <w:highlight w:val="none"/>
          <w:lang w:eastAsia="zh-CN"/>
        </w:rPr>
        <w:t xml:space="preserve">JSZC-320509-SZHS-G2026-0006</w:t>
      </w:r>
      <w:r/>
    </w:p>
    <w:p>
      <w:pPr>
        <w:spacing w:line="400" w:lineRule="exac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二、项目名称：</w:t>
      </w:r>
      <w:r>
        <w:rPr>
          <w:rFonts w:hint="eastAsia" w:ascii="宋体" w:hAnsi="宋体" w:eastAsia="宋体" w:cs="宋体"/>
          <w:color w:val="auto"/>
          <w:sz w:val="21"/>
          <w:szCs w:val="21"/>
          <w:highlight w:val="none"/>
          <w:lang w:eastAsia="zh-CN"/>
        </w:rPr>
        <w:t xml:space="preserve">盛泽二中塑胶跑道面层项目</w:t>
      </w:r>
      <w:r/>
    </w:p>
    <w:p>
      <w:pPr>
        <w:spacing w:line="400" w:lineRule="exac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三、项目预算：</w:t>
      </w:r>
      <w:r>
        <w:rPr>
          <w:rFonts w:hint="eastAsia" w:ascii="宋体" w:hAnsi="宋体" w:eastAsia="宋体" w:cs="宋体"/>
          <w:color w:val="auto"/>
          <w:sz w:val="21"/>
          <w:szCs w:val="21"/>
          <w:highlight w:val="none"/>
          <w:lang w:eastAsia="zh-CN"/>
        </w:rPr>
        <w:t xml:space="preserve">人民币贰佰捌拾伍万柒仟陆佰元整（¥：2857600.00）</w:t>
      </w:r>
      <w:r/>
    </w:p>
    <w:p>
      <w:pPr>
        <w:spacing w:line="400" w:lineRule="exact"/>
        <w:widowControl/>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四、项目</w:t>
      </w:r>
      <w:r>
        <w:rPr>
          <w:rFonts w:hint="eastAsia" w:ascii="宋体" w:hAnsi="宋体" w:eastAsia="宋体" w:cs="宋体"/>
          <w:b/>
          <w:bCs/>
          <w:color w:val="auto"/>
          <w:sz w:val="21"/>
          <w:szCs w:val="21"/>
          <w:highlight w:val="none"/>
          <w:lang w:val="en-US" w:eastAsia="zh-CN"/>
        </w:rPr>
        <w:t xml:space="preserve">需求</w:t>
      </w:r>
      <w:r>
        <w:rPr>
          <w:rFonts w:hint="eastAsia" w:ascii="宋体" w:hAnsi="宋体" w:eastAsia="宋体" w:cs="宋体"/>
          <w:b/>
          <w:bCs/>
          <w:color w:val="auto"/>
          <w:sz w:val="21"/>
          <w:szCs w:val="21"/>
          <w:highlight w:val="none"/>
        </w:rPr>
        <w:t xml:space="preserve">：</w:t>
      </w:r>
      <w:r/>
    </w:p>
    <w:p>
      <w:pPr>
        <w:pStyle w:val="687"/>
        <w:ind w:left="0" w:firstLine="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清单内容：</w:t>
      </w:r>
      <w:r/>
    </w:p>
    <w:tbl>
      <w:tblPr>
        <w:tblStyle w:val="650"/>
        <w:tblW w:w="91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3"/>
        <w:gridCol w:w="1954"/>
        <w:gridCol w:w="3393"/>
        <w:gridCol w:w="592"/>
        <w:gridCol w:w="1290"/>
        <w:gridCol w:w="129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备注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原运动场塑胶面层拆除</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塑胶面层拆除工作，含场内运输、旧料清理成堆，扬尘处理。</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9456.3</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原运动场塑胶面层清运弃置</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塑胶面层清运弃置工作，扬尘处理，含无公害处理。</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9456.3</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铣刨</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891"/>
                <w:rFonts w:hint="eastAsia" w:ascii="宋体" w:hAnsi="宋体" w:eastAsia="宋体" w:cs="宋体"/>
                <w:color w:val="auto"/>
                <w:sz w:val="21"/>
                <w:szCs w:val="21"/>
                <w:highlight w:val="none"/>
                <w:lang w:val="en-US" w:eastAsia="zh-CN" w:bidi="ar"/>
              </w:rPr>
              <w:t xml:space="preserve">原场地基础局部因沉降不均落差大区域进行铣刨，铣刨</w:t>
            </w:r>
            <w:r>
              <w:rPr>
                <w:rStyle w:val="892"/>
                <w:rFonts w:hint="eastAsia" w:ascii="宋体" w:hAnsi="宋体" w:eastAsia="宋体" w:cs="宋体"/>
                <w:color w:val="auto"/>
                <w:sz w:val="21"/>
                <w:szCs w:val="21"/>
                <w:highlight w:val="none"/>
                <w:lang w:val="en-US" w:eastAsia="zh-CN" w:bidi="ar"/>
              </w:rPr>
              <w:t xml:space="preserve">废料弃置，含无公害处理，扬尘处理，运距自</w:t>
            </w:r>
            <w:r>
              <w:rPr>
                <w:rStyle w:val="891"/>
                <w:rFonts w:hint="eastAsia" w:ascii="宋体" w:hAnsi="宋体" w:eastAsia="宋体" w:cs="宋体"/>
                <w:color w:val="auto"/>
                <w:sz w:val="21"/>
                <w:szCs w:val="21"/>
                <w:highlight w:val="none"/>
                <w:lang w:val="en-US" w:eastAsia="zh-CN" w:bidi="ar"/>
              </w:rPr>
              <w:t xml:space="preserve">行考虑。</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原场地底胶打磨</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891"/>
                <w:rFonts w:hint="eastAsia" w:ascii="宋体" w:hAnsi="宋体" w:eastAsia="宋体" w:cs="宋体"/>
                <w:color w:val="auto"/>
                <w:sz w:val="21"/>
                <w:szCs w:val="21"/>
                <w:highlight w:val="none"/>
                <w:lang w:val="en-US" w:eastAsia="zh-CN" w:bidi="ar"/>
              </w:rPr>
              <w:t xml:space="preserve">原场地底胶打磨工作，</w:t>
            </w:r>
            <w:r>
              <w:rPr>
                <w:rStyle w:val="892"/>
                <w:rFonts w:hint="eastAsia" w:ascii="宋体" w:hAnsi="宋体" w:eastAsia="宋体" w:cs="宋体"/>
                <w:color w:val="auto"/>
                <w:sz w:val="21"/>
                <w:szCs w:val="21"/>
                <w:highlight w:val="none"/>
                <w:lang w:val="en-US" w:eastAsia="zh-CN" w:bidi="ar"/>
              </w:rPr>
              <w:t xml:space="preserve">废料弃置，扬尘处理，含无公害处理，</w:t>
            </w:r>
            <w:r>
              <w:rPr>
                <w:rStyle w:val="891"/>
                <w:rFonts w:hint="eastAsia" w:ascii="宋体" w:hAnsi="宋体" w:eastAsia="宋体" w:cs="宋体"/>
                <w:color w:val="auto"/>
                <w:sz w:val="21"/>
                <w:szCs w:val="21"/>
                <w:highlight w:val="none"/>
                <w:lang w:val="en-US" w:eastAsia="zh-CN" w:bidi="ar"/>
              </w:rPr>
              <w:t xml:space="preserve">运距自行考虑；底漆封闭处理。</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9456.3</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内环排水沟</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内环排水沟清淤、冲洗工作，废弃物外弃，含无公害处理，运距自行考虑；损坏修复；盖板清除原有塑胶后重新安装；扬尘处理。</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排水沟盖板</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盖板损坏的重新更换。</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原场地基层找平、砼伸缩缝精处理</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原场地清扫、冲洗；原塑胶跑道基层修补采用混合料找平,找平厚度平均1.5~2mm,所有伸缩缝清缝后采用混合料填补找平；所有材料符合国标GB36246-2018相关要求。</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9456.30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bCs/>
                <w:color w:val="auto"/>
                <w:szCs w:val="21"/>
                <w:highlight w:val="none"/>
              </w:rPr>
              <w:t xml:space="preserve">13mm</w:t>
            </w:r>
            <w:r>
              <w:rPr>
                <w:rFonts w:hint="eastAsia" w:ascii="宋体" w:hAnsi="宋体" w:cs="宋体"/>
                <w:bCs/>
                <w:color w:val="auto"/>
                <w:szCs w:val="21"/>
                <w:highlight w:val="none"/>
                <w:lang w:val="en-US" w:eastAsia="zh-CN"/>
              </w:rPr>
              <w:t xml:space="preserve">厚</w:t>
            </w:r>
            <w:r>
              <w:rPr>
                <w:rFonts w:hint="eastAsia" w:ascii="宋体" w:hAnsi="宋体" w:cs="宋体"/>
                <w:bCs/>
                <w:color w:val="auto"/>
                <w:szCs w:val="21"/>
                <w:highlight w:val="none"/>
              </w:rPr>
              <w:t xml:space="preserve">混合型喷颗粒塑胶跑道</w:t>
            </w:r>
            <w:r>
              <w:rPr>
                <w:rFonts w:hint="eastAsia" w:ascii="宋体" w:hAnsi="宋体" w:cs="宋体"/>
                <w:color w:val="auto"/>
                <w:sz w:val="22"/>
                <w:szCs w:val="22"/>
                <w:highlight w:val="none"/>
              </w:rPr>
              <w:t xml:space="preserve">（跑道区域）</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所有材料符合国标GB36246-2018相关要求。</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9233.30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mm</w:t>
            </w:r>
            <w:r>
              <w:rPr>
                <w:rFonts w:hint="eastAsia" w:ascii="宋体" w:hAnsi="宋体" w:cs="宋体"/>
                <w:bCs/>
                <w:color w:val="auto"/>
                <w:szCs w:val="21"/>
                <w:highlight w:val="none"/>
                <w:lang w:val="en-US" w:eastAsia="zh-CN"/>
              </w:rPr>
              <w:t xml:space="preserve">厚</w:t>
            </w:r>
            <w:r>
              <w:rPr>
                <w:rFonts w:hint="eastAsia" w:ascii="宋体" w:hAnsi="宋体" w:cs="宋体"/>
                <w:bCs/>
                <w:color w:val="auto"/>
                <w:szCs w:val="21"/>
                <w:highlight w:val="none"/>
              </w:rPr>
              <w:t xml:space="preserve">混合型喷颗粒塑胶跑道</w:t>
            </w:r>
            <w:r>
              <w:rPr>
                <w:rFonts w:hint="eastAsia" w:ascii="宋体" w:hAnsi="宋体" w:cs="宋体"/>
                <w:color w:val="auto"/>
                <w:szCs w:val="21"/>
                <w:highlight w:val="none"/>
              </w:rPr>
              <w:t xml:space="preserve">（跳远助跑区域）</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所有材料符合国标GB36246-2018相关要求。</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Cs w:val="21"/>
                <w:highlight w:val="none"/>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场地划线</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场地划线符合规范要求，线宽为：5cm。</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5884</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893"/>
                <w:rFonts w:hint="eastAsia" w:ascii="宋体" w:hAnsi="宋体" w:eastAsia="宋体" w:cs="宋体"/>
                <w:color w:val="auto"/>
                <w:sz w:val="21"/>
                <w:szCs w:val="21"/>
                <w:highlight w:val="none"/>
                <w:lang w:val="en-US" w:eastAsia="zh-CN" w:bidi="ar"/>
              </w:rPr>
              <w:t xml:space="preserve">作业</w:t>
            </w:r>
            <w:r>
              <w:rPr>
                <w:rStyle w:val="892"/>
                <w:rFonts w:hint="eastAsia" w:ascii="宋体" w:hAnsi="宋体" w:eastAsia="宋体" w:cs="宋体"/>
                <w:color w:val="auto"/>
                <w:sz w:val="21"/>
                <w:szCs w:val="21"/>
                <w:highlight w:val="none"/>
                <w:lang w:val="en-US" w:eastAsia="zh-CN" w:bidi="ar"/>
              </w:rPr>
              <w:t xml:space="preserve">区域对原有的足球场及周边绿化成品保护。</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pStyle w:val="869"/>
        <w:ind w:firstLine="422"/>
        <w:jc w:val="left"/>
        <w:keepLines w:val="0"/>
        <w:keepNext w:val="0"/>
        <w:pageBreakBefore w:val="0"/>
        <w:spacing w:before="181"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注：本项目核心产品为：13mm</w:t>
      </w:r>
      <w:r>
        <w:rPr>
          <w:rFonts w:hint="eastAsia" w:hAnsi="宋体" w:eastAsia="宋体" w:cs="宋体"/>
          <w:b/>
          <w:bCs/>
          <w:color w:val="auto"/>
          <w:sz w:val="21"/>
          <w:szCs w:val="21"/>
          <w:highlight w:val="none"/>
          <w:lang w:val="en-US" w:eastAsia="zh-CN"/>
        </w:rPr>
        <w:t xml:space="preserve">厚</w:t>
      </w:r>
      <w:r>
        <w:rPr>
          <w:rFonts w:hint="eastAsia" w:ascii="宋体" w:hAnsi="宋体" w:eastAsia="宋体" w:cs="宋体"/>
          <w:b/>
          <w:bCs/>
          <w:color w:val="auto"/>
          <w:sz w:val="21"/>
          <w:szCs w:val="21"/>
          <w:highlight w:val="none"/>
        </w:rPr>
        <w:t xml:space="preserve">/20mm</w:t>
      </w:r>
      <w:r>
        <w:rPr>
          <w:rFonts w:hint="eastAsia" w:hAnsi="宋体" w:eastAsia="宋体" w:cs="宋体"/>
          <w:b/>
          <w:bCs/>
          <w:color w:val="auto"/>
          <w:sz w:val="21"/>
          <w:szCs w:val="21"/>
          <w:highlight w:val="none"/>
          <w:lang w:val="en-US" w:eastAsia="zh-CN"/>
        </w:rPr>
        <w:t xml:space="preserve">厚</w:t>
      </w:r>
      <w:r>
        <w:rPr>
          <w:rFonts w:hint="eastAsia" w:ascii="宋体" w:hAnsi="宋体" w:eastAsia="宋体" w:cs="宋体"/>
          <w:b/>
          <w:bCs/>
          <w:color w:val="auto"/>
          <w:sz w:val="21"/>
          <w:szCs w:val="21"/>
          <w:highlight w:val="none"/>
        </w:rPr>
        <w:t xml:space="preserve">混合型喷颗粒塑胶跑道</w:t>
      </w:r>
      <w:r>
        <w:rPr>
          <w:rFonts w:hint="eastAsia" w:ascii="宋体" w:hAnsi="宋体" w:eastAsia="宋体" w:cs="宋体"/>
          <w:b/>
          <w:bCs/>
          <w:color w:val="auto"/>
          <w:sz w:val="21"/>
          <w:szCs w:val="21"/>
          <w:highlight w:val="none"/>
          <w:lang w:val="en-US" w:eastAsia="zh-CN"/>
        </w:rPr>
        <w:t xml:space="preserve">。</w:t>
      </w:r>
      <w:r/>
    </w:p>
    <w:p>
      <w:pPr>
        <w:pStyle w:val="869"/>
        <w:numPr>
          <w:ilvl w:val="0"/>
          <w:numId w:val="0"/>
        </w:numPr>
        <w:keepLines w:val="0"/>
        <w:keepNext w:val="0"/>
        <w:pageBreakBefore w:val="0"/>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技术参数</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13mm</w:t>
      </w:r>
      <w:r>
        <w:rPr>
          <w:rFonts w:hint="eastAsia" w:ascii="宋体" w:hAnsi="宋体" w:cs="宋体"/>
          <w:bCs/>
          <w:color w:val="auto"/>
          <w:szCs w:val="21"/>
          <w:highlight w:val="none"/>
          <w:lang w:val="en-US" w:eastAsia="zh-CN"/>
        </w:rPr>
        <w:t xml:space="preserve">厚</w:t>
      </w:r>
      <w:r>
        <w:rPr>
          <w:rFonts w:hint="eastAsia" w:ascii="宋体" w:hAnsi="宋体" w:cs="宋体"/>
          <w:bCs/>
          <w:color w:val="auto"/>
          <w:szCs w:val="21"/>
          <w:highlight w:val="none"/>
        </w:rPr>
        <w:t xml:space="preserve">混合型喷颗粒塑胶跑道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1.1工艺基本要求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1.1.1产品结构：混合型喷颗粒塑胶跑道呈平整密实型结构</w:t>
      </w:r>
      <w:r>
        <w:rPr>
          <w:rFonts w:hint="eastAsia" w:ascii="宋体" w:hAnsi="宋体" w:cs="宋体"/>
          <w:color w:val="auto"/>
          <w:szCs w:val="21"/>
          <w:highlight w:val="none"/>
        </w:rPr>
        <w:t xml:space="preserve">。</w:t>
      </w:r>
      <w:r/>
    </w:p>
    <w:p>
      <w:pPr>
        <w:ind w:firstLine="415"/>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1.2性能参数基本要求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1.2.1物理及耐老化性能：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铺设成品须符合国标GB36246-2018，其指标如下：</w:t>
      </w:r>
      <w:r/>
    </w:p>
    <w:tbl>
      <w:tblPr>
        <w:tblStyle w:val="650"/>
        <w:tblW w:w="8436" w:type="dxa"/>
        <w:tblInd w:w="4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25"/>
        <w:gridCol w:w="1115"/>
        <w:gridCol w:w="2163"/>
        <w:gridCol w:w="2423"/>
        <w:gridCol w:w="1710"/>
      </w:tblGrid>
      <w:tr>
        <w:trPr>
          <w:trHeight w:val="389"/>
        </w:trPr>
        <w:tc>
          <w:tcPr>
            <w:gridSpan w:val="3"/>
            <w:tcBorders>
              <w:right w:val="single" w:color="000000" w:sz="4" w:space="0"/>
            </w:tcBorders>
            <w:tcW w:w="4303" w:type="dxa"/>
            <w:vAlign w:val="center"/>
            <w:textDirection w:val="lrTb"/>
            <w:noWrap w:val="false"/>
          </w:tcPr>
          <w:p>
            <w:pPr>
              <w:pStyle w:val="890"/>
              <w:jc w:val="center"/>
              <w:tabs>
                <w:tab w:val="left" w:pos="564"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检验</w:t>
            </w:r>
            <w:r>
              <w:rPr>
                <w:rFonts w:hint="eastAsia" w:ascii="宋体" w:hAnsi="宋体" w:cs="宋体"/>
                <w:color w:val="auto"/>
                <w:sz w:val="21"/>
                <w:szCs w:val="21"/>
                <w:highlight w:val="none"/>
              </w:rPr>
              <w:t xml:space="preserve">项目</w:t>
            </w:r>
            <w:r/>
          </w:p>
        </w:tc>
        <w:tc>
          <w:tcPr>
            <w:tcBorders>
              <w:left w:val="single" w:color="000000" w:sz="4" w:space="0"/>
            </w:tcBorders>
            <w:tcW w:w="2423" w:type="dxa"/>
            <w:vAlign w:val="center"/>
            <w:textDirection w:val="lrTb"/>
            <w:noWrap w:val="false"/>
          </w:tcPr>
          <w:p>
            <w:pPr>
              <w:pStyle w:val="890"/>
              <w:jc w:val="center"/>
              <w:tabs>
                <w:tab w:val="left" w:pos="485"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指标要求</w:t>
            </w:r>
            <w:r/>
          </w:p>
        </w:tc>
        <w:tc>
          <w:tcPr>
            <w:tcBorders>
              <w:left w:val="single" w:color="000000" w:sz="4" w:space="0"/>
            </w:tcBorders>
            <w:tcW w:w="1710" w:type="dxa"/>
            <w:vAlign w:val="center"/>
            <w:textDirection w:val="lrTb"/>
            <w:noWrap w:val="false"/>
          </w:tcPr>
          <w:p>
            <w:pPr>
              <w:pStyle w:val="890"/>
              <w:jc w:val="center"/>
              <w:tabs>
                <w:tab w:val="left" w:pos="485"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备 注</w:t>
            </w:r>
            <w:r/>
          </w:p>
        </w:tc>
      </w:tr>
      <w:tr>
        <w:trPr>
          <w:trHeight w:val="425"/>
        </w:trPr>
        <w:tc>
          <w:tcPr>
            <w:gridSpan w:val="2"/>
            <w:tcBorders>
              <w:right w:val="single" w:color="000000" w:sz="4" w:space="0"/>
            </w:tcBorders>
            <w:tcW w:w="2140" w:type="dxa"/>
            <w:vAlign w:val="center"/>
            <w:vMerge w:val="restart"/>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冲击吸收/（%）</w:t>
            </w:r>
            <w:r/>
          </w:p>
        </w:tc>
        <w:tc>
          <w:tcPr>
            <w:tcBorders>
              <w:left w:val="single" w:color="000000" w:sz="4" w:space="0"/>
              <w:right w:val="single" w:color="000000" w:sz="4" w:space="0"/>
            </w:tcBorders>
            <w:tcW w:w="2163" w:type="dxa"/>
            <w:vAlign w:val="center"/>
            <w:textDirection w:val="lrTb"/>
            <w:noWrap w:val="false"/>
          </w:tcPr>
          <w:p>
            <w:pPr>
              <w:pStyle w:val="890"/>
              <w:ind w:left="649" w:right="628"/>
              <w:rPr>
                <w:rFonts w:ascii="宋体" w:hAnsi="宋体" w:cs="宋体"/>
                <w:color w:val="auto"/>
                <w:sz w:val="21"/>
                <w:szCs w:val="21"/>
                <w:highlight w:val="none"/>
              </w:rPr>
            </w:pPr>
            <w:r>
              <w:rPr>
                <w:rFonts w:hint="eastAsia" w:ascii="宋体" w:hAnsi="宋体" w:cs="宋体"/>
                <w:color w:val="auto"/>
                <w:sz w:val="21"/>
                <w:szCs w:val="21"/>
                <w:highlight w:val="none"/>
              </w:rPr>
              <w:t xml:space="preserve">0±2℃</w:t>
            </w:r>
            <w:r/>
          </w:p>
        </w:tc>
        <w:tc>
          <w:tcPr>
            <w:tcBorders>
              <w:left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35~50</w:t>
            </w:r>
            <w:r/>
          </w:p>
        </w:tc>
        <w:tc>
          <w:tcPr>
            <w:tcBorders>
              <w:left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77"/>
        </w:trPr>
        <w:tc>
          <w:tcPr>
            <w:gridSpan w:val="2"/>
            <w:tcBorders>
              <w:right w:val="single" w:color="000000" w:sz="4" w:space="0"/>
            </w:tcBorders>
            <w:tcW w:w="2140" w:type="dxa"/>
            <w:vAlign w:val="center"/>
            <w:vMerge w:val="continue"/>
            <w:textDirection w:val="lrTb"/>
            <w:noWrap w:val="false"/>
          </w:tcPr>
          <w:p>
            <w:pPr>
              <w:pStyle w:val="890"/>
              <w:jc w:val="both"/>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right w:val="single" w:color="000000" w:sz="4" w:space="0"/>
            </w:tcBorders>
            <w:tcW w:w="2163" w:type="dxa"/>
            <w:vAlign w:val="center"/>
            <w:textDirection w:val="lrTb"/>
            <w:noWrap w:val="false"/>
          </w:tcPr>
          <w:p>
            <w:pPr>
              <w:pStyle w:val="890"/>
              <w:ind w:left="649" w:right="628"/>
              <w:rPr>
                <w:rFonts w:ascii="宋体" w:hAnsi="宋体" w:cs="宋体"/>
                <w:color w:val="auto"/>
                <w:sz w:val="21"/>
                <w:szCs w:val="21"/>
                <w:highlight w:val="none"/>
              </w:rPr>
            </w:pPr>
            <w:r>
              <w:rPr>
                <w:rFonts w:hint="eastAsia" w:ascii="宋体" w:hAnsi="宋体" w:cs="宋体"/>
                <w:color w:val="auto"/>
                <w:sz w:val="21"/>
                <w:szCs w:val="21"/>
                <w:highlight w:val="none"/>
              </w:rPr>
              <w:t xml:space="preserve">23±2℃</w:t>
            </w:r>
            <w:r/>
          </w:p>
        </w:tc>
        <w:tc>
          <w:tcPr>
            <w:tcBorders>
              <w:left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35~50</w:t>
            </w:r>
            <w:r/>
          </w:p>
        </w:tc>
        <w:tc>
          <w:tcPr>
            <w:tcBorders>
              <w:left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473"/>
        </w:trPr>
        <w:tc>
          <w:tcPr>
            <w:gridSpan w:val="2"/>
            <w:tcBorders>
              <w:bottom w:val="single" w:color="000000" w:sz="4" w:space="0"/>
              <w:right w:val="single" w:color="000000" w:sz="4" w:space="0"/>
            </w:tcBorders>
            <w:tcW w:w="2140" w:type="dxa"/>
            <w:vMerge w:val="continue"/>
            <w:textDirection w:val="lrTb"/>
            <w:noWrap w:val="false"/>
          </w:tcPr>
          <w:p>
            <w:pPr>
              <w:pStyle w:val="890"/>
              <w:jc w:val="both"/>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right w:val="single" w:color="000000" w:sz="4" w:space="0"/>
            </w:tcBorders>
            <w:tcW w:w="2163" w:type="dxa"/>
            <w:vAlign w:val="center"/>
            <w:textDirection w:val="lrTb"/>
            <w:noWrap w:val="false"/>
          </w:tcPr>
          <w:p>
            <w:pPr>
              <w:pStyle w:val="890"/>
              <w:ind w:left="649" w:right="628"/>
              <w:rPr>
                <w:rFonts w:ascii="宋体" w:hAnsi="宋体" w:cs="宋体"/>
                <w:color w:val="auto"/>
                <w:sz w:val="21"/>
                <w:szCs w:val="21"/>
                <w:highlight w:val="none"/>
              </w:rPr>
            </w:pPr>
            <w:r>
              <w:rPr>
                <w:rFonts w:hint="eastAsia" w:ascii="宋体" w:hAnsi="宋体" w:cs="宋体"/>
                <w:color w:val="auto"/>
                <w:sz w:val="21"/>
                <w:szCs w:val="21"/>
                <w:highlight w:val="none"/>
              </w:rPr>
              <w:t xml:space="preserve">50±2℃</w:t>
            </w:r>
            <w:r/>
          </w:p>
        </w:tc>
        <w:tc>
          <w:tcPr>
            <w:tcBorders>
              <w:left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35~50</w:t>
            </w:r>
            <w:r/>
          </w:p>
        </w:tc>
        <w:tc>
          <w:tcPr>
            <w:tcBorders>
              <w:left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75"/>
        </w:trPr>
        <w:tc>
          <w:tcPr>
            <w:gridSpan w:val="3"/>
            <w:tcBorders>
              <w:top w:val="single" w:color="000000" w:sz="4" w:space="0"/>
              <w:bottom w:val="single" w:color="000000" w:sz="4" w:space="0"/>
              <w:right w:val="single" w:color="000000" w:sz="4" w:space="0"/>
            </w:tcBorders>
            <w:tcW w:w="4303" w:type="dxa"/>
            <w:vAlign w:val="center"/>
            <w:textDirection w:val="lrTb"/>
            <w:noWrap w:val="false"/>
          </w:tcPr>
          <w:p>
            <w:pPr>
              <w:pStyle w:val="890"/>
              <w:ind w:left="19"/>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垂直变形/（mm）</w:t>
            </w:r>
            <w:r/>
          </w:p>
        </w:tc>
        <w:tc>
          <w:tcPr>
            <w:tcBorders>
              <w:top w:val="single" w:color="000000" w:sz="4" w:space="0"/>
              <w:left w:val="single" w:color="000000" w:sz="4" w:space="0"/>
              <w:bottom w:val="single" w:color="000000" w:sz="4" w:space="0"/>
            </w:tcBorders>
            <w:tcW w:w="2423" w:type="dxa"/>
            <w:vAlign w:val="center"/>
            <w:textDirection w:val="lrTb"/>
            <w:noWrap w:val="false"/>
          </w:tcPr>
          <w:p>
            <w:pPr>
              <w:pStyle w:val="890"/>
              <w:ind w:left="27"/>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0.6~3.0</w:t>
            </w:r>
            <w:r/>
          </w:p>
        </w:tc>
        <w:tc>
          <w:tcPr>
            <w:tcBorders>
              <w:left w:val="single" w:color="000000" w:sz="4" w:space="0"/>
            </w:tcBorders>
            <w:tcW w:w="1710" w:type="dxa"/>
            <w:vAlign w:val="center"/>
            <w:textDirection w:val="lrTb"/>
            <w:noWrap w:val="false"/>
          </w:tcPr>
          <w:p>
            <w:pPr>
              <w:pStyle w:val="890"/>
              <w:ind w:left="27"/>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416"/>
        </w:trPr>
        <w:tc>
          <w:tcPr>
            <w:gridSpan w:val="3"/>
            <w:tcBorders>
              <w:top w:val="single" w:color="000000" w:sz="4" w:space="0"/>
              <w:right w:val="single" w:color="000000" w:sz="4" w:space="0"/>
            </w:tcBorders>
            <w:tcW w:w="4303" w:type="dxa"/>
            <w:vAlign w:val="center"/>
            <w:textDirection w:val="lrTb"/>
            <w:noWrap w:val="false"/>
          </w:tcPr>
          <w:p>
            <w:pPr>
              <w:pStyle w:val="890"/>
              <w:ind w:right="62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抗滑值/（BPN，20 ℃）</w:t>
            </w:r>
            <w:r/>
          </w:p>
        </w:tc>
        <w:tc>
          <w:tcPr>
            <w:tcBorders>
              <w:top w:val="single" w:color="000000" w:sz="4" w:space="0"/>
              <w:left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≥47（湿测）</w:t>
            </w:r>
            <w:r/>
          </w:p>
        </w:tc>
        <w:tc>
          <w:tcPr>
            <w:tcBorders>
              <w:left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482"/>
        </w:trPr>
        <w:tc>
          <w:tcPr>
            <w:gridSpan w:val="3"/>
            <w:tcBorders>
              <w:top w:val="single" w:color="000000" w:sz="4" w:space="0"/>
              <w:bottom w:val="single" w:color="000000" w:sz="4" w:space="0"/>
              <w:right w:val="single" w:color="000000" w:sz="4" w:space="0"/>
            </w:tcBorders>
            <w:tcW w:w="4303" w:type="dxa"/>
            <w:vAlign w:val="center"/>
            <w:textDirection w:val="lrTb"/>
            <w:noWrap w:val="false"/>
          </w:tcPr>
          <w:p>
            <w:pPr>
              <w:pStyle w:val="890"/>
              <w:ind w:right="62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拉伸强度/（MPa）</w:t>
            </w:r>
            <w:r/>
          </w:p>
        </w:tc>
        <w:tc>
          <w:tcPr>
            <w:tcBorders>
              <w:top w:val="single" w:color="000000" w:sz="4" w:space="0"/>
              <w:left w:val="single" w:color="000000" w:sz="4" w:space="0"/>
            </w:tcBorders>
            <w:tcW w:w="2423" w:type="dxa"/>
            <w:vAlign w:val="center"/>
            <w:textDirection w:val="lrTb"/>
            <w:noWrap w:val="false"/>
          </w:tcPr>
          <w:p>
            <w:pPr>
              <w:pStyle w:val="890"/>
              <w:ind w:left="2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≥0.4</w:t>
            </w:r>
            <w:r/>
          </w:p>
        </w:tc>
        <w:tc>
          <w:tcPr>
            <w:tcBorders>
              <w:left w:val="single" w:color="000000" w:sz="4" w:space="0"/>
            </w:tcBorders>
            <w:tcW w:w="1710" w:type="dxa"/>
            <w:vAlign w:val="center"/>
            <w:textDirection w:val="lrTb"/>
            <w:noWrap w:val="false"/>
          </w:tcPr>
          <w:p>
            <w:pPr>
              <w:pStyle w:val="890"/>
              <w:ind w:left="2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0"/>
        </w:trPr>
        <w:tc>
          <w:tcPr>
            <w:gridSpan w:val="3"/>
            <w:tcBorders>
              <w:top w:val="single" w:color="000000" w:sz="4" w:space="0"/>
              <w:bottom w:val="single" w:color="000000" w:sz="4" w:space="0"/>
              <w:right w:val="single" w:color="000000" w:sz="4" w:space="0"/>
            </w:tcBorders>
            <w:tcW w:w="4303" w:type="dxa"/>
            <w:vAlign w:val="center"/>
            <w:textDirection w:val="lrTb"/>
            <w:noWrap w:val="false"/>
          </w:tcPr>
          <w:p>
            <w:pPr>
              <w:pStyle w:val="890"/>
              <w:ind w:left="21"/>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拉断伸长率/（%）</w:t>
            </w:r>
            <w:r/>
          </w:p>
        </w:tc>
        <w:tc>
          <w:tcPr>
            <w:tcBorders>
              <w:top w:val="single" w:color="000000" w:sz="4" w:space="0"/>
              <w:left w:val="single" w:color="000000" w:sz="4" w:space="0"/>
              <w:bottom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left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18"/>
        </w:trPr>
        <w:tc>
          <w:tcPr>
            <w:gridSpan w:val="3"/>
            <w:tcBorders>
              <w:top w:val="single" w:color="000000" w:sz="4" w:space="0"/>
              <w:bottom w:val="single" w:color="000000" w:sz="4" w:space="0"/>
              <w:right w:val="single" w:color="000000" w:sz="4" w:space="0"/>
            </w:tcBorders>
            <w:tcW w:w="4303" w:type="dxa"/>
            <w:vAlign w:val="center"/>
            <w:textDirection w:val="lrTb"/>
            <w:noWrap w:val="false"/>
          </w:tcPr>
          <w:p>
            <w:pPr>
              <w:pStyle w:val="890"/>
              <w:ind w:left="16"/>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阻燃性能/（级）</w:t>
            </w:r>
            <w:r/>
          </w:p>
        </w:tc>
        <w:tc>
          <w:tcPr>
            <w:tcBorders>
              <w:top w:val="single" w:color="000000" w:sz="4" w:space="0"/>
              <w:left w:val="single" w:color="000000" w:sz="4" w:space="0"/>
              <w:bottom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Ⅰ</w:t>
            </w:r>
            <w:r/>
          </w:p>
        </w:tc>
        <w:tc>
          <w:tcPr>
            <w:tcBorders>
              <w:left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18"/>
        </w:trPr>
        <w:tc>
          <w:tcPr>
            <w:tcBorders>
              <w:top w:val="single" w:color="000000" w:sz="4" w:space="0"/>
              <w:right w:val="single" w:color="000000" w:sz="4" w:space="0"/>
            </w:tcBorders>
            <w:tcW w:w="1025" w:type="dxa"/>
            <w:vAlign w:val="center"/>
            <w:vMerge w:val="restart"/>
            <w:textDirection w:val="lrTb"/>
            <w:noWrap w:val="false"/>
          </w:tcPr>
          <w:p>
            <w:pPr>
              <w:pStyle w:val="890"/>
              <w:ind w:left="16"/>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老化性能</w:t>
            </w:r>
            <w:r/>
          </w:p>
          <w:p>
            <w:pPr>
              <w:pStyle w:val="890"/>
              <w:ind w:left="16"/>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500小时</w:t>
            </w:r>
            <w:r/>
          </w:p>
        </w:tc>
        <w:tc>
          <w:tcPr>
            <w:gridSpan w:val="2"/>
            <w:tcBorders>
              <w:top w:val="single" w:color="000000" w:sz="4" w:space="0"/>
              <w:bottom w:val="single" w:color="000000" w:sz="4" w:space="0"/>
              <w:right w:val="single" w:color="000000" w:sz="4" w:space="0"/>
            </w:tcBorders>
            <w:tcW w:w="3278" w:type="dxa"/>
            <w:vAlign w:val="center"/>
            <w:textDirection w:val="lrTb"/>
            <w:noWrap w:val="false"/>
          </w:tcPr>
          <w:p>
            <w:pPr>
              <w:pStyle w:val="890"/>
              <w:ind w:right="62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拉伸强度/（MPa）</w:t>
            </w:r>
            <w:r/>
          </w:p>
        </w:tc>
        <w:tc>
          <w:tcPr>
            <w:tcBorders>
              <w:top w:val="single" w:color="000000" w:sz="4" w:space="0"/>
              <w:left w:val="single" w:color="000000" w:sz="4" w:space="0"/>
              <w:bottom w:val="single" w:color="000000" w:sz="4" w:space="0"/>
            </w:tcBorders>
            <w:tcW w:w="2423" w:type="dxa"/>
            <w:vAlign w:val="center"/>
            <w:textDirection w:val="lrTb"/>
            <w:noWrap w:val="false"/>
          </w:tcPr>
          <w:p>
            <w:pPr>
              <w:pStyle w:val="890"/>
              <w:ind w:left="28"/>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≥0.4</w:t>
            </w:r>
            <w:r/>
          </w:p>
        </w:tc>
        <w:tc>
          <w:tcPr>
            <w:tcBorders>
              <w:left w:val="single" w:color="000000" w:sz="4" w:space="0"/>
            </w:tcBorders>
            <w:tcW w:w="1710" w:type="dxa"/>
            <w:vAlign w:val="center"/>
            <w:textDirection w:val="lrTb"/>
            <w:noWrap w:val="false"/>
          </w:tcPr>
          <w:p>
            <w:pPr>
              <w:pStyle w:val="890"/>
              <w:ind w:left="28"/>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18"/>
        </w:trPr>
        <w:tc>
          <w:tcPr>
            <w:tcBorders>
              <w:bottom w:val="single" w:color="000000" w:sz="4" w:space="0"/>
              <w:right w:val="single" w:color="000000" w:sz="4" w:space="0"/>
            </w:tcBorders>
            <w:tcW w:w="1025" w:type="dxa"/>
            <w:vAlign w:val="center"/>
            <w:vMerge w:val="continue"/>
            <w:textDirection w:val="lrTb"/>
            <w:noWrap w:val="false"/>
          </w:tcPr>
          <w:p>
            <w:pPr>
              <w:pStyle w:val="890"/>
              <w:ind w:left="16"/>
              <w:jc w:val="both"/>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000000" w:sz="4" w:space="0"/>
              <w:bottom w:val="single" w:color="000000" w:sz="4" w:space="0"/>
              <w:right w:val="single" w:color="000000" w:sz="4" w:space="0"/>
            </w:tcBorders>
            <w:tcW w:w="3278" w:type="dxa"/>
            <w:vAlign w:val="center"/>
            <w:textDirection w:val="lrTb"/>
            <w:noWrap w:val="false"/>
          </w:tcPr>
          <w:p>
            <w:pPr>
              <w:pStyle w:val="890"/>
              <w:ind w:left="21"/>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拉断伸长率/（%）</w:t>
            </w:r>
            <w:r/>
          </w:p>
        </w:tc>
        <w:tc>
          <w:tcPr>
            <w:tcBorders>
              <w:top w:val="single" w:color="000000" w:sz="4" w:space="0"/>
              <w:left w:val="single" w:color="000000" w:sz="4" w:space="0"/>
              <w:bottom w:val="single" w:color="000000" w:sz="4" w:space="0"/>
            </w:tcBorders>
            <w:tcW w:w="2423" w:type="dxa"/>
            <w:vAlign w:val="center"/>
            <w:textDirection w:val="lrTb"/>
            <w:noWrap w:val="false"/>
          </w:tcPr>
          <w:p>
            <w:pPr>
              <w:pStyle w:val="890"/>
              <w:ind w:left="29"/>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left w:val="single" w:color="000000" w:sz="4" w:space="0"/>
              <w:bottom w:val="single" w:color="000000" w:sz="4" w:space="0"/>
            </w:tcBorders>
            <w:tcW w:w="1710" w:type="dxa"/>
            <w:vAlign w:val="center"/>
            <w:textDirection w:val="lrTb"/>
            <w:noWrap w:val="false"/>
          </w:tcPr>
          <w:p>
            <w:pPr>
              <w:pStyle w:val="890"/>
              <w:ind w:left="29"/>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1.2.2有害物质限量：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原材料及铺设成品须符合国标GB36246-2018，其指标如下：</w:t>
      </w:r>
      <w:r/>
    </w:p>
    <w:tbl>
      <w:tblPr>
        <w:tblStyle w:val="650"/>
        <w:tblW w:w="8417" w:type="dxa"/>
        <w:tblInd w:w="4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183"/>
        <w:gridCol w:w="4737"/>
        <w:gridCol w:w="1152"/>
        <w:gridCol w:w="1345"/>
      </w:tblGrid>
      <w:tr>
        <w:trPr>
          <w:trHeight w:val="545"/>
        </w:trPr>
        <w:tc>
          <w:tcPr>
            <w:gridSpan w:val="2"/>
            <w:tcBorders>
              <w:right w:val="single" w:color="000000" w:sz="4" w:space="0"/>
            </w:tcBorders>
            <w:tcW w:w="5920" w:type="dxa"/>
            <w:vAlign w:val="center"/>
            <w:textDirection w:val="lrTb"/>
            <w:noWrap w:val="false"/>
          </w:tcPr>
          <w:p>
            <w:pPr>
              <w:pStyle w:val="890"/>
              <w:jc w:val="center"/>
              <w:tabs>
                <w:tab w:val="left" w:pos="556"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检验</w:t>
            </w:r>
            <w:r>
              <w:rPr>
                <w:rFonts w:hint="eastAsia" w:ascii="宋体" w:hAnsi="宋体" w:cs="宋体"/>
                <w:color w:val="auto"/>
                <w:sz w:val="21"/>
                <w:szCs w:val="21"/>
                <w:highlight w:val="none"/>
              </w:rPr>
              <w:t xml:space="preserve">项目</w:t>
            </w:r>
            <w:r/>
          </w:p>
        </w:tc>
        <w:tc>
          <w:tcPr>
            <w:tcBorders>
              <w:left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指标要求</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 注</w:t>
            </w:r>
            <w:r/>
          </w:p>
        </w:tc>
      </w:tr>
      <w:tr>
        <w:trPr>
          <w:trHeight w:val="588"/>
        </w:trPr>
        <w:tc>
          <w:tcPr>
            <w:tcBorders>
              <w:bottom w:val="single" w:color="000000" w:sz="4" w:space="0"/>
              <w:right w:val="single" w:color="000000" w:sz="4" w:space="0"/>
            </w:tcBorders>
            <w:tcW w:w="1183" w:type="dxa"/>
            <w:vAlign w:val="center"/>
            <w:vMerge w:val="restart"/>
            <w:textDirection w:val="lrTb"/>
            <w:noWrap w:val="false"/>
          </w:tcPr>
          <w:p>
            <w:pPr>
              <w:pStyle w:val="890"/>
              <w:rPr>
                <w:rFonts w:ascii="宋体" w:hAnsi="宋体" w:cs="宋体"/>
                <w:color w:val="auto"/>
                <w:sz w:val="21"/>
                <w:szCs w:val="21"/>
                <w:highlight w:val="none"/>
              </w:rPr>
            </w:pPr>
            <w:r>
              <w:rPr>
                <w:rFonts w:hint="eastAsia" w:ascii="宋体" w:hAnsi="宋体" w:cs="宋体"/>
                <w:color w:val="auto"/>
                <w:sz w:val="21"/>
                <w:szCs w:val="21"/>
                <w:highlight w:val="none"/>
              </w:rPr>
              <w:t xml:space="preserve">有害物质含量</w:t>
            </w:r>
            <w:r/>
          </w:p>
        </w:tc>
        <w:tc>
          <w:tcPr>
            <w:tcBorders>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 种邻苯二甲酸酯类化合物（DBP、BBP、DEHP）总和 /（g/kg）</w:t>
            </w:r>
            <w:r/>
          </w:p>
        </w:tc>
        <w:tc>
          <w:tcPr>
            <w:tcBorders>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490"/>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11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440"/>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18 种多环芳烃总和/（mg/kg）</w:t>
            </w:r>
            <w:r/>
          </w:p>
        </w:tc>
        <w:tc>
          <w:tcPr>
            <w:tcBorders>
              <w:top w:val="single" w:color="000000" w:sz="4" w:space="0"/>
              <w:left w:val="single" w:color="000000" w:sz="4" w:space="0"/>
            </w:tcBorders>
            <w:tcW w:w="11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苯并[a]芘/（mg/kg）</w:t>
            </w:r>
            <w:r/>
          </w:p>
        </w:tc>
        <w:tc>
          <w:tcPr>
            <w:tcBorders>
              <w:top w:val="single" w:color="000000" w:sz="4" w:space="0"/>
              <w:left w:val="single" w:color="000000" w:sz="4" w:space="0"/>
              <w:bottom w:val="single" w:color="000000" w:sz="4" w:space="0"/>
            </w:tcBorders>
            <w:tcW w:w="11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position w:val="1"/>
                <w:sz w:val="21"/>
                <w:szCs w:val="21"/>
                <w:highlight w:val="none"/>
              </w:rPr>
              <w:t xml:space="preserve">短链氯化石蜡（C</w:t>
            </w:r>
            <w:r>
              <w:rPr>
                <w:rFonts w:hint="eastAsia" w:ascii="宋体" w:hAnsi="宋体" w:cs="宋体"/>
                <w:color w:val="auto"/>
                <w:sz w:val="21"/>
                <w:szCs w:val="21"/>
                <w:highlight w:val="none"/>
              </w:rPr>
              <w:t xml:space="preserve">10</w:t>
            </w:r>
            <w:r>
              <w:rPr>
                <w:rFonts w:hint="eastAsia" w:ascii="宋体" w:hAnsi="宋体" w:cs="宋体"/>
                <w:color w:val="auto"/>
                <w:position w:val="1"/>
                <w:sz w:val="21"/>
                <w:szCs w:val="21"/>
                <w:highlight w:val="none"/>
              </w:rPr>
              <w:t xml:space="preserve">-C</w:t>
            </w:r>
            <w:r>
              <w:rPr>
                <w:rFonts w:hint="eastAsia" w:ascii="宋体" w:hAnsi="宋体" w:cs="宋体"/>
                <w:color w:val="auto"/>
                <w:sz w:val="21"/>
                <w:szCs w:val="21"/>
                <w:highlight w:val="none"/>
              </w:rPr>
              <w:t xml:space="preserve">13</w:t>
            </w:r>
            <w:r>
              <w:rPr>
                <w:rFonts w:hint="eastAsia" w:ascii="宋体" w:hAnsi="宋体" w:cs="宋体"/>
                <w:color w:val="auto"/>
                <w:position w:val="1"/>
                <w:sz w:val="21"/>
                <w:szCs w:val="21"/>
                <w:highlight w:val="none"/>
              </w:rPr>
              <w:t xml:space="preserve">）/（g/kg）</w:t>
            </w:r>
            <w:r/>
          </w:p>
        </w:tc>
        <w:tc>
          <w:tcPr>
            <w:tcBorders>
              <w:top w:val="single" w:color="000000" w:sz="4" w:space="0"/>
              <w:left w:val="single" w:color="000000" w:sz="4" w:space="0"/>
              <w:bottom w:val="single" w:color="000000" w:sz="4" w:space="0"/>
            </w:tcBorders>
            <w:tcW w:w="11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4"/>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4.4'－二氨基-3,3'-二氯二苯甲烷（MOCA）/（g/kg）</w:t>
            </w:r>
            <w:r/>
          </w:p>
        </w:tc>
        <w:tc>
          <w:tcPr>
            <w:tcBorders>
              <w:top w:val="single" w:color="000000" w:sz="4" w:space="0"/>
              <w:left w:val="single" w:color="000000" w:sz="4" w:space="0"/>
              <w:bottom w:val="single" w:color="000000" w:sz="4" w:space="0"/>
            </w:tcBorders>
            <w:tcW w:w="11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游离甲苯二异氰酸酯（TDI）和游离六亚甲基二异氰酸酯（HDI）总和/（g/kg）</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≤0.2</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游离二苯基甲烷二异氰酸酯（MDI）/（g/kg）</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4"/>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可溶性铅/（mg/kg）</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可溶性镉/（mg/kg）</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可溶性铬/（mg/kg）</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5"/>
        </w:trPr>
        <w:tc>
          <w:tcPr>
            <w:tcBorders>
              <w:top w:val="none" w:color="000000" w:sz="4" w:space="0"/>
              <w:bottom w:val="single" w:color="000000" w:sz="4" w:space="0"/>
              <w:right w:val="single" w:color="000000" w:sz="4" w:space="0"/>
            </w:tcBorders>
            <w:tcW w:w="11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可溶性汞/（mg/kg）</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5"/>
        </w:trPr>
        <w:tc>
          <w:tcPr>
            <w:gridSpan w:val="2"/>
            <w:tcBorders>
              <w:top w:val="none" w:color="000000" w:sz="4" w:space="0"/>
              <w:bottom w:val="single" w:color="000000" w:sz="4" w:space="0"/>
              <w:right w:val="single" w:color="000000" w:sz="4" w:space="0"/>
            </w:tcBorders>
            <w:tcW w:w="5920"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无机填料</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rPr>
              <w:t xml:space="preserve">量/%</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≤65</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single" w:color="000000" w:sz="4" w:space="0"/>
              <w:bottom w:val="single" w:color="000000" w:sz="4" w:space="0"/>
              <w:right w:val="single" w:color="000000" w:sz="4" w:space="0"/>
            </w:tcBorders>
            <w:tcW w:w="1183" w:type="dxa"/>
            <w:vAlign w:val="center"/>
            <w:vMerge w:val="restart"/>
            <w:textDirection w:val="lrTb"/>
            <w:noWrap w:val="false"/>
          </w:tcPr>
          <w:p>
            <w:pPr>
              <w:pStyle w:val="890"/>
              <w:rPr>
                <w:rFonts w:ascii="宋体" w:hAnsi="宋体" w:cs="宋体"/>
                <w:color w:val="auto"/>
                <w:sz w:val="21"/>
                <w:szCs w:val="21"/>
                <w:highlight w:val="none"/>
              </w:rPr>
            </w:pPr>
            <w:r>
              <w:rPr>
                <w:rFonts w:hint="eastAsia" w:ascii="宋体" w:hAnsi="宋体" w:cs="宋体"/>
                <w:color w:val="auto"/>
                <w:sz w:val="21"/>
                <w:szCs w:val="21"/>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总挥发性有机化合物（TVOC）/（mg/（m</w:t>
            </w:r>
            <w:r>
              <w:rPr>
                <w:rFonts w:hint="eastAsia" w:ascii="宋体" w:hAnsi="宋体" w:cs="宋体"/>
                <w:color w:val="auto"/>
                <w:position w:val="9"/>
                <w:sz w:val="21"/>
                <w:szCs w:val="21"/>
                <w:highlight w:val="none"/>
              </w:rPr>
              <w:t xml:space="preserve">2</w:t>
            </w:r>
            <w:r>
              <w:rPr>
                <w:rFonts w:hint="eastAsia" w:ascii="宋体" w:hAnsi="宋体" w:cs="宋体"/>
                <w:color w:val="auto"/>
                <w:sz w:val="21"/>
                <w:szCs w:val="21"/>
                <w:highlight w:val="none"/>
              </w:rPr>
              <w:t xml:space="preserve">•h））</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甲醛/（mg/（m</w:t>
            </w:r>
            <w:r>
              <w:rPr>
                <w:rFonts w:hint="eastAsia" w:ascii="宋体" w:hAnsi="宋体" w:cs="宋体"/>
                <w:color w:val="auto"/>
                <w:position w:val="9"/>
                <w:sz w:val="21"/>
                <w:szCs w:val="21"/>
                <w:highlight w:val="none"/>
              </w:rPr>
              <w:t xml:space="preserve">2</w:t>
            </w:r>
            <w:r>
              <w:rPr>
                <w:rFonts w:hint="eastAsia" w:ascii="宋体" w:hAnsi="宋体" w:cs="宋体"/>
                <w:color w:val="auto"/>
                <w:sz w:val="21"/>
                <w:szCs w:val="21"/>
                <w:highlight w:val="none"/>
              </w:rPr>
              <w:t xml:space="preserve">•h））</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≤0.4</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4"/>
        </w:trPr>
        <w:tc>
          <w:tcPr>
            <w:tcBorders>
              <w:top w:val="none" w:color="000000" w:sz="4" w:space="0"/>
              <w:bottom w:val="single" w:color="000000" w:sz="4" w:space="0"/>
              <w:right w:val="single" w:color="000000" w:sz="4" w:space="0"/>
            </w:tcBorders>
            <w:tcW w:w="1183" w:type="dxa"/>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苯/（mg/（m</w:t>
            </w:r>
            <w:r>
              <w:rPr>
                <w:rFonts w:hint="eastAsia" w:ascii="宋体" w:hAnsi="宋体" w:cs="宋体"/>
                <w:color w:val="auto"/>
                <w:position w:val="9"/>
                <w:sz w:val="21"/>
                <w:szCs w:val="21"/>
                <w:highlight w:val="none"/>
              </w:rPr>
              <w:t xml:space="preserve">2</w:t>
            </w:r>
            <w:r>
              <w:rPr>
                <w:rFonts w:hint="eastAsia" w:ascii="宋体" w:hAnsi="宋体" w:cs="宋体"/>
                <w:color w:val="auto"/>
                <w:sz w:val="21"/>
                <w:szCs w:val="21"/>
                <w:highlight w:val="none"/>
              </w:rPr>
              <w:t xml:space="preserve">•h））</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≤0.1</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甲苯、二甲苯和乙苯总和/（mg/（m</w:t>
            </w:r>
            <w:r>
              <w:rPr>
                <w:rFonts w:hint="eastAsia" w:ascii="宋体" w:hAnsi="宋体" w:cs="宋体"/>
                <w:color w:val="auto"/>
                <w:position w:val="9"/>
                <w:sz w:val="21"/>
                <w:szCs w:val="21"/>
                <w:highlight w:val="none"/>
              </w:rPr>
              <w:t xml:space="preserve">2</w:t>
            </w:r>
            <w:r>
              <w:rPr>
                <w:rFonts w:hint="eastAsia" w:ascii="宋体" w:hAnsi="宋体" w:cs="宋体"/>
                <w:color w:val="auto"/>
                <w:sz w:val="21"/>
                <w:szCs w:val="21"/>
                <w:highlight w:val="none"/>
              </w:rPr>
              <w:t xml:space="preserve">•h））</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2"/>
        </w:trPr>
        <w:tc>
          <w:tcPr>
            <w:tcBorders>
              <w:top w:val="none" w:color="000000" w:sz="4" w:space="0"/>
              <w:bottom w:val="single" w:color="000000" w:sz="4" w:space="0"/>
              <w:right w:val="single" w:color="000000" w:sz="4" w:space="0"/>
            </w:tcBorders>
            <w:tcW w:w="1183" w:type="dxa"/>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二硫化碳/（mg/（m</w:t>
            </w:r>
            <w:r>
              <w:rPr>
                <w:rFonts w:hint="eastAsia" w:ascii="宋体" w:hAnsi="宋体" w:cs="宋体"/>
                <w:color w:val="auto"/>
                <w:position w:val="9"/>
                <w:sz w:val="21"/>
                <w:szCs w:val="21"/>
                <w:highlight w:val="none"/>
              </w:rPr>
              <w:t xml:space="preserve">2</w:t>
            </w:r>
            <w:r>
              <w:rPr>
                <w:rFonts w:hint="eastAsia" w:ascii="宋体" w:hAnsi="宋体" w:cs="宋体"/>
                <w:color w:val="auto"/>
                <w:sz w:val="21"/>
                <w:szCs w:val="21"/>
                <w:highlight w:val="none"/>
              </w:rPr>
              <w:t xml:space="preserve">•h））</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tcBorders>
              <w:left w:val="single" w:color="000000" w:sz="4" w:space="0"/>
            </w:tcBorders>
            <w:tcW w:w="1345" w:type="dxa"/>
            <w:vAlign w:val="center"/>
            <w:textDirection w:val="lrTb"/>
            <w:noWrap w:val="false"/>
          </w:tcPr>
          <w:p>
            <w:pPr>
              <w:pStyle w:val="89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04"/>
        </w:trPr>
        <w:tc>
          <w:tcPr>
            <w:tcBorders>
              <w:top w:val="single" w:color="000000" w:sz="4" w:space="0"/>
              <w:bottom w:val="single" w:color="000000" w:sz="4" w:space="0"/>
              <w:right w:val="single" w:color="000000" w:sz="4" w:space="0"/>
            </w:tcBorders>
            <w:tcW w:w="1183" w:type="dxa"/>
            <w:vAlign w:val="center"/>
            <w:textDirection w:val="lrTb"/>
            <w:noWrap w:val="false"/>
          </w:tcPr>
          <w:p>
            <w:pPr>
              <w:pStyle w:val="89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pStyle w:val="89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气味等级/级</w:t>
            </w:r>
            <w:r/>
          </w:p>
        </w:tc>
        <w:tc>
          <w:tcPr>
            <w:tcBorders>
              <w:top w:val="single" w:color="000000" w:sz="4" w:space="0"/>
              <w:left w:val="single" w:color="000000" w:sz="4" w:space="0"/>
              <w:bottom w:val="single" w:color="000000" w:sz="4" w:space="0"/>
            </w:tcBorders>
            <w:tcW w:w="1152" w:type="dxa"/>
            <w:vAlign w:val="center"/>
            <w:textDirection w:val="lrTb"/>
            <w:noWrap w:val="false"/>
          </w:tcPr>
          <w:p>
            <w:pPr>
              <w:pStyle w:val="89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left w:val="single" w:color="000000" w:sz="4" w:space="0"/>
              <w:bottom w:val="single" w:color="000000" w:sz="4" w:space="0"/>
            </w:tcBorders>
            <w:tcW w:w="1345" w:type="dxa"/>
            <w:vAlign w:val="center"/>
            <w:textDirection w:val="lrTb"/>
            <w:noWrap w:val="false"/>
          </w:tcPr>
          <w:p>
            <w:pPr>
              <w:pStyle w:val="890"/>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0"/>
        <w:jc w:val="left"/>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、质保期要求：</w:t>
      </w:r>
      <w:r/>
    </w:p>
    <w:p>
      <w:pPr>
        <w:ind w:left="0" w:firstLine="420"/>
        <w:jc w:val="left"/>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项目整体免费质保期为项目验收合格之日起不低于</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质保期从产品验收合格之日起计算。货物在质量保证期内发生的任何故障（非人为损坏），中标单位均应负责免费修复。</w:t>
      </w:r>
      <w:r/>
    </w:p>
    <w:p>
      <w:pPr>
        <w:ind w:left="0" w:firstLine="420"/>
        <w:jc w:val="left"/>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质保期内中标单位提供免费上门服务，若出现故障，应在1个小时以内给予响应，8个小时内完成采购单位提出的维修要求</w:t>
      </w:r>
      <w:r>
        <w:rPr>
          <w:rFonts w:hint="eastAsia" w:ascii="宋体" w:hAnsi="宋体" w:cs="宋体"/>
          <w:color w:val="auto"/>
          <w:sz w:val="21"/>
          <w:szCs w:val="21"/>
          <w:highlight w:val="none"/>
          <w:lang w:val="en-US" w:eastAsia="zh-CN"/>
        </w:rPr>
        <w:t xml:space="preserve">或维修方案</w:t>
      </w:r>
      <w:r>
        <w:rPr>
          <w:rFonts w:hint="eastAsia" w:ascii="宋体" w:hAnsi="宋体" w:eastAsia="宋体" w:cs="宋体"/>
          <w:color w:val="auto"/>
          <w:sz w:val="21"/>
          <w:szCs w:val="21"/>
          <w:highlight w:val="none"/>
        </w:rPr>
        <w:t xml:space="preserve">。</w:t>
      </w:r>
      <w:r/>
    </w:p>
    <w:p>
      <w:pPr>
        <w:keepLines w:val="0"/>
        <w:keepNext w:val="0"/>
        <w:pageBreakBefore w:val="0"/>
        <w:spacing w:line="40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六、付款方式：</w:t>
      </w:r>
      <w:r/>
    </w:p>
    <w:p>
      <w:pPr>
        <w:ind w:firstLine="422"/>
        <w:keepLines w:val="0"/>
        <w:keepNext w:val="0"/>
        <w:pageBreakBefore w:val="0"/>
        <w:spacing w:line="40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合同签订后甲方支付合同价款的30%的货款，货物到现场后付至合同金额的50%，货物经甲方验收合格后付至合同金额的70%，审计结束后付至审定金额的80%，审计结束1年后付至审定金额的90%，审计结束2年后付至审定金额的95%,余款于审计结束3年后付清。甲方可根据实际情况调整付款比例和付款时间节点（</w:t>
      </w:r>
      <w:r>
        <w:rPr>
          <w:rFonts w:hint="eastAsia" w:ascii="宋体" w:hAnsi="宋体" w:cs="宋体"/>
          <w:b/>
          <w:color w:val="auto"/>
          <w:sz w:val="21"/>
          <w:szCs w:val="21"/>
          <w:highlight w:val="none"/>
          <w:lang w:val="en-US" w:eastAsia="zh-CN"/>
        </w:rPr>
        <w:t xml:space="preserve">具体</w:t>
      </w:r>
      <w:r>
        <w:rPr>
          <w:rFonts w:hint="eastAsia" w:ascii="宋体" w:hAnsi="宋体" w:eastAsia="宋体" w:cs="宋体"/>
          <w:b/>
          <w:color w:val="auto"/>
          <w:sz w:val="21"/>
          <w:szCs w:val="21"/>
          <w:highlight w:val="none"/>
          <w:lang w:val="en-US" w:eastAsia="zh-CN"/>
        </w:rPr>
        <w:t xml:space="preserve">按照</w:t>
      </w:r>
      <w:r>
        <w:rPr>
          <w:rFonts w:hint="eastAsia" w:ascii="宋体" w:hAnsi="宋体" w:cs="宋体"/>
          <w:b/>
          <w:color w:val="auto"/>
          <w:sz w:val="21"/>
          <w:szCs w:val="21"/>
          <w:highlight w:val="none"/>
          <w:lang w:val="en-US" w:eastAsia="zh-CN"/>
        </w:rPr>
        <w:t xml:space="preserve">盛泽</w:t>
      </w:r>
      <w:r>
        <w:rPr>
          <w:rFonts w:hint="eastAsia" w:ascii="宋体" w:hAnsi="宋体" w:eastAsia="宋体" w:cs="宋体"/>
          <w:b/>
          <w:color w:val="auto"/>
          <w:sz w:val="21"/>
          <w:szCs w:val="21"/>
          <w:highlight w:val="none"/>
          <w:lang w:val="en-US" w:eastAsia="zh-CN"/>
        </w:rPr>
        <w:t xml:space="preserve">镇统筹安排）。</w:t>
      </w:r>
      <w:r/>
    </w:p>
    <w:p>
      <w:pPr>
        <w:keepLines w:val="0"/>
        <w:keepNext w:val="0"/>
        <w:pageBreakBefore w:val="0"/>
        <w:spacing w:line="400" w:lineRule="atLeast"/>
        <w:tabs>
          <w:tab w:val="left" w:pos="42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七、综合说明：</w:t>
      </w:r>
      <w:r/>
    </w:p>
    <w:p>
      <w:pPr>
        <w:pStyle w:val="656"/>
        <w:ind w:left="0" w:firstLine="420"/>
        <w:keepLines w:val="0"/>
        <w:keepNext w:val="0"/>
        <w:pageBreakBefore w:val="0"/>
        <w:spacing w:line="400" w:lineRule="atLeas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投标人必须承诺招标文件中提出的全部技术规格与要求，如果其中某些条款不响应时，应在文件中逐条列出，未列出的视同响应。</w:t>
      </w:r>
      <w:r/>
    </w:p>
    <w:p>
      <w:pPr>
        <w:pStyle w:val="656"/>
        <w:ind w:left="0" w:firstLine="420"/>
        <w:keepLines w:val="0"/>
        <w:keepNext w:val="0"/>
        <w:pageBreakBefore w:val="0"/>
        <w:spacing w:line="400" w:lineRule="atLeas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2、投标人按照招标文件的要求提交投标文件，并对所提供的全部资料的真实性承担法律责任。</w:t>
      </w:r>
      <w:r/>
    </w:p>
    <w:p>
      <w:pPr>
        <w:pStyle w:val="656"/>
        <w:ind w:left="0" w:firstLine="420"/>
        <w:keepLines w:val="0"/>
        <w:keepNext w:val="0"/>
        <w:pageBreakBefore w:val="0"/>
        <w:spacing w:line="400" w:lineRule="atLeas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3、中标单位将根据招标文件、投标文件的相关约定，承担合同责任，履行合同义务。</w:t>
      </w:r>
      <w:r/>
    </w:p>
    <w:p>
      <w:pPr>
        <w:pStyle w:val="656"/>
        <w:ind w:left="0" w:firstLine="420"/>
        <w:keepLines w:val="0"/>
        <w:keepNext w:val="0"/>
        <w:pageBreakBefore w:val="0"/>
        <w:spacing w:line="400" w:lineRule="atLeas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、合同履行期限：</w:t>
      </w:r>
      <w:r>
        <w:rPr>
          <w:rFonts w:hint="eastAsia" w:ascii="宋体" w:hAnsi="宋体" w:cs="宋体"/>
          <w:color w:val="auto"/>
          <w:sz w:val="21"/>
          <w:szCs w:val="21"/>
          <w:highlight w:val="none"/>
          <w:lang w:eastAsia="zh-CN"/>
        </w:rPr>
        <w:t xml:space="preserve">40</w:t>
      </w:r>
      <w:r>
        <w:rPr>
          <w:rFonts w:hint="eastAsia" w:ascii="宋体" w:hAnsi="宋体" w:cs="宋体"/>
          <w:color w:val="auto"/>
          <w:sz w:val="21"/>
          <w:szCs w:val="21"/>
          <w:highlight w:val="none"/>
          <w:lang w:val="en-US" w:eastAsia="zh-CN"/>
        </w:rPr>
        <w:t xml:space="preserve">日历天（具体起止时间以合同签订为准）</w:t>
      </w:r>
      <w:r>
        <w:rPr>
          <w:rFonts w:hint="eastAsia" w:ascii="宋体" w:hAnsi="宋体" w:eastAsia="宋体" w:cs="宋体"/>
          <w:color w:val="auto"/>
          <w:sz w:val="21"/>
          <w:szCs w:val="21"/>
          <w:highlight w:val="none"/>
          <w:lang w:val="en-US" w:eastAsia="zh-CN" w:bidi="ar-SA"/>
        </w:rPr>
        <w:t xml:space="preserve">。</w:t>
      </w:r>
      <w:r/>
    </w:p>
    <w:p>
      <w:pPr>
        <w:pStyle w:val="656"/>
        <w:ind w:left="0"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、履约保证金：</w:t>
      </w:r>
      <w:r/>
    </w:p>
    <w:p>
      <w:pPr>
        <w:pStyle w:val="656"/>
        <w:ind w:left="0"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.1供应商应在合同签订前，向采购单位交纳履约保证金，履约保证金为合同金额的10%,履约保证金有效期应不低于合同有效期。供应商可自主选择以支票、汇票、本票、保函等非现金形式缴纳或提交。</w:t>
      </w:r>
      <w:r/>
    </w:p>
    <w:p>
      <w:pPr>
        <w:pStyle w:val="656"/>
        <w:ind w:left="0"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.2供应商不履行合同的，履约保证金不予退还，给采购单位造成的损失超过履约保证金数额的，还应当对超过部分予以赔偿。但因不可抗力不能履行合同的，不适用此款规定。</w:t>
      </w:r>
      <w:r/>
    </w:p>
    <w:p>
      <w:pPr>
        <w:pStyle w:val="656"/>
        <w:ind w:left="0"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.3履约保证金（无息）待供应商将合同义务全部履行完毕后，并结清应由供应商承担的各项费用后一个月后退回所有款项（不计息）。</w:t>
      </w:r>
      <w:r/>
    </w:p>
    <w:p>
      <w:pPr>
        <w:pStyle w:val="656"/>
        <w:ind w:left="0" w:firstLine="420"/>
        <w:keepLines w:val="0"/>
        <w:keepNext w:val="0"/>
        <w:pageBreakBefore w:val="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keepLines w:val="0"/>
        <w:keepNext w:val="0"/>
        <w:pageBreakBefore w:val="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、政府采购政策：</w:t>
      </w:r>
      <w:r/>
    </w:p>
    <w:p>
      <w:pPr>
        <w:ind w:firstLine="420"/>
        <w:keepLines w:val="0"/>
        <w:keepNext w:val="0"/>
        <w:pageBreakBefore w:val="0"/>
        <w:spacing w:line="360" w:lineRule="auto"/>
        <w:widowControl/>
        <w:tabs>
          <w:tab w:val="left" w:pos="567" w:leader="none"/>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1、小、微企业</w:t>
      </w:r>
      <w:r/>
    </w:p>
    <w:p>
      <w:pPr>
        <w:pStyle w:val="686"/>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color w:val="auto"/>
          <w:szCs w:val="21"/>
          <w:highlight w:val="none"/>
          <w:lang w:val="en-US" w:eastAsia="zh-CN"/>
        </w:rPr>
        <w:t xml:space="preserve">工</w:t>
      </w:r>
      <w:r>
        <w:rPr>
          <w:rFonts w:hint="eastAsia" w:ascii="宋体" w:hAnsi="宋体" w:eastAsia="宋体" w:cs="宋体"/>
          <w:b/>
          <w:color w:val="auto"/>
          <w:szCs w:val="21"/>
          <w:highlight w:val="none"/>
        </w:rPr>
        <w:t xml:space="preserve">业。</w:t>
      </w:r>
      <w:r/>
    </w:p>
    <w:p>
      <w:pPr>
        <w:ind w:firstLine="420"/>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2、残疾人福利性单位</w:t>
      </w:r>
      <w:r/>
    </w:p>
    <w:p>
      <w:pPr>
        <w:ind w:firstLine="420"/>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3、监狱企业</w:t>
      </w:r>
      <w:r/>
    </w:p>
    <w:p>
      <w:pPr>
        <w:ind w:firstLine="420"/>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4、绿色采购</w:t>
      </w:r>
      <w:r/>
    </w:p>
    <w:p>
      <w:pPr>
        <w:ind w:firstLine="420"/>
        <w:spacing w:line="360" w:lineRule="auto"/>
        <w:widowControl/>
        <w:tabs>
          <w:tab w:val="left" w:pos="567"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并在投标文件中提供由国家确定的认证机构出具的、处于有效期之内的节能产品认证证书复印件，否则视为未实质性响应。</w:t>
      </w:r>
      <w:r/>
    </w:p>
    <w:p>
      <w:pPr>
        <w:ind w:firstLine="422"/>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、政府采购中实施本国产品标准及相关政策</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.1本项目对采购本国产品给予政策支持：</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、凡涉及招标文件的补充说明和修改，均以网上发布的通知为准。</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eastAsia="宋体" w:cs="宋体"/>
          <w:b/>
          <w:color w:val="auto"/>
          <w:sz w:val="36"/>
          <w:szCs w:val="36"/>
          <w:highlight w:val="none"/>
        </w:rPr>
        <w:t xml:space="preserve">第五章 </w:t>
      </w:r>
      <w:bookmarkStart w:id="37" w:name="合同的特殊条款"/>
      <w:r/>
      <w:bookmarkEnd w:id="37"/>
      <w:r>
        <w:rPr>
          <w:rFonts w:hint="eastAsia" w:ascii="宋体" w:hAnsi="宋体" w:eastAsia="宋体" w:cs="宋体"/>
          <w:b/>
          <w:color w:val="auto"/>
          <w:sz w:val="36"/>
          <w:szCs w:val="36"/>
          <w:highlight w:val="none"/>
        </w:rPr>
        <w:t xml:space="preserve">合同及主要条款</w:t>
      </w:r>
      <w:r/>
    </w:p>
    <w:p>
      <w:pPr>
        <w:ind w:left="1"/>
        <w:spacing w:before="166" w:after="166"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采购单位（甲方）</w:t>
      </w:r>
      <w:r>
        <w:rPr>
          <w:rFonts w:hint="eastAsia" w:ascii="宋体" w:hAnsi="宋体" w:eastAsia="宋体" w:cs="宋体"/>
          <w:b/>
          <w:color w:val="auto"/>
          <w:sz w:val="21"/>
          <w:szCs w:val="21"/>
          <w:highlight w:val="none"/>
        </w:rPr>
        <w:t xml:space="preserve">：</w:t>
      </w:r>
      <w:r/>
    </w:p>
    <w:p>
      <w:pPr>
        <w:ind w:left="0"/>
        <w:spacing w:before="166" w:after="166" w:line="400" w:lineRule="exact"/>
        <w:widowControl w:val="off"/>
        <w:tabs>
          <w:tab w:val="left" w:pos="3780" w:leader="none"/>
        </w:tabs>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地址：</w:t>
      </w:r>
      <w:r/>
    </w:p>
    <w:p>
      <w:pPr>
        <w:ind w:left="0"/>
        <w:spacing w:before="166" w:after="166" w:line="400" w:lineRule="exact"/>
        <w:widowControl w:val="off"/>
        <w:tabs>
          <w:tab w:val="left" w:pos="3780" w:leader="none"/>
        </w:tabs>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联系人：</w:t>
      </w:r>
      <w:r/>
    </w:p>
    <w:p>
      <w:pPr>
        <w:ind w:left="0"/>
        <w:spacing w:before="166" w:after="166" w:line="400" w:lineRule="exact"/>
        <w:widowControl w:val="off"/>
        <w:tabs>
          <w:tab w:val="left" w:pos="3780" w:leader="none"/>
        </w:tabs>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联系电话：</w:t>
      </w:r>
      <w:r/>
    </w:p>
    <w:p>
      <w:pPr>
        <w:ind w:left="0"/>
        <w:spacing w:before="166" w:after="166" w:line="400" w:lineRule="exact"/>
        <w:widowControl w:val="off"/>
        <w:tabs>
          <w:tab w:val="left" w:pos="3780" w:leader="none"/>
        </w:tabs>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left="0"/>
        <w:spacing w:before="166" w:after="166" w:line="400" w:lineRule="exact"/>
        <w:widowControl w:val="off"/>
        <w:tabs>
          <w:tab w:val="left" w:pos="3780" w:leader="none"/>
        </w:tabs>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供应商（乙方）</w:t>
      </w:r>
      <w:r>
        <w:rPr>
          <w:rFonts w:hint="eastAsia" w:ascii="宋体" w:hAnsi="宋体" w:eastAsia="宋体" w:cs="宋体"/>
          <w:b/>
          <w:color w:val="auto"/>
          <w:sz w:val="21"/>
          <w:szCs w:val="21"/>
          <w:highlight w:val="none"/>
        </w:rPr>
        <w:t xml:space="preserve">：</w:t>
      </w:r>
      <w:r/>
    </w:p>
    <w:p>
      <w:pPr>
        <w:ind w:left="0"/>
        <w:spacing w:before="166" w:after="166" w:line="400" w:lineRule="exact"/>
        <w:widowControl w:val="off"/>
        <w:tabs>
          <w:tab w:val="left" w:pos="3780" w:leader="none"/>
        </w:tabs>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地址：</w:t>
      </w:r>
      <w:r/>
    </w:p>
    <w:p>
      <w:pPr>
        <w:ind w:left="0"/>
        <w:spacing w:before="166" w:after="166" w:line="400" w:lineRule="exact"/>
        <w:widowControl w:val="off"/>
        <w:tabs>
          <w:tab w:val="left" w:pos="3780" w:leader="none"/>
        </w:tabs>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联系人：</w:t>
      </w:r>
      <w:r/>
    </w:p>
    <w:p>
      <w:pPr>
        <w:ind w:left="0"/>
        <w:spacing w:before="166" w:after="166" w:line="400" w:lineRule="exact"/>
        <w:widowControl w:val="off"/>
        <w:tabs>
          <w:tab w:val="left" w:pos="3780" w:leader="none"/>
        </w:tabs>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联系电话：</w:t>
      </w:r>
      <w:r/>
    </w:p>
    <w:p>
      <w:pPr>
        <w:ind w:left="0"/>
        <w:spacing w:before="166" w:after="166" w:line="400" w:lineRule="exact"/>
        <w:widowControl w:val="off"/>
        <w:tabs>
          <w:tab w:val="left" w:pos="37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甲方委托</w:t>
      </w:r>
      <w:r>
        <w:rPr>
          <w:rFonts w:hint="eastAsia" w:ascii="宋体" w:hAnsi="宋体" w:cs="宋体"/>
          <w:color w:val="auto"/>
          <w:sz w:val="21"/>
          <w:szCs w:val="21"/>
          <w:highlight w:val="none"/>
          <w:u w:val="single"/>
          <w:lang w:val="zh-CN"/>
        </w:rPr>
        <w:t xml:space="preserve">苏州汇顺项目管理咨询有限公司</w:t>
      </w:r>
      <w:r>
        <w:rPr>
          <w:rFonts w:hint="eastAsia" w:ascii="宋体" w:hAnsi="宋体" w:eastAsia="宋体" w:cs="宋体"/>
          <w:color w:val="auto"/>
          <w:sz w:val="21"/>
          <w:szCs w:val="21"/>
          <w:highlight w:val="none"/>
        </w:rPr>
        <w:t xml:space="preserve">进行本项目</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zh-CN"/>
        </w:rPr>
        <w:t xml:space="preserve">盛泽二中塑胶跑道面层项目</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lang w:val="zh-CN"/>
        </w:rPr>
        <w:t xml:space="preserve">政府采购（采购编号：</w:t>
      </w:r>
      <w:r>
        <w:rPr>
          <w:rFonts w:hint="eastAsia" w:ascii="宋体" w:hAnsi="宋体" w:cs="宋体"/>
          <w:color w:val="auto"/>
          <w:sz w:val="21"/>
          <w:szCs w:val="21"/>
          <w:highlight w:val="none"/>
          <w:u w:val="single"/>
          <w:lang w:val="zh-CN" w:eastAsia="zh-CN"/>
        </w:rPr>
        <w:t xml:space="preserve">JSZC-320509-SZHS-G2026-0006</w:t>
      </w:r>
      <w:r>
        <w:rPr>
          <w:rFonts w:hint="eastAsia" w:ascii="宋体" w:hAnsi="宋体" w:eastAsia="宋体" w:cs="宋体"/>
          <w:color w:val="auto"/>
          <w:sz w:val="21"/>
          <w:szCs w:val="21"/>
          <w:highlight w:val="none"/>
          <w:lang w:val="zh-CN"/>
        </w:rPr>
        <w:t xml:space="preserve">）。根据本项目的采购结果确定乙方为本次</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供应商，现依照招标文件、中标单位的投标文件和中标通知书及相关文件的内容，签订本合同书。</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第一条、合同内容</w:t>
      </w:r>
      <w:r/>
    </w:p>
    <w:p>
      <w:pPr>
        <w:numPr>
          <w:ilvl w:val="0"/>
          <w:numId w:val="0"/>
        </w:numPr>
        <w:jc w:val="left"/>
        <w:spacing w:line="400" w:lineRule="exact"/>
        <w:rPr>
          <w:rFonts w:hint="eastAsia" w:ascii="宋体" w:hAnsi="宋体" w:cs="宋体"/>
          <w:i/>
          <w:color w:val="auto"/>
          <w:sz w:val="21"/>
          <w:szCs w:val="21"/>
          <w:highlight w:val="none"/>
        </w:rPr>
      </w:pPr>
      <w:r>
        <w:rPr>
          <w:rFonts w:hint="eastAsia" w:ascii="宋体" w:hAnsi="宋体" w:cs="宋体"/>
          <w:b/>
          <w:bCs/>
          <w:color w:val="auto"/>
          <w:sz w:val="21"/>
          <w:szCs w:val="21"/>
          <w:highlight w:val="none"/>
          <w:lang w:val="en-US" w:eastAsia="zh-CN"/>
        </w:rPr>
        <w:t xml:space="preserve">1.1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本合同项下采购标的物为</w:t>
      </w:r>
      <w:r>
        <w:rPr>
          <w:rFonts w:hint="eastAsia" w:ascii="宋体" w:hAnsi="宋体" w:cs="宋体"/>
          <w:color w:val="auto"/>
          <w:sz w:val="21"/>
          <w:szCs w:val="21"/>
          <w:highlight w:val="none"/>
          <w:u w:val="single"/>
          <w:lang w:val="zh-CN"/>
        </w:rPr>
        <w:t xml:space="preserve">盛泽二中塑胶跑道面层项目</w:t>
      </w:r>
      <w:r>
        <w:rPr>
          <w:rFonts w:hint="eastAsia" w:ascii="宋体" w:hAnsi="宋体" w:eastAsia="宋体" w:cs="宋体"/>
          <w:color w:val="auto"/>
          <w:sz w:val="21"/>
          <w:szCs w:val="21"/>
          <w:highlight w:val="none"/>
          <w:lang w:val="zh-CN"/>
        </w:rPr>
        <w:t xml:space="preserve">，详见招标文件。</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1.2 </w:t>
      </w:r>
      <w:r>
        <w:rPr>
          <w:rFonts w:hint="eastAsia" w:ascii="宋体" w:hAnsi="宋体" w:eastAsia="宋体" w:cs="宋体"/>
          <w:color w:val="auto"/>
          <w:sz w:val="21"/>
          <w:szCs w:val="21"/>
          <w:highlight w:val="none"/>
          <w:lang w:val="zh-CN"/>
        </w:rPr>
        <w:t xml:space="preserve">下列文件为本合同不可分割部分：</w:t>
      </w:r>
      <w:r/>
    </w:p>
    <w:p>
      <w:pPr>
        <w:ind w:left="403"/>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lang w:val="zh-CN"/>
        </w:rPr>
        <w:t xml:space="preserve">中标通知书；</w:t>
      </w:r>
      <w:r/>
    </w:p>
    <w:p>
      <w:pPr>
        <w:ind w:left="407"/>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zh-CN"/>
        </w:rPr>
        <w:t xml:space="preserve">招标文件及补充通知；</w:t>
      </w:r>
      <w:r/>
    </w:p>
    <w:p>
      <w:pPr>
        <w:ind w:left="403"/>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zh-CN"/>
        </w:rPr>
        <w:t xml:space="preserve">乙方中标的投标文件；</w:t>
      </w:r>
      <w:r/>
    </w:p>
    <w:p>
      <w:pPr>
        <w:ind w:left="403"/>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lang w:val="zh-CN"/>
        </w:rPr>
        <w:t xml:space="preserve">乙方在采购过程中所作的其他承诺、声明、说明等。</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任何一份单独文件具有或可能具有相反或不同的描述、理解或释义，或全部合同组成文件关于质量、价格等条款内容存在分歧、歧义或冲突时，按照采购合同、中标通知书、招标文件及补充通知、乙方投标文件、乙方的承诺、声明等的顺序进行解释。</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第二条、价格与支付</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2.1 </w:t>
      </w:r>
      <w:r>
        <w:rPr>
          <w:rFonts w:hint="eastAsia" w:ascii="宋体" w:hAnsi="宋体" w:eastAsia="宋体" w:cs="宋体"/>
          <w:color w:val="auto"/>
          <w:sz w:val="21"/>
          <w:szCs w:val="21"/>
          <w:highlight w:val="none"/>
          <w:lang w:val="zh-CN"/>
        </w:rPr>
        <w:t xml:space="preserve">本合同总金额为￥</w:t>
      </w:r>
      <w:r>
        <w:rPr>
          <w:rFonts w:hint="eastAsia" w:ascii="宋体" w:hAnsi="宋体" w:eastAsia="宋体" w:cs="宋体"/>
          <w:b/>
          <w:bCs/>
          <w:i/>
          <w:iCs/>
          <w:color w:val="auto"/>
          <w:sz w:val="21"/>
          <w:szCs w:val="21"/>
          <w:highlight w:val="none"/>
          <w:u w:val="single"/>
        </w:rPr>
        <w:t xml:space="preserve">        </w:t>
      </w:r>
      <w:r>
        <w:rPr>
          <w:rFonts w:hint="eastAsia" w:ascii="宋体" w:hAnsi="宋体" w:eastAsia="宋体" w:cs="宋体"/>
          <w:b/>
          <w:color w:val="auto"/>
          <w:sz w:val="21"/>
          <w:szCs w:val="21"/>
          <w:highlight w:val="none"/>
        </w:rPr>
        <w:t xml:space="preserve">元</w:t>
      </w:r>
      <w:r>
        <w:rPr>
          <w:rFonts w:hint="eastAsia" w:ascii="宋体" w:hAnsi="宋体" w:eastAsia="宋体" w:cs="宋体"/>
          <w:color w:val="auto"/>
          <w:sz w:val="21"/>
          <w:szCs w:val="21"/>
          <w:highlight w:val="none"/>
          <w:lang w:val="zh-CN"/>
        </w:rPr>
        <w:t xml:space="preserve">（大写人民币</w:t>
      </w:r>
      <w:r>
        <w:rPr>
          <w:rFonts w:hint="eastAsia" w:ascii="宋体" w:hAnsi="宋体" w:eastAsia="宋体" w:cs="宋体"/>
          <w:b/>
          <w:i/>
          <w:iCs/>
          <w:color w:val="auto"/>
          <w:sz w:val="21"/>
          <w:szCs w:val="21"/>
          <w:highlight w:val="none"/>
          <w:u w:val="single"/>
        </w:rPr>
        <w:t xml:space="preserve">             </w:t>
      </w:r>
      <w:r>
        <w:rPr>
          <w:rFonts w:hint="eastAsia" w:ascii="宋体" w:hAnsi="宋体" w:eastAsia="宋体" w:cs="宋体"/>
          <w:b/>
          <w:color w:val="auto"/>
          <w:sz w:val="21"/>
          <w:szCs w:val="21"/>
          <w:highlight w:val="none"/>
          <w:lang w:val="zh-CN"/>
        </w:rPr>
        <w:t xml:space="preserve">元</w:t>
      </w:r>
      <w:r>
        <w:rPr>
          <w:rFonts w:hint="eastAsia" w:ascii="宋体" w:hAnsi="宋体" w:eastAsia="宋体" w:cs="宋体"/>
          <w:color w:val="auto"/>
          <w:sz w:val="21"/>
          <w:szCs w:val="21"/>
          <w:highlight w:val="none"/>
          <w:lang w:val="zh-CN"/>
        </w:rPr>
        <w:t xml:space="preserve">）。此价格包含了</w:t>
      </w:r>
      <w:r>
        <w:rPr>
          <w:rFonts w:hint="eastAsia" w:ascii="宋体" w:hAnsi="宋体" w:eastAsia="宋体" w:cs="宋体"/>
          <w:color w:val="auto"/>
          <w:sz w:val="21"/>
          <w:szCs w:val="21"/>
          <w:highlight w:val="none"/>
          <w:lang w:val="zh-CN"/>
        </w:rPr>
        <w:t xml:space="preserve">完成标的物全部内容的成本、材料、安装、调试、人工、机械、</w:t>
      </w:r>
      <w:r>
        <w:rPr>
          <w:rFonts w:hint="eastAsia" w:ascii="宋体" w:hAnsi="宋体" w:cs="宋体"/>
          <w:color w:val="auto"/>
          <w:sz w:val="21"/>
          <w:szCs w:val="21"/>
          <w:highlight w:val="none"/>
          <w:lang w:val="zh-CN"/>
        </w:rPr>
        <w:t xml:space="preserve">保险、运费、检测费、</w:t>
      </w:r>
      <w:r>
        <w:rPr>
          <w:rFonts w:hint="eastAsia" w:ascii="宋体" w:hAnsi="宋体" w:eastAsia="宋体" w:cs="宋体"/>
          <w:color w:val="auto"/>
          <w:sz w:val="21"/>
          <w:szCs w:val="21"/>
          <w:highlight w:val="none"/>
          <w:lang w:val="zh-CN"/>
        </w:rPr>
        <w:t xml:space="preserve">劳保、包装、</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lang w:val="zh-CN"/>
        </w:rPr>
        <w:t xml:space="preserve">各种税费</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zh-CN"/>
        </w:rPr>
        <w:t xml:space="preserve">以及质保期间的一切费用。</w:t>
      </w:r>
      <w:r>
        <w:rPr>
          <w:rFonts w:hint="eastAsia" w:ascii="宋体" w:hAnsi="宋体" w:eastAsia="宋体" w:cs="宋体"/>
          <w:color w:val="auto"/>
          <w:sz w:val="21"/>
          <w:szCs w:val="21"/>
          <w:highlight w:val="none"/>
          <w:lang w:val="zh-CN"/>
        </w:rPr>
        <w:t xml:space="preserve">除非本合同另有约定，乙方不得再要求甲方支付任何其他价款或费用。详见招标文件和乙方中标响应文件。</w:t>
      </w:r>
      <w:r/>
    </w:p>
    <w:p>
      <w:pPr>
        <w:keepLines w:val="0"/>
        <w:keepNext w:val="0"/>
        <w:pageBreakBefore w:val="0"/>
        <w:spacing w:line="40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lang w:val="zh-CN" w:eastAsia="zh-CN"/>
        </w:rPr>
        <w:t xml:space="preserve">付款方式：</w:t>
      </w:r>
      <w:r>
        <w:rPr>
          <w:rFonts w:hint="eastAsia" w:ascii="宋体" w:hAnsi="宋体" w:eastAsia="宋体" w:cs="宋体"/>
          <w:b/>
          <w:color w:val="auto"/>
          <w:sz w:val="21"/>
          <w:szCs w:val="21"/>
          <w:highlight w:val="none"/>
          <w:lang w:val="en-US" w:eastAsia="zh-CN"/>
        </w:rPr>
        <w:t xml:space="preserve">合同签订后甲方支付合同价款的30%的货款，货物到现场后付至合同金额的50%，货物经甲方验收合格后付至合同金额的70%，审计结束后付至审定金额的80%，审计结束1年后付至审定金额的90%，审计结束2年后付至审定金额的95%,余款于审计结束3年后付清。甲方可根据实际情况调整付款比例和付款时间节点（</w:t>
      </w:r>
      <w:r>
        <w:rPr>
          <w:rFonts w:hint="eastAsia" w:ascii="宋体" w:hAnsi="宋体" w:cs="宋体"/>
          <w:b/>
          <w:color w:val="auto"/>
          <w:sz w:val="21"/>
          <w:szCs w:val="21"/>
          <w:highlight w:val="none"/>
          <w:lang w:val="en-US" w:eastAsia="zh-CN"/>
        </w:rPr>
        <w:t xml:space="preserve">具体</w:t>
      </w:r>
      <w:r>
        <w:rPr>
          <w:rFonts w:hint="eastAsia" w:ascii="宋体" w:hAnsi="宋体" w:eastAsia="宋体" w:cs="宋体"/>
          <w:b/>
          <w:color w:val="auto"/>
          <w:sz w:val="21"/>
          <w:szCs w:val="21"/>
          <w:highlight w:val="none"/>
          <w:lang w:val="en-US" w:eastAsia="zh-CN"/>
        </w:rPr>
        <w:t xml:space="preserve">按照</w:t>
      </w:r>
      <w:r>
        <w:rPr>
          <w:rFonts w:hint="eastAsia" w:ascii="宋体" w:hAnsi="宋体" w:cs="宋体"/>
          <w:b/>
          <w:color w:val="auto"/>
          <w:sz w:val="21"/>
          <w:szCs w:val="21"/>
          <w:highlight w:val="none"/>
          <w:lang w:val="en-US" w:eastAsia="zh-CN"/>
        </w:rPr>
        <w:t xml:space="preserve">盛泽</w:t>
      </w:r>
      <w:r>
        <w:rPr>
          <w:rFonts w:hint="eastAsia" w:ascii="宋体" w:hAnsi="宋体" w:eastAsia="宋体" w:cs="宋体"/>
          <w:b/>
          <w:color w:val="auto"/>
          <w:sz w:val="21"/>
          <w:szCs w:val="21"/>
          <w:highlight w:val="none"/>
          <w:lang w:val="en-US" w:eastAsia="zh-CN"/>
        </w:rPr>
        <w:t xml:space="preserve">镇统筹安排）。</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2.3 </w:t>
      </w:r>
      <w:r>
        <w:rPr>
          <w:rFonts w:hint="eastAsia" w:ascii="宋体" w:hAnsi="宋体" w:eastAsia="宋体" w:cs="宋体"/>
          <w:color w:val="auto"/>
          <w:sz w:val="21"/>
          <w:szCs w:val="21"/>
          <w:highlight w:val="none"/>
        </w:rPr>
        <w:t xml:space="preserve">每次付款前乙方须先向甲方提供以下资料，否则甲方有理由拒付，由此带来的损失由乙方自行承担：</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合法有效的增值税发票；</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付款申请；</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《政府采购合同履行验收报告》；</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履约保函等（如合同约定或招投标要求，首次付款时提供）；</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其他本合同约定的或甲方要求的材料。</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2.4 </w:t>
      </w:r>
      <w:r>
        <w:rPr>
          <w:rFonts w:hint="eastAsia" w:ascii="宋体" w:hAnsi="宋体" w:eastAsia="宋体" w:cs="宋体"/>
          <w:color w:val="auto"/>
          <w:sz w:val="21"/>
          <w:szCs w:val="21"/>
          <w:highlight w:val="none"/>
          <w:lang w:val="zh-CN"/>
        </w:rPr>
        <w:t xml:space="preserve">甲方按上述约定通过银行汇票或转账支票或转账等方式向乙方支付费用。</w:t>
      </w:r>
      <w:r/>
    </w:p>
    <w:p>
      <w:pPr>
        <w:ind w:left="0" w:firstLine="367"/>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乙方的银行账户信息如下：</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银行账号：</w:t>
      </w:r>
      <w:r>
        <w:rPr>
          <w:rFonts w:hint="eastAsia" w:ascii="宋体" w:hAnsi="宋体" w:eastAsia="宋体" w:cs="宋体"/>
          <w:b/>
          <w:bCs/>
          <w:i/>
          <w:iCs/>
          <w:color w:val="auto"/>
          <w:sz w:val="21"/>
          <w:szCs w:val="21"/>
          <w:highlight w:val="none"/>
          <w:u w:val="single"/>
        </w:rPr>
        <w:t xml:space="preserve">                  </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名：</w:t>
      </w:r>
      <w:r>
        <w:rPr>
          <w:rFonts w:hint="eastAsia" w:ascii="宋体" w:hAnsi="宋体" w:eastAsia="宋体" w:cs="宋体"/>
          <w:b/>
          <w:bCs/>
          <w:i/>
          <w:iCs/>
          <w:color w:val="auto"/>
          <w:sz w:val="21"/>
          <w:szCs w:val="21"/>
          <w:highlight w:val="none"/>
          <w:u w:val="single"/>
        </w:rPr>
        <w:t xml:space="preserve">                     </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开</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行：</w:t>
      </w:r>
      <w:r>
        <w:rPr>
          <w:rFonts w:hint="eastAsia" w:ascii="宋体" w:hAnsi="宋体" w:eastAsia="宋体" w:cs="宋体"/>
          <w:b/>
          <w:bCs/>
          <w:i/>
          <w:iCs/>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履约保证金</w:t>
      </w:r>
      <w:r/>
    </w:p>
    <w:p>
      <w:pPr>
        <w:ind w:firstLine="464"/>
        <w:spacing w:line="360" w:lineRule="auto"/>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lang w:val="en-US" w:eastAsia="zh-CN"/>
        </w:rPr>
        <w:t xml:space="preserve">2.5.</w:t>
      </w:r>
      <w:r>
        <w:rPr>
          <w:rFonts w:hint="eastAsia" w:ascii="宋体" w:hAnsi="宋体" w:eastAsia="宋体" w:cs="宋体"/>
          <w:color w:val="auto"/>
          <w:spacing w:val="11"/>
          <w:sz w:val="21"/>
          <w:szCs w:val="21"/>
          <w:highlight w:val="none"/>
        </w:rPr>
        <w:t xml:space="preserve">1乙方应在合同签订前，向甲方交纳履约保证金，履约保证金为合同金额的</w:t>
      </w:r>
      <w:r>
        <w:rPr>
          <w:rFonts w:hint="eastAsia" w:ascii="宋体" w:hAnsi="宋体" w:cs="宋体"/>
          <w:color w:val="auto"/>
          <w:spacing w:val="11"/>
          <w:sz w:val="21"/>
          <w:szCs w:val="21"/>
          <w:highlight w:val="none"/>
          <w:lang w:val="en-US" w:eastAsia="zh-CN"/>
        </w:rPr>
        <w:t xml:space="preserve">10</w:t>
      </w:r>
      <w:r>
        <w:rPr>
          <w:rFonts w:hint="eastAsia" w:ascii="宋体" w:hAnsi="宋体" w:eastAsia="宋体" w:cs="宋体"/>
          <w:color w:val="auto"/>
          <w:spacing w:val="11"/>
          <w:sz w:val="21"/>
          <w:szCs w:val="21"/>
          <w:highlight w:val="none"/>
        </w:rPr>
        <w:t xml:space="preserve">%,履约保证金有效期应不低于合同有效期。乙方可自主选择以支票、汇票、本票、保函等非现金形式缴纳或提交。</w:t>
      </w:r>
      <w:r/>
    </w:p>
    <w:p>
      <w:pPr>
        <w:ind w:firstLine="464"/>
        <w:spacing w:line="360" w:lineRule="auto"/>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lang w:val="en-US" w:eastAsia="zh-CN"/>
        </w:rPr>
        <w:t xml:space="preserve">2.5</w:t>
      </w:r>
      <w:r>
        <w:rPr>
          <w:rFonts w:hint="eastAsia" w:ascii="宋体" w:hAnsi="宋体" w:eastAsia="宋体" w:cs="宋体"/>
          <w:color w:val="auto"/>
          <w:spacing w:val="11"/>
          <w:sz w:val="21"/>
          <w:szCs w:val="21"/>
          <w:highlight w:val="none"/>
        </w:rPr>
        <w:t xml:space="preserve">.2乙方不履行合同的，履约保证金不予退还，给甲方造成的损失超过履约保证金数额的，还应当对超过部分予以赔偿。但因不可抗力不能履行合同的，不适用此款规定。</w:t>
      </w:r>
      <w:r/>
    </w:p>
    <w:p>
      <w:pPr>
        <w:ind w:firstLine="464"/>
        <w:spacing w:line="360" w:lineRule="auto"/>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lang w:val="en-US" w:eastAsia="zh-CN"/>
        </w:rPr>
        <w:t xml:space="preserve">2.5</w:t>
      </w:r>
      <w:r>
        <w:rPr>
          <w:rFonts w:hint="eastAsia" w:ascii="宋体" w:hAnsi="宋体" w:eastAsia="宋体" w:cs="宋体"/>
          <w:color w:val="auto"/>
          <w:spacing w:val="11"/>
          <w:sz w:val="21"/>
          <w:szCs w:val="21"/>
          <w:highlight w:val="none"/>
        </w:rPr>
        <w:t xml:space="preserve">.3履约保证金（无息）待乙方将合同义务全部履行完毕后，并结清应由乙方承担的各项费用后一个月后退回所有款项（不计息）。</w:t>
      </w:r>
      <w:r/>
    </w:p>
    <w:p>
      <w:pPr>
        <w:ind w:firstLine="420"/>
        <w:spacing w:line="360" w:lineRule="auto"/>
        <w:rPr>
          <w:rFonts w:hint="eastAsia" w:ascii="宋体" w:hAnsi="宋体" w:eastAsia="宋体" w:cs="宋体"/>
          <w:b/>
          <w:color w:val="auto"/>
          <w:sz w:val="21"/>
          <w:szCs w:val="21"/>
          <w:highlight w:val="none"/>
          <w:lang w:val="zh-CN"/>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根据《关于在全省政府采购领域推行电子履约保函（保险）的通知》（苏财购〔2023〕150号）规定，</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val="zh-CN"/>
        </w:rPr>
        <w:t xml:space="preserve">条、标的物的交付</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3.1 </w:t>
      </w:r>
      <w:r>
        <w:rPr>
          <w:rFonts w:hint="eastAsia" w:ascii="宋体" w:hAnsi="宋体" w:eastAsia="宋体" w:cs="宋体"/>
          <w:color w:val="auto"/>
          <w:sz w:val="21"/>
          <w:szCs w:val="21"/>
          <w:highlight w:val="none"/>
        </w:rPr>
        <w:t xml:space="preserve">标的物的所有权及毁损灭失等风险均自标的物交付时由乙方转移至甲方。</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3.2 </w:t>
      </w:r>
      <w:r>
        <w:rPr>
          <w:rFonts w:hint="eastAsia" w:ascii="宋体" w:hAnsi="宋体" w:eastAsia="宋体" w:cs="宋体"/>
          <w:color w:val="auto"/>
          <w:sz w:val="21"/>
          <w:szCs w:val="21"/>
          <w:highlight w:val="none"/>
        </w:rPr>
        <w:t xml:space="preserve">交付时，乙方应当按照双方约定或者交易习惯向甲方同时交付保修单、使用说明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、质量证明等附随资料原件。该等附随资料如只能提供复印件的，应当加盖公章。</w:t>
      </w:r>
      <w:r/>
    </w:p>
    <w:p>
      <w:pPr>
        <w:numPr>
          <w:ilvl w:val="0"/>
          <w:numId w:val="0"/>
        </w:numPr>
        <w:jc w:val="left"/>
        <w:spacing w:line="400" w:lineRule="exact"/>
        <w:rPr>
          <w:rFonts w:hint="eastAsia" w:ascii="宋体" w:hAnsi="宋体" w:cs="宋体"/>
          <w:i/>
          <w:color w:val="auto"/>
          <w:sz w:val="21"/>
          <w:szCs w:val="21"/>
          <w:highlight w:val="none"/>
        </w:rPr>
      </w:pPr>
      <w:r>
        <w:rPr>
          <w:rFonts w:hint="eastAsia" w:ascii="宋体" w:hAnsi="宋体" w:eastAsia="宋体" w:cs="宋体"/>
          <w:b/>
          <w:bCs/>
          <w:color w:val="auto"/>
          <w:sz w:val="21"/>
          <w:szCs w:val="21"/>
          <w:highlight w:val="none"/>
          <w:lang w:val="en-US" w:eastAsia="zh-CN"/>
        </w:rPr>
        <w:t xml:space="preserve">3.3 </w:t>
      </w:r>
      <w:r>
        <w:rPr>
          <w:rFonts w:hint="eastAsia" w:ascii="宋体" w:hAnsi="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eastAsia="zh-CN"/>
        </w:rPr>
        <w:t xml:space="preserve">40</w:t>
      </w:r>
      <w:r>
        <w:rPr>
          <w:rFonts w:hint="eastAsia" w:ascii="宋体" w:hAnsi="宋体" w:cs="宋体"/>
          <w:color w:val="auto"/>
          <w:szCs w:val="21"/>
          <w:highlight w:val="none"/>
          <w:lang w:val="en-US" w:eastAsia="zh-CN"/>
        </w:rPr>
        <w:t xml:space="preserve">日历天，自   年  月  日至   年  月  日止</w:t>
      </w:r>
      <w:r>
        <w:rPr>
          <w:rFonts w:hint="eastAsia" w:ascii="宋体" w:hAnsi="宋体" w:cs="宋体"/>
          <w:b/>
          <w:bCs/>
          <w:color w:val="auto"/>
          <w:sz w:val="21"/>
          <w:szCs w:val="21"/>
          <w:highlight w:val="none"/>
          <w:u w:val="single"/>
          <w:lang w:eastAsia="zh-CN"/>
        </w:rPr>
        <w:t xml:space="preserve">。</w:t>
      </w:r>
      <w:r/>
    </w:p>
    <w:p>
      <w:pPr>
        <w:numPr>
          <w:ilvl w:val="0"/>
          <w:numId w:val="0"/>
        </w:numPr>
        <w:jc w:val="lef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3.4 </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乙方交货至甲方指定地点</w:t>
      </w:r>
      <w:r>
        <w:rPr>
          <w:rFonts w:hint="eastAsia" w:ascii="宋体" w:hAnsi="宋体" w:eastAsia="宋体" w:cs="宋体"/>
          <w:color w:val="auto"/>
          <w:sz w:val="21"/>
          <w:szCs w:val="21"/>
          <w:highlight w:val="none"/>
          <w:lang w:val="zh-CN"/>
        </w:rPr>
        <w:t xml:space="preserve">。如有变更，以甲方另行通知为准。</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5 </w:t>
      </w:r>
      <w:r>
        <w:rPr>
          <w:rFonts w:hint="eastAsia" w:ascii="宋体" w:hAnsi="宋体" w:eastAsia="宋体" w:cs="宋体"/>
          <w:color w:val="auto"/>
          <w:sz w:val="21"/>
          <w:szCs w:val="21"/>
          <w:highlight w:val="none"/>
          <w:lang w:val="zh-CN"/>
        </w:rPr>
        <w:t xml:space="preserve">符合或满足下列全部条件后即为或视为完成交付：</w:t>
      </w:r>
      <w:r/>
    </w:p>
    <w:p>
      <w:pPr>
        <w:ind w:left="420"/>
        <w:jc w:val="left"/>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1）全部标的货物</w:t>
      </w:r>
      <w:r>
        <w:rPr>
          <w:rFonts w:hint="eastAsia" w:ascii="宋体" w:hAnsi="宋体" w:cs="宋体"/>
          <w:color w:val="auto"/>
          <w:sz w:val="21"/>
          <w:szCs w:val="21"/>
          <w:highlight w:val="none"/>
          <w:lang w:val="en-US" w:eastAsia="zh-CN"/>
        </w:rPr>
        <w:t xml:space="preserve">交付至</w:t>
      </w:r>
      <w:r>
        <w:rPr>
          <w:rFonts w:hint="eastAsia" w:ascii="宋体" w:hAnsi="宋体" w:eastAsia="宋体" w:cs="宋体"/>
          <w:color w:val="auto"/>
          <w:sz w:val="21"/>
          <w:szCs w:val="21"/>
          <w:highlight w:val="none"/>
          <w:lang w:val="zh-CN"/>
        </w:rPr>
        <w:t xml:space="preserve">合同约定地点；</w:t>
      </w:r>
      <w:r/>
    </w:p>
    <w:p>
      <w:pPr>
        <w:ind w:left="420"/>
        <w:jc w:val="left"/>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2）甲方验收合格；</w:t>
      </w:r>
      <w:r/>
    </w:p>
    <w:p>
      <w:pPr>
        <w:ind w:left="420"/>
        <w:jc w:val="left"/>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3）全部附随资料由甲方代表签收认可；</w:t>
      </w:r>
      <w:r/>
    </w:p>
    <w:p>
      <w:pPr>
        <w:ind w:left="420"/>
        <w:jc w:val="left"/>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4）合同约定的其他交付条件。</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val="zh-CN"/>
        </w:rPr>
        <w:t xml:space="preserve">条、</w:t>
      </w:r>
      <w:r>
        <w:rPr>
          <w:rFonts w:hint="eastAsia" w:ascii="宋体" w:hAnsi="宋体" w:cs="宋体"/>
          <w:b/>
          <w:color w:val="auto"/>
          <w:sz w:val="21"/>
          <w:szCs w:val="21"/>
          <w:highlight w:val="none"/>
          <w:lang w:val="en-US" w:eastAsia="zh-CN"/>
        </w:rPr>
        <w:t xml:space="preserve">货物</w:t>
      </w:r>
      <w:r>
        <w:rPr>
          <w:rFonts w:hint="eastAsia" w:ascii="宋体" w:hAnsi="宋体" w:eastAsia="宋体" w:cs="宋体"/>
          <w:b/>
          <w:color w:val="auto"/>
          <w:sz w:val="21"/>
          <w:szCs w:val="21"/>
          <w:highlight w:val="none"/>
          <w:lang w:val="zh-CN"/>
        </w:rPr>
        <w:t xml:space="preserve">安装</w:t>
      </w:r>
      <w:r>
        <w:rPr>
          <w:rFonts w:hint="eastAsia" w:ascii="宋体" w:hAnsi="宋体" w:cs="宋体"/>
          <w:b/>
          <w:color w:val="auto"/>
          <w:sz w:val="21"/>
          <w:szCs w:val="21"/>
          <w:highlight w:val="none"/>
          <w:lang w:val="en-US" w:eastAsia="zh-CN"/>
        </w:rPr>
        <w:t xml:space="preserve">作业</w:t>
      </w:r>
      <w:r>
        <w:rPr>
          <w:rFonts w:hint="eastAsia" w:ascii="宋体" w:hAnsi="宋体" w:eastAsia="宋体" w:cs="宋体"/>
          <w:b/>
          <w:color w:val="auto"/>
          <w:sz w:val="21"/>
          <w:szCs w:val="21"/>
          <w:highlight w:val="none"/>
          <w:lang w:val="zh-CN"/>
        </w:rPr>
        <w:t xml:space="preserve">现场要求</w:t>
      </w:r>
      <w:r/>
    </w:p>
    <w:p>
      <w:pPr>
        <w:numPr>
          <w:ilvl w:val="0"/>
          <w:numId w:val="0"/>
        </w:numPr>
        <w:jc w:val="left"/>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4.1 </w:t>
      </w:r>
      <w:r>
        <w:rPr>
          <w:rFonts w:hint="eastAsia" w:ascii="宋体" w:hAnsi="宋体" w:eastAsia="宋体" w:cs="宋体"/>
          <w:color w:val="auto"/>
          <w:sz w:val="21"/>
          <w:szCs w:val="21"/>
          <w:highlight w:val="none"/>
          <w:lang w:val="zh-CN"/>
        </w:rPr>
        <w:t xml:space="preserve">乙方</w:t>
      </w:r>
      <w:r>
        <w:rPr>
          <w:rFonts w:hint="eastAsia" w:ascii="宋体" w:hAnsi="宋体" w:eastAsia="宋体" w:cs="宋体"/>
          <w:color w:val="auto"/>
          <w:sz w:val="21"/>
          <w:szCs w:val="21"/>
          <w:highlight w:val="none"/>
        </w:rPr>
        <w:t xml:space="preserve">应遵守现场的规章制度，按照甲方要求文明</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、安全</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。乙方</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人员的人身安全和</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现场的财产安全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Cs w:val="21"/>
          <w:highlight w:val="none"/>
          <w:lang w:val="zh-CN"/>
        </w:rPr>
        <w:t xml:space="preserve">在项目实施过程中</w:t>
      </w:r>
      <w:r>
        <w:rPr>
          <w:rFonts w:hint="eastAsia" w:ascii="宋体" w:hAnsi="宋体" w:eastAsia="宋体" w:cs="宋体"/>
          <w:color w:val="auto"/>
          <w:szCs w:val="21"/>
          <w:highlight w:val="none"/>
        </w:rPr>
        <w:t xml:space="preserve">（包括上下班途中）</w:t>
      </w:r>
      <w:r>
        <w:rPr>
          <w:rFonts w:hint="eastAsia" w:ascii="宋体" w:hAnsi="宋体" w:eastAsia="宋体" w:cs="宋体"/>
          <w:color w:val="auto"/>
          <w:szCs w:val="21"/>
          <w:highlight w:val="none"/>
          <w:lang w:val="zh-CN"/>
        </w:rPr>
        <w:t xml:space="preserve">的相关人员、财产的风险和责任</w:t>
      </w:r>
      <w:r>
        <w:rPr>
          <w:rFonts w:hint="eastAsia" w:ascii="宋体" w:hAnsi="宋体" w:eastAsia="宋体" w:cs="宋体"/>
          <w:color w:val="auto"/>
          <w:szCs w:val="21"/>
          <w:highlight w:val="none"/>
        </w:rPr>
        <w:t xml:space="preserve">均由</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负责处理并承担经济和道义上的责任，</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不承担任何相关责任</w:t>
      </w:r>
      <w:r>
        <w:rPr>
          <w:rFonts w:hint="eastAsia" w:ascii="宋体" w:hAnsi="宋体" w:eastAsia="宋体" w:cs="宋体"/>
          <w:color w:val="auto"/>
          <w:szCs w:val="21"/>
          <w:highlight w:val="none"/>
          <w:lang w:val="zh-CN"/>
        </w:rPr>
        <w:t xml:space="preserve">。</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4.2 </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现场的协调工作由</w:t>
      </w:r>
      <w:r>
        <w:rPr>
          <w:rFonts w:hint="eastAsia" w:ascii="宋体" w:hAnsi="宋体" w:eastAsia="宋体" w:cs="宋体"/>
          <w:color w:val="auto"/>
          <w:sz w:val="21"/>
          <w:szCs w:val="21"/>
          <w:highlight w:val="none"/>
          <w:lang w:val="zh-CN"/>
        </w:rPr>
        <w:t xml:space="preserve">乙方</w:t>
      </w:r>
      <w:r>
        <w:rPr>
          <w:rFonts w:hint="eastAsia" w:ascii="宋体" w:hAnsi="宋体" w:eastAsia="宋体" w:cs="宋体"/>
          <w:color w:val="auto"/>
          <w:sz w:val="21"/>
          <w:szCs w:val="21"/>
          <w:highlight w:val="none"/>
        </w:rPr>
        <w:t xml:space="preserve">负责，甲方予以配合。</w:t>
      </w:r>
      <w:r/>
    </w:p>
    <w:p>
      <w:pPr>
        <w:numPr>
          <w:ilvl w:val="0"/>
          <w:numId w:val="0"/>
        </w:num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4.3 </w:t>
      </w:r>
      <w:r>
        <w:rPr>
          <w:rFonts w:hint="eastAsia" w:ascii="宋体" w:hAnsi="宋体" w:eastAsia="宋体" w:cs="宋体"/>
          <w:color w:val="auto"/>
          <w:sz w:val="21"/>
          <w:szCs w:val="21"/>
          <w:highlight w:val="none"/>
          <w:lang w:val="zh-CN"/>
        </w:rPr>
        <w:t xml:space="preserve">乙方</w:t>
      </w:r>
      <w:r>
        <w:rPr>
          <w:rFonts w:hint="eastAsia" w:ascii="宋体" w:hAnsi="宋体" w:eastAsia="宋体" w:cs="宋体"/>
          <w:color w:val="auto"/>
          <w:sz w:val="21"/>
          <w:szCs w:val="21"/>
          <w:highlight w:val="none"/>
        </w:rPr>
        <w:t xml:space="preserve">负责运抵现场的标的物、安装设备（工具）等的适当保护、保管、包装或覆盖等处理，直至验收合格，以免受损。</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在安装、调试期间或保修过程中，</w:t>
      </w:r>
      <w:r>
        <w:rPr>
          <w:rFonts w:hint="eastAsia" w:ascii="宋体" w:hAnsi="宋体" w:eastAsia="宋体" w:cs="宋体"/>
          <w:color w:val="auto"/>
          <w:sz w:val="21"/>
          <w:szCs w:val="21"/>
          <w:highlight w:val="none"/>
          <w:lang w:val="zh-CN"/>
        </w:rPr>
        <w:t xml:space="preserve">乙方应</w:t>
      </w:r>
      <w:r>
        <w:rPr>
          <w:rFonts w:hint="eastAsia" w:ascii="宋体" w:hAnsi="宋体" w:eastAsia="宋体" w:cs="宋体"/>
          <w:color w:val="auto"/>
          <w:sz w:val="21"/>
          <w:szCs w:val="21"/>
          <w:highlight w:val="none"/>
        </w:rPr>
        <w:t xml:space="preserve">负责及时清理现场垃圾。</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货物</w:t>
      </w:r>
      <w:r>
        <w:rPr>
          <w:rFonts w:hint="eastAsia" w:ascii="宋体" w:hAnsi="宋体" w:eastAsia="宋体" w:cs="宋体"/>
          <w:color w:val="auto"/>
          <w:sz w:val="21"/>
          <w:szCs w:val="21"/>
          <w:highlight w:val="none"/>
        </w:rPr>
        <w:t xml:space="preserve">安装调试完毕后，乙方应提请甲方进行最终验收。</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val="zh-CN"/>
        </w:rPr>
        <w:t xml:space="preserve">条、包装</w:t>
      </w:r>
      <w:r/>
    </w:p>
    <w:p>
      <w:pPr>
        <w:pStyle w:val="656"/>
        <w:ind w:left="0" w:firstLine="420"/>
        <w:spacing w:line="400" w:lineRule="exact"/>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乙方提供的</w:t>
      </w:r>
      <w:r>
        <w:rPr>
          <w:rFonts w:hint="eastAsia" w:ascii="宋体" w:hAnsi="宋体" w:cs="宋体"/>
          <w:color w:val="auto"/>
          <w:sz w:val="21"/>
          <w:szCs w:val="21"/>
          <w:highlight w:val="none"/>
          <w:lang w:val="en-US" w:eastAsia="zh-CN"/>
        </w:rPr>
        <w:t xml:space="preserve">货物</w:t>
      </w:r>
      <w:r>
        <w:rPr>
          <w:rFonts w:hint="eastAsia" w:ascii="宋体" w:hAnsi="宋体" w:eastAsia="宋体" w:cs="宋体"/>
          <w:color w:val="auto"/>
          <w:sz w:val="21"/>
          <w:szCs w:val="21"/>
          <w:highlight w:val="none"/>
        </w:rPr>
        <w:t xml:space="preserve">必须为原包装，</w:t>
      </w:r>
      <w:r>
        <w:rPr>
          <w:rFonts w:hint="eastAsia" w:ascii="宋体" w:hAnsi="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送交甲方查验。</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val="zh-CN"/>
        </w:rPr>
        <w:t xml:space="preserve">条、产品质量</w:t>
      </w:r>
      <w:r>
        <w:rPr>
          <w:rFonts w:hint="eastAsia" w:ascii="宋体" w:hAnsi="宋体" w:eastAsia="宋体" w:cs="宋体"/>
          <w:b/>
          <w:color w:val="auto"/>
          <w:sz w:val="21"/>
          <w:szCs w:val="21"/>
          <w:highlight w:val="none"/>
          <w:lang w:val="zh-CN"/>
        </w:rPr>
        <w:tab/>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6.1 </w:t>
      </w:r>
      <w:r>
        <w:rPr>
          <w:rFonts w:hint="eastAsia" w:ascii="宋体" w:hAnsi="宋体" w:eastAsia="宋体" w:cs="宋体"/>
          <w:color w:val="auto"/>
          <w:sz w:val="21"/>
          <w:szCs w:val="21"/>
          <w:highlight w:val="none"/>
          <w:lang w:val="zh-CN"/>
        </w:rPr>
        <w:t xml:space="preserve">乙方应保证所提供的标的物是全新的、未使用过的，并且是非长期（长期是指一年或以上）积压的库存商品，符合合同规定的质量标准、规格和性能要求。质量保证期限内，乙方对由于设计、工艺或材料的缺陷及伴随服务而造成的任何缺陷、不足等负责。标的物出现质量问题时，乙方无条件包退、包换、包修，由此产生的费用和其他责任概由乙方承担。</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6.2 </w:t>
      </w:r>
      <w:r>
        <w:rPr>
          <w:rFonts w:hint="eastAsia" w:ascii="宋体" w:hAnsi="宋体" w:cs="宋体"/>
          <w:color w:val="auto"/>
          <w:sz w:val="21"/>
          <w:szCs w:val="21"/>
          <w:highlight w:val="none"/>
          <w:lang w:val="en-US" w:eastAsia="zh-CN"/>
        </w:rPr>
        <w:t xml:space="preserve">如双方对验收结果有分歧，则以苏州市技术监督局的检验结果为准，检验费由有过失的一方承担，双方均有错误的，合理分担</w:t>
      </w:r>
      <w:r>
        <w:rPr>
          <w:rFonts w:hint="eastAsia" w:ascii="宋体" w:hAnsi="宋体" w:eastAsia="宋体" w:cs="宋体"/>
          <w:color w:val="auto"/>
          <w:sz w:val="21"/>
          <w:szCs w:val="21"/>
          <w:highlight w:val="none"/>
          <w:lang w:val="zh-CN"/>
        </w:rPr>
        <w:t xml:space="preserve">。</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6.3 </w:t>
      </w:r>
      <w:r>
        <w:rPr>
          <w:rFonts w:hint="eastAsia" w:ascii="宋体" w:hAnsi="宋体" w:eastAsia="宋体" w:cs="宋体"/>
          <w:color w:val="auto"/>
          <w:sz w:val="21"/>
          <w:szCs w:val="21"/>
          <w:highlight w:val="none"/>
          <w:lang w:val="zh-CN"/>
        </w:rPr>
        <w:t xml:space="preserve">关于标的物的产品质量有国家标准、行业标准、厂家标准的，如相互之间不一致，以质量标准高者为准。</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val="zh-CN"/>
        </w:rPr>
        <w:t xml:space="preserve">条、验收</w:t>
      </w:r>
      <w:r/>
    </w:p>
    <w:p>
      <w:pPr>
        <w:numPr>
          <w:ilvl w:val="0"/>
          <w:numId w:val="0"/>
        </w:numPr>
        <w:ind w:firstLine="420"/>
        <w:keepLines w:val="0"/>
        <w:keepNext w:val="0"/>
        <w:pageBreakBefore w:val="0"/>
        <w:spacing w:line="360" w:lineRule="auto"/>
        <w:widowControl w:val="off"/>
        <w:rPr>
          <w:rFonts w:hint="eastAsia" w:ascii="Calibri" w:hAnsi="Calibri" w:cs="Times New Roman"/>
          <w:color w:val="auto"/>
          <w:szCs w:val="21"/>
          <w:highlight w:val="none"/>
          <w:u w:val="none"/>
          <w:lang w:val="en-US" w:eastAsia="zh-CN"/>
        </w:rPr>
      </w:pPr>
      <w:r>
        <w:rPr>
          <w:rFonts w:hint="eastAsia" w:eastAsia="宋体" w:cs="Times New Roman"/>
          <w:color w:val="auto"/>
          <w:szCs w:val="21"/>
          <w:highlight w:val="none"/>
          <w:u w:val="none"/>
          <w:lang w:val="en-US" w:eastAsia="zh-CN"/>
        </w:rPr>
        <w:t xml:space="preserve">7.1</w:t>
      </w:r>
      <w:r>
        <w:rPr>
          <w:rFonts w:hint="eastAsia" w:cs="Times New Roman"/>
          <w:color w:val="auto"/>
          <w:szCs w:val="21"/>
          <w:highlight w:val="none"/>
          <w:u w:val="none"/>
          <w:lang w:val="en-US" w:eastAsia="zh-CN"/>
        </w:rPr>
        <w:t xml:space="preserve">原</w:t>
      </w:r>
      <w:r>
        <w:rPr>
          <w:rFonts w:hint="eastAsia" w:ascii="Calibri" w:hAnsi="Calibri" w:eastAsia="宋体" w:cs="Times New Roman"/>
          <w:color w:val="auto"/>
          <w:szCs w:val="21"/>
          <w:highlight w:val="none"/>
          <w:u w:val="none"/>
          <w:lang w:val="zh-CN"/>
        </w:rPr>
        <w:t xml:space="preserve">材料</w:t>
      </w:r>
      <w:r>
        <w:rPr>
          <w:rFonts w:hint="eastAsia" w:ascii="Calibri" w:hAnsi="Calibri" w:cs="Times New Roman"/>
          <w:color w:val="auto"/>
          <w:szCs w:val="21"/>
          <w:highlight w:val="none"/>
          <w:u w:val="none"/>
          <w:lang w:val="en-US" w:eastAsia="zh-CN"/>
        </w:rPr>
        <w:t xml:space="preserve">检测</w:t>
      </w:r>
      <w:r>
        <w:rPr>
          <w:rFonts w:hint="eastAsia" w:cs="Times New Roman"/>
          <w:color w:val="auto"/>
          <w:szCs w:val="21"/>
          <w:highlight w:val="none"/>
          <w:u w:val="none"/>
          <w:lang w:val="en-US" w:eastAsia="zh-CN"/>
        </w:rPr>
        <w:t xml:space="preserve">、验收</w:t>
      </w:r>
      <w:r>
        <w:rPr>
          <w:rFonts w:hint="eastAsia" w:ascii="Calibri" w:hAnsi="Calibri" w:eastAsia="宋体" w:cs="Times New Roman"/>
          <w:color w:val="auto"/>
          <w:szCs w:val="21"/>
          <w:highlight w:val="none"/>
          <w:u w:val="none"/>
          <w:lang w:val="zh-CN"/>
        </w:rPr>
        <w:t xml:space="preserve">：为确保</w:t>
      </w:r>
      <w:r>
        <w:rPr>
          <w:rFonts w:hint="eastAsia" w:cs="Times New Roman"/>
          <w:color w:val="auto"/>
          <w:szCs w:val="21"/>
          <w:highlight w:val="none"/>
          <w:u w:val="none"/>
          <w:lang w:val="en-US" w:eastAsia="zh-CN"/>
        </w:rPr>
        <w:t xml:space="preserve">原材料</w:t>
      </w:r>
      <w:r>
        <w:rPr>
          <w:rFonts w:hint="eastAsia" w:ascii="Calibri" w:hAnsi="Calibri" w:eastAsia="宋体" w:cs="Times New Roman"/>
          <w:color w:val="auto"/>
          <w:szCs w:val="21"/>
          <w:highlight w:val="none"/>
          <w:u w:val="none"/>
          <w:lang w:val="zh-CN"/>
        </w:rPr>
        <w:t xml:space="preserve">质量，</w:t>
      </w:r>
      <w:r>
        <w:rPr>
          <w:rFonts w:hint="eastAsia" w:cs="Times New Roman"/>
          <w:color w:val="auto"/>
          <w:szCs w:val="21"/>
          <w:highlight w:val="none"/>
          <w:u w:val="none"/>
          <w:lang w:val="en-US" w:eastAsia="zh-CN"/>
        </w:rPr>
        <w:t xml:space="preserve">本项目原</w:t>
      </w:r>
      <w:r>
        <w:rPr>
          <w:rFonts w:hint="eastAsia" w:ascii="Calibri" w:hAnsi="Calibri" w:eastAsia="宋体" w:cs="Times New Roman"/>
          <w:color w:val="auto"/>
          <w:szCs w:val="21"/>
          <w:highlight w:val="none"/>
          <w:u w:val="none"/>
          <w:lang w:val="zh-CN"/>
        </w:rPr>
        <w:t xml:space="preserve">材料进场，</w:t>
      </w:r>
      <w:r>
        <w:rPr>
          <w:rFonts w:hint="eastAsia" w:cs="Times New Roman"/>
          <w:color w:val="auto"/>
          <w:szCs w:val="21"/>
          <w:highlight w:val="none"/>
          <w:u w:val="none"/>
          <w:lang w:val="en-US" w:eastAsia="zh-CN"/>
        </w:rPr>
        <w:t xml:space="preserve">乙方应提前向甲方</w:t>
      </w:r>
      <w:r>
        <w:rPr>
          <w:rFonts w:hint="eastAsia" w:ascii="Calibri" w:hAnsi="Calibri" w:eastAsia="宋体" w:cs="Times New Roman"/>
          <w:color w:val="auto"/>
          <w:szCs w:val="21"/>
          <w:highlight w:val="none"/>
          <w:u w:val="none"/>
          <w:lang w:val="zh-CN"/>
        </w:rPr>
        <w:t xml:space="preserve">申报，</w:t>
      </w:r>
      <w:r>
        <w:rPr>
          <w:rFonts w:hint="eastAsia" w:cs="Times New Roman"/>
          <w:color w:val="auto"/>
          <w:szCs w:val="21"/>
          <w:highlight w:val="none"/>
          <w:u w:val="none"/>
          <w:lang w:val="en-US" w:eastAsia="zh-CN"/>
        </w:rPr>
        <w:t xml:space="preserve">经甲方及</w:t>
      </w:r>
      <w:r>
        <w:rPr>
          <w:rFonts w:hint="eastAsia" w:ascii="Calibri" w:hAnsi="Calibri" w:eastAsia="宋体" w:cs="Times New Roman"/>
          <w:color w:val="auto"/>
          <w:szCs w:val="21"/>
          <w:highlight w:val="none"/>
          <w:u w:val="none"/>
          <w:lang w:val="zh-CN"/>
        </w:rPr>
        <w:t xml:space="preserve">监理</w:t>
      </w:r>
      <w:r>
        <w:rPr>
          <w:rFonts w:hint="eastAsia" w:cs="Times New Roman"/>
          <w:color w:val="auto"/>
          <w:szCs w:val="21"/>
          <w:highlight w:val="none"/>
          <w:u w:val="none"/>
          <w:lang w:val="zh-CN"/>
        </w:rPr>
        <w:t xml:space="preserve">（</w:t>
      </w:r>
      <w:r>
        <w:rPr>
          <w:rFonts w:hint="eastAsia" w:cs="Times New Roman"/>
          <w:color w:val="auto"/>
          <w:szCs w:val="21"/>
          <w:highlight w:val="none"/>
          <w:u w:val="none"/>
          <w:lang w:val="en-US" w:eastAsia="zh-CN"/>
        </w:rPr>
        <w:t xml:space="preserve">如有</w:t>
      </w:r>
      <w:r>
        <w:rPr>
          <w:rFonts w:hint="eastAsia" w:cs="Times New Roman"/>
          <w:color w:val="auto"/>
          <w:szCs w:val="21"/>
          <w:highlight w:val="none"/>
          <w:u w:val="none"/>
          <w:lang w:val="zh-CN"/>
        </w:rPr>
        <w:t xml:space="preserve">）</w:t>
      </w:r>
      <w:r>
        <w:rPr>
          <w:rFonts w:hint="eastAsia" w:ascii="Calibri" w:hAnsi="Calibri" w:eastAsia="宋体" w:cs="Times New Roman"/>
          <w:color w:val="auto"/>
          <w:szCs w:val="21"/>
          <w:highlight w:val="none"/>
          <w:u w:val="none"/>
          <w:lang w:val="zh-CN"/>
        </w:rPr>
        <w:t xml:space="preserve">批准后方可进场，</w:t>
      </w:r>
      <w:r>
        <w:rPr>
          <w:rFonts w:hint="eastAsia" w:cs="Times New Roman"/>
          <w:color w:val="auto"/>
          <w:szCs w:val="21"/>
          <w:highlight w:val="none"/>
          <w:u w:val="none"/>
          <w:lang w:val="en-US" w:eastAsia="zh-CN"/>
        </w:rPr>
        <w:t xml:space="preserve">且材料必须一次性全部进场，堆放至甲方指定区域，甲方将进行封闭式管理；甲方将</w:t>
      </w:r>
      <w:r>
        <w:rPr>
          <w:rFonts w:hint="eastAsia" w:ascii="Calibri" w:hAnsi="Calibri" w:cs="Times New Roman"/>
          <w:color w:val="auto"/>
          <w:szCs w:val="21"/>
          <w:highlight w:val="none"/>
          <w:u w:val="none"/>
          <w:lang w:val="en-US" w:eastAsia="zh-CN"/>
        </w:rPr>
        <w:t xml:space="preserve">按招标文件及合同要求对</w:t>
      </w:r>
      <w:r>
        <w:rPr>
          <w:rFonts w:hint="eastAsia" w:cs="Times New Roman"/>
          <w:color w:val="auto"/>
          <w:szCs w:val="21"/>
          <w:highlight w:val="none"/>
          <w:u w:val="none"/>
          <w:lang w:val="en-US" w:eastAsia="zh-CN"/>
        </w:rPr>
        <w:t xml:space="preserve">乙方</w:t>
      </w:r>
      <w:r>
        <w:rPr>
          <w:rFonts w:hint="eastAsia" w:ascii="Calibri" w:hAnsi="Calibri" w:cs="Times New Roman"/>
          <w:color w:val="auto"/>
          <w:szCs w:val="21"/>
          <w:highlight w:val="none"/>
          <w:u w:val="none"/>
          <w:lang w:val="en-US" w:eastAsia="zh-CN"/>
        </w:rPr>
        <w:t xml:space="preserve">所提供原材料数量、质量和相关单证进行验收</w:t>
      </w:r>
      <w:r>
        <w:rPr>
          <w:rFonts w:hint="eastAsia" w:cs="Times New Roman"/>
          <w:color w:val="auto"/>
          <w:szCs w:val="21"/>
          <w:highlight w:val="none"/>
          <w:u w:val="none"/>
          <w:lang w:val="en-US" w:eastAsia="zh-CN"/>
        </w:rPr>
        <w:t xml:space="preserve">（</w:t>
      </w:r>
      <w:r>
        <w:rPr>
          <w:rFonts w:hint="eastAsia" w:ascii="Calibri" w:hAnsi="Calibri" w:cs="Times New Roman"/>
          <w:color w:val="auto"/>
          <w:szCs w:val="21"/>
          <w:highlight w:val="none"/>
          <w:u w:val="none"/>
          <w:lang w:val="en-US" w:eastAsia="zh-CN"/>
        </w:rPr>
        <w:t xml:space="preserve">还需提供环保检测证明及检测报告</w:t>
      </w:r>
      <w:r>
        <w:rPr>
          <w:rFonts w:hint="eastAsia" w:cs="Times New Roman"/>
          <w:color w:val="auto"/>
          <w:szCs w:val="21"/>
          <w:highlight w:val="none"/>
          <w:u w:val="none"/>
          <w:lang w:val="en-US" w:eastAsia="zh-CN"/>
        </w:rPr>
        <w:t xml:space="preserve">）</w:t>
      </w:r>
      <w:r>
        <w:rPr>
          <w:rFonts w:hint="eastAsia" w:ascii="Calibri" w:hAnsi="Calibri" w:cs="Times New Roman"/>
          <w:color w:val="auto"/>
          <w:szCs w:val="21"/>
          <w:highlight w:val="none"/>
          <w:u w:val="none"/>
          <w:lang w:val="en-US" w:eastAsia="zh-CN"/>
        </w:rPr>
        <w:t xml:space="preserve">，</w:t>
      </w:r>
      <w:r>
        <w:rPr>
          <w:rFonts w:hint="eastAsia" w:cs="Times New Roman"/>
          <w:color w:val="auto"/>
          <w:szCs w:val="21"/>
          <w:highlight w:val="none"/>
          <w:u w:val="none"/>
          <w:lang w:val="en-US" w:eastAsia="zh-CN"/>
        </w:rPr>
        <w:t xml:space="preserve">甲方组织校方代表、家委会代表、乙方代表、监理（如有）、专家（如有）等进行现场随机抽样、封样并送检，乙方应做好封样、送检和其他相关配合工作，甲方有权指定第三方检测机构，相关检测费用及专家费用等由乙方承担，甲方不再另行支付。若检测合格，甲方</w:t>
      </w:r>
      <w:r>
        <w:rPr>
          <w:rFonts w:hint="eastAsia" w:ascii="Calibri" w:hAnsi="Calibri" w:cs="Times New Roman"/>
          <w:color w:val="auto"/>
          <w:szCs w:val="21"/>
          <w:highlight w:val="none"/>
          <w:u w:val="none"/>
          <w:lang w:val="en-US" w:eastAsia="zh-CN"/>
        </w:rPr>
        <w:t xml:space="preserve">组织</w:t>
      </w:r>
      <w:r>
        <w:rPr>
          <w:rFonts w:hint="eastAsia" w:cs="Times New Roman"/>
          <w:color w:val="auto"/>
          <w:szCs w:val="21"/>
          <w:highlight w:val="none"/>
          <w:u w:val="none"/>
          <w:lang w:val="en-US" w:eastAsia="zh-CN"/>
        </w:rPr>
        <w:t xml:space="preserve">原材料</w:t>
      </w:r>
      <w:r>
        <w:rPr>
          <w:rFonts w:hint="eastAsia" w:ascii="Calibri" w:hAnsi="Calibri" w:cs="Times New Roman"/>
          <w:color w:val="auto"/>
          <w:szCs w:val="21"/>
          <w:highlight w:val="none"/>
          <w:u w:val="none"/>
          <w:lang w:val="en-US" w:eastAsia="zh-CN"/>
        </w:rPr>
        <w:t xml:space="preserve">验收；若检测不合格，</w:t>
      </w:r>
      <w:r>
        <w:rPr>
          <w:rFonts w:hint="eastAsia" w:cs="Times New Roman"/>
          <w:color w:val="auto"/>
          <w:szCs w:val="21"/>
          <w:highlight w:val="none"/>
          <w:u w:val="none"/>
          <w:lang w:val="en-US" w:eastAsia="zh-CN"/>
        </w:rPr>
        <w:t xml:space="preserve">甲方</w:t>
      </w:r>
      <w:r>
        <w:rPr>
          <w:rFonts w:hint="eastAsia" w:ascii="Calibri" w:hAnsi="Calibri" w:cs="Times New Roman"/>
          <w:color w:val="auto"/>
          <w:szCs w:val="21"/>
          <w:highlight w:val="none"/>
          <w:u w:val="none"/>
          <w:lang w:val="en-US" w:eastAsia="zh-CN"/>
        </w:rPr>
        <w:t xml:space="preserve">有权无条件退货，由此造成的一切损失由</w:t>
      </w:r>
      <w:r>
        <w:rPr>
          <w:rFonts w:hint="eastAsia" w:cs="Times New Roman"/>
          <w:color w:val="auto"/>
          <w:szCs w:val="21"/>
          <w:highlight w:val="none"/>
          <w:u w:val="none"/>
          <w:lang w:val="en-US" w:eastAsia="zh-CN"/>
        </w:rPr>
        <w:t xml:space="preserve">乙方</w:t>
      </w:r>
      <w:r>
        <w:rPr>
          <w:rFonts w:hint="eastAsia" w:ascii="Calibri" w:hAnsi="Calibri" w:cs="Times New Roman"/>
          <w:color w:val="auto"/>
          <w:szCs w:val="21"/>
          <w:highlight w:val="none"/>
          <w:u w:val="none"/>
          <w:lang w:val="en-US" w:eastAsia="zh-CN"/>
        </w:rPr>
        <w:t xml:space="preserve">自行承担。</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rPr>
      </w:pPr>
      <w:r>
        <w:rPr>
          <w:rFonts w:hint="eastAsia" w:cs="Times New Roman"/>
          <w:color w:val="auto"/>
          <w:szCs w:val="21"/>
          <w:highlight w:val="none"/>
          <w:u w:val="none"/>
          <w:lang w:val="en-US" w:eastAsia="zh-CN"/>
        </w:rPr>
        <w:t xml:space="preserve">7.2</w:t>
      </w:r>
      <w:r>
        <w:rPr>
          <w:rFonts w:hint="eastAsia" w:ascii="Calibri" w:hAnsi="Calibri" w:eastAsia="宋体" w:cs="Times New Roman"/>
          <w:color w:val="auto"/>
          <w:szCs w:val="21"/>
          <w:highlight w:val="none"/>
          <w:u w:val="none"/>
          <w:lang w:val="zh-CN"/>
        </w:rPr>
        <w:t xml:space="preserve">项目实施时，所有材料质量及项目质量必须严格按照国家规范及江苏省、苏州市相应地方规范、招标文件、材料厂家的技术规范的有关要求执行，如果在合同履行过程中有新的国家或行业（部）规范和标准出台的，则</w:t>
      </w:r>
      <w:r>
        <w:rPr>
          <w:rFonts w:hint="eastAsia" w:cs="Times New Roman"/>
          <w:color w:val="auto"/>
          <w:szCs w:val="21"/>
          <w:highlight w:val="none"/>
          <w:u w:val="none"/>
          <w:lang w:val="en-US" w:eastAsia="zh-CN"/>
        </w:rPr>
        <w:t xml:space="preserve">乙方</w:t>
      </w:r>
      <w:r>
        <w:rPr>
          <w:rFonts w:hint="eastAsia" w:ascii="Calibri" w:hAnsi="Calibri" w:eastAsia="宋体" w:cs="Times New Roman"/>
          <w:color w:val="auto"/>
          <w:szCs w:val="21"/>
          <w:highlight w:val="none"/>
          <w:u w:val="none"/>
          <w:lang w:val="zh-CN"/>
        </w:rPr>
        <w:t xml:space="preserve">应确保该合同产品达到并符合新的国家或行业（部）规范和标准，因此而增加的费用及风险由</w:t>
      </w:r>
      <w:r>
        <w:rPr>
          <w:rFonts w:hint="eastAsia" w:cs="Times New Roman"/>
          <w:color w:val="auto"/>
          <w:szCs w:val="21"/>
          <w:highlight w:val="none"/>
          <w:u w:val="none"/>
          <w:lang w:val="en-US" w:eastAsia="zh-CN"/>
        </w:rPr>
        <w:t xml:space="preserve">乙方</w:t>
      </w:r>
      <w:r>
        <w:rPr>
          <w:rFonts w:hint="eastAsia" w:ascii="Calibri" w:hAnsi="Calibri" w:eastAsia="宋体" w:cs="Times New Roman"/>
          <w:color w:val="auto"/>
          <w:szCs w:val="21"/>
          <w:highlight w:val="none"/>
          <w:u w:val="none"/>
          <w:lang w:val="zh-CN"/>
        </w:rPr>
        <w:t xml:space="preserve">自行承担。</w:t>
      </w:r>
      <w:r/>
    </w:p>
    <w:p>
      <w:pPr>
        <w:numPr>
          <w:ilvl w:val="0"/>
          <w:numId w:val="0"/>
        </w:numPr>
        <w:ind w:firstLine="420"/>
        <w:keepLines w:val="0"/>
        <w:keepNext w:val="0"/>
        <w:pageBreakBefore w:val="0"/>
        <w:spacing w:line="360" w:lineRule="auto"/>
        <w:widowControl w:val="off"/>
        <w:rPr>
          <w:rFonts w:hint="eastAsia"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7.3本项目</w:t>
      </w:r>
      <w:r>
        <w:rPr>
          <w:rFonts w:hint="eastAsia" w:ascii="Calibri" w:hAnsi="Calibri" w:eastAsia="宋体" w:cs="Times New Roman"/>
          <w:color w:val="auto"/>
          <w:szCs w:val="21"/>
          <w:highlight w:val="none"/>
          <w:u w:val="none"/>
          <w:lang w:val="zh-CN"/>
        </w:rPr>
        <w:t xml:space="preserve">需“样板先行”，</w:t>
      </w:r>
      <w:r>
        <w:rPr>
          <w:rFonts w:hint="eastAsia" w:cs="Times New Roman"/>
          <w:color w:val="auto"/>
          <w:szCs w:val="21"/>
          <w:highlight w:val="none"/>
          <w:u w:val="none"/>
          <w:lang w:val="en-US" w:eastAsia="zh-CN"/>
        </w:rPr>
        <w:t xml:space="preserve">乙方</w:t>
      </w:r>
      <w:r>
        <w:rPr>
          <w:rFonts w:hint="eastAsia" w:ascii="Calibri" w:hAnsi="Calibri" w:eastAsia="宋体" w:cs="Times New Roman"/>
          <w:color w:val="auto"/>
          <w:szCs w:val="21"/>
          <w:highlight w:val="none"/>
          <w:u w:val="none"/>
          <w:lang w:val="zh-CN"/>
        </w:rPr>
        <w:t xml:space="preserve">预</w:t>
      </w:r>
      <w:r>
        <w:rPr>
          <w:rFonts w:hint="eastAsia" w:cs="Times New Roman"/>
          <w:color w:val="auto"/>
          <w:szCs w:val="21"/>
          <w:highlight w:val="none"/>
          <w:u w:val="none"/>
          <w:lang w:val="en-US" w:eastAsia="zh-CN"/>
        </w:rPr>
        <w:t xml:space="preserve">制作</w:t>
      </w:r>
      <w:r>
        <w:rPr>
          <w:rFonts w:hint="eastAsia" w:ascii="Calibri" w:hAnsi="Calibri" w:eastAsia="宋体" w:cs="Times New Roman"/>
          <w:color w:val="auto"/>
          <w:szCs w:val="21"/>
          <w:highlight w:val="none"/>
          <w:u w:val="none"/>
          <w:lang w:val="zh-CN"/>
        </w:rPr>
        <w:t xml:space="preserve">一定面积的样板段</w:t>
      </w:r>
      <w:r>
        <w:rPr>
          <w:rFonts w:hint="eastAsia" w:cs="Times New Roman"/>
          <w:color w:val="auto"/>
          <w:szCs w:val="21"/>
          <w:highlight w:val="none"/>
          <w:u w:val="none"/>
          <w:lang w:val="zh-CN"/>
        </w:rPr>
        <w:t xml:space="preserve">（</w:t>
      </w:r>
      <w:r>
        <w:rPr>
          <w:rFonts w:hint="eastAsia" w:ascii="Calibri" w:hAnsi="Calibri" w:eastAsia="宋体" w:cs="Times New Roman"/>
          <w:color w:val="auto"/>
          <w:szCs w:val="21"/>
          <w:highlight w:val="none"/>
          <w:u w:val="none"/>
          <w:lang w:val="zh-CN"/>
        </w:rPr>
        <w:t xml:space="preserve">具体样板面积需根据具体</w:t>
      </w:r>
      <w:r>
        <w:rPr>
          <w:rFonts w:hint="eastAsia" w:ascii="Calibri" w:hAnsi="Calibri" w:eastAsia="宋体" w:cs="Times New Roman"/>
          <w:color w:val="auto"/>
          <w:szCs w:val="21"/>
          <w:highlight w:val="none"/>
          <w:u w:val="none"/>
          <w:lang w:val="en-US" w:eastAsia="zh-CN"/>
        </w:rPr>
        <w:t xml:space="preserve">现场情况</w:t>
      </w:r>
      <w:r>
        <w:rPr>
          <w:rFonts w:hint="eastAsia" w:ascii="Calibri" w:hAnsi="Calibri" w:eastAsia="宋体" w:cs="Times New Roman"/>
          <w:color w:val="auto"/>
          <w:szCs w:val="21"/>
          <w:highlight w:val="none"/>
          <w:u w:val="none"/>
          <w:lang w:val="zh-CN"/>
        </w:rPr>
        <w:t xml:space="preserve">确定</w:t>
      </w:r>
      <w:r>
        <w:rPr>
          <w:rFonts w:hint="eastAsia" w:cs="Times New Roman"/>
          <w:color w:val="auto"/>
          <w:szCs w:val="21"/>
          <w:highlight w:val="none"/>
          <w:u w:val="none"/>
          <w:lang w:val="zh-CN"/>
        </w:rPr>
        <w:t xml:space="preserve">）</w:t>
      </w:r>
      <w:r>
        <w:rPr>
          <w:rFonts w:hint="eastAsia" w:ascii="Calibri" w:hAnsi="Calibri" w:eastAsia="宋体" w:cs="Times New Roman"/>
          <w:color w:val="auto"/>
          <w:szCs w:val="21"/>
          <w:highlight w:val="none"/>
          <w:u w:val="none"/>
          <w:lang w:val="zh-CN"/>
        </w:rPr>
        <w:t xml:space="preserve">，经甲方</w:t>
      </w:r>
      <w:r>
        <w:rPr>
          <w:rFonts w:hint="eastAsia" w:cs="Times New Roman"/>
          <w:color w:val="auto"/>
          <w:szCs w:val="21"/>
          <w:highlight w:val="none"/>
          <w:u w:val="none"/>
          <w:lang w:val="zh-CN"/>
        </w:rPr>
        <w:t xml:space="preserve">、</w:t>
      </w:r>
      <w:r>
        <w:rPr>
          <w:rFonts w:hint="eastAsia" w:cs="Times New Roman"/>
          <w:color w:val="auto"/>
          <w:szCs w:val="21"/>
          <w:highlight w:val="none"/>
          <w:u w:val="none"/>
          <w:lang w:val="en-US" w:eastAsia="zh-CN"/>
        </w:rPr>
        <w:t xml:space="preserve">专家（如有）、监理单位（如有）</w:t>
      </w:r>
      <w:r>
        <w:rPr>
          <w:rFonts w:hint="eastAsia" w:ascii="Calibri" w:hAnsi="Calibri" w:eastAsia="宋体" w:cs="Times New Roman"/>
          <w:color w:val="auto"/>
          <w:szCs w:val="21"/>
          <w:highlight w:val="none"/>
          <w:u w:val="none"/>
          <w:lang w:val="zh-CN"/>
        </w:rPr>
        <w:t xml:space="preserve">认可</w:t>
      </w:r>
      <w:r>
        <w:rPr>
          <w:rFonts w:hint="eastAsia" w:cs="Times New Roman"/>
          <w:color w:val="auto"/>
          <w:szCs w:val="21"/>
          <w:highlight w:val="none"/>
          <w:u w:val="none"/>
          <w:lang w:val="zh-CN"/>
        </w:rPr>
        <w:t xml:space="preserve">（</w:t>
      </w:r>
      <w:r>
        <w:rPr>
          <w:rFonts w:hint="eastAsia" w:cs="Times New Roman"/>
          <w:color w:val="auto"/>
          <w:szCs w:val="21"/>
          <w:highlight w:val="none"/>
          <w:u w:val="none"/>
          <w:lang w:val="en-US" w:eastAsia="zh-CN"/>
        </w:rPr>
        <w:t xml:space="preserve">包括但不限于作业记录、外观及检测报告</w:t>
      </w:r>
      <w:r>
        <w:rPr>
          <w:rFonts w:hint="eastAsia" w:cs="Times New Roman"/>
          <w:color w:val="auto"/>
          <w:szCs w:val="21"/>
          <w:highlight w:val="none"/>
          <w:u w:val="none"/>
          <w:lang w:val="zh-CN"/>
        </w:rPr>
        <w:t xml:space="preserve">）</w:t>
      </w:r>
      <w:r>
        <w:rPr>
          <w:rFonts w:hint="eastAsia" w:ascii="Calibri" w:hAnsi="Calibri" w:eastAsia="宋体" w:cs="Times New Roman"/>
          <w:color w:val="auto"/>
          <w:szCs w:val="21"/>
          <w:highlight w:val="none"/>
          <w:u w:val="none"/>
          <w:lang w:val="zh-CN"/>
        </w:rPr>
        <w:t xml:space="preserve">后方可大面施工。因违反报验制度，引起的</w:t>
      </w:r>
      <w:r>
        <w:rPr>
          <w:rFonts w:hint="eastAsia" w:cs="Times New Roman"/>
          <w:color w:val="auto"/>
          <w:szCs w:val="21"/>
          <w:highlight w:val="none"/>
          <w:u w:val="none"/>
          <w:lang w:val="zh-CN" w:eastAsia="zh-CN"/>
        </w:rPr>
        <w:t xml:space="preserve">返工损失，由</w:t>
      </w:r>
      <w:r>
        <w:rPr>
          <w:rFonts w:hint="eastAsia" w:cs="Times New Roman"/>
          <w:color w:val="auto"/>
          <w:szCs w:val="21"/>
          <w:highlight w:val="none"/>
          <w:u w:val="none"/>
          <w:lang w:val="en-US" w:eastAsia="zh-CN"/>
        </w:rPr>
        <w:t xml:space="preserve">乙方</w:t>
      </w:r>
      <w:r>
        <w:rPr>
          <w:rFonts w:hint="eastAsia" w:cs="Times New Roman"/>
          <w:color w:val="auto"/>
          <w:szCs w:val="21"/>
          <w:highlight w:val="none"/>
          <w:u w:val="none"/>
          <w:lang w:val="zh-CN" w:eastAsia="zh-CN"/>
        </w:rPr>
        <w:t xml:space="preserve">自行承担，并</w:t>
      </w:r>
      <w:r>
        <w:rPr>
          <w:rFonts w:hint="eastAsia" w:cs="Times New Roman"/>
          <w:color w:val="auto"/>
          <w:szCs w:val="21"/>
          <w:highlight w:val="none"/>
          <w:u w:val="none"/>
          <w:lang w:val="en-US" w:eastAsia="zh-CN"/>
        </w:rPr>
        <w:t xml:space="preserve">无条件</w:t>
      </w:r>
      <w:r>
        <w:rPr>
          <w:rFonts w:hint="eastAsia" w:cs="Times New Roman"/>
          <w:color w:val="auto"/>
          <w:szCs w:val="21"/>
          <w:highlight w:val="none"/>
          <w:u w:val="none"/>
          <w:lang w:val="zh-CN" w:eastAsia="zh-CN"/>
        </w:rPr>
        <w:t xml:space="preserve">接受违约处罚。</w:t>
      </w:r>
      <w:r/>
    </w:p>
    <w:p>
      <w:pPr>
        <w:numPr>
          <w:ilvl w:val="0"/>
          <w:numId w:val="0"/>
        </w:numPr>
        <w:ind w:firstLine="420"/>
        <w:keepLines w:val="0"/>
        <w:keepNext w:val="0"/>
        <w:pageBreakBefore w:val="0"/>
        <w:spacing w:line="360" w:lineRule="auto"/>
        <w:widowControl w:val="off"/>
        <w:rPr>
          <w:rFonts w:hint="eastAsia"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7.4甲方有权对本项目实施过程中所使用的材料进行不定期抽检。由校方代表、家委会代表、乙方代表、监理（如有）、专家（如有）共同现场随机抽样、封存并送检，乙方应做好试样的制作、封样、送检和其他相关配合工作，甲方有权指定第三方检测机构，相关检测费用及专家费用等由乙方承担，甲方不再另行支付。</w:t>
      </w:r>
      <w:r>
        <w:rPr>
          <w:rFonts w:hint="eastAsia" w:cs="Times New Roman"/>
          <w:color w:val="auto"/>
          <w:szCs w:val="21"/>
          <w:highlight w:val="none"/>
          <w:u w:val="none"/>
          <w:lang w:val="zh-CN" w:eastAsia="zh-CN"/>
        </w:rPr>
        <w:t xml:space="preserve">因质量不合格导致的重复检测等额外费用由</w:t>
      </w:r>
      <w:r>
        <w:rPr>
          <w:rFonts w:hint="eastAsia" w:cs="Times New Roman"/>
          <w:color w:val="auto"/>
          <w:szCs w:val="21"/>
          <w:highlight w:val="none"/>
          <w:u w:val="none"/>
          <w:lang w:val="en-US" w:eastAsia="zh-CN"/>
        </w:rPr>
        <w:t xml:space="preserve">乙方</w:t>
      </w:r>
      <w:r>
        <w:rPr>
          <w:rFonts w:hint="eastAsia" w:cs="Times New Roman"/>
          <w:color w:val="auto"/>
          <w:szCs w:val="21"/>
          <w:highlight w:val="none"/>
          <w:u w:val="none"/>
          <w:lang w:val="zh-CN" w:eastAsia="zh-CN"/>
        </w:rPr>
        <w:t xml:space="preserve">自行承担。</w:t>
      </w:r>
      <w:r/>
    </w:p>
    <w:p>
      <w:pPr>
        <w:numPr>
          <w:ilvl w:val="0"/>
          <w:numId w:val="0"/>
        </w:numPr>
        <w:ind w:firstLine="420"/>
        <w:keepLines w:val="0"/>
        <w:keepNext w:val="0"/>
        <w:pageBreakBefore w:val="0"/>
        <w:spacing w:line="360" w:lineRule="auto"/>
        <w:widowControl w:val="off"/>
        <w:rPr>
          <w:rFonts w:hint="default"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7.5本项目实施过程中，甲方有权不定期组织校方代表、家委会代表、乙方代表、监理（如有）、专家（如有）共同现场随机抽样产品进行破坏性检测，乙方应做好配合工作，甲方有权指定第三方检测机构，相关检测费用及专家费用等由乙方承担，甲方不再另行支付。</w:t>
      </w:r>
      <w:r>
        <w:rPr>
          <w:rFonts w:hint="eastAsia" w:cs="Times New Roman"/>
          <w:color w:val="auto"/>
          <w:szCs w:val="21"/>
          <w:highlight w:val="none"/>
          <w:u w:val="none"/>
          <w:lang w:val="zh-CN" w:eastAsia="zh-CN"/>
        </w:rPr>
        <w:t xml:space="preserve">因质量不合格导致的重复检测</w:t>
      </w:r>
      <w:r>
        <w:rPr>
          <w:rFonts w:hint="eastAsia" w:cs="Times New Roman"/>
          <w:color w:val="auto"/>
          <w:szCs w:val="21"/>
          <w:highlight w:val="none"/>
          <w:u w:val="none"/>
          <w:lang w:val="en-US" w:eastAsia="zh-CN"/>
        </w:rPr>
        <w:t xml:space="preserve">费、返工费</w:t>
      </w:r>
      <w:r>
        <w:rPr>
          <w:rFonts w:hint="eastAsia" w:cs="Times New Roman"/>
          <w:color w:val="auto"/>
          <w:szCs w:val="21"/>
          <w:highlight w:val="none"/>
          <w:u w:val="none"/>
          <w:lang w:val="zh-CN" w:eastAsia="zh-CN"/>
        </w:rPr>
        <w:t xml:space="preserve">等额外费用由</w:t>
      </w:r>
      <w:r>
        <w:rPr>
          <w:rFonts w:hint="eastAsia" w:cs="Times New Roman"/>
          <w:color w:val="auto"/>
          <w:szCs w:val="21"/>
          <w:highlight w:val="none"/>
          <w:u w:val="none"/>
          <w:lang w:val="en-US" w:eastAsia="zh-CN"/>
        </w:rPr>
        <w:t xml:space="preserve">乙方</w:t>
      </w:r>
      <w:r>
        <w:rPr>
          <w:rFonts w:hint="eastAsia" w:cs="Times New Roman"/>
          <w:color w:val="auto"/>
          <w:szCs w:val="21"/>
          <w:highlight w:val="none"/>
          <w:u w:val="none"/>
          <w:lang w:val="zh-CN" w:eastAsia="zh-CN"/>
        </w:rPr>
        <w:t xml:space="preserve">自行承担；</w:t>
      </w:r>
      <w:r>
        <w:rPr>
          <w:rFonts w:hint="eastAsia" w:cs="Times New Roman"/>
          <w:color w:val="auto"/>
          <w:szCs w:val="21"/>
          <w:highlight w:val="none"/>
          <w:u w:val="none"/>
          <w:lang w:val="en-US" w:eastAsia="zh-CN"/>
        </w:rPr>
        <w:t xml:space="preserve">同时乙方必须无偿补全该产品，如乙方未能按要求整改，甲方有权终止合同履行，并追究乙方的相关法律责任。</w:t>
      </w:r>
      <w:r/>
    </w:p>
    <w:p>
      <w:pPr>
        <w:numPr>
          <w:ilvl w:val="0"/>
          <w:numId w:val="0"/>
        </w:numPr>
        <w:ind w:firstLine="420"/>
        <w:keepLines w:val="0"/>
        <w:keepNext w:val="0"/>
        <w:pageBreakBefore w:val="0"/>
        <w:spacing w:line="360" w:lineRule="auto"/>
        <w:widowControl w:val="off"/>
        <w:rPr>
          <w:rFonts w:hint="eastAsia"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7.6甲方有权根据项目特点并结合项目实施进度进行分期验收，乙方在每一个步骤实施后必须汇报甲方，由甲方确认是否验收以及验收时间，综合分期验收情况再进行项目整体最终验收。</w:t>
      </w:r>
      <w:r/>
    </w:p>
    <w:p>
      <w:pPr>
        <w:numPr>
          <w:ilvl w:val="0"/>
          <w:numId w:val="0"/>
        </w:numPr>
        <w:ind w:firstLine="420"/>
        <w:keepLines w:val="0"/>
        <w:keepNext w:val="0"/>
        <w:pageBreakBefore w:val="0"/>
        <w:spacing w:line="360" w:lineRule="auto"/>
        <w:widowControl w:val="off"/>
        <w:rPr>
          <w:rFonts w:hint="eastAsia"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7.7项目整体验收</w:t>
      </w:r>
      <w:r/>
    </w:p>
    <w:p>
      <w:pPr>
        <w:numPr>
          <w:ilvl w:val="0"/>
          <w:numId w:val="0"/>
        </w:numPr>
        <w:ind w:firstLine="420"/>
        <w:keepLines w:val="0"/>
        <w:keepNext w:val="0"/>
        <w:pageBreakBefore w:val="0"/>
        <w:spacing w:line="360" w:lineRule="auto"/>
        <w:widowControl w:val="off"/>
        <w:rPr>
          <w:rFonts w:hint="eastAsia"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乙方完工后向甲方提出验收申请，甲方组织相关单位及人员会同乙方进行验收，甲方将邀请有资质的第三方检测单位对跑道进行综合检测，相关检测费用及专家费用等由甲方承担。若检测不合格或项目质量不符合相关标准，检测费由乙方承担，同时乙方应按要求整改到位，费用全部由乙方承担，给甲方造成损失的乙方应当赔偿。具体验收按照采购文件要求、乙方响应文件、国家行业标准执行。</w:t>
      </w:r>
      <w:r/>
    </w:p>
    <w:p>
      <w:pPr>
        <w:pStyle w:val="655"/>
        <w:ind w:firstLine="420"/>
        <w:keepLines w:val="0"/>
        <w:keepNext w:val="0"/>
        <w:pageBreakBefore w:val="0"/>
        <w:spacing w:line="400" w:lineRule="exact"/>
        <w:widowControl w:val="off"/>
        <w:rPr>
          <w:rFonts w:hint="default" w:ascii="宋体" w:hAnsi="宋体" w:cs="宋体"/>
          <w:color w:val="auto"/>
          <w:sz w:val="21"/>
          <w:szCs w:val="21"/>
          <w:highlight w:val="none"/>
          <w:lang w:val="en-US" w:eastAsia="zh-CN"/>
        </w:rPr>
      </w:pPr>
      <w:r>
        <w:rPr>
          <w:rFonts w:hint="eastAsia" w:cs="宋体"/>
          <w:b w:val="0"/>
          <w:bCs w:val="0"/>
          <w:color w:val="auto"/>
          <w:sz w:val="21"/>
          <w:szCs w:val="21"/>
          <w:highlight w:val="none"/>
          <w:lang w:val="en-US" w:eastAsia="zh-CN"/>
        </w:rPr>
        <w:t xml:space="preserve">7.8其他</w:t>
      </w:r>
      <w:r>
        <w:rPr>
          <w:rFonts w:hint="eastAsia" w:cs="宋体"/>
          <w:b w:val="0"/>
          <w:bCs w:val="0"/>
          <w:color w:val="auto"/>
          <w:sz w:val="21"/>
          <w:szCs w:val="21"/>
          <w:highlight w:val="none"/>
        </w:rPr>
        <w:t xml:space="preserve">按照《江苏省政府采购履约验收管理办法》规定执行</w:t>
      </w:r>
      <w:r>
        <w:rPr>
          <w:rFonts w:hint="eastAsia" w:cs="宋体"/>
          <w:b w:val="0"/>
          <w:bCs w:val="0"/>
          <w:color w:val="auto"/>
          <w:sz w:val="21"/>
          <w:szCs w:val="21"/>
          <w:highlight w:val="none"/>
          <w:lang w:eastAsia="zh-CN"/>
        </w:rPr>
        <w:t xml:space="preserve">。</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lang w:val="zh-CN"/>
        </w:rPr>
        <w:t xml:space="preserve">条、标的物提出异议的时间和办法</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8.1 </w:t>
      </w:r>
      <w:r>
        <w:rPr>
          <w:rFonts w:hint="eastAsia" w:ascii="宋体" w:hAnsi="宋体" w:eastAsia="宋体" w:cs="宋体"/>
          <w:color w:val="auto"/>
          <w:sz w:val="21"/>
          <w:szCs w:val="21"/>
          <w:highlight w:val="none"/>
          <w:lang w:val="zh-CN"/>
        </w:rPr>
        <w:t xml:space="preserve">验收过程中，甲方发现标的物的质量、数量等不符合约定的，应及时将相关情况通知乙方。</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8.2 </w:t>
      </w:r>
      <w:r>
        <w:rPr>
          <w:rFonts w:hint="eastAsia" w:ascii="宋体" w:hAnsi="宋体" w:eastAsia="宋体" w:cs="宋体"/>
          <w:color w:val="auto"/>
          <w:sz w:val="21"/>
          <w:szCs w:val="21"/>
          <w:highlight w:val="none"/>
          <w:lang w:val="zh-CN"/>
        </w:rPr>
        <w:t xml:space="preserve">非因乙方原因，如果甲方在验收期满后10日内既不出具验收合格证明又未提出异议的，视为乙方所交标的物符合合同约定，但属于专业性较强货物，甲方根据自身能力难以验收的除外。</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8.3 </w:t>
      </w:r>
      <w:r>
        <w:rPr>
          <w:rFonts w:hint="eastAsia" w:ascii="宋体" w:hAnsi="宋体" w:eastAsia="宋体" w:cs="宋体"/>
          <w:color w:val="auto"/>
          <w:sz w:val="21"/>
          <w:szCs w:val="21"/>
          <w:highlight w:val="none"/>
          <w:lang w:val="zh-CN"/>
        </w:rPr>
        <w:t xml:space="preserve">乙方应在收到甲方书面/电子异议后</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天内负责处理问题，否则将视为默认甲方提出的异议和处理意见、要求。</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lang w:val="zh-CN"/>
        </w:rPr>
        <w:t xml:space="preserve">条、售后服务</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9.1 </w:t>
      </w:r>
      <w:r>
        <w:rPr>
          <w:rFonts w:hint="eastAsia" w:ascii="宋体" w:hAnsi="宋体" w:eastAsia="宋体" w:cs="宋体"/>
          <w:color w:val="auto"/>
          <w:sz w:val="21"/>
          <w:szCs w:val="21"/>
          <w:highlight w:val="none"/>
        </w:rPr>
        <w:t xml:space="preserve">项目整体免费质保期为项目验收合格之日起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质保期从产品验收合格之日起计算。货物在质量保证期内发生的任何故障（非人为损坏），</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均应负责免费修复。</w:t>
      </w:r>
      <w:r/>
    </w:p>
    <w:p>
      <w:pPr>
        <w:numPr>
          <w:ilvl w:val="0"/>
          <w:numId w:val="0"/>
        </w:num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9.2 </w:t>
      </w:r>
      <w:r>
        <w:rPr>
          <w:rFonts w:hint="eastAsia" w:ascii="宋体" w:hAnsi="宋体" w:eastAsia="宋体" w:cs="宋体"/>
          <w:color w:val="auto"/>
          <w:sz w:val="21"/>
          <w:szCs w:val="21"/>
          <w:highlight w:val="none"/>
        </w:rPr>
        <w:t xml:space="preserve">质保期内</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提供免费上门服务，若出现故障，应在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个小时以内给予响应，</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个小时内完成</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提出的维修要求</w:t>
      </w:r>
      <w:r>
        <w:rPr>
          <w:rFonts w:hint="eastAsia" w:ascii="宋体" w:hAnsi="宋体" w:cs="宋体"/>
          <w:color w:val="auto"/>
          <w:sz w:val="21"/>
          <w:szCs w:val="21"/>
          <w:highlight w:val="none"/>
          <w:lang w:val="en-US" w:eastAsia="zh-CN"/>
        </w:rPr>
        <w:t xml:space="preserve">或维修方案</w:t>
      </w:r>
      <w:r>
        <w:rPr>
          <w:rFonts w:hint="eastAsia" w:ascii="宋体" w:hAnsi="宋体" w:eastAsia="宋体" w:cs="宋体"/>
          <w:color w:val="auto"/>
          <w:sz w:val="21"/>
          <w:szCs w:val="21"/>
          <w:highlight w:val="none"/>
        </w:rPr>
        <w:t xml:space="preserve">。</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其他服务内容按招标文件要求及乙方响应文件执行。</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第十条、违约责任</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10.1 </w:t>
      </w:r>
      <w:r>
        <w:rPr>
          <w:rFonts w:hint="eastAsia" w:ascii="宋体" w:hAnsi="宋体" w:eastAsia="宋体" w:cs="宋体"/>
          <w:color w:val="auto"/>
          <w:sz w:val="21"/>
          <w:szCs w:val="21"/>
          <w:highlight w:val="none"/>
          <w:lang w:val="zh-CN"/>
        </w:rPr>
        <w:t xml:space="preserve">乙方不能交货（逾期超过十五天视为不能交货），或交货不合格、不完整从而影响甲方按期正常使用的，甲方有权解除合同，乙方向甲方偿付合同总价款</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0%的违约金，违约金不足以补偿损失的甲方有权要求乙方补足。</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10.2 </w:t>
      </w:r>
      <w:r>
        <w:rPr>
          <w:rFonts w:hint="eastAsia" w:ascii="宋体" w:hAnsi="宋体" w:eastAsia="宋体" w:cs="宋体"/>
          <w:color w:val="auto"/>
          <w:sz w:val="21"/>
          <w:szCs w:val="21"/>
          <w:highlight w:val="none"/>
          <w:lang w:val="zh-CN"/>
        </w:rPr>
        <w:t xml:space="preserve">乙方逾期交货的，应在发货前与甲方协商，甲方仍有需求的，乙方应立即发货并应按照逾期交货部分货款的每日</w:t>
      </w:r>
      <w:r>
        <w:rPr>
          <w:rFonts w:hint="eastAsia" w:ascii="宋体" w:hAnsi="宋体" w:cs="宋体"/>
          <w:color w:val="auto"/>
          <w:sz w:val="21"/>
          <w:szCs w:val="21"/>
          <w:highlight w:val="none"/>
          <w:lang w:val="en-US" w:eastAsia="zh-CN"/>
        </w:rPr>
        <w:t xml:space="preserve">千</w:t>
      </w:r>
      <w:r>
        <w:rPr>
          <w:rFonts w:hint="eastAsia" w:ascii="宋体" w:hAnsi="宋体" w:eastAsia="宋体" w:cs="宋体"/>
          <w:color w:val="auto"/>
          <w:sz w:val="21"/>
          <w:szCs w:val="21"/>
          <w:highlight w:val="none"/>
          <w:lang w:val="zh-CN"/>
        </w:rPr>
        <w:t xml:space="preserve">分之二支付逾期交货违约金，同时承担甲方因此遭致的损失。</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10.3 </w:t>
      </w:r>
      <w:r>
        <w:rPr>
          <w:rFonts w:hint="eastAsia" w:ascii="宋体" w:hAnsi="宋体" w:eastAsia="宋体" w:cs="宋体"/>
          <w:color w:val="auto"/>
          <w:sz w:val="21"/>
          <w:szCs w:val="21"/>
          <w:highlight w:val="none"/>
          <w:lang w:val="zh-CN"/>
        </w:rPr>
        <w:t xml:space="preserve">乙方违反本合同约定的其他义务的，应及时更正，否则甲方有权要求乙方支付相当于合同总价款</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的违约金。如违约金不足以弥补甲方损失的，由乙方另行支付，同时，甲方保留进一步追索的权利。</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10.4 </w:t>
      </w:r>
      <w:r>
        <w:rPr>
          <w:rFonts w:hint="eastAsia" w:ascii="宋体" w:hAnsi="宋体" w:eastAsia="宋体" w:cs="宋体"/>
          <w:color w:val="auto"/>
          <w:sz w:val="21"/>
          <w:szCs w:val="21"/>
          <w:highlight w:val="none"/>
          <w:lang w:val="zh-CN"/>
        </w:rPr>
        <w:t xml:space="preserve">甲方无正当理由逾期付款的，应按照逾期付款金额的每日万分之</w:t>
      </w: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zh-CN"/>
        </w:rPr>
        <w:t xml:space="preserve">支付违约金。</w:t>
      </w:r>
      <w:r/>
    </w:p>
    <w:p>
      <w:pPr>
        <w:numPr>
          <w:ilvl w:val="0"/>
          <w:numId w:val="0"/>
        </w:numPr>
        <w:jc w:val="left"/>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10.5 </w:t>
      </w:r>
      <w:r>
        <w:rPr>
          <w:rFonts w:hint="eastAsia" w:ascii="宋体" w:hAnsi="宋体" w:eastAsia="宋体" w:cs="宋体"/>
          <w:color w:val="auto"/>
          <w:sz w:val="21"/>
          <w:szCs w:val="21"/>
          <w:highlight w:val="none"/>
          <w:lang w:val="zh-CN"/>
        </w:rPr>
        <w:t xml:space="preserve">合同签署生效后，甲方无正当理由退货或解除本合同的，承担本合同总金额</w:t>
      </w:r>
      <w:r>
        <w:rPr>
          <w:rFonts w:hint="eastAsia" w:ascii="宋体" w:hAnsi="宋体" w:eastAsia="宋体" w:cs="宋体"/>
          <w:color w:val="auto"/>
          <w:sz w:val="21"/>
          <w:szCs w:val="21"/>
          <w:highlight w:val="none"/>
        </w:rPr>
        <w:t xml:space="preserve">10%的违约金。</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lang w:val="zh-CN"/>
        </w:rPr>
        <w:t xml:space="preserve">条、索赔</w:t>
      </w:r>
      <w:r/>
    </w:p>
    <w:p>
      <w:pPr>
        <w:ind w:left="0" w:firstLine="420"/>
        <w:jc w:val="left"/>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如在货物交货、使用过程中，甲方发现货物、数量、规格、性能、外观等与本合同约定不符，或者货物质量存在缺陷（包括潜在缺陷或使用不符合要求的材料等），甲方有权选择下列一种或多种方式进行索赔，乙方在收到甲方索赔通知后</w:t>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lang w:val="zh-CN"/>
        </w:rPr>
        <w:t xml:space="preserve">天内（或者甲方限定的合理时限，如有）给予解决，否则甲方可采取必要的补救措施，但风险和费用将由乙方承担，同时甲方对乙方行使的其它权利不受影响：</w:t>
      </w:r>
      <w:r/>
    </w:p>
    <w:p>
      <w:pPr>
        <w:numPr>
          <w:ilvl w:val="0"/>
          <w:numId w:val="0"/>
        </w:numPr>
        <w:ind w:firstLine="42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乙方同意退货、返还甲方已支付的合同款，并承担由此发生的一切损失和费用，包括甲方直接损失、利息、银行手续费、运费、保险费、仓储费、装卸费以及为保护退回货物所需的其它必要费用，也包括因此可能产生的诉讼费、合理的律师费等（如有）。</w:t>
      </w:r>
      <w:r/>
    </w:p>
    <w:p>
      <w:pPr>
        <w:numPr>
          <w:ilvl w:val="0"/>
          <w:numId w:val="0"/>
        </w:numPr>
        <w:ind w:firstLine="42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根据货物的损坏程度以及甲方遭受损失的数额，双方商定降低货物的价格。</w:t>
      </w:r>
      <w:r/>
    </w:p>
    <w:p>
      <w:pPr>
        <w:numPr>
          <w:ilvl w:val="0"/>
          <w:numId w:val="0"/>
        </w:numPr>
        <w:ind w:firstLine="42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用符合规格、质量和性能要求的新零件、部件或货物来更换有缺陷的部分或修补缺陷部分，乙方应承担由此产生的全部费用和给甲方造成的直接损失。同时，乙方应按合同规定，相应延长修补或被更换部件或货物的质量保证期。</w:t>
      </w:r>
      <w:r/>
    </w:p>
    <w:p>
      <w:pPr>
        <w:numPr>
          <w:ilvl w:val="0"/>
          <w:numId w:val="0"/>
        </w:numPr>
        <w:ind w:firstLine="42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如果在甲方发出索赔通知后</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zh-CN"/>
        </w:rPr>
        <w:t xml:space="preserve">条、禁止转让和转委托</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乙方不得将本合同或本合同所约定的权利和义务全部或部分地转让给第三方或者转委托给第三人，否则甲方有权解除本合同且不需向乙方支付任何费用，已经支付的，乙方应当予以返还，同时乙方应按照合同总金额的</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0%承担违约责任，因此给甲方造成的损失超过违约金的，乙方另行赔偿。</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val="zh-CN"/>
        </w:rPr>
        <w:t xml:space="preserve">条、不可抗力</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TW"/>
        </w:rPr>
        <w:t xml:space="preserve">因地震、台风、洪水、海啸、火灾、战争、暴乱、罢工及其他合同双方不能预见、不能避免并不能克服的客观情况导致本合同不能履行或不能完全履行时，遭遇上述不可抗力的一方，应立即将相应情况用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val="zh-CN"/>
        </w:rPr>
        <w:t xml:space="preserve">条、通知和送达</w:t>
      </w:r>
      <w:r/>
    </w:p>
    <w:p>
      <w:pPr>
        <w:numPr>
          <w:ilvl w:val="0"/>
          <w:numId w:val="0"/>
        </w:numPr>
        <w:spacing w:line="400" w:lineRule="exact"/>
        <w:tabs>
          <w:tab w:val="left" w:pos="420" w:leader="none"/>
        </w:tabs>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14.1</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合同各方一致确认以下通讯地址和联系方式为各方履行合同、解决合同争议时接收其他方商业文件信函或司法机关(法院、仲裁机构)诉讼、仲裁文书的送达地址和联系方式：</w:t>
      </w:r>
      <w:r/>
    </w:p>
    <w:p>
      <w:pPr>
        <w:numPr>
          <w:ilvl w:val="0"/>
          <w:numId w:val="0"/>
        </w:numPr>
        <w:ind w:left="636"/>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TW"/>
        </w:rPr>
        <w:t xml:space="preserve">甲方送达地址和联系方式为：</w:t>
      </w:r>
      <w:r/>
    </w:p>
    <w:p>
      <w:pPr>
        <w:ind w:left="1239" w:firstLine="16"/>
        <w:spacing w:line="400" w:lineRule="exact"/>
        <w:tabs>
          <w:tab w:val="left" w:pos="720" w:leader="none"/>
        </w:tabs>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eastAsia="zh-TW"/>
        </w:rPr>
        <w:t xml:space="preserve">地址：</w:t>
      </w:r>
      <w:r>
        <w:rPr>
          <w:rFonts w:hint="eastAsia" w:ascii="宋体" w:hAnsi="宋体" w:eastAsia="宋体" w:cs="宋体"/>
          <w:b/>
          <w:bCs/>
          <w:i/>
          <w:iCs/>
          <w:color w:val="auto"/>
          <w:sz w:val="21"/>
          <w:szCs w:val="21"/>
          <w:highlight w:val="none"/>
          <w:u w:val="single"/>
        </w:rPr>
        <w:t xml:space="preserve">                       </w:t>
      </w:r>
      <w:r/>
    </w:p>
    <w:p>
      <w:pPr>
        <w:ind w:left="1239" w:firstLine="16"/>
        <w:spacing w:line="400" w:lineRule="exact"/>
        <w:tabs>
          <w:tab w:val="left" w:pos="720" w:leader="none"/>
        </w:tabs>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eastAsia="zh-TW"/>
        </w:rPr>
        <w:t xml:space="preserve">联系电话：</w:t>
      </w:r>
      <w:r>
        <w:rPr>
          <w:rFonts w:hint="eastAsia" w:ascii="宋体" w:hAnsi="宋体" w:eastAsia="宋体" w:cs="宋体"/>
          <w:b/>
          <w:bCs/>
          <w:i/>
          <w:i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TW"/>
        </w:rPr>
        <w:t xml:space="preserve">联系人：</w:t>
      </w:r>
      <w:r>
        <w:rPr>
          <w:rFonts w:hint="eastAsia" w:ascii="宋体" w:hAnsi="宋体" w:eastAsia="宋体" w:cs="宋体"/>
          <w:b/>
          <w:bCs/>
          <w:i/>
          <w:iCs/>
          <w:color w:val="auto"/>
          <w:sz w:val="21"/>
          <w:szCs w:val="21"/>
          <w:highlight w:val="none"/>
          <w:u w:val="single"/>
        </w:rPr>
        <w:t xml:space="preserve">       </w:t>
      </w:r>
      <w:r/>
    </w:p>
    <w:p>
      <w:pPr>
        <w:numPr>
          <w:ilvl w:val="0"/>
          <w:numId w:val="0"/>
        </w:numPr>
        <w:ind w:left="636"/>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TW"/>
        </w:rPr>
        <w:t xml:space="preserve">乙方送达地址和联系方式为：</w:t>
      </w:r>
      <w:r/>
    </w:p>
    <w:p>
      <w:pPr>
        <w:ind w:left="1239" w:firstLine="16"/>
        <w:spacing w:line="400" w:lineRule="exact"/>
        <w:tabs>
          <w:tab w:val="left" w:pos="720" w:leader="none"/>
        </w:tabs>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eastAsia="zh-TW"/>
        </w:rPr>
        <w:t xml:space="preserve">地址：</w:t>
      </w:r>
      <w:r>
        <w:rPr>
          <w:rFonts w:hint="eastAsia" w:ascii="宋体" w:hAnsi="宋体" w:eastAsia="宋体" w:cs="宋体"/>
          <w:b/>
          <w:bCs/>
          <w:i/>
          <w:iCs/>
          <w:color w:val="auto"/>
          <w:sz w:val="21"/>
          <w:szCs w:val="21"/>
          <w:highlight w:val="none"/>
          <w:u w:val="single"/>
        </w:rPr>
        <w:t xml:space="preserve">                       </w:t>
      </w:r>
      <w:r/>
    </w:p>
    <w:p>
      <w:pPr>
        <w:ind w:left="1239" w:firstLine="16"/>
        <w:spacing w:line="400" w:lineRule="exact"/>
        <w:tabs>
          <w:tab w:val="left" w:pos="720" w:leader="none"/>
        </w:tabs>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eastAsia="zh-TW"/>
        </w:rPr>
        <w:t xml:space="preserve">联系电话：</w:t>
      </w:r>
      <w:r>
        <w:rPr>
          <w:rFonts w:hint="eastAsia" w:ascii="宋体" w:hAnsi="宋体" w:eastAsia="宋体" w:cs="宋体"/>
          <w:b/>
          <w:bCs/>
          <w:i/>
          <w:i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TW"/>
        </w:rPr>
        <w:t xml:space="preserve">联系人：</w:t>
      </w:r>
      <w:r>
        <w:rPr>
          <w:rFonts w:hint="eastAsia" w:ascii="宋体" w:hAnsi="宋体" w:eastAsia="宋体" w:cs="宋体"/>
          <w:b/>
          <w:bCs/>
          <w:i/>
          <w:iCs/>
          <w:color w:val="auto"/>
          <w:sz w:val="21"/>
          <w:szCs w:val="21"/>
          <w:highlight w:val="none"/>
          <w:u w:val="single"/>
        </w:rPr>
        <w:t xml:space="preserve">       </w:t>
      </w:r>
      <w:r/>
    </w:p>
    <w:p>
      <w:pPr>
        <w:numPr>
          <w:ilvl w:val="0"/>
          <w:numId w:val="0"/>
        </w:numPr>
        <w:spacing w:line="400" w:lineRule="exact"/>
        <w:tabs>
          <w:tab w:val="left" w:pos="420" w:leader="none"/>
        </w:tabs>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14.2</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上述通讯地址和联系方式适用至本合同履行完毕或争议经过一审、二审至案件执行终结时止，除非各方依下款告知变更。</w:t>
      </w:r>
      <w:r/>
    </w:p>
    <w:p>
      <w:pPr>
        <w:numPr>
          <w:ilvl w:val="0"/>
          <w:numId w:val="0"/>
        </w:numPr>
        <w:spacing w:line="400" w:lineRule="exact"/>
        <w:tabs>
          <w:tab w:val="left" w:pos="640" w:leader="none"/>
        </w:tabs>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14.3</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任何一方通讯地址和联系方式需要变更的，应提前五个工作日向合同其他方和司法机关送交书面变更告知书(若争议已经进入司法程序解决)。</w:t>
      </w:r>
      <w:r/>
    </w:p>
    <w:p>
      <w:pPr>
        <w:numPr>
          <w:ilvl w:val="0"/>
          <w:numId w:val="0"/>
        </w:numPr>
        <w:spacing w:line="400" w:lineRule="exact"/>
        <w:tabs>
          <w:tab w:val="left" w:pos="640" w:leader="none"/>
        </w:tabs>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14.4</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合同各方均承诺：上述确认的通讯地址和联系方式真实有效，如有错误，导致的商业信函和诉讼文书送达不能的法律后果由自己承担。</w:t>
      </w:r>
      <w:r/>
    </w:p>
    <w:p>
      <w:pPr>
        <w:numPr>
          <w:ilvl w:val="0"/>
          <w:numId w:val="0"/>
        </w:numPr>
        <w:spacing w:line="400" w:lineRule="exact"/>
        <w:tabs>
          <w:tab w:val="left" w:pos="640" w:leader="none"/>
        </w:tabs>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14.5</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val="zh-CN"/>
        </w:rPr>
        <w:t xml:space="preserve">条、合同的变更</w:t>
      </w:r>
      <w:r/>
    </w:p>
    <w:p>
      <w:pPr>
        <w:ind w:left="0"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TW"/>
        </w:rPr>
        <w:t xml:space="preserve">除本合同另有约定外，对本合同的任何变更均须以书面形式进行，本合同中未经修改的其他条款仍然有效。</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rPr>
        <w:t xml:space="preserve">第十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val="zh-CN"/>
        </w:rPr>
        <w:t xml:space="preserve">条、纠纷解决</w:t>
      </w:r>
      <w:r/>
    </w:p>
    <w:p>
      <w:pPr>
        <w:ind w:left="0" w:firstLine="420"/>
        <w:spacing w:line="400" w:lineRule="exact"/>
        <w:tabs>
          <w:tab w:val="left" w:pos="540" w:leader="none"/>
        </w:tabs>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凡因本合同引起的或与本合同有关的任何纠纷，甲乙双方应友好协商解决；协商不成的，双方同意向合同履行地有管辖权的</w:t>
      </w:r>
      <w:r>
        <w:rPr>
          <w:rFonts w:hint="eastAsia" w:ascii="宋体" w:hAnsi="宋体" w:eastAsia="宋体" w:cs="宋体"/>
          <w:color w:val="auto"/>
          <w:sz w:val="21"/>
          <w:szCs w:val="21"/>
          <w:highlight w:val="none"/>
          <w:lang w:eastAsia="zh-TW"/>
        </w:rPr>
        <w:t xml:space="preserve">人民法院提起诉讼</w:t>
      </w:r>
      <w:r>
        <w:rPr>
          <w:rFonts w:hint="eastAsia" w:ascii="宋体" w:hAnsi="宋体" w:eastAsia="宋体" w:cs="宋体"/>
          <w:color w:val="auto"/>
          <w:sz w:val="21"/>
          <w:szCs w:val="21"/>
          <w:highlight w:val="none"/>
        </w:rPr>
        <w:t xml:space="preserve">。</w:t>
      </w:r>
      <w:r/>
    </w:p>
    <w:p>
      <w:pPr>
        <w:ind w:left="0"/>
        <w:jc w:val="left"/>
        <w:spacing w:before="166" w:after="166" w:line="400" w:lineRule="exact"/>
        <w:rPr>
          <w:rFonts w:hint="eastAsia" w:ascii="宋体" w:hAnsi="宋体" w:cs="宋体"/>
          <w:b/>
          <w:color w:val="auto"/>
          <w:sz w:val="21"/>
          <w:szCs w:val="21"/>
          <w:highlight w:val="none"/>
        </w:rPr>
      </w:pPr>
      <w:r>
        <w:rPr>
          <w:rFonts w:hint="eastAsia" w:ascii="宋体" w:hAnsi="宋体" w:eastAsia="宋体" w:cs="宋体"/>
          <w:b/>
          <w:color w:val="auto"/>
          <w:sz w:val="21"/>
          <w:szCs w:val="21"/>
          <w:highlight w:val="none"/>
          <w:lang w:val="zh-CN" w:eastAsia="zh-TW"/>
        </w:rPr>
        <w:t xml:space="preserve">第</w:t>
      </w: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val="zh-CN" w:eastAsia="zh-TW"/>
        </w:rPr>
        <w:t xml:space="preserve">条</w:t>
      </w:r>
      <w:r>
        <w:rPr>
          <w:rFonts w:hint="eastAsia" w:ascii="宋体" w:hAnsi="宋体" w:eastAsia="宋体" w:cs="宋体"/>
          <w:b/>
          <w:color w:val="auto"/>
          <w:sz w:val="21"/>
          <w:szCs w:val="21"/>
          <w:highlight w:val="none"/>
          <w:lang w:val="zh-CN"/>
        </w:rPr>
        <w:t xml:space="preserve">、</w:t>
      </w:r>
      <w:r>
        <w:rPr>
          <w:rFonts w:hint="eastAsia" w:ascii="宋体" w:hAnsi="宋体" w:eastAsia="宋体" w:cs="宋体"/>
          <w:b/>
          <w:color w:val="auto"/>
          <w:sz w:val="21"/>
          <w:szCs w:val="21"/>
          <w:highlight w:val="none"/>
          <w:lang w:val="zh-CN" w:eastAsia="zh-TW"/>
        </w:rPr>
        <w:t xml:space="preserve">其他</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17.1</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本合同未尽事宜，双方应在不违背本合同和需方采购目的的原则下协商解决，协商结果以书面形式盖章记录在案，作为本合同的附件，与本合同具有同等的法律效力。</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17.2</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其他约定：</w:t>
      </w:r>
      <w:r>
        <w:rPr>
          <w:rFonts w:hint="eastAsia" w:ascii="宋体" w:hAnsi="宋体" w:eastAsia="宋体" w:cs="宋体"/>
          <w:b/>
          <w:bCs/>
          <w:i/>
          <w:iCs/>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0"/>
        </w:numPr>
        <w:spacing w:line="400" w:lineRule="exact"/>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17.3</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所有附件为本合同不可分割之组成部分，与本合同具有同等效力。</w:t>
      </w:r>
      <w:r/>
    </w:p>
    <w:p>
      <w:pPr>
        <w:numPr>
          <w:ilvl w:val="0"/>
          <w:numId w:val="0"/>
        </w:numPr>
        <w:spacing w:line="400" w:lineRule="exact"/>
        <w:rPr>
          <w:rFonts w:hint="eastAsia" w:ascii="宋体" w:hAnsi="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17.4</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TW"/>
        </w:rPr>
        <w:t xml:space="preserve">本合同</w:t>
      </w:r>
      <w:r>
        <w:rPr>
          <w:rFonts w:hint="eastAsia" w:ascii="宋体" w:hAnsi="宋体" w:eastAsia="宋体" w:cs="宋体"/>
          <w:color w:val="auto"/>
          <w:sz w:val="21"/>
          <w:szCs w:val="21"/>
          <w:highlight w:val="none"/>
        </w:rPr>
        <w:t xml:space="preserve">经双方当事人盖章后生效。本合同</w:t>
      </w:r>
      <w:r>
        <w:rPr>
          <w:rFonts w:hint="eastAsia" w:ascii="宋体" w:hAnsi="宋体" w:eastAsia="宋体" w:cs="宋体"/>
          <w:color w:val="auto"/>
          <w:sz w:val="21"/>
          <w:szCs w:val="21"/>
          <w:highlight w:val="none"/>
          <w:lang w:eastAsia="zh-TW"/>
        </w:rPr>
        <w:t xml:space="preserve">一式 </w:t>
      </w:r>
      <w:r>
        <w:rPr>
          <w:rFonts w:hint="eastAsia" w:ascii="宋体" w:hAnsi="宋体" w:eastAsia="宋体" w:cs="宋体"/>
          <w:color w:val="auto"/>
          <w:sz w:val="21"/>
          <w:szCs w:val="21"/>
          <w:highlight w:val="none"/>
          <w:u w:val="single"/>
          <w:lang w:eastAsia="zh-TW"/>
        </w:rPr>
        <w:t xml:space="preserve"> </w:t>
      </w:r>
      <w:r>
        <w:rPr>
          <w:rFonts w:hint="eastAsia" w:ascii="宋体" w:hAnsi="宋体" w:eastAsia="宋体" w:cs="宋体"/>
          <w:color w:val="auto"/>
          <w:sz w:val="21"/>
          <w:szCs w:val="21"/>
          <w:highlight w:val="none"/>
          <w:u w:val="single"/>
        </w:rPr>
        <w:t xml:space="preserve">伍</w:t>
      </w:r>
      <w:r>
        <w:rPr>
          <w:rFonts w:hint="eastAsia" w:ascii="宋体" w:hAnsi="宋体" w:eastAsia="宋体" w:cs="宋体"/>
          <w:color w:val="auto"/>
          <w:sz w:val="21"/>
          <w:szCs w:val="21"/>
          <w:highlight w:val="none"/>
          <w:u w:val="single"/>
          <w:lang w:eastAsia="zh-TW"/>
        </w:rPr>
        <w:t xml:space="preserve">  </w:t>
      </w:r>
      <w:r>
        <w:rPr>
          <w:rFonts w:hint="eastAsia" w:ascii="宋体" w:hAnsi="宋体" w:eastAsia="宋体" w:cs="宋体"/>
          <w:color w:val="auto"/>
          <w:sz w:val="21"/>
          <w:szCs w:val="21"/>
          <w:highlight w:val="none"/>
          <w:lang w:eastAsia="zh-TW"/>
        </w:rPr>
        <w:t xml:space="preserve">份，甲</w:t>
      </w:r>
      <w:r>
        <w:rPr>
          <w:rFonts w:hint="eastAsia" w:ascii="宋体" w:hAnsi="宋体" w:eastAsia="宋体" w:cs="宋体"/>
          <w:color w:val="auto"/>
          <w:sz w:val="21"/>
          <w:szCs w:val="21"/>
          <w:highlight w:val="none"/>
        </w:rPr>
        <w:t xml:space="preserve">乙双</w:t>
      </w:r>
      <w:r>
        <w:rPr>
          <w:rFonts w:hint="eastAsia" w:ascii="宋体" w:hAnsi="宋体" w:eastAsia="宋体" w:cs="宋体"/>
          <w:color w:val="auto"/>
          <w:sz w:val="21"/>
          <w:szCs w:val="21"/>
          <w:highlight w:val="none"/>
          <w:lang w:eastAsia="zh-TW"/>
        </w:rPr>
        <w:t xml:space="preserve">方</w:t>
      </w: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eastAsia="zh-TW"/>
        </w:rPr>
        <w:t xml:space="preserve">执</w:t>
      </w:r>
      <w:r>
        <w:rPr>
          <w:rFonts w:hint="eastAsia" w:ascii="宋体" w:hAnsi="宋体" w:eastAsia="宋体" w:cs="宋体"/>
          <w:color w:val="auto"/>
          <w:sz w:val="21"/>
          <w:szCs w:val="21"/>
          <w:highlight w:val="none"/>
          <w:u w:val="single"/>
          <w:lang w:eastAsia="zh-TW"/>
        </w:rPr>
        <w:t xml:space="preserve">  </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u w:val="single"/>
          <w:lang w:eastAsia="zh-TW"/>
        </w:rPr>
        <w:t xml:space="preserve">  </w:t>
      </w:r>
      <w:r>
        <w:rPr>
          <w:rFonts w:hint="eastAsia" w:ascii="宋体" w:hAnsi="宋体" w:eastAsia="宋体" w:cs="宋体"/>
          <w:color w:val="auto"/>
          <w:sz w:val="21"/>
          <w:szCs w:val="21"/>
          <w:highlight w:val="none"/>
          <w:lang w:eastAsia="zh-TW"/>
        </w:rPr>
        <w:t xml:space="preserve">份，采购代理机构执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TW"/>
        </w:rPr>
        <w:t xml:space="preserve">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TW"/>
        </w:rPr>
        <w:t xml:space="preserve">份，具有同等法律效力。</w:t>
      </w:r>
      <w:r/>
    </w:p>
    <w:p>
      <w:pPr>
        <w:jc w:val="left"/>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（以下无正文）</w:t>
      </w:r>
      <w:r/>
    </w:p>
    <w:tbl>
      <w:tblPr>
        <w:tblStyle w:val="650"/>
        <w:tblpPr w:horzAnchor="page" w:tblpX="1464" w:vertAnchor="text" w:tblpY="466" w:leftFromText="180" w:topFromText="0" w:rightFromText="180" w:bottomFromText="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TW"/>
              </w:rPr>
              <w:t xml:space="preserve">甲方（盖章）：</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经办人：</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签署日期：</w:t>
            </w:r>
            <w:r/>
          </w:p>
        </w:tc>
        <w:tc>
          <w:tcPr>
            <w:tcW w:w="4678" w:type="dxa"/>
            <w:vAlign w:val="center"/>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TW"/>
              </w:rPr>
              <w:t xml:space="preserve">乙方（盖章）：</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经办人：</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签署日期：</w:t>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44"/>
          <w:szCs w:val="22"/>
          <w:highlight w:val="none"/>
        </w:rPr>
      </w:pPr>
      <w:r>
        <w:rPr>
          <w:rFonts w:hint="eastAsia" w:ascii="宋体" w:hAnsi="宋体" w:eastAsia="宋体" w:cs="宋体"/>
          <w:b/>
          <w:color w:val="auto"/>
          <w:sz w:val="44"/>
          <w:szCs w:val="22"/>
          <w:highlight w:val="none"/>
        </w:rPr>
        <w:t xml:space="preserve">第六章 </w:t>
      </w:r>
      <w:bookmarkStart w:id="38" w:name="评分要点"/>
      <w:r/>
      <w:bookmarkEnd w:id="38"/>
      <w:r>
        <w:rPr>
          <w:rFonts w:hint="eastAsia" w:ascii="宋体" w:hAnsi="宋体" w:eastAsia="宋体" w:cs="宋体"/>
          <w:b/>
          <w:color w:val="auto"/>
          <w:sz w:val="44"/>
          <w:szCs w:val="22"/>
          <w:highlight w:val="none"/>
        </w:rPr>
        <w:t xml:space="preserve">评标办法和评分标准</w:t>
      </w:r>
      <w:r/>
    </w:p>
    <w:p>
      <w:pPr>
        <w:keepLines w:val="0"/>
        <w:keepNext w:val="0"/>
        <w:pageBreakBefore w:val="0"/>
        <w:spacing w:line="400" w:lineRule="exact"/>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一、评标办法：</w:t>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评标办法采用综合评分法。评标结果按评审后得分由高到低顺序排列。得分相同的，按投标报价由低到高顺序排列。得分且投标报价相同的并列，则由</w:t>
      </w:r>
      <w:r>
        <w:rPr>
          <w:rFonts w:hint="eastAsia" w:ascii="宋体" w:hAnsi="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组织抽签确定中标人。投标文件满足招标文件全部实质性要求，且按照评审因素的量化指标评审得分最高的投标人为排名第一的中标候选人。</w:t>
      </w:r>
      <w:r/>
    </w:p>
    <w:p>
      <w:pPr>
        <w:ind w:firstLine="420"/>
        <w:keepLines w:val="0"/>
        <w:keepNext w:val="0"/>
        <w:pageBreakBefore w:val="0"/>
        <w:spacing w:line="400" w:lineRule="exact"/>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keepLines w:val="0"/>
        <w:keepNext w:val="0"/>
        <w:pageBreakBefore w:val="0"/>
        <w:spacing w:line="400" w:lineRule="exact"/>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如投标人存在“苏财购字（2017）11号”文件中所列的失信或不良行为，按照文件规定执行。</w:t>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针对中小型企业、残疾人福利企业和监狱企业的评审：</w:t>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Cs w:val="21"/>
          <w:highlight w:val="none"/>
        </w:rPr>
        <w:t xml:space="preserve">本项目为专门面向中小企业采购的项目，不再执行价格评审优惠的扶持政策。</w:t>
      </w:r>
      <w:r>
        <w:rPr>
          <w:rFonts w:hint="eastAsia" w:ascii="宋体" w:hAnsi="宋体" w:eastAsia="宋体" w:cs="宋体"/>
          <w:color w:val="auto"/>
          <w:szCs w:val="21"/>
          <w:highlight w:val="none"/>
        </w:rPr>
        <w:t xml:space="preserve">响应单位必须提供《中小企业声明函》或《残疾人福利性单位声明函》或由省级以上监狱管理局、戒毒管理局（含新疆生产建设兵团）出具的属于监狱企业的证明文件。</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①填报“中小企业声明函”需严格按“工信部联企业〔2011〕300号通知中的《中小企业划型标准规定》进行。</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②若投标人提供的“中小企业声明函”或认定证明为虚假声明则视同提供虚假材料，按“政府采购法”相关规定处理并报请政府监管部门给予行政处罚。</w:t>
      </w:r>
      <w:r/>
    </w:p>
    <w:p>
      <w:pPr>
        <w:ind w:firstLine="420"/>
        <w:spacing w:line="360" w:lineRule="auto"/>
        <w:rPr>
          <w:rFonts w:ascii="宋体" w:hAnsi="宋体"/>
          <w:b/>
          <w:color w:val="auto"/>
          <w:highlight w:val="none"/>
        </w:rPr>
      </w:pPr>
      <w:r>
        <w:rPr>
          <w:rFonts w:hint="eastAsia" w:ascii="宋体" w:hAnsi="宋体" w:cs="宋体"/>
          <w:b w:val="0"/>
          <w:bCs w:val="0"/>
          <w:color w:val="auto"/>
          <w:szCs w:val="21"/>
          <w:highlight w:val="none"/>
        </w:rPr>
        <w:t xml:space="preserve">5</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本项目核心产品按采购</w:t>
      </w:r>
      <w:r>
        <w:rPr>
          <w:rFonts w:hint="eastAsia" w:ascii="宋体" w:hAnsi="宋体" w:cs="宋体"/>
          <w:b w:val="0"/>
          <w:bCs w:val="0"/>
          <w:color w:val="auto"/>
          <w:szCs w:val="21"/>
          <w:highlight w:val="none"/>
          <w:lang w:val="en-US" w:eastAsia="zh-CN"/>
        </w:rPr>
        <w:t xml:space="preserve">文件</w:t>
      </w:r>
      <w:r>
        <w:rPr>
          <w:rFonts w:hint="eastAsia" w:ascii="宋体" w:hAnsi="宋体" w:cs="宋体"/>
          <w:b w:val="0"/>
          <w:bCs w:val="0"/>
          <w:color w:val="auto"/>
          <w:szCs w:val="21"/>
          <w:highlight w:val="none"/>
        </w:rPr>
        <w:t xml:space="preserve">要求。</w:t>
      </w:r>
      <w:r>
        <w:rPr>
          <w:rFonts w:hint="eastAsia" w:ascii="宋体" w:hAnsi="宋体"/>
          <w:b w:val="0"/>
          <w:bCs w:val="0"/>
          <w:color w:val="auto"/>
          <w:highlight w:val="none"/>
        </w:rPr>
        <w:t xml:space="preserve">使用综合评分法的采购项目，提供相同品牌产品且通过资格审查、符合性审查的不同投标人参</w:t>
      </w:r>
      <w:r>
        <w:rPr>
          <w:rFonts w:hint="eastAsia" w:ascii="宋体" w:hAnsi="宋体"/>
          <w:color w:val="auto"/>
          <w:highlight w:val="none"/>
        </w:rPr>
        <w:t xml:space="preserve">加同一合</w:t>
      </w:r>
      <w:r>
        <w:rPr>
          <w:rFonts w:hint="eastAsia" w:ascii="宋体" w:hAnsi="宋体"/>
          <w:color w:val="auto"/>
          <w:highlight w:val="none"/>
        </w:rPr>
        <w:t xml:space="preserve">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Cs w:val="21"/>
          <w:highlight w:val="none"/>
        </w:rPr>
        <w:t xml:space="preserve">二</w:t>
      </w:r>
      <w:r>
        <w:rPr>
          <w:rFonts w:hint="eastAsia" w:ascii="宋体" w:hAnsi="宋体" w:eastAsia="宋体" w:cs="宋体"/>
          <w:b/>
          <w:color w:val="auto"/>
          <w:sz w:val="21"/>
          <w:szCs w:val="21"/>
          <w:highlight w:val="none"/>
        </w:rPr>
        <w:t xml:space="preserve">、评分标准：</w:t>
      </w:r>
      <w:r/>
    </w:p>
    <w:p>
      <w:pPr>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(一）价格分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30分</w:t>
      </w:r>
      <w:r/>
    </w:p>
    <w:p>
      <w:pPr>
        <w:ind w:firstLine="420"/>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第一步：投标报价低于或等于财政预算价格的，为有效投标报价。超财政预算的投标报价为无效投标报价。</w:t>
      </w:r>
      <w:r/>
    </w:p>
    <w:p>
      <w:pPr>
        <w:ind w:firstLine="420"/>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投标报价得分＝（评标基准价/投标报价）×30％×100</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（二）技术方案：58分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1、项目总体概述及主要实施方案：8分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rPr>
        <w:t xml:space="preserve">核心要点把握（包括但不限于项目目标、重难点及核心需求）</w:t>
      </w:r>
      <w:r>
        <w:rPr>
          <w:rFonts w:hint="eastAsia" w:ascii="宋体" w:hAnsi="宋体" w:cs="宋体"/>
          <w:color w:val="auto"/>
          <w:szCs w:val="21"/>
          <w:highlight w:val="none"/>
        </w:rPr>
        <w:t xml:space="preserve">：方案完整合理、符合本项目实际需求的，得2分；方案内容有一处不合理或错误得1分；方案内容有两处不合理或错误得0.5分；方案内容有三处及以上不合理或错误或未提供不得分。最高得2分。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rPr>
        <w:t xml:space="preserve">作业实施部署（包括但不限于总体安排、作业流向、平面布置）</w:t>
      </w:r>
      <w:r>
        <w:rPr>
          <w:rFonts w:hint="eastAsia" w:ascii="宋体" w:hAnsi="宋体" w:cs="宋体"/>
          <w:color w:val="auto"/>
          <w:szCs w:val="21"/>
          <w:highlight w:val="none"/>
        </w:rPr>
        <w:t xml:space="preserve">：方案完整合理、符合本项目实际需求的，得3分；方案内容有一处不合理或错误得2分；方案内容有两处不合理或错误得1分；方案内容有三处及以上不合理或错误或未提供不得分。最高得3分。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c.关键工艺技术（包括但不限于基础处理、面层铺设、接缝处理等关键工艺）</w:t>
      </w:r>
      <w:r>
        <w:rPr>
          <w:rFonts w:hint="eastAsia" w:ascii="宋体" w:hAnsi="宋体" w:cs="宋体"/>
          <w:color w:val="auto"/>
          <w:szCs w:val="21"/>
          <w:highlight w:val="none"/>
        </w:rPr>
        <w:t xml:space="preserve">：方案完整合理、符合本项目实际需求的，得3分；方案内容有一处不合理或错误得2分；方案内容有两处不合理或错误得1分；方案内容有三处及以上不合理或错误或未提供不得分。最高得3分。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2、项目进度计划及保证措施：8分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a.进度计划（包括但不限于横道图或网络图、关键节点、任务分解）：</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b.进度保证措施（包括但不限于人员及机械设备调配、雨季或高温作业预案、赶工措施）：</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3、项目资源配置计划：8分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a.劳动力配置（包括但不限于工种、数量、进场计划）</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b.材料设备配置（包括但不限于主要材料（胶水、颗粒等）配置、机械设备配置、进场计划）：</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4、安全文明实施及环境保护措施：8分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a.安全文明作业（包括但不限于安全管理体系、现场围挡、防尘降噪、废弃物处理）</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b.环保与健康管控（包括但不限于针对原材料及成品的无毒无害管控、气味控制、挥发性有机物防治）：</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5、项目质量保证措施：8分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a.质量控制体系：</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b.关键指标控制（包括但不限于针对颜色一致性、厚度控制、平整度、耐老化、耐温差等关键指标提供预控措施和检测方案）</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6、人员架构与职责：4分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人员架构与职责（包括但不限于组织机构图、岗位职责、协作机制）：</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7、售后服务方案比较：7分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a.响应机制（包括但不限于质保期内故障响应及到达现场方案承诺、违约惩罚承诺）：</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b.技术支持与维护（包括但不限于定期巡检计划、维护保养培训、应急维修方案）：</w:t>
      </w:r>
      <w:r>
        <w:rPr>
          <w:rFonts w:hint="eastAsia" w:ascii="宋体" w:hAnsi="宋体" w:cs="宋体"/>
          <w:color w:val="auto"/>
          <w:szCs w:val="21"/>
          <w:highlight w:val="none"/>
        </w:rPr>
        <w:t xml:space="preserve">方案完整合理、符合本项目实际需求的，得3分；方案内容有一处不合理或错误得2分；方案内容有两处不合理或错误得1分；方案内容有三处及以上不合理或错误或未提供不得分。最高得3分。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8、应急预案及纠纷处置：7分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a.应急预案（包括但不限于涵盖火灾、触电、中毒、极端天气、机械伤害等突发事故的应急预案、演练计划和救援联络机制）：</w:t>
      </w:r>
      <w:r>
        <w:rPr>
          <w:rFonts w:hint="eastAsia" w:ascii="宋体" w:hAnsi="宋体" w:cs="宋体"/>
          <w:color w:val="auto"/>
          <w:szCs w:val="21"/>
          <w:highlight w:val="none"/>
        </w:rPr>
        <w:t xml:space="preserve">方案完整合理、符合本项目实际需求的，得4分；方案内容有一处不合理或错误得2分；方案内容有两处不合理或错误得1分；方案内容有三处及以上不合理或错误或未提供不得分。最高得4分。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b.纠纷处置措施（包括但不限于针对劳资纠纷、周边扰民投诉、质量争议等提供处置流程和协调机制）：</w:t>
      </w:r>
      <w:r>
        <w:rPr>
          <w:rFonts w:hint="eastAsia" w:ascii="宋体" w:hAnsi="宋体" w:cs="宋体"/>
          <w:color w:val="auto"/>
          <w:szCs w:val="21"/>
          <w:highlight w:val="none"/>
        </w:rPr>
        <w:t xml:space="preserve">方案完整合理、符合本项目实际需求的，得3分；方案内容有一处不合理或错误得2分；方案内容有两处不合理或错误得1分；方案内容有三处及以上不合理或错误或未提供不得分。最高得3分。     </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w:t>
      </w:r>
      <w:r>
        <w:rPr>
          <w:rFonts w:hint="eastAsia" w:ascii="宋体" w:hAnsi="宋体" w:cs="宋体"/>
          <w:color w:val="auto"/>
          <w:szCs w:val="21"/>
          <w:highlight w:val="none"/>
          <w:lang w:eastAsia="zh-CN"/>
        </w:rPr>
        <w:t xml:space="preserve">逻辑存在漏洞、缺项、技术错误</w:t>
      </w:r>
      <w:r>
        <w:rPr>
          <w:rFonts w:hint="eastAsia" w:ascii="宋体" w:hAnsi="宋体" w:cs="宋体"/>
          <w:color w:val="auto"/>
          <w:szCs w:val="21"/>
          <w:highlight w:val="none"/>
        </w:rPr>
        <w:t xml:space="preserve">以及不满足采购文件要求</w:t>
      </w:r>
      <w:r>
        <w:rPr>
          <w:rFonts w:hint="eastAsia" w:ascii="宋体" w:hAnsi="宋体" w:cs="宋体"/>
          <w:color w:val="auto"/>
          <w:szCs w:val="21"/>
          <w:highlight w:val="none"/>
        </w:rPr>
        <w:t xml:space="preserve">等</w:t>
      </w:r>
      <w:r>
        <w:rPr>
          <w:rFonts w:hint="eastAsia" w:ascii="宋体" w:hAnsi="宋体" w:cs="宋体"/>
          <w:color w:val="auto"/>
          <w:szCs w:val="21"/>
          <w:highlight w:val="none"/>
        </w:rPr>
        <w:t xml:space="preserve">的其他情况。</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en-US" w:eastAsia="zh-CN"/>
        </w:rPr>
        <w:t xml:space="preserve">投标单位</w:t>
      </w:r>
      <w:r>
        <w:rPr>
          <w:rFonts w:hint="eastAsia" w:ascii="宋体" w:hAnsi="宋体" w:cs="宋体"/>
          <w:b/>
          <w:bCs/>
          <w:color w:val="auto"/>
          <w:szCs w:val="21"/>
          <w:highlight w:val="none"/>
        </w:rPr>
        <w:t xml:space="preserve">产品性能：4分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1、非固体材料环保安全性（2分）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提供非固体材料（胶粘剂），针对投标产品的检测报告。</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检测依据：</w:t>
      </w:r>
      <w:r>
        <w:rPr>
          <w:rFonts w:ascii="宋体" w:hAnsi="宋体" w:cs="宋体"/>
          <w:color w:val="auto"/>
          <w:szCs w:val="21"/>
          <w:highlight w:val="none"/>
        </w:rPr>
        <w:t xml:space="preserve">GB 36246</w:t>
      </w:r>
      <w:r>
        <w:rPr>
          <w:rFonts w:hint="eastAsia" w:ascii="MS Mincho" w:hAnsi="MS Mincho" w:eastAsia="MS Mincho" w:cs="MS Mincho"/>
          <w:color w:val="auto"/>
          <w:szCs w:val="21"/>
          <w:highlight w:val="none"/>
        </w:rPr>
        <w:t xml:space="preserve">‑</w:t>
      </w:r>
      <w:r>
        <w:rPr>
          <w:rFonts w:hint="eastAsia" w:ascii="宋体" w:hAnsi="宋体" w:cs="宋体"/>
          <w:color w:val="auto"/>
          <w:szCs w:val="21"/>
          <w:highlight w:val="none"/>
        </w:rPr>
        <w:t xml:space="preserve">2018《中小学合成材料面层运动场地》中非固体原料有害物质限量要求。</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核心检测指标</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邻苯二甲酸酯类化合物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DBP、BBP、DEHP 三项总和</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DNOP、DINP、DIDP 三项总和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短链氯化石蜡（</w:t>
      </w:r>
      <w:r>
        <w:rPr>
          <w:rFonts w:ascii="宋体" w:hAnsi="宋体" w:cs="宋体"/>
          <w:color w:val="auto"/>
          <w:szCs w:val="21"/>
          <w:highlight w:val="none"/>
        </w:rPr>
        <w:t xml:space="preserve">C</w:t>
      </w:r>
      <w:r>
        <w:rPr>
          <w:rFonts w:ascii="Cambria Math" w:hAnsi="Cambria Math" w:cs="Cambria Math"/>
          <w:color w:val="auto"/>
          <w:szCs w:val="21"/>
          <w:highlight w:val="none"/>
        </w:rPr>
        <w:t xml:space="preserve">₁₀</w:t>
      </w:r>
      <w:r>
        <w:rPr>
          <w:rFonts w:hint="eastAsia" w:ascii="宋体" w:hAnsi="宋体" w:cs="宋体"/>
          <w:color w:val="auto"/>
          <w:szCs w:val="21"/>
          <w:highlight w:val="none"/>
        </w:rPr>
        <w:t xml:space="preserve">–C</w:t>
      </w:r>
      <w:r>
        <w:rPr>
          <w:rFonts w:ascii="Cambria Math" w:hAnsi="Cambria Math" w:cs="Cambria Math"/>
          <w:color w:val="auto"/>
          <w:szCs w:val="21"/>
          <w:highlight w:val="none"/>
        </w:rPr>
        <w:t xml:space="preserve">₁₃</w:t>
      </w:r>
      <w:r>
        <w:rPr>
          <w:rFonts w:hint="eastAsia" w:ascii="宋体" w:hAnsi="宋体" w:cs="宋体"/>
          <w:color w:val="auto"/>
          <w:szCs w:val="21"/>
          <w:highlight w:val="none"/>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游离 TDI 与游离 HDI 总和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挥发性有机物及苯系物</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挥发性有机化合物（VOC）</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甲苯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二甲苯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乙苯总和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游离甲醛</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⑤</w:t>
      </w:r>
      <w:r>
        <w:rPr>
          <w:rFonts w:hint="eastAsia" w:ascii="宋体" w:hAnsi="宋体" w:cs="宋体"/>
          <w:color w:val="auto"/>
          <w:szCs w:val="21"/>
          <w:highlight w:val="none"/>
        </w:rPr>
        <w:t xml:space="preserve">可溶性重金属</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可溶性铅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可溶性镉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可溶性铬</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可溶性汞</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上述 5 大类所有指标检测结果均为未检出（报告标注 ND / 未检出 / ＜检出限 / 低于方法检出限 LOD），得 2分</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上述</w:t>
      </w:r>
      <w:r>
        <w:rPr>
          <w:rFonts w:ascii="宋体" w:hAnsi="宋体" w:cs="宋体"/>
          <w:color w:val="auto"/>
          <w:szCs w:val="21"/>
          <w:highlight w:val="none"/>
        </w:rPr>
        <w:t xml:space="preserve"> 5 </w:t>
      </w:r>
      <w:r>
        <w:rPr>
          <w:rFonts w:hint="eastAsia" w:ascii="宋体" w:hAnsi="宋体" w:cs="宋体"/>
          <w:color w:val="auto"/>
          <w:szCs w:val="21"/>
          <w:highlight w:val="none"/>
        </w:rPr>
        <w:t xml:space="preserve">大类所有指标均符合</w:t>
      </w:r>
      <w:r>
        <w:rPr>
          <w:rFonts w:ascii="宋体" w:hAnsi="宋体" w:cs="宋体"/>
          <w:color w:val="auto"/>
          <w:szCs w:val="21"/>
          <w:highlight w:val="none"/>
        </w:rPr>
        <w:t xml:space="preserve"> GB 36246</w:t>
      </w:r>
      <w:r>
        <w:rPr>
          <w:rFonts w:hint="eastAsia" w:ascii="MS Mincho" w:hAnsi="MS Mincho" w:eastAsia="MS Mincho" w:cs="MS Mincho"/>
          <w:color w:val="auto"/>
          <w:szCs w:val="21"/>
          <w:highlight w:val="none"/>
        </w:rPr>
        <w:t xml:space="preserve">‑</w:t>
      </w:r>
      <w:r>
        <w:rPr>
          <w:rFonts w:hint="eastAsia" w:ascii="宋体" w:hAnsi="宋体" w:cs="宋体"/>
          <w:color w:val="auto"/>
          <w:szCs w:val="21"/>
          <w:highlight w:val="none"/>
        </w:rPr>
        <w:t xml:space="preserve">2018 标准限值，且满足：至少 3 大类指标为未检出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其余大类指标实测值 ≤ 对应标准限值的 50%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得1分</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未满足以上任一情形的，得0分。</w:t>
      </w:r>
      <w:r/>
    </w:p>
    <w:p>
      <w:pPr>
        <w:numPr>
          <w:ilvl w:val="0"/>
          <w:numId w:val="0"/>
        </w:numPr>
        <w:ind w:firstLine="420"/>
        <w:jc w:val="both"/>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投标文件中提供由投标单位或生产厂家送检的具有国家认可检测资格的检测单位出具的检测或试验报告清晰扫描件。检测或试验报告内容不全或不提供不得分。</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跑道橡胶颗粒性能要求（2分）</w:t>
      </w:r>
      <w:r/>
    </w:p>
    <w:p>
      <w:pPr>
        <w:ind w:firstLine="315"/>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依据</w:t>
      </w:r>
      <w:r>
        <w:rPr>
          <w:rFonts w:ascii="宋体" w:hAnsi="宋体" w:cs="宋体"/>
          <w:bCs/>
          <w:color w:val="auto"/>
          <w:szCs w:val="21"/>
          <w:highlight w:val="none"/>
        </w:rPr>
        <w:t xml:space="preserve">GB 36246</w:t>
      </w:r>
      <w:r>
        <w:rPr>
          <w:rFonts w:hint="eastAsia" w:ascii="MS Mincho" w:hAnsi="MS Mincho" w:eastAsia="MS Mincho" w:cs="MS Mincho"/>
          <w:bCs/>
          <w:color w:val="auto"/>
          <w:szCs w:val="21"/>
          <w:highlight w:val="none"/>
        </w:rPr>
        <w:t xml:space="preserve">‑</w:t>
      </w:r>
      <w:r>
        <w:rPr>
          <w:rFonts w:hint="eastAsia" w:ascii="宋体" w:hAnsi="宋体" w:cs="宋体"/>
          <w:bCs/>
          <w:color w:val="auto"/>
          <w:szCs w:val="21"/>
          <w:highlight w:val="none"/>
        </w:rPr>
        <w:t xml:space="preserve">2018《中小学合成材料面层运动场地》、</w:t>
      </w:r>
      <w:r>
        <w:rPr>
          <w:rFonts w:ascii="宋体" w:hAnsi="宋体" w:cs="宋体"/>
          <w:bCs/>
          <w:color w:val="auto"/>
          <w:szCs w:val="21"/>
          <w:highlight w:val="none"/>
        </w:rPr>
        <w:t xml:space="preserve">GB/T 43</w:t>
      </w:r>
      <w:bookmarkStart w:id="39" w:name="_GoBack"/>
      <w:r/>
      <w:bookmarkEnd w:id="39"/>
      <w:r>
        <w:rPr>
          <w:rFonts w:ascii="宋体" w:hAnsi="宋体" w:cs="宋体"/>
          <w:bCs/>
          <w:color w:val="auto"/>
          <w:szCs w:val="21"/>
          <w:highlight w:val="none"/>
        </w:rPr>
        <w:t xml:space="preserve">564</w:t>
      </w:r>
      <w:r>
        <w:rPr>
          <w:rFonts w:hint="eastAsia" w:ascii="MS Mincho" w:hAnsi="MS Mincho" w:eastAsia="MS Mincho" w:cs="MS Mincho"/>
          <w:bCs/>
          <w:color w:val="auto"/>
          <w:szCs w:val="21"/>
          <w:highlight w:val="none"/>
        </w:rPr>
        <w:t xml:space="preserve">‑</w:t>
      </w:r>
      <w:r>
        <w:rPr>
          <w:rFonts w:hint="eastAsia" w:ascii="宋体" w:hAnsi="宋体" w:cs="宋体"/>
          <w:bCs/>
          <w:color w:val="auto"/>
          <w:szCs w:val="21"/>
          <w:highlight w:val="none"/>
        </w:rPr>
        <w:t xml:space="preserve">2023《合成材料运动场地面层用橡胶颗粒》标准要求，</w:t>
      </w:r>
      <w:r>
        <w:rPr>
          <w:rFonts w:hint="eastAsia" w:ascii="宋体" w:hAnsi="宋体" w:cs="宋体"/>
          <w:bCs/>
          <w:color w:val="auto"/>
          <w:szCs w:val="21"/>
          <w:highlight w:val="none"/>
          <w:lang w:val="en-US" w:eastAsia="zh-CN"/>
        </w:rPr>
        <w:t xml:space="preserve">本项目</w:t>
      </w:r>
      <w:r>
        <w:rPr>
          <w:rFonts w:hint="eastAsia" w:ascii="宋体" w:hAnsi="宋体" w:cs="宋体"/>
          <w:bCs/>
          <w:color w:val="auto"/>
          <w:szCs w:val="21"/>
          <w:highlight w:val="none"/>
        </w:rPr>
        <w:t xml:space="preserve">严格遵循</w:t>
      </w:r>
      <w:r>
        <w:rPr>
          <w:rFonts w:ascii="宋体" w:hAnsi="宋体" w:cs="宋体"/>
          <w:bCs/>
          <w:color w:val="auto"/>
          <w:szCs w:val="21"/>
          <w:highlight w:val="none"/>
        </w:rPr>
        <w:t xml:space="preserve">GB 36246</w:t>
      </w:r>
      <w:r>
        <w:rPr>
          <w:rFonts w:hint="eastAsia" w:ascii="MS Mincho" w:hAnsi="MS Mincho" w:eastAsia="MS Mincho" w:cs="MS Mincho"/>
          <w:bCs/>
          <w:color w:val="auto"/>
          <w:szCs w:val="21"/>
          <w:highlight w:val="none"/>
        </w:rPr>
        <w:t xml:space="preserve">‑</w:t>
      </w:r>
      <w:r>
        <w:rPr>
          <w:rFonts w:hint="eastAsia" w:ascii="宋体" w:hAnsi="宋体" w:cs="宋体"/>
          <w:bCs/>
          <w:color w:val="auto"/>
          <w:szCs w:val="21"/>
          <w:highlight w:val="none"/>
        </w:rPr>
        <w:t xml:space="preserve">2018强制性国标中高聚物总量不低于</w:t>
      </w:r>
      <w:r>
        <w:rPr>
          <w:rFonts w:ascii="宋体" w:hAnsi="宋体" w:cs="宋体"/>
          <w:bCs/>
          <w:color w:val="auto"/>
          <w:szCs w:val="21"/>
          <w:highlight w:val="none"/>
        </w:rPr>
        <w:t xml:space="preserve">20%</w:t>
      </w:r>
      <w:r>
        <w:rPr>
          <w:rFonts w:hint="eastAsia" w:ascii="宋体" w:hAnsi="宋体" w:cs="宋体"/>
          <w:bCs/>
          <w:color w:val="auto"/>
          <w:szCs w:val="21"/>
          <w:highlight w:val="none"/>
        </w:rPr>
        <w:t xml:space="preserve">的规定，对</w:t>
      </w:r>
      <w:r>
        <w:rPr>
          <w:rFonts w:hint="eastAsia" w:ascii="宋体" w:hAnsi="宋体" w:cs="宋体"/>
          <w:bCs/>
          <w:color w:val="auto"/>
          <w:szCs w:val="21"/>
          <w:highlight w:val="none"/>
          <w:lang w:val="en-US" w:eastAsia="zh-CN"/>
        </w:rPr>
        <w:t xml:space="preserve">投标单位</w:t>
      </w:r>
      <w:r>
        <w:rPr>
          <w:rFonts w:hint="eastAsia" w:ascii="宋体" w:hAnsi="宋体" w:cs="宋体"/>
          <w:bCs/>
          <w:color w:val="auto"/>
          <w:szCs w:val="21"/>
          <w:highlight w:val="none"/>
        </w:rPr>
        <w:t xml:space="preserve">所投橡胶颗粒高聚物总量指标进行评审。</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所投面层橡胶颗粒高聚物总量≥25%，且弹性层橡胶颗粒高聚物总量≥20%的，得2分；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符合</w:t>
      </w:r>
      <w:r>
        <w:rPr>
          <w:rFonts w:ascii="宋体" w:hAnsi="宋体" w:cs="宋体"/>
          <w:bCs/>
          <w:color w:val="auto"/>
          <w:szCs w:val="21"/>
          <w:highlight w:val="none"/>
        </w:rPr>
        <w:t xml:space="preserve">GB 36246</w:t>
      </w:r>
      <w:r>
        <w:rPr>
          <w:rFonts w:hint="eastAsia" w:ascii="MS Mincho" w:hAnsi="MS Mincho" w:eastAsia="MS Mincho" w:cs="MS Mincho"/>
          <w:bCs/>
          <w:color w:val="auto"/>
          <w:szCs w:val="21"/>
          <w:highlight w:val="none"/>
        </w:rPr>
        <w:t xml:space="preserve">‑</w:t>
      </w:r>
      <w:r>
        <w:rPr>
          <w:rFonts w:hint="eastAsia" w:ascii="宋体" w:hAnsi="宋体" w:cs="宋体"/>
          <w:bCs/>
          <w:color w:val="auto"/>
          <w:szCs w:val="21"/>
          <w:highlight w:val="none"/>
        </w:rPr>
        <w:t xml:space="preserve">201</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规定</w:t>
      </w:r>
      <w:r>
        <w:rPr>
          <w:rFonts w:hint="eastAsia" w:ascii="宋体" w:hAnsi="宋体" w:cs="宋体"/>
          <w:bCs/>
          <w:color w:val="auto"/>
          <w:szCs w:val="21"/>
          <w:highlight w:val="none"/>
          <w:lang w:val="en-US" w:eastAsia="zh-CN"/>
        </w:rPr>
        <w:t xml:space="preserve">且只</w:t>
      </w:r>
      <w:r>
        <w:rPr>
          <w:rFonts w:hint="eastAsia" w:ascii="宋体" w:hAnsi="宋体" w:cs="宋体"/>
          <w:bCs/>
          <w:color w:val="auto"/>
          <w:szCs w:val="21"/>
          <w:highlight w:val="none"/>
        </w:rPr>
        <w:t xml:space="preserve">满足</w:t>
      </w:r>
      <w:r>
        <w:rPr>
          <w:rFonts w:hint="eastAsia" w:ascii="宋体" w:hAnsi="宋体" w:cs="宋体"/>
          <w:bCs/>
          <w:color w:val="auto"/>
          <w:szCs w:val="21"/>
          <w:highlight w:val="none"/>
          <w:lang w:val="en-US" w:eastAsia="zh-CN"/>
        </w:rPr>
        <w:t xml:space="preserve">上述</w:t>
      </w:r>
      <w:r>
        <w:rPr>
          <w:rFonts w:hint="eastAsia" w:ascii="宋体" w:hAnsi="宋体" w:cs="宋体"/>
          <w:bCs/>
          <w:color w:val="auto"/>
          <w:szCs w:val="21"/>
          <w:highlight w:val="none"/>
        </w:rPr>
        <w:t xml:space="preserve">指标中一项的，得1分；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未满足上述要求的，得0分。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注：</w:t>
      </w:r>
      <w:r>
        <w:rPr>
          <w:rFonts w:hint="eastAsia" w:ascii="宋体" w:hAnsi="宋体" w:cs="宋体"/>
          <w:bCs/>
          <w:color w:val="auto"/>
          <w:szCs w:val="21"/>
          <w:highlight w:val="none"/>
        </w:rPr>
        <w:t xml:space="preserve">投标文件中提供由投标单位或生产厂家送检的具有国家认可检测资格的检测单位出具的检测或试验报告清晰扫描件。检测或试验报告内容不全或不提供不得分。</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（四）类似业绩：8分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投标单位或所投产品生产厂家</w:t>
      </w:r>
      <w:r>
        <w:rPr>
          <w:rFonts w:hint="eastAsia" w:ascii="宋体" w:hAnsi="宋体" w:cs="宋体"/>
          <w:color w:val="auto"/>
          <w:szCs w:val="21"/>
          <w:highlight w:val="none"/>
        </w:rPr>
        <w:t xml:space="preserve">自2023年</w:t>
      </w:r>
      <w:r>
        <w:rPr>
          <w:rFonts w:hint="eastAsia" w:ascii="宋体" w:hAnsi="宋体" w:cs="宋体"/>
          <w:color w:val="auto"/>
          <w:szCs w:val="21"/>
          <w:highlight w:val="none"/>
        </w:rPr>
        <w:t xml:space="preserve">3月1日</w:t>
      </w:r>
      <w:r>
        <w:rPr>
          <w:rFonts w:hint="eastAsia" w:ascii="宋体" w:hAnsi="宋体" w:cs="宋体"/>
          <w:color w:val="auto"/>
          <w:szCs w:val="21"/>
          <w:highlight w:val="none"/>
        </w:rPr>
        <w:t xml:space="preserve">（以合同验收日期为准）至今承担过类似项目，每提供一个业绩</w:t>
      </w:r>
      <w:r>
        <w:rPr>
          <w:rFonts w:hint="eastAsia" w:ascii="宋体" w:hAnsi="宋体" w:cs="宋体"/>
          <w:color w:val="auto"/>
          <w:szCs w:val="21"/>
          <w:highlight w:val="none"/>
        </w:rPr>
        <w:t xml:space="preserve">得2分，本项最高得8分。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投标文件中提供完整的合同复印件、验收报告（应有采购单位、供应商公章）复印件、对应的发票（任意一笔付款），资料不全或不提供不得分。</w:t>
      </w:r>
      <w:r/>
    </w:p>
    <w:p>
      <w:pPr>
        <w:keepLines w:val="0"/>
        <w:keepNext w:val="0"/>
        <w:pageBreakBefore w:val="0"/>
        <w:spacing w:line="40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keepLines w:val="0"/>
        <w:keepNext w:val="0"/>
        <w:pageBreakBefore w:val="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备</w:t>
      </w:r>
      <w:r>
        <w:rPr>
          <w:rFonts w:hint="eastAsia" w:ascii="宋体" w:hAnsi="宋体" w:eastAsia="宋体" w:cs="宋体"/>
          <w:b/>
          <w:bCs/>
          <w:color w:val="auto"/>
          <w:szCs w:val="21"/>
          <w:highlight w:val="none"/>
        </w:rPr>
        <w:t xml:space="preserve">注：</w:t>
      </w:r>
      <w:r/>
    </w:p>
    <w:p>
      <w:pPr>
        <w:ind w:firstLine="420"/>
        <w:keepLines w:val="0"/>
        <w:keepNext w:val="0"/>
        <w:pageBreakBefore w:val="0"/>
        <w:spacing w:line="400" w:lineRule="exact"/>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针对评分标准中评分的每一条，投标人均应提供相关资料并作出相应说明供评委评判，不提供相关资料的视为不具备该项得分的条件。</w:t>
      </w:r>
      <w:r/>
    </w:p>
    <w:p>
      <w:pPr>
        <w:ind w:firstLine="420"/>
        <w:keepLines w:val="0"/>
        <w:keepNext w:val="0"/>
        <w:pageBreakBefore w:val="0"/>
        <w:spacing w:line="400" w:lineRule="exact"/>
        <w:rPr>
          <w:rFonts w:hint="eastAsia" w:ascii="宋体" w:hAnsi="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投标人必须保证全部投标资料的真实性，如有虚假或对招标文件所要求说明的情况故意隐瞒或虚报，视为不实质性</w:t>
      </w:r>
      <w:r>
        <w:rPr>
          <w:rFonts w:hint="eastAsia" w:ascii="宋体" w:hAnsi="宋体" w:cs="宋体"/>
          <w:b/>
          <w:bCs/>
          <w:color w:val="auto"/>
          <w:szCs w:val="21"/>
          <w:highlight w:val="none"/>
          <w:lang w:val="en-US" w:eastAsia="zh-CN"/>
        </w:rPr>
        <w:t xml:space="preserve">响应</w:t>
      </w:r>
      <w:r>
        <w:rPr>
          <w:rFonts w:hint="eastAsia" w:ascii="宋体" w:hAnsi="宋体" w:eastAsia="宋体" w:cs="宋体"/>
          <w:b/>
          <w:bCs/>
          <w:color w:val="auto"/>
          <w:szCs w:val="21"/>
          <w:highlight w:val="none"/>
        </w:rPr>
        <w:t xml:space="preserve">招标文件，为无效投标，已中标的将取消中标资格，按“提供虚假材料谋取中标、成交”相关处理办法处理。</w:t>
      </w:r>
      <w:r/>
    </w:p>
    <w:p>
      <w:pPr>
        <w:ind w:firstLine="422"/>
        <w:jc w:val="right"/>
        <w:keepLines w:val="0"/>
        <w:keepNext w:val="0"/>
        <w:pageBreakBefore w:val="0"/>
        <w:spacing w:line="400" w:lineRule="exact"/>
        <w:rPr>
          <w:rFonts w:hint="eastAsia" w:ascii="宋体" w:hAnsi="宋体" w:cs="宋体"/>
          <w:color w:val="auto"/>
          <w:szCs w:val="21"/>
          <w:highlight w:val="none"/>
        </w:rPr>
      </w:pPr>
      <w:r>
        <w:rPr>
          <w:rFonts w:hint="eastAsia" w:ascii="宋体" w:hAnsi="宋体" w:eastAsia="宋体" w:cs="宋体"/>
          <w:b/>
          <w:bCs/>
          <w:color w:val="auto"/>
          <w:szCs w:val="21"/>
          <w:highlight w:val="none"/>
        </w:rPr>
        <w:t xml:space="preserve">（全文完）</w:t>
      </w:r>
      <w:r/>
    </w:p>
    <w:sectPr>
      <w:footerReference w:type="default" r:id="rId9"/>
      <w:footnotePr/>
      <w:endnotePr/>
      <w:type w:val="nextPage"/>
      <w:pgSz w:w="11906"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仿宋">
    <w:panose1 w:val="02010609060101010101"/>
  </w:font>
  <w:font w:name="Symbol">
    <w:panose1 w:val="05050102010706020507"/>
  </w:font>
  <w:font w:name="Wingdings">
    <w:panose1 w:val="05000000000000000000"/>
  </w:font>
  <w:font w:name="Cambria">
    <w:panose1 w:val="02040503050406030204"/>
  </w:font>
  <w:font w:name="Cambria Math">
    <w:panose1 w:val="02040503050406030204"/>
  </w:font>
  <w:font w:name="Calibri Light">
    <w:panose1 w:val="020F03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4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link w:val="888"/>
    <w:uiPriority w:val="0"/>
    <w:qFormat/>
    <w:pPr>
      <w:jc w:val="both"/>
      <w:widowControl w:val="off"/>
    </w:pPr>
    <w:rPr>
      <w:rFonts w:hint="default" w:ascii="Calibri" w:hAnsi="Calibri" w:eastAsia="宋体" w:cs="Times New Roman"/>
      <w:sz w:val="21"/>
      <w:szCs w:val="24"/>
      <w:lang w:val="en-US" w:eastAsia="zh-CN" w:bidi="ar-SA"/>
    </w:rPr>
  </w:style>
  <w:style w:type="paragraph" w:styleId="640">
    <w:name w:val="Heading 1"/>
    <w:basedOn w:val="639"/>
    <w:next w:val="639"/>
    <w:link w:val="688"/>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link w:val="689"/>
    <w:uiPriority w:val="9"/>
    <w:unhideWhenUsed/>
    <w:qFormat/>
    <w:pPr>
      <w:keepLines/>
      <w:keepNext/>
      <w:spacing w:before="360" w:after="200"/>
      <w:outlineLvl w:val="1"/>
    </w:pPr>
    <w:rPr>
      <w:rFonts w:ascii="Arial" w:hAnsi="Arial" w:eastAsia="Arial" w:cs="Arial"/>
      <w:sz w:val="34"/>
    </w:rPr>
  </w:style>
  <w:style w:type="paragraph" w:styleId="642">
    <w:name w:val="Heading 3"/>
    <w:basedOn w:val="639"/>
    <w:next w:val="639"/>
    <w:link w:val="690"/>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91"/>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92"/>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93"/>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95"/>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96"/>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right="0" w:firstLine="0"/>
      <w:spacing w:after="57"/>
    </w:pPr>
  </w:style>
  <w:style w:type="paragraph" w:styleId="652">
    <w:name w:val="Normal Indent"/>
    <w:basedOn w:val="639"/>
    <w:uiPriority w:val="0"/>
    <w:qFormat/>
    <w:pPr>
      <w:ind w:firstLine="420"/>
    </w:pPr>
    <w:rPr>
      <w:rFonts w:eastAsia="楷体_GB2312"/>
      <w:sz w:val="24"/>
      <w:szCs w:val="20"/>
    </w:rPr>
  </w:style>
  <w:style w:type="paragraph" w:styleId="653">
    <w:name w:val="Caption"/>
    <w:basedOn w:val="639"/>
    <w:next w:val="6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9"/>
    <w:uiPriority w:val="99"/>
    <w:semiHidden/>
    <w:unhideWhenUsed/>
    <w:qFormat/>
    <w:pPr>
      <w:jc w:val="left"/>
    </w:pPr>
  </w:style>
  <w:style w:type="paragraph" w:styleId="655">
    <w:name w:val="Body Text"/>
    <w:basedOn w:val="639"/>
    <w:uiPriority w:val="99"/>
    <w:unhideWhenUsed/>
    <w:qFormat/>
    <w:pPr>
      <w:spacing w:after="120"/>
    </w:pPr>
    <w:rPr>
      <w:sz w:val="20"/>
      <w:szCs w:val="20"/>
    </w:rPr>
  </w:style>
  <w:style w:type="paragraph" w:styleId="656">
    <w:name w:val="Body Text Indent"/>
    <w:basedOn w:val="639"/>
    <w:next w:val="657"/>
    <w:uiPriority w:val="0"/>
    <w:qFormat/>
    <w:pPr>
      <w:ind w:left="420" w:firstLine="1188"/>
      <w:spacing w:before="0" w:after="0" w:line="360" w:lineRule="exact"/>
      <w:widowControl w:val="off"/>
    </w:pPr>
    <w:rPr>
      <w:rFonts w:ascii="Times New Roman" w:hAnsi="Times New Roman" w:eastAsia="宋体" w:cs="Times New Roman"/>
      <w:sz w:val="28"/>
    </w:rPr>
  </w:style>
  <w:style w:type="paragraph" w:styleId="657">
    <w:name w:val="envelope return"/>
    <w:basedOn w:val="639"/>
    <w:uiPriority w:val="0"/>
    <w:qFormat/>
    <w:rPr>
      <w:rFonts w:ascii="Arial" w:hAnsi="Arial"/>
    </w:rPr>
  </w:style>
  <w:style w:type="paragraph" w:styleId="658">
    <w:name w:val="Block Text"/>
    <w:basedOn w:val="640"/>
    <w:next w:val="639"/>
    <w:uiPriority w:val="0"/>
    <w:qFormat/>
    <w:pPr>
      <w:ind w:left="420" w:right="33" w:firstLine="2560"/>
      <w:spacing w:before="0" w:after="0" w:line="240" w:lineRule="auto"/>
    </w:pPr>
    <w:rPr>
      <w:rFonts w:ascii="Times New Roman" w:hAnsi="Times New Roman" w:cs="Times New Roman"/>
    </w:rPr>
  </w:style>
  <w:style w:type="paragraph" w:styleId="659">
    <w:name w:val="toc 5"/>
    <w:basedOn w:val="639"/>
    <w:next w:val="639"/>
    <w:uiPriority w:val="39"/>
    <w:unhideWhenUsed/>
    <w:qFormat/>
    <w:pPr>
      <w:ind w:left="1134" w:right="0" w:firstLine="0"/>
      <w:spacing w:after="57"/>
    </w:pPr>
  </w:style>
  <w:style w:type="paragraph" w:styleId="660">
    <w:name w:val="toc 3"/>
    <w:basedOn w:val="639"/>
    <w:next w:val="639"/>
    <w:uiPriority w:val="39"/>
    <w:unhideWhenUsed/>
    <w:qFormat/>
    <w:pPr>
      <w:ind w:left="567" w:right="0" w:firstLine="0"/>
      <w:spacing w:after="57"/>
    </w:pPr>
  </w:style>
  <w:style w:type="paragraph" w:styleId="661">
    <w:name w:val="Plain Text"/>
    <w:basedOn w:val="639"/>
    <w:uiPriority w:val="0"/>
    <w:qFormat/>
    <w:rPr>
      <w:rFonts w:ascii="宋体" w:hAnsi="Courier New"/>
    </w:rPr>
  </w:style>
  <w:style w:type="paragraph" w:styleId="662">
    <w:name w:val="toc 8"/>
    <w:basedOn w:val="639"/>
    <w:next w:val="639"/>
    <w:uiPriority w:val="39"/>
    <w:unhideWhenUsed/>
    <w:qFormat/>
    <w:pPr>
      <w:ind w:left="1984" w:right="0" w:firstLine="0"/>
      <w:spacing w:after="57"/>
    </w:pPr>
  </w:style>
  <w:style w:type="paragraph" w:styleId="663">
    <w:name w:val="Date"/>
    <w:basedOn w:val="640"/>
    <w:next w:val="639"/>
    <w:uiPriority w:val="0"/>
    <w:qFormat/>
    <w:rPr>
      <w:rFonts w:ascii="宋体" w:hAnsi="宋体" w:eastAsia="KaiTi_GB2312"/>
    </w:rPr>
  </w:style>
  <w:style w:type="paragraph" w:styleId="664">
    <w:name w:val="endnote text"/>
    <w:basedOn w:val="639"/>
    <w:link w:val="834"/>
    <w:uiPriority w:val="99"/>
    <w:semiHidden/>
    <w:unhideWhenUsed/>
    <w:qFormat/>
    <w:pPr>
      <w:spacing w:after="0" w:line="240" w:lineRule="auto"/>
    </w:pPr>
    <w:rPr>
      <w:sz w:val="20"/>
    </w:rPr>
  </w:style>
  <w:style w:type="paragraph" w:styleId="665">
    <w:name w:val="Footer"/>
    <w:basedOn w:val="639"/>
    <w:link w:val="707"/>
    <w:uiPriority w:val="99"/>
    <w:unhideWhenUsed/>
    <w:qFormat/>
    <w:pPr>
      <w:spacing w:after="0" w:line="240" w:lineRule="auto"/>
      <w:tabs>
        <w:tab w:val="center" w:pos="7143" w:leader="none"/>
        <w:tab w:val="right" w:pos="14287" w:leader="none"/>
      </w:tabs>
    </w:pPr>
  </w:style>
  <w:style w:type="paragraph" w:styleId="666">
    <w:name w:val="Header"/>
    <w:basedOn w:val="640"/>
    <w:next w:val="663"/>
    <w:link w:val="705"/>
    <w:uiPriority w:val="99"/>
    <w:unhideWhenUsed/>
    <w:qFormat/>
    <w:pPr>
      <w:spacing w:after="0" w:line="240" w:lineRule="auto"/>
      <w:tabs>
        <w:tab w:val="center" w:pos="7143" w:leader="none"/>
        <w:tab w:val="right" w:pos="14287" w:leader="none"/>
      </w:tabs>
    </w:pPr>
  </w:style>
  <w:style w:type="paragraph" w:styleId="667">
    <w:name w:val="toc 1"/>
    <w:basedOn w:val="639"/>
    <w:next w:val="639"/>
    <w:uiPriority w:val="39"/>
    <w:unhideWhenUsed/>
    <w:qFormat/>
    <w:pPr>
      <w:ind w:left="0" w:right="0" w:firstLine="0"/>
      <w:spacing w:after="57"/>
    </w:pPr>
  </w:style>
  <w:style w:type="paragraph" w:styleId="668">
    <w:name w:val="toc 4"/>
    <w:basedOn w:val="639"/>
    <w:next w:val="639"/>
    <w:uiPriority w:val="39"/>
    <w:unhideWhenUsed/>
    <w:qFormat/>
    <w:pPr>
      <w:ind w:left="850" w:right="0" w:firstLine="0"/>
      <w:spacing w:after="57"/>
    </w:pPr>
  </w:style>
  <w:style w:type="paragraph" w:styleId="669">
    <w:name w:val="Subtitle"/>
    <w:basedOn w:val="639"/>
    <w:next w:val="639"/>
    <w:link w:val="700"/>
    <w:uiPriority w:val="11"/>
    <w:qFormat/>
    <w:pPr>
      <w:spacing w:before="200" w:after="200"/>
    </w:pPr>
    <w:rPr>
      <w:sz w:val="24"/>
      <w:szCs w:val="24"/>
    </w:rPr>
  </w:style>
  <w:style w:type="paragraph" w:styleId="670">
    <w:name w:val="footnote text"/>
    <w:basedOn w:val="640"/>
    <w:next w:val="658"/>
    <w:link w:val="833"/>
    <w:uiPriority w:val="99"/>
    <w:semiHidden/>
    <w:unhideWhenUsed/>
    <w:qFormat/>
    <w:pPr>
      <w:spacing w:after="40" w:line="240" w:lineRule="auto"/>
    </w:pPr>
    <w:rPr>
      <w:sz w:val="18"/>
    </w:rPr>
  </w:style>
  <w:style w:type="paragraph" w:styleId="671">
    <w:name w:val="toc 6"/>
    <w:basedOn w:val="639"/>
    <w:next w:val="639"/>
    <w:uiPriority w:val="39"/>
    <w:unhideWhenUsed/>
    <w:qFormat/>
    <w:pPr>
      <w:ind w:left="1417" w:right="0" w:firstLine="0"/>
      <w:spacing w:after="57"/>
    </w:pPr>
  </w:style>
  <w:style w:type="paragraph" w:styleId="672">
    <w:name w:val="table of figures"/>
    <w:basedOn w:val="639"/>
    <w:next w:val="639"/>
    <w:uiPriority w:val="99"/>
    <w:unhideWhenUsed/>
    <w:qFormat/>
    <w:pPr>
      <w:spacing w:after="0" w:afterAutospacing="0"/>
    </w:pPr>
  </w:style>
  <w:style w:type="paragraph" w:styleId="673">
    <w:name w:val="toc 2"/>
    <w:basedOn w:val="639"/>
    <w:next w:val="639"/>
    <w:uiPriority w:val="39"/>
    <w:unhideWhenUsed/>
    <w:qFormat/>
    <w:pPr>
      <w:ind w:left="283" w:right="0" w:firstLine="0"/>
      <w:spacing w:after="57"/>
    </w:pPr>
  </w:style>
  <w:style w:type="paragraph" w:styleId="674">
    <w:name w:val="toc 9"/>
    <w:basedOn w:val="639"/>
    <w:next w:val="639"/>
    <w:uiPriority w:val="39"/>
    <w:unhideWhenUsed/>
    <w:qFormat/>
    <w:pPr>
      <w:ind w:left="2268" w:right="0" w:firstLine="0"/>
      <w:spacing w:after="57"/>
    </w:pPr>
  </w:style>
  <w:style w:type="paragraph" w:styleId="675">
    <w:name w:val="Normal (Web)"/>
    <w:basedOn w:val="639"/>
    <w:uiPriority w:val="99"/>
    <w:semiHidden/>
    <w:unhideWhenUsed/>
    <w:qFormat/>
    <w:pPr>
      <w:ind w:left="0" w:right="0"/>
      <w:jc w:val="left"/>
      <w:spacing w:before="0" w:beforeAutospacing="1" w:after="0" w:afterAutospacing="1"/>
      <w:pBdr>
        <w:top w:val="none" w:color="auto" w:sz="0" w:space="0"/>
        <w:left w:val="none" w:color="auto" w:sz="0" w:space="0"/>
        <w:bottom w:val="none" w:color="auto" w:sz="0" w:space="0"/>
        <w:right w:val="none" w:color="auto" w:sz="0" w:space="0"/>
      </w:pBdr>
    </w:pPr>
    <w:rPr>
      <w:sz w:val="24"/>
      <w:lang w:val="en-US" w:eastAsia="zh-CN" w:bidi="ar"/>
    </w:rPr>
  </w:style>
  <w:style w:type="paragraph" w:styleId="676">
    <w:name w:val="Title"/>
    <w:basedOn w:val="639"/>
    <w:next w:val="639"/>
    <w:link w:val="699"/>
    <w:uiPriority w:val="10"/>
    <w:qFormat/>
    <w:pPr>
      <w:contextualSpacing/>
      <w:spacing w:before="300" w:after="200"/>
    </w:pPr>
    <w:rPr>
      <w:sz w:val="48"/>
      <w:szCs w:val="48"/>
    </w:rPr>
  </w:style>
  <w:style w:type="paragraph" w:styleId="677">
    <w:name w:val="Body Text First Indent"/>
    <w:basedOn w:val="655"/>
    <w:uiPriority w:val="0"/>
    <w:qFormat/>
    <w:pPr>
      <w:ind w:firstLine="200"/>
      <w:spacing w:line="360" w:lineRule="auto"/>
    </w:pPr>
    <w:rPr>
      <w:rFonts w:ascii="仿宋_GB2312" w:hAnsi="Arial" w:eastAsia="仿宋_GB2312"/>
      <w:sz w:val="30"/>
      <w:szCs w:val="30"/>
    </w:rPr>
  </w:style>
  <w:style w:type="paragraph" w:styleId="678">
    <w:name w:val="Body Text First Indent 2"/>
    <w:basedOn w:val="656"/>
    <w:uiPriority w:val="0"/>
    <w:unhideWhenUsed/>
    <w:qFormat/>
    <w:pPr>
      <w:ind w:firstLine="420"/>
    </w:p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Strong"/>
    <w:basedOn w:val="649"/>
    <w:uiPriority w:val="22"/>
    <w:qFormat/>
    <w:rPr>
      <w:b/>
    </w:rPr>
  </w:style>
  <w:style w:type="character" w:styleId="681">
    <w:name w:val="endnote reference"/>
    <w:uiPriority w:val="99"/>
    <w:semiHidden/>
    <w:unhideWhenUsed/>
    <w:qFormat/>
    <w:rPr>
      <w:vertAlign w:val="superscript"/>
    </w:rPr>
  </w:style>
  <w:style w:type="character" w:styleId="682">
    <w:name w:val="FollowedHyperlink"/>
    <w:basedOn w:val="649"/>
    <w:uiPriority w:val="99"/>
    <w:semiHidden/>
    <w:unhideWhenUsed/>
    <w:qFormat/>
    <w:rPr>
      <w:color w:val="333333"/>
      <w:u w:val="none"/>
    </w:rPr>
  </w:style>
  <w:style w:type="character" w:styleId="683">
    <w:name w:val="Emphasis"/>
    <w:basedOn w:val="649"/>
    <w:uiPriority w:val="20"/>
    <w:qFormat/>
  </w:style>
  <w:style w:type="character" w:styleId="684">
    <w:name w:val="Hyperlink"/>
    <w:uiPriority w:val="99"/>
    <w:unhideWhenUsed/>
    <w:qFormat/>
    <w:rPr>
      <w:color w:val="0000ff" w:themeColor="hyperlink"/>
      <w:u w:val="single"/>
      <w14:textFill>
        <w14:solidFill>
          <w14:schemeClr w14:val="hlink"/>
        </w14:solidFill>
      </w14:textFill>
    </w:rPr>
  </w:style>
  <w:style w:type="character" w:styleId="685">
    <w:name w:val="footnote reference"/>
    <w:uiPriority w:val="99"/>
    <w:unhideWhenUsed/>
    <w:qFormat/>
    <w:rPr>
      <w:vertAlign w:val="superscript"/>
    </w:rPr>
  </w:style>
  <w:style w:type="paragraph" w:styleId="686" w:customStyle="1">
    <w:name w:val="段"/>
    <w:next w:val="639"/>
    <w:uiPriority w:val="0"/>
    <w:qFormat/>
    <w:pPr>
      <w:ind w:firstLine="200"/>
      <w:jc w:val="both"/>
      <w:spacing w:line="360" w:lineRule="auto"/>
    </w:pPr>
    <w:rPr>
      <w:rFonts w:hint="default" w:ascii="Times New Roman" w:hAnsi="Times New Roman" w:eastAsia="宋体" w:cs="Times New Roman"/>
      <w:sz w:val="24"/>
      <w:szCs w:val="22"/>
      <w:lang w:val="en-US" w:eastAsia="zh-CN" w:bidi="ar-SA"/>
    </w:rPr>
  </w:style>
  <w:style w:type="paragraph" w:styleId="687" w:customStyle="1">
    <w:name w:val="正文文本缩进1"/>
    <w:basedOn w:val="639"/>
    <w:next w:val="639"/>
    <w:uiPriority w:val="99"/>
    <w:unhideWhenUsed/>
    <w:qFormat/>
    <w:pPr>
      <w:ind w:left="420" w:firstLine="1188"/>
      <w:spacing w:line="360" w:lineRule="exact"/>
    </w:pPr>
    <w:rPr>
      <w:rFonts w:ascii="Times New Roman" w:hAnsi="Times New Roman" w:eastAsia="宋体" w:cs="Times New Roman"/>
    </w:rPr>
  </w:style>
  <w:style w:type="character" w:styleId="688" w:customStyle="1">
    <w:name w:val="Heading 1 Char"/>
    <w:link w:val="640"/>
    <w:uiPriority w:val="9"/>
    <w:qFormat/>
    <w:rPr>
      <w:rFonts w:ascii="Arial" w:hAnsi="Arial" w:eastAsia="Arial" w:cs="Arial"/>
      <w:sz w:val="40"/>
      <w:szCs w:val="40"/>
    </w:rPr>
  </w:style>
  <w:style w:type="character" w:styleId="689" w:customStyle="1">
    <w:name w:val="Heading 2 Char"/>
    <w:link w:val="641"/>
    <w:uiPriority w:val="9"/>
    <w:qFormat/>
    <w:rPr>
      <w:rFonts w:ascii="Arial" w:hAnsi="Arial" w:eastAsia="Arial" w:cs="Arial"/>
      <w:sz w:val="34"/>
    </w:rPr>
  </w:style>
  <w:style w:type="character" w:styleId="690" w:customStyle="1">
    <w:name w:val="Heading 3 Char"/>
    <w:link w:val="642"/>
    <w:uiPriority w:val="9"/>
    <w:qFormat/>
    <w:rPr>
      <w:rFonts w:ascii="Arial" w:hAnsi="Arial" w:eastAsia="Arial" w:cs="Arial"/>
      <w:sz w:val="30"/>
      <w:szCs w:val="30"/>
    </w:rPr>
  </w:style>
  <w:style w:type="character" w:styleId="691" w:customStyle="1">
    <w:name w:val="Heading 4 Char"/>
    <w:link w:val="643"/>
    <w:uiPriority w:val="9"/>
    <w:qFormat/>
    <w:rPr>
      <w:rFonts w:ascii="Arial" w:hAnsi="Arial" w:eastAsia="Arial" w:cs="Arial"/>
      <w:b/>
      <w:bCs/>
      <w:sz w:val="26"/>
      <w:szCs w:val="26"/>
    </w:rPr>
  </w:style>
  <w:style w:type="character" w:styleId="692" w:customStyle="1">
    <w:name w:val="Heading 5 Char"/>
    <w:link w:val="644"/>
    <w:uiPriority w:val="9"/>
    <w:qFormat/>
    <w:rPr>
      <w:rFonts w:ascii="Arial" w:hAnsi="Arial" w:eastAsia="Arial" w:cs="Arial"/>
      <w:b/>
      <w:bCs/>
      <w:sz w:val="24"/>
      <w:szCs w:val="24"/>
    </w:rPr>
  </w:style>
  <w:style w:type="character" w:styleId="693" w:customStyle="1">
    <w:name w:val="Heading 6 Char"/>
    <w:link w:val="645"/>
    <w:uiPriority w:val="9"/>
    <w:qFormat/>
    <w:rPr>
      <w:rFonts w:ascii="Arial" w:hAnsi="Arial" w:eastAsia="Arial" w:cs="Arial"/>
      <w:b/>
      <w:bCs/>
      <w:sz w:val="22"/>
      <w:szCs w:val="22"/>
    </w:rPr>
  </w:style>
  <w:style w:type="character" w:styleId="694" w:customStyle="1">
    <w:name w:val="Heading 7 Char"/>
    <w:link w:val="646"/>
    <w:uiPriority w:val="9"/>
    <w:qFormat/>
    <w:rPr>
      <w:rFonts w:ascii="Arial" w:hAnsi="Arial" w:eastAsia="Arial" w:cs="Arial"/>
      <w:b/>
      <w:bCs/>
      <w:i/>
      <w:iCs/>
      <w:sz w:val="22"/>
      <w:szCs w:val="22"/>
    </w:rPr>
  </w:style>
  <w:style w:type="character" w:styleId="695" w:customStyle="1">
    <w:name w:val="Heading 8 Char"/>
    <w:link w:val="647"/>
    <w:uiPriority w:val="9"/>
    <w:qFormat/>
    <w:rPr>
      <w:rFonts w:ascii="Arial" w:hAnsi="Arial" w:eastAsia="Arial" w:cs="Arial"/>
      <w:i/>
      <w:iCs/>
      <w:sz w:val="22"/>
      <w:szCs w:val="22"/>
    </w:rPr>
  </w:style>
  <w:style w:type="character" w:styleId="696" w:customStyle="1">
    <w:name w:val="Heading 9 Char"/>
    <w:link w:val="648"/>
    <w:uiPriority w:val="9"/>
    <w:qFormat/>
    <w:rPr>
      <w:rFonts w:ascii="Arial" w:hAnsi="Arial" w:eastAsia="Arial" w:cs="Arial"/>
      <w:i/>
      <w:iCs/>
      <w:sz w:val="21"/>
      <w:szCs w:val="21"/>
    </w:rPr>
  </w:style>
  <w:style w:type="paragraph" w:styleId="697">
    <w:name w:val="List Paragraph"/>
    <w:basedOn w:val="639"/>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link w:val="676"/>
    <w:uiPriority w:val="10"/>
    <w:qFormat/>
    <w:rPr>
      <w:sz w:val="48"/>
      <w:szCs w:val="48"/>
    </w:rPr>
  </w:style>
  <w:style w:type="character" w:styleId="700" w:customStyle="1">
    <w:name w:val="Subtitle Char"/>
    <w:link w:val="669"/>
    <w:uiPriority w:val="11"/>
    <w:qFormat/>
    <w:rPr>
      <w:sz w:val="24"/>
      <w:szCs w:val="24"/>
    </w:rPr>
  </w:style>
  <w:style w:type="paragraph" w:styleId="701">
    <w:name w:val="Quote"/>
    <w:basedOn w:val="639"/>
    <w:next w:val="639"/>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39"/>
    <w:next w:val="639"/>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link w:val="666"/>
    <w:uiPriority w:val="99"/>
    <w:qFormat/>
  </w:style>
  <w:style w:type="character" w:styleId="706" w:customStyle="1">
    <w:name w:val="Footer Char"/>
    <w:link w:val="665"/>
    <w:uiPriority w:val="99"/>
    <w:qFormat/>
  </w:style>
  <w:style w:type="character" w:styleId="707" w:customStyle="1">
    <w:name w:val="Caption Char"/>
    <w:link w:val="665"/>
    <w:uiPriority w:val="99"/>
    <w:qFormat/>
  </w:style>
  <w:style w:type="table" w:styleId="7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0"/>
    <w:uiPriority w:val="99"/>
    <w:qFormat/>
    <w:rPr>
      <w:sz w:val="18"/>
    </w:rPr>
  </w:style>
  <w:style w:type="character" w:styleId="834" w:customStyle="1">
    <w:name w:val="Endnote Text Char"/>
    <w:link w:val="664"/>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标题 111"/>
    <w:basedOn w:val="639"/>
    <w:next w:val="639"/>
    <w:uiPriority w:val="0"/>
    <w:qFormat/>
    <w:pPr>
      <w:ind w:left="432" w:firstLine="18"/>
      <w:spacing w:before="340" w:after="330" w:line="578" w:lineRule="auto"/>
      <w:outlineLvl w:val="0"/>
    </w:pPr>
    <w:rPr>
      <w:rFonts w:ascii="Calibri" w:hAnsi="Calibri"/>
      <w:lang w:val="en-US" w:eastAsia="zh-CN" w:bidi="ar-SA"/>
    </w:rPr>
  </w:style>
  <w:style w:type="paragraph" w:styleId="837" w:customStyle="1">
    <w:name w:val="标题 21"/>
    <w:basedOn w:val="639"/>
    <w:next w:val="639"/>
    <w:uiPriority w:val="0"/>
    <w:qFormat/>
    <w:pPr>
      <w:keepLines/>
      <w:keepNext/>
      <w:spacing w:before="260" w:after="260" w:line="416" w:lineRule="auto"/>
      <w:outlineLvl w:val="1"/>
    </w:pPr>
    <w:rPr>
      <w:rFonts w:ascii="Calibri Light" w:hAnsi="Calibri Light" w:eastAsia="宋体" w:cs="Times New Roman"/>
      <w:b/>
      <w:bCs/>
      <w:sz w:val="32"/>
      <w:szCs w:val="32"/>
    </w:rPr>
  </w:style>
  <w:style w:type="paragraph" w:styleId="838" w:customStyle="1">
    <w:name w:val="标题 31"/>
    <w:basedOn w:val="639"/>
    <w:next w:val="639"/>
    <w:uiPriority w:val="0"/>
    <w:qFormat/>
    <w:pPr>
      <w:ind w:left="720"/>
      <w:spacing w:before="260" w:after="260" w:line="416" w:lineRule="auto"/>
      <w:widowControl w:val="off"/>
      <w:outlineLvl w:val="2"/>
    </w:pPr>
    <w:rPr>
      <w:rFonts w:ascii="Times New Roman" w:hAnsi="Times New Roman" w:eastAsia="宋体" w:cs="Times New Roman"/>
      <w:sz w:val="28"/>
    </w:rPr>
  </w:style>
  <w:style w:type="character" w:styleId="839" w:customStyle="1">
    <w:name w:val="默认段落字体1"/>
    <w:link w:val="639"/>
    <w:uiPriority w:val="0"/>
    <w:semiHidden/>
    <w:qFormat/>
  </w:style>
  <w:style w:type="table" w:styleId="840" w:customStyle="1">
    <w:name w:val="普通表格1"/>
    <w:uiPriority w:val="0"/>
    <w:semiHidden/>
    <w:qFormat/>
    <w:tblPr/>
  </w:style>
  <w:style w:type="paragraph" w:styleId="841" w:customStyle="1">
    <w:name w:val="正文缩进11"/>
    <w:basedOn w:val="639"/>
    <w:next w:val="639"/>
    <w:uiPriority w:val="0"/>
    <w:qFormat/>
    <w:pPr>
      <w:ind w:left="420" w:firstLine="4772"/>
    </w:pPr>
  </w:style>
  <w:style w:type="paragraph" w:styleId="842" w:customStyle="1">
    <w:name w:val="列表项目符号1"/>
    <w:basedOn w:val="836"/>
    <w:next w:val="639"/>
    <w:uiPriority w:val="0"/>
    <w:qFormat/>
    <w:pPr>
      <w:numPr>
        <w:ilvl w:val="0"/>
        <w:numId w:val="1"/>
      </w:numPr>
    </w:pPr>
  </w:style>
  <w:style w:type="paragraph" w:styleId="843" w:customStyle="1">
    <w:name w:val="批注文字1"/>
    <w:basedOn w:val="639"/>
    <w:link w:val="844"/>
    <w:uiPriority w:val="0"/>
    <w:qFormat/>
    <w:pPr>
      <w:jc w:val="left"/>
    </w:pPr>
  </w:style>
  <w:style w:type="character" w:styleId="844" w:customStyle="1">
    <w:name w:val="批注文字 字符"/>
    <w:link w:val="843"/>
    <w:uiPriority w:val="0"/>
    <w:qFormat/>
    <w:rPr>
      <w:rFonts w:ascii="Calibri" w:hAnsi="Calibri"/>
      <w:sz w:val="21"/>
      <w:szCs w:val="24"/>
    </w:rPr>
  </w:style>
  <w:style w:type="paragraph" w:styleId="845" w:customStyle="1">
    <w:name w:val="正文文本1"/>
    <w:basedOn w:val="639"/>
    <w:uiPriority w:val="0"/>
    <w:qFormat/>
    <w:pPr>
      <w:ind w:left="0"/>
      <w:jc w:val="left"/>
      <w:spacing w:line="360" w:lineRule="auto"/>
      <w:widowControl/>
    </w:pPr>
    <w:rPr>
      <w:rFonts w:ascii="Times New Roman" w:hAnsi="Times New Roman" w:eastAsia="宋体" w:cs="Times New Roman"/>
      <w:sz w:val="24"/>
    </w:rPr>
  </w:style>
  <w:style w:type="paragraph" w:styleId="846" w:customStyle="1">
    <w:name w:val="正文文本缩进2"/>
    <w:basedOn w:val="639"/>
    <w:next w:val="639"/>
    <w:uiPriority w:val="0"/>
    <w:qFormat/>
    <w:pPr>
      <w:ind w:left="420" w:firstLine="1188"/>
      <w:spacing w:before="0" w:after="0" w:line="360" w:lineRule="exact"/>
      <w:widowControl w:val="off"/>
    </w:pPr>
    <w:rPr>
      <w:rFonts w:ascii="Times New Roman" w:hAnsi="Times New Roman" w:eastAsia="宋体" w:cs="Times New Roman"/>
      <w:sz w:val="28"/>
    </w:rPr>
  </w:style>
  <w:style w:type="paragraph" w:styleId="847" w:customStyle="1">
    <w:name w:val="文本块11"/>
    <w:basedOn w:val="836"/>
    <w:next w:val="639"/>
    <w:uiPriority w:val="0"/>
    <w:qFormat/>
    <w:pPr>
      <w:ind w:left="630" w:right="-609" w:firstLine="420"/>
      <w:spacing w:line="360" w:lineRule="auto"/>
    </w:pPr>
    <w:rPr>
      <w:rFonts w:hint="eastAsia" w:ascii="仿宋_GB2312" w:hAnsi="Times New Roman" w:eastAsia="仿宋_GB2312" w:cs="Times New Roman"/>
      <w:szCs w:val="20"/>
    </w:rPr>
  </w:style>
  <w:style w:type="paragraph" w:styleId="848" w:customStyle="1">
    <w:name w:val="纯文本11"/>
    <w:basedOn w:val="639"/>
    <w:uiPriority w:val="0"/>
    <w:qFormat/>
    <w:pPr>
      <w:jc w:val="left"/>
      <w:widowControl/>
    </w:pPr>
    <w:rPr>
      <w:rFonts w:ascii="宋体" w:hAnsi="Courier New" w:eastAsia="楷体_GB2312" w:cs="Times New Roman"/>
      <w:sz w:val="26"/>
    </w:rPr>
  </w:style>
  <w:style w:type="paragraph" w:styleId="849" w:customStyle="1">
    <w:name w:val="页脚1"/>
    <w:basedOn w:val="639"/>
    <w:uiPriority w:val="0"/>
    <w:qFormat/>
    <w:pPr>
      <w:jc w:val="left"/>
      <w:tabs>
        <w:tab w:val="center" w:pos="4153" w:leader="none"/>
        <w:tab w:val="right" w:pos="8306" w:leader="none"/>
      </w:tabs>
    </w:pPr>
    <w:rPr>
      <w:sz w:val="18"/>
    </w:rPr>
  </w:style>
  <w:style w:type="paragraph" w:styleId="850" w:customStyle="1">
    <w:name w:val="页眉1"/>
    <w:basedOn w:val="63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1" w:customStyle="1">
    <w:name w:val="目录 11"/>
    <w:basedOn w:val="639"/>
    <w:next w:val="639"/>
    <w:uiPriority w:val="0"/>
    <w:qFormat/>
    <w:pPr>
      <w:jc w:val="left"/>
    </w:pPr>
    <w:rPr>
      <w:rFonts w:ascii="Times New Roman" w:hAnsi="Times New Roman" w:eastAsia="楷体_GB2312" w:cs="Times New Roman"/>
      <w:sz w:val="24"/>
      <w:szCs w:val="20"/>
    </w:rPr>
  </w:style>
  <w:style w:type="paragraph" w:styleId="852" w:customStyle="1">
    <w:name w:val="脚注文本11"/>
    <w:basedOn w:val="836"/>
    <w:next w:val="847"/>
    <w:uiPriority w:val="0"/>
    <w:qFormat/>
    <w:pPr>
      <w:ind w:left="0" w:firstLine="3584"/>
      <w:spacing w:before="0" w:after="0" w:line="360" w:lineRule="auto"/>
    </w:pPr>
    <w:rPr>
      <w:rFonts w:ascii="Times New Roman" w:hAnsi="Times New Roman" w:eastAsia="宋体" w:cs="Times New Roman"/>
    </w:rPr>
  </w:style>
  <w:style w:type="paragraph" w:styleId="853" w:customStyle="1">
    <w:name w:val="正文文本缩进 311"/>
    <w:basedOn w:val="639"/>
    <w:uiPriority w:val="0"/>
    <w:qFormat/>
    <w:pPr>
      <w:ind w:firstLine="480"/>
      <w:jc w:val="left"/>
      <w:spacing w:line="440" w:lineRule="atLeast"/>
    </w:pPr>
    <w:rPr>
      <w:rFonts w:ascii="Times New Roman" w:hAnsi="Times New Roman" w:eastAsia="宋体" w:cs="Times New Roman"/>
      <w:sz w:val="24"/>
    </w:rPr>
  </w:style>
  <w:style w:type="paragraph" w:styleId="854" w:customStyle="1">
    <w:name w:val="正文文本 21"/>
    <w:basedOn w:val="836"/>
    <w:next w:val="842"/>
    <w:uiPriority w:val="0"/>
    <w:qFormat/>
    <w:pPr>
      <w:ind w:left="0" w:firstLine="1024"/>
      <w:spacing w:before="0" w:after="120" w:line="480" w:lineRule="auto"/>
    </w:pPr>
    <w:rPr>
      <w:rFonts w:ascii="Times New Roman" w:hAnsi="Times New Roman" w:eastAsia="宋体" w:cs="Times New Roman"/>
    </w:rPr>
  </w:style>
  <w:style w:type="paragraph" w:styleId="855" w:customStyle="1">
    <w:name w:val="普通(网站)1"/>
    <w:basedOn w:val="639"/>
    <w:uiPriority w:val="99"/>
    <w:qFormat/>
    <w:pPr>
      <w:jc w:val="left"/>
      <w:spacing w:beforeAutospacing="1" w:afterAutospacing="1"/>
    </w:pPr>
    <w:rPr>
      <w:rFonts w:cs="Times New Roman"/>
      <w:sz w:val="24"/>
    </w:rPr>
  </w:style>
  <w:style w:type="paragraph" w:styleId="856" w:customStyle="1">
    <w:name w:val="批注主题1"/>
    <w:basedOn w:val="843"/>
    <w:next w:val="843"/>
    <w:link w:val="857"/>
    <w:uiPriority w:val="0"/>
    <w:qFormat/>
    <w:rPr>
      <w:b/>
      <w:bCs/>
    </w:rPr>
  </w:style>
  <w:style w:type="character" w:styleId="857" w:customStyle="1">
    <w:name w:val="批注主题 字符"/>
    <w:link w:val="856"/>
    <w:uiPriority w:val="0"/>
    <w:qFormat/>
    <w:rPr>
      <w:rFonts w:ascii="Calibri" w:hAnsi="Calibri"/>
      <w:b/>
      <w:bCs/>
      <w:sz w:val="21"/>
      <w:szCs w:val="24"/>
    </w:rPr>
  </w:style>
  <w:style w:type="character" w:styleId="858" w:customStyle="1">
    <w:name w:val="要点1"/>
    <w:link w:val="639"/>
    <w:uiPriority w:val="0"/>
    <w:qFormat/>
    <w:rPr>
      <w:rFonts w:ascii="Calibri" w:hAnsi="Calibri" w:eastAsia="宋体" w:cs="Times New Roman"/>
      <w:b/>
    </w:rPr>
  </w:style>
  <w:style w:type="character" w:styleId="859" w:customStyle="1">
    <w:name w:val="页码1"/>
    <w:link w:val="639"/>
    <w:uiPriority w:val="0"/>
    <w:qFormat/>
  </w:style>
  <w:style w:type="character" w:styleId="860" w:customStyle="1">
    <w:name w:val="已访问的超链接1"/>
    <w:link w:val="639"/>
    <w:uiPriority w:val="0"/>
    <w:qFormat/>
    <w:rPr>
      <w:color w:val="333333"/>
      <w:u w:val="none"/>
    </w:rPr>
  </w:style>
  <w:style w:type="character" w:styleId="861" w:customStyle="1">
    <w:name w:val="强调1"/>
    <w:link w:val="639"/>
    <w:uiPriority w:val="0"/>
    <w:qFormat/>
  </w:style>
  <w:style w:type="character" w:styleId="862" w:customStyle="1">
    <w:name w:val="超链接1"/>
    <w:link w:val="639"/>
    <w:uiPriority w:val="0"/>
    <w:qFormat/>
    <w:rPr>
      <w:rFonts w:ascii="Times New Roman" w:hAnsi="Times New Roman" w:eastAsia="宋体" w:cs="Times New Roman"/>
      <w:color w:val="0000ff"/>
      <w:sz w:val="20"/>
      <w:u w:val="single"/>
    </w:rPr>
  </w:style>
  <w:style w:type="character" w:styleId="863" w:customStyle="1">
    <w:name w:val="批注引用1"/>
    <w:link w:val="639"/>
    <w:uiPriority w:val="0"/>
    <w:qFormat/>
    <w:rPr>
      <w:sz w:val="21"/>
      <w:szCs w:val="21"/>
    </w:rPr>
  </w:style>
  <w:style w:type="character" w:styleId="864" w:customStyle="1">
    <w:name w:val="脚注引用1"/>
    <w:link w:val="639"/>
    <w:uiPriority w:val="0"/>
    <w:qFormat/>
    <w:rPr>
      <w:rFonts w:ascii="Times New Roman" w:hAnsi="Times New Roman" w:eastAsia="宋体" w:cs="Times New Roman"/>
      <w:vertAlign w:val="superscript"/>
    </w:rPr>
  </w:style>
  <w:style w:type="paragraph" w:styleId="865" w:customStyle="1">
    <w:name w:val="列表段落"/>
    <w:basedOn w:val="639"/>
    <w:next w:val="866"/>
    <w:uiPriority w:val="99"/>
    <w:qFormat/>
    <w:pPr>
      <w:ind w:left="420" w:firstLine="3748"/>
      <w:spacing w:before="0" w:after="0" w:line="240" w:lineRule="auto"/>
      <w:widowControl w:val="off"/>
    </w:pPr>
    <w:rPr>
      <w:rFonts w:ascii="Times New Roman" w:hAnsi="Times New Roman" w:eastAsia="宋体" w:cs="Times New Roman"/>
      <w:sz w:val="28"/>
    </w:rPr>
  </w:style>
  <w:style w:type="paragraph" w:styleId="866" w:customStyle="1">
    <w:name w:val="xl91"/>
    <w:basedOn w:val="836"/>
    <w:next w:val="867"/>
    <w:uiPriority w:val="0"/>
    <w:qFormat/>
    <w:pPr>
      <w:ind w:left="0" w:firstLine="3584"/>
      <w:spacing w:before="280" w:after="280" w:line="240" w:lineRule="auto"/>
    </w:pPr>
    <w:rPr>
      <w:rFonts w:ascii="Times New Roman" w:hAnsi="Times New Roman" w:eastAsia="宋体" w:cs="Times New Roman"/>
    </w:rPr>
  </w:style>
  <w:style w:type="paragraph" w:styleId="867" w:customStyle="1">
    <w:name w:val="xl76"/>
    <w:basedOn w:val="836"/>
    <w:next w:val="854"/>
    <w:uiPriority w:val="0"/>
    <w:qFormat/>
    <w:pPr>
      <w:ind w:left="0" w:firstLine="3584"/>
      <w:jc w:val="center"/>
      <w:spacing w:before="280" w:after="280" w:line="240" w:lineRule="auto"/>
    </w:pPr>
    <w:rPr>
      <w:rFonts w:ascii="Times New Roman" w:hAnsi="Times New Roman" w:eastAsia="宋体" w:cs="Times New Roman"/>
    </w:rPr>
  </w:style>
  <w:style w:type="paragraph" w:styleId="868" w:customStyle="1">
    <w:name w:val="纯文本4"/>
    <w:basedOn w:val="639"/>
    <w:uiPriority w:val="0"/>
    <w:qFormat/>
    <w:rPr>
      <w:rFonts w:ascii="宋体" w:hAnsi="Courier New" w:eastAsia="楷体_GB2312" w:cs="Times New Roman"/>
      <w:sz w:val="26"/>
      <w:szCs w:val="20"/>
    </w:rPr>
  </w:style>
  <w:style w:type="paragraph" w:styleId="869" w:customStyle="1">
    <w:name w:val="纯文本1"/>
    <w:basedOn w:val="639"/>
    <w:next w:val="666"/>
    <w:uiPriority w:val="0"/>
    <w:qFormat/>
    <w:rPr>
      <w:rFonts w:ascii="宋体" w:hAnsi="Courier New" w:eastAsia="楷体_GB2312" w:cs="Times New Roman"/>
      <w:sz w:val="28"/>
      <w:szCs w:val="20"/>
    </w:rPr>
  </w:style>
  <w:style w:type="paragraph" w:styleId="870" w:customStyle="1">
    <w:name w:val="首行缩进"/>
    <w:basedOn w:val="639"/>
    <w:uiPriority w:val="0"/>
    <w:qFormat/>
    <w:pPr>
      <w:ind w:left="0" w:firstLine="480"/>
      <w:widowControl w:val="off"/>
    </w:pPr>
    <w:rPr>
      <w:rFonts w:ascii="Times New Roman" w:hAnsi="Times New Roman" w:eastAsia="宋体" w:cs="Times New Roman"/>
      <w:sz w:val="21"/>
      <w:szCs w:val="24"/>
      <w:lang w:val="zh-CN"/>
    </w:rPr>
  </w:style>
  <w:style w:type="paragraph" w:styleId="871" w:customStyle="1">
    <w:name w:val="纯文本3"/>
    <w:basedOn w:val="639"/>
    <w:uiPriority w:val="0"/>
    <w:qFormat/>
    <w:pPr>
      <w:ind w:left="0"/>
      <w:widowControl w:val="off"/>
    </w:pPr>
    <w:rPr>
      <w:rFonts w:ascii="宋体" w:hAnsi="Courier New" w:eastAsia="宋体" w:cs="Times New Roman"/>
      <w:sz w:val="21"/>
      <w:szCs w:val="24"/>
    </w:rPr>
  </w:style>
  <w:style w:type="character" w:styleId="872" w:customStyle="1">
    <w:name w:val="_Style 332"/>
    <w:link w:val="639"/>
    <w:uiPriority w:val="0"/>
    <w:qFormat/>
    <w:rPr>
      <w:rFonts w:ascii="Times New Roman" w:hAnsi="Times New Roman" w:eastAsia="宋体" w:cs="Times New Roman"/>
      <w:i/>
      <w:color w:val="000000"/>
      <w:sz w:val="21"/>
    </w:rPr>
  </w:style>
  <w:style w:type="paragraph" w:styleId="873" w:customStyle="1">
    <w:name w:val="_Style 3"/>
    <w:basedOn w:val="836"/>
    <w:next w:val="639"/>
    <w:uiPriority w:val="0"/>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874" w:customStyle="1">
    <w:name w:val="正文文本缩进 31"/>
    <w:basedOn w:val="639"/>
    <w:next w:val="875"/>
    <w:uiPriority w:val="99"/>
    <w:unhideWhenUsed/>
    <w:qFormat/>
    <w:pPr>
      <w:ind w:firstLine="480"/>
      <w:jc w:val="left"/>
      <w:spacing w:line="440" w:lineRule="atLeast"/>
    </w:pPr>
    <w:rPr>
      <w:rFonts w:ascii="Times New Roman" w:hAnsi="Times New Roman" w:eastAsia="宋体" w:cs="Times New Roman"/>
      <w:sz w:val="24"/>
    </w:rPr>
  </w:style>
  <w:style w:type="paragraph" w:styleId="875" w:customStyle="1">
    <w:name w:val="目录 61"/>
    <w:basedOn w:val="876"/>
    <w:next w:val="639"/>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paragraph" w:styleId="876" w:customStyle="1">
    <w:name w:val="标题 11"/>
    <w:basedOn w:val="639"/>
    <w:next w:val="639"/>
    <w:uiPriority w:val="9"/>
    <w:qFormat/>
    <w:pPr>
      <w:keepLines/>
      <w:keepNext/>
      <w:spacing w:before="340" w:after="330" w:line="578" w:lineRule="auto"/>
      <w:outlineLvl w:val="0"/>
    </w:pPr>
    <w:rPr>
      <w:rFonts w:eastAsia="宋体"/>
      <w:b/>
      <w:bCs/>
      <w:sz w:val="44"/>
      <w:szCs w:val="44"/>
    </w:rPr>
  </w:style>
  <w:style w:type="paragraph" w:styleId="877" w:customStyle="1">
    <w:name w:val="正文缩进1"/>
    <w:basedOn w:val="639"/>
    <w:next w:val="639"/>
    <w:uiPriority w:val="99"/>
    <w:unhideWhenUsed/>
    <w:qFormat/>
    <w:pPr>
      <w:ind w:firstLine="420"/>
      <w:jc w:val="left"/>
    </w:pPr>
    <w:rPr>
      <w:rFonts w:ascii="Times New Roman" w:hAnsi="Times New Roman" w:eastAsia="楷体_GB2312" w:cs="Times New Roman"/>
      <w:sz w:val="24"/>
      <w:szCs w:val="20"/>
    </w:rPr>
  </w:style>
  <w:style w:type="paragraph" w:styleId="878" w:customStyle="1">
    <w:name w:val="纯文本8"/>
    <w:basedOn w:val="639"/>
    <w:uiPriority w:val="0"/>
    <w:qFormat/>
    <w:pPr>
      <w:spacing w:line="240" w:lineRule="auto"/>
      <w:widowControl w:val="off"/>
    </w:pPr>
    <w:rPr>
      <w:rFonts w:ascii="宋体" w:hAnsi="Courier New" w:eastAsia="宋体"/>
    </w:rPr>
  </w:style>
  <w:style w:type="paragraph" w:styleId="879" w:customStyle="1">
    <w:name w:val="脚注文本1"/>
    <w:basedOn w:val="876"/>
    <w:next w:val="880"/>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880" w:customStyle="1">
    <w:name w:val="文本块1"/>
    <w:basedOn w:val="639"/>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881" w:customStyle="1">
    <w:name w:val="修订"/>
    <w:uiPriority w:val="99"/>
    <w:unhideWhenUsed/>
    <w:qFormat/>
    <w:rPr>
      <w:rFonts w:hint="default" w:ascii="Calibri" w:hAnsi="Calibri" w:eastAsia="宋体" w:cs="Times New Roman"/>
      <w:sz w:val="21"/>
      <w:szCs w:val="24"/>
      <w:lang w:val="en-US" w:eastAsia="zh-CN" w:bidi="ar-SA"/>
    </w:rPr>
  </w:style>
  <w:style w:type="character" w:styleId="882" w:customStyle="1">
    <w:name w:val="font51"/>
    <w:link w:val="639"/>
    <w:uiPriority w:val="0"/>
    <w:qFormat/>
    <w:rPr>
      <w:rFonts w:ascii="仿宋_GB2312" w:eastAsia="仿宋_GB2312" w:cs="仿宋_GB2312"/>
      <w:color w:val="000000"/>
      <w:sz w:val="21"/>
      <w:szCs w:val="21"/>
      <w:u w:val="none"/>
    </w:rPr>
  </w:style>
  <w:style w:type="character" w:styleId="883" w:customStyle="1">
    <w:name w:val="font121"/>
    <w:link w:val="639"/>
    <w:uiPriority w:val="0"/>
    <w:qFormat/>
    <w:rPr>
      <w:rFonts w:ascii="微软雅黑" w:hAnsi="微软雅黑" w:eastAsia="微软雅黑" w:cs="微软雅黑"/>
      <w:color w:val="000000"/>
      <w:sz w:val="21"/>
      <w:szCs w:val="21"/>
      <w:u w:val="none"/>
    </w:rPr>
  </w:style>
  <w:style w:type="character" w:styleId="884" w:customStyle="1">
    <w:name w:val="font132"/>
    <w:link w:val="639"/>
    <w:uiPriority w:val="0"/>
    <w:qFormat/>
    <w:rPr>
      <w:rFonts w:ascii="Calibri" w:hAnsi="Calibri" w:cs="Calibri"/>
      <w:color w:val="000000"/>
      <w:sz w:val="21"/>
      <w:szCs w:val="21"/>
      <w:u w:val="none"/>
    </w:rPr>
  </w:style>
  <w:style w:type="character" w:styleId="885" w:customStyle="1">
    <w:name w:val="font141"/>
    <w:link w:val="639"/>
    <w:uiPriority w:val="0"/>
    <w:qFormat/>
    <w:rPr>
      <w:rFonts w:ascii="Calibri" w:hAnsi="Calibri" w:cs="Calibri"/>
      <w:color w:val="000000"/>
      <w:sz w:val="21"/>
      <w:szCs w:val="21"/>
      <w:u w:val="none"/>
    </w:rPr>
  </w:style>
  <w:style w:type="character" w:styleId="886" w:customStyle="1">
    <w:name w:val="font111"/>
    <w:basedOn w:val="839"/>
    <w:link w:val="639"/>
    <w:uiPriority w:val="0"/>
    <w:qFormat/>
    <w:rPr>
      <w:rFonts w:ascii="微软雅黑" w:hAnsi="微软雅黑" w:eastAsia="微软雅黑" w:cs="微软雅黑"/>
      <w:color w:val="000000"/>
      <w:sz w:val="21"/>
      <w:szCs w:val="21"/>
      <w:u w:val="none"/>
    </w:rPr>
  </w:style>
  <w:style w:type="character" w:styleId="887" w:customStyle="1">
    <w:name w:val="font122"/>
    <w:basedOn w:val="839"/>
    <w:link w:val="639"/>
    <w:uiPriority w:val="0"/>
    <w:qFormat/>
    <w:rPr>
      <w:rFonts w:ascii="Calibri" w:hAnsi="Calibri" w:cs="Calibri"/>
      <w:color w:val="000000"/>
      <w:sz w:val="21"/>
      <w:szCs w:val="21"/>
      <w:u w:val="none"/>
    </w:rPr>
  </w:style>
  <w:style w:type="character" w:styleId="888" w:customStyle="1">
    <w:name w:val="font131"/>
    <w:basedOn w:val="839"/>
    <w:link w:val="639"/>
    <w:uiPriority w:val="0"/>
    <w:qFormat/>
    <w:rPr>
      <w:rFonts w:ascii="Calibri" w:hAnsi="Calibri" w:cs="Calibri"/>
      <w:color w:val="000000"/>
      <w:sz w:val="21"/>
      <w:szCs w:val="21"/>
      <w:u w:val="none"/>
    </w:rPr>
  </w:style>
  <w:style w:type="character" w:styleId="889" w:customStyle="1">
    <w:name w:val="font11"/>
    <w:basedOn w:val="649"/>
    <w:uiPriority w:val="0"/>
    <w:qFormat/>
    <w:rPr>
      <w:rFonts w:hint="eastAsia" w:ascii="宋体" w:hAnsi="宋体" w:eastAsia="宋体" w:cs="宋体"/>
      <w:color w:val="000000"/>
      <w:sz w:val="20"/>
      <w:szCs w:val="20"/>
      <w:u w:val="none"/>
    </w:rPr>
  </w:style>
  <w:style w:type="paragraph" w:styleId="890" w:customStyle="1">
    <w:name w:val="Table Paragraph"/>
    <w:basedOn w:val="639"/>
    <w:uiPriority w:val="0"/>
    <w:qFormat/>
    <w:pPr>
      <w:jc w:val="left"/>
    </w:pPr>
    <w:rPr>
      <w:sz w:val="24"/>
      <w:szCs w:val="22"/>
    </w:rPr>
  </w:style>
  <w:style w:type="character" w:styleId="891" w:customStyle="1">
    <w:name w:val="font41"/>
    <w:basedOn w:val="649"/>
    <w:uiPriority w:val="0"/>
    <w:qFormat/>
    <w:rPr>
      <w:rFonts w:hint="eastAsia" w:ascii="宋体" w:hAnsi="宋体" w:eastAsia="宋体" w:cs="宋体"/>
      <w:color w:val="000000"/>
      <w:sz w:val="24"/>
      <w:szCs w:val="24"/>
      <w:u w:val="none"/>
    </w:rPr>
  </w:style>
  <w:style w:type="character" w:styleId="892" w:customStyle="1">
    <w:name w:val="font31"/>
    <w:basedOn w:val="649"/>
    <w:uiPriority w:val="0"/>
    <w:qFormat/>
    <w:rPr>
      <w:rFonts w:hint="eastAsia" w:ascii="宋体" w:hAnsi="宋体" w:eastAsia="宋体" w:cs="宋体"/>
      <w:color w:val="000000"/>
      <w:sz w:val="24"/>
      <w:szCs w:val="24"/>
      <w:u w:val="none"/>
    </w:rPr>
  </w:style>
  <w:style w:type="character" w:styleId="893" w:customStyle="1">
    <w:name w:val="font61"/>
    <w:basedOn w:val="649"/>
    <w:uiPriority w:val="0"/>
    <w:qFormat/>
    <w:rPr>
      <w:rFonts w:hint="eastAsia" w:ascii="宋体" w:hAnsi="宋体" w:eastAsia="宋体" w:cs="宋体"/>
      <w:color w:val="ff0000"/>
      <w:sz w:val="24"/>
      <w:szCs w:val="24"/>
      <w:u w:val="none"/>
    </w:rPr>
  </w:style>
  <w:style w:type="paragraph" w:styleId="89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numbering" w:styleId="12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谢东宏</cp:lastModifiedBy>
  <cp:revision>14</cp:revision>
  <dcterms:created xsi:type="dcterms:W3CDTF">2023-07-28T08:32:00Z</dcterms:created>
  <dcterms:modified xsi:type="dcterms:W3CDTF">2026-04-03T04:36:29Z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95B7A61889FC466F88E05B6A84FDABF6_13</vt:lpwstr>
  </property>
  <property fmtid="{D5CDD505-2E9C-101B-9397-08002B2CF9AE}" pid="4" name="KSOTemplateDocerSaveRecord">
    <vt:lpwstr>eyJoZGlkIjoiZWJjMzVkNmEyNzY5NGUyZDhhY2RmZjhmMzBmMGY4OGQiLCJ1c2VySWQiOiIzNTQ0NDg1NjIifQ==</vt:lpwstr>
  </property>
</Properties>
</file>