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highlight w:val="none"/>
        </w:rPr>
      </w:pPr>
      <w:r/>
      <w:bookmarkStart w:id="135" w:name="_GoBack"/>
      <w:r/>
      <w:r/>
    </w:p>
    <w:p>
      <w:pPr>
        <w:ind w:left="0"/>
        <w:jc w:val="center"/>
        <w:rPr>
          <w:rFonts w:hint="eastAsia" w:ascii="宋体" w:hAnsi="宋体"/>
          <w:b/>
          <w:sz w:val="108"/>
          <w:highlight w:val="none"/>
        </w:rPr>
      </w:pPr>
      <w:r>
        <w:rPr>
          <w:rFonts w:hint="eastAsia" w:ascii="宋体" w:hAnsi="宋体"/>
          <w:b/>
          <w:sz w:val="108"/>
          <w:highlight w:val="none"/>
        </w:rPr>
        <w:t xml:space="preserve">苏州市政府采购</w:t>
      </w:r>
      <w:r/>
    </w:p>
    <w:p>
      <w:pPr>
        <w:ind w:left="0"/>
        <w:jc w:val="center"/>
        <w:rPr>
          <w:rFonts w:hint="eastAsia"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480" w:lineRule="auto"/>
        <w:rPr>
          <w:rFonts w:hint="eastAsia" w:ascii="宋体" w:hAnsi="宋体"/>
          <w:b/>
          <w:sz w:val="32"/>
          <w:highlight w:val="none"/>
        </w:rPr>
      </w:pPr>
      <w:r>
        <w:rPr>
          <w:rFonts w:hint="eastAsia" w:ascii="宋体" w:hAnsi="宋体"/>
          <w:b/>
          <w:sz w:val="32"/>
          <w:highlight w:val="none"/>
        </w:rPr>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项目编号：</w:t>
      </w:r>
      <w:bookmarkStart w:id="0" w:name="OLE_LINK18"/>
      <w:r>
        <w:rPr>
          <w:rFonts w:hint="eastAsia" w:ascii="宋体" w:hAnsi="宋体"/>
          <w:b/>
          <w:sz w:val="32"/>
          <w:highlight w:val="none"/>
        </w:rPr>
        <w:t xml:space="preserve">JSZC-320500-JZCG-</w:t>
      </w:r>
      <w:bookmarkStart w:id="1" w:name="OLE_LINK7"/>
      <w:r>
        <w:rPr>
          <w:rFonts w:hint="eastAsia" w:ascii="宋体" w:hAnsi="宋体"/>
          <w:b/>
          <w:sz w:val="32"/>
          <w:highlight w:val="none"/>
        </w:rPr>
        <w:t xml:space="preserve">G2026-0061</w:t>
      </w:r>
      <w:bookmarkEnd w:id="0"/>
      <w:r/>
      <w:bookmarkEnd w:id="1"/>
      <w:r/>
    </w:p>
    <w:p>
      <w:pPr>
        <w:ind w:left="1842"/>
        <w:jc w:val="left"/>
        <w:spacing w:line="480" w:lineRule="auto"/>
        <w:rPr>
          <w:rFonts w:hint="eastAsia"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苏州市水利工程管理处</w:t>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苏州市水利工程管理处物业管理服务</w:t>
      </w:r>
      <w:r/>
    </w:p>
    <w:p>
      <w:pPr>
        <w:ind w:left="1842"/>
        <w:jc w:val="left"/>
        <w:spacing w:line="480" w:lineRule="auto"/>
        <w:tabs>
          <w:tab w:val="center" w:pos="6264" w:leader="none"/>
        </w:tabs>
        <w:rPr>
          <w:rFonts w:hint="eastAsia"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pStyle w:val="852"/>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ascii="宋体" w:hAnsi="宋体"/>
          <w:b/>
          <w:sz w:val="32"/>
          <w:highlight w:val="none"/>
        </w:rPr>
      </w:pPr>
      <w:r>
        <w:rPr>
          <w:rFonts w:hint="eastAsia" w:ascii="宋体" w:hAnsi="宋体"/>
          <w:b/>
          <w:sz w:val="32"/>
          <w:highlight w:val="none"/>
        </w:rPr>
      </w:r>
      <w:r/>
    </w:p>
    <w:p>
      <w:pPr>
        <w:ind w:left="0" w:firstLine="1606"/>
        <w:jc w:val="left"/>
        <w:rPr>
          <w:rFonts w:hint="eastAsia" w:ascii="宋体" w:hAnsi="宋体"/>
          <w:b/>
          <w:sz w:val="32"/>
          <w:highlight w:val="none"/>
        </w:rPr>
      </w:pPr>
      <w:r>
        <w:rPr>
          <w:rFonts w:hint="eastAsia" w:ascii="宋体" w:hAnsi="宋体"/>
          <w:b/>
          <w:sz w:val="32"/>
          <w:highlight w:val="none"/>
        </w:rPr>
      </w:r>
      <w:r/>
    </w:p>
    <w:p>
      <w:pPr>
        <w:ind w:left="0"/>
        <w:jc w:val="center"/>
        <w:rPr>
          <w:rFonts w:hint="eastAsia" w:ascii="宋体" w:hAnsi="宋体"/>
          <w:b/>
          <w:sz w:val="32"/>
          <w:highlight w:val="none"/>
        </w:rPr>
      </w:pPr>
      <w:r>
        <w:rPr>
          <w:rFonts w:hint="eastAsia" w:ascii="宋体" w:hAnsi="宋体"/>
          <w:b/>
          <w:sz w:val="32"/>
          <w:highlight w:val="none"/>
        </w:rPr>
        <w:t xml:space="preserve">苏州市政府集中采购中心</w:t>
      </w:r>
      <w:r/>
    </w:p>
    <w:p>
      <w:pPr>
        <w:ind w:left="0"/>
        <w:jc w:val="center"/>
        <w:rPr>
          <w:rFonts w:hint="eastAsia"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年3月</w:t>
      </w:r>
      <w:r/>
    </w:p>
    <w:p>
      <w:pPr>
        <w:ind w:left="0"/>
        <w:jc w:val="center"/>
        <w:rPr>
          <w:rFonts w:hint="eastAsia"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highlight w:val="none"/>
        </w:rPr>
      </w:r>
      <w:r/>
    </w:p>
    <w:p>
      <w:pPr>
        <w:ind w:left="0"/>
        <w:jc w:val="center"/>
        <w:rPr>
          <w:rFonts w:hint="eastAsia" w:ascii="宋体" w:hAnsi="宋体"/>
          <w:sz w:val="48"/>
          <w:highlight w:val="none"/>
        </w:rPr>
      </w:pPr>
      <w:r>
        <w:rPr>
          <w:rFonts w:hint="eastAsia" w:ascii="宋体" w:hAnsi="宋体"/>
          <w:sz w:val="48"/>
          <w:highlight w:val="none"/>
        </w:rPr>
        <w:t xml:space="preserve">总目录</w:t>
      </w:r>
      <w:r/>
    </w:p>
    <w:p>
      <w:pPr>
        <w:pStyle w:val="859"/>
        <w:ind w:firstLine="0"/>
        <w:jc w:val="left"/>
        <w:spacing w:before="120" w:after="120"/>
        <w:tabs>
          <w:tab w:val="right" w:pos="9856" w:leader="dot"/>
        </w:tabs>
        <w:rPr>
          <w:rStyle w:val="891"/>
          <w:rFonts w:hint="eastAsia" w:ascii="宋体" w:hAnsi="宋体" w:cs="Calibri"/>
          <w:bCs/>
          <w:caps/>
          <w:color w:val="auto"/>
          <w:sz w:val="32"/>
          <w:szCs w:val="32"/>
          <w:highlight w:val="none"/>
        </w:rPr>
        <w:outlineLvl w:val="9"/>
      </w:pPr>
      <w:r>
        <w:rPr>
          <w:rFonts w:hint="eastAsia" w:ascii="宋体" w:hAnsi="宋体" w:cs="Calibri"/>
          <w:bCs/>
          <w:caps/>
          <w:color w:val="auto"/>
          <w:sz w:val="32"/>
          <w:szCs w:val="32"/>
          <w:highlight w:val="none"/>
        </w:rPr>
      </w:r>
      <w:r/>
    </w:p>
    <w:p>
      <w:pPr>
        <w:pStyle w:val="859"/>
        <w:ind w:firstLine="0"/>
        <w:tabs>
          <w:tab w:val="right" w:pos="9864" w:leader="dot"/>
        </w:tabs>
        <w:rPr>
          <w:sz w:val="32"/>
          <w:szCs w:val="32"/>
          <w:highlight w:val="none"/>
        </w:rPr>
      </w:pPr>
      <w:r>
        <w:rPr>
          <w:rStyle w:val="891"/>
          <w:rFonts w:ascii="宋体" w:hAnsi="宋体" w:cs="Calibri"/>
          <w:color w:val="auto"/>
          <w:sz w:val="32"/>
          <w:highlight w:val="none"/>
        </w:rPr>
        <w:fldChar w:fldCharType="begin"/>
      </w:r>
      <w:r>
        <w:rPr>
          <w:rStyle w:val="891"/>
          <w:rFonts w:ascii="宋体" w:hAnsi="宋体" w:cs="Calibri"/>
          <w:bCs/>
          <w:caps/>
          <w:color w:val="auto"/>
          <w:sz w:val="32"/>
          <w:szCs w:val="32"/>
          <w:highlight w:val="none"/>
        </w:rPr>
        <w:instrText xml:space="preserve"> TOC \o "1-1" \h \z \u </w:instrText>
      </w:r>
      <w:r>
        <w:rPr>
          <w:rStyle w:val="891"/>
          <w:rFonts w:ascii="宋体" w:hAnsi="宋体" w:cs="Calibri"/>
          <w:color w:val="auto"/>
          <w:sz w:val="32"/>
          <w:highlight w:val="none"/>
        </w:rPr>
        <w:fldChar w:fldCharType="separate"/>
      </w:r>
      <w:r>
        <w:rPr>
          <w:highlight w:val="none"/>
        </w:rPr>
        <w:fldChar w:fldCharType="begin"/>
      </w:r>
      <w:r>
        <w:rPr>
          <w:highlight w:val="none"/>
        </w:rPr>
        <w:instrText xml:space="preserve"> HYPERLINK \l "_Toc25101" </w:instrText>
      </w:r>
      <w:r>
        <w:rPr>
          <w:highlight w:val="none"/>
        </w:rPr>
        <w:fldChar w:fldCharType="separate"/>
      </w:r>
      <w:r>
        <w:rPr>
          <w:rFonts w:hint="eastAsia" w:ascii="宋体" w:hAnsi="宋体"/>
          <w:sz w:val="32"/>
          <w:szCs w:val="32"/>
          <w:highlight w:val="none"/>
        </w:rPr>
        <w:t xml:space="preserve">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_Toc25101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"_Toc21924" </w:instrText>
      </w:r>
      <w:r>
        <w:rPr>
          <w:highlight w:val="none"/>
        </w:rPr>
        <w:fldChar w:fldCharType="separate"/>
      </w:r>
      <w:r>
        <w:rPr>
          <w:rFonts w:ascii="宋体" w:hAnsi="宋体"/>
          <w:sz w:val="32"/>
          <w:szCs w:val="32"/>
          <w:highlight w:val="none"/>
        </w:rPr>
        <w:t xml:space="preserve">第</w:t>
      </w:r>
      <w:r>
        <w:rPr>
          <w:rFonts w:hint="eastAsia" w:ascii="宋体" w:hAnsi="宋体"/>
          <w:sz w:val="32"/>
          <w:szCs w:val="32"/>
          <w:highlight w:val="none"/>
        </w:rPr>
        <w:t xml:space="preserve">二</w:t>
      </w:r>
      <w:r>
        <w:rPr>
          <w:rFonts w:ascii="宋体" w:hAnsi="宋体"/>
          <w:sz w:val="32"/>
          <w:szCs w:val="32"/>
          <w:highlight w:val="none"/>
        </w:rPr>
        <w:t xml:space="preserve">章  投标人须知</w:t>
      </w:r>
      <w:r>
        <w:rPr>
          <w:sz w:val="32"/>
          <w:szCs w:val="32"/>
          <w:highlight w:val="none"/>
        </w:rPr>
        <w:tab/>
      </w:r>
      <w:r>
        <w:rPr>
          <w:sz w:val="32"/>
          <w:szCs w:val="32"/>
          <w:highlight w:val="none"/>
        </w:rPr>
        <w:fldChar w:fldCharType="begin"/>
      </w:r>
      <w:r>
        <w:rPr>
          <w:sz w:val="32"/>
          <w:szCs w:val="32"/>
          <w:highlight w:val="none"/>
        </w:rPr>
        <w:instrText xml:space="preserve"> PAGEREF _Toc21924 \h </w:instrText>
      </w:r>
      <w:r>
        <w:rPr>
          <w:sz w:val="32"/>
          <w:szCs w:val="32"/>
          <w:highlight w:val="none"/>
        </w:rPr>
        <w:fldChar w:fldCharType="separate"/>
      </w:r>
      <w:r>
        <w:rPr>
          <w:sz w:val="32"/>
          <w:szCs w:val="32"/>
          <w:highlight w:val="none"/>
        </w:rPr>
        <w:t xml:space="preserve">8</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"_Toc11753" </w:instrText>
      </w:r>
      <w:r>
        <w:rPr>
          <w:highlight w:val="none"/>
        </w:rPr>
        <w:fldChar w:fldCharType="separate"/>
      </w:r>
      <w:r>
        <w:rPr>
          <w:rFonts w:hint="eastAsia" w:ascii="宋体" w:hAnsi="宋体"/>
          <w:sz w:val="32"/>
          <w:szCs w:val="32"/>
          <w:highlight w:val="none"/>
        </w:rPr>
        <w:t xml:space="preserve">第三章  投标文件格式</w:t>
      </w:r>
      <w:r>
        <w:rPr>
          <w:sz w:val="32"/>
          <w:szCs w:val="32"/>
          <w:highlight w:val="none"/>
        </w:rPr>
        <w:tab/>
      </w:r>
      <w:r>
        <w:rPr>
          <w:sz w:val="32"/>
          <w:szCs w:val="32"/>
          <w:highlight w:val="none"/>
        </w:rPr>
        <w:fldChar w:fldCharType="begin"/>
      </w:r>
      <w:r>
        <w:rPr>
          <w:sz w:val="32"/>
          <w:szCs w:val="32"/>
          <w:highlight w:val="none"/>
        </w:rPr>
        <w:instrText xml:space="preserve"> PAGEREF _Toc11753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"_Toc26514" </w:instrText>
      </w:r>
      <w:r>
        <w:rPr>
          <w:highlight w:val="none"/>
        </w:rPr>
        <w:fldChar w:fldCharType="separate"/>
      </w:r>
      <w:r>
        <w:rPr>
          <w:rFonts w:hint="eastAsia" w:ascii="宋体" w:hAnsi="宋体"/>
          <w:sz w:val="32"/>
          <w:szCs w:val="32"/>
          <w:highlight w:val="none"/>
        </w:rPr>
        <w:t xml:space="preserve">第四章  招标书</w:t>
      </w:r>
      <w:r>
        <w:rPr>
          <w:sz w:val="32"/>
          <w:szCs w:val="32"/>
          <w:highlight w:val="none"/>
        </w:rPr>
        <w:tab/>
      </w:r>
      <w:r>
        <w:rPr>
          <w:sz w:val="32"/>
          <w:szCs w:val="32"/>
          <w:highlight w:val="none"/>
        </w:rPr>
        <w:fldChar w:fldCharType="begin"/>
      </w:r>
      <w:r>
        <w:rPr>
          <w:sz w:val="32"/>
          <w:szCs w:val="32"/>
          <w:highlight w:val="none"/>
        </w:rPr>
        <w:instrText xml:space="preserve"> PAGEREF _Toc26514 \h </w:instrText>
      </w:r>
      <w:r>
        <w:rPr>
          <w:sz w:val="32"/>
          <w:szCs w:val="32"/>
          <w:highlight w:val="none"/>
        </w:rPr>
        <w:fldChar w:fldCharType="separate"/>
      </w:r>
      <w:r>
        <w:rPr>
          <w:sz w:val="32"/>
          <w:szCs w:val="32"/>
          <w:highlight w:val="none"/>
        </w:rPr>
        <w:t xml:space="preserve">37</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"_Toc21392" </w:instrText>
      </w:r>
      <w:r>
        <w:rPr>
          <w:highlight w:val="none"/>
        </w:rPr>
        <w:fldChar w:fldCharType="separate"/>
      </w:r>
      <w:r>
        <w:rPr>
          <w:rFonts w:hint="eastAsia" w:ascii="宋体" w:hAnsi="宋体"/>
          <w:sz w:val="32"/>
          <w:szCs w:val="32"/>
          <w:highlight w:val="none"/>
        </w:rPr>
        <w:t xml:space="preserve">第五章  合同及主要条款</w:t>
      </w:r>
      <w:r>
        <w:rPr>
          <w:sz w:val="32"/>
          <w:szCs w:val="32"/>
          <w:highlight w:val="none"/>
        </w:rPr>
        <w:tab/>
      </w:r>
      <w:r>
        <w:rPr>
          <w:sz w:val="32"/>
          <w:szCs w:val="32"/>
          <w:highlight w:val="none"/>
        </w:rPr>
        <w:fldChar w:fldCharType="begin"/>
      </w:r>
      <w:r>
        <w:rPr>
          <w:sz w:val="32"/>
          <w:szCs w:val="32"/>
          <w:highlight w:val="none"/>
        </w:rPr>
        <w:instrText xml:space="preserve"> PAGEREF _Toc21392 \h </w:instrText>
      </w:r>
      <w:r>
        <w:rPr>
          <w:sz w:val="32"/>
          <w:szCs w:val="32"/>
          <w:highlight w:val="none"/>
        </w:rPr>
        <w:fldChar w:fldCharType="separate"/>
      </w:r>
      <w:r>
        <w:rPr>
          <w:sz w:val="32"/>
          <w:szCs w:val="32"/>
          <w:highlight w:val="none"/>
        </w:rPr>
        <w:t xml:space="preserve">49</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"_Toc6538" </w:instrText>
      </w:r>
      <w:r>
        <w:rPr>
          <w:highlight w:val="none"/>
        </w:rPr>
        <w:fldChar w:fldCharType="separate"/>
      </w:r>
      <w:r>
        <w:rPr>
          <w:rFonts w:hint="eastAsia" w:ascii="宋体" w:hAnsi="宋体"/>
          <w:sz w:val="32"/>
          <w:szCs w:val="32"/>
          <w:highlight w:val="none"/>
        </w:rPr>
        <w:t xml:space="preserve">第六章  评标办法和评分标准</w:t>
      </w:r>
      <w:r>
        <w:rPr>
          <w:sz w:val="32"/>
          <w:szCs w:val="32"/>
          <w:highlight w:val="none"/>
        </w:rPr>
        <w:tab/>
      </w:r>
      <w:r>
        <w:rPr>
          <w:sz w:val="32"/>
          <w:szCs w:val="32"/>
          <w:highlight w:val="none"/>
        </w:rPr>
        <w:fldChar w:fldCharType="begin"/>
      </w:r>
      <w:r>
        <w:rPr>
          <w:sz w:val="32"/>
          <w:szCs w:val="32"/>
          <w:highlight w:val="none"/>
        </w:rPr>
        <w:instrText xml:space="preserve"> PAGEREF _Toc6538 \h </w:instrText>
      </w:r>
      <w:r>
        <w:rPr>
          <w:sz w:val="32"/>
          <w:szCs w:val="32"/>
          <w:highlight w:val="none"/>
        </w:rPr>
        <w:fldChar w:fldCharType="separate"/>
      </w:r>
      <w:r>
        <w:rPr>
          <w:sz w:val="32"/>
          <w:szCs w:val="32"/>
          <w:highlight w:val="none"/>
        </w:rPr>
        <w:t xml:space="preserve">54</w:t>
      </w:r>
      <w:r>
        <w:rPr>
          <w:sz w:val="32"/>
          <w:szCs w:val="32"/>
          <w:highlight w:val="none"/>
        </w:rPr>
        <w:fldChar w:fldCharType="end"/>
      </w:r>
      <w:r>
        <w:rPr>
          <w:sz w:val="32"/>
          <w:szCs w:val="32"/>
          <w:highlight w:val="none"/>
        </w:rPr>
        <w:fldChar w:fldCharType="end"/>
      </w:r>
      <w:r/>
    </w:p>
    <w:p>
      <w:pPr>
        <w:pStyle w:val="859"/>
        <w:ind w:firstLine="0"/>
        <w:tabs>
          <w:tab w:val="right" w:pos="9864" w:leader="dot"/>
        </w:tabs>
        <w:rPr>
          <w:sz w:val="32"/>
          <w:szCs w:val="32"/>
          <w:highlight w:val="none"/>
        </w:rPr>
      </w:pPr>
      <w:r>
        <w:rPr>
          <w:highlight w:val="none"/>
        </w:rPr>
        <w:fldChar w:fldCharType="begin"/>
      </w:r>
      <w:r>
        <w:rPr>
          <w:highlight w:val="none"/>
        </w:rPr>
        <w:instrText xml:space="preserve"> HYPERLINK \l "_Toc32761" </w:instrText>
      </w:r>
      <w:r>
        <w:rPr>
          <w:highlight w:val="none"/>
        </w:rPr>
        <w:fldChar w:fldCharType="separate"/>
      </w:r>
      <w:r>
        <w:rPr>
          <w:rFonts w:hint="eastAsia" w:ascii="宋体" w:hAnsi="宋体" w:cs="宋体"/>
          <w:sz w:val="32"/>
          <w:szCs w:val="32"/>
          <w:highlight w:val="none"/>
        </w:rPr>
        <w:t xml:space="preserve">第七章</w:t>
      </w:r>
      <w:r>
        <w:rPr>
          <w:rFonts w:hint="eastAsia" w:ascii="宋体" w:hAnsi="宋体"/>
          <w:sz w:val="32"/>
          <w:szCs w:val="32"/>
          <w:highlight w:val="none"/>
        </w:rPr>
        <w:t xml:space="preserve"> 附件</w:t>
      </w:r>
      <w:r>
        <w:rPr>
          <w:sz w:val="32"/>
          <w:szCs w:val="32"/>
          <w:highlight w:val="none"/>
        </w:rPr>
        <w:tab/>
      </w:r>
      <w:r>
        <w:rPr>
          <w:sz w:val="32"/>
          <w:szCs w:val="32"/>
          <w:highlight w:val="none"/>
        </w:rPr>
        <w:fldChar w:fldCharType="begin"/>
      </w:r>
      <w:r>
        <w:rPr>
          <w:sz w:val="32"/>
          <w:szCs w:val="32"/>
          <w:highlight w:val="none"/>
        </w:rPr>
        <w:instrText xml:space="preserve"> PAGEREF _Toc32761 \h </w:instrText>
      </w:r>
      <w:r>
        <w:rPr>
          <w:sz w:val="32"/>
          <w:szCs w:val="32"/>
          <w:highlight w:val="none"/>
        </w:rPr>
        <w:fldChar w:fldCharType="separate"/>
      </w:r>
      <w:r>
        <w:rPr>
          <w:sz w:val="32"/>
          <w:szCs w:val="32"/>
          <w:highlight w:val="none"/>
        </w:rPr>
        <w:t xml:space="preserve">59</w:t>
      </w:r>
      <w:r>
        <w:rPr>
          <w:sz w:val="32"/>
          <w:szCs w:val="32"/>
          <w:highlight w:val="none"/>
        </w:rPr>
        <w:fldChar w:fldCharType="end"/>
      </w:r>
      <w:r>
        <w:rPr>
          <w:sz w:val="32"/>
          <w:szCs w:val="32"/>
          <w:highlight w:val="none"/>
        </w:rPr>
        <w:fldChar w:fldCharType="end"/>
      </w:r>
      <w:r/>
    </w:p>
    <w:p>
      <w:pPr>
        <w:pStyle w:val="859"/>
        <w:ind w:firstLine="0"/>
        <w:jc w:val="left"/>
        <w:spacing w:before="120" w:after="120"/>
        <w:tabs>
          <w:tab w:val="right" w:pos="9856" w:leader="dot"/>
        </w:tabs>
        <w:rPr>
          <w:rFonts w:hint="eastAsia" w:ascii="宋体" w:hAnsi="宋体"/>
          <w:sz w:val="32"/>
          <w:szCs w:val="32"/>
          <w:highlight w:val="none"/>
        </w:rPr>
        <w:outlineLvl w:val="9"/>
      </w:pPr>
      <w:r>
        <w:rPr>
          <w:rFonts w:ascii="宋体" w:hAnsi="宋体" w:cs="Calibri"/>
          <w:bCs/>
          <w:caps/>
          <w:sz w:val="32"/>
          <w:szCs w:val="32"/>
          <w:highlight w:val="none"/>
        </w:rPr>
        <w:fldChar w:fldCharType="end"/>
      </w:r>
      <w:r/>
    </w:p>
    <w:p>
      <w:pPr>
        <w:ind w:left="0"/>
        <w:rPr>
          <w:rFonts w:hint="eastAsia" w:ascii="宋体" w:hAnsi="宋体" w:cs="Times New Roman"/>
          <w:sz w:val="32"/>
          <w:szCs w:val="32"/>
          <w:highlight w:val="none"/>
        </w:rPr>
      </w:pPr>
      <w:r>
        <w:rPr>
          <w:rFonts w:hint="eastAsia" w:ascii="宋体" w:hAnsi="宋体" w:cs="Times New Roman"/>
          <w:sz w:val="32"/>
          <w:szCs w:val="32"/>
          <w:highlight w:val="none"/>
        </w:rPr>
      </w:r>
      <w:r/>
    </w:p>
    <w:p>
      <w:pPr>
        <w:ind w:left="0"/>
        <w:jc w:val="center"/>
        <w:rPr>
          <w:rFonts w:hint="eastAsia" w:ascii="宋体" w:hAnsi="宋体"/>
          <w:b/>
          <w:spacing w:val="20"/>
          <w:sz w:val="30"/>
          <w:highlight w:val="none"/>
        </w:rPr>
      </w:pPr>
      <w:r>
        <w:rPr>
          <w:rFonts w:ascii="宋体" w:hAnsi="宋体"/>
          <w:highlight w:val="none"/>
        </w:rPr>
        <w:br w:type="page" w:clear="all"/>
      </w:r>
      <w:bookmarkStart w:id="2" w:name="_Toc15681"/>
      <w:r/>
      <w:bookmarkStart w:id="3" w:name="_Toc16121"/>
      <w:r/>
      <w:bookmarkStart w:id="4" w:name="_Toc17003"/>
      <w:r>
        <w:rPr>
          <w:rFonts w:ascii="宋体" w:hAnsi="宋体"/>
          <w:b/>
          <w:spacing w:val="20"/>
          <w:sz w:val="30"/>
          <w:highlight w:val="none"/>
        </w:rPr>
        <w:t xml:space="preserve">前 附 表</w:t>
      </w:r>
      <w:bookmarkEnd w:id="2"/>
      <w:r/>
      <w:bookmarkEnd w:id="3"/>
      <w:r/>
      <w:bookmarkEnd w:id="4"/>
      <w: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JSZC-320500-JZCG-G2026-0061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苏州市水利工程管理处物业管理服务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联系人：谢工、严工</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名称：苏州市水利工程管理处</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地址：江苏省苏州市姑苏区凌波路</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联系人：金军</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联系电话：15051558287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4</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4</w:t>
            </w:r>
            <w:r>
              <w:rPr>
                <w:rFonts w:hint="eastAsia" w:ascii="宋体" w:hAnsi="宋体" w:cs="Times New Roman"/>
                <w:sz w:val="21"/>
                <w:szCs w:val="21"/>
                <w:highlight w:val="none"/>
                <w:u w:val="single"/>
              </w:rPr>
              <w:t xml:space="preserve">月1</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hint="eastAsia"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4</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hint="eastAsia" w:ascii="宋体" w:hAnsi="宋体" w:cs="Times New Roman"/>
                <w:sz w:val="21"/>
                <w:szCs w:val="21"/>
                <w:highlight w:val="none"/>
              </w:rPr>
            </w:pPr>
            <w:r>
              <w:rPr>
                <w:rFonts w:hint="eastAsia"/>
                <w:b/>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60"/>
              <w:ind w:left="0" w:firstLine="0"/>
              <w:spacing w:line="440" w:lineRule="exact"/>
              <w:rPr>
                <w:rFonts w:hint="eastAsia"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highlight w:val="none"/>
        </w:rPr>
      </w:pPr>
      <w:r/>
      <w:bookmarkStart w:id="5" w:name="_Toc7166"/>
      <w:r/>
      <w:bookmarkStart w:id="6" w:name="_Toc28592"/>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852"/>
        <w:rPr>
          <w:rFonts w:hint="eastAsia" w:ascii="宋体" w:hAnsi="宋体"/>
          <w:highlight w:val="none"/>
        </w:rPr>
      </w:pPr>
      <w:r>
        <w:rPr>
          <w:rFonts w:hint="eastAsia" w:ascii="宋体" w:hAnsi="宋体"/>
          <w:highlight w:val="none"/>
        </w:rPr>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844"/>
        <w:ind w:left="0" w:firstLine="0"/>
        <w:rPr>
          <w:rFonts w:hint="eastAsia" w:ascii="宋体" w:hAnsi="宋体" w:cs="Times New Roman"/>
          <w:highlight w:val="none"/>
        </w:rPr>
      </w:pPr>
      <w:r>
        <w:rPr>
          <w:rFonts w:hint="eastAsia" w:ascii="宋体" w:hAnsi="宋体" w:cs="Times New Roman"/>
          <w:highlight w:val="none"/>
        </w:rPr>
      </w:r>
      <w:r/>
    </w:p>
    <w:p>
      <w:pPr>
        <w:rPr>
          <w:rFonts w:hint="eastAsia" w:ascii="宋体" w:hAnsi="宋体" w:cs="Times New Roman"/>
          <w:highlight w:val="none"/>
        </w:rPr>
      </w:pPr>
      <w:r>
        <w:rPr>
          <w:rFonts w:hint="eastAsia" w:ascii="宋体" w:hAnsi="宋体" w:cs="Times New Roman"/>
          <w:highlight w:val="none"/>
        </w:rPr>
      </w:r>
      <w:r/>
    </w:p>
    <w:p>
      <w:pPr>
        <w:ind w:left="0"/>
        <w:rPr>
          <w:rFonts w:hint="eastAsia" w:ascii="宋体" w:hAnsi="宋体"/>
          <w:b/>
          <w:sz w:val="44"/>
          <w:szCs w:val="22"/>
          <w:highlight w:val="none"/>
        </w:rPr>
      </w:pPr>
      <w:r>
        <w:rPr>
          <w:rFonts w:hint="eastAsia" w:ascii="宋体" w:hAnsi="宋体"/>
          <w:b/>
          <w:sz w:val="44"/>
          <w:szCs w:val="22"/>
          <w:highlight w:val="none"/>
        </w:rPr>
      </w:r>
      <w:r/>
    </w:p>
    <w:p>
      <w:pPr>
        <w:pStyle w:val="827"/>
        <w:ind w:left="431" w:firstLine="17"/>
        <w:jc w:val="center"/>
        <w:spacing w:before="0" w:after="0" w:line="360" w:lineRule="auto"/>
        <w:rPr>
          <w:rStyle w:val="956"/>
          <w:rFonts w:hint="eastAsia" w:ascii="宋体" w:hAnsi="宋体"/>
          <w:highlight w:val="none"/>
        </w:rPr>
      </w:pPr>
      <w:r>
        <w:rPr>
          <w:rFonts w:hint="eastAsia" w:ascii="宋体" w:hAnsi="宋体"/>
          <w:b/>
          <w:sz w:val="44"/>
          <w:szCs w:val="22"/>
          <w:highlight w:val="none"/>
        </w:rPr>
        <w:br w:type="page" w:clear="all"/>
      </w:r>
      <w:bookmarkStart w:id="7" w:name="_Toc25101"/>
      <w:r>
        <w:rPr>
          <w:rFonts w:hint="eastAsia" w:ascii="宋体" w:hAnsi="宋体"/>
          <w:b/>
          <w:sz w:val="44"/>
          <w:szCs w:val="22"/>
          <w:highlight w:val="none"/>
        </w:rPr>
        <w:t xml:space="preserve">第一章  投标邀请函</w:t>
      </w:r>
      <w:bookmarkEnd w:id="5"/>
      <w:r/>
      <w:bookmarkEnd w:id="6"/>
      <w:r/>
      <w:bookmarkEnd w:id="7"/>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苏州市水利工程管理处物业管理服务</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年4</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1</w:t>
      </w:r>
      <w:r>
        <w:rPr>
          <w:rFonts w:hint="eastAsia" w:ascii="宋体" w:hAnsi="宋体"/>
          <w:b/>
          <w:sz w:val="21"/>
          <w:szCs w:val="21"/>
          <w:highlight w:val="none"/>
          <w:u w:val="single"/>
        </w:rPr>
        <w:t xml:space="preserve">日</w:t>
      </w:r>
      <w:r>
        <w:rPr>
          <w:rFonts w:ascii="宋体" w:hAnsi="宋体"/>
          <w:b/>
          <w:sz w:val="21"/>
          <w:szCs w:val="21"/>
          <w:highlight w:val="none"/>
          <w:u w:val="single"/>
        </w:rPr>
        <w:t xml:space="preserve">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一、项目基本情况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1.项目编号：JSZC-320500-JZCG-G2026-0061</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2.项目名称：苏州市水利工程管理处物业管理服务</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3.采购方式：公开招标</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4.预算金额：人民币壹佰叁拾壹万元整（￥1310000.00）</w:t>
      </w:r>
      <w:r>
        <w:rPr>
          <w:rFonts w:ascii="宋体" w:hAnsi="宋体"/>
          <w:sz w:val="21"/>
          <w:szCs w:val="21"/>
          <w:highlight w:val="none"/>
        </w:rPr>
        <w:t xml:space="preserve">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5.最高限价：人民币壹佰叁拾壹万元整（￥1310000.00）</w:t>
      </w:r>
      <w:r>
        <w:rPr>
          <w:rFonts w:ascii="宋体" w:hAnsi="宋体"/>
          <w:sz w:val="21"/>
          <w:szCs w:val="21"/>
          <w:highlight w:val="none"/>
        </w:rPr>
        <w:t xml:space="preserve">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6.合同履行期限：2年</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采购需求：苏州市水利工程管理处位于姑苏区凌波路，办公楼4层，无电梯，面积约2000平方米，庭院面积约2000平，办公楼设有大中小型会议室、办公科室、职工食堂，场内设地面停车位约40个。要求提供保安、保洁、食堂等综合服务。其余内容详见第四章。</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二、供应商的资格要求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（1）具有独立承担民事责任的能力；</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（6）法律、行政法规规定的其他条件。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3.本项目的特定资格要求：无</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三、获取招标文件 </w:t>
      </w:r>
      <w:r/>
    </w:p>
    <w:p>
      <w:pPr>
        <w:pStyle w:val="844"/>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3.方式：</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（1）CA证书办理</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w:t>
      </w:r>
      <w:bookmarkStart w:id="8" w:name="OLE_LINK14"/>
      <w:r/>
      <w:bookmarkStart w:id="9" w:name="OLE_LINK13"/>
      <w:r>
        <w:rPr>
          <w:rFonts w:hint="eastAsia" w:ascii="宋体" w:hAnsi="宋体"/>
          <w:b/>
          <w:sz w:val="21"/>
          <w:szCs w:val="21"/>
          <w:highlight w:val="none"/>
        </w:rPr>
        <w:t xml:space="preserve">苏州高新区邓尉路105号狮山科技馆1楼服务大厅，咨询电话：0512-65737699。</w:t>
      </w:r>
      <w:bookmarkEnd w:id="8"/>
      <w:bookmarkEnd w:id="9"/>
      <w:r/>
    </w:p>
    <w:p>
      <w:pPr>
        <w:pStyle w:val="844"/>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（2）参与采购活动</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（3）电子投标准备</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系统使用指导与咨询：联系电话：</w:t>
      </w:r>
      <w:bookmarkStart w:id="10" w:name="OLE_LINK39"/>
      <w:r>
        <w:rPr>
          <w:rFonts w:ascii="宋体" w:hAnsi="宋体"/>
          <w:sz w:val="21"/>
          <w:szCs w:val="21"/>
          <w:highlight w:val="none"/>
        </w:rPr>
        <w:t xml:space="preserve">13914088964</w:t>
      </w:r>
      <w:bookmarkEnd w:id="10"/>
      <w:r>
        <w:rPr>
          <w:rFonts w:hint="eastAsia" w:ascii="宋体" w:hAnsi="宋体"/>
          <w:sz w:val="21"/>
          <w:szCs w:val="21"/>
          <w:highlight w:val="none"/>
        </w:rPr>
        <w:t xml:space="preserve">；智能客服：登录苏采云系统后，联系系统右下方智能客服图标进行咨询。</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4.售价：免费</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4</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rPr>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4</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1</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rPr>
      </w:r>
      <w:r>
        <w:rPr>
          <w:rFonts w:hint="eastAsia" w:ascii="宋体" w:hAnsi="宋体"/>
          <w:sz w:val="21"/>
          <w:szCs w:val="21"/>
          <w:highlight w:val="none"/>
        </w:rPr>
        <w:t xml:space="preserve">（北京时间）；</w:t>
      </w:r>
      <w:r/>
    </w:p>
    <w:p>
      <w:pPr>
        <w:pStyle w:val="844"/>
        <w:ind w:left="0" w:firstLine="42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4"/>
        <w:ind w:left="0" w:firstLine="420"/>
        <w:spacing w:line="360" w:lineRule="auto"/>
        <w:rPr>
          <w:rFonts w:hint="eastAsia"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4"/>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4"/>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五、公告期限</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5"/>
              <w:ind w:left="0" w:firstLine="0"/>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885"/>
              <w:ind w:left="0"/>
              <w:rPr>
                <w:rFonts w:hint="eastAsia"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885"/>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1.采购人信息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名称：苏州市水利工程管理处  </w:t>
      </w:r>
      <w:r>
        <w:rPr>
          <w:rFonts w:ascii="宋体" w:hAnsi="宋体"/>
          <w:sz w:val="21"/>
          <w:szCs w:val="21"/>
          <w:highlight w:val="none"/>
        </w:rPr>
        <w:t xml:space="preserve">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地址：江苏省苏州市姑苏区凌波路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联系人：金军</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联系方式：15051558287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2.采购代理机构信息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名称：苏州市政府集中采购中心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联系方式：0512-69820921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3.项目联系方式</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项目联系人：谢工、严工 </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电话：0512-69820921 </w:t>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pStyle w:val="838"/>
        <w:rPr>
          <w:highlight w:val="none"/>
        </w:rPr>
      </w:pPr>
      <w:r>
        <w:rPr>
          <w:highlight w:val="none"/>
        </w:rPr>
      </w:r>
      <w:r/>
    </w:p>
    <w:p>
      <w:pPr>
        <w:rPr>
          <w:highlight w:val="none"/>
        </w:rPr>
      </w:pPr>
      <w:r>
        <w:rPr>
          <w:highlight w:val="none"/>
        </w:rPr>
      </w:r>
      <w:r/>
    </w:p>
    <w:p>
      <w:pPr>
        <w:pStyle w:val="838"/>
        <w:rPr>
          <w:highlight w:val="none"/>
        </w:rPr>
      </w:pPr>
      <w:r>
        <w:rPr>
          <w:highlight w:val="none"/>
        </w:rPr>
      </w:r>
      <w:r/>
    </w:p>
    <w:p>
      <w:pPr>
        <w:rPr>
          <w:highlight w:val="none"/>
        </w:rPr>
      </w:pPr>
      <w:r>
        <w:rPr>
          <w:highlight w:val="none"/>
        </w:rPr>
      </w:r>
      <w:r/>
    </w:p>
    <w:p>
      <w:pPr>
        <w:pStyle w:val="838"/>
        <w:rPr>
          <w:highlight w:val="none"/>
        </w:rPr>
      </w:pPr>
      <w:r>
        <w:rPr>
          <w:highlight w:val="none"/>
        </w:rPr>
      </w:r>
      <w:r/>
    </w:p>
    <w:p>
      <w:pPr>
        <w:ind w:left="0"/>
        <w:rPr>
          <w:highlight w:val="none"/>
        </w:rPr>
      </w:pPr>
      <w:r>
        <w:rPr>
          <w:highlight w:val="none"/>
        </w:rPr>
      </w:r>
      <w:r/>
    </w:p>
    <w:p>
      <w:pPr>
        <w:pStyle w:val="827"/>
        <w:ind w:left="0" w:firstLine="0"/>
        <w:jc w:val="center"/>
        <w:rPr>
          <w:rFonts w:hint="eastAsia" w:ascii="宋体" w:hAnsi="宋体"/>
          <w:b/>
          <w:sz w:val="44"/>
          <w:szCs w:val="22"/>
          <w:highlight w:val="none"/>
        </w:rPr>
      </w:pPr>
      <w:r/>
      <w:bookmarkStart w:id="11" w:name="_Toc21924"/>
      <w:r/>
      <w:bookmarkStart w:id="12" w:name="_Toc2412"/>
      <w:r/>
      <w:bookmarkStart w:id="13"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4" w:name="投标人须知"/>
      <w:r/>
      <w:bookmarkEnd w:id="14"/>
      <w:r>
        <w:rPr>
          <w:rFonts w:ascii="宋体" w:hAnsi="宋体"/>
          <w:b/>
          <w:sz w:val="44"/>
          <w:szCs w:val="22"/>
          <w:highlight w:val="none"/>
        </w:rPr>
        <w:t xml:space="preserve">投标人须知</w:t>
      </w:r>
      <w:bookmarkEnd w:id="11"/>
      <w:r/>
      <w:bookmarkEnd w:id="12"/>
      <w:r/>
      <w:bookmarkEnd w:id="13"/>
      <w:r/>
      <w:r/>
    </w:p>
    <w:p>
      <w:pPr>
        <w:pStyle w:val="844"/>
        <w:ind w:left="0" w:firstLine="422"/>
        <w:spacing w:line="360" w:lineRule="auto"/>
        <w:rPr>
          <w:rFonts w:hint="eastAsia" w:ascii="宋体" w:hAnsi="宋体"/>
          <w:b/>
          <w:sz w:val="21"/>
          <w:szCs w:val="21"/>
          <w:highlight w:val="none"/>
        </w:rPr>
      </w:pPr>
      <w:r/>
      <w:bookmarkStart w:id="15" w:name="_Toc20132"/>
      <w:r/>
      <w:bookmarkStart w:id="16" w:name="_Toc13437"/>
      <w:r>
        <w:rPr>
          <w:rFonts w:hint="eastAsia" w:ascii="宋体" w:hAnsi="宋体"/>
          <w:b/>
          <w:sz w:val="21"/>
          <w:szCs w:val="21"/>
          <w:highlight w:val="none"/>
        </w:rPr>
        <w:t xml:space="preserve">一、说明和释义</w:t>
      </w:r>
      <w:bookmarkEnd w:id="15"/>
      <w:r/>
      <w:bookmarkEnd w:id="16"/>
      <w:r/>
      <w:r/>
    </w:p>
    <w:p>
      <w:pPr>
        <w:pStyle w:val="844"/>
        <w:ind w:left="0" w:firstLine="422"/>
        <w:spacing w:line="360" w:lineRule="auto"/>
        <w:rPr>
          <w:rFonts w:hint="eastAsia" w:ascii="宋体" w:hAnsi="宋体"/>
          <w:b/>
          <w:sz w:val="21"/>
          <w:szCs w:val="21"/>
          <w:highlight w:val="none"/>
        </w:rPr>
      </w:pPr>
      <w:r/>
      <w:bookmarkStart w:id="17" w:name="_Toc9408"/>
      <w:r>
        <w:rPr>
          <w:rFonts w:hint="eastAsia" w:ascii="宋体" w:hAnsi="宋体"/>
          <w:b/>
          <w:sz w:val="21"/>
          <w:szCs w:val="21"/>
          <w:highlight w:val="none"/>
        </w:rPr>
        <w:t xml:space="preserve">1.说明</w:t>
      </w:r>
      <w:bookmarkEnd w:id="17"/>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4"/>
        <w:ind w:left="0" w:firstLine="422"/>
        <w:spacing w:line="360" w:lineRule="auto"/>
        <w:rPr>
          <w:rFonts w:hint="eastAsia" w:ascii="宋体" w:hAnsi="宋体"/>
          <w:b/>
          <w:sz w:val="21"/>
          <w:szCs w:val="21"/>
          <w:highlight w:val="none"/>
        </w:rPr>
      </w:pPr>
      <w:r/>
      <w:bookmarkStart w:id="18" w:name="_Toc27555"/>
      <w:r>
        <w:rPr>
          <w:rFonts w:hint="eastAsia" w:ascii="宋体" w:hAnsi="宋体"/>
          <w:b/>
          <w:sz w:val="21"/>
          <w:szCs w:val="21"/>
          <w:highlight w:val="none"/>
        </w:rPr>
        <w:t xml:space="preserve">2.词语释义</w:t>
      </w:r>
      <w:bookmarkEnd w:id="18"/>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9" w:name="_Toc13350"/>
      <w:r/>
      <w:bookmarkStart w:id="20" w:name="_Toc14976"/>
      <w:r/>
      <w:r/>
    </w:p>
    <w:p>
      <w:pPr>
        <w:pStyle w:val="844"/>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二、投标人</w:t>
      </w:r>
      <w:bookmarkEnd w:id="19"/>
      <w:r/>
      <w:bookmarkEnd w:id="20"/>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3.合格投标人的资格条件：</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883"/>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4.投标人代表</w:t>
      </w:r>
      <w:r/>
    </w:p>
    <w:p>
      <w:pPr>
        <w:pStyle w:val="883"/>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3"/>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5.投标费用</w:t>
      </w:r>
      <w:r/>
    </w:p>
    <w:p>
      <w:pPr>
        <w:pStyle w:val="883"/>
        <w:ind w:left="0" w:firstLine="42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4"/>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6.联合投标及转包、分包</w:t>
      </w:r>
      <w:r/>
    </w:p>
    <w:p>
      <w:pPr>
        <w:pStyle w:val="844"/>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4"/>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21" w:name="_Toc5764"/>
      <w:r/>
      <w:bookmarkStart w:id="22" w:name="_Toc31958"/>
      <w:r/>
      <w:r/>
    </w:p>
    <w:p>
      <w:pPr>
        <w:pStyle w:val="844"/>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三、招标文件的说明</w:t>
      </w:r>
      <w:bookmarkEnd w:id="21"/>
      <w:r/>
      <w:bookmarkEnd w:id="22"/>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7.招标文件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8.招标文件的澄清和修改</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10.投标质疑</w:t>
      </w:r>
      <w:r/>
    </w:p>
    <w:p>
      <w:pPr>
        <w:pStyle w:val="844"/>
        <w:ind w:left="0" w:firstLine="420"/>
        <w:spacing w:line="360" w:lineRule="auto"/>
        <w:rPr>
          <w:rFonts w:hint="eastAsia" w:ascii="宋体" w:hAnsi="宋体"/>
          <w:sz w:val="21"/>
          <w:szCs w:val="21"/>
          <w:highlight w:val="none"/>
        </w:rPr>
      </w:pPr>
      <w:r/>
      <w:bookmarkStart w:id="23" w:name="_Toc19463"/>
      <w:r/>
      <w:bookmarkStart w:id="24" w:name="_Toc16745"/>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（2）质疑项目的名称、编号；</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（4）事实依据；</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（5）必要的法律依据；</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（6）提出质疑的日期。</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4"/>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44"/>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41"/>
      <w:r/>
      <w:bookmarkStart w:id="26" w:name="OLE_LINK42"/>
      <w:r/>
      <w:bookmarkStart w:id="27" w:name="OLE_LINK38"/>
      <w:r>
        <w:rPr>
          <w:rFonts w:hint="eastAsia" w:ascii="宋体" w:hAnsi="宋体"/>
          <w:b/>
          <w:sz w:val="21"/>
          <w:szCs w:val="21"/>
          <w:highlight w:val="none"/>
        </w:rPr>
        <w:t xml:space="preserve">请将合法获取招标文件的证明材料（即《投标供应商确认函》）、</w:t>
      </w:r>
      <w:bookmarkStart w:id="28"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5"/>
      <w:r/>
      <w:bookmarkEnd w:id="26"/>
      <w:r/>
      <w:bookmarkEnd w:id="27"/>
      <w:r/>
      <w:bookmarkEnd w:id="28"/>
      <w:r>
        <w:rPr>
          <w:rFonts w:hint="eastAsia" w:ascii="宋体" w:hAnsi="宋体"/>
          <w:b/>
          <w:sz w:val="21"/>
          <w:szCs w:val="21"/>
          <w:highlight w:val="none"/>
        </w:rPr>
        <w:t xml:space="preserve">与质疑函一起递交，否则不予受理。</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质疑联系人：金工</w:t>
      </w:r>
      <w:r/>
    </w:p>
    <w:p>
      <w:pPr>
        <w:pStyle w:val="844"/>
        <w:ind w:left="0" w:firstLine="422"/>
        <w:spacing w:line="360" w:lineRule="auto"/>
        <w:rPr>
          <w:rFonts w:hint="eastAsia" w:ascii="宋体" w:hAnsi="宋体"/>
          <w:b/>
          <w:sz w:val="21"/>
          <w:szCs w:val="21"/>
          <w:highlight w:val="none"/>
        </w:rPr>
      </w:pPr>
      <w:r/>
      <w:bookmarkStart w:id="29" w:name="OLE_LINK35"/>
      <w:r/>
      <w:bookmarkStart w:id="30" w:name="OLE_LINK22"/>
      <w:r/>
      <w:bookmarkStart w:id="31" w:name="OLE_LINK33"/>
      <w:r/>
      <w:bookmarkStart w:id="32" w:name="OLE_LINK32"/>
      <w:r>
        <w:rPr>
          <w:rFonts w:hint="eastAsia" w:ascii="宋体" w:hAnsi="宋体"/>
          <w:b/>
          <w:sz w:val="21"/>
          <w:szCs w:val="21"/>
          <w:highlight w:val="none"/>
        </w:rPr>
        <w:t xml:space="preserve">联系电话：0512-69826795</w:t>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9"/>
      <w:bookmarkEnd w:id="30"/>
      <w:bookmarkEnd w:id="31"/>
      <w:bookmarkEnd w:id="32"/>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四、投标文件说明</w:t>
      </w:r>
      <w:bookmarkEnd w:id="23"/>
      <w:r/>
      <w:bookmarkEnd w:id="24"/>
      <w:r/>
      <w:r/>
    </w:p>
    <w:p>
      <w:pPr>
        <w:pStyle w:val="844"/>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4"/>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14.1.4.2投标人法定代表人身份证复印件；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14.1.4.3法定代表人授权委托书（如有授权，格式见第三章）；</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14.1.4.4投标人授权代理人身份证复印件（如有授权）；</w:t>
      </w:r>
      <w:r/>
    </w:p>
    <w:p>
      <w:pPr>
        <w:pStyle w:val="844"/>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14.1.4.5合格投标人资格证明材料：</w:t>
      </w:r>
      <w:r/>
    </w:p>
    <w:p>
      <w:pPr>
        <w:pStyle w:val="883"/>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3"/>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3"/>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4"/>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4"/>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14.1.4.7其它有关资格证明文件。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44"/>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hint="eastAsia"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hint="eastAsia"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20"/>
        <w:spacing w:line="360" w:lineRule="auto"/>
        <w:tabs>
          <w:tab w:val="left" w:pos="420" w:leader="none"/>
          <w:tab w:val="left" w:pos="540" w:leader="none"/>
        </w:tabs>
        <w:rPr>
          <w:rFonts w:hint="eastAsia" w:ascii="宋体" w:hAnsi="宋体"/>
          <w:b/>
          <w:bCs/>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bookmarkStart w:id="33" w:name="OLE_LINK8"/>
      <w:r>
        <w:rPr>
          <w:rFonts w:hint="eastAsia" w:ascii="宋体" w:hAnsi="宋体"/>
          <w:sz w:val="21"/>
          <w:szCs w:val="21"/>
          <w:highlight w:val="none"/>
        </w:rPr>
        <w:t xml:space="preserve">其他有关符合性证明的文件</w:t>
      </w:r>
      <w:bookmarkEnd w:id="33"/>
      <w:r>
        <w:rPr>
          <w:rFonts w:hint="eastAsia" w:ascii="宋体" w:hAnsi="宋体"/>
          <w:sz w:val="21"/>
          <w:szCs w:val="21"/>
          <w:highlight w:val="none"/>
        </w:rPr>
        <w:t xml:space="preserve">：</w:t>
      </w:r>
      <w:r>
        <w:rPr>
          <w:rFonts w:hint="eastAsia" w:ascii="宋体" w:hAnsi="宋体"/>
          <w:b/>
          <w:bCs/>
          <w:sz w:val="21"/>
          <w:highlight w:val="none"/>
        </w:rPr>
        <w:t xml:space="preserve">实质性响应内容(供应商根据采购文件中实质性响应内容制作)。</w:t>
      </w:r>
      <w:r/>
    </w:p>
    <w:p>
      <w:pPr>
        <w:ind w:left="0" w:firstLine="408"/>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08"/>
        <w:spacing w:line="360" w:lineRule="auto"/>
        <w:rPr>
          <w:rFonts w:hint="eastAsia"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60"/>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60"/>
        <w:ind w:left="0" w:firstLine="430"/>
        <w:spacing w:line="360" w:lineRule="auto"/>
        <w:rPr>
          <w:rFonts w:hint="eastAsia"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4.1.4-14.1.8</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60"/>
        <w:ind w:left="0" w:firstLine="430"/>
        <w:spacing w:line="360" w:lineRule="auto"/>
        <w:rPr>
          <w:rFonts w:hint="eastAsia"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hint="eastAsia"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60"/>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60"/>
        <w:ind w:left="0" w:firstLine="428"/>
        <w:spacing w:line="360" w:lineRule="auto"/>
        <w:rPr>
          <w:rFonts w:hint="eastAsia"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4" w:name="_Toc25608"/>
      <w:r/>
      <w:bookmarkStart w:id="35"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bookmarkEnd w:id="35"/>
      <w:r/>
    </w:p>
    <w:p>
      <w:pPr>
        <w:pStyle w:val="1060"/>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60"/>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44"/>
        <w:ind w:left="0" w:firstLine="420"/>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60"/>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6" w:name="_Toc22837"/>
      <w:r/>
      <w:bookmarkStart w:id="37"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6"/>
      <w:r/>
      <w:bookmarkEnd w:id="37"/>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60"/>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60"/>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bookmarkStart w:id="38"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9" w:name="OLE_LINK6"/>
      <w:r/>
      <w:bookmarkStart w:id="40"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9"/>
      <w:r/>
      <w:bookmarkEnd w:id="40"/>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060"/>
        <w:ind w:left="0" w:firstLine="422"/>
        <w:spacing w:line="360" w:lineRule="auto"/>
        <w:rPr>
          <w:color w:val="333333"/>
          <w:highlight w:val="none"/>
          <w:shd w:val="clear" w:color="auto" w:fill="ffffff"/>
        </w:rPr>
      </w:pPr>
      <w:r/>
      <w:bookmarkStart w:id="41" w:name="OLE_LINK4"/>
      <w:r/>
      <w:bookmarkStart w:id="42" w:name="OLE_LINK3"/>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3" w:name="OLE_LINK2"/>
      <w:r/>
      <w:bookmarkStart w:id="44" w:name="OLE_LINK1"/>
      <w:r>
        <w:rPr>
          <w:rFonts w:hint="eastAsia" w:ascii="宋体" w:hAnsi="宋体"/>
          <w:b/>
          <w:color w:val="000000" w:themeColor="text1"/>
          <w:sz w:val="21"/>
          <w:szCs w:val="21"/>
          <w:highlight w:val="none"/>
          <w14:textFill>
            <w14:solidFill>
              <w14:schemeClr w14:val="tx1"/>
            </w14:solidFill>
          </w14:textFill>
        </w:rPr>
        <w:t xml:space="preserve">评标委员会</w:t>
      </w:r>
      <w:bookmarkEnd w:id="43"/>
      <w:r/>
      <w:bookmarkEnd w:id="44"/>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5" w:name="OLE_LINK10"/>
      <w:r/>
      <w:bookmarkStart w:id="46" w:name="OLE_LINK9"/>
      <w:r>
        <w:rPr>
          <w:rFonts w:hint="eastAsia" w:ascii="宋体" w:hAnsi="宋体"/>
          <w:b/>
          <w:color w:val="000000" w:themeColor="text1"/>
          <w:sz w:val="21"/>
          <w:szCs w:val="21"/>
          <w:highlight w:val="none"/>
          <w14:textFill>
            <w14:solidFill>
              <w14:schemeClr w14:val="tx1"/>
            </w14:solidFill>
          </w14:textFill>
        </w:rPr>
        <w:t xml:space="preserve">，</w:t>
      </w:r>
      <w:bookmarkEnd w:id="45"/>
      <w:r/>
      <w:bookmarkEnd w:id="46"/>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060"/>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60"/>
        <w:ind w:left="0" w:firstLine="422"/>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60"/>
        <w:ind w:left="0" w:firstLine="422"/>
        <w:spacing w:line="360" w:lineRule="auto"/>
        <w:rPr>
          <w:rFonts w:hint="eastAsia"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60"/>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7" w:name="_Toc19501"/>
      <w:r/>
      <w:bookmarkStart w:id="48" w:name="_Toc18442"/>
      <w:r/>
      <w:r/>
    </w:p>
    <w:p>
      <w:pPr>
        <w:pStyle w:val="1060"/>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七、授予合同</w:t>
      </w:r>
      <w:bookmarkEnd w:id="47"/>
      <w:r/>
      <w:bookmarkEnd w:id="48"/>
      <w:r/>
      <w:r/>
    </w:p>
    <w:p>
      <w:pPr>
        <w:pStyle w:val="1060"/>
        <w:ind w:left="0" w:firstLine="422"/>
        <w:spacing w:line="360" w:lineRule="auto"/>
        <w:rPr>
          <w:rFonts w:hint="eastAsia"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60"/>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hint="eastAsia"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60"/>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9" w:name="_Toc21029"/>
      <w:r/>
      <w:bookmarkStart w:id="50" w:name="_Toc8186"/>
      <w:r/>
      <w:r/>
    </w:p>
    <w:p>
      <w:pPr>
        <w:pStyle w:val="1060"/>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八、其他事项</w:t>
      </w:r>
      <w:bookmarkEnd w:id="49"/>
      <w:r/>
      <w:bookmarkEnd w:id="50"/>
      <w:r/>
      <w:r/>
    </w:p>
    <w:p>
      <w:pPr>
        <w:pStyle w:val="1060"/>
        <w:ind w:left="0" w:firstLine="422"/>
        <w:spacing w:line="360" w:lineRule="auto"/>
        <w:rPr>
          <w:rFonts w:hint="eastAsia"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60"/>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60"/>
        <w:ind w:left="0" w:firstLine="422"/>
        <w:spacing w:line="360" w:lineRule="auto"/>
        <w:rPr>
          <w:rFonts w:hint="eastAsia"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60"/>
        <w:ind w:left="0" w:firstLine="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27"/>
        <w:ind w:left="0" w:firstLine="0"/>
        <w:jc w:val="center"/>
        <w:rPr>
          <w:rFonts w:hint="eastAsia" w:ascii="宋体" w:hAnsi="宋体"/>
          <w:sz w:val="21"/>
          <w:szCs w:val="21"/>
          <w:highlight w:val="none"/>
          <w:lang w:val="zh-CN"/>
        </w:rPr>
      </w:pPr>
      <w:r/>
      <w:bookmarkStart w:id="51" w:name="_Toc24711"/>
      <w:r/>
      <w:bookmarkStart w:id="52" w:name="_Toc7264"/>
      <w:r>
        <w:rPr>
          <w:rFonts w:hint="eastAsia" w:ascii="宋体" w:hAnsi="宋体"/>
          <w:b/>
          <w:sz w:val="44"/>
          <w:szCs w:val="22"/>
          <w:highlight w:val="none"/>
        </w:rPr>
        <w:br w:type="page" w:clear="all"/>
      </w:r>
      <w:bookmarkStart w:id="53" w:name="_Toc11753"/>
      <w:r>
        <w:rPr>
          <w:rFonts w:hint="eastAsia" w:ascii="宋体" w:hAnsi="宋体"/>
          <w:b/>
          <w:sz w:val="44"/>
          <w:szCs w:val="22"/>
          <w:highlight w:val="none"/>
        </w:rPr>
        <w:t xml:space="preserve">第三章  </w:t>
      </w:r>
      <w:bookmarkStart w:id="54" w:name="投标文件格式"/>
      <w:r/>
      <w:bookmarkEnd w:id="54"/>
      <w:r>
        <w:rPr>
          <w:rFonts w:hint="eastAsia" w:ascii="宋体" w:hAnsi="宋体"/>
          <w:b/>
          <w:sz w:val="44"/>
          <w:szCs w:val="22"/>
          <w:highlight w:val="none"/>
        </w:rPr>
        <w:t xml:space="preserve">投标文件格式</w:t>
      </w:r>
      <w:bookmarkEnd w:id="51"/>
      <w:r/>
      <w:bookmarkEnd w:id="52"/>
      <w:r/>
      <w:bookmarkEnd w:id="53"/>
      <w:r/>
      <w:r/>
    </w:p>
    <w:p>
      <w:pPr>
        <w:ind w:left="0"/>
        <w:spacing w:line="440" w:lineRule="exact"/>
        <w:rPr>
          <w:rFonts w:hint="eastAsia" w:ascii="宋体" w:hAnsi="宋体"/>
          <w:b/>
          <w:sz w:val="21"/>
          <w:szCs w:val="21"/>
          <w:highlight w:val="none"/>
        </w:rPr>
      </w:pPr>
      <w:r>
        <w:rPr>
          <w:rFonts w:ascii="宋体" w:hAnsi="宋体"/>
          <w:b/>
          <w:sz w:val="21"/>
          <w:szCs w:val="21"/>
          <w:highlight w:val="none"/>
        </w:rPr>
        <w:t xml:space="preserve">说明：</w:t>
      </w:r>
      <w:r/>
    </w:p>
    <w:p>
      <w:pPr>
        <w:pStyle w:val="1060"/>
        <w:ind w:left="0" w:firstLine="420"/>
        <w:spacing w:line="440" w:lineRule="exact"/>
        <w:rPr>
          <w:rFonts w:hint="eastAsia"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highlight w:val="none"/>
        </w:rPr>
        <w:outlineLvl w:val="0"/>
      </w:pPr>
      <w:r/>
      <w:bookmarkStart w:id="55" w:name="_Toc17036"/>
      <w:r/>
      <w:bookmarkStart w:id="56" w:name="_Toc71810480"/>
      <w:r/>
      <w:bookmarkStart w:id="57" w:name="_Toc3821"/>
      <w:r/>
      <w:bookmarkStart w:id="58" w:name="_Toc105397779"/>
      <w:r/>
      <w:bookmarkStart w:id="59" w:name="_Toc10608"/>
      <w:r>
        <w:rPr>
          <w:rFonts w:hint="eastAsia" w:ascii="宋体" w:hAnsi="宋体"/>
          <w:b/>
          <w:sz w:val="21"/>
          <w:szCs w:val="21"/>
          <w:highlight w:val="none"/>
        </w:rPr>
        <w:t xml:space="preserve">附件1.投标函</w:t>
      </w:r>
      <w:bookmarkEnd w:id="55"/>
      <w:r/>
      <w:bookmarkEnd w:id="56"/>
      <w:r/>
      <w:bookmarkEnd w:id="57"/>
      <w:r/>
      <w:bookmarkEnd w:id="58"/>
      <w:r/>
      <w:bookmarkEnd w:id="59"/>
      <w:r/>
      <w:r/>
    </w:p>
    <w:p>
      <w:pPr>
        <w:ind w:left="0" w:firstLine="4638"/>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hint="eastAsia" w:ascii="宋体" w:hAnsi="宋体"/>
          <w:b/>
          <w:sz w:val="21"/>
          <w:szCs w:val="21"/>
          <w:highlight w:val="none"/>
        </w:rPr>
        <w:outlineLvl w:val="0"/>
      </w:pPr>
      <w:r>
        <w:rPr>
          <w:rFonts w:ascii="宋体" w:hAnsi="宋体"/>
          <w:b/>
          <w:sz w:val="21"/>
          <w:szCs w:val="21"/>
          <w:highlight w:val="none"/>
        </w:rPr>
        <w:br w:type="page" w:clear="all"/>
      </w:r>
      <w:bookmarkStart w:id="60" w:name="_Toc4487"/>
      <w:r/>
      <w:bookmarkStart w:id="61" w:name="_Toc105397780"/>
      <w:r/>
      <w:bookmarkStart w:id="62"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60"/>
      <w:r/>
      <w:bookmarkEnd w:id="61"/>
      <w:r/>
      <w:bookmarkEnd w:id="62"/>
      <w:r/>
      <w:r/>
    </w:p>
    <w:p>
      <w:pPr>
        <w:rPr>
          <w:rFonts w:hint="eastAsia" w:ascii="宋体" w:hAnsi="宋体"/>
          <w:sz w:val="21"/>
          <w:szCs w:val="21"/>
          <w:highlight w:val="none"/>
        </w:rPr>
      </w:pPr>
      <w:r>
        <w:rPr>
          <w:rFonts w:hint="eastAsia" w:ascii="宋体" w:hAnsi="宋体"/>
          <w:sz w:val="21"/>
          <w:szCs w:val="21"/>
          <w:highlight w:val="none"/>
        </w:rPr>
      </w:r>
      <w:r/>
    </w:p>
    <w:p>
      <w:pPr>
        <w:ind w:left="0"/>
        <w:jc w:val="center"/>
        <w:rPr>
          <w:rFonts w:hint="eastAsia"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3" w:name="TBR"/>
      <w:r/>
      <w:bookmarkEnd w:id="63"/>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项目编号：  </w:t>
      </w:r>
      <w:bookmarkStart w:id="64" w:name="XMBH"/>
      <w:r/>
      <w:bookmarkEnd w:id="64"/>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分包号：</w:t>
      </w:r>
      <w:bookmarkStart w:id="65" w:name="FBH"/>
      <w:r/>
      <w:bookmarkEnd w:id="65"/>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highlight w:val="none"/>
              </w:rPr>
            </w:pPr>
            <w:r>
              <w:rPr>
                <w:rFonts w:hint="eastAsia" w:ascii="宋体" w:hAnsi="宋体"/>
                <w:sz w:val="21"/>
                <w:szCs w:val="21"/>
                <w:highlight w:val="none"/>
              </w:rPr>
              <w:t xml:space="preserve">小写：</w:t>
            </w:r>
            <w:bookmarkStart w:id="67" w:name="JEXX"/>
            <w:r/>
            <w:bookmarkEnd w:id="67"/>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highlight w:val="none"/>
              </w:rPr>
            </w:pPr>
            <w:r/>
            <w:bookmarkStart w:id="68" w:name="JEDX"/>
            <w:r/>
            <w:bookmarkEnd w:id="68"/>
            <w:r/>
            <w:r/>
          </w:p>
        </w:tc>
      </w:tr>
    </w:tbl>
    <w:p>
      <w:pP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9" w:name="NF"/>
      <w:r/>
      <w:bookmarkEnd w:id="69"/>
      <w:r>
        <w:rPr>
          <w:rFonts w:hint="eastAsia" w:ascii="宋体" w:hAnsi="宋体"/>
          <w:sz w:val="21"/>
          <w:szCs w:val="21"/>
          <w:highlight w:val="none"/>
        </w:rPr>
        <w:t xml:space="preserve"> 年 </w:t>
      </w:r>
      <w:bookmarkStart w:id="70" w:name="YF"/>
      <w:r/>
      <w:bookmarkEnd w:id="70"/>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71" w:name="RI"/>
      <w:r/>
      <w:bookmarkEnd w:id="71"/>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52"/>
        <w:rPr>
          <w:rFonts w:hint="eastAsia" w:ascii="宋体" w:hAnsi="宋体"/>
          <w:highlight w:val="none"/>
        </w:rPr>
      </w:pPr>
      <w:r>
        <w:rPr>
          <w:rFonts w:hint="eastAsia" w:ascii="宋体" w:hAnsi="宋体"/>
          <w:highlight w:val="none"/>
        </w:rPr>
      </w:r>
      <w:r/>
    </w:p>
    <w:p>
      <w:pPr>
        <w:ind w:left="0"/>
        <w:spacing w:line="440" w:lineRule="exact"/>
        <w:rPr>
          <w:rFonts w:hint="eastAsia" w:ascii="宋体" w:hAnsi="宋体"/>
          <w:b/>
          <w:sz w:val="21"/>
          <w:szCs w:val="21"/>
          <w:highlight w:val="none"/>
        </w:rPr>
      </w:pPr>
      <w:r/>
      <w:bookmarkStart w:id="72" w:name="_Toc241"/>
      <w:r/>
      <w:bookmarkStart w:id="73" w:name="_Toc7945"/>
      <w:r/>
      <w:bookmarkStart w:id="74" w:name="_Toc71810482"/>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pStyle w:val="852"/>
        <w:rPr>
          <w:highlight w:val="none"/>
        </w:rPr>
      </w:pPr>
      <w:r>
        <w:rPr>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rPr>
          <w:rFonts w:hint="eastAsia" w:ascii="宋体" w:hAnsi="宋体"/>
          <w:b/>
          <w:sz w:val="21"/>
          <w:szCs w:val="21"/>
          <w:highlight w:val="none"/>
        </w:rPr>
        <w:outlineLvl w:val="0"/>
      </w:pPr>
      <w:r/>
      <w:bookmarkStart w:id="75" w:name="_Toc21034"/>
      <w:r/>
      <w:bookmarkStart w:id="76" w:name="_Toc105397781"/>
      <w:r>
        <w:rPr>
          <w:rFonts w:ascii="宋体" w:hAnsi="宋体"/>
          <w:b/>
          <w:sz w:val="21"/>
          <w:szCs w:val="21"/>
          <w:highlight w:val="none"/>
        </w:rPr>
        <w:t xml:space="preserve">附件3</w:t>
      </w:r>
      <w:bookmarkEnd w:id="72"/>
      <w:r/>
      <w:bookmarkEnd w:id="73"/>
      <w:r>
        <w:rPr>
          <w:rFonts w:hint="eastAsia" w:ascii="宋体" w:hAnsi="宋体"/>
          <w:b/>
          <w:sz w:val="21"/>
          <w:szCs w:val="21"/>
          <w:highlight w:val="none"/>
        </w:rPr>
        <w:t xml:space="preserve">.公开分项报价</w:t>
      </w:r>
      <w:bookmarkEnd w:id="74"/>
      <w:r/>
      <w:bookmarkEnd w:id="75"/>
      <w:r/>
      <w:bookmarkEnd w:id="76"/>
      <w:r/>
      <w:r/>
    </w:p>
    <w:p>
      <w:pPr>
        <w:ind w:left="0"/>
        <w:jc w:val="center"/>
        <w:widowControl w:val="off"/>
        <w:rPr>
          <w:rFonts w:hint="eastAsia"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hint="eastAsia"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hint="eastAsia"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1026" w:firstLine="4830"/>
        <w:jc w:val="left"/>
        <w:rPr>
          <w:rFonts w:hint="eastAsia"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hint="eastAsia" w:ascii="宋体" w:hAnsi="宋体"/>
          <w:sz w:val="21"/>
          <w:szCs w:val="21"/>
          <w:highlight w:val="none"/>
        </w:rPr>
      </w:pPr>
      <w:r>
        <w:rPr>
          <w:rFonts w:ascii="宋体" w:hAnsi="宋体"/>
          <w:sz w:val="21"/>
          <w:szCs w:val="21"/>
          <w:highlight w:val="none"/>
        </w:rPr>
        <w:t xml:space="preserve">（分项报价表）</w:t>
      </w:r>
      <w:r/>
    </w:p>
    <w:p>
      <w:pPr>
        <w:ind w:left="0"/>
        <w:widowControl w:val="off"/>
        <w:rPr>
          <w:rFonts w:hint="eastAsia"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hint="eastAsia"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hint="eastAsia"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hint="eastAsia" w:ascii="宋体" w:hAnsi="宋体"/>
          <w:b/>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hint="eastAsia" w:ascii="宋体" w:hAnsi="宋体"/>
          <w:bCs/>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6</w:t>
      </w:r>
      <w:r>
        <w:rPr>
          <w:rFonts w:ascii="宋体" w:hAnsi="宋体"/>
          <w:sz w:val="21"/>
          <w:szCs w:val="21"/>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hint="eastAsia" w:ascii="宋体" w:hAnsi="宋体"/>
          <w:sz w:val="21"/>
          <w:szCs w:val="21"/>
          <w:highlight w:val="none"/>
        </w:rPr>
      </w:pPr>
      <w:r>
        <w:rPr>
          <w:rFonts w:hint="eastAsia" w:ascii="宋体" w:hAnsi="宋体"/>
          <w:bCs/>
          <w:sz w:val="21"/>
          <w:szCs w:val="21"/>
          <w:highlight w:val="none"/>
        </w:rPr>
        <w:t xml:space="preserve">7</w:t>
      </w:r>
      <w:r>
        <w:rPr>
          <w:rFonts w:ascii="宋体" w:hAnsi="宋体"/>
          <w:sz w:val="21"/>
          <w:szCs w:val="21"/>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right="-200"/>
        <w:jc w:val="left"/>
        <w:spacing w:line="360" w:lineRule="auto"/>
        <w:widowControl w:val="off"/>
        <w:rPr>
          <w:rFonts w:hint="eastAsia" w:ascii="宋体" w:hAnsi="宋体"/>
          <w:sz w:val="21"/>
          <w:szCs w:val="21"/>
          <w:highlight w:val="none"/>
        </w:rPr>
      </w:pPr>
      <w:r>
        <w:rPr>
          <w:rFonts w:ascii="宋体" w:hAnsi="宋体"/>
          <w:sz w:val="21"/>
          <w:szCs w:val="21"/>
          <w:highlight w:val="none"/>
        </w:rPr>
        <w:t xml:space="preserve"> </w:t>
      </w:r>
      <w:r/>
    </w:p>
    <w:p>
      <w:pPr>
        <w:pStyle w:val="885"/>
        <w:ind w:left="400" w:firstLine="400"/>
        <w:rPr>
          <w:highlight w:val="none"/>
        </w:rPr>
      </w:pPr>
      <w:r>
        <w:rPr>
          <w:highlight w:val="none"/>
        </w:rPr>
      </w:r>
      <w:r/>
    </w:p>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rPr>
          <w:rFonts w:hint="eastAsia" w:ascii="宋体" w:hAnsi="宋体"/>
          <w:sz w:val="21"/>
          <w:szCs w:val="21"/>
          <w:highlight w:val="none"/>
        </w:rPr>
        <w:outlineLvl w:val="0"/>
      </w:pPr>
      <w:r>
        <w:rPr>
          <w:rFonts w:ascii="宋体" w:hAnsi="宋体"/>
          <w:b/>
          <w:sz w:val="21"/>
          <w:szCs w:val="21"/>
          <w:highlight w:val="none"/>
        </w:rPr>
        <w:br w:type="page" w:clear="all"/>
      </w:r>
      <w:bookmarkStart w:id="77" w:name="_Toc19132"/>
      <w:r/>
      <w:bookmarkStart w:id="78" w:name="_Toc71810483"/>
      <w:r/>
      <w:bookmarkStart w:id="79"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代理人无转委托权。特此委托。</w:t>
      </w:r>
      <w:r/>
    </w:p>
    <w:p>
      <w:pPr>
        <w:pStyle w:val="852"/>
        <w:rPr>
          <w:rFonts w:hint="eastAsia" w:ascii="宋体" w:hAnsi="宋体"/>
          <w:highlight w:val="none"/>
        </w:rPr>
      </w:pPr>
      <w:r>
        <w:rPr>
          <w:rFonts w:hint="eastAsia" w:ascii="宋体" w:hAnsi="宋体"/>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outlineLvl w:val="0"/>
      </w:pPr>
      <w:r>
        <w:rPr>
          <w:rFonts w:ascii="宋体" w:hAnsi="宋体"/>
          <w:sz w:val="21"/>
          <w:szCs w:val="21"/>
          <w:highlight w:val="none"/>
          <w:lang w:val="zh-CN"/>
        </w:rPr>
        <w:br w:type="page" w:clear="all"/>
      </w:r>
      <w:bookmarkStart w:id="80" w:name="_Toc21574"/>
      <w:r/>
      <w:bookmarkStart w:id="81" w:name="_Toc71810484"/>
      <w:r/>
      <w:bookmarkStart w:id="82" w:name="_Toc520"/>
      <w:r/>
      <w:bookmarkStart w:id="83" w:name="_Toc19621"/>
      <w:r/>
      <w:bookmarkStart w:id="84" w:name="_Toc105397783"/>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b/>
          <w:bCs/>
          <w:sz w:val="21"/>
          <w:szCs w:val="21"/>
          <w:highlight w:val="none"/>
          <w:u w:val="single"/>
        </w:rPr>
        <w:t xml:space="preserve">苏州市水利工程管理处</w:t>
      </w:r>
      <w:r>
        <w:rPr>
          <w:rFonts w:hint="eastAsia" w:ascii="宋体" w:hAnsi="宋体"/>
          <w:sz w:val="21"/>
          <w:szCs w:val="21"/>
          <w:highlight w:val="none"/>
          <w:u w:val="single"/>
        </w:rPr>
        <w:t xml:space="preserve"> </w:t>
      </w:r>
      <w:r>
        <w:rPr>
          <w:rFonts w:hint="eastAsia" w:ascii="宋体" w:hAnsi="宋体"/>
          <w:sz w:val="21"/>
          <w:szCs w:val="21"/>
          <w:highlight w:val="none"/>
        </w:rPr>
        <w:t xml:space="preserve">的</w:t>
      </w:r>
      <w:r>
        <w:rPr>
          <w:rFonts w:hint="eastAsia" w:ascii="宋体" w:hAnsi="宋体"/>
          <w:b/>
          <w:bCs/>
          <w:sz w:val="21"/>
          <w:szCs w:val="21"/>
          <w:highlight w:val="none"/>
          <w:u w:val="single"/>
        </w:rPr>
        <w:t xml:space="preserve">苏州市水利工程管理处物业管理服务</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苏州市水利工程管理处物业管理服务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物业管理</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3"/>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0"/>
        <w:spacing w:line="360" w:lineRule="auto"/>
        <w:rPr>
          <w:rFonts w:hint="eastAsia"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hint="eastAsia" w:ascii="宋体" w:hAnsi="宋体"/>
          <w:b/>
          <w:highlight w:val="none"/>
        </w:rPr>
      </w:pPr>
      <w:r>
        <w:rPr>
          <w:rFonts w:ascii="宋体" w:hAnsi="宋体"/>
          <w:sz w:val="21"/>
          <w:szCs w:val="21"/>
          <w:highlight w:val="none"/>
          <w:lang w:val="zh-CN"/>
        </w:rPr>
        <w:br w:type="page" w:clear="all"/>
      </w:r>
      <w:bookmarkStart w:id="85" w:name="_Toc71810485"/>
      <w:r>
        <w:rPr>
          <w:rFonts w:hint="eastAsia" w:ascii="宋体" w:hAnsi="宋体"/>
          <w:b/>
          <w:highlight w:val="none"/>
        </w:rPr>
        <w:t xml:space="preserve">附：中小企业划型标准规定</w:t>
      </w:r>
      <w:r/>
    </w:p>
    <w:p>
      <w:pPr>
        <w:ind w:left="0" w:firstLine="402"/>
        <w:spacing w:line="280" w:lineRule="exact"/>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hint="eastAsia"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highlight w:val="none"/>
          <w:lang w:val="zh-CN"/>
        </w:rPr>
      </w:pPr>
      <w:r>
        <w:rPr>
          <w:rFonts w:hint="eastAsia" w:ascii="宋体" w:hAnsi="宋体" w:cs="Times New Roman"/>
          <w:highlight w:val="none"/>
          <w:lang w:val="zh-CN"/>
        </w:rPr>
      </w:r>
      <w:r/>
    </w:p>
    <w:p>
      <w:pPr>
        <w:pStyle w:val="852"/>
        <w:rPr>
          <w:rFonts w:hint="eastAsia" w:ascii="宋体" w:hAnsi="宋体"/>
          <w:highlight w:val="none"/>
          <w:lang w:val="zh-CN"/>
        </w:rPr>
      </w:pPr>
      <w:r>
        <w:rPr>
          <w:rFonts w:hint="eastAsia" w:ascii="宋体" w:hAnsi="宋体"/>
          <w:highlight w:val="none"/>
          <w:lang w:val="zh-CN"/>
        </w:rPr>
      </w:r>
      <w:r/>
    </w:p>
    <w:p>
      <w:pPr>
        <w:ind w:left="0"/>
        <w:jc w:val="left"/>
        <w:rPr>
          <w:rFonts w:hint="eastAsia" w:ascii="宋体" w:hAnsi="宋体"/>
          <w:b/>
          <w:bCs/>
          <w:sz w:val="21"/>
          <w:szCs w:val="21"/>
          <w:highlight w:val="none"/>
        </w:rPr>
        <w:outlineLvl w:val="0"/>
      </w:pPr>
      <w:r/>
      <w:bookmarkStart w:id="86" w:name="_Toc18377"/>
      <w:r/>
      <w:bookmarkStart w:id="87"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5"/>
      <w:r/>
      <w:bookmarkEnd w:id="86"/>
      <w:r/>
      <w:bookmarkEnd w:id="87"/>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hint="eastAsia" w:ascii="宋体" w:hAnsi="宋体"/>
          <w:sz w:val="21"/>
          <w:szCs w:val="21"/>
          <w:highlight w:val="none"/>
          <w:lang w:val="zh-CN"/>
        </w:rPr>
      </w:pPr>
      <w:r/>
      <w:bookmarkStart w:id="88" w:name="_Toc3869"/>
      <w:r/>
      <w:bookmarkStart w:id="89" w:name="_Toc15378"/>
      <w:r/>
      <w:bookmarkStart w:id="90"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8"/>
      <w:r/>
      <w:bookmarkEnd w:id="89"/>
      <w:r/>
      <w:bookmarkEnd w:id="90"/>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78"/>
        <w:spacing w:line="360" w:lineRule="auto"/>
        <w:rPr>
          <w:rFonts w:hint="eastAsia" w:hAnsi="宋体"/>
          <w:sz w:val="21"/>
          <w:szCs w:val="21"/>
          <w:highlight w:val="none"/>
        </w:rPr>
      </w:pPr>
      <w:r>
        <w:rPr>
          <w:rFonts w:hint="eastAsia" w:hAnsi="宋体"/>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5"/>
        <w:ind w:left="0" w:firstLine="0"/>
        <w:rPr>
          <w:rFonts w:hint="eastAsia" w:ascii="宋体" w:hAnsi="宋体"/>
          <w:b/>
          <w:highlight w:val="none"/>
          <w:lang w:val="zh-CN"/>
        </w:rPr>
      </w:pPr>
      <w:r>
        <w:rPr>
          <w:rFonts w:hint="eastAsia" w:ascii="宋体" w:hAnsi="宋体"/>
          <w:b/>
          <w:highlight w:val="none"/>
          <w:lang w:val="zh-CN"/>
        </w:rPr>
      </w:r>
      <w:r/>
    </w:p>
    <w:p>
      <w:pPr>
        <w:pStyle w:val="885"/>
        <w:ind w:left="0" w:firstLine="0"/>
        <w:rPr>
          <w:rFonts w:hint="eastAsia"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885"/>
        <w:ind w:left="0" w:firstLine="400"/>
        <w:rPr>
          <w:rFonts w:hint="eastAsia"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5"/>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5"/>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5"/>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5"/>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rPr>
          <w:rFonts w:hint="eastAsia"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rPr>
          <w:rFonts w:hint="eastAsia"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5"/>
        <w:ind w:left="0" w:firstLine="402"/>
        <w:rPr>
          <w:rFonts w:hint="eastAsia"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highlight w:val="none"/>
        </w:rPr>
        <w:outlineLvl w:val="0"/>
      </w:pPr>
      <w:r>
        <w:rPr>
          <w:rFonts w:ascii="宋体" w:hAnsi="宋体"/>
          <w:sz w:val="21"/>
          <w:szCs w:val="21"/>
          <w:highlight w:val="none"/>
          <w:lang w:val="zh-CN"/>
        </w:rPr>
        <w:br w:type="page" w:clear="all"/>
      </w:r>
      <w:bookmarkStart w:id="91" w:name="_Toc71810487"/>
      <w:r/>
      <w:bookmarkStart w:id="92" w:name="_Toc1929"/>
      <w:r/>
      <w:bookmarkStart w:id="93"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91"/>
      <w:r>
        <w:rPr>
          <w:rFonts w:hint="eastAsia" w:ascii="宋体" w:hAnsi="宋体"/>
          <w:b/>
          <w:sz w:val="21"/>
          <w:szCs w:val="21"/>
          <w:highlight w:val="none"/>
        </w:rPr>
        <w:t xml:space="preserve">偏离表（技术、商务）</w:t>
      </w:r>
      <w:bookmarkEnd w:id="92"/>
      <w:r/>
      <w:bookmarkEnd w:id="93"/>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偏离表（技术、商务）</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2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84"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212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842"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8" w:type="dxa"/>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hint="eastAsia" w:ascii="宋体" w:hAnsi="宋体"/>
          <w:sz w:val="21"/>
          <w:szCs w:val="21"/>
          <w:highlight w:val="none"/>
        </w:rPr>
      </w:pPr>
      <w:r/>
      <w:bookmarkStart w:id="94" w:name="_Toc27138"/>
      <w:r/>
      <w:bookmarkStart w:id="95" w:name="_Toc31973"/>
      <w:r>
        <w:rPr>
          <w:rFonts w:ascii="宋体" w:hAnsi="宋体"/>
          <w:sz w:val="21"/>
          <w:szCs w:val="21"/>
          <w:highlight w:val="none"/>
        </w:rPr>
        <w:t xml:space="preserve"> </w:t>
      </w:r>
      <w:r/>
    </w:p>
    <w:p>
      <w:pPr>
        <w:pStyle w:val="852"/>
        <w:rPr>
          <w:rFonts w:hint="eastAsia" w:ascii="宋体" w:hAnsi="宋体" w:cs="宋体"/>
          <w:sz w:val="21"/>
          <w:szCs w:val="21"/>
          <w:highlight w:val="none"/>
        </w:rPr>
      </w:pPr>
      <w:r>
        <w:rPr>
          <w:rFonts w:hint="eastAsia" w:ascii="宋体" w:hAnsi="宋体" w:cs="宋体"/>
          <w:sz w:val="21"/>
          <w:szCs w:val="21"/>
          <w:highlight w:val="none"/>
        </w:rPr>
      </w:r>
      <w:r/>
    </w:p>
    <w:p>
      <w:pPr>
        <w:ind w:firstLine="483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hint="eastAsia" w:ascii="宋体" w:hAnsi="宋体"/>
          <w:sz w:val="21"/>
          <w:szCs w:val="21"/>
          <w:highlight w:val="none"/>
        </w:rPr>
      </w:r>
      <w:r/>
    </w:p>
    <w:p>
      <w:pPr>
        <w:pStyle w:val="852"/>
        <w:ind w:firstLine="0"/>
        <w:rPr>
          <w:rFonts w:hint="eastAsia" w:ascii="宋体" w:hAnsi="宋体"/>
          <w:highlight w:val="none"/>
        </w:rPr>
      </w:pPr>
      <w:r>
        <w:rPr>
          <w:rFonts w:hint="eastAsia" w:ascii="宋体" w:hAnsi="宋体"/>
          <w:highlight w:val="none"/>
        </w:rPr>
      </w:r>
      <w:r/>
    </w:p>
    <w:p>
      <w:pPr>
        <w:pStyle w:val="844"/>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bookmarkStart w:id="96" w:name="_Toc22894"/>
      <w:r/>
      <w:bookmarkStart w:id="97"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96"/>
      <w:r/>
      <w:bookmarkEnd w:id="97"/>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项目服务人员配置表</w:t>
      </w:r>
      <w:r/>
    </w:p>
    <w:tbl>
      <w:tblPr>
        <w:tblStyle w:val="837"/>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276"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b/>
          <w:highlight w:val="none"/>
        </w:rPr>
        <w:t xml:space="preserve">1</w:t>
      </w:r>
      <w:r>
        <w:rPr>
          <w:rFonts w:hint="eastAsia"/>
          <w:b/>
          <w:highlight w:val="none"/>
        </w:rPr>
        <w:t xml:space="preserve">.</w:t>
      </w:r>
      <w:r>
        <w:rPr>
          <w:rFonts w:hint="eastAsia"/>
          <w:b/>
          <w:sz w:val="21"/>
          <w:highlight w:val="none"/>
        </w:rPr>
        <w:t xml:space="preserve"> </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firstLine="402"/>
        <w:spacing w:line="360" w:lineRule="auto"/>
        <w:tabs>
          <w:tab w:val="left" w:pos="420" w:leader="none"/>
          <w:tab w:val="left" w:pos="540" w:leader="none"/>
        </w:tabs>
        <w:rPr>
          <w:rFonts w:hint="eastAsia" w:ascii="宋体" w:hAnsi="宋体"/>
          <w:b/>
          <w:bCs/>
          <w:sz w:val="21"/>
          <w:szCs w:val="21"/>
          <w:highlight w:val="none"/>
          <w:lang w:bidi="ar"/>
        </w:rPr>
      </w:pPr>
      <w:r>
        <w:rPr>
          <w:rFonts w:hint="eastAsia"/>
          <w:b/>
          <w:highlight w:val="none"/>
        </w:rPr>
        <w:t xml:space="preserve">2</w:t>
      </w:r>
      <w:r>
        <w:rPr>
          <w:b/>
          <w:highlight w:val="none"/>
        </w:rPr>
        <w:t xml:space="preserve">.</w:t>
      </w:r>
      <w:r>
        <w:rPr>
          <w:rFonts w:hint="eastAsia" w:ascii="宋体" w:hAnsi="宋体"/>
          <w:b/>
          <w:bCs/>
          <w:sz w:val="21"/>
          <w:highlight w:val="none"/>
        </w:rPr>
        <w:t xml:space="preserve">投标单位须在投标文件中提供以上人员相关证书复印件并加盖投标单位公章，未提供视为非实质性响应：（1）保安队长兼任项目负责人需提供公安部门颁发的保安员证复印件、C1及以上驾照复印件。（2）保安员需提供公安部门颁发的保安员证复印件。（3）厨师及厨工需提供有效期内的健康证明复印件（4）工程维修人员需提供特种作业操作证（准操项目：低压电工作业）复印件、C1及以上驾照复印件。</w:t>
      </w:r>
      <w:r/>
    </w:p>
    <w:p>
      <w:pPr>
        <w:ind w:left="0" w:firstLine="422"/>
        <w:spacing w:line="360" w:lineRule="auto"/>
        <w:tabs>
          <w:tab w:val="left" w:pos="420" w:leader="none"/>
          <w:tab w:val="left" w:pos="540" w:leader="none"/>
        </w:tabs>
        <w:rPr>
          <w:rFonts w:hint="eastAsia" w:ascii="宋体" w:hAnsi="宋体"/>
          <w:b/>
          <w:bCs/>
          <w:sz w:val="21"/>
          <w:szCs w:val="21"/>
          <w:highlight w:val="none"/>
          <w:lang w:bidi="ar"/>
        </w:rPr>
      </w:pPr>
      <w:r>
        <w:rPr>
          <w:rFonts w:hint="eastAsia" w:ascii="宋体" w:hAnsi="宋体"/>
          <w:b/>
          <w:bCs/>
          <w:sz w:val="21"/>
          <w:szCs w:val="21"/>
          <w:highlight w:val="none"/>
          <w:lang w:bidi="ar"/>
        </w:rPr>
      </w:r>
      <w:r/>
    </w:p>
    <w:p>
      <w:pPr>
        <w:pStyle w:val="838"/>
        <w:ind w:left="0" w:firstLine="402"/>
        <w:rPr>
          <w:rFonts w:ascii="Calibri" w:hAnsi="Calibri" w:cs="宋体"/>
          <w:b/>
          <w:highlight w:val="none"/>
        </w:rPr>
      </w:pPr>
      <w:r>
        <w:rPr>
          <w:rFonts w:ascii="Calibri" w:hAnsi="Calibri" w:cs="宋体"/>
          <w:b/>
          <w:highlight w:val="none"/>
        </w:rPr>
      </w:r>
      <w:r/>
    </w:p>
    <w:p>
      <w:pPr>
        <w:ind w:left="0"/>
        <w:spacing w:line="360" w:lineRule="auto"/>
        <w:widowControl w:val="off"/>
        <w:rPr>
          <w:rFonts w:ascii="Times New Roman" w:hAnsi="Times New Roman"/>
          <w:sz w:val="21"/>
          <w:highlight w:val="none"/>
        </w:rPr>
      </w:pPr>
      <w:r>
        <w:rPr>
          <w:rFonts w:ascii="Times New Roman" w:hAnsi="Times New Roman"/>
          <w:sz w:val="21"/>
          <w:highlight w:val="none"/>
        </w:rPr>
        <w:t xml:space="preserve"> </w:t>
      </w:r>
      <w:r/>
    </w:p>
    <w:p>
      <w:pPr>
        <w:pStyle w:val="838"/>
        <w:rPr>
          <w:highlight w:val="none"/>
        </w:rPr>
      </w:pPr>
      <w:r>
        <w:rPr>
          <w:highlight w:val="none"/>
        </w:rPr>
      </w:r>
      <w:r/>
    </w:p>
    <w:p>
      <w:pPr>
        <w:ind w:left="0" w:firstLine="6300"/>
        <w:spacing w:line="360" w:lineRule="auto"/>
        <w:widowControl w:val="off"/>
        <w:rPr>
          <w:rFonts w:hint="eastAsia" w:ascii="宋体" w:hAnsi="宋体"/>
          <w:sz w:val="21"/>
          <w:highlight w:val="none"/>
        </w:rPr>
      </w:pPr>
      <w:r>
        <w:rPr>
          <w:rFonts w:ascii="宋体" w:hAnsi="宋体"/>
          <w:sz w:val="21"/>
          <w:highlight w:val="none"/>
        </w:rPr>
        <w:t xml:space="preserve">投标人（盖章）：</w:t>
      </w:r>
      <w:r/>
    </w:p>
    <w:p>
      <w:pPr>
        <w:jc w:val="right"/>
        <w:spacing w:line="360" w:lineRule="auto"/>
        <w:rPr>
          <w:rFonts w:hint="eastAsia"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hint="eastAsia"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hint="eastAsia" w:ascii="宋体" w:hAnsi="宋体"/>
          <w:b/>
          <w:sz w:val="21"/>
          <w:szCs w:val="21"/>
          <w:highlight w:val="none"/>
        </w:rPr>
        <w:outlineLvl w:val="0"/>
      </w:pPr>
      <w:r/>
      <w:bookmarkStart w:id="98" w:name="_Toc71810489"/>
      <w:r/>
      <w:bookmarkStart w:id="99" w:name="_Toc105397787"/>
      <w:r>
        <w:rPr>
          <w:rFonts w:ascii="宋体" w:hAnsi="宋体"/>
          <w:b/>
          <w:sz w:val="21"/>
          <w:szCs w:val="21"/>
          <w:highlight w:val="none"/>
        </w:rPr>
        <w:br w:type="page" w:clear="all"/>
      </w:r>
      <w:bookmarkStart w:id="100" w:name="_Toc9150"/>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98"/>
      <w:r/>
      <w:bookmarkEnd w:id="99"/>
      <w:r/>
      <w:bookmarkEnd w:id="100"/>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相关业绩一览表</w:t>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2"/>
        <w:rPr>
          <w:rFonts w:hint="eastAsia" w:ascii="宋体" w:hAnsi="宋体"/>
          <w:highlight w:val="none"/>
        </w:rPr>
      </w:pPr>
      <w:r>
        <w:rPr>
          <w:rFonts w:hint="eastAsia" w:ascii="宋体" w:hAnsi="宋体"/>
          <w:highlight w:val="none"/>
        </w:rPr>
      </w:r>
      <w:r/>
    </w:p>
    <w:p>
      <w:pPr>
        <w:pStyle w:val="844"/>
        <w:rPr>
          <w:rFonts w:hint="eastAsia" w:ascii="宋体" w:hAnsi="宋体" w:cs="Times New Roman"/>
          <w:highlight w:val="none"/>
        </w:rPr>
      </w:pPr>
      <w:r>
        <w:rPr>
          <w:rFonts w:hint="eastAsia" w:ascii="宋体" w:hAnsi="宋体" w:cs="Times New Roman"/>
          <w:highlight w:val="none"/>
        </w:rPr>
      </w:r>
      <w:r/>
    </w:p>
    <w:p>
      <w:pPr>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rPr>
          <w:rFonts w:ascii="宋体" w:hAnsi="宋体"/>
          <w:sz w:val="21"/>
          <w:szCs w:val="21"/>
          <w:highlight w:val="none"/>
        </w:rPr>
        <w:br w:type="page" w:clear="all"/>
      </w:r>
      <w:bookmarkEnd w:id="94"/>
      <w:r/>
      <w:bookmarkEnd w:id="95"/>
      <w:r/>
      <w:bookmarkStart w:id="101" w:name="_Toc105397788"/>
      <w:r/>
      <w:bookmarkStart w:id="102" w:name="_Toc27270"/>
      <w:r/>
      <w:bookmarkStart w:id="103"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101"/>
      <w:r/>
      <w:bookmarkEnd w:id="102"/>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3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jc w:val="lef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2"/>
        <w:rPr>
          <w:rFonts w:hint="eastAsia" w:ascii="宋体" w:hAnsi="宋体"/>
          <w:highlight w:val="none"/>
        </w:rPr>
      </w:pPr>
      <w:r>
        <w:rPr>
          <w:rFonts w:hint="eastAsia" w:ascii="宋体" w:hAnsi="宋体"/>
          <w:highlight w:val="none"/>
        </w:rPr>
      </w:r>
      <w:r/>
    </w:p>
    <w:p>
      <w:pPr>
        <w:pStyle w:val="844"/>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bookmarkStart w:id="104" w:name="_Toc13305"/>
      <w:r/>
      <w:bookmarkStart w:id="105"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03"/>
      <w:r/>
      <w:bookmarkEnd w:id="104"/>
      <w:r/>
      <w:bookmarkEnd w:id="105"/>
      <w:r/>
      <w:r/>
    </w:p>
    <w:p>
      <w:pPr>
        <w:ind w:left="0" w:firstLine="420"/>
        <w:jc w:val="center"/>
        <w:rPr>
          <w:rFonts w:hint="eastAsia" w:ascii="宋体" w:hAnsi="宋体"/>
          <w:b/>
          <w:sz w:val="21"/>
          <w:szCs w:val="21"/>
          <w:highlight w:val="none"/>
        </w:rPr>
      </w:pPr>
      <w:r>
        <w:rPr>
          <w:rFonts w:hint="eastAsia" w:ascii="宋体" w:hAnsi="宋体"/>
          <w:b/>
          <w:sz w:val="21"/>
          <w:szCs w:val="21"/>
          <w:highlight w:val="none"/>
        </w:rPr>
      </w:r>
      <w:r/>
    </w:p>
    <w:p>
      <w:pPr>
        <w:ind w:left="0"/>
        <w:jc w:val="center"/>
        <w:rPr>
          <w:rFonts w:hint="eastAsia"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hint="eastAsia"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106" w:name="_Toc105397791"/>
      <w:r/>
      <w:bookmarkStart w:id="107" w:name="_Toc4463"/>
      <w:r/>
      <w:bookmarkStart w:id="108" w:name="_Toc103258863"/>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106"/>
      <w:r/>
      <w:bookmarkEnd w:id="107"/>
      <w:r/>
      <w:bookmarkEnd w:id="108"/>
      <w:r/>
      <w:r/>
    </w:p>
    <w:p>
      <w:pPr>
        <w:ind w:left="0"/>
        <w:jc w:val="center"/>
        <w:widowControl w:val="off"/>
        <w:rPr>
          <w:rFonts w:hint="eastAsia" w:ascii="宋体" w:hAnsi="宋体"/>
          <w:b/>
          <w:bCs/>
          <w:sz w:val="21"/>
          <w:szCs w:val="21"/>
          <w:highlight w:val="none"/>
        </w:rPr>
      </w:pPr>
      <w:r>
        <w:rPr>
          <w:rFonts w:hint="eastAsia" w:ascii="宋体" w:hAnsi="宋体"/>
          <w:b/>
          <w:bCs/>
          <w:sz w:val="21"/>
          <w:szCs w:val="21"/>
          <w:highlight w:val="none"/>
        </w:rPr>
      </w:r>
      <w:r/>
    </w:p>
    <w:p>
      <w:pPr>
        <w:ind w:left="0"/>
        <w:jc w:val="center"/>
        <w:widowControl w:val="off"/>
        <w:rPr>
          <w:rFonts w:hint="eastAsia"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hint="eastAsia" w:ascii="宋体" w:hAnsi="宋体"/>
          <w:b/>
          <w:bCs/>
          <w:sz w:val="21"/>
          <w:szCs w:val="21"/>
          <w:highlight w:val="none"/>
        </w:rPr>
      </w:pPr>
      <w:r>
        <w:rPr>
          <w:rFonts w:hint="eastAsia" w:ascii="宋体" w:hAnsi="宋体"/>
          <w:b/>
          <w:bCs/>
          <w:sz w:val="21"/>
          <w:szCs w:val="21"/>
          <w:highlight w:val="none"/>
        </w:rPr>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spacing w:line="360" w:lineRule="auto"/>
        <w:widowControl w:val="off"/>
        <w:rPr>
          <w:rFonts w:hint="eastAsia"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hint="eastAsia" w:ascii="宋体" w:hAnsi="宋体"/>
          <w:sz w:val="21"/>
          <w:szCs w:val="21"/>
          <w:highlight w:val="none"/>
        </w:rPr>
      </w:pPr>
      <w:r>
        <w:rPr>
          <w:rFonts w:hint="eastAsia" w:ascii="宋体" w:hAnsi="宋体"/>
          <w:sz w:val="21"/>
          <w:szCs w:val="21"/>
          <w:highlight w:val="none"/>
        </w:rPr>
      </w:r>
      <w:r/>
    </w:p>
    <w:p>
      <w:pPr>
        <w:ind w:left="0" w:right="-20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400" w:firstLine="400"/>
        <w:rPr>
          <w:highlight w:val="none"/>
        </w:rPr>
      </w:pPr>
      <w:r>
        <w:rPr>
          <w:highlight w:val="none"/>
        </w:rPr>
      </w:r>
      <w:r/>
    </w:p>
    <w:p>
      <w:pPr>
        <w:pStyle w:val="885"/>
        <w:ind w:left="0" w:firstLine="0"/>
        <w:rPr>
          <w:highlight w:val="none"/>
        </w:rPr>
      </w:pPr>
      <w:r>
        <w:rPr>
          <w:highlight w:val="none"/>
        </w:rPr>
      </w:r>
      <w:r/>
    </w:p>
    <w:p>
      <w:pPr>
        <w:ind w:left="0"/>
        <w:rPr>
          <w:rFonts w:hint="eastAsia" w:ascii="宋体" w:hAnsi="宋体"/>
          <w:b/>
          <w:bCs/>
          <w:sz w:val="21"/>
          <w:szCs w:val="21"/>
          <w:highlight w:val="none"/>
        </w:rPr>
        <w:outlineLvl w:val="0"/>
      </w:pPr>
      <w:r/>
      <w:bookmarkStart w:id="109" w:name="_Toc21009"/>
      <w:r/>
      <w:bookmarkStart w:id="110" w:name="_Toc105397792"/>
      <w:r/>
      <w:bookmarkStart w:id="111" w:name="_Toc103258864"/>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109"/>
      <w:r/>
      <w:bookmarkEnd w:id="110"/>
      <w:r/>
      <w:bookmarkEnd w:id="111"/>
      <w:r/>
      <w:r/>
    </w:p>
    <w:p>
      <w:pPr>
        <w:ind w:left="0"/>
        <w:jc w:val="center"/>
        <w:widowControl w:val="off"/>
        <w:rPr>
          <w:rFonts w:hint="eastAsia" w:ascii="宋体" w:hAnsi="宋体"/>
          <w:b/>
          <w:sz w:val="21"/>
          <w:szCs w:val="21"/>
          <w:highlight w:val="none"/>
        </w:rPr>
      </w:pPr>
      <w:r>
        <w:rPr>
          <w:rFonts w:hint="eastAsia" w:ascii="宋体" w:hAnsi="宋体"/>
          <w:b/>
          <w:sz w:val="21"/>
          <w:szCs w:val="21"/>
          <w:highlight w:val="none"/>
        </w:rPr>
      </w:r>
      <w:r/>
    </w:p>
    <w:p>
      <w:pPr>
        <w:ind w:left="0"/>
        <w:jc w:val="center"/>
        <w:widowControl w:val="off"/>
        <w:rPr>
          <w:rFonts w:hint="eastAsia"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hint="eastAsia" w:ascii="宋体" w:hAnsi="宋体"/>
          <w:sz w:val="24"/>
          <w:szCs w:val="24"/>
          <w:highlight w:val="none"/>
        </w:rPr>
      </w:pPr>
      <w:r>
        <w:rPr>
          <w:rFonts w:hint="eastAsia" w:ascii="宋体" w:hAnsi="宋体"/>
          <w:sz w:val="24"/>
          <w:szCs w:val="24"/>
          <w:highlight w:val="none"/>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1791"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678"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c>
          <w:tcPr>
            <w:tcW w:w="2190" w:type="dxa"/>
            <w:textDirection w:val="lrTb"/>
            <w:noWrap w:val="false"/>
          </w:tcPr>
          <w:p>
            <w:pPr>
              <w:ind w:left="0"/>
              <w:jc w:val="center"/>
              <w:spacing w:line="400" w:lineRule="exact"/>
              <w:widowControl w:val="off"/>
              <w:rPr>
                <w:rFonts w:hint="eastAsia" w:ascii="宋体" w:hAnsi="宋体" w:cs="Times New Roman"/>
                <w:sz w:val="24"/>
                <w:highlight w:val="none"/>
              </w:rPr>
            </w:pPr>
            <w:r>
              <w:rPr>
                <w:rFonts w:hint="eastAsia"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hint="eastAsia" w:ascii="宋体" w:hAnsi="宋体"/>
          <w:sz w:val="24"/>
          <w:highlight w:val="none"/>
        </w:rPr>
      </w:pPr>
      <w:r>
        <w:rPr>
          <w:rFonts w:hint="eastAsia" w:ascii="宋体" w:hAnsi="宋体"/>
          <w:sz w:val="24"/>
          <w:highlight w:val="none"/>
        </w:rPr>
      </w:r>
      <w:r/>
    </w:p>
    <w:p>
      <w:pPr>
        <w:ind w:firstLine="483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rPr>
          <w:highlight w:val="none"/>
          <w:lang w:val="zh-CN"/>
        </w:rPr>
      </w:pPr>
      <w:r>
        <w:rPr>
          <w:highlight w:val="none"/>
          <w:lang w:val="zh-CN"/>
        </w:rPr>
      </w:r>
      <w:r/>
    </w:p>
    <w:p>
      <w:pPr>
        <w:pStyle w:val="838"/>
        <w:rPr>
          <w:highlight w:val="none"/>
          <w:lang w:val="zh-CN"/>
        </w:rPr>
      </w:pPr>
      <w:r>
        <w:rPr>
          <w:highlight w:val="none"/>
          <w:lang w:val="zh-CN"/>
        </w:rPr>
      </w:r>
      <w:r/>
    </w:p>
    <w:p>
      <w:pPr>
        <w:pStyle w:val="838"/>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jc w:val="left"/>
        <w:rPr>
          <w:rFonts w:hint="eastAsia" w:ascii="宋体" w:hAnsi="宋体"/>
          <w:b/>
          <w:sz w:val="21"/>
          <w:szCs w:val="21"/>
          <w:highlight w:val="none"/>
        </w:rPr>
        <w:outlineLvl w:val="0"/>
      </w:pPr>
      <w:r/>
      <w:bookmarkStart w:id="112" w:name="_Toc12752"/>
      <w:r>
        <w:rPr>
          <w:rFonts w:ascii="宋体" w:hAnsi="宋体"/>
          <w:b/>
          <w:sz w:val="21"/>
          <w:szCs w:val="21"/>
          <w:highlight w:val="none"/>
        </w:rPr>
        <w:t xml:space="preserve">附件14</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12"/>
      <w:r/>
      <w:r/>
    </w:p>
    <w:p>
      <w:pPr>
        <w:ind w:left="0" w:firstLine="420"/>
        <w:jc w:val="center"/>
        <w:rPr>
          <w:rFonts w:hint="eastAsia" w:ascii="宋体" w:hAnsi="宋体"/>
          <w:b/>
          <w:color w:val="ff0000"/>
          <w:sz w:val="21"/>
          <w:szCs w:val="21"/>
          <w:highlight w:val="none"/>
        </w:rPr>
      </w:pPr>
      <w:r>
        <w:rPr>
          <w:rFonts w:hint="eastAsia" w:ascii="宋体" w:hAnsi="宋体"/>
          <w:b/>
          <w:color w:val="ff0000"/>
          <w:sz w:val="21"/>
          <w:szCs w:val="21"/>
          <w:highlight w:val="none"/>
        </w:rPr>
      </w:r>
      <w:r/>
    </w:p>
    <w:p>
      <w:pPr>
        <w:ind w:left="0"/>
        <w:jc w:val="center"/>
        <w:rPr>
          <w:rFonts w:hint="eastAsia"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38"/>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13"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bookmarkStart w:id="114" w:name="OLE_LINK17"/>
      <w:r/>
      <w:bookmarkStart w:id="115" w:name="OLE_LINK16"/>
      <w:r>
        <w:rPr>
          <w:rFonts w:hint="eastAsia" w:ascii="宋体" w:hAnsi="宋体"/>
          <w:b/>
          <w:color w:val="ff0000"/>
          <w:sz w:val="21"/>
          <w:szCs w:val="21"/>
          <w:highlight w:val="none"/>
          <w:lang w:val="zh-CN"/>
        </w:rPr>
        <w:t xml:space="preserve">的</w:t>
      </w:r>
      <w:bookmarkEnd w:id="113"/>
      <w:r/>
      <w:bookmarkEnd w:id="114"/>
      <w:r/>
      <w:bookmarkEnd w:id="115"/>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38"/>
        <w:rPr>
          <w:highlight w:val="none"/>
        </w:rPr>
      </w:pPr>
      <w:r>
        <w:rPr>
          <w:highlight w:val="none"/>
        </w:rPr>
      </w:r>
      <w:r/>
    </w:p>
    <w:p>
      <w:pPr>
        <w:rPr>
          <w:highlight w:val="none"/>
        </w:rPr>
      </w:pPr>
      <w:r>
        <w:rPr>
          <w:highlight w:val="none"/>
        </w:rPr>
      </w:r>
      <w:r/>
    </w:p>
    <w:p>
      <w:pPr>
        <w:ind w:left="0"/>
        <w:rPr>
          <w:highlight w:val="none"/>
        </w:rPr>
      </w:pPr>
      <w:r>
        <w:rPr>
          <w:highlight w:val="none"/>
        </w:rPr>
      </w:r>
      <w:r/>
    </w:p>
    <w:p>
      <w:pPr>
        <w:pStyle w:val="827"/>
        <w:ind w:left="0" w:firstLine="0"/>
        <w:jc w:val="center"/>
        <w:rPr>
          <w:rFonts w:hint="eastAsia" w:ascii="宋体" w:hAnsi="宋体"/>
          <w:b/>
          <w:sz w:val="44"/>
          <w:szCs w:val="22"/>
          <w:highlight w:val="none"/>
        </w:rPr>
      </w:pPr>
      <w:r/>
      <w:bookmarkStart w:id="116" w:name="_Toc4098"/>
      <w:r/>
      <w:bookmarkStart w:id="117" w:name="_Toc23660"/>
      <w:r/>
      <w:bookmarkStart w:id="118" w:name="_Toc26514"/>
      <w:r>
        <w:rPr>
          <w:rFonts w:hint="eastAsia" w:ascii="宋体" w:hAnsi="宋体"/>
          <w:b/>
          <w:sz w:val="44"/>
          <w:szCs w:val="22"/>
          <w:highlight w:val="none"/>
        </w:rPr>
        <w:t xml:space="preserve">第四章  </w:t>
      </w:r>
      <w:bookmarkStart w:id="119" w:name="招标书"/>
      <w:r/>
      <w:bookmarkEnd w:id="119"/>
      <w:r>
        <w:rPr>
          <w:rFonts w:hint="eastAsia" w:ascii="宋体" w:hAnsi="宋体"/>
          <w:b/>
          <w:sz w:val="44"/>
          <w:szCs w:val="22"/>
          <w:highlight w:val="none"/>
        </w:rPr>
        <w:t xml:space="preserve">招标书</w:t>
      </w:r>
      <w:bookmarkEnd w:id="116"/>
      <w:r/>
      <w:bookmarkEnd w:id="117"/>
      <w:r/>
      <w:bookmarkEnd w:id="118"/>
      <w:r/>
      <w:r/>
    </w:p>
    <w:p>
      <w:pPr>
        <w:ind w:left="0" w:firstLine="420"/>
        <w:spacing w:line="360" w:lineRule="auto"/>
        <w:tabs>
          <w:tab w:val="left" w:pos="0" w:leader="none"/>
        </w:tabs>
        <w:rPr>
          <w:rFonts w:hint="eastAsia" w:ascii="宋体" w:hAnsi="宋体"/>
          <w:sz w:val="21"/>
          <w:highlight w:val="none"/>
          <w:u w:val="singl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苏州市水利工程管理处</w:t>
      </w:r>
      <w:r>
        <w:rPr>
          <w:rFonts w:ascii="宋体" w:hAnsi="宋体"/>
          <w:sz w:val="21"/>
          <w:highlight w:val="none"/>
        </w:rPr>
        <w:t xml:space="preserve">的委托，就</w:t>
      </w:r>
      <w:r>
        <w:rPr>
          <w:rFonts w:hint="eastAsia" w:ascii="宋体" w:hAnsi="宋体"/>
          <w:sz w:val="21"/>
          <w:highlight w:val="none"/>
          <w:u w:val="single"/>
        </w:rPr>
        <w:t xml:space="preserve">苏州市水利工程管理处物业管理服务</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一、项目编号：JSZC-320500-JZCG-G2026-0061</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二、项目名称：苏州市水利工程管理处物业管理服务</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三、预算金额：人民币壹佰叁拾壹万元整（￥1310000.00） </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四、最高限价：人民币壹佰叁拾壹万元整（￥1310000.00）  </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五、合同履行期限：2年</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六、招标内容：</w:t>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（一）基本信息</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苏州市水利工程管理处位于姑苏区凌波路，办公楼4层，无电梯，面积约2000平方米，庭院面积约2000平，办公楼设有大中小型会议室、办公科室、职工食堂，场内设地面停车位约40个。要求提供保安、保洁、食堂等综合服务。采购单位要求对此项目的具体管理是：运用委托管理的形式全面管理，按照优质标准的物业服务标准，实施全天候、全方位的综合性管理服务，在人员配备、组织设置、操作流程、规章制度等方面为采购单位提供节简、合理、有效、便捷的服务。</w:t>
      </w:r>
      <w:r/>
    </w:p>
    <w:p>
      <w:pPr>
        <w:numPr>
          <w:ilvl w:val="0"/>
          <w:numId w:val="1"/>
        </w:numPr>
        <w:ind w:left="0" w:firstLine="422"/>
        <w:spacing w:line="360" w:lineRule="auto"/>
        <w:tabs>
          <w:tab w:val="left" w:pos="0" w:leader="none"/>
        </w:tabs>
        <w:rPr>
          <w:rFonts w:hint="eastAsia" w:ascii="宋体" w:hAnsi="宋体"/>
          <w:b/>
          <w:sz w:val="21"/>
          <w:szCs w:val="21"/>
          <w:highlight w:val="none"/>
        </w:rPr>
      </w:pPr>
      <w:r>
        <w:rPr>
          <w:rFonts w:hint="eastAsia" w:ascii="宋体" w:hAnsi="宋体"/>
          <w:b/>
          <w:sz w:val="21"/>
          <w:szCs w:val="21"/>
          <w:highlight w:val="none"/>
        </w:rPr>
        <w:t xml:space="preserve">服务要求</w:t>
      </w:r>
      <w:r/>
    </w:p>
    <w:p>
      <w:pPr>
        <w:ind w:left="0" w:firstLine="422"/>
        <w:spacing w:line="360" w:lineRule="auto"/>
        <w:tabs>
          <w:tab w:val="left" w:pos="0" w:leader="none"/>
        </w:tabs>
        <w:rPr>
          <w:rFonts w:hint="eastAsia" w:ascii="宋体" w:hAnsi="宋体"/>
          <w:b/>
          <w:sz w:val="21"/>
          <w:szCs w:val="21"/>
          <w:highlight w:val="none"/>
        </w:rPr>
      </w:pPr>
      <w:r>
        <w:rPr>
          <w:rFonts w:hint="eastAsia" w:ascii="宋体" w:hAnsi="宋体"/>
          <w:b/>
          <w:sz w:val="21"/>
          <w:szCs w:val="21"/>
          <w:highlight w:val="none"/>
        </w:rPr>
        <w:t xml:space="preserve">1.服务人员配置要求</w:t>
      </w:r>
      <w:r/>
    </w:p>
    <w:p>
      <w:pPr>
        <w:ind w:left="400"/>
        <w:spacing w:line="360" w:lineRule="auto"/>
        <w:tabs>
          <w:tab w:val="left" w:pos="0" w:leader="none"/>
        </w:tabs>
        <w:rPr>
          <w:rFonts w:hint="eastAsia" w:ascii="宋体" w:hAnsi="宋体"/>
          <w:b/>
          <w:sz w:val="21"/>
          <w:szCs w:val="21"/>
          <w:highlight w:val="none"/>
        </w:rPr>
      </w:pPr>
      <w:r>
        <w:rPr>
          <w:rFonts w:hint="eastAsia" w:ascii="宋体" w:hAnsi="宋体"/>
          <w:b/>
          <w:sz w:val="21"/>
          <w:szCs w:val="21"/>
          <w:highlight w:val="none"/>
        </w:rPr>
        <w:t xml:space="preserve">（1）人员配置表</w:t>
      </w:r>
      <w:r/>
    </w:p>
    <w:tbl>
      <w:tblPr>
        <w:tblStyle w:val="837"/>
        <w:tblW w:w="10060" w:type="dxa"/>
        <w:jc w:val="center"/>
        <w:tblLayout w:type="autofit"/>
        <w:tblCellMar>
          <w:left w:w="108" w:type="dxa"/>
          <w:top w:w="0" w:type="dxa"/>
          <w:right w:w="108" w:type="dxa"/>
          <w:bottom w:w="0" w:type="dxa"/>
        </w:tblCellMar>
        <w:tblLook w:val="04A0" w:firstRow="1" w:lastRow="0" w:firstColumn="1" w:lastColumn="0" w:noHBand="0" w:noVBand="1"/>
      </w:tblPr>
      <w:tblGrid>
        <w:gridCol w:w="876"/>
        <w:gridCol w:w="1182"/>
        <w:gridCol w:w="651"/>
        <w:gridCol w:w="823"/>
        <w:gridCol w:w="6528"/>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b/>
                <w:sz w:val="21"/>
                <w:szCs w:val="21"/>
                <w:highlight w:val="none"/>
              </w:rPr>
            </w:pPr>
            <w:r>
              <w:rPr>
                <w:rStyle w:val="909"/>
                <w:rFonts w:hint="default"/>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b/>
                <w:sz w:val="21"/>
                <w:szCs w:val="21"/>
                <w:highlight w:val="none"/>
              </w:rPr>
            </w:pPr>
            <w:r>
              <w:rPr>
                <w:rFonts w:ascii="宋体" w:hAnsi="宋体"/>
                <w:b/>
                <w:sz w:val="21"/>
                <w:szCs w:val="21"/>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tabs>
                <w:tab w:val="left" w:pos="420" w:leader="none"/>
              </w:tabs>
              <w:rPr>
                <w:rFonts w:hint="eastAsia" w:ascii="宋体" w:hAnsi="宋体"/>
                <w:b/>
                <w:sz w:val="21"/>
                <w:szCs w:val="21"/>
                <w:highlight w:val="none"/>
              </w:rPr>
            </w:pPr>
            <w:r>
              <w:rPr>
                <w:rFonts w:hint="eastAsia" w:asciiTheme="minorEastAsia" w:hAnsiTheme="minorEastAsia" w:eastAsiaTheme="minorEastAsia" w:cstheme="minorEastAsia"/>
                <w:b/>
                <w:sz w:val="21"/>
                <w:szCs w:val="21"/>
                <w:highlight w:val="none"/>
              </w:rPr>
              <w:t xml:space="preserve">人员下限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b/>
                <w:sz w:val="21"/>
                <w:szCs w:val="21"/>
                <w:highlight w:val="none"/>
              </w:rPr>
            </w:pPr>
            <w:r>
              <w:rPr>
                <w:rFonts w:ascii="宋体" w:hAnsi="宋体"/>
                <w:b/>
                <w:sz w:val="21"/>
                <w:szCs w:val="21"/>
                <w:highlight w:val="none"/>
                <w:lang w:bidi="ar"/>
              </w:rPr>
              <w:t xml:space="preserve">工作时间</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center"/>
              <w:rPr>
                <w:rFonts w:hint="eastAsia" w:ascii="宋体" w:hAnsi="宋体"/>
                <w:b/>
                <w:sz w:val="21"/>
                <w:szCs w:val="21"/>
                <w:highlight w:val="none"/>
              </w:rPr>
            </w:pPr>
            <w:r>
              <w:rPr>
                <w:rFonts w:hint="eastAsia" w:ascii="宋体" w:hAnsi="宋体"/>
                <w:b/>
                <w:sz w:val="21"/>
                <w:szCs w:val="21"/>
                <w:highlight w:val="none"/>
                <w:lang w:bidi="ar"/>
              </w:rPr>
              <w:t xml:space="preserve">人员</w:t>
            </w:r>
            <w:r>
              <w:rPr>
                <w:rFonts w:ascii="宋体" w:hAnsi="宋体"/>
                <w:b/>
                <w:sz w:val="21"/>
                <w:szCs w:val="21"/>
                <w:highlight w:val="none"/>
                <w:lang w:bidi="ar"/>
              </w:rPr>
              <w:t xml:space="preserve">要求</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保安队长兼任项目负责人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工作日白班</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sz w:val="21"/>
                <w:szCs w:val="21"/>
                <w:highlight w:val="none"/>
              </w:rPr>
            </w:pPr>
            <w:r>
              <w:rPr>
                <w:rFonts w:hint="eastAsia" w:ascii="宋体" w:hAnsiTheme="minorEastAsia" w:cstheme="minorEastAsia"/>
                <w:sz w:val="21"/>
                <w:szCs w:val="21"/>
                <w:highlight w:val="none"/>
              </w:rPr>
              <w:t xml:space="preserve">男性，年龄45周岁及以下，具备高中或以上学历，具备2年及以上工作经验，有一定的应急救护知识，须负责采购单位的车辆服务。</w:t>
            </w:r>
            <w:r>
              <w:rPr>
                <w:rFonts w:ascii="宋体" w:hAnsi="宋体"/>
                <w:b/>
                <w:bCs/>
                <w:sz w:val="21"/>
                <w:szCs w:val="21"/>
                <w:highlight w:val="none"/>
                <w:lang w:bidi="ar"/>
              </w:rPr>
              <w:t xml:space="preserve">★</w:t>
            </w:r>
            <w:r>
              <w:rPr>
                <w:rFonts w:hint="eastAsia" w:ascii="宋体" w:hAnsiTheme="minorEastAsia" w:cstheme="minorEastAsia"/>
                <w:b/>
                <w:sz w:val="21"/>
                <w:szCs w:val="21"/>
                <w:highlight w:val="none"/>
              </w:rPr>
              <w:t xml:space="preserve">持</w:t>
            </w:r>
            <w:r>
              <w:rPr>
                <w:rFonts w:hint="eastAsia" w:ascii="宋体" w:hAnsiTheme="minorEastAsia" w:cstheme="minorEastAsia"/>
                <w:b/>
                <w:bCs/>
                <w:sz w:val="21"/>
                <w:szCs w:val="21"/>
                <w:highlight w:val="none"/>
              </w:rPr>
              <w:t xml:space="preserve">公安部门颁发的</w:t>
            </w:r>
            <w:r>
              <w:rPr>
                <w:rFonts w:hint="eastAsia" w:ascii="宋体" w:hAnsiTheme="minorEastAsia" w:cstheme="minorEastAsia"/>
                <w:b/>
                <w:sz w:val="21"/>
                <w:szCs w:val="21"/>
                <w:highlight w:val="none"/>
              </w:rPr>
              <w:t xml:space="preserve">保安员证。</w:t>
            </w:r>
            <w:r>
              <w:rPr>
                <w:rFonts w:ascii="宋体" w:hAnsi="宋体"/>
                <w:b/>
                <w:bCs/>
                <w:sz w:val="21"/>
                <w:szCs w:val="21"/>
                <w:highlight w:val="none"/>
                <w:lang w:bidi="ar"/>
              </w:rPr>
              <w:t xml:space="preserve">★持有</w:t>
            </w:r>
            <w:r>
              <w:rPr>
                <w:rFonts w:hint="eastAsia" w:ascii="宋体" w:hAnsi="宋体"/>
                <w:b/>
                <w:bCs/>
                <w:sz w:val="21"/>
                <w:szCs w:val="21"/>
                <w:highlight w:val="none"/>
                <w:lang w:bidi="ar"/>
              </w:rPr>
              <w:t xml:space="preserve">C1及以上驾照。</w:t>
            </w:r>
            <w:r>
              <w:rPr>
                <w:rFonts w:hint="eastAsia" w:ascii="宋体" w:hAnsiTheme="minorEastAsia" w:cstheme="minorEastAsia"/>
                <w:b/>
                <w:sz w:val="21"/>
                <w:szCs w:val="21"/>
                <w:highlight w:val="none"/>
              </w:rPr>
              <w:t xml:space="preserve">投标文件中需提供证书复印件，未提供视为非实质性响应。</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保安员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24小时三班倒</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sz w:val="21"/>
                <w:szCs w:val="21"/>
                <w:highlight w:val="none"/>
              </w:rPr>
            </w:pPr>
            <w:r>
              <w:rPr>
                <w:rFonts w:hint="eastAsia" w:ascii="宋体" w:hAnsiTheme="minorEastAsia" w:cstheme="minorEastAsia"/>
                <w:sz w:val="21"/>
                <w:szCs w:val="21"/>
                <w:highlight w:val="none"/>
              </w:rPr>
              <w:t xml:space="preserve">男性，年龄60周岁及以下，具备1年及以上工作经验，有一定的应急救护知识。</w:t>
            </w:r>
            <w:r>
              <w:rPr>
                <w:rFonts w:hint="eastAsia" w:ascii="宋体" w:hAnsiTheme="minorEastAsia" w:cstheme="minorEastAsia"/>
                <w:b/>
                <w:sz w:val="21"/>
                <w:szCs w:val="21"/>
                <w:highlight w:val="none"/>
              </w:rPr>
              <w:t xml:space="preserve">★持</w:t>
            </w:r>
            <w:r>
              <w:rPr>
                <w:rFonts w:hint="eastAsia" w:ascii="宋体" w:hAnsiTheme="minorEastAsia" w:cstheme="minorEastAsia"/>
                <w:b/>
                <w:bCs/>
                <w:sz w:val="21"/>
                <w:szCs w:val="21"/>
                <w:highlight w:val="none"/>
              </w:rPr>
              <w:t xml:space="preserve">公安部门颁发的</w:t>
            </w:r>
            <w:r>
              <w:rPr>
                <w:rFonts w:hint="eastAsia" w:ascii="宋体" w:hAnsiTheme="minorEastAsia" w:cstheme="minorEastAsia"/>
                <w:b/>
                <w:sz w:val="21"/>
                <w:szCs w:val="21"/>
                <w:highlight w:val="none"/>
              </w:rPr>
              <w:t xml:space="preserve">保安员证。投标文件中需提供证书复印件，未提供视为非实质性响应。</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上六休一</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ascii="宋体" w:hAnsi="Arial" w:cs="Arial"/>
                <w:sz w:val="21"/>
                <w:szCs w:val="21"/>
                <w:highlight w:val="none"/>
              </w:rPr>
            </w:pPr>
            <w:r>
              <w:rPr>
                <w:rFonts w:hint="eastAsia" w:ascii="宋体" w:hAnsiTheme="minorEastAsia" w:cstheme="minorEastAsia"/>
                <w:sz w:val="21"/>
                <w:szCs w:val="21"/>
                <w:highlight w:val="none"/>
              </w:rPr>
              <w:t xml:space="preserve">男性，50周岁及以下；女性，45周岁及以下。身体健康。具备高中或以上学历，有1年以上工作经验，熟练使用办公软件制作报表统计。有一定的应急救护知识。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厨师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上六休一</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sz w:val="21"/>
                <w:szCs w:val="21"/>
                <w:highlight w:val="none"/>
              </w:rPr>
            </w:pPr>
            <w:r>
              <w:rPr>
                <w:rFonts w:hint="eastAsia" w:ascii="宋体" w:hAnsiTheme="minorEastAsia" w:cstheme="minorEastAsia"/>
                <w:sz w:val="21"/>
                <w:szCs w:val="21"/>
                <w:highlight w:val="none"/>
              </w:rPr>
              <w:t xml:space="preserve">男性，60周岁及以下，并有1年以上工作经验。有一定的应急救护知识。</w:t>
            </w:r>
            <w:r>
              <w:rPr>
                <w:rFonts w:hint="eastAsia" w:ascii="宋体" w:hAnsiTheme="minorEastAsia" w:cstheme="minorEastAsia"/>
                <w:b/>
                <w:sz w:val="21"/>
                <w:szCs w:val="21"/>
                <w:highlight w:val="none"/>
              </w:rPr>
              <w:t xml:space="preserve">★持有有效期内的健康证明。投标文件中需提供证书复印件，未提供视为非实质性响应</w:t>
            </w:r>
            <w:r>
              <w:rPr>
                <w:rFonts w:hint="eastAsia" w:ascii="宋体" w:hAnsiTheme="minorEastAsia" w:cstheme="minorEastAsia"/>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厨工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上六休一</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sz w:val="21"/>
                <w:szCs w:val="21"/>
                <w:highlight w:val="none"/>
              </w:rPr>
            </w:pPr>
            <w:r>
              <w:rPr>
                <w:rFonts w:hint="eastAsia" w:ascii="宋体" w:hAnsiTheme="minorEastAsia" w:cstheme="minorEastAsia"/>
                <w:sz w:val="21"/>
                <w:szCs w:val="21"/>
                <w:highlight w:val="none"/>
              </w:rPr>
              <w:t xml:space="preserve">男性，60周岁及以下；女性，50周岁及以下，具备1年及以上工作经验。身体健康。有一定的应急救护知识。</w:t>
            </w:r>
            <w:r>
              <w:rPr>
                <w:rFonts w:hint="eastAsia" w:ascii="宋体" w:hAnsiTheme="minorEastAsia" w:cstheme="minorEastAsia"/>
                <w:b/>
                <w:sz w:val="21"/>
                <w:szCs w:val="21"/>
                <w:highlight w:val="none"/>
              </w:rPr>
              <w:t xml:space="preserve">★</w:t>
            </w:r>
            <w:r>
              <w:rPr>
                <w:rFonts w:ascii="宋体" w:hAnsi="宋体"/>
                <w:b/>
                <w:bCs/>
                <w:sz w:val="21"/>
                <w:szCs w:val="21"/>
                <w:highlight w:val="none"/>
                <w:lang w:bidi="ar"/>
              </w:rPr>
              <w:t xml:space="preserve">持有</w:t>
            </w:r>
            <w:r>
              <w:rPr>
                <w:rFonts w:hint="eastAsia" w:ascii="宋体" w:hAnsiTheme="minorEastAsia" w:cstheme="minorEastAsia"/>
                <w:b/>
                <w:sz w:val="21"/>
                <w:szCs w:val="21"/>
                <w:highlight w:val="none"/>
              </w:rPr>
              <w:t xml:space="preserve">有效期内的健康证明</w:t>
            </w:r>
            <w:r>
              <w:rPr>
                <w:rFonts w:hint="eastAsia" w:ascii="宋体" w:hAnsiTheme="minorEastAsia" w:cstheme="minorEastAsia"/>
                <w:b/>
                <w:bCs/>
                <w:sz w:val="21"/>
                <w:szCs w:val="21"/>
                <w:highlight w:val="none"/>
              </w:rPr>
              <w:t xml:space="preserve">。</w:t>
            </w:r>
            <w:r>
              <w:rPr>
                <w:rFonts w:hint="eastAsia" w:ascii="宋体" w:hAnsiTheme="minorEastAsia" w:cstheme="minorEastAsia"/>
                <w:b/>
                <w:sz w:val="21"/>
                <w:szCs w:val="21"/>
                <w:highlight w:val="none"/>
              </w:rPr>
              <w:t xml:space="preserve">投标文件中需提供证书复印件，未提供视为非实质性响应。</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Style w:val="909"/>
                <w:rFonts w:hint="default"/>
                <w:color w:val="auto"/>
                <w:sz w:val="21"/>
                <w:szCs w:val="21"/>
                <w:highlight w:val="none"/>
                <w:lang w:bidi="ar"/>
              </w:rPr>
              <w:t xml:space="preserve">保洁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上六休一</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ascii="宋体" w:hAnsi="Arial" w:cs="Arial"/>
                <w:sz w:val="21"/>
                <w:szCs w:val="21"/>
                <w:highlight w:val="none"/>
              </w:rPr>
            </w:pPr>
            <w:r>
              <w:rPr>
                <w:rFonts w:hint="eastAsia" w:ascii="宋体" w:hAnsiTheme="minorEastAsia" w:cstheme="minorEastAsia"/>
                <w:sz w:val="21"/>
                <w:szCs w:val="21"/>
                <w:highlight w:val="none"/>
              </w:rPr>
              <w:t xml:space="preserve">男性，60周岁及以下；女性，50周岁及以下，具备1年及以上工作经验。身体健康。有一定的应急救护知识。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工程维修人员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上五休二</w:t>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sz w:val="21"/>
                <w:szCs w:val="21"/>
                <w:highlight w:val="none"/>
              </w:rPr>
            </w:pPr>
            <w:r>
              <w:rPr>
                <w:rFonts w:hint="eastAsia" w:ascii="宋体" w:hAnsiTheme="minorEastAsia" w:cstheme="minorEastAsia"/>
                <w:sz w:val="21"/>
                <w:szCs w:val="21"/>
                <w:highlight w:val="none"/>
              </w:rPr>
              <w:t xml:space="preserve">男性，</w:t>
            </w:r>
            <w:r>
              <w:rPr>
                <w:rFonts w:hint="eastAsia" w:ascii="宋体" w:hAnsiTheme="minorEastAsia" w:cstheme="minorEastAsia"/>
                <w:sz w:val="21"/>
                <w:szCs w:val="21"/>
                <w:highlight w:val="none"/>
                <w:lang w:val="en-US" w:eastAsia="zh-CN"/>
              </w:rPr>
              <w:t xml:space="preserve">55</w:t>
            </w:r>
            <w:r>
              <w:rPr>
                <w:rFonts w:hint="eastAsia" w:ascii="宋体" w:hAnsiTheme="minorEastAsia" w:cstheme="minorEastAsia"/>
                <w:sz w:val="21"/>
                <w:szCs w:val="21"/>
                <w:highlight w:val="none"/>
              </w:rPr>
              <w:t xml:space="preserve">周岁及以下，具备1年及以上工作经验，有一定的应急救护知识，须协助采购单位的车辆服务。</w:t>
            </w:r>
            <w:r>
              <w:rPr>
                <w:rFonts w:ascii="宋体" w:hAnsi="宋体"/>
                <w:b/>
                <w:bCs/>
                <w:sz w:val="21"/>
                <w:szCs w:val="21"/>
                <w:highlight w:val="none"/>
                <w:lang w:bidi="ar"/>
              </w:rPr>
              <w:t xml:space="preserve">★持有特种作业操作证（准操项目：低压电工作业）；★持有</w:t>
            </w:r>
            <w:r>
              <w:rPr>
                <w:rFonts w:hint="eastAsia" w:ascii="宋体" w:hAnsi="宋体"/>
                <w:b/>
                <w:bCs/>
                <w:sz w:val="21"/>
                <w:szCs w:val="21"/>
                <w:highlight w:val="none"/>
                <w:lang w:bidi="ar"/>
              </w:rPr>
              <w:t xml:space="preserve">C1及以上驾照。</w:t>
            </w:r>
            <w:r>
              <w:rPr>
                <w:rFonts w:hint="eastAsia" w:ascii="宋体" w:hAnsiTheme="minorEastAsia" w:cstheme="minorEastAsia"/>
                <w:b/>
                <w:sz w:val="21"/>
                <w:szCs w:val="21"/>
                <w:highlight w:val="none"/>
              </w:rPr>
              <w:t xml:space="preserve">投标文件中需提供证书复印件，未提供视为非实质性响应。</w:t>
            </w:r>
            <w:r/>
          </w:p>
        </w:tc>
      </w:tr>
      <w:tr>
        <w:trPr>
          <w:jc w:val="center"/>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jc w:val="center"/>
              <w:rPr>
                <w:rFonts w:hint="eastAsia" w:ascii="宋体" w:hAnsi="宋体"/>
                <w:b/>
                <w:sz w:val="21"/>
                <w:szCs w:val="21"/>
                <w:highlight w:val="none"/>
                <w:lang w:bidi="ar"/>
              </w:rPr>
            </w:pPr>
            <w:r>
              <w:rPr>
                <w:rFonts w:hint="eastAsia" w:ascii="宋体" w:hAnsi="宋体"/>
                <w:b/>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ind w:left="0"/>
              <w:jc w:val="center"/>
              <w:rPr>
                <w:rFonts w:hint="eastAsia" w:ascii="宋体" w:hAnsi="宋体"/>
                <w:b/>
                <w:sz w:val="21"/>
                <w:szCs w:val="21"/>
                <w:highlight w:val="none"/>
                <w:lang w:bidi="ar"/>
              </w:rPr>
            </w:pPr>
            <w:r>
              <w:rPr>
                <w:rFonts w:hint="eastAsia" w:ascii="宋体" w:hAnsi="宋体"/>
                <w:b/>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jc w:val="left"/>
              <w:rPr>
                <w:rFonts w:hint="eastAsia" w:ascii="宋体" w:hAnsi="宋体"/>
                <w:b/>
                <w:sz w:val="21"/>
                <w:szCs w:val="21"/>
                <w:highlight w:val="none"/>
                <w:lang w:bidi="ar"/>
              </w:rPr>
            </w:pPr>
            <w:r>
              <w:rPr>
                <w:rFonts w:hint="eastAsia" w:ascii="宋体" w:hAnsi="宋体"/>
                <w:b/>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jc w:val="center"/>
              <w:rPr>
                <w:rFonts w:hint="eastAsia" w:ascii="宋体" w:hAnsi="宋体"/>
                <w:b/>
                <w:sz w:val="21"/>
                <w:szCs w:val="21"/>
                <w:highlight w:val="none"/>
              </w:rPr>
            </w:pPr>
            <w:r>
              <w:rPr>
                <w:rFonts w:hint="eastAsia" w:ascii="宋体" w:hAnsi="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ind w:left="0"/>
              <w:jc w:val="left"/>
              <w:rPr>
                <w:rFonts w:hint="eastAsia" w:ascii="宋体" w:hAnsi="宋体"/>
                <w:b/>
                <w:sz w:val="21"/>
                <w:szCs w:val="21"/>
                <w:highlight w:val="none"/>
                <w:lang w:bidi="ar"/>
              </w:rPr>
            </w:pPr>
            <w:r>
              <w:rPr>
                <w:rFonts w:hint="eastAsia" w:ascii="宋体" w:hAnsi="宋体"/>
                <w:b/>
                <w:sz w:val="21"/>
                <w:szCs w:val="21"/>
                <w:highlight w:val="none"/>
                <w:lang w:bidi="ar"/>
              </w:rPr>
            </w:r>
            <w:r/>
          </w:p>
        </w:tc>
      </w:tr>
    </w:tbl>
    <w:p>
      <w:pPr>
        <w:ind w:left="0" w:firstLine="422"/>
        <w:spacing w:line="360" w:lineRule="auto"/>
        <w:tabs>
          <w:tab w:val="left" w:pos="420" w:leader="none"/>
          <w:tab w:val="left" w:pos="540" w:leader="none"/>
        </w:tabs>
        <w:rPr>
          <w:rFonts w:hint="eastAsia" w:ascii="宋体" w:hAnsi="宋体"/>
          <w:b/>
          <w:bCs/>
          <w:sz w:val="21"/>
          <w:szCs w:val="21"/>
          <w:highlight w:val="none"/>
          <w:lang w:bidi="ar"/>
        </w:rPr>
      </w:pPr>
      <w:r>
        <w:rPr>
          <w:rFonts w:hint="eastAsia" w:ascii="宋体" w:hAnsi="宋体"/>
          <w:b/>
          <w:bCs/>
          <w:sz w:val="21"/>
          <w:highlight w:val="none"/>
        </w:rPr>
        <w:t xml:space="preserve">说明：投标单位须在投标文件中提供以上人员相关证书复印件并加盖投标单位公章，未提供视为非实质性响应：（1）保安队长兼任项目负责人需提供公安部门颁发的保安员证复印件、C1及以上驾照复印件。（2）保安员需提供公安部门颁发的保安员证复印件。（3）厨师及厨工需提供有效期内的健康证明复印件（4）工程维修人员需提供特种作业操作证（准操项目：低压电工作业）复印件、C1及以上驾照复印件。</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2.服务内容</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（1）人员专用原则：投标人必须按照本项目要求配备以上人员，且承诺投入本项目的所有人员必须专门服务于本项目，不得用于其他项目中。</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（2）不得低于以上岗位数。</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（3）其它要求：</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所有人员上岗前，需经过相关岗位专业知识培训合格后方可上岗；</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严格按照国家防疫政策，做好公共场所环境消杀，保持公共区域、员工休息室、生产办公设备、卫生间等场所环境清洁，定期对垃圾桶、卫生间、门把手、休息椅、空调等公共区域和相关物品进行清洁和消毒，并做好消杀记录。</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项目组所有人员应遵守国家相关法律法规及采购单位的相关规章制度，违者依法必究。</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项目所有派驻人员应无条件服从采购单位专业指导和管理。</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中标单位必须遵守中华人民共和国《劳动法》的规定，派驻项目组所有人员由中标单位自行管理，采购单位与派驻人员无任何劳动和雇佣关系，服务人员如遇到劳动、工资纠纷等问题，均由中标单位自行解决，与采购人无关。</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服务期内若发生员工人身伤害等工伤事故，一切损失及相关法律责任均由中标单位全权负责，与采购单位无涉。</w:t>
      </w:r>
      <w:r/>
    </w:p>
    <w:tbl>
      <w:tblPr>
        <w:tblStyle w:val="837"/>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494"/>
        <w:gridCol w:w="1678"/>
        <w:gridCol w:w="1328"/>
        <w:gridCol w:w="494"/>
        <w:gridCol w:w="1251"/>
        <w:gridCol w:w="4835"/>
      </w:tblGrid>
      <w:tr>
        <w:trPr>
          <w:jc w:val="center"/>
          <w:tblHeader/>
        </w:trPr>
        <w:tc>
          <w:tcPr>
            <w:gridSpan w:val="6"/>
            <w:tcBorders>
              <w:top w:val="none" w:color="000000" w:sz="4" w:space="0"/>
              <w:left w:val="none" w:color="000000" w:sz="4" w:space="0"/>
              <w:bottom w:val="none" w:color="000000" w:sz="4" w:space="0"/>
              <w:right w:val="none" w:color="000000" w:sz="4" w:space="0"/>
            </w:tcBorders>
            <w:tcW w:w="4835" w:type="dxa"/>
            <w:vAlign w:val="center"/>
            <w:textDirection w:val="lrTb"/>
            <w:noWrap w:val="false"/>
          </w:tcPr>
          <w:p>
            <w:pPr>
              <w:ind w:left="0" w:firstLine="420"/>
              <w:widowControl w:val="off"/>
              <w:rPr>
                <w:rFonts w:hint="eastAsia" w:ascii="宋体" w:hAnsi="宋体"/>
                <w:sz w:val="21"/>
                <w:szCs w:val="21"/>
                <w:highlight w:val="none"/>
              </w:rPr>
            </w:pPr>
            <w:r>
              <w:rPr>
                <w:rFonts w:hint="eastAsia" w:ascii="宋体" w:hAnsi="宋体" w:cs="Times New Roman"/>
                <w:sz w:val="21"/>
                <w:szCs w:val="21"/>
                <w:highlight w:val="none"/>
              </w:rPr>
              <w:t xml:space="preserve">（4）配套服务要求</w:t>
            </w:r>
            <w:r/>
          </w:p>
        </w:tc>
      </w:tr>
      <w:tr>
        <w:trPr>
          <w:jc w:val="center"/>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服务类型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频率</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特征描述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1</w:t>
            </w:r>
            <w:r/>
          </w:p>
        </w:tc>
        <w:tc>
          <w:tcPr>
            <w:tcBorders>
              <w:top w:val="single" w:color="000000" w:sz="4" w:space="0"/>
              <w:left w:val="single" w:color="000000" w:sz="4" w:space="0"/>
              <w:right w:val="single" w:color="000000" w:sz="4" w:space="0"/>
            </w:tcBorders>
            <w:tcW w:w="1678" w:type="dxa"/>
            <w:vAlign w:val="center"/>
            <w:vMerge w:val="restart"/>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物业配套服务</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保洁耗材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全过程</w:t>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val="false"/>
          </w:tcPr>
          <w:p>
            <w:pPr>
              <w:ind w:left="0"/>
              <w:jc w:val="left"/>
              <w:rPr>
                <w:rFonts w:hint="eastAsia" w:ascii="宋体" w:hAnsi="宋体"/>
                <w:sz w:val="21"/>
                <w:szCs w:val="21"/>
                <w:highlight w:val="none"/>
              </w:rPr>
            </w:pPr>
            <w:r>
              <w:rPr>
                <w:rFonts w:hint="eastAsia" w:ascii="宋体" w:hAnsi="宋体"/>
                <w:sz w:val="21"/>
                <w:szCs w:val="21"/>
                <w:highlight w:val="none"/>
                <w:lang w:bidi="ar"/>
              </w:rPr>
              <w:t xml:space="preserve">若干，包括日常常规保洁及厨房设备保养维修。含油烟机，油烟分离装置、电磁炉、冰箱、消毒柜、蒸箱等，由中标单位提供</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2</w:t>
            </w:r>
            <w:r/>
          </w:p>
        </w:tc>
        <w:tc>
          <w:tcPr>
            <w:tcBorders>
              <w:left w:val="single" w:color="000000" w:sz="4" w:space="0"/>
              <w:right w:val="single" w:color="000000" w:sz="4" w:space="0"/>
            </w:tcBorders>
            <w:tcW w:w="1678" w:type="dxa"/>
            <w:vAlign w:val="center"/>
            <w:vMerge w:val="continue"/>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幕墙专业清洗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每年1次</w:t>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val="false"/>
          </w:tcPr>
          <w:p>
            <w:pPr>
              <w:ind w:left="0"/>
              <w:jc w:val="left"/>
              <w:rPr>
                <w:rFonts w:hint="eastAsia" w:ascii="宋体" w:hAnsi="宋体"/>
                <w:sz w:val="21"/>
                <w:szCs w:val="21"/>
                <w:highlight w:val="none"/>
              </w:rPr>
            </w:pPr>
            <w:r>
              <w:rPr>
                <w:rFonts w:hint="eastAsia" w:ascii="宋体" w:hAnsi="宋体"/>
                <w:sz w:val="21"/>
                <w:szCs w:val="21"/>
                <w:highlight w:val="none"/>
                <w:lang w:bidi="ar"/>
              </w:rPr>
              <w:t xml:space="preserve">本部4层，内外幕墙玻璃，室内地砖、卫生间、会议室、机房、档案室等公共空间。</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3</w:t>
            </w:r>
            <w:r/>
          </w:p>
        </w:tc>
        <w:tc>
          <w:tcPr>
            <w:tcBorders>
              <w:left w:val="single" w:color="000000" w:sz="4" w:space="0"/>
              <w:right w:val="single" w:color="000000" w:sz="4" w:space="0"/>
            </w:tcBorders>
            <w:tcW w:w="1678" w:type="dxa"/>
            <w:vAlign w:val="center"/>
            <w:vMerge w:val="continue"/>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空调清洗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每年1次</w:t>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val="false"/>
          </w:tcPr>
          <w:p>
            <w:pPr>
              <w:ind w:left="0"/>
              <w:jc w:val="left"/>
              <w:rPr>
                <w:rFonts w:hint="eastAsia" w:ascii="宋体" w:hAnsi="宋体"/>
                <w:sz w:val="21"/>
                <w:szCs w:val="21"/>
                <w:highlight w:val="none"/>
              </w:rPr>
            </w:pPr>
            <w:r>
              <w:rPr>
                <w:rFonts w:hint="eastAsia" w:ascii="宋体" w:hAnsi="宋体"/>
                <w:sz w:val="21"/>
                <w:szCs w:val="21"/>
                <w:highlight w:val="none"/>
                <w:lang w:bidi="ar"/>
              </w:rPr>
              <w:t xml:space="preserve">采购单位所有空调每年清洗一遍</w:t>
            </w:r>
            <w:r/>
          </w:p>
        </w:tc>
      </w:tr>
      <w:tr>
        <w:trPr>
          <w:jc w:val="center"/>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4</w:t>
            </w:r>
            <w:r/>
          </w:p>
        </w:tc>
        <w:tc>
          <w:tcPr>
            <w:tcBorders>
              <w:left w:val="single" w:color="000000" w:sz="4" w:space="0"/>
              <w:bottom w:val="single" w:color="000000" w:sz="4" w:space="0"/>
              <w:right w:val="single" w:color="000000" w:sz="4" w:space="0"/>
            </w:tcBorders>
            <w:tcW w:w="1678" w:type="dxa"/>
            <w:vAlign w:val="center"/>
            <w:vMerge w:val="continue"/>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厨房抽油烟机、更换接油盒等</w:t>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lang w:bidi="ar"/>
              </w:rPr>
              <w:t xml:space="preserve">每年1次</w:t>
            </w:r>
            <w:r/>
          </w:p>
        </w:tc>
        <w:tc>
          <w:tcPr>
            <w:tcBorders>
              <w:top w:val="single" w:color="000000" w:sz="4" w:space="0"/>
              <w:left w:val="single" w:color="000000" w:sz="4" w:space="0"/>
              <w:bottom w:val="single" w:color="000000" w:sz="4" w:space="0"/>
              <w:right w:val="single" w:color="000000" w:sz="4" w:space="0"/>
            </w:tcBorders>
            <w:tcW w:w="4835" w:type="dxa"/>
            <w:vAlign w:val="center"/>
            <w:textDirection w:val="lrTb"/>
            <w:noWrap w:val="false"/>
          </w:tcPr>
          <w:p>
            <w:pPr>
              <w:ind w:left="0"/>
              <w:jc w:val="left"/>
              <w:rPr>
                <w:rFonts w:hint="eastAsia" w:ascii="宋体" w:hAnsi="宋体"/>
                <w:sz w:val="21"/>
                <w:szCs w:val="21"/>
                <w:highlight w:val="none"/>
              </w:rPr>
            </w:pPr>
            <w:r>
              <w:rPr>
                <w:rFonts w:hint="eastAsia" w:ascii="宋体" w:hAnsi="宋体"/>
                <w:sz w:val="21"/>
                <w:szCs w:val="21"/>
                <w:highlight w:val="none"/>
                <w:lang w:bidi="ar"/>
              </w:rPr>
              <w:t xml:space="preserve">处本部厨房全范围清洗，包括地面、灶台、抽油烟机、烟道、隔油池、水油分离装置等设备，清洁后可见烟道原有内壁铁皮色，不残留块状油污和油渍，风机叶轮达到表面90%以上可见底漆，无沉淀油污。</w:t>
            </w:r>
            <w:r/>
          </w:p>
        </w:tc>
      </w:tr>
    </w:tbl>
    <w:p>
      <w:pPr>
        <w:pStyle w:val="852"/>
        <w:rPr>
          <w:highlight w:val="none"/>
        </w:rPr>
      </w:pPr>
      <w:r>
        <w:rPr>
          <w:highlight w:val="none"/>
        </w:rPr>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3.服务标准</w:t>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保安队长兼任项目负责人</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（1）工作职责和范围：负责本次物业管理服务工作的整体管理和协调工作，领导项目组完成以下工作。</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①领导全体项目服务部员工完成采购单位安排的工作事项；</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②对项目部的整体服务质量安全生产负责；</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③对项目的内部运作负责；</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④负责项目不合格服务的处理及纠正、预防措施和跟踪；</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⑤对项目员工进行考核，并据实进行奖罚；</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⑥根据国家、市及公司的决定，制定并批准本项目的管理运作制度，计划周密安排得体；</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⑦督导各部门做好相关体系资料的建立和存档；</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⑧检查和组织相关部门人员进行业务培训并定期考核存档；</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⑨组织管理人员做好考评工作并存档；</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⑩带动和组织全体员工落实终端服务；</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（2）工作时间和要求：按劳动法等相关法律法规执行，需保持24小时电话通畅。</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（3）熟悉了解急救知识，紧急情况下能够协助开展救护工作，组织定期应急预案演练。</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（4）确定现场作业区域、人员培训、工作场所及办公桌椅、器材（含桌椅、巡更设备）办公用品（打印机、纸笔等）准备。</w:t>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保安员</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根据保安工作的具体情况，物业保安人员应实行二十四小时全天定岗检查及流动巡检相结合的管理模式，对大楼进行安全保卫及检查、监视监控、消防应急、车辆停放、电动自行车库充电管理、电动汽车充电桩管理等工作的管理和引导，并做好外来人员的登记和管理，协助处理突发事件、治安事件，做好防火、防盗等工作，履行火险、火灾的救助义务，保证办公楼的安全，具体要求如下：</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（1）保安人员实行24小时值班制度，主入口需安排人员在前台值班。保安人员需经过专业培训，配备全套值勤物品。</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（2）保安人员应热情礼貌、全面周到地做好来访人员的接待、登记、引导、检查等服务，维护大楼门口及大厅的秩序，保障行人安全，门前畅通，车辆停放有序。</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（3）保安人员24小时值班，监控大楼安全及运作情况，并应熟悉大楼消防设施的分布及设备使用，</w:t>
      </w:r>
      <w:r>
        <w:rPr>
          <w:rFonts w:hint="eastAsia" w:ascii="宋体" w:hAnsi="宋体"/>
          <w:b/>
          <w:bCs/>
          <w:sz w:val="21"/>
          <w:highlight w:val="none"/>
        </w:rPr>
        <w:t xml:space="preserve">严格执行消防设施设备每月至少一次的点检制度，做好点检记录，确保设备完好有效；</w:t>
      </w:r>
      <w:r>
        <w:rPr>
          <w:rFonts w:hint="eastAsia" w:ascii="宋体" w:hAnsi="宋体"/>
          <w:sz w:val="21"/>
          <w:highlight w:val="none"/>
        </w:rPr>
        <w:t xml:space="preserve">接警处警时果断、恰当；熟练使用和掌握监控所有设备，对反映出的问题及时汇报处理；及时关停无人空调，并对小故障能自己处理；协助维护和保护大楼的公共设施，保证大楼内物品的安全和人员生命财产安全。</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cs="Times New Roman"/>
          <w:sz w:val="21"/>
          <w:szCs w:val="21"/>
          <w:highlight w:val="none"/>
        </w:rPr>
        <w:t xml:space="preserve">（</w:t>
      </w:r>
      <w:r>
        <w:rPr>
          <w:rFonts w:hint="eastAsia" w:ascii="宋体" w:hAnsi="宋体"/>
          <w:sz w:val="21"/>
          <w:highlight w:val="none"/>
        </w:rPr>
        <w:t xml:space="preserve">4）保安人员应对大楼内外所属区域，夜班每2小时一次对大楼进行巡查，并做好巡视记录，维护区域内的正常治安秩序，检查、发现安全防范方面的漏洞，做好突发事件或意外事故的处理。</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（5）保安人员要做好报刊杂志、信件信函的签收，并注意审查不得有违禁物品进入大楼，物品进出要有书面证明，并做好登记。</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（6）保安人员要注意保持安保区域和大楼内部的安静，不大声喧哗，无闲杂人员，公共区域无烟蒂、无明火。</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（7）协助会务人员做好培训、会议所需要的桌椅搬动等工作。</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（8）认真完成临时交办的其它任务。</w:t>
      </w:r>
      <w:r/>
    </w:p>
    <w:p>
      <w:pPr>
        <w:ind w:left="0" w:firstLine="422"/>
        <w:spacing w:line="360" w:lineRule="auto"/>
        <w:tabs>
          <w:tab w:val="left" w:pos="420" w:leader="none"/>
          <w:tab w:val="left" w:pos="540" w:leader="none"/>
        </w:tabs>
        <w:rPr>
          <w:rFonts w:hint="eastAsia" w:ascii="宋体" w:hAnsi="宋体" w:cs="Times New Roman"/>
          <w:b/>
          <w:bCs/>
          <w:sz w:val="21"/>
          <w:szCs w:val="21"/>
          <w:highlight w:val="none"/>
        </w:rPr>
      </w:pPr>
      <w:r>
        <w:rPr>
          <w:rFonts w:hint="eastAsia" w:ascii="宋体" w:hAnsi="宋体" w:cs="Times New Roman"/>
          <w:b/>
          <w:bCs/>
          <w:sz w:val="21"/>
          <w:szCs w:val="21"/>
          <w:highlight w:val="none"/>
        </w:rPr>
        <w:t xml:space="preserve">保洁</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为</w:t>
      </w:r>
      <w:r>
        <w:rPr>
          <w:rFonts w:hint="eastAsia" w:ascii="宋体" w:hAnsi="宋体" w:cs="Times New Roman"/>
          <w:sz w:val="21"/>
          <w:szCs w:val="21"/>
          <w:highlight w:val="none"/>
        </w:rPr>
        <w:t xml:space="preserve">采购范围</w:t>
      </w:r>
      <w:r>
        <w:rPr>
          <w:rFonts w:ascii="宋体" w:hAnsi="宋体" w:cs="Times New Roman"/>
          <w:sz w:val="21"/>
          <w:szCs w:val="21"/>
          <w:highlight w:val="none"/>
        </w:rPr>
        <w:t xml:space="preserve">所有公共区域、公共设施及办公区域提供清洁服务。物业需安排足够保洁人员，采用定时巡视打扫，定点打扫，定时保养相结合的方法对大楼实施全面的清洁保养，并有相关保洁记录。具体要求如下：</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1）办公室、走廊、大厅、会议室、活动室、卫生间、室内绿化、饰品饰物、公用设施等每天定时保洁。保持地面无垃圾，无污迹，洁净明亮。大楼外观的查看。对使用频率较高的区域，如大厅、卫生间等进行不间断保洁，须做到一尘不染。</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（2）垃圾桶每日至少清理1次，如筒内垃圾超过容量的</w:t>
      </w: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/3，立即清理，并摆放整齐，外观整洁。</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（3）用毛巾擦干净玻璃、镜面，玻璃门窗无污渍、水迹，并有明显安全标志。</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4）负责对室内摆放花卉的日常养护和管理工作，盆、花美观大方和干净，绿植外观干净，花叶无尘土，花盆内无杂物，如遇大型节日或大型活动等需要增加花卉摆放时，应接到采购单位通知后将所需花卉摆放到位。灯饰、壁挂和其他饰物无尘土及毁损，整洁干净。公用沙发套、桌椅套、窗帘定期清洗、更换。</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（5）会议室会议活动结束后及时清理，确保整洁。</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（6）卫生间保持随时通风换气，用洗洁剂清洗大、小便器，用快捷布擦洗洗手盆并冲干净，用毛巾抹墙面、台面、开关、门牌，喷洒空气清新剂或香水，小便器内放置香球等。做到室内无异味、臭味。</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（7）定时对大理石、外墙等进行专项保养保洁，使大楼保持常见常新。办公室地面每周至少两次吸尘，地砖地面和石料地面每周刷洗1次，地砖或大理石地面每周抛光打蜡1次，每日</w:t>
      </w: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次用干净的抹布擦摸楼梯扶手，各种通道的防火门、消防栓、玻璃箱内侧、灯具、墙面、地脚线等公共设施，每月循环清洁1次，内墙面、天花板每月除尘1次。</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ascii="宋体" w:hAnsi="宋体" w:cs="Times New Roman"/>
          <w:sz w:val="21"/>
          <w:szCs w:val="21"/>
          <w:highlight w:val="none"/>
        </w:rPr>
        <w:t xml:space="preserve">（8）按采购单位要求做好其他保洁工作，遇突击任务及重大活动时应无条件按要求完成布置的工作。</w:t>
      </w:r>
      <w:r/>
    </w:p>
    <w:p>
      <w:pPr>
        <w:ind w:left="0" w:firstLine="422"/>
        <w:spacing w:line="360" w:lineRule="auto"/>
        <w:tabs>
          <w:tab w:val="left" w:pos="420" w:leader="none"/>
          <w:tab w:val="left" w:pos="540" w:leader="none"/>
        </w:tabs>
        <w:rPr>
          <w:rFonts w:hint="eastAsia" w:ascii="宋体" w:hAnsi="宋体" w:cs="Times New Roman"/>
          <w:b/>
          <w:bCs/>
          <w:sz w:val="21"/>
          <w:szCs w:val="21"/>
          <w:highlight w:val="none"/>
        </w:rPr>
      </w:pPr>
      <w:r>
        <w:rPr>
          <w:rFonts w:hint="eastAsia" w:ascii="宋体" w:hAnsi="宋体" w:cs="Times New Roman"/>
          <w:b/>
          <w:bCs/>
          <w:sz w:val="21"/>
          <w:szCs w:val="21"/>
          <w:highlight w:val="none"/>
        </w:rPr>
        <w:t xml:space="preserve">食堂</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（1）基本要求</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餐厅服务应满足本大楼企亊业单位早、中基本工作用餐需求，现大楼办公人员约为60人。工作餐应注重营养搭配。</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早、中餐要求确保营养搭配合理，菜式选择丰富。工作餐总体满意率达到95%以上。具有一定特色和数量，并能根据时令及时调节。</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早、中、晚餐：餐厅岗位职责和工作内容</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早餐：时间：8时00分--8时50分</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午餐：时间：11时30分—12时10分（没有特别要求不提前供餐）</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晚餐：一般不提供晚餐，汛期值班如有安另行通知。</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要求各种餐具用品做到卫生、洁净、消毒；餐室（厨房）无蝇、无虫；</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就餐按时不误饭，伙食调剂恰当，味道可口，营养全面健康，品种花色多样；</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厨师、帮厨人员配置合理；</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食堂运作方式：食堂原材料由采购单位集中配送，餐厅原材料、辅料等不包含招标预算中，厨师配合采购单位验收并共同核定菜价，食堂单独建账，并接受业主监管和审计。</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（2）工作要求</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每餐饭菜必须在就餐前10分钟准备好。整个加工过程由主厨统一分工，调配厨房职工。加工后的饭菜要注意保热、保洁。</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就餐期间食堂内部事务统一由主厨师进行协调。主厨师要根据就餐情况及时调配饭菜，如有饭菜不足情况，要及时采取措施。</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餐后，对餐桌、厨具、餐具进行清洗和消毒，并分类放在固定位置。对厨房、餐厅进行打扫、冲洗；对剩余饭菜进行适当处理。</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每周一公示本周供应菜单。</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食堂人员需持有餐饮业健康证，并公示于餐厅内。</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对餐厅各项管理制度及服务标准公示，并张贴在餐厅明显位置。</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服务人员主动做好引导及清理工作。</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严格执行菜品留样制度，做好菜品留样工作，配合食品安全监督部门采样检查。</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食品卫生合格率达100%。</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（3）餐具、设备管理要求</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餐厅厨房设备、设施、桌椅盘碟等物品由招标方提供，对厨房设备进行日常保养、维修，完好率达100%，各类餐具物品年损耗率应控制在2%以内，超出损耗部分照价赔偿。</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餐厅服务必须遵守国家和地方现行的《食品安全法》、《国务院关于进一步加强食品安全工作的决定》等相关规定，熟悉食品从业人员常规知识（12条），遵守采购方的各项管理制度。</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全面负责服务区域范围的安全保卫，包括员工人身安全、食品卫生安全、防盗、防火、用电、用水、用气安全。负责餐厅厨房油烟管道（罩）清洗、地沟污水处理、四害消杀。</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中标单位服务人员用餐规定</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工作用餐费用均在当月服务款项中结算，结算记录表由双方管理人员签名，一式二份，双方各执一份备案。中标单位服务人员，在采购单位食堂用餐的，由中标单位提供20元/人/餐，在当月结算服务费之前付清。</w:t>
      </w:r>
      <w:r/>
    </w:p>
    <w:p>
      <w:pPr>
        <w:ind w:left="0" w:firstLine="422"/>
        <w:spacing w:line="360" w:lineRule="auto"/>
        <w:tabs>
          <w:tab w:val="left" w:pos="420" w:leader="none"/>
          <w:tab w:val="left" w:pos="540" w:leader="none"/>
        </w:tabs>
        <w:rPr>
          <w:rFonts w:ascii="宋体" w:hAnsi="宋体" w:cs="Times New Roman"/>
          <w:b/>
          <w:bCs/>
          <w:sz w:val="21"/>
          <w:szCs w:val="21"/>
          <w:highlight w:val="none"/>
        </w:rPr>
      </w:pPr>
      <w:r>
        <w:rPr>
          <w:rFonts w:hint="eastAsia" w:ascii="宋体" w:hAnsi="宋体" w:cs="Times New Roman"/>
          <w:b/>
          <w:bCs/>
          <w:sz w:val="21"/>
          <w:szCs w:val="21"/>
          <w:highlight w:val="none"/>
        </w:rPr>
        <w:t xml:space="preserve">日常用车服务</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根据采购单位要求，做好</w:t>
      </w:r>
      <w:bookmarkStart w:id="120" w:name="_Hlk224051476"/>
      <w:r>
        <w:rPr>
          <w:rFonts w:hint="eastAsia" w:ascii="宋体" w:hAnsi="宋体" w:cs="Times New Roman"/>
          <w:sz w:val="21"/>
          <w:szCs w:val="21"/>
          <w:highlight w:val="none"/>
        </w:rPr>
        <w:t xml:space="preserve">日常用车服务</w:t>
      </w:r>
      <w:bookmarkEnd w:id="120"/>
      <w:r>
        <w:rPr>
          <w:rFonts w:hint="eastAsia" w:ascii="宋体" w:hAnsi="宋体" w:cs="Times New Roman"/>
          <w:sz w:val="21"/>
          <w:szCs w:val="21"/>
          <w:highlight w:val="none"/>
        </w:rPr>
        <w:t xml:space="preserve">，保证车容车貌的清洁和车况安全正常。</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（1）车辆在外行驶期间，应严格遵守交通法规，不得违章、违停，严禁超速行驶及酒后开车，做到文明行车，确保交通安全。如发生任何事故，所有责任均由中标单位承担，与管理处无涉。</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（2）出车需进行出车登记。</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（3）每天检查掌握车辆工况，发现问题及时上报。需按采购单位要求，对车辆进行定时保养，定点维修。</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（4）车辆实行集中定点停放，如遇特殊情况不能定点停放的，需上报采购单位，由采购单位指定停放地点。若未按照规定停放造成不良后果的，由中标单位自负。</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（5）维护车容车貌的整洁。</w:t>
      </w:r>
      <w:r/>
    </w:p>
    <w:p>
      <w:pPr>
        <w:ind w:left="0" w:firstLine="422"/>
        <w:spacing w:line="360" w:lineRule="auto"/>
        <w:tabs>
          <w:tab w:val="left" w:pos="420" w:leader="none"/>
          <w:tab w:val="left" w:pos="540" w:leader="none"/>
        </w:tabs>
        <w:rPr>
          <w:rFonts w:hint="eastAsia" w:ascii="宋体" w:hAnsi="宋体" w:cs="Times New Roman"/>
          <w:b/>
          <w:bCs/>
          <w:sz w:val="21"/>
          <w:szCs w:val="21"/>
          <w:highlight w:val="none"/>
        </w:rPr>
      </w:pPr>
      <w:r>
        <w:rPr>
          <w:rFonts w:hint="eastAsia" w:ascii="宋体" w:hAnsi="宋体" w:cs="Times New Roman"/>
          <w:b/>
          <w:bCs/>
          <w:sz w:val="21"/>
          <w:szCs w:val="21"/>
          <w:highlight w:val="none"/>
        </w:rPr>
        <w:t xml:space="preserve">工程维修</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（1）公共设施设备维修范围</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管理区内的公共设备设施应经常进行检查，发现损坏，及时维修，要按不同类型产品的维护要求进行日常维护、保养，原样修复。景观灯亮灯率达到98%及以上。</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负责对所属水、电、消防器材、景观灯、照明、路桥、栈道、道板、走道、围栏、护栏栏杆、消防设施、垃圾箱等设备设施的正常使用、检修与维护维修，确保设备性能良好、运转正常。</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负责范围内的所有设备、设施的零星维修，做到小修维修不超过一天，中修、大修不超过三天响应。设备维修需做好报修、修复检查验收的登记备案工作。</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涉及到的公共设备设施要做到登记备案，报修、维修等有规范细致的作业记录。</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对于常见的设施设备维修要做到即日发现，即日维修到位。如草坪灯景观灯、路灯、垃圾箱等。</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对于一些需要特殊专项维护的，要做到有计划，及时维修，如道路损毁、塌陷，驳岸的装饰损坏，脱落等等。</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（2）设施维修标准</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负责公共设施设备日常维修保养和运行管理，确保各类设施设备安全运行，进行日常设备点检，定期保养，完成点检记录以及保养记录。</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负责制定月度、季度、年度工作计划，对设备运行和日常维修保养进行日常点检，定期保养，完成点检记录及保养记录及值班情况进行监督检查，对工作完成情况进行总结、整改。</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负责内强、弱电系统和各类电器设备的巡视、检查与维修工作。</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熟悉一切照明设备和照明线路，并对照明和照明线路及设备进行检查与维修，进行记录归档。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负责电气设备、线路及动力配电盘、动力配电箱的检查与维修工作，进行记录归档。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负责生活给水、排水、设施的巡视、检查、维修和养护工作，进行记录归档。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负责化粪池、排污（水）沟的检查和清理工作，进行记录归档。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负责对消防（污）水泵系统进行监测、检查和维修工作。涉及大修的由采购单位负责维修，日常小修列入物业日常维修维保。</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按规定做好日常巡检工作，认真填写巡检记录。</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熟悉和掌握触电急救常识和消防安全紧急处理措施，防止安全事故发生。</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认真进行设备巡查和检查，发生事故时要正确、迅速的进行倒闸操作和处理，认真做好记录和上报工作。</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按时抄表、核算表单，并做好清洁卫生工作，进行记录归档。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负责各种工具、仪表、钥匙和物品备件的管理，进行记录归档。</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（3）其他</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中标单位进场后一个月内对管理范围内景观设施进行一次全面检查，包括园林建筑、雕塑喷泉、园路广场、照明灯等基础设施，确保整洁、无墙体破损、路面残缺、油漆剥落等。桌椅、垃圾桶、指示牌、围栏、绿化隔离带护栏、侧石、花坛、行道树树穴等设施完整、安全。检查完成后形成景观设施进场报告，列明需维护的设施具体问题信息。进场一个月内未上报的视为无问题。</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采购单位的设备、设施由中标单位负责日常管理，坚持随叫随到的服务原则，尽最大可能立即修复，实在无法修复的立即通知由业主单位指定的专业维护单位进行维护、维修；公共场所的设备如发生丢失、人为破坏的由中标单位负责赔偿和修复。</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主体及内外装饰的日常管理以及配套设施的日常管理和一般性维修。</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共用设施和附属建筑物、构筑物的一般性维修和管理，包括道路、墙体、室外上下水管道、沟渠井。</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除高压电房以外的所有水、电设备设施，全部机电设备设施的日常管理和一般性维修工作。包括：给排水系统的管理和疏通、照明及机械动力系统等。</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与管理范围相关的工程图纸、竣工验收资料、设备说明书、使用手册等由采购单位管理，中标单位可借阅。</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在满足采购单位使用要求的前提下，合理控制机电设备和照明的开关时间，尽量节省能源。</w:t>
      </w:r>
      <w:r/>
    </w:p>
    <w:p>
      <w:pPr>
        <w:ind w:left="0" w:firstLine="420"/>
        <w:spacing w:line="360" w:lineRule="auto"/>
        <w:tabs>
          <w:tab w:val="left" w:pos="420" w:leader="none"/>
          <w:tab w:val="left" w:pos="54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负责各类路灯、景观灯照面保障工作，承担灯泡更换、立柱刷漆等小型维修工作。</w:t>
      </w:r>
      <w:r/>
    </w:p>
    <w:p>
      <w:pPr>
        <w:ind w:left="0" w:firstLine="422"/>
        <w:spacing w:line="360" w:lineRule="auto"/>
        <w:tabs>
          <w:tab w:val="left" w:pos="420" w:leader="none"/>
          <w:tab w:val="left" w:pos="540" w:leader="none"/>
        </w:tabs>
        <w:rPr>
          <w:rFonts w:hint="eastAsia" w:ascii="宋体" w:hAnsi="宋体" w:cs="Times New Roman"/>
          <w:b/>
          <w:bCs/>
          <w:sz w:val="21"/>
          <w:szCs w:val="21"/>
          <w:highlight w:val="none"/>
        </w:rPr>
      </w:pPr>
      <w:r>
        <w:rPr>
          <w:rFonts w:hint="eastAsia" w:ascii="宋体" w:hAnsi="宋体" w:cs="Times New Roman"/>
          <w:b/>
          <w:bCs/>
          <w:sz w:val="21"/>
          <w:szCs w:val="21"/>
          <w:highlight w:val="none"/>
        </w:rPr>
        <w:t xml:space="preserve">4.服务要求：</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（1）综合服务</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财务管理运作规范，账目清晰；</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物业服务档案资料齐全、分类科学、管理完善、易于检索；</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⑤管理人员服装统一、仪表整洁、挂牌上岗、言行规范.</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（2）公共秩序维护与安全管理</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对区域内的人员、车辆出入进行规范管理；</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区域内流动管理、巡逻管理，形成具体制度；</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按照相应规范进行消防、监控值守；</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根据采购人需求，对区域内的清场及封闭管理；</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5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⑤</w:t>
      </w:r>
      <w:r>
        <w:rPr>
          <w:rFonts w:ascii="宋体" w:hAnsi="宋体"/>
          <w:sz w:val="21"/>
          <w:highlight w:val="none"/>
        </w:rPr>
        <w:fldChar w:fldCharType="end"/>
      </w:r>
      <w:r>
        <w:rPr>
          <w:rFonts w:hint="eastAsia" w:ascii="宋体" w:hAnsi="宋体"/>
          <w:sz w:val="21"/>
          <w:highlight w:val="none"/>
        </w:rPr>
        <w:t xml:space="preserve">具备应对突发公共事件的应急处理方案及能力；</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6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⑥</w:t>
      </w:r>
      <w:r>
        <w:rPr>
          <w:rFonts w:ascii="宋体" w:hAnsi="宋体"/>
          <w:sz w:val="21"/>
          <w:highlight w:val="none"/>
        </w:rPr>
        <w:fldChar w:fldCharType="end"/>
      </w:r>
      <w:r>
        <w:rPr>
          <w:rFonts w:hint="eastAsia" w:ascii="宋体" w:hAnsi="宋体"/>
          <w:sz w:val="21"/>
          <w:highlight w:val="none"/>
        </w:rPr>
        <w:t xml:space="preserve">消防管理（档案、器材、用品等）；</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7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⑦</w:t>
      </w:r>
      <w:r>
        <w:rPr>
          <w:rFonts w:ascii="宋体" w:hAnsi="宋体"/>
          <w:sz w:val="21"/>
          <w:highlight w:val="none"/>
        </w:rPr>
        <w:fldChar w:fldCharType="end"/>
      </w:r>
      <w:r>
        <w:rPr>
          <w:rFonts w:hint="eastAsia" w:ascii="宋体" w:hAnsi="宋体"/>
          <w:sz w:val="21"/>
          <w:highlight w:val="none"/>
        </w:rPr>
        <w:t xml:space="preserve">安全生产监督、自然灾害防范等。</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（3）保洁服务</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门前“三包”及所有公共区域的地面，无有形垃圾和建筑垃圾、无堆积杂物、无积灰、无积水和淤泥、无阻塞等。做到每日清扫两次，巡回保洁。</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（4）访客登记传达</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（5）会议会务服务</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负责会场的布置及会议常规服务；</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负责礼仪服务，服务人员应规范、热情；</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负责会议室音响系统、会议系统等设备设施的操作运行服务；</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负责会议室使用后的及时整理。</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（6）绿化养护</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（7）公共设施及特种设备的管理</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建立设施设备安全操作规程、紧急处理预案等规章制度；</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（8）食堂服务</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①按要求提供早餐、中餐、晚餐，具体要求如下：</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早餐:就餐人数约30人，根据需求，提供5-6个品种，包括但不限于稀饭、面条、馄饨、馒头、点心、鸡蛋等，以及就餐小菜、面条浇头等；</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中餐：就餐人员约60人，原则按“一大荤、一小荤、二素、一汤、一奶制品”标准供应，采用分餐形式，菜品需每日更新。实际执行中可根据餐标及菜品价格调整具体搭配。</w:t>
      </w:r>
      <w:r/>
    </w:p>
    <w:p>
      <w:pPr>
        <w:ind w:left="416"/>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晚餐：不列入日常供餐。仅汛期或遇特殊情况时，由采购方提前通知，标准参照中餐执行或另行商定。</w:t>
      </w: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3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③</w:t>
      </w:r>
      <w:r>
        <w:rPr>
          <w:rFonts w:ascii="宋体" w:hAnsi="宋体"/>
          <w:sz w:val="21"/>
          <w:highlight w:val="none"/>
        </w:rPr>
        <w:fldChar w:fldCharType="end"/>
      </w:r>
      <w:r>
        <w:rPr>
          <w:rFonts w:hint="eastAsia" w:ascii="宋体" w:hAnsi="宋体"/>
          <w:sz w:val="21"/>
          <w:highlight w:val="none"/>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4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④</w:t>
      </w:r>
      <w:r>
        <w:rPr>
          <w:rFonts w:ascii="宋体" w:hAnsi="宋体"/>
          <w:sz w:val="21"/>
          <w:highlight w:val="none"/>
        </w:rPr>
        <w:fldChar w:fldCharType="end"/>
      </w:r>
      <w:r>
        <w:rPr>
          <w:rFonts w:hint="eastAsia" w:ascii="宋体" w:hAnsi="宋体"/>
          <w:sz w:val="21"/>
          <w:highlight w:val="none"/>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5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⑤</w:t>
      </w:r>
      <w:r>
        <w:rPr>
          <w:rFonts w:ascii="宋体" w:hAnsi="宋体"/>
          <w:sz w:val="21"/>
          <w:highlight w:val="none"/>
        </w:rPr>
        <w:fldChar w:fldCharType="end"/>
      </w:r>
      <w:r>
        <w:rPr>
          <w:rFonts w:hint="eastAsia" w:ascii="宋体" w:hAnsi="宋体"/>
          <w:sz w:val="21"/>
          <w:highlight w:val="none"/>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6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⑥</w:t>
      </w:r>
      <w:r>
        <w:rPr>
          <w:rFonts w:ascii="宋体" w:hAnsi="宋体"/>
          <w:sz w:val="21"/>
          <w:highlight w:val="none"/>
        </w:rPr>
        <w:fldChar w:fldCharType="end"/>
      </w:r>
      <w:r>
        <w:rPr>
          <w:rFonts w:hint="eastAsia" w:ascii="宋体" w:hAnsi="宋体"/>
          <w:sz w:val="21"/>
          <w:highlight w:val="none"/>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7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⑦</w:t>
      </w:r>
      <w:r>
        <w:rPr>
          <w:rFonts w:ascii="宋体" w:hAnsi="宋体"/>
          <w:sz w:val="21"/>
          <w:highlight w:val="none"/>
        </w:rPr>
        <w:fldChar w:fldCharType="end"/>
      </w:r>
      <w:r>
        <w:rPr>
          <w:rFonts w:hint="eastAsia" w:ascii="宋体" w:hAnsi="宋体"/>
          <w:sz w:val="21"/>
          <w:highlight w:val="none"/>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8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⑧</w:t>
      </w:r>
      <w:r>
        <w:rPr>
          <w:rFonts w:ascii="宋体" w:hAnsi="宋体"/>
          <w:sz w:val="21"/>
          <w:highlight w:val="none"/>
        </w:rPr>
        <w:fldChar w:fldCharType="end"/>
      </w:r>
      <w:r>
        <w:rPr>
          <w:rFonts w:hint="eastAsia" w:ascii="宋体" w:hAnsi="宋体"/>
          <w:sz w:val="21"/>
          <w:highlight w:val="none"/>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9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⑨</w:t>
      </w:r>
      <w:r>
        <w:rPr>
          <w:rFonts w:ascii="宋体" w:hAnsi="宋体"/>
          <w:sz w:val="21"/>
          <w:highlight w:val="none"/>
        </w:rPr>
        <w:fldChar w:fldCharType="end"/>
      </w:r>
      <w:r>
        <w:rPr>
          <w:rFonts w:hint="eastAsia" w:ascii="宋体" w:hAnsi="宋体"/>
          <w:sz w:val="21"/>
          <w:highlight w:val="none"/>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10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⑩</w:t>
      </w:r>
      <w:r>
        <w:rPr>
          <w:rFonts w:ascii="宋体" w:hAnsi="宋体"/>
          <w:sz w:val="21"/>
          <w:highlight w:val="none"/>
        </w:rPr>
        <w:fldChar w:fldCharType="end"/>
      </w:r>
      <w:r>
        <w:rPr>
          <w:rFonts w:hint="eastAsia" w:ascii="宋体" w:hAnsi="宋体"/>
          <w:sz w:val="21"/>
          <w:highlight w:val="none"/>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w:t>
      </w:r>
      <w:r>
        <w:rPr>
          <w:rFonts w:ascii="宋体" w:hAnsi="宋体"/>
          <w:b/>
          <w:sz w:val="21"/>
          <w:highlight w:val="none"/>
        </w:rPr>
        <w:t xml:space="preserve">9</w:t>
      </w:r>
      <w:r>
        <w:rPr>
          <w:rFonts w:hint="eastAsia" w:ascii="宋体" w:hAnsi="宋体"/>
          <w:b/>
          <w:sz w:val="21"/>
          <w:highlight w:val="none"/>
        </w:rPr>
        <w:t xml:space="preserve">）其他要求</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1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①</w:t>
      </w:r>
      <w:r>
        <w:rPr>
          <w:rFonts w:ascii="宋体" w:hAnsi="宋体"/>
          <w:sz w:val="21"/>
          <w:highlight w:val="none"/>
        </w:rPr>
        <w:fldChar w:fldCharType="end"/>
      </w:r>
      <w:r>
        <w:rPr>
          <w:rFonts w:hint="eastAsia" w:ascii="宋体" w:hAnsi="宋体"/>
          <w:sz w:val="21"/>
          <w:highlight w:val="none"/>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hint="eastAsia" w:ascii="宋体" w:hAnsi="宋体"/>
          <w:b/>
          <w:sz w:val="21"/>
          <w:highlight w:val="none"/>
        </w:rPr>
      </w:pPr>
      <w:r>
        <w:rPr>
          <w:rFonts w:ascii="宋体" w:hAnsi="宋体"/>
          <w:sz w:val="21"/>
          <w:highlight w:val="none"/>
        </w:rPr>
        <w:fldChar w:fldCharType="begin"/>
      </w:r>
      <w:r>
        <w:rPr>
          <w:rFonts w:ascii="宋体" w:hAnsi="宋体"/>
          <w:sz w:val="21"/>
          <w:highlight w:val="none"/>
        </w:rPr>
        <w:instrText xml:space="preserve"> </w:instrText>
      </w:r>
      <w:r>
        <w:rPr>
          <w:rFonts w:hint="eastAsia" w:ascii="宋体" w:hAnsi="宋体"/>
          <w:sz w:val="21"/>
          <w:highlight w:val="none"/>
        </w:rPr>
        <w:instrText xml:space="preserve">= 2 \* GB3</w:instrText>
      </w:r>
      <w:r>
        <w:rPr>
          <w:rFonts w:ascii="宋体" w:hAnsi="宋体"/>
          <w:sz w:val="21"/>
          <w:highlight w:val="none"/>
        </w:rPr>
        <w:instrText xml:space="preserve"> </w:instrText>
      </w:r>
      <w:r>
        <w:rPr>
          <w:rFonts w:ascii="宋体" w:hAnsi="宋体"/>
          <w:sz w:val="21"/>
          <w:highlight w:val="none"/>
        </w:rPr>
        <w:fldChar w:fldCharType="separate"/>
      </w:r>
      <w:r>
        <w:rPr>
          <w:rFonts w:hint="eastAsia" w:ascii="宋体" w:hAnsi="宋体"/>
          <w:sz w:val="21"/>
          <w:highlight w:val="none"/>
        </w:rPr>
        <w:t xml:space="preserve">②</w:t>
      </w:r>
      <w:r>
        <w:rPr>
          <w:rFonts w:ascii="宋体" w:hAnsi="宋体"/>
          <w:sz w:val="21"/>
          <w:highlight w:val="none"/>
        </w:rPr>
        <w:fldChar w:fldCharType="end"/>
      </w:r>
      <w:r>
        <w:rPr>
          <w:rFonts w:hint="eastAsia" w:ascii="宋体" w:hAnsi="宋体"/>
          <w:sz w:val="21"/>
          <w:highlight w:val="none"/>
        </w:rPr>
        <w:t xml:space="preserve">须建立物业服务执行情况反馈制度，每月以书面形式向采购人管理部门报送当月物业服务安排、检查及执行完成情况。</w:t>
      </w:r>
      <w:r>
        <w:rPr>
          <w:rFonts w:ascii="宋体" w:hAnsi="宋体"/>
          <w:sz w:val="21"/>
          <w:highlight w:val="none"/>
        </w:rPr>
        <w:br/>
      </w:r>
      <w:r>
        <w:rPr>
          <w:rFonts w:hint="eastAsia" w:ascii="宋体" w:hAnsi="宋体"/>
          <w:sz w:val="21"/>
          <w:highlight w:val="none"/>
        </w:rPr>
        <w:t xml:space="preserve">    </w:t>
      </w:r>
      <w:r>
        <w:rPr>
          <w:rFonts w:hint="eastAsia" w:ascii="宋体" w:hAnsi="宋体"/>
          <w:b/>
          <w:sz w:val="21"/>
          <w:highlight w:val="none"/>
        </w:rPr>
        <w:t xml:space="preserve">（三）商务要求</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1.履约期限：2年；</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2.付款方式：（1）甲方按双月支付。支付费用为应支付费用扣除考核扣分款支付。考核办法详见第七章附件。（2）合同签订后，支付合同金额30%的预付款。</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3.考核办法：详见第七章</w:t>
      </w:r>
      <w:r/>
    </w:p>
    <w:p>
      <w:pPr>
        <w:ind w:left="0" w:firstLine="422"/>
        <w:spacing w:line="360" w:lineRule="auto"/>
        <w:tabs>
          <w:tab w:val="left" w:pos="420" w:leader="none"/>
          <w:tab w:val="left" w:pos="540" w:leader="none"/>
        </w:tabs>
        <w:rPr>
          <w:rFonts w:hint="eastAsia" w:ascii="宋体" w:hAnsi="宋体"/>
          <w:b/>
          <w:sz w:val="21"/>
          <w:highlight w:val="none"/>
        </w:rPr>
      </w:pPr>
      <w:r>
        <w:rPr>
          <w:rFonts w:hint="eastAsia" w:ascii="宋体" w:hAnsi="宋体"/>
          <w:b/>
          <w:sz w:val="21"/>
          <w:highlight w:val="none"/>
        </w:rPr>
        <w:t xml:space="preserve">（四）方案要求</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投标人根据本项目特点，制定服务理念及组织架构</w:t>
      </w:r>
      <w:r>
        <w:rPr>
          <w:rFonts w:hint="eastAsia" w:ascii="宋体" w:hAnsi="宋体"/>
          <w:sz w:val="21"/>
          <w:highlight w:val="none"/>
        </w:rPr>
        <w:t xml:space="preserve">，包括但不限于：</w:t>
      </w:r>
      <w:r>
        <w:rPr>
          <w:rFonts w:ascii="宋体" w:hAnsi="宋体"/>
          <w:sz w:val="21"/>
          <w:highlight w:val="none"/>
        </w:rPr>
        <w:t xml:space="preserve">物业管理理念；物业服务目标；梳理服务内容，设置服务组织机构，明确分工及职责。</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投标人根据本项目特点，制定下列管理服务制度</w:t>
      </w:r>
      <w:r>
        <w:rPr>
          <w:rFonts w:hint="eastAsia" w:ascii="宋体" w:hAnsi="宋体"/>
          <w:sz w:val="21"/>
          <w:highlight w:val="none"/>
        </w:rPr>
        <w:t xml:space="preserve">，包括但不限于：</w:t>
      </w:r>
      <w:r>
        <w:rPr>
          <w:rFonts w:ascii="宋体" w:hAnsi="宋体"/>
          <w:sz w:val="21"/>
          <w:highlight w:val="none"/>
        </w:rPr>
        <w:t xml:space="preserve">项目管理服务制度； 服务人员履职评价及考核制度；财务及合同管理制度；档案管理制度；</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投标人根据本项目特点，制定下列管理服务方案</w:t>
      </w:r>
      <w:r>
        <w:rPr>
          <w:rFonts w:hint="eastAsia" w:ascii="宋体" w:hAnsi="宋体"/>
          <w:sz w:val="21"/>
          <w:highlight w:val="none"/>
        </w:rPr>
        <w:t xml:space="preserve">，包括但不限于：</w:t>
      </w:r>
      <w:r>
        <w:rPr>
          <w:rFonts w:ascii="宋体" w:hAnsi="宋体"/>
          <w:sz w:val="21"/>
          <w:highlight w:val="none"/>
        </w:rPr>
        <w:t xml:space="preserve">综合服务管理方案；卫生保洁服务方案；访客登记传达服务方案；服务人员管理方案；进场交接方案；应急管理方案；</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投标人根据企业自身能力及项目的采购需求，提供提质增效或节能减排等方面的创新服务</w:t>
      </w:r>
      <w:r>
        <w:rPr>
          <w:rFonts w:hint="eastAsia" w:ascii="宋体" w:hAnsi="宋体"/>
          <w:sz w:val="21"/>
          <w:highlight w:val="none"/>
        </w:rPr>
        <w:t xml:space="preserve">。</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投标人根据本项目特点，制定客户满意度提升方案，方案内容需包含服务全部内容，应具备奖惩机制。</w:t>
      </w:r>
      <w:r/>
    </w:p>
    <w:p>
      <w:pPr>
        <w:ind w:left="0" w:firstLine="422"/>
        <w:spacing w:line="360" w:lineRule="auto"/>
        <w:rPr>
          <w:rFonts w:hint="eastAsia" w:ascii="宋体" w:hAnsi="宋体"/>
          <w:b/>
          <w:szCs w:val="21"/>
          <w:highlight w:val="none"/>
        </w:rPr>
      </w:pPr>
      <w:r>
        <w:rPr>
          <w:rFonts w:hint="eastAsia" w:ascii="宋体" w:hAnsi="宋体"/>
          <w:b/>
          <w:sz w:val="21"/>
          <w:highlight w:val="none"/>
        </w:rPr>
        <w:t xml:space="preserve">（五）其他要求</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1.工作场地</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2.服务所需用品</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5.中标供应商应按国家和当地政府有关劳动法规、条例，向项目管理服务人员提供相应工种的劳动工资、加班工资、劳动保护等待遇。</w:t>
      </w:r>
      <w:r/>
    </w:p>
    <w:p>
      <w:pPr>
        <w:ind w:left="0" w:firstLine="422"/>
        <w:spacing w:line="360" w:lineRule="auto"/>
        <w:rPr>
          <w:rFonts w:hint="eastAsia" w:ascii="宋体" w:hAnsi="宋体"/>
          <w:b/>
          <w:szCs w:val="21"/>
          <w:highlight w:val="none"/>
        </w:rPr>
      </w:pPr>
      <w:r>
        <w:rPr>
          <w:rFonts w:hint="eastAsia" w:ascii="宋体" w:hAnsi="宋体"/>
          <w:b/>
          <w:sz w:val="21"/>
          <w:highlight w:val="none"/>
        </w:rPr>
        <w:t xml:space="preserve">（六）履约验收</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1.验收方式为年度验收，具体验收内容、标准按考核细则及月度考核明细表执行，月度考核得分为履约验收依据。</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2"/>
        <w:ind w:firstLine="200"/>
        <w:spacing w:line="360" w:lineRule="auto"/>
        <w:rPr>
          <w:rFonts w:hint="eastAsia" w:ascii="宋体" w:hAnsi="宋体"/>
          <w:highlight w:val="none"/>
        </w:rPr>
      </w:pPr>
      <w:r>
        <w:rPr>
          <w:rFonts w:hint="eastAsia" w:ascii="宋体" w:hAnsi="宋体"/>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w:t>
      </w:r>
      <w:r>
        <w:rPr>
          <w:rFonts w:hint="eastAsia" w:ascii="宋体" w:hAnsi="宋体" w:cs="Times New Roman"/>
          <w:b/>
          <w:sz w:val="21"/>
          <w:highlight w:val="none"/>
        </w:rPr>
        <w:t xml:space="preserve">物业管理</w:t>
      </w:r>
      <w:r>
        <w:rPr>
          <w:rFonts w:hint="eastAsia" w:ascii="宋体" w:hAnsi="宋体" w:cs="Times New Roman"/>
          <w:b/>
          <w:sz w:val="21"/>
          <w:highlight w:val="none"/>
        </w:rPr>
        <w:t xml:space="preserve">。</w:t>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7"/>
        <w:ind w:left="0" w:firstLine="0"/>
        <w:jc w:val="center"/>
        <w:rPr>
          <w:rFonts w:hint="eastAsia" w:ascii="宋体" w:hAnsi="宋体"/>
          <w:b/>
          <w:sz w:val="44"/>
          <w:szCs w:val="22"/>
          <w:highlight w:val="none"/>
        </w:rPr>
      </w:pPr>
      <w:r/>
      <w:bookmarkStart w:id="121" w:name="_Toc11789"/>
      <w:r/>
      <w:bookmarkStart w:id="122" w:name="_Toc5111"/>
      <w:r/>
      <w:bookmarkStart w:id="123" w:name="_Hlk55741158"/>
      <w:r>
        <w:rPr>
          <w:rFonts w:hint="eastAsia" w:ascii="宋体" w:hAnsi="宋体"/>
          <w:b/>
          <w:sz w:val="44"/>
          <w:szCs w:val="22"/>
          <w:highlight w:val="none"/>
        </w:rPr>
        <w:br w:type="page" w:clear="all"/>
      </w:r>
      <w:bookmarkStart w:id="124" w:name="_Toc21392"/>
      <w:r>
        <w:rPr>
          <w:rFonts w:hint="eastAsia" w:ascii="宋体" w:hAnsi="宋体"/>
          <w:b/>
          <w:sz w:val="44"/>
          <w:szCs w:val="22"/>
          <w:highlight w:val="none"/>
        </w:rPr>
        <w:t xml:space="preserve">第五章 </w:t>
      </w:r>
      <w:bookmarkStart w:id="125" w:name="合同的特殊条款"/>
      <w:r/>
      <w:bookmarkEnd w:id="125"/>
      <w:r>
        <w:rPr>
          <w:rFonts w:hint="eastAsia" w:ascii="宋体" w:hAnsi="宋体"/>
          <w:b/>
          <w:sz w:val="44"/>
          <w:szCs w:val="22"/>
          <w:highlight w:val="none"/>
        </w:rPr>
        <w:t xml:space="preserve"> 合同及主要条款</w:t>
      </w:r>
      <w:bookmarkEnd w:id="121"/>
      <w:r/>
      <w:bookmarkEnd w:id="122"/>
      <w:r/>
      <w:bookmarkEnd w:id="124"/>
      <w:r/>
      <w:bookmarkEnd w:id="123"/>
      <w:r/>
    </w:p>
    <w:p>
      <w:pPr>
        <w:ind w:left="0"/>
        <w:jc w:val="center"/>
        <w:rPr>
          <w:rFonts w:hint="eastAsia" w:ascii="宋体" w:hAnsi="宋体"/>
          <w:b/>
          <w:sz w:val="32"/>
          <w:szCs w:val="32"/>
          <w:highlight w:val="none"/>
        </w:rPr>
      </w:pPr>
      <w:r/>
      <w:bookmarkStart w:id="126" w:name="_Toc27667"/>
      <w:r/>
      <w:bookmarkStart w:id="127" w:name="_Toc8564"/>
      <w:r/>
      <w:bookmarkStart w:id="128" w:name="_Toc57376410"/>
      <w:r>
        <w:rPr>
          <w:rFonts w:hint="eastAsia" w:ascii="宋体" w:hAnsi="宋体"/>
          <w:b/>
          <w:sz w:val="32"/>
          <w:szCs w:val="32"/>
          <w:highlight w:val="none"/>
        </w:rPr>
        <w:t xml:space="preserve">政府采购合同</w:t>
      </w:r>
      <w:r/>
    </w:p>
    <w:p>
      <w:pPr>
        <w:ind w:left="0"/>
        <w:jc w:val="left"/>
        <w:spacing w:line="360" w:lineRule="auto"/>
        <w:rPr>
          <w:rFonts w:hint="eastAsia"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hint="eastAsia" w:ascii="宋体" w:hAnsi="宋体"/>
          <w:b/>
          <w:sz w:val="21"/>
          <w:highlight w:val="none"/>
        </w:rPr>
      </w:pPr>
      <w:r>
        <w:rPr>
          <w:rFonts w:hint="eastAsia" w:ascii="宋体" w:hAnsi="宋体"/>
          <w:b/>
          <w:sz w:val="21"/>
          <w:highlight w:val="none"/>
        </w:rPr>
        <w:t xml:space="preserve">项目编号：</w:t>
      </w:r>
      <w:r/>
    </w:p>
    <w:p>
      <w:pPr>
        <w:rPr>
          <w:rFonts w:hint="eastAsia" w:ascii="宋体" w:hAnsi="宋体" w:cs="Times New Roman"/>
          <w:highlight w:val="none"/>
        </w:rPr>
      </w:pPr>
      <w:r>
        <w:rPr>
          <w:rFonts w:hint="eastAsia" w:ascii="宋体" w:hAnsi="宋体" w:cs="Times New Roman"/>
          <w:highlight w:val="none"/>
        </w:rPr>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甲方：</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地址：</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电话：</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传真：</w:t>
      </w:r>
      <w:r/>
    </w:p>
    <w:p>
      <w:pPr>
        <w:ind w:left="0"/>
        <w:jc w:val="left"/>
        <w:spacing w:line="360" w:lineRule="auto"/>
        <w:rPr>
          <w:rFonts w:hint="eastAsia" w:ascii="宋体" w:hAnsi="宋体"/>
          <w:sz w:val="21"/>
          <w:highlight w:val="none"/>
        </w:rPr>
      </w:pPr>
      <w:r>
        <w:rPr>
          <w:rFonts w:hint="eastAsia" w:ascii="宋体" w:hAnsi="宋体"/>
          <w:sz w:val="21"/>
          <w:highlight w:val="none"/>
        </w:rPr>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乙方：</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地址：</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电话：</w:t>
      </w:r>
      <w:r/>
    </w:p>
    <w:p>
      <w:pPr>
        <w:ind w:left="0"/>
        <w:jc w:val="left"/>
        <w:spacing w:line="360" w:lineRule="auto"/>
        <w:rPr>
          <w:rFonts w:hint="eastAsia" w:ascii="宋体" w:hAnsi="宋体"/>
          <w:sz w:val="21"/>
          <w:highlight w:val="none"/>
        </w:rPr>
      </w:pPr>
      <w:r>
        <w:rPr>
          <w:rFonts w:hint="eastAsia" w:ascii="宋体" w:hAnsi="宋体"/>
          <w:sz w:val="21"/>
          <w:highlight w:val="none"/>
        </w:rPr>
        <w:t xml:space="preserve">传真：</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（1）甲方按双月支付。支付费用为应支付费用扣除考核扣分款后支付。考核办法详见第七章附件。</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（2）合同签订后，支付合同金额30%的预付款。</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hint="eastAsia"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2"/>
        <w:spacing w:line="360" w:lineRule="auto"/>
        <w:widowControl w:val="off"/>
        <w:rPr>
          <w:rFonts w:hint="eastAsia"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885"/>
        <w:ind w:left="0" w:firstLine="0"/>
        <w:rPr>
          <w:rFonts w:hint="eastAsia" w:ascii="宋体" w:hAnsi="宋体"/>
          <w:highlight w:val="none"/>
        </w:rPr>
      </w:pPr>
      <w:r>
        <w:rPr>
          <w:rFonts w:hint="eastAsia" w:ascii="宋体" w:hAnsi="宋体"/>
          <w:highlight w:val="none"/>
        </w:rPr>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885"/>
        <w:ind w:left="400" w:firstLine="400"/>
        <w:rPr>
          <w:rFonts w:hint="eastAsia" w:ascii="宋体" w:hAnsi="宋体"/>
          <w:highlight w:val="none"/>
        </w:rPr>
      </w:pPr>
      <w:r>
        <w:rPr>
          <w:rFonts w:hint="eastAsia" w:ascii="宋体" w:hAnsi="宋体"/>
          <w:highlight w:val="none"/>
        </w:rPr>
      </w:r>
      <w:r/>
    </w:p>
    <w:p>
      <w:pPr>
        <w:ind w:left="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合同签订地：</w:t>
      </w:r>
      <w:r/>
    </w:p>
    <w:p>
      <w:pPr>
        <w:pStyle w:val="885"/>
        <w:ind w:left="400" w:firstLine="883"/>
        <w:rPr>
          <w:rFonts w:hint="eastAsia" w:ascii="宋体" w:hAnsi="宋体"/>
          <w:b/>
          <w:sz w:val="44"/>
          <w:szCs w:val="22"/>
          <w:highlight w:val="none"/>
        </w:rPr>
      </w:pPr>
      <w:r>
        <w:rPr>
          <w:rFonts w:hint="eastAsia" w:ascii="宋体" w:hAnsi="宋体"/>
          <w:b/>
          <w:sz w:val="44"/>
          <w:szCs w:val="22"/>
          <w:highlight w:val="none"/>
        </w:rPr>
        <w:t xml:space="preserve"> </w:t>
      </w:r>
      <w:r/>
    </w:p>
    <w:p>
      <w:pPr>
        <w:pStyle w:val="885"/>
        <w:ind w:left="400" w:firstLine="883"/>
        <w:rPr>
          <w:rFonts w:hint="eastAsia" w:ascii="宋体" w:hAnsi="宋体"/>
          <w:b/>
          <w:sz w:val="44"/>
          <w:szCs w:val="22"/>
          <w:highlight w:val="none"/>
        </w:rPr>
      </w:pPr>
      <w:r>
        <w:rPr>
          <w:rFonts w:hint="eastAsia" w:ascii="宋体" w:hAnsi="宋体"/>
          <w:b/>
          <w:sz w:val="44"/>
          <w:szCs w:val="22"/>
          <w:highlight w:val="none"/>
        </w:rPr>
        <w:br w:type="page" w:clear="all"/>
      </w:r>
      <w:r/>
    </w:p>
    <w:p>
      <w:pPr>
        <w:pStyle w:val="827"/>
        <w:ind w:left="0" w:firstLine="0"/>
        <w:jc w:val="center"/>
        <w:rPr>
          <w:rFonts w:hint="eastAsia" w:ascii="宋体" w:hAnsi="宋体"/>
          <w:b/>
          <w:sz w:val="44"/>
          <w:szCs w:val="22"/>
          <w:highlight w:val="none"/>
        </w:rPr>
      </w:pPr>
      <w:r/>
      <w:bookmarkStart w:id="129" w:name="_Toc6538"/>
      <w:r>
        <w:rPr>
          <w:rFonts w:hint="eastAsia" w:ascii="宋体" w:hAnsi="宋体"/>
          <w:b/>
          <w:sz w:val="44"/>
          <w:szCs w:val="22"/>
          <w:highlight w:val="none"/>
        </w:rPr>
        <w:t xml:space="preserve">第六章 </w:t>
      </w:r>
      <w:bookmarkStart w:id="130" w:name="评分要点"/>
      <w:r/>
      <w:bookmarkEnd w:id="130"/>
      <w:r>
        <w:rPr>
          <w:rFonts w:hint="eastAsia" w:ascii="宋体" w:hAnsi="宋体"/>
          <w:b/>
          <w:sz w:val="44"/>
          <w:szCs w:val="22"/>
          <w:highlight w:val="none"/>
        </w:rPr>
        <w:t xml:space="preserve"> 评标办法和评分标准</w:t>
      </w:r>
      <w:bookmarkEnd w:id="126"/>
      <w:r/>
      <w:bookmarkEnd w:id="127"/>
      <w:r/>
      <w:bookmarkEnd w:id="128"/>
      <w:r/>
      <w:bookmarkEnd w:id="129"/>
      <w:r/>
      <w:r/>
    </w:p>
    <w:p>
      <w:pPr>
        <w:ind w:left="0" w:firstLine="422"/>
        <w:spacing w:line="360" w:lineRule="auto"/>
        <w:rPr>
          <w:rFonts w:hint="eastAsia" w:ascii="宋体" w:hAnsi="宋体"/>
          <w:b/>
          <w:sz w:val="21"/>
          <w:szCs w:val="21"/>
          <w:highlight w:val="none"/>
        </w:rPr>
      </w:pPr>
      <w:r/>
      <w:bookmarkStart w:id="131" w:name="_Toc17476"/>
      <w:r/>
      <w:bookmarkStart w:id="132" w:name="_Toc698"/>
      <w:r/>
      <w:bookmarkStart w:id="133" w:name="_Toc16264"/>
      <w:r>
        <w:rPr>
          <w:rFonts w:hint="eastAsia" w:ascii="宋体" w:hAnsi="宋体"/>
          <w:b/>
          <w:sz w:val="21"/>
          <w:szCs w:val="21"/>
          <w:highlight w:val="none"/>
        </w:rPr>
        <w:t xml:space="preserve">一、评标办法：</w:t>
      </w:r>
      <w:bookmarkEnd w:id="131"/>
      <w:r/>
      <w:bookmarkEnd w:id="132"/>
      <w:r/>
      <w:bookmarkEnd w:id="133"/>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38"/>
        <w:rPr>
          <w:highlight w:val="none"/>
        </w:rPr>
      </w:pPr>
      <w:r>
        <w:rPr>
          <w:highlight w:val="none"/>
        </w:rPr>
      </w:r>
      <w:r/>
    </w:p>
    <w:p>
      <w:pPr>
        <w:rPr>
          <w:highlight w:val="none"/>
        </w:rPr>
      </w:pPr>
      <w:r>
        <w:rPr>
          <w:highlight w:val="none"/>
        </w:rPr>
      </w:r>
      <w:r/>
    </w:p>
    <w:p>
      <w:pPr>
        <w:pStyle w:val="838"/>
        <w:rPr>
          <w:highlight w:val="none"/>
        </w:rPr>
      </w:pPr>
      <w:r>
        <w:rPr>
          <w:highlight w:val="none"/>
        </w:rPr>
      </w:r>
      <w:r/>
    </w:p>
    <w:p>
      <w:pPr>
        <w:pStyle w:val="844"/>
        <w:rPr>
          <w:rFonts w:hint="eastAsia" w:ascii="宋体" w:hAnsi="宋体" w:cs="Times New Roman"/>
          <w:highlight w:val="none"/>
        </w:rPr>
      </w:pPr>
      <w:r>
        <w:rPr>
          <w:rFonts w:hint="eastAsia" w:ascii="宋体" w:hAnsi="宋体" w:cs="Times New Roman"/>
          <w:highlight w:val="none"/>
        </w:rPr>
      </w:r>
      <w:r/>
    </w:p>
    <w:p>
      <w:pPr>
        <w:ind w:left="0" w:firstLine="422"/>
        <w:spacing w:line="360" w:lineRule="auto"/>
        <w:rPr>
          <w:rFonts w:hint="eastAsia"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837"/>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hint="eastAsia" w:ascii="宋体" w:hAnsi="宋体" w:cs="Tahoma"/>
                <w:b/>
                <w:color w:val="000000"/>
                <w:sz w:val="21"/>
                <w:szCs w:val="21"/>
                <w:highlight w:val="none"/>
              </w:rPr>
            </w:pPr>
            <w:r>
              <w:rPr>
                <w:rFonts w:hint="eastAsia" w:ascii="宋体" w:hAnsi="宋体" w:cs="Tahoma"/>
                <w:b/>
                <w:color w:val="000000"/>
                <w:sz w:val="21"/>
                <w:szCs w:val="21"/>
                <w:highlight w:val="none"/>
              </w:rPr>
              <w:t xml:space="preserve">（45分）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sz w:val="21"/>
                <w:highlight w:val="none"/>
              </w:rPr>
            </w:pPr>
            <w:r>
              <w:rPr>
                <w:rFonts w:hint="eastAsia" w:ascii="宋体" w:hAnsi="宋体"/>
                <w:color w:val="000000"/>
                <w:sz w:val="21"/>
                <w:szCs w:val="21"/>
                <w:highlight w:val="none"/>
                <w:lang w:bidi="ar"/>
              </w:rPr>
              <w:t xml:space="preserve">投标报价得分＝（评标基准价/投标报价）×</w:t>
            </w:r>
            <w:r>
              <w:rPr>
                <w:rFonts w:ascii="宋体" w:hAnsi="宋体"/>
                <w:color w:val="000000"/>
                <w:sz w:val="21"/>
                <w:szCs w:val="21"/>
                <w:highlight w:val="none"/>
                <w:lang w:bidi="ar"/>
              </w:rPr>
              <w:t xml:space="preserve">4</w:t>
            </w:r>
            <w:r>
              <w:rPr>
                <w:rFonts w:hint="eastAsia" w:ascii="宋体" w:hAnsi="宋体"/>
                <w:color w:val="000000"/>
                <w:sz w:val="21"/>
                <w:szCs w:val="21"/>
                <w:highlight w:val="none"/>
                <w:lang w:bidi="ar"/>
              </w:rPr>
              <w:t xml:space="preserve">5％×100</w:t>
            </w:r>
            <w:r/>
          </w:p>
        </w:tc>
        <w:tc>
          <w:tcPr>
            <w:tcW w:w="2410" w:type="dxa"/>
            <w:vAlign w:val="center"/>
            <w:textDirection w:val="lrTb"/>
            <w:noWrap w:val="false"/>
          </w:tcPr>
          <w:p>
            <w:pPr>
              <w:ind w:left="0"/>
              <w:widowControl w:val="off"/>
              <w:rPr>
                <w:rFonts w:hint="eastAsia" w:ascii="宋体" w:hAnsi="宋体" w:cs="Tahoma"/>
                <w:color w:val="000000"/>
                <w:sz w:val="21"/>
                <w:szCs w:val="21"/>
                <w:highlight w:val="none"/>
              </w:rPr>
            </w:pPr>
            <w:r>
              <w:rPr>
                <w:rFonts w:hint="eastAsia" w:ascii="宋体" w:hAnsi="宋体"/>
                <w:color w:val="000000"/>
                <w:sz w:val="21"/>
                <w:szCs w:val="21"/>
                <w:highlight w:val="none"/>
                <w:lang w:bidi="ar"/>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t xml:space="preserve">（55分）</w:t>
            </w:r>
            <w:r/>
          </w:p>
        </w:tc>
        <w:tc>
          <w:tcPr>
            <w:tcW w:w="1417" w:type="dxa"/>
            <w:vAlign w:val="center"/>
            <w:textDirection w:val="lrTb"/>
            <w:noWrap w:val="false"/>
          </w:tcPr>
          <w:p>
            <w:pPr>
              <w:ind w:left="0"/>
              <w:jc w:val="center"/>
              <w:rPr>
                <w:rFonts w:hint="eastAsia" w:ascii="宋体" w:hAnsi="宋体" w:cs="Tahoma"/>
                <w:color w:val="000000"/>
                <w:sz w:val="21"/>
                <w:szCs w:val="21"/>
                <w:highlight w:val="none"/>
              </w:rPr>
            </w:pPr>
            <w:r>
              <w:rPr>
                <w:rFonts w:hint="eastAsia" w:ascii="宋体" w:hAnsi="宋体" w:cs="Times New Roman"/>
                <w:color w:val="000000"/>
                <w:sz w:val="21"/>
                <w:szCs w:val="21"/>
                <w:highlight w:val="none"/>
              </w:rPr>
              <w:t xml:space="preserve">服务理念及组织架构</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物业管理理念；</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物业服务目标；</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3.梳理服务内容，设置服务组织机构，明确分工及职责。</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none"/>
                <w:lang w:bidi="ar"/>
              </w:rPr>
              <w:t xml:space="preserve">6</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rPr>
                <w:rFonts w:hint="eastAsia" w:ascii="宋体" w:hAnsi="宋体"/>
                <w:sz w:val="21"/>
                <w:szCs w:val="21"/>
                <w:highlight w:val="none"/>
              </w:rPr>
            </w:pPr>
            <w:r>
              <w:rPr>
                <w:rFonts w:hint="eastAsia" w:ascii="宋体" w:hAnsi="宋体"/>
                <w:sz w:val="21"/>
                <w:szCs w:val="21"/>
                <w:highlight w:val="none"/>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投标人根据本项目特点，制定下列管理服务制度。</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项目</w:t>
            </w:r>
            <w:r>
              <w:rPr>
                <w:rFonts w:ascii="宋体" w:hAnsi="宋体" w:cs="Times New Roman"/>
                <w:sz w:val="21"/>
                <w:szCs w:val="21"/>
                <w:highlight w:val="none"/>
              </w:rPr>
              <w:t xml:space="preserve">管理</w:t>
            </w:r>
            <w:r>
              <w:rPr>
                <w:rFonts w:hint="eastAsia" w:ascii="宋体" w:hAnsi="宋体" w:cs="Times New Roman"/>
                <w:sz w:val="21"/>
                <w:szCs w:val="21"/>
                <w:highlight w:val="none"/>
              </w:rPr>
              <w:t xml:space="preserve">服务</w:t>
            </w:r>
            <w:r>
              <w:rPr>
                <w:rFonts w:ascii="宋体" w:hAnsi="宋体" w:cs="Times New Roman"/>
                <w:sz w:val="21"/>
                <w:szCs w:val="21"/>
                <w:highlight w:val="none"/>
              </w:rPr>
              <w:t xml:space="preserve">制度； </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服务人员履职评价及考核制度</w:t>
            </w:r>
            <w:r>
              <w:rPr>
                <w:rFonts w:ascii="宋体" w:hAnsi="宋体" w:cs="Times New Roman"/>
                <w:sz w:val="21"/>
                <w:szCs w:val="21"/>
                <w:highlight w:val="none"/>
              </w:rPr>
              <w:t xml:space="preserve">；</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财务及</w:t>
            </w:r>
            <w:r>
              <w:rPr>
                <w:rFonts w:ascii="宋体" w:hAnsi="宋体" w:cs="Times New Roman"/>
                <w:sz w:val="21"/>
                <w:szCs w:val="21"/>
                <w:highlight w:val="none"/>
              </w:rPr>
              <w:t xml:space="preserve">合同管理制度</w:t>
            </w:r>
            <w:r>
              <w:rPr>
                <w:rFonts w:hint="eastAsia" w:ascii="宋体" w:hAnsi="宋体" w:cs="Times New Roman"/>
                <w:sz w:val="21"/>
                <w:szCs w:val="21"/>
                <w:highlight w:val="none"/>
              </w:rPr>
              <w:t xml:space="preserve">；</w:t>
            </w:r>
            <w:r/>
          </w:p>
          <w:p>
            <w:pPr>
              <w:ind w:left="0"/>
              <w:widowControl w:val="off"/>
              <w:rPr>
                <w:highlight w:val="none"/>
              </w:rPr>
            </w:pPr>
            <w:r>
              <w:rPr>
                <w:rFonts w:hint="eastAsia" w:ascii="宋体" w:hAnsi="宋体"/>
                <w:color w:val="000000"/>
                <w:sz w:val="21"/>
                <w:szCs w:val="21"/>
                <w:highlight w:val="none"/>
                <w:lang w:bidi="ar"/>
              </w:rPr>
              <w:t xml:space="preserve">4</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档案管理制度</w:t>
            </w:r>
            <w:r>
              <w:rPr>
                <w:rFonts w:hint="eastAsia" w:ascii="宋体" w:hAnsi="宋体" w:cs="Times New Roman"/>
                <w:sz w:val="21"/>
                <w:szCs w:val="21"/>
                <w:highlight w:val="none"/>
              </w:rPr>
              <w:t xml:space="preserve">；</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none"/>
                <w:lang w:bidi="ar"/>
              </w:rPr>
              <w:t xml:space="preserve">8</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rPr>
                <w:rFonts w:hint="eastAsia" w:ascii="宋体" w:hAnsi="宋体"/>
                <w:color w:val="000000"/>
                <w:sz w:val="21"/>
                <w:szCs w:val="21"/>
                <w:highlight w:val="none"/>
                <w:lang w:bidi="ar"/>
              </w:rPr>
            </w:pPr>
            <w:r>
              <w:rPr>
                <w:rFonts w:hint="eastAsia" w:ascii="宋体" w:hAnsi="宋体" w:cs="Times New Roman"/>
                <w:color w:val="000000"/>
                <w:sz w:val="21"/>
                <w:szCs w:val="21"/>
                <w:highlight w:val="none"/>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投标人根据本项目特点，制定下列管理服务方案。</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综合服务管理方案</w:t>
            </w:r>
            <w:r>
              <w:rPr>
                <w:rFonts w:hint="eastAsia" w:ascii="宋体" w:hAnsi="宋体"/>
                <w:color w:val="000000"/>
                <w:sz w:val="21"/>
                <w:szCs w:val="21"/>
                <w:highlight w:val="none"/>
                <w:lang w:bidi="ar"/>
              </w:rPr>
              <w:t xml:space="preserve">；</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卫生保洁服务方案；</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访客登记传达服务方案；</w:t>
            </w:r>
            <w:r/>
          </w:p>
          <w:p>
            <w:pPr>
              <w:ind w:left="0"/>
              <w:widowControl w:val="off"/>
              <w:rPr>
                <w:rFonts w:hint="eastAsia" w:ascii="宋体" w:hAnsi="宋体"/>
                <w:color w:val="000000"/>
                <w:sz w:val="21"/>
                <w:szCs w:val="21"/>
                <w:highlight w:val="none"/>
                <w:lang w:bidi="ar"/>
              </w:rPr>
            </w:pPr>
            <w:r>
              <w:rPr>
                <w:rFonts w:hint="eastAsia" w:ascii="宋体" w:hAnsi="宋体" w:cs="Cambria Math"/>
                <w:sz w:val="21"/>
                <w:szCs w:val="21"/>
                <w:highlight w:val="none"/>
              </w:rPr>
              <w:t xml:space="preserve">4</w:t>
            </w:r>
            <w:r>
              <w:rPr>
                <w:rFonts w:ascii="宋体" w:hAnsi="宋体" w:cs="Cambria Math"/>
                <w:sz w:val="21"/>
                <w:szCs w:val="21"/>
                <w:highlight w:val="none"/>
              </w:rPr>
              <w:t xml:space="preserve">.</w:t>
            </w:r>
            <w:r>
              <w:rPr>
                <w:rFonts w:hint="eastAsia" w:ascii="宋体" w:hAnsi="宋体"/>
                <w:color w:val="000000"/>
                <w:sz w:val="21"/>
                <w:szCs w:val="21"/>
                <w:highlight w:val="none"/>
                <w:lang w:bidi="ar"/>
              </w:rPr>
              <w:t xml:space="preserve">服务人员管理方案；</w:t>
            </w:r>
            <w:r/>
          </w:p>
          <w:p>
            <w:pPr>
              <w:ind w:left="0"/>
              <w:widowControl w:val="off"/>
              <w:rPr>
                <w:rFonts w:hint="eastAsia" w:ascii="宋体" w:hAnsi="宋体" w:cs="Cambria Math"/>
                <w:sz w:val="21"/>
                <w:szCs w:val="21"/>
                <w:highlight w:val="none"/>
              </w:rPr>
            </w:pPr>
            <w:r>
              <w:rPr>
                <w:rFonts w:hint="eastAsia" w:ascii="宋体" w:hAnsi="宋体" w:cs="Cambria Math"/>
                <w:sz w:val="21"/>
                <w:szCs w:val="21"/>
                <w:highlight w:val="none"/>
              </w:rPr>
              <w:t xml:space="preserve">5</w:t>
            </w:r>
            <w:r>
              <w:rPr>
                <w:rFonts w:ascii="宋体" w:hAnsi="宋体" w:cs="Cambria Math"/>
                <w:sz w:val="21"/>
                <w:szCs w:val="21"/>
                <w:highlight w:val="none"/>
              </w:rPr>
              <w:t xml:space="preserve">.</w:t>
            </w:r>
            <w:r>
              <w:rPr>
                <w:rFonts w:hint="eastAsia" w:ascii="宋体" w:hAnsi="宋体" w:cs="Cambria Math"/>
                <w:sz w:val="21"/>
                <w:szCs w:val="21"/>
                <w:highlight w:val="none"/>
              </w:rPr>
              <w:t xml:space="preserve">进场交接方案；</w:t>
            </w:r>
            <w:r/>
          </w:p>
          <w:p>
            <w:pPr>
              <w:ind w:left="0"/>
              <w:widowControl w:val="off"/>
              <w:rPr>
                <w:rFonts w:hint="eastAsia" w:ascii="宋体" w:hAnsi="宋体" w:cs="Cambria Math"/>
                <w:sz w:val="21"/>
                <w:szCs w:val="21"/>
                <w:highlight w:val="none"/>
              </w:rPr>
            </w:pPr>
            <w:r>
              <w:rPr>
                <w:rFonts w:hint="eastAsia" w:ascii="宋体" w:hAnsi="宋体" w:cs="Cambria Math"/>
                <w:sz w:val="21"/>
                <w:szCs w:val="21"/>
                <w:highlight w:val="none"/>
              </w:rPr>
              <w:t xml:space="preserve">6</w:t>
            </w:r>
            <w:r>
              <w:rPr>
                <w:rFonts w:ascii="宋体" w:hAnsi="宋体" w:cs="Cambria Math"/>
                <w:sz w:val="21"/>
                <w:szCs w:val="21"/>
                <w:highlight w:val="none"/>
              </w:rPr>
              <w:t xml:space="preserve">.</w:t>
            </w:r>
            <w:r>
              <w:rPr>
                <w:rFonts w:hint="eastAsia" w:ascii="宋体" w:hAnsi="宋体" w:cs="Cambria Math"/>
                <w:sz w:val="21"/>
                <w:szCs w:val="21"/>
                <w:highlight w:val="none"/>
              </w:rPr>
              <w:t xml:space="preserve">应急管理方案；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none"/>
                <w:lang w:bidi="ar"/>
              </w:rPr>
              <w:t xml:space="preserve">12</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服务创新</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客户满意度提升方案</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none"/>
                <w:lang w:bidi="ar"/>
              </w:rPr>
              <w:t xml:space="preserve">2</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rPr>
              <w:t xml:space="preserve">▲保安队长兼任项目负责人</w:t>
            </w:r>
            <w:r/>
          </w:p>
        </w:tc>
        <w:tc>
          <w:tcPr>
            <w:tcW w:w="4678" w:type="dxa"/>
            <w:vAlign w:val="center"/>
            <w:textDirection w:val="lrTb"/>
            <w:noWrap w:val="false"/>
          </w:tcPr>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投标人拟派的保安队长兼任项目负责人具备：</w:t>
            </w:r>
            <w:r/>
          </w:p>
          <w:p>
            <w:pPr>
              <w:numPr>
                <w:ilvl w:val="0"/>
                <w:numId w:val="2"/>
              </w:numPr>
              <w:widowControl w:val="off"/>
              <w:rPr>
                <w:rFonts w:hint="eastAsia" w:ascii="宋体" w:hAnsi="宋体"/>
                <w:color w:val="000000"/>
                <w:sz w:val="21"/>
                <w:szCs w:val="21"/>
                <w:highlight w:val="none"/>
                <w:lang w:bidi="ar"/>
              </w:rPr>
            </w:pPr>
            <w:r>
              <w:rPr>
                <w:rFonts w:hint="eastAsia" w:ascii="宋体" w:hAnsi="宋体"/>
                <w:color w:val="000000" w:themeColor="text1"/>
                <w:sz w:val="21"/>
                <w:szCs w:val="22"/>
                <w:highlight w:val="none"/>
                <w14:textFill>
                  <w14:solidFill>
                    <w14:schemeClr w14:val="tx1"/>
                  </w14:solidFill>
                </w14:textFill>
              </w:rPr>
              <w:t xml:space="preserve">物业项目经理证或物业管理从业人员岗位证书</w:t>
            </w:r>
            <w:r>
              <w:rPr>
                <w:rFonts w:hint="eastAsia" w:ascii="宋体" w:hAnsi="宋体"/>
                <w:color w:val="000000"/>
                <w:sz w:val="21"/>
                <w:szCs w:val="21"/>
                <w:highlight w:val="none"/>
                <w:lang w:bidi="ar"/>
              </w:rPr>
              <w:t xml:space="preserve">；</w:t>
            </w:r>
            <w:r/>
          </w:p>
          <w:p>
            <w:pPr>
              <w:numPr>
                <w:ilvl w:val="0"/>
                <w:numId w:val="2"/>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中级（国家职业资格四级）及以上保安员职业资格证书；</w:t>
            </w:r>
            <w:r/>
          </w:p>
          <w:p>
            <w:pPr>
              <w:numPr>
                <w:ilvl w:val="0"/>
                <w:numId w:val="2"/>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大专或以上学历证书；</w:t>
            </w:r>
            <w:r/>
          </w:p>
          <w:p>
            <w:pPr>
              <w:numPr>
                <w:ilvl w:val="0"/>
                <w:numId w:val="2"/>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5年及以上相关工作经验；</w:t>
            </w:r>
            <w:r/>
          </w:p>
          <w:p>
            <w:pPr>
              <w:numPr>
                <w:ilvl w:val="0"/>
                <w:numId w:val="2"/>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红十字会颁发的救护员证或救护培训合格证书。</w:t>
            </w:r>
            <w:r/>
          </w:p>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每项得1分，共5分。</w:t>
            </w:r>
            <w:r/>
          </w:p>
          <w:p>
            <w:pPr>
              <w:ind w:left="0"/>
              <w:widowControl w:val="off"/>
              <w:rPr>
                <w:rFonts w:hint="eastAsia" w:ascii="宋体" w:hAnsi="宋体"/>
                <w:b/>
                <w:color w:val="000000"/>
                <w:sz w:val="21"/>
                <w:szCs w:val="21"/>
                <w:highlight w:val="none"/>
                <w:lang w:bidi="ar"/>
              </w:rPr>
            </w:pPr>
            <w:r>
              <w:rPr>
                <w:rFonts w:hint="eastAsia" w:ascii="宋体" w:hAnsi="宋体"/>
                <w:b/>
                <w:color w:val="000000"/>
                <w:sz w:val="21"/>
                <w:szCs w:val="21"/>
                <w:highlight w:val="none"/>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w:t>
            </w:r>
            <w:r/>
          </w:p>
        </w:tc>
      </w:tr>
      <w:tr>
        <w:trPr>
          <w:trHeight w:val="1669"/>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▲保洁主管</w:t>
            </w:r>
            <w:r/>
          </w:p>
        </w:tc>
        <w:tc>
          <w:tcPr>
            <w:tcW w:w="467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投标人拟派本保洁主管具备：</w:t>
            </w:r>
            <w:r/>
          </w:p>
          <w:p>
            <w:pPr>
              <w:numPr>
                <w:ilvl w:val="255"/>
                <w:numId w:val="0"/>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1.具有大专或以上学历证书。</w:t>
            </w:r>
            <w:r/>
          </w:p>
          <w:p>
            <w:pPr>
              <w:numPr>
                <w:ilvl w:val="255"/>
                <w:numId w:val="0"/>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2.5年及以上相关工作经验；</w:t>
            </w:r>
            <w:r/>
          </w:p>
          <w:p>
            <w:pPr>
              <w:numPr>
                <w:ilvl w:val="255"/>
                <w:numId w:val="0"/>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3.红十字会颁发的救护员证或救护培训合格证书</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每项得1分，共3分。</w:t>
            </w:r>
            <w:r/>
          </w:p>
          <w:p>
            <w:pPr>
              <w:ind w:left="0"/>
              <w:widowControl w:val="off"/>
              <w:rPr>
                <w:rFonts w:hint="eastAsia" w:ascii="宋体" w:hAnsi="宋体" w:cs="Times New Roman"/>
                <w:sz w:val="21"/>
                <w:szCs w:val="21"/>
                <w:highlight w:val="none"/>
              </w:rPr>
            </w:pPr>
            <w:r>
              <w:rPr>
                <w:rFonts w:hint="eastAsia" w:ascii="宋体" w:hAnsi="宋体"/>
                <w:b/>
                <w:color w:val="000000"/>
                <w:sz w:val="21"/>
                <w:szCs w:val="21"/>
                <w:highlight w:val="none"/>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▲服务人员专业要求</w:t>
            </w:r>
            <w:r>
              <w:rPr>
                <w:rFonts w:hint="eastAsia" w:ascii="宋体" w:hAnsi="宋体" w:cs="Times New Roman"/>
                <w:b/>
                <w:sz w:val="21"/>
                <w:szCs w:val="21"/>
                <w:highlight w:val="none"/>
              </w:rPr>
              <w:t xml:space="preserve">（本项人员不得与</w:t>
            </w:r>
            <w:r>
              <w:rPr>
                <w:rFonts w:hint="eastAsia" w:ascii="宋体" w:hAnsi="宋体"/>
                <w:b/>
                <w:bCs/>
                <w:color w:val="000000"/>
                <w:sz w:val="21"/>
                <w:szCs w:val="21"/>
                <w:highlight w:val="none"/>
              </w:rPr>
              <w:t xml:space="preserve">保安队长兼任项目负责人</w:t>
            </w:r>
            <w:r>
              <w:rPr>
                <w:rFonts w:hint="eastAsia" w:ascii="宋体" w:hAnsi="宋体" w:cs="Times New Roman"/>
                <w:b/>
                <w:sz w:val="21"/>
                <w:szCs w:val="21"/>
                <w:highlight w:val="none"/>
              </w:rPr>
              <w:t xml:space="preserve">、保洁主管主管重复）</w:t>
            </w:r>
            <w:r/>
          </w:p>
        </w:tc>
        <w:tc>
          <w:tcPr>
            <w:tcW w:w="467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投标人拟派本项目服务人员具备：</w:t>
            </w:r>
            <w:r>
              <w:rPr>
                <w:rFonts w:ascii="宋体" w:hAnsi="宋体" w:cs="Times New Roman"/>
                <w:sz w:val="21"/>
                <w:szCs w:val="21"/>
                <w:highlight w:val="none"/>
              </w:rPr>
              <w:t xml:space="preserve"> </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5</w:t>
            </w:r>
            <w:r>
              <w:rPr>
                <w:rFonts w:hint="eastAsia" w:ascii="宋体" w:hAnsi="宋体"/>
                <w:color w:val="000000" w:themeColor="text1"/>
                <w:sz w:val="21"/>
                <w:szCs w:val="22"/>
                <w:highlight w:val="none"/>
                <w14:textFill>
                  <w14:solidFill>
                    <w14:schemeClr w14:val="tx1"/>
                  </w14:solidFill>
                </w14:textFill>
              </w:rPr>
              <w:t xml:space="preserve">年或以上相关工作经验，每具备1人得1分，最高得3分；</w:t>
            </w:r>
            <w:r>
              <w:rPr>
                <w:rFonts w:ascii="宋体" w:hAnsi="宋体" w:cs="Times New Roman"/>
                <w:sz w:val="21"/>
                <w:szCs w:val="21"/>
                <w:highlight w:val="none"/>
              </w:rPr>
              <w:t xml:space="preserve"> </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rPr>
                <w:rFonts w:ascii="宋体" w:hAnsi="宋体" w:cs="Times New Roman"/>
                <w:sz w:val="21"/>
                <w:szCs w:val="21"/>
                <w:highlight w:val="none"/>
              </w:rPr>
              <w:t xml:space="preserve">.</w:t>
            </w:r>
            <w:r>
              <w:rPr>
                <w:rFonts w:hint="eastAsia" w:ascii="宋体" w:hAnsi="宋体"/>
                <w:color w:val="000000"/>
                <w:sz w:val="21"/>
                <w:szCs w:val="21"/>
                <w:highlight w:val="none"/>
                <w:lang w:bidi="ar"/>
              </w:rPr>
              <w:t xml:space="preserve">红十字会颁发的救护员证或救护培训合格证书</w:t>
            </w:r>
            <w:r>
              <w:rPr>
                <w:rFonts w:hint="eastAsia" w:ascii="宋体" w:hAnsi="宋体" w:cs="Times New Roman"/>
                <w:sz w:val="21"/>
                <w:szCs w:val="21"/>
                <w:highlight w:val="none"/>
              </w:rPr>
              <w:t xml:space="preserve">，每具备1人得1分，最高得3分；</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本项最高6分。</w:t>
            </w:r>
            <w:r/>
          </w:p>
          <w:p>
            <w:pPr>
              <w:ind w:left="0"/>
              <w:widowControl w:val="off"/>
              <w:rPr>
                <w:rFonts w:hint="eastAsia"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color w:val="000000"/>
                <w:sz w:val="21"/>
                <w:szCs w:val="21"/>
                <w:highlight w:val="none"/>
              </w:rPr>
              <w:t xml:space="preserve">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，未提供不得分</w:t>
            </w:r>
            <w:r>
              <w:rPr>
                <w:rFonts w:hint="eastAsia" w:ascii="宋体" w:hAnsi="宋体" w:cs="Times New Roman"/>
                <w:b/>
                <w:sz w:val="21"/>
                <w:szCs w:val="21"/>
                <w:highlight w:val="none"/>
              </w:rPr>
              <w:t xml:space="preserve">（本项人员不得与</w:t>
            </w:r>
            <w:r>
              <w:rPr>
                <w:rFonts w:hint="eastAsia" w:ascii="宋体" w:hAnsi="宋体"/>
                <w:b/>
                <w:bCs/>
                <w:color w:val="000000"/>
                <w:sz w:val="21"/>
                <w:szCs w:val="21"/>
                <w:highlight w:val="none"/>
              </w:rPr>
              <w:t xml:space="preserve">保安队长兼任项目负责人</w:t>
            </w:r>
            <w:r>
              <w:rPr>
                <w:rFonts w:hint="eastAsia" w:ascii="宋体" w:hAnsi="宋体" w:cs="Times New Roman"/>
                <w:b/>
                <w:sz w:val="21"/>
                <w:szCs w:val="21"/>
                <w:highlight w:val="none"/>
              </w:rPr>
              <w:t xml:space="preserve">、保洁主管主管重复）</w:t>
            </w:r>
            <w:r>
              <w:rPr>
                <w:rFonts w:hint="eastAsia" w:ascii="宋体" w:hAnsi="宋体"/>
                <w:b/>
                <w:color w:val="000000"/>
                <w:sz w:val="21"/>
                <w:szCs w:val="21"/>
                <w:highlight w:val="none"/>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s="Times New Roman"/>
                <w:bCs/>
                <w:sz w:val="21"/>
                <w:szCs w:val="21"/>
                <w:highlight w:val="none"/>
              </w:rPr>
              <w:t xml:space="preserve">▲体系认证</w:t>
            </w:r>
            <w:r/>
          </w:p>
        </w:tc>
        <w:tc>
          <w:tcPr>
            <w:tcW w:w="4678" w:type="dxa"/>
            <w:vAlign w:val="center"/>
            <w:textDirection w:val="lrTb"/>
            <w:noWrap w:val="false"/>
          </w:tcPr>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投</w:t>
            </w:r>
            <w:r>
              <w:rPr>
                <w:rFonts w:ascii="宋体" w:hAnsi="宋体"/>
                <w:sz w:val="21"/>
                <w:szCs w:val="21"/>
                <w:highlight w:val="none"/>
                <w:lang w:val="zh-CN" w:bidi="zh-CN"/>
              </w:rPr>
              <w:t xml:space="preserve">标人</w:t>
            </w:r>
            <w:r>
              <w:rPr>
                <w:rFonts w:hint="eastAsia" w:ascii="宋体" w:hAnsi="宋体"/>
                <w:sz w:val="21"/>
                <w:szCs w:val="21"/>
                <w:highlight w:val="none"/>
                <w:lang w:val="zh-CN" w:bidi="zh-CN"/>
              </w:rPr>
              <w:t xml:space="preserve">具备：</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1</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质量管理体系认证证书；</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2</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环境管理体系认证证书；</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3</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职业</w:t>
            </w:r>
            <w:r>
              <w:rPr>
                <w:rFonts w:hint="eastAsia" w:ascii="宋体" w:hAnsi="宋体"/>
                <w:sz w:val="21"/>
                <w:szCs w:val="21"/>
                <w:highlight w:val="none"/>
                <w:lang w:bidi="zh-CN"/>
              </w:rPr>
              <w:t xml:space="preserve">健康安全管理</w:t>
            </w:r>
            <w:r>
              <w:rPr>
                <w:rFonts w:hint="eastAsia" w:ascii="宋体" w:hAnsi="宋体"/>
                <w:sz w:val="21"/>
                <w:szCs w:val="21"/>
                <w:highlight w:val="none"/>
                <w:lang w:val="zh-CN" w:bidi="zh-CN"/>
              </w:rPr>
              <w:t xml:space="preserve">体系认证证书；</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每项得1分，最高得3分。</w:t>
            </w:r>
            <w:r/>
          </w:p>
          <w:p>
            <w:pPr>
              <w:ind w:left="0"/>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投标文件内须提供有效证书扫描件及国家认证认可监督管理委员会官方网站上的查询截图</w:t>
            </w:r>
            <w:r>
              <w:rPr>
                <w:rFonts w:hint="eastAsia" w:ascii="宋体" w:hAnsi="宋体"/>
                <w:b/>
                <w:color w:val="000000"/>
                <w:sz w:val="21"/>
                <w:szCs w:val="21"/>
                <w:highlight w:val="none"/>
              </w:rPr>
              <w:t xml:space="preserve">并加盖投标人公章</w:t>
            </w:r>
            <w:r>
              <w:rPr>
                <w:rFonts w:hint="eastAsia" w:ascii="宋体" w:hAnsi="宋体" w:cs="Times New Roman"/>
                <w:b/>
                <w:sz w:val="21"/>
                <w:szCs w:val="21"/>
                <w:highlight w:val="none"/>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s="Times New Roman"/>
                <w:bCs/>
                <w:sz w:val="21"/>
                <w:szCs w:val="21"/>
                <w:highlight w:val="none"/>
              </w:rPr>
            </w:pPr>
            <w:r>
              <w:rPr>
                <w:rFonts w:hint="eastAsia" w:ascii="宋体" w:hAnsi="宋体" w:cs="Times New Roman"/>
                <w:sz w:val="21"/>
                <w:szCs w:val="21"/>
                <w:highlight w:val="none"/>
              </w:rPr>
              <w:t xml:space="preserve">▲获奖情况</w:t>
            </w:r>
            <w:r/>
          </w:p>
        </w:tc>
        <w:tc>
          <w:tcPr>
            <w:tcW w:w="4678" w:type="dxa"/>
            <w:vAlign w:val="center"/>
            <w:textDirection w:val="lrTb"/>
            <w:noWrap w:val="false"/>
          </w:tcPr>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投标人自202</w:t>
            </w:r>
            <w:r>
              <w:rPr>
                <w:rFonts w:hint="eastAsia" w:ascii="宋体" w:hAnsi="宋体"/>
                <w:sz w:val="21"/>
                <w:szCs w:val="21"/>
                <w:highlight w:val="none"/>
                <w:lang w:bidi="zh-CN"/>
              </w:rPr>
              <w:t xml:space="preserve">3</w:t>
            </w:r>
            <w:r>
              <w:rPr>
                <w:rFonts w:hint="eastAsia" w:ascii="宋体" w:hAnsi="宋体"/>
                <w:sz w:val="21"/>
                <w:szCs w:val="21"/>
                <w:highlight w:val="none"/>
                <w:lang w:val="zh-CN" w:bidi="zh-CN"/>
              </w:rPr>
              <w:t xml:space="preserve">年1月1日以来获得过政府主管部门颁发的物业管理相关项目荣誉或表彰，</w:t>
            </w:r>
            <w:r>
              <w:rPr>
                <w:rFonts w:hint="eastAsia" w:ascii="宋体" w:hAnsi="宋体"/>
                <w:sz w:val="21"/>
                <w:szCs w:val="21"/>
                <w:highlight w:val="none"/>
                <w:lang w:bidi="zh-CN"/>
              </w:rPr>
              <w:t xml:space="preserve">每</w:t>
            </w:r>
            <w:r>
              <w:rPr>
                <w:rFonts w:hint="eastAsia" w:ascii="宋体" w:hAnsi="宋体"/>
                <w:sz w:val="21"/>
                <w:szCs w:val="21"/>
                <w:highlight w:val="none"/>
                <w:lang w:val="zh-CN" w:bidi="zh-CN"/>
              </w:rPr>
              <w:t xml:space="preserve">有一项得</w:t>
            </w:r>
            <w:r>
              <w:rPr>
                <w:rFonts w:hint="eastAsia" w:ascii="宋体" w:hAnsi="宋体"/>
                <w:sz w:val="21"/>
                <w:szCs w:val="21"/>
                <w:highlight w:val="none"/>
                <w:lang w:bidi="zh-CN"/>
              </w:rPr>
              <w:t xml:space="preserve">1</w:t>
            </w:r>
            <w:r>
              <w:rPr>
                <w:rFonts w:hint="eastAsia" w:ascii="宋体" w:hAnsi="宋体"/>
                <w:sz w:val="21"/>
                <w:szCs w:val="21"/>
                <w:highlight w:val="none"/>
                <w:lang w:val="zh-CN" w:bidi="zh-CN"/>
              </w:rPr>
              <w:t xml:space="preserve">分，最高得</w:t>
            </w:r>
            <w:r>
              <w:rPr>
                <w:rFonts w:hint="eastAsia" w:ascii="宋体" w:hAnsi="宋体"/>
                <w:sz w:val="21"/>
                <w:szCs w:val="21"/>
                <w:highlight w:val="none"/>
                <w:lang w:bidi="zh-CN"/>
              </w:rPr>
              <w:t xml:space="preserve">2</w:t>
            </w:r>
            <w:r>
              <w:rPr>
                <w:rFonts w:hint="eastAsia" w:ascii="宋体" w:hAnsi="宋体"/>
                <w:sz w:val="21"/>
                <w:szCs w:val="21"/>
                <w:highlight w:val="none"/>
                <w:lang w:val="zh-CN" w:bidi="zh-CN"/>
              </w:rPr>
              <w:t xml:space="preserve">分。</w:t>
            </w:r>
            <w:r/>
          </w:p>
          <w:p>
            <w:pPr>
              <w:ind w:left="0"/>
              <w:widowControl w:val="off"/>
              <w:rPr>
                <w:rFonts w:hint="eastAsia" w:ascii="宋体" w:hAnsi="宋体"/>
                <w:b/>
                <w:sz w:val="21"/>
                <w:szCs w:val="21"/>
                <w:highlight w:val="none"/>
                <w:lang w:val="zh-CN" w:bidi="zh-CN"/>
              </w:rPr>
            </w:pPr>
            <w:r>
              <w:rPr>
                <w:rFonts w:hint="eastAsia" w:ascii="宋体" w:hAnsi="宋体"/>
                <w:b/>
                <w:sz w:val="21"/>
                <w:szCs w:val="21"/>
                <w:highlight w:val="none"/>
                <w:lang w:val="zh-CN" w:bidi="zh-CN"/>
              </w:rPr>
              <w:t xml:space="preserve">注：投标文件中须提供以上</w:t>
            </w:r>
            <w:r>
              <w:rPr>
                <w:rFonts w:hint="eastAsia" w:ascii="宋体" w:hAnsi="宋体"/>
                <w:b/>
                <w:sz w:val="21"/>
                <w:szCs w:val="21"/>
                <w:highlight w:val="none"/>
                <w:lang w:bidi="zh-CN"/>
              </w:rPr>
              <w:t xml:space="preserve">证书或证明</w:t>
            </w:r>
            <w:r>
              <w:rPr>
                <w:rFonts w:hint="eastAsia" w:ascii="宋体" w:hAnsi="宋体"/>
                <w:b/>
                <w:sz w:val="21"/>
                <w:szCs w:val="21"/>
                <w:highlight w:val="none"/>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highlight w:val="none"/>
              </w:rPr>
            </w:pPr>
            <w:r>
              <w:rPr>
                <w:rFonts w:hint="eastAsia"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b/>
                <w:bCs/>
                <w:color w:val="000000"/>
                <w:sz w:val="21"/>
                <w:szCs w:val="21"/>
                <w:highlight w:val="none"/>
              </w:rPr>
              <w:t xml:space="preserve">▲</w:t>
            </w:r>
            <w:r>
              <w:rPr>
                <w:rFonts w:hint="eastAsia" w:ascii="宋体" w:hAnsi="宋体"/>
                <w:color w:val="000000"/>
                <w:sz w:val="21"/>
                <w:szCs w:val="21"/>
                <w:highlight w:val="none"/>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投标人提供自202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年1月1日（以合同签订日期为准）以来承担的类似物业服务项目业绩，每具备1项业绩得2分，最高得6分。</w:t>
            </w:r>
            <w:r/>
          </w:p>
          <w:p>
            <w:pPr>
              <w:ind w:left="0"/>
              <w:widowControl w:val="off"/>
              <w:rPr>
                <w:rFonts w:hint="eastAsia"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bCs/>
                <w:sz w:val="21"/>
                <w:szCs w:val="21"/>
                <w:highlight w:val="none"/>
              </w:rPr>
              <w:t xml:space="preserve">提供有效合同</w:t>
            </w:r>
            <w:r>
              <w:rPr>
                <w:rFonts w:hint="eastAsia" w:ascii="宋体" w:hAnsi="宋体" w:cs="Times New Roman"/>
                <w:b/>
                <w:color w:val="000000"/>
                <w:sz w:val="21"/>
                <w:szCs w:val="21"/>
                <w:highlight w:val="none"/>
              </w:rPr>
              <w:t xml:space="preserve">扫描件和任意一期发票</w:t>
            </w:r>
            <w:r>
              <w:rPr>
                <w:rFonts w:hint="eastAsia" w:ascii="宋体" w:hAnsi="宋体"/>
                <w:b/>
                <w:color w:val="000000"/>
                <w:sz w:val="21"/>
                <w:szCs w:val="21"/>
                <w:highlight w:val="none"/>
              </w:rPr>
              <w:t xml:space="preserve">并加盖投标人公章</w:t>
            </w:r>
            <w:r>
              <w:rPr>
                <w:rFonts w:hint="eastAsia" w:ascii="宋体" w:hAnsi="宋体" w:cs="Times New Roman"/>
                <w:b/>
                <w:color w:val="000000"/>
                <w:sz w:val="21"/>
                <w:szCs w:val="21"/>
                <w:highlight w:val="none"/>
              </w:rPr>
              <w:t xml:space="preserve">，未提供不得分</w:t>
            </w:r>
            <w:r>
              <w:rPr>
                <w:rFonts w:hint="eastAsia" w:ascii="宋体" w:hAnsi="宋体"/>
                <w:b/>
                <w:bCs/>
                <w:sz w:val="21"/>
                <w:szCs w:val="21"/>
                <w:highlight w:val="none"/>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w:t>
            </w:r>
            <w:r/>
          </w:p>
        </w:tc>
      </w:tr>
    </w:tbl>
    <w:p>
      <w:pPr>
        <w:ind w:left="0" w:firstLine="420"/>
        <w:spacing w:line="360" w:lineRule="auto"/>
        <w:rPr>
          <w:rFonts w:hint="eastAsia" w:ascii="宋体" w:hAnsi="宋体"/>
          <w:sz w:val="21"/>
          <w:highlight w:val="none"/>
        </w:rPr>
      </w:pPr>
      <w:r>
        <w:rPr>
          <w:rFonts w:hint="eastAsia" w:ascii="宋体" w:hAnsi="宋体"/>
          <w:sz w:val="21"/>
          <w:highlight w:val="none"/>
        </w:rPr>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备注：</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rPr>
          <w:rFonts w:hint="eastAsia" w:ascii="宋体" w:hAnsi="宋体"/>
          <w:sz w:val="21"/>
          <w:highlight w:val="none"/>
        </w:rPr>
      </w:pPr>
      <w:r>
        <w:rPr>
          <w:rFonts w:hint="eastAsia" w:ascii="宋体" w:hAnsi="宋体"/>
          <w:sz w:val="21"/>
          <w:highlight w:val="none"/>
        </w:rPr>
        <w:br w:type="page" w:clear="all"/>
      </w:r>
      <w:r/>
    </w:p>
    <w:p>
      <w:pPr>
        <w:pStyle w:val="827"/>
        <w:ind w:left="0" w:firstLine="0"/>
        <w:jc w:val="center"/>
        <w:rPr>
          <w:rFonts w:hint="eastAsia" w:ascii="宋体" w:hAnsi="宋体"/>
          <w:b/>
          <w:sz w:val="44"/>
          <w:szCs w:val="22"/>
          <w:highlight w:val="none"/>
        </w:rPr>
      </w:pPr>
      <w:r/>
      <w:bookmarkStart w:id="134" w:name="_Toc32761"/>
      <w:r>
        <w:rPr>
          <w:rFonts w:hint="eastAsia" w:ascii="宋体" w:hAnsi="宋体"/>
          <w:b/>
          <w:sz w:val="44"/>
          <w:szCs w:val="22"/>
          <w:highlight w:val="none"/>
        </w:rPr>
        <w:t xml:space="preserve">第七章 附件</w:t>
      </w:r>
      <w:bookmarkEnd w:id="134"/>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一、考核方式与评分标准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 考核形式</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采购人采取定期检查与不定期抽查相结合的方式，对中标单位的服务质量进行监督。每次检查记录及整改要求均以书面形式反馈中标单位。</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 月度考核</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每月由采购单位各部门对“清卫保洁”、“公共秩序管理”、“维修维护”、“会务服务”、“餐饮管理”等物业服务内容进行综合考评（具体见《月度服务考核表》），得出当月考核得分。物业服务实行百分制考核。</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 年度考核</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月度考核达标线为95分（含）。在一个年度服务期内，出现以下任一情形，视为年度综合考评不达标，采购人有权单方面解除合同：</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 累计三次月度考核得分低于75分（即月度不达标）；</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 连续两个月考核得分不满60分；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 出现本办法约定的其他严重违约情形。</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二、月度考核扣款标准（分段累计）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月度考核得分低于95分时，按以下分段累计方式扣减当月应付服务费： </w:t>
      </w:r>
      <w:r/>
    </w:p>
    <w:tbl>
      <w:tblPr>
        <w:tblStyle w:val="886"/>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41"/>
        <w:gridCol w:w="2952"/>
        <w:gridCol w:w="3085"/>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sz w:val="21"/>
                <w:szCs w:val="21"/>
                <w:highlight w:val="none"/>
              </w:rPr>
              <w:t xml:space="preserve">得分区间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sz w:val="21"/>
                <w:szCs w:val="21"/>
                <w:highlight w:val="none"/>
              </w:rPr>
              <w:t xml:space="preserve">扣款比例（每低1分）</w:t>
            </w:r>
            <w:r/>
          </w:p>
        </w:tc>
        <w:tc>
          <w:tcPr>
            <w:shd w:val="clear" w:color="auto" w:fill="ffffff"/>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sz w:val="21"/>
                <w:szCs w:val="21"/>
                <w:highlight w:val="none"/>
              </w:rPr>
              <w:t xml:space="preserve">计算示例（得分89分）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95分以下至90分（含）</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lef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38"/>
              <w:ind w:left="0" w:firstLine="0"/>
              <w:jc w:val="righ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(95-90)×1% = 5%</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90分以下至85分（含）</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lef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1.5% </w:t>
            </w:r>
            <w:r/>
          </w:p>
        </w:tc>
        <w:tc>
          <w:tcPr>
            <w:shd w:val="clear" w:color="auto" w:fill="ffffff"/>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38"/>
              <w:ind w:left="0" w:firstLine="0"/>
              <w:jc w:val="righ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(90-89)×1.5% = 1.5%</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85分以下至75分（含） 3%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lef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38"/>
              <w:ind w:left="0" w:firstLine="0"/>
              <w:jc w:val="righ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041"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75分以下</w:t>
            </w:r>
            <w:r/>
          </w:p>
        </w:tc>
        <w:tc>
          <w:tcPr>
            <w:shd w:val="clear" w:color="auto" w:fill="ffffff"/>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Style w:val="838"/>
              <w:ind w:left="0" w:firstLine="0"/>
              <w:jc w:val="lef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pStyle w:val="838"/>
              <w:ind w:left="0" w:firstLine="0"/>
              <w:jc w:val="right"/>
              <w:spacing w:line="24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p>
        </w:tc>
      </w:tr>
    </w:tbl>
    <w:p>
      <w:pPr>
        <w:ind w:left="0" w:firstLine="400"/>
        <w:spacing w:line="360" w:lineRule="auto"/>
        <w:rPr>
          <w:rFonts w:hint="eastAsia" w:ascii="宋体" w:hAnsi="宋体"/>
          <w:sz w:val="21"/>
          <w:highlight w:val="none"/>
        </w:rPr>
      </w:pPr>
      <w:r>
        <w:rPr>
          <w:rFonts w:hint="eastAsia"/>
          <w:highlight w:val="none"/>
        </w:rPr>
        <w:t xml:space="preserve">   </w:t>
      </w:r>
      <w:r>
        <w:rPr>
          <w:rFonts w:hint="eastAsia" w:ascii="宋体" w:hAnsi="宋体"/>
          <w:sz w:val="21"/>
          <w:highlight w:val="none"/>
        </w:rPr>
        <w:t xml:space="preserve"> 说明：扣款总额以当月全部应付服务费为上限。示例：若当月得分89分，则当月扣款比例为 5% + 1.5% = 6.5%。</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三、人员配置与证书管理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 证书审核</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采购单位有权要求中标单位在指定期限内提交本项目所涉人员的资格证书原件进行核查。每逾期一日（按自然日计算），每本证书按100元的标准从项目款中扣除。</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 人员配置标准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中标单位须严格按照招标文件及投标承诺，确保派驻人员的数量、资质、经验符合要求。严禁出现以下情形：人员数量少于投标承诺；人员资质低于招标文件或投标文件标准；未经采购单位书面同意，擅自更换项目经理或任何服务人员。</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 低配/缺员扣款</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发生上述“人员未按要求配置到位”情形的，按以下标准追回相应服务费用：</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扣款基数：按该人员岗位对应的中标单价（元/月）计算；</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扣款时长：从缺配之日起，至配备合格人员之日止，按实际缺配天数折算；</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折算公式：（岗位月薪 ÷ 30天）× 缺配天数。</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4. 人员超龄处理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本项目配备人员均不得超过规定的劳动年龄上限。原则上超龄人员不予计薪聘用；特殊情况确需聘用的，须经双方协商一致，并另行约定扣款或处理方式。</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四、服务质量与行为规范扣款细则</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（一）日常服务与整改响应</w:t>
      </w:r>
      <w:r/>
    </w:p>
    <w:tbl>
      <w:tblPr>
        <w:tblStyle w:val="886"/>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6"/>
        <w:gridCol w:w="2214"/>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违规情形</w:t>
            </w:r>
            <w:r/>
          </w:p>
        </w:tc>
        <w:tc>
          <w:tcPr>
            <w:shd w:val="clear" w:color="auto" w:fill="ffffff"/>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扣款标准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因服务质量问题，采购人书面函告整改，中标单位未在 24小时内 响应、48小时内 整改到位</w:t>
            </w:r>
            <w:r/>
          </w:p>
        </w:tc>
        <w:tc>
          <w:tcPr>
            <w:shd w:val="clear" w:color="auto" w:fill="ffffff"/>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1000元/天（逾期天数）</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866"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采购人要求整改，经整改后仍不能满足要求，连续2个月 出现类似情况或 12个月内出现3次 </w:t>
            </w:r>
            <w:r/>
          </w:p>
        </w:tc>
        <w:tc>
          <w:tcPr>
            <w:shd w:val="clear" w:color="auto" w:fill="ffffff"/>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838"/>
              <w:ind w:left="0" w:firstLine="0"/>
              <w:jc w:val="center"/>
              <w:spacing w:line="24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触发合同解除条款</w:t>
            </w:r>
            <w:r/>
          </w:p>
        </w:tc>
      </w:tr>
    </w:tbl>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（二）人员行为管理</w:t>
      </w:r>
      <w:r/>
    </w:p>
    <w:tbl>
      <w:tblPr>
        <w:tblStyle w:val="886"/>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1883"/>
        <w:gridCol w:w="3748"/>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违规情形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扣款标准</w:t>
            </w:r>
            <w:r/>
          </w:p>
        </w:tc>
        <w:tc>
          <w:tcPr>
            <w:shd w:val="clear" w:color="auto"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ind w:left="0"/>
              <w:jc w:val="center"/>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备注</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不服从采购单位管理，经教育督促无改观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500元/次</w:t>
            </w:r>
            <w:r/>
          </w:p>
        </w:tc>
        <w:tc>
          <w:tcPr>
            <w:shd w:val="clear" w:color="auto"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ind w:left="0"/>
              <w:jc w:val="righ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与采购单位管理人员发生争吵</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1000元/次</w:t>
            </w:r>
            <w:r/>
          </w:p>
        </w:tc>
        <w:tc>
          <w:tcPr>
            <w:shd w:val="clear" w:color="auto"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ind w:left="0"/>
              <w:jc w:val="righ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同一个人多次违纪或同类型违纪连续发生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2000元/次</w:t>
            </w:r>
            <w:r/>
          </w:p>
        </w:tc>
        <w:tc>
          <w:tcPr>
            <w:shd w:val="clear" w:color="auto"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ind w:left="0"/>
              <w:jc w:val="righ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以示惩戒</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447" w:type="dxa"/>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辱骂或殴打采购单位管理人员</w:t>
            </w:r>
            <w:r/>
          </w:p>
        </w:tc>
        <w:tc>
          <w:tcPr>
            <w:shd w:val="clear" w:color="auto" w:fill="ffffff"/>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2000-5000元/次</w:t>
            </w:r>
            <w:r/>
          </w:p>
        </w:tc>
        <w:tc>
          <w:tcPr>
            <w:shd w:val="clear" w:color="auto" w:fill="ffffff"/>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ind w:left="0"/>
              <w:jc w:val="righ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当事人责令辞退，并追究法律责任</w:t>
            </w:r>
            <w:r/>
          </w:p>
        </w:tc>
      </w:tr>
    </w:tbl>
    <w:p>
      <w:pPr>
        <w:ind w:left="0"/>
        <w:spacing w:line="360" w:lineRule="auto"/>
        <w:rPr>
          <w:sz w:val="21"/>
          <w:szCs w:val="21"/>
          <w:highlight w:val="none"/>
        </w:rPr>
      </w:pPr>
      <w:r>
        <w:rPr>
          <w:rFonts w:hint="eastAsia"/>
          <w:sz w:val="21"/>
          <w:szCs w:val="21"/>
          <w:highlight w:val="none"/>
        </w:rPr>
        <w:t xml:space="preserve">    （三）重大活动与安全保障</w:t>
      </w:r>
      <w:r/>
    </w:p>
    <w:tbl>
      <w:tblPr>
        <w:tblStyle w:val="886"/>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4"/>
        <w:gridCol w:w="4686"/>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违规情形</w:t>
            </w:r>
            <w:r/>
          </w:p>
        </w:tc>
        <w:tc>
          <w:tcPr>
            <w:shd w:val="clear" w:color="auto" w:fill="ffffff"/>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ind w:left="0"/>
              <w:jc w:val="center"/>
              <w:widowControl w:val="off"/>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扣款标准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重大活动、突发事件保障不力，受到上级部门通报批评或点名批评</w:t>
            </w:r>
            <w:r/>
          </w:p>
        </w:tc>
        <w:tc>
          <w:tcPr>
            <w:shd w:val="clear" w:color="auto" w:fill="ffffff"/>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2000元/次</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因管理不善，造成保安、保洁等范围内的设施、设备、景观等损坏</w:t>
            </w:r>
            <w:r/>
          </w:p>
        </w:tc>
        <w:tc>
          <w:tcPr>
            <w:shd w:val="clear" w:color="auto" w:fill="ffffff"/>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由直接责任人赔偿；责任人无力赔偿的，由中标单位赔偿</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left="0"/>
              <w:jc w:val="center"/>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因服务缺陷造成采购单位服务点财产失窃或发生火灾</w:t>
            </w:r>
            <w:r/>
          </w:p>
        </w:tc>
        <w:tc>
          <w:tcPr>
            <w:shd w:val="clear" w:color="auto" w:fill="ffffff"/>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ind w:left="0"/>
              <w:jc w:val="left"/>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当月考核分计为零分，并追究相应责任</w:t>
            </w:r>
            <w:r/>
          </w:p>
        </w:tc>
      </w:tr>
    </w:tbl>
    <w:p>
      <w:pPr>
        <w:ind w:left="0"/>
        <w:spacing w:line="360" w:lineRule="auto"/>
        <w:rPr>
          <w:sz w:val="21"/>
          <w:szCs w:val="21"/>
          <w:highlight w:val="none"/>
        </w:rPr>
      </w:pPr>
      <w:r>
        <w:rPr>
          <w:rFonts w:hint="eastAsia"/>
          <w:sz w:val="21"/>
          <w:szCs w:val="21"/>
          <w:highlight w:val="none"/>
        </w:rPr>
        <w:t xml:space="preserve">    （四）食堂餐饮专项管理</w:t>
      </w:r>
      <w:r/>
    </w:p>
    <w:tbl>
      <w:tblPr>
        <w:tblStyle w:val="886"/>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9"/>
        <w:gridCol w:w="5311"/>
      </w:tblGrid>
      <w:tr>
        <w:trPr>
          <w:jc w:val="center"/>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b/>
                <w:color w:val="000000"/>
                <w:sz w:val="21"/>
                <w:szCs w:val="21"/>
                <w:highlight w:val="none"/>
              </w:rPr>
            </w:pPr>
            <w:r>
              <w:rPr>
                <w:rFonts w:hint="eastAsia"/>
                <w:b/>
                <w:color w:val="000000"/>
                <w:sz w:val="21"/>
                <w:szCs w:val="21"/>
                <w:highlight w:val="none"/>
              </w:rPr>
              <w:t xml:space="preserve">违规情形</w:t>
            </w:r>
            <w:r/>
          </w:p>
        </w:tc>
        <w:tc>
          <w:tcPr>
            <w:shd w:val="clear" w:color="auto" w:fill="ffffff"/>
            <w:tcBorders>
              <w:top w:val="single" w:color="000000" w:sz="4" w:space="0"/>
              <w:left w:val="single" w:color="000000" w:sz="4" w:space="0"/>
              <w:bottom w:val="single" w:color="000000" w:sz="4" w:space="0"/>
              <w:right w:val="single" w:color="000000" w:sz="4" w:space="0"/>
            </w:tcBorders>
            <w:tcW w:w="5311" w:type="dxa"/>
            <w:vAlign w:val="center"/>
            <w:textDirection w:val="lrTb"/>
            <w:noWrap w:val="false"/>
          </w:tcPr>
          <w:p>
            <w:pPr>
              <w:ind w:left="0"/>
              <w:jc w:val="center"/>
              <w:widowControl w:val="off"/>
              <w:rPr>
                <w:b/>
                <w:color w:val="000000"/>
                <w:sz w:val="21"/>
                <w:szCs w:val="21"/>
                <w:highlight w:val="none"/>
              </w:rPr>
            </w:pPr>
            <w:r>
              <w:rPr>
                <w:rFonts w:hint="eastAsia"/>
                <w:b/>
                <w:color w:val="000000"/>
                <w:sz w:val="21"/>
                <w:szCs w:val="21"/>
                <w:highlight w:val="none"/>
              </w:rPr>
              <w:t xml:space="preserve">扣款标准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widowControl w:val="off"/>
              <w:rPr>
                <w:color w:val="000000"/>
                <w:sz w:val="21"/>
                <w:szCs w:val="21"/>
                <w:highlight w:val="none"/>
              </w:rPr>
            </w:pPr>
            <w:r>
              <w:rPr>
                <w:rFonts w:hint="eastAsia"/>
                <w:sz w:val="21"/>
                <w:szCs w:val="21"/>
                <w:highlight w:val="none"/>
              </w:rPr>
              <w:t xml:space="preserve">使用超过保质期的物品、腐烂变质物品、菜肴存放不当等</w:t>
            </w:r>
            <w:r/>
          </w:p>
        </w:tc>
        <w:tc>
          <w:tcPr>
            <w:shd w:val="clear" w:color="auto" w:fill="ffffff"/>
            <w:tcBorders>
              <w:top w:val="single" w:color="000000" w:sz="4" w:space="0"/>
              <w:left w:val="single" w:color="000000" w:sz="4" w:space="0"/>
              <w:bottom w:val="single" w:color="000000" w:sz="4" w:space="0"/>
              <w:right w:val="single" w:color="000000" w:sz="4" w:space="0"/>
            </w:tcBorders>
            <w:tcW w:w="5311" w:type="dxa"/>
            <w:vAlign w:val="center"/>
            <w:textDirection w:val="lrTb"/>
            <w:noWrap w:val="false"/>
          </w:tcPr>
          <w:p>
            <w:pPr>
              <w:ind w:left="0"/>
              <w:jc w:val="center"/>
              <w:widowControl w:val="off"/>
              <w:rPr>
                <w:color w:val="000000"/>
                <w:sz w:val="21"/>
                <w:szCs w:val="21"/>
                <w:highlight w:val="none"/>
              </w:rPr>
            </w:pPr>
            <w:r>
              <w:rPr>
                <w:rFonts w:hint="eastAsia"/>
                <w:sz w:val="21"/>
                <w:szCs w:val="21"/>
                <w:highlight w:val="none"/>
              </w:rPr>
              <w:t xml:space="preserve">视情节扣款，并记入考核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ind w:left="0"/>
              <w:jc w:val="center"/>
              <w:widowControl w:val="off"/>
              <w:rPr>
                <w:color w:val="000000"/>
                <w:sz w:val="21"/>
                <w:szCs w:val="21"/>
                <w:highlight w:val="none"/>
              </w:rPr>
            </w:pPr>
            <w:r>
              <w:rPr>
                <w:rFonts w:hint="eastAsia"/>
                <w:sz w:val="21"/>
                <w:szCs w:val="21"/>
                <w:highlight w:val="none"/>
              </w:rPr>
              <w:t xml:space="preserve">因餐饮服务缺陷造成采购单位人员集体食物中毒</w:t>
            </w:r>
            <w:r/>
          </w:p>
        </w:tc>
        <w:tc>
          <w:tcPr>
            <w:shd w:val="clear" w:color="auto" w:fill="ffffff"/>
            <w:tcBorders>
              <w:top w:val="single" w:color="000000" w:sz="4" w:space="0"/>
              <w:left w:val="single" w:color="000000" w:sz="4" w:space="0"/>
              <w:bottom w:val="single" w:color="000000" w:sz="4" w:space="0"/>
              <w:right w:val="single" w:color="000000" w:sz="4" w:space="0"/>
            </w:tcBorders>
            <w:tcW w:w="5311" w:type="dxa"/>
            <w:vAlign w:val="center"/>
            <w:textDirection w:val="lrTb"/>
            <w:noWrap w:val="false"/>
          </w:tcPr>
          <w:p>
            <w:pPr>
              <w:ind w:left="0"/>
              <w:jc w:val="center"/>
              <w:widowControl w:val="off"/>
              <w:rPr>
                <w:color w:val="000000"/>
                <w:sz w:val="21"/>
                <w:szCs w:val="21"/>
                <w:highlight w:val="none"/>
              </w:rPr>
            </w:pPr>
            <w:r>
              <w:rPr>
                <w:rFonts w:hint="eastAsia"/>
                <w:sz w:val="21"/>
                <w:szCs w:val="21"/>
                <w:highlight w:val="none"/>
              </w:rPr>
              <w:t xml:space="preserve">当月餐饮管理考核分计为零分，情节严重，采购人有权终止合同</w:t>
            </w:r>
            <w:r/>
          </w:p>
        </w:tc>
      </w:tr>
    </w:tbl>
    <w:p>
      <w:pPr>
        <w:ind w:left="0" w:firstLine="420"/>
        <w:spacing w:line="360" w:lineRule="auto"/>
        <w:rPr>
          <w:rFonts w:hint="eastAsia" w:ascii="宋体" w:hAnsi="宋体"/>
          <w:sz w:val="21"/>
          <w:highlight w:val="none"/>
        </w:rPr>
      </w:pPr>
      <w:r>
        <w:rPr>
          <w:rFonts w:hint="eastAsia" w:ascii="宋体" w:hAnsi="宋体"/>
          <w:sz w:val="21"/>
          <w:highlight w:val="none"/>
        </w:rPr>
        <w:t xml:space="preserve">五、法律责任与纠纷处理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 失职赔偿责任</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因派驻人员工作失职或失误，造成采购单位或第三方利益损失的，中标单位须根据维修费用凭证等据实赔偿；后果严重的，依法追究法律责任。</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 人身伤亡与劳务纠纷</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中标单位派驻人员发生人身伤亡事故、劳务纠纷等情况，由中标单位负责妥善处置，及时消除影响，不得转移矛盾至采购单位，不得影响正常办公秩序。否则，采购单位视情节轻重，每次扣款 2000-5000元。</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 劳资保障</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中标单位须及时、足额发放员工工资、高温费、福利及其他酬金，并按规定缴纳社会保险。出现以下情形，采购单位有权解除合同：发生拖欠薪酬情况超过三次；因拖欠薪酬造成恶劣影响。</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4. 违法行为处置</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服务人员在合同期内出现被公安机关立案查处的违法行为，必须立即更换。如发生对群众恐吓、敲诈勒索及其他违反公序良俗的行为，经调查属实，采购单位视情节轻重，每次扣款 2000-5000元。</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六、合同解除与履约保证金处理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（一）触发合同解除的情形</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中标单位在服务期间出现下列情况之一，采购单位有权提前解除合同，并部分或全部扣除履约保证金：</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 连续两个月考核得分不满60分；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 将承包的部分或整体服务事项转包他人；</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 出现重大安全责任事故，造成严重影响或重大损失；</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4. 采购人书面函告整改，中标单位超过 7天 未响应、未复函；</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5. 采购人要求整改，经整改后仍不能满足要求，连续2个月出现类似情况或 12个月内出现3次；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6. 拒绝提交人员资格证书原件审核，或超过 7天 未提交；</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7. 发生拖欠薪酬情况超过三次，或因拖欠薪酬造成恶劣影响；</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8. 月度考核得分低于75分，一个年度内累计出现两次；</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9. 当月考核分计为零分（财产失窃、火灾、集体食物中毒等情形）；</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10. 其他违约行为，经采购单位认定属于严重影响本项目服务质量。</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（二）合同解除后的处理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服务合同被解除后，招标人可以按投标人评标综合得分由高到低的顺序，选择下一中标候选人按原中标价承接本项目的服务管理，直至重新组织采购招标。</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七、附则</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 本办法中所有扣款项，均从当月应付服务费或履约保证金中直接扣除。</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 本办法未尽事宜，由双方协商解决，协商不成的，按合同约定及法律法规处理。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 本办法作为物业服务合同的组成部分，与合同具有同等法律效力。</w:t>
      </w:r>
      <w:r/>
    </w:p>
    <w:p>
      <w:pPr>
        <w:ind w:left="0"/>
        <w:rPr>
          <w:highlight w:val="none"/>
        </w:rPr>
      </w:pPr>
      <w:r>
        <w:rPr>
          <w:highlight w:val="none"/>
        </w:rPr>
      </w:r>
      <w:r/>
    </w:p>
    <w:p>
      <w:pPr>
        <w:ind w:left="0" w:firstLine="422"/>
        <w:spacing w:line="360" w:lineRule="auto"/>
        <w:rPr>
          <w:rFonts w:hint="eastAsia" w:ascii="宋体" w:hAnsi="宋体"/>
          <w:b/>
          <w:sz w:val="21"/>
          <w:highlight w:val="none"/>
        </w:rPr>
      </w:pPr>
      <w:r>
        <w:rPr>
          <w:highlight w:val="none"/>
        </w:rPr>
        <w:t xml:space="preserve"> </w:t>
      </w:r>
      <w:r>
        <w:rPr>
          <w:rFonts w:hint="eastAsia" w:ascii="宋体" w:hAnsi="宋体"/>
          <w:b/>
          <w:sz w:val="21"/>
          <w:highlight w:val="none"/>
        </w:rPr>
        <w:t xml:space="preserve">附件：物业考核明细表（采购人根据项目实际内容调整考核内容和扣分分值）</w:t>
      </w:r>
      <w:r/>
    </w:p>
    <w:tbl>
      <w:tblPr>
        <w:tblStyle w:val="837"/>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499"/>
        <w:gridCol w:w="7025"/>
        <w:gridCol w:w="884"/>
        <w:gridCol w:w="836"/>
        <w:gridCol w:w="836"/>
      </w:tblGrid>
      <w:tr>
        <w:trPr>
          <w:jc w:val="center"/>
          <w:tblHeader/>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考核内容</w:t>
            </w:r>
            <w:r/>
          </w:p>
        </w:tc>
        <w:tc>
          <w:tcPr>
            <w:shd w:val="clear" w:color="auto" w:fill="auto"/>
            <w:tcBorders>
              <w:top w:val="single" w:color="000000" w:sz="8"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扣分说明</w:t>
            </w:r>
            <w:r/>
          </w:p>
        </w:tc>
        <w:tc>
          <w:tcPr>
            <w:shd w:val="clear" w:color="auto" w:fill="auto"/>
            <w:tcBorders>
              <w:top w:val="single" w:color="000000" w:sz="8"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考核得分</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综合管理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建立健全各项管理制度和各岗位工作标准，在醒目位置公示，并制定具体落实措施、考核办法；有关检查有书面记录，设备、设施档案资料齐全分类成册，查阅方便。</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建立前台、安保、保洁、维保等通讯录，负责物业管理范围内服务项目的受理工作；对受理的服务内容进行登记、交办。</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建立投诉登记回访制度，各岗位有效投诉处理率达100%，有效投诉次数每月≤3次；突发事件处理的及时率100%；各种投诉处理、回复率100%。</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员工有责任心、吃苦耐劳、工作规范，遵守办公楼各项管理规定，无打架斗殴、吵闹等现象。上班制服着装，不做与工作无关的事情，如：玩手机、睡觉、聊天等行为。</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加强企业文化建设，提升员工工作技能，提高员工队伍稳定性。</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环境保洁服务</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制定保洁检查登记表，落实检查并记录。</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所有公共区域，做到每日至少清扫一次，卫生间保洁每日至少2次，保证环境卫生。</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公共服务区域内的地面、地毯、扶手、门窗玻璃、玻璃幕墙，沙发、桌子、各类宣传牌、橱窗，天花板、栏杆、楼梯等，及时清除各种垃圾等杂物，无积灰、印迹、污渍。</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公共区域内物品摆放整齐，保持清洁，定期做好基础保养。</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公共区域、卫生间无堆积垃圾。</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服务区域内垃圾桶的存量不超过上缘，垃圾不在筒箱内过夜。垃圾存量不超过三分之二且做到日产日清，定期清洗，每周消毒一次，无明显积水，无蚊蝇。</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积极推进垃圾分类工作，协助督促精准投放垃圾，做好服务区域垃圾“二次分拣”工作，并负责分类垃圾的集中收运投放。</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会议会务服务</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会议服务员要做好仪容仪表的自我检查，做到仪容端庄，仪表整洁；工作中精神饱满，面带微笑，全神贯注；接待客人要做到主动热情，礼貌服务，语言规范。</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根据会议内容、规模提前做好会务准备，会议前2小时设备主管安排设备人员对会场的空调、照明、电器设备以及门、窗进行全面检查，发现问题立刻解决与排除。</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会议过程中按标书中的相关规定进行服务，根据会议主办单位要求，确保音响系统、会议系统等设备设施的正常运行。</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会议结束后做好会场的清洁整理工作，检查是否有客人遗忘的物品；关闭照明、空调等电器开关，话筒、座位复位；协助会议组织者撤下会标等；对会议内容必须保密。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四</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公共秩序维护与安全管理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按规定做好来人来访的通报、证件检验、登记工作；杜绝闲杂人员进入办公区域，维护办公区域安全、正常的工作环境；对物品进出进行监管，杜绝危险物品进入办公楼内。</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对外来施工流动人员管理、巡逻管理、处理突发事件等秩序维护有方案，人员职责明确，方案合理适用；重点区域、部位应每两小时进行一次巡视、检查并记录。</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管理区域内的监控设备应24小时开通，保持完整的监控记录，保证对办公楼各出入口、内部重点区域的安全监控、录像。</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Style w:val="1245"/>
                <w:rFonts w:hint="default" w:asciiTheme="minorEastAsia" w:hAnsiTheme="minorEastAsia" w:eastAsiaTheme="minorEastAsia" w:cstheme="minorEastAsia"/>
                <w:sz w:val="21"/>
                <w:szCs w:val="21"/>
                <w:highlight w:val="none"/>
                <w:lang w:bidi="ar"/>
              </w:rPr>
              <w:t xml:space="preserve">做好车辆引导工作，加强地面停车位的管理，保持停放有序，杜绝乱停乱放现象。严格按照相关要求预留停车位；</w:t>
            </w:r>
            <w:r>
              <w:rPr>
                <w:rStyle w:val="1246"/>
                <w:rFonts w:hint="default" w:asciiTheme="minorEastAsia" w:hAnsiTheme="minorEastAsia" w:eastAsiaTheme="minorEastAsia" w:cstheme="minorEastAsia"/>
                <w:sz w:val="21"/>
                <w:szCs w:val="21"/>
                <w:highlight w:val="none"/>
                <w:lang w:bidi="ar"/>
              </w:rPr>
              <w:t xml:space="preserve">及时发现车门、车窗未锁、车灯未关并及时处理；及时发现车辆擦伤、撞伤；保管好所管理的公共设施器材。</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制定物业突发公共事件的应急预案，并在物业相关办公室予以公布。每年应组织不少于1次的突发公共事件应急演习。</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消防管理制度健全，建立消防责任制，完善相关标识，专人定期维护消防器材；消防档案齐全、资料更新及时；</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消防系统设施设备齐全、完好无损，运行正常，巡检、点检、点动记录齐全；有突发火灾应急方案，每年至少进行一次消防宣传和消防演习，无火灾安全隐患。</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Style w:val="1245"/>
                <w:rFonts w:hint="default" w:asciiTheme="minorEastAsia" w:hAnsiTheme="minorEastAsia" w:eastAsiaTheme="minorEastAsia" w:cstheme="minorEastAsia"/>
                <w:sz w:val="21"/>
                <w:szCs w:val="21"/>
                <w:highlight w:val="none"/>
                <w:lang w:bidi="ar"/>
              </w:rPr>
              <w:t xml:space="preserve">做好报刊、邮件、信件、包裹的收发、分转工作；</w:t>
            </w:r>
            <w:r>
              <w:rPr>
                <w:rStyle w:val="1246"/>
                <w:rFonts w:hint="default" w:asciiTheme="minorEastAsia" w:hAnsiTheme="minorEastAsia" w:eastAsiaTheme="minorEastAsia" w:cstheme="minorEastAsia"/>
                <w:sz w:val="21"/>
                <w:szCs w:val="21"/>
                <w:highlight w:val="none"/>
                <w:lang w:bidi="ar"/>
              </w:rPr>
              <w:t xml:space="preserve">及时发现项目内公共设施损坏、破坏现象；对工作中的发现的异常情况能及时处理。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杜绝火灾等责任事故和治安、刑事案件。</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五</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设施、设备维修和保养</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按规定编制年度保养、点检计划和月度工作计划并执行；每日监测设备运行正常，定期校验并记录；设施设备保养良好，无明显锈蚀，无重大管理责任事故。</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按标书规定时间排除故障，保证各弱电系统正常工作；安防系统等智能化设施设备运行正常，巡检及时记录完整。</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维修人员须持有效低压电工证上岗；建立并落实岗位责任制、巡回检查及操作规程；确保变（配）电柜、低压配电柜运行正常，各类表计显示准确，无异常声响及异味，配电环境整洁，防小动物措施到位；发现问题及时处理并记录。</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严格执行用电安全规范，确保用电安全；制订停电应急处理预案；应急照明设施完好，有编号、有点检记录。</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确保风机等系统通畅，各种管道阀门完好，仪表显示正常，无跑、冒、滴、漏现象。</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所有墙面、地面、楼地面、门窗、安装工程等招标人固定资产范围内的，如有破损或使用不便，应当在24小时内报备并处理；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空调系统运行正常，无滴漏水现象；制订空调故障应急处理方案，空调系统出现运行故障后，协调维修人员应及时到达现场维修，并做好记录。</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按月度工作计划，完成相关任务。</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六</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办公楼管理与维修养护</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办公楼内外干净整洁，玻璃幕墙内部清洁、无破损（2米以下）；无纸张乱贴、乱涂、乱画和乱悬挂现象；玻璃无破裂，五金配件完好，门窗开闭灵活、密封性好、无异常声响。</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办公楼内外无积水、浸泡发生；遇有事故，在规定时间内进行抢修，各楼层无较大面积漏水等现象；制定相关应急处理方案。</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对临时施工现场按规定进行管理、巡视，遇突发事件按规定处置。</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配合做好办公楼各楼层标识标牌上墙工作，张贴整齐、美观，并保持清洁。</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七</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工程综合维修及巡查</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办公楼设施设备做到安全运行和节能操作，发现故障立即报告，调整各楼层通道公共照明模式，节约用电；公共照明、水电设施每天检查一遍。</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办公楼水、电设备、门锁维修及时；遇电路故障断电，水管爆裂、水龙头漏水、门锁开不了、门窗便池毁坏及墙面破损，要及时修复；排水管、排污管要保持畅通，如有堵塞应立即疏通，厕所堵塞应当天疏通（需换厕盆的除外）。</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日常维修接到报修信息后，必须15分钟内赶到现场进行处理。若无能力修复，立即报告相关部门的有关人员及领导；配合专业单位进行保养及维修工作。</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烧水炉等。</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八</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食堂管理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服务区域内环境整洁有序；地面、下水道、明沟积无污水、污物；有关设备、设施、用具没有保持卫生清洁；地面、灶台、厨具卫生保洁没有按规定每天定时清洗。</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粗加工、配菜、烹调符合卫生要求；配菜做到科学合理色、香、味俱全；菜肴里或汤里、米饭里没有杂物、异物出现。</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食品采购与贮存由专人负责验收、登记，建议台账；库房内食品没有做到分类、分架、离地、离墙整齐堆放；保证食品质量没有问题、未超过保质期；冰箱、冰柜内的食品生熟不会混放；严格执行菜品留样制度，每日按规定进行留样，并符合食品安全规范要求。。</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餐具使用前没有做好清洗、消毒工作；清洗、消毒餐具的水及水池不与其它混用；备餐柜内保持卫生，无异味、无杂物；餐桌随时打扫、清理；餐盘、碗、筷子、汤勺等上面无油污、杂物。</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严格按厨余垃圾投放规定收集；准确投放，厨余垃圾桶中无其他垃圾。</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499"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7025" w:type="dxa"/>
            <w:vAlign w:val="center"/>
            <w:textDirection w:val="lrTb"/>
            <w:noWrap w:val="false"/>
          </w:tcPr>
          <w:p>
            <w:pPr>
              <w:ind w:left="0"/>
              <w:jc w:val="center"/>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注：考核办法为集中检查结合日常巡查的方式进行，每发现一处不合格项，扣1分/次，以上项目情况严重、影响较大的加倍扣分。</w:t>
            </w:r>
            <w:r/>
          </w:p>
        </w:tc>
        <w:tc>
          <w:tcPr>
            <w:shd w:val="clear" w:color="auto" w:fill="auto"/>
            <w:tcBorders>
              <w:top w:val="none" w:color="000000" w:sz="4" w:space="0"/>
              <w:left w:val="none" w:color="000000" w:sz="4" w:space="0"/>
              <w:bottom w:val="single" w:color="000000" w:sz="8" w:space="0"/>
              <w:right w:val="single" w:color="000000" w:sz="8" w:space="0"/>
            </w:tcBorders>
            <w:tcW w:w="884" w:type="dxa"/>
            <w:vAlign w:val="center"/>
            <w:textDirection w:val="lrTb"/>
            <w:noWrap w:val="false"/>
          </w:tcPr>
          <w:p>
            <w:pPr>
              <w:ind w:left="0"/>
              <w:jc w:val="left"/>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36" w:type="dxa"/>
            <w:vAlign w:val="center"/>
            <w:textDirection w:val="lrTb"/>
            <w:noWrap w:val="false"/>
          </w:tcPr>
          <w:p>
            <w:pPr>
              <w:ind w:left="0"/>
              <w:jc w:val="center"/>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r>
            <w:r/>
          </w:p>
        </w:tc>
      </w:tr>
    </w:tbl>
    <w:p>
      <w:pPr>
        <w:ind w:left="0" w:firstLine="400"/>
        <w:spacing w:line="360" w:lineRule="auto"/>
        <w:rPr>
          <w:highlight w:val="none"/>
        </w:rPr>
      </w:pPr>
      <w:r>
        <w:rPr>
          <w:highlight w:val="none"/>
        </w:rPr>
      </w:r>
      <w:r/>
    </w:p>
    <w:p>
      <w:pPr>
        <w:ind w:left="0" w:firstLine="400"/>
        <w:spacing w:line="360" w:lineRule="auto"/>
        <w:rPr>
          <w:highlight w:val="none"/>
        </w:rPr>
      </w:pPr>
      <w:r>
        <w:rPr>
          <w:highlight w:val="none"/>
        </w:rPr>
      </w:r>
      <w:bookmarkEnd w:id="135"/>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5"/>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7"/>
    <w:uiPriority w:val="29"/>
    <w:rPr>
      <w:i/>
    </w:rPr>
  </w:style>
  <w:style w:type="character" w:styleId="40">
    <w:name w:val="Intense Quote Char"/>
    <w:link w:val="1203"/>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5"/>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9"/>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rPr>
      <w:rFonts w:ascii="Times New Roman" w:hAnsi="Times New Roman" w:cs="Times New Roman"/>
    </w:rPr>
  </w:style>
  <w:style w:type="paragraph" w:styleId="839" w:customStyle="1">
    <w:name w:val="正文2"/>
    <w:basedOn w:val="826"/>
    <w:next w:val="826"/>
    <w:uiPriority w:val="0"/>
    <w:qFormat/>
    <w:pPr>
      <w:ind w:left="0" w:hanging="2155"/>
      <w:spacing w:line="360" w:lineRule="auto"/>
      <w:shd w:val="clear" w:color="auto" w:fill="ffffff"/>
    </w:pPr>
    <w:rPr>
      <w:rFonts w:ascii="宋体" w:hAnsi="宋体"/>
    </w:rPr>
  </w:style>
  <w:style w:type="paragraph" w:styleId="840">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1">
    <w:name w:val="List Bullet 4"/>
    <w:basedOn w:val="827"/>
    <w:next w:val="842"/>
    <w:uiPriority w:val="0"/>
    <w:qFormat/>
    <w:pPr>
      <w:ind w:left="1620" w:firstLine="2652"/>
      <w:spacing w:before="0" w:after="0" w:line="360" w:lineRule="auto"/>
    </w:pPr>
    <w:rPr>
      <w:rFonts w:ascii="Times New Roman" w:hAnsi="Times New Roman" w:cs="Times New Roman"/>
    </w:rPr>
  </w:style>
  <w:style w:type="paragraph" w:styleId="842">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3">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4">
    <w:name w:val="Normal Indent"/>
    <w:basedOn w:val="826"/>
    <w:next w:val="826"/>
    <w:link w:val="894"/>
    <w:uiPriority w:val="0"/>
    <w:qFormat/>
    <w:pPr>
      <w:ind w:left="420" w:firstLine="4772"/>
    </w:pPr>
  </w:style>
  <w:style w:type="paragraph" w:styleId="845">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6">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7">
    <w:name w:val="Document Map"/>
    <w:basedOn w:val="827"/>
    <w:next w:val="848"/>
    <w:uiPriority w:val="0"/>
    <w:qFormat/>
    <w:pPr>
      <w:ind w:left="0" w:firstLine="4"/>
      <w:spacing w:before="0" w:after="0" w:line="240" w:lineRule="auto"/>
      <w:shd w:val="clear" w:color="000000" w:fill="000080"/>
    </w:pPr>
    <w:rPr>
      <w:rFonts w:ascii="Times New Roman" w:hAnsi="Times New Roman" w:cs="Times New Roman"/>
    </w:rPr>
  </w:style>
  <w:style w:type="paragraph" w:styleId="848">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9">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50">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1">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2">
    <w:name w:val="Body Text"/>
    <w:basedOn w:val="826"/>
    <w:next w:val="826"/>
    <w:uiPriority w:val="0"/>
    <w:qFormat/>
    <w:pPr>
      <w:ind w:left="0" w:firstLine="2560"/>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40"/>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38"/>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3"/>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5"/>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6"/>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2"/>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6"/>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5"/>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99"/>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38"/>
    <w:link w:val="1244"/>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4"/>
    <w:uiPriority w:val="0"/>
    <w:qFormat/>
    <w:rPr>
      <w:rFonts w:ascii="Calibri" w:hAnsi="Calibri" w:eastAsia="宋体" w:cs="Times New Roman"/>
    </w:rPr>
  </w:style>
  <w:style w:type="character" w:styleId="895" w:customStyle="1">
    <w:name w:val="页脚 字符"/>
    <w:link w:val="868"/>
    <w:uiPriority w:val="0"/>
    <w:qFormat/>
    <w:rPr>
      <w:rFonts w:ascii="Calibri" w:hAnsi="Calibri" w:eastAsia="宋体" w:cs="Times New Roman"/>
    </w:rPr>
  </w:style>
  <w:style w:type="character" w:styleId="896" w:customStyle="1">
    <w:name w:val="页眉 字符"/>
    <w:link w:val="870"/>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0"/>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basedOn w:val="836"/>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0"/>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7"/>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3"/>
    <w:next w:val="826"/>
    <w:uiPriority w:val="0"/>
    <w:qFormat/>
    <w:pPr>
      <w:ind w:left="1134" w:firstLine="20"/>
      <w:spacing w:before="280" w:after="280" w:line="360" w:lineRule="auto"/>
      <w:outlineLvl w:val="5"/>
    </w:pPr>
  </w:style>
  <w:style w:type="paragraph" w:styleId="1008" w:customStyle="1">
    <w:name w:val="正文段"/>
    <w:basedOn w:val="827"/>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7"/>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7"/>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7"/>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7"/>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7"/>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7"/>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30"/>
    <w:next w:val="884"/>
    <w:uiPriority w:val="0"/>
    <w:qFormat/>
    <w:pPr>
      <w:ind w:left="200" w:firstLine="18"/>
      <w:spacing w:before="0" w:after="0" w:line="360" w:lineRule="auto"/>
      <w:outlineLvl w:val="2"/>
    </w:pPr>
  </w:style>
  <w:style w:type="paragraph" w:styleId="1022"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7"/>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7"/>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7"/>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7"/>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7"/>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7"/>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7"/>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7"/>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7"/>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7"/>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32"/>
    <w:next w:val="826"/>
    <w:uiPriority w:val="0"/>
    <w:qFormat/>
    <w:pPr>
      <w:ind w:left="992" w:firstLine="18"/>
      <w:spacing w:before="280" w:after="280" w:line="360" w:lineRule="auto"/>
      <w:outlineLvl w:val="4"/>
    </w:pPr>
  </w:style>
  <w:style w:type="paragraph" w:styleId="1036" w:customStyle="1">
    <w:name w:val="样式 加粗 居中"/>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7"/>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7"/>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7"/>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7"/>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7"/>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7"/>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7"/>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7"/>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7"/>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7"/>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60"/>
    <w:uiPriority w:val="0"/>
    <w:qFormat/>
    <w:pPr>
      <w:ind w:firstLine="5120"/>
      <w:widowControl w:val="off"/>
    </w:pPr>
    <w:rPr>
      <w:rFonts w:ascii="Calibri" w:hAnsi="Calibri" w:eastAsia="宋体" w:cs="宋体"/>
      <w:lang w:val="en-US" w:eastAsia="zh-CN" w:bidi="ar-SA"/>
    </w:rPr>
  </w:style>
  <w:style w:type="paragraph" w:styleId="1056" w:customStyle="1">
    <w:name w:val="xl84"/>
    <w:basedOn w:val="827"/>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9"/>
    <w:next w:val="1058"/>
    <w:uiPriority w:val="0"/>
    <w:qFormat/>
    <w:pPr>
      <w:ind w:left="0" w:firstLine="24"/>
      <w:jc w:val="center"/>
      <w:spacing w:before="0" w:after="0" w:line="360" w:lineRule="auto"/>
      <w:outlineLvl w:val="1"/>
    </w:pPr>
  </w:style>
  <w:style w:type="paragraph" w:styleId="1058" w:customStyle="1">
    <w:name w:val="应答文本"/>
    <w:basedOn w:val="827"/>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6"/>
    <w:uiPriority w:val="0"/>
    <w:qFormat/>
    <w:pPr>
      <w:ind w:firstLine="480"/>
    </w:pPr>
    <w:rPr>
      <w:rFonts w:ascii="Times New Roman" w:hAnsi="Times New Roman" w:cs="Times New Roman"/>
      <w:lang w:val="zh-CN"/>
    </w:rPr>
  </w:style>
  <w:style w:type="paragraph" w:styleId="1061" w:customStyle="1">
    <w:name w:val="font9"/>
    <w:basedOn w:val="827"/>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30"/>
    <w:next w:val="1063"/>
    <w:uiPriority w:val="0"/>
    <w:qFormat/>
    <w:pPr>
      <w:ind w:left="0"/>
      <w:spacing w:before="0" w:after="0" w:line="400" w:lineRule="exact"/>
      <w:outlineLvl w:val="2"/>
    </w:pPr>
  </w:style>
  <w:style w:type="paragraph" w:styleId="1063" w:customStyle="1">
    <w:name w:val="标书正文"/>
    <w:basedOn w:val="827"/>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7"/>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7"/>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8"/>
    <w:next w:val="1048"/>
    <w:uiPriority w:val="0"/>
    <w:qFormat/>
    <w:pPr>
      <w:ind w:left="0" w:firstLine="18"/>
      <w:jc w:val="center"/>
      <w:spacing w:before="0" w:after="0" w:line="240" w:lineRule="auto"/>
      <w:outlineLvl w:val="0"/>
    </w:pPr>
  </w:style>
  <w:style w:type="paragraph" w:styleId="1070"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7"/>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7"/>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7"/>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7"/>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7"/>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7"/>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9"/>
    <w:next w:val="1082"/>
    <w:uiPriority w:val="0"/>
    <w:qFormat/>
    <w:pPr>
      <w:ind w:left="0" w:firstLine="24"/>
      <w:jc w:val="center"/>
      <w:spacing w:line="412" w:lineRule="auto"/>
      <w:outlineLvl w:val="1"/>
    </w:pPr>
  </w:style>
  <w:style w:type="paragraph" w:styleId="1082" w:customStyle="1">
    <w:name w:val="页脚 Char Char"/>
    <w:basedOn w:val="827"/>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8"/>
    <w:next w:val="1084"/>
    <w:uiPriority w:val="0"/>
    <w:qFormat/>
    <w:pPr>
      <w:ind w:left="0" w:firstLine="18"/>
      <w:jc w:val="center"/>
      <w:spacing w:before="120" w:after="0" w:line="360" w:lineRule="auto"/>
      <w:outlineLvl w:val="0"/>
    </w:pPr>
  </w:style>
  <w:style w:type="paragraph" w:styleId="1084" w:customStyle="1">
    <w:name w:val="Char1 Char Char Char Char Char Char"/>
    <w:basedOn w:val="827"/>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31"/>
    <w:next w:val="826"/>
    <w:uiPriority w:val="0"/>
    <w:qFormat/>
    <w:pPr>
      <w:ind w:left="851" w:firstLine="30"/>
      <w:spacing w:after="280" w:line="360" w:lineRule="auto"/>
      <w:outlineLvl w:val="3"/>
    </w:pPr>
  </w:style>
  <w:style w:type="paragraph" w:styleId="1086" w:customStyle="1">
    <w:name w:val="font0"/>
    <w:basedOn w:val="827"/>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7"/>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7"/>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9"/>
    <w:next w:val="1040"/>
    <w:uiPriority w:val="0"/>
    <w:qFormat/>
    <w:pPr>
      <w:ind w:left="0" w:firstLine="24"/>
      <w:spacing w:before="100" w:after="0" w:line="400" w:lineRule="exact"/>
      <w:outlineLvl w:val="1"/>
    </w:pPr>
  </w:style>
  <w:style w:type="paragraph" w:styleId="1093"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7"/>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7"/>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7"/>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7"/>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9"/>
    <w:next w:val="868"/>
    <w:uiPriority w:val="0"/>
    <w:qFormat/>
    <w:pPr>
      <w:ind w:left="0" w:firstLine="24"/>
      <w:spacing w:before="0" w:after="0" w:line="360" w:lineRule="auto"/>
      <w:outlineLvl w:val="1"/>
    </w:pPr>
  </w:style>
  <w:style w:type="paragraph" w:styleId="1101" w:customStyle="1">
    <w:name w:val="xl91"/>
    <w:basedOn w:val="827"/>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7"/>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7"/>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30"/>
    <w:next w:val="1106"/>
    <w:uiPriority w:val="0"/>
    <w:qFormat/>
    <w:pPr>
      <w:ind w:left="1429" w:firstLine="18"/>
      <w:spacing w:before="100" w:after="100" w:line="360" w:lineRule="auto"/>
      <w:outlineLvl w:val="2"/>
    </w:pPr>
  </w:style>
  <w:style w:type="paragraph" w:styleId="1106" w:customStyle="1">
    <w:name w:val="xl22"/>
    <w:basedOn w:val="827"/>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8" w:customStyle="1">
    <w:name w:val="xl78"/>
    <w:basedOn w:val="827"/>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6"/>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7"/>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7"/>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7"/>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7"/>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7"/>
    <w:next w:val="838"/>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7"/>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7"/>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7"/>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6"/>
    <w:uiPriority w:val="0"/>
    <w:qFormat/>
    <w:pPr>
      <w:ind w:left="0"/>
    </w:pPr>
    <w:rPr>
      <w:rFonts w:ascii="宋体" w:hAnsi="宋体"/>
      <w:sz w:val="28"/>
      <w:szCs w:val="28"/>
    </w:rPr>
  </w:style>
  <w:style w:type="paragraph" w:styleId="1126" w:customStyle="1">
    <w:name w:val="四号 居中"/>
    <w:basedOn w:val="827"/>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7"/>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7"/>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7"/>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7"/>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7"/>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7"/>
    <w:next w:val="847"/>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7"/>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7"/>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7"/>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7"/>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7"/>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7"/>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7"/>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7"/>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31"/>
    <w:next w:val="1151"/>
    <w:uiPriority w:val="0"/>
    <w:qFormat/>
    <w:pPr>
      <w:ind w:left="426" w:firstLine="24"/>
      <w:spacing w:before="0" w:after="0" w:line="360" w:lineRule="auto"/>
      <w:outlineLvl w:val="3"/>
    </w:pPr>
  </w:style>
  <w:style w:type="paragraph" w:styleId="1151" w:customStyle="1">
    <w:name w:val="xl82"/>
    <w:basedOn w:val="827"/>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7"/>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7"/>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7"/>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7"/>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7"/>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7"/>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7"/>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6"/>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7"/>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7"/>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8"/>
    <w:next w:val="1169"/>
    <w:uiPriority w:val="0"/>
    <w:qFormat/>
    <w:pPr>
      <w:ind w:left="432" w:firstLine="18"/>
      <w:spacing w:before="40" w:after="40" w:line="360" w:lineRule="auto"/>
      <w:outlineLvl w:val="0"/>
    </w:pPr>
  </w:style>
  <w:style w:type="paragraph" w:styleId="1169" w:customStyle="1">
    <w:name w:val="表格用"/>
    <w:basedOn w:val="827"/>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7"/>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7"/>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7"/>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7"/>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7"/>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6"/>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8"/>
    <w:next w:val="826"/>
    <w:uiPriority w:val="0"/>
    <w:qFormat/>
    <w:pPr>
      <w:ind w:left="0" w:firstLine="6144"/>
      <w:spacing w:before="480" w:after="0" w:line="276" w:lineRule="auto"/>
    </w:pPr>
    <w:rPr>
      <w:b/>
      <w:sz w:val="30"/>
    </w:rPr>
  </w:style>
  <w:style w:type="paragraph" w:styleId="1178" w:customStyle="1">
    <w:name w:val="纯文本3"/>
    <w:basedOn w:val="826"/>
    <w:uiPriority w:val="0"/>
    <w:qFormat/>
    <w:rPr>
      <w:rFonts w:ascii="宋体" w:hAnsi="Courier New" w:cs="Times New Roman"/>
    </w:rPr>
  </w:style>
  <w:style w:type="paragraph" w:styleId="1179" w:customStyle="1">
    <w:name w:val="afont"/>
    <w:basedOn w:val="827"/>
    <w:next w:val="851"/>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7"/>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7"/>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7"/>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6"/>
    <w:uiPriority w:val="0"/>
    <w:qFormat/>
    <w:pPr>
      <w:ind w:left="0"/>
      <w:jc w:val="left"/>
    </w:pPr>
    <w:rPr>
      <w:rFonts w:ascii="宋体" w:hAnsi="宋体" w:eastAsia="楷体_GB2312" w:cs="Courier New"/>
      <w:sz w:val="26"/>
      <w:lang w:val="zh-CN"/>
    </w:rPr>
  </w:style>
  <w:style w:type="paragraph" w:styleId="1185" w:customStyle="1">
    <w:name w:val="样式 加粗 居中2"/>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7"/>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7"/>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7"/>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7"/>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7"/>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7"/>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6"/>
    <w:next w:val="1101"/>
    <w:uiPriority w:val="0"/>
    <w:qFormat/>
    <w:pPr>
      <w:ind w:left="420" w:firstLine="3748"/>
    </w:pPr>
    <w:rPr>
      <w:rFonts w:ascii="Times New Roman" w:hAnsi="Times New Roman" w:cs="Times New Roman"/>
    </w:rPr>
  </w:style>
  <w:style w:type="paragraph" w:styleId="1195" w:customStyle="1">
    <w:name w:val="xl73"/>
    <w:basedOn w:val="827"/>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7"/>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32"/>
    <w:next w:val="1198"/>
    <w:uiPriority w:val="0"/>
    <w:qFormat/>
    <w:pPr>
      <w:ind w:left="1134" w:firstLine="18"/>
      <w:spacing w:before="0" w:after="0" w:line="360" w:lineRule="auto"/>
      <w:outlineLvl w:val="4"/>
    </w:pPr>
  </w:style>
  <w:style w:type="paragraph" w:styleId="1198"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7"/>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7"/>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7"/>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7"/>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7"/>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7"/>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38"/>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7"/>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7"/>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7"/>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7"/>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19" w:customStyle="1">
    <w:name w:val="H 3"/>
    <w:basedOn w:val="830"/>
    <w:next w:val="1220"/>
    <w:uiPriority w:val="0"/>
    <w:qFormat/>
    <w:pPr>
      <w:ind w:left="1429" w:firstLine="18"/>
      <w:spacing w:before="0" w:after="0" w:line="360" w:lineRule="auto"/>
      <w:outlineLvl w:val="2"/>
    </w:pPr>
  </w:style>
  <w:style w:type="paragraph" w:styleId="1220" w:customStyle="1">
    <w:name w:val="xl83"/>
    <w:basedOn w:val="827"/>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7"/>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7"/>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6"/>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7"/>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7"/>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7"/>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7"/>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6"/>
    <w:uiPriority w:val="0"/>
    <w:qFormat/>
    <w:pPr>
      <w:ind w:firstLine="4608"/>
      <w:jc w:val="center"/>
    </w:pPr>
    <w:rPr>
      <w:rFonts w:ascii="Calibri" w:hAnsi="Calibri" w:eastAsia="宋体" w:cs="宋体"/>
      <w:lang w:val="en-US" w:eastAsia="zh-CN" w:bidi="ar-SA"/>
    </w:rPr>
  </w:style>
  <w:style w:type="paragraph" w:styleId="1234" w:customStyle="1">
    <w:name w:val="列出段落3"/>
    <w:basedOn w:val="827"/>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7"/>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7"/>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7"/>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正文文本首行缩进 2 字符"/>
    <w:basedOn w:val="836"/>
    <w:link w:val="885"/>
    <w:uiPriority w:val="0"/>
    <w:qFormat/>
    <w:rPr>
      <w:rFonts w:ascii="Times New Roman" w:hAnsi="Times New Roman" w:cs="Times New Roman"/>
    </w:rPr>
  </w:style>
  <w:style w:type="character" w:styleId="1245" w:customStyle="1">
    <w:name w:val="font31"/>
    <w:basedOn w:val="836"/>
    <w:uiPriority w:val="0"/>
    <w:qFormat/>
    <w:rPr>
      <w:rFonts w:hint="eastAsia" w:ascii="微软雅黑" w:hAnsi="微软雅黑" w:eastAsia="微软雅黑" w:cs="微软雅黑"/>
      <w:color w:val="000000"/>
      <w:sz w:val="20"/>
      <w:szCs w:val="20"/>
      <w:u w:val="none"/>
    </w:rPr>
  </w:style>
  <w:style w:type="character" w:styleId="1246" w:customStyle="1">
    <w:name w:val="font41"/>
    <w:basedOn w:val="836"/>
    <w:uiPriority w:val="0"/>
    <w:qFormat/>
    <w:rPr>
      <w:rFonts w:hint="eastAsia" w:ascii="宋体" w:hAnsi="宋体" w:eastAsia="宋体" w:cs="宋体"/>
      <w:color w:val="000000"/>
      <w:sz w:val="20"/>
      <w:szCs w:val="20"/>
      <w:u w:val="none"/>
    </w:rPr>
  </w:style>
  <w:style w:type="numbering" w:styleId="17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EF4CA44-B361-489D-BC52-BF644FCB41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12</cp:revision>
  <dcterms:created xsi:type="dcterms:W3CDTF">2026-03-10T07:36:00Z</dcterms:created>
  <dcterms:modified xsi:type="dcterms:W3CDTF">2026-03-11T05:31:38Z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