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ascii="宋体" w:hAnsi="宋体" w:cs="宋体"/>
          <w:b/>
          <w:color w:val="auto"/>
          <w:sz w:val="72"/>
          <w:szCs w:val="72"/>
          <w:highlight w:val="none"/>
        </w:rPr>
      </w:pPr>
      <w:r>
        <w:rPr>
          <w:rFonts w:ascii="宋体" w:hAnsi="宋体" w:cs="宋体"/>
          <w:b/>
          <w:color w:val="auto"/>
          <w:sz w:val="72"/>
          <w:szCs w:val="72"/>
          <w:highlight w:val="none"/>
        </w:rPr>
      </w:r>
      <w:r>
        <w:rPr>
          <w:color w:val="auto"/>
          <w:highlight w:val="none"/>
        </w:rPr>
      </w:r>
    </w:p>
    <w:p>
      <w:pPr>
        <w:pStyle w:val="1126"/>
        <w:rPr>
          <w:rFonts w:ascii="宋体" w:hAnsi="宋体" w:cs="宋体"/>
          <w:color w:val="auto"/>
          <w:highlight w:val="none"/>
        </w:rPr>
      </w:pPr>
      <w:r>
        <w:rPr>
          <w:rFonts w:ascii="宋体" w:hAnsi="宋体" w:cs="宋体"/>
          <w:color w:val="auto"/>
          <w:highlight w:val="none"/>
        </w:rPr>
      </w:r>
      <w:r>
        <w:rPr>
          <w:color w:val="auto"/>
          <w:highlight w:val="none"/>
        </w:rP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苏 州 政 府 采 购</w:t>
      </w:r>
      <w:r>
        <w:rPr>
          <w:color w:val="auto"/>
          <w:highlight w:val="none"/>
        </w:rP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rPr>
          <w:color w:val="auto"/>
          <w:highlight w:val="none"/>
        </w:rPr>
      </w:r>
    </w:p>
    <w:p>
      <w:pPr>
        <w:ind w:left="0"/>
        <w:jc w:val="left"/>
        <w:spacing w:line="360" w:lineRule="auto"/>
        <w:rPr>
          <w:rFonts w:ascii="宋体" w:hAnsi="宋体" w:cs="宋体"/>
          <w:color w:val="auto"/>
          <w:highlight w:val="none"/>
        </w:rPr>
      </w:pPr>
      <w:r>
        <w:rPr>
          <w:rFonts w:ascii="宋体" w:hAnsi="宋体" w:cs="宋体"/>
          <w:color w:val="auto"/>
          <w:highlight w:val="none"/>
        </w:rPr>
      </w:r>
      <w:r>
        <w:rPr>
          <w:color w:val="auto"/>
          <w:highlight w:val="none"/>
        </w:rPr>
      </w:r>
    </w:p>
    <w:p>
      <w:pPr>
        <w:ind w:left="0"/>
        <w:jc w:val="left"/>
        <w:spacing w:line="480" w:lineRule="auto"/>
        <w:rPr>
          <w:rFonts w:ascii="宋体" w:hAnsi="宋体" w:cs="宋体"/>
          <w:b/>
          <w:color w:val="auto"/>
          <w:sz w:val="32"/>
          <w:highlight w:val="none"/>
        </w:rPr>
      </w:pPr>
      <w:r>
        <w:rPr>
          <w:rFonts w:ascii="宋体" w:hAnsi="宋体" w:cs="宋体"/>
          <w:b/>
          <w:color w:val="auto"/>
          <w:sz w:val="32"/>
          <w:highlight w:val="none"/>
        </w:rPr>
      </w:r>
      <w:r>
        <w:rPr>
          <w:color w:val="auto"/>
          <w:highlight w:val="none"/>
        </w:rPr>
      </w:r>
    </w:p>
    <w:tbl>
      <w:tblPr>
        <w:tblStyle w:val="11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5933"/>
      </w:tblGrid>
      <w:tr>
        <w:trPr>
          <w:jc w:val="center"/>
          <w:trHeight w:val="667"/>
        </w:trPr>
        <w:tc>
          <w:tcPr>
            <w:tcW w:w="1809" w:type="dxa"/>
            <w:textDirection w:val="lrTb"/>
            <w:noWrap w:val="false"/>
          </w:tcPr>
          <w:p>
            <w:pPr>
              <w:ind w:left="0"/>
              <w:spacing w:line="360" w:lineRule="auto"/>
              <w:widowControl w:val="off"/>
              <w:rPr>
                <w:rStyle w:val="1158"/>
                <w:rFonts w:ascii="宋体" w:hAnsi="宋体" w:cs="宋体"/>
                <w:color w:val="auto"/>
                <w:highlight w:val="none"/>
              </w:rPr>
            </w:pPr>
            <w:r>
              <w:rPr>
                <w:rStyle w:val="1158"/>
                <w:rFonts w:hint="eastAsia" w:ascii="宋体" w:hAnsi="宋体" w:cs="宋体"/>
                <w:b/>
                <w:color w:val="auto"/>
                <w:spacing w:val="-6"/>
                <w:sz w:val="32"/>
                <w:highlight w:val="none"/>
              </w:rPr>
              <w:t xml:space="preserve">采购编号：</w:t>
            </w:r>
            <w:r>
              <w:rPr>
                <w:color w:val="auto"/>
                <w:highlight w:val="none"/>
              </w:rPr>
            </w:r>
          </w:p>
        </w:tc>
        <w:tc>
          <w:tcPr>
            <w:tcW w:w="5933" w:type="dxa"/>
            <w:textDirection w:val="lrTb"/>
            <w:noWrap w:val="false"/>
          </w:tcPr>
          <w:p>
            <w:pPr>
              <w:ind w:left="0"/>
              <w:spacing w:line="360" w:lineRule="auto"/>
              <w:widowControl w:val="off"/>
              <w:rPr>
                <w:rStyle w:val="1158"/>
                <w:rFonts w:ascii="宋体" w:hAnsi="宋体" w:cs="宋体"/>
                <w:b/>
                <w:color w:val="auto"/>
                <w:spacing w:val="-6"/>
                <w:sz w:val="32"/>
                <w:highlight w:val="none"/>
              </w:rPr>
            </w:pPr>
            <w:r>
              <w:rPr>
                <w:rFonts w:hint="eastAsia" w:ascii="宋体" w:hAnsi="宋体" w:cs="宋体"/>
                <w:b/>
                <w:color w:val="auto"/>
                <w:spacing w:val="-6"/>
                <w:sz w:val="32"/>
                <w:highlight w:val="none"/>
              </w:rPr>
              <w:t xml:space="preserve">JSZC-320507-SHYS-C2026-0005</w:t>
            </w:r>
            <w:r>
              <w:rPr>
                <w:color w:val="auto"/>
                <w:highlight w:val="none"/>
              </w:rPr>
            </w:r>
          </w:p>
        </w:tc>
      </w:tr>
      <w:tr>
        <w:trPr>
          <w:jc w:val="center"/>
        </w:trPr>
        <w:tc>
          <w:tcPr>
            <w:tcW w:w="1809" w:type="dxa"/>
            <w:textDirection w:val="lrTb"/>
            <w:noWrap w:val="false"/>
          </w:tcPr>
          <w:p>
            <w:pPr>
              <w:ind w:left="0"/>
              <w:spacing w:line="360" w:lineRule="auto"/>
              <w:widowControl w:val="off"/>
              <w:rPr>
                <w:rStyle w:val="1158"/>
                <w:rFonts w:ascii="宋体" w:hAnsi="宋体" w:cs="宋体"/>
                <w:color w:val="auto"/>
                <w:highlight w:val="none"/>
              </w:rPr>
            </w:pPr>
            <w:r>
              <w:rPr>
                <w:rStyle w:val="1158"/>
                <w:rFonts w:hint="eastAsia" w:ascii="宋体" w:hAnsi="宋体" w:cs="宋体"/>
                <w:b/>
                <w:color w:val="auto"/>
                <w:spacing w:val="-6"/>
                <w:sz w:val="32"/>
                <w:highlight w:val="none"/>
              </w:rPr>
              <w:t xml:space="preserve">采购单位：</w:t>
            </w:r>
            <w:r>
              <w:rPr>
                <w:color w:val="auto"/>
                <w:highlight w:val="none"/>
              </w:rPr>
            </w:r>
          </w:p>
        </w:tc>
        <w:tc>
          <w:tcPr>
            <w:tcW w:w="5933" w:type="dxa"/>
            <w:textDirection w:val="lrTb"/>
            <w:noWrap w:val="false"/>
          </w:tcPr>
          <w:p>
            <w:pPr>
              <w:ind w:left="0"/>
              <w:jc w:val="left"/>
              <w:spacing w:line="360" w:lineRule="auto"/>
              <w:widowControl w:val="off"/>
              <w:rPr>
                <w:rStyle w:val="1158"/>
                <w:rFonts w:ascii="宋体" w:hAnsi="宋体" w:cs="宋体"/>
                <w:color w:val="auto"/>
                <w:highlight w:val="none"/>
              </w:rPr>
            </w:pPr>
            <w:r>
              <w:rPr>
                <w:rStyle w:val="1158"/>
                <w:rFonts w:hint="eastAsia" w:ascii="宋体" w:hAnsi="宋体" w:cs="宋体"/>
                <w:b/>
                <w:color w:val="auto"/>
                <w:spacing w:val="-6"/>
                <w:sz w:val="32"/>
                <w:highlight w:val="none"/>
              </w:rPr>
              <w:t xml:space="preserve">苏州市相城区中医医院（苏州市相城区望亭镇卫生院）</w:t>
            </w:r>
            <w:r>
              <w:rPr>
                <w:color w:val="auto"/>
                <w:highlight w:val="none"/>
              </w:rPr>
            </w:r>
          </w:p>
        </w:tc>
      </w:tr>
      <w:tr>
        <w:trPr>
          <w:jc w:val="center"/>
        </w:trPr>
        <w:tc>
          <w:tcPr>
            <w:tcW w:w="1809" w:type="dxa"/>
            <w:textDirection w:val="lrTb"/>
            <w:noWrap w:val="false"/>
          </w:tcPr>
          <w:p>
            <w:pPr>
              <w:ind w:left="0"/>
              <w:spacing w:line="360" w:lineRule="auto"/>
              <w:widowControl w:val="off"/>
              <w:rPr>
                <w:rStyle w:val="1158"/>
                <w:rFonts w:ascii="宋体" w:hAnsi="宋体" w:cs="宋体"/>
                <w:color w:val="auto"/>
                <w:highlight w:val="none"/>
              </w:rPr>
            </w:pPr>
            <w:r>
              <w:rPr>
                <w:rStyle w:val="1158"/>
                <w:rFonts w:hint="eastAsia" w:ascii="宋体" w:hAnsi="宋体" w:cs="宋体"/>
                <w:b/>
                <w:color w:val="auto"/>
                <w:spacing w:val="-6"/>
                <w:sz w:val="32"/>
                <w:highlight w:val="none"/>
              </w:rPr>
              <w:t xml:space="preserve">采购内容：</w:t>
            </w:r>
            <w:r>
              <w:rPr>
                <w:color w:val="auto"/>
                <w:highlight w:val="none"/>
              </w:rPr>
            </w:r>
          </w:p>
        </w:tc>
        <w:tc>
          <w:tcPr>
            <w:tcW w:w="5933" w:type="dxa"/>
            <w:textDirection w:val="lrTb"/>
            <w:noWrap w:val="false"/>
          </w:tcPr>
          <w:p>
            <w:pPr>
              <w:ind w:left="0"/>
              <w:jc w:val="left"/>
              <w:spacing w:line="360" w:lineRule="auto"/>
              <w:widowControl w:val="off"/>
              <w:rPr>
                <w:rStyle w:val="1158"/>
                <w:rFonts w:ascii="宋体" w:hAnsi="宋体" w:cs="宋体"/>
                <w:color w:val="auto"/>
                <w:highlight w:val="none"/>
              </w:rPr>
            </w:pPr>
            <w:r>
              <w:rPr>
                <w:rFonts w:hint="eastAsia" w:ascii="宋体" w:hAnsi="宋体" w:cs="宋体"/>
                <w:b/>
                <w:color w:val="auto"/>
                <w:sz w:val="32"/>
                <w:highlight w:val="none"/>
              </w:rPr>
              <w:t xml:space="preserve">苏州市相城区中医医院食堂外包服务项目</w:t>
            </w:r>
            <w:r>
              <w:rPr>
                <w:color w:val="auto"/>
                <w:highlight w:val="none"/>
              </w:rPr>
            </w:r>
          </w:p>
        </w:tc>
      </w:tr>
      <w:tr>
        <w:trPr>
          <w:jc w:val="center"/>
        </w:trPr>
        <w:tc>
          <w:tcPr>
            <w:tcW w:w="1809" w:type="dxa"/>
            <w:textDirection w:val="lrTb"/>
            <w:noWrap w:val="false"/>
          </w:tcPr>
          <w:p>
            <w:pPr>
              <w:ind w:left="0"/>
              <w:spacing w:line="360" w:lineRule="auto"/>
              <w:widowControl w:val="off"/>
              <w:rPr>
                <w:rStyle w:val="1158"/>
                <w:rFonts w:ascii="宋体" w:hAnsi="宋体" w:cs="宋体"/>
                <w:color w:val="auto"/>
                <w:highlight w:val="none"/>
              </w:rPr>
            </w:pPr>
            <w:r>
              <w:rPr>
                <w:rStyle w:val="1158"/>
                <w:rFonts w:hint="eastAsia" w:ascii="宋体" w:hAnsi="宋体" w:cs="宋体"/>
                <w:b/>
                <w:color w:val="auto"/>
                <w:spacing w:val="-6"/>
                <w:sz w:val="32"/>
                <w:highlight w:val="none"/>
              </w:rPr>
              <w:t xml:space="preserve">采购类别：</w:t>
            </w:r>
            <w:r>
              <w:rPr>
                <w:color w:val="auto"/>
                <w:highlight w:val="none"/>
              </w:rPr>
            </w:r>
          </w:p>
        </w:tc>
        <w:tc>
          <w:tcPr>
            <w:tcW w:w="5933" w:type="dxa"/>
            <w:textDirection w:val="lrTb"/>
            <w:noWrap w:val="false"/>
          </w:tcPr>
          <w:p>
            <w:pPr>
              <w:ind w:left="0"/>
              <w:jc w:val="left"/>
              <w:spacing w:line="360" w:lineRule="auto"/>
              <w:widowControl w:val="off"/>
              <w:rPr>
                <w:rStyle w:val="1158"/>
                <w:rFonts w:ascii="宋体" w:hAnsi="宋体" w:cs="宋体"/>
                <w:color w:val="auto"/>
                <w:highlight w:val="none"/>
              </w:rPr>
            </w:pPr>
            <w:r>
              <w:rPr>
                <w:rStyle w:val="1158"/>
                <w:rFonts w:hint="eastAsia" w:ascii="宋体" w:hAnsi="宋体" w:cs="宋体"/>
                <w:b/>
                <w:color w:val="auto"/>
                <w:spacing w:val="-6"/>
                <w:sz w:val="32"/>
                <w:highlight w:val="none"/>
              </w:rPr>
              <w:t xml:space="preserve">服务类</w:t>
            </w:r>
            <w:r>
              <w:rPr>
                <w:color w:val="auto"/>
                <w:highlight w:val="none"/>
              </w:rPr>
            </w:r>
          </w:p>
        </w:tc>
      </w:tr>
    </w:tbl>
    <w:p>
      <w:pPr>
        <w:ind w:firstLine="1445"/>
        <w:jc w:val="left"/>
        <w:spacing w:line="480" w:lineRule="auto"/>
        <w:rPr>
          <w:rFonts w:ascii="宋体" w:hAnsi="宋体" w:cs="宋体"/>
          <w:b/>
          <w:color w:val="auto"/>
          <w:spacing w:val="20"/>
          <w:sz w:val="32"/>
          <w:highlight w:val="none"/>
        </w:rPr>
      </w:pPr>
      <w:r>
        <w:rPr>
          <w:rFonts w:ascii="宋体" w:hAnsi="宋体" w:cs="宋体"/>
          <w:b/>
          <w:color w:val="auto"/>
          <w:spacing w:val="20"/>
          <w:sz w:val="32"/>
          <w:highlight w:val="none"/>
        </w:rPr>
      </w:r>
      <w:r>
        <w:rPr>
          <w:color w:val="auto"/>
          <w:highlight w:val="none"/>
        </w:rPr>
      </w:r>
    </w:p>
    <w:p>
      <w:pPr>
        <w:ind w:left="0"/>
        <w:jc w:val="left"/>
        <w:rPr>
          <w:rFonts w:ascii="宋体" w:hAnsi="宋体" w:cs="宋体"/>
          <w:b/>
          <w:color w:val="auto"/>
          <w:sz w:val="32"/>
          <w:highlight w:val="none"/>
        </w:rPr>
      </w:pPr>
      <w:r>
        <w:rPr>
          <w:rFonts w:hint="eastAsia" w:ascii="宋体" w:hAnsi="宋体" w:cs="宋体"/>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2035810</wp:posOffset>
                </wp:positionH>
                <wp:positionV relativeFrom="paragraph">
                  <wp:posOffset>205105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4"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公司logo"/>
                        <pic:cNvPicPr>
                          <a:picLocks noChangeAspect="1"/>
                        </pic:cNvPicPr>
                        <pic:nvPr/>
                      </pic:nvPicPr>
                      <pic:blipFill>
                        <a:blip r:embed="rId23"/>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23" o:title=""/>
              </v:shape>
            </w:pict>
          </mc:Fallback>
        </mc:AlternateContent>
      </w:r>
      <w:r>
        <w:rPr>
          <w:color w:val="auto"/>
          <w:highlight w:val="none"/>
        </w:rPr>
      </w:r>
    </w:p>
    <w:p>
      <w:pPr>
        <w:ind w:left="0"/>
        <w:jc w:val="left"/>
        <w:rPr>
          <w:rFonts w:ascii="宋体" w:hAnsi="宋体" w:cs="宋体"/>
          <w:b/>
          <w:color w:val="auto"/>
          <w:sz w:val="32"/>
          <w:highlight w:val="none"/>
        </w:rPr>
      </w:pPr>
      <w:r>
        <w:rPr>
          <w:rFonts w:ascii="宋体" w:hAnsi="宋体" w:cs="宋体"/>
          <w:b/>
          <w:color w:val="auto"/>
          <w:sz w:val="32"/>
          <w:highlight w:val="none"/>
        </w:rPr>
      </w:r>
      <w:r>
        <w:rPr>
          <w:color w:val="auto"/>
          <w:highlight w:val="none"/>
        </w:rPr>
      </w:r>
    </w:p>
    <w:p>
      <w:pPr>
        <w:ind w:left="0"/>
        <w:jc w:val="left"/>
        <w:rPr>
          <w:rFonts w:ascii="宋体" w:hAnsi="宋体" w:cs="宋体"/>
          <w:b/>
          <w:color w:val="auto"/>
          <w:sz w:val="32"/>
          <w:highlight w:val="none"/>
        </w:rPr>
      </w:pPr>
      <w:r>
        <w:rPr>
          <w:rFonts w:ascii="宋体" w:hAnsi="宋体" w:cs="宋体"/>
          <w:b/>
          <w:color w:val="auto"/>
          <w:sz w:val="32"/>
          <w:highlight w:val="none"/>
        </w:rPr>
      </w:r>
      <w:r>
        <w:rPr>
          <w:color w:val="auto"/>
          <w:highlight w:val="none"/>
        </w:rPr>
      </w:r>
    </w:p>
    <w:p>
      <w:pPr>
        <w:ind w:left="0" w:firstLine="1606"/>
        <w:jc w:val="left"/>
        <w:rPr>
          <w:rFonts w:ascii="宋体" w:hAnsi="宋体" w:cs="宋体"/>
          <w:b/>
          <w:color w:val="auto"/>
          <w:sz w:val="32"/>
          <w:highlight w:val="none"/>
        </w:rPr>
      </w:pPr>
      <w:r>
        <w:rPr>
          <w:rFonts w:ascii="宋体" w:hAnsi="宋体" w:cs="宋体"/>
          <w:b/>
          <w:color w:val="auto"/>
          <w:sz w:val="32"/>
          <w:highlight w:val="none"/>
        </w:rPr>
      </w:r>
      <w:r>
        <w:rPr>
          <w:color w:val="auto"/>
          <w:highlight w:val="none"/>
        </w:rPr>
      </w:r>
    </w:p>
    <w:p>
      <w:pPr>
        <w:ind w:left="0" w:firstLine="1606"/>
        <w:jc w:val="left"/>
        <w:rPr>
          <w:rFonts w:ascii="宋体" w:hAnsi="宋体" w:cs="宋体"/>
          <w:b/>
          <w:color w:val="auto"/>
          <w:sz w:val="32"/>
          <w:highlight w:val="none"/>
        </w:rPr>
      </w:pPr>
      <w:r>
        <w:rPr>
          <w:rFonts w:ascii="宋体" w:hAnsi="宋体" w:cs="宋体"/>
          <w:b/>
          <w:color w:val="auto"/>
          <w:sz w:val="32"/>
          <w:highlight w:val="none"/>
        </w:rPr>
      </w:r>
      <w:r>
        <w:rPr>
          <w:color w:val="auto"/>
          <w:highlight w:val="none"/>
        </w:rPr>
      </w:r>
    </w:p>
    <w:p>
      <w:pPr>
        <w:ind w:left="0" w:firstLine="1606"/>
        <w:jc w:val="left"/>
        <w:rPr>
          <w:rFonts w:ascii="宋体" w:hAnsi="宋体" w:cs="宋体"/>
          <w:b/>
          <w:color w:val="auto"/>
          <w:sz w:val="32"/>
          <w:highlight w:val="none"/>
        </w:rPr>
      </w:pPr>
      <w:r>
        <w:rPr>
          <w:rFonts w:ascii="宋体" w:hAnsi="宋体" w:cs="宋体"/>
          <w:b/>
          <w:color w:val="auto"/>
          <w:sz w:val="32"/>
          <w:highlight w:val="none"/>
        </w:rPr>
      </w:r>
      <w:r>
        <w:rPr>
          <w:color w:val="auto"/>
          <w:highlight w:val="none"/>
        </w:rPr>
      </w:r>
    </w:p>
    <w:p>
      <w:pPr>
        <w:ind w:left="0" w:firstLine="1606"/>
        <w:jc w:val="left"/>
        <w:rPr>
          <w:rFonts w:ascii="宋体" w:hAnsi="宋体" w:cs="宋体"/>
          <w:b/>
          <w:color w:val="auto"/>
          <w:sz w:val="32"/>
          <w:highlight w:val="none"/>
        </w:rPr>
      </w:pPr>
      <w:r>
        <w:rPr>
          <w:rFonts w:ascii="宋体" w:hAnsi="宋体" w:cs="宋体"/>
          <w:b/>
          <w:color w:val="auto"/>
          <w:sz w:val="32"/>
          <w:highlight w:val="none"/>
        </w:rPr>
      </w:r>
      <w:r>
        <w:rPr>
          <w:color w:val="auto"/>
          <w:highlight w:val="none"/>
        </w:rPr>
      </w:r>
    </w:p>
    <w:p>
      <w:pPr>
        <w:pStyle w:val="1126"/>
        <w:rPr>
          <w:rFonts w:ascii="宋体" w:hAnsi="宋体" w:cs="宋体"/>
          <w:color w:val="auto"/>
          <w:highlight w:val="none"/>
        </w:rPr>
      </w:pPr>
      <w:r>
        <w:rPr>
          <w:rFonts w:ascii="宋体" w:hAnsi="宋体" w:cs="宋体"/>
          <w:color w:val="auto"/>
          <w:highlight w:val="none"/>
        </w:rPr>
      </w:r>
      <w:r>
        <w:rPr>
          <w:color w:val="auto"/>
          <w:highlight w:val="none"/>
        </w:rPr>
      </w:r>
    </w:p>
    <w:p>
      <w:pPr>
        <w:pStyle w:val="1123"/>
        <w:rPr>
          <w:rFonts w:ascii="宋体" w:hAnsi="宋体" w:cs="宋体"/>
          <w:color w:val="auto"/>
          <w:highlight w:val="none"/>
        </w:rPr>
      </w:pPr>
      <w:r>
        <w:rPr>
          <w:rFonts w:ascii="宋体" w:hAnsi="宋体" w:cs="宋体"/>
          <w:color w:val="auto"/>
          <w:highlight w:val="none"/>
        </w:rPr>
      </w:r>
      <w:r>
        <w:rPr>
          <w:color w:val="auto"/>
          <w:highlight w:val="none"/>
        </w:rPr>
      </w:r>
    </w:p>
    <w:p>
      <w:pPr>
        <w:ind w:left="0"/>
        <w:jc w:val="center"/>
        <w:rPr>
          <w:rFonts w:ascii="宋体" w:hAnsi="宋体" w:cs="宋体"/>
          <w:b/>
          <w:color w:val="auto"/>
          <w:sz w:val="32"/>
          <w:highlight w:val="none"/>
        </w:rPr>
      </w:pPr>
      <w:r>
        <w:rPr>
          <w:rFonts w:ascii="宋体" w:hAnsi="宋体" w:cs="宋体"/>
          <w:b/>
          <w:color w:val="auto"/>
          <w:sz w:val="32"/>
          <w:highlight w:val="none"/>
        </w:rPr>
      </w:r>
      <w:r>
        <w:rPr>
          <w:color w:val="auto"/>
          <w:highlight w:val="none"/>
        </w:rPr>
      </w:r>
    </w:p>
    <w:p>
      <w:pPr>
        <w:ind w:left="0"/>
        <w:jc w:val="center"/>
        <w:rPr>
          <w:rFonts w:ascii="宋体" w:hAnsi="宋体" w:cs="宋体"/>
          <w:b/>
          <w:color w:val="auto"/>
          <w:sz w:val="32"/>
          <w:highlight w:val="none"/>
        </w:rPr>
      </w:pPr>
      <w:r>
        <w:rPr>
          <w:rFonts w:ascii="宋体" w:hAnsi="宋体" w:cs="宋体"/>
          <w:b/>
          <w:color w:val="auto"/>
          <w:sz w:val="32"/>
          <w:highlight w:val="none"/>
        </w:rPr>
      </w:r>
      <w:r>
        <w:rPr>
          <w:color w:val="auto"/>
          <w:highlight w:val="none"/>
        </w:rPr>
      </w:r>
    </w:p>
    <w:p>
      <w:pPr>
        <w:ind w:left="0"/>
        <w:jc w:val="center"/>
        <w:rPr>
          <w:rFonts w:ascii="宋体" w:hAnsi="宋体" w:cs="宋体"/>
          <w:b/>
          <w:color w:val="auto"/>
          <w:sz w:val="32"/>
          <w:highlight w:val="none"/>
        </w:rPr>
      </w:pPr>
      <w:r>
        <w:rPr>
          <w:rFonts w:hint="eastAsia" w:ascii="宋体" w:hAnsi="宋体" w:cs="宋体"/>
          <w:b/>
          <w:color w:val="auto"/>
          <w:sz w:val="32"/>
          <w:highlight w:val="none"/>
        </w:rPr>
        <w:t xml:space="preserve">苏州合亿盛工程咨询有限公司</w:t>
      </w:r>
      <w:r>
        <w:rPr>
          <w:color w:val="auto"/>
          <w:highlight w:val="none"/>
        </w:rPr>
      </w:r>
    </w:p>
    <w:p>
      <w:pPr>
        <w:ind w:left="0"/>
        <w:jc w:val="center"/>
        <w:rPr>
          <w:rFonts w:ascii="宋体" w:hAnsi="宋体" w:cs="宋体"/>
          <w:b/>
          <w:color w:val="auto"/>
          <w:sz w:val="32"/>
          <w:highlight w:val="none"/>
        </w:rPr>
      </w:pPr>
      <w:r>
        <w:rPr>
          <w:rFonts w:hint="eastAsia" w:ascii="宋体" w:hAnsi="宋体" w:cs="宋体"/>
          <w:b/>
          <w:color w:val="auto"/>
          <w:sz w:val="32"/>
          <w:highlight w:val="none"/>
        </w:rPr>
        <w:t xml:space="preserve">二〇二六年</w:t>
      </w:r>
      <w:r>
        <w:rPr>
          <w:rFonts w:hint="eastAsia" w:ascii="宋体" w:hAnsi="宋体" w:cs="宋体"/>
          <w:b/>
          <w:color w:val="auto"/>
          <w:sz w:val="32"/>
          <w:highlight w:val="none"/>
        </w:rPr>
        <w:t xml:space="preserve">四</w:t>
      </w:r>
      <w:r>
        <w:rPr>
          <w:rFonts w:hint="eastAsia" w:ascii="宋体" w:hAnsi="宋体" w:cs="宋体"/>
          <w:b/>
          <w:color w:val="auto"/>
          <w:sz w:val="32"/>
          <w:highlight w:val="none"/>
        </w:rPr>
        <w:t xml:space="preserve">月</w:t>
      </w:r>
      <w:r>
        <w:rPr>
          <w:color w:val="auto"/>
          <w:highlight w:val="none"/>
        </w:rPr>
      </w:r>
    </w:p>
    <w:p>
      <w:pPr>
        <w:pStyle w:val="1123"/>
        <w:ind w:left="0" w:firstLine="0"/>
        <w:rPr>
          <w:rFonts w:ascii="宋体" w:hAnsi="宋体" w:cs="宋体"/>
          <w:color w:val="auto"/>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851" w:right="1021" w:bottom="851" w:left="1021" w:header="567" w:footer="567" w:gutter="0"/>
          <w:pgNumType w:start="0"/>
          <w:cols w:num="1" w:sep="0" w:space="720" w:equalWidth="1"/>
          <w:docGrid w:linePitch="360"/>
        </w:sectPr>
      </w:pPr>
      <w:r>
        <w:rPr>
          <w:rFonts w:ascii="宋体" w:hAnsi="宋体" w:cs="宋体"/>
          <w:color w:val="auto"/>
          <w:highlight w:val="none"/>
        </w:rPr>
      </w:r>
      <w:r>
        <w:rPr>
          <w:color w:val="auto"/>
          <w:highlight w:val="none"/>
        </w:rPr>
      </w:r>
    </w:p>
    <w:p>
      <w:pPr>
        <w:ind w:left="0"/>
        <w:jc w:val="center"/>
        <w:rPr>
          <w:rFonts w:ascii="宋体" w:hAnsi="宋体" w:cs="宋体"/>
          <w:color w:val="auto"/>
          <w:highlight w:val="none"/>
        </w:rPr>
      </w:pPr>
      <w:r>
        <w:rPr>
          <w:color w:val="auto"/>
          <w:highlight w:val="none"/>
        </w:rPr>
      </w:r>
      <w:bookmarkStart w:id="0" w:name="_Toc17003"/>
      <w:r>
        <w:rPr>
          <w:color w:val="auto"/>
          <w:highlight w:val="none"/>
        </w:rPr>
      </w:r>
      <w:bookmarkStart w:id="1" w:name="_Toc16121"/>
      <w:r>
        <w:rPr>
          <w:color w:val="auto"/>
          <w:highlight w:val="none"/>
        </w:rPr>
      </w:r>
      <w:bookmarkStart w:id="2" w:name="_Toc12642"/>
      <w:r>
        <w:rPr>
          <w:color w:val="auto"/>
          <w:highlight w:val="none"/>
        </w:rPr>
      </w:r>
      <w:bookmarkStart w:id="3" w:name="_Toc15681"/>
      <w:r>
        <w:rPr>
          <w:rFonts w:hint="eastAsia" w:ascii="宋体" w:hAnsi="宋体" w:cs="宋体"/>
          <w:b/>
          <w:color w:val="auto"/>
          <w:spacing w:val="20"/>
          <w:sz w:val="30"/>
          <w:highlight w:val="none"/>
        </w:rPr>
        <w:t xml:space="preserve">前 附 表</w:t>
      </w:r>
      <w:bookmarkEnd w:id="0"/>
      <w:r>
        <w:rPr>
          <w:color w:val="auto"/>
          <w:highlight w:val="none"/>
        </w:rPr>
      </w:r>
      <w:bookmarkEnd w:id="1"/>
      <w:r>
        <w:rPr>
          <w:color w:val="auto"/>
          <w:highlight w:val="none"/>
        </w:rPr>
      </w:r>
      <w:bookmarkEnd w:id="2"/>
      <w:r>
        <w:rPr>
          <w:color w:val="auto"/>
          <w:highlight w:val="none"/>
        </w:rPr>
      </w:r>
      <w:bookmarkEnd w:id="3"/>
      <w:r>
        <w:rPr>
          <w:color w:val="auto"/>
          <w:highlight w:val="none"/>
        </w:rPr>
      </w:r>
      <w:r>
        <w:rPr>
          <w:color w:val="auto"/>
          <w:highlight w:val="none"/>
        </w:rPr>
      </w:r>
    </w:p>
    <w:tbl>
      <w:tblPr>
        <w:tblStyle w:val="1121"/>
        <w:tblW w:w="0" w:type="auto"/>
        <w:jc w:val="center"/>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内               容</w:t>
            </w:r>
            <w:r>
              <w:rPr>
                <w:color w:val="auto"/>
                <w:highlight w:val="none"/>
              </w:rPr>
            </w:r>
          </w:p>
        </w:tc>
      </w:tr>
      <w:tr>
        <w:trPr>
          <w:jc w:val="center"/>
          <w:trHeight w:val="4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JSZC-320507-SHYS-C2026-0005</w:t>
            </w:r>
            <w:r>
              <w:rPr>
                <w:color w:val="auto"/>
                <w:highlight w:val="none"/>
              </w:rP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苏州市相城区中医医院食堂外包服务项目</w:t>
            </w:r>
            <w:r>
              <w:rPr>
                <w:color w:val="auto"/>
                <w:highlight w:val="none"/>
              </w:rP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磋商保证金</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本项目不收取磋商保证金（采购文件中涉及磋商保证金的条款均不适用）</w:t>
            </w:r>
            <w:r>
              <w:rPr>
                <w:color w:val="auto"/>
                <w:highlight w:val="none"/>
              </w:rP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响应文件提交截止之日起九十天（日历日）</w:t>
            </w:r>
            <w:r>
              <w:rPr>
                <w:color w:val="auto"/>
                <w:highlight w:val="none"/>
              </w:rPr>
            </w:r>
          </w:p>
        </w:tc>
      </w:tr>
      <w:tr>
        <w:trPr>
          <w:jc w:val="center"/>
          <w:trHeight w:val="19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质疑</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报名成功的供应商在下载采购文件后，对采购文件有质疑的。</w:t>
            </w:r>
            <w:r>
              <w:rPr>
                <w:color w:val="auto"/>
                <w:highlight w:val="none"/>
              </w:rPr>
            </w:r>
          </w:p>
          <w:p>
            <w:pPr>
              <w:ind w:left="0"/>
              <w:jc w:val="left"/>
              <w:rPr>
                <w:rFonts w:ascii="宋体" w:hAnsi="宋体" w:cs="宋体"/>
                <w:color w:val="auto"/>
                <w:sz w:val="21"/>
                <w:szCs w:val="21"/>
                <w:highlight w:val="none"/>
              </w:rPr>
            </w:pPr>
            <w:r>
              <w:rPr>
                <w:rFonts w:hint="eastAsia" w:cs="宋体"/>
                <w:color w:val="auto"/>
                <w:sz w:val="21"/>
                <w:szCs w:val="21"/>
                <w:highlight w:val="none"/>
              </w:rPr>
              <w:t xml:space="preserve">质疑：</w:t>
            </w:r>
            <w:r>
              <w:rPr>
                <w:rFonts w:hint="eastAsia" w:ascii="宋体" w:hAnsi="宋体" w:cs="宋体"/>
                <w:color w:val="auto"/>
                <w:sz w:val="21"/>
                <w:szCs w:val="21"/>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auto"/>
                <w:highlight w:val="none"/>
              </w:rPr>
            </w:r>
          </w:p>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质疑递交地址：苏州市相城区聚茂路185号活力大厦B座502；电话：0512-67210880；联系人：徐晓逸/胡欢/吴雯瑜）。</w:t>
            </w:r>
            <w:r>
              <w:rPr>
                <w:color w:val="auto"/>
                <w:highlight w:val="none"/>
              </w:rPr>
            </w:r>
          </w:p>
        </w:tc>
      </w:tr>
      <w:tr>
        <w:trPr>
          <w:jc w:val="center"/>
          <w:trHeight w:val="8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响应文件网上</w:t>
            </w:r>
            <w:r>
              <w:rPr>
                <w:color w:val="auto"/>
                <w:highlight w:val="none"/>
              </w:rPr>
            </w:r>
          </w:p>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提交截止时间</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2026年4月21日13点30分（北京时间）</w:t>
            </w:r>
            <w:r>
              <w:rPr>
                <w:color w:val="auto"/>
                <w:highlight w:val="none"/>
              </w:rPr>
            </w:r>
          </w:p>
          <w:p>
            <w:pPr>
              <w:ind w:left="0"/>
              <w:jc w:val="left"/>
              <w:rPr>
                <w:rFonts w:ascii="宋体" w:hAnsi="宋体" w:cs="宋体"/>
                <w:color w:val="auto"/>
                <w:sz w:val="21"/>
                <w:szCs w:val="21"/>
                <w:highlight w:val="none"/>
              </w:rPr>
            </w:pPr>
            <w:r>
              <w:rPr>
                <w:rFonts w:hint="eastAsia" w:ascii="宋体" w:hAnsi="宋体" w:cs="宋体"/>
                <w:b/>
                <w:bCs/>
                <w:color w:val="auto"/>
                <w:sz w:val="21"/>
                <w:szCs w:val="21"/>
                <w:highlight w:val="none"/>
              </w:rPr>
              <w:t xml:space="preserve">响应文件必须在截止时间前完成提交（上传），逾期提交（上传）的响应文件恕不接受。</w:t>
            </w:r>
            <w:r>
              <w:rPr>
                <w:color w:val="auto"/>
                <w:highlight w:val="none"/>
              </w:rPr>
            </w:r>
          </w:p>
        </w:tc>
      </w:tr>
      <w:tr>
        <w:trPr>
          <w:jc w:val="cente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开启时间</w:t>
            </w:r>
            <w:r>
              <w:rPr>
                <w:color w:val="auto"/>
                <w:highlight w:val="none"/>
              </w:rPr>
            </w:r>
          </w:p>
          <w:p>
            <w:pPr>
              <w:ind w:left="0"/>
              <w:jc w:val="center"/>
              <w:rPr>
                <w:rFonts w:ascii="宋体" w:hAnsi="宋体" w:cs="宋体"/>
                <w:color w:val="auto"/>
                <w:sz w:val="21"/>
                <w:szCs w:val="21"/>
                <w:highlight w:val="none"/>
              </w:rPr>
            </w:pPr>
            <w:r>
              <w:rPr>
                <w:rFonts w:hint="eastAsia" w:ascii="宋体" w:hAnsi="宋体"/>
                <w:color w:val="auto"/>
                <w:sz w:val="21"/>
                <w:szCs w:val="21"/>
                <w:highlight w:val="none"/>
              </w:rPr>
              <w:t xml:space="preserve">开启</w:t>
            </w:r>
            <w:r>
              <w:rPr>
                <w:rFonts w:hint="eastAsia" w:ascii="宋体" w:hAnsi="宋体" w:cs="宋体"/>
                <w:color w:val="auto"/>
                <w:sz w:val="21"/>
                <w:szCs w:val="21"/>
                <w:highlight w:val="none"/>
              </w:rPr>
              <w:t xml:space="preserve">地点</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2026年4月21日13点30分（北京时间）</w:t>
            </w:r>
            <w:r>
              <w:rPr>
                <w:color w:val="auto"/>
                <w:highlight w:val="none"/>
              </w:rPr>
            </w:r>
          </w:p>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“苏采云”系统（网址：http://jszfcg.jsczt.cn/）</w:t>
            </w:r>
            <w:r>
              <w:rPr>
                <w:color w:val="auto"/>
                <w:highlight w:val="none"/>
              </w:rPr>
            </w:r>
          </w:p>
          <w:p>
            <w:pPr>
              <w:ind w:left="0"/>
              <w:jc w:val="left"/>
              <w:rPr>
                <w:rFonts w:ascii="宋体" w:hAnsi="宋体" w:cs="宋体"/>
                <w:color w:val="auto"/>
                <w:sz w:val="21"/>
                <w:szCs w:val="21"/>
                <w:highlight w:val="none"/>
              </w:rPr>
            </w:pPr>
            <w:r>
              <w:rPr>
                <w:rFonts w:hint="eastAsia" w:ascii="宋体" w:hAnsi="宋体" w:cs="宋体"/>
                <w:b/>
                <w:bCs/>
                <w:color w:val="auto"/>
                <w:sz w:val="21"/>
                <w:szCs w:val="21"/>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color w:val="auto"/>
                <w:highlight w:val="none"/>
              </w:rP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olor w:val="auto"/>
                <w:sz w:val="21"/>
                <w:szCs w:val="21"/>
                <w:highlight w:val="none"/>
              </w:rPr>
              <w:t xml:space="preserve">评审</w:t>
            </w:r>
            <w:r>
              <w:rPr>
                <w:rFonts w:hint="eastAsia" w:ascii="宋体" w:hAnsi="宋体" w:cs="宋体"/>
                <w:color w:val="auto"/>
                <w:sz w:val="21"/>
                <w:szCs w:val="21"/>
                <w:highlight w:val="none"/>
              </w:rPr>
              <w:t xml:space="preserve">时间</w:t>
            </w:r>
            <w:r>
              <w:rPr>
                <w:color w:val="auto"/>
                <w:highlight w:val="none"/>
              </w:rPr>
            </w:r>
          </w:p>
          <w:p>
            <w:pPr>
              <w:ind w:left="0"/>
              <w:jc w:val="center"/>
              <w:rPr>
                <w:rFonts w:ascii="宋体" w:hAnsi="宋体" w:cs="宋体"/>
                <w:color w:val="auto"/>
                <w:sz w:val="21"/>
                <w:szCs w:val="21"/>
                <w:highlight w:val="none"/>
              </w:rPr>
            </w:pPr>
            <w:r>
              <w:rPr>
                <w:rFonts w:hint="eastAsia" w:ascii="宋体" w:hAnsi="宋体"/>
                <w:color w:val="auto"/>
                <w:sz w:val="21"/>
                <w:szCs w:val="21"/>
                <w:highlight w:val="none"/>
              </w:rPr>
              <w:t xml:space="preserve">评审</w:t>
            </w:r>
            <w:r>
              <w:rPr>
                <w:rFonts w:hint="eastAsia" w:ascii="宋体" w:hAnsi="宋体" w:cs="宋体"/>
                <w:color w:val="auto"/>
                <w:sz w:val="21"/>
                <w:szCs w:val="21"/>
                <w:highlight w:val="none"/>
              </w:rPr>
              <w:t xml:space="preserve">地点</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2026年4月21日13点30分（北京时间）</w:t>
            </w:r>
            <w:r>
              <w:rPr>
                <w:color w:val="auto"/>
                <w:highlight w:val="none"/>
              </w:rPr>
            </w:r>
          </w:p>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苏州市高新区邓尉路105号狮山科技馆8楼</w:t>
            </w:r>
            <w:r>
              <w:rPr>
                <w:color w:val="auto"/>
                <w:highlight w:val="none"/>
              </w:rPr>
            </w:r>
          </w:p>
        </w:tc>
      </w:tr>
      <w:tr>
        <w:trPr>
          <w:jc w:val="cente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响应文件份数</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本项目采用电子响应文件，响应单位按照采购文件要求制作上传电子响应文件，响应单位无需提供纸质响应文件。</w:t>
            </w:r>
            <w:r>
              <w:rPr>
                <w:color w:val="auto"/>
                <w:highlight w:val="none"/>
              </w:rPr>
            </w:r>
          </w:p>
        </w:tc>
      </w:tr>
      <w:tr>
        <w:trPr>
          <w:jc w:val="cente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现场踏勘</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本项目不组织统一勘察</w:t>
            </w:r>
            <w:r>
              <w:rPr>
                <w:color w:val="auto"/>
                <w:highlight w:val="none"/>
              </w:rP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履约保证金</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本项目不收取履约保证金（采购文件中涉及履约保证金的条款均不适用）</w:t>
            </w:r>
            <w:r>
              <w:rPr>
                <w:color w:val="auto"/>
                <w:highlight w:val="none"/>
              </w:rP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成交通知书</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确定出成交单位后，采购代理机构在法定时间内向成交单位发出成交通知书。成交通知书将成为合同的组成部分。</w:t>
            </w:r>
            <w:r>
              <w:rPr>
                <w:color w:val="auto"/>
                <w:highlight w:val="none"/>
              </w:rPr>
            </w:r>
          </w:p>
          <w:p>
            <w:pPr>
              <w:ind w:left="0"/>
              <w:jc w:val="left"/>
              <w:rPr>
                <w:rFonts w:ascii="宋体" w:hAnsi="宋体" w:cs="宋体"/>
                <w:color w:val="auto"/>
                <w:sz w:val="21"/>
                <w:szCs w:val="21"/>
                <w:highlight w:val="none"/>
              </w:rPr>
            </w:pPr>
            <w:r>
              <w:rPr>
                <w:rFonts w:hint="eastAsia" w:ascii="宋体" w:hAnsi="宋体" w:cs="宋体"/>
                <w:b/>
                <w:bCs/>
                <w:color w:val="auto"/>
                <w:sz w:val="21"/>
                <w:szCs w:val="21"/>
                <w:highlight w:val="none"/>
              </w:rPr>
              <w:t xml:space="preserve">请成交单位在成交结果公告届满之日起30日内，使用CA证书登录“苏采云”系统及时下载成交通知书。</w:t>
            </w:r>
            <w:r>
              <w:rPr>
                <w:color w:val="auto"/>
                <w:highlight w:val="none"/>
              </w:rP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代理服务费</w:t>
            </w:r>
            <w:r>
              <w:rPr>
                <w:color w:val="auto"/>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69"/>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代理服务费收费标准：</w:t>
            </w:r>
            <w:r>
              <w:rPr>
                <w:color w:val="auto"/>
                <w:highlight w:val="none"/>
              </w:rPr>
            </w:r>
          </w:p>
          <w:p>
            <w:pPr>
              <w:pStyle w:val="1169"/>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预算金额100万元以下部分，费率为该部分预算金额的1.5%；</w:t>
            </w:r>
            <w:r>
              <w:rPr>
                <w:color w:val="auto"/>
                <w:highlight w:val="none"/>
              </w:rPr>
            </w:r>
          </w:p>
          <w:p>
            <w:pPr>
              <w:pStyle w:val="1169"/>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预算金额100万元（含）－500万元部分，费率为该部分预算金额的1.1%；</w:t>
            </w:r>
            <w:r>
              <w:rPr>
                <w:color w:val="auto"/>
                <w:highlight w:val="none"/>
              </w:rPr>
            </w:r>
          </w:p>
          <w:p>
            <w:pPr>
              <w:pStyle w:val="1169"/>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说明：代理服务费以采购预算金额为基数依据，按以上规定的标准和差额定率累进法</w:t>
            </w:r>
            <w:r>
              <w:rPr>
                <w:rFonts w:hint="eastAsia" w:ascii="宋体" w:hAnsi="宋体" w:cs="宋体"/>
                <w:color w:val="auto"/>
                <w:sz w:val="21"/>
                <w:szCs w:val="21"/>
                <w:highlight w:val="none"/>
                <w:lang w:val="en-US" w:eastAsia="zh-CN"/>
              </w:rPr>
              <w:t xml:space="preserve">的60%</w:t>
            </w:r>
            <w:r>
              <w:rPr>
                <w:rFonts w:hint="eastAsia" w:ascii="宋体" w:hAnsi="宋体" w:cs="宋体"/>
                <w:color w:val="auto"/>
                <w:sz w:val="21"/>
                <w:szCs w:val="21"/>
                <w:highlight w:val="none"/>
              </w:rPr>
              <w:t xml:space="preserve">进行计算收取。例：如预算金额为150万元，则代理服务费＝</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100万元以下部分×1.5%＋（150万元－100万元以下部分）×1.1%</w:t>
            </w:r>
            <w:r>
              <w:rPr>
                <w:rFonts w:hint="eastAsia" w:ascii="宋体" w:hAnsi="宋体" w:cs="宋体"/>
                <w:color w:val="auto"/>
                <w:sz w:val="21"/>
                <w:szCs w:val="21"/>
                <w:highlight w:val="none"/>
                <w:lang w:val="en-US" w:eastAsia="zh-CN"/>
              </w:rPr>
              <w:t xml:space="preserve">}*60%</w:t>
            </w:r>
            <w:r>
              <w:rPr>
                <w:rFonts w:hint="eastAsia" w:ascii="宋体" w:hAnsi="宋体" w:cs="宋体"/>
                <w:color w:val="auto"/>
                <w:sz w:val="21"/>
                <w:szCs w:val="21"/>
                <w:highlight w:val="none"/>
              </w:rPr>
              <w:t xml:space="preserve">。如按上述方法计算的金额低于人民币3000元整的，则本项目代理服务费按人民币3000元整计收。</w:t>
            </w:r>
            <w:r>
              <w:rPr>
                <w:color w:val="auto"/>
                <w:highlight w:val="none"/>
              </w:rPr>
            </w:r>
          </w:p>
          <w:p>
            <w:pPr>
              <w:pStyle w:val="1169"/>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成交单位须按上述规定计算并支付服务费，该费用应在领取成交通知书时付清。</w:t>
            </w:r>
            <w:r>
              <w:rPr>
                <w:color w:val="auto"/>
                <w:highlight w:val="none"/>
              </w:rPr>
            </w:r>
          </w:p>
          <w:p>
            <w:pPr>
              <w:pStyle w:val="1169"/>
              <w:ind w:left="0" w:firstLine="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汇款银行资料：</w:t>
            </w:r>
            <w:r>
              <w:rPr>
                <w:color w:val="auto"/>
                <w:highlight w:val="none"/>
              </w:rPr>
            </w:r>
          </w:p>
          <w:p>
            <w:pPr>
              <w:pStyle w:val="1169"/>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收款人名称：苏州合亿盛工程咨询有限公司</w:t>
            </w:r>
            <w:r>
              <w:rPr>
                <w:color w:val="auto"/>
                <w:highlight w:val="none"/>
              </w:rPr>
            </w:r>
          </w:p>
          <w:p>
            <w:pPr>
              <w:pStyle w:val="1169"/>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开户行名称：中国农业银行股份有限公司苏州元和支行</w:t>
            </w:r>
            <w:r>
              <w:rPr>
                <w:color w:val="auto"/>
                <w:highlight w:val="none"/>
              </w:rPr>
            </w:r>
          </w:p>
          <w:p>
            <w:pPr>
              <w:pStyle w:val="1169"/>
              <w:ind w:left="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银行</w:t>
            </w:r>
            <w:r>
              <w:rPr>
                <w:rFonts w:hint="eastAsia" w:ascii="宋体" w:hAnsi="宋体" w:cs="宋体"/>
                <w:color w:val="auto"/>
                <w:sz w:val="21"/>
                <w:szCs w:val="21"/>
                <w:highlight w:val="none"/>
                <w:lang w:val="en-US"/>
              </w:rPr>
              <w:t xml:space="preserve">账</w:t>
            </w:r>
            <w:r>
              <w:rPr>
                <w:rFonts w:hint="eastAsia" w:ascii="宋体" w:hAnsi="宋体" w:cs="宋体"/>
                <w:color w:val="auto"/>
                <w:sz w:val="21"/>
                <w:szCs w:val="21"/>
                <w:highlight w:val="none"/>
              </w:rPr>
              <w:t xml:space="preserve">号：10541101040028625</w:t>
            </w:r>
            <w:r>
              <w:rPr>
                <w:color w:val="auto"/>
                <w:highlight w:val="none"/>
              </w:rPr>
            </w:r>
          </w:p>
        </w:tc>
      </w:tr>
    </w:tbl>
    <w:p>
      <w:pPr>
        <w:ind w:left="0"/>
        <w:jc w:val="center"/>
        <w:rPr>
          <w:rFonts w:ascii="宋体" w:hAnsi="宋体" w:cs="宋体"/>
          <w:color w:val="auto"/>
          <w:sz w:val="44"/>
          <w:szCs w:val="44"/>
          <w:highlight w:val="none"/>
        </w:rPr>
        <w:sectPr>
          <w:footerReference w:type="default" r:id="rId16"/>
          <w:footnotePr/>
          <w:endnotePr/>
          <w:type w:val="nextPage"/>
          <w:pgSz w:w="11906" w:h="16838" w:orient="portrait"/>
          <w:pgMar w:top="1361" w:right="1247" w:bottom="1361" w:left="1247" w:header="1134" w:footer="1134" w:gutter="0"/>
          <w:pgNumType w:start="1"/>
          <w:cols w:num="1" w:sep="0" w:space="720" w:equalWidth="1"/>
          <w:docGrid w:linePitch="360"/>
        </w:sectPr>
      </w:pPr>
      <w:r>
        <w:rPr>
          <w:color w:val="auto"/>
          <w:highlight w:val="none"/>
        </w:rPr>
      </w:r>
      <w:bookmarkStart w:id="4" w:name="_Toc28592"/>
      <w:r>
        <w:rPr>
          <w:color w:val="auto"/>
          <w:highlight w:val="none"/>
        </w:rPr>
      </w:r>
      <w:bookmarkStart w:id="5" w:name="_Toc7166"/>
      <w:r>
        <w:rPr>
          <w:color w:val="auto"/>
          <w:highlight w:val="none"/>
        </w:rPr>
      </w:r>
      <w:bookmarkStart w:id="6" w:name="_Toc57376405"/>
      <w:r>
        <w:rPr>
          <w:color w:val="auto"/>
          <w:highlight w:val="none"/>
        </w:rPr>
      </w:r>
      <w:bookmarkStart w:id="7" w:name="_Toc58248879"/>
      <w:r>
        <w:rPr>
          <w:color w:val="auto"/>
          <w:highlight w:val="none"/>
        </w:rPr>
      </w:r>
      <w:r>
        <w:rPr>
          <w:color w:val="auto"/>
          <w:highlight w:val="none"/>
        </w:rPr>
      </w:r>
    </w:p>
    <w:p>
      <w:pPr>
        <w:ind w:left="0"/>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目     录</w:t>
      </w:r>
      <w:r>
        <w:rPr>
          <w:color w:val="auto"/>
          <w:highlight w:val="none"/>
        </w:rPr>
      </w:r>
    </w:p>
    <w:p>
      <w:pPr>
        <w:ind w:left="0"/>
        <w:jc w:val="center"/>
        <w:rPr>
          <w:rFonts w:ascii="宋体" w:hAnsi="宋体" w:cs="宋体"/>
          <w:color w:val="auto"/>
          <w:sz w:val="44"/>
          <w:szCs w:val="44"/>
          <w:highlight w:val="none"/>
        </w:rPr>
      </w:pPr>
      <w:r>
        <w:rPr>
          <w:rFonts w:ascii="宋体" w:hAnsi="宋体" w:cs="宋体"/>
          <w:color w:val="auto"/>
          <w:sz w:val="44"/>
          <w:szCs w:val="44"/>
          <w:highlight w:val="none"/>
        </w:rPr>
      </w:r>
      <w:r>
        <w:rPr>
          <w:color w:val="auto"/>
          <w:highlight w:val="none"/>
        </w:rPr>
      </w:r>
    </w:p>
    <w:p>
      <w:pPr>
        <w:pStyle w:val="1126"/>
        <w:rPr>
          <w:rFonts w:ascii="宋体" w:hAnsi="宋体" w:cs="宋体"/>
          <w:color w:val="auto"/>
          <w:highlight w:val="none"/>
        </w:rPr>
      </w:pPr>
      <w:r>
        <w:rPr>
          <w:rFonts w:ascii="宋体" w:hAnsi="宋体" w:cs="宋体"/>
          <w:color w:val="auto"/>
          <w:highlight w:val="none"/>
        </w:rPr>
      </w:r>
      <w:r>
        <w:rPr>
          <w:color w:val="auto"/>
          <w:highlight w:val="none"/>
        </w:rPr>
      </w:r>
    </w:p>
    <w:p>
      <w:pPr>
        <w:pStyle w:val="1140"/>
        <w:ind w:firstLine="0"/>
        <w:jc w:val="center"/>
        <w:spacing w:line="480" w:lineRule="auto"/>
        <w:tabs>
          <w:tab w:val="right" w:pos="9864" w:leader="dot"/>
        </w:tabs>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"_Toc19188" </w:instrText>
      </w:r>
      <w:r>
        <w:rPr>
          <w:color w:val="auto"/>
          <w:highlight w:val="none"/>
        </w:rPr>
        <w:fldChar w:fldCharType="separate"/>
      </w:r>
      <w:r>
        <w:rPr>
          <w:rFonts w:hint="eastAsia" w:ascii="宋体" w:hAnsi="宋体" w:cs="宋体"/>
          <w:color w:val="auto"/>
          <w:sz w:val="28"/>
          <w:szCs w:val="28"/>
          <w:highlight w:val="none"/>
        </w:rPr>
        <w:t xml:space="preserve">第一章 磋商邀请函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_Toc19188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color w:val="auto"/>
          <w:highlight w:val="none"/>
        </w:rPr>
      </w:r>
    </w:p>
    <w:p>
      <w:pPr>
        <w:pStyle w:val="1140"/>
        <w:ind w:firstLine="0"/>
        <w:jc w:val="center"/>
        <w:spacing w:line="480" w:lineRule="auto"/>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"_Toc26337" </w:instrText>
      </w:r>
      <w:r>
        <w:rPr>
          <w:color w:val="auto"/>
          <w:highlight w:val="none"/>
        </w:rPr>
        <w:fldChar w:fldCharType="separate"/>
      </w:r>
      <w:r>
        <w:rPr>
          <w:rFonts w:hint="eastAsia" w:ascii="宋体" w:hAnsi="宋体" w:cs="宋体"/>
          <w:color w:val="auto"/>
          <w:sz w:val="28"/>
          <w:szCs w:val="28"/>
          <w:highlight w:val="none"/>
        </w:rPr>
        <w:t xml:space="preserve">第二章 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_Toc26337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color w:val="auto"/>
          <w:highlight w:val="none"/>
        </w:rPr>
      </w:r>
    </w:p>
    <w:p>
      <w:pPr>
        <w:pStyle w:val="1140"/>
        <w:ind w:firstLine="0"/>
        <w:jc w:val="center"/>
        <w:spacing w:line="480" w:lineRule="auto"/>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"_Toc29473" </w:instrText>
      </w:r>
      <w:r>
        <w:rPr>
          <w:color w:val="auto"/>
          <w:highlight w:val="none"/>
        </w:rPr>
        <w:fldChar w:fldCharType="separate"/>
      </w:r>
      <w:r>
        <w:rPr>
          <w:rFonts w:hint="eastAsia" w:ascii="宋体" w:hAnsi="宋体" w:cs="宋体"/>
          <w:color w:val="auto"/>
          <w:sz w:val="28"/>
          <w:szCs w:val="28"/>
          <w:highlight w:val="none"/>
        </w:rPr>
        <w:t xml:space="preserve">第三章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_Toc29473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color w:val="auto"/>
          <w:highlight w:val="none"/>
        </w:rPr>
      </w:r>
    </w:p>
    <w:p>
      <w:pPr>
        <w:pStyle w:val="1140"/>
        <w:ind w:firstLine="0"/>
        <w:jc w:val="center"/>
        <w:spacing w:line="480" w:lineRule="auto"/>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"_Toc22713" </w:instrText>
      </w:r>
      <w:r>
        <w:rPr>
          <w:color w:val="auto"/>
          <w:highlight w:val="none"/>
        </w:rPr>
        <w:fldChar w:fldCharType="separate"/>
      </w:r>
      <w:r>
        <w:rPr>
          <w:rFonts w:hint="eastAsia" w:ascii="宋体" w:hAnsi="宋体" w:cs="宋体"/>
          <w:color w:val="auto"/>
          <w:sz w:val="28"/>
          <w:szCs w:val="28"/>
          <w:highlight w:val="none"/>
        </w:rPr>
        <w:t xml:space="preserve">第四章 采购内容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_Toc22713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color w:val="auto"/>
          <w:highlight w:val="none"/>
        </w:rPr>
      </w:r>
    </w:p>
    <w:p>
      <w:pPr>
        <w:pStyle w:val="1140"/>
        <w:ind w:firstLine="0"/>
        <w:jc w:val="center"/>
        <w:spacing w:line="480" w:lineRule="auto"/>
        <w:tabs>
          <w:tab w:val="right" w:pos="9864"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"_Toc18839" </w:instrText>
      </w:r>
      <w:r>
        <w:rPr>
          <w:color w:val="auto"/>
          <w:highlight w:val="none"/>
        </w:rPr>
        <w:fldChar w:fldCharType="separate"/>
      </w:r>
      <w:r>
        <w:rPr>
          <w:rFonts w:hint="eastAsia" w:ascii="宋体" w:hAnsi="宋体" w:cs="宋体"/>
          <w:color w:val="auto"/>
          <w:sz w:val="28"/>
          <w:szCs w:val="28"/>
          <w:highlight w:val="none"/>
        </w:rPr>
        <w:t xml:space="preserve">第五章 合同及主要条款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_Toc18839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color w:val="auto"/>
          <w:highlight w:val="none"/>
        </w:rPr>
      </w:r>
    </w:p>
    <w:p>
      <w:pPr>
        <w:pStyle w:val="1140"/>
        <w:ind w:firstLine="0"/>
        <w:jc w:val="center"/>
        <w:spacing w:line="480" w:lineRule="auto"/>
        <w:tabs>
          <w:tab w:val="right" w:pos="9864"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"_Toc4090" </w:instrText>
      </w:r>
      <w:r>
        <w:rPr>
          <w:color w:val="auto"/>
          <w:highlight w:val="none"/>
        </w:rPr>
        <w:fldChar w:fldCharType="separate"/>
      </w:r>
      <w:r>
        <w:rPr>
          <w:rFonts w:hint="eastAsia" w:ascii="宋体" w:hAnsi="宋体" w:cs="宋体"/>
          <w:color w:val="auto"/>
          <w:sz w:val="28"/>
          <w:szCs w:val="28"/>
          <w:highlight w:val="none"/>
        </w:rPr>
        <w:t xml:space="preserve">第六章 评审办法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_Toc4090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rPr>
          <w:color w:val="auto"/>
          <w:highlight w:val="none"/>
        </w:rPr>
      </w:r>
    </w:p>
    <w:p>
      <w:pPr>
        <w:pStyle w:val="1117"/>
        <w:ind w:left="0" w:firstLine="0"/>
        <w:jc w:val="center"/>
        <w:rPr>
          <w:rFonts w:ascii="宋体" w:hAnsi="宋体" w:cs="宋体"/>
          <w:color w:val="auto"/>
          <w:szCs w:val="28"/>
          <w:highlight w:val="none"/>
        </w:rPr>
        <w:sectPr>
          <w:footerReference w:type="default" r:id="rId17"/>
          <w:footnotePr/>
          <w:endnotePr/>
          <w:type w:val="nextPage"/>
          <w:pgSz w:w="11906" w:h="16838" w:orient="portrait"/>
          <w:pgMar w:top="1361" w:right="1247" w:bottom="1361" w:left="1247" w:header="1134" w:footer="1134" w:gutter="0"/>
          <w:cols w:num="1" w:sep="0" w:space="720" w:equalWidth="1"/>
          <w:docGrid w:linePitch="360"/>
        </w:sectPr>
      </w:pPr>
      <w:r>
        <w:rPr>
          <w:rFonts w:hint="eastAsia" w:ascii="宋体" w:hAnsi="宋体" w:cs="宋体"/>
          <w:color w:val="auto"/>
          <w:szCs w:val="28"/>
          <w:highlight w:val="none"/>
        </w:rPr>
        <w:fldChar w:fldCharType="end"/>
      </w:r>
      <w:bookmarkStart w:id="8" w:name="_Toc19808"/>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pStyle w:val="1117"/>
        <w:ind w:left="0" w:firstLine="0"/>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pStyle w:val="1117"/>
        <w:ind w:left="0" w:firstLine="0"/>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pStyle w:val="1117"/>
        <w:ind w:left="0" w:firstLine="0"/>
        <w:jc w:val="center"/>
        <w:rPr>
          <w:rFonts w:ascii="宋体" w:hAnsi="宋体" w:cs="宋体"/>
          <w:b/>
          <w:color w:val="auto"/>
          <w:sz w:val="44"/>
          <w:szCs w:val="44"/>
          <w:highlight w:val="none"/>
        </w:rPr>
      </w:pPr>
      <w:r>
        <w:rPr>
          <w:color w:val="auto"/>
          <w:highlight w:val="none"/>
        </w:rPr>
      </w:r>
      <w:bookmarkStart w:id="9" w:name="_Toc22054"/>
      <w:r>
        <w:rPr>
          <w:color w:val="auto"/>
          <w:highlight w:val="none"/>
        </w:rPr>
      </w:r>
      <w:bookmarkStart w:id="10" w:name="_Toc19188"/>
      <w:r>
        <w:rPr>
          <w:rFonts w:hint="eastAsia" w:ascii="宋体" w:hAnsi="宋体" w:cs="宋体"/>
          <w:b/>
          <w:color w:val="auto"/>
          <w:sz w:val="44"/>
          <w:szCs w:val="44"/>
          <w:highlight w:val="none"/>
        </w:rPr>
        <w:t xml:space="preserve">第一章 磋商邀请函</w:t>
      </w:r>
      <w:bookmarkEnd w:id="4"/>
      <w:r>
        <w:rPr>
          <w:color w:val="auto"/>
          <w:highlight w:val="none"/>
        </w:rPr>
      </w:r>
      <w:bookmarkEnd w:id="5"/>
      <w:r>
        <w:rPr>
          <w:color w:val="auto"/>
          <w:highlight w:val="none"/>
        </w:rPr>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r>
        <w:rPr>
          <w:color w:val="auto"/>
          <w:highlight w:val="none"/>
        </w:rPr>
      </w:r>
    </w:p>
    <w:p>
      <w:pPr>
        <w:pStyle w:val="1117"/>
        <w:ind w:left="0" w:firstLine="0"/>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sectPr>
          <w:footerReference w:type="default" r:id="rId18"/>
          <w:footnotePr/>
          <w:endnotePr/>
          <w:type w:val="nextPage"/>
          <w:pgSz w:w="11906" w:h="16838" w:orient="portrait"/>
          <w:pgMar w:top="1361" w:right="1247" w:bottom="1361" w:left="1247" w:header="1134" w:footer="1134" w:gutter="0"/>
          <w:cols w:num="1" w:sep="0" w:space="720" w:equalWidth="1"/>
          <w:docGrid w:linePitch="360"/>
        </w:sectPr>
      </w:pPr>
      <w:r>
        <w:rPr>
          <w:color w:val="auto"/>
          <w:highlight w:val="none"/>
        </w:rPr>
      </w:r>
      <w:bookmarkStart w:id="11" w:name="_Toc3644"/>
      <w:r>
        <w:rPr>
          <w:color w:val="auto"/>
          <w:highlight w:val="none"/>
        </w:rPr>
      </w:r>
      <w:bookmarkStart w:id="12" w:name="_Toc16571"/>
      <w:r>
        <w:rPr>
          <w:color w:val="auto"/>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rPr>
        <w:t xml:space="preserve">苏州市相城区中医医院（苏州市相城区望亭镇卫生院）</w:t>
      </w:r>
      <w:r>
        <w:rPr>
          <w:rFonts w:hint="eastAsia" w:ascii="宋体" w:hAnsi="宋体" w:cs="宋体"/>
          <w:color w:val="auto"/>
          <w:sz w:val="24"/>
          <w:szCs w:val="24"/>
          <w:highlight w:val="none"/>
        </w:rPr>
        <w:t xml:space="preserve">的委托，就</w:t>
      </w:r>
      <w:r>
        <w:rPr>
          <w:rFonts w:hint="eastAsia" w:ascii="宋体" w:hAnsi="宋体" w:cs="宋体"/>
          <w:color w:val="auto"/>
          <w:sz w:val="24"/>
          <w:szCs w:val="24"/>
          <w:highlight w:val="none"/>
          <w:u w:val="single"/>
        </w:rPr>
        <w:t xml:space="preserve">苏州市相城区中医医院食堂外包服务项目</w:t>
      </w:r>
      <w:r>
        <w:rPr>
          <w:rFonts w:hint="eastAsia" w:ascii="宋体" w:hAnsi="宋体" w:cs="宋体"/>
          <w:color w:val="auto"/>
          <w:sz w:val="24"/>
          <w:szCs w:val="24"/>
          <w:highlight w:val="none"/>
        </w:rPr>
        <w:t xml:space="preserve">采用竞争性磋商方式进行采购。欢迎符合资格条件的供应商前来报名参加磋商。</w:t>
      </w:r>
      <w:bookmarkEnd w:id="11"/>
      <w:r>
        <w:rPr>
          <w:color w:val="auto"/>
          <w:highlight w:val="none"/>
        </w:rPr>
      </w:r>
      <w:bookmarkEnd w:id="12"/>
      <w:r>
        <w:rPr>
          <w:color w:val="auto"/>
          <w:highlight w:val="none"/>
        </w:rPr>
      </w:r>
      <w:r>
        <w:rPr>
          <w:color w:val="auto"/>
          <w:highlight w:val="none"/>
        </w:rPr>
      </w:r>
    </w:p>
    <w:p>
      <w:pPr>
        <w:ind w:left="0" w:firstLine="480"/>
        <w:spacing w:line="360" w:lineRule="auto"/>
        <w:widowControl w:val="off"/>
        <w:rPr>
          <w:rFonts w:ascii="宋体" w:hAnsi="宋体" w:cs="宋体"/>
          <w:color w:val="auto"/>
          <w:sz w:val="24"/>
          <w:szCs w:val="24"/>
          <w:highlight w:val="none"/>
        </w:rPr>
      </w:pPr>
      <w:r>
        <w:rPr>
          <w:color w:val="auto"/>
          <w:highlight w:val="none"/>
        </w:rPr>
      </w:r>
      <w:bookmarkStart w:id="13" w:name="_Toc19838"/>
      <w:r>
        <w:rPr>
          <w:color w:val="auto"/>
          <w:highlight w:val="none"/>
        </w:rPr>
      </w:r>
      <w:bookmarkStart w:id="14" w:name="_Toc14794"/>
      <w:r>
        <w:rPr>
          <w:rFonts w:hint="eastAsia" w:ascii="宋体" w:hAnsi="宋体" w:cs="宋体"/>
          <w:color w:val="auto"/>
          <w:sz w:val="24"/>
          <w:szCs w:val="24"/>
          <w:highlight w:val="none"/>
        </w:rPr>
        <w:t xml:space="preserve">一、项目基本情况：</w:t>
      </w:r>
      <w:r>
        <w:rPr>
          <w:color w:val="auto"/>
          <w:highlight w:val="none"/>
        </w:rPr>
      </w:r>
    </w:p>
    <w:p>
      <w:pPr>
        <w:ind w:left="0" w:firstLine="480"/>
        <w:spacing w:line="360" w:lineRule="auto"/>
        <w:widowControl w:val="off"/>
        <w:rPr>
          <w:rFonts w:ascii="宋体" w:hAnsi="宋体" w:cs="宋体"/>
          <w:b/>
          <w:color w:val="auto"/>
          <w:sz w:val="24"/>
          <w:szCs w:val="24"/>
          <w:highlight w:val="none"/>
        </w:rPr>
      </w:pPr>
      <w:r>
        <w:rPr>
          <w:rFonts w:hint="eastAsia" w:ascii="宋体" w:hAnsi="宋体" w:cs="宋体"/>
          <w:color w:val="auto"/>
          <w:sz w:val="24"/>
          <w:szCs w:val="24"/>
          <w:highlight w:val="none"/>
        </w:rPr>
        <w:t xml:space="preserve">1、项目编号：JSZC-320507-SHYS-C2026-0005号</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2、项目名称：苏州市相城区中医医院食堂外包服务项目</w:t>
      </w:r>
      <w:r>
        <w:rPr>
          <w:color w:val="auto"/>
          <w:highlight w:val="none"/>
        </w:rPr>
      </w:r>
    </w:p>
    <w:p>
      <w:pPr>
        <w:pStyle w:val="1127"/>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4、本项目采购预算金额：</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人民币（大写）：壹佰柒拾万元整</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人民币（小写）：¥1700000.00元</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color w:val="auto"/>
          <w:highlight w:val="none"/>
        </w:rP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人民币（大写）：</w:t>
      </w:r>
      <w:r>
        <w:rPr>
          <w:rFonts w:hint="eastAsia" w:ascii="宋体" w:hAnsi="宋体" w:cs="宋体"/>
          <w:color w:val="auto"/>
          <w:sz w:val="24"/>
          <w:szCs w:val="24"/>
          <w:highlight w:val="none"/>
          <w:lang w:val="en-US" w:eastAsia="zh-CN"/>
        </w:rPr>
        <w:t xml:space="preserve">壹佰陆拾玖万陆仟零壹拾叁元整</w:t>
      </w:r>
      <w:r>
        <w:rPr>
          <w:color w:val="auto"/>
          <w:highlight w:val="none"/>
        </w:rP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人民币（小写）：¥1696013</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元</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w:t>
      </w:r>
      <w:bookmarkEnd w:id="13"/>
      <w:r>
        <w:rPr>
          <w:color w:val="auto"/>
          <w:highlight w:val="none"/>
        </w:rPr>
      </w:r>
      <w:bookmarkEnd w:id="14"/>
      <w:r>
        <w:rPr>
          <w:color w:val="auto"/>
          <w:highlight w:val="none"/>
        </w:rPr>
      </w:r>
      <w:bookmarkStart w:id="15" w:name="_Toc6217"/>
      <w:r>
        <w:rPr>
          <w:color w:val="auto"/>
          <w:highlight w:val="none"/>
        </w:rPr>
      </w:r>
      <w:bookmarkStart w:id="16" w:name="_Toc57376406"/>
      <w:r>
        <w:rPr>
          <w:color w:val="auto"/>
          <w:highlight w:val="none"/>
        </w:rPr>
      </w:r>
      <w:bookmarkStart w:id="17" w:name="_Toc2412"/>
      <w:r>
        <w:rPr>
          <w:color w:val="auto"/>
          <w:highlight w:val="none"/>
        </w:rPr>
      </w:r>
      <w:bookmarkStart w:id="18" w:name="_Toc58248880"/>
      <w:r>
        <w:rPr>
          <w:rFonts w:hint="eastAsia" w:ascii="宋体" w:hAnsi="宋体" w:cs="宋体"/>
          <w:color w:val="auto"/>
          <w:sz w:val="24"/>
          <w:szCs w:val="24"/>
          <w:highlight w:val="none"/>
        </w:rPr>
        <w:t xml:space="preserve">采购需求：本次采购项目为食堂服务外包项目，具体为采购人提供就餐服务以及食堂区域的清洁和管理等。</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7、服务期限：1年，具体时间以合同签订时间为准。</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（5）参加政府采购活动近三年内，在经营活动中没有重大违法记录；</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2、落实政府采购政策需满足的资格要求：根据《政府采购促进中小企业发展管理办法》及《关于印发&lt;苏州市政府采购促进中小企业发展实施意见&gt;的通知》（苏财购〔2022〕16号）的相关规定，</w:t>
      </w:r>
      <w:r>
        <w:rPr>
          <w:rFonts w:hint="eastAsia" w:ascii="宋体" w:hAnsi="宋体" w:cs="宋体"/>
          <w:b/>
          <w:bCs/>
          <w:color w:val="auto"/>
          <w:sz w:val="24"/>
          <w:szCs w:val="24"/>
          <w:highlight w:val="none"/>
        </w:rPr>
        <w:t xml:space="preserve">本项目专门面向中小企业</w:t>
      </w:r>
      <w:r>
        <w:rPr>
          <w:rFonts w:hint="eastAsia" w:ascii="宋体" w:hAnsi="宋体" w:cs="宋体"/>
          <w:color w:val="auto"/>
          <w:sz w:val="24"/>
          <w:szCs w:val="24"/>
          <w:highlight w:val="none"/>
        </w:rPr>
        <w:t xml:space="preserve">，供应商应为中小微企业、监狱企业、残疾人福利性单位。</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（1）未被“信用中国”网站（www.creditchina.gov.cn）列入失信被执行人、重大税收违法案件当事人名单、政府采购严重失信行为记录名单；</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（2）具有有效的餐饮服务许可证或者食品经营许可证（许可范围需包含：餐饮服务管理）。</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三、获取采购文件：</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2、地点：“苏采云”系统下载（网址：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szCs w:val="24"/>
          <w:highlight w:val="none"/>
        </w:rPr>
        <w:t xml:space="preserve">http://jszfcg.jsczt.cn/）</w:t>
      </w:r>
      <w:r>
        <w:rPr>
          <w:rFonts w:hint="eastAsia" w:ascii="宋体" w:hAnsi="宋体" w:cs="宋体"/>
          <w:color w:val="auto"/>
          <w:sz w:val="24"/>
          <w:szCs w:val="24"/>
          <w:highlight w:val="none"/>
        </w:rPr>
        <w:fldChar w:fldCharType="end"/>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3、方式：</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rPr>
          <w:color w:val="auto"/>
          <w:highlight w:val="none"/>
        </w:rP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w:t>
      </w:r>
      <w:r>
        <w:rPr>
          <w:rFonts w:hint="eastAsia" w:ascii="宋体" w:hAnsi="宋体" w:cs="宋体"/>
          <w:bCs/>
          <w:color w:val="auto"/>
          <w:sz w:val="24"/>
          <w:szCs w:val="24"/>
          <w:highlight w:val="none"/>
        </w:rPr>
        <w:t xml:space="preserve">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 w:val="24"/>
          <w:szCs w:val="24"/>
          <w:highlight w:val="none"/>
        </w:rPr>
        <w:t xml:space="preserve">苏州现场办理地址：苏州高新区邓尉路105号狮山科技馆1楼服务大厅，咨询电话：0512-65737699。</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（2）参与采购活动</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（3）电子投标准备</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供应商在“苏采云”系统中操作成功参与项目后，必须在“已参与项目”界面中下载电子采购文件（后缀名为“.kedt”）并导入政府采购客户端工具后方可进行响应文件制作和提交</w:t>
      </w:r>
      <w:r>
        <w:rPr>
          <w:rFonts w:hint="eastAsia" w:ascii="宋体" w:hAnsi="宋体" w:cs="宋体"/>
          <w:b/>
          <w:bCs/>
          <w:color w:val="auto"/>
          <w:sz w:val="24"/>
          <w:szCs w:val="24"/>
          <w:highlight w:val="none"/>
        </w:rPr>
        <w:t xml:space="preserve">（具体详见《苏采云系统供应商操作手册》，网址链接https://czju.suzhou.gov.cn/zfcg/html/content/20231220161910031.shtml）</w:t>
      </w:r>
      <w:r>
        <w:rPr>
          <w:rFonts w:hint="eastAsia" w:ascii="宋体" w:hAnsi="宋体" w:cs="宋体"/>
          <w:color w:val="auto"/>
          <w:sz w:val="24"/>
          <w:szCs w:val="24"/>
          <w:highlight w:val="none"/>
        </w:rPr>
        <w:t xml:space="preserve">。</w:t>
      </w:r>
      <w:r>
        <w:rPr>
          <w:color w:val="auto"/>
          <w:highlight w:val="none"/>
        </w:rP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在系统操作过程中如有疑问，请按以下方式联系：</w:t>
      </w:r>
      <w:r>
        <w:rPr>
          <w:color w:val="auto"/>
          <w:highlight w:val="none"/>
        </w:rP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注册咨询：13914088964；</w:t>
      </w:r>
      <w:r>
        <w:rPr>
          <w:color w:val="auto"/>
          <w:highlight w:val="none"/>
        </w:rP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CA技术咨询电话：400-608-6099；</w:t>
      </w:r>
      <w:r>
        <w:rPr>
          <w:color w:val="auto"/>
          <w:highlight w:val="none"/>
        </w:rP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签章使用问题：025-83633811、025-83633812、15380932027、15371015030；</w:t>
      </w:r>
      <w:r>
        <w:rPr>
          <w:color w:val="auto"/>
          <w:highlight w:val="none"/>
        </w:rP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系统使用指导与咨询：联系电话：</w:t>
      </w:r>
      <w:bookmarkStart w:id="19" w:name="OLE_LINK40"/>
      <w:r>
        <w:rPr>
          <w:color w:val="auto"/>
          <w:highlight w:val="none"/>
        </w:rPr>
      </w:r>
      <w:bookmarkStart w:id="20" w:name="OLE_LINK39"/>
      <w:r>
        <w:rPr>
          <w:rFonts w:hint="eastAsia" w:ascii="宋体" w:hAnsi="宋体" w:cs="宋体"/>
          <w:bCs/>
          <w:color w:val="auto"/>
          <w:sz w:val="24"/>
          <w:szCs w:val="24"/>
          <w:highlight w:val="none"/>
        </w:rPr>
        <w:t xml:space="preserve">13914088964</w:t>
      </w:r>
      <w:bookmarkEnd w:id="19"/>
      <w:r>
        <w:rPr>
          <w:color w:val="auto"/>
          <w:highlight w:val="none"/>
        </w:rPr>
      </w:r>
      <w:bookmarkEnd w:id="20"/>
      <w:r>
        <w:rPr>
          <w:rFonts w:hint="eastAsia" w:ascii="宋体" w:hAnsi="宋体" w:cs="宋体"/>
          <w:bCs/>
          <w:color w:val="auto"/>
          <w:sz w:val="24"/>
          <w:szCs w:val="24"/>
          <w:highlight w:val="none"/>
        </w:rPr>
        <w:t xml:space="preserve">、0512-69820854；智能客服：登录苏采云系统后，联系系统右下方智能客服图标进行咨询。</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4、售价：免费。</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四、提交响应文件截止时间、开标时间和地点</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1、提交响应文件截止时间：</w:t>
      </w:r>
      <w:r>
        <w:rPr>
          <w:rFonts w:hint="eastAsia" w:ascii="宋体" w:hAnsi="宋体" w:cs="宋体"/>
          <w:color w:val="auto"/>
          <w:sz w:val="24"/>
          <w:szCs w:val="24"/>
          <w:highlight w:val="none"/>
        </w:rPr>
        <w:t xml:space="preserve">2026年4月21日13点30分（北京时间）</w:t>
      </w:r>
      <w:r>
        <w:rPr>
          <w:rFonts w:hint="eastAsia" w:ascii="宋体" w:hAnsi="宋体" w:cs="宋体"/>
          <w:color w:val="auto"/>
          <w:sz w:val="24"/>
          <w:szCs w:val="24"/>
          <w:highlight w:val="none"/>
        </w:rPr>
        <w:t xml:space="preserve">；</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rPr>
        <w:t xml:space="preserve">2026年4月21日13点30分（北京时间）</w:t>
      </w:r>
      <w:r>
        <w:rPr>
          <w:rFonts w:hint="eastAsia" w:ascii="宋体" w:hAnsi="宋体" w:cs="宋体"/>
          <w:color w:val="auto"/>
          <w:sz w:val="24"/>
          <w:szCs w:val="24"/>
          <w:highlight w:val="none"/>
        </w:rPr>
        <w:t xml:space="preserve">；</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p>
    <w:p>
      <w:pPr>
        <w:ind w:left="0" w:firstLine="480"/>
        <w:spacing w:line="360" w:lineRule="auto"/>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b/>
          <w:bCs/>
          <w:color w:val="auto"/>
          <w:sz w:val="24"/>
          <w:szCs w:val="24"/>
          <w:highlight w:val="none"/>
        </w:rPr>
        <w:t xml:space="preserve">请供应商确保电脑、系统及其他设备（视频输入输出设备等）无误，且开标直至项目结束始终保持系统在线状态。</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五、其他补充事宜</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1、为本项目提供整体设计、规范编制或者项目管理、监理、检测等服务的供应商：无。</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3、政府采购管理监督电话：0512-67591005、0512-67591006。</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4、本采购信息公告媒体：苏州市政府采购网、江苏政府采购网、中国政府采购网。</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5、响应保证金：本项目无需提交响应保证金。项目不收投标（响应）保证金的，投标（响应）人应在投标（响应）文件中提交《投标（响应）保证承诺书》（格式见采购文件第三章）。</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6、本项目获取采购文件截止日期之后仍可以下载采购文件，但截止日期之后下载的采购文件，视为非有效方式且不作为供应商权益受到损害的证明材料和依据。</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cs="宋体"/>
          <w:color w:val="auto"/>
          <w:sz w:val="24"/>
          <w:szCs w:val="24"/>
          <w:highlight w:val="none"/>
        </w:rPr>
        <w:t xml:space="preserve">本项目采购标的对应的中小企业划分标准所属行业为</w:t>
      </w:r>
      <w:r>
        <w:rPr>
          <w:rFonts w:hint="eastAsia" w:ascii="宋体" w:hAnsi="宋体" w:cs="宋体"/>
          <w:b/>
          <w:bCs/>
          <w:color w:val="auto"/>
          <w:sz w:val="24"/>
          <w:szCs w:val="24"/>
          <w:highlight w:val="none"/>
          <w:lang w:val="zh-CN"/>
        </w:rPr>
        <w:t xml:space="preserve">餐饮业</w:t>
      </w:r>
      <w:r>
        <w:rPr>
          <w:rFonts w:hint="eastAsia" w:ascii="宋体" w:hAnsi="宋体" w:cs="宋体"/>
          <w:color w:val="auto"/>
          <w:sz w:val="24"/>
          <w:szCs w:val="24"/>
          <w:highlight w:val="none"/>
        </w:rPr>
        <w:t xml:space="preserve">。</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8、如不同供应商的响应文件制作机器码一致，则视为无效响应。</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9、本项目支持政府采购合同信用融资。</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六、凡对本次采购提出询问，请按以下方式联系：</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称：苏州市相城区中医医院（苏州市相城区望亭镇卫生院）</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地址：苏州相城区望亭镇问渡路376号</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联系方式：裘晓华0512-66701109</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称：苏州合亿盛工程咨询有限公司</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址：苏州市相城区聚茂路185号活力大厦B座502</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联系方式：0512-67210880</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项目联系人：徐晓逸/胡欢/吴雯瑜</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      话：0512-67210880</w:t>
      </w:r>
      <w:r>
        <w:rPr>
          <w:color w:val="auto"/>
          <w:highlight w:val="none"/>
        </w:rPr>
      </w:r>
    </w:p>
    <w:p>
      <w:pPr>
        <w:pStyle w:val="1117"/>
        <w:jc w:val="center"/>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21" w:name="_Toc11400"/>
      <w:r>
        <w:rPr>
          <w:color w:val="auto"/>
          <w:highlight w:val="none"/>
        </w:rPr>
      </w:r>
      <w:r>
        <w:rPr>
          <w:color w:val="auto"/>
          <w:highlight w:val="none"/>
        </w:rPr>
      </w:r>
    </w:p>
    <w:p>
      <w:pPr>
        <w:pStyle w:val="1117"/>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pStyle w:val="1117"/>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pStyle w:val="1117"/>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rPr>
          <w:color w:val="auto"/>
          <w:highlight w:val="none"/>
        </w:rPr>
      </w:pPr>
      <w:r>
        <w:rPr>
          <w:color w:val="auto"/>
          <w:highlight w:val="none"/>
        </w:rPr>
      </w:r>
      <w:r>
        <w:rPr>
          <w:color w:val="auto"/>
          <w:highlight w:val="none"/>
        </w:rPr>
      </w:r>
    </w:p>
    <w:p>
      <w:pPr>
        <w:pStyle w:val="1117"/>
        <w:jc w:val="center"/>
        <w:rPr>
          <w:rFonts w:ascii="宋体" w:hAnsi="宋体" w:cs="宋体"/>
          <w:b/>
          <w:color w:val="auto"/>
          <w:sz w:val="44"/>
          <w:szCs w:val="44"/>
          <w:highlight w:val="none"/>
        </w:rPr>
      </w:pPr>
      <w:r>
        <w:rPr>
          <w:color w:val="auto"/>
          <w:highlight w:val="none"/>
        </w:rPr>
      </w:r>
      <w:bookmarkStart w:id="22" w:name="_Toc29635"/>
      <w:r>
        <w:rPr>
          <w:color w:val="auto"/>
          <w:highlight w:val="none"/>
        </w:rPr>
      </w:r>
      <w:bookmarkStart w:id="23" w:name="_Toc26337"/>
      <w:r>
        <w:rPr>
          <w:rFonts w:hint="eastAsia" w:ascii="宋体" w:hAnsi="宋体" w:cs="宋体"/>
          <w:b/>
          <w:color w:val="auto"/>
          <w:sz w:val="44"/>
          <w:szCs w:val="44"/>
          <w:highlight w:val="none"/>
        </w:rPr>
        <w:t xml:space="preserve">第二章 </w:t>
      </w:r>
      <w:bookmarkStart w:id="24" w:name="投标人须知"/>
      <w:r>
        <w:rPr>
          <w:color w:val="auto"/>
          <w:highlight w:val="none"/>
        </w:rPr>
      </w:r>
      <w:bookmarkEnd w:id="24"/>
      <w:r>
        <w:rPr>
          <w:rFonts w:hint="eastAsia" w:ascii="宋体" w:hAnsi="宋体" w:cs="宋体"/>
          <w:b/>
          <w:color w:val="auto"/>
          <w:sz w:val="44"/>
          <w:szCs w:val="44"/>
          <w:highlight w:val="none"/>
        </w:rPr>
        <w:t xml:space="preserve">磋商须知</w:t>
      </w:r>
      <w:bookmarkEnd w:id="15"/>
      <w:r>
        <w:rPr>
          <w:color w:val="auto"/>
          <w:highlight w:val="none"/>
        </w:rPr>
      </w:r>
      <w:bookmarkEnd w:id="16"/>
      <w:r>
        <w:rPr>
          <w:color w:val="auto"/>
          <w:highlight w:val="none"/>
        </w:rPr>
      </w:r>
      <w:bookmarkEnd w:id="17"/>
      <w:r>
        <w:rPr>
          <w:color w:val="auto"/>
          <w:highlight w:val="none"/>
        </w:rPr>
      </w:r>
      <w:bookmarkEnd w:id="18"/>
      <w:r>
        <w:rPr>
          <w:color w:val="auto"/>
          <w:highlight w:val="none"/>
        </w:rPr>
      </w:r>
      <w:bookmarkEnd w:id="21"/>
      <w:r>
        <w:rPr>
          <w:color w:val="auto"/>
          <w:highlight w:val="none"/>
        </w:rPr>
      </w:r>
      <w:bookmarkEnd w:id="22"/>
      <w:r>
        <w:rPr>
          <w:color w:val="auto"/>
          <w:highlight w:val="none"/>
        </w:rPr>
      </w:r>
      <w:bookmarkEnd w:id="23"/>
      <w:r>
        <w:rPr>
          <w:color w:val="auto"/>
          <w:highlight w:val="none"/>
        </w:rPr>
      </w:r>
      <w:r>
        <w:rPr>
          <w:color w:val="auto"/>
          <w:highlight w:val="none"/>
        </w:rPr>
      </w:r>
    </w:p>
    <w:p>
      <w:pPr>
        <w:pStyle w:val="1118"/>
        <w:ind w:left="0" w:firstLine="480"/>
        <w:keepNext w:val="0"/>
        <w:spacing w:before="0" w:after="0" w:line="360" w:lineRule="auto"/>
        <w:rPr>
          <w:rFonts w:ascii="宋体" w:hAnsi="宋体" w:cs="宋体"/>
          <w:i w:val="0"/>
          <w:iCs w:val="0"/>
          <w:color w:val="auto"/>
          <w:sz w:val="24"/>
          <w:szCs w:val="24"/>
          <w:highlight w:val="none"/>
        </w:rPr>
      </w:pPr>
      <w:r>
        <w:rPr>
          <w:color w:val="auto"/>
          <w:highlight w:val="none"/>
        </w:rPr>
      </w:r>
      <w:bookmarkStart w:id="25" w:name="_Toc24711"/>
      <w:r>
        <w:rPr>
          <w:color w:val="auto"/>
          <w:highlight w:val="none"/>
        </w:rPr>
      </w:r>
      <w:bookmarkStart w:id="26" w:name="_Toc58248881"/>
      <w:r>
        <w:rPr>
          <w:color w:val="auto"/>
          <w:highlight w:val="none"/>
        </w:rPr>
      </w:r>
      <w:bookmarkStart w:id="27" w:name="_Toc7264"/>
      <w:r>
        <w:rPr>
          <w:color w:val="auto"/>
          <w:highlight w:val="none"/>
        </w:rPr>
      </w:r>
      <w:bookmarkStart w:id="28" w:name="_Toc57376407"/>
      <w:r>
        <w:rPr>
          <w:rFonts w:hint="eastAsia" w:ascii="宋体" w:hAnsi="宋体" w:cs="宋体"/>
          <w:i w:val="0"/>
          <w:iCs w:val="0"/>
          <w:color w:val="auto"/>
          <w:sz w:val="24"/>
          <w:szCs w:val="24"/>
          <w:highlight w:val="none"/>
        </w:rPr>
        <w:br w:type="page" w:clear="all"/>
      </w:r>
      <w:bookmarkStart w:id="29" w:name="_Toc16525"/>
      <w:r>
        <w:rPr>
          <w:rFonts w:hint="eastAsia" w:ascii="宋体" w:hAnsi="宋体" w:cs="宋体"/>
          <w:i w:val="0"/>
          <w:iCs w:val="0"/>
          <w:color w:val="auto"/>
          <w:sz w:val="24"/>
          <w:szCs w:val="24"/>
          <w:highlight w:val="none"/>
        </w:rPr>
        <w:t xml:space="preserve">一、响应文件的组成及要求</w:t>
      </w:r>
      <w:bookmarkEnd w:id="29"/>
      <w:r>
        <w:rPr>
          <w:color w:val="auto"/>
          <w:highlight w:val="none"/>
        </w:rPr>
      </w:r>
      <w:r>
        <w:rPr>
          <w:color w:val="auto"/>
          <w:highlight w:val="none"/>
        </w:rPr>
      </w:r>
    </w:p>
    <w:p>
      <w:pPr>
        <w:pStyle w:val="1123"/>
        <w:ind w:left="0"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（一）文件组成：</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1、响应文件一（报价部分）(格式见第三章)：</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1.1磋商响应函；</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1.2磋商报价表；</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1.3磋商报价明细表；</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2、响应文件二（资格及技术部分）（部分格式见第三章）：</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2.1关于资格文件的声明函；</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2.2磋商响应单位基本情况表；</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2.3磋商响应单位《营业执照》副本复印件或相应主体资格证明文件；</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2.4磋商响应单位法定代表人身份证复印件；</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2.5磋商响应单位代理人身份证复印件</w:t>
      </w:r>
      <w:r>
        <w:rPr>
          <w:rStyle w:val="1158"/>
          <w:rFonts w:hint="eastAsia" w:ascii="宋体" w:hAnsi="宋体" w:cs="宋体"/>
          <w:color w:val="auto"/>
          <w:sz w:val="24"/>
          <w:szCs w:val="24"/>
          <w:highlight w:val="none"/>
        </w:rPr>
        <w:t xml:space="preserve">、法定代表人授权委托书</w:t>
      </w:r>
      <w:r>
        <w:rPr>
          <w:rFonts w:hint="eastAsia" w:ascii="宋体" w:hAnsi="宋体" w:cs="宋体"/>
          <w:color w:val="auto"/>
          <w:sz w:val="24"/>
          <w:szCs w:val="24"/>
          <w:highlight w:val="none"/>
        </w:rPr>
        <w:t xml:space="preserve">（如有授权）；</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w:t>
      </w:r>
      <w:r>
        <w:rPr>
          <w:rStyle w:val="1158"/>
          <w:rFonts w:hint="eastAsia" w:ascii="宋体" w:hAnsi="宋体" w:cs="宋体"/>
          <w:color w:val="auto"/>
          <w:sz w:val="24"/>
          <w:szCs w:val="24"/>
          <w:highlight w:val="none"/>
        </w:rPr>
        <w:t xml:space="preserve">合格供应商的基本条件、特定条件所需提供的相应证明材料，具体包括：</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2.6.1具有独立承担民事责任的能力证明。包括法人或者其他组织的营业执照等证明文件，自然人的身份证明；</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2.6.2具有良好的商业信誉和健全的财务会计制度证明。包括最近一期经审计的财务报告或提供银行出具的资信证明；</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2.6.3</w:t>
      </w:r>
      <w:r>
        <w:rPr>
          <w:rStyle w:val="1158"/>
          <w:rFonts w:hint="eastAsia" w:ascii="宋体" w:hAnsi="宋体" w:cs="宋体"/>
          <w:color w:val="auto"/>
          <w:sz w:val="24"/>
          <w:szCs w:val="24"/>
          <w:highlight w:val="none"/>
        </w:rPr>
        <w:t xml:space="preserve">履行合同所必备的设备和专业技术能力的证明材料。包括履行合同所必需的设备和专业技术能力的书面声明等材料；</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2.6.4有依法缴纳税收和社会保障资金的良好记录。</w:t>
      </w:r>
      <w:r>
        <w:rPr>
          <w:rStyle w:val="1158"/>
          <w:rFonts w:hint="eastAsia" w:ascii="宋体" w:hAnsi="宋体" w:cs="宋体"/>
          <w:color w:val="auto"/>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2.6.5参加政府采购活动前三年内在经营活动中没有重大违法记录的书面声明函；</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color w:val="auto"/>
          <w:highlight w:val="none"/>
        </w:rPr>
      </w:r>
    </w:p>
    <w:p>
      <w:pPr>
        <w:ind w:left="0" w:firstLine="480"/>
        <w:spacing w:line="360" w:lineRule="auto"/>
        <w:widowControl w:val="off"/>
        <w:tabs>
          <w:tab w:val="left" w:pos="567" w:leader="none"/>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2.6.7特定资格要求：</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2.6.7.1未被“信用中国”网站（www.creditchina.gov.cn）列入失信被执行人、重大税收违法案件当事人名单、政府采购严重失信行为记录名单；</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2.6.7.2有效的餐饮服务许可证或者食品经营许可证（许可范围需包含：餐饮服务管理）扫描件。</w:t>
      </w:r>
      <w:r>
        <w:rPr>
          <w:color w:val="auto"/>
          <w:highlight w:val="none"/>
        </w:rPr>
      </w:r>
    </w:p>
    <w:p>
      <w:pPr>
        <w:ind w:left="0" w:firstLine="480"/>
        <w:spacing w:line="360" w:lineRule="auto"/>
        <w:widowControl w:val="off"/>
        <w:rPr>
          <w:rStyle w:val="1152"/>
          <w:rFonts w:ascii="宋体" w:hAnsi="宋体" w:cs="宋体"/>
          <w:color w:val="auto"/>
          <w:sz w:val="24"/>
          <w:szCs w:val="24"/>
          <w:highlight w:val="none"/>
        </w:rPr>
      </w:pPr>
      <w:r>
        <w:rPr>
          <w:rStyle w:val="1152"/>
          <w:rFonts w:hint="eastAsia" w:ascii="宋体" w:hAnsi="宋体" w:cs="宋体"/>
          <w:color w:val="auto"/>
          <w:sz w:val="24"/>
          <w:szCs w:val="24"/>
          <w:highlight w:val="none"/>
        </w:rPr>
        <w:t xml:space="preserve">2.6.8提供《中小企业声明函》或《残疾人福利性单位声明函》或省级以上监狱管理局、戒毒管理局（含新疆生产建设兵团）出具的属于监狱企业的证明文件。</w:t>
      </w:r>
      <w:r>
        <w:rPr>
          <w:color w:val="auto"/>
          <w:highlight w:val="none"/>
        </w:rPr>
      </w:r>
    </w:p>
    <w:p>
      <w:pPr>
        <w:ind w:left="0" w:firstLine="482"/>
        <w:spacing w:line="360" w:lineRule="auto"/>
        <w:widowControl w:val="off"/>
        <w:rPr>
          <w:rStyle w:val="1152"/>
          <w:rFonts w:ascii="宋体" w:hAnsi="宋体" w:cs="宋体"/>
          <w:b/>
          <w:color w:val="auto"/>
          <w:sz w:val="24"/>
          <w:szCs w:val="24"/>
          <w:highlight w:val="none"/>
        </w:rPr>
      </w:pPr>
      <w:r>
        <w:rPr>
          <w:rStyle w:val="1152"/>
          <w:rFonts w:hint="eastAsia" w:ascii="宋体" w:hAnsi="宋体" w:cs="宋体"/>
          <w:b/>
          <w:color w:val="auto"/>
          <w:sz w:val="24"/>
          <w:szCs w:val="24"/>
          <w:highlight w:val="none"/>
        </w:rPr>
        <w:t xml:space="preserve">注：根据《政府采购促进中小企业发展管理办法》的相关规定，本项目专门面向中小企业，《中小企业声明函》为必须提供的资格证明材料，否则磋商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color w:val="auto"/>
          <w:highlight w:val="none"/>
        </w:rPr>
      </w:r>
    </w:p>
    <w:p>
      <w:pPr>
        <w:ind w:left="0" w:firstLine="480"/>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2.7《实施方案》；</w:t>
      </w:r>
      <w:r>
        <w:rPr>
          <w:color w:val="auto"/>
          <w:highlight w:val="none"/>
        </w:rPr>
      </w:r>
    </w:p>
    <w:p>
      <w:pPr>
        <w:ind w:left="0" w:firstLine="480"/>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2.8《拟投入本项目人员配备一览表》；</w:t>
      </w:r>
      <w:r>
        <w:rPr>
          <w:color w:val="auto"/>
          <w:highlight w:val="none"/>
        </w:rPr>
      </w:r>
    </w:p>
    <w:p>
      <w:pPr>
        <w:pStyle w:val="1175"/>
        <w:ind w:left="0" w:firstLine="480"/>
        <w:jc w:val="both"/>
        <w:spacing w:line="360" w:lineRule="auto"/>
        <w:widowControl w:val="off"/>
        <w:tabs>
          <w:tab w:val="left" w:pos="0" w:leader="none"/>
        </w:tabs>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2.9《商务条款偏离表》《服务要求偏离表》；</w:t>
      </w:r>
      <w:r>
        <w:rPr>
          <w:color w:val="auto"/>
          <w:highlight w:val="none"/>
        </w:rPr>
      </w:r>
    </w:p>
    <w:p>
      <w:pPr>
        <w:pStyle w:val="1175"/>
        <w:ind w:left="0" w:firstLine="480"/>
        <w:jc w:val="both"/>
        <w:spacing w:line="360" w:lineRule="auto"/>
        <w:widowControl w:val="off"/>
        <w:tabs>
          <w:tab w:val="left" w:pos="0" w:leader="none"/>
        </w:tabs>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2.10《投标（响应）保证承诺书》《响应单位与其他单位存在控股、管理关系情况表》；</w:t>
      </w:r>
      <w:r>
        <w:rPr>
          <w:color w:val="auto"/>
          <w:highlight w:val="none"/>
        </w:rPr>
      </w:r>
    </w:p>
    <w:p>
      <w:pPr>
        <w:pStyle w:val="1175"/>
        <w:ind w:left="0" w:firstLine="480"/>
        <w:jc w:val="both"/>
        <w:spacing w:line="360" w:lineRule="auto"/>
        <w:widowControl w:val="off"/>
        <w:tabs>
          <w:tab w:val="left" w:pos="0" w:leader="none"/>
        </w:tabs>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2.11磋商采购文件中要求必须提供的其他相关证明材料；</w:t>
      </w:r>
      <w:r>
        <w:rPr>
          <w:color w:val="auto"/>
          <w:highlight w:val="none"/>
        </w:rPr>
      </w:r>
    </w:p>
    <w:p>
      <w:pPr>
        <w:pStyle w:val="1175"/>
        <w:ind w:left="0" w:firstLine="480"/>
        <w:jc w:val="both"/>
        <w:spacing w:line="360" w:lineRule="auto"/>
        <w:widowControl w:val="off"/>
        <w:tabs>
          <w:tab w:val="left" w:pos="0" w:leader="none"/>
        </w:tabs>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2.12</w:t>
      </w:r>
      <w:r>
        <w:rPr>
          <w:rFonts w:hint="eastAsia" w:ascii="宋体" w:hAnsi="宋体" w:cs="宋体"/>
          <w:color w:val="auto"/>
          <w:szCs w:val="24"/>
          <w:highlight w:val="none"/>
        </w:rPr>
        <w:t xml:space="preserve">《企业类似项目一览表》</w:t>
      </w:r>
      <w:r>
        <w:rPr>
          <w:rStyle w:val="1158"/>
          <w:rFonts w:hint="eastAsia" w:ascii="宋体" w:hAnsi="宋体" w:cs="宋体"/>
          <w:color w:val="auto"/>
          <w:szCs w:val="24"/>
          <w:highlight w:val="none"/>
        </w:rPr>
        <w:t xml:space="preserve">；</w:t>
      </w:r>
      <w:r>
        <w:rPr>
          <w:color w:val="auto"/>
          <w:highlight w:val="none"/>
        </w:rPr>
      </w:r>
    </w:p>
    <w:p>
      <w:pPr>
        <w:pStyle w:val="1123"/>
        <w:ind w:left="0" w:firstLine="480"/>
        <w:spacing w:line="360" w:lineRule="auto"/>
        <w:widowControl w:val="off"/>
        <w:rPr>
          <w:rStyle w:val="1158"/>
          <w:rFonts w:ascii="宋体" w:hAnsi="宋体" w:cs="宋体"/>
          <w:bCs/>
          <w:color w:val="auto"/>
          <w:sz w:val="24"/>
          <w:szCs w:val="24"/>
          <w:highlight w:val="none"/>
        </w:rPr>
        <w:outlineLvl w:val="1"/>
      </w:pPr>
      <w:r>
        <w:rPr>
          <w:rStyle w:val="1158"/>
          <w:rFonts w:hint="eastAsia" w:ascii="宋体" w:hAnsi="宋体" w:cs="宋体"/>
          <w:bCs/>
          <w:color w:val="auto"/>
          <w:sz w:val="24"/>
          <w:szCs w:val="24"/>
          <w:highlight w:val="none"/>
        </w:rPr>
        <w:t xml:space="preserve">2.13其它有关资格证明文件：</w:t>
      </w:r>
      <w:r>
        <w:rPr>
          <w:color w:val="auto"/>
          <w:highlight w:val="none"/>
        </w:rPr>
      </w:r>
    </w:p>
    <w:p>
      <w:pPr>
        <w:pStyle w:val="1123"/>
        <w:ind w:left="0" w:firstLine="480"/>
        <w:spacing w:line="360" w:lineRule="auto"/>
        <w:widowControl w:val="off"/>
        <w:rPr>
          <w:rStyle w:val="1158"/>
          <w:rFonts w:ascii="宋体" w:hAnsi="宋体" w:cs="宋体"/>
          <w:bCs/>
          <w:color w:val="auto"/>
          <w:sz w:val="24"/>
          <w:szCs w:val="24"/>
          <w:highlight w:val="none"/>
        </w:rPr>
        <w:outlineLvl w:val="1"/>
      </w:pPr>
      <w:r>
        <w:rPr>
          <w:rStyle w:val="1158"/>
          <w:rFonts w:hint="eastAsia" w:ascii="宋体" w:hAnsi="宋体" w:cs="宋体"/>
          <w:bCs/>
          <w:color w:val="auto"/>
          <w:sz w:val="24"/>
          <w:szCs w:val="24"/>
          <w:highlight w:val="none"/>
        </w:rPr>
        <w:t xml:space="preserve">2.13.1其他可以证明磋商供应商资信、资质和货物、服务质量的证书、文件、推荐信等资料。</w:t>
      </w:r>
      <w:r>
        <w:rPr>
          <w:color w:val="auto"/>
          <w:highlight w:val="none"/>
        </w:rPr>
      </w:r>
    </w:p>
    <w:p>
      <w:pPr>
        <w:pStyle w:val="1123"/>
        <w:ind w:left="0" w:firstLine="480"/>
        <w:spacing w:line="360" w:lineRule="auto"/>
        <w:widowControl w:val="off"/>
        <w:rPr>
          <w:rStyle w:val="1158"/>
          <w:rFonts w:ascii="宋体" w:hAnsi="宋体" w:cs="宋体"/>
          <w:b/>
          <w:color w:val="auto"/>
          <w:sz w:val="24"/>
          <w:szCs w:val="24"/>
          <w:highlight w:val="none"/>
        </w:rPr>
        <w:outlineLvl w:val="1"/>
      </w:pPr>
      <w:r>
        <w:rPr>
          <w:rStyle w:val="1158"/>
          <w:rFonts w:hint="eastAsia" w:ascii="宋体" w:hAnsi="宋体" w:cs="宋体"/>
          <w:b/>
          <w:color w:val="auto"/>
          <w:sz w:val="24"/>
          <w:szCs w:val="24"/>
          <w:highlight w:val="none"/>
        </w:rPr>
        <w:t xml:space="preserve">注1：以上2.6.1-2.6.8为资格审查要求提供的材料，是作为对供应商资格审查、质疑身份认定的依据，响应供应商必须提供并加盖电子公章。否则，磋商响应文件将被认定为不符合资格审查要求。</w:t>
      </w:r>
      <w:r>
        <w:rPr>
          <w:color w:val="auto"/>
          <w:highlight w:val="none"/>
        </w:rPr>
      </w:r>
    </w:p>
    <w:p>
      <w:pPr>
        <w:pStyle w:val="1123"/>
        <w:ind w:left="0" w:firstLine="480"/>
        <w:spacing w:line="360" w:lineRule="auto"/>
        <w:widowControl w:val="off"/>
        <w:rPr>
          <w:rFonts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注2：以上1.1-2.5，2.7-2.11为符合性审查须提供的资料，响应供应商必须提供并加盖电子公章。否则，磋商响应文件将被认定为未实质性响应。</w:t>
      </w:r>
      <w:r>
        <w:rPr>
          <w:color w:val="auto"/>
          <w:highlight w:val="none"/>
        </w:rPr>
      </w:r>
    </w:p>
    <w:p>
      <w:pPr>
        <w:pStyle w:val="1123"/>
        <w:ind w:left="0" w:firstLine="480"/>
        <w:spacing w:line="360" w:lineRule="auto"/>
        <w:widowControl w:val="off"/>
        <w:rPr>
          <w:rStyle w:val="1158"/>
          <w:rFonts w:ascii="宋体" w:hAnsi="宋体" w:cs="宋体"/>
          <w:b/>
          <w:bCs/>
          <w:color w:val="auto"/>
          <w:sz w:val="24"/>
          <w:szCs w:val="24"/>
          <w:highlight w:val="none"/>
        </w:rPr>
      </w:pPr>
      <w:r>
        <w:rPr>
          <w:rFonts w:hint="eastAsia" w:ascii="宋体" w:hAnsi="宋体" w:cs="宋体"/>
          <w:b/>
          <w:color w:val="auto"/>
          <w:sz w:val="24"/>
          <w:szCs w:val="24"/>
          <w:highlight w:val="none"/>
        </w:rPr>
        <w:t xml:space="preserve">注3：制作电子响应文件时必须与响应文件制作软件目录一一对应，将相关资料上传至相应模块。</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Style w:val="1158"/>
          <w:rFonts w:hint="eastAsia" w:ascii="宋体" w:hAnsi="宋体" w:cs="宋体"/>
          <w:b/>
          <w:bCs/>
          <w:color w:val="auto"/>
          <w:sz w:val="24"/>
          <w:szCs w:val="24"/>
          <w:highlight w:val="none"/>
        </w:rPr>
        <w:t xml:space="preserve">注4：</w:t>
      </w:r>
      <w:r>
        <w:rPr>
          <w:rFonts w:hint="eastAsia" w:ascii="宋体" w:hAnsi="宋体" w:cs="宋体"/>
          <w:b/>
          <w:bCs/>
          <w:color w:val="auto"/>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Style w:val="1158"/>
          <w:rFonts w:hint="eastAsia" w:ascii="宋体" w:hAnsi="宋体" w:cs="宋体"/>
          <w:b/>
          <w:bCs/>
          <w:color w:val="auto"/>
          <w:sz w:val="24"/>
          <w:szCs w:val="24"/>
          <w:highlight w:val="none"/>
        </w:rPr>
        <w:t xml:space="preserve">注5：</w:t>
      </w:r>
      <w:r>
        <w:rPr>
          <w:rFonts w:hint="eastAsia" w:ascii="宋体" w:hAnsi="宋体" w:cs="宋体"/>
          <w:b/>
          <w:bCs/>
          <w:color w:val="auto"/>
          <w:sz w:val="24"/>
          <w:szCs w:val="24"/>
          <w:highlight w:val="none"/>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color w:val="auto"/>
          <w:highlight w:val="none"/>
        </w:rPr>
      </w:r>
    </w:p>
    <w:p>
      <w:pPr>
        <w:pStyle w:val="1123"/>
        <w:ind w:left="0" w:firstLine="480"/>
        <w:spacing w:line="360" w:lineRule="auto"/>
        <w:widowControl w:val="off"/>
        <w:rPr>
          <w:rFonts w:ascii="宋体" w:hAnsi="宋体" w:cs="宋体"/>
          <w:b/>
          <w:color w:val="auto"/>
          <w:sz w:val="24"/>
          <w:szCs w:val="24"/>
          <w:highlight w:val="none"/>
        </w:rPr>
        <w:outlineLvl w:val="1"/>
      </w:pPr>
      <w:r>
        <w:rPr>
          <w:color w:val="auto"/>
          <w:highlight w:val="none"/>
        </w:rPr>
      </w:r>
      <w:bookmarkStart w:id="30" w:name="_Toc5566"/>
      <w:r>
        <w:rPr>
          <w:rFonts w:hint="eastAsia" w:ascii="宋体" w:hAnsi="宋体" w:cs="宋体"/>
          <w:b/>
          <w:color w:val="auto"/>
          <w:sz w:val="24"/>
          <w:szCs w:val="24"/>
          <w:highlight w:val="none"/>
        </w:rPr>
        <w:t xml:space="preserve">二、磋商程序</w:t>
      </w:r>
      <w:bookmarkEnd w:id="30"/>
      <w:r>
        <w:rPr>
          <w:color w:val="auto"/>
          <w:highlight w:val="none"/>
        </w:rPr>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color w:val="auto"/>
          <w:highlight w:val="none"/>
        </w:rPr>
      </w:r>
      <w:bookmarkStart w:id="31" w:name="_Toc7726"/>
      <w:r>
        <w:rPr>
          <w:rFonts w:hint="eastAsia" w:ascii="宋体" w:hAnsi="宋体" w:cs="宋体"/>
          <w:color w:val="auto"/>
          <w:sz w:val="24"/>
          <w:szCs w:val="24"/>
          <w:highlight w:val="none"/>
        </w:rPr>
        <w:t xml:space="preserve">1、采购代理机构按本须知规定的时间、地点主持磋商采购活动。</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2、供应商通过“苏采云”系统在线参与磋商活动。供应商应当按照《苏采云系统供应商操作手册》规定在“苏采云”系统规定的时间内对响应文件进行解密。</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3、在磋商响应文件网上递交截止时间止成功解密的磋商供应商少于三家，则本次采购失败。</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4、由磋商小组审查供应商解密的响应文件。</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6、磋商小组要求供应商澄清、说明或者更正响应文件应当以书面形式做出。供应商的澄清、说明或者更正应当由其单位加盖电子公章。</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9、</w:t>
      </w:r>
      <w:r>
        <w:rPr>
          <w:rFonts w:hint="eastAsia" w:ascii="宋体" w:hAnsi="宋体" w:cs="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auto"/>
          <w:sz w:val="24"/>
          <w:szCs w:val="24"/>
          <w:highlight w:val="none"/>
        </w:rPr>
        <w:t xml:space="preserve">（此处规定时间的计算以系统中的倒计时间为准，系统中的线上最后报价只有一次机会，提交后无法撤回，请供应商慎重提交）</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已提交响应文件的供应商，在提交最后报价之前，可以根据磋商情况退出磋商，并在“苏采云”系统中提交“退出磋商函”并加盖CA电子公章。</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*进入项目评审流程后，建议各供应商法定代表人或授权委托人始终保持通讯顺畅，时刻关注不见面开标大厅，不离开不见面开标大厅。</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11、经磋商确定最终采购需求和提交最后报价的供应商后，由磋商小组采用综合评分法对提交最后报价的供应商的响应文件和最后报价进行综合评分。</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12、政府采购异常低价审查</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12.1</w:t>
      </w:r>
      <w:r>
        <w:rPr>
          <w:rFonts w:hint="eastAsia" w:ascii="宋体" w:hAnsi="宋体" w:cs="宋体"/>
          <w:color w:val="auto"/>
          <w:sz w:val="24"/>
          <w:szCs w:val="24"/>
          <w:highlight w:val="none"/>
          <w:lang w:val="zh-CN"/>
        </w:rPr>
        <w:t xml:space="preserve">评标过程中出现下列情形之一的，评审委员会应当启动异常低价投标（响应）审查程序：</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）投标（响应）报价低于全部通过符合性审查供应商投标（响应）报价平均值50%的，即投标（响应）报价&lt;全部通过符合性审查供应商投标（响应）报价平均值×50%；</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）投标（响应）报价低于通过符合性审查的次低报价供应商投标（响应）报价50%的，即投标（响应）报价&lt;通过符合性审查的次低报价供应商投标（响应）报价×50%；</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）投标（响应）报价低于采购预算（最高限价）45%的，即投标（响应）报价&lt;采购预算（最高限价）×45%；</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）评审委员会基于专业判断，认为供应商报价过低，有可能影响产品质量或者不能诚信履约的其他情形。</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12.2</w:t>
      </w:r>
      <w:r>
        <w:rPr>
          <w:rFonts w:hint="eastAsia" w:ascii="宋体" w:hAnsi="宋体" w:cs="宋体"/>
          <w:color w:val="auto"/>
          <w:sz w:val="24"/>
          <w:szCs w:val="24"/>
          <w:highlight w:val="none"/>
          <w:lang w:val="zh-CN"/>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25.7.1.3项情形，供应商已随投标（响应）文件一并提交相关书面说明及必要的证明材料的，在评审现场可不再重复提交。</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13、磋商小组根据磋商成交原则确定成交供应商，并将结果通知所有参加磋商的供应商。</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14、如磋商过程中出现本采购文件未尽事宜，由磋商小组根据政府采购有关法律、法规讨论决定。</w:t>
      </w:r>
      <w:r>
        <w:rPr>
          <w:color w:val="auto"/>
          <w:highlight w:val="none"/>
        </w:rPr>
      </w:r>
    </w:p>
    <w:p>
      <w:pPr>
        <w:pStyle w:val="1123"/>
        <w:ind w:left="0" w:firstLine="480"/>
        <w:spacing w:line="360" w:lineRule="auto"/>
        <w:widowControl w:val="off"/>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三、质疑</w:t>
      </w:r>
      <w:bookmarkEnd w:id="31"/>
      <w:r>
        <w:rPr>
          <w:color w:val="auto"/>
          <w:highlight w:val="none"/>
        </w:rPr>
      </w:r>
      <w:r>
        <w:rPr>
          <w:color w:val="auto"/>
          <w:highlight w:val="none"/>
        </w:rPr>
      </w:r>
    </w:p>
    <w:p>
      <w:pPr>
        <w:pStyle w:val="1123"/>
        <w:ind w:left="0" w:firstLine="480"/>
        <w:spacing w:line="360" w:lineRule="auto"/>
        <w:rPr>
          <w:rFonts w:ascii="宋体" w:hAnsi="宋体" w:cs="宋体"/>
          <w:color w:val="auto"/>
          <w:sz w:val="24"/>
          <w:szCs w:val="24"/>
          <w:highlight w:val="none"/>
        </w:rPr>
      </w:pPr>
      <w:r>
        <w:rPr>
          <w:color w:val="auto"/>
          <w:highlight w:val="none"/>
        </w:rPr>
      </w:r>
      <w:bookmarkStart w:id="32" w:name="_Toc31942"/>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、本次采购文件要求供应商在法定质疑期内一次性提出针对同一采购程序环节的质疑。</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、供应商提出质疑应当提交质疑函和必要的证明材料，质疑函应当包括下列内容：</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（1）供应商的姓名或者名称（以提供的营业执照副本复印件为准）、地址、邮编、联系人及联系电话；</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p>
    <w:p>
      <w:pPr>
        <w:pStyle w:val="1123"/>
        <w:ind w:left="0" w:firstLine="480"/>
        <w:spacing w:line="360" w:lineRule="auto"/>
        <w:rPr>
          <w:b/>
          <w:color w:val="auto"/>
          <w:sz w:val="24"/>
          <w:szCs w:val="24"/>
          <w:highlight w:val="none"/>
        </w:rPr>
      </w:pPr>
      <w:r>
        <w:rPr>
          <w:rFonts w:hint="eastAsia"/>
          <w:b/>
          <w:color w:val="auto"/>
          <w:sz w:val="24"/>
          <w:szCs w:val="24"/>
          <w:highlight w:val="none"/>
        </w:rPr>
        <w:t xml:space="preserve">供应商提交的质疑函必须按照《政府采购供应商质疑函范本》要求的格式和内容进行填写，质疑函范本下载网址详见链接：</w:t>
      </w:r>
      <w:r>
        <w:rPr>
          <w:rFonts w:hint="eastAsia" w:ascii="宋体" w:hAnsi="宋体"/>
          <w:b/>
          <w:color w:val="auto"/>
          <w:sz w:val="24"/>
          <w:szCs w:val="24"/>
          <w:highlight w:val="none"/>
        </w:rPr>
        <w:t xml:space="preserve">https://czju.suzhou.gov.cn/zfcg/html/content/20180305093615738.shtml</w:t>
      </w:r>
      <w:r>
        <w:rPr>
          <w:rFonts w:hint="eastAsia" w:ascii="宋体" w:hAnsi="宋体"/>
          <w:color w:val="auto"/>
          <w:sz w:val="24"/>
          <w:szCs w:val="24"/>
          <w:highlight w:val="none"/>
        </w:rPr>
        <w:t xml:space="preserve">。</w:t>
      </w:r>
      <w:r>
        <w:rPr>
          <w:color w:val="auto"/>
          <w:highlight w:val="none"/>
        </w:rPr>
      </w:r>
    </w:p>
    <w:p>
      <w:pPr>
        <w:pStyle w:val="1123"/>
        <w:ind w:left="0" w:firstLine="480"/>
        <w:spacing w:line="360" w:lineRule="auto"/>
        <w:rPr>
          <w:rFonts w:ascii="宋体" w:hAnsi="宋体"/>
          <w:b/>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、根据《政府采购质疑和投诉办法》（财政部第94号令）第十一条规定，提出质疑的供应商应当是参与所质疑项目采购活动的供应商。</w:t>
      </w:r>
      <w:r>
        <w:rPr>
          <w:rFonts w:hint="eastAsia" w:ascii="宋体" w:hAnsi="宋体"/>
          <w:color w:val="auto"/>
          <w:sz w:val="24"/>
          <w:szCs w:val="24"/>
          <w:highlight w:val="none"/>
        </w:rPr>
        <w:t xml:space="preserve">因此凡是对采购文件提出质疑的供应商，必须是依法获取采购文件，请将合法获取采购文件的证明材料（即</w:t>
      </w:r>
      <w:r>
        <w:rPr>
          <w:rFonts w:hint="eastAsia" w:ascii="宋体" w:hAnsi="宋体"/>
          <w:b/>
          <w:color w:val="auto"/>
          <w:sz w:val="24"/>
          <w:szCs w:val="24"/>
          <w:highlight w:val="none"/>
        </w:rPr>
        <w:t xml:space="preserve">《投标供应商确认函》</w:t>
      </w:r>
      <w:r>
        <w:rPr>
          <w:rFonts w:hint="eastAsia" w:ascii="宋体" w:hAnsi="宋体"/>
          <w:color w:val="auto"/>
          <w:sz w:val="24"/>
          <w:szCs w:val="24"/>
          <w:highlight w:val="none"/>
        </w:rPr>
        <w:t xml:space="preserve">）与质疑函一起递交，否则不予受理。</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、接收质疑函的方式：书面形式（当场送达或邮寄方式）</w:t>
      </w:r>
      <w:r>
        <w:rPr>
          <w:color w:val="auto"/>
          <w:highlight w:val="none"/>
        </w:rPr>
      </w:r>
    </w:p>
    <w:p>
      <w:pPr>
        <w:pStyle w:val="1123"/>
        <w:ind w:left="0" w:firstLine="480"/>
        <w:spacing w:line="360" w:lineRule="auto"/>
        <w:widowControl w:val="off"/>
        <w:rPr>
          <w:rFonts w:ascii="宋体" w:hAnsi="宋体" w:cs="宋体"/>
          <w:b/>
          <w:color w:val="auto"/>
          <w:sz w:val="24"/>
          <w:szCs w:val="24"/>
          <w:highlight w:val="none"/>
        </w:rPr>
        <w:outlineLvl w:val="1"/>
      </w:pPr>
      <w:r>
        <w:rPr>
          <w:rFonts w:hint="eastAsia" w:ascii="宋体" w:hAnsi="宋体" w:cs="宋体"/>
          <w:bCs/>
          <w:color w:val="auto"/>
          <w:sz w:val="24"/>
          <w:szCs w:val="24"/>
          <w:highlight w:val="none"/>
        </w:rPr>
        <w:t xml:space="preserve">质疑递交联系人、联系电话及地址详见采购公告。</w:t>
      </w:r>
      <w:r>
        <w:rPr>
          <w:color w:val="auto"/>
          <w:highlight w:val="none"/>
        </w:rPr>
      </w:r>
    </w:p>
    <w:p>
      <w:pPr>
        <w:pStyle w:val="1123"/>
        <w:ind w:left="0" w:firstLine="480"/>
        <w:spacing w:line="360" w:lineRule="auto"/>
        <w:widowControl w:val="off"/>
        <w:rPr>
          <w:rFonts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四、勘察现场</w:t>
      </w:r>
      <w:bookmarkEnd w:id="32"/>
      <w:r>
        <w:rPr>
          <w:color w:val="auto"/>
          <w:highlight w:val="none"/>
        </w:rPr>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1、本项目不组织统一勘察现场。</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color w:val="auto"/>
          <w:highlight w:val="none"/>
        </w:rPr>
      </w:r>
    </w:p>
    <w:p>
      <w:pPr>
        <w:pStyle w:val="1123"/>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color w:val="auto"/>
          <w:highlight w:val="none"/>
        </w:rPr>
      </w:r>
    </w:p>
    <w:p>
      <w:pPr>
        <w:pStyle w:val="1123"/>
        <w:ind w:left="0" w:firstLine="480"/>
        <w:spacing w:line="360" w:lineRule="auto"/>
        <w:rPr>
          <w:rFonts w:ascii="宋体" w:hAnsi="宋体" w:cs="宋体"/>
          <w:b/>
          <w:color w:val="auto"/>
          <w:sz w:val="24"/>
          <w:szCs w:val="24"/>
          <w:highlight w:val="none"/>
        </w:rPr>
        <w:outlineLvl w:val="1"/>
      </w:pPr>
      <w:r>
        <w:rPr>
          <w:color w:val="auto"/>
          <w:highlight w:val="none"/>
        </w:rPr>
      </w:r>
      <w:bookmarkStart w:id="33" w:name="_Toc2426"/>
      <w:r>
        <w:rPr>
          <w:rFonts w:hint="eastAsia" w:ascii="宋体" w:hAnsi="宋体" w:cs="宋体"/>
          <w:b/>
          <w:color w:val="auto"/>
          <w:sz w:val="24"/>
          <w:szCs w:val="24"/>
          <w:highlight w:val="none"/>
        </w:rPr>
        <w:t xml:space="preserve">五、项目的终止</w:t>
      </w:r>
      <w:bookmarkEnd w:id="33"/>
      <w:r>
        <w:rPr>
          <w:color w:val="auto"/>
          <w:highlight w:val="none"/>
        </w:rPr>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出现下列情形之一的，将终止竞争性磋商采购活动：</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1、因情况变化，不再符合规定的竞争性磋商采购方式适用情形的；</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3、在采购过程中符合要求的供应商或者报价未超过采购预算的供应商不足3家的；</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4、在采购活动中因重大变故，采购任务取消的。</w:t>
      </w:r>
      <w:r>
        <w:rPr>
          <w:color w:val="auto"/>
          <w:highlight w:val="none"/>
        </w:rPr>
      </w:r>
    </w:p>
    <w:p>
      <w:pPr>
        <w:pStyle w:val="1123"/>
        <w:ind w:left="0" w:firstLine="480"/>
        <w:spacing w:line="360" w:lineRule="auto"/>
        <w:rPr>
          <w:rFonts w:ascii="宋体" w:hAnsi="宋体" w:cs="宋体"/>
          <w:b/>
          <w:color w:val="auto"/>
          <w:sz w:val="24"/>
          <w:szCs w:val="24"/>
          <w:highlight w:val="none"/>
        </w:rPr>
      </w:pPr>
      <w:r>
        <w:rPr>
          <w:color w:val="auto"/>
          <w:highlight w:val="none"/>
        </w:rPr>
      </w:r>
      <w:bookmarkStart w:id="34" w:name="_Toc31063"/>
      <w:r>
        <w:rPr>
          <w:rFonts w:hint="eastAsia" w:ascii="宋体" w:hAnsi="宋体" w:cs="宋体"/>
          <w:b/>
          <w:color w:val="auto"/>
          <w:sz w:val="24"/>
          <w:szCs w:val="24"/>
          <w:highlight w:val="none"/>
        </w:rPr>
        <w:t xml:space="preserve">六、磋商说明：</w:t>
      </w:r>
      <w:r>
        <w:rPr>
          <w:color w:val="auto"/>
          <w:highlight w:val="none"/>
        </w:rPr>
      </w:r>
    </w:p>
    <w:p>
      <w:pPr>
        <w:pStyle w:val="1123"/>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1、不符合供应商资格要求的响应文件将被认定为无效响应；</w:t>
      </w:r>
      <w:r>
        <w:rPr>
          <w:color w:val="auto"/>
          <w:highlight w:val="none"/>
        </w:rPr>
      </w:r>
    </w:p>
    <w:p>
      <w:pPr>
        <w:pStyle w:val="1123"/>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2、在机器码检查中，出现不同供应商响应文件机器码一致情形的，响应文件将被认定为无效响应；</w:t>
      </w:r>
      <w:r>
        <w:rPr>
          <w:color w:val="auto"/>
          <w:highlight w:val="none"/>
        </w:rPr>
      </w:r>
    </w:p>
    <w:p>
      <w:pPr>
        <w:pStyle w:val="1123"/>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3、最终报价超过采购预算的不能成交；</w:t>
      </w:r>
      <w:r>
        <w:rPr>
          <w:color w:val="auto"/>
          <w:highlight w:val="none"/>
        </w:rPr>
      </w:r>
    </w:p>
    <w:p>
      <w:pPr>
        <w:pStyle w:val="1123"/>
        <w:ind w:left="0" w:firstLine="480"/>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4、不实质性响应采购文件的不能成交。</w:t>
      </w:r>
      <w:bookmarkEnd w:id="34"/>
      <w:r>
        <w:rPr>
          <w:color w:val="auto"/>
          <w:highlight w:val="none"/>
        </w:rPr>
      </w:r>
      <w:r>
        <w:rPr>
          <w:color w:val="auto"/>
          <w:highlight w:val="none"/>
        </w:rPr>
      </w:r>
    </w:p>
    <w:p>
      <w:pPr>
        <w:pStyle w:val="1123"/>
        <w:ind w:left="0"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七、服务费及履约保证金</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1、成交单位须按前附表的规定计算并支付服务费，该费用应在领取成交通知书时付清。成交单位如果未按规定缴纳服务费，磋商采购单位将并保留诉讼的权利。</w:t>
      </w:r>
      <w:r>
        <w:rPr>
          <w:color w:val="auto"/>
          <w:highlight w:val="none"/>
        </w:rPr>
      </w:r>
    </w:p>
    <w:p>
      <w:pPr>
        <w:pStyle w:val="1123"/>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color w:val="auto"/>
          <w:highlight w:val="none"/>
        </w:rPr>
      </w:r>
    </w:p>
    <w:tbl>
      <w:tblPr>
        <w:tblStyle w:val="112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开票信息</w:t>
            </w:r>
            <w:r>
              <w:rPr>
                <w:color w:val="auto"/>
                <w:highlight w:val="none"/>
              </w:rP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报名单位公司名称</w:t>
            </w:r>
            <w:r>
              <w:rPr>
                <w:color w:val="auto"/>
                <w:highlight w:val="none"/>
              </w:rP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color w:val="auto"/>
                <w:highlight w:val="none"/>
              </w:rP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rPr>
                <w:color w:val="auto"/>
                <w:highlight w:val="none"/>
              </w:rP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税号</w:t>
            </w:r>
            <w:r>
              <w:rPr>
                <w:color w:val="auto"/>
                <w:highlight w:val="none"/>
              </w:rP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开户行</w:t>
            </w:r>
            <w:r>
              <w:rPr>
                <w:color w:val="auto"/>
                <w:highlight w:val="none"/>
              </w:rP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W w:w="2288" w:type="dxa"/>
            <w:textDirection w:val="lrTb"/>
            <w:noWrap w:val="false"/>
          </w:tcPr>
          <w:p>
            <w:pPr>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rPr>
                <w:color w:val="auto"/>
                <w:highlight w:val="none"/>
              </w:rPr>
            </w:r>
          </w:p>
        </w:tc>
        <w:tc>
          <w:tcPr>
            <w:tcW w:w="3990" w:type="dxa"/>
            <w:textDirection w:val="lrTb"/>
            <w:noWrap w:val="false"/>
          </w:tcPr>
          <w:p>
            <w:pPr>
              <w:ind w:left="0"/>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bl>
    <w:p>
      <w:pPr>
        <w:pStyle w:val="1123"/>
        <w:ind w:left="0" w:firstLine="480"/>
        <w:spacing w:line="360" w:lineRule="auto"/>
        <w:rPr>
          <w:rFonts w:ascii="宋体" w:hAnsi="宋体" w:cs="宋体"/>
          <w:b/>
          <w:bCs/>
          <w:color w:val="auto"/>
          <w:sz w:val="24"/>
          <w:szCs w:val="24"/>
          <w:highlight w:val="none"/>
        </w:rPr>
      </w:pPr>
      <w:r>
        <w:rPr>
          <w:color w:val="auto"/>
          <w:highlight w:val="none"/>
        </w:rPr>
      </w:r>
      <w:bookmarkStart w:id="35" w:name="_Toc31110"/>
      <w:r>
        <w:rPr>
          <w:rFonts w:hint="eastAsia" w:ascii="宋体" w:hAnsi="宋体" w:cs="宋体"/>
          <w:b/>
          <w:bCs/>
          <w:color w:val="auto"/>
          <w:sz w:val="24"/>
          <w:szCs w:val="24"/>
          <w:highlight w:val="none"/>
        </w:rPr>
        <w:t xml:space="preserve">3、成交单位凭已缴纳代理服务费的银行回单至代理机构领取成交通知书、合同。</w:t>
      </w:r>
      <w:r>
        <w:rPr>
          <w:color w:val="auto"/>
          <w:highlight w:val="none"/>
        </w:rPr>
      </w:r>
    </w:p>
    <w:p>
      <w:pPr>
        <w:ind w:left="0" w:firstLine="480"/>
        <w:spacing w:line="360" w:lineRule="auto"/>
        <w:tabs>
          <w:tab w:val="left" w:pos="420" w:leader="none"/>
        </w:tabs>
        <w:rPr>
          <w:rFonts w:ascii="宋体" w:hAnsi="宋体" w:cs="宋体"/>
          <w:b/>
          <w:bCs/>
          <w:color w:val="auto"/>
          <w:sz w:val="24"/>
          <w:szCs w:val="24"/>
          <w:highlight w:val="none"/>
        </w:rPr>
        <w:outlineLvl w:val="1"/>
      </w:pPr>
      <w:r>
        <w:rPr>
          <w:rFonts w:hint="eastAsia" w:ascii="宋体" w:hAnsi="宋体" w:cs="宋体"/>
          <w:bCs/>
          <w:color w:val="auto"/>
          <w:sz w:val="24"/>
          <w:szCs w:val="24"/>
          <w:highlight w:val="none"/>
        </w:rPr>
        <w:t xml:space="preserve">4、</w:t>
      </w:r>
      <w:r>
        <w:rPr>
          <w:rFonts w:hint="eastAsia" w:ascii="宋体" w:hAnsi="宋体" w:cs="宋体"/>
          <w:color w:val="auto"/>
          <w:sz w:val="24"/>
          <w:szCs w:val="24"/>
          <w:highlight w:val="none"/>
        </w:rPr>
        <w:t xml:space="preserve">履约保证金：本项目无需提交履约保证金。</w:t>
      </w:r>
      <w:r>
        <w:rPr>
          <w:color w:val="auto"/>
          <w:highlight w:val="none"/>
        </w:rPr>
      </w:r>
    </w:p>
    <w:p>
      <w:pPr>
        <w:ind w:left="0" w:firstLine="480"/>
        <w:spacing w:line="360" w:lineRule="auto"/>
        <w:tabs>
          <w:tab w:val="left" w:pos="420" w:leader="none"/>
        </w:tabs>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八、政府采购政策</w:t>
      </w:r>
      <w:bookmarkEnd w:id="35"/>
      <w:r>
        <w:rPr>
          <w:color w:val="auto"/>
          <w:highlight w:val="none"/>
        </w:rPr>
      </w:r>
      <w:r>
        <w:rPr>
          <w:color w:val="auto"/>
          <w:highlight w:val="none"/>
        </w:rPr>
      </w:r>
    </w:p>
    <w:p>
      <w:pPr>
        <w:ind w:left="0" w:firstLine="480"/>
        <w:spacing w:line="360" w:lineRule="auto"/>
        <w:widowControl w:val="off"/>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（一）节能产品、环境标志产品</w:t>
      </w:r>
      <w:r>
        <w:rPr>
          <w:color w:val="auto"/>
          <w:highlight w:val="none"/>
        </w:rPr>
      </w:r>
    </w:p>
    <w:p>
      <w:pPr>
        <w:ind w:left="0" w:firstLine="480"/>
        <w:spacing w:line="360" w:lineRule="auto"/>
        <w:widowControl w:val="off"/>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color w:val="auto"/>
          <w:highlight w:val="none"/>
        </w:rPr>
      </w:r>
    </w:p>
    <w:p>
      <w:pPr>
        <w:ind w:left="0" w:firstLine="480"/>
        <w:spacing w:line="360" w:lineRule="auto"/>
        <w:widowControl w:val="off"/>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color w:val="auto"/>
          <w:highlight w:val="none"/>
        </w:rPr>
      </w:r>
    </w:p>
    <w:p>
      <w:pPr>
        <w:ind w:left="0" w:firstLine="480"/>
        <w:spacing w:line="360" w:lineRule="auto"/>
        <w:widowControl w:val="off"/>
        <w:tabs>
          <w:tab w:val="left" w:pos="567" w:leader="none"/>
        </w:tabs>
        <w:rPr>
          <w:rFonts w:ascii="宋体" w:hAnsi="宋体" w:cs="宋体"/>
          <w:b/>
          <w:bCs/>
          <w:color w:val="auto"/>
          <w:sz w:val="24"/>
          <w:szCs w:val="24"/>
          <w:highlight w:val="none"/>
        </w:rPr>
        <w:outlineLvl w:val="1"/>
      </w:pPr>
      <w:r>
        <w:rPr>
          <w:color w:val="auto"/>
          <w:highlight w:val="none"/>
        </w:rPr>
      </w:r>
      <w:bookmarkStart w:id="36" w:name="_Toc5270"/>
      <w:r>
        <w:rPr>
          <w:rFonts w:hint="eastAsia" w:ascii="宋体" w:hAnsi="宋体" w:cs="宋体"/>
          <w:b/>
          <w:bCs/>
          <w:color w:val="auto"/>
          <w:sz w:val="24"/>
          <w:szCs w:val="24"/>
          <w:highlight w:val="none"/>
        </w:rPr>
        <w:t xml:space="preserve">九、信用记录</w:t>
      </w:r>
      <w:bookmarkEnd w:id="36"/>
      <w:r>
        <w:rPr>
          <w:color w:val="auto"/>
          <w:highlight w:val="none"/>
        </w:rPr>
      </w:r>
      <w:r>
        <w:rPr>
          <w:color w:val="auto"/>
          <w:highlight w:val="none"/>
        </w:rPr>
      </w:r>
    </w:p>
    <w:p>
      <w:pPr>
        <w:ind w:left="0" w:firstLine="480"/>
        <w:spacing w:line="360" w:lineRule="auto"/>
        <w:widowControl w:val="off"/>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color w:val="auto"/>
          <w:highlight w:val="none"/>
        </w:rPr>
      </w:r>
    </w:p>
    <w:p>
      <w:pPr>
        <w:ind w:left="0" w:firstLine="480"/>
        <w:spacing w:line="360" w:lineRule="auto"/>
        <w:widowControl w:val="off"/>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auto"/>
          <w:highlight w:val="none"/>
        </w:rP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auto"/>
          <w:highlight w:val="none"/>
        </w:rP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color w:val="auto"/>
          <w:highlight w:val="none"/>
        </w:rPr>
      </w:r>
    </w:p>
    <w:p>
      <w:p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color w:val="auto"/>
          <w:highlight w:val="none"/>
        </w:rPr>
      </w:r>
    </w:p>
    <w:p>
      <w:pPr>
        <w:ind w:left="0" w:firstLine="480"/>
        <w:spacing w:line="360" w:lineRule="auto"/>
        <w:tabs>
          <w:tab w:val="left" w:pos="42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十、凡涉及采购文件的补充说明和修改，均以网上发布的通知为准。</w:t>
      </w:r>
      <w:r>
        <w:rPr>
          <w:color w:val="auto"/>
          <w:highlight w:val="none"/>
        </w:rPr>
      </w:r>
    </w:p>
    <w:p>
      <w:pPr>
        <w:pStyle w:val="1117"/>
        <w:jc w:val="center"/>
        <w:spacing w:before="0" w:after="0" w:line="360" w:lineRule="auto"/>
        <w:rPr>
          <w:rFonts w:ascii="宋体" w:hAnsi="宋体" w:cs="宋体"/>
          <w:b/>
          <w:color w:val="auto"/>
          <w:sz w:val="24"/>
          <w:szCs w:val="24"/>
          <w:highlight w:val="none"/>
        </w:rPr>
      </w:pPr>
      <w:r>
        <w:rPr>
          <w:color w:val="auto"/>
          <w:highlight w:val="none"/>
        </w:rPr>
      </w:r>
      <w:bookmarkStart w:id="37" w:name="_Toc14106"/>
      <w:r>
        <w:rPr>
          <w:rFonts w:hint="eastAsia" w:ascii="宋体" w:hAnsi="宋体" w:cs="宋体"/>
          <w:b/>
          <w:color w:val="auto"/>
          <w:sz w:val="24"/>
          <w:szCs w:val="24"/>
          <w:highlight w:val="none"/>
        </w:rPr>
        <w:br w:type="page" w:clear="all"/>
      </w:r>
      <w:r>
        <w:rPr>
          <w:color w:val="auto"/>
          <w:highlight w:val="none"/>
        </w:rPr>
      </w:r>
    </w:p>
    <w:p>
      <w:pPr>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pStyle w:val="1144"/>
        <w:rPr>
          <w:color w:val="auto"/>
          <w:highlight w:val="none"/>
        </w:rPr>
      </w:pPr>
      <w:r>
        <w:rPr>
          <w:color w:val="auto"/>
          <w:highlight w:val="none"/>
        </w:rPr>
      </w:r>
      <w:r>
        <w:rPr>
          <w:color w:val="auto"/>
          <w:highlight w:val="none"/>
        </w:rPr>
      </w:r>
    </w:p>
    <w:p>
      <w:pPr>
        <w:pStyle w:val="1117"/>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pStyle w:val="1117"/>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rPr>
          <w:color w:val="auto"/>
          <w:highlight w:val="none"/>
        </w:rPr>
      </w:pPr>
      <w:r>
        <w:rPr>
          <w:color w:val="auto"/>
          <w:highlight w:val="none"/>
        </w:rPr>
      </w:r>
      <w:r>
        <w:rPr>
          <w:color w:val="auto"/>
          <w:highlight w:val="none"/>
        </w:rPr>
      </w:r>
    </w:p>
    <w:p>
      <w:pPr>
        <w:pStyle w:val="1117"/>
        <w:jc w:val="center"/>
        <w:spacing w:before="0" w:after="0" w:line="360" w:lineRule="auto"/>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pStyle w:val="1117"/>
        <w:jc w:val="center"/>
        <w:spacing w:before="0" w:after="0" w:line="360" w:lineRule="auto"/>
        <w:rPr>
          <w:rFonts w:ascii="宋体" w:hAnsi="宋体" w:cs="宋体"/>
          <w:b/>
          <w:color w:val="auto"/>
          <w:sz w:val="44"/>
          <w:szCs w:val="44"/>
          <w:highlight w:val="none"/>
        </w:rPr>
      </w:pPr>
      <w:r>
        <w:rPr>
          <w:color w:val="auto"/>
          <w:highlight w:val="none"/>
        </w:rPr>
      </w:r>
      <w:bookmarkStart w:id="38" w:name="_Toc29473"/>
      <w:r>
        <w:rPr>
          <w:color w:val="auto"/>
          <w:highlight w:val="none"/>
        </w:rPr>
      </w:r>
      <w:bookmarkStart w:id="39" w:name="_Toc4028"/>
      <w:r>
        <w:rPr>
          <w:rFonts w:hint="eastAsia" w:ascii="宋体" w:hAnsi="宋体" w:cs="宋体"/>
          <w:b/>
          <w:color w:val="auto"/>
          <w:sz w:val="44"/>
          <w:szCs w:val="44"/>
          <w:highlight w:val="none"/>
        </w:rPr>
        <w:t xml:space="preserve">第三章 </w:t>
      </w:r>
      <w:bookmarkStart w:id="40" w:name="投标文件格式"/>
      <w:r>
        <w:rPr>
          <w:color w:val="auto"/>
          <w:highlight w:val="none"/>
        </w:rPr>
      </w:r>
      <w:bookmarkEnd w:id="40"/>
      <w:r>
        <w:rPr>
          <w:rFonts w:hint="eastAsia" w:ascii="宋体" w:hAnsi="宋体" w:cs="宋体"/>
          <w:b/>
          <w:color w:val="auto"/>
          <w:sz w:val="44"/>
          <w:szCs w:val="44"/>
          <w:highlight w:val="none"/>
        </w:rPr>
        <w:t xml:space="preserve">响应文件格式</w:t>
      </w:r>
      <w:bookmarkEnd w:id="25"/>
      <w:r>
        <w:rPr>
          <w:color w:val="auto"/>
          <w:highlight w:val="none"/>
        </w:rPr>
      </w:r>
      <w:bookmarkEnd w:id="26"/>
      <w:r>
        <w:rPr>
          <w:color w:val="auto"/>
          <w:highlight w:val="none"/>
        </w:rPr>
      </w:r>
      <w:bookmarkEnd w:id="27"/>
      <w:r>
        <w:rPr>
          <w:color w:val="auto"/>
          <w:highlight w:val="none"/>
        </w:rPr>
      </w:r>
      <w:bookmarkEnd w:id="28"/>
      <w:r>
        <w:rPr>
          <w:color w:val="auto"/>
          <w:highlight w:val="none"/>
        </w:rPr>
      </w:r>
      <w:bookmarkEnd w:id="37"/>
      <w:r>
        <w:rPr>
          <w:color w:val="auto"/>
          <w:highlight w:val="none"/>
        </w:rPr>
      </w:r>
      <w:bookmarkEnd w:id="38"/>
      <w:r>
        <w:rPr>
          <w:color w:val="auto"/>
          <w:highlight w:val="none"/>
        </w:rPr>
      </w:r>
      <w:bookmarkEnd w:id="39"/>
      <w:r>
        <w:rPr>
          <w:color w:val="auto"/>
          <w:highlight w:val="none"/>
        </w:rPr>
      </w:r>
      <w:r>
        <w:rPr>
          <w:color w:val="auto"/>
          <w:highlight w:val="none"/>
        </w:rPr>
      </w:r>
    </w:p>
    <w:p>
      <w:pPr>
        <w:ind w:left="0"/>
        <w:jc w:val="left"/>
        <w:spacing w:line="440" w:lineRule="exact"/>
        <w:rPr>
          <w:rFonts w:ascii="宋体" w:hAnsi="宋体" w:cs="宋体"/>
          <w:b/>
          <w:color w:val="auto"/>
          <w:sz w:val="21"/>
          <w:szCs w:val="21"/>
          <w:highlight w:val="none"/>
        </w:rPr>
      </w:pPr>
      <w:r>
        <w:rPr>
          <w:rFonts w:ascii="宋体" w:hAnsi="宋体" w:cs="宋体"/>
          <w:b/>
          <w:color w:val="auto"/>
          <w:sz w:val="21"/>
          <w:szCs w:val="21"/>
          <w:highlight w:val="none"/>
        </w:rPr>
      </w:r>
      <w:r>
        <w:rPr>
          <w:color w:val="auto"/>
          <w:highlight w:val="none"/>
        </w:rPr>
      </w:r>
    </w:p>
    <w:p>
      <w:pPr>
        <w:ind w:left="0"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说明：</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对本章所有的格式，供应商可根据自身情况进行补充和修改，但补充和修改不得造成与本格式内容有实质性的违背。</w:t>
      </w:r>
      <w:r>
        <w:rPr>
          <w:color w:val="auto"/>
          <w:highlight w:val="none"/>
        </w:rPr>
      </w:r>
    </w:p>
    <w:p>
      <w:pPr>
        <w:ind w:left="0"/>
        <w:jc w:val="left"/>
        <w:spacing w:line="360" w:lineRule="auto"/>
        <w:rPr>
          <w:rFonts w:ascii="宋体" w:hAnsi="宋体" w:cs="宋体"/>
          <w:b/>
          <w:color w:val="auto"/>
          <w:sz w:val="24"/>
          <w:szCs w:val="24"/>
          <w:highlight w:val="none"/>
        </w:rPr>
        <w:outlineLvl w:val="1"/>
      </w:pPr>
      <w:r>
        <w:rPr>
          <w:rFonts w:hint="eastAsia" w:ascii="宋体" w:hAnsi="宋体" w:cs="宋体"/>
          <w:b/>
          <w:color w:val="auto"/>
          <w:sz w:val="44"/>
          <w:szCs w:val="44"/>
          <w:highlight w:val="none"/>
        </w:rPr>
        <w:br w:type="page" w:clear="all"/>
      </w:r>
      <w:bookmarkStart w:id="41" w:name="_Toc17036"/>
      <w:r>
        <w:rPr>
          <w:color w:val="auto"/>
          <w:highlight w:val="none"/>
        </w:rPr>
      </w:r>
      <w:bookmarkStart w:id="42" w:name="_Toc3821"/>
      <w:r>
        <w:rPr>
          <w:color w:val="auto"/>
          <w:highlight w:val="none"/>
        </w:rPr>
      </w:r>
      <w:bookmarkStart w:id="43" w:name="_Toc7097"/>
      <w:r>
        <w:rPr>
          <w:rFonts w:hint="eastAsia" w:ascii="宋体" w:hAnsi="宋体" w:cs="宋体"/>
          <w:b/>
          <w:color w:val="auto"/>
          <w:sz w:val="24"/>
          <w:szCs w:val="24"/>
          <w:highlight w:val="none"/>
        </w:rPr>
        <w:t xml:space="preserve">附件1</w:t>
      </w:r>
      <w:bookmarkEnd w:id="41"/>
      <w:r>
        <w:rPr>
          <w:color w:val="auto"/>
          <w:highlight w:val="none"/>
        </w:rPr>
      </w:r>
      <w:bookmarkEnd w:id="42"/>
      <w:r>
        <w:rPr>
          <w:rFonts w:hint="eastAsia" w:ascii="宋体" w:hAnsi="宋体" w:cs="宋体"/>
          <w:b/>
          <w:color w:val="auto"/>
          <w:sz w:val="24"/>
          <w:szCs w:val="24"/>
          <w:highlight w:val="none"/>
        </w:rPr>
        <w:t xml:space="preserve">、磋商响应函</w:t>
      </w:r>
      <w:bookmarkEnd w:id="43"/>
      <w:r>
        <w:rPr>
          <w:color w:val="auto"/>
          <w:highlight w:val="none"/>
        </w:rPr>
      </w:r>
      <w:r>
        <w:rPr>
          <w:color w:val="auto"/>
          <w:highlight w:val="none"/>
        </w:rPr>
      </w:r>
    </w:p>
    <w:p>
      <w:pPr>
        <w:ind w:left="0"/>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磋商响应函</w:t>
      </w:r>
      <w:r>
        <w:rPr>
          <w:color w:val="auto"/>
          <w:highlight w:val="none"/>
        </w:rPr>
      </w:r>
    </w:p>
    <w:p>
      <w:pPr>
        <w:ind w:left="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致：</w:t>
      </w:r>
      <w:r>
        <w:rPr>
          <w:rFonts w:hint="eastAsia" w:ascii="宋体" w:hAnsi="宋体" w:cs="宋体"/>
          <w:color w:val="auto"/>
          <w:sz w:val="24"/>
          <w:szCs w:val="24"/>
          <w:highlight w:val="none"/>
          <w:u w:val="single"/>
          <w:lang w:val="zh-CN"/>
        </w:rPr>
        <w:t xml:space="preserve">苏州合亿盛工程咨询有限公司</w:t>
      </w:r>
      <w:r>
        <w:rPr>
          <w:color w:val="auto"/>
          <w:highlight w:val="none"/>
        </w:rPr>
      </w:r>
    </w:p>
    <w:p>
      <w:pPr>
        <w:ind w:left="0"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我方收到贵公司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号磋商采购文件，经仔细阅读和研究，我方决定参加磋商。并向贵公司承诺：</w:t>
      </w:r>
      <w:r>
        <w:rPr>
          <w:color w:val="auto"/>
          <w:highlight w:val="none"/>
        </w:rPr>
      </w:r>
    </w:p>
    <w:p>
      <w:pPr>
        <w:pStyle w:val="1177"/>
        <w:ind w:left="0" w:firstLine="480"/>
        <w:widowControl w:val="off"/>
        <w:rPr>
          <w:rStyle w:val="1158"/>
          <w:rFonts w:hAnsi="宋体" w:cs="宋体"/>
          <w:color w:val="auto"/>
          <w:sz w:val="24"/>
          <w:szCs w:val="24"/>
          <w:highlight w:val="none"/>
        </w:rPr>
      </w:pPr>
      <w:r>
        <w:rPr>
          <w:rFonts w:hint="eastAsia" w:ascii="Calibri" w:hAnsi="宋体" w:cs="宋体"/>
          <w:color w:val="auto"/>
          <w:sz w:val="24"/>
          <w:szCs w:val="24"/>
          <w:highlight w:val="none"/>
        </w:rPr>
        <w:t xml:space="preserve">1、</w:t>
      </w:r>
      <w:r>
        <w:rPr>
          <w:rStyle w:val="1158"/>
          <w:rFonts w:hint="eastAsia" w:ascii="宋体" w:hAnsi="宋体" w:cs="宋体"/>
          <w:color w:val="auto"/>
          <w:sz w:val="24"/>
          <w:szCs w:val="24"/>
          <w:highlight w:val="none"/>
        </w:rPr>
        <w:t xml:space="preserve">我们愿意按照采购文件的一切要求，提供完成该项目的全部内容，我们的报价</w:t>
      </w:r>
      <w:r>
        <w:rPr>
          <w:rStyle w:val="1158"/>
          <w:rFonts w:hint="eastAsia" w:hAnsi="宋体" w:cs="宋体"/>
          <w:color w:val="auto"/>
          <w:sz w:val="24"/>
          <w:szCs w:val="24"/>
          <w:highlight w:val="none"/>
        </w:rPr>
        <w:t xml:space="preserve">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Fonts w:hint="eastAsia" w:hAnsi="宋体" w:cs="宋体"/>
          <w:color w:val="auto"/>
          <w:sz w:val="24"/>
          <w:szCs w:val="24"/>
          <w:highlight w:val="none"/>
        </w:rPr>
        <w:t xml:space="preserve">2、</w:t>
      </w:r>
      <w:r>
        <w:rPr>
          <w:rStyle w:val="1158"/>
          <w:rFonts w:hint="eastAsia" w:ascii="宋体" w:hAnsi="宋体" w:cs="宋体"/>
          <w:color w:val="auto"/>
          <w:sz w:val="24"/>
          <w:szCs w:val="24"/>
          <w:highlight w:val="none"/>
        </w:rPr>
        <w:t xml:space="preserve">如果我们的磋商响应文件被接受，我们将严格履行采购文件中规定的每一项要求，按期、按质、按量履行合同的义务。</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3、我们已详细审查全部采购文件，包括更正公告(如有)。我们完全理解并同意放弃对这方面有不明及误解的权力。</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4、我们同意按采购文件中的规定，本磋商响应文件的有效期限为响应文件提交截止之日起90天。</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5、我们愿意提供磋商采购单位在采购文件中要求的所有资料。</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6、我们愿意遵守采购文件中所列的收费标准。</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7、我们承诺该磋商响应文件在磋商开始后的全过程中保持有效，不作任何更改和变动。</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9、我们声明：我们在参加本次政府采购活动前3年内在经营活动中没有重大违法记录。</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10、如果我们成交，我们愿意按采购文件的规定支付代理服务费。</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11、综合说明：</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（1）伴随服务及配合措施；（2）要求甲方提供的配合；（3）对采购文件有不同意见的偏离说明；（4）其它说明。</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所有有关磋商响应文件的函电，请按下列地址联系：</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单位：                             联系人：</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地址：                             邮政编码：</w:t>
      </w:r>
      <w:r>
        <w:rPr>
          <w:color w:val="auto"/>
          <w:highlight w:val="none"/>
        </w:rPr>
      </w:r>
    </w:p>
    <w:p>
      <w:pPr>
        <w:pStyle w:val="1177"/>
        <w:ind w:left="0" w:firstLine="48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联系电话：                         传真：</w:t>
      </w:r>
      <w:r>
        <w:rPr>
          <w:color w:val="auto"/>
          <w:highlight w:val="none"/>
        </w:rPr>
      </w:r>
    </w:p>
    <w:p>
      <w:pPr>
        <w:ind w:left="0" w:firstLine="480"/>
        <w:widowControl w:val="off"/>
        <w:rPr>
          <w:rFonts w:ascii="宋体" w:hAnsi="宋体" w:cs="宋体"/>
          <w:color w:val="auto"/>
          <w:sz w:val="24"/>
          <w:szCs w:val="24"/>
          <w:highlight w:val="none"/>
          <w:u w:val="single"/>
        </w:rPr>
      </w:pPr>
      <w:r>
        <w:rPr>
          <w:rStyle w:val="1158"/>
          <w:rFonts w:hint="eastAsia" w:ascii="宋体" w:hAnsi="宋体" w:cs="宋体"/>
          <w:color w:val="auto"/>
          <w:sz w:val="24"/>
          <w:szCs w:val="24"/>
          <w:highlight w:val="none"/>
        </w:rPr>
        <w:t xml:space="preserve">电子邮箱：</w:t>
      </w:r>
      <w:r>
        <w:rPr>
          <w:color w:val="auto"/>
          <w:highlight w:val="none"/>
        </w:rPr>
      </w:r>
    </w:p>
    <w:p>
      <w:pPr>
        <w:ind w:left="0" w:right="-200"/>
        <w:jc w:val="righ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ind w:left="0"/>
        <w:rPr>
          <w:rFonts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44" w:name="_Toc6183"/>
      <w:r>
        <w:rPr>
          <w:rFonts w:hint="eastAsia" w:ascii="宋体" w:hAnsi="宋体" w:cs="宋体"/>
          <w:b/>
          <w:color w:val="auto"/>
          <w:sz w:val="24"/>
          <w:szCs w:val="24"/>
          <w:highlight w:val="none"/>
        </w:rPr>
        <w:t xml:space="preserve">附件2、磋商报价表</w:t>
      </w:r>
      <w:bookmarkEnd w:id="44"/>
      <w:r>
        <w:rPr>
          <w:color w:val="auto"/>
          <w:highlight w:val="none"/>
        </w:rPr>
      </w:r>
      <w:r>
        <w:rPr>
          <w:color w:val="auto"/>
          <w:highlight w:val="none"/>
        </w:rPr>
      </w:r>
    </w:p>
    <w:p>
      <w:pP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磋商报价表</w:t>
      </w:r>
      <w:r>
        <w:rPr>
          <w:color w:val="auto"/>
          <w:highlight w:val="none"/>
        </w:rPr>
      </w:r>
    </w:p>
    <w:p>
      <w:pPr>
        <w:ind w:left="0"/>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rPr>
          <w:color w:val="auto"/>
          <w:highlight w:val="none"/>
        </w:rPr>
      </w:r>
    </w:p>
    <w:p>
      <w:pPr>
        <w:ind w:left="0"/>
        <w:jc w:val="center"/>
        <w:spacing w:line="360" w:lineRule="auto"/>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采购编号：                                         价格单位：</w:t>
      </w:r>
      <w:r>
        <w:rPr>
          <w:rFonts w:hint="eastAsia" w:ascii="宋体" w:hAnsi="宋体" w:cs="宋体"/>
          <w:color w:val="auto"/>
          <w:sz w:val="24"/>
          <w:szCs w:val="24"/>
          <w:highlight w:val="none"/>
          <w:lang w:val="zh-CN"/>
        </w:rPr>
        <w:t xml:space="preserve">元</w:t>
      </w:r>
      <w:r>
        <w:rPr>
          <w:color w:val="auto"/>
          <w:highlight w:val="none"/>
        </w:rPr>
      </w:r>
    </w:p>
    <w:tbl>
      <w:tblPr>
        <w:tblStyle w:val="112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81"/>
        <w:gridCol w:w="3515"/>
        <w:gridCol w:w="1872"/>
      </w:tblGrid>
      <w:tr>
        <w:trPr>
          <w:jc w:val="center"/>
          <w:trHeight w:val="755"/>
        </w:trPr>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项目名称</w:t>
            </w:r>
            <w:r>
              <w:rPr>
                <w:color w:val="auto"/>
                <w:highlight w:val="none"/>
              </w:rP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响应总报价</w:t>
            </w:r>
            <w:r>
              <w:rPr>
                <w:color w:val="auto"/>
                <w:highlight w:val="none"/>
              </w:rPr>
            </w:r>
          </w:p>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（元）</w:t>
            </w:r>
            <w:r>
              <w:rPr>
                <w:color w:val="auto"/>
                <w:highlight w:val="none"/>
              </w:rP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服务时间</w:t>
            </w:r>
            <w:r>
              <w:rPr>
                <w:color w:val="auto"/>
                <w:highlight w:val="none"/>
              </w:rPr>
            </w:r>
          </w:p>
        </w:tc>
      </w:tr>
      <w:tr>
        <w:trPr>
          <w:jc w:val="center"/>
          <w:trHeight w:val="1120"/>
        </w:trPr>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苏州市相城区中医医院食堂外包服务项目</w:t>
            </w:r>
            <w:r>
              <w:rPr>
                <w:color w:val="auto"/>
                <w:highlight w:val="none"/>
              </w:rPr>
            </w:r>
          </w:p>
        </w:tc>
        <w:tc>
          <w:tcPr>
            <w:tcBorders>
              <w:top w:val="single" w:color="auto" w:sz="4" w:space="0"/>
              <w:left w:val="single" w:color="auto" w:sz="4" w:space="0"/>
              <w:bottom w:val="single" w:color="auto" w:sz="4" w:space="0"/>
              <w:right w:val="single" w:color="auto" w:sz="4" w:space="0"/>
            </w:tcBorders>
            <w:tcW w:w="3515" w:type="dxa"/>
            <w:vAlign w:val="center"/>
            <w:textDirection w:val="lrTb"/>
            <w:noWrap w:val="false"/>
          </w:tcPr>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人民币（大写）：</w:t>
            </w:r>
            <w:r>
              <w:rPr>
                <w:color w:val="auto"/>
                <w:highlight w:val="none"/>
              </w:rP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人民币（小写）：</w:t>
            </w:r>
            <w:r>
              <w:rPr>
                <w:color w:val="auto"/>
                <w:highlight w:val="none"/>
              </w:rP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bl>
    <w:p>
      <w:pPr>
        <w:ind w:left="0" w:firstLine="480"/>
        <w:jc w:val="left"/>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rPr>
          <w:color w:val="auto"/>
          <w:highlight w:val="none"/>
        </w:rPr>
      </w:r>
    </w:p>
    <w:p>
      <w:pPr>
        <w:ind w:left="0"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本项目报价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color w:val="auto"/>
          <w:highlight w:val="none"/>
        </w:rPr>
      </w:r>
    </w:p>
    <w:p>
      <w:pPr>
        <w:pStyle w:val="1122"/>
        <w:ind w:firstLine="480"/>
        <w:rPr>
          <w:rFonts w:hAnsi="宋体" w:cs="宋体"/>
          <w:color w:val="auto"/>
          <w:highlight w:val="none"/>
        </w:rPr>
      </w:pPr>
      <w:r>
        <w:rPr>
          <w:rFonts w:hAnsi="宋体" w:cs="宋体"/>
          <w:color w:val="auto"/>
          <w:highlight w:val="none"/>
        </w:rPr>
      </w:r>
      <w:r>
        <w:rPr>
          <w:color w:val="auto"/>
          <w:highlight w:val="none"/>
        </w:rPr>
      </w:r>
    </w:p>
    <w:p>
      <w:pPr>
        <w:pStyle w:val="1169"/>
        <w:ind w:firstLine="400"/>
        <w:rPr>
          <w:rFonts w:ascii="宋体" w:hAnsi="宋体" w:cs="宋体"/>
          <w:color w:val="auto"/>
          <w:highlight w:val="none"/>
        </w:rPr>
      </w:pPr>
      <w:r>
        <w:rPr>
          <w:rFonts w:ascii="宋体" w:hAnsi="宋体" w:cs="宋体"/>
          <w:color w:val="auto"/>
          <w:highlight w:val="none"/>
        </w:rPr>
      </w:r>
      <w:r>
        <w:rPr>
          <w:color w:val="auto"/>
          <w:highlight w:val="none"/>
        </w:rPr>
      </w:r>
    </w:p>
    <w:p>
      <w:pPr>
        <w:pStyle w:val="1169"/>
        <w:ind w:firstLine="400"/>
        <w:rPr>
          <w:rFonts w:ascii="宋体" w:hAnsi="宋体" w:cs="宋体"/>
          <w:color w:val="auto"/>
          <w:highlight w:val="none"/>
        </w:rPr>
      </w:pPr>
      <w:r>
        <w:rPr>
          <w:rFonts w:ascii="宋体" w:hAnsi="宋体" w:cs="宋体"/>
          <w:color w:val="auto"/>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ind w:left="0" w:right="40"/>
        <w:jc w:val="left"/>
        <w:spacing w:line="360" w:lineRule="auto"/>
        <w:rPr>
          <w:rFonts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45" w:name="_Toc14239"/>
      <w:r>
        <w:rPr>
          <w:color w:val="auto"/>
          <w:highlight w:val="none"/>
        </w:rPr>
      </w:r>
      <w:bookmarkStart w:id="46" w:name="_Toc31009"/>
      <w:r>
        <w:rPr>
          <w:rFonts w:hint="eastAsia" w:ascii="宋体" w:hAnsi="宋体" w:cs="宋体"/>
          <w:b/>
          <w:color w:val="auto"/>
          <w:sz w:val="24"/>
          <w:szCs w:val="24"/>
          <w:highlight w:val="none"/>
        </w:rPr>
        <w:t xml:space="preserve">附件3、</w:t>
      </w:r>
      <w:bookmarkEnd w:id="45"/>
      <w:r>
        <w:rPr>
          <w:rFonts w:hint="eastAsia" w:ascii="宋体" w:hAnsi="宋体" w:cs="宋体"/>
          <w:b/>
          <w:color w:val="auto"/>
          <w:sz w:val="24"/>
          <w:szCs w:val="24"/>
          <w:highlight w:val="none"/>
        </w:rPr>
        <w:t xml:space="preserve">报价明细表</w:t>
      </w:r>
      <w:r>
        <w:rPr>
          <w:color w:val="auto"/>
          <w:highlight w:val="none"/>
        </w:rPr>
      </w:r>
    </w:p>
    <w:p>
      <w:pPr>
        <w:ind w:left="0"/>
        <w:jc w:val="center"/>
        <w:widowControl w:val="off"/>
        <w:rPr>
          <w:rFonts w:ascii="宋体" w:hAnsi="宋体"/>
          <w:b/>
          <w:color w:val="auto"/>
          <w:sz w:val="24"/>
          <w:szCs w:val="24"/>
          <w:highlight w:val="none"/>
        </w:rPr>
      </w:pPr>
      <w:r>
        <w:rPr>
          <w:rFonts w:hint="eastAsia" w:ascii="宋体" w:hAnsi="宋体"/>
          <w:b/>
          <w:color w:val="auto"/>
          <w:sz w:val="24"/>
          <w:szCs w:val="24"/>
          <w:highlight w:val="none"/>
        </w:rPr>
        <w:t xml:space="preserve">报价明细表（一）</w:t>
      </w:r>
      <w:r>
        <w:rPr>
          <w:color w:val="auto"/>
          <w:highlight w:val="none"/>
        </w:rPr>
      </w:r>
    </w:p>
    <w:p>
      <w:pPr>
        <w:ind w:left="0"/>
        <w:jc w:val="center"/>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（综合单价）</w:t>
      </w:r>
      <w:r>
        <w:rPr>
          <w:color w:val="auto"/>
          <w:highlight w:val="none"/>
        </w:rPr>
      </w:r>
    </w:p>
    <w:tbl>
      <w:tblPr>
        <w:tblStyle w:val="1121"/>
        <w:tblW w:w="50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519"/>
        <w:gridCol w:w="689"/>
        <w:gridCol w:w="1669"/>
        <w:gridCol w:w="3690"/>
        <w:gridCol w:w="1212"/>
      </w:tblGrid>
      <w:tr>
        <w:trPr>
          <w:cantSplit/>
          <w:jc w:val="center"/>
          <w:trHeight w:val="2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3"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2"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岗位名称</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人数</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9"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综合单价</w:t>
            </w:r>
            <w:r>
              <w:rPr>
                <w:color w:val="auto"/>
                <w:highlight w:val="none"/>
              </w:rPr>
            </w:r>
          </w:p>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（元/人*月）</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48"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响应总价</w:t>
            </w:r>
            <w:r>
              <w:rPr>
                <w:color w:val="auto"/>
                <w:highlight w:val="none"/>
              </w:rPr>
            </w:r>
          </w:p>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（人数×综合单价×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个月）</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服务时间</w:t>
            </w:r>
            <w:r>
              <w:rPr>
                <w:color w:val="auto"/>
                <w:highlight w:val="none"/>
              </w:rPr>
            </w:r>
          </w:p>
        </w:tc>
      </w:tr>
      <w:tr>
        <w:trPr>
          <w:cantSplit/>
          <w:jc w:val="center"/>
          <w:trHeight w:val="2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3"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2"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4"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9"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48"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cantSplit/>
          <w:jc w:val="center"/>
          <w:trHeight w:val="2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3"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2"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4"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9"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48"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cantSplit/>
          <w:jc w:val="center"/>
          <w:trHeight w:val="2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3"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2"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4"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9"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48"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cantSplit/>
          <w:jc w:val="center"/>
          <w:trHeight w:val="2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3"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2"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4"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9"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48"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cantSplit/>
          <w:jc w:val="center"/>
          <w:trHeight w:val="23"/>
        </w:trPr>
        <w:tc>
          <w:tcPr>
            <w:gridSpan w:val="4"/>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1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48"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4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bl>
    <w:p>
      <w:pPr>
        <w:pStyle w:val="1144"/>
        <w:rPr>
          <w:rStyle w:val="1152"/>
          <w:rFonts w:ascii="宋体" w:hAnsi="宋体"/>
          <w:b/>
          <w:bCs/>
          <w:color w:val="auto"/>
          <w:sz w:val="24"/>
          <w:highlight w:val="none"/>
        </w:rPr>
      </w:pPr>
      <w:r>
        <w:rPr>
          <w:rFonts w:ascii="宋体" w:hAnsi="宋体"/>
          <w:b/>
          <w:bCs/>
          <w:color w:val="auto"/>
          <w:sz w:val="24"/>
          <w:highlight w:val="none"/>
        </w:rPr>
      </w:r>
      <w:r>
        <w:rPr>
          <w:color w:val="auto"/>
          <w:highlight w:val="none"/>
        </w:rPr>
      </w:r>
    </w:p>
    <w:p>
      <w:pPr>
        <w:ind w:left="0"/>
        <w:jc w:val="center"/>
        <w:widowControl w:val="off"/>
        <w:rPr>
          <w:rFonts w:ascii="宋体" w:hAnsi="宋体"/>
          <w:b/>
          <w:color w:val="auto"/>
          <w:sz w:val="24"/>
          <w:szCs w:val="24"/>
          <w:highlight w:val="none"/>
        </w:rPr>
      </w:pPr>
      <w:r>
        <w:rPr>
          <w:rFonts w:hint="eastAsia" w:ascii="宋体" w:hAnsi="宋体"/>
          <w:b/>
          <w:color w:val="auto"/>
          <w:sz w:val="24"/>
          <w:szCs w:val="24"/>
          <w:highlight w:val="none"/>
        </w:rPr>
        <w:t xml:space="preserve">报价明细表（二）</w:t>
      </w:r>
      <w:r>
        <w:rPr>
          <w:color w:val="auto"/>
          <w:highlight w:val="none"/>
        </w:rPr>
      </w:r>
    </w:p>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（分项报价表）</w:t>
      </w:r>
      <w:r>
        <w:rPr>
          <w:color w:val="auto"/>
          <w:highlight w:val="none"/>
        </w:rPr>
      </w:r>
    </w:p>
    <w:tbl>
      <w:tblPr>
        <w:tblStyle w:val="1121"/>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3"/>
        <w:gridCol w:w="2220"/>
        <w:gridCol w:w="928"/>
        <w:gridCol w:w="924"/>
        <w:gridCol w:w="924"/>
        <w:gridCol w:w="924"/>
        <w:gridCol w:w="924"/>
        <w:gridCol w:w="924"/>
        <w:gridCol w:w="929"/>
      </w:tblGrid>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条目</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价格</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人工成本</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安全生产</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劳动保险</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办公设备</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服装</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通讯巡检器材</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清洁易耗品</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保险费</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税金</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管理费</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ind w:left="0"/>
              <w:jc w:val="cente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113"/>
        </w:trPr>
        <w:tc>
          <w:tcPr>
            <w:gridSpan w:val="3"/>
            <w:tcBorders>
              <w:top w:val="single" w:color="auto" w:sz="4" w:space="0"/>
              <w:left w:val="single" w:color="auto" w:sz="4" w:space="0"/>
              <w:bottom w:val="single" w:color="auto" w:sz="4" w:space="0"/>
              <w:right w:val="single" w:color="auto" w:sz="4" w:space="0"/>
            </w:tcBorders>
            <w:tcW w:w="2116" w:type="pct"/>
            <w:vAlign w:val="center"/>
            <w:textDirection w:val="lrTb"/>
            <w:noWrap w:val="false"/>
          </w:tcPr>
          <w:p>
            <w:pPr>
              <w:ind w:left="0"/>
              <w:jc w:val="center"/>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合计</w:t>
            </w:r>
            <w:r>
              <w:rPr>
                <w:color w:val="auto"/>
                <w:highlight w:val="none"/>
              </w:rPr>
            </w:r>
          </w:p>
        </w:tc>
        <w:tc>
          <w:tcPr>
            <w:gridSpan w:val="6"/>
            <w:tcBorders>
              <w:top w:val="single" w:color="auto" w:sz="4" w:space="0"/>
              <w:left w:val="single" w:color="auto" w:sz="4" w:space="0"/>
              <w:bottom w:val="single" w:color="auto" w:sz="4" w:space="0"/>
              <w:right w:val="single" w:color="auto" w:sz="4" w:space="0"/>
            </w:tcBorders>
            <w:tcW w:w="2883" w:type="pct"/>
            <w:vAlign w:val="center"/>
            <w:textDirection w:val="lrTb"/>
            <w:noWrap w:val="false"/>
          </w:tcPr>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大写：人民币</w:t>
            </w:r>
            <w:r>
              <w:rPr>
                <w:color w:val="auto"/>
                <w:highlight w:val="none"/>
              </w:rPr>
            </w:r>
          </w:p>
        </w:tc>
      </w:tr>
    </w:tbl>
    <w:p>
      <w:pPr>
        <w:pStyle w:val="1144"/>
        <w:rPr>
          <w:rStyle w:val="1152"/>
          <w:rFonts w:ascii="宋体" w:hAnsi="宋体"/>
          <w:b/>
          <w:bCs/>
          <w:color w:val="auto"/>
          <w:sz w:val="24"/>
          <w:highlight w:val="none"/>
        </w:rPr>
      </w:pPr>
      <w:r>
        <w:rPr>
          <w:rFonts w:ascii="宋体" w:hAnsi="宋体"/>
          <w:b/>
          <w:bCs/>
          <w:color w:val="auto"/>
          <w:sz w:val="24"/>
          <w:highlight w:val="none"/>
        </w:rPr>
      </w:r>
      <w:r>
        <w:rPr>
          <w:color w:val="auto"/>
          <w:highlight w:val="none"/>
        </w:rPr>
      </w:r>
    </w:p>
    <w:p>
      <w:pPr>
        <w:ind w:left="0" w:firstLine="480"/>
        <w:spacing w:line="360" w:lineRule="auto"/>
        <w:widowControl w:val="off"/>
        <w:rPr>
          <w:rFonts w:ascii="宋体" w:hAnsi="宋体" w:cs="宋体"/>
          <w:color w:val="auto"/>
          <w:sz w:val="24"/>
          <w:szCs w:val="24"/>
          <w:highlight w:val="none"/>
        </w:rPr>
      </w:pPr>
      <w:r>
        <w:rPr>
          <w:rStyle w:val="1152"/>
          <w:rFonts w:hint="eastAsia" w:ascii="宋体" w:hAnsi="宋体"/>
          <w:b/>
          <w:bCs/>
          <w:color w:val="auto"/>
          <w:sz w:val="24"/>
          <w:szCs w:val="24"/>
          <w:highlight w:val="none"/>
        </w:rPr>
        <w:t xml:space="preserve">注：</w:t>
      </w:r>
      <w:r>
        <w:rPr>
          <w:rFonts w:hint="eastAsia" w:ascii="宋体" w:hAnsi="宋体" w:cs="宋体"/>
          <w:color w:val="auto"/>
          <w:sz w:val="24"/>
          <w:szCs w:val="24"/>
          <w:highlight w:val="none"/>
        </w:rPr>
        <w:t xml:space="preserve">1.报价表包含响应单位各项成本核算和投入的成本明细，</w:t>
      </w:r>
      <w:r>
        <w:rPr>
          <w:rFonts w:hint="eastAsia" w:ascii="宋体" w:hAnsi="宋体"/>
          <w:b/>
          <w:color w:val="auto"/>
          <w:sz w:val="24"/>
          <w:szCs w:val="24"/>
          <w:highlight w:val="none"/>
        </w:rPr>
        <w:t xml:space="preserve">报价明细表</w:t>
      </w:r>
      <w:r>
        <w:rPr>
          <w:rFonts w:hint="eastAsia" w:ascii="宋体" w:hAnsi="宋体" w:cs="宋体"/>
          <w:color w:val="auto"/>
          <w:sz w:val="24"/>
          <w:szCs w:val="24"/>
          <w:highlight w:val="none"/>
        </w:rPr>
        <w:t xml:space="preserve">（一）和</w:t>
      </w:r>
      <w:r>
        <w:rPr>
          <w:rFonts w:hint="eastAsia" w:ascii="宋体" w:hAnsi="宋体"/>
          <w:b/>
          <w:color w:val="auto"/>
          <w:sz w:val="24"/>
          <w:szCs w:val="24"/>
          <w:highlight w:val="none"/>
        </w:rPr>
        <w:t xml:space="preserve">报价明细表</w:t>
      </w:r>
      <w:r>
        <w:rPr>
          <w:rFonts w:hint="eastAsia" w:ascii="宋体" w:hAnsi="宋体" w:cs="宋体"/>
          <w:color w:val="auto"/>
          <w:sz w:val="24"/>
          <w:szCs w:val="24"/>
          <w:highlight w:val="none"/>
        </w:rPr>
        <w:t xml:space="preserve">（二）中的合计金额都应与磋商报价表</w:t>
      </w:r>
      <w:r>
        <w:rPr>
          <w:rFonts w:hint="eastAsia" w:ascii="宋体" w:hAnsi="宋体"/>
          <w:color w:val="auto"/>
          <w:sz w:val="24"/>
          <w:szCs w:val="24"/>
          <w:highlight w:val="none"/>
        </w:rPr>
        <w:t xml:space="preserve">总报价</w:t>
      </w:r>
      <w:r>
        <w:rPr>
          <w:rFonts w:hint="eastAsia" w:ascii="宋体" w:hAnsi="宋体" w:cs="宋体"/>
          <w:color w:val="auto"/>
          <w:sz w:val="24"/>
          <w:szCs w:val="24"/>
          <w:highlight w:val="none"/>
        </w:rPr>
        <w:t xml:space="preserve">金额一致；否则，以磋商报价表为准。</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2、凡涉及到的费用应按劳动法规定执行。</w:t>
      </w:r>
      <w:r>
        <w:rPr>
          <w:color w:val="auto"/>
          <w:highlight w:val="none"/>
        </w:rPr>
      </w:r>
    </w:p>
    <w:p>
      <w:pPr>
        <w:ind w:left="0" w:firstLine="480"/>
        <w:spacing w:line="360" w:lineRule="auto"/>
        <w:widowControl w:val="off"/>
        <w:rPr>
          <w:rFonts w:ascii="宋体" w:hAnsi="宋体" w:cs="宋体"/>
          <w:b/>
          <w:color w:val="auto"/>
          <w:sz w:val="24"/>
          <w:szCs w:val="24"/>
          <w:highlight w:val="none"/>
        </w:rPr>
      </w:pPr>
      <w:r>
        <w:rPr>
          <w:rFonts w:hint="eastAsia" w:ascii="宋体" w:hAnsi="宋体" w:cs="宋体"/>
          <w:color w:val="auto"/>
          <w:sz w:val="24"/>
          <w:szCs w:val="24"/>
          <w:highlight w:val="none"/>
        </w:rPr>
        <w:t xml:space="preserve">3、本项目人员的月工资标准不得低于苏州市最低工资标准要求，并按我国《劳动合同法》要求签订劳动合同。</w:t>
      </w:r>
      <w:r>
        <w:rPr>
          <w:rFonts w:hint="eastAsia" w:ascii="宋体" w:hAnsi="宋体" w:cs="宋体"/>
          <w:b/>
          <w:color w:val="auto"/>
          <w:sz w:val="24"/>
          <w:szCs w:val="24"/>
          <w:highlight w:val="none"/>
        </w:rPr>
        <w:t xml:space="preserve">遇到法律法规规定的最低工资调整，其中人工费用相应浮动，由供应商自行承担。</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4、本项目所有人员须按国家规定缴纳员工的社会保险。</w:t>
      </w:r>
      <w:r>
        <w:rPr>
          <w:color w:val="auto"/>
          <w:highlight w:val="none"/>
        </w:rP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color w:val="auto"/>
          <w:sz w:val="24"/>
          <w:szCs w:val="24"/>
          <w:highlight w:val="none"/>
        </w:rPr>
        <w:t xml:space="preserve">5、分项报价条目举例如下：劳保、损耗、人工、办公设备、服装、通讯器材、巡检器材、税金、维护、利</w:t>
      </w:r>
      <w:r>
        <w:rPr>
          <w:rFonts w:hint="eastAsia" w:ascii="宋体" w:hAnsi="宋体" w:cs="宋体"/>
          <w:bCs/>
          <w:color w:val="auto"/>
          <w:sz w:val="24"/>
          <w:szCs w:val="24"/>
          <w:highlight w:val="none"/>
        </w:rPr>
        <w:t xml:space="preserve">润等各项费用等等，条目可自行添加或删除。</w:t>
      </w:r>
      <w:r>
        <w:rPr>
          <w:color w:val="auto"/>
          <w:highlight w:val="none"/>
        </w:rPr>
      </w:r>
    </w:p>
    <w:p>
      <w:pPr>
        <w:ind w:left="0"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6、如响应文件报价未按上述2-5项规定要求的，</w:t>
      </w:r>
      <w:r>
        <w:rPr>
          <w:rFonts w:hint="eastAsia" w:ascii="宋体" w:hAnsi="宋体" w:cs="宋体"/>
          <w:color w:val="auto"/>
          <w:sz w:val="24"/>
          <w:szCs w:val="24"/>
          <w:highlight w:val="none"/>
        </w:rPr>
        <w:t xml:space="preserve">响应文件</w:t>
      </w:r>
      <w:r>
        <w:rPr>
          <w:rFonts w:hint="eastAsia" w:ascii="宋体" w:hAnsi="宋体" w:cs="宋体"/>
          <w:bCs/>
          <w:color w:val="auto"/>
          <w:sz w:val="24"/>
          <w:szCs w:val="24"/>
          <w:highlight w:val="none"/>
        </w:rPr>
        <w:t xml:space="preserve">无效。</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7、若事</w:t>
      </w:r>
      <w:r>
        <w:rPr>
          <w:rFonts w:hint="eastAsia" w:ascii="宋体" w:hAnsi="宋体" w:cs="宋体"/>
          <w:color w:val="auto"/>
          <w:sz w:val="24"/>
          <w:szCs w:val="24"/>
          <w:highlight w:val="none"/>
        </w:rPr>
        <w:t xml:space="preserve">项较多，供应商可根据实际情况另纸说明。</w:t>
      </w:r>
      <w:r>
        <w:rPr>
          <w:color w:val="auto"/>
          <w:highlight w:val="none"/>
        </w:rPr>
      </w:r>
    </w:p>
    <w:p>
      <w:pPr>
        <w:pStyle w:val="1122"/>
        <w:ind w:firstLine="480"/>
        <w:rPr>
          <w:rFonts w:hAnsi="宋体" w:cs="宋体"/>
          <w:color w:val="auto"/>
          <w:szCs w:val="24"/>
          <w:highlight w:val="none"/>
        </w:rPr>
      </w:pPr>
      <w:r>
        <w:rPr>
          <w:rFonts w:hAnsi="宋体" w:cs="宋体"/>
          <w:color w:val="auto"/>
          <w:szCs w:val="24"/>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rPr>
          <w:color w:val="auto"/>
          <w:highlight w:val="none"/>
        </w:rPr>
        <w:sectPr>
          <w:footerReference w:type="default" r:id="rId19"/>
          <w:footnotePr/>
          <w:endnotePr/>
          <w:type w:val="nextPage"/>
          <w:pgSz w:w="11906" w:h="16838" w:orient="portrait"/>
          <w:pgMar w:top="1361" w:right="1247" w:bottom="1361" w:left="1247" w:header="1134" w:footer="1134" w:gutter="0"/>
          <w:pgNumType w:start="1"/>
          <w:cols w:num="1" w:sep="0" w:space="720" w:equalWidth="1"/>
          <w:docGrid w:linePitch="360"/>
        </w:sectPr>
      </w:pPr>
      <w:r>
        <w:rPr>
          <w:color w:val="auto"/>
          <w:highlight w:val="none"/>
        </w:rPr>
      </w:r>
      <w:r>
        <w:rPr>
          <w:color w:val="auto"/>
          <w:highlight w:val="none"/>
        </w:rPr>
      </w:r>
    </w:p>
    <w:p>
      <w:pPr>
        <w:ind w:left="0"/>
        <w:jc w:val="left"/>
        <w:spacing w:line="360" w:lineRule="auto"/>
        <w:rPr>
          <w:rFonts w:ascii="宋体" w:hAnsi="宋体" w:cs="宋体"/>
          <w:color w:val="auto"/>
          <w:sz w:val="24"/>
          <w:szCs w:val="24"/>
          <w:highlight w:val="none"/>
        </w:rPr>
        <w:outlineLvl w:val="1"/>
      </w:pPr>
      <w:r>
        <w:rPr>
          <w:rFonts w:hint="eastAsia" w:ascii="宋体" w:hAnsi="宋体" w:cs="宋体"/>
          <w:b/>
          <w:color w:val="auto"/>
          <w:sz w:val="24"/>
          <w:szCs w:val="24"/>
          <w:highlight w:val="none"/>
        </w:rPr>
        <w:t xml:space="preserve">附件4、法定代表人授权委托书</w:t>
      </w:r>
      <w:bookmarkEnd w:id="46"/>
      <w:r>
        <w:rPr>
          <w:color w:val="auto"/>
          <w:highlight w:val="none"/>
        </w:rPr>
      </w:r>
      <w:r>
        <w:rPr>
          <w:color w:val="auto"/>
          <w:highlight w:val="none"/>
        </w:rPr>
      </w:r>
    </w:p>
    <w:p>
      <w:pPr>
        <w:ind w:left="0"/>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ind w:left="0"/>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法定代表人授权委托书</w:t>
      </w:r>
      <w:r>
        <w:rPr>
          <w:color w:val="auto"/>
          <w:highlight w:val="none"/>
        </w:rPr>
      </w:r>
    </w:p>
    <w:p>
      <w:pPr>
        <w:pStyle w:val="1126"/>
        <w:rPr>
          <w:rFonts w:ascii="宋体" w:hAnsi="宋体" w:cs="宋体"/>
          <w:color w:val="auto"/>
          <w:highlight w:val="none"/>
        </w:rPr>
      </w:pPr>
      <w:r>
        <w:rPr>
          <w:rFonts w:ascii="宋体" w:hAnsi="宋体" w:cs="宋体"/>
          <w:color w:val="auto"/>
          <w:highlight w:val="none"/>
        </w:rPr>
      </w:r>
      <w:r>
        <w:rPr>
          <w:color w:val="auto"/>
          <w:highlight w:val="none"/>
        </w:rPr>
      </w:r>
    </w:p>
    <w:p>
      <w:pPr>
        <w:ind w:left="0"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本授权委托书声明：  我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供应商名称）的法定代表人，现授权委托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（姓名）为我公司授权代表（即代理人），以本公司的名义参加</w:t>
      </w:r>
      <w:r>
        <w:rPr>
          <w:rFonts w:hint="eastAsia" w:ascii="宋体" w:hAnsi="宋体" w:cs="宋体"/>
          <w:color w:val="auto"/>
          <w:sz w:val="24"/>
          <w:szCs w:val="24"/>
          <w:highlight w:val="none"/>
          <w:u w:val="single"/>
        </w:rPr>
        <w:t xml:space="preserve">苏州合亿盛工程咨询有限公司</w:t>
      </w:r>
      <w:r>
        <w:rPr>
          <w:rFonts w:hint="eastAsia" w:ascii="宋体" w:hAnsi="宋体" w:cs="宋体"/>
          <w:color w:val="auto"/>
          <w:sz w:val="24"/>
          <w:szCs w:val="24"/>
          <w:highlight w:val="none"/>
        </w:rPr>
        <w:t xml:space="preserve">组织实施的编号为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号（项目编号）的竞争性磋商活动。代理人在磋商活动过程中所签署的一切文件和处理与这有关的一切事务，我均予以承认。</w:t>
      </w:r>
      <w:r>
        <w:rPr>
          <w:color w:val="auto"/>
          <w:highlight w:val="none"/>
        </w:rPr>
      </w:r>
    </w:p>
    <w:p>
      <w:pPr>
        <w:ind w:left="0"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color w:val="auto"/>
          <w:highlight w:val="none"/>
        </w:rPr>
      </w:r>
    </w:p>
    <w:p>
      <w:pPr>
        <w:ind w:left="0" w:firstLine="480"/>
        <w:jc w:val="lef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代理人无转委托权。特此委托。</w:t>
      </w:r>
      <w:r>
        <w:rPr>
          <w:color w:val="auto"/>
          <w:highlight w:val="none"/>
        </w:rPr>
      </w:r>
    </w:p>
    <w:p>
      <w:pPr>
        <w:ind w:left="0"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法定代表人：（签字或盖章）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代理人：（签字或盖章）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ind w:left="0"/>
        <w:jc w:val="left"/>
        <w:rPr>
          <w:rFonts w:ascii="宋体" w:hAnsi="宋体" w:cs="宋体"/>
          <w:color w:val="auto"/>
          <w:sz w:val="24"/>
          <w:szCs w:val="24"/>
          <w:highlight w:val="none"/>
        </w:rPr>
        <w:outlineLvl w:val="1"/>
      </w:pPr>
      <w:r>
        <w:rPr>
          <w:rFonts w:hint="eastAsia" w:ascii="宋体" w:hAnsi="宋体" w:cs="宋体"/>
          <w:b/>
          <w:color w:val="auto"/>
          <w:sz w:val="21"/>
          <w:szCs w:val="21"/>
          <w:highlight w:val="none"/>
        </w:rPr>
        <w:br w:type="page" w:clear="all"/>
      </w:r>
      <w:bookmarkStart w:id="47" w:name="_Toc31308"/>
      <w:r>
        <w:rPr>
          <w:rFonts w:hint="eastAsia" w:ascii="宋体" w:hAnsi="宋体" w:cs="宋体"/>
          <w:b/>
          <w:color w:val="auto"/>
          <w:sz w:val="24"/>
          <w:szCs w:val="24"/>
          <w:highlight w:val="none"/>
        </w:rPr>
        <w:t xml:space="preserve">附件5、关于资格文件的声明函</w:t>
      </w:r>
      <w:bookmarkEnd w:id="47"/>
      <w:r>
        <w:rPr>
          <w:color w:val="auto"/>
          <w:highlight w:val="none"/>
        </w:rPr>
      </w:r>
      <w:r>
        <w:rPr>
          <w:color w:val="auto"/>
          <w:highlight w:val="none"/>
        </w:rPr>
      </w:r>
    </w:p>
    <w:p>
      <w:pPr>
        <w:ind w:left="0" w:firstLine="420"/>
        <w:jc w:val="center"/>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ind w:left="0" w:firstLine="420"/>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关于资格文件的声明函</w:t>
      </w:r>
      <w:r>
        <w:rPr>
          <w:color w:val="auto"/>
          <w:highlight w:val="none"/>
        </w:rPr>
      </w:r>
    </w:p>
    <w:p>
      <w:pPr>
        <w:ind w:left="0" w:firstLine="420"/>
        <w:jc w:val="center"/>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苏州合亿盛工程咨询有限公司</w:t>
      </w:r>
      <w:r>
        <w:rPr>
          <w:rFonts w:hint="eastAsia" w:ascii="宋体" w:hAnsi="宋体" w:cs="宋体"/>
          <w:color w:val="auto"/>
          <w:sz w:val="24"/>
          <w:szCs w:val="24"/>
          <w:highlight w:val="none"/>
        </w:rPr>
        <w:t xml:space="preserve">：</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color w:val="auto"/>
          <w:highlight w:val="none"/>
        </w:rPr>
      </w:r>
    </w:p>
    <w:p>
      <w:pPr>
        <w:ind w:left="0"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ind w:left="0"/>
        <w:jc w:val="left"/>
        <w:spacing w:line="360" w:lineRule="auto"/>
        <w:rPr>
          <w:rFonts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48" w:name="_Toc30056"/>
      <w:r>
        <w:rPr>
          <w:rFonts w:hint="eastAsia" w:ascii="宋体" w:hAnsi="宋体" w:cs="宋体"/>
          <w:b/>
          <w:color w:val="auto"/>
          <w:sz w:val="24"/>
          <w:szCs w:val="24"/>
          <w:highlight w:val="none"/>
        </w:rPr>
        <w:t xml:space="preserve">附件6、磋商响应单位基本情况表</w:t>
      </w:r>
      <w:bookmarkEnd w:id="48"/>
      <w:r>
        <w:rPr>
          <w:color w:val="auto"/>
          <w:highlight w:val="none"/>
        </w:rPr>
      </w:r>
      <w:r>
        <w:rPr>
          <w:color w:val="auto"/>
          <w:highlight w:val="none"/>
        </w:rPr>
      </w:r>
    </w:p>
    <w:p>
      <w:pPr>
        <w:ind w:left="0"/>
        <w:jc w:val="center"/>
        <w:spacing w:line="360" w:lineRule="auto"/>
        <w:rPr>
          <w:rFonts w:ascii="宋体" w:hAnsi="宋体" w:cs="宋体"/>
          <w:color w:val="auto"/>
          <w:sz w:val="21"/>
          <w:szCs w:val="21"/>
          <w:highlight w:val="none"/>
        </w:rPr>
      </w:pPr>
      <w:r>
        <w:rPr>
          <w:rFonts w:hint="eastAsia" w:ascii="宋体" w:hAnsi="宋体" w:cs="宋体"/>
          <w:b/>
          <w:color w:val="auto"/>
          <w:sz w:val="24"/>
          <w:szCs w:val="24"/>
          <w:highlight w:val="none"/>
        </w:rPr>
        <w:t xml:space="preserve">磋商响应单位基本情况表</w:t>
      </w:r>
      <w:r>
        <w:rPr>
          <w:color w:val="auto"/>
          <w:highlight w:val="none"/>
        </w:rPr>
      </w:r>
    </w:p>
    <w:tbl>
      <w:tblPr>
        <w:tblStyle w:val="1121"/>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法定代表人</w:t>
            </w:r>
            <w:r>
              <w:rPr>
                <w:color w:val="auto"/>
                <w:highlight w:val="none"/>
              </w:rPr>
            </w:r>
          </w:p>
        </w:tc>
        <w:tc>
          <w:tcPr>
            <w:tcBorders>
              <w:top w:val="single" w:color="000000" w:sz="6" w:space="0"/>
              <w:left w:val="single" w:color="000000" w:sz="6" w:space="0"/>
              <w:bottom w:val="single" w:color="000000" w:sz="6" w:space="0"/>
              <w:right w:val="single" w:color="000000" w:sz="6" w:space="0"/>
            </w:tcBorders>
            <w:tcW w:w="2005"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成立日期</w:t>
            </w:r>
            <w:r>
              <w:rPr>
                <w:color w:val="auto"/>
                <w:highlight w:val="none"/>
              </w:rP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企业地址</w:t>
            </w:r>
            <w:r>
              <w:rPr>
                <w:color w:val="auto"/>
                <w:highlight w:val="none"/>
              </w:rPr>
            </w:r>
          </w:p>
        </w:tc>
        <w:tc>
          <w:tcPr>
            <w:tcBorders>
              <w:top w:val="single" w:color="000000" w:sz="6" w:space="0"/>
              <w:left w:val="single" w:color="000000" w:sz="6" w:space="0"/>
              <w:bottom w:val="single" w:color="000000" w:sz="6" w:space="0"/>
              <w:right w:val="single" w:color="000000" w:sz="6" w:space="0"/>
            </w:tcBorders>
            <w:tcW w:w="2005"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注册资本</w:t>
            </w:r>
            <w:r>
              <w:rPr>
                <w:color w:val="auto"/>
                <w:highlight w:val="none"/>
              </w:rP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175"/>
              <w:ind w:left="0" w:firstLine="120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万元</w:t>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经营范围</w:t>
            </w:r>
            <w:r>
              <w:rPr>
                <w:color w:val="auto"/>
                <w:highlight w:val="non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职工人数</w:t>
            </w:r>
            <w:r>
              <w:rPr>
                <w:color w:val="auto"/>
                <w:highlight w:val="none"/>
              </w:rPr>
            </w:r>
          </w:p>
        </w:tc>
        <w:tc>
          <w:tcPr>
            <w:tcBorders>
              <w:top w:val="single" w:color="000000" w:sz="6" w:space="0"/>
              <w:left w:val="single" w:color="000000" w:sz="6" w:space="0"/>
              <w:bottom w:val="single" w:color="000000" w:sz="6" w:space="0"/>
              <w:right w:val="single" w:color="000000" w:sz="6" w:space="0"/>
            </w:tcBorders>
            <w:tcW w:w="2005"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c>
          <w:tcPr>
            <w:gridSpan w:val="2"/>
            <w:tcBorders>
              <w:top w:val="single" w:color="000000" w:sz="6" w:space="0"/>
              <w:left w:val="single" w:color="000000" w:sz="6" w:space="0"/>
              <w:bottom w:val="single" w:color="000000" w:sz="6" w:space="0"/>
              <w:right w:val="single" w:color="000000" w:sz="6" w:space="0"/>
            </w:tcBorders>
            <w:tcW w:w="3517"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其中：有中高级以上职称的人数</w:t>
            </w:r>
            <w:r>
              <w:rPr>
                <w:color w:val="auto"/>
                <w:highlight w:val="none"/>
              </w:rPr>
            </w:r>
          </w:p>
        </w:tc>
        <w:tc>
          <w:tcPr>
            <w:tcBorders>
              <w:top w:val="single" w:color="000000" w:sz="6" w:space="0"/>
              <w:left w:val="single" w:color="000000" w:sz="6" w:space="0"/>
              <w:bottom w:val="single" w:color="000000" w:sz="6" w:space="0"/>
              <w:right w:val="single" w:color="000000" w:sz="6" w:space="0"/>
            </w:tcBorders>
            <w:tcW w:w="1236"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pStyle w:val="1175"/>
              <w:ind w:left="0" w:firstLine="0"/>
              <w:jc w:val="both"/>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资产总计</w:t>
            </w:r>
            <w:r>
              <w:rPr>
                <w:color w:val="auto"/>
                <w:highlight w:val="none"/>
              </w:rP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175"/>
              <w:ind w:left="0" w:firstLine="0"/>
              <w:jc w:val="center"/>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         万元</w:t>
            </w:r>
            <w:r>
              <w:rPr>
                <w:color w:val="auto"/>
                <w:highlight w:val="none"/>
              </w:rP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175"/>
              <w:ind w:left="0" w:firstLine="0"/>
              <w:jc w:val="both"/>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净资产</w:t>
            </w:r>
            <w:r>
              <w:rPr>
                <w:color w:val="auto"/>
                <w:highlight w:val="none"/>
              </w:rP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175"/>
              <w:ind w:left="0" w:firstLine="0"/>
              <w:jc w:val="center"/>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                万元</w:t>
            </w:r>
            <w:r>
              <w:rPr>
                <w:color w:val="auto"/>
                <w:highlight w:val="none"/>
              </w:rPr>
            </w:r>
          </w:p>
        </w:tc>
      </w:tr>
      <w:tr>
        <w:trPr>
          <w:cantSplit/>
          <w:trHeight w:val="269"/>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pStyle w:val="1175"/>
              <w:ind w:left="0" w:firstLine="0"/>
              <w:jc w:val="both"/>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股东权益</w:t>
            </w:r>
            <w:r>
              <w:rPr>
                <w:color w:val="auto"/>
                <w:highlight w:val="none"/>
              </w:rP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175"/>
              <w:ind w:left="0" w:firstLine="0"/>
              <w:jc w:val="center"/>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         万元</w:t>
            </w:r>
            <w:r>
              <w:rPr>
                <w:color w:val="auto"/>
                <w:highlight w:val="none"/>
              </w:rP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175"/>
              <w:ind w:left="0" w:firstLine="0"/>
              <w:jc w:val="both"/>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销售收入</w:t>
            </w:r>
            <w:r>
              <w:rPr>
                <w:color w:val="auto"/>
                <w:highlight w:val="none"/>
              </w:rP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175"/>
              <w:ind w:left="0" w:firstLine="0"/>
              <w:jc w:val="center"/>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2025年          万元</w:t>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实现利润</w:t>
            </w:r>
            <w:r>
              <w:rPr>
                <w:color w:val="auto"/>
                <w:highlight w:val="none"/>
              </w:rPr>
            </w:r>
          </w:p>
        </w:tc>
        <w:tc>
          <w:tcPr>
            <w:tcBorders>
              <w:top w:val="single" w:color="000000" w:sz="6" w:space="0"/>
              <w:left w:val="single" w:color="000000" w:sz="6" w:space="0"/>
              <w:bottom w:val="single" w:color="000000" w:sz="6" w:space="0"/>
              <w:right w:val="single" w:color="000000" w:sz="6" w:space="0"/>
            </w:tcBorders>
            <w:tcW w:w="2005"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2025年    万元</w:t>
            </w:r>
            <w:r>
              <w:rPr>
                <w:color w:val="auto"/>
                <w:highlight w:val="none"/>
              </w:rP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营业面积（含厂房面积）</w:t>
            </w:r>
            <w:r>
              <w:rPr>
                <w:color w:val="auto"/>
                <w:highlight w:val="none"/>
              </w:rP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175"/>
              <w:ind w:left="0" w:firstLine="0"/>
              <w:jc w:val="both"/>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        平方米</w:t>
            </w:r>
            <w:r>
              <w:rPr>
                <w:color w:val="auto"/>
                <w:highlight w:val="none"/>
              </w:rPr>
            </w:r>
          </w:p>
        </w:tc>
        <w:tc>
          <w:tcPr>
            <w:tcBorders>
              <w:top w:val="single" w:color="000000" w:sz="6" w:space="0"/>
              <w:left w:val="single" w:color="000000" w:sz="6" w:space="0"/>
              <w:bottom w:val="single" w:color="000000" w:sz="6" w:space="0"/>
              <w:right w:val="single" w:color="000000" w:sz="6" w:space="0"/>
            </w:tcBorders>
            <w:tcW w:w="1461"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其中：</w:t>
            </w:r>
            <w:r>
              <w:rPr>
                <w:color w:val="auto"/>
                <w:highlight w:val="none"/>
              </w:rPr>
            </w:r>
          </w:p>
        </w:tc>
        <w:tc>
          <w:tcPr>
            <w:gridSpan w:val="2"/>
            <w:tcBorders>
              <w:top w:val="single" w:color="000000" w:sz="6" w:space="0"/>
              <w:left w:val="single" w:color="000000" w:sz="6" w:space="0"/>
              <w:bottom w:val="single" w:color="000000" w:sz="6" w:space="0"/>
              <w:right w:val="single" w:color="000000" w:sz="6" w:space="0"/>
            </w:tcBorders>
            <w:tcW w:w="3292"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自有面积         平方米</w:t>
            </w:r>
            <w:r>
              <w:rPr>
                <w:color w:val="auto"/>
                <w:highlight w:val="none"/>
              </w:rPr>
            </w:r>
          </w:p>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承租面积         平方米</w:t>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单位简历及内设机构情况</w:t>
            </w:r>
            <w:r>
              <w:rPr>
                <w:color w:val="auto"/>
                <w:highlight w:val="non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单位优势及特长</w:t>
            </w:r>
            <w:r>
              <w:rPr>
                <w:color w:val="auto"/>
                <w:highlight w:val="non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近三年来完成或正在履行的重大合同情况</w:t>
            </w:r>
            <w:r>
              <w:rPr>
                <w:color w:val="auto"/>
                <w:highlight w:val="non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最近3年内在经营过程中受到何种奖励或处分（包括情况和结果）</w:t>
            </w:r>
            <w:r>
              <w:rPr>
                <w:color w:val="auto"/>
                <w:highlight w:val="non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最近3年内有无因售假、售劣或是其他原因被消费者投诉或起诉的情况及说明（包括解决方式和结果）</w:t>
            </w:r>
            <w:r>
              <w:rPr>
                <w:color w:val="auto"/>
                <w:highlight w:val="non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最近3年内主要负责人有无因经济犯罪被司法机关追究的情况及说明</w:t>
            </w:r>
            <w:r>
              <w:rPr>
                <w:color w:val="auto"/>
                <w:highlight w:val="non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获得技术认证的工程师及简介</w:t>
            </w:r>
            <w:r>
              <w:rPr>
                <w:color w:val="auto"/>
                <w:highlight w:val="non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r>
        <w:trPr>
          <w:cantSplit/>
          <w:trHeight w:val="560"/>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175"/>
              <w:ind w:left="0" w:firstLine="0"/>
              <w:widowControl w:val="off"/>
              <w:rPr>
                <w:rStyle w:val="1158"/>
                <w:rFonts w:ascii="宋体" w:hAnsi="宋体" w:cs="宋体"/>
                <w:color w:val="auto"/>
                <w:szCs w:val="24"/>
                <w:highlight w:val="none"/>
              </w:rPr>
            </w:pPr>
            <w:r>
              <w:rPr>
                <w:rStyle w:val="1158"/>
                <w:rFonts w:hint="eastAsia" w:ascii="宋体" w:hAnsi="宋体" w:cs="宋体"/>
                <w:color w:val="auto"/>
                <w:szCs w:val="24"/>
                <w:highlight w:val="none"/>
              </w:rPr>
              <w:t xml:space="preserve">其他需要说明的情况</w:t>
            </w:r>
            <w:r>
              <w:rPr>
                <w:color w:val="auto"/>
                <w:highlight w:val="none"/>
              </w:rPr>
            </w:r>
          </w:p>
        </w:tc>
        <w:tc>
          <w:tcPr>
            <w:gridSpan w:val="4"/>
            <w:tcBorders>
              <w:top w:val="single" w:color="000000" w:sz="6" w:space="0"/>
              <w:left w:val="single" w:color="000000" w:sz="6" w:space="0"/>
              <w:bottom w:val="single" w:color="000000" w:sz="6" w:space="0"/>
              <w:right w:val="single" w:color="000000" w:sz="6" w:space="0"/>
            </w:tcBorders>
            <w:tcW w:w="6758" w:type="dxa"/>
            <w:textDirection w:val="lrTb"/>
            <w:noWrap w:val="false"/>
          </w:tcPr>
          <w:p>
            <w:pPr>
              <w:pStyle w:val="1175"/>
              <w:ind w:left="0" w:firstLine="0"/>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tc>
      </w:tr>
    </w:tbl>
    <w:p>
      <w:pPr>
        <w:ind w:left="0" w:firstLine="315"/>
        <w:jc w:val="left"/>
        <w:spacing w:line="360" w:lineRule="auto"/>
        <w:rPr>
          <w:rFonts w:ascii="宋体" w:hAnsi="宋体" w:cs="宋体"/>
          <w:color w:val="auto"/>
          <w:sz w:val="21"/>
          <w:szCs w:val="21"/>
          <w:highlight w:val="none"/>
        </w:rPr>
      </w:pPr>
      <w:r>
        <w:rPr>
          <w:rFonts w:ascii="宋体" w:hAnsi="宋体" w:cs="宋体"/>
          <w:color w:val="auto"/>
          <w:sz w:val="21"/>
          <w:szCs w:val="21"/>
          <w:highlight w:val="none"/>
        </w:rPr>
      </w:r>
      <w:r>
        <w:rPr>
          <w:color w:val="auto"/>
          <w:highlight w:val="none"/>
        </w:rPr>
      </w:r>
    </w:p>
    <w:p>
      <w:pPr>
        <w:ind w:left="0" w:right="-200"/>
        <w:jc w:val="left"/>
        <w:spacing w:line="360" w:lineRule="auto"/>
        <w:widowControl w:val="off"/>
        <w:rPr>
          <w:rFonts w:ascii="宋体" w:hAnsi="宋体" w:cs="宋体"/>
          <w:color w:val="auto"/>
          <w:sz w:val="24"/>
          <w:szCs w:val="24"/>
          <w:highlight w:val="none"/>
        </w:rPr>
      </w:pPr>
      <w:r>
        <w:rPr>
          <w:color w:val="auto"/>
          <w:highlight w:val="none"/>
        </w:rPr>
      </w:r>
      <w:bookmarkStart w:id="49" w:name="_Toc241"/>
      <w:r>
        <w:rPr>
          <w:color w:val="auto"/>
          <w:highlight w:val="none"/>
        </w:rPr>
      </w:r>
      <w:bookmarkStart w:id="50" w:name="_Toc7945"/>
      <w:r>
        <w:rPr>
          <w:color w:val="auto"/>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bookmarkEnd w:id="49"/>
      <w:r>
        <w:rPr>
          <w:color w:val="auto"/>
          <w:highlight w:val="none"/>
        </w:rPr>
      </w:r>
      <w:bookmarkEnd w:id="50"/>
      <w:r>
        <w:rPr>
          <w:color w:val="auto"/>
          <w:highlight w:val="none"/>
        </w:rPr>
      </w:r>
      <w:r>
        <w:rPr>
          <w:color w:val="auto"/>
          <w:highlight w:val="none"/>
        </w:rPr>
      </w:r>
    </w:p>
    <w:p>
      <w:pPr>
        <w:pStyle w:val="1175"/>
        <w:ind w:left="0" w:firstLine="0"/>
        <w:jc w:val="both"/>
        <w:widowControl w:val="off"/>
        <w:rPr>
          <w:rStyle w:val="1158"/>
          <w:rFonts w:ascii="宋体" w:hAnsi="宋体" w:cs="宋体"/>
          <w:b/>
          <w:color w:val="auto"/>
          <w:szCs w:val="24"/>
          <w:highlight w:val="none"/>
        </w:rPr>
        <w:outlineLvl w:val="1"/>
      </w:pPr>
      <w:r>
        <w:rPr>
          <w:color w:val="auto"/>
          <w:highlight w:val="none"/>
        </w:rPr>
      </w:r>
      <w:bookmarkStart w:id="51" w:name="_Toc19621"/>
      <w:r>
        <w:rPr>
          <w:color w:val="auto"/>
          <w:highlight w:val="none"/>
        </w:rPr>
      </w:r>
      <w:bookmarkStart w:id="52" w:name="_Toc21574"/>
      <w:r>
        <w:rPr>
          <w:rFonts w:hint="eastAsia" w:ascii="宋体" w:hAnsi="宋体" w:cs="宋体"/>
          <w:b/>
          <w:color w:val="auto"/>
          <w:sz w:val="21"/>
          <w:szCs w:val="21"/>
          <w:highlight w:val="none"/>
        </w:rPr>
        <w:br w:type="page" w:clear="all"/>
      </w:r>
      <w:r>
        <w:rPr>
          <w:rStyle w:val="1158"/>
          <w:rFonts w:hint="eastAsia" w:ascii="宋体" w:hAnsi="宋体" w:cs="宋体"/>
          <w:b/>
          <w:color w:val="auto"/>
          <w:szCs w:val="24"/>
          <w:highlight w:val="none"/>
        </w:rPr>
        <w:t xml:space="preserve">附件7、服务要求偏离表</w:t>
      </w:r>
      <w:r>
        <w:rPr>
          <w:color w:val="auto"/>
          <w:highlight w:val="none"/>
        </w:rPr>
      </w:r>
    </w:p>
    <w:p>
      <w:pPr>
        <w:ind w:left="0"/>
        <w:jc w:val="center"/>
        <w:spacing w:line="360" w:lineRule="auto"/>
        <w:widowControl w:val="off"/>
        <w:rPr>
          <w:rStyle w:val="1158"/>
          <w:rFonts w:ascii="宋体" w:hAnsi="宋体" w:cs="宋体"/>
          <w:b/>
          <w:color w:val="auto"/>
          <w:sz w:val="24"/>
          <w:szCs w:val="24"/>
          <w:highlight w:val="none"/>
        </w:rPr>
      </w:pPr>
      <w:r>
        <w:rPr>
          <w:rStyle w:val="1158"/>
          <w:rFonts w:hint="eastAsia" w:ascii="宋体" w:hAnsi="宋体" w:cs="宋体"/>
          <w:b/>
          <w:color w:val="auto"/>
          <w:sz w:val="24"/>
          <w:szCs w:val="24"/>
          <w:highlight w:val="none"/>
        </w:rPr>
        <w:t xml:space="preserve">服务要求偏离表</w:t>
      </w:r>
      <w:r>
        <w:rPr>
          <w:color w:val="auto"/>
          <w:highlight w:val="none"/>
        </w:rPr>
      </w:r>
    </w:p>
    <w:tbl>
      <w:tblPr>
        <w:tblStyle w:val="112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Borders>
              <w:top w:val="single" w:color="000000" w:sz="12"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序号</w:t>
            </w:r>
            <w:r>
              <w:rPr>
                <w:color w:val="auto"/>
                <w:highlight w:val="none"/>
              </w:rPr>
            </w:r>
          </w:p>
        </w:tc>
        <w:tc>
          <w:tcPr>
            <w:tcBorders>
              <w:top w:val="single" w:color="000000" w:sz="12"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项目名称</w:t>
            </w:r>
            <w:r>
              <w:rPr>
                <w:color w:val="auto"/>
                <w:highlight w:val="none"/>
              </w:rPr>
            </w:r>
          </w:p>
        </w:tc>
        <w:tc>
          <w:tcPr>
            <w:tcBorders>
              <w:top w:val="single" w:color="000000" w:sz="12"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采购要求</w:t>
            </w:r>
            <w:r>
              <w:rPr>
                <w:color w:val="auto"/>
                <w:highlight w:val="none"/>
              </w:rPr>
            </w:r>
          </w:p>
        </w:tc>
        <w:tc>
          <w:tcPr>
            <w:tcBorders>
              <w:top w:val="single" w:color="000000" w:sz="12"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响应要求</w:t>
            </w:r>
            <w:r>
              <w:rPr>
                <w:color w:val="auto"/>
                <w:highlight w:val="none"/>
              </w:rPr>
            </w:r>
          </w:p>
        </w:tc>
        <w:tc>
          <w:tcPr>
            <w:tcBorders>
              <w:top w:val="single" w:color="000000" w:sz="12"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偏离/响应</w:t>
            </w:r>
            <w:r>
              <w:rPr>
                <w:color w:val="auto"/>
                <w:highlight w:val="none"/>
              </w:rPr>
            </w:r>
          </w:p>
        </w:tc>
        <w:tc>
          <w:tcPr>
            <w:tcBorders>
              <w:top w:val="single" w:color="000000" w:sz="12"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说明</w:t>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12" w:space="0"/>
              <w:right w:val="single" w:color="000000" w:sz="4" w:space="0"/>
            </w:tcBorders>
            <w:tcW w:w="82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18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16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144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1699"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12" w:space="0"/>
            </w:tcBorders>
            <w:tcW w:w="175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bl>
    <w:p>
      <w:pPr>
        <w:ind w:left="0" w:firstLine="482"/>
        <w:widowControl w:val="off"/>
        <w:rPr>
          <w:rStyle w:val="1158"/>
          <w:rFonts w:ascii="宋体" w:hAnsi="宋体" w:cs="宋体"/>
          <w:b/>
          <w:color w:val="auto"/>
          <w:sz w:val="24"/>
          <w:szCs w:val="24"/>
          <w:highlight w:val="none"/>
        </w:rPr>
      </w:pPr>
      <w:r>
        <w:rPr>
          <w:rStyle w:val="1158"/>
          <w:rFonts w:hint="eastAsia" w:ascii="宋体" w:hAnsi="宋体" w:cs="宋体"/>
          <w:b/>
          <w:color w:val="auto"/>
          <w:sz w:val="24"/>
          <w:szCs w:val="24"/>
          <w:highlight w:val="none"/>
        </w:rPr>
        <w:t xml:space="preserve">注：1.响应人应对照磋商文件服务要求等要求，所投标的物与磋商文件的规定有偏离的，应在此表中申明与服务要求条文的偏差和例外。</w:t>
      </w:r>
      <w:r>
        <w:rPr>
          <w:color w:val="auto"/>
          <w:highlight w:val="none"/>
        </w:rPr>
      </w:r>
    </w:p>
    <w:p>
      <w:pPr>
        <w:ind w:left="0" w:firstLine="482"/>
        <w:widowControl w:val="off"/>
        <w:rPr>
          <w:rStyle w:val="1158"/>
          <w:rFonts w:ascii="宋体" w:hAnsi="宋体" w:cs="宋体"/>
          <w:color w:val="auto"/>
          <w:sz w:val="24"/>
          <w:szCs w:val="24"/>
          <w:highlight w:val="none"/>
        </w:rPr>
      </w:pPr>
      <w:r>
        <w:rPr>
          <w:rStyle w:val="1158"/>
          <w:rFonts w:hint="eastAsia" w:ascii="宋体" w:hAnsi="宋体" w:cs="宋体"/>
          <w:b/>
          <w:color w:val="auto"/>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color w:val="auto"/>
          <w:highlight w:val="none"/>
        </w:rPr>
      </w:r>
    </w:p>
    <w:p>
      <w:pP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pStyle w:val="1122"/>
        <w:ind w:firstLine="480"/>
        <w:rPr>
          <w:rFonts w:hAnsi="宋体" w:cs="宋体"/>
          <w:color w:val="auto"/>
          <w:highlight w:val="none"/>
        </w:rPr>
      </w:pPr>
      <w:r>
        <w:rPr>
          <w:rFonts w:hAnsi="宋体" w:cs="宋体"/>
          <w:color w:val="auto"/>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pStyle w:val="1175"/>
        <w:ind w:left="0" w:firstLine="0"/>
        <w:widowControl w:val="off"/>
        <w:rPr>
          <w:rStyle w:val="1158"/>
          <w:rFonts w:ascii="宋体" w:hAnsi="宋体" w:cs="宋体"/>
          <w:b/>
          <w:color w:val="auto"/>
          <w:szCs w:val="24"/>
          <w:highlight w:val="none"/>
        </w:rPr>
        <w:outlineLvl w:val="1"/>
      </w:pPr>
      <w:r>
        <w:rPr>
          <w:rStyle w:val="1158"/>
          <w:rFonts w:hint="eastAsia" w:ascii="宋体" w:hAnsi="宋体" w:cs="宋体"/>
          <w:b/>
          <w:color w:val="auto"/>
          <w:szCs w:val="24"/>
          <w:highlight w:val="none"/>
        </w:rPr>
        <w:br w:type="page" w:clear="all"/>
      </w:r>
      <w:bookmarkStart w:id="53" w:name="_Toc6051"/>
      <w:r>
        <w:rPr>
          <w:rStyle w:val="1158"/>
          <w:rFonts w:hint="eastAsia" w:ascii="宋体" w:hAnsi="宋体" w:cs="宋体"/>
          <w:b/>
          <w:color w:val="auto"/>
          <w:szCs w:val="24"/>
          <w:highlight w:val="none"/>
        </w:rPr>
        <w:t xml:space="preserve">附件8、商务条款偏离表</w:t>
      </w:r>
      <w:bookmarkEnd w:id="53"/>
      <w:r>
        <w:rPr>
          <w:color w:val="auto"/>
          <w:highlight w:val="none"/>
        </w:rPr>
      </w:r>
      <w:r>
        <w:rPr>
          <w:color w:val="auto"/>
          <w:highlight w:val="none"/>
        </w:rPr>
      </w:r>
    </w:p>
    <w:p>
      <w:pPr>
        <w:pStyle w:val="1176"/>
        <w:ind w:left="0" w:firstLine="0"/>
        <w:jc w:val="center"/>
        <w:widowControl w:val="off"/>
        <w:rPr>
          <w:rStyle w:val="1158"/>
          <w:rFonts w:ascii="宋体" w:hAnsi="宋体" w:cs="宋体"/>
          <w:b/>
          <w:color w:val="auto"/>
          <w:highlight w:val="none"/>
        </w:rPr>
      </w:pPr>
      <w:r>
        <w:rPr>
          <w:rStyle w:val="1158"/>
          <w:rFonts w:hint="eastAsia" w:ascii="宋体" w:hAnsi="宋体" w:cs="宋体"/>
          <w:b/>
          <w:color w:val="auto"/>
          <w:highlight w:val="none"/>
        </w:rPr>
        <w:t xml:space="preserve">商务条款偏离表</w:t>
      </w:r>
      <w:r>
        <w:rPr>
          <w:color w:val="auto"/>
          <w:highlight w:val="none"/>
        </w:rPr>
      </w:r>
    </w:p>
    <w:tbl>
      <w:tblPr>
        <w:tblStyle w:val="112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24"/>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序号</w:t>
            </w:r>
            <w:r>
              <w:rPr>
                <w:color w:val="auto"/>
                <w:highlight w:val="none"/>
              </w:rP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磋商文件条目号</w:t>
            </w:r>
            <w:r>
              <w:rPr>
                <w:color w:val="auto"/>
                <w:highlight w:val="none"/>
              </w:rP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磋商文件的商务条款</w:t>
            </w:r>
            <w:r>
              <w:rPr>
                <w:color w:val="auto"/>
                <w:highlight w:val="none"/>
              </w:rP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响应文件的商务条款</w:t>
            </w:r>
            <w:r>
              <w:rPr>
                <w:color w:val="auto"/>
                <w:highlight w:val="none"/>
              </w:rP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说明</w:t>
            </w:r>
            <w:r>
              <w:rPr>
                <w:color w:val="auto"/>
                <w:highlight w:val="non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624"/>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ind w:left="0"/>
              <w:jc w:val="center"/>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bl>
    <w:p>
      <w:pPr>
        <w:pStyle w:val="1176"/>
        <w:ind w:left="0" w:firstLine="482"/>
        <w:spacing w:line="240" w:lineRule="auto"/>
        <w:widowControl w:val="off"/>
        <w:rPr>
          <w:rStyle w:val="1158"/>
          <w:rFonts w:ascii="宋体" w:hAnsi="宋体" w:cs="宋体"/>
          <w:b/>
          <w:color w:val="auto"/>
          <w:highlight w:val="none"/>
        </w:rPr>
      </w:pPr>
      <w:r>
        <w:rPr>
          <w:rStyle w:val="1158"/>
          <w:rFonts w:hint="eastAsia" w:ascii="宋体" w:hAnsi="宋体" w:cs="宋体"/>
          <w:b/>
          <w:color w:val="auto"/>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color w:val="auto"/>
          <w:highlight w:val="none"/>
        </w:rPr>
      </w:r>
    </w:p>
    <w:p>
      <w:pPr>
        <w:ind w:left="0" w:firstLine="480"/>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firstLine="480"/>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pStyle w:val="1175"/>
        <w:ind w:left="0" w:firstLine="0"/>
        <w:jc w:val="both"/>
        <w:spacing w:line="360" w:lineRule="auto"/>
        <w:widowControl w:val="off"/>
        <w:rPr>
          <w:rStyle w:val="1158"/>
          <w:rFonts w:ascii="宋体" w:hAnsi="宋体" w:cs="宋体"/>
          <w:b/>
          <w:color w:val="auto"/>
          <w:szCs w:val="24"/>
          <w:highlight w:val="none"/>
        </w:rPr>
        <w:outlineLvl w:val="1"/>
      </w:pPr>
      <w:r>
        <w:rPr>
          <w:rStyle w:val="1158"/>
          <w:rFonts w:hint="eastAsia" w:ascii="宋体" w:hAnsi="宋体" w:cs="宋体"/>
          <w:b/>
          <w:color w:val="auto"/>
          <w:sz w:val="21"/>
          <w:szCs w:val="21"/>
          <w:highlight w:val="none"/>
        </w:rPr>
        <w:br w:type="page" w:clear="all"/>
      </w:r>
      <w:bookmarkStart w:id="54" w:name="_Toc23227"/>
      <w:r>
        <w:rPr>
          <w:color w:val="auto"/>
          <w:highlight w:val="none"/>
        </w:rPr>
      </w:r>
      <w:bookmarkStart w:id="55" w:name="_Toc5258"/>
      <w:r>
        <w:rPr>
          <w:rStyle w:val="1158"/>
          <w:rFonts w:hint="eastAsia" w:ascii="宋体" w:hAnsi="宋体" w:cs="宋体"/>
          <w:b/>
          <w:color w:val="auto"/>
          <w:szCs w:val="24"/>
          <w:highlight w:val="none"/>
        </w:rPr>
        <w:t xml:space="preserve">附件9</w:t>
      </w:r>
      <w:r>
        <w:rPr>
          <w:rStyle w:val="1158"/>
          <w:rFonts w:hint="eastAsia" w:ascii="宋体" w:hAnsi="宋体" w:cs="宋体"/>
          <w:b/>
          <w:bCs/>
          <w:color w:val="auto"/>
          <w:szCs w:val="24"/>
          <w:highlight w:val="none"/>
        </w:rPr>
        <w:t xml:space="preserve">、</w:t>
      </w:r>
      <w:r>
        <w:rPr>
          <w:rStyle w:val="1158"/>
          <w:rFonts w:hint="eastAsia" w:ascii="宋体" w:hAnsi="宋体" w:cs="宋体"/>
          <w:b/>
          <w:color w:val="auto"/>
          <w:szCs w:val="24"/>
          <w:highlight w:val="none"/>
        </w:rPr>
        <w:t xml:space="preserve">实施方案</w:t>
      </w:r>
      <w:r>
        <w:rPr>
          <w:color w:val="auto"/>
          <w:highlight w:val="none"/>
        </w:rPr>
      </w:r>
    </w:p>
    <w:p>
      <w:pPr>
        <w:pStyle w:val="1175"/>
        <w:ind w:left="0" w:firstLine="0"/>
        <w:jc w:val="center"/>
        <w:spacing w:line="360" w:lineRule="auto"/>
        <w:widowControl w:val="off"/>
        <w:rPr>
          <w:rStyle w:val="1158"/>
          <w:rFonts w:ascii="宋体" w:hAnsi="宋体" w:cs="宋体"/>
          <w:b/>
          <w:color w:val="auto"/>
          <w:szCs w:val="24"/>
          <w:highlight w:val="none"/>
        </w:rPr>
      </w:pPr>
      <w:r>
        <w:rPr>
          <w:rStyle w:val="1158"/>
          <w:rFonts w:hint="eastAsia" w:ascii="宋体" w:hAnsi="宋体" w:cs="宋体"/>
          <w:b/>
          <w:color w:val="auto"/>
          <w:szCs w:val="24"/>
          <w:highlight w:val="none"/>
        </w:rPr>
        <w:t xml:space="preserve">实施方案</w:t>
      </w:r>
      <w:r>
        <w:rPr>
          <w:color w:val="auto"/>
          <w:highlight w:val="none"/>
        </w:rPr>
      </w:r>
    </w:p>
    <w:tbl>
      <w:tblPr>
        <w:tblStyle w:val="112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076"/>
        </w:trPr>
        <w:tc>
          <w:tcPr>
            <w:tcBorders>
              <w:top w:val="single" w:color="000000" w:sz="12" w:space="0"/>
              <w:left w:val="single" w:color="000000" w:sz="12" w:space="0"/>
              <w:bottom w:val="single" w:color="000000" w:sz="6" w:space="0"/>
              <w:right w:val="single" w:color="000000" w:sz="12" w:space="0"/>
            </w:tcBorders>
            <w:tcW w:w="8482" w:type="dxa"/>
            <w:textDirection w:val="lrTb"/>
            <w:noWrap w:val="false"/>
          </w:tcPr>
          <w:p>
            <w:pPr>
              <w:pStyle w:val="1177"/>
              <w:ind w:left="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提示：</w:t>
            </w:r>
            <w:r>
              <w:rPr>
                <w:color w:val="auto"/>
                <w:highlight w:val="none"/>
              </w:rPr>
            </w:r>
          </w:p>
          <w:p>
            <w:pPr>
              <w:pStyle w:val="1177"/>
              <w:ind w:left="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1.供应商应根据本次采购项目要求，对所投服务进行详细的说明与描述。</w:t>
            </w:r>
            <w:r>
              <w:rPr>
                <w:color w:val="auto"/>
                <w:highlight w:val="none"/>
              </w:rPr>
            </w:r>
          </w:p>
          <w:p>
            <w:pPr>
              <w:pStyle w:val="1177"/>
              <w:ind w:left="0"/>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2.供应商可根据自身情况编写，本页不够可另加页附后。</w:t>
            </w:r>
            <w:r>
              <w:rPr>
                <w:color w:val="auto"/>
                <w:highlight w:val="none"/>
              </w:rPr>
            </w:r>
          </w:p>
        </w:tc>
      </w:tr>
      <w:tr>
        <w:trPr>
          <w:jc w:val="center"/>
          <w:trHeight w:val="8279"/>
        </w:trPr>
        <w:tc>
          <w:tcPr>
            <w:tcBorders>
              <w:top w:val="single" w:color="000000" w:sz="6" w:space="0"/>
              <w:left w:val="single" w:color="000000" w:sz="12" w:space="0"/>
              <w:bottom w:val="single" w:color="000000" w:sz="12" w:space="0"/>
              <w:right w:val="single" w:color="000000" w:sz="12" w:space="0"/>
            </w:tcBorders>
            <w:tcW w:w="8482" w:type="dxa"/>
            <w:vAlign w:val="bottom"/>
            <w:textDirection w:val="lrTb"/>
            <w:noWrap w:val="false"/>
          </w:tcPr>
          <w:p>
            <w:pPr>
              <w:ind w:left="0" w:firstLine="240"/>
              <w:widowControl w:val="off"/>
              <w:tabs>
                <w:tab w:val="left" w:pos="1320" w:leader="none"/>
              </w:tabs>
              <w:rPr>
                <w:rStyle w:val="1158"/>
                <w:rFonts w:ascii="宋体" w:hAnsi="宋体" w:cs="宋体"/>
                <w:color w:val="auto"/>
                <w:sz w:val="24"/>
                <w:szCs w:val="24"/>
                <w:highlight w:val="none"/>
                <w:u w:val="single"/>
              </w:rPr>
            </w:pPr>
            <w:r>
              <w:rPr>
                <w:rFonts w:ascii="宋体" w:hAnsi="宋体" w:cs="宋体"/>
                <w:color w:val="auto"/>
                <w:sz w:val="24"/>
                <w:szCs w:val="24"/>
                <w:highlight w:val="none"/>
                <w:u w:val="single"/>
              </w:rPr>
            </w:r>
            <w:r>
              <w:rPr>
                <w:color w:val="auto"/>
                <w:highlight w:val="none"/>
              </w:rPr>
            </w:r>
          </w:p>
        </w:tc>
      </w:tr>
    </w:tbl>
    <w:p>
      <w:pPr>
        <w:pStyle w:val="1175"/>
        <w:ind w:firstLine="0"/>
        <w:widowControl w:val="off"/>
        <w:rPr>
          <w:rStyle w:val="1158"/>
          <w:rFonts w:ascii="宋体" w:hAnsi="宋体" w:cs="宋体"/>
          <w:b/>
          <w:color w:val="auto"/>
          <w:szCs w:val="24"/>
          <w:highlight w:val="none"/>
        </w:rPr>
      </w:pPr>
      <w:r>
        <w:rPr>
          <w:rFonts w:ascii="宋体" w:hAnsi="宋体" w:cs="宋体"/>
          <w:b/>
          <w:color w:val="auto"/>
          <w:szCs w:val="24"/>
          <w:highlight w:val="none"/>
        </w:rPr>
      </w:r>
      <w:r>
        <w:rPr>
          <w:color w:val="auto"/>
          <w:highlight w:val="none"/>
        </w:rPr>
      </w:r>
    </w:p>
    <w:p>
      <w:pPr>
        <w:pStyle w:val="1175"/>
        <w:ind w:firstLine="0"/>
        <w:widowControl w:val="off"/>
        <w:rPr>
          <w:rStyle w:val="1158"/>
          <w:rFonts w:ascii="宋体" w:hAnsi="宋体" w:cs="宋体"/>
          <w:b/>
          <w:color w:val="auto"/>
          <w:szCs w:val="24"/>
          <w:highlight w:val="none"/>
        </w:rPr>
      </w:pPr>
      <w:r>
        <w:rPr>
          <w:rFonts w:ascii="宋体" w:hAnsi="宋体" w:cs="宋体"/>
          <w:b/>
          <w:color w:val="auto"/>
          <w:szCs w:val="24"/>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spacing w:line="360" w:lineRule="auto"/>
        <w:widowControl w:val="off"/>
        <w:rPr>
          <w:rStyle w:val="1158"/>
          <w:rFonts w:ascii="宋体" w:hAnsi="宋体" w:cs="宋体"/>
          <w:b/>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pStyle w:val="1176"/>
        <w:ind w:left="0" w:firstLine="0"/>
        <w:widowControl w:val="off"/>
        <w:rPr>
          <w:rStyle w:val="1158"/>
          <w:rFonts w:ascii="宋体" w:hAnsi="宋体" w:cs="宋体"/>
          <w:color w:val="auto"/>
          <w:szCs w:val="24"/>
          <w:highlight w:val="none"/>
        </w:rPr>
        <w:outlineLvl w:val="1"/>
      </w:pPr>
      <w:r>
        <w:rPr>
          <w:rStyle w:val="1158"/>
          <w:rFonts w:hint="eastAsia" w:ascii="宋体" w:hAnsi="宋体" w:cs="宋体"/>
          <w:b/>
          <w:color w:val="auto"/>
          <w:szCs w:val="24"/>
          <w:highlight w:val="none"/>
        </w:rPr>
        <w:br w:type="page" w:clear="all"/>
      </w:r>
      <w:r>
        <w:rPr>
          <w:rStyle w:val="1158"/>
          <w:rFonts w:hint="eastAsia" w:ascii="宋体" w:hAnsi="宋体" w:cs="宋体"/>
          <w:b/>
          <w:color w:val="auto"/>
          <w:szCs w:val="24"/>
          <w:highlight w:val="none"/>
        </w:rPr>
        <w:t xml:space="preserve">附件10、拟投入本项目人员配备一览表</w:t>
      </w:r>
      <w:bookmarkEnd w:id="54"/>
      <w:r>
        <w:rPr>
          <w:color w:val="auto"/>
          <w:highlight w:val="none"/>
        </w:rPr>
      </w:r>
      <w:bookmarkEnd w:id="55"/>
      <w:r>
        <w:rPr>
          <w:color w:val="auto"/>
          <w:highlight w:val="none"/>
        </w:rPr>
      </w:r>
      <w:r>
        <w:rPr>
          <w:color w:val="auto"/>
          <w:highlight w:val="none"/>
        </w:rPr>
      </w:r>
    </w:p>
    <w:p>
      <w:pPr>
        <w:widowControl w:val="off"/>
        <w:rPr>
          <w:rStyle w:val="1158"/>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pStyle w:val="1176"/>
        <w:ind w:left="0" w:firstLine="0"/>
        <w:jc w:val="center"/>
        <w:widowControl w:val="off"/>
        <w:rPr>
          <w:rStyle w:val="1158"/>
          <w:rFonts w:ascii="宋体" w:hAnsi="宋体" w:cs="宋体"/>
          <w:b/>
          <w:color w:val="auto"/>
          <w:szCs w:val="24"/>
          <w:highlight w:val="none"/>
        </w:rPr>
      </w:pPr>
      <w:r>
        <w:rPr>
          <w:rStyle w:val="1158"/>
          <w:rFonts w:hint="eastAsia" w:ascii="宋体" w:hAnsi="宋体" w:cs="宋体"/>
          <w:b/>
          <w:color w:val="auto"/>
          <w:szCs w:val="24"/>
          <w:highlight w:val="none"/>
        </w:rPr>
        <w:t xml:space="preserve">拟投入本项目人员配备一览表</w:t>
      </w:r>
      <w:r>
        <w:rPr>
          <w:color w:val="auto"/>
          <w:highlight w:val="none"/>
        </w:rPr>
      </w:r>
    </w:p>
    <w:tbl>
      <w:tblPr>
        <w:tblStyle w:val="1121"/>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3"/>
        <w:gridCol w:w="1211"/>
        <w:gridCol w:w="991"/>
        <w:gridCol w:w="566"/>
        <w:gridCol w:w="567"/>
        <w:gridCol w:w="931"/>
        <w:gridCol w:w="1337"/>
        <w:gridCol w:w="1288"/>
        <w:gridCol w:w="1547"/>
      </w:tblGrid>
      <w:tr>
        <w:trPr>
          <w:jc w:val="center"/>
        </w:trPr>
        <w:tc>
          <w:tcPr>
            <w:tcBorders>
              <w:top w:val="single" w:color="000000" w:sz="8"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序号</w:t>
            </w:r>
            <w:r>
              <w:rPr>
                <w:color w:val="auto"/>
                <w:highlight w:val="none"/>
              </w:rPr>
            </w:r>
          </w:p>
        </w:tc>
        <w:tc>
          <w:tcPr>
            <w:tcBorders>
              <w:top w:val="single" w:color="000000" w:sz="8"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项目组所任职务</w:t>
            </w:r>
            <w:r>
              <w:rPr>
                <w:color w:val="auto"/>
                <w:highlight w:val="none"/>
              </w:rPr>
            </w:r>
          </w:p>
        </w:tc>
        <w:tc>
          <w:tcPr>
            <w:tcBorders>
              <w:top w:val="single" w:color="000000" w:sz="8"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姓名</w:t>
            </w:r>
            <w:r>
              <w:rPr>
                <w:color w:val="auto"/>
                <w:highlight w:val="none"/>
              </w:rPr>
            </w:r>
          </w:p>
        </w:tc>
        <w:tc>
          <w:tcPr>
            <w:tcBorders>
              <w:top w:val="single" w:color="000000" w:sz="8"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性别</w:t>
            </w:r>
            <w:r>
              <w:rPr>
                <w:color w:val="auto"/>
                <w:highlight w:val="none"/>
              </w:rPr>
            </w:r>
          </w:p>
        </w:tc>
        <w:tc>
          <w:tcPr>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年龄</w:t>
            </w:r>
            <w:r>
              <w:rPr>
                <w:color w:val="auto"/>
                <w:highlight w:val="none"/>
              </w:rPr>
            </w:r>
          </w:p>
        </w:tc>
        <w:tc>
          <w:tcPr>
            <w:tcBorders>
              <w:top w:val="single" w:color="000000" w:sz="8"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职称</w:t>
            </w:r>
            <w:r>
              <w:rPr>
                <w:color w:val="auto"/>
                <w:highlight w:val="none"/>
              </w:rPr>
            </w:r>
          </w:p>
        </w:tc>
        <w:tc>
          <w:tcPr>
            <w:tcBorders>
              <w:top w:val="single" w:color="000000" w:sz="8"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专业/资格</w:t>
            </w:r>
            <w:r>
              <w:rPr>
                <w:color w:val="auto"/>
                <w:highlight w:val="none"/>
              </w:rPr>
            </w:r>
          </w:p>
        </w:tc>
        <w:tc>
          <w:tcPr>
            <w:tcBorders>
              <w:top w:val="single" w:color="000000" w:sz="8"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从事本工作时间</w:t>
            </w:r>
            <w:r>
              <w:rPr>
                <w:color w:val="auto"/>
                <w:highlight w:val="none"/>
              </w:rPr>
            </w:r>
          </w:p>
        </w:tc>
        <w:tc>
          <w:tcPr>
            <w:tcBorders>
              <w:top w:val="single" w:color="000000" w:sz="8"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典型业务与技术专长</w:t>
            </w:r>
            <w:r>
              <w:rPr>
                <w:color w:val="auto"/>
                <w:highlight w:val="none"/>
              </w:rP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1</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2</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3</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4</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5</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6</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7</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8</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9</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170"/>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Pr>
        <w:tc>
          <w:tcPr>
            <w:tcBorders>
              <w:top w:val="single" w:color="000000" w:sz="4" w:space="0"/>
              <w:left w:val="single" w:color="000000" w:sz="8" w:space="0"/>
              <w:bottom w:val="single" w:color="000000" w:sz="8" w:space="0"/>
              <w:right w:val="single" w:color="000000" w:sz="4" w:space="0"/>
            </w:tcBorders>
            <w:tcW w:w="743" w:type="dxa"/>
            <w:vAlign w:val="center"/>
            <w:textDirection w:val="lrTb"/>
            <w:noWrap w:val="false"/>
          </w:tcPr>
          <w:p>
            <w:pPr>
              <w:ind w:left="0"/>
              <w:jc w:val="center"/>
              <w:spacing w:line="360" w:lineRule="auto"/>
              <w:widowControl w:val="off"/>
              <w:rPr>
                <w:rStyle w:val="1158"/>
                <w:rFonts w:ascii="宋体" w:hAnsi="宋体" w:cs="宋体"/>
                <w:color w:val="auto"/>
                <w:sz w:val="24"/>
                <w:szCs w:val="24"/>
                <w:highlight w:val="none"/>
              </w:rPr>
            </w:pPr>
            <w:r>
              <w:rPr>
                <w:rStyle w:val="1158"/>
                <w:rFonts w:hint="eastAsia" w:ascii="宋体" w:hAnsi="宋体" w:cs="宋体"/>
                <w:color w:val="auto"/>
                <w:sz w:val="24"/>
                <w:szCs w:val="24"/>
                <w:highlight w:val="none"/>
              </w:rPr>
              <w:t xml:space="preserve">10</w:t>
            </w:r>
            <w:r>
              <w:rPr>
                <w:color w:val="auto"/>
                <w:highlight w:val="none"/>
              </w:rPr>
            </w:r>
          </w:p>
        </w:tc>
        <w:tc>
          <w:tcPr>
            <w:tcBorders>
              <w:top w:val="single" w:color="000000" w:sz="4" w:space="0"/>
              <w:left w:val="single" w:color="000000" w:sz="4" w:space="0"/>
              <w:bottom w:val="single" w:color="000000" w:sz="8" w:space="0"/>
              <w:right w:val="single" w:color="000000" w:sz="4" w:space="0"/>
            </w:tcBorders>
            <w:tcW w:w="1211" w:type="dxa"/>
            <w:vAlign w:val="center"/>
            <w:textDirection w:val="lrTb"/>
            <w:noWrap w:val="false"/>
          </w:tcPr>
          <w:p>
            <w:pPr>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8" w:space="0"/>
              <w:right w:val="single" w:color="000000" w:sz="4" w:space="0"/>
            </w:tcBorders>
            <w:tcW w:w="991" w:type="dxa"/>
            <w:vAlign w:val="center"/>
            <w:textDirection w:val="lrTb"/>
            <w:noWrap w:val="false"/>
          </w:tcPr>
          <w:p>
            <w:pPr>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8" w:space="0"/>
              <w:right w:val="single" w:color="000000" w:sz="4" w:space="0"/>
            </w:tcBorders>
            <w:tcW w:w="566" w:type="dxa"/>
            <w:vAlign w:val="center"/>
            <w:textDirection w:val="lrTb"/>
            <w:noWrap w:val="false"/>
          </w:tcPr>
          <w:p>
            <w:pPr>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8" w:space="0"/>
              <w:right w:val="single" w:color="000000" w:sz="4" w:space="0"/>
            </w:tcBorders>
            <w:tcW w:w="931" w:type="dxa"/>
            <w:vAlign w:val="center"/>
            <w:textDirection w:val="lrTb"/>
            <w:noWrap w:val="false"/>
          </w:tcPr>
          <w:p>
            <w:pPr>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8" w:space="0"/>
              <w:right w:val="single" w:color="000000" w:sz="4" w:space="0"/>
            </w:tcBorders>
            <w:tcW w:w="1337" w:type="dxa"/>
            <w:vAlign w:val="center"/>
            <w:textDirection w:val="lrTb"/>
            <w:noWrap w:val="false"/>
          </w:tcPr>
          <w:p>
            <w:pPr>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8" w:space="0"/>
              <w:right w:val="single" w:color="000000" w:sz="4" w:space="0"/>
            </w:tcBorders>
            <w:tcW w:w="1288" w:type="dxa"/>
            <w:vAlign w:val="center"/>
            <w:textDirection w:val="lrTb"/>
            <w:noWrap w:val="false"/>
          </w:tcPr>
          <w:p>
            <w:pPr>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8" w:space="0"/>
              <w:right w:val="single" w:color="000000" w:sz="8" w:space="0"/>
            </w:tcBorders>
            <w:tcW w:w="1547" w:type="dxa"/>
            <w:vAlign w:val="center"/>
            <w:textDirection w:val="lrTb"/>
            <w:noWrap w:val="false"/>
          </w:tcPr>
          <w:p>
            <w:pPr>
              <w:ind w:left="0"/>
              <w:jc w:val="center"/>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bl>
    <w:p>
      <w:pPr>
        <w:pStyle w:val="1176"/>
        <w:widowControl w:val="off"/>
        <w:rPr>
          <w:rStyle w:val="1158"/>
          <w:rFonts w:ascii="宋体" w:hAnsi="宋体" w:cs="宋体"/>
          <w:color w:val="auto"/>
          <w:szCs w:val="24"/>
          <w:highlight w:val="none"/>
        </w:rPr>
      </w:pPr>
      <w:r>
        <w:rPr>
          <w:rFonts w:ascii="宋体" w:hAnsi="宋体" w:cs="宋体"/>
          <w:color w:val="auto"/>
          <w:szCs w:val="24"/>
          <w:highlight w:val="none"/>
        </w:rPr>
      </w:r>
      <w:r>
        <w:rPr>
          <w:color w:val="auto"/>
          <w:highlight w:val="none"/>
        </w:rPr>
      </w:r>
    </w:p>
    <w:p>
      <w:pPr>
        <w:ind w:firstLine="482"/>
        <w:spacing w:line="360" w:lineRule="auto"/>
        <w:widowControl w:val="off"/>
        <w:rPr>
          <w:rStyle w:val="1158"/>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pStyle w:val="1176"/>
        <w:ind w:left="0"/>
        <w:widowControl w:val="off"/>
        <w:rPr>
          <w:rStyle w:val="1158"/>
          <w:rFonts w:ascii="宋体" w:hAnsi="宋体" w:cs="宋体"/>
          <w:color w:val="auto"/>
          <w:szCs w:val="24"/>
          <w:highlight w:val="none"/>
        </w:rPr>
      </w:pPr>
      <w:r>
        <w:rPr>
          <w:rFonts w:hint="eastAsia" w:ascii="宋体" w:hAnsi="宋体" w:cs="宋体"/>
          <w:color w:val="auto"/>
          <w:szCs w:val="24"/>
          <w:highlight w:val="none"/>
          <w:lang w:val="zh-CN"/>
        </w:rPr>
        <w:t xml:space="preserve">日    期：     年</w:t>
      </w:r>
      <w:r>
        <w:rPr>
          <w:rFonts w:hint="eastAsia" w:ascii="宋体" w:hAnsi="宋体" w:cs="宋体"/>
          <w:color w:val="auto"/>
          <w:szCs w:val="24"/>
          <w:highlight w:val="none"/>
        </w:rPr>
        <w:t xml:space="preserve">     </w:t>
      </w:r>
      <w:r>
        <w:rPr>
          <w:rFonts w:hint="eastAsia" w:ascii="宋体" w:hAnsi="宋体" w:cs="宋体"/>
          <w:color w:val="auto"/>
          <w:szCs w:val="24"/>
          <w:highlight w:val="none"/>
          <w:lang w:val="zh-CN"/>
        </w:rPr>
        <w:t xml:space="preserve">月   </w:t>
      </w:r>
      <w:r>
        <w:rPr>
          <w:rFonts w:hint="eastAsia" w:ascii="宋体" w:hAnsi="宋体" w:cs="宋体"/>
          <w:color w:val="auto"/>
          <w:szCs w:val="24"/>
          <w:highlight w:val="none"/>
        </w:rPr>
        <w:t xml:space="preserve"> </w:t>
      </w:r>
      <w:r>
        <w:rPr>
          <w:rFonts w:hint="eastAsia" w:ascii="宋体" w:hAnsi="宋体" w:cs="宋体"/>
          <w:color w:val="auto"/>
          <w:szCs w:val="24"/>
          <w:highlight w:val="none"/>
          <w:lang w:val="zh-CN"/>
        </w:rPr>
        <w:t xml:space="preserve">日</w:t>
      </w:r>
      <w:r>
        <w:rPr>
          <w:color w:val="auto"/>
          <w:highlight w:val="none"/>
        </w:rPr>
      </w:r>
    </w:p>
    <w:p>
      <w:pPr>
        <w:pStyle w:val="1176"/>
        <w:ind w:left="0" w:firstLine="0"/>
        <w:widowControl w:val="off"/>
        <w:rPr>
          <w:rStyle w:val="1158"/>
          <w:rFonts w:ascii="宋体" w:hAnsi="宋体" w:cs="宋体"/>
          <w:b/>
          <w:color w:val="auto"/>
          <w:highlight w:val="none"/>
        </w:rPr>
        <w:outlineLvl w:val="1"/>
      </w:pPr>
      <w:r>
        <w:rPr>
          <w:rStyle w:val="1158"/>
          <w:rFonts w:hint="eastAsia" w:ascii="宋体" w:hAnsi="宋体" w:cs="宋体"/>
          <w:color w:val="auto"/>
          <w:sz w:val="21"/>
          <w:szCs w:val="21"/>
          <w:highlight w:val="none"/>
        </w:rPr>
        <w:br w:type="page" w:clear="all"/>
      </w:r>
      <w:bookmarkStart w:id="56" w:name="_Toc5921"/>
      <w:r>
        <w:rPr>
          <w:rStyle w:val="1158"/>
          <w:rFonts w:hint="eastAsia" w:ascii="宋体" w:hAnsi="宋体" w:cs="宋体"/>
          <w:b/>
          <w:color w:val="auto"/>
          <w:highlight w:val="none"/>
        </w:rPr>
        <w:t xml:space="preserve">附件11、企业类似项目一览表</w:t>
      </w:r>
      <w:r>
        <w:rPr>
          <w:color w:val="auto"/>
          <w:highlight w:val="none"/>
        </w:rP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jc w:val="center"/>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企业类似项目一览表</w:t>
      </w:r>
      <w:r>
        <w:rPr>
          <w:color w:val="auto"/>
          <w:highlight w:val="none"/>
        </w:rPr>
      </w:r>
    </w:p>
    <w:tbl>
      <w:tblPr>
        <w:tblStyle w:val="11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839"/>
        </w:trPr>
        <w:tc>
          <w:tcPr>
            <w:tcW w:w="861" w:type="dxa"/>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rPr>
                <w:color w:val="auto"/>
                <w:highlight w:val="none"/>
              </w:rPr>
            </w:r>
          </w:p>
        </w:tc>
        <w:tc>
          <w:tcPr>
            <w:tcW w:w="1649" w:type="dxa"/>
            <w:vAlign w:val="center"/>
            <w:textDirection w:val="lrTb"/>
            <w:noWrap w:val="false"/>
          </w:tcPr>
          <w:p>
            <w:pPr>
              <w:ind w:left="0"/>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合同名称</w:t>
            </w:r>
            <w:r>
              <w:rPr>
                <w:color w:val="auto"/>
                <w:highlight w:val="none"/>
              </w:rPr>
            </w:r>
          </w:p>
        </w:tc>
        <w:tc>
          <w:tcPr>
            <w:tcW w:w="1506" w:type="dxa"/>
            <w:vAlign w:val="center"/>
            <w:textDirection w:val="lrTb"/>
            <w:noWrap w:val="false"/>
          </w:tcPr>
          <w:p>
            <w:pPr>
              <w:ind w:left="0"/>
              <w:jc w:val="center"/>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rPr>
                <w:color w:val="auto"/>
                <w:highlight w:val="none"/>
              </w:rPr>
            </w:r>
          </w:p>
        </w:tc>
        <w:tc>
          <w:tcPr>
            <w:tcW w:w="1506" w:type="dxa"/>
            <w:vAlign w:val="center"/>
            <w:textDirection w:val="lrTb"/>
            <w:noWrap w:val="false"/>
          </w:tcPr>
          <w:p>
            <w:pPr>
              <w:ind w:left="0"/>
              <w:jc w:val="center"/>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rPr>
                <w:color w:val="auto"/>
                <w:highlight w:val="none"/>
              </w:rPr>
            </w:r>
          </w:p>
        </w:tc>
        <w:tc>
          <w:tcPr>
            <w:tcW w:w="1757" w:type="dxa"/>
            <w:vAlign w:val="center"/>
            <w:textDirection w:val="lrTb"/>
            <w:noWrap w:val="false"/>
          </w:tcPr>
          <w:p>
            <w:pPr>
              <w:ind w:left="0"/>
              <w:jc w:val="center"/>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rPr>
                <w:color w:val="auto"/>
                <w:highlight w:val="none"/>
              </w:rPr>
            </w:r>
          </w:p>
        </w:tc>
        <w:tc>
          <w:tcPr>
            <w:tcW w:w="1201" w:type="dxa"/>
            <w:vAlign w:val="center"/>
            <w:textDirection w:val="lrTb"/>
            <w:noWrap w:val="false"/>
          </w:tcPr>
          <w:p>
            <w:pPr>
              <w:ind w:left="0"/>
              <w:jc w:val="center"/>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rPr>
                <w:color w:val="auto"/>
                <w:highlight w:val="non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highlight w:val="none"/>
              </w:rP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color w:val="auto"/>
                <w:highlight w:val="none"/>
              </w:rP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color w:val="auto"/>
                <w:highlight w:val="none"/>
              </w:rP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color w:val="auto"/>
                <w:highlight w:val="none"/>
              </w:rP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p>
        </w:tc>
        <w:tc>
          <w:tcPr>
            <w:tcW w:w="1649"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506"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757"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c>
          <w:tcPr>
            <w:tcW w:w="1201" w:type="dxa"/>
            <w:vAlign w:val="center"/>
            <w:textDirection w:val="lrTb"/>
            <w:noWrap w:val="false"/>
          </w:tcPr>
          <w:p>
            <w:pPr>
              <w:ind w:left="0"/>
              <w:jc w:val="center"/>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tc>
      </w:tr>
    </w:tbl>
    <w:p>
      <w:pPr>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pStyle w:val="1175"/>
        <w:ind w:firstLine="0"/>
        <w:jc w:val="both"/>
        <w:spacing w:line="360" w:lineRule="auto"/>
        <w:widowControl w:val="off"/>
        <w:rPr>
          <w:rStyle w:val="1158"/>
          <w:rFonts w:ascii="宋体" w:hAnsi="宋体" w:cs="宋体"/>
          <w:b/>
          <w:color w:val="auto"/>
          <w:szCs w:val="24"/>
          <w:highlight w:val="none"/>
        </w:rPr>
      </w:pPr>
      <w:r>
        <w:rPr>
          <w:rFonts w:ascii="宋体" w:hAnsi="宋体" w:cs="宋体"/>
          <w:b/>
          <w:color w:val="auto"/>
          <w:szCs w:val="24"/>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cs="宋体"/>
          <w:color w:val="auto"/>
          <w:sz w:val="24"/>
          <w:szCs w:val="24"/>
          <w:highlight w:val="none"/>
        </w:rPr>
        <w:t xml:space="preserve">：（公章）</w:t>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pStyle w:val="1176"/>
        <w:ind w:left="0"/>
        <w:widowControl w:val="off"/>
        <w:rPr>
          <w:rStyle w:val="1158"/>
          <w:rFonts w:ascii="宋体" w:hAnsi="宋体" w:cs="宋体"/>
          <w:color w:val="auto"/>
          <w:highlight w:val="none"/>
        </w:rPr>
      </w:pPr>
      <w:r>
        <w:rPr>
          <w:rFonts w:hint="eastAsia" w:ascii="宋体" w:hAnsi="宋体" w:cs="宋体"/>
          <w:color w:val="auto"/>
          <w:szCs w:val="24"/>
          <w:highlight w:val="none"/>
          <w:lang w:val="zh-CN"/>
        </w:rPr>
        <w:t xml:space="preserve">日    期：     年</w:t>
      </w:r>
      <w:r>
        <w:rPr>
          <w:rFonts w:hint="eastAsia" w:ascii="宋体" w:hAnsi="宋体" w:cs="宋体"/>
          <w:color w:val="auto"/>
          <w:szCs w:val="24"/>
          <w:highlight w:val="none"/>
        </w:rPr>
        <w:t xml:space="preserve">     </w:t>
      </w:r>
      <w:r>
        <w:rPr>
          <w:rFonts w:hint="eastAsia" w:ascii="宋体" w:hAnsi="宋体" w:cs="宋体"/>
          <w:color w:val="auto"/>
          <w:szCs w:val="24"/>
          <w:highlight w:val="none"/>
          <w:lang w:val="zh-CN"/>
        </w:rPr>
        <w:t xml:space="preserve">月   </w:t>
      </w:r>
      <w:r>
        <w:rPr>
          <w:rFonts w:hint="eastAsia" w:ascii="宋体" w:hAnsi="宋体" w:cs="宋体"/>
          <w:color w:val="auto"/>
          <w:szCs w:val="24"/>
          <w:highlight w:val="none"/>
        </w:rPr>
        <w:t xml:space="preserve"> </w:t>
      </w:r>
      <w:r>
        <w:rPr>
          <w:rFonts w:hint="eastAsia" w:ascii="宋体" w:hAnsi="宋体" w:cs="宋体"/>
          <w:color w:val="auto"/>
          <w:szCs w:val="24"/>
          <w:highlight w:val="none"/>
          <w:lang w:val="zh-CN"/>
        </w:rPr>
        <w:t xml:space="preserve">日</w:t>
      </w:r>
      <w:r>
        <w:rPr>
          <w:color w:val="auto"/>
          <w:highlight w:val="none"/>
        </w:rPr>
      </w:r>
    </w:p>
    <w:p>
      <w:pPr>
        <w:pStyle w:val="1175"/>
        <w:ind w:left="0" w:firstLine="0"/>
        <w:jc w:val="both"/>
        <w:spacing w:line="360" w:lineRule="auto"/>
        <w:widowControl w:val="off"/>
        <w:rPr>
          <w:rFonts w:ascii="宋体" w:hAnsi="宋体" w:cs="宋体"/>
          <w:b/>
          <w:color w:val="auto"/>
          <w:sz w:val="21"/>
          <w:szCs w:val="21"/>
          <w:highlight w:val="none"/>
        </w:rPr>
        <w:outlineLvl w:val="1"/>
      </w:pPr>
      <w:r>
        <w:rPr>
          <w:rFonts w:hint="eastAsia" w:ascii="宋体" w:hAnsi="宋体" w:cs="宋体"/>
          <w:b/>
          <w:color w:val="auto"/>
          <w:sz w:val="21"/>
          <w:szCs w:val="21"/>
          <w:highlight w:val="none"/>
        </w:rPr>
        <w:br w:type="page" w:clear="all"/>
      </w:r>
      <w:r>
        <w:rPr>
          <w:rFonts w:hint="eastAsia" w:ascii="宋体" w:hAnsi="宋体" w:cs="宋体"/>
          <w:b/>
          <w:color w:val="auto"/>
          <w:szCs w:val="24"/>
          <w:highlight w:val="none"/>
        </w:rPr>
        <w:t xml:space="preserve">附件12、中小企业声明函</w:t>
      </w:r>
      <w:bookmarkEnd w:id="51"/>
      <w:r>
        <w:rPr>
          <w:color w:val="auto"/>
          <w:highlight w:val="none"/>
        </w:rPr>
      </w:r>
      <w:bookmarkEnd w:id="52"/>
      <w:r>
        <w:rPr>
          <w:color w:val="auto"/>
          <w:highlight w:val="none"/>
        </w:rPr>
      </w:r>
      <w:bookmarkEnd w:id="56"/>
      <w:r>
        <w:rPr>
          <w:color w:val="auto"/>
          <w:highlight w:val="none"/>
        </w:rPr>
      </w:r>
      <w:r>
        <w:rPr>
          <w:color w:val="auto"/>
          <w:highlight w:val="none"/>
        </w:rPr>
      </w:r>
    </w:p>
    <w:p>
      <w:pPr>
        <w:ind w:left="0"/>
        <w:jc w:val="center"/>
        <w:spacing w:line="400" w:lineRule="exact"/>
        <w:widowControl w:val="off"/>
        <w:rPr>
          <w:rStyle w:val="1158"/>
          <w:rFonts w:ascii="宋体" w:hAnsi="宋体" w:cs="宋体"/>
          <w:b/>
          <w:bCs/>
          <w:color w:val="auto"/>
          <w:sz w:val="24"/>
          <w:szCs w:val="24"/>
          <w:highlight w:val="none"/>
        </w:rPr>
      </w:pPr>
      <w:r>
        <w:rPr>
          <w:rStyle w:val="1158"/>
          <w:rFonts w:hint="eastAsia" w:ascii="宋体" w:hAnsi="宋体" w:cs="宋体"/>
          <w:b/>
          <w:bCs/>
          <w:color w:val="auto"/>
          <w:sz w:val="24"/>
          <w:szCs w:val="24"/>
          <w:highlight w:val="none"/>
          <w:lang w:val="zh-CN"/>
        </w:rPr>
        <w:t xml:space="preserve">中小企业声明函</w:t>
      </w:r>
      <w:r>
        <w:rPr>
          <w:color w:val="auto"/>
          <w:highlight w:val="none"/>
        </w:rPr>
      </w:r>
    </w:p>
    <w:p>
      <w:pPr>
        <w:ind w:left="0" w:firstLine="480"/>
        <w:spacing w:line="360" w:lineRule="auto"/>
        <w:widowControl w:val="off"/>
        <w:rPr>
          <w:rStyle w:val="1158"/>
          <w:rFonts w:ascii="宋体" w:hAnsi="宋体" w:cs="宋体"/>
          <w:color w:val="auto"/>
          <w:sz w:val="24"/>
          <w:szCs w:val="24"/>
          <w:highlight w:val="none"/>
        </w:rPr>
      </w:pPr>
      <w:r>
        <w:rPr>
          <w:rFonts w:ascii="宋体" w:hAnsi="宋体" w:cs="宋体"/>
          <w:color w:val="auto"/>
          <w:sz w:val="24"/>
          <w:szCs w:val="24"/>
          <w:highlight w:val="none"/>
          <w:lang w:val="zh-CN"/>
        </w:rPr>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2"/>
          <w:highlight w:val="none"/>
          <w:u w:val="single"/>
          <w:lang w:val="zh-CN"/>
        </w:rPr>
        <w:t xml:space="preserve">（单位名称）</w:t>
      </w:r>
      <w:r>
        <w:rPr>
          <w:rFonts w:hint="eastAsia" w:ascii="宋体" w:hAnsi="宋体" w:cs="宋体"/>
          <w:color w:val="auto"/>
          <w:sz w:val="24"/>
          <w:szCs w:val="22"/>
          <w:highlight w:val="none"/>
          <w:lang w:val="zh-CN"/>
        </w:rPr>
        <w:t xml:space="preserve">的</w:t>
      </w:r>
      <w:r>
        <w:rPr>
          <w:rFonts w:hint="eastAsia" w:ascii="宋体" w:hAnsi="宋体" w:cs="宋体"/>
          <w:color w:val="auto"/>
          <w:sz w:val="24"/>
          <w:szCs w:val="22"/>
          <w:highlight w:val="none"/>
          <w:u w:val="single"/>
          <w:lang w:val="zh-CN"/>
        </w:rPr>
        <w:t xml:space="preserve">（项目名称）</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2"/>
          <w:highlight w:val="none"/>
          <w:u w:val="single"/>
          <w:lang w:val="zh-CN"/>
        </w:rPr>
        <w:t xml:space="preserve">餐饮业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，从业人员__人，营业收入为__万元，资产总额为__万元，属于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2"/>
          <w:highlight w:val="none"/>
          <w:u w:val="single"/>
          <w:lang w:val="zh-CN"/>
        </w:rPr>
        <w:t xml:space="preserve">餐饮业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人，营业收入为___万元，资产总额为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p>
    <w:p>
      <w:pPr>
        <w:pStyle w:val="1122"/>
        <w:ind w:firstLine="480"/>
        <w:rPr>
          <w:rFonts w:hAnsi="宋体" w:cs="宋体"/>
          <w:color w:val="auto"/>
          <w:sz w:val="21"/>
          <w:szCs w:val="21"/>
          <w:highlight w:val="none"/>
        </w:rPr>
      </w:pPr>
      <w:r>
        <w:rPr>
          <w:rFonts w:hint="eastAsia" w:hAnsi="宋体" w:cs="宋体"/>
          <w:color w:val="auto"/>
          <w:szCs w:val="24"/>
          <w:highlight w:val="none"/>
        </w:rPr>
        <w:t xml:space="preserve">本企业对上述声明内容的真实性负责。如有虚假，将依法承担相应责任。</w:t>
      </w:r>
      <w:r>
        <w:rPr>
          <w:color w:val="auto"/>
          <w:highlight w:val="none"/>
        </w:rPr>
      </w:r>
    </w:p>
    <w:p>
      <w:pPr>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rPr>
          <w:color w:val="auto"/>
          <w:highlight w:val="none"/>
        </w:rPr>
      </w:r>
    </w:p>
    <w:p>
      <w:pPr>
        <w:pStyle w:val="1123"/>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rPr>
          <w:color w:val="auto"/>
          <w:highlight w:val="none"/>
        </w:rPr>
      </w:r>
    </w:p>
    <w:p>
      <w:pPr>
        <w:pStyle w:val="1123"/>
        <w:ind w:left="0"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pStyle w:val="1123"/>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color w:val="auto"/>
          <w:highlight w:val="none"/>
        </w:rPr>
      </w:r>
    </w:p>
    <w:p>
      <w:pPr>
        <w:ind w:left="0" w:firstLine="480"/>
        <w:widowControl w:val="off"/>
        <w:rPr>
          <w:rFonts w:ascii="宋体" w:hAnsi="宋体" w:cs="宋体"/>
          <w:color w:val="auto"/>
          <w:sz w:val="24"/>
          <w:szCs w:val="24"/>
          <w:highlight w:val="none"/>
        </w:rPr>
      </w:pPr>
      <w:r>
        <w:rPr>
          <w:rFonts w:ascii="宋体" w:hAnsi="宋体" w:cs="宋体"/>
          <w:color w:val="auto"/>
          <w:sz w:val="24"/>
          <w:szCs w:val="24"/>
          <w:highlight w:val="none"/>
          <w:lang w:val="zh-CN"/>
        </w:rPr>
      </w:r>
      <w:r>
        <w:rPr>
          <w:color w:val="auto"/>
          <w:highlight w:val="none"/>
        </w:rPr>
      </w:r>
    </w:p>
    <w:p>
      <w:pPr>
        <w:ind w:left="0"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注：1.从业人员、营业收入、资产总额填报上一年度数据，无上一年度数据的新成立企业可不填报。</w:t>
      </w:r>
      <w:r>
        <w:rPr>
          <w:color w:val="auto"/>
          <w:highlight w:val="none"/>
        </w:rPr>
      </w:r>
    </w:p>
    <w:p>
      <w:pPr>
        <w:ind w:left="0" w:firstLine="720"/>
        <w:widowControl w:val="off"/>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color w:val="auto"/>
          <w:sz w:val="24"/>
          <w:szCs w:val="24"/>
          <w:highlight w:val="none"/>
        </w:rPr>
        <w:t xml:space="preserve">服务类项目中供应商若使用退休人员，将不享受相应扶持政策。</w:t>
      </w:r>
      <w:r>
        <w:rPr>
          <w:color w:val="auto"/>
          <w:highlight w:val="none"/>
        </w:rPr>
      </w:r>
    </w:p>
    <w:p>
      <w:pPr>
        <w:ind w:left="0"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.根据“工信部联企业〔2011〕300号通知中的《中小企业划型标准规定》”，本项目所属行业为</w:t>
      </w:r>
      <w:r>
        <w:rPr>
          <w:rFonts w:hint="eastAsia" w:ascii="宋体" w:hAnsi="宋体" w:cs="宋体"/>
          <w:b/>
          <w:bCs/>
          <w:color w:val="auto"/>
          <w:sz w:val="24"/>
          <w:szCs w:val="24"/>
          <w:highlight w:val="none"/>
        </w:rPr>
        <w:t xml:space="preserve">餐饮业</w:t>
      </w:r>
      <w:r>
        <w:rPr>
          <w:rFonts w:hint="eastAsia" w:ascii="宋体" w:hAnsi="宋体" w:cs="宋体"/>
          <w:color w:val="auto"/>
          <w:sz w:val="24"/>
          <w:szCs w:val="24"/>
          <w:highlight w:val="none"/>
          <w:lang w:val="zh-CN"/>
        </w:rPr>
        <w:t xml:space="preserve">。《中小企业声明函》中所填的行业应与本采购标的对应的中小企业划分标准所属行业一致，不一致的不可享受相应政策优惠。</w:t>
      </w:r>
      <w:r>
        <w:rPr>
          <w:color w:val="auto"/>
          <w:highlight w:val="none"/>
        </w:rPr>
      </w:r>
    </w:p>
    <w:p>
      <w:pPr>
        <w:ind w:left="0" w:firstLine="482"/>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lang w:val="zh-CN"/>
        </w:rPr>
        <w:t xml:space="preserve">.如未对（中型企业、小型企业、微型企业）进行勾选，视同非中小微企业，不可享受相应扶持政策。</w:t>
      </w:r>
      <w:r>
        <w:rPr>
          <w:color w:val="auto"/>
          <w:highlight w:val="none"/>
        </w:rPr>
      </w:r>
    </w:p>
    <w:p>
      <w:pPr>
        <w:ind w:left="0"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成交</w:t>
      </w:r>
      <w:r>
        <w:rPr>
          <w:rFonts w:hint="eastAsia" w:ascii="宋体" w:hAnsi="宋体" w:cs="宋体"/>
          <w:color w:val="auto"/>
          <w:sz w:val="24"/>
          <w:szCs w:val="24"/>
          <w:highlight w:val="none"/>
          <w:lang w:val="zh-CN"/>
        </w:rPr>
        <w:t xml:space="preserve">单位为中小企业的，《中小企业声明函》将随中标结果同时公告。</w:t>
      </w:r>
      <w:r>
        <w:rPr>
          <w:color w:val="auto"/>
          <w:highlight w:val="none"/>
        </w:rPr>
      </w:r>
    </w:p>
    <w:p>
      <w:pPr>
        <w:pStyle w:val="1123"/>
        <w:ind w:left="0" w:firstLine="0"/>
        <w:jc w:val="left"/>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br w:type="page" w:clear="all"/>
      </w:r>
      <w:bookmarkStart w:id="57" w:name="_Toc14042"/>
      <w:r>
        <w:rPr>
          <w:rFonts w:hint="eastAsia" w:ascii="宋体" w:hAnsi="宋体" w:cs="宋体"/>
          <w:b/>
          <w:bCs/>
          <w:color w:val="auto"/>
          <w:sz w:val="21"/>
          <w:szCs w:val="21"/>
          <w:highlight w:val="none"/>
        </w:rPr>
        <w:t xml:space="preserve">附：中小企业划型标准规定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auto"/>
          <w:highlight w:val="none"/>
        </w:rPr>
      </w:r>
    </w:p>
    <w:p>
      <w:pPr>
        <w:pStyle w:val="1123"/>
        <w:ind w:left="0" w:firstLine="0"/>
        <w:jc w:val="left"/>
        <w:spacing w:line="360" w:lineRule="auto"/>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none"/>
        </w:rPr>
      </w:r>
    </w:p>
    <w:p>
      <w:pPr>
        <w:pStyle w:val="1123"/>
        <w:ind w:left="0" w:firstLine="0"/>
        <w:jc w:val="left"/>
        <w:spacing w:line="360" w:lineRule="auto"/>
        <w:rPr>
          <w:rFonts w:ascii="宋体" w:hAnsi="宋体" w:cs="宋体"/>
          <w:b/>
          <w:bCs/>
          <w:color w:val="auto"/>
          <w:sz w:val="24"/>
          <w:szCs w:val="24"/>
          <w:highlight w:val="none"/>
        </w:rPr>
        <w:outlineLvl w:val="1"/>
      </w:pPr>
      <w:r>
        <w:rPr>
          <w:rFonts w:hint="eastAsia" w:ascii="宋体" w:hAnsi="宋体" w:cs="宋体"/>
          <w:color w:val="auto"/>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bCs/>
          <w:color w:val="auto"/>
          <w:sz w:val="21"/>
          <w:szCs w:val="21"/>
          <w:highlight w:val="none"/>
        </w:rPr>
        <w:br w:type="page" w:clear="all"/>
      </w:r>
      <w:r>
        <w:rPr>
          <w:rFonts w:hint="eastAsia" w:ascii="宋体" w:hAnsi="宋体" w:cs="宋体"/>
          <w:b/>
          <w:bCs/>
          <w:color w:val="auto"/>
          <w:sz w:val="24"/>
          <w:szCs w:val="24"/>
          <w:highlight w:val="none"/>
        </w:rPr>
        <w:t xml:space="preserve">附件13、</w:t>
      </w:r>
      <w:r>
        <w:rPr>
          <w:rFonts w:hint="eastAsia" w:ascii="宋体" w:hAnsi="宋体" w:cs="宋体"/>
          <w:b/>
          <w:bCs/>
          <w:color w:val="auto"/>
          <w:sz w:val="24"/>
          <w:szCs w:val="24"/>
          <w:highlight w:val="none"/>
          <w:lang w:val="zh-CN"/>
        </w:rPr>
        <w:t xml:space="preserve">残疾人福利性单位声明函</w:t>
      </w:r>
      <w:bookmarkEnd w:id="57"/>
      <w:r>
        <w:rPr>
          <w:color w:val="auto"/>
          <w:highlight w:val="none"/>
        </w:rPr>
      </w:r>
      <w:r>
        <w:rPr>
          <w:color w:val="auto"/>
          <w:highlight w:val="none"/>
        </w:rPr>
      </w:r>
    </w:p>
    <w:p>
      <w:pPr>
        <w:pStyle w:val="1169"/>
        <w:ind w:left="0"/>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firstLine="482"/>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p>
      <w:pPr>
        <w:ind w:left="0"/>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残疾人福利性单位声明函</w:t>
      </w:r>
      <w:r>
        <w:rPr>
          <w:color w:val="auto"/>
          <w:highlight w:val="none"/>
        </w:rPr>
      </w:r>
    </w:p>
    <w:p>
      <w:pPr>
        <w:ind w:left="0" w:firstLine="480"/>
        <w:spacing w:line="360" w:lineRule="auto"/>
        <w:rPr>
          <w:rFonts w:ascii="宋体" w:hAnsi="宋体" w:cs="宋体"/>
          <w:color w:val="auto"/>
          <w:sz w:val="24"/>
          <w:szCs w:val="24"/>
          <w:highlight w:val="none"/>
        </w:rPr>
      </w:pPr>
      <w:r>
        <w:rPr>
          <w:rFonts w:ascii="宋体" w:hAnsi="宋体" w:cs="宋体"/>
          <w:color w:val="auto"/>
          <w:sz w:val="24"/>
          <w:szCs w:val="24"/>
          <w:highlight w:val="none"/>
          <w:lang w:val="zh-CN"/>
        </w:rPr>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lang w:val="zh-CN"/>
        </w:rPr>
        <w:t xml:space="preserve">贵中心组织实施的编号为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号的采购活动</w:t>
      </w:r>
      <w:r>
        <w:rPr>
          <w:rFonts w:hint="eastAsia" w:ascii="宋体" w:hAnsi="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rPr>
          <w:color w:val="auto"/>
          <w:highlight w:val="none"/>
        </w:rPr>
      </w:r>
    </w:p>
    <w:p>
      <w:pPr>
        <w:pStyle w:val="1165"/>
        <w:ind w:left="0" w:firstLine="480"/>
        <w:spacing w:line="360" w:lineRule="auto"/>
        <w:rPr>
          <w:rFonts w:hAnsi="宋体" w:cs="宋体"/>
          <w:color w:val="auto"/>
          <w:sz w:val="24"/>
          <w:szCs w:val="24"/>
          <w:highlight w:val="none"/>
        </w:rPr>
      </w:pPr>
      <w:r>
        <w:rPr>
          <w:rFonts w:hAnsi="宋体" w:cs="宋体"/>
          <w:color w:val="auto"/>
          <w:sz w:val="24"/>
          <w:szCs w:val="24"/>
          <w:highlight w:val="none"/>
        </w:rPr>
      </w:r>
      <w:r>
        <w:rPr>
          <w:color w:val="auto"/>
          <w:highlight w:val="none"/>
        </w:rPr>
      </w:r>
    </w:p>
    <w:p>
      <w:pPr>
        <w:ind w:left="0"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ind w:left="0"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ind w:left="0"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ind w:left="0"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供应商名称：（盖章）</w:t>
      </w:r>
      <w:r>
        <w:rPr>
          <w:color w:val="auto"/>
          <w:highlight w:val="none"/>
        </w:rPr>
      </w:r>
    </w:p>
    <w:p>
      <w:pPr>
        <w:ind w:left="0"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firstLine="480"/>
        <w:jc w:val="left"/>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日期:       年      月     日</w:t>
      </w:r>
      <w:r>
        <w:rPr>
          <w:color w:val="auto"/>
          <w:highlight w:val="none"/>
        </w:rPr>
      </w:r>
    </w:p>
    <w:p>
      <w:pPr>
        <w:ind w:left="0"/>
        <w:spacing w:line="400" w:lineRule="exact"/>
        <w:rPr>
          <w:rFonts w:ascii="宋体" w:hAnsi="宋体" w:cs="宋体"/>
          <w:b/>
          <w:color w:val="auto"/>
          <w:sz w:val="24"/>
          <w:szCs w:val="24"/>
          <w:highlight w:val="none"/>
        </w:rPr>
        <w:outlineLvl w:val="1"/>
      </w:pPr>
      <w:r>
        <w:rPr>
          <w:rFonts w:hint="eastAsia" w:ascii="宋体" w:hAnsi="宋体" w:cs="宋体"/>
          <w:color w:val="auto"/>
          <w:sz w:val="21"/>
          <w:szCs w:val="21"/>
          <w:highlight w:val="none"/>
        </w:rPr>
        <w:br w:type="page" w:clear="all"/>
      </w:r>
      <w:bookmarkStart w:id="58" w:name="_Toc7573"/>
      <w:r>
        <w:rPr>
          <w:rFonts w:hint="eastAsia" w:ascii="宋体" w:hAnsi="宋体" w:cs="宋体"/>
          <w:b/>
          <w:color w:val="auto"/>
          <w:sz w:val="24"/>
          <w:szCs w:val="24"/>
          <w:highlight w:val="none"/>
        </w:rPr>
        <w:t xml:space="preserve">附件14、响应保证承诺书</w:t>
      </w:r>
      <w:bookmarkEnd w:id="58"/>
      <w:r>
        <w:rPr>
          <w:color w:val="auto"/>
          <w:highlight w:val="none"/>
        </w:rPr>
      </w:r>
      <w:r>
        <w:rPr>
          <w:color w:val="auto"/>
          <w:highlight w:val="none"/>
        </w:rPr>
      </w:r>
    </w:p>
    <w:p>
      <w:pPr>
        <w:ind w:left="0"/>
        <w:jc w:val="center"/>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p>
      <w:pPr>
        <w:ind w:left="0"/>
        <w:jc w:val="center"/>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响应保证承诺书</w:t>
      </w:r>
      <w:r>
        <w:rPr>
          <w:color w:val="auto"/>
          <w:highlight w:val="none"/>
        </w:rPr>
      </w:r>
    </w:p>
    <w:p>
      <w:pPr>
        <w:ind w:left="0"/>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：（采购代理机构名称）</w:t>
      </w:r>
      <w:r>
        <w:rPr>
          <w:color w:val="auto"/>
          <w:highlight w:val="none"/>
        </w:rPr>
      </w:r>
    </w:p>
    <w:p>
      <w:pPr>
        <w:ind w:left="0" w:firstLine="48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（项目名称和采购编号）的响应，并做出如下承诺：</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1.自响应截止时间至本项目发布成交公告为止，撤销响应；</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2.成交后不依法与采购人签订合同；</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3.成交后不按本采购文件规定向采购人提交履约保证金；</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4.成交后不按本采购文件规定向贵方缴纳采购代理费。</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二、我单位知晓上述行为的法律后果，承认本承诺书作为贵方（或采购人）要求我单位履行违约赔偿义务的依据作用。</w:t>
      </w:r>
      <w:r>
        <w:rPr>
          <w:color w:val="auto"/>
          <w:highlight w:val="none"/>
        </w:rP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color w:val="auto"/>
          <w:highlight w:val="none"/>
        </w:rP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投标（响应）人：        （盖公章）</w:t>
      </w:r>
      <w:r>
        <w:rPr>
          <w:color w:val="auto"/>
          <w:highlight w:val="none"/>
        </w:rP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rPr>
          <w:color w:val="auto"/>
          <w:highlight w:val="none"/>
        </w:rP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电话：                     传真：                      </w:t>
      </w:r>
      <w:r>
        <w:rPr>
          <w:color w:val="auto"/>
          <w:highlight w:val="none"/>
        </w:rP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电子邮件：                 邮编：                      </w:t>
      </w:r>
      <w:r>
        <w:rPr>
          <w:color w:val="auto"/>
          <w:highlight w:val="none"/>
        </w:rP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                                 </w:t>
      </w:r>
      <w:r>
        <w:rPr>
          <w:color w:val="auto"/>
          <w:highlight w:val="none"/>
        </w:rPr>
      </w:r>
    </w:p>
    <w:p>
      <w:pPr>
        <w:ind w:left="0"/>
        <w:widowControl w:val="off"/>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r>
        <w:rPr>
          <w:color w:val="auto"/>
          <w:highlight w:val="none"/>
        </w:rPr>
      </w:r>
    </w:p>
    <w:p>
      <w:pPr>
        <w:ind w:left="0"/>
        <w:widowControl w:val="off"/>
        <w:rPr>
          <w:rFonts w:ascii="宋体" w:hAnsi="宋体" w:cs="宋体"/>
          <w:b/>
          <w:color w:val="auto"/>
          <w:sz w:val="24"/>
          <w:szCs w:val="24"/>
          <w:highlight w:val="none"/>
        </w:rPr>
        <w:outlineLvl w:val="1"/>
      </w:pPr>
      <w:r>
        <w:rPr>
          <w:rFonts w:hint="eastAsia" w:ascii="宋体" w:hAnsi="宋体" w:cs="宋体"/>
          <w:color w:val="auto"/>
          <w:sz w:val="21"/>
          <w:szCs w:val="21"/>
          <w:highlight w:val="none"/>
        </w:rPr>
        <w:br w:type="page" w:clear="all"/>
      </w:r>
      <w:bookmarkStart w:id="59" w:name="_Toc9516"/>
      <w:r>
        <w:rPr>
          <w:rFonts w:hint="eastAsia" w:ascii="宋体" w:hAnsi="宋体" w:cs="宋体"/>
          <w:b/>
          <w:color w:val="auto"/>
          <w:sz w:val="24"/>
          <w:szCs w:val="24"/>
          <w:highlight w:val="none"/>
        </w:rPr>
        <w:t xml:space="preserve">附件15、响应单位与其他单位存在控股、管理关系情况表</w:t>
      </w:r>
      <w:bookmarkEnd w:id="59"/>
      <w:r>
        <w:rPr>
          <w:color w:val="auto"/>
          <w:highlight w:val="none"/>
        </w:rPr>
      </w:r>
      <w:r>
        <w:rPr>
          <w:color w:val="auto"/>
          <w:highlight w:val="none"/>
        </w:rPr>
      </w:r>
    </w:p>
    <w:p>
      <w:pPr>
        <w:pStyle w:val="1126"/>
        <w:ind w:firstLine="0"/>
        <w:jc w:val="lef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响应单位与其他单位存在控股、管理关系情况表</w:t>
      </w:r>
      <w:r>
        <w:rPr>
          <w:color w:val="auto"/>
          <w:highlight w:val="none"/>
        </w:rPr>
      </w:r>
    </w:p>
    <w:p>
      <w:pPr>
        <w:pStyle w:val="1126"/>
        <w:rPr>
          <w:rFonts w:ascii="宋体" w:hAnsi="宋体" w:cs="宋体"/>
          <w:color w:val="auto"/>
          <w:highlight w:val="none"/>
        </w:rPr>
      </w:pPr>
      <w:r>
        <w:rPr>
          <w:rFonts w:ascii="宋体" w:hAnsi="宋体" w:cs="宋体"/>
          <w:color w:val="auto"/>
          <w:highlight w:val="none"/>
        </w:rPr>
      </w:r>
      <w:r>
        <w:rPr>
          <w:color w:val="auto"/>
          <w:highlight w:val="none"/>
        </w:rPr>
      </w:r>
    </w:p>
    <w:tbl>
      <w:tblPr>
        <w:tblStyle w:val="1121"/>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与响应单位存在控股、管理关系的单位名称</w:t>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控股、管理关系情况说明</w:t>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tc>
      </w:tr>
    </w:tbl>
    <w:p>
      <w:pPr>
        <w:ind w:left="0" w:firstLine="482"/>
        <w:jc w:val="left"/>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rPr>
          <w:color w:val="auto"/>
          <w:highlight w:val="none"/>
        </w:rPr>
      </w:r>
    </w:p>
    <w:p>
      <w:pPr>
        <w:jc w:val="left"/>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p>
      <w:pPr>
        <w:pStyle w:val="1127"/>
        <w:rPr>
          <w:color w:val="auto"/>
          <w:highlight w:val="none"/>
        </w:rPr>
      </w:pPr>
      <w:r>
        <w:rPr>
          <w:color w:val="auto"/>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pStyle w:val="1176"/>
        <w:ind w:left="0" w:firstLine="0"/>
        <w:widowControl w:val="off"/>
        <w:rPr>
          <w:rStyle w:val="1158"/>
          <w:rFonts w:ascii="宋体" w:hAnsi="宋体" w:cs="宋体"/>
          <w:color w:val="auto"/>
          <w:szCs w:val="24"/>
          <w:highlight w:val="none"/>
        </w:rPr>
      </w:pPr>
      <w:r>
        <w:rPr>
          <w:rFonts w:hint="eastAsia" w:ascii="宋体" w:hAnsi="宋体" w:cs="宋体"/>
          <w:color w:val="auto"/>
          <w:szCs w:val="24"/>
          <w:highlight w:val="none"/>
          <w:lang w:val="zh-CN"/>
        </w:rPr>
        <w:br w:type="page" w:clear="all"/>
      </w:r>
      <w:r>
        <w:rPr>
          <w:rFonts w:hint="eastAsia" w:ascii="宋体" w:hAnsi="宋体" w:cs="宋体"/>
          <w:b/>
          <w:color w:val="auto"/>
          <w:szCs w:val="24"/>
          <w:highlight w:val="none"/>
        </w:rPr>
        <w:t xml:space="preserve">附件16、关于响应报价合理性的澄清说明</w:t>
      </w:r>
      <w:r>
        <w:rPr>
          <w:color w:val="auto"/>
          <w:highlight w:val="none"/>
        </w:rPr>
      </w:r>
    </w:p>
    <w:p>
      <w:pPr>
        <w:pStyle w:val="1126"/>
        <w:ind w:firstLine="0"/>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p>
      <w:pPr>
        <w:pStyle w:val="1126"/>
        <w:ind w:firstLine="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关于响应报价合理性的澄清说明</w:t>
      </w:r>
      <w:r>
        <w:rPr>
          <w:color w:val="auto"/>
          <w:highlight w:val="none"/>
        </w:rP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苏州合亿盛工程咨询有限公司</w:t>
      </w:r>
      <w:r>
        <w:rPr>
          <w:rFonts w:ascii="宋体" w:hAnsi="宋体"/>
          <w:color w:val="auto"/>
          <w:sz w:val="24"/>
          <w:szCs w:val="24"/>
          <w:highlight w:val="none"/>
        </w:rPr>
        <w:t xml:space="preserve">：</w:t>
      </w:r>
      <w:r>
        <w:rPr>
          <w:color w:val="auto"/>
          <w:highlight w:val="none"/>
        </w:rPr>
      </w:r>
    </w:p>
    <w:p>
      <w:pPr>
        <w:ind w:left="0" w:firstLine="420"/>
        <w:jc w:val="left"/>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活动进行</w:t>
      </w:r>
      <w:r>
        <w:rPr>
          <w:rFonts w:hint="eastAsia" w:ascii="宋体" w:hAnsi="宋体"/>
          <w:color w:val="auto"/>
          <w:sz w:val="24"/>
          <w:szCs w:val="24"/>
          <w:highlight w:val="none"/>
        </w:rPr>
        <w:t xml:space="preserve">响应，对于本公司的响应报价合理性作出说明如下：</w:t>
      </w:r>
      <w:r>
        <w:rPr>
          <w:color w:val="auto"/>
          <w:highlight w:val="none"/>
        </w:rPr>
      </w:r>
    </w:p>
    <w:tbl>
      <w:tblPr>
        <w:tblStyle w:val="11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center"/>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1"/>
                <w:szCs w:val="21"/>
                <w:highlight w:val="none"/>
              </w:rPr>
              <w:t xml:space="preserve">供应商应当根据实际情况自拟答复并根据磋商小组关于澄清的要求提供相关证明材料作为附件。</w:t>
            </w:r>
            <w:r>
              <w:rPr>
                <w:color w:val="auto"/>
                <w:highlight w:val="none"/>
              </w:rPr>
            </w:r>
          </w:p>
        </w:tc>
      </w:tr>
    </w:tbl>
    <w:p>
      <w:pPr>
        <w:pStyle w:val="1123"/>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根据采购文件第二章“磋商须知”要求，磋商小组认为供应商的报价符合异常低价投标（响应）审查的情形时，磋商小组应当要求相关供应商在评审现场合理的时间内，提供项目具体成本测算等与报价合理性相关的书面说明及相关证明材料，对投标（响应）价格作出解释，由磋商小组依据专业经验对供应商报价合理性进行判断。投标（响应）供应商不提供书面说明、证明材料，或者提供的书面说明、证明材料不能证明其报价合理性的，磋商小组应当将其作为无效投标（响应）处理。</w:t>
      </w:r>
      <w:r>
        <w:rPr>
          <w:color w:val="auto"/>
          <w:highlight w:val="none"/>
        </w:rPr>
      </w:r>
    </w:p>
    <w:p>
      <w:pPr>
        <w:pStyle w:val="1123"/>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rPr>
          <w:color w:val="auto"/>
          <w:highlight w:val="none"/>
        </w:rPr>
      </w:r>
    </w:p>
    <w:p>
      <w:pPr>
        <w:rPr>
          <w:color w:val="auto"/>
          <w:highlight w:val="none"/>
        </w:rPr>
      </w:pPr>
      <w:r>
        <w:rPr>
          <w:color w:val="auto"/>
          <w:highlight w:val="none"/>
        </w:rPr>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rPr>
          <w:color w:val="auto"/>
          <w:highlight w:val="none"/>
        </w:rPr>
      </w:r>
    </w:p>
    <w:p>
      <w:pPr>
        <w:ind w:left="0"/>
        <w:jc w:val="center"/>
        <w:spacing w:line="360" w:lineRule="auto"/>
        <w:rPr>
          <w:rFonts w:ascii="宋体" w:hAnsi="宋体" w:cs="宋体"/>
          <w:b/>
          <w:color w:val="auto"/>
          <w:sz w:val="44"/>
          <w:szCs w:val="44"/>
          <w:highlight w:val="none"/>
        </w:rPr>
      </w:pPr>
      <w:r>
        <w:rPr>
          <w:color w:val="auto"/>
          <w:highlight w:val="none"/>
        </w:rPr>
      </w:r>
      <w:bookmarkStart w:id="60" w:name="_Toc23660"/>
      <w:r>
        <w:rPr>
          <w:color w:val="auto"/>
          <w:highlight w:val="none"/>
        </w:rPr>
      </w:r>
      <w:bookmarkStart w:id="61" w:name="_Toc58248882"/>
      <w:r>
        <w:rPr>
          <w:color w:val="auto"/>
          <w:highlight w:val="none"/>
        </w:rPr>
      </w:r>
      <w:bookmarkStart w:id="62" w:name="_Toc4098"/>
      <w:r>
        <w:rPr>
          <w:color w:val="auto"/>
          <w:highlight w:val="none"/>
        </w:rPr>
      </w:r>
      <w:bookmarkStart w:id="63" w:name="_Toc57376408"/>
      <w:r>
        <w:rPr>
          <w:color w:val="auto"/>
          <w:highlight w:val="none"/>
        </w:rPr>
      </w:r>
      <w:bookmarkStart w:id="64" w:name="_Toc6898"/>
      <w:r>
        <w:rPr>
          <w:rFonts w:hint="eastAsia" w:ascii="宋体" w:hAnsi="宋体" w:cs="宋体"/>
          <w:b/>
          <w:color w:val="auto"/>
          <w:sz w:val="44"/>
          <w:szCs w:val="44"/>
          <w:highlight w:val="none"/>
        </w:rPr>
        <w:br w:type="page" w:clear="all"/>
      </w:r>
      <w:r>
        <w:rPr>
          <w:color w:val="auto"/>
          <w:highlight w:val="none"/>
        </w:rP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ind w:left="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r>
        <w:rPr>
          <w:color w:val="auto"/>
          <w:highlight w:val="none"/>
        </w:rPr>
      </w:r>
    </w:p>
    <w:p>
      <w:pPr>
        <w:numPr>
          <w:ilvl w:val="0"/>
          <w:numId w:val="3"/>
        </w:numPr>
        <w:ind w:left="0"/>
        <w:jc w:val="center"/>
        <w:spacing w:line="360" w:lineRule="auto"/>
        <w:rPr>
          <w:rFonts w:ascii="宋体" w:hAnsi="宋体" w:cs="宋体"/>
          <w:b/>
          <w:color w:val="auto"/>
          <w:sz w:val="44"/>
          <w:szCs w:val="44"/>
          <w:highlight w:val="none"/>
        </w:rPr>
        <w:outlineLvl w:val="0"/>
      </w:pPr>
      <w:r>
        <w:rPr>
          <w:color w:val="auto"/>
          <w:highlight w:val="none"/>
        </w:rPr>
      </w:r>
      <w:bookmarkStart w:id="65" w:name="招标书"/>
      <w:r>
        <w:rPr>
          <w:color w:val="auto"/>
          <w:highlight w:val="none"/>
        </w:rPr>
      </w:r>
      <w:bookmarkEnd w:id="65"/>
      <w:r>
        <w:rPr>
          <w:color w:val="auto"/>
          <w:highlight w:val="none"/>
        </w:rPr>
      </w:r>
      <w:bookmarkStart w:id="66" w:name="_Toc19236"/>
      <w:r>
        <w:rPr>
          <w:rFonts w:hint="eastAsia" w:ascii="宋体" w:hAnsi="宋体" w:cs="宋体"/>
          <w:b/>
          <w:color w:val="auto"/>
          <w:sz w:val="44"/>
          <w:szCs w:val="44"/>
          <w:highlight w:val="none"/>
        </w:rPr>
        <w:t xml:space="preserve"> </w:t>
      </w:r>
      <w:bookmarkStart w:id="67" w:name="_Toc22713"/>
      <w:r>
        <w:rPr>
          <w:rFonts w:hint="eastAsia" w:ascii="宋体" w:hAnsi="宋体" w:cs="宋体"/>
          <w:b/>
          <w:color w:val="auto"/>
          <w:sz w:val="44"/>
          <w:szCs w:val="44"/>
          <w:highlight w:val="none"/>
        </w:rPr>
        <w:t xml:space="preserve">采购内容</w:t>
      </w:r>
      <w:bookmarkEnd w:id="64"/>
      <w:r>
        <w:rPr>
          <w:color w:val="auto"/>
          <w:highlight w:val="none"/>
        </w:rPr>
      </w:r>
      <w:bookmarkEnd w:id="66"/>
      <w:r>
        <w:rPr>
          <w:color w:val="auto"/>
          <w:highlight w:val="none"/>
        </w:rPr>
      </w:r>
      <w:bookmarkEnd w:id="67"/>
      <w:r>
        <w:rPr>
          <w:color w:val="auto"/>
          <w:highlight w:val="none"/>
        </w:rPr>
      </w:r>
      <w:r>
        <w:rPr>
          <w:color w:val="auto"/>
          <w:highlight w:val="none"/>
        </w:rPr>
      </w:r>
    </w:p>
    <w:p>
      <w:pPr>
        <w:pStyle w:val="1126"/>
        <w:ind w:firstLine="400"/>
        <w:rPr>
          <w:rFonts w:ascii="宋体" w:hAnsi="宋体" w:cs="宋体"/>
          <w:color w:val="auto"/>
          <w:highlight w:val="none"/>
        </w:rPr>
      </w:pPr>
      <w:r>
        <w:rPr>
          <w:rFonts w:ascii="宋体" w:hAnsi="宋体" w:cs="宋体"/>
          <w:color w:val="auto"/>
          <w:highlight w:val="none"/>
        </w:rPr>
      </w:r>
      <w:r>
        <w:rPr>
          <w:color w:val="auto"/>
          <w:highlight w:val="none"/>
        </w:rPr>
      </w:r>
    </w:p>
    <w:p>
      <w:pPr>
        <w:ind w:left="0"/>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Style w:val="1158"/>
          <w:rFonts w:hint="eastAsia" w:ascii="宋体" w:hAnsi="宋体" w:cs="宋体"/>
          <w:b/>
          <w:color w:val="auto"/>
          <w:sz w:val="28"/>
          <w:szCs w:val="28"/>
          <w:highlight w:val="none"/>
        </w:rPr>
        <w:t xml:space="preserve">采购内容</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rPr>
        <w:t xml:space="preserve">苏州市相城区中医医院（苏州市相城区望亭镇卫生院）</w:t>
      </w:r>
      <w:r>
        <w:rPr>
          <w:rFonts w:hint="eastAsia" w:ascii="宋体" w:hAnsi="宋体" w:cs="宋体"/>
          <w:color w:val="auto"/>
          <w:sz w:val="24"/>
          <w:szCs w:val="24"/>
          <w:highlight w:val="none"/>
        </w:rPr>
        <w:t xml:space="preserve">的委托，就其拟采购的</w:t>
      </w:r>
      <w:r>
        <w:rPr>
          <w:rFonts w:hint="eastAsia" w:ascii="宋体" w:hAnsi="宋体" w:cs="宋体"/>
          <w:color w:val="auto"/>
          <w:sz w:val="24"/>
          <w:szCs w:val="24"/>
          <w:highlight w:val="none"/>
          <w:u w:val="single"/>
        </w:rPr>
        <w:t xml:space="preserve">苏州市相城区中医医院食堂外包服务项目</w:t>
      </w:r>
      <w:r>
        <w:rPr>
          <w:rFonts w:hint="eastAsia" w:ascii="宋体" w:hAnsi="宋体" w:cs="宋体"/>
          <w:color w:val="auto"/>
          <w:sz w:val="24"/>
          <w:szCs w:val="24"/>
          <w:highlight w:val="none"/>
        </w:rPr>
        <w:t xml:space="preserve">采用竞争性磋商方式进行采购。欢迎符合资格条件的供应商前来报名参加磋商。</w:t>
      </w:r>
      <w:r>
        <w:rPr>
          <w:color w:val="auto"/>
          <w:highlight w:val="none"/>
        </w:rPr>
      </w:r>
    </w:p>
    <w:p>
      <w:pPr>
        <w:ind w:left="0" w:firstLine="482"/>
        <w:spacing w:line="360" w:lineRule="auto"/>
        <w:widowControl w:val="off"/>
        <w:rPr>
          <w:rFonts w:ascii="宋体" w:hAnsi="宋体" w:cs="宋体"/>
          <w:b/>
          <w:bCs/>
          <w:color w:val="auto"/>
          <w:sz w:val="24"/>
          <w:szCs w:val="24"/>
          <w:highlight w:val="none"/>
        </w:rPr>
        <w:outlineLvl w:val="1"/>
      </w:pPr>
      <w:r>
        <w:rPr>
          <w:color w:val="auto"/>
          <w:highlight w:val="none"/>
        </w:rPr>
      </w:r>
      <w:bookmarkStart w:id="68" w:name="_Toc14261"/>
      <w:r>
        <w:rPr>
          <w:color w:val="auto"/>
          <w:highlight w:val="none"/>
        </w:rPr>
      </w:r>
      <w:bookmarkStart w:id="69" w:name="_Toc30080"/>
      <w:r>
        <w:rPr>
          <w:color w:val="auto"/>
          <w:highlight w:val="none"/>
        </w:rPr>
      </w:r>
      <w:bookmarkStart w:id="70" w:name="_Toc63066515"/>
      <w:r>
        <w:rPr>
          <w:color w:val="auto"/>
          <w:highlight w:val="none"/>
        </w:rPr>
      </w:r>
      <w:bookmarkStart w:id="71" w:name="_Toc57376410"/>
      <w:r>
        <w:rPr>
          <w:color w:val="auto"/>
          <w:highlight w:val="none"/>
        </w:rPr>
      </w:r>
      <w:bookmarkStart w:id="72" w:name="_Toc27667"/>
      <w:r>
        <w:rPr>
          <w:color w:val="auto"/>
          <w:highlight w:val="none"/>
        </w:rPr>
      </w:r>
      <w:bookmarkStart w:id="73" w:name="_Toc58248884"/>
      <w:r>
        <w:rPr>
          <w:color w:val="auto"/>
          <w:highlight w:val="none"/>
        </w:rPr>
      </w:r>
      <w:bookmarkStart w:id="74" w:name="_Toc8564"/>
      <w:r>
        <w:rPr>
          <w:rFonts w:hint="eastAsia" w:ascii="宋体" w:hAnsi="宋体" w:cs="宋体"/>
          <w:b/>
          <w:bCs/>
          <w:color w:val="auto"/>
          <w:sz w:val="24"/>
          <w:szCs w:val="24"/>
          <w:highlight w:val="none"/>
        </w:rPr>
        <w:t xml:space="preserve">一、磋商编号：JSZC-320507-SHYS-C2026-0005号</w:t>
      </w:r>
      <w:bookmarkEnd w:id="68"/>
      <w:r>
        <w:rPr>
          <w:color w:val="auto"/>
          <w:highlight w:val="none"/>
        </w:rPr>
      </w:r>
      <w:bookmarkEnd w:id="69"/>
      <w:r>
        <w:rPr>
          <w:color w:val="auto"/>
          <w:highlight w:val="none"/>
        </w:rPr>
      </w:r>
      <w:r>
        <w:rPr>
          <w:color w:val="auto"/>
          <w:highlight w:val="none"/>
        </w:rPr>
      </w:r>
    </w:p>
    <w:p>
      <w:pPr>
        <w:ind w:left="0" w:firstLine="482"/>
        <w:spacing w:line="360" w:lineRule="auto"/>
        <w:widowControl w:val="off"/>
        <w:rPr>
          <w:rFonts w:ascii="宋体" w:hAnsi="宋体" w:cs="宋体"/>
          <w:b/>
          <w:bCs/>
          <w:color w:val="auto"/>
          <w:sz w:val="24"/>
          <w:szCs w:val="24"/>
          <w:highlight w:val="none"/>
        </w:rPr>
        <w:outlineLvl w:val="1"/>
      </w:pPr>
      <w:r>
        <w:rPr>
          <w:color w:val="auto"/>
          <w:highlight w:val="none"/>
        </w:rPr>
      </w:r>
      <w:bookmarkStart w:id="75" w:name="_Toc22665"/>
      <w:r>
        <w:rPr>
          <w:color w:val="auto"/>
          <w:highlight w:val="none"/>
        </w:rPr>
      </w:r>
      <w:bookmarkStart w:id="76" w:name="_Toc8029"/>
      <w:r>
        <w:rPr>
          <w:rFonts w:hint="eastAsia" w:ascii="宋体" w:hAnsi="宋体" w:cs="宋体"/>
          <w:b/>
          <w:bCs/>
          <w:color w:val="auto"/>
          <w:sz w:val="24"/>
          <w:szCs w:val="24"/>
          <w:highlight w:val="none"/>
        </w:rPr>
        <w:t xml:space="preserve">二、项目名称：</w:t>
      </w:r>
      <w:bookmarkEnd w:id="75"/>
      <w:r>
        <w:rPr>
          <w:color w:val="auto"/>
          <w:highlight w:val="none"/>
        </w:rPr>
      </w:r>
      <w:bookmarkEnd w:id="76"/>
      <w:r>
        <w:rPr>
          <w:rFonts w:hint="eastAsia" w:ascii="宋体" w:hAnsi="宋体" w:cs="宋体"/>
          <w:b/>
          <w:bCs/>
          <w:color w:val="auto"/>
          <w:sz w:val="24"/>
          <w:szCs w:val="24"/>
          <w:highlight w:val="none"/>
        </w:rPr>
        <w:t xml:space="preserve">苏州市相城区中医医院食堂外包服务项目</w:t>
      </w:r>
      <w:r>
        <w:rPr>
          <w:color w:val="auto"/>
          <w:highlight w:val="none"/>
        </w:rPr>
      </w:r>
    </w:p>
    <w:p>
      <w:pPr>
        <w:ind w:left="0" w:firstLine="482"/>
        <w:spacing w:line="360" w:lineRule="auto"/>
        <w:widowControl w:val="off"/>
        <w:rPr>
          <w:rFonts w:ascii="宋体" w:hAnsi="宋体" w:cs="宋体"/>
          <w:color w:val="auto"/>
          <w:sz w:val="24"/>
          <w:szCs w:val="24"/>
          <w:highlight w:val="none"/>
        </w:rPr>
      </w:pPr>
      <w:r>
        <w:rPr>
          <w:color w:val="auto"/>
          <w:highlight w:val="none"/>
        </w:rPr>
      </w:r>
      <w:bookmarkStart w:id="77" w:name="_Toc31907"/>
      <w:r>
        <w:rPr>
          <w:rFonts w:hint="eastAsia" w:ascii="宋体" w:hAnsi="宋体" w:cs="宋体"/>
          <w:b/>
          <w:bCs/>
          <w:color w:val="auto"/>
          <w:sz w:val="24"/>
          <w:szCs w:val="24"/>
          <w:highlight w:val="none"/>
        </w:rPr>
        <w:t xml:space="preserve">三、采购需求：</w:t>
      </w:r>
      <w:bookmarkEnd w:id="77"/>
      <w:r>
        <w:rPr>
          <w:color w:val="auto"/>
          <w:highlight w:val="none"/>
        </w:rPr>
      </w:r>
      <w:r>
        <w:rPr>
          <w:color w:val="auto"/>
          <w:highlight w:val="none"/>
        </w:rPr>
      </w:r>
    </w:p>
    <w:p>
      <w:pPr>
        <w:numPr>
          <w:ilvl w:val="0"/>
          <w:numId w:val="4"/>
        </w:numPr>
        <w:ind w:firstLine="482"/>
        <w:jc w:val="left"/>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项目概况：</w:t>
      </w:r>
      <w:r>
        <w:rPr>
          <w:color w:val="auto"/>
          <w:highlight w:val="none"/>
        </w:rPr>
      </w:r>
    </w:p>
    <w:p>
      <w:pPr>
        <w:numPr>
          <w:ilvl w:val="1"/>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本次采购项目为食堂服务外包项目，具体为采购人提供就餐服务以及食堂区域的清洁和管理等。</w:t>
      </w:r>
      <w:r>
        <w:rPr>
          <w:rFonts w:hint="eastAsia" w:ascii="宋体" w:hAnsi="宋体" w:cs="宋体"/>
          <w:color w:val="auto"/>
          <w:sz w:val="24"/>
          <w:szCs w:val="24"/>
          <w:highlight w:val="none"/>
        </w:rPr>
        <w:t xml:space="preserve">本项目采取双赢和健康的合作发展模式，实行全承包经营服务方式。</w:t>
      </w:r>
      <w:r>
        <w:rPr>
          <w:color w:val="auto"/>
          <w:highlight w:val="none"/>
        </w:rPr>
      </w:r>
    </w:p>
    <w:p>
      <w:pPr>
        <w:numPr>
          <w:ilvl w:val="1"/>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按现有食堂就餐人员数量及金额预测，固定餐费按实际消费支出。</w:t>
      </w:r>
      <w:r>
        <w:rPr>
          <w:color w:val="auto"/>
          <w:highlight w:val="none"/>
        </w:rPr>
      </w:r>
    </w:p>
    <w:p>
      <w:pPr>
        <w:ind w:left="0" w:firstLine="480"/>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固定餐费支出包含以下：</w:t>
      </w:r>
      <w:r>
        <w:rPr>
          <w:color w:val="auto"/>
          <w:highlight w:val="none"/>
        </w:rPr>
      </w:r>
    </w:p>
    <w:p>
      <w:pPr>
        <w:ind w:left="0" w:firstLine="480"/>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苏州市相城区中医医院：</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本院职工人数约为330人左右，每人每月充卡400元；</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值班人员就餐（365天）：用餐标准，早餐6元，中</w:t>
      </w:r>
      <w:bookmarkStart w:id="87" w:name="_GoBack"/>
      <w:r>
        <w:rPr>
          <w:color w:val="auto"/>
          <w:highlight w:val="none"/>
        </w:rPr>
      </w:r>
      <w:bookmarkEnd w:id="87"/>
      <w:r>
        <w:rPr>
          <w:rFonts w:hint="eastAsia" w:ascii="宋体" w:hAnsi="宋体" w:cs="宋体"/>
          <w:color w:val="auto"/>
          <w:sz w:val="24"/>
          <w:szCs w:val="24"/>
          <w:highlight w:val="none"/>
        </w:rPr>
        <w:t xml:space="preserve">晚餐各12元；</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其他用餐：专家用餐标准，15元标准；体检用餐6-10元（其中公共卫生体检6元，健康体检10元）；</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其他桌餐：医院接待用简餐，由中标方提供菜单，医院点餐。</w:t>
      </w:r>
      <w:r>
        <w:rPr>
          <w:color w:val="auto"/>
          <w:highlight w:val="none"/>
        </w:rPr>
      </w:r>
    </w:p>
    <w:p>
      <w:pPr>
        <w:numPr>
          <w:ilvl w:val="1"/>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病人及家属用餐：由病人及家属直接支付，菜品明码标价。</w:t>
      </w:r>
      <w:r>
        <w:rPr>
          <w:color w:val="auto"/>
          <w:highlight w:val="none"/>
        </w:rPr>
      </w:r>
    </w:p>
    <w:p>
      <w:pPr>
        <w:numPr>
          <w:ilvl w:val="0"/>
          <w:numId w:val="4"/>
        </w:numPr>
        <w:jc w:val="left"/>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医院现有的厨房设备和餐具，其所有权归医院所有，可由成交单位支配使用；另需增加其它厨房设备及配套设施的有成交单位自行负责采购。</w:t>
      </w:r>
      <w:r>
        <w:rPr>
          <w:color w:val="auto"/>
          <w:highlight w:val="none"/>
        </w:rPr>
      </w:r>
    </w:p>
    <w:p>
      <w:pPr>
        <w:numPr>
          <w:ilvl w:val="0"/>
          <w:numId w:val="4"/>
        </w:numPr>
        <w:jc w:val="left"/>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具体要求</w:t>
      </w:r>
      <w:r>
        <w:rPr>
          <w:color w:val="auto"/>
          <w:highlight w:val="none"/>
        </w:rPr>
      </w:r>
    </w:p>
    <w:p>
      <w:pPr>
        <w:numPr>
          <w:ilvl w:val="1"/>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供餐要求：</w:t>
      </w:r>
      <w:r>
        <w:rPr>
          <w:color w:val="auto"/>
          <w:highlight w:val="none"/>
        </w:rPr>
      </w:r>
    </w:p>
    <w:p>
      <w:pPr>
        <w:ind w:left="0" w:firstLine="480"/>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苏州市相城区中医医院：</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医务人员用餐：由医务人员自行刷饭卡消费，需要提供早餐、午餐、晚餐。</w:t>
      </w:r>
      <w:r>
        <w:rPr>
          <w:color w:val="auto"/>
          <w:highlight w:val="none"/>
        </w:rPr>
      </w:r>
    </w:p>
    <w:p>
      <w:pPr>
        <w:ind w:left="0" w:firstLine="480"/>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正餐套餐价格：12元/份</w:t>
      </w:r>
      <w:r>
        <w:rPr>
          <w:color w:val="auto"/>
          <w:highlight w:val="none"/>
        </w:rPr>
      </w:r>
    </w:p>
    <w:p>
      <w:pPr>
        <w:ind w:left="0" w:firstLine="480"/>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套餐结构：1份大荤、1份小荤、2份素菜、1份咸汤、1份米饭</w:t>
      </w:r>
      <w:r>
        <w:rPr>
          <w:rFonts w:hint="eastAsia" w:ascii="宋体" w:hAnsi="宋体" w:cs="宋体"/>
          <w:color w:val="auto"/>
          <w:sz w:val="24"/>
          <w:szCs w:val="24"/>
          <w:highlight w:val="none"/>
        </w:rPr>
        <w:t xml:space="preserve">（具体套餐结构根据实际情况进场后双方协商确定；由医务人员自行决定按套餐或根据需要增减菜品，按实点结算）。</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手术室医生或其他加班医生如有需要，需要提供送餐服务，送餐标准为正餐套餐。</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提供的品种需要多样化，午餐至少提供10个菜品供选择，特色餐品种根据季节变化提供适合的菜品。</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根据院方需要，提供的菜品以苏帮菜及清淡的大众口味为主，如苏式焖肉、红烧大排、清蒸带鱼等。</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医院职工餐费，根据饭卡消费情况于下月上旬向医院统一结算。</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病人家属餐厅为零点自选方式或微信点餐方式，送餐者可增加一元送餐费。</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针对住院病人：在临床营养科（或相应科室）的指导下，保证特殊饮食供应，对入住本院内的患者，根据医院需要提供病员餐（特殊饮食）如：糖尿病饮食、低蛋白饮食、低脂饮食、低盐饮食等治疗饮食；代谢膳食；流汁、半流汁、软食等普通饮食；均需符合等级医院评审要求。要求做到营养均衡，饭菜可口。病人提前点餐，提前付款，餐厅工作人员需要按时送到病房（订、送餐由成交单位负责）。</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根据院方需要，提供包厢服务，品种为冷盆、热炒、点心、汤羹类；</w:t>
      </w:r>
      <w:r>
        <w:rPr>
          <w:color w:val="auto"/>
          <w:highlight w:val="none"/>
        </w:rPr>
      </w:r>
    </w:p>
    <w:p>
      <w:pPr>
        <w:numPr>
          <w:ilvl w:val="1"/>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人员要求</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响应单位需承诺所有工作人员待遇不低于苏州市最低工资标准，并按规定给人员缴纳社保及保险等。</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有关服务工种的人员，必须按国家规定具备相关工种的上岗证和“健康证”条件，并按国家有关部门规定，定期体检且有年审合格记录。</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各岗位人员按岗位职责分别负责各项工作内容，具体响应单位在响应文件中需提供工作岗位职责制度以及各项管理规定。此外响应单位还需负责食堂日常保洁、水电气日常管理等职责。</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如有服务人员变更情况，须经采购人同意后方可变更。</w:t>
      </w:r>
      <w:r>
        <w:rPr>
          <w:color w:val="auto"/>
          <w:highlight w:val="none"/>
        </w:rPr>
      </w:r>
    </w:p>
    <w:p>
      <w:pPr>
        <w:numPr>
          <w:ilvl w:val="1"/>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其他说明</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医院派驻兼职管理人员一名，负责监督承包者遵守食品卫生法等法律法规要求，查验采购，食品质量及相关食品合格证明。指导建立有关食品卫生台账。并负责如下管理监督职责：①、监督审批成交单位的服务品种和价格；②、对成交单位采购的米、油、蔬菜等定期抽样检查；③、检查监督食堂的卫生安全工作，对违规行为予以处罚；④、抽查评价服务品种的质量，对违规行为予以处罚；⑤、管理售饭卡、充值系统，向成交单位结付餐费（次月15日前结算）；⑥、协调员工就餐秩序。</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医院职工食堂管理员对销售菜价进行审核，上墙公示。</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医院职工饭卡多余的金额可以代购少量食用品，代购金额不超过60元/月/卡，食堂可拒绝员工超限代购，中标者代购单价不得超过超市零售价的15%，并须根据市场价定期调整。</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医院职工食堂的食品卫生由承包者负责。管理人员负责检查监督，承包者必须无条件的服务上级有关部门的各项检查指导。</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医院职工食堂的员工需要持有健康证上岗。</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医院食堂考核小组和管理人员对食堂的饭菜质量，数量，价格，服务态度，每月进行测评，测评结果书面形式通知承包者。</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甲乙双方在合同签订后协商产生服务满意度考核办法，并约定综合满意率90%为乙方的服务工作目标。</w:t>
      </w:r>
      <w:r>
        <w:rPr>
          <w:color w:val="auto"/>
          <w:highlight w:val="none"/>
        </w:rPr>
      </w:r>
    </w:p>
    <w:p>
      <w:pPr>
        <w:ind w:left="0" w:firstLine="480"/>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满意率或者考核分90(含)以上，每季度最后一个月餐费给付100%。</w:t>
      </w:r>
      <w:r>
        <w:rPr>
          <w:color w:val="auto"/>
          <w:highlight w:val="none"/>
        </w:rPr>
      </w:r>
    </w:p>
    <w:p>
      <w:pPr>
        <w:ind w:left="0" w:firstLine="480"/>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满意率或者考核分80(含)-89，每季度最后一个月餐费给付当月总额的95%，成交单位按甲方要求进行整改，院方验收合格后，支付暂扣的5%。</w:t>
      </w:r>
      <w:r>
        <w:rPr>
          <w:color w:val="auto"/>
          <w:highlight w:val="none"/>
        </w:rPr>
      </w:r>
    </w:p>
    <w:p>
      <w:pPr>
        <w:ind w:left="0" w:firstLine="480"/>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满意率或者考核分70(含)-79，每季度最后一个月餐费给付当月总额的90%，成交单位按甲方要求进行整改，院方验收合格后，支付暂扣的10%。</w:t>
      </w:r>
      <w:r>
        <w:rPr>
          <w:color w:val="auto"/>
          <w:highlight w:val="none"/>
        </w:rPr>
      </w:r>
    </w:p>
    <w:p>
      <w:pPr>
        <w:ind w:left="0" w:firstLine="480"/>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满意率或者考核分70以下的，每季度最后一个月餐费给付当月总额的85%，成交单位按甲方要求进行整改，院方验收合格后，支付暂扣的15%。若连续三次考核低于70分，甲方有权终止合约并有权不支付扣款金额。</w:t>
      </w:r>
      <w:r>
        <w:rPr>
          <w:color w:val="auto"/>
          <w:highlight w:val="none"/>
        </w:rPr>
      </w:r>
    </w:p>
    <w:p>
      <w:pPr>
        <w:numPr>
          <w:ilvl w:val="1"/>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费用（包含但不限于费用）</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在运营期间，成交单位须对院方财务公开，接受院方财务监督。</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餐厅所需要的水、电费用由医院承担，其他能源等费用由成交单位承担。</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院方统一负责制作就餐卡，充值系统、刷卡器，（病人家属的外客用餐、包厢用餐除外）；</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厨房工程类的非成交单位责任所造成的维修费用由院方承担；</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厨房设备类的日常维修保养及油烟管道清洗由乙方承担；（由于成交单位操作不当损坏的设备由成交单位赔偿）</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食堂用餐餐具、洗涤用品、消毒药水、卫生用品等所有易耗品由成交单位提供；</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由双方商定的就餐环境文化宣传费用由院方承担；</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成交单位负责食品原料的采购，并检查货物的卫生及质量，以确保服务质量。</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成交单位按要求做好垃圾分类，医院负责厨余垃圾的处理和清运。</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成交单位须按照本采购文件的要求对该招标项目进行食堂服务外包工作。</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如遇采购单位有特殊情况和任务，必须服从安排。</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若成交单位在服务期间，违反下列规定将被解除相关综合服务合同。</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未经采购单位许可，将承包的服务转包他人；</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严重违反招标方的有关规定；</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出现食物中毒（应当承担相应的法律与经济责任）、卫生检查不合格等重大事故或问题。</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成交单位须和上一家供应商友好协商上一家供应商经营期间投入的设施设备。</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食堂工作流程管理：</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制订菜单：成交单位根据市场、季节、营养、采购方要求等综合因素制定下周食谱及菜单同时报送采购人备案。</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采购：食堂采购由成交单位自主采购，但必须保</w:t>
      </w:r>
      <w:r>
        <w:rPr>
          <w:rFonts w:hint="eastAsia" w:ascii="宋体" w:hAnsi="宋体" w:cs="宋体"/>
          <w:color w:val="auto"/>
          <w:sz w:val="24"/>
          <w:szCs w:val="24"/>
          <w:highlight w:val="none"/>
        </w:rPr>
        <w:t xml:space="preserve">证：具有可追溯性。渠道合法、安全，必须到持有卫生许可证的经营单位采购食品，到相对固定食品采购的场所，并按照国家规定索证索票，以保证质量，得到采购人认可；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④其他不符合卫生标准或感官标准。采购方食堂管理人员有权力对成交单位采购食品进行随机检查。</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饭菜加工。每餐饭菜必须在就餐前15分钟准备好，加工后的饭菜要注意保热、保洁。</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餐后及时清洗、清理与打扫。餐后要对餐桌、厨具、餐具进行清洗,消毒，并分类放在固定位置，厨房、餐厅进行打扫、冲洗；对剩余饭菜进行处理。</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每周五要进行厨具、餐具的清洗及厨房、餐厅及周边环境的大扫除。</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泔水等食堂废弃物由乙方统一处理，相关费用由乙方承担。</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按标准做好食品留样并按规定登记备查。</w:t>
      </w:r>
      <w:r>
        <w:rPr>
          <w:color w:val="auto"/>
          <w:highlight w:val="none"/>
        </w:rPr>
      </w:r>
    </w:p>
    <w:p>
      <w:pPr>
        <w:numPr>
          <w:ilvl w:val="1"/>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食堂工作制度：</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食堂工作人员按规范程序招聘、录用，按时上、下班，坚守工作岗位。所有食堂工作人员必须社会背景清楚，身体健康。所有食堂工作人员必须到采购人备案，提供健康证明。更换、补充人员必须经过备案。采购人将不定期的对人员上岗情况进行考核，考核如在1个月内达不到要求，采购人有权对成交单位进行惩罚。</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养成良好的工作习惯,各种厨具、餐具要固定放置,使用完毕后及时放回原处,各种物品不随处乱放。</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爱护公物。使用锅炉、压面机等械具要严格遵守操作规程，清洗餐具、厨具要细心细致。</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做好食堂卫生工作。工作期间必须穿工作服,注意做好食品卫生,餐具卫生,环境卫生,个人卫生工作,如有咳嗽、腹泻、发烧、呕吐等疾病,应向食堂管理人员请假,离开食堂工作岗位。</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食堂工作人员要服务规范、语言文明,工作期间不打闹、不与员工争吵。</w:t>
      </w:r>
      <w:r>
        <w:rPr>
          <w:color w:val="auto"/>
          <w:highlight w:val="none"/>
        </w:rPr>
      </w:r>
    </w:p>
    <w:p>
      <w:pPr>
        <w:numPr>
          <w:ilvl w:val="2"/>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食堂卫生制度：</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不购买不新鲜食品,严禁购买及使用腐烂变质的食物,以及其他感官性状异常食物。</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要做到生品与成品、熟品相隔离,成品与半成品相隔离,食品与杂物相隔离。冷藏时要做到荤腥类食品与其他食品相隔离。</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食物制作及销售过程中要注意防蝇、防灰尘,以避免杂物混入食品。</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隔餐食物如可食用,必须经过回锅加热。</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各种调料不宜久置,装盛调料各种器具应经常洗涤。</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刀、墩、板、桶、盆、筐、灶、锅、抹布等厨具要每餐清洗,保持厨具的清洁。餐具用后要一洗二刷三冲四消毒四类。</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厨具和餐具要固定摆好。</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环境卫生：要经常性打扫和清洗食堂地面,做到地面无杂物和积水；储藏室要保持干净、干燥和通风,储藏间不得存放其他杂物及个人物件,物品存放要离地,隔墙,分类；对食堂周围的阴沟、角落、泔水桶,垃圾堆要经常性清理,预防细菌感染食物；对存放厨具,餐具的各个角落要经常抹洗。</w:t>
      </w:r>
      <w:r>
        <w:rPr>
          <w:color w:val="auto"/>
          <w:highlight w:val="none"/>
        </w:rPr>
      </w:r>
    </w:p>
    <w:p>
      <w:pPr>
        <w:numPr>
          <w:ilvl w:val="3"/>
          <w:numId w:val="4"/>
        </w:numPr>
        <w:ind w:firstLine="480"/>
        <w:jc w:val="left"/>
        <w:spacing w:line="360" w:lineRule="auto"/>
        <w:widowControl w:val="off"/>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食堂工作人员个人卫生：食堂工作人员要做到"四勤"勤洗手,剪指甲;勤洗衣服,被褥;勤洗澡,理发;勤换工作服。在工作前及处理食品原料后、便后要用肥皂及流动清水洗手,直接用手接触入口食品之前(如抓粉条,切菜,加工面粉等)应用热水消毒。不得在食品加工期间及销售食品前抽烟,不正对食品咳嗽、打喷嚏,不随处吐痰。</w:t>
      </w:r>
      <w:r>
        <w:rPr>
          <w:color w:val="auto"/>
          <w:highlight w:val="none"/>
        </w:rPr>
      </w:r>
    </w:p>
    <w:p>
      <w:pPr>
        <w:ind w:left="0" w:firstLine="420"/>
        <w:jc w:val="left"/>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三、综合说明：</w:t>
      </w:r>
      <w:r>
        <w:rPr>
          <w:color w:val="auto"/>
          <w:highlight w:val="none"/>
        </w:rPr>
      </w:r>
    </w:p>
    <w:p>
      <w:pPr>
        <w:numPr>
          <w:ilvl w:val="1"/>
          <w:numId w:val="5"/>
        </w:numPr>
        <w:contextualSpacing/>
        <w:ind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响应单位按照采购文件的要求提交响应文件，并对所提供的全部资料的真实性承担法律责任。</w:t>
      </w:r>
      <w:r>
        <w:rPr>
          <w:color w:val="auto"/>
          <w:highlight w:val="none"/>
        </w:rPr>
      </w:r>
    </w:p>
    <w:p>
      <w:pPr>
        <w:numPr>
          <w:ilvl w:val="1"/>
          <w:numId w:val="5"/>
        </w:numPr>
        <w:contextualSpacing/>
        <w:ind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本项目投标报价一次报定，响应单位须在投标报价中对所要采购的全部内容进行响应，只投其中部分内容者，其响应文件将被拒绝，采购人除支付本次招标项目的中标金额外不再承担其他任何费用。</w:t>
      </w:r>
      <w:r>
        <w:rPr>
          <w:color w:val="auto"/>
          <w:highlight w:val="none"/>
        </w:rPr>
      </w:r>
    </w:p>
    <w:p>
      <w:pPr>
        <w:numPr>
          <w:ilvl w:val="1"/>
          <w:numId w:val="5"/>
        </w:numPr>
        <w:contextualSpacing/>
        <w:ind w:firstLine="48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响应文件中的投标总报价应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b/>
          <w:color w:val="auto"/>
          <w:sz w:val="24"/>
          <w:szCs w:val="24"/>
          <w:highlight w:val="none"/>
        </w:rPr>
        <w:t xml:space="preserve">遇到法律法规规定的最低工资调整，其中人工费用相应浮动，由供应商自行承担。</w:t>
      </w:r>
      <w:r>
        <w:rPr>
          <w:color w:val="auto"/>
          <w:highlight w:val="none"/>
        </w:rPr>
      </w:r>
    </w:p>
    <w:p>
      <w:pPr>
        <w:numPr>
          <w:ilvl w:val="1"/>
          <w:numId w:val="5"/>
        </w:numPr>
        <w:contextualSpacing/>
        <w:ind w:firstLine="480"/>
        <w:spacing w:line="360" w:lineRule="auto"/>
        <w:widowControl w:val="off"/>
        <w:rPr>
          <w:rFonts w:ascii="宋体" w:hAnsi="宋体" w:cs="宋体"/>
          <w:bCs/>
          <w:color w:val="auto"/>
          <w:sz w:val="24"/>
          <w:szCs w:val="24"/>
          <w:highlight w:val="none"/>
        </w:rPr>
      </w:pPr>
      <w:r>
        <w:rPr>
          <w:rFonts w:hint="eastAsia" w:ascii="宋体" w:hAnsi="宋体" w:cs="宋体"/>
          <w:color w:val="auto"/>
          <w:sz w:val="24"/>
          <w:szCs w:val="24"/>
          <w:highlight w:val="none"/>
        </w:rPr>
        <w:t xml:space="preserve">响应单位须按照本采购文件的要求对该采购项目进行服务工作。在服务过程中，成交单位对服务缺陷不予更正，采购单位有权另请其他单位更正，所发生的费用、甲方及第三方的损失全部由成交单位承担。成交单位有责任配合采购单位接受上级领导部门的监督、检查，提供必须的资料。</w:t>
      </w:r>
      <w:r>
        <w:rPr>
          <w:color w:val="auto"/>
          <w:highlight w:val="none"/>
        </w:rPr>
      </w:r>
    </w:p>
    <w:p>
      <w:pPr>
        <w:numPr>
          <w:ilvl w:val="1"/>
          <w:numId w:val="5"/>
        </w:numPr>
        <w:contextualSpacing/>
        <w:ind w:firstLine="480"/>
        <w:spacing w:line="360" w:lineRule="auto"/>
        <w:widowControl w:val="off"/>
        <w:rPr>
          <w:rFonts w:ascii="宋体" w:hAnsi="宋体" w:cs="宋体"/>
          <w:bCs/>
          <w:color w:val="auto"/>
          <w:sz w:val="24"/>
          <w:szCs w:val="24"/>
          <w:highlight w:val="none"/>
        </w:rPr>
      </w:pPr>
      <w:r>
        <w:rPr>
          <w:rFonts w:hint="eastAsia" w:ascii="宋体" w:hAnsi="宋体" w:cs="宋体"/>
          <w:color w:val="auto"/>
          <w:sz w:val="24"/>
          <w:szCs w:val="24"/>
          <w:highlight w:val="none"/>
        </w:rPr>
        <w:t xml:space="preserve">响应单位严格遵守各项安全制度和操作规程，加强对员工的安全教育，凡发生设备损坏和人员损伤等事故，以及员工生病、事故、伤残、死亡和劳务（劳资问题、工资拖欠问题）纠纷等，均由乙方负责和赔偿。</w:t>
      </w:r>
      <w:r>
        <w:rPr>
          <w:rFonts w:hint="eastAsia" w:ascii="宋体" w:hAnsi="宋体" w:cs="宋体"/>
          <w:bCs/>
          <w:color w:val="auto"/>
          <w:sz w:val="24"/>
          <w:szCs w:val="24"/>
          <w:highlight w:val="none"/>
        </w:rPr>
        <w:t xml:space="preserve">响应单位工作人员在活动过程中涉及的所有费用均包含在项目费用之内，采购方不再另行支付。</w:t>
      </w:r>
      <w:r>
        <w:rPr>
          <w:color w:val="auto"/>
          <w:highlight w:val="none"/>
        </w:rPr>
      </w:r>
    </w:p>
    <w:p>
      <w:pPr>
        <w:numPr>
          <w:ilvl w:val="1"/>
          <w:numId w:val="5"/>
        </w:numPr>
        <w:contextualSpacing/>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color w:val="auto"/>
          <w:highlight w:val="none"/>
        </w:rPr>
      </w:r>
    </w:p>
    <w:p>
      <w:pPr>
        <w:ind w:left="0"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7、付款方式：</w:t>
      </w:r>
      <w:r>
        <w:rPr>
          <w:rFonts w:hint="eastAsia" w:ascii="宋体" w:hAnsi="宋体" w:cs="宋体"/>
          <w:color w:val="auto"/>
          <w:sz w:val="24"/>
          <w:szCs w:val="22"/>
          <w:highlight w:val="none"/>
        </w:rPr>
        <w:t xml:space="preserve">合同签订后支付中标金额的30%作为预付款。剩余款项先做后付，食堂餐费按月结算，乙方在次月5号前开具上个月餐费的正规餐饮发票送至医院相关负责人，医院在次月15日前完成付款</w:t>
      </w:r>
      <w:r>
        <w:rPr>
          <w:rFonts w:hint="eastAsia" w:ascii="宋体" w:hAnsi="宋体" w:cs="宋体"/>
          <w:color w:val="auto"/>
          <w:sz w:val="24"/>
          <w:szCs w:val="24"/>
          <w:highlight w:val="none"/>
        </w:rPr>
        <w:t xml:space="preserve">。</w:t>
      </w:r>
      <w:r>
        <w:rPr>
          <w:color w:val="auto"/>
          <w:highlight w:val="none"/>
        </w:rPr>
      </w:r>
    </w:p>
    <w:p>
      <w:pPr>
        <w:ind w:left="0" w:firstLine="420"/>
        <w:jc w:val="left"/>
        <w:spacing w:line="360" w:lineRule="auto"/>
        <w:widowControl w:val="off"/>
        <w:rPr>
          <w:rFonts w:ascii="宋体" w:hAnsi="宋体" w:cs="宋体"/>
          <w:color w:val="auto"/>
          <w:sz w:val="24"/>
          <w:szCs w:val="24"/>
          <w:highlight w:val="none"/>
        </w:rPr>
      </w:pPr>
      <w:r>
        <w:rPr>
          <w:rFonts w:hint="eastAsia" w:ascii="宋体" w:hAnsi="宋体" w:cs="宋体"/>
          <w:b/>
          <w:bCs/>
          <w:color w:val="auto"/>
          <w:sz w:val="24"/>
          <w:szCs w:val="24"/>
          <w:highlight w:val="none"/>
        </w:rPr>
        <w:t xml:space="preserve">注：上述付款方式可在甲乙双方签订合同时根据《苏财购[2022]16号》文件相关内容进行调整。</w:t>
      </w:r>
      <w:r>
        <w:rPr>
          <w:color w:val="auto"/>
          <w:highlight w:val="none"/>
        </w:rPr>
      </w:r>
    </w:p>
    <w:p>
      <w:pPr>
        <w:ind w:left="0"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付款前，乙方需先向甲方提供：</w:t>
      </w:r>
      <w:r>
        <w:rPr>
          <w:color w:val="auto"/>
          <w:highlight w:val="none"/>
        </w:rPr>
      </w:r>
    </w:p>
    <w:p>
      <w:pPr>
        <w:ind w:left="0"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（1）合格的发票；</w:t>
      </w:r>
      <w:r>
        <w:rPr>
          <w:color w:val="auto"/>
          <w:highlight w:val="none"/>
        </w:rPr>
      </w:r>
    </w:p>
    <w:p>
      <w:pPr>
        <w:ind w:left="0"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（2）由供需双方及采购代理机构签章的《政府采购履约验收书》。</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8、凡涉及采购文件的补充说明和修改，均以最后在苏州市政府采购网发布的内容为准。</w:t>
      </w:r>
      <w:r>
        <w:rPr>
          <w:color w:val="auto"/>
          <w:highlight w:val="none"/>
        </w:rPr>
      </w:r>
    </w:p>
    <w:p>
      <w:pPr>
        <w:pStyle w:val="1144"/>
        <w:rPr>
          <w:rFonts w:ascii="宋体" w:hAnsi="宋体" w:cs="宋体"/>
          <w:color w:val="auto"/>
          <w:highlight w:val="none"/>
        </w:rPr>
      </w:pPr>
      <w:r>
        <w:rPr>
          <w:rFonts w:hint="eastAsia" w:ascii="宋体" w:hAnsi="宋体" w:cs="宋体"/>
          <w:color w:val="auto"/>
          <w:sz w:val="24"/>
          <w:highlight w:val="none"/>
        </w:rPr>
        <w:br w:type="page" w:clear="all"/>
      </w:r>
      <w:r>
        <w:rPr>
          <w:color w:val="auto"/>
          <w:highlight w:val="none"/>
        </w:rPr>
      </w:r>
    </w:p>
    <w:p>
      <w:pPr>
        <w:pStyle w:val="1144"/>
        <w:rPr>
          <w:rFonts w:ascii="宋体" w:hAnsi="宋体" w:cs="宋体"/>
          <w:color w:val="auto"/>
          <w:highlight w:val="none"/>
        </w:rPr>
      </w:pPr>
      <w:r>
        <w:rPr>
          <w:rFonts w:ascii="宋体" w:hAnsi="宋体" w:cs="宋体"/>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p>
    <w:p>
      <w:pPr>
        <w:pStyle w:val="1122"/>
        <w:ind w:firstLine="480"/>
        <w:rPr>
          <w:rFonts w:hAnsi="宋体" w:cs="宋体"/>
          <w:color w:val="auto"/>
          <w:highlight w:val="none"/>
        </w:rPr>
      </w:pPr>
      <w:r>
        <w:rPr>
          <w:rFonts w:hAnsi="宋体" w:cs="宋体"/>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p>
    <w:p>
      <w:pPr>
        <w:pStyle w:val="1122"/>
        <w:ind w:firstLine="480"/>
        <w:rPr>
          <w:rFonts w:hAnsi="宋体" w:cs="宋体"/>
          <w:color w:val="auto"/>
          <w:highlight w:val="none"/>
        </w:rPr>
      </w:pPr>
      <w:r>
        <w:rPr>
          <w:rFonts w:hAnsi="宋体" w:cs="宋体"/>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p>
    <w:p>
      <w:pPr>
        <w:pStyle w:val="1122"/>
        <w:ind w:firstLine="480"/>
        <w:rPr>
          <w:rFonts w:hAnsi="宋体" w:cs="宋体"/>
          <w:color w:val="auto"/>
          <w:highlight w:val="none"/>
        </w:rPr>
      </w:pPr>
      <w:r>
        <w:rPr>
          <w:rFonts w:hAnsi="宋体" w:cs="宋体"/>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p>
    <w:p>
      <w:pPr>
        <w:pStyle w:val="1122"/>
        <w:ind w:firstLine="480"/>
        <w:rPr>
          <w:rFonts w:hAnsi="宋体" w:cs="宋体"/>
          <w:color w:val="auto"/>
          <w:highlight w:val="none"/>
        </w:rPr>
      </w:pPr>
      <w:r>
        <w:rPr>
          <w:rFonts w:hAnsi="宋体" w:cs="宋体"/>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p>
    <w:p>
      <w:pPr>
        <w:pStyle w:val="1122"/>
        <w:ind w:firstLine="480"/>
        <w:rPr>
          <w:color w:val="auto"/>
          <w:highlight w:val="none"/>
        </w:rPr>
      </w:pPr>
      <w:r>
        <w:rPr>
          <w:color w:val="auto"/>
          <w:highlight w:val="none"/>
        </w:rPr>
      </w:r>
      <w:r>
        <w:rPr>
          <w:color w:val="auto"/>
          <w:highlight w:val="none"/>
        </w:rPr>
      </w:r>
    </w:p>
    <w:p>
      <w:pPr>
        <w:numPr>
          <w:ilvl w:val="0"/>
          <w:numId w:val="3"/>
        </w:numPr>
        <w:ind w:left="0"/>
        <w:jc w:val="center"/>
        <w:spacing w:before="340" w:after="330" w:line="579" w:lineRule="auto"/>
        <w:rPr>
          <w:rFonts w:ascii="宋体" w:hAnsi="宋体" w:cs="宋体"/>
          <w:b/>
          <w:color w:val="auto"/>
          <w:sz w:val="44"/>
          <w:szCs w:val="44"/>
          <w:highlight w:val="none"/>
        </w:rPr>
        <w:outlineLvl w:val="0"/>
      </w:pPr>
      <w:r>
        <w:rPr>
          <w:color w:val="auto"/>
          <w:highlight w:val="none"/>
        </w:rPr>
      </w:r>
      <w:bookmarkStart w:id="78" w:name="合同的特殊条款"/>
      <w:r>
        <w:rPr>
          <w:color w:val="auto"/>
          <w:highlight w:val="none"/>
        </w:rPr>
      </w:r>
      <w:bookmarkEnd w:id="78"/>
      <w:r>
        <w:rPr>
          <w:color w:val="auto"/>
          <w:highlight w:val="none"/>
        </w:rPr>
      </w:r>
      <w:bookmarkStart w:id="79" w:name="_Toc3589"/>
      <w:r>
        <w:rPr>
          <w:rFonts w:hint="eastAsia" w:ascii="宋体" w:hAnsi="宋体" w:cs="宋体"/>
          <w:b/>
          <w:color w:val="auto"/>
          <w:sz w:val="44"/>
          <w:szCs w:val="44"/>
          <w:highlight w:val="none"/>
        </w:rPr>
        <w:t xml:space="preserve"> </w:t>
      </w:r>
      <w:bookmarkStart w:id="80" w:name="_Toc18839"/>
      <w:r>
        <w:rPr>
          <w:rFonts w:hint="eastAsia" w:ascii="宋体" w:hAnsi="宋体" w:cs="宋体"/>
          <w:b/>
          <w:color w:val="auto"/>
          <w:sz w:val="44"/>
          <w:szCs w:val="44"/>
          <w:highlight w:val="none"/>
        </w:rPr>
        <w:t xml:space="preserve">合同及主要条款</w:t>
      </w:r>
      <w:bookmarkEnd w:id="70"/>
      <w:r>
        <w:rPr>
          <w:color w:val="auto"/>
          <w:highlight w:val="none"/>
        </w:rPr>
      </w:r>
      <w:bookmarkEnd w:id="79"/>
      <w:r>
        <w:rPr>
          <w:color w:val="auto"/>
          <w:highlight w:val="none"/>
        </w:rPr>
      </w:r>
      <w:bookmarkEnd w:id="80"/>
      <w:r>
        <w:rPr>
          <w:color w:val="auto"/>
          <w:highlight w:val="none"/>
        </w:rPr>
      </w:r>
      <w:r>
        <w:rPr>
          <w:color w:val="auto"/>
          <w:highlight w:val="none"/>
        </w:rPr>
      </w:r>
    </w:p>
    <w:p>
      <w:pPr>
        <w:pStyle w:val="1126"/>
        <w:ind w:firstLine="0"/>
        <w:rPr>
          <w:rFonts w:ascii="宋体" w:hAnsi="宋体" w:cs="宋体"/>
          <w:color w:val="auto"/>
          <w:highlight w:val="none"/>
        </w:rPr>
      </w:pPr>
      <w:r>
        <w:rPr>
          <w:rFonts w:ascii="宋体" w:hAnsi="宋体" w:cs="宋体"/>
          <w:color w:val="auto"/>
          <w:highlight w:val="none"/>
        </w:rPr>
      </w:r>
      <w:r>
        <w:rPr>
          <w:color w:val="auto"/>
          <w:highlight w:val="none"/>
        </w:rPr>
      </w:r>
    </w:p>
    <w:p>
      <w:pPr>
        <w:ind w:left="0"/>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81" w:name="_Toc32730"/>
      <w:r>
        <w:rPr>
          <w:rFonts w:hint="eastAsia" w:ascii="宋体" w:hAnsi="宋体" w:cs="宋体"/>
          <w:b/>
          <w:color w:val="auto"/>
          <w:sz w:val="32"/>
          <w:szCs w:val="32"/>
          <w:highlight w:val="none"/>
        </w:rPr>
        <w:t xml:space="preserve">合同主要条款</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依据甲方委托</w:t>
      </w:r>
      <w:r>
        <w:rPr>
          <w:rFonts w:hint="eastAsia" w:ascii="宋体" w:hAnsi="宋体" w:cs="宋体"/>
          <w:color w:val="auto"/>
          <w:sz w:val="24"/>
          <w:szCs w:val="24"/>
          <w:highlight w:val="none"/>
        </w:rPr>
        <w:t xml:space="preserve">苏州合亿盛工程咨询</w:t>
      </w:r>
      <w:r>
        <w:rPr>
          <w:rFonts w:hint="eastAsia" w:ascii="宋体" w:hAnsi="宋体" w:cs="宋体"/>
          <w:color w:val="auto"/>
          <w:sz w:val="24"/>
          <w:szCs w:val="24"/>
          <w:highlight w:val="none"/>
          <w:lang w:val="zh-CN"/>
        </w:rPr>
        <w:t xml:space="preserve">有限公司进行本项目政府采购（采购编号：</w:t>
      </w:r>
      <w:r>
        <w:rPr>
          <w:rFonts w:hint="eastAsia" w:ascii="宋体" w:hAnsi="宋体" w:cs="宋体"/>
          <w:color w:val="auto"/>
          <w:sz w:val="24"/>
          <w:szCs w:val="24"/>
          <w:highlight w:val="none"/>
          <w:u w:val="single"/>
        </w:rPr>
        <w:t xml:space="preserve">JSZC-320507-SHYS-C2026-0005</w:t>
      </w:r>
      <w:r>
        <w:rPr>
          <w:rFonts w:hint="eastAsia" w:ascii="宋体" w:hAnsi="宋体" w:cs="宋体"/>
          <w:color w:val="auto"/>
          <w:sz w:val="24"/>
          <w:szCs w:val="24"/>
          <w:highlight w:val="none"/>
          <w:lang w:val="zh-CN"/>
        </w:rPr>
        <w:t xml:space="preserve">）的采购结果，确定乙方为本次成交供应商，现依照采购文件、乙方的响应文件及相关文件的内容，签订本合同书。</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合同内容：</w:t>
      </w:r>
      <w:r>
        <w:rPr>
          <w:color w:val="auto"/>
          <w:highlight w:val="none"/>
        </w:rPr>
      </w:r>
    </w:p>
    <w:p>
      <w:pPr>
        <w:numPr>
          <w:ilvl w:val="0"/>
          <w:numId w:val="7"/>
        </w:numPr>
        <w:ind w:left="0" w:firstLine="480"/>
        <w:spacing w:line="360" w:lineRule="auto"/>
        <w:widowControl w:val="off"/>
        <w:rPr>
          <w:rFonts w:ascii="宋体" w:hAnsi="宋体" w:cs="宋体"/>
          <w:color w:val="auto"/>
          <w:sz w:val="24"/>
          <w:szCs w:val="22"/>
          <w:highlight w:val="none"/>
        </w:rPr>
      </w:pPr>
      <w:r>
        <w:rPr>
          <w:rFonts w:ascii="宋体" w:hAnsi="宋体" w:cs="宋体"/>
          <w:color w:val="auto"/>
          <w:sz w:val="24"/>
          <w:szCs w:val="22"/>
          <w:highlight w:val="none"/>
        </w:rPr>
        <w:t xml:space="preserve">乙方负责</w:t>
      </w:r>
      <w:r>
        <w:rPr>
          <w:rFonts w:hint="eastAsia" w:ascii="宋体" w:hAnsi="宋体" w:cs="宋体"/>
          <w:color w:val="auto"/>
          <w:sz w:val="24"/>
          <w:szCs w:val="22"/>
          <w:highlight w:val="none"/>
        </w:rPr>
        <w:t xml:space="preserve">食堂外包服务项目。</w:t>
      </w:r>
      <w:r>
        <w:rPr>
          <w:color w:val="auto"/>
          <w:highlight w:val="none"/>
        </w:rPr>
      </w:r>
    </w:p>
    <w:p>
      <w:pPr>
        <w:numPr>
          <w:ilvl w:val="0"/>
          <w:numId w:val="7"/>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服务地点：采购单位指定地点（苏州市范围内）。</w:t>
      </w:r>
      <w:r>
        <w:rPr>
          <w:color w:val="auto"/>
          <w:highlight w:val="none"/>
        </w:rPr>
      </w:r>
    </w:p>
    <w:p>
      <w:pPr>
        <w:numPr>
          <w:ilvl w:val="0"/>
          <w:numId w:val="7"/>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合同履行期限：1年，具体时间以合同签订时间为准，</w:t>
      </w:r>
      <w:r>
        <w:rPr>
          <w:rFonts w:hint="eastAsia" w:ascii="宋体" w:hAnsi="宋体"/>
          <w:color w:val="auto"/>
          <w:sz w:val="24"/>
          <w:szCs w:val="24"/>
          <w:highlight w:val="none"/>
        </w:rPr>
        <w:t xml:space="preserve">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日起至</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日止。</w:t>
      </w:r>
      <w:r>
        <w:rPr>
          <w:color w:val="auto"/>
          <w:highlight w:val="none"/>
        </w:rPr>
      </w:r>
    </w:p>
    <w:p>
      <w:pPr>
        <w:numPr>
          <w:ilvl w:val="0"/>
          <w:numId w:val="7"/>
        </w:numPr>
        <w:ind w:left="0" w:firstLine="480"/>
        <w:spacing w:line="360" w:lineRule="auto"/>
        <w:widowControl w:val="off"/>
        <w:rPr>
          <w:rFonts w:ascii="宋体" w:hAnsi="宋体" w:cs="宋体"/>
          <w:color w:val="auto"/>
          <w:sz w:val="24"/>
          <w:szCs w:val="22"/>
          <w:highlight w:val="none"/>
        </w:rPr>
      </w:pPr>
      <w:r>
        <w:rPr>
          <w:rFonts w:ascii="宋体" w:hAnsi="宋体" w:cs="宋体"/>
          <w:color w:val="auto"/>
          <w:sz w:val="24"/>
          <w:szCs w:val="22"/>
          <w:highlight w:val="none"/>
        </w:rPr>
        <w:t xml:space="preserve">下列文件为本合同不可分割部分：</w:t>
      </w:r>
      <w:r>
        <w:rPr>
          <w:color w:val="auto"/>
          <w:highlight w:val="none"/>
        </w:rPr>
      </w:r>
    </w:p>
    <w:p>
      <w:p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①本合同书及本合同书签署后双方以书面形式确认的补充协议等；</w:t>
      </w:r>
      <w:r>
        <w:rPr>
          <w:color w:val="auto"/>
          <w:highlight w:val="none"/>
        </w:rPr>
      </w:r>
    </w:p>
    <w:p>
      <w:p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②中标通知书；</w:t>
      </w:r>
      <w:r>
        <w:rPr>
          <w:color w:val="auto"/>
          <w:highlight w:val="none"/>
        </w:rPr>
      </w:r>
    </w:p>
    <w:p>
      <w:p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③响应文件及其附件（含响应单位在评审期间递交和确认并经采购人同意的对有关问题的补充资料和澄清文件等）；</w:t>
      </w:r>
      <w:r>
        <w:rPr>
          <w:color w:val="auto"/>
          <w:highlight w:val="none"/>
        </w:rPr>
      </w:r>
    </w:p>
    <w:p>
      <w:p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④磋商文件。</w:t>
      </w:r>
      <w:r>
        <w:rPr>
          <w:color w:val="auto"/>
          <w:highlight w:val="none"/>
        </w:rPr>
      </w:r>
    </w:p>
    <w:p>
      <w:pPr>
        <w:numPr>
          <w:ilvl w:val="0"/>
          <w:numId w:val="7"/>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服务内容及要求：详见采购文件第四章。</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合同价款：</w:t>
      </w:r>
      <w:r>
        <w:rPr>
          <w:color w:val="auto"/>
          <w:highlight w:val="none"/>
        </w:rPr>
      </w:r>
    </w:p>
    <w:p>
      <w:p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本</w:t>
      </w:r>
      <w:r>
        <w:rPr>
          <w:rFonts w:ascii="宋体" w:hAnsi="宋体" w:cs="宋体"/>
          <w:color w:val="auto"/>
          <w:sz w:val="24"/>
          <w:szCs w:val="22"/>
          <w:highlight w:val="none"/>
        </w:rPr>
        <w:t xml:space="preserve">合同总价：</w:t>
      </w:r>
      <w:r>
        <w:rPr>
          <w:rFonts w:hint="eastAsia" w:ascii="宋体" w:hAnsi="宋体" w:cs="宋体"/>
          <w:b/>
          <w:bCs/>
          <w:color w:val="auto"/>
          <w:sz w:val="24"/>
          <w:szCs w:val="22"/>
          <w:highlight w:val="none"/>
          <w:u w:val="single"/>
        </w:rPr>
        <w:t xml:space="preserve">         </w:t>
      </w:r>
      <w:r>
        <w:rPr>
          <w:rFonts w:hint="eastAsia" w:ascii="宋体" w:hAnsi="宋体" w:cs="宋体"/>
          <w:color w:val="auto"/>
          <w:sz w:val="24"/>
          <w:szCs w:val="22"/>
          <w:highlight w:val="none"/>
        </w:rPr>
        <w:t xml:space="preserve">；</w:t>
      </w:r>
      <w:r>
        <w:rPr>
          <w:color w:val="auto"/>
          <w:highlight w:val="none"/>
        </w:rPr>
      </w:r>
    </w:p>
    <w:p>
      <w:p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以上报价应包括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s="宋体"/>
          <w:b/>
          <w:bCs/>
          <w:color w:val="auto"/>
          <w:sz w:val="24"/>
          <w:szCs w:val="22"/>
          <w:highlight w:val="none"/>
        </w:rPr>
        <w:t xml:space="preserve">遇到法律法规规定的最低工资调整，其中人工费用相应浮动，由供应商自行承担。</w:t>
      </w:r>
      <w:r>
        <w:rPr>
          <w:rFonts w:hint="eastAsia" w:ascii="宋体" w:hAnsi="宋体" w:cs="宋体"/>
          <w:color w:val="auto"/>
          <w:sz w:val="24"/>
          <w:szCs w:val="22"/>
          <w:highlight w:val="none"/>
        </w:rPr>
        <w:t xml:space="preserve">投标报价为最终报价，除非因特殊原因并经甲乙双方协商同意，响应单位不得再要求追加任何费用。同时，除非合同条款中另有规定，否则，响应单位所报价格在合同实施期间不因市场变化因素而变动。</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付款方式：</w:t>
      </w:r>
      <w:r>
        <w:rPr>
          <w:color w:val="auto"/>
          <w:highlight w:val="none"/>
        </w:rPr>
      </w:r>
    </w:p>
    <w:p>
      <w:pPr>
        <w:numPr>
          <w:ilvl w:val="0"/>
          <w:numId w:val="8"/>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付款步骤</w:t>
      </w:r>
      <w:r>
        <w:rPr>
          <w:color w:val="auto"/>
          <w:highlight w:val="none"/>
        </w:rPr>
      </w:r>
    </w:p>
    <w:p>
      <w:pPr>
        <w:numPr>
          <w:ilvl w:val="1"/>
          <w:numId w:val="8"/>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合同签订后支付中标金额的30%作为预付款。剩余款项先做后付，食堂餐费按月结算，乙方在次月5号前开具上个月餐费的正规餐饮发票送至医院相关负责人，医院在次月15日前完成付款。</w:t>
      </w:r>
      <w:r>
        <w:rPr>
          <w:color w:val="auto"/>
          <w:highlight w:val="none"/>
        </w:rPr>
      </w:r>
    </w:p>
    <w:p>
      <w:pPr>
        <w:numPr>
          <w:ilvl w:val="1"/>
          <w:numId w:val="8"/>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在签订合同时，乙方明确表示无需预付款或者主动要求降低预付款比例的，甲方可不适用上述关于预付款的规定。</w:t>
      </w:r>
      <w:r>
        <w:rPr>
          <w:color w:val="auto"/>
          <w:highlight w:val="none"/>
        </w:rPr>
      </w:r>
    </w:p>
    <w:p>
      <w:pPr>
        <w:numPr>
          <w:ilvl w:val="1"/>
          <w:numId w:val="8"/>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乙方账户信息： </w:t>
      </w:r>
      <w:r>
        <w:rPr>
          <w:color w:val="auto"/>
          <w:highlight w:val="none"/>
        </w:rPr>
      </w:r>
    </w:p>
    <w:p>
      <w:pPr>
        <w:ind w:left="0" w:firstLine="480"/>
        <w:spacing w:line="360" w:lineRule="auto"/>
        <w:widowControl w:val="off"/>
        <w:rPr>
          <w:rFonts w:ascii="宋体" w:hAnsi="宋体"/>
          <w:color w:val="auto"/>
          <w:sz w:val="24"/>
          <w:szCs w:val="22"/>
          <w:highlight w:val="none"/>
        </w:rPr>
      </w:pPr>
      <w:r>
        <w:rPr>
          <w:rFonts w:hint="eastAsia" w:ascii="宋体" w:hAnsi="宋体"/>
          <w:color w:val="auto"/>
          <w:sz w:val="24"/>
          <w:szCs w:val="22"/>
          <w:highlight w:val="none"/>
        </w:rPr>
        <w:t xml:space="preserve">乙方开户名称：</w:t>
      </w:r>
      <w:r>
        <w:rPr>
          <w:color w:val="auto"/>
          <w:highlight w:val="none"/>
        </w:rPr>
      </w:r>
    </w:p>
    <w:p>
      <w:pPr>
        <w:ind w:left="0" w:firstLine="480"/>
        <w:spacing w:line="360" w:lineRule="auto"/>
        <w:widowControl w:val="off"/>
        <w:rPr>
          <w:rFonts w:ascii="宋体" w:hAnsi="宋体"/>
          <w:color w:val="auto"/>
          <w:sz w:val="24"/>
          <w:szCs w:val="22"/>
          <w:highlight w:val="none"/>
        </w:rPr>
      </w:pPr>
      <w:r>
        <w:rPr>
          <w:rFonts w:hint="eastAsia" w:ascii="宋体" w:hAnsi="宋体"/>
          <w:color w:val="auto"/>
          <w:sz w:val="24"/>
          <w:szCs w:val="22"/>
          <w:highlight w:val="none"/>
        </w:rPr>
        <w:t xml:space="preserve">开户银行：</w:t>
      </w:r>
      <w:r>
        <w:rPr>
          <w:color w:val="auto"/>
          <w:highlight w:val="none"/>
        </w:rPr>
      </w:r>
    </w:p>
    <w:p>
      <w:pPr>
        <w:ind w:left="0" w:firstLine="480"/>
        <w:spacing w:line="360" w:lineRule="auto"/>
        <w:widowControl w:val="off"/>
        <w:rPr>
          <w:rFonts w:ascii="宋体" w:hAnsi="宋体"/>
          <w:color w:val="auto"/>
          <w:sz w:val="24"/>
          <w:szCs w:val="22"/>
          <w:highlight w:val="none"/>
        </w:rPr>
      </w:pPr>
      <w:r>
        <w:rPr>
          <w:rFonts w:hint="eastAsia" w:ascii="宋体" w:hAnsi="宋体"/>
          <w:color w:val="auto"/>
          <w:sz w:val="24"/>
          <w:szCs w:val="22"/>
          <w:highlight w:val="none"/>
        </w:rPr>
        <w:t xml:space="preserve">银行账号：</w:t>
      </w:r>
      <w:r>
        <w:rPr>
          <w:color w:val="auto"/>
          <w:highlight w:val="none"/>
        </w:rPr>
      </w:r>
    </w:p>
    <w:p>
      <w:pPr>
        <w:numPr>
          <w:ilvl w:val="0"/>
          <w:numId w:val="8"/>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服务质量</w:t>
      </w:r>
      <w:r>
        <w:rPr>
          <w:color w:val="auto"/>
          <w:highlight w:val="none"/>
        </w:rPr>
      </w:r>
    </w:p>
    <w:p>
      <w:pPr>
        <w:numPr>
          <w:ilvl w:val="0"/>
          <w:numId w:val="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乙方应保证提供给甲方的服务完全符合本项目采购文件规定的服务标准。</w:t>
      </w:r>
      <w:r>
        <w:rPr>
          <w:color w:val="auto"/>
          <w:highlight w:val="none"/>
        </w:rPr>
      </w:r>
    </w:p>
    <w:p>
      <w:pPr>
        <w:numPr>
          <w:ilvl w:val="0"/>
          <w:numId w:val="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乙方应保证提供的服务应符合中华人民共和国相关标准及相应的技术规范、本次采购相关文件中的全部相关要求及相关标准及相应的技术规范中之较高者。</w:t>
      </w:r>
      <w:r>
        <w:rPr>
          <w:color w:val="auto"/>
          <w:highlight w:val="none"/>
        </w:rPr>
      </w:r>
    </w:p>
    <w:p>
      <w:pPr>
        <w:numPr>
          <w:ilvl w:val="0"/>
          <w:numId w:val="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乙方保证提供的服务符合中华人民共和国国家及行业的安全质量标准、环保标准中之较高者。</w:t>
      </w:r>
      <w:r>
        <w:rPr>
          <w:color w:val="auto"/>
          <w:highlight w:val="none"/>
        </w:rPr>
      </w:r>
    </w:p>
    <w:p>
      <w:pPr>
        <w:numPr>
          <w:ilvl w:val="0"/>
          <w:numId w:val="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如果在合同履行过程中有新的国家或行业（部）规范和标准出台的，则乙方应确保其合同标的物达到并符合新的国家或行业（部）规范和标准，因此而增加的费用及风险由乙方自行承担。</w:t>
      </w:r>
      <w:r>
        <w:rPr>
          <w:color w:val="auto"/>
          <w:highlight w:val="none"/>
        </w:rPr>
      </w:r>
    </w:p>
    <w:p>
      <w:pPr>
        <w:numPr>
          <w:ilvl w:val="0"/>
          <w:numId w:val="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color w:val="auto"/>
          <w:highlight w:val="none"/>
        </w:rPr>
      </w:r>
    </w:p>
    <w:p>
      <w:pPr>
        <w:numPr>
          <w:ilvl w:val="0"/>
          <w:numId w:val="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color w:val="auto"/>
          <w:highlight w:val="none"/>
        </w:rPr>
      </w:r>
    </w:p>
    <w:p>
      <w:pPr>
        <w:numPr>
          <w:ilvl w:val="0"/>
          <w:numId w:val="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与本次采购项目相关的所有项目质量、安全问题均由乙方终身负责，如因上述原因造成的一切后果均由乙方自行承担，与他人无涉。</w:t>
      </w:r>
      <w:r>
        <w:rPr>
          <w:color w:val="auto"/>
          <w:highlight w:val="none"/>
        </w:rPr>
      </w:r>
    </w:p>
    <w:p>
      <w:pPr>
        <w:numPr>
          <w:ilvl w:val="0"/>
          <w:numId w:val="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乙方对服务缺陷不予更正，甲方有权另请其他单位更正，所发生的费用在合同金额中直接扣除。</w:t>
      </w:r>
      <w:r>
        <w:rPr>
          <w:color w:val="auto"/>
          <w:highlight w:val="none"/>
        </w:rPr>
      </w:r>
    </w:p>
    <w:p>
      <w:pPr>
        <w:numPr>
          <w:ilvl w:val="0"/>
          <w:numId w:val="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bCs/>
          <w:color w:val="auto"/>
          <w:sz w:val="24"/>
          <w:szCs w:val="24"/>
          <w:highlight w:val="none"/>
        </w:rPr>
        <w:t xml:space="preserve">验收</w:t>
      </w:r>
      <w:r>
        <w:rPr>
          <w:color w:val="auto"/>
          <w:highlight w:val="none"/>
        </w:rPr>
      </w:r>
    </w:p>
    <w:p>
      <w:pPr>
        <w:numPr>
          <w:ilvl w:val="0"/>
          <w:numId w:val="10"/>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4"/>
          <w:highlight w:val="none"/>
        </w:rPr>
        <w:t xml:space="preserve">本项目将根据政府采购法及相关法规，以及《江苏省政府采购履约验收管理办法》文件的规定，对供应商进行履约验收，确认验收合格的，将出具《政府采购履约验收书》。</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lang w:val="zh-TW"/>
        </w:rPr>
        <w:t xml:space="preserve">甲、乙双方的责任：</w:t>
      </w:r>
      <w:r>
        <w:rPr>
          <w:color w:val="auto"/>
          <w:highlight w:val="none"/>
        </w:rPr>
      </w:r>
    </w:p>
    <w:p>
      <w:pPr>
        <w:numPr>
          <w:ilvl w:val="0"/>
          <w:numId w:val="11"/>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甲方责任：</w:t>
      </w:r>
      <w:r>
        <w:rPr>
          <w:color w:val="auto"/>
          <w:highlight w:val="none"/>
        </w:rPr>
      </w:r>
    </w:p>
    <w:p>
      <w:pPr>
        <w:numPr>
          <w:ilvl w:val="1"/>
          <w:numId w:val="11"/>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依本合同约定按期支付合同款项；</w:t>
      </w:r>
      <w:r>
        <w:rPr>
          <w:color w:val="auto"/>
          <w:highlight w:val="none"/>
        </w:rPr>
      </w:r>
    </w:p>
    <w:p>
      <w:pPr>
        <w:numPr>
          <w:ilvl w:val="1"/>
          <w:numId w:val="11"/>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依本合同约定及时组织验收；</w:t>
      </w:r>
      <w:r>
        <w:rPr>
          <w:color w:val="auto"/>
          <w:highlight w:val="none"/>
        </w:rPr>
      </w:r>
    </w:p>
    <w:p>
      <w:pPr>
        <w:numPr>
          <w:ilvl w:val="1"/>
          <w:numId w:val="11"/>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协助乙方进行项目的相关协调工作及约定期限内提供相关资料以利于开展项目。</w:t>
      </w:r>
      <w:r>
        <w:rPr>
          <w:color w:val="auto"/>
          <w:highlight w:val="none"/>
        </w:rPr>
      </w:r>
    </w:p>
    <w:p>
      <w:pPr>
        <w:numPr>
          <w:ilvl w:val="0"/>
          <w:numId w:val="11"/>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乙方责任：</w:t>
      </w:r>
      <w:r>
        <w:rPr>
          <w:color w:val="auto"/>
          <w:highlight w:val="none"/>
        </w:rPr>
      </w:r>
    </w:p>
    <w:p>
      <w:pPr>
        <w:numPr>
          <w:ilvl w:val="1"/>
          <w:numId w:val="11"/>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乙方负责完成本次采购要求的全部服务工作，乙方应按采购文件以及合同约定的技术规范、标准进行实施，并保证按期、保质保量完成项目的实施工作，对提交的项目质量负责。</w:t>
      </w:r>
      <w:r>
        <w:rPr>
          <w:color w:val="auto"/>
          <w:highlight w:val="none"/>
        </w:rPr>
      </w:r>
    </w:p>
    <w:p>
      <w:pPr>
        <w:numPr>
          <w:ilvl w:val="1"/>
          <w:numId w:val="11"/>
        </w:numPr>
        <w:ind w:left="0" w:firstLine="482"/>
        <w:spacing w:line="360" w:lineRule="auto"/>
        <w:widowControl w:val="off"/>
        <w:rPr>
          <w:rFonts w:ascii="宋体" w:hAnsi="宋体" w:cs="宋体"/>
          <w:b/>
          <w:color w:val="auto"/>
          <w:sz w:val="24"/>
          <w:szCs w:val="24"/>
          <w:highlight w:val="none"/>
        </w:rPr>
      </w:pPr>
      <w:r>
        <w:rPr>
          <w:rFonts w:hint="eastAsia" w:ascii="宋体" w:hAnsi="宋体"/>
          <w:b/>
          <w:color w:val="auto"/>
          <w:sz w:val="24"/>
          <w:szCs w:val="24"/>
          <w:highlight w:val="none"/>
        </w:rPr>
        <w:t xml:space="preserve">乙方在合同签订后一周内提供全部服务人员配置清单及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履约保证金</w:t>
      </w:r>
      <w:r>
        <w:rPr>
          <w:color w:val="auto"/>
          <w:highlight w:val="none"/>
        </w:rPr>
      </w:r>
    </w:p>
    <w:p>
      <w:pPr>
        <w:ind w:left="0" w:firstLine="480"/>
        <w:jc w:val="left"/>
        <w:spacing w:line="360" w:lineRule="auto"/>
        <w:widowControl w:val="off"/>
        <w:rPr>
          <w:rFonts w:ascii="宋体" w:hAnsi="宋体" w:cs="宋体"/>
          <w:color w:val="auto"/>
          <w:sz w:val="24"/>
          <w:szCs w:val="24"/>
          <w:highlight w:val="none"/>
        </w:rPr>
      </w:pPr>
      <w:r>
        <w:rPr>
          <w:color w:val="auto"/>
          <w:highlight w:val="none"/>
        </w:rPr>
      </w:r>
      <w:bookmarkStart w:id="82" w:name="_Hlk121235420"/>
      <w:r>
        <w:rPr>
          <w:rFonts w:hint="eastAsia" w:ascii="宋体" w:hAnsi="宋体" w:cs="宋体"/>
          <w:color w:val="auto"/>
          <w:sz w:val="24"/>
          <w:szCs w:val="24"/>
          <w:highlight w:val="none"/>
        </w:rPr>
        <w:t xml:space="preserve">本项目不要求提交履约保证金。</w:t>
      </w:r>
      <w:bookmarkEnd w:id="82"/>
      <w:r>
        <w:rPr>
          <w:color w:val="auto"/>
          <w:highlight w:val="none"/>
        </w:rPr>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违约责任</w:t>
      </w:r>
      <w:r>
        <w:rPr>
          <w:color w:val="auto"/>
          <w:highlight w:val="none"/>
        </w:rPr>
      </w:r>
    </w:p>
    <w:p>
      <w:pPr>
        <w:numPr>
          <w:ilvl w:val="0"/>
          <w:numId w:val="12"/>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甲方违约责任：</w:t>
      </w:r>
      <w:r>
        <w:rPr>
          <w:color w:val="auto"/>
          <w:highlight w:val="none"/>
        </w:rPr>
      </w:r>
    </w:p>
    <w:p>
      <w:pPr>
        <w:numPr>
          <w:ilvl w:val="1"/>
          <w:numId w:val="13"/>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在合同生效后，甲方无故要求解除合同的，应向乙方偿付合同总价款5%的违约金，违约金不足以补偿损失的，乙方有权要求甲方补足。</w:t>
      </w:r>
      <w:r>
        <w:rPr>
          <w:color w:val="auto"/>
          <w:highlight w:val="none"/>
        </w:rPr>
      </w:r>
    </w:p>
    <w:p>
      <w:pPr>
        <w:numPr>
          <w:ilvl w:val="1"/>
          <w:numId w:val="13"/>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甲方逾期付款的应按照逾期付款金额的每天万分之四支付逾期付款违约金，总额不超总价款的5%。</w:t>
      </w:r>
      <w:r>
        <w:rPr>
          <w:color w:val="auto"/>
          <w:highlight w:val="none"/>
        </w:rPr>
      </w:r>
    </w:p>
    <w:p>
      <w:pPr>
        <w:numPr>
          <w:ilvl w:val="0"/>
          <w:numId w:val="12"/>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乙方的违约责任：</w:t>
      </w:r>
      <w:r>
        <w:rPr>
          <w:color w:val="auto"/>
          <w:highlight w:val="none"/>
        </w:rPr>
      </w:r>
    </w:p>
    <w:p>
      <w:pPr>
        <w:numPr>
          <w:ilvl w:val="1"/>
          <w:numId w:val="12"/>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在合同生效后，乙方无故要求解除合同的，应向甲方偿付合同总价款5%的违约金，违约金不足以补偿损失的，甲方有权要求乙方补足。</w:t>
      </w:r>
      <w:r>
        <w:rPr>
          <w:color w:val="auto"/>
          <w:highlight w:val="none"/>
        </w:rPr>
      </w:r>
    </w:p>
    <w:p>
      <w:pPr>
        <w:numPr>
          <w:ilvl w:val="1"/>
          <w:numId w:val="12"/>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乙方未按合同规定的质量要求提供服务，不能完成合同时，甲方有权解除合同，乙方向甲方偿付合同总价款5%的违约金，违约金不足以补偿损失的甲方有权要求乙方补足。</w:t>
      </w:r>
      <w:r>
        <w:rPr>
          <w:color w:val="auto"/>
          <w:highlight w:val="none"/>
        </w:rPr>
      </w:r>
    </w:p>
    <w:p>
      <w:pPr>
        <w:numPr>
          <w:ilvl w:val="1"/>
          <w:numId w:val="12"/>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乙方必须自己完成合同内容，不得自行分包，否则，甲方有权按乙方不能完成合同处理。</w:t>
      </w:r>
      <w:r>
        <w:rPr>
          <w:color w:val="auto"/>
          <w:highlight w:val="none"/>
        </w:rPr>
      </w:r>
    </w:p>
    <w:p>
      <w:pPr>
        <w:numPr>
          <w:ilvl w:val="1"/>
          <w:numId w:val="12"/>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乙方应执行国家有关规定（如苏州最低工资标准和其他规定），负责乙方员工的生病、事故、伤残、死亡和劳务纠纷，甲方不承担任何相关责任。</w:t>
      </w:r>
      <w:r>
        <w:rPr>
          <w:color w:val="auto"/>
          <w:highlight w:val="none"/>
        </w:rPr>
      </w:r>
    </w:p>
    <w:p>
      <w:pPr>
        <w:numPr>
          <w:ilvl w:val="1"/>
          <w:numId w:val="12"/>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乙方负有对自己员工的安全责任，甲方不承担任何相关责任。</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不可抗力</w:t>
      </w:r>
      <w:r>
        <w:rPr>
          <w:color w:val="auto"/>
          <w:highlight w:val="none"/>
        </w:rPr>
      </w:r>
    </w:p>
    <w:p>
      <w:pPr>
        <w:numPr>
          <w:ilvl w:val="0"/>
          <w:numId w:val="14"/>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不可抗力指下列事件：战争、动乱、瘟疫、严重火灾、洪水、地震、风暴或其他自然灾害，以及本合同各方不可预见、不可防止并不能避免或克服的一切其他因素及事件。</w:t>
      </w:r>
      <w:r>
        <w:rPr>
          <w:color w:val="auto"/>
          <w:highlight w:val="none"/>
        </w:rPr>
      </w:r>
    </w:p>
    <w:p>
      <w:pPr>
        <w:numPr>
          <w:ilvl w:val="0"/>
          <w:numId w:val="14"/>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任何一方因不可抗力不能履行本合同规定的全部或部分义务，该方应尽快通知另一方，并须在不可抗力发生后3日内以书面形式向另一方提供详细情况报告及不可抗力对履行本合同的影响程度的说明。就上述不可抗力的发生须由受到不可抗力影响的一方负责同时提供由公证机关做出的公证证明。</w:t>
      </w:r>
      <w:r>
        <w:rPr>
          <w:color w:val="auto"/>
          <w:highlight w:val="none"/>
        </w:rPr>
      </w:r>
    </w:p>
    <w:p>
      <w:pPr>
        <w:numPr>
          <w:ilvl w:val="0"/>
          <w:numId w:val="14"/>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rPr>
          <w:color w:val="auto"/>
          <w:highlight w:val="none"/>
        </w:rPr>
      </w:r>
    </w:p>
    <w:p>
      <w:pPr>
        <w:numPr>
          <w:ilvl w:val="0"/>
          <w:numId w:val="14"/>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合同各方应根据不可抗力对本合同履行的影响程度，协商确定是否终止本合同，或是继续履行本合同。</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合同的解除和转让</w:t>
      </w:r>
      <w:r>
        <w:rPr>
          <w:color w:val="auto"/>
          <w:highlight w:val="none"/>
        </w:rPr>
      </w:r>
    </w:p>
    <w:p>
      <w:pPr>
        <w:numPr>
          <w:ilvl w:val="0"/>
          <w:numId w:val="15"/>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甲方和乙方协商一致，可以解除合同。</w:t>
      </w:r>
      <w:r>
        <w:rPr>
          <w:color w:val="auto"/>
          <w:highlight w:val="none"/>
        </w:rPr>
      </w:r>
    </w:p>
    <w:p>
      <w:pPr>
        <w:numPr>
          <w:ilvl w:val="0"/>
          <w:numId w:val="15"/>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有下列情形之一，合同一方可以解除合同：</w:t>
      </w:r>
      <w:r>
        <w:rPr>
          <w:color w:val="auto"/>
          <w:highlight w:val="none"/>
        </w:rPr>
      </w:r>
    </w:p>
    <w:p>
      <w:pPr>
        <w:numPr>
          <w:ilvl w:val="1"/>
          <w:numId w:val="15"/>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因不可抗力致使不能实现合同目的，未受不可抗力影响的一方有权解除合同。</w:t>
      </w:r>
      <w:r>
        <w:rPr>
          <w:color w:val="auto"/>
          <w:highlight w:val="none"/>
        </w:rPr>
      </w:r>
    </w:p>
    <w:p>
      <w:pPr>
        <w:numPr>
          <w:ilvl w:val="1"/>
          <w:numId w:val="15"/>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因合同一方违约导致合同不能履行，另一方有权解除合同。</w:t>
      </w:r>
      <w:r>
        <w:rPr>
          <w:color w:val="auto"/>
          <w:highlight w:val="none"/>
        </w:rPr>
      </w:r>
    </w:p>
    <w:p>
      <w:pPr>
        <w:numPr>
          <w:ilvl w:val="1"/>
          <w:numId w:val="15"/>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乙方在服务期内，服务质量和满意度达不到约定要求，甲方可单方面解除合同。</w:t>
      </w:r>
      <w:r>
        <w:rPr>
          <w:color w:val="auto"/>
          <w:highlight w:val="none"/>
        </w:rPr>
      </w:r>
    </w:p>
    <w:p>
      <w:pPr>
        <w:numPr>
          <w:ilvl w:val="0"/>
          <w:numId w:val="15"/>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有权解除合同的一方，应当在违约事实或不可抗力发生之后三十天内书面通知对方以主张解除合同，合同在书面通知到达对方时解除。</w:t>
      </w:r>
      <w:r>
        <w:rPr>
          <w:color w:val="auto"/>
          <w:highlight w:val="none"/>
        </w:rPr>
      </w:r>
    </w:p>
    <w:p>
      <w:pPr>
        <w:numPr>
          <w:ilvl w:val="0"/>
          <w:numId w:val="15"/>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合同的部分和全部都不得转让。</w:t>
      </w:r>
      <w:r>
        <w:rPr>
          <w:color w:val="auto"/>
          <w:highlight w:val="none"/>
        </w:rPr>
      </w:r>
    </w:p>
    <w:p>
      <w:pPr>
        <w:numPr>
          <w:ilvl w:val="0"/>
          <w:numId w:val="15"/>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如果乙方破产或丧失清偿能力，甲方可在任何时候以书面形式通知乙方终止合同而不给乙方补偿。该终止合同将不损害或影响甲方已经采取或将要采取任何补救措施的权力。</w:t>
      </w:r>
      <w:r>
        <w:rPr>
          <w:color w:val="auto"/>
          <w:highlight w:val="none"/>
        </w:rPr>
      </w:r>
    </w:p>
    <w:p>
      <w:pPr>
        <w:numPr>
          <w:ilvl w:val="0"/>
          <w:numId w:val="15"/>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政府采购合同的双方当事人（指甲乙双方）不得擅自变更、中止或者终止合同。如政府采购合同继续履行将损害国家利益和社会公共利益，采购人有权变更、中止或者终止、解除合同。</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保密条款</w:t>
      </w:r>
      <w:r>
        <w:rPr>
          <w:color w:val="auto"/>
          <w:highlight w:val="none"/>
        </w:rPr>
      </w:r>
    </w:p>
    <w:p>
      <w:pPr>
        <w:numPr>
          <w:ilvl w:val="0"/>
          <w:numId w:val="16"/>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任何一方对其获知的本合同及附件中其他各方的商业秘密和国家秘密等非公开信息负有保密义务。</w:t>
      </w:r>
      <w:r>
        <w:rPr>
          <w:color w:val="auto"/>
          <w:highlight w:val="none"/>
        </w:rPr>
      </w:r>
    </w:p>
    <w:p>
      <w:pPr>
        <w:numPr>
          <w:ilvl w:val="0"/>
          <w:numId w:val="16"/>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color w:val="auto"/>
          <w:highlight w:val="none"/>
        </w:rPr>
      </w:r>
    </w:p>
    <w:p>
      <w:pPr>
        <w:numPr>
          <w:ilvl w:val="0"/>
          <w:numId w:val="16"/>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联系方式</w:t>
      </w:r>
      <w:r>
        <w:rPr>
          <w:color w:val="auto"/>
          <w:highlight w:val="none"/>
        </w:rPr>
      </w:r>
    </w:p>
    <w:p>
      <w:pPr>
        <w:numPr>
          <w:ilvl w:val="0"/>
          <w:numId w:val="17"/>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color w:val="auto"/>
          <w:highlight w:val="none"/>
        </w:rPr>
      </w:r>
    </w:p>
    <w:p>
      <w:pPr>
        <w:numPr>
          <w:ilvl w:val="0"/>
          <w:numId w:val="17"/>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color w:val="auto"/>
          <w:highlight w:val="none"/>
        </w:rPr>
      </w:r>
    </w:p>
    <w:p>
      <w:pPr>
        <w:numPr>
          <w:ilvl w:val="0"/>
          <w:numId w:val="17"/>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上述发出通知、回复的费用由发出一方承担。</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争议的解决</w:t>
      </w:r>
      <w:r>
        <w:rPr>
          <w:color w:val="auto"/>
          <w:highlight w:val="none"/>
        </w:rPr>
      </w:r>
    </w:p>
    <w:p>
      <w:pPr>
        <w:numPr>
          <w:ilvl w:val="0"/>
          <w:numId w:val="18"/>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甲方和乙方应通过友好协商，解决在执行本合同过程中所发生的或与本合同有关的一切争端。如从协商开始十天内仍不能解决，可向有关合同管理部门提请调解。 </w:t>
      </w:r>
      <w:r>
        <w:rPr>
          <w:color w:val="auto"/>
          <w:highlight w:val="none"/>
        </w:rPr>
      </w:r>
    </w:p>
    <w:p>
      <w:pPr>
        <w:numPr>
          <w:ilvl w:val="0"/>
          <w:numId w:val="18"/>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如果调解不成，双方中的任何一方可向人民法院提起诉讼。诉讼由合同签订地人民法院管辖。</w:t>
      </w:r>
      <w:r>
        <w:rPr>
          <w:color w:val="auto"/>
          <w:highlight w:val="none"/>
        </w:rPr>
      </w:r>
    </w:p>
    <w:p>
      <w:pPr>
        <w:numPr>
          <w:ilvl w:val="0"/>
          <w:numId w:val="18"/>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诉讼费由败诉方负担。</w:t>
      </w:r>
      <w:r>
        <w:rPr>
          <w:color w:val="auto"/>
          <w:highlight w:val="none"/>
        </w:rPr>
      </w:r>
    </w:p>
    <w:p>
      <w:pPr>
        <w:numPr>
          <w:ilvl w:val="0"/>
          <w:numId w:val="18"/>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因合同部分履行引发诉讼的，在诉讼期间，除正在进行诉讼的部分外，本合同的其它部分应继续执行。</w:t>
      </w:r>
      <w:r>
        <w:rPr>
          <w:color w:val="auto"/>
          <w:highlight w:val="none"/>
        </w:rPr>
      </w:r>
    </w:p>
    <w:p>
      <w:pPr>
        <w:numPr>
          <w:ilvl w:val="0"/>
          <w:numId w:val="6"/>
        </w:numPr>
        <w:ind w:firstLine="482"/>
        <w:spacing w:line="360" w:lineRule="auto"/>
        <w:widowControl w:val="off"/>
        <w:rPr>
          <w:rFonts w:ascii="宋体" w:hAnsi="宋体" w:cs="宋体"/>
          <w:b/>
          <w:color w:val="auto"/>
          <w:sz w:val="24"/>
          <w:szCs w:val="22"/>
          <w:highlight w:val="none"/>
        </w:rPr>
      </w:pPr>
      <w:r>
        <w:rPr>
          <w:rFonts w:hint="eastAsia" w:ascii="宋体" w:hAnsi="宋体" w:cs="宋体"/>
          <w:b/>
          <w:color w:val="auto"/>
          <w:sz w:val="24"/>
          <w:szCs w:val="22"/>
          <w:highlight w:val="none"/>
        </w:rPr>
        <w:t xml:space="preserve">合同生效及其它</w:t>
      </w:r>
      <w:r>
        <w:rPr>
          <w:color w:val="auto"/>
          <w:highlight w:val="none"/>
        </w:rPr>
      </w:r>
    </w:p>
    <w:p>
      <w:pPr>
        <w:numPr>
          <w:ilvl w:val="0"/>
          <w:numId w:val="19"/>
        </w:numPr>
        <w:ind w:left="0" w:firstLine="480"/>
        <w:spacing w:line="360" w:lineRule="auto"/>
        <w:widowControl w:val="off"/>
        <w:rPr>
          <w:rFonts w:ascii="宋体" w:hAnsi="宋体" w:cs="宋体"/>
          <w:color w:val="auto"/>
          <w:sz w:val="24"/>
          <w:szCs w:val="22"/>
          <w:highlight w:val="none"/>
        </w:rPr>
      </w:pPr>
      <w:r>
        <w:rPr>
          <w:color w:val="auto"/>
          <w:highlight w:val="none"/>
        </w:rPr>
      </w:r>
      <w:bookmarkStart w:id="83" w:name="_Hlk160809803"/>
      <w:r>
        <w:rPr>
          <w:rFonts w:hint="eastAsia" w:ascii="宋体" w:hAnsi="宋体" w:cs="宋体"/>
          <w:color w:val="auto"/>
          <w:sz w:val="24"/>
          <w:szCs w:val="22"/>
          <w:highlight w:val="none"/>
        </w:rPr>
        <w:t xml:space="preserve">如甲乙双方通过“苏采云”系统线上签订电子合同的，则本合同自双方在“苏采云”系统中加盖电子印章之日起生效。如甲乙双方签订纸质合同的，则本合同自甲乙双方签章之日起生效。</w:t>
      </w:r>
      <w:bookmarkEnd w:id="83"/>
      <w:r>
        <w:rPr>
          <w:color w:val="auto"/>
          <w:highlight w:val="none"/>
        </w:rPr>
      </w:r>
      <w:r>
        <w:rPr>
          <w:color w:val="auto"/>
          <w:highlight w:val="none"/>
        </w:rPr>
      </w:r>
    </w:p>
    <w:p>
      <w:pPr>
        <w:numPr>
          <w:ilvl w:val="0"/>
          <w:numId w:val="1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如签署纸质合同，合同壹式伍份，甲乙双方各执贰份，代理机构壹份，具有同等法律效力。</w:t>
      </w:r>
      <w:r>
        <w:rPr>
          <w:color w:val="auto"/>
          <w:highlight w:val="none"/>
        </w:rPr>
      </w:r>
    </w:p>
    <w:p>
      <w:pPr>
        <w:numPr>
          <w:ilvl w:val="0"/>
          <w:numId w:val="19"/>
        </w:numPr>
        <w:ind w:left="0" w:firstLine="480"/>
        <w:spacing w:line="360" w:lineRule="auto"/>
        <w:widowControl w:val="off"/>
        <w:rPr>
          <w:rFonts w:ascii="宋体" w:hAnsi="宋体" w:cs="宋体"/>
          <w:color w:val="auto"/>
          <w:sz w:val="24"/>
          <w:szCs w:val="22"/>
          <w:highlight w:val="none"/>
        </w:rPr>
      </w:pPr>
      <w:r>
        <w:rPr>
          <w:rFonts w:hint="eastAsia" w:ascii="宋体" w:hAnsi="宋体" w:cs="宋体"/>
          <w:color w:val="auto"/>
          <w:sz w:val="24"/>
          <w:szCs w:val="22"/>
          <w:highlight w:val="none"/>
        </w:rPr>
        <w:t xml:space="preserve">本合同系指本文件及其附件中的所有部分，采购文件、中标的响应文件、中标通知书、中标人在采购过程中的澄清和承诺等为本合同不可缺少的组成部分。本合同履行过程中发生相关修改内容，须符合《中华人民共和国政府采购法》和相关法律法规规定；补充协议作为本合同不可分割的一部分。</w:t>
      </w:r>
      <w:r>
        <w:rPr>
          <w:color w:val="auto"/>
          <w:highlight w:val="none"/>
        </w:rPr>
      </w:r>
    </w:p>
    <w:p>
      <w:pPr>
        <w:numPr>
          <w:ilvl w:val="0"/>
          <w:numId w:val="19"/>
        </w:numPr>
        <w:ind w:left="0" w:firstLine="480"/>
        <w:spacing w:line="360" w:lineRule="auto"/>
        <w:widowControl w:val="off"/>
        <w:rPr>
          <w:rFonts w:ascii="宋体" w:hAnsi="宋体" w:cs="宋体"/>
          <w:bCs/>
          <w:color w:val="auto"/>
          <w:sz w:val="24"/>
          <w:szCs w:val="24"/>
          <w:highlight w:val="none"/>
        </w:rPr>
      </w:pPr>
      <w:r>
        <w:rPr>
          <w:rFonts w:hint="eastAsia" w:ascii="宋体" w:hAnsi="宋体" w:cs="宋体"/>
          <w:color w:val="auto"/>
          <w:sz w:val="24"/>
          <w:szCs w:val="22"/>
          <w:highlight w:val="none"/>
        </w:rPr>
        <w:t xml:space="preserve">本合同应按照中华人民共和国的现行法律进行解释。</w:t>
      </w:r>
      <w:r>
        <w:rPr>
          <w:rFonts w:hint="eastAsia" w:ascii="宋体" w:hAnsi="宋体" w:cs="宋体"/>
          <w:bCs/>
          <w:color w:val="auto"/>
          <w:sz w:val="24"/>
          <w:szCs w:val="24"/>
          <w:highlight w:val="none"/>
        </w:rPr>
        <w:br w:type="page" w:clear="all"/>
      </w:r>
      <w:r>
        <w:rPr>
          <w:color w:val="auto"/>
          <w:highlight w:val="none"/>
        </w:rPr>
      </w:r>
    </w:p>
    <w:p>
      <w:pPr>
        <w:pStyle w:val="1117"/>
        <w:ind w:left="0" w:firstLine="0"/>
        <w:jc w:val="center"/>
        <w:rPr>
          <w:rFonts w:ascii="宋体" w:hAnsi="宋体" w:cs="宋体"/>
          <w:b/>
          <w:color w:val="auto"/>
          <w:sz w:val="44"/>
          <w:szCs w:val="44"/>
          <w:highlight w:val="none"/>
        </w:rPr>
      </w:pPr>
      <w:r>
        <w:rPr>
          <w:color w:val="auto"/>
          <w:highlight w:val="none"/>
        </w:rPr>
      </w:r>
      <w:bookmarkStart w:id="84" w:name="评分要点"/>
      <w:r>
        <w:rPr>
          <w:color w:val="auto"/>
          <w:highlight w:val="none"/>
        </w:rPr>
      </w:r>
      <w:bookmarkEnd w:id="84"/>
      <w:r>
        <w:rPr>
          <w:color w:val="auto"/>
          <w:highlight w:val="none"/>
        </w:rPr>
      </w:r>
      <w:r>
        <w:rPr>
          <w:color w:val="auto"/>
          <w:highlight w:val="none"/>
        </w:rPr>
      </w:r>
    </w:p>
    <w:p>
      <w:pPr>
        <w:pStyle w:val="1117"/>
        <w:ind w:left="0" w:firstLine="0"/>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pStyle w:val="1117"/>
        <w:ind w:left="0" w:firstLine="0"/>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p>
    <w:p>
      <w:pPr>
        <w:rPr>
          <w:color w:val="auto"/>
          <w:highlight w:val="none"/>
        </w:rPr>
      </w:pPr>
      <w:r>
        <w:rPr>
          <w:color w:val="auto"/>
          <w:highlight w:val="none"/>
        </w:rPr>
      </w:r>
      <w:r>
        <w:rPr>
          <w:color w:val="auto"/>
          <w:highlight w:val="none"/>
        </w:rPr>
      </w:r>
    </w:p>
    <w:p>
      <w:pPr>
        <w:pStyle w:val="1117"/>
        <w:numPr>
          <w:ilvl w:val="0"/>
          <w:numId w:val="3"/>
        </w:numPr>
        <w:ind w:left="0" w:firstLine="0"/>
        <w:jc w:val="center"/>
        <w:spacing w:line="579" w:lineRule="auto"/>
        <w:rPr>
          <w:rFonts w:ascii="宋体" w:hAnsi="宋体" w:cs="宋体"/>
          <w:b/>
          <w:color w:val="auto"/>
          <w:sz w:val="44"/>
          <w:szCs w:val="44"/>
          <w:highlight w:val="none"/>
        </w:rPr>
      </w:pPr>
      <w:r>
        <w:rPr>
          <w:rFonts w:hint="eastAsia" w:ascii="宋体" w:hAnsi="宋体" w:cs="宋体"/>
          <w:b/>
          <w:color w:val="auto"/>
          <w:sz w:val="44"/>
          <w:szCs w:val="44"/>
          <w:highlight w:val="none"/>
        </w:rPr>
        <w:t xml:space="preserve"> </w:t>
      </w:r>
      <w:bookmarkStart w:id="85" w:name="_Toc27775"/>
      <w:r>
        <w:rPr>
          <w:color w:val="auto"/>
          <w:highlight w:val="none"/>
        </w:rPr>
      </w:r>
      <w:bookmarkStart w:id="86" w:name="_Toc4090"/>
      <w:r>
        <w:rPr>
          <w:rFonts w:hint="eastAsia" w:ascii="宋体" w:hAnsi="宋体" w:cs="宋体"/>
          <w:b/>
          <w:color w:val="auto"/>
          <w:sz w:val="44"/>
          <w:szCs w:val="44"/>
          <w:highlight w:val="none"/>
        </w:rPr>
        <w:t xml:space="preserve">评审办法</w:t>
      </w:r>
      <w:bookmarkEnd w:id="71"/>
      <w:r>
        <w:rPr>
          <w:color w:val="auto"/>
          <w:highlight w:val="none"/>
        </w:rPr>
      </w:r>
      <w:bookmarkEnd w:id="72"/>
      <w:r>
        <w:rPr>
          <w:color w:val="auto"/>
          <w:highlight w:val="none"/>
        </w:rPr>
      </w:r>
      <w:bookmarkEnd w:id="73"/>
      <w:r>
        <w:rPr>
          <w:color w:val="auto"/>
          <w:highlight w:val="none"/>
        </w:rPr>
      </w:r>
      <w:bookmarkEnd w:id="74"/>
      <w:r>
        <w:rPr>
          <w:color w:val="auto"/>
          <w:highlight w:val="none"/>
        </w:rPr>
      </w:r>
      <w:bookmarkEnd w:id="81"/>
      <w:r>
        <w:rPr>
          <w:color w:val="auto"/>
          <w:highlight w:val="none"/>
        </w:rPr>
      </w:r>
      <w:bookmarkEnd w:id="85"/>
      <w:r>
        <w:rPr>
          <w:color w:val="auto"/>
          <w:highlight w:val="none"/>
        </w:rPr>
      </w:r>
      <w:bookmarkEnd w:id="86"/>
      <w:r>
        <w:rPr>
          <w:color w:val="auto"/>
          <w:highlight w:val="none"/>
        </w:rPr>
      </w:r>
      <w:r>
        <w:rPr>
          <w:color w:val="auto"/>
          <w:highlight w:val="none"/>
        </w:rPr>
      </w:r>
    </w:p>
    <w:p>
      <w:pPr>
        <w:pStyle w:val="1126"/>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p>
    <w:p>
      <w:pPr>
        <w:ind w:left="0" w:firstLine="480"/>
        <w:spacing w:line="348" w:lineRule="auto"/>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szCs w:val="24"/>
          <w:highlight w:val="none"/>
          <w:lang w:val="zh-CN"/>
        </w:rPr>
        <w:t xml:space="preserve">一、评审方法</w:t>
      </w:r>
      <w:r>
        <w:rPr>
          <w:color w:val="auto"/>
          <w:highlight w:val="none"/>
        </w:rPr>
      </w:r>
    </w:p>
    <w:p>
      <w:pPr>
        <w:ind w:left="0" w:firstLine="48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1、本次磋商采用综合评分法，即在响应文件满足采购文件全部实质性要求且按评审因素的量化指标评审得分最高的供应商为成交候选供应商。采购人书面授权磋商小组直接确定成交单位。</w:t>
      </w:r>
      <w:r>
        <w:rPr>
          <w:color w:val="auto"/>
          <w:highlight w:val="none"/>
        </w:rPr>
      </w:r>
    </w:p>
    <w:p>
      <w:pPr>
        <w:ind w:left="0" w:firstLine="48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2、评审小组各成员独立对每个进入打分程序的有效磋商供应商的响应文件技术和资质部分以打分的形式进行评审和评价。</w:t>
      </w:r>
      <w:r>
        <w:rPr>
          <w:color w:val="auto"/>
          <w:highlight w:val="none"/>
        </w:rPr>
      </w:r>
    </w:p>
    <w:p>
      <w:pPr>
        <w:ind w:left="0" w:firstLine="48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3、对评委的评分（除价格分外）进行统计汇总，直接算术平均计算出每个磋商供应商的得分，加上价格得分即为每个磋商供应商的综合得分。</w:t>
      </w:r>
      <w:r>
        <w:rPr>
          <w:color w:val="auto"/>
          <w:highlight w:val="none"/>
        </w:rPr>
      </w:r>
    </w:p>
    <w:p>
      <w:pPr>
        <w:ind w:left="0" w:firstLine="48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4、如出现评审总得分最高的磋商供应商有两个或两个以上的，以磋商报价较低者优先作为成交候选人，如果磋商报价也相同的，则由采购人组织以抽签方式确定成交候选人。</w:t>
      </w:r>
      <w:r>
        <w:rPr>
          <w:color w:val="auto"/>
          <w:highlight w:val="none"/>
        </w:rPr>
      </w:r>
    </w:p>
    <w:p>
      <w:pPr>
        <w:ind w:left="0" w:firstLine="482"/>
        <w:spacing w:line="348" w:lineRule="auto"/>
        <w:widowControl w:val="off"/>
        <w:rPr>
          <w:rStyle w:val="1158"/>
          <w:rFonts w:ascii="宋体" w:hAnsi="宋体" w:cs="宋体"/>
          <w:b/>
          <w:bCs/>
          <w:color w:val="auto"/>
          <w:sz w:val="24"/>
          <w:szCs w:val="24"/>
          <w:highlight w:val="none"/>
        </w:rPr>
      </w:pPr>
      <w:r>
        <w:rPr>
          <w:rStyle w:val="1158"/>
          <w:rFonts w:hint="eastAsia" w:ascii="宋体" w:hAnsi="宋体" w:cs="宋体"/>
          <w:b/>
          <w:bCs/>
          <w:color w:val="auto"/>
          <w:sz w:val="24"/>
          <w:szCs w:val="24"/>
          <w:highlight w:val="none"/>
        </w:rPr>
        <w:t xml:space="preserve">二、评分标准</w:t>
      </w:r>
      <w:r>
        <w:rPr>
          <w:color w:val="auto"/>
          <w:highlight w:val="none"/>
        </w:rPr>
      </w:r>
    </w:p>
    <w:p>
      <w:pPr>
        <w:ind w:left="0" w:firstLine="482"/>
        <w:spacing w:line="360" w:lineRule="auto"/>
        <w:widowControl w:val="off"/>
        <w:tabs>
          <w:tab w:val="left" w:pos="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（一）价格分：10分</w:t>
      </w:r>
      <w:r>
        <w:rPr>
          <w:color w:val="auto"/>
          <w:highlight w:val="none"/>
        </w:rPr>
      </w:r>
    </w:p>
    <w:p>
      <w:pPr>
        <w:ind w:left="0" w:firstLine="48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第一步：投标报价低于或等于财政预算价格（或最高限价）的，为有效投标报价。超财政预算（或最高限价）的投标报价为无效投标报价。</w:t>
      </w:r>
      <w:r>
        <w:rPr>
          <w:color w:val="auto"/>
          <w:highlight w:val="none"/>
        </w:rPr>
      </w:r>
    </w:p>
    <w:p>
      <w:pPr>
        <w:ind w:left="0" w:firstLine="48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第二步：在所有有效投标报价中满足招标文件要求，且投标价格最低的投标报价为评标基准价，其他响应单位的价格分按照下列公式计算（计算结果四舍五入保留两位小数）。</w:t>
      </w:r>
      <w:r>
        <w:rPr>
          <w:color w:val="auto"/>
          <w:highlight w:val="none"/>
        </w:rPr>
      </w:r>
    </w:p>
    <w:p>
      <w:pPr>
        <w:ind w:left="0" w:firstLine="480"/>
        <w:spacing w:line="360" w:lineRule="auto"/>
        <w:widowControl w:val="off"/>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投标报价得分＝（评标基准价/投标报价）×10％×100</w:t>
      </w:r>
      <w:r>
        <w:rPr>
          <w:color w:val="auto"/>
          <w:highlight w:val="none"/>
        </w:rPr>
      </w:r>
    </w:p>
    <w:p>
      <w:pPr>
        <w:ind w:left="0" w:firstLine="482"/>
        <w:spacing w:line="360" w:lineRule="auto"/>
        <w:widowControl w:val="off"/>
        <w:tabs>
          <w:tab w:val="left" w:pos="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（二）技术、商务部分：90分</w:t>
      </w:r>
      <w:r>
        <w:rPr>
          <w:color w:val="auto"/>
          <w:highlight w:val="none"/>
        </w:rPr>
      </w:r>
    </w:p>
    <w:p>
      <w:pPr>
        <w:numPr>
          <w:ilvl w:val="0"/>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项目服务方案（60分）</w:t>
      </w:r>
      <w:r>
        <w:rPr>
          <w:color w:val="auto"/>
          <w:highlight w:val="none"/>
        </w:rPr>
      </w:r>
    </w:p>
    <w:p>
      <w:pPr>
        <w:numPr>
          <w:ilvl w:val="1"/>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针对本项目的供餐组织实施方案（20分）</w:t>
      </w:r>
      <w:r>
        <w:rPr>
          <w:color w:val="auto"/>
          <w:highlight w:val="none"/>
        </w:rPr>
      </w:r>
    </w:p>
    <w:p>
      <w:pPr>
        <w:numPr>
          <w:ilvl w:val="2"/>
          <w:numId w:val="20"/>
        </w:num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病人的营养餐服务管理实施方案（5分）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2"/>
          <w:numId w:val="20"/>
        </w:num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医院职工餐服务管理实施方案（5分）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2"/>
          <w:numId w:val="20"/>
        </w:num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病人家属的外客用餐服务管理实施方案（5分）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2"/>
          <w:numId w:val="20"/>
        </w:num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值班人员用餐送餐的具体服务方案（5分）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1"/>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针对本项目服务工作的平稳过渡、进退场交接方案（5分）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1"/>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针对本项目的工作制度和工作标准等。（10分）</w:t>
      </w:r>
      <w:r>
        <w:rPr>
          <w:color w:val="auto"/>
          <w:highlight w:val="none"/>
        </w:rPr>
      </w:r>
    </w:p>
    <w:p>
      <w:pPr>
        <w:numPr>
          <w:ilvl w:val="2"/>
          <w:numId w:val="20"/>
        </w:num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响应单位质量管理制度、安全卫生管理制度、内部员工的奖惩制度、满意度调查制度（7分）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制度完善、具体且可行性强的得7分；制度较完善且可行性较强的得5分；制度基本完善且具有一定可行性的得3分；制度欠缺或可行性较差的得1分；未提供不得分。</w:t>
      </w:r>
      <w:r>
        <w:rPr>
          <w:color w:val="auto"/>
          <w:highlight w:val="none"/>
        </w:rPr>
      </w:r>
    </w:p>
    <w:p>
      <w:pPr>
        <w:numPr>
          <w:ilvl w:val="2"/>
          <w:numId w:val="20"/>
        </w:num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响应单位对本项目制作的日常管理流程图的详实性、可行性（3分）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日常管理流程详实、具体且可行性强的得3分；日常管理流程基本完整且具有一定可行性的得2分；日常管理流程欠缺或可行性较差的得1分；未提供不得分。</w:t>
      </w:r>
      <w:r>
        <w:rPr>
          <w:color w:val="auto"/>
          <w:highlight w:val="none"/>
        </w:rPr>
      </w:r>
    </w:p>
    <w:p>
      <w:pPr>
        <w:numPr>
          <w:ilvl w:val="1"/>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节能方面的实施方案（5分）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1"/>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针对本项目提供设备设施的使用、维护方案（5分）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1"/>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针对本项目突发事件紧急预案：（15分）</w:t>
      </w:r>
      <w:r>
        <w:rPr>
          <w:color w:val="auto"/>
          <w:highlight w:val="none"/>
        </w:rPr>
      </w:r>
    </w:p>
    <w:p>
      <w:pPr>
        <w:numPr>
          <w:ilvl w:val="2"/>
          <w:numId w:val="20"/>
        </w:num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停水、停电等情况下的应急处置预案（5分）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2"/>
          <w:numId w:val="20"/>
        </w:num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食品安全事故紧急预案（5分）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2"/>
          <w:numId w:val="20"/>
        </w:num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其他突发事件的紧急预案（5分）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方案完整、科学合理、可行性强得5分；方案基本完整、基本科学合理、可行性较强得3分；方案完整性、科学合理性、可行性差得1分；未提供不得分。</w:t>
      </w:r>
      <w:r>
        <w:rPr>
          <w:color w:val="auto"/>
          <w:highlight w:val="none"/>
        </w:rPr>
      </w:r>
    </w:p>
    <w:p>
      <w:pPr>
        <w:numPr>
          <w:ilvl w:val="0"/>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本项目配备人员及人员专项能力比较（7分）</w:t>
      </w:r>
      <w:r>
        <w:rPr>
          <w:color w:val="auto"/>
          <w:highlight w:val="none"/>
        </w:rPr>
      </w:r>
    </w:p>
    <w:p>
      <w:pPr>
        <w:ind w:left="0"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 拟派项目负责人具有高级职业经理人证书得3分。</w:t>
      </w:r>
      <w:r>
        <w:rPr>
          <w:color w:val="auto"/>
          <w:highlight w:val="none"/>
        </w:rPr>
      </w:r>
    </w:p>
    <w:p>
      <w:pPr>
        <w:ind w:left="0"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（注：响应文件中须提供响应单位为其缴纳的</w:t>
      </w:r>
      <w:r>
        <w:rPr>
          <w:rFonts w:hint="eastAsia" w:ascii="宋体" w:hAnsi="宋体" w:cs="宋体"/>
          <w:b/>
          <w:color w:val="auto"/>
          <w:sz w:val="24"/>
          <w:szCs w:val="24"/>
          <w:highlight w:val="none"/>
        </w:rPr>
        <w:t xml:space="preserve">近6个月连续</w:t>
      </w:r>
      <w:r>
        <w:rPr>
          <w:rFonts w:hint="eastAsia" w:ascii="宋体" w:hAnsi="宋体" w:cs="宋体"/>
          <w:b/>
          <w:color w:val="auto"/>
          <w:sz w:val="24"/>
          <w:szCs w:val="24"/>
          <w:highlight w:val="none"/>
        </w:rPr>
        <w:t xml:space="preserve">社保证明以及人员证明材料扫描件。未提供社保证明与证明材料扫描件均不得分。）</w:t>
      </w:r>
      <w:r>
        <w:rPr>
          <w:color w:val="auto"/>
          <w:highlight w:val="none"/>
        </w:rPr>
      </w:r>
    </w:p>
    <w:p>
      <w:pPr>
        <w:ind w:left="0"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2.2 拟派人员具有烹调师高级证书的，得2分；具有面点师高级证书的得2分；同一人不得重复得分，本项最高得4分。</w:t>
      </w:r>
      <w:r>
        <w:rPr>
          <w:color w:val="auto"/>
          <w:highlight w:val="none"/>
        </w:rPr>
      </w:r>
    </w:p>
    <w:p>
      <w:pPr>
        <w:ind w:left="0"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（注：响应文件中须提供响应单位为其缴纳的近</w:t>
      </w:r>
      <w:r>
        <w:rPr>
          <w:rFonts w:hint="eastAsia" w:ascii="宋体" w:hAnsi="宋体" w:cs="宋体"/>
          <w:b/>
          <w:color w:val="auto"/>
          <w:sz w:val="24"/>
          <w:szCs w:val="24"/>
          <w:highlight w:val="none"/>
        </w:rPr>
        <w:t xml:space="preserve">6个月连续社</w:t>
      </w:r>
      <w:r>
        <w:rPr>
          <w:rFonts w:hint="eastAsia" w:ascii="宋体" w:hAnsi="宋体" w:cs="宋体"/>
          <w:b/>
          <w:color w:val="auto"/>
          <w:sz w:val="24"/>
          <w:szCs w:val="24"/>
          <w:highlight w:val="none"/>
        </w:rPr>
        <w:t xml:space="preserve">保证明以及人员证明材料扫描件。未提供社保证明与证明材料扫描件均不得分。）</w:t>
      </w:r>
      <w:r>
        <w:rPr>
          <w:color w:val="auto"/>
          <w:highlight w:val="none"/>
        </w:rPr>
      </w:r>
    </w:p>
    <w:p>
      <w:pPr>
        <w:numPr>
          <w:ilvl w:val="0"/>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响应单位综合评价（10分）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响应单位具备有效期内的食品安全管理体系认证证书、质量管理体系认证证书、环境管理体系认证证书、职业安全健康体系认证证书、HACCP危害分析及关键点控制体系认证证书，每提供一项得2分，最高得10分。</w:t>
      </w:r>
      <w:r>
        <w:rPr>
          <w:color w:val="auto"/>
          <w:highlight w:val="none"/>
        </w:rPr>
      </w:r>
    </w:p>
    <w:p>
      <w:pPr>
        <w:ind w:left="0"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（注：响应文件中提供以上证书扫描件或在中国国家认证认可监督管理委员会官方网站的查询截图，未提供不得分。）</w:t>
      </w:r>
      <w:r>
        <w:rPr>
          <w:color w:val="auto"/>
          <w:highlight w:val="none"/>
        </w:rPr>
      </w:r>
    </w:p>
    <w:p>
      <w:pPr>
        <w:numPr>
          <w:ilvl w:val="0"/>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类似业绩（8分）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响应单位提供自</w:t>
      </w:r>
      <w:r>
        <w:rPr>
          <w:rFonts w:hint="eastAsia" w:ascii="宋体" w:hAnsi="宋体" w:cs="宋体"/>
          <w:color w:val="auto"/>
          <w:sz w:val="24"/>
          <w:szCs w:val="24"/>
          <w:highlight w:val="none"/>
        </w:rPr>
        <w:t xml:space="preserve">2022年1月1日</w:t>
      </w:r>
      <w:r>
        <w:rPr>
          <w:rFonts w:hint="eastAsia" w:ascii="宋体" w:hAnsi="宋体" w:cs="宋体"/>
          <w:color w:val="auto"/>
          <w:sz w:val="24"/>
          <w:szCs w:val="24"/>
          <w:highlight w:val="none"/>
        </w:rPr>
        <w:t xml:space="preserve">（以合同签订日期为准）以来承担的类似项目业绩，每具备1项业绩得2分，最高得8分。</w:t>
      </w:r>
      <w:r>
        <w:rPr>
          <w:color w:val="auto"/>
          <w:highlight w:val="none"/>
        </w:rPr>
      </w:r>
    </w:p>
    <w:p>
      <w:pPr>
        <w:ind w:left="0"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注：</w:t>
      </w:r>
      <w:r>
        <w:rPr>
          <w:rFonts w:hint="eastAsia" w:ascii="宋体" w:hAnsi="宋体" w:cs="宋体"/>
          <w:b/>
          <w:color w:val="auto"/>
          <w:sz w:val="24"/>
          <w:szCs w:val="24"/>
          <w:highlight w:val="none"/>
        </w:rPr>
        <w:t xml:space="preserve">须提供合同</w:t>
      </w:r>
      <w:r>
        <w:rPr>
          <w:rFonts w:hint="eastAsia" w:ascii="宋体" w:hAnsi="宋体" w:cs="宋体"/>
          <w:b/>
          <w:bCs/>
          <w:color w:val="auto"/>
          <w:sz w:val="24"/>
          <w:szCs w:val="24"/>
          <w:highlight w:val="none"/>
        </w:rPr>
        <w:t xml:space="preserve">扫描</w:t>
      </w:r>
      <w:r>
        <w:rPr>
          <w:rFonts w:hint="eastAsia" w:ascii="宋体" w:hAnsi="宋体" w:cs="宋体"/>
          <w:b/>
          <w:color w:val="auto"/>
          <w:sz w:val="24"/>
          <w:szCs w:val="24"/>
          <w:highlight w:val="none"/>
        </w:rPr>
        <w:t xml:space="preserve">件，未提供不得分。）</w:t>
      </w:r>
      <w:r>
        <w:rPr>
          <w:color w:val="auto"/>
          <w:highlight w:val="none"/>
        </w:rPr>
      </w:r>
    </w:p>
    <w:p>
      <w:pPr>
        <w:numPr>
          <w:ilvl w:val="0"/>
          <w:numId w:val="20"/>
        </w:numPr>
        <w:ind w:left="0"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企业荣誉（5分）</w:t>
      </w:r>
      <w:r>
        <w:rPr>
          <w:color w:val="auto"/>
          <w:highlight w:val="none"/>
        </w:rPr>
      </w:r>
    </w:p>
    <w:p>
      <w:p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响应单位提供自</w:t>
      </w:r>
      <w:r>
        <w:rPr>
          <w:rFonts w:hint="eastAsia" w:ascii="宋体" w:hAnsi="宋体" w:cs="宋体"/>
          <w:color w:val="auto"/>
          <w:sz w:val="24"/>
          <w:szCs w:val="24"/>
          <w:highlight w:val="none"/>
        </w:rPr>
        <w:t xml:space="preserve">2022年1月1日</w:t>
      </w:r>
      <w:r>
        <w:rPr>
          <w:rFonts w:hint="eastAsia" w:ascii="宋体" w:hAnsi="宋体" w:cs="宋体"/>
          <w:color w:val="auto"/>
          <w:sz w:val="24"/>
          <w:szCs w:val="24"/>
          <w:highlight w:val="none"/>
        </w:rPr>
        <w:t xml:space="preserve">以来，获得过省级荣誉表彰的，每个得2分；获得过国家级荣誉表彰的，每个得3分，最高得5分。</w:t>
      </w:r>
      <w:r>
        <w:rPr>
          <w:color w:val="auto"/>
          <w:highlight w:val="none"/>
        </w:rPr>
      </w:r>
    </w:p>
    <w:p>
      <w:pPr>
        <w:ind w:left="0" w:firstLine="482"/>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（注：须提供证书扫描件，未提供不得分。）</w:t>
      </w:r>
      <w:r>
        <w:rPr>
          <w:color w:val="auto"/>
          <w:highlight w:val="none"/>
        </w:rPr>
      </w:r>
    </w:p>
    <w:p>
      <w:pPr>
        <w:ind w:left="0" w:firstLine="482"/>
        <w:jc w:val="left"/>
        <w:spacing w:line="360" w:lineRule="auto"/>
        <w:widowControl w:val="off"/>
        <w:rPr>
          <w:rFonts w:ascii="宋体" w:hAnsi="宋体" w:cs="宋体"/>
          <w:b/>
          <w:color w:val="auto"/>
          <w:sz w:val="24"/>
          <w:szCs w:val="24"/>
          <w:highlight w:val="none"/>
        </w:rPr>
      </w:pPr>
      <w:r>
        <w:rPr>
          <w:rFonts w:ascii="宋体" w:hAnsi="宋体" w:cs="宋体"/>
          <w:b/>
          <w:color w:val="auto"/>
          <w:sz w:val="24"/>
          <w:szCs w:val="24"/>
          <w:highlight w:val="none"/>
        </w:rPr>
      </w:r>
      <w:r>
        <w:rPr>
          <w:color w:val="auto"/>
          <w:highlight w:val="none"/>
        </w:rPr>
      </w:r>
    </w:p>
    <w:p>
      <w:pPr>
        <w:ind w:left="0" w:firstLine="482"/>
        <w:jc w:val="left"/>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注：①针对评分标准中评分的每一条，响应单位在响应文件中均应提供相关资料并作出相应说明供评委评判，不提供相关资料，提供的材料不全、不符、说明不清晰或不提供的,视为不具备该项得分的条件。</w:t>
      </w:r>
      <w:r>
        <w:rPr>
          <w:color w:val="auto"/>
          <w:highlight w:val="none"/>
        </w:rPr>
      </w:r>
    </w:p>
    <w:p>
      <w:pPr>
        <w:ind w:left="0" w:firstLine="482"/>
        <w:jc w:val="left"/>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②所有扫描件字迹须复印清晰可见，扫描不全或字迹不清晰的，视为未提供。</w:t>
      </w:r>
      <w:r>
        <w:rPr>
          <w:color w:val="auto"/>
          <w:highlight w:val="none"/>
        </w:rPr>
      </w:r>
    </w:p>
    <w:p>
      <w:pPr>
        <w:ind w:left="0" w:firstLine="482"/>
        <w:spacing w:line="348" w:lineRule="auto"/>
        <w:widowControl w:val="off"/>
        <w:rPr>
          <w:rStyle w:val="1158"/>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p>
    <w:p>
      <w:pPr>
        <w:ind w:left="0" w:firstLine="482"/>
        <w:jc w:val="right"/>
        <w:spacing w:line="348" w:lineRule="auto"/>
        <w:widowControl w:val="off"/>
        <w:tabs>
          <w:tab w:val="left" w:pos="8417" w:leader="none"/>
          <w:tab w:val="right" w:pos="9983" w:leader="none"/>
        </w:tabs>
        <w:rPr>
          <w:rFonts w:ascii="宋体" w:hAnsi="宋体" w:cs="宋体"/>
          <w:color w:val="auto"/>
          <w:sz w:val="24"/>
          <w:szCs w:val="24"/>
          <w:highlight w:val="none"/>
        </w:rPr>
      </w:pPr>
      <w:r>
        <w:rPr>
          <w:rStyle w:val="1158"/>
          <w:rFonts w:hint="eastAsia" w:ascii="宋体" w:hAnsi="宋体" w:cs="宋体"/>
          <w:b/>
          <w:bCs/>
          <w:color w:val="auto"/>
          <w:sz w:val="24"/>
          <w:szCs w:val="24"/>
          <w:highlight w:val="none"/>
        </w:rPr>
        <w:t xml:space="preserve">（全文完）</w:t>
      </w:r>
      <w:r>
        <w:rPr>
          <w:color w:val="auto"/>
          <w:highlight w:val="none"/>
        </w:rPr>
      </w:r>
    </w:p>
    <w:sectPr>
      <w:headerReference w:type="default" r:id="rId11"/>
      <w:headerReference w:type="first" r:id="rId12"/>
      <w:footerReference w:type="default" r:id="rId20"/>
      <w:footerReference w:type="first" r:id="rId21"/>
      <w:footnotePr/>
      <w:endnotePr/>
      <w:type w:val="nextPage"/>
      <w:pgSz w:w="11906" w:h="16838" w:orient="portrait"/>
      <w:pgMar w:top="1418" w:right="1021" w:bottom="1418" w:left="1021" w:header="794"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KaiTi_GB2312">
    <w:panose1 w:val="0201060906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rPr>
        <w:rStyle w:val="1146"/>
      </w:rPr>
      <w:framePr w:wrap="around" w:vAnchor="text" w:hAnchor="margin" w:xAlign="center" w:y="1"/>
    </w:pPr>
    <w:r>
      <w:fldChar w:fldCharType="begin"/>
    </w:r>
    <w:r>
      <w:rPr>
        <w:rStyle w:val="1146"/>
      </w:rPr>
      <w:instrText xml:space="preserve"> PAGE </w:instrText>
    </w:r>
    <w:r>
      <w:fldChar w:fldCharType="end"/>
    </w:r>
    <w:r/>
  </w:p>
  <w:p>
    <w:pPr>
      <w:pStyle w:val="11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framePr w:wrap="around" w:vAnchor="text" w:hAnchor="margin" w:xAlign="center" w:y="1"/>
    </w:pPr>
    <w:r>
      <w:fldChar w:fldCharType="begin"/>
    </w:r>
    <w:r>
      <w:rPr>
        <w:rStyle w:val="1146"/>
      </w:rPr>
      <w:instrText xml:space="preserve"> PAGE </w:instrText>
    </w:r>
    <w:r>
      <w:fldChar w:fldCharType="separate"/>
    </w:r>
    <w:r>
      <w:rPr>
        <w:rStyle w:val="1146"/>
      </w:rPr>
      <w:t xml:space="preserve">- 0 -</w:t>
    </w:r>
    <w:r>
      <w:fldChar w:fldCharType="end"/>
    </w:r>
    <w:r/>
  </w:p>
  <w:p>
    <w:pPr>
      <w:pStyle w:val="11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7"/>
                            <w:ind w:firstLine="0"/>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rPr>
                            <w:t xml:space="preserve">53</w:t>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ind w:firstLine="0"/>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rPr>
                      <w:t xml:space="preserve">53</w:t>
                    </w:r>
                    <w:r>
                      <w:t xml:space="preserve"> 页</w:t>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ind w:firstLine="0"/>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7"/>
                            <w:ind w:firstLine="0"/>
                          </w:pPr>
                          <w:r>
                            <w:t xml:space="preserve">第 </w:t>
                          </w:r>
                          <w:r>
                            <w:fldChar w:fldCharType="begin"/>
                          </w:r>
                          <w:r>
                            <w:instrText xml:space="preserve"> PAGE  \* MERGEFORMAT </w:instrText>
                          </w:r>
                          <w:r>
                            <w:fldChar w:fldCharType="separate"/>
                          </w:r>
                          <w:r>
                            <w:t xml:space="preserve">38</w:t>
                          </w:r>
                          <w:r>
                            <w:fldChar w:fldCharType="end"/>
                          </w:r>
                          <w:r>
                            <w:t xml:space="preserve"> 页 共 </w:t>
                          </w:r>
                          <w:r>
                            <w:rPr>
                              <w:rFonts w:hint="eastAsia"/>
                            </w:rPr>
                            <w:t xml:space="preserve">53</w:t>
                          </w:r>
                          <w:r>
                            <w:t xml:space="preserve">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ind w:firstLine="0"/>
                    </w:pPr>
                    <w:r>
                      <w:t xml:space="preserve">第 </w:t>
                    </w:r>
                    <w:r>
                      <w:fldChar w:fldCharType="begin"/>
                    </w:r>
                    <w:r>
                      <w:instrText xml:space="preserve"> PAGE  \* MERGEFORMAT </w:instrText>
                    </w:r>
                    <w:r>
                      <w:fldChar w:fldCharType="separate"/>
                    </w:r>
                    <w:r>
                      <w:t xml:space="preserve">38</w:t>
                    </w:r>
                    <w:r>
                      <w:fldChar w:fldCharType="end"/>
                    </w:r>
                    <w:r>
                      <w:t xml:space="preserve"> 页 共 </w:t>
                    </w:r>
                    <w:r>
                      <w:rPr>
                        <w:rFonts w:hint="eastAsia"/>
                      </w:rPr>
                      <w:t xml:space="preserve">53</w:t>
                    </w:r>
                    <w:r>
                      <w:t xml:space="preserve">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framePr w:wrap="around" w:vAnchor="text" w:hAnchor="margin" w:xAlign="center" w:y="1"/>
    </w:pPr>
    <w:r>
      <w:fldChar w:fldCharType="begin"/>
    </w:r>
    <w:r>
      <w:rPr>
        <w:rStyle w:val="1146"/>
      </w:rPr>
      <w:instrText xml:space="preserve"> PAGE </w:instrText>
    </w:r>
    <w:r>
      <w:fldChar w:fldCharType="separate"/>
    </w:r>
    <w:r>
      <w:rPr>
        <w:rStyle w:val="1146"/>
      </w:rPr>
      <w:t xml:space="preserve">1</w:t>
    </w:r>
    <w:r>
      <w:fldChar w:fldCharType="end"/>
    </w:r>
    <w:r/>
  </w:p>
  <w:p>
    <w:pPr>
      <w:pStyle w:val="11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7"/>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项目编号：JSZC-320507-SHYS-C2026-0005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0"/>
      <w:jc w:val="left"/>
      <w:pBdr>
        <w:bottom w:val="single" w:color="auto" w:sz="4" w:space="0"/>
      </w:pBdr>
    </w:pPr>
    <w:r>
      <w:rPr>
        <w:rFonts w:hint="eastAsia" w:ascii="宋体" w:hAnsi="宋体"/>
        <w:sz w:val="18"/>
      </w:rPr>
      <w:t xml:space="preserve"> </w:t>
    </w:r>
    <w:r>
      <w:rPr>
        <w:rFonts w:ascii="宋体" w:hAnsi="宋体"/>
        <w:sz w:val="18"/>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项目编号：JSZC-320507-SHYS-C2026-0005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jc w:val="left"/>
      <w:pBdr>
        <w:bottom w:val="single" w:color="auto"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项目编号：JSZC-320507-SHYS-C2026-0005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chineseCounting"/>
      <w:isLgl w:val="false"/>
      <w:suff w:val="nothing"/>
      <w:lvlText w:val="%1、"/>
      <w:lvlJc w:val="left"/>
      <w:pPr>
        <w:ind w:left="420" w:hanging="420"/>
        <w:tabs>
          <w:tab w:val="left" w:pos="0" w:leader="none"/>
        </w:tabs>
      </w:pPr>
      <w:rPr>
        <w:rFonts w:hint="eastAsia"/>
      </w:rPr>
    </w:lvl>
    <w:lvl w:ilvl="1">
      <w:start w:val="1"/>
      <w:numFmt w:val="decimal"/>
      <w:isLgl w:val="false"/>
      <w:suff w:val="nothing"/>
      <w:lvlText w:val="%2、"/>
      <w:lvlJc w:val="left"/>
      <w:pPr>
        <w:ind w:left="0" w:firstLine="400"/>
        <w:tabs>
          <w:tab w:val="left" w:pos="0" w:leader="none"/>
        </w:tabs>
      </w:pPr>
      <w:rPr>
        <w:rFonts w:hint="eastAsia"/>
      </w:rPr>
    </w:lvl>
    <w:lvl w:ilvl="2">
      <w:start w:val="1"/>
      <w:numFmt w:val="decimal"/>
      <w:isLgl w:val="false"/>
      <w:suff w:val="nothing"/>
      <w:lvlText w:val="%3.%2"/>
      <w:lvlJc w:val="left"/>
      <w:pPr>
        <w:ind w:left="0" w:firstLine="402"/>
      </w:pPr>
      <w:rPr>
        <w:rFonts w:hint="eastAsia"/>
      </w:rPr>
    </w:lvl>
    <w:lvl w:ilvl="3">
      <w:start w:val="1"/>
      <w:numFmt w:val="decimal"/>
      <w:isLgl w:val="false"/>
      <w:suff w:val="nothing"/>
      <w:lvlText w:val="%3.%2.%4"/>
      <w:lvlJc w:val="left"/>
      <w:pPr>
        <w:ind w:left="0" w:firstLine="402"/>
      </w:pPr>
      <w:rPr>
        <w:rFonts w:hint="eastAsia" w:ascii="Times New Roman" w:hAnsi="Times New Roman" w:cs="Times New Roman"/>
      </w:rPr>
    </w:lvl>
    <w:lvl w:ilvl="4">
      <w:start w:val="1"/>
      <w:numFmt w:val="decimal"/>
      <w:isLgl w:val="false"/>
      <w:suff w:val="nothing"/>
      <w:lvlText w:val="%3.%2.%4.%5"/>
      <w:lvlJc w:val="left"/>
      <w:pPr>
        <w:ind w:left="0" w:firstLine="402"/>
      </w:pPr>
      <w:rPr>
        <w:rFonts w:hint="eastAsia" w:ascii="Times New Roman" w:hAnsi="Times New Roman" w:cs="Times New Roman"/>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5">
    <w:multiLevelType w:val="hybridMultilevel"/>
    <w:lvl w:ilvl="0">
      <w:start w:val="1"/>
      <w:numFmt w:val="decimal"/>
      <w:pStyle w:val="112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space"/>
      <w:lvlText w:val="%1.%2"/>
      <w:lvlJc w:val="left"/>
      <w:pPr>
        <w:ind w:left="567" w:hanging="567"/>
      </w:pPr>
      <w:rPr>
        <w:rFonts w:hint="default"/>
      </w:rPr>
    </w:lvl>
    <w:lvl w:ilvl="2">
      <w:start w:val="1"/>
      <w:numFmt w:val="decimal"/>
      <w:isLgl w:val="false"/>
      <w:suff w:val="space"/>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00"/>
        <w:tabs>
          <w:tab w:val="left" w:pos="0" w:leader="none"/>
        </w:tabs>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
      <w:numFmt w:val="bullet"/>
      <w:pStyle w:val="113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5"/>
  </w:num>
  <w:num w:numId="2">
    <w:abstractNumId w:val="15"/>
  </w:num>
  <w:num w:numId="3">
    <w:abstractNumId w:val="8"/>
  </w:num>
  <w:num w:numId="4">
    <w:abstractNumId w:val="9"/>
  </w:num>
  <w:num w:numId="5">
    <w:abstractNumId w:val="4"/>
  </w:num>
  <w:num w:numId="6">
    <w:abstractNumId w:val="17"/>
  </w:num>
  <w:num w:numId="7">
    <w:abstractNumId w:val="2"/>
  </w:num>
  <w:num w:numId="8">
    <w:abstractNumId w:val="1"/>
  </w:num>
  <w:num w:numId="9">
    <w:abstractNumId w:val="11"/>
  </w:num>
  <w:num w:numId="10">
    <w:abstractNumId w:val="13"/>
  </w:num>
  <w:num w:numId="11">
    <w:abstractNumId w:val="19"/>
  </w:num>
  <w:num w:numId="12">
    <w:abstractNumId w:val="10"/>
  </w:num>
  <w:num w:numId="13">
    <w:abstractNumId w:val="0"/>
  </w:num>
  <w:num w:numId="14">
    <w:abstractNumId w:val="14"/>
  </w:num>
  <w:num w:numId="15">
    <w:abstractNumId w:val="18"/>
  </w:num>
  <w:num w:numId="16">
    <w:abstractNumId w:val="3"/>
  </w:num>
  <w:num w:numId="17">
    <w:abstractNumId w:val="16"/>
  </w:num>
  <w:num w:numId="18">
    <w:abstractNumId w:val="7"/>
  </w:num>
  <w:num w:numId="19">
    <w:abstractNumId w:val="1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8">
    <w:name w:val="Heading 1 Char"/>
    <w:basedOn w:val="1120"/>
    <w:link w:val="1117"/>
    <w:uiPriority w:val="9"/>
    <w:rPr>
      <w:rFonts w:ascii="Arial" w:hAnsi="Arial" w:eastAsia="Arial" w:cs="Arial"/>
      <w:sz w:val="40"/>
      <w:szCs w:val="40"/>
    </w:rPr>
  </w:style>
  <w:style w:type="character" w:styleId="949">
    <w:name w:val="Heading 2 Char"/>
    <w:basedOn w:val="1120"/>
    <w:link w:val="1118"/>
    <w:uiPriority w:val="9"/>
    <w:rPr>
      <w:rFonts w:ascii="Arial" w:hAnsi="Arial" w:eastAsia="Arial" w:cs="Arial"/>
      <w:sz w:val="34"/>
    </w:rPr>
  </w:style>
  <w:style w:type="character" w:styleId="950">
    <w:name w:val="Heading 3 Char"/>
    <w:basedOn w:val="1120"/>
    <w:link w:val="1119"/>
    <w:uiPriority w:val="9"/>
    <w:rPr>
      <w:rFonts w:ascii="Arial" w:hAnsi="Arial" w:eastAsia="Arial" w:cs="Arial"/>
      <w:sz w:val="30"/>
      <w:szCs w:val="30"/>
    </w:rPr>
  </w:style>
  <w:style w:type="paragraph" w:styleId="951">
    <w:name w:val="Heading 4"/>
    <w:basedOn w:val="1116"/>
    <w:next w:val="1116"/>
    <w:link w:val="952"/>
    <w:uiPriority w:val="9"/>
    <w:unhideWhenUsed/>
    <w:qFormat/>
    <w:pPr>
      <w:keepLines/>
      <w:keepNext/>
      <w:spacing w:before="320" w:after="200"/>
      <w:outlineLvl w:val="3"/>
    </w:pPr>
    <w:rPr>
      <w:rFonts w:ascii="Arial" w:hAnsi="Arial" w:eastAsia="Arial" w:cs="Arial"/>
      <w:b/>
      <w:bCs/>
      <w:sz w:val="26"/>
      <w:szCs w:val="26"/>
    </w:rPr>
  </w:style>
  <w:style w:type="character" w:styleId="952">
    <w:name w:val="Heading 4 Char"/>
    <w:basedOn w:val="1120"/>
    <w:link w:val="951"/>
    <w:uiPriority w:val="9"/>
    <w:rPr>
      <w:rFonts w:ascii="Arial" w:hAnsi="Arial" w:eastAsia="Arial" w:cs="Arial"/>
      <w:b/>
      <w:bCs/>
      <w:sz w:val="26"/>
      <w:szCs w:val="26"/>
    </w:rPr>
  </w:style>
  <w:style w:type="paragraph" w:styleId="953">
    <w:name w:val="Heading 5"/>
    <w:basedOn w:val="1116"/>
    <w:next w:val="1116"/>
    <w:link w:val="954"/>
    <w:uiPriority w:val="9"/>
    <w:unhideWhenUsed/>
    <w:qFormat/>
    <w:pPr>
      <w:keepLines/>
      <w:keepNext/>
      <w:spacing w:before="320" w:after="200"/>
      <w:outlineLvl w:val="4"/>
    </w:pPr>
    <w:rPr>
      <w:rFonts w:ascii="Arial" w:hAnsi="Arial" w:eastAsia="Arial" w:cs="Arial"/>
      <w:b/>
      <w:bCs/>
      <w:sz w:val="24"/>
      <w:szCs w:val="24"/>
    </w:rPr>
  </w:style>
  <w:style w:type="character" w:styleId="954">
    <w:name w:val="Heading 5 Char"/>
    <w:basedOn w:val="1120"/>
    <w:link w:val="953"/>
    <w:uiPriority w:val="9"/>
    <w:rPr>
      <w:rFonts w:ascii="Arial" w:hAnsi="Arial" w:eastAsia="Arial" w:cs="Arial"/>
      <w:b/>
      <w:bCs/>
      <w:sz w:val="24"/>
      <w:szCs w:val="24"/>
    </w:rPr>
  </w:style>
  <w:style w:type="paragraph" w:styleId="955">
    <w:name w:val="Heading 6"/>
    <w:basedOn w:val="1116"/>
    <w:next w:val="1116"/>
    <w:link w:val="956"/>
    <w:uiPriority w:val="9"/>
    <w:unhideWhenUsed/>
    <w:qFormat/>
    <w:pPr>
      <w:keepLines/>
      <w:keepNext/>
      <w:spacing w:before="320" w:after="200"/>
      <w:outlineLvl w:val="5"/>
    </w:pPr>
    <w:rPr>
      <w:rFonts w:ascii="Arial" w:hAnsi="Arial" w:eastAsia="Arial" w:cs="Arial"/>
      <w:b/>
      <w:bCs/>
      <w:sz w:val="22"/>
      <w:szCs w:val="22"/>
    </w:rPr>
  </w:style>
  <w:style w:type="character" w:styleId="956">
    <w:name w:val="Heading 6 Char"/>
    <w:basedOn w:val="1120"/>
    <w:link w:val="955"/>
    <w:uiPriority w:val="9"/>
    <w:rPr>
      <w:rFonts w:ascii="Arial" w:hAnsi="Arial" w:eastAsia="Arial" w:cs="Arial"/>
      <w:b/>
      <w:bCs/>
      <w:sz w:val="22"/>
      <w:szCs w:val="22"/>
    </w:rPr>
  </w:style>
  <w:style w:type="paragraph" w:styleId="957">
    <w:name w:val="Heading 7"/>
    <w:basedOn w:val="1116"/>
    <w:next w:val="1116"/>
    <w:link w:val="958"/>
    <w:uiPriority w:val="9"/>
    <w:unhideWhenUsed/>
    <w:qFormat/>
    <w:pPr>
      <w:keepLines/>
      <w:keepNext/>
      <w:spacing w:before="320" w:after="200"/>
      <w:outlineLvl w:val="6"/>
    </w:pPr>
    <w:rPr>
      <w:rFonts w:ascii="Arial" w:hAnsi="Arial" w:eastAsia="Arial" w:cs="Arial"/>
      <w:b/>
      <w:bCs/>
      <w:i/>
      <w:iCs/>
      <w:sz w:val="22"/>
      <w:szCs w:val="22"/>
    </w:rPr>
  </w:style>
  <w:style w:type="character" w:styleId="958">
    <w:name w:val="Heading 7 Char"/>
    <w:basedOn w:val="1120"/>
    <w:link w:val="957"/>
    <w:uiPriority w:val="9"/>
    <w:rPr>
      <w:rFonts w:ascii="Arial" w:hAnsi="Arial" w:eastAsia="Arial" w:cs="Arial"/>
      <w:b/>
      <w:bCs/>
      <w:i/>
      <w:iCs/>
      <w:sz w:val="22"/>
      <w:szCs w:val="22"/>
    </w:rPr>
  </w:style>
  <w:style w:type="paragraph" w:styleId="959">
    <w:name w:val="Heading 8"/>
    <w:basedOn w:val="1116"/>
    <w:next w:val="1116"/>
    <w:link w:val="960"/>
    <w:uiPriority w:val="9"/>
    <w:unhideWhenUsed/>
    <w:qFormat/>
    <w:pPr>
      <w:keepLines/>
      <w:keepNext/>
      <w:spacing w:before="320" w:after="200"/>
      <w:outlineLvl w:val="7"/>
    </w:pPr>
    <w:rPr>
      <w:rFonts w:ascii="Arial" w:hAnsi="Arial" w:eastAsia="Arial" w:cs="Arial"/>
      <w:i/>
      <w:iCs/>
      <w:sz w:val="22"/>
      <w:szCs w:val="22"/>
    </w:rPr>
  </w:style>
  <w:style w:type="character" w:styleId="960">
    <w:name w:val="Heading 8 Char"/>
    <w:basedOn w:val="1120"/>
    <w:link w:val="959"/>
    <w:uiPriority w:val="9"/>
    <w:rPr>
      <w:rFonts w:ascii="Arial" w:hAnsi="Arial" w:eastAsia="Arial" w:cs="Arial"/>
      <w:i/>
      <w:iCs/>
      <w:sz w:val="22"/>
      <w:szCs w:val="22"/>
    </w:rPr>
  </w:style>
  <w:style w:type="paragraph" w:styleId="961">
    <w:name w:val="Heading 9"/>
    <w:basedOn w:val="1116"/>
    <w:next w:val="1116"/>
    <w:link w:val="962"/>
    <w:uiPriority w:val="9"/>
    <w:unhideWhenUsed/>
    <w:qFormat/>
    <w:pPr>
      <w:keepLines/>
      <w:keepNext/>
      <w:spacing w:before="320" w:after="200"/>
      <w:outlineLvl w:val="8"/>
    </w:pPr>
    <w:rPr>
      <w:rFonts w:ascii="Arial" w:hAnsi="Arial" w:eastAsia="Arial" w:cs="Arial"/>
      <w:i/>
      <w:iCs/>
      <w:sz w:val="21"/>
      <w:szCs w:val="21"/>
    </w:rPr>
  </w:style>
  <w:style w:type="character" w:styleId="962">
    <w:name w:val="Heading 9 Char"/>
    <w:basedOn w:val="1120"/>
    <w:link w:val="961"/>
    <w:uiPriority w:val="9"/>
    <w:rPr>
      <w:rFonts w:ascii="Arial" w:hAnsi="Arial" w:eastAsia="Arial" w:cs="Arial"/>
      <w:i/>
      <w:iCs/>
      <w:sz w:val="21"/>
      <w:szCs w:val="21"/>
    </w:rPr>
  </w:style>
  <w:style w:type="paragraph" w:styleId="963">
    <w:name w:val="List Paragraph"/>
    <w:basedOn w:val="1116"/>
    <w:uiPriority w:val="34"/>
    <w:qFormat/>
    <w:pPr>
      <w:contextualSpacing/>
      <w:ind w:left="720"/>
    </w:pPr>
  </w:style>
  <w:style w:type="paragraph" w:styleId="964">
    <w:name w:val="No Spacing"/>
    <w:uiPriority w:val="1"/>
    <w:qFormat/>
    <w:pPr>
      <w:spacing w:before="0" w:after="0" w:line="240" w:lineRule="auto"/>
    </w:pPr>
  </w:style>
  <w:style w:type="paragraph" w:styleId="965">
    <w:name w:val="Title"/>
    <w:basedOn w:val="1116"/>
    <w:next w:val="1116"/>
    <w:link w:val="966"/>
    <w:uiPriority w:val="10"/>
    <w:qFormat/>
    <w:pPr>
      <w:contextualSpacing/>
      <w:spacing w:before="300" w:after="200"/>
    </w:pPr>
    <w:rPr>
      <w:sz w:val="48"/>
      <w:szCs w:val="48"/>
    </w:rPr>
  </w:style>
  <w:style w:type="character" w:styleId="966">
    <w:name w:val="Title Char"/>
    <w:basedOn w:val="1120"/>
    <w:link w:val="965"/>
    <w:uiPriority w:val="10"/>
    <w:rPr>
      <w:sz w:val="48"/>
      <w:szCs w:val="48"/>
    </w:rPr>
  </w:style>
  <w:style w:type="paragraph" w:styleId="967">
    <w:name w:val="Subtitle"/>
    <w:basedOn w:val="1116"/>
    <w:next w:val="1116"/>
    <w:link w:val="968"/>
    <w:uiPriority w:val="11"/>
    <w:qFormat/>
    <w:pPr>
      <w:spacing w:before="200" w:after="200"/>
    </w:pPr>
    <w:rPr>
      <w:sz w:val="24"/>
      <w:szCs w:val="24"/>
    </w:rPr>
  </w:style>
  <w:style w:type="character" w:styleId="968">
    <w:name w:val="Subtitle Char"/>
    <w:basedOn w:val="1120"/>
    <w:link w:val="967"/>
    <w:uiPriority w:val="11"/>
    <w:rPr>
      <w:sz w:val="24"/>
      <w:szCs w:val="24"/>
    </w:rPr>
  </w:style>
  <w:style w:type="paragraph" w:styleId="969">
    <w:name w:val="Quote"/>
    <w:basedOn w:val="1116"/>
    <w:next w:val="1116"/>
    <w:link w:val="970"/>
    <w:uiPriority w:val="29"/>
    <w:qFormat/>
    <w:pPr>
      <w:ind w:left="720" w:right="720"/>
    </w:pPr>
    <w:rPr>
      <w:i/>
    </w:rPr>
  </w:style>
  <w:style w:type="character" w:styleId="970">
    <w:name w:val="Quote Char"/>
    <w:link w:val="969"/>
    <w:uiPriority w:val="29"/>
    <w:rPr>
      <w:i/>
    </w:rPr>
  </w:style>
  <w:style w:type="paragraph" w:styleId="971">
    <w:name w:val="Intense Quote"/>
    <w:basedOn w:val="1116"/>
    <w:next w:val="1116"/>
    <w:link w:val="9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name w:val="Intense Quote Char"/>
    <w:link w:val="971"/>
    <w:uiPriority w:val="30"/>
    <w:rPr>
      <w:i/>
    </w:rPr>
  </w:style>
  <w:style w:type="character" w:styleId="973">
    <w:name w:val="Header Char"/>
    <w:basedOn w:val="1120"/>
    <w:link w:val="1139"/>
    <w:uiPriority w:val="99"/>
  </w:style>
  <w:style w:type="character" w:styleId="974">
    <w:name w:val="Footer Char"/>
    <w:basedOn w:val="1120"/>
    <w:link w:val="1137"/>
    <w:uiPriority w:val="99"/>
  </w:style>
  <w:style w:type="paragraph" w:styleId="975">
    <w:name w:val="Caption"/>
    <w:basedOn w:val="1116"/>
    <w:next w:val="1116"/>
    <w:uiPriority w:val="35"/>
    <w:semiHidden/>
    <w:unhideWhenUsed/>
    <w:qFormat/>
    <w:pPr>
      <w:spacing w:line="276" w:lineRule="auto"/>
    </w:pPr>
    <w:rPr>
      <w:b/>
      <w:bCs/>
      <w:color w:val="4f81bd" w:themeColor="accent1"/>
      <w:sz w:val="18"/>
      <w:szCs w:val="18"/>
    </w:rPr>
  </w:style>
  <w:style w:type="character" w:styleId="976">
    <w:name w:val="Caption Char"/>
    <w:basedOn w:val="975"/>
    <w:link w:val="1137"/>
    <w:uiPriority w:val="99"/>
  </w:style>
  <w:style w:type="table" w:styleId="977">
    <w:name w:val="Table Grid Light"/>
    <w:basedOn w:val="11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8">
    <w:name w:val="Plain Table 1"/>
    <w:basedOn w:val="11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2"/>
    <w:basedOn w:val="11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3"/>
    <w:basedOn w:val="11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name w:val="Plain Table 4"/>
    <w:basedOn w:val="11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name w:val="Plain Table 5"/>
    <w:basedOn w:val="11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3">
    <w:name w:val="Grid Table 1 Light"/>
    <w:basedOn w:val="11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4">
    <w:name w:val="Grid Table 1 Light - Accent 1"/>
    <w:basedOn w:val="11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5">
    <w:name w:val="Grid Table 1 Light - Accent 2"/>
    <w:basedOn w:val="11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6">
    <w:name w:val="Grid Table 1 Light - Accent 3"/>
    <w:basedOn w:val="11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7">
    <w:name w:val="Grid Table 1 Light - Accent 4"/>
    <w:basedOn w:val="11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8">
    <w:name w:val="Grid Table 1 Light - Accent 5"/>
    <w:basedOn w:val="11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9">
    <w:name w:val="Grid Table 1 Light - Accent 6"/>
    <w:basedOn w:val="11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0">
    <w:name w:val="Grid Table 2"/>
    <w:basedOn w:val="11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1">
    <w:name w:val="Grid Table 2 - Accent 1"/>
    <w:basedOn w:val="11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2">
    <w:name w:val="Grid Table 2 - Accent 2"/>
    <w:basedOn w:val="11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2 - Accent 3"/>
    <w:basedOn w:val="11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2 - Accent 4"/>
    <w:basedOn w:val="11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2 - Accent 5"/>
    <w:basedOn w:val="11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6">
    <w:name w:val="Grid Table 2 - Accent 6"/>
    <w:basedOn w:val="11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7">
    <w:name w:val="Grid Table 3"/>
    <w:basedOn w:val="11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1"/>
    <w:basedOn w:val="11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2"/>
    <w:basedOn w:val="11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3"/>
    <w:basedOn w:val="11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4"/>
    <w:basedOn w:val="11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5"/>
    <w:basedOn w:val="11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6"/>
    <w:basedOn w:val="11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4"/>
    <w:basedOn w:val="11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name w:val="Grid Table 4 - Accent 1"/>
    <w:basedOn w:val="11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6">
    <w:name w:val="Grid Table 4 - Accent 2"/>
    <w:basedOn w:val="11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7">
    <w:name w:val="Grid Table 4 - Accent 3"/>
    <w:basedOn w:val="11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8">
    <w:name w:val="Grid Table 4 - Accent 4"/>
    <w:basedOn w:val="11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9">
    <w:name w:val="Grid Table 4 - Accent 5"/>
    <w:basedOn w:val="11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0">
    <w:name w:val="Grid Table 4 - Accent 6"/>
    <w:basedOn w:val="11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1">
    <w:name w:val="Grid Table 5 Dark"/>
    <w:basedOn w:val="11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2">
    <w:name w:val="Grid Table 5 Dark- Accent 1"/>
    <w:basedOn w:val="11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3">
    <w:name w:val="Grid Table 5 Dark - Accent 2"/>
    <w:basedOn w:val="11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4">
    <w:name w:val="Grid Table 5 Dark - Accent 3"/>
    <w:basedOn w:val="11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5">
    <w:name w:val="Grid Table 5 Dark- Accent 4"/>
    <w:basedOn w:val="11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6">
    <w:name w:val="Grid Table 5 Dark - Accent 5"/>
    <w:basedOn w:val="11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7">
    <w:name w:val="Grid Table 5 Dark - Accent 6"/>
    <w:basedOn w:val="11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8">
    <w:name w:val="Grid Table 6 Colorful"/>
    <w:basedOn w:val="11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9">
    <w:name w:val="Grid Table 6 Colorful - Accent 1"/>
    <w:basedOn w:val="11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0">
    <w:name w:val="Grid Table 6 Colorful - Accent 2"/>
    <w:basedOn w:val="11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1">
    <w:name w:val="Grid Table 6 Colorful - Accent 3"/>
    <w:basedOn w:val="11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2">
    <w:name w:val="Grid Table 6 Colorful - Accent 4"/>
    <w:basedOn w:val="11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3">
    <w:name w:val="Grid Table 6 Colorful - Accent 5"/>
    <w:basedOn w:val="11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4">
    <w:name w:val="Grid Table 6 Colorful - Accent 6"/>
    <w:basedOn w:val="11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7 Colorful"/>
    <w:basedOn w:val="11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6">
    <w:name w:val="Grid Table 7 Colorful - Accent 1"/>
    <w:basedOn w:val="11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7">
    <w:name w:val="Grid Table 7 Colorful - Accent 2"/>
    <w:basedOn w:val="11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8">
    <w:name w:val="Grid Table 7 Colorful - Accent 3"/>
    <w:basedOn w:val="11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9">
    <w:name w:val="Grid Table 7 Colorful - Accent 4"/>
    <w:basedOn w:val="11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0">
    <w:name w:val="Grid Table 7 Colorful - Accent 5"/>
    <w:basedOn w:val="11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1">
    <w:name w:val="Grid Table 7 Colorful - Accent 6"/>
    <w:basedOn w:val="11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2">
    <w:name w:val="List Table 1 Light"/>
    <w:basedOn w:val="11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name w:val="List Table 1 Light - Accent 1"/>
    <w:basedOn w:val="11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4">
    <w:name w:val="List Table 1 Light - Accent 2"/>
    <w:basedOn w:val="11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5">
    <w:name w:val="List Table 1 Light - Accent 3"/>
    <w:basedOn w:val="11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6">
    <w:name w:val="List Table 1 Light - Accent 4"/>
    <w:basedOn w:val="11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7">
    <w:name w:val="List Table 1 Light - Accent 5"/>
    <w:basedOn w:val="11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8">
    <w:name w:val="List Table 1 Light - Accent 6"/>
    <w:basedOn w:val="11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9">
    <w:name w:val="List Table 2"/>
    <w:basedOn w:val="11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0">
    <w:name w:val="List Table 2 - Accent 1"/>
    <w:basedOn w:val="11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1">
    <w:name w:val="List Table 2 - Accent 2"/>
    <w:basedOn w:val="11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2">
    <w:name w:val="List Table 2 - Accent 3"/>
    <w:basedOn w:val="11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3">
    <w:name w:val="List Table 2 - Accent 4"/>
    <w:basedOn w:val="11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4">
    <w:name w:val="List Table 2 - Accent 5"/>
    <w:basedOn w:val="11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5">
    <w:name w:val="List Table 2 - Accent 6"/>
    <w:basedOn w:val="11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6">
    <w:name w:val="List Table 3"/>
    <w:basedOn w:val="11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7">
    <w:name w:val="List Table 3 - Accent 1"/>
    <w:basedOn w:val="11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8">
    <w:name w:val="List Table 3 - Accent 2"/>
    <w:basedOn w:val="11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9">
    <w:name w:val="List Table 3 - Accent 3"/>
    <w:basedOn w:val="11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0">
    <w:name w:val="List Table 3 - Accent 4"/>
    <w:basedOn w:val="11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1">
    <w:name w:val="List Table 3 - Accent 5"/>
    <w:basedOn w:val="11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2">
    <w:name w:val="List Table 3 - Accent 6"/>
    <w:basedOn w:val="11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3">
    <w:name w:val="List Table 4"/>
    <w:basedOn w:val="11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4 - Accent 1"/>
    <w:basedOn w:val="11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4 - Accent 2"/>
    <w:basedOn w:val="11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6">
    <w:name w:val="List Table 4 - Accent 3"/>
    <w:basedOn w:val="11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7">
    <w:name w:val="List Table 4 - Accent 4"/>
    <w:basedOn w:val="11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8">
    <w:name w:val="List Table 4 - Accent 5"/>
    <w:basedOn w:val="11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9">
    <w:name w:val="List Table 4 - Accent 6"/>
    <w:basedOn w:val="11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0">
    <w:name w:val="List Table 5 Dark"/>
    <w:basedOn w:val="11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1"/>
    <w:basedOn w:val="11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2"/>
    <w:basedOn w:val="11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3"/>
    <w:basedOn w:val="11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4"/>
    <w:basedOn w:val="11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5"/>
    <w:basedOn w:val="11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6"/>
    <w:basedOn w:val="11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6 Colorful"/>
    <w:basedOn w:val="11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8">
    <w:name w:val="List Table 6 Colorful - Accent 1"/>
    <w:basedOn w:val="11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9">
    <w:name w:val="List Table 6 Colorful - Accent 2"/>
    <w:basedOn w:val="11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0">
    <w:name w:val="List Table 6 Colorful - Accent 3"/>
    <w:basedOn w:val="11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1">
    <w:name w:val="List Table 6 Colorful - Accent 4"/>
    <w:basedOn w:val="11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2">
    <w:name w:val="List Table 6 Colorful - Accent 5"/>
    <w:basedOn w:val="11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3">
    <w:name w:val="List Table 6 Colorful - Accent 6"/>
    <w:basedOn w:val="11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4">
    <w:name w:val="List Table 7 Colorful"/>
    <w:basedOn w:val="11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5">
    <w:name w:val="List Table 7 Colorful - Accent 1"/>
    <w:basedOn w:val="11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6">
    <w:name w:val="List Table 7 Colorful - Accent 2"/>
    <w:basedOn w:val="11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7">
    <w:name w:val="List Table 7 Colorful - Accent 3"/>
    <w:basedOn w:val="11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8">
    <w:name w:val="List Table 7 Colorful - Accent 4"/>
    <w:basedOn w:val="11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9">
    <w:name w:val="List Table 7 Colorful - Accent 5"/>
    <w:basedOn w:val="11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0">
    <w:name w:val="List Table 7 Colorful - Accent 6"/>
    <w:basedOn w:val="11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1">
    <w:name w:val="Lined - Accent"/>
    <w:basedOn w:val="11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2">
    <w:name w:val="Lined - Accent 1"/>
    <w:basedOn w:val="11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3">
    <w:name w:val="Lined - Accent 2"/>
    <w:basedOn w:val="11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4">
    <w:name w:val="Lined - Accent 3"/>
    <w:basedOn w:val="11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5">
    <w:name w:val="Lined - Accent 4"/>
    <w:basedOn w:val="11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6">
    <w:name w:val="Lined - Accent 5"/>
    <w:basedOn w:val="11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7">
    <w:name w:val="Lined - Accent 6"/>
    <w:basedOn w:val="11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8">
    <w:name w:val="Bordered &amp; Lined - Accent"/>
    <w:basedOn w:val="11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Bordered &amp; Lined - Accent 1"/>
    <w:basedOn w:val="11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Bordered &amp; Lined - Accent 2"/>
    <w:basedOn w:val="11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Bordered &amp; Lined - Accent 3"/>
    <w:basedOn w:val="11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Bordered &amp; Lined - Accent 4"/>
    <w:basedOn w:val="11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Bordered &amp; Lined - Accent 5"/>
    <w:basedOn w:val="11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Bordered &amp; Lined - Accent 6"/>
    <w:basedOn w:val="11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w:basedOn w:val="11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6">
    <w:name w:val="Bordered - Accent 1"/>
    <w:basedOn w:val="11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7">
    <w:name w:val="Bordered - Accent 2"/>
    <w:basedOn w:val="11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8">
    <w:name w:val="Bordered - Accent 3"/>
    <w:basedOn w:val="11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9">
    <w:name w:val="Bordered - Accent 4"/>
    <w:basedOn w:val="11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0">
    <w:name w:val="Bordered - Accent 5"/>
    <w:basedOn w:val="11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1">
    <w:name w:val="Bordered - Accent 6"/>
    <w:basedOn w:val="11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02">
    <w:name w:val="footnote text"/>
    <w:basedOn w:val="1116"/>
    <w:link w:val="1103"/>
    <w:uiPriority w:val="99"/>
    <w:semiHidden/>
    <w:unhideWhenUsed/>
    <w:pPr>
      <w:spacing w:after="40" w:line="240" w:lineRule="auto"/>
    </w:pPr>
    <w:rPr>
      <w:sz w:val="18"/>
    </w:rPr>
  </w:style>
  <w:style w:type="character" w:styleId="1103">
    <w:name w:val="Footnote Text Char"/>
    <w:link w:val="1102"/>
    <w:uiPriority w:val="99"/>
    <w:rPr>
      <w:sz w:val="18"/>
    </w:rPr>
  </w:style>
  <w:style w:type="character" w:styleId="1104">
    <w:name w:val="footnote reference"/>
    <w:basedOn w:val="1120"/>
    <w:uiPriority w:val="99"/>
    <w:unhideWhenUsed/>
    <w:rPr>
      <w:vertAlign w:val="superscript"/>
    </w:rPr>
  </w:style>
  <w:style w:type="paragraph" w:styleId="1105">
    <w:name w:val="endnote text"/>
    <w:basedOn w:val="1116"/>
    <w:link w:val="1106"/>
    <w:uiPriority w:val="99"/>
    <w:semiHidden/>
    <w:unhideWhenUsed/>
    <w:pPr>
      <w:spacing w:after="0" w:line="240" w:lineRule="auto"/>
    </w:pPr>
    <w:rPr>
      <w:sz w:val="20"/>
    </w:rPr>
  </w:style>
  <w:style w:type="character" w:styleId="1106">
    <w:name w:val="Endnote Text Char"/>
    <w:link w:val="1105"/>
    <w:uiPriority w:val="99"/>
    <w:rPr>
      <w:sz w:val="20"/>
    </w:rPr>
  </w:style>
  <w:style w:type="character" w:styleId="1107">
    <w:name w:val="endnote reference"/>
    <w:basedOn w:val="1120"/>
    <w:uiPriority w:val="99"/>
    <w:semiHidden/>
    <w:unhideWhenUsed/>
    <w:rPr>
      <w:vertAlign w:val="superscript"/>
    </w:rPr>
  </w:style>
  <w:style w:type="paragraph" w:styleId="1108">
    <w:name w:val="toc 4"/>
    <w:basedOn w:val="1116"/>
    <w:next w:val="1116"/>
    <w:uiPriority w:val="39"/>
    <w:unhideWhenUsed/>
    <w:pPr>
      <w:ind w:left="850" w:right="0" w:firstLine="0"/>
      <w:spacing w:after="57"/>
    </w:pPr>
  </w:style>
  <w:style w:type="paragraph" w:styleId="1109">
    <w:name w:val="toc 5"/>
    <w:basedOn w:val="1116"/>
    <w:next w:val="1116"/>
    <w:uiPriority w:val="39"/>
    <w:unhideWhenUsed/>
    <w:pPr>
      <w:ind w:left="1134" w:right="0" w:firstLine="0"/>
      <w:spacing w:after="57"/>
    </w:pPr>
  </w:style>
  <w:style w:type="paragraph" w:styleId="1110">
    <w:name w:val="toc 6"/>
    <w:basedOn w:val="1116"/>
    <w:next w:val="1116"/>
    <w:uiPriority w:val="39"/>
    <w:unhideWhenUsed/>
    <w:pPr>
      <w:ind w:left="1417" w:right="0" w:firstLine="0"/>
      <w:spacing w:after="57"/>
    </w:pPr>
  </w:style>
  <w:style w:type="paragraph" w:styleId="1111">
    <w:name w:val="toc 7"/>
    <w:basedOn w:val="1116"/>
    <w:next w:val="1116"/>
    <w:uiPriority w:val="39"/>
    <w:unhideWhenUsed/>
    <w:pPr>
      <w:ind w:left="1701" w:right="0" w:firstLine="0"/>
      <w:spacing w:after="57"/>
    </w:pPr>
  </w:style>
  <w:style w:type="paragraph" w:styleId="1112">
    <w:name w:val="toc 8"/>
    <w:basedOn w:val="1116"/>
    <w:next w:val="1116"/>
    <w:uiPriority w:val="39"/>
    <w:unhideWhenUsed/>
    <w:pPr>
      <w:ind w:left="1984" w:right="0" w:firstLine="0"/>
      <w:spacing w:after="57"/>
    </w:pPr>
  </w:style>
  <w:style w:type="paragraph" w:styleId="1113">
    <w:name w:val="toc 9"/>
    <w:basedOn w:val="1116"/>
    <w:next w:val="1116"/>
    <w:uiPriority w:val="39"/>
    <w:unhideWhenUsed/>
    <w:pPr>
      <w:ind w:left="2268" w:right="0" w:firstLine="0"/>
      <w:spacing w:after="57"/>
    </w:pPr>
  </w:style>
  <w:style w:type="paragraph" w:styleId="1114">
    <w:name w:val="TOC Heading"/>
    <w:uiPriority w:val="39"/>
    <w:unhideWhenUsed/>
  </w:style>
  <w:style w:type="paragraph" w:styleId="1115">
    <w:name w:val="table of figures"/>
    <w:basedOn w:val="1116"/>
    <w:next w:val="1116"/>
    <w:uiPriority w:val="99"/>
    <w:unhideWhenUsed/>
    <w:pPr>
      <w:spacing w:after="0" w:afterAutospacing="0"/>
    </w:pPr>
  </w:style>
  <w:style w:type="paragraph" w:styleId="1116" w:default="1">
    <w:name w:val="Normal"/>
    <w:next w:val="1122"/>
    <w:uiPriority w:val="0"/>
    <w:qFormat/>
    <w:pPr>
      <w:ind w:left="1024"/>
      <w:jc w:val="both"/>
    </w:pPr>
    <w:rPr>
      <w:rFonts w:ascii="Calibri" w:hAnsi="Calibri" w:eastAsia="宋体" w:cs="Times New Roman"/>
      <w:lang w:val="en-US" w:eastAsia="zh-CN" w:bidi="ar-SA"/>
    </w:rPr>
  </w:style>
  <w:style w:type="paragraph" w:styleId="1117">
    <w:name w:val="Heading 1"/>
    <w:basedOn w:val="1116"/>
    <w:next w:val="1116"/>
    <w:uiPriority w:val="0"/>
    <w:qFormat/>
    <w:pPr>
      <w:ind w:left="432" w:firstLine="18"/>
      <w:spacing w:before="340" w:after="330" w:line="578" w:lineRule="auto"/>
      <w:outlineLvl w:val="0"/>
    </w:pPr>
  </w:style>
  <w:style w:type="paragraph" w:styleId="1118">
    <w:name w:val="Heading 2"/>
    <w:basedOn w:val="1116"/>
    <w:next w:val="1116"/>
    <w:uiPriority w:val="0"/>
    <w:qFormat/>
    <w:pPr>
      <w:keepNext/>
      <w:spacing w:before="240" w:after="60"/>
      <w:outlineLvl w:val="1"/>
    </w:pPr>
    <w:rPr>
      <w:rFonts w:ascii="Arial" w:hAnsi="Arial"/>
      <w:b/>
      <w:bCs/>
      <w:i/>
      <w:iCs/>
      <w:sz w:val="28"/>
      <w:szCs w:val="28"/>
    </w:rPr>
  </w:style>
  <w:style w:type="paragraph" w:styleId="1119">
    <w:name w:val="Heading 3"/>
    <w:basedOn w:val="1116"/>
    <w:next w:val="1116"/>
    <w:uiPriority w:val="0"/>
    <w:qFormat/>
    <w:pPr>
      <w:jc w:val="left"/>
      <w:spacing w:before="100" w:beforeAutospacing="1" w:after="100" w:afterAutospacing="1"/>
      <w:outlineLvl w:val="2"/>
    </w:pPr>
    <w:rPr>
      <w:rFonts w:hint="eastAsia" w:ascii="宋体" w:hAnsi="宋体"/>
      <w:b/>
      <w:bCs/>
      <w:sz w:val="27"/>
      <w:szCs w:val="27"/>
    </w:rPr>
  </w:style>
  <w:style w:type="character" w:styleId="1120" w:default="1">
    <w:name w:val="Default Paragraph Font"/>
    <w:uiPriority w:val="1"/>
    <w:semiHidden/>
    <w:unhideWhenUsed/>
  </w:style>
  <w:style w:type="table" w:styleId="1121" w:default="1">
    <w:name w:val="Normal Table"/>
    <w:uiPriority w:val="99"/>
    <w:semiHidden/>
    <w:unhideWhenUsed/>
    <w:qFormat/>
    <w:tblPr>
      <w:tblCellMar>
        <w:left w:w="108" w:type="dxa"/>
        <w:top w:w="0" w:type="dxa"/>
        <w:right w:w="108" w:type="dxa"/>
        <w:bottom w:w="0" w:type="dxa"/>
      </w:tblCellMar>
    </w:tblPr>
  </w:style>
  <w:style w:type="paragraph" w:styleId="1122" w:customStyle="1">
    <w:name w:val="段"/>
    <w:next w:val="1116"/>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123">
    <w:name w:val="Normal Indent"/>
    <w:basedOn w:val="1116"/>
    <w:next w:val="1116"/>
    <w:uiPriority w:val="0"/>
    <w:qFormat/>
    <w:pPr>
      <w:ind w:left="420" w:firstLine="4772"/>
    </w:pPr>
  </w:style>
  <w:style w:type="paragraph" w:styleId="1124">
    <w:name w:val="Document Map"/>
    <w:basedOn w:val="1116"/>
    <w:uiPriority w:val="0"/>
    <w:qFormat/>
    <w:pPr>
      <w:shd w:val="clear" w:color="auto" w:fill="000080"/>
    </w:pPr>
    <w:rPr>
      <w:rFonts w:eastAsia="@楷体_GB2312"/>
    </w:rPr>
  </w:style>
  <w:style w:type="paragraph" w:styleId="1125">
    <w:name w:val="annotation text"/>
    <w:basedOn w:val="1116"/>
    <w:next w:val="1116"/>
    <w:link w:val="1153"/>
    <w:uiPriority w:val="0"/>
    <w:qFormat/>
    <w:pPr>
      <w:ind w:left="0" w:firstLine="3584"/>
      <w:spacing w:line="360" w:lineRule="auto"/>
    </w:pPr>
  </w:style>
  <w:style w:type="paragraph" w:styleId="1126">
    <w:name w:val="Body Text"/>
    <w:basedOn w:val="1116"/>
    <w:next w:val="1123"/>
    <w:uiPriority w:val="0"/>
    <w:qFormat/>
    <w:pPr>
      <w:ind w:left="0" w:firstLine="2560"/>
    </w:pPr>
  </w:style>
  <w:style w:type="paragraph" w:styleId="1127">
    <w:name w:val="Body Text Indent"/>
    <w:basedOn w:val="1116"/>
    <w:next w:val="1128"/>
    <w:uiPriority w:val="0"/>
    <w:qFormat/>
    <w:pPr>
      <w:ind w:left="420" w:firstLine="1188"/>
      <w:spacing w:line="360" w:lineRule="exact"/>
    </w:pPr>
  </w:style>
  <w:style w:type="paragraph" w:styleId="1128">
    <w:name w:val="envelope return"/>
    <w:basedOn w:val="1116"/>
    <w:uiPriority w:val="99"/>
    <w:unhideWhenUsed/>
    <w:qFormat/>
    <w:rPr>
      <w:rFonts w:ascii="Arial" w:hAnsi="Arial"/>
    </w:rPr>
  </w:style>
  <w:style w:type="paragraph" w:styleId="1129">
    <w:name w:val="List Number 3"/>
    <w:basedOn w:val="1117"/>
    <w:next w:val="1116"/>
    <w:uiPriority w:val="0"/>
    <w:qFormat/>
    <w:pPr>
      <w:numPr>
        <w:ilvl w:val="0"/>
        <w:numId w:val="1"/>
      </w:numPr>
    </w:pPr>
  </w:style>
  <w:style w:type="paragraph" w:styleId="1130">
    <w:name w:val="Block Text"/>
    <w:basedOn w:val="1116"/>
    <w:next w:val="1116"/>
    <w:uiPriority w:val="0"/>
    <w:qFormat/>
    <w:pPr>
      <w:ind w:left="420" w:right="33" w:firstLine="2560"/>
    </w:pPr>
  </w:style>
  <w:style w:type="paragraph" w:styleId="1131">
    <w:name w:val="toc 3"/>
    <w:basedOn w:val="1116"/>
    <w:next w:val="1116"/>
    <w:uiPriority w:val="0"/>
    <w:qFormat/>
    <w:pPr>
      <w:ind w:left="840"/>
    </w:pPr>
  </w:style>
  <w:style w:type="paragraph" w:styleId="1132">
    <w:name w:val="Plain Text"/>
    <w:basedOn w:val="1116"/>
    <w:uiPriority w:val="0"/>
    <w:qFormat/>
    <w:rPr>
      <w:rFonts w:hAnsi="Courier New"/>
      <w:sz w:val="21"/>
    </w:rPr>
  </w:style>
  <w:style w:type="paragraph" w:styleId="1133">
    <w:name w:val="List Bullet 5"/>
    <w:basedOn w:val="1117"/>
    <w:next w:val="1134"/>
    <w:uiPriority w:val="0"/>
    <w:qFormat/>
    <w:pPr>
      <w:numPr>
        <w:ilvl w:val="0"/>
        <w:numId w:val="2"/>
      </w:numPr>
    </w:pPr>
  </w:style>
  <w:style w:type="paragraph" w:styleId="1134" w:customStyle="1">
    <w:name w:val="正文首行缩进1"/>
    <w:next w:val="1129"/>
    <w:uiPriority w:val="0"/>
    <w:qFormat/>
    <w:pPr>
      <w:ind w:left="420" w:firstLine="2724"/>
      <w:spacing w:after="120" w:line="360" w:lineRule="auto"/>
    </w:pPr>
    <w:rPr>
      <w:rFonts w:ascii="Calibri" w:hAnsi="Calibri" w:eastAsia="宋体" w:cs="Times New Roman"/>
      <w:lang w:val="en-US" w:eastAsia="zh-CN" w:bidi="ar-SA"/>
    </w:rPr>
  </w:style>
  <w:style w:type="paragraph" w:styleId="1135">
    <w:name w:val="Date"/>
    <w:basedOn w:val="1117"/>
    <w:next w:val="1116"/>
    <w:uiPriority w:val="0"/>
    <w:qFormat/>
    <w:pPr>
      <w:ind w:left="0" w:firstLine="2560"/>
      <w:spacing w:before="0" w:after="0" w:line="240" w:lineRule="auto"/>
    </w:pPr>
  </w:style>
  <w:style w:type="paragraph" w:styleId="1136">
    <w:name w:val="Balloon Text"/>
    <w:basedOn w:val="1116"/>
    <w:uiPriority w:val="0"/>
    <w:unhideWhenUsed/>
    <w:qFormat/>
    <w:rPr>
      <w:sz w:val="18"/>
      <w:szCs w:val="18"/>
    </w:rPr>
  </w:style>
  <w:style w:type="paragraph" w:styleId="1137">
    <w:name w:val="Footer"/>
    <w:basedOn w:val="1117"/>
    <w:next w:val="1138"/>
    <w:uiPriority w:val="99"/>
    <w:qFormat/>
    <w:pPr>
      <w:ind w:left="0" w:firstLine="3584"/>
      <w:spacing w:before="0" w:after="0" w:line="240" w:lineRule="auto"/>
    </w:pPr>
  </w:style>
  <w:style w:type="paragraph" w:styleId="1138" w:customStyle="1">
    <w:name w:val="Char Char Char Char Char Char Char Char Char Char Char Char Char"/>
    <w:basedOn w:val="1117"/>
    <w:next w:val="1116"/>
    <w:uiPriority w:val="0"/>
    <w:qFormat/>
    <w:pPr>
      <w:ind w:left="0" w:firstLine="3584"/>
      <w:spacing w:before="0" w:after="160" w:line="240" w:lineRule="exact"/>
    </w:pPr>
  </w:style>
  <w:style w:type="paragraph" w:styleId="1139">
    <w:name w:val="Header"/>
    <w:basedOn w:val="1117"/>
    <w:next w:val="1135"/>
    <w:uiPriority w:val="99"/>
    <w:qFormat/>
    <w:pPr>
      <w:ind w:left="0" w:firstLine="3584"/>
      <w:jc w:val="center"/>
      <w:spacing w:before="0" w:after="0" w:line="240" w:lineRule="auto"/>
    </w:pPr>
  </w:style>
  <w:style w:type="paragraph" w:styleId="1140">
    <w:name w:val="toc 1"/>
    <w:basedOn w:val="1117"/>
    <w:next w:val="1116"/>
    <w:uiPriority w:val="39"/>
    <w:qFormat/>
    <w:pPr>
      <w:ind w:left="0" w:firstLine="4608"/>
      <w:spacing w:before="0" w:after="0" w:line="240" w:lineRule="auto"/>
    </w:pPr>
  </w:style>
  <w:style w:type="paragraph" w:styleId="1141">
    <w:name w:val="Body Text Indent 3"/>
    <w:basedOn w:val="1116"/>
    <w:uiPriority w:val="0"/>
    <w:qFormat/>
    <w:pPr>
      <w:ind w:firstLine="480"/>
      <w:spacing w:line="400" w:lineRule="exact"/>
    </w:pPr>
    <w:rPr>
      <w:rFonts w:ascii="Times New Roman" w:hAnsi="Times New Roman"/>
    </w:rPr>
  </w:style>
  <w:style w:type="paragraph" w:styleId="1142">
    <w:name w:val="toc 2"/>
    <w:basedOn w:val="1116"/>
    <w:next w:val="1116"/>
    <w:uiPriority w:val="0"/>
    <w:qFormat/>
    <w:pPr>
      <w:ind w:left="420"/>
    </w:pPr>
  </w:style>
  <w:style w:type="paragraph" w:styleId="1143">
    <w:name w:val="annotation subject"/>
    <w:basedOn w:val="1125"/>
    <w:next w:val="1125"/>
    <w:link w:val="1154"/>
    <w:uiPriority w:val="0"/>
    <w:qFormat/>
    <w:pPr>
      <w:ind w:left="1024" w:firstLine="0"/>
      <w:jc w:val="left"/>
      <w:spacing w:line="240" w:lineRule="auto"/>
    </w:pPr>
    <w:rPr>
      <w:b/>
      <w:bCs/>
    </w:rPr>
  </w:style>
  <w:style w:type="paragraph" w:styleId="1144">
    <w:name w:val="Body Text First Indent 2"/>
    <w:basedOn w:val="1127"/>
    <w:uiPriority w:val="0"/>
    <w:qFormat/>
    <w:pPr>
      <w:ind w:firstLine="420"/>
      <w:spacing w:after="120" w:line="240" w:lineRule="auto"/>
    </w:pPr>
    <w:rPr>
      <w:rFonts w:ascii="等线"/>
      <w:sz w:val="21"/>
      <w:szCs w:val="24"/>
    </w:rPr>
  </w:style>
  <w:style w:type="table" w:styleId="1145">
    <w:name w:val="Table Grid"/>
    <w:basedOn w:val="11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6">
    <w:name w:val="page number"/>
    <w:uiPriority w:val="0"/>
    <w:qFormat/>
    <w:rPr>
      <w:sz w:val="20"/>
    </w:rPr>
  </w:style>
  <w:style w:type="character" w:styleId="1147">
    <w:name w:val="Emphasis"/>
    <w:basedOn w:val="1120"/>
    <w:uiPriority w:val="0"/>
    <w:qFormat/>
    <w:rPr>
      <w:i/>
    </w:rPr>
  </w:style>
  <w:style w:type="character" w:styleId="1148">
    <w:name w:val="Hyperlink"/>
    <w:uiPriority w:val="99"/>
    <w:qFormat/>
    <w:rPr>
      <w:color w:val="0000ff"/>
      <w:sz w:val="20"/>
      <w:u w:val="single"/>
    </w:rPr>
  </w:style>
  <w:style w:type="character" w:styleId="1149">
    <w:name w:val="annotation reference"/>
    <w:basedOn w:val="1120"/>
    <w:uiPriority w:val="0"/>
    <w:qFormat/>
    <w:rPr>
      <w:sz w:val="21"/>
      <w:szCs w:val="21"/>
    </w:rPr>
  </w:style>
  <w:style w:type="paragraph" w:styleId="1150" w:customStyle="1">
    <w:name w:val="标题 31"/>
    <w:basedOn w:val="1116"/>
    <w:next w:val="1116"/>
    <w:uiPriority w:val="0"/>
    <w:qFormat/>
    <w:pPr>
      <w:jc w:val="left"/>
      <w:spacing w:before="100" w:beforeAutospacing="1" w:after="100" w:afterAutospacing="1"/>
      <w:outlineLvl w:val="2"/>
    </w:pPr>
    <w:rPr>
      <w:rFonts w:hint="eastAsia" w:ascii="宋体" w:hAnsi="宋体"/>
      <w:b/>
      <w:bCs/>
      <w:sz w:val="27"/>
      <w:szCs w:val="27"/>
    </w:rPr>
  </w:style>
  <w:style w:type="paragraph" w:styleId="1151" w:customStyle="1">
    <w:name w:val="正文1"/>
    <w:basedOn w:val="1116"/>
    <w:next w:val="1116"/>
    <w:uiPriority w:val="0"/>
    <w:qFormat/>
    <w:pPr>
      <w:ind w:left="420" w:firstLine="527"/>
      <w:spacing w:line="360" w:lineRule="auto"/>
      <w:widowControl w:val="off"/>
    </w:pPr>
    <w:rPr>
      <w:rFonts w:ascii="宋体" w:hAnsi="宋体"/>
    </w:rPr>
  </w:style>
  <w:style w:type="character" w:styleId="1152" w:customStyle="1">
    <w:name w:val="NormalCharacter1"/>
    <w:uiPriority w:val="0"/>
    <w:semiHidden/>
    <w:qFormat/>
    <w:rPr>
      <w:rFonts w:ascii="Calibri" w:hAnsi="Calibri"/>
      <w:lang w:val="en-US" w:eastAsia="zh-CN" w:bidi="ar-SA"/>
    </w:rPr>
  </w:style>
  <w:style w:type="character" w:styleId="1153" w:customStyle="1">
    <w:name w:val="批注文字 Char"/>
    <w:basedOn w:val="1120"/>
    <w:link w:val="1125"/>
    <w:uiPriority w:val="0"/>
    <w:qFormat/>
    <w:rPr>
      <w:rFonts w:ascii="Calibri" w:hAnsi="Calibri"/>
    </w:rPr>
  </w:style>
  <w:style w:type="character" w:styleId="1154" w:customStyle="1">
    <w:name w:val="批注主题 Char"/>
    <w:basedOn w:val="1153"/>
    <w:link w:val="1143"/>
    <w:uiPriority w:val="0"/>
    <w:qFormat/>
  </w:style>
  <w:style w:type="character" w:styleId="1155" w:customStyle="1">
    <w:name w:val="font11"/>
    <w:basedOn w:val="1120"/>
    <w:uiPriority w:val="0"/>
    <w:qFormat/>
    <w:rPr>
      <w:rFonts w:hint="default" w:ascii="Times New Roman" w:hAnsi="Times New Roman" w:cs="Times New Roman"/>
      <w:color w:val="000000"/>
      <w:sz w:val="21"/>
      <w:szCs w:val="21"/>
      <w:u w:val="none"/>
    </w:rPr>
  </w:style>
  <w:style w:type="character" w:styleId="1156" w:customStyle="1">
    <w:name w:val="font31"/>
    <w:basedOn w:val="1120"/>
    <w:uiPriority w:val="0"/>
    <w:qFormat/>
    <w:rPr>
      <w:rFonts w:hint="default" w:ascii="Arial" w:hAnsi="Arial" w:cs="Arial"/>
      <w:color w:val="000000"/>
      <w:sz w:val="20"/>
      <w:szCs w:val="20"/>
      <w:u w:val="none"/>
    </w:rPr>
  </w:style>
  <w:style w:type="character" w:styleId="1157" w:customStyle="1">
    <w:name w:val="font21"/>
    <w:basedOn w:val="1120"/>
    <w:uiPriority w:val="0"/>
    <w:qFormat/>
    <w:rPr>
      <w:rFonts w:hint="eastAsia" w:ascii="宋体" w:hAnsi="宋体" w:eastAsia="宋体" w:cs="宋体"/>
      <w:color w:val="000000"/>
      <w:sz w:val="21"/>
      <w:szCs w:val="21"/>
      <w:u w:val="none"/>
    </w:rPr>
  </w:style>
  <w:style w:type="character" w:styleId="1158" w:customStyle="1">
    <w:name w:val="NormalCharacter"/>
    <w:link w:val="1159"/>
    <w:uiPriority w:val="0"/>
    <w:semiHidden/>
    <w:qFormat/>
    <w:rPr>
      <w:rFonts w:ascii="Calibri" w:hAnsi="Calibri" w:eastAsia="宋体" w:cs="Times New Roman"/>
    </w:rPr>
  </w:style>
  <w:style w:type="paragraph" w:styleId="1159" w:customStyle="1">
    <w:name w:val="UserStyle_3"/>
    <w:basedOn w:val="1116"/>
    <w:link w:val="1158"/>
    <w:uiPriority w:val="0"/>
    <w:qFormat/>
    <w:pPr>
      <w:ind w:left="0"/>
      <w:jc w:val="left"/>
      <w:spacing w:line="360" w:lineRule="auto"/>
      <w:shd w:val="clear" w:color="auto" w:fill="000080"/>
    </w:pPr>
  </w:style>
  <w:style w:type="paragraph" w:styleId="1160" w:customStyle="1">
    <w:name w:val="PlainText"/>
    <w:basedOn w:val="1116"/>
    <w:uiPriority w:val="0"/>
    <w:qFormat/>
    <w:rPr>
      <w:rFonts w:ascii="宋体" w:hAnsi="Courier New"/>
    </w:rPr>
  </w:style>
  <w:style w:type="paragraph" w:styleId="1161" w:customStyle="1">
    <w:name w:val="Plain Text1"/>
    <w:basedOn w:val="1116"/>
    <w:uiPriority w:val="0"/>
    <w:qFormat/>
    <w:pPr>
      <w:widowControl w:val="off"/>
    </w:pPr>
    <w:rPr>
      <w:rFonts w:hint="eastAsia" w:ascii="宋体" w:hAnsi="Courier New"/>
      <w:sz w:val="28"/>
    </w:rPr>
  </w:style>
  <w:style w:type="paragraph" w:styleId="1162" w:customStyle="1">
    <w:name w:val="WPSOffice手动目录 1"/>
    <w:uiPriority w:val="0"/>
    <w:qFormat/>
    <w:rPr>
      <w:rFonts w:ascii="Times New Roman" w:hAnsi="Times New Roman" w:eastAsia="宋体" w:cs="Times New Roman"/>
      <w:lang w:val="en-US" w:eastAsia="zh-CN" w:bidi="ar-SA"/>
    </w:rPr>
  </w:style>
  <w:style w:type="paragraph" w:styleId="1163" w:customStyle="1">
    <w:name w:val="Andy_正文"/>
    <w:basedOn w:val="1116"/>
    <w:uiPriority w:val="0"/>
    <w:qFormat/>
    <w:pPr>
      <w:ind w:firstLine="480"/>
      <w:spacing w:line="360" w:lineRule="auto"/>
      <w:widowControl w:val="off"/>
    </w:pPr>
    <w:rPr>
      <w:sz w:val="24"/>
    </w:rPr>
  </w:style>
  <w:style w:type="paragraph" w:styleId="1164" w:customStyle="1">
    <w:name w:val="纯文本1"/>
    <w:basedOn w:val="1116"/>
    <w:uiPriority w:val="0"/>
    <w:qFormat/>
    <w:rPr>
      <w:rFonts w:hAnsi="Courier New" w:eastAsia="KaiTi_GB2312"/>
      <w:sz w:val="28"/>
    </w:rPr>
  </w:style>
  <w:style w:type="paragraph" w:styleId="1165" w:customStyle="1">
    <w:name w:val="纯文本3"/>
    <w:basedOn w:val="1116"/>
    <w:uiPriority w:val="0"/>
    <w:qFormat/>
    <w:rPr>
      <w:rFonts w:ascii="宋体" w:hAnsi="Courier New"/>
    </w:rPr>
  </w:style>
  <w:style w:type="paragraph" w:styleId="1166" w:customStyle="1">
    <w:name w:val="纯文本31"/>
    <w:basedOn w:val="1116"/>
    <w:uiPriority w:val="0"/>
    <w:qFormat/>
    <w:pPr>
      <w:jc w:val="left"/>
    </w:pPr>
    <w:rPr>
      <w:rFonts w:ascii="宋体" w:hAnsi="Courier New" w:eastAsia="KaiTi_GB2312"/>
      <w:sz w:val="26"/>
    </w:rPr>
  </w:style>
  <w:style w:type="paragraph" w:styleId="1167" w:customStyle="1">
    <w:name w:val="Default"/>
    <w:next w:val="1133"/>
    <w:uiPriority w:val="0"/>
    <w:qFormat/>
    <w:pPr>
      <w:ind w:firstLine="5120"/>
      <w:widowControl w:val="off"/>
    </w:pPr>
    <w:rPr>
      <w:rFonts w:ascii="Calibri" w:hAnsi="Calibri" w:eastAsia="宋体" w:cs="Times New Roman"/>
      <w:lang w:val="en-US" w:eastAsia="zh-CN" w:bidi="ar-SA"/>
    </w:rPr>
  </w:style>
  <w:style w:type="paragraph" w:styleId="1168" w:customStyle="1">
    <w:name w:val="正文文本缩进1"/>
    <w:basedOn w:val="1116"/>
    <w:uiPriority w:val="0"/>
    <w:qFormat/>
    <w:pPr>
      <w:ind w:firstLine="435"/>
      <w:spacing w:line="480" w:lineRule="exact"/>
    </w:pPr>
    <w:rPr>
      <w:szCs w:val="32"/>
    </w:rPr>
  </w:style>
  <w:style w:type="paragraph" w:styleId="1169" w:customStyle="1">
    <w:name w:val="首行缩进"/>
    <w:basedOn w:val="1116"/>
    <w:uiPriority w:val="0"/>
    <w:qFormat/>
    <w:pPr>
      <w:ind w:firstLine="480"/>
    </w:pPr>
    <w:rPr>
      <w:lang w:val="zh-CN"/>
    </w:rPr>
  </w:style>
  <w:style w:type="paragraph" w:styleId="1170" w:customStyle="1">
    <w:name w:val="Acetate"/>
    <w:basedOn w:val="1116"/>
    <w:uiPriority w:val="0"/>
    <w:semiHidden/>
    <w:qFormat/>
    <w:rPr>
      <w:sz w:val="18"/>
      <w:szCs w:val="18"/>
    </w:rPr>
  </w:style>
  <w:style w:type="paragraph" w:styleId="1171" w:customStyle="1">
    <w:name w:val="纯文本4"/>
    <w:basedOn w:val="1116"/>
    <w:uiPriority w:val="0"/>
    <w:qFormat/>
    <w:pPr>
      <w:widowControl w:val="off"/>
    </w:pPr>
    <w:rPr>
      <w:rFonts w:ascii="宋体" w:hAnsi="Courier New"/>
      <w:lang w:val="zh-CN"/>
    </w:rPr>
  </w:style>
  <w:style w:type="paragraph" w:styleId="1172" w:customStyle="1">
    <w:name w:val="_Style 6"/>
    <w:basedOn w:val="1117"/>
    <w:next w:val="111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3" w:customStyle="1">
    <w:name w:val="UserStyle_34"/>
    <w:basedOn w:val="1116"/>
    <w:uiPriority w:val="0"/>
    <w:qFormat/>
    <w:pPr>
      <w:ind w:firstLine="200"/>
      <w:spacing w:before="50" w:after="50" w:line="360" w:lineRule="auto"/>
    </w:pPr>
    <w:rPr>
      <w:sz w:val="24"/>
      <w:szCs w:val="24"/>
    </w:rPr>
  </w:style>
  <w:style w:type="paragraph" w:styleId="1174" w:customStyle="1">
    <w:name w:val="纯文本11"/>
    <w:basedOn w:val="1116"/>
    <w:uiPriority w:val="0"/>
    <w:qFormat/>
    <w:rPr>
      <w:rFonts w:hAnsi="Courier New" w:eastAsia="KaiTi_GB2312"/>
      <w:sz w:val="26"/>
    </w:rPr>
  </w:style>
  <w:style w:type="paragraph" w:styleId="1175" w:customStyle="1">
    <w:name w:val="NormalIndent"/>
    <w:basedOn w:val="1116"/>
    <w:uiPriority w:val="0"/>
    <w:qFormat/>
    <w:pPr>
      <w:ind w:firstLine="420"/>
      <w:jc w:val="left"/>
    </w:pPr>
    <w:rPr>
      <w:sz w:val="24"/>
    </w:rPr>
  </w:style>
  <w:style w:type="paragraph" w:styleId="1176" w:customStyle="1">
    <w:name w:val="UserStyle_28"/>
    <w:basedOn w:val="1116"/>
    <w:uiPriority w:val="0"/>
    <w:qFormat/>
    <w:pPr>
      <w:ind w:firstLine="480"/>
      <w:spacing w:line="360" w:lineRule="auto"/>
    </w:pPr>
    <w:rPr>
      <w:sz w:val="24"/>
    </w:rPr>
  </w:style>
  <w:style w:type="paragraph" w:styleId="1177" w:customStyle="1">
    <w:name w:val="UserStyle_62"/>
    <w:basedOn w:val="1116"/>
    <w:uiPriority w:val="0"/>
    <w:qFormat/>
    <w:rPr>
      <w:rFonts w:ascii="宋体" w:hAnsi="Courier New"/>
    </w:rPr>
  </w:style>
  <w:style w:type="paragraph" w:styleId="1178" w:customStyle="1">
    <w:name w:val="批注框文本1"/>
    <w:basedOn w:val="1116"/>
    <w:uiPriority w:val="0"/>
    <w:unhideWhenUsed/>
    <w:qFormat/>
    <w:rPr>
      <w:sz w:val="18"/>
      <w:szCs w:val="18"/>
    </w:rPr>
  </w:style>
  <w:style w:type="paragraph" w:styleId="1179" w:customStyle="1">
    <w:name w:val="正文缩进1"/>
    <w:basedOn w:val="1116"/>
    <w:next w:val="1116"/>
    <w:uiPriority w:val="0"/>
    <w:qFormat/>
    <w:pPr>
      <w:ind w:left="420" w:firstLine="4772"/>
    </w:p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1"/>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许菊根</cp:lastModifiedBy>
  <cp:revision>6</cp:revision>
  <dcterms:created xsi:type="dcterms:W3CDTF">2026-03-16T08:17:00Z</dcterms:created>
  <dcterms:modified xsi:type="dcterms:W3CDTF">2026-04-07T05:46:59Z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C437755BAA884DB1ACA32551B7BD3CC2_13</vt:lpwstr>
  </property>
  <property fmtid="{D5CDD505-2E9C-101B-9397-08002B2CF9AE}" pid="4" name="KSOTemplateDocerSaveRecord">
    <vt:lpwstr>eyJoZGlkIjoiZDlmOWVkMWIzMTNhMTc5OTI4NWM5ZjI5OWEwZjk2NmUiLCJ1c2VySWQiOiIzOTQ4NTMzMjYifQ==</vt:lpwstr>
  </property>
</Properties>
</file>