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JSZC-320500-JZCG-G2026-0079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2025年部门集中采购目录外器材装备采购项目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r/>
      <w:r/>
    </w:p>
    <w:p>
      <w:pPr>
        <w:pStyle w:val="100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年4月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8"/>
          <w:rFonts w:ascii="宋体" w:hAnsi="宋体" w:cs="Calibri"/>
          <w:bCs/>
          <w:caps/>
          <w:color w:val="auto"/>
          <w:sz w:val="32"/>
          <w:szCs w:val="32"/>
        </w:rPr>
        <w:t xml:space="preserve">第一章 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8"/>
          <w:rFonts w:ascii="宋体" w:hAnsi="宋体" w:cs="Calibri"/>
          <w:bCs/>
          <w:caps/>
          <w:color w:val="auto"/>
          <w:sz w:val="32"/>
          <w:szCs w:val="32"/>
        </w:rPr>
        <w:t xml:space="preserve">第二章 投标人须知</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_Toc105397777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9</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8"/>
          <w:rFonts w:ascii="宋体" w:hAnsi="宋体" w:cs="Calibri"/>
          <w:bCs/>
          <w:caps/>
          <w:color w:val="auto"/>
          <w:sz w:val="32"/>
          <w:szCs w:val="32"/>
        </w:rPr>
        <w:t xml:space="preserve">第三章 投标文件格式</w:t>
      </w:r>
      <w:bookmarkStart w:id="113" w:name="_GoBack"/>
      <w:r/>
      <w:bookmarkEnd w:id="113"/>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21</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8"/>
          <w:rFonts w:ascii="宋体" w:hAnsi="宋体" w:cs="Calibri"/>
          <w:bCs/>
          <w:caps/>
          <w:color w:val="auto"/>
          <w:sz w:val="32"/>
          <w:szCs w:val="32"/>
        </w:rPr>
        <w:t xml:space="preserve">第四章 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8"/>
          <w:rFonts w:ascii="宋体" w:hAnsi="宋体" w:cs="Calibri"/>
          <w:bCs/>
          <w:caps/>
          <w:color w:val="auto"/>
          <w:sz w:val="32"/>
          <w:szCs w:val="32"/>
        </w:rPr>
        <w:t xml:space="preserve">第五章 合同及主要条款</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_Toc105397794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8"/>
          <w:rFonts w:ascii="宋体" w:hAnsi="宋体" w:cs="Calibri"/>
          <w:bCs/>
          <w:caps/>
          <w:color w:val="auto"/>
          <w:sz w:val="32"/>
          <w:szCs w:val="32"/>
        </w:rPr>
        <w:t xml:space="preserve">第六章 评标办法和评分标准</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_Toc105397795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67</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37"/>
        <w:ind w:firstLine="0"/>
        <w:jc w:val="left"/>
        <w:spacing w:before="120" w:after="120"/>
        <w:tabs>
          <w:tab w:val="right" w:pos="9856" w:leader="dot"/>
        </w:tabs>
        <w:rPr>
          <w:rFonts w:ascii="宋体" w:hAnsi="宋体"/>
          <w:sz w:val="32"/>
          <w:szCs w:val="32"/>
        </w:rPr>
        <w:outlineLvl w:val="9"/>
      </w:pPr>
      <w:r>
        <w:rPr>
          <w:rStyle w:val="105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100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JSZC-320500-JZCG-G2026-0079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2025年部门集中采购目录外器材装备采购项目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联系人：朱工、丁工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联系人：周工</w:t>
            </w:r>
            <w:r/>
          </w:p>
          <w:p>
            <w:pPr>
              <w:ind w:left="0"/>
              <w:jc w:val="left"/>
              <w:spacing w:line="440" w:lineRule="exact"/>
              <w:rPr>
                <w:rFonts w:ascii="宋体" w:hAnsi="宋体"/>
                <w:sz w:val="21"/>
                <w:szCs w:val="21"/>
              </w:rPr>
            </w:pPr>
            <w:r>
              <w:rPr>
                <w:rFonts w:hint="eastAsia" w:ascii="宋体" w:hAnsi="宋体"/>
                <w:sz w:val="21"/>
                <w:szCs w:val="21"/>
              </w:rPr>
              <w:t xml:space="preserve">联系电话：0512-62765293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16"/>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合同总金额的5%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2025年部门集中采购目录外器材装备采购项目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1.项目编号：JSZC-320500-JZCG-G2026-0079</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2.项目名称：2025年部门集中采购目录外器材装备采购项目</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1"/>
        <w:ind w:left="0" w:firstLine="420"/>
        <w:spacing w:line="360" w:lineRule="auto"/>
        <w:rPr>
          <w:rFonts w:ascii="宋体" w:hAnsi="宋体"/>
          <w:sz w:val="21"/>
          <w:szCs w:val="21"/>
        </w:rPr>
      </w:pPr>
      <w:r>
        <w:rPr>
          <w:rFonts w:hint="eastAsia" w:ascii="宋体" w:hAnsi="宋体"/>
          <w:sz w:val="21"/>
          <w:szCs w:val="21"/>
        </w:rPr>
        <w:t xml:space="preserve">4.预算金额：人民币柒佰捌拾捌万贰仟贰佰元整（¥7882200.00元）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pStyle w:val="1011"/>
        <w:ind w:left="0" w:firstLine="420"/>
        <w:spacing w:line="360" w:lineRule="auto"/>
      </w:pPr>
      <w:r>
        <w:rPr>
          <w:rFonts w:hint="eastAsia" w:ascii="宋体" w:hAnsi="宋体"/>
          <w:sz w:val="21"/>
          <w:szCs w:val="21"/>
        </w:rPr>
        <w:t xml:space="preserve">包七预算金额：人民币肆拾万元整（¥400000.00元）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5.最高限价：人民币柒佰陆拾肆万肆仟壹佰元整（¥7644100.00元）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包七最高限价：人民币肆拾万元整（¥400000.00元）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签订合同后60日历天内将货物送达指定地点。质量保证期：从验收合格后三十六个月（双方签署验收报告时起算），抗醇性水成膜泡沫灭火剂保质期≥2年。</w:t>
      </w:r>
      <w:r/>
    </w:p>
    <w:p>
      <w:pPr>
        <w:pStyle w:val="1011"/>
        <w:ind w:left="0" w:firstLine="420"/>
        <w:spacing w:line="360" w:lineRule="auto"/>
        <w:rPr>
          <w:rFonts w:asciiTheme="minorEastAsia" w:hAnsiTheme="minorEastAsia" w:eastAsiaTheme="minorEastAsia" w:cstheme="minorEastAsia"/>
          <w:sz w:val="21"/>
          <w:szCs w:val="21"/>
        </w:rPr>
      </w:pPr>
      <w:r>
        <w:rPr>
          <w:rFonts w:hint="eastAsia" w:ascii="宋体" w:hAnsi="宋体"/>
          <w:sz w:val="21"/>
          <w:szCs w:val="21"/>
        </w:rPr>
        <w:t xml:space="preserve">7.采购需求：本项目</w:t>
      </w:r>
      <w:r>
        <w:rPr>
          <w:rFonts w:hint="eastAsia" w:asciiTheme="minorEastAsia" w:hAnsiTheme="minorEastAsia" w:eastAsiaTheme="minorEastAsia" w:cstheme="minorEastAsia"/>
          <w:sz w:val="21"/>
          <w:szCs w:val="21"/>
        </w:rPr>
        <w:t xml:space="preserve">采购2025年部门集中采购目录外器材装备：</w:t>
      </w:r>
      <w:r/>
    </w:p>
    <w:tbl>
      <w:tblPr>
        <w:tblStyle w:val="1053"/>
        <w:tblW w:w="7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2552"/>
        <w:gridCol w:w="567"/>
        <w:gridCol w:w="850"/>
        <w:gridCol w:w="1418"/>
        <w:gridCol w:w="1134"/>
      </w:tblGrid>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包号</w:t>
            </w:r>
            <w:r/>
          </w:p>
        </w:tc>
        <w:tc>
          <w:tcPr>
            <w:tcW w:w="2552"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装备</w:t>
            </w:r>
            <w:r>
              <w:rPr>
                <w:rFonts w:cs="Times New Roman" w:asciiTheme="minorEastAsia" w:hAnsiTheme="minorEastAsia" w:eastAsiaTheme="minorEastAsia"/>
                <w:b/>
                <w:bCs/>
                <w:sz w:val="21"/>
                <w:szCs w:val="21"/>
              </w:rPr>
              <w:t xml:space="preserve">名称</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计量单位</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数量</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是否进口</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核心产品</w:t>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激流救生衣</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水域救援头盔</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湿式水域救援服</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207</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水域救援靴</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bCs/>
                <w:sz w:val="21"/>
                <w:szCs w:val="21"/>
              </w:rPr>
              <w:t xml:space="preserve">双</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249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手提式强光照明灯</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179</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pacing w:val="-4"/>
                <w:sz w:val="21"/>
                <w:szCs w:val="21"/>
              </w:rPr>
            </w:pPr>
            <w:r>
              <w:rPr>
                <w:rFonts w:cs="Times New Roman" w:asciiTheme="minorEastAsia" w:hAnsiTheme="minorEastAsia" w:eastAsiaTheme="minorEastAsia"/>
                <w:spacing w:val="-4"/>
                <w:sz w:val="21"/>
                <w:szCs w:val="21"/>
              </w:rPr>
              <w:t xml:space="preserve">消防用红外热像仪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有毒气体探测仪</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53</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漏电探测仪</w:t>
            </w:r>
            <w:r>
              <w:rPr>
                <w:rFonts w:hint="eastAsia" w:cs="Times New Roman" w:asciiTheme="minorEastAsia" w:hAnsiTheme="minorEastAsia" w:eastAsiaTheme="minorEastAsia"/>
                <w:sz w:val="21"/>
                <w:szCs w:val="21"/>
              </w:rPr>
              <w:t xml:space="preserve">（漏电探测棒）</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82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restart"/>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高压森林消防泵</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核心产品</w:t>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消防拉梯（6米竹制）</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驾</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141</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vMerge w:val="continue"/>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消防员降温背心</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件</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132</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抗醇性水成膜泡沫灭火剂</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吨</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120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70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W w:w="2552"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通讯面罩</w:t>
            </w:r>
            <w:r/>
          </w:p>
        </w:tc>
        <w:tc>
          <w:tcPr>
            <w:tcW w:w="56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bCs/>
                <w:sz w:val="21"/>
                <w:szCs w:val="21"/>
              </w:rPr>
              <w:t xml:space="preserve">个</w:t>
            </w:r>
            <w:r/>
          </w:p>
        </w:tc>
        <w:tc>
          <w:tcPr>
            <w:tcW w:w="85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40</w:t>
            </w:r>
            <w:r/>
          </w:p>
        </w:tc>
        <w:tc>
          <w:tcPr>
            <w:tcW w:w="1418"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否</w:t>
            </w:r>
            <w:r/>
          </w:p>
        </w:tc>
        <w:tc>
          <w:tcPr>
            <w:tcW w:w="1134" w:type="dxa"/>
            <w:vAlign w:val="center"/>
            <w:textDirection w:val="lrTb"/>
            <w:noWrap w:val="false"/>
          </w:tcPr>
          <w:p>
            <w:pPr>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1"/>
        <w:ind w:left="0" w:firstLine="420"/>
        <w:spacing w:line="360" w:lineRule="auto"/>
        <w:rPr>
          <w:rFonts w:ascii="宋体" w:hAnsi="宋体"/>
          <w:sz w:val="21"/>
          <w:szCs w:val="21"/>
        </w:rPr>
      </w:pPr>
      <w:r>
        <w:rPr>
          <w:rFonts w:hint="eastAsia" w:ascii="宋体" w:hAnsi="宋体"/>
          <w:sz w:val="21"/>
          <w:szCs w:val="21"/>
        </w:rPr>
        <w:t xml:space="preserve">4. 联合体及转包、分包：本项目不接受联合体，不得转包、分包本项目。</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w:t>
      </w:r>
      <w:r>
        <w:rPr>
          <w:rFonts w:hint="eastAsia" w:ascii="宋体" w:hAnsi="宋体"/>
          <w:sz w:val="21"/>
          <w:szCs w:val="21"/>
        </w:rPr>
        <w:t xml:space="preserve">江苏省财政厅、中国人民银行南京分行《关于深入推进政府采购线上合同信用融资工作的通知》</w:t>
      </w:r>
      <w:r>
        <w:rPr>
          <w:rFonts w:hint="eastAsia" w:ascii="Times New Roman" w:hAnsi="Times New Roman"/>
          <w:sz w:val="21"/>
          <w:szCs w:val="21"/>
        </w:rPr>
        <w:t xml:space="preserve">相关要求，本项目支持政府采购合同信用融资。</w:t>
      </w:r>
      <w:r/>
    </w:p>
    <w:tbl>
      <w:tblPr>
        <w:tblStyle w:val="100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ind w:left="0" w:firstLine="420"/>
              <w:spacing w:line="360" w:lineRule="exact"/>
              <w:rPr>
                <w:rFonts w:ascii="宋体" w:hAnsi="宋体"/>
                <w:sz w:val="21"/>
                <w:szCs w:val="21"/>
              </w:rPr>
            </w:pPr>
            <w:r>
              <w:rPr>
                <w:rFonts w:hint="eastAsia" w:ascii="宋体" w:hAnsi="宋体"/>
                <w:sz w:val="21"/>
                <w:szCs w:val="21"/>
              </w:rPr>
              <w:t xml:space="preserve">欢迎贵公司参加政府采购活动！</w:t>
            </w:r>
            <w:r/>
          </w:p>
          <w:p>
            <w:pPr>
              <w:pStyle w:val="1052"/>
              <w:ind w:left="0"/>
              <w:spacing w:line="240" w:lineRule="auto"/>
              <w:widowControl w:val="off"/>
              <w:rPr>
                <w:szCs w:val="21"/>
              </w:rPr>
            </w:pPr>
            <w:r>
              <w:rPr>
                <w:rFonts w:hint="eastAsia" w:ascii="宋体" w:hAnsi="宋体" w:cs="宋体"/>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名称：苏州市消防救援支队  </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地址：苏州市工业园区中新大道西198号 </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联系人：周工</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联系方式：0512-62765293 </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1011"/>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5"/>
      </w:pPr>
      <w:r/>
      <w:r/>
    </w:p>
    <w:p>
      <w:r/>
      <w:r/>
    </w:p>
    <w:p>
      <w:pPr>
        <w:pStyle w:val="1005"/>
      </w:pPr>
      <w:r/>
      <w:r/>
    </w:p>
    <w:p>
      <w:r/>
      <w:r/>
    </w:p>
    <w:p>
      <w:pPr>
        <w:pStyle w:val="1005"/>
      </w:pPr>
      <w:r/>
      <w:r/>
    </w:p>
    <w:p>
      <w:r/>
      <w:r/>
    </w:p>
    <w:p>
      <w:pPr>
        <w:pStyle w:val="1005"/>
      </w:pPr>
      <w:r/>
      <w:r/>
    </w:p>
    <w:p>
      <w:r/>
      <w:r/>
    </w:p>
    <w:p>
      <w:pPr>
        <w:pStyle w:val="1005"/>
        <w:ind w:left="0" w:firstLine="0"/>
      </w:pPr>
      <w:r/>
      <w:r/>
    </w:p>
    <w:p>
      <w:pPr>
        <w:rPr>
          <w:rFonts w:ascii="宋体" w:hAnsi="宋体"/>
          <w:b/>
          <w:sz w:val="44"/>
          <w:szCs w:val="22"/>
        </w:rPr>
      </w:pPr>
      <w:r/>
      <w:bookmarkStart w:id="7" w:name="_Toc105397777"/>
      <w:r/>
      <w:bookmarkStart w:id="8" w:name="_Toc6217"/>
      <w:r/>
      <w:bookmarkStart w:id="9" w:name="_Toc2412"/>
      <w:r>
        <w:rPr>
          <w:rFonts w:ascii="宋体" w:hAnsi="宋体"/>
          <w:b/>
          <w:sz w:val="44"/>
          <w:szCs w:val="22"/>
        </w:rPr>
        <w:br w:type="page" w:clear="all"/>
      </w:r>
      <w:r/>
    </w:p>
    <w:p>
      <w:pPr>
        <w:pStyle w:val="99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1"/>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1"/>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42"/>
      <w:r/>
      <w:bookmarkStart w:id="22" w:name="OLE_LINK38"/>
      <w:r/>
      <w:bookmarkStart w:id="23" w:name="OLE_LINK41"/>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供应商营业执照复印件、法定代表人身份证复印件、授权代表身份证复印件（如有）、授权委托书（如有）</w:t>
      </w:r>
      <w:bookmarkEnd w:id="21"/>
      <w:r/>
      <w:bookmarkEnd w:id="22"/>
      <w:r/>
      <w:bookmarkEnd w:id="23"/>
      <w:r/>
      <w:bookmarkEnd w:id="24"/>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1"/>
        <w:ind w:left="0" w:firstLine="422"/>
        <w:spacing w:line="360" w:lineRule="auto"/>
        <w:rPr>
          <w:rFonts w:hint="default" w:ascii="宋体" w:hAnsi="宋体" w:eastAsia="宋体"/>
          <w:b/>
          <w:sz w:val="21"/>
          <w:szCs w:val="21"/>
          <w:lang w:val="en-US" w:eastAsia="zh-CN"/>
        </w:rPr>
      </w:pPr>
      <w:r>
        <w:rPr>
          <w:rFonts w:hint="eastAsia" w:ascii="宋体" w:hAnsi="宋体"/>
          <w:b/>
          <w:sz w:val="21"/>
          <w:szCs w:val="21"/>
          <w:lang w:val="en-US" w:eastAsia="zh-CN"/>
        </w:rPr>
        <w:t xml:space="preserve">本项目的质疑由采购人负责答复。</w:t>
      </w:r>
      <w:r/>
    </w:p>
    <w:p>
      <w:pPr>
        <w:pStyle w:val="1011"/>
        <w:ind w:left="0" w:firstLine="422"/>
        <w:spacing w:line="360" w:lineRule="auto"/>
        <w:rPr>
          <w:rFonts w:ascii="宋体" w:hAnsi="宋体"/>
          <w:b/>
          <w:sz w:val="21"/>
          <w:szCs w:val="21"/>
        </w:rPr>
      </w:pPr>
      <w:r>
        <w:rPr>
          <w:rFonts w:hint="eastAsia" w:ascii="宋体" w:hAnsi="宋体"/>
          <w:b/>
          <w:sz w:val="21"/>
          <w:szCs w:val="21"/>
        </w:rPr>
        <w:t xml:space="preserve">质疑联系人：周工</w:t>
      </w:r>
      <w:r/>
    </w:p>
    <w:p>
      <w:pPr>
        <w:pStyle w:val="1011"/>
        <w:ind w:left="0" w:firstLine="422"/>
        <w:spacing w:line="360" w:lineRule="auto"/>
        <w:rPr>
          <w:rFonts w:ascii="宋体" w:hAnsi="宋体"/>
          <w:b/>
          <w:sz w:val="21"/>
          <w:szCs w:val="21"/>
        </w:rPr>
      </w:pPr>
      <w:r/>
      <w:bookmarkStart w:id="25" w:name="OLE_LINK35"/>
      <w:r/>
      <w:bookmarkStart w:id="26" w:name="OLE_LINK20"/>
      <w:r/>
      <w:bookmarkStart w:id="27" w:name="OLE_LINK33"/>
      <w:r/>
      <w:bookmarkStart w:id="28" w:name="OLE_LINK32"/>
      <w:r>
        <w:rPr>
          <w:rFonts w:hint="eastAsia" w:ascii="宋体" w:hAnsi="宋体"/>
          <w:b/>
          <w:sz w:val="21"/>
          <w:szCs w:val="21"/>
        </w:rPr>
        <w:t xml:space="preserve">联系电话：0512-62765293</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b/>
          <w:bCs/>
          <w:sz w:val="21"/>
          <w:szCs w:val="21"/>
        </w:rPr>
        <w:t xml:space="preserve">苏州市工业园区中新大道西198号</w:t>
      </w:r>
      <w:bookmarkEnd w:id="25"/>
      <w:r/>
      <w:bookmarkEnd w:id="26"/>
      <w:r/>
      <w:bookmarkEnd w:id="27"/>
      <w:r/>
      <w:bookmarkEnd w:id="28"/>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tabs>
          <w:tab w:val="center" w:pos="4932" w:leader="none"/>
        </w:tabs>
        <w:rPr>
          <w:rFonts w:ascii="宋体" w:hAnsi="宋体"/>
          <w:sz w:val="21"/>
          <w:szCs w:val="21"/>
        </w:rPr>
      </w:pPr>
      <w:r>
        <w:rPr>
          <w:rFonts w:hint="eastAsia" w:ascii="宋体" w:hAnsi="宋体"/>
          <w:sz w:val="21"/>
          <w:szCs w:val="21"/>
        </w:rPr>
        <w:t xml:space="preserve">14.1.5.1投标函（格式见第三章）；</w:t>
      </w:r>
      <w:r>
        <w:rPr>
          <w:rFonts w:hint="eastAsia" w:ascii="宋体" w:hAnsi="宋体"/>
          <w:sz w:val="21"/>
          <w:szCs w:val="21"/>
        </w:rPr>
        <w:tab/>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6其他有关符合性证明的文件；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投标人应对招标文件内所要采购的全部内容进行报价，只投其中部分内容者，其标书将被拒绝（如为多包项目，则上述提到的全部内容是指所投包对应采购的全部内容）。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31150"/>
      <w:r/>
      <w:bookmarkStart w:id="30"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1"/>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sz w:val="21"/>
          <w:szCs w:val="21"/>
        </w:rPr>
      </w:pPr>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6"/>
      <w:r/>
      <w:bookmarkStart w:id="35" w:name="OLE_LINK5"/>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28"/>
        <w:ind w:left="0" w:firstLine="422"/>
        <w:spacing w:line="360" w:lineRule="auto"/>
        <w:rPr>
          <w:shd w:val="clear" w:color="auto" w:fill="ffffff"/>
        </w:rPr>
      </w:pPr>
      <w:r/>
      <w:bookmarkStart w:id="36" w:name="OLE_LINK3"/>
      <w:r/>
      <w:bookmarkStart w:id="37"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8" w:name="OLE_LINK2"/>
      <w:r/>
      <w:bookmarkStart w:id="39" w:name="OLE_LINK1"/>
      <w:r>
        <w:rPr>
          <w:rFonts w:hint="eastAsia" w:ascii="宋体" w:hAnsi="宋体"/>
          <w:b/>
          <w:sz w:val="21"/>
          <w:szCs w:val="21"/>
        </w:rPr>
        <w:t xml:space="preserve">评标委员会</w:t>
      </w:r>
      <w:bookmarkEnd w:id="38"/>
      <w:r/>
      <w:bookmarkEnd w:id="39"/>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46" w:name="_Toc24711"/>
      <w:r/>
      <w:bookmarkStart w:id="47" w:name="_Toc105397778"/>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3821"/>
      <w:r/>
      <w:bookmarkStart w:id="51" w:name="_Toc105397779"/>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Style w:val="10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r/>
      <w:bookmarkEnd w:id="70"/>
      <w:r/>
      <w:r/>
    </w:p>
    <w:p>
      <w:pPr>
        <w:pStyle w:val="1019"/>
        <w:ind w:firstLine="0"/>
        <w:jc w:val="right"/>
        <w:rPr>
          <w:rFonts w:ascii="宋体" w:hAnsi="宋体"/>
          <w:sz w:val="21"/>
          <w:szCs w:val="21"/>
        </w:rPr>
      </w:pPr>
      <w:r>
        <w:rPr>
          <w:rFonts w:hint="eastAsia" w:ascii="宋体" w:hAnsi="宋体"/>
          <w:sz w:val="21"/>
          <w:szCs w:val="21"/>
        </w:rPr>
        <w:t xml:space="preserve">单位：元（人民币）</w:t>
      </w:r>
      <w:r/>
    </w:p>
    <w:tbl>
      <w:tblPr>
        <w:tblStyle w:val="100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105397782"/>
      <w:r/>
      <w:bookmarkStart w:id="7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21574"/>
      <w:r/>
      <w:bookmarkStart w:id="75" w:name="_Toc7181048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中小企业声明函（货物）（包号：____）</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（2025年部门集中采购目录外器材装备采购项目）</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2"/>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0"/>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57"/>
          <w:rFonts w:hint="eastAsia"/>
          <w:u w:val="single"/>
        </w:rPr>
        <w:t xml:space="preserve">（产品名称1）</w:t>
      </w:r>
      <w:r>
        <w:rPr>
          <w:rStyle w:val="1057"/>
          <w:rFonts w:hint="eastAsia"/>
          <w:vertAlign w:val="superscript"/>
        </w:rPr>
        <w:t xml:space="preserve">1</w:t>
      </w:r>
      <w:r>
        <w:rPr>
          <w:rFonts w:hint="eastAsia"/>
        </w:rPr>
        <w:t xml:space="preserve">，生产厂为</w:t>
      </w:r>
      <w:r>
        <w:rPr>
          <w:rStyle w:val="1057"/>
          <w:rFonts w:hint="eastAsia"/>
          <w:u w:val="single"/>
        </w:rPr>
        <w:t xml:space="preserve">（厂名）</w:t>
      </w:r>
      <w:r>
        <w:rPr>
          <w:rStyle w:val="1057"/>
          <w:rFonts w:hint="eastAsia"/>
          <w:vertAlign w:val="superscript"/>
        </w:rPr>
        <w:t xml:space="preserve">2</w:t>
      </w:r>
      <w:r>
        <w:rPr>
          <w:rFonts w:hint="eastAsia"/>
        </w:rPr>
        <w:t xml:space="preserve">，厂址为</w:t>
      </w:r>
      <w:r>
        <w:rPr>
          <w:rStyle w:val="1057"/>
          <w:rFonts w:hint="eastAsia"/>
          <w:u w:val="single"/>
        </w:rPr>
        <w:t xml:space="preserve">（生产厂址）</w:t>
      </w:r>
      <w:r>
        <w:rPr>
          <w:rFonts w:hint="eastAsia"/>
        </w:rPr>
        <w:t xml:space="preserve">。</w:t>
      </w:r>
      <w:r>
        <w:rPr>
          <w:rStyle w:val="1057"/>
          <w:rFonts w:hint="eastAsia"/>
          <w:u w:val="single"/>
        </w:rPr>
        <w:t xml:space="preserve">（产品名称1）</w:t>
      </w:r>
      <w:r>
        <w:rPr>
          <w:rFonts w:hint="eastAsia"/>
        </w:rPr>
        <w:t xml:space="preserve">的中国境内生产的组件成本占比≥</w:t>
      </w:r>
      <w:r>
        <w:rPr>
          <w:rStyle w:val="1057"/>
          <w:rFonts w:hint="eastAsia"/>
          <w:u w:val="single"/>
        </w:rPr>
        <w:t xml:space="preserve">（规定比例）</w:t>
      </w:r>
      <w:r>
        <w:rPr>
          <w:rStyle w:val="1057"/>
          <w:rFonts w:hint="eastAsia"/>
          <w:vertAlign w:val="superscript"/>
        </w:rPr>
        <w:t xml:space="preserve">3</w:t>
      </w:r>
      <w:r>
        <w:rPr>
          <w:rFonts w:hint="eastAsia"/>
        </w:rPr>
        <w:t xml:space="preserve">。</w:t>
      </w:r>
      <w:r>
        <w:rPr>
          <w:rStyle w:val="1057"/>
          <w:rFonts w:hint="eastAsia"/>
          <w:u w:val="single"/>
        </w:rPr>
        <w:t xml:space="preserve">（产品名称1）</w:t>
      </w:r>
      <w:r>
        <w:rPr>
          <w:rFonts w:hint="eastAsia"/>
        </w:rPr>
        <w:t xml:space="preserve">的</w:t>
      </w:r>
      <w:r>
        <w:rPr>
          <w:rStyle w:val="1057"/>
          <w:rFonts w:hint="eastAsia"/>
          <w:u w:val="single"/>
        </w:rPr>
        <w:t xml:space="preserve">（关键组件）</w:t>
      </w:r>
      <w:r>
        <w:rPr>
          <w:rStyle w:val="1057"/>
          <w:rFonts w:hint="eastAsia"/>
          <w:vertAlign w:val="superscript"/>
        </w:rPr>
        <w:t xml:space="preserve">4</w:t>
      </w:r>
      <w:r>
        <w:rPr>
          <w:rFonts w:hint="eastAsia"/>
        </w:rPr>
        <w:t xml:space="preserve">在中国境内生产。</w:t>
      </w:r>
      <w:r>
        <w:rPr>
          <w:rStyle w:val="1057"/>
          <w:rFonts w:hint="eastAsia"/>
          <w:u w:val="single"/>
        </w:rPr>
        <w:t xml:space="preserve">（产品名称1）</w:t>
      </w:r>
      <w:r>
        <w:rPr>
          <w:rFonts w:hint="eastAsia"/>
        </w:rPr>
        <w:t xml:space="preserve">的</w:t>
      </w:r>
      <w:r>
        <w:rPr>
          <w:rStyle w:val="1057"/>
          <w:rFonts w:hint="eastAsia"/>
          <w:u w:val="single"/>
        </w:rPr>
        <w:t xml:space="preserve">（关键工序）</w:t>
      </w:r>
      <w:r>
        <w:rPr>
          <w:rStyle w:val="1057"/>
          <w:rFonts w:hint="eastAsia"/>
          <w:vertAlign w:val="superscript"/>
        </w:rPr>
        <w:t xml:space="preserve">5</w:t>
      </w:r>
      <w:r>
        <w:rPr>
          <w:rFonts w:hint="eastAsia"/>
        </w:rPr>
        <w:t xml:space="preserve">在中国境内完成。</w:t>
      </w:r>
      <w:r/>
    </w:p>
    <w:p>
      <w:pPr>
        <w:pStyle w:val="1050"/>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57"/>
          <w:rFonts w:hint="eastAsia"/>
          <w:u w:val="single"/>
        </w:rPr>
        <w:t xml:space="preserve">（产品名称2）</w:t>
      </w:r>
      <w:r>
        <w:rPr>
          <w:rFonts w:hint="eastAsia"/>
        </w:rPr>
        <w:t xml:space="preserve">，生产厂为</w:t>
      </w:r>
      <w:r>
        <w:rPr>
          <w:rStyle w:val="1057"/>
          <w:rFonts w:hint="eastAsia"/>
          <w:u w:val="single"/>
        </w:rPr>
        <w:t xml:space="preserve">（厂名）</w:t>
      </w:r>
      <w:r>
        <w:rPr>
          <w:rFonts w:hint="eastAsia"/>
        </w:rPr>
        <w:t xml:space="preserve">，厂址为</w:t>
      </w:r>
      <w:r>
        <w:rPr>
          <w:rStyle w:val="1057"/>
          <w:rFonts w:hint="eastAsia"/>
          <w:u w:val="single"/>
        </w:rPr>
        <w:t xml:space="preserve">（生产厂址）</w:t>
      </w:r>
      <w:r>
        <w:rPr>
          <w:rFonts w:hint="eastAsia"/>
        </w:rPr>
        <w:t xml:space="preserve">。</w:t>
      </w:r>
      <w:r>
        <w:rPr>
          <w:rStyle w:val="1057"/>
          <w:rFonts w:hint="eastAsia"/>
          <w:u w:val="single"/>
        </w:rPr>
        <w:t xml:space="preserve">（产品名称2）</w:t>
      </w:r>
      <w:r>
        <w:rPr>
          <w:rFonts w:hint="eastAsia"/>
        </w:rPr>
        <w:t xml:space="preserve">的中国境内生产的组件成本占比≥</w:t>
      </w:r>
      <w:r>
        <w:rPr>
          <w:rStyle w:val="1057"/>
          <w:rFonts w:hint="eastAsia"/>
          <w:u w:val="single"/>
        </w:rPr>
        <w:t xml:space="preserve">（规定比例）</w:t>
      </w:r>
      <w:r>
        <w:rPr>
          <w:rFonts w:hint="eastAsia"/>
        </w:rPr>
        <w:t xml:space="preserve">。</w:t>
      </w:r>
      <w:r>
        <w:rPr>
          <w:rStyle w:val="1057"/>
          <w:rFonts w:hint="eastAsia"/>
          <w:u w:val="single"/>
        </w:rPr>
        <w:t xml:space="preserve">（产品名称2）</w:t>
      </w:r>
      <w:r>
        <w:rPr>
          <w:rFonts w:hint="eastAsia"/>
        </w:rPr>
        <w:t xml:space="preserve">的</w:t>
      </w:r>
      <w:r>
        <w:rPr>
          <w:rStyle w:val="1057"/>
          <w:rFonts w:hint="eastAsia"/>
          <w:u w:val="single"/>
        </w:rPr>
        <w:t xml:space="preserve">（关键组件）</w:t>
      </w:r>
      <w:r>
        <w:rPr>
          <w:rFonts w:hint="eastAsia"/>
        </w:rPr>
        <w:t xml:space="preserve">在中国境内生产。</w:t>
      </w:r>
      <w:r>
        <w:rPr>
          <w:rStyle w:val="1057"/>
          <w:rFonts w:hint="eastAsia"/>
          <w:u w:val="single"/>
        </w:rPr>
        <w:t xml:space="preserve">（产品名称2）</w:t>
      </w:r>
      <w:r>
        <w:rPr>
          <w:rFonts w:hint="eastAsia"/>
        </w:rPr>
        <w:t xml:space="preserve">的</w:t>
      </w:r>
      <w:r>
        <w:rPr>
          <w:rStyle w:val="1057"/>
          <w:rFonts w:hint="eastAsia"/>
          <w:u w:val="single"/>
        </w:rPr>
        <w:t xml:space="preserve">（关键工序）</w:t>
      </w:r>
      <w:r>
        <w:rPr>
          <w:rFonts w:hint="eastAsia"/>
        </w:rPr>
        <w:t xml:space="preserve">在中国境内完成。</w:t>
      </w:r>
      <w:r/>
    </w:p>
    <w:p>
      <w:pPr>
        <w:pStyle w:val="1050"/>
        <w:ind w:firstLine="480"/>
        <w:spacing w:before="30" w:after="30"/>
        <w:shd w:val="clear" w:color="auto" w:fill="ffffff"/>
      </w:pPr>
      <w:r>
        <w:rPr>
          <w:rFonts w:hint="eastAsia"/>
        </w:rPr>
        <w:t xml:space="preserve">……</w:t>
      </w:r>
      <w:r/>
    </w:p>
    <w:p>
      <w:pPr>
        <w:pStyle w:val="1050"/>
        <w:ind w:firstLine="480"/>
        <w:spacing w:before="30" w:after="30"/>
        <w:shd w:val="clear" w:color="auto" w:fill="ffffff"/>
      </w:pPr>
      <w:r>
        <w:rPr>
          <w:rFonts w:hint="eastAsia"/>
        </w:rPr>
        <w:t xml:space="preserve">本公司（单位）对上述声明内容的真实性负责。如有虚假，愿承担相应法律责任。</w:t>
      </w:r>
      <w:r/>
    </w:p>
    <w:p>
      <w:pPr>
        <w:pStyle w:val="1050"/>
        <w:spacing w:before="30" w:after="30"/>
        <w:shd w:val="clear" w:color="auto" w:fill="ffffff"/>
      </w:pPr>
      <w:r/>
      <w:r/>
    </w:p>
    <w:p>
      <w:pPr>
        <w:pStyle w:val="1050"/>
        <w:ind w:right="615"/>
        <w:jc w:val="right"/>
        <w:spacing w:before="30" w:after="30"/>
        <w:shd w:val="clear" w:color="auto" w:fill="ffffff"/>
      </w:pPr>
      <w:r>
        <w:rPr>
          <w:rFonts w:hint="eastAsia"/>
        </w:rPr>
        <w:t xml:space="preserve">公司（单位）名称（盖章）：</w:t>
      </w:r>
      <w:r>
        <w:t xml:space="preserve"> </w:t>
      </w:r>
      <w:r/>
    </w:p>
    <w:p>
      <w:pPr>
        <w:pStyle w:val="1050"/>
        <w:ind w:right="815"/>
        <w:jc w:val="right"/>
        <w:spacing w:before="0" w:after="0"/>
        <w:shd w:val="clear" w:color="auto" w:fill="ffffff"/>
      </w:pP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1050"/>
        <w:jc w:val="right"/>
        <w:spacing w:before="0" w:after="0"/>
        <w:shd w:val="clear" w:color="auto" w:fill="ffffff"/>
      </w:pPr>
      <w:r/>
      <w:r/>
    </w:p>
    <w:p>
      <w:pPr>
        <w:pStyle w:val="1050"/>
        <w:jc w:val="right"/>
        <w:spacing w:before="0" w:after="0"/>
        <w:shd w:val="clear" w:color="auto" w:fill="ffffff"/>
      </w:pPr>
      <w:r/>
      <w:r/>
    </w:p>
    <w:p>
      <w:pPr>
        <w:pStyle w:val="1050"/>
        <w:jc w:val="right"/>
        <w:spacing w:before="0" w:after="0"/>
        <w:shd w:val="clear" w:color="auto" w:fill="ffffff"/>
      </w:pPr>
      <w:r/>
      <w:r/>
    </w:p>
    <w:p>
      <w:pPr>
        <w:pStyle w:val="1050"/>
        <w:jc w:val="right"/>
        <w:spacing w:before="0" w:after="0"/>
        <w:shd w:val="clear" w:color="auto" w:fill="ffffff"/>
      </w:pPr>
      <w:r/>
      <w:r/>
    </w:p>
    <w:p>
      <w:pPr>
        <w:pStyle w:val="1050"/>
        <w:ind w:left="0" w:firstLine="0"/>
        <w:spacing w:before="30" w:after="30"/>
        <w:shd w:val="clear" w:color="auto" w:fill="ffffff"/>
      </w:pPr>
      <w:r>
        <w:rPr>
          <w:rFonts w:hint="eastAsia"/>
        </w:rPr>
        <w:t xml:space="preserve">__________________</w:t>
      </w:r>
      <w:r/>
    </w:p>
    <w:p>
      <w:pPr>
        <w:pStyle w:val="1050"/>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1050"/>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1050"/>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1050"/>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1050"/>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1050"/>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r/>
    </w:p>
    <w:p>
      <w:pPr>
        <w:pStyle w:val="1050"/>
        <w:jc w:val="right"/>
        <w:spacing w:before="0" w:after="0"/>
        <w:shd w:val="clear" w:color="auto" w:fill="ffffff"/>
        <w:rPr>
          <w:rFonts w:ascii="宋体" w:hAnsi="宋体"/>
          <w:sz w:val="21"/>
          <w:szCs w:val="21"/>
        </w:rPr>
      </w:pPr>
      <w:r>
        <w:rPr>
          <w:rFonts w:ascii="宋体" w:hAnsi="宋体"/>
          <w:sz w:val="21"/>
          <w:szCs w:val="21"/>
        </w:rPr>
      </w:r>
      <w:r/>
    </w:p>
    <w:p>
      <w:pPr>
        <w:pStyle w:val="1005"/>
      </w:pPr>
      <w:r/>
      <w:r/>
    </w:p>
    <w:p>
      <w:r/>
      <w:r/>
    </w:p>
    <w:p>
      <w:pPr>
        <w:pStyle w:val="1050"/>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r/>
      <w:r/>
    </w:p>
    <w:p>
      <w:pPr>
        <w:pStyle w:val="1005"/>
      </w:pPr>
      <w:r/>
      <w:r/>
    </w:p>
    <w:p>
      <w:r/>
      <w:r/>
    </w:p>
    <w:p>
      <w:pPr>
        <w:pStyle w:val="1005"/>
      </w:pPr>
      <w:r/>
      <w:r/>
    </w:p>
    <w:p>
      <w:r/>
      <w:r/>
    </w:p>
    <w:p>
      <w:pPr>
        <w:pStyle w:val="1005"/>
      </w:pPr>
      <w:r/>
      <w:r/>
    </w:p>
    <w:p>
      <w:pPr>
        <w:pStyle w:val="1005"/>
      </w:pPr>
      <w:r/>
      <w:r/>
    </w:p>
    <w:p>
      <w:pPr>
        <w:pStyle w:val="1011"/>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bookmarkEnd w:id="83"/>
      <w:r/>
      <w:bookmarkEnd w:id="84"/>
      <w:r/>
      <w:r/>
    </w:p>
    <w:p>
      <w:pPr>
        <w:rPr>
          <w:rFonts w:ascii="宋体" w:hAnsi="宋体"/>
        </w:rPr>
      </w:pPr>
      <w:r/>
      <w:bookmarkStart w:id="87" w:name="_Toc71810490"/>
      <w:r>
        <w:rPr>
          <w:rFonts w:ascii="宋体" w:hAnsi="宋体"/>
        </w:rPr>
        <w:t xml:space="preserve"> </w:t>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10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89" w:name="OLE_LINK7"/>
      <w:r/>
      <w:bookmarkStart w:id="90" w:name="OLE_LINK8"/>
      <w:r>
        <w:rPr>
          <w:rFonts w:hint="eastAsia" w:ascii="宋体" w:hAnsi="宋体"/>
          <w:b/>
          <w:sz w:val="21"/>
          <w:szCs w:val="21"/>
          <w:lang w:val="zh-CN"/>
        </w:rPr>
        <w:t xml:space="preserve">备注：根据招标文件第二章“投标人须知”第26.4</w:t>
      </w:r>
      <w:bookmarkStart w:id="9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2" w:name="OLE_LINK16"/>
      <w:r>
        <w:rPr>
          <w:rFonts w:hint="eastAsia" w:ascii="宋体" w:hAnsi="宋体"/>
          <w:b/>
          <w:sz w:val="21"/>
          <w:szCs w:val="21"/>
          <w:lang w:val="zh-CN"/>
        </w:rPr>
        <w:t xml:space="preserve">的</w:t>
      </w:r>
      <w:bookmarkEnd w:id="91"/>
      <w:r/>
      <w:bookmarkEnd w:id="9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89"/>
      <w:r/>
      <w:bookmarkEnd w:id="90"/>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rPr>
          <w:rFonts w:ascii="宋体" w:hAnsi="宋体"/>
          <w:b/>
          <w:sz w:val="21"/>
          <w:szCs w:val="21"/>
        </w:rPr>
      </w:pPr>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提交样品人授权委托书</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提交样品人</w:t>
      </w:r>
      <w:r>
        <w:rPr>
          <w:rFonts w:ascii="宋体" w:hAnsi="宋体"/>
          <w:b/>
          <w:sz w:val="21"/>
          <w:szCs w:val="21"/>
        </w:rPr>
        <w:t xml:space="preserve">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现场提交样品流程</w:t>
      </w:r>
      <w:r>
        <w:rPr>
          <w:rFonts w:ascii="宋体" w:hAnsi="宋体"/>
          <w:sz w:val="21"/>
          <w:szCs w:val="21"/>
        </w:rPr>
        <w:t xml:space="preserve">。代理人在</w:t>
      </w:r>
      <w:r>
        <w:rPr>
          <w:rFonts w:hint="eastAsia" w:ascii="宋体" w:hAnsi="宋体"/>
          <w:sz w:val="21"/>
          <w:szCs w:val="21"/>
        </w:rPr>
        <w:t xml:space="preserve">现场提交样品流程</w:t>
      </w:r>
      <w:r>
        <w:rPr>
          <w:rFonts w:ascii="宋体" w:hAnsi="宋体"/>
          <w:sz w:val="21"/>
          <w:szCs w:val="21"/>
        </w:rPr>
        <w:t xml:space="preserve">中所签署的一切文件和处理与这有关的一切事务，我均予以承认</w:t>
      </w:r>
      <w:r>
        <w:rPr>
          <w:rFonts w:hint="eastAsia" w:ascii="宋体" w:hAnsi="宋体"/>
          <w:sz w:val="21"/>
          <w:szCs w:val="21"/>
        </w:rPr>
        <w:t xml:space="preserve">。因未及时取回样品造成的损失，由代理人自行承担。</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rPr>
          <w:lang w:val="zh-CN"/>
        </w:rPr>
      </w:pPr>
      <w:r>
        <w:rPr>
          <w:lang w:val="zh-CN"/>
        </w:rPr>
      </w:r>
      <w:r/>
    </w:p>
    <w:p>
      <w:pPr>
        <w:pStyle w:val="1005"/>
        <w:rPr>
          <w:lang w:val="zh-CN"/>
        </w:rPr>
      </w:pPr>
      <w:r>
        <w:rPr>
          <w:lang w:val="zh-CN"/>
        </w:rPr>
      </w:r>
      <w:r/>
    </w:p>
    <w:p>
      <w:pPr>
        <w:ind w:left="0"/>
        <w:rPr>
          <w:rFonts w:ascii="宋体" w:hAnsi="宋体"/>
          <w:b/>
          <w:sz w:val="21"/>
          <w:szCs w:val="21"/>
        </w:rPr>
      </w:pPr>
      <w:r/>
      <w:bookmarkStart w:id="93" w:name="_Toc23660"/>
      <w:r/>
      <w:bookmarkStart w:id="94" w:name="_Toc105397793"/>
      <w:r/>
      <w:bookmarkStart w:id="95" w:name="_Toc4098"/>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ind w:left="0"/>
        <w:rPr>
          <w:rFonts w:ascii="宋体" w:hAnsi="宋体"/>
          <w:b/>
          <w:sz w:val="21"/>
          <w:szCs w:val="21"/>
        </w:rPr>
      </w:pPr>
      <w:r>
        <w:rPr>
          <w:rFonts w:ascii="宋体" w:hAnsi="宋体"/>
          <w:b/>
          <w:sz w:val="21"/>
          <w:szCs w:val="21"/>
        </w:rPr>
      </w:r>
      <w:r/>
    </w:p>
    <w:p>
      <w:pPr>
        <w:rPr>
          <w:rFonts w:ascii="宋体" w:hAnsi="宋体"/>
          <w:b/>
          <w:sz w:val="21"/>
          <w:szCs w:val="21"/>
        </w:rPr>
      </w:pPr>
      <w:r>
        <w:rPr>
          <w:rFonts w:ascii="宋体" w:hAnsi="宋体"/>
          <w:b/>
          <w:sz w:val="21"/>
          <w:szCs w:val="21"/>
        </w:rPr>
        <w:br w:type="page" w:clear="all"/>
      </w:r>
      <w:r/>
    </w:p>
    <w:p>
      <w:pPr>
        <w:ind w:left="0"/>
        <w:widowControl w:val="off"/>
        <w:rPr>
          <w:rFonts w:ascii="宋体" w:hAnsi="宋体"/>
          <w:sz w:val="21"/>
          <w:szCs w:val="21"/>
        </w:rPr>
        <w:outlineLvl w:val="0"/>
      </w:pPr>
      <w:r>
        <w:rPr>
          <w:rFonts w:ascii="宋体" w:hAnsi="宋体"/>
          <w:b/>
          <w:sz w:val="21"/>
          <w:szCs w:val="21"/>
        </w:rPr>
        <w:t xml:space="preserve">附件1</w:t>
      </w:r>
      <w:r>
        <w:rPr>
          <w:rFonts w:hint="eastAsia" w:ascii="宋体" w:hAnsi="宋体"/>
          <w:b/>
          <w:sz w:val="21"/>
          <w:szCs w:val="21"/>
        </w:rPr>
        <w:t xml:space="preserve">4.</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1"/>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苏州市消防救援支队 </w:t>
      </w:r>
      <w:r>
        <w:rPr>
          <w:rFonts w:ascii="宋体" w:hAnsi="宋体"/>
          <w:sz w:val="21"/>
        </w:rPr>
        <w:t xml:space="preserve">的委托，就</w:t>
      </w:r>
      <w:r>
        <w:rPr>
          <w:rFonts w:hint="eastAsia" w:ascii="宋体" w:hAnsi="宋体"/>
          <w:sz w:val="21"/>
          <w:u w:val="single"/>
        </w:rPr>
        <w:t xml:space="preserve"> 2025年部门集中采购目录外器材装备采购项目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szCs w:val="21"/>
        </w:rPr>
        <w:t xml:space="preserve">JSZC-320500-JZCG-G2026-0079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2025年部门集中采购目录外器材装备采购项目</w:t>
      </w:r>
      <w:r/>
    </w:p>
    <w:p>
      <w:pPr>
        <w:pStyle w:val="1011"/>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人民币柒佰捌拾捌万贰仟贰佰元整（¥7882200.00元）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包一预算金额：人民币壹佰伍拾壹万伍仟陆佰元整（¥1515600.00元）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包二预算金额：人民币伍拾万壹仟贰佰元整（¥501200.00元）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包三预算金额：人民币贰佰伍拾伍万元整（¥2550000.00元）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包四预算金额：人民币捌拾捌万贰仟元整（¥882000.00元）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包五预算金额：人民币壹佰零柒万叁仟肆佰元整（¥1073400.00元）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包六预算金额：人民币玖拾陆万元整（¥960000.00元）</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包七预算金额：人民币肆拾万元整（¥400000.00元）</w:t>
      </w:r>
      <w:r/>
    </w:p>
    <w:p>
      <w:pPr>
        <w:pStyle w:val="1011"/>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人民币柒佰陆拾肆万肆仟壹佰元整（¥7644100.00元）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包一最高限价：人民币壹佰叁拾肆万肆仟壹佰元整（¥1344100.00元）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包二最高限价：人民币伍拾万壹仟贰佰元整（¥501200.00元）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包三最高限价：人民币贰佰伍拾伍万元整（¥2550000.00元）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包四最高限价：人民币捌拾捌万贰仟元整（¥882000.00元）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包五最高限价：人民币壹佰零陆万陆仟捌佰元整（¥1066800.00元）</w:t>
      </w:r>
      <w:r/>
    </w:p>
    <w:p>
      <w:pPr>
        <w:pStyle w:val="1011"/>
        <w:ind w:left="0" w:firstLine="420"/>
        <w:spacing w:line="360" w:lineRule="auto"/>
        <w:rPr>
          <w:rFonts w:ascii="宋体" w:hAnsi="宋体"/>
          <w:sz w:val="21"/>
          <w:szCs w:val="21"/>
        </w:rPr>
      </w:pPr>
      <w:r>
        <w:rPr>
          <w:rFonts w:hint="eastAsia" w:ascii="宋体" w:hAnsi="宋体"/>
          <w:sz w:val="21"/>
          <w:szCs w:val="21"/>
        </w:rPr>
        <w:t xml:space="preserve">包六最高限价：人民币玖拾万元整（¥900000.00元）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包七最高限价：人民币肆拾万元整（¥400000.00元）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五、合同履行期限：签订合同后60日历天内将货物送达指定地点。</w:t>
      </w:r>
      <w:r>
        <w:rPr>
          <w:rFonts w:hint="eastAsia" w:asciiTheme="minorEastAsia" w:hAnsiTheme="minorEastAsia" w:eastAsiaTheme="minorEastAsia" w:cstheme="minorEastAsia"/>
          <w:sz w:val="21"/>
          <w:szCs w:val="21"/>
        </w:rPr>
        <w:t xml:space="preserve">质量保证期：从验收合格后三十六个月（双方签署验收报告时起算），抗醇性水成膜泡沫灭火剂保质期≥2年。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pStyle w:val="1005"/>
        <w:ind w:left="0" w:firstLine="422"/>
        <w:spacing w:line="360" w:lineRule="auto"/>
        <w:rPr>
          <w:b/>
          <w:bCs/>
          <w:sz w:val="21"/>
          <w:szCs w:val="21"/>
        </w:rPr>
        <w:outlineLvl w:val="0"/>
      </w:pPr>
      <w:r>
        <w:rPr>
          <w:rFonts w:hint="eastAsia"/>
          <w:b/>
          <w:bCs/>
          <w:sz w:val="21"/>
          <w:szCs w:val="21"/>
        </w:rPr>
        <w:t xml:space="preserve">包一（激流救生衣、水域救援头盔、湿式水域救援服、水域救援靴）：</w:t>
      </w:r>
      <w:r/>
    </w:p>
    <w:tbl>
      <w:tblPr>
        <w:tblStyle w:val="1053"/>
        <w:tblW w:w="8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069"/>
        <w:gridCol w:w="737"/>
        <w:gridCol w:w="737"/>
        <w:gridCol w:w="883"/>
        <w:gridCol w:w="1196"/>
        <w:gridCol w:w="2217"/>
      </w:tblGrid>
      <w:tr>
        <w:trPr>
          <w:jc w:val="center"/>
          <w:trHeight w:val="448"/>
        </w:trPr>
        <w:tc>
          <w:tcPr>
            <w:tcW w:w="934"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34" w:type="dxa"/>
            <w:vAlign w:val="center"/>
            <w:vMerge w:val="restart"/>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激流救生衣</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水域救援头盔</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湿式水域救援服</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件</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207</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0.29</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r>
        <w:trPr>
          <w:jc w:val="center"/>
          <w:trHeight w:val="447"/>
        </w:trPr>
        <w:tc>
          <w:tcPr>
            <w:tcW w:w="934" w:type="dxa"/>
            <w:vAlign w:val="center"/>
            <w:vMerge w:val="continue"/>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水域救援靴</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双</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0.06</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pPr>
      <w:r/>
      <w:r/>
    </w:p>
    <w:p>
      <w:pPr>
        <w:pStyle w:val="1005"/>
        <w:ind w:left="0" w:firstLine="420"/>
        <w:spacing w:line="360" w:lineRule="auto"/>
        <w:rPr>
          <w:sz w:val="21"/>
          <w:szCs w:val="21"/>
        </w:rPr>
      </w:pPr>
      <w:r>
        <w:rPr>
          <w:rFonts w:hint="eastAsia"/>
          <w:sz w:val="21"/>
          <w:szCs w:val="21"/>
        </w:rPr>
        <w:t xml:space="preserve">（一）激流救生衣</w:t>
      </w:r>
      <w:r/>
    </w:p>
    <w:p>
      <w:pPr>
        <w:pStyle w:val="1005"/>
        <w:ind w:left="0" w:firstLine="420"/>
        <w:spacing w:line="360" w:lineRule="auto"/>
        <w:rPr>
          <w:sz w:val="21"/>
          <w:szCs w:val="21"/>
        </w:rPr>
      </w:pPr>
      <w:r>
        <w:rPr>
          <w:rFonts w:hint="eastAsia"/>
          <w:sz w:val="21"/>
          <w:szCs w:val="21"/>
        </w:rPr>
        <w:t xml:space="preserve">1.由固有浮力材料提供基础浮力，主要用于岸基、涉水结构物或救援船艇上长时间工作时，为消防员提供意外落水保护。配置示位灯、哨笛、快脱带、牛尾绳、救援刀等多种救援属具。颜色为荧光橙色。</w:t>
      </w:r>
      <w:r/>
    </w:p>
    <w:p>
      <w:pPr>
        <w:pStyle w:val="1005"/>
        <w:ind w:left="0" w:firstLine="420"/>
        <w:spacing w:line="360" w:lineRule="auto"/>
        <w:rPr>
          <w:sz w:val="21"/>
          <w:szCs w:val="21"/>
        </w:rPr>
      </w:pPr>
      <w:r>
        <w:rPr>
          <w:rFonts w:hint="eastAsia"/>
          <w:sz w:val="21"/>
          <w:szCs w:val="21"/>
        </w:rPr>
        <w:t xml:space="preserve">2.救生衣的浮体材料能覆盖穿着者的肩膀至肋骨下缘的范围；救生衣的救援属具及配件不应有尖角、毛刺等导致穿着者和被救者受伤的缺陷；救生衣所适用的胸围≥700mm且≤1400mm；救生衣具有裆带,且裆带的宽度≥25mm，并带有衬垫；救生衣的系紧和固定采用扣件和拉链形式；救生衣的正前方（如胸部、腹部位置）、肩部和背部均有反光带，且360°环形可见；在水中处于姿态稳定时，水面以上的救生衣外表面反光带的总面积≥300cm2；救生衣背部的泡沫板厚度≥12mm，有尾椎保护设计。</w:t>
      </w:r>
      <w:r/>
    </w:p>
    <w:p>
      <w:pPr>
        <w:pStyle w:val="1005"/>
        <w:ind w:left="0" w:firstLine="420"/>
        <w:spacing w:line="360" w:lineRule="auto"/>
        <w:rPr>
          <w:sz w:val="21"/>
          <w:szCs w:val="21"/>
        </w:rPr>
      </w:pPr>
      <w:r>
        <w:rPr>
          <w:rFonts w:hint="eastAsia"/>
          <w:sz w:val="21"/>
          <w:szCs w:val="21"/>
        </w:rPr>
        <w:t xml:space="preserve">3.救生衣底胸前部配备两个防水密封口袋，内部带有≥2个扁带装备环，肩部带有一个对讲机固定袋可拆卸。胸前方形挂点带有魔术贴固定带，方便固定小型装备，底部网状排水孔设计。包布、织带的耐摩擦色牢度、耐皂洗色牢度、耐人造光色牢度≥4级。救生衣包布的接缝断裂强力≥400N。固有浮力材料抗拉破断强度≥140kPa。使固有浮力材料变形至其初始厚度的75%所需的力≥7KN/m³。经500次压缩后，固有浮力材料的浮力损失≤10%。</w:t>
      </w:r>
      <w:r/>
    </w:p>
    <w:p>
      <w:pPr>
        <w:pStyle w:val="1005"/>
        <w:ind w:left="0" w:firstLine="420"/>
        <w:spacing w:line="360" w:lineRule="auto"/>
        <w:rPr>
          <w:sz w:val="21"/>
          <w:szCs w:val="21"/>
        </w:rPr>
      </w:pPr>
      <w:r>
        <w:rPr>
          <w:rFonts w:hint="eastAsia"/>
          <w:sz w:val="21"/>
          <w:szCs w:val="21"/>
        </w:rPr>
        <w:t xml:space="preserve">★4.急流救援救生衣的浮力：整体浮力为 125±5N。救生衣在淡水中浸泡24h后，其浮力损失≤3%。</w:t>
      </w:r>
      <w:r/>
    </w:p>
    <w:p>
      <w:pPr>
        <w:pStyle w:val="1005"/>
        <w:ind w:left="0" w:firstLine="420"/>
        <w:spacing w:line="360" w:lineRule="auto"/>
        <w:rPr>
          <w:sz w:val="21"/>
          <w:szCs w:val="21"/>
        </w:rPr>
      </w:pPr>
      <w:r>
        <w:rPr>
          <w:rFonts w:hint="eastAsia"/>
          <w:sz w:val="21"/>
          <w:szCs w:val="21"/>
        </w:rPr>
        <w:t xml:space="preserve">▲5.消防用救生衣衣身能承受3200N的作用力30min而不损坏；肩部能承受900N的作用力30min而不损坏；裆带与救生衣体之间能承受900N的作用力不发生脱离或损坏。</w:t>
      </w:r>
      <w:r/>
    </w:p>
    <w:p>
      <w:pPr>
        <w:pStyle w:val="1005"/>
        <w:ind w:left="0" w:firstLine="420"/>
        <w:spacing w:line="360" w:lineRule="auto"/>
        <w:rPr>
          <w:sz w:val="21"/>
          <w:szCs w:val="21"/>
        </w:rPr>
      </w:pPr>
      <w:r>
        <w:rPr>
          <w:rFonts w:hint="eastAsia"/>
          <w:sz w:val="21"/>
          <w:szCs w:val="21"/>
        </w:rPr>
        <w:t xml:space="preserve">6.人员穿着救生衣以任意方式下水后，在自由漂浮状态下，人体能处于直立姿态，且嘴部能高出水面120mm以上。</w:t>
      </w:r>
      <w:r/>
    </w:p>
    <w:p>
      <w:pPr>
        <w:pStyle w:val="1005"/>
        <w:ind w:left="0" w:firstLine="420"/>
        <w:spacing w:line="360" w:lineRule="auto"/>
        <w:rPr>
          <w:sz w:val="21"/>
          <w:szCs w:val="21"/>
        </w:rPr>
      </w:pPr>
      <w:r>
        <w:rPr>
          <w:rFonts w:hint="eastAsia"/>
          <w:sz w:val="21"/>
          <w:szCs w:val="21"/>
        </w:rPr>
        <w:t xml:space="preserve">7.配备示位灯。颜色为红色。示位灯发光方式为频闪方式。示位灯闪烁频率在45次/分钟~75次/分钟范围内。示位灯的发光强度≥0.75cd。示位灯的发光持续时间≥12h。</w:t>
      </w:r>
      <w:r/>
    </w:p>
    <w:p>
      <w:pPr>
        <w:pStyle w:val="1005"/>
        <w:ind w:left="0" w:firstLine="420"/>
        <w:spacing w:line="360" w:lineRule="auto"/>
        <w:rPr>
          <w:sz w:val="21"/>
          <w:szCs w:val="21"/>
        </w:rPr>
      </w:pPr>
      <w:r>
        <w:rPr>
          <w:rFonts w:hint="eastAsia"/>
          <w:sz w:val="21"/>
          <w:szCs w:val="21"/>
        </w:rPr>
        <w:t xml:space="preserve">8.配备哨笛，哨笛用绳索系牢在救生衣上。</w:t>
      </w:r>
      <w:r/>
    </w:p>
    <w:p>
      <w:pPr>
        <w:pStyle w:val="1005"/>
        <w:ind w:left="0" w:firstLine="420"/>
        <w:spacing w:line="360" w:lineRule="auto"/>
        <w:rPr>
          <w:sz w:val="21"/>
          <w:szCs w:val="21"/>
        </w:rPr>
      </w:pPr>
      <w:r>
        <w:rPr>
          <w:rFonts w:hint="eastAsia"/>
          <w:sz w:val="21"/>
          <w:szCs w:val="21"/>
        </w:rPr>
        <w:t xml:space="preserve">9.配备快脱带，快脱带的宽度≥40mm，其位置高于胸骨剑突，且不影响上肢活动。快脱带在扣件闭合状态下经拉力试验，织带相对扣件滑移不超过25mm，且扣件不出现开启或损坏现象。在受力状态下，快脱带扣件的开启力≤110N，且能在10s内完全脱开。</w:t>
      </w:r>
      <w:r/>
    </w:p>
    <w:p>
      <w:pPr>
        <w:pStyle w:val="1005"/>
        <w:ind w:left="0" w:firstLine="420"/>
        <w:spacing w:line="360" w:lineRule="auto"/>
        <w:rPr>
          <w:sz w:val="21"/>
          <w:szCs w:val="21"/>
        </w:rPr>
      </w:pPr>
      <w:r>
        <w:rPr>
          <w:rFonts w:hint="eastAsia"/>
          <w:sz w:val="21"/>
          <w:szCs w:val="21"/>
        </w:rPr>
        <w:t xml:space="preserve">10.配备牛尾绳，颜色为红色，牛尾绳由弹性带、管状织带套、金属圆环和安全钩等组成。牛尾绳的静态长度≥60cm且≤100cm；在1000N的轴向拉力作用下，牛尾绳伸展后的长度在静态长度的1.5～2.0倍之间；在经过5000N强度试验后，牛尾绳不出现断裂现象；牛尾绳所有金属部件经48h的中性盐雾试验后，无明显腐蚀现象。</w:t>
      </w:r>
      <w:r/>
    </w:p>
    <w:p>
      <w:pPr>
        <w:pStyle w:val="1005"/>
        <w:ind w:left="0" w:firstLine="420"/>
        <w:spacing w:line="360" w:lineRule="auto"/>
        <w:rPr>
          <w:sz w:val="21"/>
          <w:szCs w:val="21"/>
        </w:rPr>
      </w:pPr>
      <w:r>
        <w:rPr>
          <w:rFonts w:hint="eastAsia"/>
          <w:sz w:val="21"/>
          <w:szCs w:val="21"/>
        </w:rPr>
        <w:t xml:space="preserve">11.配备水域救援刀（以下简称：救援刀），救援刀的刀身采用金属材料制造，并采用直形刀体、弧形刀刃和锯齿状刀背的结构，刀头为平头且不开刃，救援刀的金属表面平整光滑，无裂纹、毛刺、凹痕或缺损等缺陷；救援刀有刀鞘，刀柄有防滑设计，可单手插拔；救援刀的整体长度≤200mm，刀柄长度≥110mm。刀体能一刀切断直径5mm的尼龙绳。救援刀经48h的中性盐雾试验后，无明显腐蚀现象。</w:t>
      </w:r>
      <w:r/>
    </w:p>
    <w:p>
      <w:pPr>
        <w:pStyle w:val="1005"/>
        <w:ind w:left="0" w:firstLine="420"/>
        <w:spacing w:line="360" w:lineRule="auto"/>
        <w:rPr>
          <w:sz w:val="21"/>
          <w:szCs w:val="21"/>
        </w:rPr>
      </w:pPr>
      <w:r>
        <w:rPr>
          <w:rFonts w:hint="eastAsia"/>
          <w:sz w:val="21"/>
          <w:szCs w:val="21"/>
        </w:rPr>
        <w:t xml:space="preserve">12.背部有30cm*10cm的魔术贴设计可以粘贴标识或者编号，内容根据用户需求印制。</w:t>
      </w:r>
      <w:r/>
    </w:p>
    <w:p>
      <w:pPr>
        <w:pStyle w:val="1005"/>
        <w:ind w:left="0" w:firstLine="422"/>
        <w:spacing w:line="360" w:lineRule="auto"/>
        <w:rPr>
          <w:b/>
          <w:bCs/>
          <w:sz w:val="21"/>
          <w:szCs w:val="21"/>
        </w:rPr>
      </w:pPr>
      <w:r>
        <w:rPr>
          <w:rFonts w:hint="eastAsia"/>
          <w:b/>
          <w:bCs/>
          <w:sz w:val="21"/>
          <w:szCs w:val="21"/>
        </w:rPr>
        <w:t xml:space="preserve">注：投标时需提供样品及检验报告（出具报告的检验机构应具有同类产品的CMA认证），至少体现第4、5项参数。</w:t>
      </w:r>
      <w:r/>
    </w:p>
    <w:p>
      <w:pPr>
        <w:pStyle w:val="1005"/>
        <w:ind w:left="0" w:firstLine="420"/>
        <w:spacing w:line="360" w:lineRule="auto"/>
        <w:rPr>
          <w:sz w:val="21"/>
          <w:szCs w:val="21"/>
        </w:rPr>
      </w:pPr>
      <w:r>
        <w:rPr>
          <w:rFonts w:hint="eastAsia"/>
          <w:sz w:val="21"/>
          <w:szCs w:val="21"/>
        </w:rPr>
        <w:t xml:space="preserve">（二）水域救援头盔</w:t>
      </w:r>
      <w:r/>
    </w:p>
    <w:p>
      <w:pPr>
        <w:pStyle w:val="1005"/>
        <w:ind w:left="0" w:firstLine="420"/>
        <w:spacing w:line="360" w:lineRule="auto"/>
        <w:rPr>
          <w:sz w:val="21"/>
          <w:szCs w:val="21"/>
        </w:rPr>
      </w:pPr>
      <w:r>
        <w:rPr>
          <w:rFonts w:hint="eastAsia"/>
          <w:sz w:val="21"/>
          <w:szCs w:val="21"/>
        </w:rPr>
        <w:t xml:space="preserve">1.头盔采用不低于ABS的外壳和加厚衬垫；颈部设有绑带，以确保固定后不会移位，带有快速卡扣，可调节大小，头盔顶部带有不少于3个反光条。</w:t>
      </w:r>
      <w:r/>
    </w:p>
    <w:p>
      <w:pPr>
        <w:pStyle w:val="1005"/>
        <w:ind w:left="0" w:firstLine="420"/>
        <w:spacing w:line="360" w:lineRule="auto"/>
        <w:rPr>
          <w:sz w:val="21"/>
          <w:szCs w:val="21"/>
        </w:rPr>
      </w:pPr>
      <w:r>
        <w:rPr>
          <w:rFonts w:hint="eastAsia"/>
          <w:sz w:val="21"/>
          <w:szCs w:val="21"/>
        </w:rPr>
        <w:t xml:space="preserve">2.头盔正前方带有头灯固定块卡扣；并采用不低于EVA材料的模制衬里，后脑位置设有滚轮式尺寸调节装置；颏杯网带可自由调节。</w:t>
      </w:r>
      <w:r/>
    </w:p>
    <w:p>
      <w:pPr>
        <w:pStyle w:val="1005"/>
        <w:ind w:left="0" w:firstLine="420"/>
        <w:spacing w:line="360" w:lineRule="auto"/>
        <w:rPr>
          <w:sz w:val="21"/>
          <w:szCs w:val="21"/>
        </w:rPr>
      </w:pPr>
      <w:r>
        <w:rPr>
          <w:rFonts w:hint="eastAsia"/>
          <w:sz w:val="21"/>
          <w:szCs w:val="21"/>
        </w:rPr>
        <w:t xml:space="preserve">▲3.冲击吸收性能：头模所受冲击力的最大值≤3800N，试验过程中，帽壳不有碎片脱落。</w:t>
      </w:r>
      <w:r/>
    </w:p>
    <w:p>
      <w:pPr>
        <w:pStyle w:val="1005"/>
        <w:ind w:left="0" w:firstLine="420"/>
        <w:spacing w:line="360" w:lineRule="auto"/>
        <w:rPr>
          <w:sz w:val="21"/>
          <w:szCs w:val="21"/>
        </w:rPr>
      </w:pPr>
      <w:r>
        <w:rPr>
          <w:rFonts w:hint="eastAsia"/>
          <w:sz w:val="21"/>
          <w:szCs w:val="21"/>
        </w:rPr>
        <w:t xml:space="preserve">▲4.抗冲击加速度性能：选取冲击吸收性能试验中头模所受冲击力最大的一项作为预处理试验条件，顶部抗冲击加速度≤250gn，侧面抗冲击加速度≤250gn。</w:t>
      </w:r>
      <w:r/>
    </w:p>
    <w:p>
      <w:pPr>
        <w:pStyle w:val="1005"/>
        <w:ind w:left="0" w:firstLine="420"/>
        <w:spacing w:line="360" w:lineRule="auto"/>
        <w:rPr>
          <w:sz w:val="21"/>
          <w:szCs w:val="21"/>
        </w:rPr>
      </w:pPr>
      <w:r>
        <w:rPr>
          <w:rFonts w:hint="eastAsia"/>
          <w:sz w:val="21"/>
          <w:szCs w:val="21"/>
        </w:rPr>
        <w:t xml:space="preserve">5.耐穿透性能：选择冲击吸收性能试验中头模所受冲击力最大的一项预处理作为试验条件。钢锥不穿透头盔与头模产生接触。</w:t>
      </w:r>
      <w:r/>
    </w:p>
    <w:p>
      <w:pPr>
        <w:pStyle w:val="1005"/>
        <w:ind w:left="0" w:firstLine="420"/>
        <w:spacing w:line="360" w:lineRule="auto"/>
        <w:rPr>
          <w:sz w:val="21"/>
          <w:szCs w:val="21"/>
        </w:rPr>
      </w:pPr>
      <w:r>
        <w:rPr>
          <w:rFonts w:hint="eastAsia"/>
          <w:sz w:val="21"/>
          <w:szCs w:val="21"/>
        </w:rPr>
        <w:t xml:space="preserve">6.淡水持续漂浮不低于24h。</w:t>
      </w:r>
      <w:r/>
    </w:p>
    <w:p>
      <w:pPr>
        <w:pStyle w:val="1005"/>
        <w:ind w:left="0" w:firstLine="420"/>
        <w:spacing w:line="360" w:lineRule="auto"/>
        <w:rPr>
          <w:sz w:val="21"/>
          <w:szCs w:val="21"/>
        </w:rPr>
      </w:pPr>
      <w:r>
        <w:rPr>
          <w:rFonts w:hint="eastAsia"/>
          <w:sz w:val="21"/>
          <w:szCs w:val="21"/>
        </w:rPr>
        <w:t xml:space="preserve">7.重量≤600g。</w:t>
      </w:r>
      <w:r/>
    </w:p>
    <w:p>
      <w:pPr>
        <w:pStyle w:val="1005"/>
        <w:ind w:left="0" w:firstLine="420"/>
        <w:spacing w:line="360" w:lineRule="auto"/>
        <w:rPr>
          <w:sz w:val="21"/>
          <w:szCs w:val="21"/>
        </w:rPr>
      </w:pPr>
      <w:r>
        <w:rPr>
          <w:rFonts w:hint="eastAsia"/>
          <w:sz w:val="21"/>
          <w:szCs w:val="21"/>
        </w:rPr>
        <w:t xml:space="preserve">8.配备与头盔配套的头灯支架。</w:t>
      </w:r>
      <w:r/>
    </w:p>
    <w:p>
      <w:pPr>
        <w:pStyle w:val="1005"/>
        <w:ind w:left="0" w:firstLine="420"/>
        <w:spacing w:line="360" w:lineRule="auto"/>
        <w:rPr>
          <w:sz w:val="21"/>
          <w:szCs w:val="21"/>
        </w:rPr>
      </w:pPr>
      <w:r>
        <w:rPr>
          <w:rFonts w:hint="eastAsia"/>
          <w:sz w:val="21"/>
          <w:szCs w:val="21"/>
        </w:rPr>
        <w:t xml:space="preserve">9.头盔颜色:提供红色、黄色、白色等颜色供用户选择。</w:t>
      </w:r>
      <w:r/>
    </w:p>
    <w:p>
      <w:pPr>
        <w:pStyle w:val="1005"/>
        <w:ind w:left="0" w:firstLine="422"/>
        <w:spacing w:line="360" w:lineRule="auto"/>
        <w:rPr>
          <w:b/>
          <w:bCs/>
          <w:sz w:val="21"/>
          <w:szCs w:val="21"/>
        </w:rPr>
      </w:pPr>
      <w:r>
        <w:rPr>
          <w:rFonts w:hint="eastAsia"/>
          <w:b/>
          <w:bCs/>
          <w:sz w:val="21"/>
          <w:szCs w:val="21"/>
        </w:rPr>
        <w:t xml:space="preserve">注：投标时需提供检验报告（出具报告的检验机构应具有同类产品的CMA认证），检验报告至少体现第3、4项参数。</w:t>
      </w:r>
      <w:r/>
    </w:p>
    <w:p>
      <w:pPr>
        <w:pStyle w:val="1005"/>
        <w:ind w:left="0" w:firstLine="420"/>
        <w:spacing w:line="360" w:lineRule="auto"/>
        <w:rPr>
          <w:sz w:val="21"/>
          <w:szCs w:val="21"/>
        </w:rPr>
      </w:pPr>
      <w:r>
        <w:rPr>
          <w:rFonts w:hint="eastAsia"/>
          <w:sz w:val="21"/>
          <w:szCs w:val="21"/>
        </w:rPr>
        <w:t xml:space="preserve">（三）湿式水域救援服</w:t>
      </w:r>
      <w:r/>
    </w:p>
    <w:p>
      <w:pPr>
        <w:pStyle w:val="1005"/>
        <w:ind w:left="0" w:firstLine="420"/>
        <w:spacing w:line="360" w:lineRule="auto"/>
        <w:rPr>
          <w:sz w:val="21"/>
          <w:szCs w:val="21"/>
        </w:rPr>
      </w:pPr>
      <w:r>
        <w:rPr>
          <w:rFonts w:hint="eastAsia"/>
          <w:sz w:val="21"/>
          <w:szCs w:val="21"/>
        </w:rPr>
        <w:t xml:space="preserve">▲1.拉伸强度：服装的面料经150N的拉伸力度持续10s，经纬均不出现断裂现象。</w:t>
      </w:r>
      <w:r/>
    </w:p>
    <w:p>
      <w:pPr>
        <w:pStyle w:val="1005"/>
        <w:ind w:left="0" w:firstLine="420"/>
        <w:spacing w:line="360" w:lineRule="auto"/>
        <w:rPr>
          <w:sz w:val="21"/>
          <w:szCs w:val="21"/>
        </w:rPr>
      </w:pPr>
      <w:r>
        <w:rPr>
          <w:rFonts w:hint="eastAsia"/>
          <w:sz w:val="21"/>
          <w:szCs w:val="21"/>
        </w:rPr>
        <w:t xml:space="preserve">▲2.接缝强度：服装的接缝经100N的拉伸力度持续10s,经纬均不出现断裂现象。</w:t>
      </w:r>
      <w:r/>
    </w:p>
    <w:p>
      <w:pPr>
        <w:pStyle w:val="1005"/>
        <w:ind w:left="0" w:firstLine="420"/>
        <w:spacing w:line="360" w:lineRule="auto"/>
        <w:rPr>
          <w:sz w:val="21"/>
          <w:szCs w:val="21"/>
        </w:rPr>
      </w:pPr>
      <w:r>
        <w:rPr>
          <w:rFonts w:hint="eastAsia"/>
          <w:sz w:val="21"/>
          <w:szCs w:val="21"/>
        </w:rPr>
        <w:t xml:space="preserve">▲3.耐磨性能：服装的面料经2000次循环摩擦后，不被磨穿。</w:t>
      </w:r>
      <w:r/>
    </w:p>
    <w:p>
      <w:pPr>
        <w:pStyle w:val="1005"/>
        <w:ind w:left="0" w:firstLine="420"/>
        <w:spacing w:line="360" w:lineRule="auto"/>
        <w:rPr>
          <w:sz w:val="21"/>
          <w:szCs w:val="21"/>
        </w:rPr>
      </w:pPr>
      <w:r>
        <w:rPr>
          <w:rFonts w:hint="eastAsia"/>
          <w:sz w:val="21"/>
          <w:szCs w:val="21"/>
        </w:rPr>
        <w:t xml:space="preserve">▲4.服装的补强材料经6000次循环摩擦后，不被磨穿。</w:t>
      </w:r>
      <w:r/>
    </w:p>
    <w:p>
      <w:pPr>
        <w:pStyle w:val="1005"/>
        <w:ind w:left="0" w:firstLine="420"/>
        <w:spacing w:line="360" w:lineRule="auto"/>
        <w:rPr>
          <w:sz w:val="21"/>
          <w:szCs w:val="21"/>
        </w:rPr>
      </w:pPr>
      <w:r>
        <w:rPr>
          <w:rFonts w:hint="eastAsia"/>
          <w:sz w:val="21"/>
          <w:szCs w:val="21"/>
        </w:rPr>
        <w:t xml:space="preserve">5.耐静水压性能：服装的面料在静水压100kPa下5min后，不出现水滴渗漏。</w:t>
      </w:r>
      <w:r/>
    </w:p>
    <w:p>
      <w:pPr>
        <w:pStyle w:val="1005"/>
        <w:ind w:left="0" w:firstLine="420"/>
        <w:spacing w:line="360" w:lineRule="auto"/>
        <w:rPr>
          <w:sz w:val="21"/>
          <w:szCs w:val="21"/>
        </w:rPr>
      </w:pPr>
      <w:r>
        <w:rPr>
          <w:rFonts w:hint="eastAsia"/>
          <w:sz w:val="21"/>
          <w:szCs w:val="21"/>
        </w:rPr>
        <w:t xml:space="preserve">6.穿着时间：≤30S。</w:t>
      </w:r>
      <w:r/>
    </w:p>
    <w:p>
      <w:pPr>
        <w:pStyle w:val="1005"/>
        <w:ind w:left="0" w:firstLine="420"/>
        <w:spacing w:line="360" w:lineRule="auto"/>
        <w:rPr>
          <w:sz w:val="21"/>
          <w:szCs w:val="21"/>
        </w:rPr>
      </w:pPr>
      <w:r>
        <w:rPr>
          <w:rFonts w:hint="eastAsia"/>
          <w:sz w:val="21"/>
          <w:szCs w:val="21"/>
        </w:rPr>
        <w:t xml:space="preserve">7.穿着者可活动性：穿着服装的人员能行走、爬行、游泳。</w:t>
      </w:r>
      <w:r/>
    </w:p>
    <w:p>
      <w:pPr>
        <w:pStyle w:val="1005"/>
        <w:ind w:left="0" w:firstLine="420"/>
        <w:spacing w:line="360" w:lineRule="auto"/>
        <w:rPr>
          <w:sz w:val="21"/>
          <w:szCs w:val="21"/>
        </w:rPr>
      </w:pPr>
      <w:r>
        <w:rPr>
          <w:rFonts w:hint="eastAsia"/>
          <w:sz w:val="21"/>
          <w:szCs w:val="21"/>
        </w:rPr>
        <w:t xml:space="preserve">8.材质为带有钛涂层的氯丁橡胶，厚度≥3mm。</w:t>
      </w:r>
      <w:r/>
    </w:p>
    <w:p>
      <w:pPr>
        <w:pStyle w:val="1005"/>
        <w:ind w:left="0" w:firstLine="420"/>
        <w:spacing w:line="360" w:lineRule="auto"/>
        <w:rPr>
          <w:sz w:val="21"/>
          <w:szCs w:val="21"/>
        </w:rPr>
      </w:pPr>
      <w:r>
        <w:rPr>
          <w:rFonts w:hint="eastAsia"/>
          <w:sz w:val="21"/>
          <w:szCs w:val="21"/>
        </w:rPr>
        <w:t xml:space="preserve">9.拉链位置：前置。</w:t>
      </w:r>
      <w:r/>
    </w:p>
    <w:p>
      <w:pPr>
        <w:pStyle w:val="1005"/>
        <w:ind w:left="0" w:firstLine="420"/>
        <w:spacing w:line="360" w:lineRule="auto"/>
        <w:rPr>
          <w:sz w:val="21"/>
          <w:szCs w:val="21"/>
        </w:rPr>
      </w:pPr>
      <w:r>
        <w:rPr>
          <w:rFonts w:hint="eastAsia"/>
          <w:sz w:val="21"/>
          <w:szCs w:val="21"/>
        </w:rPr>
        <w:t xml:space="preserve">10.缝线采取暗针缝制工艺，且加固压胶处理。</w:t>
      </w:r>
      <w:r/>
    </w:p>
    <w:p>
      <w:pPr>
        <w:pStyle w:val="1005"/>
        <w:ind w:left="0" w:firstLine="420"/>
        <w:spacing w:line="360" w:lineRule="auto"/>
        <w:rPr>
          <w:sz w:val="21"/>
          <w:szCs w:val="21"/>
        </w:rPr>
      </w:pPr>
      <w:r>
        <w:rPr>
          <w:rFonts w:hint="eastAsia"/>
          <w:sz w:val="21"/>
          <w:szCs w:val="21"/>
        </w:rPr>
        <w:t xml:space="preserve">11.腿部有加固材料垫，手臂有反光条，腿部有RESCUE救援字样，左手臂处有备件或对讲机口袋；且大腿处至少有1个口袋。</w:t>
      </w:r>
      <w:r/>
    </w:p>
    <w:p>
      <w:pPr>
        <w:pStyle w:val="1005"/>
        <w:ind w:left="0" w:firstLine="420"/>
        <w:spacing w:line="360" w:lineRule="auto"/>
        <w:rPr>
          <w:sz w:val="21"/>
          <w:szCs w:val="21"/>
        </w:rPr>
      </w:pPr>
      <w:r>
        <w:rPr>
          <w:rFonts w:hint="eastAsia"/>
          <w:sz w:val="21"/>
          <w:szCs w:val="21"/>
        </w:rPr>
        <w:t xml:space="preserve">12.湿式水域救援服为连体式。</w:t>
      </w:r>
      <w:r/>
    </w:p>
    <w:p>
      <w:pPr>
        <w:pStyle w:val="1005"/>
        <w:ind w:left="0" w:firstLine="422"/>
        <w:spacing w:line="360" w:lineRule="auto"/>
        <w:rPr>
          <w:b/>
          <w:bCs/>
          <w:sz w:val="21"/>
          <w:szCs w:val="21"/>
        </w:rPr>
      </w:pPr>
      <w:r>
        <w:rPr>
          <w:rFonts w:hint="eastAsia"/>
          <w:b/>
          <w:bCs/>
          <w:sz w:val="21"/>
          <w:szCs w:val="21"/>
        </w:rPr>
        <w:t xml:space="preserve">注：投标时需提供样品及检验报告（出具报告的检验机构应具有同类产品的CMA认证），至少体现第1至4项参数。</w:t>
      </w:r>
      <w:r/>
    </w:p>
    <w:p>
      <w:pPr>
        <w:pStyle w:val="1005"/>
        <w:ind w:left="0" w:firstLine="420"/>
        <w:spacing w:line="360" w:lineRule="auto"/>
        <w:rPr>
          <w:sz w:val="21"/>
          <w:szCs w:val="21"/>
        </w:rPr>
      </w:pPr>
      <w:r>
        <w:rPr>
          <w:rFonts w:hint="eastAsia"/>
          <w:sz w:val="21"/>
          <w:szCs w:val="21"/>
        </w:rPr>
        <w:t xml:space="preserve">（四）水域救援靴</w:t>
      </w:r>
      <w:r/>
    </w:p>
    <w:p>
      <w:pPr>
        <w:pStyle w:val="1005"/>
        <w:ind w:left="0" w:firstLine="420"/>
        <w:spacing w:line="360" w:lineRule="auto"/>
        <w:rPr>
          <w:sz w:val="21"/>
          <w:szCs w:val="21"/>
        </w:rPr>
      </w:pPr>
      <w:r>
        <w:rPr>
          <w:rFonts w:hint="eastAsia"/>
          <w:sz w:val="21"/>
          <w:szCs w:val="21"/>
        </w:rPr>
        <w:t xml:space="preserve">1.款式：一体式水域救援靴。</w:t>
      </w:r>
      <w:r/>
    </w:p>
    <w:p>
      <w:pPr>
        <w:pStyle w:val="1005"/>
        <w:ind w:left="0" w:firstLine="420"/>
        <w:spacing w:line="360" w:lineRule="auto"/>
        <w:rPr>
          <w:sz w:val="21"/>
          <w:szCs w:val="21"/>
        </w:rPr>
      </w:pPr>
      <w:r>
        <w:rPr>
          <w:rFonts w:hint="eastAsia"/>
          <w:sz w:val="21"/>
          <w:szCs w:val="21"/>
        </w:rPr>
        <w:t xml:space="preserve">▲2.水域救援靴内衬具备≥5mm氯丁橡胶涂层，且内衬与皮革一体合成。</w:t>
      </w:r>
      <w:r/>
    </w:p>
    <w:p>
      <w:pPr>
        <w:pStyle w:val="1005"/>
        <w:ind w:left="0" w:firstLine="420"/>
        <w:spacing w:line="360" w:lineRule="auto"/>
        <w:rPr>
          <w:sz w:val="21"/>
          <w:szCs w:val="21"/>
        </w:rPr>
      </w:pPr>
      <w:r>
        <w:rPr>
          <w:rFonts w:hint="eastAsia"/>
          <w:sz w:val="21"/>
          <w:szCs w:val="21"/>
        </w:rPr>
        <w:t xml:space="preserve">3.内部需有弹性潜水材料内胆，为足部提供良好的保暖性和踝部支撑。</w:t>
      </w:r>
      <w:r/>
    </w:p>
    <w:p>
      <w:pPr>
        <w:pStyle w:val="1005"/>
        <w:ind w:left="0" w:firstLine="420"/>
        <w:spacing w:line="360" w:lineRule="auto"/>
        <w:rPr>
          <w:sz w:val="21"/>
          <w:szCs w:val="21"/>
        </w:rPr>
      </w:pPr>
      <w:r>
        <w:rPr>
          <w:rFonts w:hint="eastAsia"/>
          <w:sz w:val="21"/>
          <w:szCs w:val="21"/>
        </w:rPr>
        <w:t xml:space="preserve">4.≥7mm的氯丁橡胶内底。</w:t>
      </w:r>
      <w:r/>
    </w:p>
    <w:p>
      <w:pPr>
        <w:pStyle w:val="1005"/>
        <w:ind w:left="0" w:firstLine="420"/>
        <w:spacing w:line="360" w:lineRule="auto"/>
        <w:rPr>
          <w:sz w:val="21"/>
          <w:szCs w:val="21"/>
        </w:rPr>
      </w:pPr>
      <w:r>
        <w:rPr>
          <w:rFonts w:hint="eastAsia"/>
          <w:sz w:val="21"/>
          <w:szCs w:val="21"/>
        </w:rPr>
        <w:t xml:space="preserve">5.鞋底防滑设计，能适应水面和陆地的各种地形。</w:t>
      </w:r>
      <w:r/>
    </w:p>
    <w:p>
      <w:pPr>
        <w:pStyle w:val="1005"/>
        <w:ind w:left="0" w:firstLine="420"/>
        <w:spacing w:line="360" w:lineRule="auto"/>
        <w:rPr>
          <w:sz w:val="21"/>
          <w:szCs w:val="21"/>
        </w:rPr>
      </w:pPr>
      <w:r>
        <w:rPr>
          <w:rFonts w:hint="eastAsia"/>
          <w:sz w:val="21"/>
          <w:szCs w:val="21"/>
        </w:rPr>
        <w:t xml:space="preserve">6.经常磨损区域采用合成皮革和橡胶补强处理。</w:t>
      </w:r>
      <w:r/>
    </w:p>
    <w:p>
      <w:pPr>
        <w:pStyle w:val="1005"/>
        <w:ind w:left="0" w:firstLine="420"/>
        <w:spacing w:line="360" w:lineRule="auto"/>
        <w:rPr>
          <w:sz w:val="21"/>
          <w:szCs w:val="21"/>
        </w:rPr>
      </w:pPr>
      <w:r>
        <w:rPr>
          <w:rFonts w:hint="eastAsia"/>
          <w:sz w:val="21"/>
          <w:szCs w:val="21"/>
        </w:rPr>
        <w:t xml:space="preserve">7.靴子内侧设有排水孔，方便出水。</w:t>
      </w:r>
      <w:r/>
    </w:p>
    <w:p>
      <w:pPr>
        <w:pStyle w:val="1005"/>
        <w:ind w:left="0" w:firstLine="420"/>
        <w:spacing w:line="360" w:lineRule="auto"/>
        <w:rPr>
          <w:sz w:val="21"/>
          <w:szCs w:val="21"/>
        </w:rPr>
      </w:pPr>
      <w:r>
        <w:rPr>
          <w:rFonts w:hint="eastAsia"/>
          <w:sz w:val="21"/>
          <w:szCs w:val="21"/>
        </w:rPr>
        <w:t xml:space="preserve">8.脚跟处凸起设计，方便与脚蹼搭配使用。</w:t>
      </w:r>
      <w:r/>
    </w:p>
    <w:p>
      <w:pPr>
        <w:pStyle w:val="1005"/>
        <w:ind w:left="0" w:firstLine="420"/>
        <w:spacing w:line="360" w:lineRule="auto"/>
        <w:rPr>
          <w:sz w:val="21"/>
          <w:szCs w:val="21"/>
        </w:rPr>
      </w:pPr>
      <w:r>
        <w:rPr>
          <w:rFonts w:hint="eastAsia"/>
          <w:sz w:val="21"/>
          <w:szCs w:val="21"/>
        </w:rPr>
        <w:t xml:space="preserve">9.靴底经过10万次弯折试验，靴底整体不断裂，外底裂缝长度≤9mm。</w:t>
      </w:r>
      <w:r/>
    </w:p>
    <w:p>
      <w:pPr>
        <w:pStyle w:val="1005"/>
        <w:ind w:left="0" w:firstLine="420"/>
        <w:spacing w:line="360" w:lineRule="auto"/>
        <w:rPr>
          <w:sz w:val="21"/>
          <w:szCs w:val="21"/>
        </w:rPr>
      </w:pPr>
      <w:r>
        <w:rPr>
          <w:rFonts w:hint="eastAsia"/>
          <w:sz w:val="21"/>
          <w:szCs w:val="21"/>
        </w:rPr>
        <w:t xml:space="preserve">▲10.靴帮材料最大抗刺穿能力≥50N。</w:t>
      </w:r>
      <w:r/>
    </w:p>
    <w:p>
      <w:pPr>
        <w:pStyle w:val="1005"/>
        <w:ind w:left="0" w:firstLine="420"/>
        <w:spacing w:line="360" w:lineRule="auto"/>
        <w:rPr>
          <w:sz w:val="21"/>
          <w:szCs w:val="21"/>
        </w:rPr>
      </w:pPr>
      <w:r>
        <w:rPr>
          <w:rFonts w:hint="eastAsia"/>
          <w:sz w:val="21"/>
          <w:szCs w:val="21"/>
        </w:rPr>
        <w:t xml:space="preserve">11.靴帮材料经抗切割试验后，不被割穿。</w:t>
      </w:r>
      <w:r/>
    </w:p>
    <w:p>
      <w:pPr>
        <w:pStyle w:val="1005"/>
        <w:ind w:left="0" w:firstLine="420"/>
        <w:spacing w:line="360" w:lineRule="auto"/>
        <w:rPr>
          <w:sz w:val="21"/>
          <w:szCs w:val="21"/>
        </w:rPr>
      </w:pPr>
      <w:r>
        <w:rPr>
          <w:rFonts w:hint="eastAsia"/>
          <w:sz w:val="21"/>
          <w:szCs w:val="21"/>
        </w:rPr>
        <w:t xml:space="preserve">12.靴帮材料经过20000次循环摩擦后，不出现磨穿的现象。</w:t>
      </w:r>
      <w:r/>
    </w:p>
    <w:p>
      <w:pPr>
        <w:pStyle w:val="1005"/>
        <w:ind w:left="0" w:firstLine="420"/>
        <w:spacing w:line="360" w:lineRule="auto"/>
        <w:rPr>
          <w:sz w:val="21"/>
          <w:szCs w:val="21"/>
        </w:rPr>
      </w:pPr>
      <w:r>
        <w:rPr>
          <w:rFonts w:hint="eastAsia"/>
          <w:sz w:val="21"/>
          <w:szCs w:val="21"/>
        </w:rPr>
        <w:t xml:space="preserve">13.靴帮经过反复大于等于20000次弯折后，无裂纹、松面、掉浆现象。</w:t>
      </w:r>
      <w:r/>
    </w:p>
    <w:p>
      <w:pPr>
        <w:pStyle w:val="1005"/>
        <w:ind w:left="0" w:firstLine="420"/>
        <w:spacing w:line="360" w:lineRule="auto"/>
        <w:rPr>
          <w:sz w:val="21"/>
          <w:szCs w:val="21"/>
        </w:rPr>
      </w:pPr>
      <w:r>
        <w:rPr>
          <w:rFonts w:hint="eastAsia"/>
          <w:sz w:val="21"/>
          <w:szCs w:val="21"/>
        </w:rPr>
        <w:t xml:space="preserve">14.帮底剥离强度≥95N/CM。</w:t>
      </w:r>
      <w:r/>
    </w:p>
    <w:p>
      <w:pPr>
        <w:pStyle w:val="1005"/>
        <w:ind w:left="0" w:firstLine="420"/>
        <w:spacing w:line="360" w:lineRule="auto"/>
        <w:rPr>
          <w:sz w:val="21"/>
          <w:szCs w:val="21"/>
        </w:rPr>
      </w:pPr>
      <w:r>
        <w:rPr>
          <w:rFonts w:hint="eastAsia"/>
          <w:sz w:val="21"/>
          <w:szCs w:val="21"/>
        </w:rPr>
        <w:t xml:space="preserve">15.热老化性能试验后，靴帮拉伸性能≥25Mpa。</w:t>
      </w:r>
      <w:r/>
    </w:p>
    <w:p>
      <w:pPr>
        <w:pStyle w:val="1005"/>
        <w:ind w:left="0" w:firstLine="420"/>
        <w:spacing w:line="360" w:lineRule="auto"/>
        <w:rPr>
          <w:sz w:val="21"/>
          <w:szCs w:val="21"/>
        </w:rPr>
      </w:pPr>
      <w:r>
        <w:rPr>
          <w:rFonts w:hint="eastAsia"/>
          <w:sz w:val="21"/>
          <w:szCs w:val="21"/>
        </w:rPr>
        <w:t xml:space="preserve">16.热老化性能试验后，靴底拉伸性能≥5Mpa。</w:t>
      </w:r>
      <w:r/>
    </w:p>
    <w:p>
      <w:pPr>
        <w:pStyle w:val="1005"/>
        <w:ind w:left="0" w:firstLine="420"/>
        <w:spacing w:line="360" w:lineRule="auto"/>
        <w:rPr>
          <w:sz w:val="21"/>
          <w:szCs w:val="21"/>
        </w:rPr>
      </w:pPr>
      <w:r>
        <w:rPr>
          <w:rFonts w:hint="eastAsia"/>
          <w:sz w:val="21"/>
          <w:szCs w:val="21"/>
        </w:rPr>
        <w:t xml:space="preserve">17.质量:≤1300g。</w:t>
      </w:r>
      <w:r/>
    </w:p>
    <w:p>
      <w:pPr>
        <w:pStyle w:val="1005"/>
        <w:ind w:left="0" w:firstLine="422"/>
        <w:spacing w:line="360" w:lineRule="auto"/>
        <w:rPr>
          <w:b/>
          <w:bCs/>
          <w:sz w:val="21"/>
          <w:szCs w:val="21"/>
        </w:rPr>
      </w:pPr>
      <w:r>
        <w:rPr>
          <w:rFonts w:hint="eastAsia"/>
          <w:b/>
          <w:bCs/>
          <w:sz w:val="21"/>
          <w:szCs w:val="21"/>
        </w:rPr>
        <w:t xml:space="preserve">注：投标时提供检验报告（出具报告的检验机构应具有同类产品的CMA认证），检验报告至少体现第2、4、10、13、14、17项参数。</w:t>
      </w:r>
      <w:r/>
    </w:p>
    <w:p>
      <w:pPr>
        <w:pStyle w:val="1005"/>
        <w:ind w:left="0" w:firstLine="420"/>
        <w:spacing w:line="360" w:lineRule="auto"/>
        <w:rPr>
          <w:sz w:val="21"/>
          <w:szCs w:val="21"/>
        </w:rPr>
      </w:pPr>
      <w:r>
        <w:rPr>
          <w:sz w:val="21"/>
          <w:szCs w:val="21"/>
        </w:rPr>
      </w:r>
      <w:r/>
    </w:p>
    <w:p>
      <w:pPr>
        <w:pStyle w:val="1005"/>
        <w:ind w:left="0" w:firstLine="422"/>
        <w:spacing w:line="360" w:lineRule="auto"/>
        <w:rPr>
          <w:sz w:val="21"/>
          <w:szCs w:val="21"/>
        </w:rPr>
        <w:outlineLvl w:val="0"/>
      </w:pPr>
      <w:r>
        <w:rPr>
          <w:rFonts w:hint="eastAsia"/>
          <w:b/>
          <w:bCs/>
          <w:sz w:val="21"/>
          <w:szCs w:val="21"/>
        </w:rPr>
        <w:t xml:space="preserve">包二（手提式强光照明灯）：</w:t>
      </w:r>
      <w:r/>
    </w:p>
    <w:tbl>
      <w:tblPr>
        <w:tblStyle w:val="1053"/>
        <w:tblW w:w="8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2069"/>
        <w:gridCol w:w="737"/>
        <w:gridCol w:w="737"/>
        <w:gridCol w:w="883"/>
        <w:gridCol w:w="1196"/>
        <w:gridCol w:w="2217"/>
      </w:tblGrid>
      <w:tr>
        <w:trPr>
          <w:jc w:val="center"/>
          <w:trHeight w:val="448"/>
        </w:trPr>
        <w:tc>
          <w:tcPr>
            <w:tcW w:w="101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101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手提式强光照明灯</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179</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0.28</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需提供样品</w:t>
            </w:r>
            <w:r/>
          </w:p>
        </w:tc>
      </w:tr>
    </w:tbl>
    <w:p>
      <w:pPr>
        <w:pStyle w:val="1005"/>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pStyle w:val="1005"/>
        <w:ind w:left="0" w:firstLine="420"/>
        <w:spacing w:line="360" w:lineRule="auto"/>
        <w:rPr>
          <w:sz w:val="21"/>
          <w:szCs w:val="21"/>
        </w:rPr>
      </w:pPr>
      <w:r>
        <w:rPr>
          <w:rFonts w:hint="eastAsia"/>
          <w:sz w:val="21"/>
          <w:szCs w:val="21"/>
        </w:rPr>
        <w:t xml:space="preserve">（一）手提式强光照明灯</w:t>
      </w:r>
      <w:r/>
    </w:p>
    <w:p>
      <w:pPr>
        <w:pStyle w:val="1005"/>
        <w:ind w:left="0" w:firstLine="420"/>
        <w:spacing w:line="360" w:lineRule="auto"/>
        <w:rPr>
          <w:sz w:val="21"/>
          <w:szCs w:val="21"/>
        </w:rPr>
      </w:pPr>
      <w:r>
        <w:rPr>
          <w:rFonts w:hint="eastAsia"/>
          <w:sz w:val="21"/>
          <w:szCs w:val="21"/>
        </w:rPr>
        <w:t xml:space="preserve">1.结构组成：方位灯、充电口、充电器、灯具、提手、电量显示、按键开关、红蓝警示模块组成。 </w:t>
      </w:r>
      <w:r/>
    </w:p>
    <w:p>
      <w:pPr>
        <w:pStyle w:val="1005"/>
        <w:ind w:left="0" w:firstLine="420"/>
        <w:spacing w:line="360" w:lineRule="auto"/>
        <w:rPr>
          <w:sz w:val="21"/>
          <w:szCs w:val="21"/>
        </w:rPr>
      </w:pPr>
      <w:r>
        <w:rPr>
          <w:rFonts w:hint="eastAsia"/>
          <w:sz w:val="21"/>
          <w:szCs w:val="21"/>
        </w:rPr>
        <w:t xml:space="preserve">2.主要应用场景：适合于消防行业日常灭火、救援强光手提照明及指挥现场工作照明。</w:t>
      </w:r>
      <w:r/>
    </w:p>
    <w:p>
      <w:pPr>
        <w:pStyle w:val="1005"/>
        <w:ind w:left="0" w:firstLine="420"/>
        <w:spacing w:line="360" w:lineRule="auto"/>
        <w:rPr>
          <w:sz w:val="21"/>
          <w:szCs w:val="21"/>
        </w:rPr>
      </w:pPr>
      <w:r>
        <w:rPr>
          <w:rFonts w:hint="eastAsia"/>
          <w:sz w:val="21"/>
          <w:szCs w:val="21"/>
        </w:rPr>
        <w:t xml:space="preserve">★3.提供所投产品完整有效的检验报告（具有CMA认证），检验结果和结论都应符合GB30734-2014《消防员照明灯具》标准要求。</w:t>
      </w:r>
      <w:r/>
    </w:p>
    <w:p>
      <w:pPr>
        <w:pStyle w:val="1005"/>
        <w:ind w:left="0" w:firstLine="420"/>
        <w:spacing w:line="360" w:lineRule="auto"/>
        <w:rPr>
          <w:sz w:val="21"/>
          <w:szCs w:val="21"/>
        </w:rPr>
      </w:pPr>
      <w:r>
        <w:rPr>
          <w:rFonts w:hint="eastAsia"/>
          <w:sz w:val="21"/>
          <w:szCs w:val="21"/>
        </w:rPr>
        <w:t xml:space="preserve">▲4.提供所投产品完整有效的防爆合格证。</w:t>
      </w:r>
      <w:r/>
    </w:p>
    <w:p>
      <w:pPr>
        <w:pStyle w:val="1005"/>
        <w:ind w:left="0" w:firstLine="420"/>
        <w:spacing w:line="360" w:lineRule="auto"/>
        <w:rPr>
          <w:sz w:val="21"/>
          <w:szCs w:val="21"/>
        </w:rPr>
      </w:pPr>
      <w:r>
        <w:rPr>
          <w:rFonts w:hint="eastAsia"/>
          <w:sz w:val="21"/>
          <w:szCs w:val="21"/>
        </w:rPr>
        <w:t xml:space="preserve">5.灯具的供电电源采用可充电电池；灯具的充电器采用插头与交直流转换器分离式结构，灯具或充电器设置充电保护电路；灯具的防爆性能应符合GB3836.1-2021的要求。</w:t>
      </w:r>
      <w:r/>
    </w:p>
    <w:p>
      <w:pPr>
        <w:pStyle w:val="1005"/>
        <w:ind w:left="0" w:firstLine="420"/>
        <w:spacing w:line="360" w:lineRule="auto"/>
        <w:rPr>
          <w:sz w:val="21"/>
          <w:szCs w:val="21"/>
        </w:rPr>
      </w:pPr>
      <w:r>
        <w:rPr>
          <w:rFonts w:hint="eastAsia"/>
          <w:sz w:val="21"/>
          <w:szCs w:val="21"/>
        </w:rPr>
        <w:t xml:space="preserve">6.灯具具备强光、工作光切换，具备闪烁方式的低电压警告功能。</w:t>
      </w:r>
      <w:r/>
    </w:p>
    <w:p>
      <w:pPr>
        <w:pStyle w:val="1005"/>
        <w:ind w:left="0" w:firstLine="420"/>
        <w:spacing w:line="360" w:lineRule="auto"/>
        <w:rPr>
          <w:sz w:val="21"/>
          <w:szCs w:val="21"/>
        </w:rPr>
      </w:pPr>
      <w:r>
        <w:rPr>
          <w:rFonts w:hint="eastAsia"/>
          <w:sz w:val="21"/>
          <w:szCs w:val="21"/>
        </w:rPr>
        <w:t xml:space="preserve">7.外观清洁、光滑、整齐、无污损、腐蚀、划伤、毛刺、裂痕、变形现象。</w:t>
      </w:r>
      <w:r/>
    </w:p>
    <w:p>
      <w:pPr>
        <w:pStyle w:val="1005"/>
        <w:ind w:left="0" w:firstLine="420"/>
        <w:spacing w:line="360" w:lineRule="auto"/>
        <w:rPr>
          <w:sz w:val="21"/>
          <w:szCs w:val="21"/>
        </w:rPr>
      </w:pPr>
      <w:r>
        <w:rPr>
          <w:rFonts w:hint="eastAsia"/>
          <w:sz w:val="21"/>
          <w:szCs w:val="21"/>
        </w:rPr>
        <w:t xml:space="preserve">8.质量≤1.5kg。</w:t>
      </w:r>
      <w:r/>
    </w:p>
    <w:p>
      <w:pPr>
        <w:pStyle w:val="1005"/>
        <w:ind w:left="0" w:firstLine="420"/>
        <w:spacing w:line="360" w:lineRule="auto"/>
        <w:rPr>
          <w:sz w:val="21"/>
          <w:szCs w:val="21"/>
        </w:rPr>
      </w:pPr>
      <w:r>
        <w:rPr>
          <w:rFonts w:hint="eastAsia"/>
          <w:sz w:val="21"/>
          <w:szCs w:val="21"/>
        </w:rPr>
        <w:t xml:space="preserve">▲9.照度：5米测试距离处，强光平均值≥250Lx，强光最小值≥150Lx；弱光平均值≥150Lx，弱光最小值≥100Lx。</w:t>
      </w:r>
      <w:r/>
    </w:p>
    <w:p>
      <w:pPr>
        <w:pStyle w:val="1005"/>
        <w:ind w:left="0" w:firstLine="420"/>
        <w:spacing w:line="360" w:lineRule="auto"/>
        <w:rPr>
          <w:sz w:val="21"/>
          <w:szCs w:val="21"/>
        </w:rPr>
      </w:pPr>
      <w:r>
        <w:rPr>
          <w:rFonts w:hint="eastAsia"/>
          <w:sz w:val="21"/>
          <w:szCs w:val="21"/>
        </w:rPr>
        <w:t xml:space="preserve">▲10.连续稳定工作时间：强光≥300min，弱光≥600min。</w:t>
      </w:r>
      <w:r/>
    </w:p>
    <w:p>
      <w:pPr>
        <w:pStyle w:val="1005"/>
        <w:ind w:left="0" w:firstLine="420"/>
        <w:spacing w:line="360" w:lineRule="auto"/>
        <w:rPr>
          <w:sz w:val="21"/>
          <w:szCs w:val="21"/>
        </w:rPr>
      </w:pPr>
      <w:r>
        <w:rPr>
          <w:rFonts w:hint="eastAsia"/>
          <w:sz w:val="21"/>
          <w:szCs w:val="21"/>
        </w:rPr>
        <w:t xml:space="preserve">11.低电压报警时间：≥10s且≤20s。</w:t>
      </w:r>
      <w:r/>
    </w:p>
    <w:p>
      <w:pPr>
        <w:pStyle w:val="1005"/>
        <w:ind w:left="0" w:firstLine="420"/>
        <w:spacing w:line="360" w:lineRule="auto"/>
        <w:rPr>
          <w:sz w:val="21"/>
          <w:szCs w:val="21"/>
        </w:rPr>
      </w:pPr>
      <w:r>
        <w:rPr>
          <w:rFonts w:hint="eastAsia"/>
          <w:sz w:val="21"/>
          <w:szCs w:val="21"/>
        </w:rPr>
        <w:t xml:space="preserve">12.低电压状态下连续工作时间：强光≥15min，弱光≥30min。</w:t>
      </w:r>
      <w:r/>
    </w:p>
    <w:p>
      <w:pPr>
        <w:pStyle w:val="1005"/>
        <w:ind w:left="0" w:firstLine="420"/>
        <w:spacing w:line="360" w:lineRule="auto"/>
        <w:rPr>
          <w:sz w:val="21"/>
          <w:szCs w:val="21"/>
        </w:rPr>
      </w:pPr>
      <w:r>
        <w:rPr>
          <w:rFonts w:hint="eastAsia"/>
          <w:sz w:val="21"/>
          <w:szCs w:val="21"/>
        </w:rPr>
        <w:t xml:space="preserve">13.绝缘性能：在常温环境下，灯具带电端子与外壳间的绝缘电阻应不小于20MΩ，交变湿热试验后不小于5MΩ。</w:t>
      </w:r>
      <w:r/>
    </w:p>
    <w:p>
      <w:pPr>
        <w:pStyle w:val="1005"/>
        <w:ind w:left="0" w:firstLine="420"/>
        <w:spacing w:line="360" w:lineRule="auto"/>
        <w:rPr>
          <w:sz w:val="21"/>
          <w:szCs w:val="21"/>
        </w:rPr>
      </w:pPr>
      <w:r>
        <w:rPr>
          <w:rFonts w:hint="eastAsia"/>
          <w:sz w:val="21"/>
          <w:szCs w:val="21"/>
        </w:rPr>
        <w:t xml:space="preserve">14.耐电压性能：灯具应耐受频率为50Hz±0.5Hz，交流电压为500V±50V，历时60s±5s的耐电压试验。</w:t>
      </w:r>
      <w:r/>
    </w:p>
    <w:p>
      <w:pPr>
        <w:pStyle w:val="1005"/>
        <w:ind w:left="0" w:firstLine="420"/>
        <w:spacing w:line="360" w:lineRule="auto"/>
        <w:rPr>
          <w:sz w:val="21"/>
          <w:szCs w:val="21"/>
        </w:rPr>
      </w:pPr>
      <w:r>
        <w:rPr>
          <w:rFonts w:hint="eastAsia"/>
          <w:sz w:val="21"/>
          <w:szCs w:val="21"/>
        </w:rPr>
        <w:t xml:space="preserve">15.开关经50000次可靠性试验后保持完好，且灯具能正常点亮并实现强、弱光切换。</w:t>
      </w:r>
      <w:r/>
    </w:p>
    <w:p>
      <w:pPr>
        <w:pStyle w:val="1005"/>
        <w:ind w:left="0" w:firstLine="420"/>
        <w:spacing w:line="360" w:lineRule="auto"/>
        <w:rPr>
          <w:sz w:val="21"/>
          <w:szCs w:val="21"/>
        </w:rPr>
      </w:pPr>
      <w:r>
        <w:rPr>
          <w:rFonts w:hint="eastAsia"/>
          <w:sz w:val="21"/>
          <w:szCs w:val="21"/>
        </w:rPr>
        <w:t xml:space="preserve">▲16.外壳防尘、防水等级不低于IP68（潜水深度1.5m，持续时间1h）。</w:t>
      </w:r>
      <w:r/>
    </w:p>
    <w:p>
      <w:pPr>
        <w:pStyle w:val="1005"/>
        <w:ind w:left="0" w:firstLine="420"/>
        <w:spacing w:line="360" w:lineRule="auto"/>
        <w:rPr>
          <w:sz w:val="21"/>
          <w:szCs w:val="21"/>
        </w:rPr>
      </w:pPr>
      <w:r>
        <w:rPr>
          <w:rFonts w:hint="eastAsia"/>
          <w:sz w:val="21"/>
          <w:szCs w:val="21"/>
        </w:rPr>
        <w:t xml:space="preserve">17.灯具标志：灯具明显位置处有清晰且与灯具为一体的标志，包括以下内容：a）产品名称；b）产品型号：c）防护等级；d）防爆标志；e）生产日期；f）产品编号；g）生产厂名称。</w:t>
      </w:r>
      <w:r/>
    </w:p>
    <w:p>
      <w:pPr>
        <w:pStyle w:val="1005"/>
        <w:ind w:left="0" w:firstLine="420"/>
        <w:spacing w:line="360" w:lineRule="auto"/>
        <w:rPr>
          <w:sz w:val="21"/>
          <w:szCs w:val="21"/>
        </w:rPr>
      </w:pPr>
      <w:r>
        <w:rPr>
          <w:rFonts w:hint="eastAsia"/>
          <w:sz w:val="21"/>
          <w:szCs w:val="21"/>
        </w:rPr>
        <w:t xml:space="preserve">18.额定电压：≥DC5V。</w:t>
      </w:r>
      <w:r/>
    </w:p>
    <w:p>
      <w:pPr>
        <w:pStyle w:val="1005"/>
        <w:ind w:left="0" w:firstLine="420"/>
        <w:spacing w:line="360" w:lineRule="auto"/>
        <w:rPr>
          <w:sz w:val="21"/>
          <w:szCs w:val="21"/>
        </w:rPr>
      </w:pPr>
      <w:r>
        <w:rPr>
          <w:rFonts w:hint="eastAsia"/>
          <w:sz w:val="21"/>
          <w:szCs w:val="21"/>
        </w:rPr>
        <w:t xml:space="preserve">19.额定容量≥3Ah。</w:t>
      </w:r>
      <w:r/>
    </w:p>
    <w:p>
      <w:pPr>
        <w:pStyle w:val="1005"/>
        <w:ind w:left="0" w:firstLine="420"/>
        <w:spacing w:line="360" w:lineRule="auto"/>
        <w:rPr>
          <w:sz w:val="21"/>
          <w:szCs w:val="21"/>
        </w:rPr>
      </w:pPr>
      <w:r>
        <w:rPr>
          <w:rFonts w:hint="eastAsia"/>
          <w:sz w:val="21"/>
          <w:szCs w:val="21"/>
        </w:rPr>
        <w:t xml:space="preserve">20.光源功率：≥2*12W（聚光）。</w:t>
      </w:r>
      <w:r/>
    </w:p>
    <w:p>
      <w:pPr>
        <w:pStyle w:val="1005"/>
        <w:ind w:left="0" w:firstLine="420"/>
        <w:spacing w:line="360" w:lineRule="auto"/>
        <w:rPr>
          <w:sz w:val="21"/>
          <w:szCs w:val="21"/>
        </w:rPr>
      </w:pPr>
      <w:r>
        <w:rPr>
          <w:rFonts w:hint="eastAsia"/>
          <w:sz w:val="21"/>
          <w:szCs w:val="21"/>
        </w:rPr>
        <w:t xml:space="preserve">21.外形尺寸：≤250mm*100mm*150mm。</w:t>
      </w:r>
      <w:r/>
    </w:p>
    <w:p>
      <w:pPr>
        <w:pStyle w:val="1005"/>
        <w:ind w:left="0" w:firstLine="420"/>
        <w:spacing w:line="360" w:lineRule="auto"/>
        <w:rPr>
          <w:sz w:val="21"/>
          <w:szCs w:val="21"/>
        </w:rPr>
      </w:pPr>
      <w:r>
        <w:rPr>
          <w:rFonts w:hint="eastAsia"/>
          <w:sz w:val="21"/>
          <w:szCs w:val="21"/>
        </w:rPr>
        <w:t xml:space="preserve">22.灯具采用双光型光源配置，需同时具有暖白光源及冷白光源，可通过开关控制实现冷暖色光源的转换。</w:t>
      </w:r>
      <w:r/>
    </w:p>
    <w:p>
      <w:pPr>
        <w:pStyle w:val="1005"/>
        <w:ind w:left="0" w:firstLine="420"/>
        <w:spacing w:line="360" w:lineRule="auto"/>
        <w:rPr>
          <w:sz w:val="21"/>
          <w:szCs w:val="21"/>
        </w:rPr>
      </w:pPr>
      <w:r>
        <w:rPr>
          <w:rFonts w:hint="eastAsia"/>
          <w:sz w:val="21"/>
          <w:szCs w:val="21"/>
        </w:rPr>
        <w:t xml:space="preserve">23.灯具需具有聚光、泛光、红蓝警示功能。</w:t>
      </w:r>
      <w:r/>
    </w:p>
    <w:p>
      <w:pPr>
        <w:pStyle w:val="1005"/>
        <w:ind w:left="0" w:firstLine="420"/>
        <w:spacing w:line="360" w:lineRule="auto"/>
        <w:rPr>
          <w:sz w:val="21"/>
          <w:szCs w:val="21"/>
        </w:rPr>
      </w:pPr>
      <w:r>
        <w:rPr>
          <w:rFonts w:hint="eastAsia"/>
          <w:sz w:val="21"/>
          <w:szCs w:val="21"/>
        </w:rPr>
        <w:t xml:space="preserve">24.灯具可满足手提、肩挎。</w:t>
      </w:r>
      <w:r/>
    </w:p>
    <w:p>
      <w:pPr>
        <w:pStyle w:val="1005"/>
        <w:ind w:left="0" w:firstLine="420"/>
        <w:spacing w:line="360" w:lineRule="auto"/>
        <w:rPr>
          <w:sz w:val="21"/>
          <w:szCs w:val="21"/>
        </w:rPr>
      </w:pPr>
      <w:r>
        <w:rPr>
          <w:rFonts w:hint="eastAsia"/>
          <w:sz w:val="21"/>
          <w:szCs w:val="21"/>
        </w:rPr>
        <w:t xml:space="preserve">25.灯具可直观查看电池电量、剩余工作时间及灯具工作状态。</w:t>
      </w:r>
      <w:r/>
    </w:p>
    <w:p>
      <w:pPr>
        <w:pStyle w:val="1005"/>
        <w:ind w:left="0" w:firstLine="422"/>
        <w:spacing w:line="360" w:lineRule="auto"/>
        <w:rPr>
          <w:b/>
          <w:bCs/>
          <w:sz w:val="21"/>
          <w:szCs w:val="21"/>
        </w:rPr>
      </w:pPr>
      <w:r>
        <w:rPr>
          <w:rFonts w:hint="eastAsia"/>
          <w:b/>
          <w:bCs/>
          <w:sz w:val="21"/>
          <w:szCs w:val="21"/>
        </w:rPr>
        <w:t xml:space="preserve">注：投标时需提供样品及检验报告，检验报告至少体现第9、10、16项参数。</w:t>
      </w:r>
      <w:r/>
    </w:p>
    <w:p>
      <w:r/>
      <w:r/>
    </w:p>
    <w:p>
      <w:pPr>
        <w:pStyle w:val="1005"/>
        <w:ind w:left="0" w:firstLine="422"/>
        <w:spacing w:line="360" w:lineRule="auto"/>
        <w:rPr>
          <w:b/>
          <w:bCs/>
          <w:sz w:val="21"/>
          <w:szCs w:val="21"/>
        </w:rPr>
        <w:outlineLvl w:val="0"/>
      </w:pPr>
      <w:r>
        <w:rPr>
          <w:rFonts w:hint="eastAsia"/>
          <w:b/>
          <w:bCs/>
          <w:sz w:val="21"/>
          <w:szCs w:val="21"/>
        </w:rPr>
        <w:t xml:space="preserve">包三（消防用红外热像仪）：</w:t>
      </w:r>
      <w:r/>
    </w:p>
    <w:tbl>
      <w:tblPr>
        <w:tblStyle w:val="1053"/>
        <w:tblW w:w="8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2069"/>
        <w:gridCol w:w="737"/>
        <w:gridCol w:w="737"/>
        <w:gridCol w:w="883"/>
        <w:gridCol w:w="1196"/>
        <w:gridCol w:w="2217"/>
      </w:tblGrid>
      <w:tr>
        <w:trPr>
          <w:jc w:val="center"/>
          <w:trHeight w:val="448"/>
        </w:trPr>
        <w:tc>
          <w:tcPr>
            <w:tcW w:w="910"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备注</w:t>
            </w:r>
            <w:r/>
          </w:p>
        </w:tc>
      </w:tr>
      <w:tr>
        <w:trPr>
          <w:jc w:val="center"/>
          <w:trHeight w:val="17"/>
        </w:trPr>
        <w:tc>
          <w:tcPr>
            <w:tcW w:w="91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2069"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消防用红外热像仪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个</w:t>
            </w:r>
            <w:r/>
          </w:p>
        </w:tc>
        <w:tc>
          <w:tcPr>
            <w:tcW w:w="73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w:t>
            </w:r>
            <w:r/>
          </w:p>
        </w:tc>
        <w:tc>
          <w:tcPr>
            <w:tcW w:w="88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7.5</w:t>
            </w:r>
            <w:r/>
          </w:p>
        </w:tc>
        <w:tc>
          <w:tcPr>
            <w:tcW w:w="119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217" w:type="dxa"/>
            <w:vAlign w:val="center"/>
            <w:textDirection w:val="lrTb"/>
            <w:noWrap w:val="false"/>
          </w:tcPr>
          <w:p>
            <w:pPr>
              <w:ind w:left="0"/>
              <w:jc w:val="center"/>
              <w:spacing w:line="24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提供不少于3分钟的产品操作演示视频</w:t>
            </w:r>
            <w:r/>
          </w:p>
        </w:tc>
      </w:tr>
    </w:tbl>
    <w:p>
      <w:pPr>
        <w:ind w:left="0" w:firstLine="422"/>
        <w:rPr>
          <w:b/>
          <w:bCs/>
          <w:sz w:val="21"/>
          <w:szCs w:val="21"/>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（一）消防用红外热像仪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1.热像仪尺寸≤220mm*110mm*100mm。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▲2.重量（含充电电池）≤1000克。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3.电源系统：需标配不少于两块磷酸铁锂充电电池，完全充放电次数大于1000次，每块电池使用时间大于2小时，电池电量需在屏幕中显示。电源需标配国标可替换插头及车载12V电源线。</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4.屏幕：LCD屏幕尺寸≥2.7英寸，分辨率≥384 x 288 阵列，探测器刷新率≥60Hz; 屏幕刷新率≥30Hz;2倍和4倍数字变焦。</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▲5.传感器：需采用非晶硅材料，传感器敏感度NETD≤50mK (0.05℃)。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★6.需提供高温锗材质滤镜，锗镜头直径需大于20毫米，锗镜头厚度大于1.8毫米并涂有耐磨涂层。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7.屏幕色彩模式不低于6种，分别提供火场、人员搜救、预估、检测、失踪人员、火情模式便于各种情况下使用；色彩模式、系统故障警告、温度过热警告等信息需要以中文显示。</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8.热像仪防护等级需满足IP67，可以短暂置于水中；满足2米跌落试验。在-20℃至85℃之间可持续工作，在150℃环境下工作10分钟，在260℃环境下工作5分钟。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9.直接温度测量范围需满足：-40℃---1000℃，并具有温度变化指针显示功能。需标配火场中最高温及最低温指针搜寻功能，并同时显示最高及最低温度，便于火场中快速定位及冷热追踪。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10.充电座需同时具有充电、数据传输、下载照片及视频功能，并标配充电座固定支架、充电座与电脑USB连接线、热像仪可伸缩挂绳、热像仪口袋夹。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11.热像仪需标配功能设置软件，与电脑连接后可以更改按键功能设置。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12.需标配内置存储卡，可存储拍摄的照片和视频，存储容量≥16G。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▲13.热像仪开机时间≤6秒，关机时间≤3秒。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▲14.功能按键可分配并满足以下热像仪功能：变焦、色彩模式循环切换、图像冻结、图像拍摄、视频录制、图像播放、视频播放、最高/最低温度搜索。</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注：提供不少3分钟的产品操作演示视频。提供所投产品的检验报告（出具报告的检测机构应具有同类产品的CMA认证授权），至少体现1、2、5、6、8、9等相关参数。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包四（有毒气体探测仪、漏电探测仪（漏电探测棒））：</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有毒气体探测仪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53</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r>
        <w:trPr>
          <w:jc w:val="center"/>
          <w:trHeight w:val="17"/>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漏电探测仪</w:t>
            </w:r>
            <w:r/>
          </w:p>
          <w:p>
            <w:pPr>
              <w:ind w:left="0"/>
              <w:jc w:val="center"/>
              <w:spacing w:line="276" w:lineRule="auto"/>
              <w:widowControl w:val="off"/>
              <w:rPr>
                <w:rFonts w:ascii="宋体" w:hAnsi="宋体"/>
                <w:sz w:val="21"/>
                <w:szCs w:val="21"/>
              </w:rPr>
            </w:pPr>
            <w:r>
              <w:rPr>
                <w:rFonts w:hint="eastAsia" w:ascii="宋体" w:hAnsi="宋体"/>
                <w:sz w:val="21"/>
                <w:szCs w:val="21"/>
              </w:rPr>
              <w:t xml:space="preserve">（漏电探测棒）</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0.3</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（一）有毒气体探测仪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1.结构组成：四合一气体探测仪主机、内置四种传感器、充电套装（电池仓及充电器）。主要应用场景：用于火灾或泄漏、受限空间等救援现场有毒有害气体探测。</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▲2.提供所投产品的消防产品认证证书，出具证书的认证机构应经国务院认证认可监督管理部门批准依法取得相应资质。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▲3.提供防爆合格证，防爆等级不低于 Ex ia IIC T4 Ga。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4.防护等级不低于IP68（潜水深度1.5米，潜水时间30分钟）。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5.至少需要提供可燃气体、O2、H2S、CO 4个气体传感器。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6.催化燃烧式传感器同时具有0-100%LEL和0-5%VOLCH4两个量程，传感器寿命≥4年。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▲7.传感器可检测多种可燃性气体，内置可检测气体库。探测仪可设置测量气体、校准气体和功能测试气体。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8.催化燃烧式可燃气体传感器具有高抗中毒性：H2S 1000ppmh≤±2%（灵敏度）；HMDS 10ppmh ≤±5%（灵敏度）。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▲9.探测仪感知分辨率约为0.01%VOL，报警值可设定为 0.2%VOL和0.5%VOL。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10.O2 为独立传感器，量程 0—25%VOL，分辨率 0.1%VOL，T90≤10s，寿命≥5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11.CO 为独立传感器，量程 0-1900ppm，分辨率1ppm，T90≤15s，寿命≥5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12.H2S 为独立传感器，量程 0-100ppm，分辨率0.1ppm，T90≤15s，寿命≥5 年。 </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13.具有报警功能，提供声、光和振动报警，多音频，30 厘米处≥90 分贝。</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14.具有数据存储能力，数据存储≥1000 小时。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15.可在-40～50℃的温度范围内正常工作。</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16.具有较强的抗震和抗摔性能，整机有效抗跌落≥2米。</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注：投标时需提供样品及检验报告（出具报告的检验机构应具有同类产品的CMA认证），检验报告至少体现15项参数。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（二）漏电探测仪（漏电探测棒）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1.用于检测各类事故造成的漏电，无需接触电源即可探测安全距离范围内泄漏电源的具体位置。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▲2.具有3档灵敏度探测方式。在最高灵敏度探测方式下，探测46KV的测量距离≥150m，探测120/240V交流电的测量距离≥5m。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▲3.探测棒采用符合国家电气绝缘标准的绝缘材质，长度≤550mm，直径≤50mm。具备声光报警功能，警报声和频率会随着探测到的信号强弱而自动变化。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4.操作温度范围不低于：-20～50℃。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5.配备可充电电池，满电状态下可持续工作≥8h。</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注：投标时需提供样品及检验报告（出具报告的检验机构应具有CMA认证），检验报告至少体现3、4项参数。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包五（高压森林消防泵、消防拉梯（6米竹制）、消防员降温背心）：</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7"/>
        </w:trPr>
        <w:tc>
          <w:tcPr>
            <w:tcW w:w="864" w:type="dxa"/>
            <w:vAlign w:val="center"/>
            <w:vMerge w:val="restart"/>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高压森林消防泵</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核心产品</w:t>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消防拉梯</w:t>
            </w:r>
            <w:r/>
          </w:p>
          <w:p>
            <w:pPr>
              <w:ind w:left="0"/>
              <w:jc w:val="center"/>
              <w:spacing w:line="240" w:lineRule="exact"/>
              <w:widowControl w:val="off"/>
              <w:rPr>
                <w:rFonts w:ascii="宋体" w:hAnsi="宋体"/>
                <w:sz w:val="21"/>
                <w:szCs w:val="21"/>
              </w:rPr>
            </w:pPr>
            <w:r>
              <w:rPr>
                <w:rFonts w:hint="eastAsia" w:ascii="宋体" w:hAnsi="宋体"/>
                <w:sz w:val="21"/>
                <w:szCs w:val="21"/>
              </w:rPr>
              <w:t xml:space="preserve">（6米竹制）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驾</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141</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r>
        <w:trPr>
          <w:jc w:val="center"/>
          <w:trHeight w:val="16"/>
        </w:trPr>
        <w:tc>
          <w:tcPr>
            <w:tcW w:w="864" w:type="dxa"/>
            <w:vAlign w:val="center"/>
            <w:vMerge w:val="continue"/>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消防员降温背心</w:t>
            </w:r>
            <w:r/>
          </w:p>
        </w:tc>
        <w:tc>
          <w:tcPr>
            <w:tcW w:w="737" w:type="dxa"/>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件</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132</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0.065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（一）高压森林消防泵</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1.产品适用于森林消防上的灭火、供水系统等其他应急救援任务需要,可背负携带，可串联使用。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2.二冲程风冷汽油发动机，电子点火系统。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3.四级离心泵，泵壳、泵体具有轻质高强度防腐蚀材料制成。出水口尺寸：40±2mm。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★4.功率≥7kw。</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▲5.最大转速≥8000RPM。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▲6.重量≤35kg。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7.具备电力启动、手动启动多种启动方式。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8.发动机防超速功能。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9.设备可连续工作时间≥6小时（一次加满燃油且全速运行时）。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▲10.吸程不小于5米。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★11.最大扬程≥250m；水泵出口最大压力≥2.5MPa；最大流量≥20m³/h。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12.泵组之间可以串联架设、并联架设、串并联架设，并能正常工作。配有智能数据表，可显示发动机运行累计时间与转速。</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13.油箱容量≥20L。配套油箱背包1个：包括油管1个、吸水管1根，测试压力≥5.5MPa，重量≤3公斤，最小弯曲半径≤40厘米，接头用扩张式铜环固定，长度不小于3米。</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14.至少配备以下附件：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(1)止回式底阀与滤器各1个;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(2)备用火花塞2个、火花塞套筒1个；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(3)电动引水泵1个（快速接头）；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(4)直流喷枪1个（快速接头）；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(5)直流水雾喷枪1个（快速接头）；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(6)止水钳1个、水带扳手2个；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(7)水带修补环2个;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(8)三通阀1个（快速接头），压力≥2.4MPa;</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(9)单向阀1个（两端快速接头）;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(10)内螺纹快速接头1个: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(11)外螺纹快速接头1个;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(12)充电器1个:</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(13)二分水器1个，进水口通径:65mm,出水口通径:40mm×2，适用介质:水及水泡沫混合液。</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注：投标时需提供样品及检验报告（出具报告的检验机构应具有同类产品的CMA认证），检验报告至少体现第4、6、10、11项参数。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（二）消防拉梯（6米竹制）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★1.提供所投产品完整有效的检验报告（具有CMA认证），检验结果和结论都应符合XF137-2007《消防梯》标准要求。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2.工作高度：6±0.2m。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3.最小梯宽：300±3mm。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4.梯蹬间距：280±2mm。</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5.整梯质量：≤35kg。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6.梯节扭转角：≤20°。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7.水平弯曲残余变形比值：≤0.3%。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8.梯蹬弯曲残余变形比值：≤0.5%。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9.侧板悬臂弯曲最大变形值(mm)≤5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10.侧摇摆弯曲残余变形比值(%)≤0.3。</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11.梯蹬剪切强度：梯蹬与侧板的连接处和梯蹬本身无任何断裂现象。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12.拉梯进行单撑脚载荷试验后，撑脚及连接件没有松动、损伤及变形。</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注：投标时需提供检验报告，检验报告至少体现2至12项参数。</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（三）消防员降温背心</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1.结构组成：由外层、隔热层、舒适层组成。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2.主要应用场景：用于消防员进入灾害事故现场保护消防员使用。</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★3.提供所投产品完整有效的检验报告（具有CMA认证），检验结果和结论都应符合XF1265-2015《蓄冷型消防员降温背心》标准要求。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▲4.外层面料经阻燃性能试验后，损毁长度≤100mm,续燃时间≤1s,且不有熔融、滴落现象。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▲5.舒适层经阻燃性能试验后不有熔融、滴落现象。</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▲6.隔冷层经180℃±5℃热稳定性能试验后，沿经、纬方向尺寸变化率≤1%,试样表面无明显变化。</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▲7.蓄冷剂相变热≥200kj/kg。总蓄冷量≥300kj。</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8.降温背心接触温度≥5℃。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▲9.质量≤2kg。</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10.冷时间≥2h。</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11.温背心使用防止脱散工艺缝制。</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12.有永久性标签。</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13.冷剂至少提供1:1备份。</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注：投标时需提供检验报告，检验报告至少体现第4至9参数。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包六（抗醇性水成膜泡沫灭火剂）：</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4"/>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6</w:t>
            </w:r>
            <w:r/>
          </w:p>
        </w:tc>
        <w:tc>
          <w:tcPr>
            <w:tcW w:w="2069"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抗醇性水成膜泡沫灭火剂</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吨</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120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0.75</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（一）抗醇性水成膜泡沫灭火剂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1.结构组成：发泡剂、泡沫稳定剂、降粘剂、抗冻剂、助溶剂、防腐剂以及水组成。</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2.主要应用场景：可对着火物质进行阻隔、冷却、稀释。</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★3.提供所投产品完整有效的检验报告（具有CMA认证），检验结果和结论都应符合GB15308-2006《泡沫灭火剂》标准要求。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★4.符合联合国环境规划署《关于持久性有机污染物的斯德哥尔摩公约》相关要求，不含 PFOS 以及 PFOA 类物质，提供检验报告对此项进行验证。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▲5.凝固点≤-15℃。</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6.抗冻结：温度处理前：无可见分层和非均相。温度处理后：无可见分层和非均相。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7.融化性：温度处理前：无可见分层和非均相。温度处理后：无可见分层和非均相。</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8.比流动性。温度处理前：泡沫液流量不小于标准参比液的流量。温度处理后：泡沫液流量不小于标准参比液的流量。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▲9.表面张力温度处理前：与特征值的偏差≤10%。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10.界面张力温度处理前，与特征值的偏差≤1.0mN/m或≤特征值的10%。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11.扩散系数：温度处理前：mN/m:≥0温度处理后：mN/m:≥0。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12.腐蚀率：温度处理前：Q235A钢片 ≤15.0 mg/(d·dm²)，3A21铝片 ≤15.0 mg/(d·dm²)。</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13.发泡倍数与特征值的偏差≤1.0不大于特征值的20%,按上述两个二个差值中较大者判定。</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▲14.25%析液时间：与特征值的偏差≤20%。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▲15.灭火性能：温度处理前IA级别强释放灭火时间min≤3、抗烧时间min≥10、ARIB级别灭火时间min≤3、抗烧时间min≥10。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16.体积混合比：6%。</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17.保质期≥2年（保质期从送货之日起算）。</w:t>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注：投标时需提供检验报告，检验报告至少体现5至16项参数。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rPr>
          <w:rFonts w:asciiTheme="minorEastAsia" w:hAnsiTheme="minorEastAsia" w:eastAsiaTheme="minorEastAsia" w:cstheme="minorEastAsia"/>
          <w:b/>
          <w:bCs/>
          <w:sz w:val="21"/>
          <w:szCs w:val="21"/>
        </w:rPr>
        <w:outlineLvl w:val="0"/>
      </w:pPr>
      <w:r>
        <w:rPr>
          <w:rFonts w:hint="eastAsia" w:asciiTheme="minorEastAsia" w:hAnsiTheme="minorEastAsia" w:eastAsiaTheme="minorEastAsia" w:cstheme="minorEastAsia"/>
          <w:b/>
          <w:bCs/>
          <w:sz w:val="21"/>
          <w:szCs w:val="21"/>
        </w:rPr>
        <w:t xml:space="preserve">包七（通讯面罩）：</w:t>
      </w:r>
      <w:r/>
    </w:p>
    <w:tbl>
      <w:tblPr>
        <w:tblStyle w:val="105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069"/>
        <w:gridCol w:w="737"/>
        <w:gridCol w:w="737"/>
        <w:gridCol w:w="883"/>
        <w:gridCol w:w="1196"/>
        <w:gridCol w:w="2217"/>
      </w:tblGrid>
      <w:tr>
        <w:trPr>
          <w:jc w:val="center"/>
          <w:trHeight w:val="448"/>
        </w:trPr>
        <w:tc>
          <w:tcPr>
            <w:tcW w:w="864"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包号</w:t>
            </w:r>
            <w:r/>
          </w:p>
        </w:tc>
        <w:tc>
          <w:tcPr>
            <w:tcW w:w="2069"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装备名称</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计量单位</w:t>
            </w:r>
            <w:r/>
          </w:p>
        </w:tc>
        <w:tc>
          <w:tcPr>
            <w:tcW w:w="73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数量</w:t>
            </w:r>
            <w:r/>
          </w:p>
        </w:tc>
        <w:tc>
          <w:tcPr>
            <w:tcW w:w="883"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Theme="minorEastAsia" w:hAnsiTheme="minorEastAsia" w:eastAsiaTheme="minorEastAsia" w:cstheme="minorEastAsia"/>
                <w:b/>
                <w:bCs/>
                <w:sz w:val="21"/>
                <w:szCs w:val="21"/>
              </w:rPr>
              <w:t xml:space="preserve">单价限价（万元）</w:t>
            </w:r>
            <w:r/>
          </w:p>
        </w:tc>
        <w:tc>
          <w:tcPr>
            <w:tcW w:w="1196"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核心产品</w:t>
            </w:r>
            <w:r/>
          </w:p>
        </w:tc>
        <w:tc>
          <w:tcPr>
            <w:tcW w:w="2217" w:type="dxa"/>
            <w:vAlign w:val="center"/>
            <w:textDirection w:val="lrTb"/>
            <w:noWrap w:val="false"/>
          </w:tcPr>
          <w:p>
            <w:pPr>
              <w:ind w:left="0"/>
              <w:jc w:val="center"/>
              <w:spacing w:line="240" w:lineRule="exact"/>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12"/>
        </w:trPr>
        <w:tc>
          <w:tcPr>
            <w:tcW w:w="864"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7</w:t>
            </w:r>
            <w:r/>
          </w:p>
        </w:tc>
        <w:tc>
          <w:tcPr>
            <w:tcW w:w="2069"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通讯面罩</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bCs/>
                <w:sz w:val="21"/>
                <w:szCs w:val="21"/>
              </w:rPr>
              <w:t xml:space="preserve">个</w:t>
            </w:r>
            <w:r/>
          </w:p>
        </w:tc>
        <w:tc>
          <w:tcPr>
            <w:tcW w:w="73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40</w:t>
            </w:r>
            <w:r/>
          </w:p>
        </w:tc>
        <w:tc>
          <w:tcPr>
            <w:tcW w:w="883"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1</w:t>
            </w:r>
            <w:r/>
          </w:p>
        </w:tc>
        <w:tc>
          <w:tcPr>
            <w:tcW w:w="1196" w:type="dxa"/>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r>
            <w:r/>
          </w:p>
        </w:tc>
        <w:tc>
          <w:tcPr>
            <w:tcW w:w="2217" w:type="dxa"/>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需提供样品</w:t>
            </w:r>
            <w:r/>
          </w:p>
        </w:tc>
      </w:tr>
    </w:tbl>
    <w:p>
      <w:pPr>
        <w:ind w:left="0" w:firstLine="422"/>
        <w:spacing w:line="360" w:lineRule="auto"/>
        <w:rPr>
          <w:rFonts w:ascii="宋体" w:hAnsi="宋体"/>
          <w:b/>
          <w:bCs/>
          <w:sz w:val="21"/>
          <w:szCs w:val="21"/>
          <w:lang w:val="zh-CN"/>
        </w:rPr>
      </w:pPr>
      <w:r>
        <w:rPr>
          <w:rFonts w:hint="eastAsia" w:ascii="宋体" w:hAnsi="宋体"/>
          <w:b/>
          <w:sz w:val="21"/>
          <w:szCs w:val="21"/>
        </w:rPr>
        <w:t xml:space="preserve">注：</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w:t>
      </w:r>
      <w:r>
        <w:rPr>
          <w:rFonts w:asciiTheme="minorEastAsia" w:hAnsiTheme="minorEastAsia" w:eastAsiaTheme="minorEastAsia" w:cstheme="minorEastAsia"/>
          <w:sz w:val="21"/>
          <w:szCs w:val="21"/>
        </w:rPr>
        <w:t xml:space="preserve">通讯面罩</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 结构组成：主要部件包括全面罩、通讯组件、听筒、通讯线等。</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防护等级：不低于IP67。</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防爆性能：不低于EX ib IIC T3级。</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阻燃性能：通讯面罩整体经（950±50）℃火焰高温燃烧试验后，续燃时间≤1s。</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面罩性能：总视野保留率≥80％，双目视野保留率≥70%，下方视野保留率≥35°，镜片透光率≥90％，吸入气体中的二氧化碳含量≤1％。</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面罩接头与供气阀接头之间的连接强度≥250N。</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在30MPa～2MPa范围内，以呼吸频率40次/min, 呼吸流量100 L/min呼吸，呼吸器的面罩内始终保持正压，且吸气阻力≤500 Pa, 呼气阻力≤1000 Pa；在2MPa～1MPa范围内，以呼吸频率25次/min, 呼吸流量50L/min呼吸，呼吸器的全面罩内保持正压，且吸气阻力≤500Pa,呼气阻力≤700Pa。</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▲8</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AI智能通讯面罩具备语音指令音控控制功能，无需手动操作TPP键或肩咪，即可控制对讲机音量、照明、对讲开启和关闭功能。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9</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具有双扩音功能，可增大佩戴者讲话声音及对讲机声音。</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具有降噪功能，确保通讯音质清晰，避免啸叫和回声。</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▲11</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球形面屏能够承受速度≥180m/s、直径≥6mm的钢珠冲击而不破裂穿透。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面罩内半面罩采用医用级硅胶材质，贴合面部，密封性能良好，适合亚洲人脸型。头网罩采用阻燃芳纶材质，为编织网状，透气，采用五点式固定方式。</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13</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自动关机功能：在静止未使用超过30min后自动关机，以延长电池使用寿命。</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14</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电池欠压指示：电池欠压时，指示灯黄灯常亮，确保用户及时掌握电池状态。</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▲15</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连续工作时间：≥10小时，供电模式为干电池（换电）。</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整机重量（含通讯线）：≤0.85kg。 </w:t>
      </w:r>
      <w:r/>
    </w:p>
    <w:p>
      <w:pPr>
        <w:ind w:left="0" w:firstLine="420"/>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17</w:t>
      </w:r>
      <w:r>
        <w:rPr>
          <w:rFonts w:hint="eastAsia" w:asciiTheme="minorEastAsia" w:hAnsiTheme="minorEastAsia" w:eastAsiaTheme="minorEastAsia" w:cstheme="minorEastAsia"/>
          <w:sz w:val="21"/>
          <w:szCs w:val="21"/>
        </w:rPr>
        <w:t xml:space="preserve">.</w:t>
      </w:r>
      <w:r>
        <w:rPr>
          <w:rFonts w:asciiTheme="minorEastAsia" w:hAnsiTheme="minorEastAsia" w:eastAsiaTheme="minorEastAsia" w:cstheme="minorEastAsia"/>
          <w:sz w:val="21"/>
          <w:szCs w:val="21"/>
        </w:rPr>
        <w:t xml:space="preserve">提供数据线，需与使用单位所使用对讲机匹配（包括但不限于森虎SPH6035、中兴高达ph790ExU（3）7.4V DC、优能NDP-878Z、优能NDP-878、海能达pd780）。</w:t>
      </w:r>
      <w:r/>
    </w:p>
    <w:p>
      <w:pPr>
        <w:ind w:left="0" w:firstLine="422"/>
        <w:spacing w:line="360" w:lineRule="auto"/>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t xml:space="preserve">注：投标时需提供样品及检验报告（出具报告的检验机构应具有同类产品的CMA认证），检验报告至少体现第2至5项参数。</w:t>
      </w:r>
      <w:r/>
    </w:p>
    <w:p>
      <w:pPr>
        <w:ind w:left="0" w:firstLine="422"/>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注：标</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b/>
          <w:bCs/>
          <w:sz w:val="21"/>
          <w:szCs w:val="21"/>
        </w:rPr>
        <w:t xml:space="preserve">项不允许负偏离，负偏离视作非实质性响应招标文件。</w:t>
      </w:r>
      <w:r>
        <w:rPr>
          <w:rFonts w:hint="eastAsia"/>
          <w:b/>
          <w:bCs/>
          <w:sz w:val="21"/>
          <w:szCs w:val="21"/>
        </w:rPr>
        <w:t xml:space="preserve">适用于全部采购包。</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标★项参数须提供以下任意一种证明材料，未提供视作非实质性响应招标文件：</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1.相关技术资料支持（技术支持资料须为制造商公开发布的印刷资料或技术规格书或使用说明书）；2.制造商网站最新发布的资料打印件；3.检测机构出具的检验报告；</w:t>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技术参数响应指标与检验报告（采购需求中若要求提供时）或样品（采购需求中若要求提供时）实际参数或标书内其他支持文件不一致的属于负偏离。</w:t>
      </w:r>
      <w:r/>
    </w:p>
    <w:p>
      <w:pPr>
        <w:ind w:left="0" w:firstLine="422"/>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spacing w:line="360" w:lineRule="auto"/>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360" w:lineRule="auto"/>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出样要求（适用于包一、包二、包四、包五、包七）：</w:t>
      </w:r>
      <w:r/>
    </w:p>
    <w:p>
      <w:pPr>
        <w:ind w:left="0" w:firstLine="420"/>
        <w:spacing w:line="360" w:lineRule="auto"/>
        <w:widowControl w:val="off"/>
        <w:rPr>
          <w:rFonts w:ascii="宋体" w:hAnsi="宋体" w:cs="Times New Roman"/>
          <w:b/>
          <w:bCs/>
          <w:sz w:val="21"/>
          <w:szCs w:val="21"/>
        </w:rPr>
      </w:pPr>
      <w:r>
        <w:rPr>
          <w:rFonts w:hint="eastAsia" w:ascii="宋体" w:hAnsi="宋体" w:cs="Times New Roman"/>
          <w:sz w:val="21"/>
          <w:szCs w:val="21"/>
        </w:rPr>
        <w:t xml:space="preserve">1、</w:t>
      </w:r>
      <w:r>
        <w:rPr>
          <w:rFonts w:cs="Times New Roman" w:asciiTheme="minorEastAsia" w:hAnsiTheme="minorEastAsia" w:eastAsiaTheme="minorEastAsia"/>
          <w:bCs/>
          <w:iCs/>
          <w:sz w:val="21"/>
          <w:szCs w:val="21"/>
        </w:rPr>
        <w:t xml:space="preserve">样品采用明标评审，各投标人将样品存放在</w:t>
      </w:r>
      <w:r>
        <w:rPr>
          <w:rFonts w:hint="eastAsia" w:cs="Times New Roman" w:asciiTheme="minorEastAsia" w:hAnsiTheme="minorEastAsia"/>
          <w:bCs/>
          <w:iCs/>
          <w:sz w:val="21"/>
          <w:szCs w:val="21"/>
        </w:rPr>
        <w:t xml:space="preserve">一个</w:t>
      </w:r>
      <w:r>
        <w:rPr>
          <w:rFonts w:cs="Times New Roman" w:asciiTheme="minorEastAsia" w:hAnsiTheme="minorEastAsia" w:eastAsiaTheme="minorEastAsia"/>
          <w:bCs/>
          <w:iCs/>
          <w:sz w:val="21"/>
          <w:szCs w:val="21"/>
        </w:rPr>
        <w:t xml:space="preserve">包装箱内，箱上需标明投标人名称，包装箱需密封。</w:t>
      </w:r>
      <w:r>
        <w:rPr>
          <w:rFonts w:hint="eastAsia" w:ascii="宋体" w:hAnsi="宋体" w:cs="Times New Roman"/>
          <w:sz w:val="21"/>
          <w:szCs w:val="21"/>
        </w:rPr>
        <w:t xml:space="preserve">投标人按上述要求提供有关样品供评标委员会评审使用，评标结束后，中标人样品应立刻封样保存，并运送至采购人指定地点；未中标人样品务必在当天内各自自行取回。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2、出样地点：</w:t>
      </w:r>
      <w:r/>
    </w:p>
    <w:p>
      <w:pPr>
        <w:ind w:left="208" w:firstLine="210"/>
        <w:spacing w:line="360" w:lineRule="auto"/>
        <w:widowControl w:val="off"/>
        <w:rPr>
          <w:rFonts w:ascii="宋体" w:hAnsi="宋体" w:cs="Times New Roman"/>
          <w:sz w:val="21"/>
          <w:szCs w:val="21"/>
        </w:rPr>
      </w:pPr>
      <w:r>
        <w:rPr>
          <w:rFonts w:ascii="宋体" w:hAnsi="宋体" w:cs="Times New Roman"/>
          <w:sz w:val="21"/>
          <w:szCs w:val="21"/>
        </w:rPr>
        <w:t xml:space="preserve">样品接收开始时间：202</w:t>
      </w:r>
      <w:r>
        <w:rPr>
          <w:rFonts w:hint="eastAsia" w:ascii="宋体" w:hAnsi="宋体" w:cs="Times New Roman"/>
          <w:sz w:val="21"/>
          <w:szCs w:val="21"/>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5</w:t>
      </w:r>
      <w:r>
        <w:rPr>
          <w:rFonts w:ascii="宋体" w:hAnsi="宋体" w:cs="Times New Roman"/>
          <w:sz w:val="21"/>
          <w:szCs w:val="21"/>
        </w:rPr>
        <w:t xml:space="preserve">月</w:t>
      </w:r>
      <w:r>
        <w:rPr>
          <w:rFonts w:hint="eastAsia" w:ascii="宋体" w:hAnsi="宋体" w:cs="Times New Roman"/>
          <w:sz w:val="21"/>
          <w:szCs w:val="21"/>
          <w:lang w:val="en-US" w:eastAsia="zh-CN"/>
        </w:rPr>
        <w:t xml:space="preserve">19</w:t>
      </w:r>
      <w:r>
        <w:rPr>
          <w:rFonts w:ascii="宋体" w:hAnsi="宋体" w:cs="Times New Roman"/>
          <w:sz w:val="21"/>
          <w:szCs w:val="21"/>
        </w:rPr>
        <w:t xml:space="preserve">日8</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w:t>
      </w:r>
      <w:r>
        <w:rPr>
          <w:rFonts w:ascii="宋体" w:hAnsi="宋体" w:cs="Times New Roman"/>
          <w:sz w:val="21"/>
          <w:szCs w:val="21"/>
        </w:rPr>
        <w:t xml:space="preserve">0</w:t>
      </w:r>
      <w:r>
        <w:rPr>
          <w:rFonts w:hint="eastAsia" w:ascii="宋体" w:hAnsi="宋体" w:cs="Times New Roman"/>
          <w:sz w:val="21"/>
          <w:szCs w:val="21"/>
        </w:rPr>
        <w:t xml:space="preserve">分</w:t>
      </w:r>
      <w:r>
        <w:rPr>
          <w:rFonts w:ascii="宋体" w:hAnsi="宋体" w:cs="Times New Roman"/>
          <w:sz w:val="21"/>
          <w:szCs w:val="21"/>
        </w:rPr>
        <w:t xml:space="preserve">（北京时间），样品接收截止时间：202</w:t>
      </w:r>
      <w:r>
        <w:rPr>
          <w:rFonts w:hint="eastAsia" w:ascii="宋体" w:hAnsi="宋体" w:cs="Times New Roman"/>
          <w:sz w:val="21"/>
          <w:szCs w:val="21"/>
          <w:lang w:val="en-US" w:eastAsia="zh-CN"/>
        </w:rPr>
        <w:t xml:space="preserve">6</w:t>
      </w:r>
      <w:r>
        <w:rPr>
          <w:rFonts w:ascii="宋体" w:hAnsi="宋体" w:cs="Times New Roman"/>
          <w:sz w:val="21"/>
          <w:szCs w:val="21"/>
        </w:rPr>
        <w:t xml:space="preserve">年</w:t>
      </w:r>
      <w:r>
        <w:rPr>
          <w:rFonts w:hint="eastAsia" w:ascii="宋体" w:hAnsi="宋体" w:cs="Times New Roman"/>
          <w:sz w:val="21"/>
          <w:szCs w:val="21"/>
          <w:lang w:val="en-US" w:eastAsia="zh-CN"/>
        </w:rPr>
        <w:t xml:space="preserve">5</w:t>
      </w:r>
      <w:r>
        <w:rPr>
          <w:rFonts w:ascii="宋体" w:hAnsi="宋体" w:cs="Times New Roman"/>
          <w:sz w:val="21"/>
          <w:szCs w:val="21"/>
        </w:rPr>
        <w:t xml:space="preserve">月</w:t>
      </w:r>
      <w:r>
        <w:rPr>
          <w:rFonts w:hint="eastAsia" w:ascii="宋体" w:hAnsi="宋体" w:cs="Times New Roman"/>
          <w:sz w:val="21"/>
          <w:szCs w:val="21"/>
          <w:lang w:val="en-US" w:eastAsia="zh-CN"/>
        </w:rPr>
        <w:t xml:space="preserve">19</w:t>
      </w:r>
      <w:r>
        <w:rPr>
          <w:rFonts w:ascii="宋体" w:hAnsi="宋体" w:cs="Times New Roman"/>
          <w:sz w:val="21"/>
          <w:szCs w:val="21"/>
        </w:rPr>
        <w:t xml:space="preserve">日</w:t>
      </w:r>
      <w:r>
        <w:rPr>
          <w:rFonts w:hint="eastAsia" w:ascii="宋体" w:hAnsi="宋体" w:cs="Times New Roman"/>
          <w:sz w:val="21"/>
          <w:szCs w:val="21"/>
        </w:rPr>
        <w:t xml:space="preserve">  </w:t>
      </w:r>
      <w:r>
        <w:rPr>
          <w:rFonts w:hint="eastAsia" w:ascii="宋体" w:hAnsi="宋体" w:cs="Times New Roman"/>
          <w:sz w:val="21"/>
          <w:szCs w:val="21"/>
          <w:lang w:val="en-US" w:eastAsia="zh-CN"/>
        </w:rPr>
        <w:t xml:space="preserve">9</w:t>
      </w:r>
      <w:r>
        <w:rPr>
          <w:rFonts w:hint="eastAsia" w:ascii="宋体" w:hAnsi="宋体" w:cs="Times New Roman"/>
          <w:sz w:val="21"/>
          <w:szCs w:val="21"/>
        </w:rPr>
        <w:t xml:space="preserve">点</w:t>
      </w:r>
      <w:r>
        <w:rPr>
          <w:rFonts w:hint="eastAsia" w:ascii="宋体" w:hAnsi="宋体" w:cs="Times New Roman"/>
          <w:sz w:val="21"/>
          <w:szCs w:val="21"/>
          <w:lang w:val="en-US" w:eastAsia="zh-CN"/>
        </w:rPr>
        <w:t xml:space="preserve">30</w:t>
      </w:r>
      <w:r>
        <w:rPr>
          <w:rFonts w:hint="eastAsia" w:ascii="宋体" w:hAnsi="宋体" w:cs="Times New Roman"/>
          <w:sz w:val="21"/>
          <w:szCs w:val="21"/>
        </w:rPr>
        <w:t xml:space="preserve">分</w:t>
      </w:r>
      <w:r>
        <w:rPr>
          <w:rFonts w:ascii="宋体" w:hAnsi="宋体" w:cs="Times New Roman"/>
          <w:sz w:val="21"/>
          <w:szCs w:val="21"/>
        </w:rPr>
        <w:t xml:space="preserve">（北京时间）</w:t>
      </w:r>
      <w:r/>
    </w:p>
    <w:p>
      <w:pPr>
        <w:ind w:left="0" w:firstLine="420"/>
        <w:spacing w:line="360" w:lineRule="auto"/>
        <w:widowControl w:val="off"/>
        <w:rPr>
          <w:rFonts w:hint="default" w:ascii="宋体" w:hAnsi="宋体" w:eastAsia="宋体" w:cs="Times New Roman"/>
          <w:sz w:val="21"/>
          <w:szCs w:val="21"/>
          <w:lang w:val="en-US" w:eastAsia="zh-CN"/>
        </w:rPr>
      </w:pPr>
      <w:r>
        <w:rPr>
          <w:rFonts w:ascii="宋体" w:hAnsi="宋体" w:cs="Times New Roman"/>
          <w:sz w:val="21"/>
          <w:szCs w:val="21"/>
        </w:rPr>
        <w:t xml:space="preserve">样品接收</w:t>
      </w:r>
      <w:r>
        <w:rPr>
          <w:rFonts w:hint="eastAsia" w:ascii="宋体" w:hAnsi="宋体" w:cs="Times New Roman"/>
          <w:sz w:val="21"/>
          <w:szCs w:val="21"/>
        </w:rPr>
        <w:t xml:space="preserve">地点：</w:t>
      </w:r>
      <w:r>
        <w:rPr>
          <w:rFonts w:hint="eastAsia" w:ascii="宋体" w:hAnsi="宋体"/>
          <w:sz w:val="21"/>
          <w:szCs w:val="21"/>
        </w:rPr>
        <w:t xml:space="preserve">苏州高新区邓尉路105号狮山科技馆</w:t>
      </w:r>
      <w:r>
        <w:rPr>
          <w:rFonts w:hint="eastAsia" w:ascii="宋体" w:hAnsi="宋体"/>
          <w:sz w:val="21"/>
          <w:szCs w:val="21"/>
          <w:lang w:val="en-US" w:eastAsia="zh-CN"/>
        </w:rPr>
        <w:t xml:space="preserve">7</w:t>
      </w:r>
      <w:r>
        <w:rPr>
          <w:rFonts w:hint="eastAsia" w:ascii="宋体" w:hAnsi="宋体"/>
          <w:sz w:val="21"/>
          <w:szCs w:val="21"/>
        </w:rPr>
        <w:t xml:space="preserve">楼</w:t>
      </w:r>
      <w:r>
        <w:rPr>
          <w:rFonts w:hint="eastAsia" w:ascii="宋体" w:hAnsi="宋体"/>
          <w:sz w:val="21"/>
          <w:szCs w:val="21"/>
          <w:lang w:val="en-US" w:eastAsia="zh-CN"/>
        </w:rPr>
        <w:t xml:space="preserve">710室</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样品接收联系人：</w:t>
      </w:r>
      <w:r>
        <w:rPr>
          <w:rFonts w:hint="eastAsia" w:ascii="宋体" w:hAnsi="宋体" w:cs="Times New Roman"/>
          <w:sz w:val="21"/>
          <w:szCs w:val="21"/>
        </w:rPr>
        <w:t xml:space="preserve">朱工 </w:t>
      </w:r>
      <w:r>
        <w:rPr>
          <w:rFonts w:ascii="宋体" w:hAnsi="宋体" w:cs="Times New Roman"/>
          <w:sz w:val="21"/>
          <w:szCs w:val="21"/>
        </w:rPr>
        <w:t xml:space="preserve">  ；联系电话：</w:t>
      </w:r>
      <w:r>
        <w:rPr>
          <w:rFonts w:hint="eastAsia" w:ascii="宋体" w:hAnsi="宋体" w:cs="Times New Roman"/>
          <w:sz w:val="21"/>
          <w:szCs w:val="21"/>
        </w:rPr>
        <w:t xml:space="preserve">0</w:t>
      </w:r>
      <w:r>
        <w:rPr>
          <w:rFonts w:ascii="宋体" w:hAnsi="宋体" w:cs="Times New Roman"/>
          <w:sz w:val="21"/>
          <w:szCs w:val="21"/>
        </w:rPr>
        <w:t xml:space="preserve">512-69820</w:t>
      </w:r>
      <w:r>
        <w:rPr>
          <w:rFonts w:hint="eastAsia" w:ascii="宋体" w:hAnsi="宋体" w:cs="Times New Roman"/>
          <w:sz w:val="21"/>
          <w:szCs w:val="21"/>
        </w:rPr>
        <w:t xml:space="preserve">691</w:t>
      </w:r>
      <w:r>
        <w:rPr>
          <w:rFonts w:ascii="宋体" w:hAnsi="宋体" w:cs="Times New Roman"/>
          <w:sz w:val="21"/>
          <w:szCs w:val="21"/>
        </w:rPr>
        <w:t xml:space="preserve">  。</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3、投标供应商将样品在样品接收截止时间前送至出样地点。评审结束前，供应商不要离开现场，直至样品取回。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4、投标供应商按照采购文件项目需求中的技术要求制作样品。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5、中标后，中标单位的样品将封存给采购单位作为最终的验收依据之一。</w:t>
      </w:r>
      <w:r/>
    </w:p>
    <w:p>
      <w:pPr>
        <w:ind w:left="0" w:firstLine="420"/>
        <w:spacing w:line="360" w:lineRule="auto"/>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b/>
          <w:bCs/>
          <w:sz w:val="21"/>
          <w:szCs w:val="21"/>
        </w:rPr>
        <w:t xml:space="preserve">投标供应商提交样品时须携带授权委托书（见附件13），未提供授权委托书现场将拒绝接受样品。</w:t>
      </w:r>
      <w:r/>
    </w:p>
    <w:p>
      <w:pPr>
        <w:ind w:left="0" w:firstLine="400"/>
        <w:spacing w:line="360" w:lineRule="auto"/>
      </w:pPr>
      <w:r/>
      <w:r/>
    </w:p>
    <w:p>
      <w:pPr>
        <w:ind w:left="0"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商务要求（适用于全部包）：</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自合同签订之日起7个工作日内，乙方向甲方缴纳合同总金额5%的履约保证金（或金融机构出具的独立保函，该保</w:t>
      </w:r>
      <w:r>
        <w:rPr>
          <w:rFonts w:hint="eastAsia" w:asciiTheme="minorEastAsia" w:hAnsiTheme="minorEastAsia" w:eastAsiaTheme="minorEastAsia" w:cstheme="minorEastAsia"/>
          <w:sz w:val="21"/>
          <w:szCs w:val="21"/>
        </w:rPr>
        <w:t xml:space="preserve">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合同履行完毕且在乙方无违约情形或无其它甲方有权扣除时，履约保证金将在合同履行完毕后1个月内全额（无息）退回。若甲方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（1）乙方应按采购文件规定的货物性能、技术要求、质量标准向甲方提供未经使用的近六个月生产的全新产品。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（2）中标人须负责送货上门及安装调试、使用培训。过程中的全部运输、装卸、保管等均由中标人负责。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（3）质量保证期：从验收合格后三十六个月（双方签署验收报告时起算）。抗醇性水成膜泡沫灭火剂保质期≥2年。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（4）响应时间：质保期内，中标人必须在接到报修电话后8小时内响应，24小时内到达现场免费维修，24小时内修复。如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保修期外发生维修只收配件、材料及维修期人工工时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中标人须提供全天候7×24的售后服务，中标人提供统一的售后服务受理电话，在投标文件中明确售后服务受理电话号码及专门为招标人服务的客户服务经理姓名、电话。中标人应免费为招标人培训使用及维护人员，确保招标人使用人员能正确使用、维护保养。</w:t>
      </w:r>
      <w:r/>
    </w:p>
    <w:p>
      <w:pPr>
        <w:ind w:left="0"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（6）所投产品如有备品备件，投标人须编制质保期后三年内必须的备品备件报价表。</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（四）</w:t>
      </w:r>
      <w:r>
        <w:rPr>
          <w:rFonts w:hint="eastAsia" w:ascii="宋体" w:hAnsi="宋体"/>
          <w:sz w:val="21"/>
        </w:rPr>
        <w:t xml:space="preserve">投标人根据本项目特点，制定下列</w:t>
      </w:r>
      <w:r>
        <w:rPr>
          <w:rFonts w:hint="eastAsia" w:asciiTheme="minorEastAsia" w:hAnsiTheme="minorEastAsia" w:eastAsiaTheme="minorEastAsia" w:cstheme="minorEastAsia"/>
          <w:sz w:val="21"/>
          <w:szCs w:val="21"/>
          <w:lang w:val="en-US" w:eastAsia="zh-CN"/>
        </w:rPr>
        <w:t xml:space="preserve">培训方案</w:t>
      </w:r>
      <w:r>
        <w:rPr>
          <w:rFonts w:hint="eastAsia" w:ascii="宋体" w:hAnsi="宋体"/>
          <w:sz w:val="21"/>
        </w:rPr>
        <w:t xml:space="preserve">。</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1.培训时间计划及培训人员安排；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2.培训内容设计安排；</w:t>
      </w:r>
      <w:r/>
    </w:p>
    <w:p>
      <w:pPr>
        <w:ind w:left="0" w:firstLine="420"/>
        <w:spacing w:line="360" w:lineRule="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3.重点难点及培训结果保障措施</w:t>
      </w:r>
      <w:r/>
    </w:p>
    <w:p>
      <w:pPr>
        <w:ind w:left="0" w:firstLine="420"/>
        <w:spacing w:line="360" w:lineRule="auto"/>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（五）</w:t>
      </w:r>
      <w:r>
        <w:rPr>
          <w:rFonts w:hint="eastAsia" w:ascii="宋体" w:hAnsi="宋体"/>
          <w:sz w:val="21"/>
        </w:rPr>
        <w:t xml:space="preserve">投标人根据本项目特点，制定下列</w:t>
      </w:r>
      <w:r>
        <w:rPr>
          <w:rFonts w:hint="eastAsia" w:ascii="宋体" w:hAnsi="宋体"/>
          <w:sz w:val="21"/>
          <w:lang w:val="en-US" w:eastAsia="zh-CN"/>
        </w:rPr>
        <w:t xml:space="preserve">售后服务</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1.售后服务机构及人员网点配置；</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2.响应时间；</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3.零配件供应周期、备货储存、工时费等；</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4.定期安排技术人员针对产品的使用环境、使用频率及更新等进行回访、巡检、维护、保养等方案</w:t>
      </w:r>
      <w:r/>
    </w:p>
    <w:p>
      <w:pPr>
        <w:pStyle w:val="1061"/>
        <w:ind w:left="0" w:firstLine="420"/>
        <w:keepLines w:val="0"/>
        <w:keepNext w:val="0"/>
        <w:pageBreakBefore w:val="0"/>
        <w:spacing w:after="0" w:line="360" w:lineRule="auto"/>
        <w:widowControl/>
        <w:rPr>
          <w:rFonts w:hint="eastAsia" w:ascii="宋体" w:hAnsi="宋体"/>
          <w:sz w:val="21"/>
        </w:rPr>
      </w:pPr>
      <w:r>
        <w:rPr>
          <w:rFonts w:hint="eastAsia" w:asciiTheme="minorEastAsia" w:hAnsiTheme="minorEastAsia" w:eastAsiaTheme="minorEastAsia" w:cstheme="minorEastAsia"/>
          <w:sz w:val="21"/>
          <w:szCs w:val="21"/>
          <w:lang w:val="en-US" w:eastAsia="zh-CN"/>
        </w:rPr>
        <w:t xml:space="preserve">（六）</w:t>
      </w:r>
      <w:r>
        <w:rPr>
          <w:rFonts w:hint="eastAsia" w:ascii="宋体" w:hAnsi="宋体"/>
          <w:sz w:val="21"/>
        </w:rPr>
        <w:t xml:space="preserve">投标人根据本项目特点，制定下列</w:t>
      </w:r>
      <w:r>
        <w:rPr>
          <w:rFonts w:hint="eastAsia" w:ascii="宋体" w:hAnsi="宋体"/>
          <w:sz w:val="21"/>
          <w:lang w:val="en-US" w:eastAsia="zh-CN"/>
        </w:rPr>
        <w:t xml:space="preserve">供货</w:t>
      </w:r>
      <w:r>
        <w:rPr>
          <w:rFonts w:hint="eastAsia" w:asciiTheme="minorEastAsia" w:hAnsiTheme="minorEastAsia" w:eastAsiaTheme="minorEastAsia" w:cstheme="minorEastAsia"/>
          <w:sz w:val="21"/>
          <w:szCs w:val="21"/>
          <w:lang w:val="en-US" w:eastAsia="zh-CN"/>
        </w:rPr>
        <w:t xml:space="preserve">方案</w:t>
      </w:r>
      <w:r>
        <w:rPr>
          <w:rFonts w:hint="eastAsia" w:ascii="宋体" w:hAnsi="宋体"/>
          <w:sz w:val="21"/>
        </w:rPr>
        <w:t xml:space="preserve">。</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1.送货车辆的具体安排；</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2.送货人员；</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3.卸货人员的配备；</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4.卸货辅助设备的配备情况；</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5.运输的方案；</w:t>
      </w:r>
      <w:r/>
    </w:p>
    <w:p>
      <w:pPr>
        <w:pStyle w:val="1061"/>
        <w:ind w:left="0" w:firstLine="420"/>
        <w:keepLines w:val="0"/>
        <w:keepNext w:val="0"/>
        <w:pageBreakBefore w:val="0"/>
        <w:spacing w:after="0" w:line="360" w:lineRule="auto"/>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6.对现场的防护等内容</w:t>
      </w:r>
      <w:r/>
    </w:p>
    <w:p>
      <w:pPr>
        <w:ind w:left="0" w:firstLine="210"/>
        <w:jc w:val="left"/>
        <w:spacing w:line="360" w:lineRule="auto"/>
        <w:widowControl w:val="off"/>
        <w:tabs>
          <w:tab w:val="left" w:pos="420" w:leader="none"/>
        </w:tabs>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（七）履约验收</w:t>
      </w:r>
      <w:r/>
    </w:p>
    <w:p>
      <w:pPr>
        <w:ind w:left="0" w:firstLine="420"/>
        <w:jc w:val="left"/>
        <w:keepLines w:val="0"/>
        <w:keepNext w:val="0"/>
        <w:pageBreakBefore w:val="0"/>
        <w:spacing w:line="360" w:lineRule="auto"/>
        <w:widowControl w:val="off"/>
        <w:tabs>
          <w:tab w:val="left" w:pos="420" w:leader="none"/>
        </w:tabs>
        <w:rPr>
          <w:rFonts w:ascii="宋体" w:hAnsi="宋体"/>
          <w:sz w:val="21"/>
        </w:rPr>
      </w:pPr>
      <w:r>
        <w:rPr>
          <w:rFonts w:hint="eastAsia" w:ascii="宋体" w:hAnsi="宋体"/>
          <w:sz w:val="21"/>
          <w:lang w:val="en-US" w:eastAsia="zh-CN"/>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jc w:val="left"/>
        <w:keepLines w:val="0"/>
        <w:keepNext w:val="0"/>
        <w:pageBreakBefore w:val="0"/>
        <w:spacing w:line="360" w:lineRule="auto"/>
        <w:widowControl w:val="off"/>
        <w:tabs>
          <w:tab w:val="left" w:pos="420" w:leader="none"/>
        </w:tabs>
        <w:rPr>
          <w:rFonts w:hint="eastAsia" w:ascii="宋体" w:hAnsi="宋体"/>
          <w:sz w:val="21"/>
        </w:rPr>
      </w:pPr>
      <w:r>
        <w:rPr>
          <w:rFonts w:hint="eastAsia" w:ascii="宋体" w:hAnsi="宋体"/>
          <w:sz w:val="21"/>
          <w:lang w:val="en-US" w:eastAsia="zh-CN"/>
        </w:rPr>
        <w:t xml:space="preserve">2.</w:t>
      </w:r>
      <w:r>
        <w:rPr>
          <w:rFonts w:hint="eastAsia" w:ascii="宋体" w:hAnsi="宋体"/>
          <w:sz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jc w:val="left"/>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sz w:val="21"/>
          <w:szCs w:val="21"/>
          <w:lang w:val="en-US" w:eastAsia="zh-CN"/>
        </w:rPr>
      </w:pPr>
      <w:r>
        <w:rPr>
          <w:rFonts w:hint="eastAsia" w:ascii="宋体" w:hAnsi="宋体"/>
          <w:sz w:val="21"/>
          <w:lang w:val="en-US" w:eastAsia="zh-CN"/>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rPr>
          <w:b/>
          <w:bCs/>
          <w:sz w:val="21"/>
          <w:szCs w:val="21"/>
        </w:rPr>
      </w:pPr>
      <w:r>
        <w:rPr>
          <w:b/>
          <w:bCs/>
          <w:sz w:val="21"/>
          <w:szCs w:val="21"/>
        </w:r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0" w:leader="none"/>
        </w:tabs>
        <w:rPr>
          <w:rFonts w:ascii="宋体" w:hAnsi="宋体"/>
          <w:sz w:val="21"/>
        </w:rPr>
      </w:pPr>
      <w:r>
        <w:rPr>
          <w:rFonts w:hint="eastAsia" w:ascii="宋体" w:hAnsi="宋体"/>
          <w:b/>
          <w:bCs/>
          <w:sz w:val="21"/>
        </w:rPr>
        <w:t xml:space="preserve">5、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5"/>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97" w:name="_Toc5111"/>
      <w:r/>
      <w:bookmarkStart w:id="98" w:name="_Toc11789"/>
      <w:r/>
      <w:bookmarkStart w:id="99" w:name="_Hlk55741158"/>
      <w:r>
        <w:rPr>
          <w:rFonts w:hint="eastAsia" w:ascii="宋体" w:hAnsi="宋体"/>
          <w:b/>
          <w:sz w:val="44"/>
          <w:szCs w:val="22"/>
        </w:rPr>
        <w:br w:type="page" w:clear="all"/>
      </w:r>
      <w:bookmarkStart w:id="100" w:name="_Toc105397794"/>
      <w:r>
        <w:rPr>
          <w:rFonts w:hint="eastAsia" w:ascii="宋体" w:hAnsi="宋体"/>
          <w:b/>
          <w:sz w:val="44"/>
          <w:szCs w:val="22"/>
        </w:rPr>
        <w:t xml:space="preserve">第五章  </w:t>
      </w:r>
      <w:bookmarkStart w:id="101" w:name="合同的特殊条款"/>
      <w:r/>
      <w:bookmarkEnd w:id="101"/>
      <w:r>
        <w:rPr>
          <w:rFonts w:hint="eastAsia" w:ascii="宋体" w:hAnsi="宋体"/>
          <w:b/>
          <w:sz w:val="44"/>
          <w:szCs w:val="22"/>
        </w:rPr>
        <w:t xml:space="preserve">合同及主要条款</w:t>
      </w:r>
      <w:bookmarkEnd w:id="97"/>
      <w:r/>
      <w:bookmarkEnd w:id="98"/>
      <w:r/>
      <w:bookmarkEnd w:id="100"/>
      <w:r/>
      <w:bookmarkEnd w:id="99"/>
      <w:r/>
      <w:r/>
    </w:p>
    <w:p>
      <w:pPr>
        <w:ind w:left="0"/>
        <w:jc w:val="center"/>
        <w:spacing w:line="360" w:lineRule="auto"/>
        <w:widowControl w:val="off"/>
        <w:rPr>
          <w:rFonts w:ascii="宋体" w:hAnsi="宋体"/>
          <w:sz w:val="21"/>
          <w:szCs w:val="21"/>
        </w:rPr>
      </w:pPr>
      <w:r/>
      <w:bookmarkStart w:id="102" w:name="_Toc27667"/>
      <w:r/>
      <w:bookmarkStart w:id="103" w:name="_Toc57376410"/>
      <w:r/>
      <w:bookmarkStart w:id="104" w:name="_Toc8564"/>
      <w:r>
        <w:rPr>
          <w:rFonts w:hint="eastAsia" w:ascii="宋体" w:hAnsi="宋体"/>
          <w:b/>
          <w:sz w:val="32"/>
          <w:szCs w:val="32"/>
        </w:rPr>
        <w:t xml:space="preserve">采购合同</w:t>
      </w:r>
      <w:r/>
    </w:p>
    <w:p>
      <w:pPr>
        <w:ind w:left="0"/>
        <w:spacing w:line="360" w:lineRule="auto"/>
        <w:widowControl w:val="off"/>
        <w:rPr>
          <w:rFonts w:ascii="宋体" w:hAnsi="宋体"/>
          <w:sz w:val="22"/>
          <w:szCs w:val="22"/>
        </w:rPr>
      </w:pPr>
      <w:r>
        <w:rPr>
          <w:rFonts w:hint="eastAsia" w:ascii="宋体" w:hAnsi="宋体"/>
          <w:sz w:val="22"/>
          <w:szCs w:val="22"/>
        </w:rPr>
        <w:t xml:space="preserve">甲方：</w:t>
      </w:r>
      <w:r/>
    </w:p>
    <w:p>
      <w:pPr>
        <w:ind w:left="0"/>
        <w:spacing w:line="360" w:lineRule="auto"/>
        <w:widowControl w:val="off"/>
        <w:rPr>
          <w:rFonts w:ascii="宋体" w:hAnsi="宋体"/>
          <w:sz w:val="22"/>
          <w:szCs w:val="22"/>
        </w:rPr>
      </w:pPr>
      <w:r>
        <w:rPr>
          <w:rFonts w:hint="eastAsia" w:ascii="宋体" w:hAnsi="宋体"/>
          <w:sz w:val="22"/>
          <w:szCs w:val="22"/>
        </w:rPr>
        <w:t xml:space="preserve">乙方：</w:t>
      </w:r>
      <w:r/>
    </w:p>
    <w:p>
      <w:pPr>
        <w:ind w:left="0" w:firstLine="440"/>
        <w:spacing w:line="360" w:lineRule="auto"/>
        <w:widowControl w:val="off"/>
        <w:rPr>
          <w:rFonts w:ascii="宋体" w:hAnsi="宋体"/>
          <w:sz w:val="22"/>
          <w:szCs w:val="22"/>
        </w:rPr>
      </w:pPr>
      <w:r>
        <w:rPr>
          <w:rFonts w:hint="eastAsia" w:ascii="宋体" w:hAnsi="宋体"/>
          <w:sz w:val="22"/>
          <w:szCs w:val="22"/>
        </w:rPr>
        <w:t xml:space="preserve">根据《中华人民共和国政府采购法》《中华人民共和国民法典》等法律、法规和相关规定，通过（招标编号：</w:t>
      </w:r>
      <w:r>
        <w:rPr>
          <w:rFonts w:hint="eastAsia" w:ascii="宋体" w:hAnsi="宋体"/>
          <w:sz w:val="22"/>
          <w:szCs w:val="22"/>
          <w:u w:val="single"/>
        </w:rPr>
        <w:t xml:space="preserve">       </w:t>
      </w:r>
      <w:r>
        <w:rPr>
          <w:rFonts w:hint="eastAsia" w:ascii="宋体" w:hAnsi="宋体"/>
          <w:sz w:val="22"/>
          <w:szCs w:val="22"/>
        </w:rPr>
        <w:t xml:space="preserve">）的招标并经评审专家评定，确定为中标单位。甲方与乙方经友好商，在平等自愿、诚实守信的原则下，同意按照下面条款签属本合同。</w:t>
      </w:r>
      <w:r/>
    </w:p>
    <w:p>
      <w:pPr>
        <w:ind w:left="0" w:firstLine="440"/>
        <w:spacing w:line="360" w:lineRule="auto"/>
        <w:widowControl w:val="off"/>
        <w:rPr>
          <w:rFonts w:ascii="宋体" w:hAnsi="宋体"/>
          <w:sz w:val="22"/>
          <w:szCs w:val="22"/>
        </w:rPr>
      </w:pPr>
      <w:r>
        <w:rPr>
          <w:rFonts w:hint="eastAsia" w:ascii="宋体" w:hAnsi="宋体"/>
          <w:sz w:val="22"/>
          <w:szCs w:val="22"/>
        </w:rPr>
        <w:t xml:space="preserve">一、合同文件及优先解释顺序</w:t>
      </w:r>
      <w:r/>
    </w:p>
    <w:p>
      <w:pPr>
        <w:ind w:left="0" w:firstLine="440"/>
        <w:spacing w:line="360" w:lineRule="auto"/>
        <w:widowControl w:val="off"/>
        <w:rPr>
          <w:rFonts w:ascii="宋体" w:hAnsi="宋体"/>
          <w:sz w:val="22"/>
          <w:szCs w:val="22"/>
        </w:rPr>
      </w:pPr>
      <w:r>
        <w:rPr>
          <w:rFonts w:hint="eastAsia" w:ascii="宋体" w:hAnsi="宋体"/>
          <w:sz w:val="22"/>
          <w:szCs w:val="22"/>
        </w:rPr>
        <w:t xml:space="preserve">1.1 本合同由下列文件共同构成并视为一个整体，彼此相互解释，相互补充。各合同构成文件的优先解释顺序如下：</w:t>
      </w:r>
      <w:r/>
    </w:p>
    <w:p>
      <w:pPr>
        <w:ind w:left="0" w:firstLine="440"/>
        <w:spacing w:line="360" w:lineRule="auto"/>
        <w:widowControl w:val="off"/>
        <w:rPr>
          <w:rFonts w:ascii="宋体" w:hAnsi="宋体"/>
          <w:sz w:val="22"/>
          <w:szCs w:val="22"/>
        </w:rPr>
      </w:pPr>
      <w:r>
        <w:rPr>
          <w:rFonts w:hint="eastAsia" w:ascii="宋体" w:hAnsi="宋体"/>
          <w:sz w:val="22"/>
          <w:szCs w:val="22"/>
        </w:rPr>
        <w:t xml:space="preserve">a.合同补充协议（如有）</w:t>
      </w:r>
      <w:r/>
    </w:p>
    <w:p>
      <w:pPr>
        <w:ind w:left="0" w:firstLine="440"/>
        <w:spacing w:line="360" w:lineRule="auto"/>
        <w:widowControl w:val="off"/>
        <w:rPr>
          <w:rFonts w:ascii="宋体" w:hAnsi="宋体"/>
          <w:sz w:val="22"/>
          <w:szCs w:val="22"/>
        </w:rPr>
      </w:pPr>
      <w:r>
        <w:rPr>
          <w:rFonts w:hint="eastAsia" w:ascii="宋体" w:hAnsi="宋体"/>
          <w:sz w:val="22"/>
          <w:szCs w:val="22"/>
        </w:rPr>
        <w:t xml:space="preserve">b.本合同文本；</w:t>
      </w:r>
      <w:r/>
    </w:p>
    <w:p>
      <w:pPr>
        <w:ind w:left="0" w:firstLine="440"/>
        <w:spacing w:line="360" w:lineRule="auto"/>
        <w:widowControl w:val="off"/>
        <w:rPr>
          <w:rFonts w:ascii="宋体" w:hAnsi="宋体"/>
          <w:sz w:val="22"/>
          <w:szCs w:val="22"/>
        </w:rPr>
      </w:pPr>
      <w:r>
        <w:rPr>
          <w:rFonts w:hint="eastAsia" w:ascii="宋体" w:hAnsi="宋体"/>
          <w:sz w:val="22"/>
          <w:szCs w:val="22"/>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d. 中标人的投标文件(含澄清文件)；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e. 本项目招标文件（含招标文件补充通知、澄清文件）。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2"/>
          <w:szCs w:val="22"/>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 本合同及附件的订立、效力、解释、履行、争议的解决等适用本合同签订时有效的中华人民共和国法律、法规的有关规定。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二、产品名称、单价</w:t>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342"/>
        <w:gridCol w:w="1342"/>
        <w:gridCol w:w="1342"/>
        <w:gridCol w:w="1344"/>
        <w:gridCol w:w="1348"/>
        <w:gridCol w:w="2066"/>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三、合同总金额</w:t>
      </w:r>
      <w:r/>
    </w:p>
    <w:p>
      <w:pPr>
        <w:ind w:left="0" w:firstLine="440"/>
        <w:spacing w:line="360" w:lineRule="auto"/>
        <w:widowControl w:val="off"/>
        <w:rPr>
          <w:rFonts w:ascii="宋体" w:hAnsi="宋体"/>
          <w:sz w:val="22"/>
          <w:szCs w:val="22"/>
        </w:rPr>
      </w:pPr>
      <w:r>
        <w:rPr>
          <w:rFonts w:hint="eastAsia" w:ascii="宋体" w:hAnsi="宋体"/>
          <w:sz w:val="22"/>
          <w:szCs w:val="22"/>
        </w:rPr>
        <w:t xml:space="preserve">3.1 本合同金额为（大写）：</w:t>
      </w:r>
      <w:r>
        <w:rPr>
          <w:rFonts w:hint="eastAsia" w:ascii="宋体" w:hAnsi="宋体"/>
          <w:sz w:val="22"/>
          <w:szCs w:val="22"/>
          <w:u w:val="single"/>
        </w:rPr>
        <w:t xml:space="preserve">    </w:t>
      </w:r>
      <w:r>
        <w:rPr>
          <w:rFonts w:hint="eastAsia" w:ascii="宋体" w:hAnsi="宋体"/>
          <w:sz w:val="22"/>
          <w:szCs w:val="22"/>
        </w:rPr>
        <w:t xml:space="preserve">元人民币（¥：</w:t>
      </w:r>
      <w:r>
        <w:rPr>
          <w:rFonts w:hint="eastAsia" w:ascii="宋体" w:hAnsi="宋体"/>
          <w:sz w:val="22"/>
          <w:szCs w:val="22"/>
          <w:u w:val="single"/>
        </w:rPr>
        <w:t xml:space="preserve">    </w:t>
      </w:r>
      <w:r>
        <w:rPr>
          <w:rFonts w:hint="eastAsia" w:ascii="宋体" w:hAnsi="宋体"/>
          <w:sz w:val="22"/>
          <w:szCs w:val="22"/>
        </w:rPr>
        <w:t xml:space="preserve">元）。</w:t>
      </w:r>
      <w:r/>
    </w:p>
    <w:p>
      <w:pPr>
        <w:ind w:left="0" w:firstLine="440"/>
        <w:spacing w:line="360" w:lineRule="auto"/>
        <w:widowControl w:val="off"/>
        <w:rPr>
          <w:rFonts w:ascii="宋体" w:hAnsi="宋体"/>
          <w:sz w:val="22"/>
          <w:szCs w:val="22"/>
        </w:rPr>
      </w:pPr>
      <w:r>
        <w:rPr>
          <w:rFonts w:hint="eastAsia" w:ascii="宋体" w:hAnsi="宋体"/>
          <w:sz w:val="22"/>
          <w:szCs w:val="22"/>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四、质量要求及技术准备</w:t>
      </w:r>
      <w:r/>
    </w:p>
    <w:p>
      <w:pPr>
        <w:ind w:left="0" w:firstLine="440"/>
        <w:spacing w:line="360" w:lineRule="auto"/>
        <w:widowControl w:val="off"/>
        <w:rPr>
          <w:rFonts w:ascii="宋体" w:hAnsi="宋体"/>
          <w:sz w:val="22"/>
          <w:szCs w:val="22"/>
        </w:rPr>
      </w:pPr>
      <w:r>
        <w:rPr>
          <w:rFonts w:hint="eastAsia" w:ascii="宋体" w:hAnsi="宋体"/>
          <w:sz w:val="22"/>
          <w:szCs w:val="22"/>
        </w:rPr>
        <w:t xml:space="preserve">4.1 乙方提供的产品或服务须符合（招标编号：</w:t>
      </w:r>
      <w:r>
        <w:rPr>
          <w:rFonts w:hint="eastAsia" w:ascii="宋体" w:hAnsi="宋体"/>
          <w:sz w:val="22"/>
          <w:szCs w:val="22"/>
          <w:u w:val="single"/>
        </w:rPr>
        <w:t xml:space="preserve">    </w:t>
      </w:r>
      <w:r>
        <w:rPr>
          <w:rFonts w:hint="eastAsia" w:ascii="宋体" w:hAnsi="宋体"/>
          <w:sz w:val="22"/>
          <w:szCs w:val="22"/>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40"/>
        <w:spacing w:line="360" w:lineRule="auto"/>
        <w:widowControl w:val="off"/>
        <w:rPr>
          <w:rFonts w:ascii="宋体" w:hAnsi="宋体"/>
          <w:sz w:val="22"/>
          <w:szCs w:val="22"/>
        </w:rPr>
      </w:pPr>
      <w:r>
        <w:rPr>
          <w:rFonts w:hint="eastAsia" w:ascii="宋体" w:hAnsi="宋体"/>
          <w:sz w:val="22"/>
          <w:szCs w:val="22"/>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p>
    <w:p>
      <w:pPr>
        <w:ind w:left="0" w:firstLine="440"/>
        <w:spacing w:line="360" w:lineRule="auto"/>
        <w:widowControl w:val="off"/>
        <w:rPr>
          <w:rFonts w:ascii="宋体" w:hAnsi="宋体"/>
          <w:sz w:val="22"/>
          <w:szCs w:val="22"/>
        </w:rPr>
      </w:pPr>
      <w:r>
        <w:rPr>
          <w:rFonts w:hint="eastAsia" w:ascii="宋体" w:hAnsi="宋体"/>
          <w:sz w:val="22"/>
          <w:szCs w:val="22"/>
        </w:rPr>
        <w:t xml:space="preserve">注: 装备基础信息采集子系统为免费注册应用，系统网址 http:/xfzb.119.gov.cn。</w:t>
      </w:r>
      <w:r/>
    </w:p>
    <w:p>
      <w:pPr>
        <w:jc w:val="left"/>
        <w:spacing w:line="360" w:lineRule="auto"/>
        <w:widowControl w:val="off"/>
        <w:rPr>
          <w:rFonts w:ascii="宋体" w:hAnsi="宋体"/>
          <w:sz w:val="22"/>
          <w:szCs w:val="22"/>
        </w:rPr>
      </w:pPr>
      <w:r>
        <w:rPr>
          <w:rFonts w:ascii="宋体" w:hAnsi="宋体"/>
          <w:sz w:val="22"/>
          <w:szCs w:val="22"/>
        </w:rPr>
      </w:r>
      <w:r/>
    </w:p>
    <w:p>
      <w:pPr>
        <w:ind w:left="0" w:firstLine="440"/>
        <w:jc w:val="left"/>
        <w:spacing w:line="360" w:lineRule="auto"/>
        <w:widowControl w:val="off"/>
        <w:rPr>
          <w:rFonts w:ascii="宋体" w:hAnsi="宋体"/>
          <w:sz w:val="22"/>
          <w:szCs w:val="22"/>
        </w:rPr>
      </w:pPr>
      <w:r>
        <w:rPr>
          <w:rFonts w:hint="eastAsia" w:ascii="宋体" w:hAnsi="宋体"/>
          <w:sz w:val="22"/>
          <w:szCs w:val="22"/>
        </w:rPr>
        <w:t xml:space="preserve">五、交付使用时间、交货方式及交货地点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5.1 交付使用时间：</w:t>
      </w:r>
      <w:r>
        <w:rPr>
          <w:rFonts w:hint="eastAsia" w:ascii="宋体" w:hAnsi="宋体"/>
          <w:bCs/>
          <w:sz w:val="22"/>
          <w:szCs w:val="22"/>
        </w:rPr>
        <w:t xml:space="preserve">签订合同后60日历天内将货物送达指定地点。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5.2 交货地点： </w:t>
      </w:r>
      <w:r/>
    </w:p>
    <w:p>
      <w:pPr>
        <w:ind w:left="0" w:firstLine="440"/>
        <w:spacing w:line="360" w:lineRule="auto"/>
        <w:widowControl w:val="off"/>
        <w:rPr>
          <w:rFonts w:ascii="宋体" w:hAnsi="宋体"/>
          <w:sz w:val="22"/>
          <w:szCs w:val="22"/>
        </w:rPr>
      </w:pPr>
      <w:r>
        <w:rPr>
          <w:rFonts w:hint="eastAsia" w:ascii="宋体" w:hAnsi="宋体"/>
          <w:sz w:val="22"/>
          <w:szCs w:val="22"/>
        </w:rPr>
        <w:t xml:space="preserve">5.3 交货方式：由乙方送货上门。交货时甲乙双方均要有人在场负责清点移交。乙方应当按照约定或者交易习惯向甲方交付与产品有关的单证和资料。</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六、货款支付</w:t>
      </w:r>
      <w:r/>
    </w:p>
    <w:p>
      <w:pPr>
        <w:ind w:left="0" w:firstLine="440"/>
        <w:spacing w:line="360" w:lineRule="auto"/>
        <w:widowControl w:val="off"/>
        <w:rPr>
          <w:rFonts w:ascii="宋体" w:hAnsi="宋体"/>
          <w:sz w:val="22"/>
          <w:szCs w:val="22"/>
        </w:rPr>
      </w:pPr>
      <w:r>
        <w:rPr>
          <w:rFonts w:hint="eastAsia" w:ascii="宋体" w:hAnsi="宋体"/>
          <w:sz w:val="22"/>
          <w:szCs w:val="22"/>
        </w:rPr>
        <w:t xml:space="preserve">6 付款方式：甲方在收到履约保证金（函）后，30天内向乙方支付合同总金额30%的价款。乙方按照合同约定交货，经甲方对合同中所有装备到货验收合格（甲方签署到货验收合格报告），凭乙方等额有效发票及甲方签署验收合格报告，甲方在30天内向乙方支付至合同金额100%。</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七、履约保证金</w:t>
      </w:r>
      <w:r/>
    </w:p>
    <w:p>
      <w:pPr>
        <w:ind w:left="0" w:firstLine="440"/>
        <w:spacing w:line="360" w:lineRule="auto"/>
        <w:widowControl w:val="off"/>
        <w:rPr>
          <w:rFonts w:ascii="宋体" w:hAnsi="宋体"/>
          <w:sz w:val="22"/>
          <w:szCs w:val="24"/>
        </w:rPr>
      </w:pPr>
      <w:r>
        <w:rPr>
          <w:rFonts w:hint="eastAsia" w:ascii="宋体" w:hAnsi="宋体"/>
          <w:sz w:val="22"/>
          <w:szCs w:val="22"/>
        </w:rPr>
        <w:t xml:space="preserve">7.1 </w:t>
      </w:r>
      <w:r>
        <w:rPr>
          <w:rFonts w:hint="eastAsia" w:ascii="宋体" w:hAnsi="宋体"/>
          <w:sz w:val="22"/>
          <w:szCs w:val="24"/>
        </w:rPr>
        <w:t xml:space="preserve">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7.2 合同履行完毕且在乙方无违约情形或无其它甲方有权扣除时，履约保证金将在合同履行完毕后1个月内全额（无息）退回。若甲方超期未退还，则按照银行同期贷款利率支付利息。</w:t>
      </w:r>
      <w:r/>
    </w:p>
    <w:p>
      <w:pPr>
        <w:ind w:left="0" w:firstLine="440"/>
        <w:spacing w:line="360" w:lineRule="auto"/>
        <w:widowControl w:val="off"/>
        <w:rPr>
          <w:rFonts w:ascii="宋体" w:hAnsi="宋体"/>
          <w:sz w:val="22"/>
          <w:szCs w:val="22"/>
        </w:rPr>
      </w:pPr>
      <w:r>
        <w:rPr>
          <w:rFonts w:hint="eastAsia" w:ascii="宋体" w:hAnsi="宋体"/>
          <w:sz w:val="22"/>
          <w:szCs w:val="22"/>
        </w:rPr>
        <w:t xml:space="preserve">7.3 对于乙方应承担的违约责任/索赔金额，甲方有权直接使用履约保证金进行抵扣或向出具独立保函的金融机构主张索赔。</w:t>
      </w:r>
      <w:r/>
    </w:p>
    <w:p>
      <w:pPr>
        <w:ind w:left="0" w:firstLine="440"/>
        <w:spacing w:line="360" w:lineRule="auto"/>
        <w:widowControl w:val="off"/>
        <w:rPr>
          <w:rFonts w:ascii="宋体" w:hAnsi="宋体"/>
          <w:sz w:val="22"/>
          <w:szCs w:val="22"/>
        </w:rPr>
      </w:pPr>
      <w:r>
        <w:rPr>
          <w:rFonts w:hint="eastAsia" w:ascii="宋体" w:hAnsi="宋体"/>
          <w:sz w:val="22"/>
          <w:szCs w:val="22"/>
        </w:rPr>
        <w:t xml:space="preserve">7.4 乙方应当自履约保证金抵扣发生之日起二日内向甲方补足履约保证金。</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八、税费</w:t>
      </w:r>
      <w:r/>
    </w:p>
    <w:p>
      <w:pPr>
        <w:ind w:left="0" w:firstLine="440"/>
        <w:spacing w:line="360" w:lineRule="auto"/>
        <w:widowControl w:val="off"/>
        <w:rPr>
          <w:rFonts w:ascii="宋体" w:hAnsi="宋体"/>
          <w:sz w:val="22"/>
          <w:szCs w:val="22"/>
        </w:rPr>
      </w:pPr>
      <w:r>
        <w:rPr>
          <w:rFonts w:hint="eastAsia" w:ascii="宋体" w:hAnsi="宋体"/>
          <w:sz w:val="22"/>
          <w:szCs w:val="22"/>
        </w:rPr>
        <w:t xml:space="preserve">8 本合同执行中相关的一切税费均由乙方负担。</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九、质量保证及售后服务</w:t>
      </w:r>
      <w:r/>
    </w:p>
    <w:p>
      <w:pPr>
        <w:ind w:left="0" w:firstLine="440"/>
        <w:spacing w:line="360" w:lineRule="auto"/>
        <w:widowControl w:val="off"/>
        <w:rPr>
          <w:rFonts w:ascii="宋体" w:hAnsi="宋体"/>
          <w:sz w:val="22"/>
          <w:szCs w:val="22"/>
        </w:rPr>
      </w:pPr>
      <w:r>
        <w:rPr>
          <w:rFonts w:hint="eastAsia" w:ascii="宋体" w:hAnsi="宋体"/>
          <w:sz w:val="22"/>
          <w:szCs w:val="22"/>
        </w:rPr>
        <w:t xml:space="preserve">9.1 乙方应按采购文件规定的货物性能、技术要求、质量标准向甲方提供未经使用的全新产品。</w:t>
      </w:r>
      <w:r/>
    </w:p>
    <w:p>
      <w:pPr>
        <w:ind w:left="0" w:firstLine="440"/>
        <w:spacing w:line="360" w:lineRule="auto"/>
        <w:widowControl w:val="off"/>
        <w:rPr>
          <w:rFonts w:ascii="宋体" w:hAnsi="宋体"/>
          <w:sz w:val="22"/>
          <w:szCs w:val="22"/>
        </w:rPr>
      </w:pPr>
      <w:r>
        <w:rPr>
          <w:rFonts w:hint="eastAsia" w:ascii="宋体" w:hAnsi="宋体"/>
          <w:sz w:val="22"/>
          <w:szCs w:val="22"/>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（1）更换：由乙方承担所发生的全部费用。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（2）退货处理：乙方应退还甲方支付的合同款，同时应承担该货物的直接费用（运输、保险、检验）。</w:t>
      </w:r>
      <w:r/>
    </w:p>
    <w:p>
      <w:pPr>
        <w:ind w:left="0" w:firstLine="440"/>
        <w:spacing w:line="360" w:lineRule="auto"/>
        <w:widowControl w:val="off"/>
        <w:rPr>
          <w:rFonts w:ascii="宋体" w:hAnsi="宋体"/>
          <w:sz w:val="22"/>
          <w:szCs w:val="22"/>
        </w:rPr>
      </w:pPr>
      <w:r>
        <w:rPr>
          <w:rFonts w:hint="eastAsia" w:ascii="宋体" w:hAnsi="宋体"/>
          <w:sz w:val="22"/>
          <w:szCs w:val="22"/>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40"/>
        <w:spacing w:after="120" w:line="360" w:lineRule="auto"/>
        <w:widowControl w:val="off"/>
        <w:rPr>
          <w:rFonts w:ascii="宋体" w:hAnsi="宋体"/>
          <w:sz w:val="22"/>
          <w:szCs w:val="22"/>
        </w:rPr>
      </w:pPr>
      <w:r>
        <w:rPr>
          <w:rFonts w:hint="eastAsia" w:ascii="宋体" w:hAnsi="宋体"/>
          <w:sz w:val="22"/>
          <w:szCs w:val="22"/>
        </w:rPr>
        <w:t xml:space="preserve">9.5 所投产品如有备品备件，乙方须编制质保期后三年内必须的备品备件报价表，并承诺质保期后三年内，以报价表中的单价向甲方供应备品备件。</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十、调试和验收</w:t>
      </w:r>
      <w:r/>
    </w:p>
    <w:p>
      <w:pPr>
        <w:ind w:left="0" w:firstLine="440"/>
        <w:spacing w:line="360" w:lineRule="auto"/>
        <w:widowControl w:val="off"/>
        <w:rPr>
          <w:rFonts w:ascii="宋体" w:hAnsi="宋体"/>
          <w:sz w:val="22"/>
          <w:szCs w:val="22"/>
        </w:rPr>
      </w:pPr>
      <w:r>
        <w:rPr>
          <w:rFonts w:hint="eastAsia" w:ascii="宋体" w:hAnsi="宋体"/>
          <w:sz w:val="22"/>
          <w:szCs w:val="22"/>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40"/>
        <w:spacing w:line="360" w:lineRule="auto"/>
        <w:widowControl w:val="off"/>
        <w:rPr>
          <w:rFonts w:ascii="宋体" w:hAnsi="宋体"/>
          <w:sz w:val="22"/>
          <w:szCs w:val="22"/>
        </w:rPr>
      </w:pPr>
      <w:r>
        <w:rPr>
          <w:rFonts w:hint="eastAsia" w:ascii="宋体" w:hAnsi="宋体"/>
          <w:sz w:val="22"/>
          <w:szCs w:val="22"/>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2"/>
          <w:szCs w:val="22"/>
        </w:rPr>
        <w:t xml:space="preserve">验收时乙方须提供投标文件内检测报告原件供验收使用。</w:t>
      </w:r>
      <w:r/>
    </w:p>
    <w:p>
      <w:pPr>
        <w:ind w:left="0" w:firstLine="440"/>
        <w:spacing w:line="360" w:lineRule="auto"/>
        <w:widowControl w:val="off"/>
        <w:rPr>
          <w:rFonts w:ascii="宋体" w:hAnsi="宋体"/>
          <w:sz w:val="22"/>
          <w:szCs w:val="22"/>
        </w:rPr>
      </w:pPr>
      <w:r>
        <w:rPr>
          <w:rFonts w:hint="eastAsia" w:ascii="宋体" w:hAnsi="宋体"/>
          <w:sz w:val="22"/>
          <w:szCs w:val="22"/>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付。货物符合质量标准的，鉴定费用由甲方承担；货物不符合质量标准的，鉴定费用由乙方承担，并且甲方有权追究乙方的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10.4 验收时乙方必须在现场，验收完毕后作出验收结果报告。验收通过并不免除乙方因产品质量瑕疵而应承担的维修、赔偿等责任。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10.5 验收通过的，由甲方提供书面验</w:t>
      </w:r>
      <w:r>
        <w:rPr>
          <w:rFonts w:hint="eastAsia" w:ascii="宋体" w:hAnsi="宋体"/>
          <w:sz w:val="22"/>
          <w:szCs w:val="22"/>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40"/>
        <w:spacing w:line="360" w:lineRule="auto"/>
        <w:widowControl w:val="off"/>
        <w:rPr>
          <w:rFonts w:ascii="宋体" w:hAnsi="宋体"/>
          <w:sz w:val="22"/>
          <w:szCs w:val="22"/>
        </w:rPr>
      </w:pPr>
      <w:r>
        <w:rPr>
          <w:rFonts w:hint="eastAsia" w:ascii="宋体" w:hAnsi="宋体"/>
          <w:sz w:val="22"/>
          <w:szCs w:val="22"/>
        </w:rPr>
        <w:t xml:space="preserve">10.6 产品用户手册、保修手册、有关单证资料及配备件、随机工具等均应列明清单并按清单交付给甲方。使用操作及安全须知等重要资料应附有中文说明。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10.7 产品使用进口配件的，必须提供原产地证明和商检局的检验证明及合法进货渠道证明。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10.8其他具体要求见附件《履约验收方案》。</w:t>
      </w:r>
      <w:r/>
    </w:p>
    <w:p>
      <w:pPr>
        <w:ind w:left="0" w:firstLine="44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十一、货物包装、发运及运输</w:t>
      </w:r>
      <w:r/>
    </w:p>
    <w:p>
      <w:pPr>
        <w:ind w:left="0" w:firstLine="440"/>
        <w:spacing w:line="360" w:lineRule="auto"/>
        <w:widowControl w:val="off"/>
        <w:rPr>
          <w:rFonts w:ascii="宋体" w:hAnsi="宋体"/>
          <w:sz w:val="22"/>
          <w:szCs w:val="22"/>
        </w:rPr>
      </w:pPr>
      <w:r>
        <w:rPr>
          <w:rFonts w:hint="eastAsia" w:ascii="宋体" w:hAnsi="宋体"/>
          <w:sz w:val="22"/>
          <w:szCs w:val="22"/>
        </w:rPr>
        <w:t xml:space="preserve">11.1 乙方应在货物发运前对其进行满足运输距离、防潮和防破损装卸等要求包装，以保证货物安全运达甲方指定地点。</w:t>
      </w:r>
      <w:r/>
    </w:p>
    <w:p>
      <w:pPr>
        <w:ind w:left="0" w:firstLine="440"/>
        <w:spacing w:line="360" w:lineRule="auto"/>
        <w:widowControl w:val="off"/>
        <w:rPr>
          <w:rFonts w:ascii="宋体" w:hAnsi="宋体"/>
          <w:sz w:val="22"/>
          <w:szCs w:val="22"/>
        </w:rPr>
      </w:pPr>
      <w:r>
        <w:rPr>
          <w:rFonts w:hint="eastAsia" w:ascii="宋体" w:hAnsi="宋体"/>
          <w:sz w:val="22"/>
          <w:szCs w:val="22"/>
        </w:rPr>
        <w:t xml:space="preserve">11.2 使用说明书、质量检验证明书以及清单一并附于货物内。</w:t>
      </w:r>
      <w:r/>
    </w:p>
    <w:p>
      <w:pPr>
        <w:ind w:left="0" w:firstLine="440"/>
        <w:spacing w:line="360" w:lineRule="auto"/>
        <w:widowControl w:val="off"/>
        <w:rPr>
          <w:rFonts w:ascii="宋体" w:hAnsi="宋体"/>
          <w:sz w:val="22"/>
          <w:szCs w:val="22"/>
        </w:rPr>
      </w:pPr>
      <w:r>
        <w:rPr>
          <w:rFonts w:hint="eastAsia" w:ascii="宋体" w:hAnsi="宋体"/>
          <w:sz w:val="22"/>
          <w:szCs w:val="22"/>
        </w:rPr>
        <w:t xml:space="preserve">11.3 乙方在货物发运手续办理完毕后24小时内或货到甲方48小时前通知甲方，以准备接货。</w:t>
      </w:r>
      <w:r/>
    </w:p>
    <w:p>
      <w:pPr>
        <w:ind w:left="0" w:firstLine="440"/>
        <w:spacing w:line="360" w:lineRule="auto"/>
        <w:widowControl w:val="off"/>
        <w:rPr>
          <w:rFonts w:ascii="宋体" w:hAnsi="宋体"/>
          <w:sz w:val="22"/>
          <w:szCs w:val="22"/>
        </w:rPr>
      </w:pPr>
      <w:r>
        <w:rPr>
          <w:rFonts w:hint="eastAsia" w:ascii="宋体" w:hAnsi="宋体"/>
          <w:sz w:val="22"/>
          <w:szCs w:val="22"/>
        </w:rPr>
        <w:t xml:space="preserve">11.4 货物在交付甲方前发生的风险均由乙方负责。</w:t>
      </w:r>
      <w:r/>
    </w:p>
    <w:p>
      <w:pPr>
        <w:ind w:left="0" w:firstLine="440"/>
        <w:spacing w:line="360" w:lineRule="auto"/>
        <w:widowControl w:val="off"/>
        <w:rPr>
          <w:rFonts w:ascii="宋体" w:hAnsi="宋体"/>
          <w:sz w:val="22"/>
          <w:szCs w:val="22"/>
        </w:rPr>
      </w:pPr>
      <w:r>
        <w:rPr>
          <w:rFonts w:hint="eastAsia" w:ascii="宋体" w:hAnsi="宋体"/>
          <w:sz w:val="22"/>
          <w:szCs w:val="22"/>
        </w:rPr>
        <w:t xml:space="preserve">11.5 货物在规定的交付期限内由乙方送达甲方指定的地点甲方出具签收单视为交付，乙方同时需通知甲方货物已送达。</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十二、违约责任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12.1 甲方无正当理由拒收货物的，甲方向乙方偿付拒收货款总值的千分之五违约金。</w:t>
      </w:r>
      <w:r/>
    </w:p>
    <w:p>
      <w:pPr>
        <w:ind w:left="0" w:firstLine="440"/>
        <w:spacing w:line="360" w:lineRule="auto"/>
        <w:widowControl w:val="off"/>
        <w:rPr>
          <w:rFonts w:ascii="宋体" w:hAnsi="宋体"/>
          <w:sz w:val="22"/>
          <w:szCs w:val="22"/>
        </w:rPr>
      </w:pPr>
      <w:r>
        <w:rPr>
          <w:rFonts w:hint="eastAsia" w:ascii="宋体" w:hAnsi="宋体"/>
          <w:sz w:val="22"/>
          <w:szCs w:val="22"/>
        </w:rPr>
        <w:t xml:space="preserve">12.2 甲方无故逾期付款的，依法承担逾期付款责任，不超过合同总价款的5%。</w:t>
      </w:r>
      <w:r/>
    </w:p>
    <w:p>
      <w:pPr>
        <w:ind w:left="0" w:firstLine="440"/>
        <w:spacing w:line="360" w:lineRule="auto"/>
        <w:widowControl w:val="off"/>
        <w:rPr>
          <w:rFonts w:ascii="宋体" w:hAnsi="宋体"/>
          <w:sz w:val="22"/>
          <w:szCs w:val="22"/>
        </w:rPr>
      </w:pPr>
      <w:r>
        <w:rPr>
          <w:rFonts w:hint="eastAsia" w:ascii="宋体" w:hAnsi="宋体"/>
          <w:sz w:val="22"/>
          <w:szCs w:val="22"/>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40"/>
        <w:spacing w:line="360" w:lineRule="auto"/>
        <w:widowControl w:val="off"/>
        <w:rPr>
          <w:rFonts w:ascii="宋体" w:hAnsi="宋体"/>
          <w:sz w:val="22"/>
          <w:szCs w:val="22"/>
        </w:rPr>
      </w:pPr>
      <w:r>
        <w:rPr>
          <w:rFonts w:hint="eastAsia" w:ascii="宋体" w:hAnsi="宋体"/>
          <w:sz w:val="22"/>
          <w:szCs w:val="22"/>
        </w:rPr>
        <w:t xml:space="preserve">12.</w:t>
      </w:r>
      <w:r>
        <w:rPr>
          <w:rFonts w:hint="eastAsia" w:ascii="宋体" w:hAnsi="宋体"/>
          <w:sz w:val="22"/>
          <w:szCs w:val="22"/>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40"/>
        <w:spacing w:line="360" w:lineRule="auto"/>
        <w:widowControl w:val="off"/>
        <w:rPr>
          <w:rFonts w:ascii="宋体" w:hAnsi="宋体"/>
          <w:sz w:val="22"/>
          <w:szCs w:val="22"/>
        </w:rPr>
      </w:pPr>
      <w:r>
        <w:rPr>
          <w:rFonts w:hint="eastAsia" w:ascii="宋体" w:hAnsi="宋体"/>
          <w:sz w:val="22"/>
          <w:szCs w:val="22"/>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十三、不可抗力事件处理</w:t>
      </w:r>
      <w:r/>
    </w:p>
    <w:p>
      <w:pPr>
        <w:ind w:left="0" w:firstLine="440"/>
        <w:spacing w:line="360" w:lineRule="auto"/>
        <w:widowControl w:val="off"/>
        <w:rPr>
          <w:rFonts w:ascii="宋体" w:hAnsi="宋体"/>
          <w:sz w:val="22"/>
          <w:szCs w:val="22"/>
        </w:rPr>
      </w:pPr>
      <w:r>
        <w:rPr>
          <w:rFonts w:hint="eastAsia" w:ascii="宋体" w:hAnsi="宋体"/>
          <w:sz w:val="22"/>
          <w:szCs w:val="22"/>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40"/>
        <w:spacing w:line="360" w:lineRule="auto"/>
        <w:widowControl w:val="off"/>
        <w:rPr>
          <w:rFonts w:ascii="宋体" w:hAnsi="宋体"/>
          <w:sz w:val="22"/>
          <w:szCs w:val="22"/>
        </w:rPr>
      </w:pPr>
      <w:r>
        <w:rPr>
          <w:rFonts w:hint="eastAsia" w:ascii="宋体" w:hAnsi="宋体"/>
          <w:sz w:val="22"/>
          <w:szCs w:val="22"/>
        </w:rPr>
        <w:t xml:space="preserve">13.2 不可抗力事件发生后，应立即通知对方，并寄送有关权威机构出具的证明。</w:t>
      </w:r>
      <w:r/>
    </w:p>
    <w:p>
      <w:pPr>
        <w:ind w:left="0" w:firstLine="440"/>
        <w:spacing w:line="360" w:lineRule="auto"/>
        <w:widowControl w:val="off"/>
        <w:rPr>
          <w:rFonts w:ascii="宋体" w:hAnsi="宋体"/>
          <w:sz w:val="22"/>
          <w:szCs w:val="22"/>
        </w:rPr>
      </w:pPr>
      <w:r>
        <w:rPr>
          <w:rFonts w:hint="eastAsia" w:ascii="宋体" w:hAnsi="宋体"/>
          <w:sz w:val="22"/>
          <w:szCs w:val="22"/>
        </w:rPr>
        <w:t xml:space="preserve">13.3 不可抗力事件延续120天以上，双方应通过友好协商，确定是否继续履行合同。</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十四、诉讼</w:t>
      </w:r>
      <w:r/>
    </w:p>
    <w:p>
      <w:pPr>
        <w:ind w:left="0" w:firstLine="440"/>
        <w:spacing w:line="360" w:lineRule="auto"/>
        <w:widowControl w:val="off"/>
        <w:rPr>
          <w:rFonts w:ascii="宋体" w:hAnsi="宋体"/>
          <w:sz w:val="22"/>
          <w:szCs w:val="22"/>
        </w:rPr>
      </w:pPr>
      <w:r>
        <w:rPr>
          <w:rFonts w:hint="eastAsia" w:ascii="宋体" w:hAnsi="宋体"/>
          <w:sz w:val="22"/>
          <w:szCs w:val="22"/>
        </w:rPr>
        <w:t xml:space="preserve">14 双方在执行合同中所发生的一切争议，应通过协商解决。如协商不成，可向甲方所在地法院起诉。</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十五、转包</w:t>
      </w:r>
      <w:r/>
    </w:p>
    <w:p>
      <w:pPr>
        <w:ind w:left="0" w:firstLine="440"/>
        <w:spacing w:line="360" w:lineRule="auto"/>
        <w:widowControl w:val="off"/>
        <w:rPr>
          <w:rFonts w:ascii="宋体" w:hAnsi="宋体"/>
          <w:sz w:val="22"/>
          <w:szCs w:val="22"/>
        </w:rPr>
      </w:pPr>
      <w:r>
        <w:rPr>
          <w:rFonts w:hint="eastAsia" w:ascii="宋体" w:hAnsi="宋体"/>
          <w:sz w:val="22"/>
          <w:szCs w:val="22"/>
        </w:rPr>
        <w:t xml:space="preserve">15 本合同禁止转包，本合同范围的货物，应由乙方直接供应的，不得转让他人供应。</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十六、知识产权</w:t>
      </w:r>
      <w:r/>
    </w:p>
    <w:p>
      <w:pPr>
        <w:ind w:left="0" w:firstLine="440"/>
        <w:spacing w:line="360" w:lineRule="auto"/>
        <w:widowControl w:val="off"/>
        <w:rPr>
          <w:rFonts w:ascii="宋体" w:hAnsi="宋体"/>
          <w:sz w:val="22"/>
          <w:szCs w:val="22"/>
        </w:rPr>
      </w:pPr>
      <w:r>
        <w:rPr>
          <w:rFonts w:hint="eastAsia" w:ascii="宋体" w:hAnsi="宋体"/>
          <w:sz w:val="22"/>
          <w:szCs w:val="22"/>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spacing w:line="360" w:lineRule="auto"/>
        <w:widowControl w:val="off"/>
        <w:rPr>
          <w:rFonts w:ascii="宋体" w:hAnsi="宋体"/>
          <w:sz w:val="22"/>
          <w:szCs w:val="22"/>
        </w:rPr>
      </w:pPr>
      <w:r>
        <w:rPr>
          <w:rFonts w:ascii="宋体" w:hAnsi="宋体"/>
          <w:sz w:val="22"/>
          <w:szCs w:val="22"/>
        </w:rPr>
      </w:r>
      <w:r/>
    </w:p>
    <w:p>
      <w:pPr>
        <w:ind w:left="0" w:firstLine="440"/>
        <w:spacing w:line="360" w:lineRule="auto"/>
        <w:widowControl w:val="off"/>
        <w:rPr>
          <w:rFonts w:ascii="宋体" w:hAnsi="宋体"/>
          <w:sz w:val="22"/>
          <w:szCs w:val="22"/>
        </w:rPr>
      </w:pPr>
      <w:r>
        <w:rPr>
          <w:rFonts w:hint="eastAsia" w:ascii="宋体" w:hAnsi="宋体"/>
          <w:sz w:val="22"/>
          <w:szCs w:val="22"/>
        </w:rPr>
        <w:t xml:space="preserve">十七、合同生效及其它</w:t>
      </w:r>
      <w:r/>
    </w:p>
    <w:p>
      <w:pPr>
        <w:ind w:left="0" w:firstLine="440"/>
        <w:spacing w:line="360" w:lineRule="auto"/>
        <w:widowControl w:val="off"/>
        <w:rPr>
          <w:rFonts w:ascii="宋体" w:hAnsi="宋体"/>
          <w:sz w:val="22"/>
          <w:szCs w:val="22"/>
        </w:rPr>
      </w:pPr>
      <w:r>
        <w:rPr>
          <w:rFonts w:hint="eastAsia" w:ascii="宋体" w:hAnsi="宋体"/>
          <w:sz w:val="22"/>
          <w:szCs w:val="22"/>
        </w:rPr>
        <w:t xml:space="preserve">17.1 合同经甲乙双方法定代表或授权委托代表签字且加盖单位公章后生效。</w:t>
      </w:r>
      <w:r/>
    </w:p>
    <w:p>
      <w:pPr>
        <w:ind w:left="0" w:firstLine="440"/>
        <w:spacing w:line="360" w:lineRule="auto"/>
        <w:widowControl w:val="off"/>
        <w:rPr>
          <w:rFonts w:ascii="宋体" w:hAnsi="宋体"/>
          <w:sz w:val="22"/>
          <w:szCs w:val="22"/>
        </w:rPr>
      </w:pPr>
      <w:r>
        <w:rPr>
          <w:rFonts w:hint="eastAsia" w:ascii="宋体" w:hAnsi="宋体"/>
          <w:sz w:val="22"/>
          <w:szCs w:val="22"/>
        </w:rPr>
        <w:t xml:space="preserve">17.2 本合同未尽事宜，遵照《中华人民共和国民法典》有关条文执行。</w:t>
      </w:r>
      <w:r/>
    </w:p>
    <w:p>
      <w:pPr>
        <w:ind w:left="0" w:firstLine="440"/>
        <w:spacing w:line="360" w:lineRule="auto"/>
        <w:widowControl w:val="off"/>
        <w:rPr>
          <w:rFonts w:ascii="宋体" w:hAnsi="宋体"/>
          <w:sz w:val="22"/>
          <w:szCs w:val="22"/>
        </w:rPr>
      </w:pPr>
      <w:r>
        <w:rPr>
          <w:rFonts w:hint="eastAsia" w:ascii="宋体" w:hAnsi="宋体"/>
          <w:sz w:val="22"/>
          <w:szCs w:val="22"/>
        </w:rPr>
        <w:t xml:space="preserve">17.3 本合同一式肆份，具有同等法律效力，甲方、乙方各执贰份。</w:t>
      </w:r>
      <w:r/>
    </w:p>
    <w:p>
      <w:pPr>
        <w:ind w:left="0" w:firstLine="440"/>
        <w:spacing w:line="360" w:lineRule="auto"/>
        <w:widowControl w:val="off"/>
        <w:rPr>
          <w:rFonts w:ascii="宋体" w:hAnsi="宋体"/>
          <w:sz w:val="22"/>
          <w:szCs w:val="22"/>
        </w:rPr>
      </w:pPr>
      <w:r>
        <w:rPr>
          <w:rFonts w:hint="eastAsia" w:ascii="宋体" w:hAnsi="宋体"/>
          <w:sz w:val="22"/>
          <w:szCs w:val="22"/>
        </w:rPr>
        <w:t xml:space="preserve">17.4 附件：</w:t>
      </w:r>
      <w:r/>
    </w:p>
    <w:p>
      <w:pPr>
        <w:ind w:left="0" w:firstLine="440"/>
        <w:spacing w:line="360" w:lineRule="auto"/>
        <w:widowControl w:val="off"/>
        <w:rPr>
          <w:rFonts w:ascii="宋体" w:hAnsi="宋体"/>
          <w:sz w:val="22"/>
          <w:szCs w:val="22"/>
        </w:rPr>
      </w:pPr>
      <w:r>
        <w:rPr>
          <w:rFonts w:hint="eastAsia" w:ascii="宋体" w:hAnsi="宋体"/>
          <w:sz w:val="22"/>
          <w:szCs w:val="22"/>
        </w:rPr>
        <w:t xml:space="preserve">（1）投标文件中服务承诺；</w:t>
      </w:r>
      <w:r/>
    </w:p>
    <w:p>
      <w:pPr>
        <w:ind w:left="0" w:firstLine="440"/>
        <w:spacing w:line="360" w:lineRule="auto"/>
        <w:widowControl w:val="off"/>
        <w:rPr>
          <w:rFonts w:ascii="宋体" w:hAnsi="宋体"/>
          <w:sz w:val="22"/>
          <w:szCs w:val="22"/>
        </w:rPr>
      </w:pPr>
      <w:r>
        <w:rPr>
          <w:rFonts w:hint="eastAsia" w:ascii="宋体" w:hAnsi="宋体"/>
          <w:sz w:val="22"/>
          <w:szCs w:val="22"/>
        </w:rPr>
        <w:t xml:space="preserve">（2）投标明细清单及产品图片（图片展示标签黏贴标记处）；</w:t>
      </w:r>
      <w:r/>
    </w:p>
    <w:p>
      <w:pPr>
        <w:ind w:left="0" w:firstLine="440"/>
        <w:spacing w:line="360" w:lineRule="auto"/>
        <w:widowControl w:val="off"/>
        <w:rPr>
          <w:rFonts w:ascii="宋体" w:hAnsi="宋体"/>
          <w:sz w:val="22"/>
          <w:szCs w:val="22"/>
        </w:rPr>
      </w:pPr>
      <w:r>
        <w:rPr>
          <w:rFonts w:hint="eastAsia" w:ascii="宋体" w:hAnsi="宋体"/>
          <w:sz w:val="22"/>
          <w:szCs w:val="22"/>
        </w:rPr>
        <w:t xml:space="preserve">（3）投标文件技术偏离表；</w:t>
      </w:r>
      <w:r/>
    </w:p>
    <w:p>
      <w:pPr>
        <w:ind w:left="0" w:firstLine="440"/>
        <w:spacing w:line="360" w:lineRule="auto"/>
        <w:widowControl w:val="off"/>
        <w:rPr>
          <w:rFonts w:ascii="宋体" w:hAnsi="宋体"/>
          <w:sz w:val="22"/>
          <w:szCs w:val="22"/>
        </w:rPr>
      </w:pPr>
      <w:r>
        <w:rPr>
          <w:rFonts w:hint="eastAsia" w:ascii="宋体" w:hAnsi="宋体"/>
          <w:sz w:val="22"/>
          <w:szCs w:val="22"/>
        </w:rPr>
        <w:t xml:space="preserve">（4）投标文件分项报价格；</w:t>
      </w:r>
      <w:r/>
    </w:p>
    <w:p>
      <w:pPr>
        <w:ind w:left="0" w:firstLine="440"/>
        <w:spacing w:line="360" w:lineRule="auto"/>
        <w:widowControl w:val="off"/>
        <w:rPr>
          <w:rFonts w:ascii="宋体" w:hAnsi="宋体"/>
          <w:sz w:val="22"/>
          <w:szCs w:val="22"/>
        </w:rPr>
      </w:pPr>
      <w:r>
        <w:rPr>
          <w:rFonts w:hint="eastAsia" w:ascii="宋体" w:hAnsi="宋体"/>
          <w:sz w:val="22"/>
          <w:szCs w:val="22"/>
        </w:rPr>
        <w:t xml:space="preserve">（5）履约验收方案。</w:t>
      </w:r>
      <w:r/>
    </w:p>
    <w:p>
      <w:pPr>
        <w:pStyle w:val="1005"/>
      </w:pPr>
      <w:r/>
      <w:r/>
    </w:p>
    <w:p>
      <w:pPr>
        <w:ind w:left="0" w:firstLine="440"/>
        <w:spacing w:line="360" w:lineRule="auto"/>
        <w:widowControl w:val="off"/>
        <w:rPr>
          <w:rFonts w:ascii="宋体" w:hAnsi="宋体"/>
          <w:sz w:val="22"/>
          <w:szCs w:val="22"/>
        </w:rPr>
      </w:pPr>
      <w:r>
        <w:rPr>
          <w:rFonts w:hint="eastAsia" w:ascii="宋体" w:hAnsi="宋体"/>
          <w:sz w:val="22"/>
          <w:szCs w:val="22"/>
        </w:rPr>
        <w:t xml:space="preserve">补充条款：（支队根据实际情况与供货单位签署的售后服务承诺等保障合同履行的内容，但不得偏离合同实质性条款。）</w:t>
      </w:r>
      <w:r/>
    </w:p>
    <w:tbl>
      <w:tblPr>
        <w:tblStyle w:val="1004"/>
        <w:tblW w:w="4998" w:type="pct"/>
        <w:jc w:val="center"/>
        <w:tblLayout w:type="autofit"/>
        <w:tblCellMar>
          <w:left w:w="0" w:type="dxa"/>
          <w:top w:w="0" w:type="dxa"/>
          <w:right w:w="0" w:type="dxa"/>
          <w:bottom w:w="0" w:type="dxa"/>
        </w:tblCellMar>
        <w:tblLook w:val="04A0" w:firstRow="1" w:lastRow="0" w:firstColumn="1" w:lastColumn="0" w:noHBand="0" w:noVBand="1"/>
      </w:tblPr>
      <w:tblGrid>
        <w:gridCol w:w="5312"/>
        <w:gridCol w:w="4578"/>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spacing w:line="360" w:lineRule="auto"/>
        <w:widowControl w:val="off"/>
        <w:rPr>
          <w:rFonts w:ascii="宋体" w:hAnsi="宋体"/>
          <w:sz w:val="21"/>
          <w:szCs w:val="21"/>
        </w:rPr>
      </w:pPr>
      <w:r>
        <w:rPr>
          <w:rFonts w:ascii="宋体" w:hAnsi="宋体"/>
          <w:sz w:val="21"/>
          <w:szCs w:val="21"/>
        </w:rPr>
      </w:r>
      <w:r/>
    </w:p>
    <w:p>
      <w:pPr>
        <w:pStyle w:val="1052"/>
        <w:ind w:left="400" w:firstLine="883"/>
        <w:rPr>
          <w:rFonts w:ascii="宋体" w:hAnsi="宋体"/>
          <w:b/>
          <w:sz w:val="44"/>
          <w:szCs w:val="22"/>
        </w:rPr>
      </w:pPr>
      <w:r>
        <w:rPr>
          <w:rFonts w:hint="eastAsia" w:ascii="宋体" w:hAnsi="宋体"/>
          <w:b/>
          <w:sz w:val="44"/>
          <w:szCs w:val="22"/>
        </w:rPr>
        <w:t xml:space="preserve"> </w:t>
      </w:r>
      <w:r/>
    </w:p>
    <w:p>
      <w:pP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clear="all"/>
      </w:r>
      <w:r/>
    </w:p>
    <w:p>
      <w:pPr>
        <w:ind w:left="0" w:firstLine="422"/>
        <w:jc w:val="center"/>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一、验收程序</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二、验收方法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1、履约验收应对照合同文本以及投标文件响应逐条核查。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2、测试验收应对照投标技术响应开展一致性核查和质量性能核查。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3、后勤装备部门验收时，视情组织抽样送专业机构检测。</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三、验收评定</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1、履约验收情况和测试验收情况均合格的方可评定为验收合格。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3、测试验收情况经一致性核查、质量性能核查通过的，方可评定为验收合格。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4、合同约定交货期满后，整改次数不得超过2次，整改时限不得超过30天，质量未能达到投标文件承诺、供应商对存在的问题无法整改或整改超时限的，验收评定为不合格。</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附件：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1、装备验收申请表</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3、装备到货交付确认表</w:t>
      </w:r>
      <w:r/>
    </w:p>
    <w:p>
      <w:pPr>
        <w:ind w:left="0"/>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053"/>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52"/>
        <w:ind w:left="400" w:firstLine="883"/>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bookmarkStart w:id="105" w:name="_Toc105397795"/>
      <w:r>
        <w:rPr>
          <w:rFonts w:hint="eastAsia" w:ascii="宋体" w:hAnsi="宋体"/>
          <w:b/>
          <w:sz w:val="44"/>
          <w:szCs w:val="22"/>
        </w:rPr>
        <w:t xml:space="preserve">第六章 </w:t>
      </w:r>
      <w:bookmarkStart w:id="106" w:name="评分要点"/>
      <w:r/>
      <w:bookmarkEnd w:id="106"/>
      <w:r>
        <w:rPr>
          <w:rFonts w:hint="eastAsia" w:ascii="宋体" w:hAnsi="宋体"/>
          <w:b/>
          <w:sz w:val="44"/>
          <w:szCs w:val="22"/>
        </w:rPr>
        <w:t xml:space="preserve"> 评标办法和评分标准</w:t>
      </w:r>
      <w:bookmarkEnd w:id="102"/>
      <w:r/>
      <w:bookmarkEnd w:id="103"/>
      <w:r/>
      <w:bookmarkEnd w:id="104"/>
      <w:r/>
      <w:bookmarkEnd w:id="105"/>
      <w:r/>
      <w:r/>
    </w:p>
    <w:p>
      <w:pPr>
        <w:ind w:left="0" w:firstLine="422"/>
        <w:spacing w:line="360" w:lineRule="auto"/>
        <w:rPr>
          <w:rFonts w:ascii="宋体" w:hAnsi="宋体"/>
          <w:b/>
          <w:sz w:val="21"/>
          <w:szCs w:val="21"/>
        </w:rPr>
      </w:pPr>
      <w:r/>
      <w:bookmarkStart w:id="107" w:name="_Toc17476"/>
      <w:r/>
      <w:bookmarkStart w:id="108" w:name="_Toc698"/>
      <w:r/>
      <w:bookmarkStart w:id="109" w:name="_Toc16264"/>
      <w:r>
        <w:rPr>
          <w:rFonts w:hint="eastAsia" w:ascii="宋体" w:hAnsi="宋体"/>
          <w:b/>
          <w:sz w:val="21"/>
          <w:szCs w:val="21"/>
        </w:rPr>
        <w:t xml:space="preserve">一、评标办法：</w:t>
      </w:r>
      <w:bookmarkEnd w:id="107"/>
      <w:r/>
      <w:bookmarkEnd w:id="108"/>
      <w:r/>
      <w:bookmarkEnd w:id="10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0" w:name="OLE_LINK25"/>
      <w:r/>
      <w:bookmarkStart w:id="11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0"/>
      <w:r/>
      <w:bookmarkEnd w:id="111"/>
      <w:r/>
      <w:bookmarkEnd w:id="112"/>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5"/>
      </w:pPr>
      <w:r/>
      <w:r/>
    </w:p>
    <w:p>
      <w:pPr>
        <w:pStyle w:val="1011"/>
        <w:rPr>
          <w:rFonts w:ascii="宋体" w:hAnsi="宋体" w:cs="Times New Roman"/>
        </w:rPr>
      </w:pPr>
      <w:r>
        <w:rPr>
          <w:rFonts w:ascii="宋体" w:hAnsi="宋体" w:cs="Times New Roman"/>
        </w:rPr>
      </w:r>
      <w:r/>
    </w:p>
    <w:p>
      <w:r/>
      <w:r/>
    </w:p>
    <w:p>
      <w:pPr>
        <w:pStyle w:val="1005"/>
      </w:pPr>
      <w:r/>
      <w:r/>
    </w:p>
    <w:p>
      <w:r/>
      <w:r/>
    </w:p>
    <w:p>
      <w:pPr>
        <w:pStyle w:val="1005"/>
      </w:pPr>
      <w:r/>
      <w:r/>
    </w:p>
    <w:p>
      <w:r/>
      <w:r/>
    </w:p>
    <w:p>
      <w:pPr>
        <w:pStyle w:val="1005"/>
      </w:pPr>
      <w:r/>
      <w:r/>
    </w:p>
    <w:p>
      <w:r/>
      <w:r/>
    </w:p>
    <w:p>
      <w:pPr>
        <w:pStyle w:val="1005"/>
      </w:pPr>
      <w:r/>
      <w:r/>
    </w:p>
    <w:p>
      <w:r/>
      <w:r/>
    </w:p>
    <w:p>
      <w:pPr>
        <w:pStyle w:val="1005"/>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outlineLvl w:val="0"/>
      </w:pPr>
      <w:r>
        <w:rPr>
          <w:rFonts w:hint="eastAsia" w:ascii="宋体" w:hAnsi="宋体" w:cs="Times New Roman"/>
          <w:b/>
          <w:sz w:val="21"/>
          <w:szCs w:val="21"/>
        </w:rPr>
        <w:t xml:space="preserve">包一：</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1.投标人所投设备产品“▲”重要技术参数（技术参数要求共9项）完全满足招标文件要求的得满分27分，每负偏离一项扣3分，扣完27分止；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2.投标人对所投产品一般技术参数（技术参数要求共40项非“▲”“★”参数）完全满足招标文件要求的得满分10分，每负偏离1项扣0.25 分，扣完10分止。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2.对舒适性进行评测。使用舒适、合体、方便，对跑、爬、跳、蹲等使用过程中可能出现的动作没有限制。</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hint="eastAsia" w:eastAsia="宋体"/>
                <w:lang w:eastAsia="zh-CN"/>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Style w:val="1059"/>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hint="default" w:ascii="宋体" w:hAnsi="宋体" w:eastAsia="宋体"/>
                <w:b/>
                <w:sz w:val="21"/>
                <w:szCs w:val="21"/>
                <w:lang w:val="en-US" w:eastAsia="zh-CN"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包二：</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1.投标人所投设备产品“▲”重要技术参数（技术参数要求共4项）完全满足招标文件要求的得满分27分，每负偏离一项扣6.75分，扣完27分止；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2.投标人对所投产品一般技术参数（技术参数要求共20项非“▲”“★”参数）完全满足招标文件要求的得满分10分，每负偏离1项扣0.5 分，扣完10分止。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1.对工艺制作细节进行评测。样品工艺组装精细，部件之间衔接紧密，外壳接缝严密，开关按键手感清晰，充电口盖密封严实。</w:t>
            </w:r>
            <w:r/>
          </w:p>
          <w:p>
            <w:pPr>
              <w:ind w:left="0"/>
              <w:widowControl w:val="off"/>
              <w:rPr>
                <w:rFonts w:ascii="宋体" w:hAnsi="宋体"/>
                <w:sz w:val="21"/>
                <w:szCs w:val="21"/>
                <w:lang w:bidi="ar"/>
              </w:rPr>
            </w:pPr>
            <w:r>
              <w:rPr>
                <w:rFonts w:hint="eastAsia" w:ascii="宋体" w:hAnsi="宋体"/>
                <w:sz w:val="21"/>
                <w:szCs w:val="21"/>
                <w:lang w:bidi="ar"/>
              </w:rPr>
              <w:t xml:space="preserve">2.对便携性舒适性（可操作性）进行评测。重量符合招标文件要求，手提、肩挎时方便操作；操作开关便捷。</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3.对用材用料进行评测。外壳坚固，符合防爆设备的基本特点；透镜透光均匀。</w:t>
            </w:r>
            <w:r/>
          </w:p>
          <w:p>
            <w:pPr>
              <w:ind w:left="0"/>
              <w:widowControl w:val="off"/>
              <w:rPr>
                <w:rFonts w:ascii="宋体" w:hAnsi="宋体"/>
                <w:sz w:val="21"/>
                <w:szCs w:val="21"/>
                <w:lang w:bidi="ar"/>
              </w:rPr>
            </w:pPr>
            <w:r>
              <w:rPr>
                <w:rFonts w:hint="eastAsia" w:ascii="宋体" w:hAnsi="宋体"/>
                <w:sz w:val="21"/>
                <w:szCs w:val="21"/>
                <w:lang w:bidi="ar"/>
              </w:rPr>
              <w:t xml:space="preserve">4.对安全防护性能进行测试。强光、弱光、爆闪模式切换正常，亮度充足；具备高防护等级的特征。</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5.对外观配置进行评测。电池电量、剩余工作时间及灯具工作状态等显示直观，标配、备用配件齐全；产品标识清晰。</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包三：</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1.投标人所投设备产品“▲”重要技术参数（技术参数要求共4项）完全满足招标文件要求的得满分27.6分，每负偏离一项扣6.9分，扣完27.6分止；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2.投标人对所投产品一般技术参数（技术参数要求共9项非“▲”“★”参数）完全满足招标文件要求的得满分14.4分，每负偏离1项扣1.6 分，扣完14.4分止。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演示视频</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根据各投标人所投设备的演示视频（包括但不仅限于展示设备与所投产品型号、配置的一致性以及彩色实景拍摄产品尺寸及外观与招标文件要求的相符性；彩色实景演示产品功能及操作便利性进行评审：</w:t>
            </w:r>
            <w:r/>
          </w:p>
          <w:p>
            <w:pPr>
              <w:ind w:left="0"/>
              <w:widowControl w:val="off"/>
              <w:rPr>
                <w:rFonts w:ascii="宋体" w:hAnsi="宋体"/>
                <w:sz w:val="21"/>
                <w:szCs w:val="21"/>
                <w:lang w:bidi="ar"/>
              </w:rPr>
            </w:pPr>
            <w:r>
              <w:rPr>
                <w:rFonts w:hint="eastAsia" w:ascii="宋体" w:hAnsi="宋体"/>
                <w:sz w:val="21"/>
                <w:szCs w:val="21"/>
                <w:lang w:bidi="ar"/>
              </w:rPr>
              <w:t xml:space="preserve">投标人所提供视频完整且清晰展示①各产品主要部件、型号，②温度显示、③各模式下的成像效果、④最高温及最低温指针搜寻等重点功能操作内容，⑤分辨率清晰。</w:t>
            </w:r>
            <w:r/>
          </w:p>
          <w:p>
            <w:pPr>
              <w:pStyle w:val="1061"/>
              <w:ind w:left="0"/>
            </w:pPr>
            <w:r>
              <w:rPr>
                <w:rFonts w:hint="eastAsia" w:asciiTheme="minorEastAsia" w:hAnsiTheme="minorEastAsia" w:eastAsiaTheme="minorEastAsia" w:cstheme="minorEastAsia"/>
                <w:sz w:val="21"/>
                <w:szCs w:val="21"/>
              </w:rPr>
              <w:t xml:space="preserve">上述每项应逐条根据系统功能演示进行综合评分：相关功能的演示全面、 能逐项体现采购需求中规定内容，且功能展示效果符合采购需求，所验证的相关需求参数科学可信，操作流程明确直观的得2分；相关功能的演示较全面、 能基本体现采购需求中规定内容，操作流程基本清晰的得1分；每项演示未能实现功能的不得分。本项满分10分。</w:t>
            </w:r>
            <w:r/>
          </w:p>
          <w:p>
            <w:pPr>
              <w:pStyle w:val="1061"/>
              <w:ind w:left="0"/>
              <w:rPr>
                <w:rFonts w:ascii="宋体" w:hAnsi="宋体"/>
                <w:sz w:val="21"/>
                <w:szCs w:val="21"/>
                <w:lang w:bidi="ar"/>
              </w:rPr>
            </w:pPr>
            <w:r>
              <w:rPr>
                <w:rFonts w:hint="eastAsia" w:asciiTheme="minorEastAsia" w:hAnsiTheme="minorEastAsia" w:eastAsiaTheme="minorEastAsia" w:cstheme="minorEastAsia"/>
                <w:b/>
                <w:bCs/>
                <w:sz w:val="21"/>
                <w:szCs w:val="21"/>
              </w:rPr>
              <w:t xml:space="preserve">注：1.投标人根据招标文件要求，以所投型号产品实物真实地进行视频演示，演示视频时间不少于3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投标人上传文件本身损坏等自身原因导致演示资料无法正常读取的视为无效演示，本项不得分，由投标人商自行承担责任。</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包四：</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shd w:val="clear" w:color="auto" w:fill="auto"/>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shd w:val="clear" w:color="auto" w:fill="auto"/>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shd w:val="clear" w:color="auto" w:fill="auto"/>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shd w:val="clear" w:color="auto" w:fill="auto"/>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shd w:val="clear" w:color="auto" w:fill="auto"/>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1.投标人所投设备产品“▲”重要技术参数（技术参数要求共6项）完全满足招标文件要求的得满分28.5分，每负偏离一项扣4.75分，扣完28.5分止；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2.投标人对所投产品一般技术参数（技术参数要求共15项非“▲”“★”参数）完全满足招标文件要求的得满分7.5分，每负偏离1项扣0.5 分，扣完7.5分止。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shd w:val="clear" w:color="auto" w:fill="auto"/>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36</w:t>
            </w:r>
            <w:r/>
          </w:p>
        </w:tc>
      </w:tr>
      <w:tr>
        <w:trPr>
          <w:trHeight w:val="90"/>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w:t>
            </w:r>
            <w:r/>
          </w:p>
          <w:p>
            <w:pPr>
              <w:ind w:left="0"/>
              <w:widowControl w:val="off"/>
              <w:rPr>
                <w:rFonts w:ascii="宋体" w:hAnsi="宋体"/>
                <w:sz w:val="21"/>
                <w:szCs w:val="21"/>
                <w:lang w:bidi="ar"/>
              </w:rPr>
            </w:pPr>
            <w:r>
              <w:rPr>
                <w:rFonts w:hint="eastAsia" w:ascii="宋体" w:hAnsi="宋体"/>
                <w:sz w:val="21"/>
                <w:szCs w:val="21"/>
                <w:lang w:bidi="ar"/>
              </w:rPr>
              <w:t xml:space="preserve">2.对用材用料进行评测。用材用料结实耐用，粘合无脱胶及表面渗胶。</w:t>
            </w:r>
            <w:r/>
          </w:p>
          <w:p>
            <w:pPr>
              <w:ind w:left="0"/>
              <w:widowControl w:val="off"/>
              <w:rPr>
                <w:rFonts w:ascii="宋体" w:hAnsi="宋体"/>
                <w:sz w:val="21"/>
                <w:szCs w:val="21"/>
                <w:lang w:bidi="ar"/>
              </w:rPr>
            </w:pPr>
            <w:r>
              <w:rPr>
                <w:rFonts w:hint="eastAsia" w:ascii="宋体" w:hAnsi="宋体"/>
                <w:sz w:val="21"/>
                <w:szCs w:val="21"/>
                <w:lang w:bidi="ar"/>
              </w:rPr>
              <w:t xml:space="preserve">3.对使用性能或易用性进行测试，样品使用按键、旋钮等操作部件反馈灵敏准确、操作及界面设计方便操作。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4.对外观配置进行评测。使用者可能触摸到的部件表面无锐利的棱角、无毛刺，款式、号型符合消防救援队伍标识统型要求。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w:t>
            </w:r>
            <w:r>
              <w:rPr>
                <w:rFonts w:hint="eastAsia" w:ascii="宋体" w:hAnsi="宋体" w:cs="Times New Roman"/>
                <w:sz w:val="21"/>
                <w:szCs w:val="21"/>
                <w:lang w:val="en-US" w:eastAsia="zh-CN"/>
              </w:rPr>
              <w:t xml:space="preserve">4</w:t>
            </w:r>
            <w:r>
              <w:rPr>
                <w:rFonts w:hint="eastAsia" w:ascii="宋体" w:hAnsi="宋体" w:cs="Times New Roman"/>
                <w:sz w:val="21"/>
                <w:szCs w:val="21"/>
              </w:rPr>
              <w:t xml:space="preserve">分；做工一般、整洁性一般得</w:t>
            </w:r>
            <w:r>
              <w:rPr>
                <w:rFonts w:hint="eastAsia" w:ascii="宋体" w:hAnsi="宋体" w:cs="Times New Roman"/>
                <w:sz w:val="21"/>
                <w:szCs w:val="21"/>
                <w:lang w:val="en-US" w:eastAsia="zh-CN"/>
              </w:rPr>
              <w:t xml:space="preserve">2</w:t>
            </w:r>
            <w:r>
              <w:rPr>
                <w:rFonts w:hint="eastAsia" w:ascii="宋体" w:hAnsi="宋体" w:cs="Times New Roman"/>
                <w:sz w:val="21"/>
                <w:szCs w:val="21"/>
              </w:rPr>
              <w:t xml:space="preserve">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16</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shd w:val="clear" w:color="auto" w:fill="auto"/>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shd w:val="clear" w:color="auto" w:fill="auto"/>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shd w:val="clear" w:color="auto" w:fill="auto"/>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shd w:val="clear" w:color="auto" w:fill="auto"/>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包五：</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1.投标人所投设备产品“▲”重要技术参数（技术参数要求共8项）完全满足招标文件要求的得满分20.8分，每负偏离一项扣2.6分，扣完20.8分止；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2.投标人对所投产品一般技术参数（技术参数要求共27项非“▲”“★”参数）完全满足招标文件要求的得满分16.2分，每负偏离1项扣0.6分，扣完16.2分止。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1.对工艺制作细节进行评测。样品工艺组装精细，部件之间衔接紧密，标志准确清晰。样品与所投产品型号、配置一致，产品尺寸及外观与招标文件要求相符。智能数据表，可显示发动机运行累计时间与转速。</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2.对舒适性进行评测。方便背负携带，泵组之间可以串联使用，并能正常工作。</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3.对用材用料进行评测。离心泵的泵壳、泵体使用轻质高强度防腐蚀材料，油箱接头使用扩张式铜环固定。</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4.对使用性能或易用性进行测试，样品使用按键、旋钮等操作部件反馈灵敏准确、操作及界面设计方便操作。</w:t>
            </w:r>
            <w:r/>
          </w:p>
          <w:p>
            <w:pPr>
              <w:ind w:left="0"/>
              <w:widowControl w:val="off"/>
              <w:rPr>
                <w:rFonts w:hint="eastAsia" w:ascii="宋体" w:hAnsi="宋体" w:cs="Times New Roman"/>
                <w:sz w:val="21"/>
                <w:szCs w:val="21"/>
              </w:rPr>
            </w:pPr>
            <w:r>
              <w:rPr>
                <w:rFonts w:hint="eastAsia" w:ascii="宋体" w:hAnsi="宋体"/>
                <w:sz w:val="21"/>
                <w:szCs w:val="21"/>
                <w:lang w:bidi="ar"/>
              </w:rPr>
              <w:t xml:space="preserve">5.对外观配置进行评测。使用者可能触摸到的部件表面无锐利的棱角、无毛刺，款式、号型符合消防救援队伍标识统型要求。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包六：</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1.投标人所投设备产品“▲”重要技术参数（技术参数要求共4项）完全满足招标文件要求的得满分23分，每负偏离一项扣5.75分，扣完23分止；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2.投标人对所投产品一般技术参数（技术参数要求共11项非“▲”“★”参数）完全满足招标文件要求的得满分22分，每负偏离1项扣2分，扣完22分止。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45</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供货方案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供货方案（包含但不限于：①送货车辆的具体安排、②送货人员、③卸货人员的配备、④卸货辅助设备的配备情况，⑤运输的方案、⑥对现场的防护等内容）进行综合评分：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产品质量控制保障方案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根据供应商提供的产品质量控制保障方案（包含但不限于：①产品质量检查、②检查人员配备、③检测设备配备、④检查流程、⑤质量控制管理制度等内容）进行综合评分：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产品存储培训方案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结合本项目采购需求，对投标人的产品存储培训方案（①培训时间计划及培训人员安排；②培训内容设计安排；③重点难点及培训结果保障措施）等进行综合评审：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rPr>
          <w:rFonts w:ascii="宋体" w:hAnsi="宋体" w:cs="Times New Roman"/>
          <w:b/>
          <w:sz w:val="21"/>
          <w:szCs w:val="21"/>
        </w:rPr>
      </w:pPr>
      <w:r>
        <w:rPr>
          <w:rFonts w:hint="eastAsia" w:ascii="宋体" w:hAnsi="宋体" w:cs="Times New Roman"/>
          <w:b/>
          <w:sz w:val="21"/>
          <w:szCs w:val="21"/>
        </w:rPr>
        <w:br w:type="page" w:clear="all"/>
      </w:r>
      <w:r/>
    </w:p>
    <w:p>
      <w:pPr>
        <w:ind w:left="0"/>
        <w:spacing w:line="360" w:lineRule="auto"/>
        <w:rPr>
          <w:rFonts w:ascii="宋体" w:hAnsi="宋体" w:cs="Times New Roman"/>
          <w:b/>
          <w:sz w:val="21"/>
          <w:szCs w:val="21"/>
        </w:rPr>
        <w:outlineLvl w:val="0"/>
      </w:pPr>
      <w:r>
        <w:rPr>
          <w:rFonts w:hint="eastAsia" w:ascii="宋体" w:hAnsi="宋体" w:cs="Times New Roman"/>
          <w:b/>
          <w:sz w:val="21"/>
          <w:szCs w:val="21"/>
        </w:rPr>
        <w:t xml:space="preserve">包七：</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1.投标人所投设备产品“▲”重要技术参数（技术参数要求共4项）完全满足招标文件要求的得满分19分，每负偏离一项扣4.75分，扣完19分止；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注：技术参数响应指标与检验报告（采购需求中若要求提供时）或样品（采购需求中若要求提供时）实际参数或标书内其他支持文件不一致的属于负偏离。</w:t>
            </w:r>
            <w:r/>
          </w:p>
          <w:p>
            <w:pPr>
              <w:ind w:left="0"/>
              <w:widowControl w:val="off"/>
              <w:rPr>
                <w:rFonts w:ascii="宋体" w:hAnsi="宋体"/>
                <w:sz w:val="21"/>
                <w:szCs w:val="21"/>
                <w:lang w:bidi="ar"/>
              </w:rPr>
            </w:pPr>
            <w:r>
              <w:rPr>
                <w:rFonts w:hint="eastAsia" w:ascii="宋体" w:hAnsi="宋体"/>
                <w:sz w:val="21"/>
                <w:szCs w:val="21"/>
                <w:lang w:bidi="ar"/>
              </w:rPr>
              <w:t xml:space="preserve">2.投标人对所投产品一般技术参数（技术参数要求共12项非“▲”“★”参数）完全满足招标文件要求的得满分18分，每负偏离1项扣1.5 分，扣完18分止。</w:t>
            </w:r>
            <w:r/>
          </w:p>
          <w:p>
            <w:pPr>
              <w:ind w:left="0"/>
              <w:widowControl w:val="off"/>
              <w:rPr>
                <w:rFonts w:ascii="宋体" w:hAnsi="宋体"/>
                <w:b/>
                <w:bCs/>
                <w:sz w:val="21"/>
                <w:szCs w:val="21"/>
                <w:lang w:bidi="ar"/>
              </w:rPr>
            </w:pPr>
            <w:r>
              <w:rPr>
                <w:rFonts w:hint="eastAsia" w:ascii="宋体" w:hAnsi="宋体"/>
                <w:b/>
                <w:bCs/>
                <w:sz w:val="21"/>
                <w:szCs w:val="21"/>
                <w:lang w:bidi="ar"/>
              </w:rPr>
              <w:t xml:space="preserve">注：</w:t>
            </w:r>
            <w:r/>
          </w:p>
          <w:p>
            <w:pPr>
              <w:ind w:left="0"/>
              <w:widowControl w:val="off"/>
              <w:rPr>
                <w:rFonts w:ascii="宋体" w:hAnsi="宋体"/>
                <w:b/>
                <w:bCs/>
                <w:sz w:val="21"/>
                <w:szCs w:val="21"/>
                <w:lang w:bidi="ar"/>
              </w:rPr>
            </w:pPr>
            <w:r>
              <w:rPr>
                <w:rFonts w:hint="eastAsia" w:ascii="宋体" w:hAnsi="宋体"/>
                <w:b/>
                <w:bCs/>
                <w:sz w:val="21"/>
                <w:szCs w:val="21"/>
                <w:lang w:bidi="ar"/>
              </w:rPr>
              <w:t xml:space="preserve">1.一般技术参数响应条款如有缺、漏项的，则该项视为负偏离；</w:t>
            </w:r>
            <w:r/>
          </w:p>
          <w:p>
            <w:pPr>
              <w:ind w:left="0"/>
              <w:widowControl w:val="off"/>
              <w:rPr>
                <w:rFonts w:ascii="宋体" w:hAnsi="宋体"/>
                <w:sz w:val="21"/>
                <w:szCs w:val="21"/>
                <w:lang w:bidi="ar"/>
              </w:rPr>
            </w:pPr>
            <w:r>
              <w:rPr>
                <w:rFonts w:hint="eastAsia" w:ascii="宋体" w:hAnsi="宋体"/>
                <w:b/>
                <w:bCs/>
                <w:sz w:val="21"/>
                <w:szCs w:val="21"/>
                <w:lang w:bidi="ar"/>
              </w:rPr>
              <w:t xml:space="preserve">2.技术参数响应指标与检验报告（采购需求中若要求提供时）或样品（采购需求中若要求提供时）实际参数或标书内其他支持文件不一致的属于负偏离。</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样品</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结合投标人提供的各类别产品样品与招标文件采购需求的“点对点”响应性：</w:t>
            </w:r>
            <w:r/>
          </w:p>
          <w:p>
            <w:pPr>
              <w:ind w:left="0"/>
              <w:widowControl w:val="off"/>
              <w:rPr>
                <w:rFonts w:ascii="宋体" w:hAnsi="宋体"/>
                <w:sz w:val="21"/>
                <w:szCs w:val="21"/>
                <w:lang w:bidi="ar"/>
              </w:rPr>
            </w:pPr>
            <w:r>
              <w:rPr>
                <w:rFonts w:hint="eastAsia" w:ascii="宋体" w:hAnsi="宋体"/>
                <w:sz w:val="21"/>
                <w:szCs w:val="21"/>
                <w:lang w:bidi="ar"/>
              </w:rPr>
              <w:t xml:space="preserve">1.对工艺制作细节进行评测。样品工艺组装精细，部件之间衔接紧密，面罩结构精密，球形面屏视野开阔，固定方式做工细致。考虑使用场景进行细节设计制作，符合采购需求中所述质量要求。</w:t>
            </w:r>
            <w:r/>
          </w:p>
          <w:p>
            <w:pPr>
              <w:ind w:left="0"/>
              <w:widowControl w:val="off"/>
              <w:rPr>
                <w:rFonts w:ascii="宋体" w:hAnsi="宋体"/>
                <w:sz w:val="21"/>
                <w:szCs w:val="21"/>
                <w:lang w:bidi="ar"/>
              </w:rPr>
            </w:pPr>
            <w:r>
              <w:rPr>
                <w:rFonts w:hint="eastAsia" w:ascii="宋体" w:hAnsi="宋体"/>
                <w:sz w:val="21"/>
                <w:szCs w:val="21"/>
                <w:lang w:bidi="ar"/>
              </w:rPr>
              <w:t xml:space="preserve">2.对舒适性进行评测。佩戴时半面罩贴合面部，密封性能良好，材质舒适。头网罩透气性能良好，呼吸器工作正常，佩戴者呼吸流畅。</w:t>
            </w:r>
            <w:r/>
          </w:p>
          <w:p>
            <w:pPr>
              <w:ind w:left="0"/>
              <w:widowControl w:val="off"/>
              <w:rPr>
                <w:rFonts w:ascii="宋体" w:hAnsi="宋体"/>
                <w:sz w:val="21"/>
                <w:szCs w:val="21"/>
                <w:lang w:bidi="ar"/>
              </w:rPr>
            </w:pPr>
            <w:r>
              <w:rPr>
                <w:rFonts w:hint="eastAsia" w:ascii="宋体" w:hAnsi="宋体"/>
                <w:sz w:val="21"/>
                <w:szCs w:val="21"/>
                <w:lang w:bidi="ar"/>
              </w:rPr>
              <w:t xml:space="preserve">3.对用材用料进行评测。用材用料结实耐用，评测面罩接头与供气阀接头之间的连接结实。</w:t>
            </w:r>
            <w:r/>
          </w:p>
          <w:p>
            <w:pPr>
              <w:ind w:left="0"/>
              <w:widowControl w:val="off"/>
              <w:rPr>
                <w:rFonts w:ascii="宋体" w:hAnsi="宋体"/>
                <w:sz w:val="21"/>
                <w:szCs w:val="21"/>
                <w:lang w:bidi="ar"/>
              </w:rPr>
            </w:pPr>
            <w:r>
              <w:rPr>
                <w:rFonts w:hint="eastAsia" w:ascii="宋体" w:hAnsi="宋体"/>
                <w:sz w:val="21"/>
                <w:szCs w:val="21"/>
                <w:lang w:bidi="ar"/>
              </w:rPr>
              <w:t xml:space="preserve">4.对使用性能或易用性进行测试，样品语音指令控制操作流畅；使用投标人提供的数据线，与对讲机匹配方便迅速，通讯音质清晰无啸叫和回声。</w:t>
            </w:r>
            <w:r/>
          </w:p>
          <w:p>
            <w:pPr>
              <w:ind w:left="0"/>
              <w:widowControl w:val="off"/>
              <w:rPr>
                <w:rFonts w:hint="eastAsia" w:ascii="宋体" w:hAnsi="宋体"/>
                <w:sz w:val="21"/>
                <w:szCs w:val="21"/>
                <w:lang w:bidi="ar"/>
              </w:rPr>
            </w:pPr>
            <w:r>
              <w:rPr>
                <w:rFonts w:hint="eastAsia" w:ascii="宋体" w:hAnsi="宋体"/>
                <w:sz w:val="21"/>
                <w:szCs w:val="21"/>
                <w:lang w:bidi="ar"/>
              </w:rPr>
              <w:t xml:space="preserve">5.对外观配置进行评测。使用者可能触摸到的部件表面无锐利的棱角、无毛刺，整机重量符合招标文件要求。</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w:t>
            </w:r>
            <w:r>
              <w:rPr>
                <w:rFonts w:hint="eastAsia" w:ascii="宋体" w:hAnsi="宋体" w:cs="Times New Roman"/>
                <w:sz w:val="21"/>
                <w:szCs w:val="21"/>
              </w:rPr>
              <w:t xml:space="preserve">做工精良、美观整洁得3分；做工一般、整洁性一般得1.5分</w:t>
            </w:r>
            <w:r>
              <w:rPr>
                <w:rFonts w:hint="eastAsia" w:ascii="宋体" w:hAnsi="宋体" w:cs="Times New Roman"/>
                <w:sz w:val="21"/>
                <w:szCs w:val="21"/>
                <w:lang w:eastAsia="zh-CN"/>
              </w:rPr>
              <w:t xml:space="preserve">。</w:t>
            </w:r>
            <w:r>
              <w:rPr>
                <w:rFonts w:hint="eastAsia" w:ascii="宋体" w:hAnsi="宋体"/>
                <w:sz w:val="21"/>
                <w:szCs w:val="21"/>
                <w:lang w:bidi="ar"/>
              </w:rPr>
              <w:t xml:space="preserve">本项最高得</w:t>
            </w:r>
            <w:r>
              <w:rPr>
                <w:rFonts w:hint="eastAsia" w:ascii="宋体" w:hAnsi="宋体"/>
                <w:sz w:val="21"/>
                <w:szCs w:val="21"/>
                <w:lang w:val="en-US" w:eastAsia="zh-CN" w:bidi="ar"/>
              </w:rPr>
              <w:t xml:space="preserve">15</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b/>
                <w:bCs/>
                <w:sz w:val="21"/>
                <w:szCs w:val="21"/>
                <w:lang w:bidi="ar"/>
              </w:rPr>
              <w:t xml:space="preserve">注：未按招标文件要求提交样品的不得分。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及人员网点配置；②响应时间；③零配件供应周期、备货储存、工时费等；④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投标人所投产品质保期响应招标文件最低要求（质保三年）基础上每增加一年加1分，最高得2分。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4678"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hint="eastAsia" w:ascii="宋体" w:hAnsi="宋体"/>
                <w:bCs/>
                <w:sz w:val="21"/>
                <w:szCs w:val="21"/>
                <w:lang w:bidi="ar"/>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Style w:val="1059"/>
                <w:rFonts w:hint="eastAsia"/>
                <w:b/>
                <w:bCs/>
                <w:sz w:val="21"/>
                <w:szCs w:val="21"/>
                <w:lang w:val="en-US" w:eastAsia="zh-CN"/>
              </w:rPr>
              <w:t xml:space="preserve">本项最高2分。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合同履约能力</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必须与投标文件中产品型号一致）近4年（自2022年4月份）以来有销售业绩的（非单一产品包为核心产品）。类似业绩日期认定：以签订合同日期为准。每提供一份有效业绩证明材料得1分，最多得4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bl>
    <w:p>
      <w:pPr>
        <w:ind w:left="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9"/>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6"/>
    <w:uiPriority w:val="99"/>
  </w:style>
  <w:style w:type="character" w:styleId="861">
    <w:name w:val="Footer Char"/>
    <w:basedOn w:val="1003"/>
    <w:link w:val="1034"/>
    <w:uiPriority w:val="99"/>
  </w:style>
  <w:style w:type="character" w:styleId="862">
    <w:name w:val="Caption Char"/>
    <w:basedOn w:val="1012"/>
    <w:link w:val="1034"/>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2"/>
    <w:uiPriority w:val="99"/>
    <w:rPr>
      <w:sz w:val="18"/>
    </w:rPr>
  </w:style>
  <w:style w:type="character" w:styleId="989">
    <w:name w:val="Endnote Text Char"/>
    <w:link w:val="1031"/>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5"/>
    <w:uiPriority w:val="0"/>
    <w:qFormat/>
    <w:pPr>
      <w:ind w:left="1024"/>
      <w:jc w:val="both"/>
    </w:pPr>
    <w:rPr>
      <w:rFonts w:ascii="Calibri" w:hAnsi="Calibri" w:eastAsia="宋体" w:cs="宋体"/>
      <w:lang w:val="en-US" w:eastAsia="zh-CN" w:bidi="ar-SA"/>
    </w:rPr>
  </w:style>
  <w:style w:type="paragraph" w:styleId="994">
    <w:name w:val="Heading 1"/>
    <w:basedOn w:val="993"/>
    <w:next w:val="993"/>
    <w:uiPriority w:val="0"/>
    <w:qFormat/>
    <w:pPr>
      <w:ind w:left="432" w:firstLine="18"/>
      <w:spacing w:before="340" w:after="330" w:line="578" w:lineRule="auto"/>
      <w:outlineLvl w:val="0"/>
    </w:pPr>
  </w:style>
  <w:style w:type="paragraph" w:styleId="995">
    <w:name w:val="Heading 2"/>
    <w:basedOn w:val="993"/>
    <w:next w:val="993"/>
    <w:uiPriority w:val="0"/>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6"/>
    <w:uiPriority w:val="0"/>
    <w:qFormat/>
    <w:pPr>
      <w:ind w:left="720"/>
      <w:spacing w:before="260" w:after="260" w:line="416" w:lineRule="auto"/>
      <w:outlineLvl w:val="2"/>
    </w:pPr>
    <w:rPr>
      <w:rFonts w:ascii="Times New Roman" w:hAnsi="Times New Roman" w:cs="Times New Roman"/>
    </w:rPr>
  </w:style>
  <w:style w:type="paragraph" w:styleId="997">
    <w:name w:val="Heading 4"/>
    <w:basedOn w:val="994"/>
    <w:next w:val="993"/>
    <w:uiPriority w:val="0"/>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uiPriority w:val="0"/>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uiPriority w:val="0"/>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uiPriority w:val="0"/>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uiPriority w:val="0"/>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uiPriority w:val="0"/>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qFormat/>
  </w:style>
  <w:style w:type="table" w:styleId="1004" w:default="1">
    <w:name w:val="Normal Table"/>
    <w:uiPriority w:val="99"/>
    <w:semiHidden/>
    <w:unhideWhenUsed/>
    <w:qFormat/>
    <w:tblPr>
      <w:tblCellMar>
        <w:left w:w="108" w:type="dxa"/>
        <w:top w:w="0" w:type="dxa"/>
        <w:right w:w="108" w:type="dxa"/>
        <w:bottom w:w="0" w:type="dxa"/>
      </w:tblCellMar>
    </w:tblPr>
  </w:style>
  <w:style w:type="paragraph" w:styleId="1005">
    <w:name w:val="Body Text Indent"/>
    <w:basedOn w:val="993"/>
    <w:next w:val="993"/>
    <w:uiPriority w:val="0"/>
    <w:qFormat/>
    <w:pPr>
      <w:ind w:left="420" w:firstLine="1188"/>
      <w:spacing w:line="360" w:lineRule="exact"/>
    </w:pPr>
    <w:rPr>
      <w:rFonts w:ascii="Times New Roman" w:hAnsi="Times New Roman" w:cs="Times New Roman"/>
    </w:rPr>
  </w:style>
  <w:style w:type="paragraph" w:styleId="1006" w:customStyle="1">
    <w:name w:val="正文2"/>
    <w:basedOn w:val="993"/>
    <w:next w:val="993"/>
    <w:uiPriority w:val="0"/>
    <w:qFormat/>
    <w:pPr>
      <w:ind w:left="0" w:hanging="2155"/>
      <w:spacing w:line="360" w:lineRule="auto"/>
      <w:shd w:val="clear" w:color="auto" w:fill="ffffff"/>
    </w:pPr>
    <w:rPr>
      <w:rFonts w:ascii="宋体" w:hAnsi="宋体"/>
    </w:rPr>
  </w:style>
  <w:style w:type="paragraph" w:styleId="1007">
    <w:name w:val="toc 7"/>
    <w:basedOn w:val="994"/>
    <w:next w:val="993"/>
    <w:uiPriority w:val="0"/>
    <w:qFormat/>
    <w:pPr>
      <w:ind w:left="1640" w:firstLine="3784"/>
      <w:spacing w:before="0" w:after="0" w:line="360" w:lineRule="auto"/>
    </w:pPr>
    <w:rPr>
      <w:rFonts w:ascii="Times New Roman" w:hAnsi="Times New Roman" w:cs="Times New Roman"/>
    </w:rPr>
  </w:style>
  <w:style w:type="paragraph" w:styleId="1008">
    <w:name w:val="List Bullet 4"/>
    <w:basedOn w:val="994"/>
    <w:next w:val="1009"/>
    <w:uiPriority w:val="0"/>
    <w:qFormat/>
    <w:pPr>
      <w:ind w:left="1620" w:firstLine="2652"/>
      <w:spacing w:before="0" w:after="0" w:line="360" w:lineRule="auto"/>
    </w:pPr>
    <w:rPr>
      <w:rFonts w:ascii="Times New Roman" w:hAnsi="Times New Roman" w:cs="Times New Roman"/>
    </w:rPr>
  </w:style>
  <w:style w:type="paragraph" w:styleId="1009">
    <w:name w:val="List Bullet 2"/>
    <w:basedOn w:val="994"/>
    <w:next w:val="993"/>
    <w:uiPriority w:val="0"/>
    <w:qFormat/>
    <w:pPr>
      <w:ind w:left="900" w:firstLine="2652"/>
      <w:spacing w:before="0" w:after="0" w:line="360" w:lineRule="auto"/>
    </w:pPr>
    <w:rPr>
      <w:rFonts w:ascii="Times New Roman" w:hAnsi="Times New Roman" w:cs="Times New Roman"/>
    </w:rPr>
  </w:style>
  <w:style w:type="paragraph" w:styleId="1010">
    <w:name w:val="List Number"/>
    <w:basedOn w:val="994"/>
    <w:next w:val="993"/>
    <w:uiPriority w:val="0"/>
    <w:qFormat/>
    <w:pPr>
      <w:ind w:left="454" w:firstLine="2788"/>
      <w:spacing w:before="0" w:after="0" w:line="240" w:lineRule="auto"/>
    </w:pPr>
    <w:rPr>
      <w:rFonts w:ascii="Times New Roman" w:hAnsi="Times New Roman" w:cs="Times New Roman"/>
    </w:rPr>
  </w:style>
  <w:style w:type="paragraph" w:styleId="1011">
    <w:name w:val="Normal Indent"/>
    <w:basedOn w:val="993"/>
    <w:next w:val="993"/>
    <w:link w:val="1062"/>
    <w:uiPriority w:val="0"/>
    <w:qFormat/>
    <w:pPr>
      <w:ind w:left="420" w:firstLine="4772"/>
    </w:pPr>
  </w:style>
  <w:style w:type="paragraph" w:styleId="1012">
    <w:name w:val="Caption"/>
    <w:basedOn w:val="994"/>
    <w:next w:val="993"/>
    <w:uiPriority w:val="0"/>
    <w:qFormat/>
    <w:pPr>
      <w:ind w:left="200" w:firstLine="2248"/>
      <w:jc w:val="center"/>
      <w:spacing w:before="0" w:after="0" w:line="240" w:lineRule="auto"/>
    </w:pPr>
    <w:rPr>
      <w:rFonts w:ascii="Times New Roman" w:hAnsi="Times New Roman" w:cs="Times New Roman"/>
    </w:rPr>
  </w:style>
  <w:style w:type="paragraph" w:styleId="1013">
    <w:name w:val="List Bullet"/>
    <w:basedOn w:val="994"/>
    <w:next w:val="993"/>
    <w:uiPriority w:val="0"/>
    <w:qFormat/>
    <w:pPr>
      <w:ind w:left="900" w:firstLine="2652"/>
      <w:spacing w:before="0" w:after="0" w:line="360" w:lineRule="auto"/>
    </w:pPr>
    <w:rPr>
      <w:rFonts w:ascii="Times New Roman" w:hAnsi="Times New Roman" w:cs="Times New Roman"/>
    </w:rPr>
  </w:style>
  <w:style w:type="paragraph" w:styleId="1014">
    <w:name w:val="Document Map"/>
    <w:basedOn w:val="994"/>
    <w:next w:val="1015"/>
    <w:uiPriority w:val="0"/>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3"/>
    <w:uiPriority w:val="0"/>
    <w:qFormat/>
    <w:pPr>
      <w:ind w:firstLine="4608"/>
      <w:spacing w:line="360" w:lineRule="auto"/>
    </w:pPr>
    <w:rPr>
      <w:rFonts w:ascii="Calibri" w:hAnsi="Calibri" w:eastAsia="宋体" w:cs="宋体"/>
      <w:lang w:val="en-US" w:eastAsia="zh-CN" w:bidi="ar-SA"/>
    </w:rPr>
  </w:style>
  <w:style w:type="paragraph" w:styleId="1016">
    <w:name w:val="annotation text"/>
    <w:basedOn w:val="993"/>
    <w:next w:val="993"/>
    <w:uiPriority w:val="0"/>
    <w:qFormat/>
    <w:pPr>
      <w:ind w:left="0" w:firstLine="3584"/>
      <w:spacing w:line="360" w:lineRule="auto"/>
    </w:pPr>
    <w:rPr>
      <w:rFonts w:ascii="Times New Roman" w:hAnsi="Times New Roman" w:cs="Times New Roman"/>
    </w:rPr>
  </w:style>
  <w:style w:type="paragraph" w:styleId="1017">
    <w:name w:val="Body Text 3"/>
    <w:basedOn w:val="994"/>
    <w:next w:val="993"/>
    <w:uiPriority w:val="0"/>
    <w:qFormat/>
    <w:pPr>
      <w:ind w:left="0" w:firstLine="2048"/>
      <w:spacing w:before="0" w:after="0" w:line="500" w:lineRule="exact"/>
    </w:pPr>
    <w:rPr>
      <w:rFonts w:ascii="Times New Roman" w:hAnsi="Times New Roman" w:cs="Times New Roman"/>
    </w:rPr>
  </w:style>
  <w:style w:type="paragraph" w:styleId="1018">
    <w:name w:val="List Bullet 3"/>
    <w:basedOn w:val="994"/>
    <w:next w:val="993"/>
    <w:uiPriority w:val="0"/>
    <w:qFormat/>
    <w:pPr>
      <w:ind w:left="900" w:firstLine="2652"/>
      <w:spacing w:before="0" w:after="0" w:line="360" w:lineRule="auto"/>
    </w:pPr>
    <w:rPr>
      <w:rFonts w:ascii="Times New Roman" w:hAnsi="Times New Roman" w:cs="Times New Roman"/>
    </w:rPr>
  </w:style>
  <w:style w:type="paragraph" w:styleId="1019">
    <w:name w:val="Body Text"/>
    <w:basedOn w:val="993"/>
    <w:next w:val="993"/>
    <w:uiPriority w:val="0"/>
    <w:qFormat/>
    <w:pPr>
      <w:ind w:left="0" w:firstLine="2560"/>
    </w:pPr>
    <w:rPr>
      <w:rFonts w:ascii="Times New Roman" w:hAnsi="Times New Roman" w:cs="Times New Roman"/>
    </w:rPr>
  </w:style>
  <w:style w:type="paragraph" w:styleId="1020">
    <w:name w:val="List Number 3"/>
    <w:basedOn w:val="994"/>
    <w:next w:val="993"/>
    <w:uiPriority w:val="0"/>
    <w:qFormat/>
    <w:pPr>
      <w:ind w:left="420" w:firstLine="3584"/>
      <w:spacing w:before="0" w:after="0" w:line="240" w:lineRule="auto"/>
    </w:pPr>
    <w:rPr>
      <w:rFonts w:ascii="Times New Roman" w:hAnsi="Times New Roman" w:cs="Times New Roman"/>
    </w:rPr>
  </w:style>
  <w:style w:type="paragraph" w:styleId="1021">
    <w:name w:val="List 2"/>
    <w:basedOn w:val="994"/>
    <w:next w:val="1007"/>
    <w:uiPriority w:val="0"/>
    <w:qFormat/>
    <w:pPr>
      <w:ind w:left="100" w:firstLine="3640"/>
      <w:spacing w:before="0" w:after="0" w:line="240" w:lineRule="auto"/>
    </w:pPr>
    <w:rPr>
      <w:rFonts w:ascii="Times New Roman" w:hAnsi="Times New Roman" w:cs="Times New Roman"/>
    </w:rPr>
  </w:style>
  <w:style w:type="paragraph" w:styleId="1022">
    <w:name w:val="Block Text"/>
    <w:basedOn w:val="994"/>
    <w:next w:val="993"/>
    <w:uiPriority w:val="0"/>
    <w:qFormat/>
    <w:pPr>
      <w:ind w:left="420" w:right="33" w:firstLine="2560"/>
      <w:spacing w:before="0" w:after="0" w:line="240" w:lineRule="auto"/>
    </w:pPr>
    <w:rPr>
      <w:rFonts w:ascii="Times New Roman" w:hAnsi="Times New Roman" w:cs="Times New Roman"/>
    </w:rPr>
  </w:style>
  <w:style w:type="paragraph" w:styleId="1023">
    <w:name w:val="toc 5"/>
    <w:basedOn w:val="994"/>
    <w:next w:val="993"/>
    <w:uiPriority w:val="0"/>
    <w:qFormat/>
    <w:pPr>
      <w:ind w:left="1160" w:firstLine="3784"/>
      <w:spacing w:before="0" w:after="0" w:line="360" w:lineRule="auto"/>
    </w:pPr>
    <w:rPr>
      <w:rFonts w:ascii="Times New Roman" w:hAnsi="Times New Roman" w:cs="Times New Roman"/>
    </w:rPr>
  </w:style>
  <w:style w:type="paragraph" w:styleId="1024">
    <w:name w:val="toc 3"/>
    <w:basedOn w:val="994"/>
    <w:next w:val="993"/>
    <w:uiPriority w:val="0"/>
    <w:qFormat/>
    <w:pPr>
      <w:ind w:left="0" w:firstLine="1024"/>
      <w:spacing w:before="0" w:after="0" w:line="360" w:lineRule="auto"/>
    </w:pPr>
    <w:rPr>
      <w:rFonts w:ascii="Times New Roman" w:hAnsi="Times New Roman" w:cs="Times New Roman"/>
    </w:rPr>
  </w:style>
  <w:style w:type="paragraph" w:styleId="1025">
    <w:name w:val="Plain Text"/>
    <w:basedOn w:val="993"/>
    <w:uiPriority w:val="0"/>
    <w:qFormat/>
    <w:pPr>
      <w:ind w:left="0" w:firstLine="2048"/>
    </w:pPr>
    <w:rPr>
      <w:rFonts w:ascii="Times New Roman" w:hAnsi="Times New Roman" w:cs="Times New Roman"/>
    </w:rPr>
  </w:style>
  <w:style w:type="paragraph" w:styleId="1026">
    <w:name w:val="List Bullet 5"/>
    <w:basedOn w:val="994"/>
    <w:next w:val="1027"/>
    <w:uiPriority w:val="0"/>
    <w:qFormat/>
    <w:pPr>
      <w:ind w:left="2040" w:firstLine="2560"/>
      <w:spacing w:before="0" w:after="0" w:line="360" w:lineRule="auto"/>
    </w:pPr>
    <w:rPr>
      <w:rFonts w:ascii="Times New Roman" w:hAnsi="Times New Roman" w:cs="Times New Roman"/>
    </w:rPr>
  </w:style>
  <w:style w:type="paragraph" w:styleId="1027" w:customStyle="1">
    <w:name w:val="正文首行缩进1"/>
    <w:next w:val="1020"/>
    <w:uiPriority w:val="0"/>
    <w:qFormat/>
    <w:pPr>
      <w:ind w:left="420" w:firstLine="2724"/>
      <w:spacing w:after="120" w:line="360" w:lineRule="auto"/>
    </w:pPr>
    <w:rPr>
      <w:rFonts w:ascii="Calibri" w:hAnsi="Calibri" w:eastAsia="宋体" w:cs="宋体"/>
      <w:lang w:val="en-US" w:eastAsia="zh-CN" w:bidi="ar-SA"/>
    </w:rPr>
  </w:style>
  <w:style w:type="paragraph" w:styleId="1028">
    <w:name w:val="toc 8"/>
    <w:basedOn w:val="994"/>
    <w:next w:val="993"/>
    <w:uiPriority w:val="0"/>
    <w:qFormat/>
    <w:pPr>
      <w:ind w:left="1880" w:firstLine="3784"/>
      <w:spacing w:before="0" w:after="0" w:line="360" w:lineRule="auto"/>
    </w:pPr>
    <w:rPr>
      <w:rFonts w:ascii="Times New Roman" w:hAnsi="Times New Roman" w:cs="Times New Roman"/>
    </w:rPr>
  </w:style>
  <w:style w:type="paragraph" w:styleId="1029">
    <w:name w:val="Date"/>
    <w:basedOn w:val="994"/>
    <w:next w:val="993"/>
    <w:uiPriority w:val="0"/>
    <w:qFormat/>
    <w:pPr>
      <w:ind w:left="0" w:firstLine="2560"/>
      <w:spacing w:before="0" w:after="0" w:line="240" w:lineRule="auto"/>
    </w:pPr>
    <w:rPr>
      <w:rFonts w:ascii="Times New Roman" w:hAnsi="Times New Roman" w:cs="Times New Roman"/>
    </w:rPr>
  </w:style>
  <w:style w:type="paragraph" w:styleId="1030">
    <w:name w:val="Body Text Indent 2"/>
    <w:basedOn w:val="994"/>
    <w:next w:val="1005"/>
    <w:uiPriority w:val="0"/>
    <w:qFormat/>
    <w:pPr>
      <w:ind w:left="481" w:firstLine="2784"/>
      <w:spacing w:before="0" w:after="0" w:line="400" w:lineRule="exact"/>
    </w:pPr>
    <w:rPr>
      <w:rFonts w:ascii="Times New Roman" w:hAnsi="Times New Roman" w:cs="Times New Roman"/>
    </w:rPr>
  </w:style>
  <w:style w:type="paragraph" w:styleId="1031">
    <w:name w:val="endnote text"/>
    <w:basedOn w:val="994"/>
    <w:next w:val="1032"/>
    <w:uiPriority w:val="0"/>
    <w:qFormat/>
    <w:pPr>
      <w:ind w:left="0" w:firstLine="2560"/>
      <w:spacing w:before="0" w:after="0" w:line="360" w:lineRule="auto"/>
    </w:pPr>
    <w:rPr>
      <w:rFonts w:ascii="Times New Roman" w:hAnsi="Times New Roman" w:cs="Times New Roman"/>
    </w:rPr>
  </w:style>
  <w:style w:type="paragraph" w:styleId="1032" w:customStyle="1">
    <w:name w:val="Char11"/>
    <w:basedOn w:val="994"/>
    <w:next w:val="993"/>
    <w:uiPriority w:val="0"/>
    <w:qFormat/>
    <w:pPr>
      <w:ind w:left="0" w:firstLine="3584"/>
      <w:spacing w:before="0" w:after="0" w:line="240" w:lineRule="auto"/>
    </w:pPr>
    <w:rPr>
      <w:rFonts w:ascii="Times New Roman" w:hAnsi="Times New Roman" w:cs="Times New Roman"/>
    </w:rPr>
  </w:style>
  <w:style w:type="paragraph" w:styleId="1033">
    <w:name w:val="Balloon Text"/>
    <w:basedOn w:val="994"/>
    <w:next w:val="1010"/>
    <w:uiPriority w:val="0"/>
    <w:qFormat/>
    <w:pPr>
      <w:ind w:left="0" w:firstLine="2048"/>
      <w:spacing w:before="0" w:after="0" w:line="240" w:lineRule="auto"/>
    </w:pPr>
    <w:rPr>
      <w:rFonts w:ascii="Times New Roman" w:hAnsi="Times New Roman" w:cs="Times New Roman"/>
    </w:rPr>
  </w:style>
  <w:style w:type="paragraph" w:styleId="1034">
    <w:name w:val="Footer"/>
    <w:basedOn w:val="993"/>
    <w:next w:val="1035"/>
    <w:link w:val="1063"/>
    <w:uiPriority w:val="0"/>
    <w:qFormat/>
    <w:pPr>
      <w:ind w:left="0" w:firstLine="3584"/>
    </w:pPr>
  </w:style>
  <w:style w:type="paragraph" w:styleId="1035" w:customStyle="1">
    <w:name w:val="Char Char Char Char Char Char Char Char Char Char Char Char Char"/>
    <w:basedOn w:val="994"/>
    <w:next w:val="993"/>
    <w:uiPriority w:val="0"/>
    <w:qFormat/>
    <w:pPr>
      <w:ind w:left="0" w:firstLine="3584"/>
      <w:spacing w:before="0" w:after="160" w:line="240" w:lineRule="exact"/>
    </w:pPr>
    <w:rPr>
      <w:rFonts w:ascii="Times New Roman" w:hAnsi="Times New Roman" w:cs="Times New Roman"/>
    </w:rPr>
  </w:style>
  <w:style w:type="paragraph" w:styleId="1036">
    <w:name w:val="Header"/>
    <w:basedOn w:val="994"/>
    <w:next w:val="1029"/>
    <w:link w:val="1064"/>
    <w:uiPriority w:val="0"/>
    <w:qFormat/>
    <w:pPr>
      <w:ind w:left="0" w:firstLine="3584"/>
      <w:jc w:val="center"/>
      <w:spacing w:before="0" w:after="0" w:line="240" w:lineRule="auto"/>
    </w:pPr>
  </w:style>
  <w:style w:type="paragraph" w:styleId="103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38">
    <w:name w:val="toc 4"/>
    <w:basedOn w:val="994"/>
    <w:next w:val="993"/>
    <w:uiPriority w:val="0"/>
    <w:qFormat/>
    <w:pPr>
      <w:ind w:left="1260" w:firstLine="1024"/>
      <w:spacing w:before="0" w:after="0" w:line="240" w:lineRule="auto"/>
    </w:pPr>
    <w:rPr>
      <w:rFonts w:ascii="Times New Roman" w:hAnsi="Times New Roman" w:cs="Times New Roman"/>
    </w:rPr>
  </w:style>
  <w:style w:type="paragraph" w:styleId="1039">
    <w:name w:val="Subtitle"/>
    <w:next w:val="993"/>
    <w:uiPriority w:val="0"/>
    <w:qFormat/>
    <w:pPr>
      <w:ind w:left="1024"/>
      <w:jc w:val="center"/>
      <w:spacing w:after="60"/>
    </w:pPr>
    <w:rPr>
      <w:rFonts w:ascii="Calibri" w:hAnsi="Calibri" w:eastAsia="宋体" w:cs="宋体"/>
      <w:lang w:val="en-US" w:eastAsia="zh-CN" w:bidi="ar-SA"/>
    </w:rPr>
  </w:style>
  <w:style w:type="paragraph" w:styleId="1040">
    <w:name w:val="List"/>
    <w:basedOn w:val="994"/>
    <w:next w:val="1041"/>
    <w:uiPriority w:val="0"/>
    <w:qFormat/>
    <w:pPr>
      <w:ind w:left="200" w:firstLine="3640"/>
      <w:spacing w:before="0" w:after="0" w:line="240" w:lineRule="auto"/>
    </w:pPr>
    <w:rPr>
      <w:rFonts w:ascii="Times New Roman" w:hAnsi="Times New Roman" w:cs="Times New Roman"/>
    </w:rPr>
  </w:style>
  <w:style w:type="paragraph" w:styleId="1041">
    <w:name w:val="Body Text First Indent"/>
    <w:next w:val="993"/>
    <w:uiPriority w:val="0"/>
    <w:qFormat/>
    <w:pPr>
      <w:ind w:left="420" w:firstLine="3748"/>
      <w:spacing w:after="120"/>
    </w:pPr>
    <w:rPr>
      <w:rFonts w:ascii="Calibri" w:hAnsi="Calibri" w:eastAsia="宋体" w:cs="宋体"/>
      <w:lang w:val="en-US" w:eastAsia="zh-CN" w:bidi="ar-SA"/>
    </w:rPr>
  </w:style>
  <w:style w:type="paragraph" w:styleId="1042">
    <w:name w:val="footnote text"/>
    <w:basedOn w:val="994"/>
    <w:next w:val="1022"/>
    <w:uiPriority w:val="0"/>
    <w:qFormat/>
    <w:pPr>
      <w:ind w:left="0" w:firstLine="3584"/>
      <w:spacing w:before="0" w:after="0" w:line="360" w:lineRule="auto"/>
    </w:pPr>
    <w:rPr>
      <w:rFonts w:ascii="Times New Roman" w:hAnsi="Times New Roman" w:cs="Times New Roman"/>
    </w:rPr>
  </w:style>
  <w:style w:type="paragraph" w:styleId="1043">
    <w:name w:val="toc 6"/>
    <w:basedOn w:val="994"/>
    <w:next w:val="993"/>
    <w:uiPriority w:val="0"/>
    <w:qFormat/>
    <w:pPr>
      <w:ind w:left="1400" w:firstLine="3784"/>
      <w:spacing w:before="0" w:after="0" w:line="360" w:lineRule="auto"/>
    </w:pPr>
    <w:rPr>
      <w:rFonts w:ascii="Times New Roman" w:hAnsi="Times New Roman" w:cs="Times New Roman"/>
    </w:rPr>
  </w:style>
  <w:style w:type="paragraph" w:styleId="1044">
    <w:name w:val="List 5"/>
    <w:basedOn w:val="994"/>
    <w:next w:val="1019"/>
    <w:uiPriority w:val="0"/>
    <w:qFormat/>
    <w:pPr>
      <w:ind w:left="2100" w:firstLine="3676"/>
      <w:spacing w:before="0" w:after="0" w:line="240" w:lineRule="auto"/>
    </w:pPr>
    <w:rPr>
      <w:rFonts w:ascii="Times New Roman" w:hAnsi="Times New Roman" w:cs="Times New Roman"/>
    </w:rPr>
  </w:style>
  <w:style w:type="paragraph" w:styleId="1045">
    <w:name w:val="Body Text Indent 3"/>
    <w:basedOn w:val="994"/>
    <w:next w:val="1043"/>
    <w:uiPriority w:val="0"/>
    <w:qFormat/>
    <w:pPr>
      <w:ind w:left="480" w:firstLine="2784"/>
      <w:spacing w:before="0" w:after="0" w:line="400" w:lineRule="exact"/>
    </w:pPr>
    <w:rPr>
      <w:rFonts w:ascii="Times New Roman" w:hAnsi="Times New Roman" w:cs="Times New Roman"/>
    </w:rPr>
  </w:style>
  <w:style w:type="paragraph" w:styleId="1046">
    <w:name w:val="toc 2"/>
    <w:basedOn w:val="994"/>
    <w:next w:val="993"/>
    <w:uiPriority w:val="0"/>
    <w:qFormat/>
    <w:pPr>
      <w:ind w:left="0" w:firstLine="1024"/>
      <w:spacing w:before="0" w:after="0" w:line="360" w:lineRule="auto"/>
    </w:pPr>
    <w:rPr>
      <w:rFonts w:ascii="Times New Roman" w:hAnsi="Times New Roman" w:cs="Times New Roman"/>
    </w:rPr>
  </w:style>
  <w:style w:type="paragraph" w:styleId="1047">
    <w:name w:val="toc 9"/>
    <w:basedOn w:val="994"/>
    <w:next w:val="993"/>
    <w:uiPriority w:val="0"/>
    <w:qFormat/>
    <w:pPr>
      <w:ind w:left="2120" w:firstLine="3784"/>
      <w:spacing w:before="0" w:after="0" w:line="360" w:lineRule="auto"/>
    </w:pPr>
    <w:rPr>
      <w:rFonts w:ascii="Times New Roman" w:hAnsi="Times New Roman" w:cs="Times New Roman"/>
    </w:rPr>
  </w:style>
  <w:style w:type="paragraph" w:styleId="1048">
    <w:name w:val="Body Text 2"/>
    <w:basedOn w:val="994"/>
    <w:next w:val="1013"/>
    <w:uiPriority w:val="0"/>
    <w:qFormat/>
    <w:pPr>
      <w:ind w:left="0" w:firstLine="1024"/>
      <w:spacing w:before="0" w:after="120" w:line="480" w:lineRule="auto"/>
    </w:pPr>
    <w:rPr>
      <w:rFonts w:ascii="Times New Roman" w:hAnsi="Times New Roman" w:cs="Times New Roman"/>
    </w:rPr>
  </w:style>
  <w:style w:type="paragraph" w:styleId="1049">
    <w:name w:val="HTML Preformatted"/>
    <w:basedOn w:val="994"/>
    <w:next w:val="1012"/>
    <w:uiPriority w:val="0"/>
    <w:qFormat/>
    <w:pPr>
      <w:ind w:left="0" w:firstLine="2048"/>
      <w:spacing w:before="0" w:after="0" w:line="253" w:lineRule="atLeast"/>
    </w:pPr>
    <w:rPr>
      <w:rFonts w:ascii="Times New Roman" w:hAnsi="Times New Roman" w:cs="Times New Roman"/>
    </w:rPr>
  </w:style>
  <w:style w:type="paragraph" w:styleId="1050">
    <w:name w:val="Normal (Web)"/>
    <w:basedOn w:val="993"/>
    <w:next w:val="1021"/>
    <w:uiPriority w:val="0"/>
    <w:qFormat/>
    <w:pPr>
      <w:ind w:left="15" w:right="15" w:firstLine="4608"/>
      <w:spacing w:before="60" w:after="60" w:line="312" w:lineRule="auto"/>
    </w:pPr>
    <w:rPr>
      <w:rFonts w:ascii="Times New Roman" w:hAnsi="Times New Roman" w:cs="Times New Roman"/>
    </w:rPr>
  </w:style>
  <w:style w:type="paragraph" w:styleId="1051">
    <w:name w:val="index 1"/>
    <w:basedOn w:val="994"/>
    <w:next w:val="993"/>
    <w:uiPriority w:val="0"/>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2"/>
    <w:uiPriority w:val="0"/>
    <w:unhideWhenUsed/>
    <w:qFormat/>
    <w:pPr>
      <w:ind w:firstLine="420"/>
    </w:pPr>
  </w:style>
  <w:style w:type="table" w:styleId="1053">
    <w:name w:val="Table Grid"/>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uiPriority w:val="0"/>
    <w:qFormat/>
    <w:rPr>
      <w:rFonts w:ascii="Times New Roman" w:hAnsi="Times New Roman" w:eastAsia="宋体" w:cs="Times New Roman"/>
      <w:b/>
      <w:sz w:val="20"/>
    </w:rPr>
  </w:style>
  <w:style w:type="character" w:styleId="1055">
    <w:name w:val="page number"/>
    <w:uiPriority w:val="0"/>
    <w:qFormat/>
    <w:rPr>
      <w:rFonts w:ascii="Times New Roman" w:hAnsi="Times New Roman" w:eastAsia="宋体" w:cs="Times New Roman"/>
      <w:sz w:val="20"/>
    </w:rPr>
  </w:style>
  <w:style w:type="character" w:styleId="1056">
    <w:name w:val="FollowedHyperlink"/>
    <w:uiPriority w:val="0"/>
    <w:qFormat/>
    <w:rPr>
      <w:rFonts w:ascii="Times New Roman" w:hAnsi="Times New Roman" w:eastAsia="宋体" w:cs="Times New Roman"/>
      <w:color w:val="800080"/>
      <w:sz w:val="20"/>
      <w:u w:val="single"/>
    </w:rPr>
  </w:style>
  <w:style w:type="character" w:styleId="1057">
    <w:name w:val="Emphasis"/>
    <w:uiPriority w:val="0"/>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uiPriority w:val="0"/>
    <w:qFormat/>
    <w:rPr>
      <w:rFonts w:ascii="Times New Roman" w:hAnsi="Times New Roman" w:eastAsia="宋体" w:cs="Times New Roman"/>
      <w:sz w:val="20"/>
    </w:rPr>
  </w:style>
  <w:style w:type="character" w:styleId="1060">
    <w:name w:val="footnote reference"/>
    <w:uiPriority w:val="0"/>
    <w:qFormat/>
    <w:rPr>
      <w:rFonts w:ascii="Times New Roman" w:hAnsi="Times New Roman" w:eastAsia="宋体" w:cs="Times New Roman"/>
      <w:vertAlign w:val="superscript"/>
    </w:rPr>
  </w:style>
  <w:style w:type="paragraph" w:styleId="1061" w:customStyle="1">
    <w:name w:val="BodyText"/>
    <w:basedOn w:val="993"/>
    <w:uiPriority w:val="0"/>
    <w:qFormat/>
    <w:pPr>
      <w:spacing w:after="120"/>
    </w:pPr>
  </w:style>
  <w:style w:type="character" w:styleId="1062" w:customStyle="1">
    <w:name w:val="正文缩进 字符"/>
    <w:link w:val="1011"/>
    <w:uiPriority w:val="0"/>
    <w:qFormat/>
    <w:rPr>
      <w:rFonts w:ascii="Calibri" w:hAnsi="Calibri" w:eastAsia="宋体" w:cs="Times New Roman"/>
    </w:rPr>
  </w:style>
  <w:style w:type="character" w:styleId="1063" w:customStyle="1">
    <w:name w:val="页脚 字符"/>
    <w:link w:val="1034"/>
    <w:uiPriority w:val="0"/>
    <w:qFormat/>
    <w:rPr>
      <w:rFonts w:ascii="Calibri" w:hAnsi="Calibri" w:eastAsia="宋体" w:cs="Times New Roman"/>
    </w:rPr>
  </w:style>
  <w:style w:type="character" w:styleId="1064" w:customStyle="1">
    <w:name w:val="页眉 字符"/>
    <w:link w:val="1036"/>
    <w:uiPriority w:val="0"/>
    <w:qFormat/>
    <w:rPr>
      <w:rFonts w:ascii="Calibri" w:hAnsi="Calibri" w:eastAsia="宋体" w:cs="Times New Roman"/>
    </w:rPr>
  </w:style>
  <w:style w:type="character" w:styleId="1065" w:customStyle="1">
    <w:name w:val="日期 Char"/>
    <w:uiPriority w:val="0"/>
    <w:qFormat/>
    <w:rPr>
      <w:rFonts w:ascii="Times New Roman" w:hAnsi="Times New Roman" w:eastAsia="宋体" w:cs="Times New Roman"/>
      <w:sz w:val="20"/>
    </w:rPr>
  </w:style>
  <w:style w:type="character" w:styleId="1066" w:customStyle="1">
    <w:name w:val="批注引用1"/>
    <w:uiPriority w:val="0"/>
    <w:qFormat/>
    <w:rPr>
      <w:rFonts w:ascii="Times New Roman" w:hAnsi="Times New Roman" w:eastAsia="宋体" w:cs="Times New Roman"/>
      <w:sz w:val="20"/>
    </w:rPr>
  </w:style>
  <w:style w:type="character" w:styleId="1067" w:customStyle="1">
    <w:name w:val="应答文本 Char Char"/>
    <w:uiPriority w:val="0"/>
    <w:qFormat/>
    <w:rPr>
      <w:rFonts w:ascii="Times New Roman" w:hAnsi="Times New Roman" w:eastAsia="宋体" w:cs="Times New Roman"/>
      <w:sz w:val="20"/>
    </w:rPr>
  </w:style>
  <w:style w:type="character" w:styleId="1068" w:customStyle="1">
    <w:name w:val="图片0 Char Char"/>
    <w:uiPriority w:val="0"/>
    <w:qFormat/>
    <w:rPr>
      <w:rFonts w:ascii="Times New Roman" w:hAnsi="Times New Roman" w:eastAsia="宋体" w:cs="Times New Roman"/>
      <w:sz w:val="20"/>
    </w:rPr>
  </w:style>
  <w:style w:type="character" w:styleId="1069" w:customStyle="1">
    <w:name w:val="尾注文本 Char"/>
    <w:uiPriority w:val="0"/>
    <w:qFormat/>
    <w:rPr>
      <w:rFonts w:ascii="Times New Roman" w:hAnsi="Times New Roman" w:eastAsia="宋体" w:cs="Times New Roman"/>
      <w:sz w:val="20"/>
    </w:rPr>
  </w:style>
  <w:style w:type="character" w:styleId="1070" w:customStyle="1">
    <w:name w:val="文档结构图 字符"/>
    <w:uiPriority w:val="0"/>
    <w:qFormat/>
    <w:rPr>
      <w:rFonts w:ascii="Microsoft YaHei UI" w:hAnsi="Times New Roman" w:eastAsia="Microsoft YaHei UI" w:cs="Times New Roman"/>
      <w:sz w:val="18"/>
      <w:szCs w:val="18"/>
    </w:rPr>
  </w:style>
  <w:style w:type="character" w:styleId="1071" w:customStyle="1">
    <w:name w:val="_Style 337"/>
    <w:uiPriority w:val="0"/>
    <w:qFormat/>
    <w:rPr>
      <w:rFonts w:ascii="Times New Roman" w:hAnsi="Times New Roman" w:eastAsia="宋体" w:cs="Times New Roman"/>
      <w:color w:val="auto"/>
      <w:sz w:val="21"/>
    </w:rPr>
  </w:style>
  <w:style w:type="character" w:styleId="1072" w:customStyle="1">
    <w:name w:val="正文文本 字符"/>
    <w:uiPriority w:val="0"/>
    <w:qFormat/>
    <w:rPr>
      <w:rFonts w:ascii="Times New Roman" w:hAnsi="Times New Roman" w:eastAsia="宋体" w:cs="Times New Roman"/>
      <w:sz w:val="21"/>
    </w:rPr>
  </w:style>
  <w:style w:type="character" w:styleId="1073" w:customStyle="1">
    <w:name w:val="批注文字 字符"/>
    <w:uiPriority w:val="0"/>
    <w:qFormat/>
    <w:rPr>
      <w:rFonts w:ascii="Times New Roman" w:hAnsi="Times New Roman" w:eastAsia="宋体" w:cs="Times New Roman"/>
      <w:sz w:val="20"/>
    </w:rPr>
  </w:style>
  <w:style w:type="character" w:styleId="1074" w:customStyle="1">
    <w:name w:val="批注文字 Char1"/>
    <w:uiPriority w:val="0"/>
    <w:qFormat/>
    <w:rPr>
      <w:rFonts w:ascii="Times New Roman" w:hAnsi="Times New Roman" w:eastAsia="宋体" w:cs="Times New Roman"/>
      <w:sz w:val="20"/>
    </w:rPr>
  </w:style>
  <w:style w:type="character" w:styleId="1075" w:customStyle="1">
    <w:name w:val="txt"/>
    <w:uiPriority w:val="0"/>
    <w:qFormat/>
    <w:rPr>
      <w:rFonts w:ascii="Times New Roman" w:hAnsi="Times New Roman" w:eastAsia="宋体" w:cs="Times New Roman"/>
      <w:sz w:val="20"/>
    </w:rPr>
  </w:style>
  <w:style w:type="character" w:styleId="1076" w:customStyle="1">
    <w:name w:val="标书正文 Char"/>
    <w:uiPriority w:val="0"/>
    <w:qFormat/>
    <w:rPr>
      <w:rFonts w:ascii="Times New Roman" w:hAnsi="Times New Roman" w:eastAsia="宋体" w:cs="Times New Roman"/>
      <w:sz w:val="20"/>
    </w:rPr>
  </w:style>
  <w:style w:type="character" w:styleId="1077" w:customStyle="1">
    <w:name w:val="font21"/>
    <w:uiPriority w:val="0"/>
    <w:qFormat/>
    <w:rPr>
      <w:rFonts w:hint="eastAsia" w:ascii="宋体" w:hAnsi="宋体" w:eastAsia="宋体" w:cs="宋体"/>
      <w:color w:val="ff0000"/>
      <w:sz w:val="24"/>
      <w:szCs w:val="24"/>
      <w:u w:val="none"/>
    </w:rPr>
  </w:style>
  <w:style w:type="character" w:styleId="1078" w:customStyle="1">
    <w:name w:val="apple-converted-space"/>
    <w:uiPriority w:val="0"/>
    <w:qFormat/>
    <w:rPr>
      <w:rFonts w:ascii="Times New Roman" w:hAnsi="Times New Roman" w:eastAsia="宋体" w:cs="Times New Roman"/>
      <w:sz w:val="20"/>
    </w:rPr>
  </w:style>
  <w:style w:type="character" w:styleId="1079" w:customStyle="1">
    <w:name w:val="纯文本 Char1"/>
    <w:uiPriority w:val="0"/>
    <w:qFormat/>
    <w:rPr>
      <w:rFonts w:ascii="Times New Roman" w:hAnsi="Times New Roman" w:eastAsia="宋体" w:cs="Times New Roman"/>
      <w:sz w:val="20"/>
    </w:rPr>
  </w:style>
  <w:style w:type="character" w:styleId="1080" w:customStyle="1">
    <w:name w:val="para1"/>
    <w:uiPriority w:val="0"/>
    <w:qFormat/>
    <w:rPr>
      <w:rFonts w:ascii="Times New Roman" w:hAnsi="Times New Roman" w:eastAsia="宋体" w:cs="Times New Roman"/>
      <w:sz w:val="20"/>
    </w:rPr>
  </w:style>
  <w:style w:type="character" w:styleId="1081" w:customStyle="1">
    <w:name w:val="HTML 预设格式 Char1"/>
    <w:uiPriority w:val="0"/>
    <w:qFormat/>
    <w:rPr>
      <w:rFonts w:ascii="Times New Roman" w:hAnsi="Times New Roman" w:eastAsia="宋体" w:cs="Times New Roman"/>
      <w:sz w:val="20"/>
    </w:rPr>
  </w:style>
  <w:style w:type="character" w:styleId="1082" w:customStyle="1">
    <w:name w:val="批注文字 Char"/>
    <w:uiPriority w:val="0"/>
    <w:qFormat/>
    <w:rPr>
      <w:rFonts w:ascii="Times New Roman" w:hAnsi="Times New Roman" w:eastAsia="宋体" w:cs="Times New Roman"/>
      <w:sz w:val="20"/>
    </w:rPr>
  </w:style>
  <w:style w:type="character" w:styleId="1083" w:customStyle="1">
    <w:name w:val="文档结构图 Char"/>
    <w:uiPriority w:val="0"/>
    <w:qFormat/>
    <w:rPr>
      <w:rFonts w:ascii="Times New Roman" w:hAnsi="Times New Roman" w:eastAsia="宋体" w:cs="Times New Roman"/>
      <w:sz w:val="20"/>
    </w:rPr>
  </w:style>
  <w:style w:type="character" w:styleId="1084" w:customStyle="1">
    <w:name w:val="超级链接"/>
    <w:uiPriority w:val="0"/>
    <w:qFormat/>
    <w:rPr>
      <w:rFonts w:ascii="Times New Roman" w:hAnsi="Times New Roman" w:eastAsia="宋体" w:cs="Times New Roman"/>
      <w:color w:val="0000ff"/>
      <w:sz w:val="20"/>
      <w:u w:val="single"/>
    </w:rPr>
  </w:style>
  <w:style w:type="character" w:styleId="1085" w:customStyle="1">
    <w:name w:val="p141"/>
    <w:uiPriority w:val="0"/>
    <w:qFormat/>
    <w:rPr>
      <w:rFonts w:ascii="Times New Roman" w:hAnsi="Times New Roman" w:eastAsia="宋体" w:cs="Times New Roman"/>
      <w:color w:val="000000"/>
      <w:sz w:val="20"/>
      <w:u w:val="none"/>
    </w:rPr>
  </w:style>
  <w:style w:type="character" w:styleId="1086" w:customStyle="1">
    <w:name w:val="宏文本 Char"/>
    <w:uiPriority w:val="0"/>
    <w:qFormat/>
    <w:rPr>
      <w:rFonts w:ascii="Times New Roman" w:hAnsi="Times New Roman" w:eastAsia="宋体" w:cs="Times New Roman"/>
      <w:sz w:val="20"/>
    </w:rPr>
  </w:style>
  <w:style w:type="character" w:styleId="1087" w:customStyle="1">
    <w:name w:val="_Style 313"/>
    <w:uiPriority w:val="0"/>
    <w:qFormat/>
    <w:rPr>
      <w:rFonts w:ascii="Times New Roman" w:hAnsi="Times New Roman" w:eastAsia="宋体" w:cs="Times New Roman"/>
      <w:b/>
      <w:i/>
      <w:sz w:val="21"/>
    </w:rPr>
  </w:style>
  <w:style w:type="character" w:styleId="1088" w:customStyle="1">
    <w:name w:val="页脚 Char1"/>
    <w:uiPriority w:val="0"/>
    <w:qFormat/>
    <w:rPr>
      <w:rFonts w:ascii="Times New Roman" w:hAnsi="Times New Roman" w:eastAsia="宋体" w:cs="Times New Roman"/>
      <w:sz w:val="20"/>
    </w:rPr>
  </w:style>
  <w:style w:type="character" w:styleId="1089" w:customStyle="1">
    <w:name w:val="页眉 Char"/>
    <w:uiPriority w:val="0"/>
    <w:qFormat/>
    <w:rPr>
      <w:rFonts w:ascii="Times New Roman" w:hAnsi="Times New Roman" w:eastAsia="宋体" w:cs="Times New Roman"/>
      <w:sz w:val="20"/>
    </w:rPr>
  </w:style>
  <w:style w:type="character" w:styleId="1090" w:customStyle="1">
    <w:name w:val="标题 7 Char"/>
    <w:uiPriority w:val="0"/>
    <w:qFormat/>
    <w:rPr>
      <w:rFonts w:ascii="Times New Roman" w:hAnsi="Times New Roman" w:eastAsia="宋体" w:cs="Times New Roman"/>
      <w:b/>
      <w:sz w:val="20"/>
    </w:rPr>
  </w:style>
  <w:style w:type="character" w:styleId="1091" w:customStyle="1">
    <w:name w:val="Char Char12"/>
    <w:uiPriority w:val="0"/>
    <w:qFormat/>
    <w:rPr>
      <w:rFonts w:ascii="Times New Roman" w:hAnsi="Times New Roman" w:eastAsia="宋体" w:cs="Times New Roman"/>
      <w:sz w:val="20"/>
    </w:rPr>
  </w:style>
  <w:style w:type="character" w:styleId="1092" w:customStyle="1">
    <w:name w:val="标题 3 Char"/>
    <w:uiPriority w:val="0"/>
    <w:qFormat/>
    <w:rPr>
      <w:rFonts w:ascii="Times New Roman" w:hAnsi="Times New Roman" w:eastAsia="宋体" w:cs="Times New Roman"/>
      <w:b/>
      <w:sz w:val="20"/>
    </w:rPr>
  </w:style>
  <w:style w:type="character" w:styleId="1093" w:customStyle="1">
    <w:name w:val="正文（首行缩进 2 字符） Char Char"/>
    <w:uiPriority w:val="0"/>
    <w:qFormat/>
    <w:rPr>
      <w:rFonts w:ascii="Times New Roman" w:hAnsi="Times New Roman" w:eastAsia="宋体" w:cs="Times New Roman"/>
      <w:sz w:val="20"/>
    </w:rPr>
  </w:style>
  <w:style w:type="character" w:styleId="1094" w:customStyle="1">
    <w:name w:val="表格用 Char Char"/>
    <w:uiPriority w:val="0"/>
    <w:qFormat/>
    <w:rPr>
      <w:rFonts w:ascii="Times New Roman" w:hAnsi="Times New Roman" w:eastAsia="宋体" w:cs="Times New Roman"/>
      <w:sz w:val="20"/>
    </w:rPr>
  </w:style>
  <w:style w:type="character" w:styleId="1095" w:customStyle="1">
    <w:name w:val="正文文本缩进 3 Char1"/>
    <w:uiPriority w:val="0"/>
    <w:qFormat/>
    <w:rPr>
      <w:rFonts w:ascii="Times New Roman" w:hAnsi="Times New Roman" w:eastAsia="宋体" w:cs="Times New Roman"/>
      <w:sz w:val="20"/>
    </w:rPr>
  </w:style>
  <w:style w:type="character" w:styleId="1096" w:customStyle="1">
    <w:name w:val="正文缩进 Char"/>
    <w:uiPriority w:val="0"/>
    <w:qFormat/>
    <w:rPr>
      <w:rFonts w:ascii="Times New Roman" w:hAnsi="Times New Roman" w:eastAsia="宋体" w:cs="Times New Roman"/>
      <w:sz w:val="20"/>
    </w:rPr>
  </w:style>
  <w:style w:type="character" w:styleId="1097" w:customStyle="1">
    <w:name w:val="批注框文本 Char1"/>
    <w:uiPriority w:val="0"/>
    <w:qFormat/>
    <w:rPr>
      <w:rFonts w:ascii="Times New Roman" w:hAnsi="Times New Roman" w:eastAsia="宋体" w:cs="Times New Roman"/>
      <w:sz w:val="20"/>
    </w:rPr>
  </w:style>
  <w:style w:type="character" w:styleId="1098" w:customStyle="1">
    <w:name w:val="Char Char13"/>
    <w:uiPriority w:val="0"/>
    <w:qFormat/>
    <w:rPr>
      <w:rFonts w:ascii="Times New Roman" w:hAnsi="Times New Roman" w:eastAsia="宋体" w:cs="Times New Roman"/>
      <w:sz w:val="20"/>
    </w:rPr>
  </w:style>
  <w:style w:type="character" w:styleId="1099" w:customStyle="1">
    <w:name w:val="样式2 Char"/>
    <w:uiPriority w:val="0"/>
    <w:qFormat/>
    <w:rPr>
      <w:rFonts w:ascii="Times New Roman" w:hAnsi="Times New Roman" w:eastAsia="宋体" w:cs="Times New Roman"/>
      <w:b/>
      <w:sz w:val="20"/>
    </w:rPr>
  </w:style>
  <w:style w:type="character" w:styleId="1100" w:customStyle="1">
    <w:name w:val="页脚 Char"/>
    <w:uiPriority w:val="0"/>
    <w:qFormat/>
    <w:rPr>
      <w:rFonts w:ascii="Times New Roman" w:hAnsi="Times New Roman" w:eastAsia="宋体" w:cs="Times New Roman"/>
      <w:sz w:val="20"/>
    </w:rPr>
  </w:style>
  <w:style w:type="character" w:styleId="1101" w:customStyle="1">
    <w:name w:val="标准文本 Char"/>
    <w:uiPriority w:val="0"/>
    <w:qFormat/>
    <w:rPr>
      <w:rFonts w:ascii="Times New Roman" w:hAnsi="Times New Roman" w:eastAsia="宋体" w:cs="Times New Roman"/>
      <w:sz w:val="20"/>
    </w:rPr>
  </w:style>
  <w:style w:type="character" w:styleId="1102" w:customStyle="1">
    <w:name w:val="font01"/>
    <w:uiPriority w:val="0"/>
    <w:qFormat/>
    <w:rPr>
      <w:rFonts w:hint="eastAsia" w:ascii="宋体" w:hAnsi="宋体" w:eastAsia="宋体" w:cs="宋体"/>
      <w:color w:val="000000"/>
      <w:sz w:val="24"/>
      <w:szCs w:val="24"/>
      <w:u w:val="none"/>
    </w:rPr>
  </w:style>
  <w:style w:type="character" w:styleId="1103" w:customStyle="1">
    <w:name w:val="标题 3 Char1"/>
    <w:uiPriority w:val="0"/>
    <w:qFormat/>
    <w:rPr>
      <w:rFonts w:ascii="Times New Roman" w:hAnsi="Times New Roman" w:eastAsia="宋体" w:cs="Times New Roman"/>
      <w:b/>
      <w:sz w:val="20"/>
      <w:u w:val="single"/>
    </w:rPr>
  </w:style>
  <w:style w:type="character" w:styleId="1104" w:customStyle="1">
    <w:name w:val="表格 Char Char"/>
    <w:uiPriority w:val="0"/>
    <w:qFormat/>
    <w:rPr>
      <w:rFonts w:ascii="Times New Roman" w:hAnsi="Times New Roman" w:eastAsia="宋体" w:cs="Times New Roman"/>
      <w:sz w:val="20"/>
    </w:rPr>
  </w:style>
  <w:style w:type="character" w:styleId="1105" w:customStyle="1">
    <w:name w:val="正文首行缩进 Char"/>
    <w:uiPriority w:val="0"/>
    <w:qFormat/>
    <w:rPr>
      <w:rFonts w:ascii="Times New Roman" w:hAnsi="Times New Roman" w:eastAsia="宋体" w:cs="Times New Roman"/>
      <w:sz w:val="20"/>
    </w:rPr>
  </w:style>
  <w:style w:type="character" w:styleId="1106" w:customStyle="1">
    <w:name w:val="标题 9 Char"/>
    <w:uiPriority w:val="0"/>
    <w:qFormat/>
    <w:rPr>
      <w:rFonts w:ascii="Times New Roman" w:hAnsi="Times New Roman" w:eastAsia="宋体" w:cs="Times New Roman"/>
      <w:sz w:val="20"/>
    </w:rPr>
  </w:style>
  <w:style w:type="character" w:styleId="1107" w:customStyle="1">
    <w:name w:val="lh151"/>
    <w:uiPriority w:val="0"/>
    <w:qFormat/>
    <w:rPr>
      <w:rFonts w:ascii="Times New Roman" w:hAnsi="Times New Roman" w:eastAsia="宋体" w:cs="Times New Roman"/>
      <w:color w:val="666666"/>
      <w:sz w:val="20"/>
    </w:rPr>
  </w:style>
  <w:style w:type="character" w:styleId="1108" w:customStyle="1">
    <w:name w:val="日期 Char1"/>
    <w:uiPriority w:val="0"/>
    <w:qFormat/>
    <w:rPr>
      <w:rFonts w:ascii="Times New Roman" w:hAnsi="Times New Roman" w:eastAsia="宋体" w:cs="Times New Roman"/>
      <w:sz w:val="20"/>
    </w:rPr>
  </w:style>
  <w:style w:type="character" w:styleId="1109" w:customStyle="1">
    <w:name w:val="图片 Char Char"/>
    <w:uiPriority w:val="0"/>
    <w:qFormat/>
    <w:rPr>
      <w:rFonts w:ascii="Times New Roman" w:hAnsi="Times New Roman" w:eastAsia="宋体" w:cs="Times New Roman"/>
      <w:sz w:val="20"/>
    </w:rPr>
  </w:style>
  <w:style w:type="character" w:styleId="1110" w:customStyle="1">
    <w:name w:val="批注框文本 字符"/>
    <w:uiPriority w:val="0"/>
    <w:qFormat/>
    <w:rPr>
      <w:rFonts w:ascii="Times New Roman" w:hAnsi="Times New Roman" w:eastAsia="宋体" w:cs="Times New Roman"/>
      <w:sz w:val="20"/>
    </w:rPr>
  </w:style>
  <w:style w:type="character" w:styleId="1111" w:customStyle="1">
    <w:name w:val="HTML 预设格式 Char"/>
    <w:uiPriority w:val="0"/>
    <w:qFormat/>
    <w:rPr>
      <w:rFonts w:ascii="Times New Roman" w:hAnsi="Times New Roman" w:eastAsia="宋体" w:cs="Times New Roman"/>
      <w:sz w:val="20"/>
    </w:rPr>
  </w:style>
  <w:style w:type="character" w:styleId="1112" w:customStyle="1">
    <w:name w:val="列出段落 Char"/>
    <w:uiPriority w:val="0"/>
    <w:qFormat/>
    <w:rPr>
      <w:rFonts w:ascii="Times New Roman" w:hAnsi="Times New Roman" w:eastAsia="宋体" w:cs="Times New Roman"/>
      <w:sz w:val="20"/>
    </w:rPr>
  </w:style>
  <w:style w:type="character" w:styleId="1113" w:customStyle="1">
    <w:name w:val="标题 5 Char"/>
    <w:uiPriority w:val="0"/>
    <w:qFormat/>
    <w:rPr>
      <w:rFonts w:ascii="Times New Roman" w:hAnsi="Times New Roman" w:eastAsia="宋体" w:cs="Times New Roman"/>
      <w:b/>
      <w:sz w:val="20"/>
    </w:rPr>
  </w:style>
  <w:style w:type="character" w:styleId="1114" w:customStyle="1">
    <w:name w:val="链接"/>
    <w:uiPriority w:val="0"/>
    <w:qFormat/>
    <w:rPr>
      <w:rFonts w:ascii="Times New Roman" w:hAnsi="Times New Roman" w:eastAsia="宋体" w:cs="Times New Roman"/>
      <w:color w:val="0000ff"/>
      <w:sz w:val="20"/>
      <w:u w:val="single"/>
    </w:rPr>
  </w:style>
  <w:style w:type="character" w:styleId="1115" w:customStyle="1">
    <w:name w:val="18h1"/>
    <w:uiPriority w:val="0"/>
    <w:qFormat/>
    <w:rPr>
      <w:rFonts w:ascii="Times New Roman" w:hAnsi="Times New Roman" w:eastAsia="宋体" w:cs="Times New Roman"/>
      <w:color w:val="3b3b3b"/>
      <w:sz w:val="20"/>
    </w:rPr>
  </w:style>
  <w:style w:type="character" w:styleId="1116" w:customStyle="1">
    <w:name w:val="表格文字（两侧对齐） Char Char"/>
    <w:uiPriority w:val="0"/>
    <w:qFormat/>
    <w:rPr>
      <w:rFonts w:ascii="Times New Roman" w:hAnsi="Times New Roman" w:eastAsia="宋体" w:cs="Times New Roman"/>
      <w:sz w:val="20"/>
    </w:rPr>
  </w:style>
  <w:style w:type="character" w:styleId="1117" w:customStyle="1">
    <w:name w:val="正文文本缩进 2 Char"/>
    <w:uiPriority w:val="0"/>
    <w:qFormat/>
    <w:rPr>
      <w:rFonts w:ascii="Times New Roman" w:hAnsi="Times New Roman" w:eastAsia="宋体" w:cs="Times New Roman"/>
      <w:sz w:val="20"/>
    </w:rPr>
  </w:style>
  <w:style w:type="character" w:styleId="1118" w:customStyle="1">
    <w:name w:val="Char Char14"/>
    <w:uiPriority w:val="0"/>
    <w:qFormat/>
    <w:rPr>
      <w:rFonts w:ascii="Times New Roman" w:hAnsi="Times New Roman" w:eastAsia="宋体" w:cs="Times New Roman"/>
      <w:sz w:val="20"/>
    </w:rPr>
  </w:style>
  <w:style w:type="character" w:styleId="1119" w:customStyle="1">
    <w:name w:val="标题 1 Char1"/>
    <w:uiPriority w:val="0"/>
    <w:qFormat/>
    <w:rPr>
      <w:rFonts w:ascii="Times New Roman" w:hAnsi="Times New Roman" w:eastAsia="宋体" w:cs="Times New Roman"/>
      <w:b/>
      <w:sz w:val="20"/>
    </w:rPr>
  </w:style>
  <w:style w:type="character" w:styleId="1120" w:customStyle="1">
    <w:name w:val="批注框文本 Char"/>
    <w:uiPriority w:val="0"/>
    <w:qFormat/>
    <w:rPr>
      <w:rFonts w:ascii="Times New Roman" w:hAnsi="Times New Roman" w:eastAsia="宋体" w:cs="Times New Roman"/>
      <w:sz w:val="20"/>
    </w:rPr>
  </w:style>
  <w:style w:type="character" w:styleId="1121" w:customStyle="1">
    <w:name w:val="apple-style-span"/>
    <w:uiPriority w:val="0"/>
    <w:qFormat/>
    <w:rPr>
      <w:rFonts w:ascii="Times New Roman" w:hAnsi="Times New Roman" w:eastAsia="宋体" w:cs="Times New Roman"/>
      <w:sz w:val="20"/>
    </w:rPr>
  </w:style>
  <w:style w:type="character" w:styleId="1122" w:customStyle="1">
    <w:name w:val="插图 Char Char"/>
    <w:uiPriority w:val="0"/>
    <w:qFormat/>
    <w:rPr>
      <w:rFonts w:ascii="Times New Roman" w:hAnsi="Times New Roman" w:eastAsia="宋体" w:cs="Times New Roman"/>
      <w:sz w:val="20"/>
    </w:rPr>
  </w:style>
  <w:style w:type="character" w:styleId="1123" w:customStyle="1">
    <w:name w:val="标题 2 Char1"/>
    <w:uiPriority w:val="0"/>
    <w:qFormat/>
    <w:rPr>
      <w:rFonts w:ascii="Times New Roman" w:hAnsi="Times New Roman" w:eastAsia="宋体" w:cs="Times New Roman"/>
      <w:b/>
      <w:sz w:val="20"/>
    </w:rPr>
  </w:style>
  <w:style w:type="character" w:styleId="1124" w:customStyle="1">
    <w:name w:val="_Style 332"/>
    <w:uiPriority w:val="0"/>
    <w:qFormat/>
    <w:rPr>
      <w:rFonts w:ascii="Times New Roman" w:hAnsi="Times New Roman" w:eastAsia="宋体" w:cs="Times New Roman"/>
      <w:i/>
      <w:color w:val="auto"/>
      <w:sz w:val="21"/>
    </w:rPr>
  </w:style>
  <w:style w:type="character" w:styleId="1125" w:customStyle="1">
    <w:name w:val="正文文本 3 Char1"/>
    <w:uiPriority w:val="0"/>
    <w:qFormat/>
    <w:rPr>
      <w:rFonts w:ascii="Times New Roman" w:hAnsi="Times New Roman" w:eastAsia="宋体" w:cs="Times New Roman"/>
      <w:sz w:val="20"/>
    </w:rPr>
  </w:style>
  <w:style w:type="character" w:styleId="1126" w:customStyle="1">
    <w:name w:val="标题 5 Char1"/>
    <w:uiPriority w:val="0"/>
    <w:qFormat/>
    <w:rPr>
      <w:rFonts w:ascii="Times New Roman" w:hAnsi="Times New Roman" w:eastAsia="宋体" w:cs="Times New Roman"/>
      <w:b/>
      <w:sz w:val="20"/>
    </w:rPr>
  </w:style>
  <w:style w:type="character" w:styleId="1127" w:customStyle="1">
    <w:name w:val="批注主题 Char"/>
    <w:uiPriority w:val="0"/>
    <w:qFormat/>
    <w:rPr>
      <w:rFonts w:ascii="Times New Roman" w:hAnsi="Times New Roman" w:eastAsia="宋体" w:cs="Times New Roman"/>
      <w:b/>
      <w:sz w:val="20"/>
    </w:rPr>
  </w:style>
  <w:style w:type="character" w:styleId="1128" w:customStyle="1">
    <w:name w:val="标题 1 Char"/>
    <w:uiPriority w:val="0"/>
    <w:qFormat/>
    <w:rPr>
      <w:rFonts w:ascii="Times New Roman" w:hAnsi="Times New Roman" w:eastAsia="宋体" w:cs="Times New Roman"/>
      <w:b/>
      <w:sz w:val="20"/>
    </w:rPr>
  </w:style>
  <w:style w:type="character" w:styleId="1129" w:customStyle="1">
    <w:name w:val="正文文本 2 Char1"/>
    <w:uiPriority w:val="0"/>
    <w:qFormat/>
    <w:rPr>
      <w:rFonts w:ascii="Times New Roman" w:hAnsi="Times New Roman" w:eastAsia="宋体" w:cs="Times New Roman"/>
      <w:sz w:val="20"/>
    </w:rPr>
  </w:style>
  <w:style w:type="character" w:styleId="1130" w:customStyle="1">
    <w:name w:val="标题 4 Char1"/>
    <w:uiPriority w:val="0"/>
    <w:qFormat/>
    <w:rPr>
      <w:rFonts w:ascii="Times New Roman" w:hAnsi="Times New Roman" w:eastAsia="宋体" w:cs="Times New Roman"/>
      <w:b/>
      <w:sz w:val="20"/>
    </w:rPr>
  </w:style>
  <w:style w:type="character" w:styleId="1131" w:customStyle="1">
    <w:name w:val="正文文本 2 Char"/>
    <w:uiPriority w:val="0"/>
    <w:qFormat/>
    <w:rPr>
      <w:rFonts w:ascii="Times New Roman" w:hAnsi="Times New Roman" w:eastAsia="宋体" w:cs="Times New Roman"/>
      <w:sz w:val="20"/>
    </w:rPr>
  </w:style>
  <w:style w:type="character" w:styleId="1132" w:customStyle="1">
    <w:name w:val="_Style 376"/>
    <w:uiPriority w:val="0"/>
    <w:qFormat/>
    <w:rPr>
      <w:rFonts w:ascii="Times New Roman" w:hAnsi="Times New Roman" w:eastAsia="宋体" w:cs="Times New Roman"/>
      <w:b/>
      <w:color w:val="auto"/>
      <w:sz w:val="21"/>
    </w:rPr>
  </w:style>
  <w:style w:type="character" w:styleId="1133" w:customStyle="1">
    <w:name w:val="062"/>
    <w:uiPriority w:val="0"/>
    <w:qFormat/>
    <w:rPr>
      <w:rFonts w:ascii="Times New Roman" w:hAnsi="Times New Roman" w:eastAsia="宋体" w:cs="Times New Roman"/>
      <w:b/>
      <w:sz w:val="20"/>
    </w:rPr>
  </w:style>
  <w:style w:type="character" w:styleId="1134" w:customStyle="1">
    <w:name w:val="正文文本 Char1"/>
    <w:uiPriority w:val="0"/>
    <w:qFormat/>
    <w:rPr>
      <w:rFonts w:ascii="Times New Roman" w:hAnsi="Times New Roman" w:eastAsia="宋体" w:cs="Times New Roman"/>
      <w:sz w:val="20"/>
    </w:rPr>
  </w:style>
  <w:style w:type="character" w:styleId="1135" w:customStyle="1">
    <w:name w:val="题注 Char"/>
    <w:uiPriority w:val="0"/>
    <w:qFormat/>
    <w:rPr>
      <w:rFonts w:ascii="Times New Roman" w:hAnsi="Times New Roman" w:eastAsia="宋体" w:cs="Times New Roman"/>
      <w:sz w:val="20"/>
    </w:rPr>
  </w:style>
  <w:style w:type="character" w:styleId="1136" w:customStyle="1">
    <w:name w:val="脚注文本 Char"/>
    <w:uiPriority w:val="0"/>
    <w:qFormat/>
    <w:rPr>
      <w:rFonts w:ascii="Times New Roman" w:hAnsi="Times New Roman" w:eastAsia="宋体" w:cs="Times New Roman"/>
      <w:sz w:val="20"/>
    </w:rPr>
  </w:style>
  <w:style w:type="character" w:styleId="1137" w:customStyle="1">
    <w:name w:val="_Style 336"/>
    <w:uiPriority w:val="0"/>
    <w:qFormat/>
    <w:rPr>
      <w:rFonts w:ascii="Times New Roman" w:hAnsi="Times New Roman" w:eastAsia="宋体" w:cs="Times New Roman"/>
      <w:i/>
      <w:color w:val="auto"/>
      <w:sz w:val="21"/>
    </w:rPr>
  </w:style>
  <w:style w:type="character" w:styleId="1138" w:customStyle="1">
    <w:name w:val="表格 Char"/>
    <w:uiPriority w:val="0"/>
    <w:qFormat/>
    <w:rPr>
      <w:rFonts w:ascii="Times New Roman" w:hAnsi="Times New Roman" w:eastAsia="宋体" w:cs="Times New Roman"/>
      <w:color w:val="000000"/>
      <w:sz w:val="20"/>
    </w:rPr>
  </w:style>
  <w:style w:type="character" w:styleId="1139" w:customStyle="1">
    <w:name w:val="批注主题 字符"/>
    <w:uiPriority w:val="0"/>
    <w:qFormat/>
    <w:rPr>
      <w:rFonts w:ascii="Times New Roman" w:hAnsi="Times New Roman" w:eastAsia="宋体" w:cs="Times New Roman"/>
      <w:b/>
      <w:sz w:val="20"/>
    </w:rPr>
  </w:style>
  <w:style w:type="character" w:styleId="1140" w:customStyle="1">
    <w:name w:val="图注 Char Char"/>
    <w:uiPriority w:val="0"/>
    <w:qFormat/>
    <w:rPr>
      <w:rFonts w:ascii="Times New Roman" w:hAnsi="Times New Roman" w:eastAsia="宋体" w:cs="Times New Roman"/>
      <w:sz w:val="20"/>
    </w:rPr>
  </w:style>
  <w:style w:type="character" w:styleId="1141" w:customStyle="1">
    <w:name w:val="页码1"/>
    <w:uiPriority w:val="0"/>
    <w:qFormat/>
    <w:rPr>
      <w:rFonts w:ascii="Times New Roman" w:hAnsi="Times New Roman" w:eastAsia="宋体" w:cs="Times New Roman"/>
      <w:sz w:val="20"/>
    </w:rPr>
  </w:style>
  <w:style w:type="character" w:styleId="1142" w:customStyle="1">
    <w:name w:val="列表框1 Char Char"/>
    <w:uiPriority w:val="0"/>
    <w:qFormat/>
    <w:rPr>
      <w:rFonts w:ascii="Times New Roman" w:hAnsi="Times New Roman" w:eastAsia="宋体" w:cs="Times New Roman"/>
      <w:sz w:val="20"/>
    </w:rPr>
  </w:style>
  <w:style w:type="character" w:styleId="1143" w:customStyle="1">
    <w:name w:val="1ji Char"/>
    <w:uiPriority w:val="0"/>
    <w:qFormat/>
    <w:rPr>
      <w:rFonts w:ascii="Times New Roman" w:hAnsi="Times New Roman" w:eastAsia="宋体" w:cs="Times New Roman"/>
      <w:b/>
      <w:sz w:val="20"/>
    </w:rPr>
  </w:style>
  <w:style w:type="character" w:styleId="1144" w:customStyle="1">
    <w:name w:val="正文文本缩进 Char"/>
    <w:uiPriority w:val="0"/>
    <w:qFormat/>
    <w:rPr>
      <w:rFonts w:ascii="Times New Roman" w:hAnsi="Times New Roman" w:eastAsia="宋体" w:cs="Times New Roman"/>
      <w:sz w:val="20"/>
    </w:rPr>
  </w:style>
  <w:style w:type="character" w:styleId="1145" w:customStyle="1">
    <w:name w:val="标准文本 Char Char"/>
    <w:uiPriority w:val="0"/>
    <w:qFormat/>
    <w:rPr>
      <w:rFonts w:ascii="Times New Roman" w:hAnsi="Times New Roman" w:eastAsia="宋体" w:cs="Times New Roman"/>
      <w:sz w:val="20"/>
    </w:rPr>
  </w:style>
  <w:style w:type="character" w:styleId="1146" w:customStyle="1">
    <w:name w:val="表格用 Char"/>
    <w:uiPriority w:val="0"/>
    <w:qFormat/>
    <w:rPr>
      <w:rFonts w:ascii="Times New Roman" w:hAnsi="Times New Roman" w:eastAsia="宋体" w:cs="Times New Roman"/>
      <w:color w:val="000000"/>
      <w:sz w:val="20"/>
    </w:rPr>
  </w:style>
  <w:style w:type="character" w:styleId="1147" w:customStyle="1">
    <w:name w:val="标题 7 Char1"/>
    <w:uiPriority w:val="0"/>
    <w:qFormat/>
    <w:rPr>
      <w:rFonts w:ascii="Times New Roman" w:hAnsi="Times New Roman" w:eastAsia="宋体" w:cs="Times New Roman"/>
      <w:b/>
      <w:sz w:val="20"/>
    </w:rPr>
  </w:style>
  <w:style w:type="character" w:styleId="1148" w:customStyle="1">
    <w:name w:val="H 3 Char"/>
    <w:uiPriority w:val="0"/>
    <w:qFormat/>
    <w:rPr>
      <w:rFonts w:ascii="Times New Roman" w:hAnsi="Times New Roman" w:eastAsia="宋体" w:cs="Times New Roman"/>
      <w:b/>
      <w:sz w:val="20"/>
    </w:rPr>
  </w:style>
  <w:style w:type="character" w:styleId="1149" w:customStyle="1">
    <w:name w:val="正文文本缩进 3 字符"/>
    <w:uiPriority w:val="0"/>
    <w:qFormat/>
    <w:rPr>
      <w:rFonts w:ascii="Times New Roman" w:hAnsi="Times New Roman" w:eastAsia="宋体" w:cs="Times New Roman"/>
      <w:sz w:val="16"/>
      <w:szCs w:val="16"/>
    </w:rPr>
  </w:style>
  <w:style w:type="character" w:styleId="1150" w:customStyle="1">
    <w:name w:val="标题 Char"/>
    <w:uiPriority w:val="0"/>
    <w:qFormat/>
    <w:rPr>
      <w:rFonts w:ascii="Times New Roman" w:hAnsi="Times New Roman" w:eastAsia="宋体" w:cs="Times New Roman"/>
      <w:b/>
      <w:sz w:val="20"/>
    </w:rPr>
  </w:style>
  <w:style w:type="character" w:styleId="1151" w:customStyle="1">
    <w:name w:val="H 4 Char"/>
    <w:uiPriority w:val="0"/>
    <w:qFormat/>
    <w:rPr>
      <w:rFonts w:ascii="Times New Roman" w:hAnsi="Times New Roman" w:eastAsia="宋体" w:cs="Times New Roman"/>
      <w:b/>
      <w:sz w:val="20"/>
    </w:rPr>
  </w:style>
  <w:style w:type="character" w:styleId="1152" w:customStyle="1">
    <w:name w:val="批注主题 Char1"/>
    <w:uiPriority w:val="0"/>
    <w:qFormat/>
    <w:rPr>
      <w:rFonts w:ascii="Times New Roman" w:hAnsi="Times New Roman" w:eastAsia="宋体" w:cs="Times New Roman"/>
      <w:b/>
      <w:sz w:val="20"/>
    </w:rPr>
  </w:style>
  <w:style w:type="character" w:styleId="1153" w:customStyle="1">
    <w:name w:val="正文文本缩进 Char1"/>
    <w:uiPriority w:val="0"/>
    <w:qFormat/>
    <w:rPr>
      <w:rFonts w:ascii="Times New Roman" w:hAnsi="Times New Roman" w:eastAsia="宋体" w:cs="Times New Roman"/>
      <w:sz w:val="20"/>
    </w:rPr>
  </w:style>
  <w:style w:type="character" w:styleId="1154" w:customStyle="1">
    <w:name w:val="正文文本 3 Char"/>
    <w:uiPriority w:val="0"/>
    <w:qFormat/>
    <w:rPr>
      <w:rFonts w:ascii="Times New Roman" w:hAnsi="Times New Roman" w:eastAsia="宋体" w:cs="Times New Roman"/>
      <w:sz w:val="20"/>
    </w:rPr>
  </w:style>
  <w:style w:type="character" w:styleId="1155" w:customStyle="1">
    <w:name w:val="正文首行缩进 2 Char"/>
    <w:uiPriority w:val="0"/>
    <w:qFormat/>
    <w:rPr>
      <w:rFonts w:ascii="Times New Roman" w:hAnsi="Times New Roman" w:eastAsia="宋体" w:cs="Times New Roman"/>
      <w:sz w:val="20"/>
    </w:rPr>
  </w:style>
  <w:style w:type="character" w:styleId="1156" w:customStyle="1">
    <w:name w:val="页眉 Char1"/>
    <w:uiPriority w:val="0"/>
    <w:qFormat/>
    <w:rPr>
      <w:rFonts w:ascii="Times New Roman" w:hAnsi="Times New Roman" w:eastAsia="宋体" w:cs="Times New Roman"/>
      <w:sz w:val="20"/>
    </w:rPr>
  </w:style>
  <w:style w:type="character" w:styleId="1157" w:customStyle="1">
    <w:name w:val="Char Char2"/>
    <w:uiPriority w:val="0"/>
    <w:qFormat/>
    <w:rPr>
      <w:rFonts w:ascii="Times New Roman" w:hAnsi="Times New Roman" w:eastAsia="宋体" w:cs="Times New Roman"/>
      <w:sz w:val="20"/>
    </w:rPr>
  </w:style>
  <w:style w:type="character" w:styleId="1158" w:customStyle="1">
    <w:name w:val="样式 首行缩进:  2 字符 Char1"/>
    <w:uiPriority w:val="0"/>
    <w:qFormat/>
    <w:rPr>
      <w:rFonts w:ascii="Times New Roman" w:hAnsi="Times New Roman" w:eastAsia="宋体" w:cs="Times New Roman"/>
      <w:sz w:val="20"/>
    </w:rPr>
  </w:style>
  <w:style w:type="character" w:styleId="1159" w:customStyle="1">
    <w:name w:val="标题 2 Char"/>
    <w:uiPriority w:val="0"/>
    <w:qFormat/>
    <w:rPr>
      <w:rFonts w:ascii="Times New Roman" w:hAnsi="Times New Roman" w:eastAsia="宋体" w:cs="Times New Roman"/>
      <w:b/>
      <w:sz w:val="20"/>
    </w:rPr>
  </w:style>
  <w:style w:type="character" w:styleId="1160" w:customStyle="1">
    <w:name w:val="表格文字图表文字 Char Char"/>
    <w:uiPriority w:val="0"/>
    <w:qFormat/>
    <w:rPr>
      <w:rFonts w:ascii="Times New Roman" w:hAnsi="Times New Roman" w:eastAsia="宋体" w:cs="Times New Roman"/>
      <w:sz w:val="20"/>
    </w:rPr>
  </w:style>
  <w:style w:type="character" w:styleId="1161" w:customStyle="1">
    <w:name w:val="图片 Char"/>
    <w:uiPriority w:val="0"/>
    <w:qFormat/>
    <w:rPr>
      <w:rFonts w:ascii="Times New Roman" w:hAnsi="Times New Roman" w:eastAsia="宋体" w:cs="Times New Roman"/>
      <w:sz w:val="20"/>
    </w:rPr>
  </w:style>
  <w:style w:type="character" w:styleId="1162" w:customStyle="1">
    <w:name w:val="标题 6 Char"/>
    <w:uiPriority w:val="0"/>
    <w:qFormat/>
    <w:rPr>
      <w:rFonts w:ascii="Times New Roman" w:hAnsi="Times New Roman" w:eastAsia="宋体" w:cs="Times New Roman"/>
      <w:b/>
      <w:sz w:val="20"/>
    </w:rPr>
  </w:style>
  <w:style w:type="character" w:styleId="1163" w:customStyle="1">
    <w:name w:val="标题 4 Char"/>
    <w:uiPriority w:val="0"/>
    <w:qFormat/>
    <w:rPr>
      <w:rFonts w:ascii="Times New Roman" w:hAnsi="Times New Roman" w:eastAsia="宋体" w:cs="Times New Roman"/>
      <w:b/>
      <w:sz w:val="20"/>
    </w:rPr>
  </w:style>
  <w:style w:type="character" w:styleId="1164" w:customStyle="1">
    <w:name w:val="文档结构图 Char1"/>
    <w:uiPriority w:val="0"/>
    <w:qFormat/>
    <w:rPr>
      <w:rFonts w:ascii="Times New Roman" w:hAnsi="Times New Roman" w:eastAsia="宋体" w:cs="Times New Roman"/>
      <w:sz w:val="20"/>
    </w:rPr>
  </w:style>
  <w:style w:type="character" w:styleId="1165" w:customStyle="1">
    <w:name w:val="项目符0 Char"/>
    <w:uiPriority w:val="0"/>
    <w:qFormat/>
    <w:rPr>
      <w:rFonts w:ascii="Times New Roman" w:hAnsi="Times New Roman" w:eastAsia="宋体" w:cs="Times New Roman"/>
      <w:sz w:val="20"/>
    </w:rPr>
  </w:style>
  <w:style w:type="character" w:styleId="1166" w:customStyle="1">
    <w:name w:val="正文文本缩进 3 Char"/>
    <w:uiPriority w:val="0"/>
    <w:qFormat/>
    <w:rPr>
      <w:rFonts w:ascii="Times New Roman" w:hAnsi="Times New Roman" w:eastAsia="宋体" w:cs="Times New Roman"/>
      <w:sz w:val="20"/>
    </w:rPr>
  </w:style>
  <w:style w:type="character" w:styleId="1167" w:customStyle="1">
    <w:name w:val="Char Char3"/>
    <w:uiPriority w:val="0"/>
    <w:qFormat/>
    <w:rPr>
      <w:rFonts w:ascii="Times New Roman" w:hAnsi="Times New Roman" w:eastAsia="宋体" w:cs="Times New Roman"/>
      <w:sz w:val="20"/>
    </w:rPr>
  </w:style>
  <w:style w:type="character" w:styleId="1168" w:customStyle="1">
    <w:name w:val="纯文本 Char"/>
    <w:uiPriority w:val="0"/>
    <w:qFormat/>
    <w:rPr>
      <w:rFonts w:ascii="Times New Roman" w:hAnsi="Times New Roman" w:eastAsia="宋体" w:cs="Times New Roman"/>
      <w:sz w:val="20"/>
    </w:rPr>
  </w:style>
  <w:style w:type="character" w:styleId="1169" w:customStyle="1">
    <w:name w:val="正文文本缩进 2 Char1"/>
    <w:uiPriority w:val="0"/>
    <w:qFormat/>
    <w:rPr>
      <w:rFonts w:ascii="Times New Roman" w:hAnsi="Times New Roman" w:eastAsia="宋体" w:cs="Times New Roman"/>
      <w:sz w:val="20"/>
    </w:rPr>
  </w:style>
  <w:style w:type="character" w:styleId="1170" w:customStyle="1">
    <w:name w:val="标题 8 Char"/>
    <w:uiPriority w:val="0"/>
    <w:qFormat/>
    <w:rPr>
      <w:rFonts w:ascii="Times New Roman" w:hAnsi="Times New Roman" w:eastAsia="宋体" w:cs="Times New Roman"/>
      <w:sz w:val="20"/>
    </w:rPr>
  </w:style>
  <w:style w:type="character" w:styleId="1171" w:customStyle="1">
    <w:name w:val="标题 6 Char1"/>
    <w:uiPriority w:val="0"/>
    <w:qFormat/>
    <w:rPr>
      <w:rFonts w:ascii="Times New Roman" w:hAnsi="Times New Roman" w:eastAsia="宋体" w:cs="Times New Roman"/>
      <w:b/>
      <w:sz w:val="20"/>
    </w:rPr>
  </w:style>
  <w:style w:type="character" w:styleId="1172" w:customStyle="1">
    <w:name w:val="case31"/>
    <w:uiPriority w:val="0"/>
    <w:qFormat/>
    <w:rPr>
      <w:rFonts w:ascii="Times New Roman" w:hAnsi="Times New Roman" w:eastAsia="宋体" w:cs="Times New Roman"/>
      <w:sz w:val="20"/>
    </w:rPr>
  </w:style>
  <w:style w:type="character" w:styleId="1173" w:customStyle="1">
    <w:name w:val="正文文本 Char"/>
    <w:uiPriority w:val="0"/>
    <w:qFormat/>
    <w:rPr>
      <w:rFonts w:ascii="Times New Roman" w:hAnsi="Times New Roman" w:eastAsia="宋体" w:cs="Times New Roman"/>
      <w:sz w:val="20"/>
    </w:rPr>
  </w:style>
  <w:style w:type="paragraph" w:styleId="1174" w:customStyle="1">
    <w:name w:val="节标题"/>
    <w:basedOn w:val="994"/>
    <w:next w:val="1175"/>
    <w:uiPriority w:val="0"/>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uiPriority w:val="0"/>
    <w:qFormat/>
    <w:pPr>
      <w:ind w:left="1134" w:firstLine="20"/>
      <w:spacing w:before="280" w:after="280" w:line="360" w:lineRule="auto"/>
      <w:outlineLvl w:val="5"/>
    </w:pPr>
  </w:style>
  <w:style w:type="paragraph" w:styleId="1176" w:customStyle="1">
    <w:name w:val="正文段"/>
    <w:basedOn w:val="994"/>
    <w:next w:val="1177"/>
    <w:uiPriority w:val="0"/>
    <w:qFormat/>
    <w:pPr>
      <w:ind w:left="454" w:firstLine="1222"/>
      <w:spacing w:before="0" w:after="240" w:line="240" w:lineRule="atLeast"/>
    </w:pPr>
    <w:rPr>
      <w:rFonts w:ascii="Times New Roman" w:hAnsi="Times New Roman" w:cs="Times New Roman"/>
    </w:rPr>
  </w:style>
  <w:style w:type="paragraph" w:styleId="1177" w:customStyle="1">
    <w:name w:val="批注主题1"/>
    <w:next w:val="993"/>
    <w:uiPriority w:val="0"/>
    <w:qFormat/>
    <w:pPr>
      <w:ind w:left="200" w:firstLine="4808"/>
      <w:spacing w:line="360" w:lineRule="auto"/>
    </w:pPr>
    <w:rPr>
      <w:rFonts w:ascii="Calibri" w:hAnsi="Calibri" w:eastAsia="宋体" w:cs="宋体"/>
      <w:lang w:val="en-US" w:eastAsia="zh-CN" w:bidi="ar-SA"/>
    </w:rPr>
  </w:style>
  <w:style w:type="paragraph" w:styleId="1178" w:customStyle="1">
    <w:name w:val="_Style 224"/>
    <w:next w:val="1179"/>
    <w:uiPriority w:val="0"/>
    <w:qFormat/>
    <w:pPr>
      <w:ind w:firstLine="3584"/>
    </w:pPr>
    <w:rPr>
      <w:rFonts w:ascii="Calibri" w:hAnsi="Calibri" w:eastAsia="宋体" w:cs="宋体"/>
      <w:lang w:val="en-US" w:eastAsia="zh-CN" w:bidi="ar-SA"/>
    </w:rPr>
  </w:style>
  <w:style w:type="paragraph" w:styleId="1179" w:customStyle="1">
    <w:name w:val="编号1"/>
    <w:basedOn w:val="994"/>
    <w:next w:val="1180"/>
    <w:uiPriority w:val="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uiPriority w:val="0"/>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5"/>
    <w:uiPriority w:val="0"/>
    <w:qFormat/>
    <w:pPr>
      <w:ind w:left="400" w:firstLine="5120"/>
      <w:spacing w:line="360" w:lineRule="auto"/>
      <w:widowControl w:val="off"/>
    </w:pPr>
    <w:rPr>
      <w:rFonts w:ascii="Calibri" w:hAnsi="Calibri" w:eastAsia="宋体" w:cs="宋体"/>
      <w:lang w:val="en-US" w:eastAsia="zh-CN" w:bidi="ar-SA"/>
    </w:rPr>
  </w:style>
  <w:style w:type="paragraph" w:styleId="1182" w:customStyle="1">
    <w:name w:val="图注"/>
    <w:next w:val="1183"/>
    <w:uiPriority w:val="0"/>
    <w:qFormat/>
    <w:pPr>
      <w:ind w:left="360" w:firstLine="2152"/>
      <w:jc w:val="center"/>
    </w:pPr>
    <w:rPr>
      <w:rFonts w:ascii="Calibri" w:hAnsi="Calibri" w:eastAsia="宋体" w:cs="宋体"/>
      <w:lang w:val="en-US" w:eastAsia="zh-CN" w:bidi="ar-SA"/>
    </w:rPr>
  </w:style>
  <w:style w:type="paragraph" w:styleId="1183" w:customStyle="1">
    <w:name w:val="列表编号 41"/>
    <w:basedOn w:val="994"/>
    <w:next w:val="1184"/>
    <w:uiPriority w:val="0"/>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uiPriority w:val="0"/>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uiPriority w:val="0"/>
    <w:qFormat/>
    <w:pPr>
      <w:ind w:firstLine="5632"/>
      <w:widowControl w:val="off"/>
    </w:pPr>
    <w:rPr>
      <w:rFonts w:ascii="Calibri" w:hAnsi="Calibri" w:eastAsia="宋体" w:cs="宋体"/>
      <w:lang w:val="en-US" w:eastAsia="zh-CN" w:bidi="ar-SA"/>
    </w:rPr>
  </w:style>
  <w:style w:type="paragraph" w:styleId="1186" w:customStyle="1">
    <w:name w:val="Item Step in Table"/>
    <w:next w:val="1187"/>
    <w:uiPriority w:val="0"/>
    <w:qFormat/>
    <w:pPr>
      <w:ind w:left="397" w:firstLine="3699"/>
      <w:jc w:val="both"/>
      <w:spacing w:before="40" w:after="40"/>
    </w:pPr>
    <w:rPr>
      <w:rFonts w:ascii="Calibri" w:hAnsi="Calibri" w:eastAsia="宋体" w:cs="宋体"/>
      <w:lang w:val="en-US" w:eastAsia="zh-CN" w:bidi="ar-SA"/>
    </w:rPr>
  </w:style>
  <w:style w:type="paragraph" w:styleId="1187" w:customStyle="1">
    <w:name w:val="Char Char Char Char Char Char1 Char Char Char Char Char Char"/>
    <w:basedOn w:val="994"/>
    <w:next w:val="1188"/>
    <w:uiPriority w:val="0"/>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uiPriority w:val="0"/>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1"/>
    <w:uiPriority w:val="0"/>
    <w:qFormat/>
    <w:pPr>
      <w:ind w:left="200" w:firstLine="18"/>
      <w:spacing w:before="0" w:after="0" w:line="360" w:lineRule="auto"/>
      <w:outlineLvl w:val="2"/>
    </w:pPr>
  </w:style>
  <w:style w:type="paragraph" w:styleId="1190" w:customStyle="1">
    <w:name w:val="xl76"/>
    <w:basedOn w:val="994"/>
    <w:next w:val="1048"/>
    <w:uiPriority w:val="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0"/>
    <w:uiPriority w:val="0"/>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uiPriority w:val="0"/>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uiPriority w:val="0"/>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uiPriority w:val="0"/>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uiPriority w:val="0"/>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uiPriority w:val="0"/>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uiPriority w:val="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uiPriority w:val="0"/>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7"/>
    <w:uiPriority w:val="0"/>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uiPriority w:val="0"/>
    <w:qFormat/>
    <w:pPr>
      <w:ind w:left="992" w:firstLine="18"/>
      <w:spacing w:before="280" w:after="280" w:line="360" w:lineRule="auto"/>
      <w:outlineLvl w:val="4"/>
    </w:pPr>
  </w:style>
  <w:style w:type="paragraph" w:styleId="1204" w:customStyle="1">
    <w:name w:val="样式 加粗 居中"/>
    <w:basedOn w:val="994"/>
    <w:next w:val="1205"/>
    <w:uiPriority w:val="0"/>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uiPriority w:val="0"/>
    <w:qFormat/>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文本缩进1"/>
    <w:basedOn w:val="994"/>
    <w:next w:val="1207"/>
    <w:uiPriority w:val="0"/>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49"/>
    <w:uiPriority w:val="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uiPriority w:val="0"/>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uiPriority w:val="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uiPriority w:val="0"/>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uiPriority w:val="0"/>
    <w:qFormat/>
    <w:pPr>
      <w:ind w:left="0" w:firstLine="5632"/>
      <w:spacing w:before="0" w:after="0" w:line="240" w:lineRule="auto"/>
    </w:pPr>
    <w:rPr>
      <w:rFonts w:ascii="Times New Roman" w:hAnsi="Times New Roman" w:cs="Times New Roman"/>
    </w:rPr>
  </w:style>
  <w:style w:type="paragraph" w:styleId="1213" w:customStyle="1">
    <w:name w:val="加粗（居中）"/>
    <w:next w:val="1214"/>
    <w:uiPriority w:val="0"/>
    <w:qFormat/>
    <w:pPr>
      <w:ind w:firstLine="2560"/>
    </w:pPr>
    <w:rPr>
      <w:rFonts w:ascii="Calibri" w:hAnsi="Calibri" w:eastAsia="宋体" w:cs="宋体"/>
      <w:lang w:val="en-US" w:eastAsia="zh-CN" w:bidi="ar-SA"/>
    </w:rPr>
  </w:style>
  <w:style w:type="paragraph" w:styleId="1214" w:customStyle="1">
    <w:name w:val="xl65"/>
    <w:basedOn w:val="994"/>
    <w:next w:val="1174"/>
    <w:uiPriority w:val="0"/>
    <w:qFormat/>
    <w:pPr>
      <w:ind w:left="0" w:firstLine="5120"/>
      <w:spacing w:before="280" w:after="280" w:line="240" w:lineRule="auto"/>
    </w:pPr>
    <w:rPr>
      <w:rFonts w:ascii="Times New Roman" w:hAnsi="Times New Roman" w:cs="Times New Roman"/>
    </w:rPr>
  </w:style>
  <w:style w:type="paragraph" w:styleId="1215" w:customStyle="1">
    <w:name w:val="WPSOffice手动目录 3"/>
    <w:uiPriority w:val="0"/>
    <w:qFormat/>
    <w:pPr>
      <w:ind w:left="400"/>
    </w:pPr>
    <w:rPr>
      <w:rFonts w:ascii="宋体" w:hAnsi="宋体" w:eastAsia="宋体" w:cs="宋体"/>
      <w:lang w:val="en-US" w:eastAsia="zh-CN" w:bidi="ar-SA"/>
    </w:rPr>
  </w:style>
  <w:style w:type="paragraph" w:styleId="1216" w:customStyle="1">
    <w:name w:val="xl77"/>
    <w:basedOn w:val="994"/>
    <w:next w:val="1217"/>
    <w:uiPriority w:val="0"/>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uiPriority w:val="0"/>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uiPriority w:val="0"/>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uiPriority w:val="0"/>
    <w:qFormat/>
    <w:pPr>
      <w:ind w:left="480" w:firstLine="2784"/>
      <w:jc w:val="center"/>
      <w:spacing w:line="300" w:lineRule="auto"/>
    </w:pPr>
    <w:rPr>
      <w:rFonts w:ascii="Calibri" w:hAnsi="Calibri" w:eastAsia="宋体" w:cs="宋体"/>
      <w:lang w:val="en-US" w:eastAsia="zh-CN" w:bidi="ar-SA"/>
    </w:rPr>
  </w:style>
  <w:style w:type="paragraph" w:styleId="1220" w:customStyle="1">
    <w:name w:val="xl28"/>
    <w:basedOn w:val="994"/>
    <w:next w:val="1221"/>
    <w:uiPriority w:val="0"/>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uiPriority w:val="0"/>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uiPriority w:val="0"/>
    <w:qFormat/>
    <w:pPr>
      <w:ind w:left="425" w:firstLine="1111"/>
      <w:spacing w:before="0" w:after="0" w:line="360" w:lineRule="auto"/>
    </w:pPr>
    <w:rPr>
      <w:rFonts w:ascii="Times New Roman" w:hAnsi="Times New Roman" w:cs="Times New Roman"/>
    </w:rPr>
  </w:style>
  <w:style w:type="paragraph" w:styleId="1223" w:customStyle="1">
    <w:name w:val="Default"/>
    <w:next w:val="1026"/>
    <w:uiPriority w:val="0"/>
    <w:qFormat/>
    <w:pPr>
      <w:ind w:firstLine="5120"/>
      <w:widowControl w:val="off"/>
    </w:pPr>
    <w:rPr>
      <w:rFonts w:ascii="Calibri" w:hAnsi="Calibri" w:eastAsia="宋体" w:cs="宋体"/>
      <w:lang w:val="en-US" w:eastAsia="zh-CN" w:bidi="ar-SA"/>
    </w:rPr>
  </w:style>
  <w:style w:type="paragraph" w:styleId="1224" w:customStyle="1">
    <w:name w:val="xl84"/>
    <w:basedOn w:val="994"/>
    <w:next w:val="1225"/>
    <w:uiPriority w:val="0"/>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uiPriority w:val="0"/>
    <w:qFormat/>
    <w:pPr>
      <w:ind w:left="0" w:firstLine="24"/>
      <w:jc w:val="center"/>
      <w:spacing w:before="0" w:after="0" w:line="360" w:lineRule="auto"/>
      <w:outlineLvl w:val="1"/>
    </w:pPr>
  </w:style>
  <w:style w:type="paragraph" w:styleId="1226" w:customStyle="1">
    <w:name w:val="应答文本"/>
    <w:basedOn w:val="994"/>
    <w:next w:val="1227"/>
    <w:uiPriority w:val="0"/>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uiPriority w:val="0"/>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uiPriority w:val="0"/>
    <w:qFormat/>
    <w:pPr>
      <w:ind w:firstLine="480"/>
    </w:pPr>
    <w:rPr>
      <w:rFonts w:ascii="Times New Roman" w:hAnsi="Times New Roman" w:cs="Times New Roman"/>
      <w:lang w:val="zh-CN"/>
    </w:rPr>
  </w:style>
  <w:style w:type="paragraph" w:styleId="1229" w:customStyle="1">
    <w:name w:val="font9"/>
    <w:basedOn w:val="994"/>
    <w:next w:val="1230"/>
    <w:uiPriority w:val="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uiPriority w:val="0"/>
    <w:qFormat/>
    <w:pPr>
      <w:ind w:left="0"/>
      <w:spacing w:before="0" w:after="0" w:line="400" w:lineRule="exact"/>
      <w:outlineLvl w:val="2"/>
    </w:pPr>
  </w:style>
  <w:style w:type="paragraph" w:styleId="1231" w:customStyle="1">
    <w:name w:val="标书正文"/>
    <w:basedOn w:val="994"/>
    <w:next w:val="1232"/>
    <w:uiPriority w:val="0"/>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uiPriority w:val="0"/>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uiPriority w:val="0"/>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uiPriority w:val="0"/>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uiPriority w:val="0"/>
    <w:qFormat/>
    <w:pPr>
      <w:ind w:left="0" w:firstLine="3584"/>
      <w:spacing w:before="280" w:after="280" w:line="240" w:lineRule="auto"/>
    </w:pPr>
    <w:rPr>
      <w:rFonts w:ascii="Times New Roman" w:hAnsi="Times New Roman" w:cs="Times New Roman"/>
    </w:rPr>
  </w:style>
  <w:style w:type="paragraph" w:styleId="1236" w:customStyle="1">
    <w:name w:val="列表框1"/>
    <w:next w:val="1227"/>
    <w:uiPriority w:val="0"/>
    <w:qFormat/>
    <w:pPr>
      <w:ind w:firstLine="2048"/>
      <w:spacing w:line="460" w:lineRule="exact"/>
    </w:pPr>
    <w:rPr>
      <w:rFonts w:ascii="Calibri" w:hAnsi="Calibri" w:eastAsia="宋体" w:cs="宋体"/>
      <w:lang w:val="en-US" w:eastAsia="zh-CN" w:bidi="ar-SA"/>
    </w:rPr>
  </w:style>
  <w:style w:type="paragraph" w:styleId="1237" w:customStyle="1">
    <w:name w:val="1ji"/>
    <w:basedOn w:val="995"/>
    <w:next w:val="1216"/>
    <w:uiPriority w:val="0"/>
    <w:qFormat/>
    <w:pPr>
      <w:ind w:left="0" w:firstLine="18"/>
      <w:jc w:val="center"/>
      <w:spacing w:before="0" w:after="0" w:line="240" w:lineRule="auto"/>
      <w:outlineLvl w:val="0"/>
    </w:pPr>
  </w:style>
  <w:style w:type="paragraph" w:styleId="1238" w:customStyle="1">
    <w:name w:val="索引 81"/>
    <w:basedOn w:val="994"/>
    <w:next w:val="993"/>
    <w:uiPriority w:val="0"/>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uiPriority w:val="0"/>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uiPriority w:val="0"/>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uiPriority w:val="0"/>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uiPriority w:val="0"/>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uiPriority w:val="0"/>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uiPriority w:val="0"/>
    <w:qFormat/>
    <w:pPr>
      <w:ind w:left="0" w:firstLine="5120"/>
      <w:jc w:val="center"/>
      <w:spacing w:before="187" w:after="175" w:line="374" w:lineRule="atLeast"/>
    </w:pPr>
    <w:rPr>
      <w:rFonts w:ascii="Times New Roman" w:hAnsi="Times New Roman" w:cs="Times New Roman"/>
    </w:rPr>
  </w:style>
  <w:style w:type="paragraph" w:styleId="1245">
    <w:name w:val="Quote"/>
    <w:next w:val="993"/>
    <w:uiPriority w:val="0"/>
    <w:qFormat/>
    <w:pPr>
      <w:ind w:left="3680" w:right="864"/>
      <w:jc w:val="center"/>
      <w:spacing w:before="200" w:after="160"/>
    </w:pPr>
    <w:rPr>
      <w:rFonts w:ascii="Calibri" w:hAnsi="Calibri" w:eastAsia="宋体" w:cs="宋体"/>
      <w:i/>
      <w:lang w:val="en-US" w:eastAsia="zh-CN" w:bidi="ar-SA"/>
    </w:rPr>
  </w:style>
  <w:style w:type="paragraph" w:styleId="1246" w:customStyle="1">
    <w:name w:val="Default Paragraph Font Para Char Char Char Char Char Char"/>
    <w:basedOn w:val="994"/>
    <w:next w:val="1247"/>
    <w:uiPriority w:val="0"/>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28"/>
    <w:uiPriority w:val="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uiPriority w:val="0"/>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uiPriority w:val="0"/>
    <w:qFormat/>
    <w:pPr>
      <w:ind w:left="0" w:firstLine="24"/>
      <w:jc w:val="center"/>
      <w:spacing w:line="412" w:lineRule="auto"/>
      <w:outlineLvl w:val="1"/>
    </w:pPr>
  </w:style>
  <w:style w:type="paragraph" w:styleId="1250" w:customStyle="1">
    <w:name w:val="页脚 Char Char"/>
    <w:basedOn w:val="994"/>
    <w:next w:val="1251"/>
    <w:uiPriority w:val="0"/>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uiPriority w:val="0"/>
    <w:qFormat/>
    <w:pPr>
      <w:ind w:left="0" w:firstLine="18"/>
      <w:jc w:val="center"/>
      <w:spacing w:before="120" w:after="0" w:line="360" w:lineRule="auto"/>
      <w:outlineLvl w:val="0"/>
    </w:pPr>
  </w:style>
  <w:style w:type="paragraph" w:styleId="1252" w:customStyle="1">
    <w:name w:val="Char1 Char Char Char Char Char Char"/>
    <w:basedOn w:val="994"/>
    <w:next w:val="1253"/>
    <w:uiPriority w:val="0"/>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uiPriority w:val="0"/>
    <w:qFormat/>
    <w:pPr>
      <w:ind w:left="851" w:firstLine="30"/>
      <w:spacing w:after="280" w:line="360" w:lineRule="auto"/>
      <w:outlineLvl w:val="3"/>
    </w:pPr>
  </w:style>
  <w:style w:type="paragraph" w:styleId="1254" w:customStyle="1">
    <w:name w:val="font0"/>
    <w:basedOn w:val="994"/>
    <w:next w:val="1229"/>
    <w:uiPriority w:val="0"/>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uiPriority w:val="0"/>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uiPriority w:val="0"/>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uiPriority w:val="0"/>
    <w:qFormat/>
    <w:pPr>
      <w:ind w:left="420" w:firstLine="2140"/>
      <w:spacing w:before="120" w:after="120" w:line="300" w:lineRule="auto"/>
    </w:pPr>
    <w:rPr>
      <w:rFonts w:ascii="Times New Roman" w:hAnsi="Times New Roman" w:cs="Times New Roman"/>
    </w:rPr>
  </w:style>
  <w:style w:type="paragraph" w:styleId="1258" w:customStyle="1">
    <w:name w:val="段"/>
    <w:next w:val="993"/>
    <w:uiPriority w:val="0"/>
    <w:qFormat/>
    <w:pPr>
      <w:ind w:firstLine="200"/>
      <w:jc w:val="both"/>
      <w:spacing w:line="360" w:lineRule="auto"/>
    </w:pPr>
    <w:rPr>
      <w:rFonts w:ascii="宋体" w:hAnsi="宋体" w:eastAsia="宋体" w:cs="宋体"/>
      <w:sz w:val="24"/>
      <w:szCs w:val="22"/>
      <w:lang w:val="en-US" w:eastAsia="zh-CN" w:bidi="ar-SA"/>
    </w:rPr>
  </w:style>
  <w:style w:type="paragraph" w:styleId="1259" w:customStyle="1">
    <w:name w:val="标书_正文"/>
    <w:basedOn w:val="994"/>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uiPriority w:val="0"/>
    <w:qFormat/>
    <w:pPr>
      <w:ind w:left="0" w:firstLine="24"/>
      <w:spacing w:before="100" w:after="0" w:line="400" w:lineRule="exact"/>
      <w:outlineLvl w:val="1"/>
    </w:pPr>
  </w:style>
  <w:style w:type="paragraph" w:styleId="1261" w:customStyle="1">
    <w:name w:val="图片0"/>
    <w:basedOn w:val="994"/>
    <w:next w:val="1040"/>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994"/>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996"/>
    <w:next w:val="1034"/>
    <w:uiPriority w:val="0"/>
    <w:qFormat/>
    <w:pPr>
      <w:ind w:left="0" w:firstLine="24"/>
      <w:spacing w:before="0" w:after="0" w:line="360" w:lineRule="auto"/>
      <w:outlineLvl w:val="1"/>
    </w:pPr>
  </w:style>
  <w:style w:type="paragraph" w:styleId="1269" w:customStyle="1">
    <w:name w:val="xl91"/>
    <w:basedOn w:val="994"/>
    <w:next w:val="1190"/>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uiPriority w:val="0"/>
    <w:qFormat/>
    <w:pPr>
      <w:ind w:left="1429" w:firstLine="18"/>
      <w:spacing w:before="100" w:after="100" w:line="360" w:lineRule="auto"/>
      <w:outlineLvl w:val="2"/>
    </w:pPr>
  </w:style>
  <w:style w:type="paragraph" w:styleId="1274" w:customStyle="1">
    <w:name w:val="xl22"/>
    <w:basedOn w:val="994"/>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uiPriority w:val="0"/>
    <w:qFormat/>
    <w:pPr>
      <w:ind w:left="0"/>
      <w:spacing w:before="0" w:after="0" w:line="360" w:lineRule="auto"/>
    </w:pPr>
    <w:rPr>
      <w:rFonts w:ascii="Times New Roman" w:hAnsi="Times New Roman" w:cs="Times New Roman"/>
    </w:rPr>
  </w:style>
  <w:style w:type="paragraph" w:styleId="1276" w:customStyle="1">
    <w:name w:val="xl78"/>
    <w:basedOn w:val="994"/>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993"/>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994"/>
    <w:next w:val="1224"/>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994"/>
    <w:next w:val="1005"/>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994"/>
    <w:next w:val="993"/>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993"/>
    <w:uiPriority w:val="0"/>
    <w:qFormat/>
    <w:pPr>
      <w:ind w:left="0"/>
    </w:pPr>
    <w:rPr>
      <w:rFonts w:ascii="宋体" w:hAnsi="宋体"/>
      <w:sz w:val="28"/>
      <w:szCs w:val="28"/>
    </w:rPr>
  </w:style>
  <w:style w:type="paragraph" w:styleId="1294" w:customStyle="1">
    <w:name w:val="四号 居中"/>
    <w:basedOn w:val="994"/>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993"/>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994"/>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1"/>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4"/>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994"/>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994"/>
    <w:next w:val="1025"/>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6"/>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994"/>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8"/>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994"/>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uiPriority w:val="0"/>
    <w:qFormat/>
    <w:pPr>
      <w:ind w:left="426" w:firstLine="24"/>
      <w:spacing w:before="0" w:after="0" w:line="360" w:lineRule="auto"/>
      <w:outlineLvl w:val="3"/>
    </w:pPr>
  </w:style>
  <w:style w:type="paragraph" w:styleId="1319" w:customStyle="1">
    <w:name w:val="xl82"/>
    <w:basedOn w:val="994"/>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994"/>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994"/>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994"/>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993"/>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uiPriority w:val="0"/>
    <w:qFormat/>
    <w:pPr>
      <w:ind w:left="432" w:firstLine="18"/>
      <w:spacing w:before="40" w:after="40" w:line="360" w:lineRule="auto"/>
      <w:outlineLvl w:val="0"/>
    </w:pPr>
  </w:style>
  <w:style w:type="paragraph" w:styleId="1337" w:customStyle="1">
    <w:name w:val="表格用"/>
    <w:basedOn w:val="994"/>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994"/>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993"/>
    <w:uiPriority w:val="0"/>
    <w:qFormat/>
    <w:pPr>
      <w:ind w:firstLine="3584"/>
      <w:widowControl w:val="off"/>
    </w:pPr>
    <w:rPr>
      <w:rFonts w:ascii="Calibri" w:hAnsi="Calibri" w:eastAsia="宋体" w:cs="宋体"/>
      <w:lang w:val="en-US" w:eastAsia="zh-CN" w:bidi="ar-SA"/>
    </w:rPr>
  </w:style>
  <w:style w:type="paragraph" w:styleId="1345" w:customStyle="1">
    <w:name w:val="TOC 标题1"/>
    <w:basedOn w:val="995"/>
    <w:next w:val="993"/>
    <w:uiPriority w:val="0"/>
    <w:qFormat/>
    <w:pPr>
      <w:ind w:left="0" w:firstLine="6144"/>
      <w:spacing w:before="480" w:after="0" w:line="276" w:lineRule="auto"/>
    </w:pPr>
    <w:rPr>
      <w:b/>
      <w:sz w:val="30"/>
    </w:rPr>
  </w:style>
  <w:style w:type="paragraph" w:styleId="1346" w:customStyle="1">
    <w:name w:val="纯文本3"/>
    <w:basedOn w:val="993"/>
    <w:uiPriority w:val="0"/>
    <w:qFormat/>
    <w:rPr>
      <w:rFonts w:ascii="宋体" w:hAnsi="Courier New" w:cs="Times New Roman"/>
    </w:rPr>
  </w:style>
  <w:style w:type="paragraph" w:styleId="1347" w:customStyle="1">
    <w:name w:val="afont"/>
    <w:basedOn w:val="994"/>
    <w:next w:val="1018"/>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3"/>
    <w:uiPriority w:val="0"/>
    <w:qFormat/>
    <w:pPr>
      <w:ind w:left="0"/>
      <w:jc w:val="left"/>
    </w:pPr>
    <w:rPr>
      <w:rFonts w:ascii="宋体" w:hAnsi="宋体" w:eastAsia="楷体_GB2312" w:cs="Courier New"/>
      <w:sz w:val="26"/>
      <w:lang w:val="zh-CN"/>
    </w:rPr>
  </w:style>
  <w:style w:type="paragraph" w:styleId="1353" w:customStyle="1">
    <w:name w:val="样式 加粗 居中2"/>
    <w:basedOn w:val="994"/>
    <w:next w:val="1205"/>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uiPriority w:val="0"/>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uiPriority w:val="0"/>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uiPriority w:val="0"/>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uiPriority w:val="0"/>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uiPriority w:val="0"/>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uiPriority w:val="0"/>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uiPriority w:val="0"/>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uiPriority w:val="0"/>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uiPriority w:val="0"/>
    <w:qFormat/>
    <w:pPr>
      <w:ind w:left="420" w:firstLine="3748"/>
    </w:pPr>
    <w:rPr>
      <w:rFonts w:ascii="Times New Roman" w:hAnsi="Times New Roman" w:cs="Times New Roman"/>
    </w:rPr>
  </w:style>
  <w:style w:type="paragraph" w:styleId="1363" w:customStyle="1">
    <w:name w:val="xl73"/>
    <w:basedOn w:val="994"/>
    <w:next w:val="1364"/>
    <w:uiPriority w:val="0"/>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uiPriority w:val="0"/>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uiPriority w:val="0"/>
    <w:qFormat/>
    <w:pPr>
      <w:ind w:left="1134" w:firstLine="18"/>
      <w:spacing w:before="0" w:after="0" w:line="360" w:lineRule="auto"/>
      <w:outlineLvl w:val="4"/>
    </w:pPr>
  </w:style>
  <w:style w:type="paragraph" w:styleId="1366" w:customStyle="1">
    <w:name w:val="日期1"/>
    <w:basedOn w:val="994"/>
    <w:next w:val="993"/>
    <w:uiPriority w:val="0"/>
    <w:qFormat/>
    <w:pPr>
      <w:ind w:left="100" w:firstLine="6144"/>
      <w:spacing w:before="0" w:after="0" w:line="240" w:lineRule="auto"/>
    </w:pPr>
    <w:rPr>
      <w:rFonts w:ascii="Times New Roman" w:hAnsi="Times New Roman" w:cs="Times New Roman"/>
    </w:rPr>
  </w:style>
  <w:style w:type="paragraph" w:styleId="1367" w:customStyle="1">
    <w:name w:val="图1"/>
    <w:basedOn w:val="994"/>
    <w:next w:val="993"/>
    <w:uiPriority w:val="0"/>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uiPriority w:val="0"/>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uiPriority w:val="0"/>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uiPriority w:val="0"/>
    <w:qFormat/>
    <w:pPr>
      <w:ind w:left="0" w:firstLine="3584"/>
      <w:jc w:val="center"/>
      <w:spacing w:before="0" w:after="0" w:line="400" w:lineRule="exact"/>
    </w:pPr>
    <w:rPr>
      <w:rFonts w:ascii="Times New Roman" w:hAnsi="Times New Roman" w:cs="Times New Roman"/>
    </w:rPr>
  </w:style>
  <w:style w:type="paragraph" w:styleId="1371">
    <w:name w:val="Intense Quote"/>
    <w:next w:val="993"/>
    <w:uiPriority w:val="0"/>
    <w:qFormat/>
    <w:pPr>
      <w:ind w:left="3766" w:right="950"/>
      <w:jc w:val="center"/>
      <w:spacing w:before="360" w:after="360"/>
    </w:pPr>
    <w:rPr>
      <w:rFonts w:ascii="Calibri" w:hAnsi="Calibri" w:eastAsia="宋体" w:cs="宋体"/>
      <w:i/>
      <w:lang w:val="en-US" w:eastAsia="zh-CN" w:bidi="ar-SA"/>
    </w:rPr>
  </w:style>
  <w:style w:type="paragraph" w:styleId="1372" w:customStyle="1">
    <w:name w:val="索引 51"/>
    <w:basedOn w:val="994"/>
    <w:next w:val="993"/>
    <w:uiPriority w:val="0"/>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uiPriority w:val="0"/>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uiPriority w:val="0"/>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uiPriority w:val="0"/>
    <w:qFormat/>
    <w:pPr>
      <w:ind w:firstLine="2560"/>
      <w:jc w:val="center"/>
    </w:pPr>
    <w:rPr>
      <w:rFonts w:ascii="Calibri" w:hAnsi="Calibri" w:eastAsia="宋体" w:cs="宋体"/>
      <w:lang w:val="en-US" w:eastAsia="zh-CN" w:bidi="ar-SA"/>
    </w:rPr>
  </w:style>
  <w:style w:type="paragraph" w:styleId="1376" w:customStyle="1">
    <w:name w:val="修订2"/>
    <w:uiPriority w:val="0"/>
    <w:qFormat/>
    <w:rPr>
      <w:rFonts w:ascii="Calibri" w:hAnsi="Calibri" w:eastAsia="宋体" w:cs="宋体"/>
      <w:lang w:val="en-US" w:eastAsia="zh-CN" w:bidi="ar-SA"/>
    </w:rPr>
  </w:style>
  <w:style w:type="paragraph" w:styleId="1377"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8" w:customStyle="1">
    <w:name w:val="font6"/>
    <w:basedOn w:val="994"/>
    <w:next w:val="1379"/>
    <w:uiPriority w:val="0"/>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5"/>
    <w:next w:val="1377"/>
    <w:uiPriority w:val="0"/>
    <w:qFormat/>
    <w:pPr>
      <w:ind w:left="200" w:firstLine="3784"/>
      <w:jc w:val="center"/>
      <w:spacing w:after="120" w:line="360" w:lineRule="auto"/>
    </w:pPr>
    <w:rPr>
      <w:rFonts w:ascii="Calibri" w:hAnsi="Calibri"/>
    </w:rPr>
  </w:style>
  <w:style w:type="paragraph" w:styleId="1380" w:customStyle="1">
    <w:name w:val="Char Char"/>
    <w:next w:val="1373"/>
    <w:uiPriority w:val="0"/>
    <w:qFormat/>
    <w:pPr>
      <w:ind w:firstLine="14"/>
      <w:spacing w:line="360" w:lineRule="auto"/>
      <w:shd w:val="clear" w:color="000000" w:fill="000080"/>
    </w:pPr>
    <w:rPr>
      <w:rFonts w:ascii="Calibri" w:hAnsi="Calibri" w:eastAsia="宋体" w:cs="宋体"/>
      <w:lang w:val="en-US" w:eastAsia="zh-CN" w:bidi="ar-SA"/>
    </w:rPr>
  </w:style>
  <w:style w:type="paragraph" w:styleId="1381" w:customStyle="1">
    <w:name w:val="正文_0_0"/>
    <w:next w:val="1213"/>
    <w:uiPriority w:val="0"/>
    <w:qFormat/>
    <w:pPr>
      <w:ind w:firstLine="3584"/>
      <w:jc w:val="both"/>
      <w:widowControl w:val="off"/>
    </w:pPr>
    <w:rPr>
      <w:rFonts w:ascii="Calibri" w:hAnsi="Calibri" w:eastAsia="宋体" w:cs="宋体"/>
      <w:lang w:val="en-US" w:eastAsia="zh-CN" w:bidi="ar-SA"/>
    </w:rPr>
  </w:style>
  <w:style w:type="paragraph" w:styleId="1382" w:customStyle="1">
    <w:name w:val="font7"/>
    <w:basedOn w:val="994"/>
    <w:next w:val="1383"/>
    <w:uiPriority w:val="0"/>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uiPriority w:val="0"/>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uiPriority w:val="0"/>
    <w:qFormat/>
    <w:pPr>
      <w:ind w:left="0" w:firstLine="3584"/>
      <w:spacing w:before="280" w:after="280" w:line="240" w:lineRule="auto"/>
    </w:pPr>
    <w:rPr>
      <w:rFonts w:ascii="Times New Roman" w:hAnsi="Times New Roman" w:cs="Times New Roman"/>
    </w:rPr>
  </w:style>
  <w:style w:type="paragraph" w:styleId="1385" w:customStyle="1">
    <w:name w:val="style16"/>
    <w:basedOn w:val="994"/>
    <w:next w:val="1378"/>
    <w:uiPriority w:val="0"/>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uiPriority w:val="0"/>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uiPriority w:val="0"/>
    <w:qFormat/>
    <w:pPr>
      <w:ind w:left="1429" w:firstLine="18"/>
      <w:spacing w:before="0" w:after="0" w:line="360" w:lineRule="auto"/>
      <w:outlineLvl w:val="2"/>
    </w:pPr>
  </w:style>
  <w:style w:type="paragraph" w:styleId="1388" w:customStyle="1">
    <w:name w:val="xl83"/>
    <w:basedOn w:val="994"/>
    <w:next w:val="1369"/>
    <w:uiPriority w:val="0"/>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uiPriority w:val="0"/>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uiPriority w:val="0"/>
    <w:qFormat/>
    <w:pPr>
      <w:ind w:left="200" w:firstLine="3784"/>
      <w:spacing w:before="0" w:after="0" w:line="360" w:lineRule="auto"/>
    </w:pPr>
    <w:rPr>
      <w:rFonts w:ascii="Times New Roman" w:hAnsi="Times New Roman" w:cs="Times New Roman"/>
    </w:rPr>
  </w:style>
  <w:style w:type="paragraph" w:styleId="1391" w:customStyle="1">
    <w:name w:val="1"/>
    <w:basedOn w:val="994"/>
    <w:next w:val="1037"/>
    <w:uiPriority w:val="0"/>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uiPriority w:val="0"/>
    <w:qFormat/>
    <w:rPr>
      <w:rFonts w:ascii="Calibri" w:hAnsi="Calibri" w:eastAsia="宋体" w:cs="宋体"/>
      <w:lang w:val="en-US" w:eastAsia="zh-CN" w:bidi="ar-SA"/>
    </w:rPr>
  </w:style>
  <w:style w:type="paragraph" w:styleId="1395" w:customStyle="1">
    <w:name w:val="Style1"/>
    <w:basedOn w:val="99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uiPriority w:val="0"/>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uiPriority w:val="0"/>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uiPriority w:val="0"/>
    <w:qFormat/>
    <w:pPr>
      <w:ind w:firstLine="3584"/>
    </w:pPr>
    <w:rPr>
      <w:rFonts w:ascii="Calibri" w:hAnsi="Calibri" w:eastAsia="宋体" w:cs="宋体"/>
      <w:lang w:val="en-US" w:eastAsia="zh-CN" w:bidi="ar-SA"/>
    </w:rPr>
  </w:style>
  <w:style w:type="paragraph" w:styleId="1400" w:customStyle="1">
    <w:name w:val="xl72"/>
    <w:basedOn w:val="994"/>
    <w:next w:val="1256"/>
    <w:uiPriority w:val="0"/>
    <w:qFormat/>
    <w:pPr>
      <w:ind w:left="0" w:firstLine="3584"/>
      <w:spacing w:before="280" w:after="280" w:line="240" w:lineRule="auto"/>
    </w:pPr>
    <w:rPr>
      <w:rFonts w:ascii="Times New Roman" w:hAnsi="Times New Roman" w:cs="Times New Roman"/>
    </w:rPr>
  </w:style>
  <w:style w:type="paragraph" w:styleId="1401" w:customStyle="1">
    <w:name w:val="插图"/>
    <w:next w:val="993"/>
    <w:uiPriority w:val="0"/>
    <w:qFormat/>
    <w:pPr>
      <w:ind w:firstLine="4608"/>
      <w:jc w:val="center"/>
    </w:pPr>
    <w:rPr>
      <w:rFonts w:ascii="Calibri" w:hAnsi="Calibri" w:eastAsia="宋体" w:cs="宋体"/>
      <w:lang w:val="en-US" w:eastAsia="zh-CN" w:bidi="ar-SA"/>
    </w:rPr>
  </w:style>
  <w:style w:type="paragraph" w:styleId="1402" w:customStyle="1">
    <w:name w:val="列出段落3"/>
    <w:basedOn w:val="994"/>
    <w:next w:val="1296"/>
    <w:uiPriority w:val="0"/>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uiPriority w:val="0"/>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uiPriority w:val="0"/>
    <w:qFormat/>
    <w:pPr>
      <w:ind w:left="0" w:firstLine="2560"/>
      <w:spacing w:before="0" w:after="0" w:line="240" w:lineRule="auto"/>
    </w:pPr>
    <w:rPr>
      <w:rFonts w:ascii="Times New Roman" w:hAnsi="Times New Roman" w:cs="Times New Roman"/>
    </w:rPr>
  </w:style>
  <w:style w:type="paragraph" w:styleId="1405" w:customStyle="1">
    <w:name w:val="WPSOffice手动目录 2"/>
    <w:uiPriority w:val="0"/>
    <w:qFormat/>
    <w:pPr>
      <w:ind w:left="200"/>
    </w:pPr>
    <w:rPr>
      <w:rFonts w:ascii="宋体" w:hAnsi="宋体" w:eastAsia="宋体" w:cs="宋体"/>
      <w:lang w:val="en-US" w:eastAsia="zh-CN" w:bidi="ar-SA"/>
    </w:rPr>
  </w:style>
  <w:style w:type="paragraph" w:styleId="1406" w:customStyle="1">
    <w:name w:val="表内文字"/>
    <w:basedOn w:val="994"/>
    <w:next w:val="1033"/>
    <w:uiPriority w:val="0"/>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uiPriority w:val="0"/>
    <w:qFormat/>
    <w:pPr>
      <w:ind w:left="0" w:firstLine="3584"/>
      <w:spacing w:before="280" w:after="280" w:line="240" w:lineRule="auto"/>
    </w:pPr>
    <w:rPr>
      <w:rFonts w:ascii="Times New Roman" w:hAnsi="Times New Roman" w:cs="Times New Roman"/>
    </w:rPr>
  </w:style>
  <w:style w:type="paragraph" w:styleId="1408" w:customStyle="1">
    <w:name w:val="*正文"/>
    <w:basedOn w:val="993"/>
    <w:uiPriority w:val="0"/>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uiPriority w:val="0"/>
    <w:qFormat/>
    <w:pPr>
      <w:ind w:left="0" w:firstLine="2815"/>
      <w:spacing w:before="0" w:after="0" w:line="360" w:lineRule="auto"/>
    </w:pPr>
    <w:rPr>
      <w:rFonts w:ascii="Times New Roman" w:hAnsi="Times New Roman" w:cs="Times New Roman"/>
    </w:rPr>
  </w:style>
  <w:style w:type="table" w:styleId="1410" w:customStyle="1">
    <w:name w:val="网格型1"/>
    <w:basedOn w:val="10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uiPriority w:val="0"/>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2"/>
    <w:uiPriority w:val="0"/>
    <w:qFormat/>
    <w:rPr>
      <w:rFonts w:ascii="Times New Roman" w:hAnsi="Times New Roman" w:cs="Times New Roman"/>
    </w:rPr>
  </w:style>
  <w:style w:type="table" w:styleId="1413"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24123A5-9AAC-49BD-BD34-FDD01020AF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254</cp:revision>
  <dcterms:created xsi:type="dcterms:W3CDTF">2023-12-20T13:18:00Z</dcterms:created>
  <dcterms:modified xsi:type="dcterms:W3CDTF">2026-04-29T08:52:36Z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eyJoZGlkIjoiZTI3ZDhjMGEyNTFkYTIxZmNhYWJhMGU5NzFkNzcwNDYiLCJ1c2VySWQiOiIxODE3Mjk1NTcwIn0=</vt:lpwstr>
  </property>
</Properties>
</file>