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bookmarkStart w:id="0" w:name="_Toc99301419"/>
      <w:r/>
      <w:bookmarkStart w:id="1" w:name="_Toc305158854"/>
      <w:r/>
      <w:bookmarkStart w:id="2" w:name="_Toc305158928"/>
      <w:r/>
      <w:bookmarkStart w:id="3" w:name="_Toc353825548"/>
      <w:r/>
      <w:bookmarkStart w:id="4" w:name="_Toc150774783"/>
      <w:r/>
      <w:bookmarkStart w:id="5" w:name="_Toc127151777"/>
      <w:r/>
      <w:bookmarkStart w:id="6" w:name="_Toc512937850"/>
      <w:r/>
      <w:bookmarkStart w:id="7" w:name="_Toc265228423"/>
      <w:r/>
      <w:bookmarkStart w:id="8" w:name="_Toc226965856"/>
      <w:r/>
      <w:bookmarkStart w:id="9" w:name="_Toc99301420"/>
      <w:r/>
      <w:bookmarkStart w:id="10" w:name="_Toc195842950"/>
      <w:r/>
      <w:bookmarkStart w:id="11" w:name="_Toc264969275"/>
      <w:r/>
      <w:bookmarkStart w:id="12" w:name="_Toc353873938"/>
      <w:r/>
      <w:bookmarkStart w:id="13" w:name="_Toc127161488"/>
      <w:r/>
      <w:bookmarkStart w:id="14" w:name="_Toc99301421"/>
      <w:r/>
      <w:bookmarkStart w:id="15" w:name="_Toc99301423"/>
      <w:r/>
      <w:bookmarkStart w:id="16" w:name="_Toc99301424"/>
      <w:r/>
      <w:bookmarkStart w:id="17" w:name="_Toc99301425"/>
      <w:r/>
      <w:bookmarkStart w:id="18" w:name="_Toc99301426"/>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rFonts w:hint="eastAsia"/>
          <w:b/>
          <w:bCs/>
          <w:sz w:val="60"/>
          <w:szCs w:val="60"/>
        </w:rPr>
        <w:t xml:space="preserve">（服务类）</w:t>
      </w:r>
      <w:r/>
    </w:p>
    <w:p>
      <w:pPr>
        <w:jc w:val="center"/>
        <w:rPr>
          <w:rFonts w:hint="eastAsia" w:ascii="方正仿宋_GBK" w:hAnsi="方正仿宋_GBK" w:eastAsia="方正仿宋_GBK" w:cs="方正仿宋_GBK"/>
          <w:b/>
          <w:bCs/>
          <w:sz w:val="60"/>
          <w:szCs w:val="60"/>
        </w:rPr>
      </w:pPr>
      <w:r>
        <w:rPr>
          <w:rFonts w:hint="eastAsia" w:ascii="方正仿宋_GBK" w:hAnsi="方正仿宋_GBK" w:eastAsia="方正仿宋_GBK" w:cs="方正仿宋_GBK"/>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2026-2029年度常州市新北区农户家庭财产保险项目</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bookmarkStart w:id="817" w:name="_GoBack"/>
      <w:r/>
      <w:bookmarkEnd w:id="817"/>
      <w:r>
        <w:rPr>
          <w:rFonts w:hint="eastAsia"/>
          <w:bCs/>
          <w:sz w:val="36"/>
          <w:szCs w:val="36"/>
          <w:lang w:eastAsia="zh-CN"/>
        </w:rPr>
        <w:t xml:space="preserve">JSZC-320411-CXBX-G2026-0004</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常州国家高新技术产业开发区（新北区）农业农村局</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江苏常信保险经纪有限公司</w:t>
      </w:r>
      <w:r>
        <w:rPr>
          <w:bCs/>
          <w:sz w:val="36"/>
          <w:szCs w:val="36"/>
        </w:rPr>
        <w:t xml:space="preserve"> </w:t>
      </w:r>
      <w:r/>
    </w:p>
    <w:p>
      <w:pPr>
        <w:jc w:val="left"/>
        <w:widowControl/>
        <w:rPr>
          <w:b/>
          <w:sz w:val="44"/>
          <w:szCs w:val="44"/>
        </w:rPr>
      </w:pPr>
      <w:r>
        <w:rPr>
          <w:b/>
          <w:sz w:val="44"/>
          <w:szCs w:val="44"/>
        </w:rPr>
      </w:r>
      <w:r/>
    </w:p>
    <w:p>
      <w:pPr>
        <w:ind w:firstLine="7228"/>
        <w:spacing w:line="360" w:lineRule="auto"/>
        <w:rPr>
          <w:b/>
          <w:sz w:val="72"/>
        </w:rPr>
        <w:sectPr>
          <w:headerReference w:type="even" r:id="rId9"/>
          <w:headerReference w:type="first" r:id="rId10"/>
          <w:footerReference w:type="default" r:id="rId19"/>
          <w:footerReference w:type="even" r:id="rId20"/>
          <w:footerReference w:type="first" r:id="rId21"/>
          <w:footnotePr/>
          <w:endnotePr/>
          <w:type w:val="nextPage"/>
          <w:pgSz w:w="11906" w:h="16838" w:orient="portrait"/>
          <w:pgMar w:top="1440" w:right="1800" w:bottom="1440" w:left="1800" w:header="851" w:footer="992" w:gutter="0"/>
          <w:cols w:num="1" w:sep="0" w:space="1701" w:equalWidth="1"/>
          <w:docGrid w:linePitch="360"/>
        </w:sectPr>
      </w:pPr>
      <w:r>
        <w:rPr>
          <w:b/>
          <w:sz w:val="72"/>
        </w:rPr>
      </w:r>
      <w:r/>
    </w:p>
    <w:p>
      <w:pPr>
        <w:jc w:val="center"/>
        <w:spacing w:line="360" w:lineRule="auto"/>
        <w:rPr>
          <w:rFonts w:hint="eastAsia"/>
          <w:b/>
          <w:sz w:val="36"/>
          <w:szCs w:val="36"/>
        </w:rPr>
        <w:outlineLvl w:val="0"/>
      </w:pPr>
      <w:r>
        <w:rPr>
          <w:rFonts w:hint="eastAsia"/>
          <w:b/>
          <w:sz w:val="36"/>
          <w:szCs w:val="36"/>
        </w:rPr>
      </w:r>
      <w:r/>
    </w:p>
    <w:p>
      <w:r/>
      <w:r/>
    </w:p>
    <w:p>
      <w:pPr>
        <w:jc w:val="center"/>
        <w:spacing w:line="360" w:lineRule="auto"/>
        <w:outlineLvl w:val="0"/>
      </w:pPr>
      <w:r>
        <w:rPr>
          <w:rFonts w:ascii="宋体" w:hAnsi="宋体"/>
          <w:b/>
          <w:sz w:val="44"/>
          <w:szCs w:val="44"/>
        </w:rPr>
        <w:t xml:space="preserve">目      录</w:t>
      </w:r>
      <w:r/>
    </w:p>
    <w:p>
      <w:r/>
      <w:r/>
    </w:p>
    <w:p>
      <w:pPr>
        <w:pStyle w:val="1523"/>
        <w:rPr>
          <w:sz w:val="32"/>
          <w:szCs w:val="32"/>
        </w:rPr>
      </w:pPr>
      <w:r>
        <w:rPr>
          <w:sz w:val="32"/>
          <w:szCs w:val="32"/>
        </w:rPr>
        <w:fldChar w:fldCharType="begin"/>
      </w:r>
      <w:r>
        <w:rPr>
          <w:sz w:val="32"/>
          <w:szCs w:val="32"/>
        </w:rPr>
        <w:instrText xml:space="preserve"> TOC \o "1-1" \h \z \u </w:instrText>
      </w:r>
      <w:r>
        <w:rPr>
          <w:sz w:val="32"/>
          <w:szCs w:val="32"/>
        </w:rPr>
        <w:fldChar w:fldCharType="separate"/>
      </w:r>
      <w:r/>
    </w:p>
    <w:p>
      <w:pPr>
        <w:pStyle w:val="1523"/>
        <w:rPr>
          <w:rFonts w:hint="eastAsia"/>
          <w:sz w:val="28"/>
          <w:szCs w:val="28"/>
        </w:rPr>
      </w:pPr>
      <w:r>
        <w:rPr>
          <w:sz w:val="28"/>
          <w:szCs w:val="28"/>
        </w:rPr>
        <w:fldChar w:fldCharType="begin"/>
      </w:r>
      <w:r>
        <w:rPr>
          <w:sz w:val="28"/>
          <w:szCs w:val="28"/>
        </w:rPr>
        <w:instrText xml:space="preserve"> HYPERLINK \l "_Toc99301419" </w:instrText>
      </w:r>
      <w:r>
        <w:rPr>
          <w:sz w:val="28"/>
          <w:szCs w:val="28"/>
        </w:rPr>
        <w:fldChar w:fldCharType="separate"/>
      </w:r>
      <w:r>
        <w:rPr>
          <w:sz w:val="28"/>
          <w:szCs w:val="28"/>
        </w:rPr>
        <w:t xml:space="preserve">第一章   投标邀请</w:t>
      </w:r>
      <w:r>
        <w:rPr>
          <w:sz w:val="28"/>
          <w:szCs w:val="28"/>
        </w:rPr>
        <w:tab/>
      </w:r>
      <w:r>
        <w:rPr>
          <w:sz w:val="28"/>
          <w:szCs w:val="28"/>
        </w:rPr>
        <w:fldChar w:fldCharType="end"/>
      </w:r>
      <w:r>
        <w:rPr>
          <w:rFonts w:hint="eastAsia"/>
          <w:sz w:val="28"/>
          <w:szCs w:val="28"/>
        </w:rPr>
        <w:t xml:space="preserve">3</w:t>
      </w:r>
      <w:r/>
    </w:p>
    <w:p>
      <w:pPr>
        <w:pStyle w:val="1523"/>
        <w:rPr>
          <w:rFonts w:hint="eastAsia"/>
          <w:sz w:val="28"/>
          <w:szCs w:val="28"/>
        </w:rPr>
      </w:pPr>
      <w:r>
        <w:rPr>
          <w:sz w:val="28"/>
          <w:szCs w:val="28"/>
        </w:rPr>
        <w:fldChar w:fldCharType="begin"/>
      </w:r>
      <w:r>
        <w:rPr>
          <w:sz w:val="28"/>
          <w:szCs w:val="28"/>
        </w:rPr>
        <w:instrText xml:space="preserve"> HYPERLINK \l "_Toc99301420" </w:instrText>
      </w:r>
      <w:r>
        <w:rPr>
          <w:sz w:val="28"/>
          <w:szCs w:val="28"/>
        </w:rPr>
        <w:fldChar w:fldCharType="separate"/>
      </w:r>
      <w:r>
        <w:rPr>
          <w:sz w:val="28"/>
          <w:szCs w:val="28"/>
        </w:rPr>
        <w:t xml:space="preserve">第二章   投标人须知</w:t>
      </w:r>
      <w:r>
        <w:rPr>
          <w:sz w:val="28"/>
          <w:szCs w:val="28"/>
        </w:rPr>
        <w:tab/>
      </w:r>
      <w:r>
        <w:rPr>
          <w:sz w:val="28"/>
          <w:szCs w:val="28"/>
        </w:rPr>
        <w:fldChar w:fldCharType="end"/>
      </w:r>
      <w:r>
        <w:rPr>
          <w:rFonts w:hint="eastAsia"/>
          <w:sz w:val="28"/>
          <w:szCs w:val="28"/>
        </w:rPr>
        <w:t xml:space="preserve">7</w:t>
      </w:r>
      <w:r/>
    </w:p>
    <w:p>
      <w:pPr>
        <w:pStyle w:val="1523"/>
        <w:rPr>
          <w:sz w:val="28"/>
          <w:szCs w:val="28"/>
        </w:rPr>
      </w:pPr>
      <w:r>
        <w:rPr>
          <w:sz w:val="28"/>
          <w:szCs w:val="28"/>
        </w:rPr>
        <w:fldChar w:fldCharType="begin"/>
      </w:r>
      <w:r>
        <w:rPr>
          <w:sz w:val="28"/>
          <w:szCs w:val="28"/>
        </w:rPr>
        <w:instrText xml:space="preserve"> HYPERLINK \l "_Toc99301421" </w:instrText>
      </w:r>
      <w:r>
        <w:rPr>
          <w:sz w:val="28"/>
          <w:szCs w:val="28"/>
        </w:rPr>
        <w:fldChar w:fldCharType="separate"/>
      </w:r>
      <w:r>
        <w:rPr>
          <w:sz w:val="28"/>
          <w:szCs w:val="28"/>
        </w:rPr>
        <w:t xml:space="preserve">第三章   资</w:t>
      </w:r>
      <w:bookmarkStart w:id="19" w:name="_Hlt100754117"/>
      <w:r>
        <w:rPr>
          <w:sz w:val="28"/>
          <w:szCs w:val="28"/>
        </w:rPr>
        <w:t xml:space="preserve">格</w:t>
      </w:r>
      <w:bookmarkEnd w:id="19"/>
      <w:r>
        <w:rPr>
          <w:sz w:val="28"/>
          <w:szCs w:val="28"/>
        </w:rPr>
        <w:t xml:space="preserve">审查</w:t>
      </w:r>
      <w:r>
        <w:rPr>
          <w:sz w:val="28"/>
          <w:szCs w:val="28"/>
        </w:rPr>
        <w:tab/>
      </w:r>
      <w:r>
        <w:rPr>
          <w:sz w:val="28"/>
          <w:szCs w:val="28"/>
        </w:rPr>
        <w:fldChar w:fldCharType="end"/>
      </w:r>
      <w:r>
        <w:rPr>
          <w:rFonts w:hint="eastAsia"/>
          <w:sz w:val="28"/>
          <w:szCs w:val="28"/>
        </w:rPr>
        <w:t xml:space="preserve">21</w:t>
      </w:r>
      <w:r/>
    </w:p>
    <w:p>
      <w:pPr>
        <w:pStyle w:val="1523"/>
        <w:rPr>
          <w:sz w:val="28"/>
          <w:szCs w:val="28"/>
        </w:rPr>
      </w:pPr>
      <w:r>
        <w:rPr>
          <w:sz w:val="28"/>
          <w:szCs w:val="28"/>
        </w:rPr>
        <w:fldChar w:fldCharType="begin"/>
      </w:r>
      <w:r>
        <w:rPr>
          <w:sz w:val="28"/>
          <w:szCs w:val="28"/>
        </w:rPr>
        <w:instrText xml:space="preserve"> HYPERLINK \l "_Toc99301423" </w:instrText>
      </w:r>
      <w:r>
        <w:rPr>
          <w:sz w:val="28"/>
          <w:szCs w:val="28"/>
        </w:rPr>
        <w:fldChar w:fldCharType="separate"/>
      </w:r>
      <w:r>
        <w:rPr>
          <w:sz w:val="28"/>
          <w:szCs w:val="28"/>
        </w:rPr>
        <w:t xml:space="preserve">第四章   评标程序、评标方法和评标标准</w:t>
      </w:r>
      <w:r>
        <w:rPr>
          <w:sz w:val="28"/>
          <w:szCs w:val="28"/>
        </w:rPr>
        <w:tab/>
      </w:r>
      <w:r>
        <w:rPr>
          <w:sz w:val="28"/>
          <w:szCs w:val="28"/>
        </w:rPr>
        <w:fldChar w:fldCharType="end"/>
      </w:r>
      <w:r>
        <w:rPr>
          <w:rFonts w:hint="eastAsia"/>
          <w:sz w:val="28"/>
          <w:szCs w:val="28"/>
        </w:rPr>
        <w:t xml:space="preserve">24</w:t>
      </w:r>
      <w:r/>
    </w:p>
    <w:p>
      <w:pPr>
        <w:pStyle w:val="1523"/>
        <w:rPr>
          <w:sz w:val="28"/>
          <w:szCs w:val="28"/>
        </w:rPr>
      </w:pPr>
      <w:r>
        <w:rPr>
          <w:sz w:val="28"/>
          <w:szCs w:val="28"/>
        </w:rPr>
        <w:fldChar w:fldCharType="begin"/>
      </w:r>
      <w:r>
        <w:rPr>
          <w:sz w:val="28"/>
          <w:szCs w:val="28"/>
        </w:rPr>
        <w:instrText xml:space="preserve"> HYPERLINK \l "_Toc99301424" </w:instrText>
      </w:r>
      <w:r>
        <w:rPr>
          <w:sz w:val="28"/>
          <w:szCs w:val="28"/>
        </w:rPr>
        <w:fldChar w:fldCharType="separate"/>
      </w:r>
      <w:r>
        <w:rPr>
          <w:sz w:val="28"/>
          <w:szCs w:val="28"/>
        </w:rPr>
        <w:t xml:space="preserve">第五章   采购</w:t>
      </w:r>
      <w:bookmarkStart w:id="20" w:name="_Hlt100754102"/>
      <w:r/>
      <w:bookmarkStart w:id="21" w:name="_Hlt100754103"/>
      <w:r>
        <w:rPr>
          <w:sz w:val="28"/>
          <w:szCs w:val="28"/>
        </w:rPr>
        <w:t xml:space="preserve">需</w:t>
      </w:r>
      <w:bookmarkEnd w:id="20"/>
      <w:r/>
      <w:bookmarkEnd w:id="21"/>
      <w:r>
        <w:rPr>
          <w:sz w:val="28"/>
          <w:szCs w:val="28"/>
        </w:rPr>
        <w:t xml:space="preserve">求</w:t>
      </w:r>
      <w:r>
        <w:rPr>
          <w:sz w:val="28"/>
          <w:szCs w:val="28"/>
        </w:rPr>
        <w:tab/>
      </w:r>
      <w:r>
        <w:rPr>
          <w:sz w:val="28"/>
          <w:szCs w:val="28"/>
        </w:rPr>
        <w:fldChar w:fldCharType="end"/>
      </w:r>
      <w:r>
        <w:rPr>
          <w:rFonts w:hint="eastAsia"/>
          <w:sz w:val="28"/>
          <w:szCs w:val="28"/>
        </w:rPr>
        <w:t xml:space="preserve">32</w:t>
      </w:r>
      <w:r/>
    </w:p>
    <w:p>
      <w:pPr>
        <w:pStyle w:val="1523"/>
        <w:rPr>
          <w:sz w:val="28"/>
          <w:szCs w:val="28"/>
        </w:rPr>
      </w:pPr>
      <w:r>
        <w:rPr>
          <w:sz w:val="28"/>
          <w:szCs w:val="28"/>
        </w:rPr>
        <w:fldChar w:fldCharType="begin"/>
      </w:r>
      <w:r>
        <w:rPr>
          <w:sz w:val="28"/>
          <w:szCs w:val="28"/>
        </w:rPr>
        <w:instrText xml:space="preserve"> HYPERLINK \l "_Toc99301425" </w:instrText>
      </w:r>
      <w:r>
        <w:rPr>
          <w:sz w:val="28"/>
          <w:szCs w:val="28"/>
        </w:rPr>
        <w:fldChar w:fldCharType="separate"/>
      </w:r>
      <w:r>
        <w:rPr>
          <w:sz w:val="28"/>
          <w:szCs w:val="28"/>
        </w:rPr>
        <w:t xml:space="preserve">第六章   拟签订的合同文本</w:t>
      </w:r>
      <w:r>
        <w:rPr>
          <w:sz w:val="28"/>
          <w:szCs w:val="28"/>
        </w:rPr>
        <w:tab/>
      </w:r>
      <w:r>
        <w:rPr>
          <w:sz w:val="28"/>
          <w:szCs w:val="28"/>
        </w:rPr>
        <w:fldChar w:fldCharType="end"/>
      </w:r>
      <w:r>
        <w:rPr>
          <w:rFonts w:hint="eastAsia"/>
          <w:sz w:val="28"/>
          <w:szCs w:val="28"/>
        </w:rPr>
        <w:t xml:space="preserve">45</w:t>
      </w:r>
      <w:r/>
    </w:p>
    <w:p>
      <w:pPr>
        <w:pStyle w:val="1523"/>
        <w:rPr>
          <w:sz w:val="28"/>
          <w:szCs w:val="28"/>
        </w:rPr>
      </w:pPr>
      <w:r>
        <w:rPr>
          <w:sz w:val="28"/>
          <w:szCs w:val="28"/>
        </w:rPr>
        <w:fldChar w:fldCharType="begin"/>
      </w:r>
      <w:r>
        <w:rPr>
          <w:sz w:val="28"/>
          <w:szCs w:val="28"/>
        </w:rPr>
        <w:instrText xml:space="preserve"> HYPERLINK \l "_Toc99301426" </w:instrText>
      </w:r>
      <w:r>
        <w:rPr>
          <w:sz w:val="28"/>
          <w:szCs w:val="28"/>
        </w:rPr>
        <w:fldChar w:fldCharType="separate"/>
      </w:r>
      <w:r>
        <w:rPr>
          <w:sz w:val="28"/>
          <w:szCs w:val="28"/>
        </w:rPr>
        <w:t xml:space="preserve">第七章   投标文件格式</w:t>
      </w:r>
      <w:r>
        <w:rPr>
          <w:sz w:val="28"/>
          <w:szCs w:val="28"/>
        </w:rPr>
        <w:tab/>
      </w:r>
      <w:r>
        <w:rPr>
          <w:sz w:val="28"/>
          <w:szCs w:val="28"/>
        </w:rPr>
        <w:fldChar w:fldCharType="end"/>
      </w:r>
      <w:r>
        <w:rPr>
          <w:rFonts w:hint="eastAsia"/>
          <w:sz w:val="28"/>
          <w:szCs w:val="28"/>
        </w:rPr>
        <w:t xml:space="preserve">50</w:t>
      </w:r>
      <w:r/>
    </w:p>
    <w:p>
      <w:pPr>
        <w:pStyle w:val="1523"/>
        <w:rPr>
          <w:rFonts w:ascii="Times New Roman" w:hAnsi="Times New Roman"/>
          <w:b w:val="0"/>
        </w:rPr>
      </w:pPr>
      <w:r>
        <w:rPr>
          <w:sz w:val="32"/>
          <w:szCs w:val="3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pPr>
        <w:rPr>
          <w:b/>
          <w:bCs/>
          <w:sz w:val="36"/>
          <w:szCs w:val="36"/>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rPr>
        <w:t xml:space="preserve">第一章   投标邀请</w:t>
      </w:r>
      <w:bookmarkEnd w:id="0"/>
      <w:r/>
      <w:r/>
    </w:p>
    <w:p>
      <w:pPr>
        <w:ind w:firstLine="64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640"/>
        <w:spacing w:line="360" w:lineRule="auto"/>
        <w:rPr>
          <w:sz w:val="32"/>
          <w:szCs w:val="32"/>
        </w:rPr>
        <w:pBdr>
          <w:top w:val="single" w:color="000000" w:sz="4" w:space="1"/>
          <w:left w:val="single" w:color="000000" w:sz="4" w:space="4"/>
          <w:bottom w:val="single" w:color="000000" w:sz="4" w:space="1"/>
          <w:right w:val="single" w:color="000000" w:sz="4" w:space="4"/>
        </w:pBdr>
      </w:pPr>
      <w:r>
        <w:rPr>
          <w:rFonts w:hint="eastAsia"/>
          <w:sz w:val="24"/>
        </w:rPr>
        <w:t xml:space="preserve">2026-2029年度常州市新北区农户家庭财产保险项目</w:t>
      </w:r>
      <w:r>
        <w:rPr>
          <w:rFonts w:hint="eastAsia" w:ascii="宋体" w:hAnsi="宋体" w:cs="宋体"/>
          <w:sz w:val="24"/>
          <w:szCs w:val="24"/>
        </w:rPr>
        <w:t xml:space="preserve">的潜在投标人应在</w:t>
      </w:r>
      <w:r>
        <w:rPr>
          <w:rFonts w:hint="eastAsia" w:ascii="宋体" w:hAnsi="宋体" w:cs="宋体"/>
          <w:sz w:val="24"/>
          <w:szCs w:val="24"/>
          <w:lang w:bidi="ar"/>
        </w:rPr>
        <w:t xml:space="preserve">“苏采云”政府采购一体化平台自行免费下载</w:t>
      </w:r>
      <w:r>
        <w:rPr>
          <w:rFonts w:hint="eastAsia" w:ascii="宋体" w:hAnsi="宋体" w:cs="宋体"/>
          <w:sz w:val="24"/>
          <w:szCs w:val="24"/>
        </w:rPr>
        <w:t xml:space="preserve">获取招标文件，并于</w:t>
      </w:r>
      <w:r>
        <w:rPr>
          <w:rFonts w:hint="eastAsia" w:ascii="宋体" w:hAnsi="宋体" w:cs="宋体"/>
          <w:b/>
          <w:bCs/>
          <w:sz w:val="24"/>
          <w:szCs w:val="24"/>
        </w:rPr>
        <w:t xml:space="preserve">2026-05-18  14：00（北京时间）</w:t>
      </w:r>
      <w:r>
        <w:rPr>
          <w:rFonts w:hint="eastAsia" w:ascii="宋体" w:hAnsi="宋体" w:cs="宋体"/>
          <w:bCs/>
          <w:sz w:val="24"/>
          <w:szCs w:val="24"/>
        </w:rPr>
        <w:t xml:space="preserve">前递交投标文件</w:t>
      </w:r>
      <w:r>
        <w:rPr>
          <w:rFonts w:hint="eastAsia" w:ascii="宋体" w:hAnsi="宋体" w:cs="宋体"/>
          <w:sz w:val="24"/>
          <w:szCs w:val="24"/>
        </w:rPr>
        <w:t xml:space="preserve">。</w:t>
      </w:r>
      <w:r/>
    </w:p>
    <w:p>
      <w:pPr>
        <w:pStyle w:val="1483"/>
        <w:jc w:val="left"/>
        <w:spacing w:before="0" w:line="360" w:lineRule="auto"/>
        <w:rPr>
          <w:rFonts w:ascii="Times New Roman" w:hAnsi="Times New Roman" w:eastAsia="宋体"/>
          <w:sz w:val="24"/>
          <w:szCs w:val="24"/>
        </w:rPr>
      </w:pPr>
      <w:r/>
      <w:bookmarkStart w:id="22" w:name="_Toc35393621"/>
      <w:r/>
      <w:bookmarkStart w:id="23" w:name="_Toc28359002"/>
      <w:r/>
      <w:bookmarkStart w:id="24" w:name="_Toc35393790"/>
      <w:r/>
      <w:bookmarkStart w:id="25" w:name="_Toc28359079"/>
      <w:r/>
      <w:bookmarkStart w:id="26" w:name="_Hlk24379207"/>
      <w:r>
        <w:rPr>
          <w:rFonts w:ascii="Times New Roman" w:hAnsi="Times New Roman" w:eastAsia="宋体"/>
          <w:sz w:val="24"/>
          <w:szCs w:val="24"/>
        </w:rPr>
        <w:t xml:space="preserve">一、项目基本情况</w:t>
      </w:r>
      <w:bookmarkEnd w:id="22"/>
      <w:r/>
      <w:bookmarkEnd w:id="23"/>
      <w:r/>
      <w:bookmarkEnd w:id="24"/>
      <w:r/>
      <w:bookmarkEnd w:id="25"/>
      <w:r/>
      <w:r/>
    </w:p>
    <w:p>
      <w:pPr>
        <w:ind w:firstLine="480"/>
        <w:spacing w:line="360" w:lineRule="auto"/>
        <w:rPr>
          <w:rFonts w:hint="eastAsia" w:eastAsia="宋体"/>
          <w:sz w:val="24"/>
          <w:lang w:eastAsia="zh-CN"/>
        </w:rPr>
      </w:pPr>
      <w:r>
        <w:rPr>
          <w:sz w:val="24"/>
        </w:rPr>
        <w:t xml:space="preserve">1.项目编号：</w:t>
      </w:r>
      <w:r>
        <w:rPr>
          <w:rFonts w:hint="eastAsia"/>
          <w:sz w:val="24"/>
          <w:lang w:eastAsia="zh-CN"/>
        </w:rPr>
        <w:t xml:space="preserve">JSZC-320411-CXBX-G2026-0004</w:t>
      </w:r>
      <w:r/>
    </w:p>
    <w:p>
      <w:pPr>
        <w:ind w:firstLine="480"/>
        <w:spacing w:line="360" w:lineRule="auto"/>
        <w:rPr>
          <w:sz w:val="24"/>
        </w:rPr>
      </w:pPr>
      <w:r>
        <w:rPr>
          <w:sz w:val="24"/>
        </w:rPr>
        <w:t xml:space="preserve">2.项目名称：</w:t>
      </w:r>
      <w:r>
        <w:rPr>
          <w:rFonts w:hint="eastAsia"/>
          <w:sz w:val="24"/>
        </w:rPr>
        <w:t xml:space="preserve">2026-2029年度常州市新北区农户家庭财产保险项目</w:t>
      </w:r>
      <w:bookmarkEnd w:id="26"/>
      <w:r/>
      <w:r/>
    </w:p>
    <w:p>
      <w:pPr>
        <w:ind w:firstLine="480"/>
        <w:spacing w:line="360" w:lineRule="auto"/>
        <w:rPr>
          <w:sz w:val="24"/>
          <w:highlight w:val="none"/>
        </w:rPr>
      </w:pPr>
      <w:r>
        <w:rPr>
          <w:sz w:val="24"/>
          <w:highlight w:val="none"/>
        </w:rPr>
        <w:t xml:space="preserve">3.项目预算金额：</w:t>
      </w:r>
      <w:r>
        <w:rPr>
          <w:rFonts w:hint="eastAsia"/>
          <w:sz w:val="24"/>
          <w:highlight w:val="none"/>
          <w:u w:val="single"/>
        </w:rPr>
        <w:t xml:space="preserve">690万元（230万元/年）。</w:t>
      </w:r>
      <w:r/>
    </w:p>
    <w:p>
      <w:pPr>
        <w:ind w:firstLine="480"/>
        <w:spacing w:line="360" w:lineRule="auto"/>
        <w:rPr>
          <w:rFonts w:hint="eastAsia"/>
          <w:sz w:val="24"/>
          <w:highlight w:val="none"/>
          <w:u w:val="single"/>
        </w:rPr>
      </w:pPr>
      <w:r>
        <w:rPr>
          <w:sz w:val="24"/>
          <w:highlight w:val="none"/>
        </w:rPr>
        <w:t xml:space="preserve">项目最高限价：</w:t>
      </w:r>
      <w:r>
        <w:rPr>
          <w:rFonts w:hint="eastAsia"/>
          <w:sz w:val="24"/>
          <w:highlight w:val="none"/>
          <w:u w:val="single"/>
        </w:rPr>
        <w:t xml:space="preserve">690万元（230万元/年）。</w:t>
      </w:r>
      <w:r/>
    </w:p>
    <w:p>
      <w:pPr>
        <w:numPr>
          <w:ilvl w:val="0"/>
          <w:numId w:val="1"/>
        </w:numPr>
        <w:ind w:firstLine="480"/>
        <w:spacing w:line="360" w:lineRule="auto"/>
        <w:rPr>
          <w:sz w:val="24"/>
        </w:rPr>
      </w:pPr>
      <w:r>
        <w:rPr>
          <w:sz w:val="24"/>
        </w:rPr>
        <w:t xml:space="preserve">采购需求：</w:t>
      </w:r>
      <w:r/>
    </w:p>
    <w:p>
      <w:pPr>
        <w:ind w:firstLine="480"/>
        <w:spacing w:line="360" w:lineRule="auto"/>
        <w:rPr>
          <w:rFonts w:hint="eastAsia"/>
          <w:sz w:val="24"/>
        </w:rPr>
      </w:pPr>
      <w:r>
        <w:rPr>
          <w:rFonts w:hint="eastAsia"/>
          <w:sz w:val="24"/>
        </w:rPr>
        <w:t xml:space="preserve">为提高广大农户抵御自然灾害和意外事故的能力，建立健全重大事故紧急救助体系，结合常州市新北区实际情况，常州国家高新技术产业开发区（新北区）农业农村局在新北区开展农户家庭财产保险项目。</w:t>
      </w:r>
      <w:r/>
    </w:p>
    <w:p>
      <w:pPr>
        <w:ind w:firstLine="480"/>
        <w:spacing w:line="360" w:lineRule="auto"/>
        <w:rPr>
          <w:sz w:val="24"/>
        </w:rPr>
      </w:pPr>
      <w:r>
        <w:rPr>
          <w:sz w:val="24"/>
        </w:rPr>
        <w:t xml:space="preserve">5.合同履行期限：</w:t>
      </w:r>
      <w:r>
        <w:rPr>
          <w:rFonts w:hint="eastAsia"/>
          <w:sz w:val="24"/>
        </w:rPr>
        <w:t xml:space="preserve">三年，2026年4月1日零时——2029年3月31日二十四时（具体服务期限以合同为准，分年度出单）</w:t>
      </w:r>
      <w:r/>
    </w:p>
    <w:p>
      <w:pPr>
        <w:ind w:firstLine="480"/>
        <w:spacing w:line="360" w:lineRule="auto"/>
        <w:rPr>
          <w:sz w:val="24"/>
        </w:rPr>
      </w:pPr>
      <w:r>
        <w:rPr>
          <w:sz w:val="24"/>
        </w:rPr>
        <w:t xml:space="preserve">6.本项目是否接受联合体投标</w:t>
      </w:r>
      <w:r>
        <w:rPr>
          <w:rFonts w:hint="eastAsia"/>
          <w:sz w:val="24"/>
        </w:rPr>
        <w:t xml:space="preserve">：■是  □否。</w:t>
      </w:r>
      <w:r/>
    </w:p>
    <w:p>
      <w:pPr>
        <w:ind w:firstLine="480"/>
        <w:spacing w:line="360" w:lineRule="auto"/>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  ■否。</w:t>
      </w:r>
      <w:r/>
    </w:p>
    <w:p>
      <w:pPr>
        <w:pStyle w:val="1483"/>
        <w:jc w:val="left"/>
        <w:spacing w:before="0" w:line="360" w:lineRule="auto"/>
        <w:rPr>
          <w:rFonts w:ascii="Times New Roman" w:hAnsi="Times New Roman" w:eastAsia="宋体"/>
          <w:sz w:val="24"/>
          <w:szCs w:val="24"/>
        </w:rPr>
      </w:pPr>
      <w:r/>
      <w:bookmarkStart w:id="27" w:name="_Toc35393791"/>
      <w:r/>
      <w:bookmarkStart w:id="28" w:name="_Toc28359080"/>
      <w:r/>
      <w:bookmarkStart w:id="29" w:name="_Toc28359003"/>
      <w:r/>
      <w:bookmarkStart w:id="30" w:name="_Toc35393622"/>
      <w:r>
        <w:rPr>
          <w:rFonts w:ascii="Times New Roman" w:hAnsi="Times New Roman" w:eastAsia="宋体"/>
          <w:sz w:val="24"/>
          <w:szCs w:val="24"/>
        </w:rPr>
        <w:t xml:space="preserve">二、申请人的资格要求（须同时满足）</w:t>
      </w:r>
      <w:bookmarkEnd w:id="27"/>
      <w:r/>
      <w:bookmarkEnd w:id="28"/>
      <w:r/>
      <w:bookmarkEnd w:id="29"/>
      <w:r/>
      <w:bookmarkEnd w:id="30"/>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31" w:name="_Toc28359081"/>
      <w:r/>
      <w:bookmarkStart w:id="32"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480"/>
        <w:spacing w:line="360" w:lineRule="auto"/>
        <w:rPr>
          <w:rFonts w:hint="eastAsia" w:ascii="宋体" w:hAnsi="宋体"/>
          <w:sz w:val="24"/>
        </w:rPr>
      </w:pPr>
      <w:r>
        <w:rPr>
          <w:rFonts w:hint="eastAsia" w:ascii="宋体" w:hAnsi="宋体"/>
          <w:sz w:val="24"/>
        </w:rPr>
        <w:t xml:space="preserve">■本项目不专门面向中小企业预留采购份额。</w:t>
      </w:r>
      <w:r/>
    </w:p>
    <w:p>
      <w:pPr>
        <w:ind w:firstLine="480"/>
        <w:spacing w:line="360" w:lineRule="auto"/>
        <w:rPr>
          <w:rFonts w:hint="eastAsia" w:ascii="宋体" w:hAnsi="宋体"/>
          <w:sz w:val="24"/>
        </w:rPr>
      </w:pPr>
      <w:r>
        <w:rPr>
          <w:rFonts w:hint="eastAsia" w:ascii="宋体" w:hAnsi="宋体"/>
          <w:sz w:val="24"/>
        </w:rPr>
        <w:t xml:space="preserve">□本项目专门面向□中小□小微企业采购。即：提供的货物全部由符合政策要求的中小/小微企业制造、服务全部由符合政策要求的中小/小微企业承接。</w:t>
      </w:r>
      <w:r/>
    </w:p>
    <w:p>
      <w:pPr>
        <w:ind w:firstLine="480"/>
        <w:spacing w:line="360" w:lineRule="auto"/>
        <w:rPr>
          <w:rFonts w:hint="eastAsia" w:ascii="宋体" w:hAnsi="宋体"/>
          <w:sz w:val="24"/>
        </w:rPr>
      </w:pPr>
      <w:r>
        <w:rPr>
          <w:rFonts w:hint="eastAsia"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u w:val="single"/>
        </w:rPr>
        <w:t xml:space="preserve">   /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2.2 其它落实政府采购政策的资格要求（如有）：</w:t>
      </w:r>
      <w:r>
        <w:rPr>
          <w:rFonts w:hint="eastAsia" w:ascii="宋体" w:hAnsi="宋体"/>
          <w:sz w:val="24"/>
          <w:u w:val="single"/>
        </w:rPr>
        <w:t xml:space="preserve">   / </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3.2本项目是否属于政府购买服务：</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经国家金融监督管理总局（原中国银行保险监督管理委员会）批准的具有承保资质的财产保险公司。如分支机构参与投标的，需提供总公司出具的授权分支机构参与本项目的授权书，格式自拟。以联合体投标的，联合体各方都必须完全满足资格要求的所有条件，出具联合体协议书。</w:t>
      </w:r>
      <w:bookmarkEnd w:id="31"/>
      <w:r/>
      <w:bookmarkEnd w:id="32"/>
      <w:r/>
      <w:r/>
    </w:p>
    <w:p>
      <w:pPr>
        <w:pStyle w:val="1524"/>
        <w:ind w:firstLine="643"/>
        <w:jc w:val="left"/>
        <w:spacing w:before="0" w:line="360" w:lineRule="auto"/>
        <w:widowControl/>
        <w:tabs>
          <w:tab w:val="left" w:pos="5243" w:leader="none"/>
        </w:tabs>
        <w:rPr>
          <w:rFonts w:hint="eastAsia" w:ascii="宋体" w:hAnsi="宋体" w:eastAsia="宋体" w:cs="宋体"/>
          <w:sz w:val="24"/>
          <w:szCs w:val="24"/>
        </w:rPr>
      </w:pPr>
      <w:r/>
      <w:bookmarkStart w:id="33" w:name="_Toc28359082"/>
      <w:r/>
      <w:bookmarkStart w:id="34" w:name="_Toc28359005"/>
      <w:r/>
      <w:bookmarkStart w:id="35" w:name="_Toc35393624"/>
      <w:r/>
      <w:bookmarkStart w:id="36" w:name="_Toc35393793"/>
      <w:r>
        <w:rPr>
          <w:rFonts w:hint="eastAsia" w:ascii="宋体" w:hAnsi="宋体" w:eastAsia="宋体" w:cs="宋体"/>
          <w:sz w:val="24"/>
          <w:szCs w:val="24"/>
        </w:rPr>
        <w:t xml:space="preserve">三、获取招标文件</w:t>
      </w:r>
      <w:r>
        <w:tab/>
      </w:r>
      <w:r/>
    </w:p>
    <w:p>
      <w:pPr>
        <w:ind w:firstLine="640"/>
        <w:spacing w:line="360" w:lineRule="auto"/>
        <w:rPr>
          <w:rFonts w:hint="eastAsia" w:ascii="宋体" w:hAnsi="宋体" w:cs="宋体"/>
          <w:sz w:val="24"/>
          <w:szCs w:val="24"/>
        </w:rPr>
      </w:pPr>
      <w:r>
        <w:rPr>
          <w:rFonts w:hint="eastAsia" w:ascii="宋体" w:hAnsi="宋体" w:cs="宋体"/>
          <w:sz w:val="24"/>
          <w:szCs w:val="24"/>
          <w:lang w:bidi="ar"/>
        </w:rPr>
        <w:t xml:space="preserve">时间：自招标文件公告发布之日起至2026年05月09日。</w:t>
      </w:r>
      <w:r/>
    </w:p>
    <w:p>
      <w:pPr>
        <w:ind w:firstLine="640"/>
        <w:spacing w:line="360" w:lineRule="auto"/>
        <w:rPr>
          <w:rFonts w:hint="eastAsia" w:ascii="宋体" w:hAnsi="宋体" w:cs="宋体"/>
          <w:sz w:val="24"/>
          <w:szCs w:val="24"/>
        </w:rPr>
      </w:pPr>
      <w:r>
        <w:rPr>
          <w:rFonts w:hint="eastAsia" w:ascii="宋体" w:hAnsi="宋体" w:cs="宋体"/>
          <w:sz w:val="24"/>
          <w:szCs w:val="24"/>
          <w:lang w:bidi="ar"/>
        </w:rPr>
        <w:t xml:space="preserve">地点：“苏采云”政府采购一体化平台 </w:t>
      </w:r>
      <w:r/>
    </w:p>
    <w:p>
      <w:pPr>
        <w:ind w:firstLine="64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方式：“苏采云”政府采购一体化平台自行免费下载  </w:t>
      </w:r>
      <w:r/>
    </w:p>
    <w:p>
      <w:pPr>
        <w:ind w:firstLine="64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售价：0.00元</w:t>
      </w:r>
      <w:r/>
    </w:p>
    <w:p>
      <w:pPr>
        <w:pStyle w:val="1483"/>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33"/>
      <w:r/>
      <w:bookmarkEnd w:id="34"/>
      <w:r>
        <w:rPr>
          <w:rFonts w:ascii="Times New Roman" w:hAnsi="Times New Roman" w:eastAsia="宋体"/>
          <w:sz w:val="24"/>
          <w:szCs w:val="24"/>
        </w:rPr>
        <w:t xml:space="preserve">截止时间、开标时间和地点</w:t>
      </w:r>
      <w:bookmarkEnd w:id="35"/>
      <w:r/>
      <w:bookmarkEnd w:id="36"/>
      <w:r/>
      <w:r/>
    </w:p>
    <w:p>
      <w:pPr>
        <w:ind w:firstLine="640"/>
        <w:spacing w:line="360" w:lineRule="auto"/>
        <w:rPr>
          <w:rFonts w:hint="eastAsia" w:ascii="宋体" w:hAnsi="宋体" w:cs="宋体"/>
          <w:bCs/>
          <w:sz w:val="24"/>
          <w:szCs w:val="24"/>
          <w:u w:val="single"/>
        </w:rPr>
      </w:pPr>
      <w:r>
        <w:rPr>
          <w:rFonts w:hint="eastAsia" w:ascii="宋体" w:hAnsi="宋体" w:cs="宋体"/>
          <w:sz w:val="24"/>
          <w:szCs w:val="24"/>
          <w:lang w:bidi="ar"/>
        </w:rPr>
        <w:t xml:space="preserve">投标截止时间、开标时间：</w:t>
      </w:r>
      <w:r>
        <w:rPr>
          <w:rFonts w:hint="eastAsia" w:ascii="宋体" w:hAnsi="宋体" w:cs="宋体"/>
          <w:b/>
          <w:bCs/>
          <w:sz w:val="24"/>
          <w:szCs w:val="24"/>
        </w:rPr>
        <w:t xml:space="preserve">2026年05月18日 14点00分（北京时间）</w:t>
      </w:r>
      <w:r>
        <w:rPr>
          <w:rFonts w:hint="eastAsia" w:ascii="宋体" w:hAnsi="宋体" w:cs="宋体"/>
          <w:iCs/>
          <w:sz w:val="24"/>
          <w:szCs w:val="24"/>
          <w:lang w:bidi="ar"/>
        </w:rPr>
        <w:t xml:space="preserve">。</w:t>
      </w:r>
      <w:r/>
    </w:p>
    <w:p>
      <w:pPr>
        <w:ind w:firstLine="640"/>
        <w:spacing w:line="360" w:lineRule="auto"/>
        <w:rPr>
          <w:sz w:val="24"/>
          <w:lang w:val="zh-TW" w:bidi="ar"/>
        </w:rPr>
      </w:pPr>
      <w:r>
        <w:rPr>
          <w:rFonts w:hint="eastAsia" w:ascii="宋体" w:hAnsi="宋体" w:cs="宋体"/>
          <w:sz w:val="24"/>
          <w:szCs w:val="24"/>
          <w:lang w:bidi="ar"/>
        </w:rPr>
        <w:t xml:space="preserve">地点：</w:t>
      </w:r>
      <w:r>
        <w:rPr>
          <w:rFonts w:hint="eastAsia" w:ascii="宋体" w:hAnsi="宋体" w:cs="宋体"/>
          <w:b/>
          <w:sz w:val="24"/>
          <w:szCs w:val="24"/>
        </w:rPr>
        <w:t xml:space="preserve">“苏采云”政府采购一体化平台 。</w:t>
      </w:r>
      <w:r/>
    </w:p>
    <w:p>
      <w:pPr>
        <w:pStyle w:val="1483"/>
        <w:jc w:val="left"/>
        <w:spacing w:before="0" w:line="360" w:lineRule="auto"/>
        <w:rPr>
          <w:rFonts w:ascii="Times New Roman" w:hAnsi="Times New Roman" w:eastAsia="宋体"/>
          <w:sz w:val="24"/>
          <w:szCs w:val="24"/>
        </w:rPr>
      </w:pPr>
      <w:r/>
      <w:bookmarkStart w:id="37" w:name="_Toc28359007"/>
      <w:r/>
      <w:bookmarkStart w:id="38" w:name="_Toc35393794"/>
      <w:r/>
      <w:bookmarkStart w:id="39" w:name="_Toc28359084"/>
      <w:r/>
      <w:bookmarkStart w:id="40" w:name="_Toc35393625"/>
      <w:r>
        <w:rPr>
          <w:rFonts w:ascii="Times New Roman" w:hAnsi="Times New Roman" w:eastAsia="宋体"/>
          <w:sz w:val="24"/>
          <w:szCs w:val="24"/>
        </w:rPr>
        <w:t xml:space="preserve">五、公告期限</w:t>
      </w:r>
      <w:bookmarkEnd w:id="37"/>
      <w:r/>
      <w:bookmarkEnd w:id="38"/>
      <w:r/>
      <w:bookmarkEnd w:id="39"/>
      <w:r/>
      <w:bookmarkEnd w:id="40"/>
      <w:r/>
      <w:r/>
    </w:p>
    <w:p>
      <w:pPr>
        <w:ind w:firstLine="480"/>
        <w:spacing w:line="360" w:lineRule="auto"/>
        <w:rPr>
          <w:sz w:val="24"/>
        </w:rPr>
      </w:pPr>
      <w:r>
        <w:rPr>
          <w:sz w:val="24"/>
        </w:rPr>
        <w:t xml:space="preserve">自本公告发布之日起5个工作日。</w:t>
      </w:r>
      <w:r/>
    </w:p>
    <w:p>
      <w:pPr>
        <w:pStyle w:val="1483"/>
        <w:jc w:val="left"/>
        <w:spacing w:before="0" w:line="360" w:lineRule="auto"/>
        <w:rPr>
          <w:rFonts w:ascii="Times New Roman" w:hAnsi="Times New Roman" w:eastAsia="宋体"/>
          <w:sz w:val="24"/>
          <w:szCs w:val="24"/>
        </w:rPr>
      </w:pPr>
      <w:r/>
      <w:bookmarkStart w:id="41" w:name="_Toc35393626"/>
      <w:r/>
      <w:bookmarkStart w:id="42" w:name="_Toc35393795"/>
      <w:r>
        <w:rPr>
          <w:rFonts w:ascii="Times New Roman" w:hAnsi="Times New Roman" w:eastAsia="宋体"/>
          <w:sz w:val="24"/>
          <w:szCs w:val="24"/>
        </w:rPr>
        <w:t xml:space="preserve">六、其他补充事宜</w:t>
      </w:r>
      <w:bookmarkEnd w:id="41"/>
      <w:r/>
      <w:bookmarkEnd w:id="42"/>
      <w:r/>
      <w:r/>
    </w:p>
    <w:p>
      <w:pPr>
        <w:ind w:firstLine="480"/>
        <w:spacing w:line="360" w:lineRule="auto"/>
        <w:rPr>
          <w:sz w:val="24"/>
          <w:lang w:bidi="ar"/>
        </w:rPr>
      </w:pPr>
      <w:r>
        <w:rPr>
          <w:sz w:val="24"/>
        </w:rPr>
        <w:t xml:space="preserve">1.本项目需要落实的政府采购政策：</w:t>
      </w:r>
      <w:r>
        <w:rPr>
          <w:rFonts w:hint="eastAsia"/>
          <w:sz w:val="24"/>
          <w:u w:val="single"/>
          <w:lang w:bidi="ar"/>
        </w:rPr>
        <w:t xml:space="preserve">  /  </w:t>
      </w:r>
      <w:r>
        <w:rPr>
          <w:sz w:val="24"/>
          <w:lang w:bidi="ar"/>
        </w:rPr>
        <w:t xml:space="preserve">。</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 w:val="24"/>
          <w:szCs w:val="24"/>
          <w:lang w:bidi="ar"/>
        </w:rPr>
        <w:fldChar w:fldCharType="begin"/>
      </w:r>
      <w:r>
        <w:rPr>
          <w:rFonts w:hint="eastAsia" w:ascii="宋体" w:hAnsi="宋体" w:cs="宋体"/>
          <w:sz w:val="24"/>
          <w:szCs w:val="24"/>
          <w:lang w:bidi="ar"/>
        </w:rPr>
        <w:instrText xml:space="preserve"> HYPERLINK "http://www.ccgp-" </w:instrText>
      </w:r>
      <w:r>
        <w:rPr>
          <w:rFonts w:hint="eastAsia" w:ascii="宋体" w:hAnsi="宋体" w:cs="宋体"/>
          <w:sz w:val="24"/>
          <w:szCs w:val="24"/>
          <w:lang w:bidi="ar"/>
        </w:rPr>
        <w:fldChar w:fldCharType="separate"/>
      </w:r>
      <w:r>
        <w:rPr>
          <w:rStyle w:val="1504"/>
          <w:rFonts w:hint="eastAsia" w:ascii="宋体" w:hAnsi="宋体" w:cs="宋体"/>
          <w:sz w:val="24"/>
          <w:szCs w:val="24"/>
          <w:lang w:bidi="ar"/>
        </w:rPr>
        <w:t xml:space="preserve">http://www.ccgp-</w:t>
      </w:r>
      <w:r>
        <w:rPr>
          <w:rFonts w:hint="eastAsia" w:ascii="宋体" w:hAnsi="宋体" w:cs="宋体"/>
          <w:sz w:val="24"/>
          <w:szCs w:val="24"/>
          <w:lang w:bidi="ar"/>
        </w:rPr>
        <w:fldChar w:fldCharType="end"/>
      </w:r>
      <w:r>
        <w:rPr>
          <w:rFonts w:hint="eastAsia" w:ascii="宋体" w:hAnsi="宋体" w:cs="宋体"/>
          <w:sz w:val="24"/>
          <w:szCs w:val="24"/>
          <w:lang w:bidi="ar"/>
        </w:rPr>
        <w:t xml:space="preserve">jiangsu.</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gov.cn/jiangsu/zlxz/ee/ee3a4bc5a3454aa2b0d9312230633ce9.html。</w:t>
      </w:r>
      <w:r/>
    </w:p>
    <w:p>
      <w:pPr>
        <w:ind w:firstLine="640"/>
        <w:spacing w:line="360" w:lineRule="auto"/>
        <w:rPr>
          <w:rFonts w:hint="eastAsia" w:ascii="宋体" w:hAnsi="宋体" w:cs="宋体"/>
          <w:sz w:val="24"/>
          <w:szCs w:val="24"/>
          <w:lang w:bidi="ar"/>
        </w:rPr>
      </w:pPr>
      <w:r>
        <w:rPr>
          <w:rFonts w:hint="eastAsia" w:ascii="宋体" w:hAnsi="宋体" w:cs="宋体"/>
          <w:sz w:val="24"/>
          <w:szCs w:val="24"/>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cs="宋体"/>
          <w:sz w:val="24"/>
          <w:szCs w:val="24"/>
          <w:lang w:bidi="ar"/>
        </w:rPr>
      </w:pPr>
      <w:r>
        <w:rPr>
          <w:rFonts w:hint="eastAsia" w:ascii="宋体" w:hAnsi="宋体" w:cs="宋体"/>
          <w:sz w:val="24"/>
          <w:szCs w:val="24"/>
          <w:lang w:bidi="ar"/>
        </w:rPr>
        <w:t xml:space="preserve">3.关于常州市中小企业政府采购信用融资：</w:t>
      </w:r>
      <w:r/>
    </w:p>
    <w:p>
      <w:pPr>
        <w:ind w:firstLine="640"/>
        <w:spacing w:line="360" w:lineRule="auto"/>
        <w:rPr>
          <w:sz w:val="24"/>
          <w:lang w:val="zh-TW" w:bidi="ar"/>
        </w:rPr>
      </w:pPr>
      <w:r>
        <w:rPr>
          <w:rFonts w:hint="eastAsia" w:ascii="宋体" w:hAnsi="宋体" w:cs="宋体"/>
          <w:sz w:val="24"/>
          <w:szCs w:val="24"/>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483"/>
        <w:jc w:val="left"/>
        <w:spacing w:before="0" w:line="360" w:lineRule="auto"/>
        <w:rPr>
          <w:rFonts w:ascii="Times New Roman" w:hAnsi="Times New Roman" w:eastAsia="宋体"/>
          <w:sz w:val="24"/>
          <w:szCs w:val="24"/>
        </w:rPr>
      </w:pPr>
      <w:r/>
      <w:bookmarkStart w:id="43" w:name="_Toc35393627"/>
      <w:r/>
      <w:bookmarkStart w:id="44" w:name="_Toc28359008"/>
      <w:r/>
      <w:bookmarkStart w:id="45" w:name="_Toc28359085"/>
      <w:r/>
      <w:bookmarkStart w:id="46" w:name="_Toc35393796"/>
      <w:r>
        <w:rPr>
          <w:rFonts w:ascii="Times New Roman" w:hAnsi="Times New Roman" w:eastAsia="宋体"/>
          <w:sz w:val="24"/>
          <w:szCs w:val="24"/>
        </w:rPr>
        <w:t xml:space="preserve">七、对本次招标提出询问，请按以下方式联系。</w:t>
      </w:r>
      <w:bookmarkEnd w:id="43"/>
      <w:r/>
      <w:bookmarkEnd w:id="44"/>
      <w:r/>
      <w:bookmarkEnd w:id="45"/>
      <w:r/>
      <w:bookmarkEnd w:id="46"/>
      <w:r/>
      <w:r/>
    </w:p>
    <w:p>
      <w:pPr>
        <w:jc w:val="left"/>
        <w:spacing w:line="360" w:lineRule="auto"/>
        <w:widowControl/>
        <w:rPr>
          <w:rFonts w:ascii="宋体" w:hAnsi="宋体"/>
          <w:b/>
          <w:sz w:val="24"/>
        </w:rPr>
      </w:pPr>
      <w:r>
        <w:rPr>
          <w:rFonts w:ascii="宋体" w:hAnsi="宋体"/>
          <w:sz w:val="24"/>
        </w:rPr>
        <w:t xml:space="preserve">　　　</w:t>
      </w:r>
      <w:r>
        <w:rPr>
          <w:rFonts w:ascii="宋体" w:hAnsi="宋体"/>
          <w:b/>
          <w:sz w:val="24"/>
        </w:rPr>
        <w:t xml:space="preserve">1.采购人信息</w:t>
      </w:r>
      <w:r/>
    </w:p>
    <w:p>
      <w:pPr>
        <w:ind w:left="1079" w:hanging="300"/>
        <w:jc w:val="left"/>
        <w:spacing w:line="360" w:lineRule="auto"/>
        <w:rPr>
          <w:rFonts w:ascii="宋体" w:hAnsi="宋体"/>
          <w:sz w:val="24"/>
        </w:rPr>
      </w:pPr>
      <w:r/>
      <w:bookmarkStart w:id="47" w:name="_Toc28359086"/>
      <w:r/>
      <w:bookmarkStart w:id="48" w:name="_Toc28359009"/>
      <w:r>
        <w:rPr>
          <w:rFonts w:ascii="宋体" w:hAnsi="宋体"/>
          <w:sz w:val="24"/>
        </w:rPr>
        <w:t xml:space="preserve">名    称：</w:t>
      </w:r>
      <w:r>
        <w:rPr>
          <w:rFonts w:hint="eastAsia" w:ascii="宋体" w:hAnsi="宋体"/>
          <w:sz w:val="24"/>
        </w:rPr>
        <w:t xml:space="preserve">常州国家高新技术产业开发区（新北区）农业农村局</w:t>
      </w:r>
      <w:r/>
    </w:p>
    <w:p>
      <w:pPr>
        <w:ind w:left="1079" w:hanging="300"/>
        <w:jc w:val="left"/>
        <w:spacing w:line="360" w:lineRule="auto"/>
        <w:rPr>
          <w:rFonts w:ascii="宋体" w:hAnsi="宋体"/>
          <w:sz w:val="24"/>
        </w:rPr>
      </w:pPr>
      <w:r>
        <w:rPr>
          <w:rFonts w:ascii="宋体" w:hAnsi="宋体"/>
          <w:sz w:val="24"/>
        </w:rPr>
        <w:t xml:space="preserve">地    址：</w:t>
      </w:r>
      <w:r>
        <w:rPr>
          <w:rFonts w:hint="eastAsia" w:ascii="宋体" w:hAnsi="宋体"/>
          <w:sz w:val="24"/>
        </w:rPr>
        <w:t xml:space="preserve">常州市新北区新桥街道云河路69号11楼</w:t>
      </w:r>
      <w:r/>
    </w:p>
    <w:p>
      <w:pPr>
        <w:ind w:left="1079" w:hanging="300"/>
        <w:jc w:val="left"/>
        <w:spacing w:line="360" w:lineRule="auto"/>
        <w:rPr>
          <w:rFonts w:hint="eastAsia" w:ascii="宋体" w:hAnsi="宋体"/>
          <w:sz w:val="24"/>
        </w:rPr>
      </w:pPr>
      <w:r>
        <w:rPr>
          <w:rFonts w:hint="eastAsia" w:ascii="宋体" w:hAnsi="宋体"/>
          <w:sz w:val="24"/>
        </w:rPr>
        <w:t xml:space="preserve">联 系 人：是女士</w:t>
      </w:r>
      <w:r/>
    </w:p>
    <w:p>
      <w:pPr>
        <w:ind w:left="1079" w:hanging="300"/>
        <w:jc w:val="left"/>
        <w:spacing w:line="360" w:lineRule="auto"/>
        <w:rPr>
          <w:rFonts w:hint="eastAsia" w:ascii="宋体" w:hAnsi="宋体"/>
          <w:sz w:val="24"/>
        </w:rPr>
      </w:pPr>
      <w:r>
        <w:rPr>
          <w:rFonts w:hint="eastAsia" w:ascii="宋体" w:hAnsi="宋体"/>
          <w:sz w:val="24"/>
        </w:rPr>
        <w:t xml:space="preserve">电  　话：</w:t>
      </w:r>
      <w:r>
        <w:rPr>
          <w:rFonts w:ascii="宋体" w:hAnsi="宋体"/>
          <w:sz w:val="24"/>
        </w:rPr>
        <w:t xml:space="preserve">0519-</w:t>
      </w:r>
      <w:r>
        <w:rPr>
          <w:rFonts w:hint="eastAsia" w:ascii="宋体" w:hAnsi="宋体"/>
          <w:sz w:val="24"/>
        </w:rPr>
        <w:t xml:space="preserve">85511617</w:t>
      </w:r>
      <w:r/>
    </w:p>
    <w:p>
      <w:pPr>
        <w:ind w:left="1080" w:hanging="301"/>
        <w:jc w:val="left"/>
        <w:spacing w:line="360" w:lineRule="auto"/>
        <w:rPr>
          <w:rFonts w:ascii="宋体" w:hAnsi="宋体"/>
          <w:b/>
          <w:sz w:val="24"/>
        </w:rPr>
      </w:pPr>
      <w:r>
        <w:rPr>
          <w:rFonts w:ascii="宋体" w:hAnsi="宋体"/>
          <w:b/>
          <w:sz w:val="24"/>
        </w:rPr>
        <w:t xml:space="preserve">2.采购代理机构信息</w:t>
      </w:r>
      <w:bookmarkEnd w:id="47"/>
      <w:r/>
      <w:bookmarkEnd w:id="48"/>
      <w:r/>
      <w:r/>
    </w:p>
    <w:p>
      <w:pPr>
        <w:ind w:left="1079" w:hanging="300"/>
        <w:jc w:val="left"/>
        <w:spacing w:line="360" w:lineRule="auto"/>
        <w:rPr>
          <w:rFonts w:hint="eastAsia" w:ascii="宋体" w:hAnsi="宋体"/>
          <w:sz w:val="24"/>
        </w:rPr>
      </w:pPr>
      <w:r/>
      <w:bookmarkStart w:id="49" w:name="_Toc28359010"/>
      <w:r/>
      <w:bookmarkStart w:id="50" w:name="_Toc28359087"/>
      <w:r>
        <w:rPr>
          <w:rFonts w:ascii="宋体" w:hAnsi="宋体"/>
          <w:sz w:val="24"/>
        </w:rPr>
        <w:t xml:space="preserve">名    称：</w:t>
      </w:r>
      <w:r>
        <w:rPr>
          <w:rFonts w:hint="eastAsia" w:ascii="宋体" w:hAnsi="宋体" w:cs="宋体"/>
          <w:sz w:val="24"/>
        </w:rPr>
        <w:t xml:space="preserve">江苏常信保险经纪有限公司</w:t>
      </w:r>
      <w:r/>
    </w:p>
    <w:p>
      <w:pPr>
        <w:ind w:left="1079" w:hanging="300"/>
        <w:jc w:val="left"/>
        <w:spacing w:line="360" w:lineRule="auto"/>
        <w:rPr>
          <w:rFonts w:hint="eastAsia" w:ascii="宋体" w:hAnsi="宋体" w:cs="宋体"/>
          <w:sz w:val="24"/>
        </w:rPr>
      </w:pPr>
      <w:r>
        <w:rPr>
          <w:rFonts w:ascii="宋体" w:hAnsi="宋体"/>
          <w:sz w:val="24"/>
        </w:rPr>
        <w:t xml:space="preserve">地    址：</w:t>
      </w:r>
      <w:r>
        <w:rPr>
          <w:rFonts w:hint="eastAsia" w:ascii="宋体" w:hAnsi="宋体" w:cs="宋体"/>
          <w:sz w:val="24"/>
        </w:rPr>
        <w:t xml:space="preserve">常州市局前街285号嘉乐广场A座710</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联系方式：陈女士；0519-88126007     </w:t>
      </w:r>
      <w:r/>
    </w:p>
    <w:p>
      <w:pPr>
        <w:ind w:firstLine="723"/>
        <w:spacing w:line="360" w:lineRule="auto"/>
        <w:rPr>
          <w:rFonts w:ascii="宋体" w:hAnsi="宋体"/>
          <w:b/>
          <w:sz w:val="24"/>
          <w:u w:val="single"/>
        </w:rPr>
      </w:pPr>
      <w:r>
        <w:rPr>
          <w:rFonts w:ascii="宋体" w:hAnsi="宋体"/>
          <w:b/>
          <w:sz w:val="24"/>
        </w:rPr>
        <w:t xml:space="preserve">3.项目联系方式</w:t>
      </w:r>
      <w:bookmarkEnd w:id="49"/>
      <w:r/>
      <w:bookmarkEnd w:id="50"/>
      <w:r/>
      <w:r/>
    </w:p>
    <w:p>
      <w:pPr>
        <w:ind w:left="1079" w:hanging="300"/>
        <w:jc w:val="left"/>
        <w:spacing w:line="360" w:lineRule="auto"/>
        <w:rPr>
          <w:rFonts w:ascii="宋体" w:hAnsi="宋体"/>
          <w:sz w:val="24"/>
        </w:rPr>
      </w:pPr>
      <w:r>
        <w:rPr>
          <w:rFonts w:hint="eastAsia" w:ascii="宋体" w:hAnsi="宋体"/>
          <w:sz w:val="24"/>
        </w:rPr>
        <w:t xml:space="preserve">项目联系人：陈女士       </w:t>
      </w:r>
      <w:r/>
    </w:p>
    <w:p>
      <w:pPr>
        <w:ind w:left="1079" w:hanging="300"/>
        <w:jc w:val="left"/>
        <w:spacing w:line="360" w:lineRule="auto"/>
        <w:rPr>
          <w:rFonts w:ascii="宋体" w:hAnsi="宋体"/>
          <w:sz w:val="24"/>
        </w:rPr>
      </w:pPr>
      <w:r>
        <w:rPr>
          <w:rFonts w:hint="eastAsia" w:ascii="宋体" w:hAnsi="宋体"/>
          <w:sz w:val="24"/>
        </w:rPr>
        <w:t xml:space="preserve">电  　话：</w:t>
      </w:r>
      <w:r>
        <w:rPr>
          <w:rFonts w:ascii="宋体" w:hAnsi="宋体"/>
          <w:sz w:val="24"/>
        </w:rPr>
        <w:t xml:space="preserve">0519-</w:t>
      </w:r>
      <w:r>
        <w:rPr>
          <w:rFonts w:hint="eastAsia" w:ascii="宋体" w:hAnsi="宋体"/>
          <w:sz w:val="24"/>
        </w:rPr>
        <w:t xml:space="preserve">88126007</w:t>
      </w:r>
      <w:r/>
    </w:p>
    <w:p>
      <w:pPr>
        <w:ind w:left="1079" w:hanging="300"/>
        <w:jc w:val="left"/>
        <w:spacing w:line="360" w:lineRule="auto"/>
        <w:rPr>
          <w:rFonts w:ascii="宋体" w:hAnsi="宋体"/>
          <w:sz w:val="24"/>
        </w:rPr>
      </w:pPr>
      <w:r>
        <w:rPr>
          <w:rFonts w:hint="eastAsia" w:ascii="宋体" w:hAnsi="宋体"/>
          <w:sz w:val="24"/>
        </w:rPr>
        <w:t xml:space="preserve">电子化招投标技术支持电话：0519-85588210</w:t>
      </w:r>
      <w:r/>
    </w:p>
    <w:p>
      <w:pPr>
        <w:ind w:firstLine="5880"/>
        <w:jc w:val="right"/>
        <w:spacing w:line="360" w:lineRule="auto"/>
        <w:rPr>
          <w:sz w:val="24"/>
        </w:rPr>
      </w:pPr>
      <w:r>
        <w:rPr>
          <w:sz w:val="24"/>
        </w:rPr>
      </w:r>
      <w:r/>
    </w:p>
    <w:p>
      <w:pPr>
        <w:spacing w:line="360" w:lineRule="auto"/>
        <w:rPr>
          <w:sz w:val="24"/>
        </w:rPr>
      </w:pPr>
      <w:r>
        <w:rPr>
          <w:sz w:val="24"/>
        </w:rPr>
      </w:r>
      <w:r/>
    </w:p>
    <w:p>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pStyle w:val="1506"/>
      </w:pPr>
      <w:r/>
      <w:r/>
    </w:p>
    <w:p>
      <w:pPr>
        <w:jc w:val="center"/>
        <w:spacing w:line="360" w:lineRule="auto"/>
        <w:rPr>
          <w:b/>
          <w:sz w:val="32"/>
          <w:szCs w:val="32"/>
        </w:rPr>
        <w:outlineLvl w:val="0"/>
      </w:pPr>
      <w:r>
        <w:rPr>
          <w:b/>
          <w:sz w:val="36"/>
          <w:szCs w:val="36"/>
        </w:rPr>
        <w:t xml:space="preserve">第二章   投标人须知</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pStyle w:val="1483"/>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 xml:space="preserve">投标人须知资料表</w:t>
      </w:r>
      <w:r/>
    </w:p>
    <w:p>
      <w:pP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rFonts w:hint="eastAsia"/>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p>
    <w:p>
      <w:pPr>
        <w:ind w:firstLine="480"/>
        <w:spacing w:line="360" w:lineRule="auto"/>
        <w:rPr>
          <w:sz w:val="24"/>
        </w:rPr>
      </w:pPr>
      <w:r>
        <w:rPr>
          <w:sz w:val="24"/>
        </w:rPr>
      </w:r>
      <w:r/>
    </w:p>
    <w:tbl>
      <w:tblPr>
        <w:tblStyle w:val="1313"/>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u w:val="single"/>
              </w:rPr>
            </w:pPr>
            <w:r>
              <w:rPr>
                <w:rFonts w:hint="eastAsia" w:ascii="宋体" w:hAnsi="宋体" w:cs="宋体"/>
                <w:sz w:val="24"/>
              </w:rPr>
              <w:t xml:space="preserve">□货物</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507"/>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507"/>
              <w:rPr>
                <w:rFonts w:hAnsi="宋体" w:cs="宋体"/>
                <w:sz w:val="24"/>
                <w:szCs w:val="24"/>
              </w:rPr>
            </w:pPr>
            <w:r>
              <w:rPr>
                <w:rFonts w:hAnsi="宋体" w:cs="宋体"/>
                <w:sz w:val="24"/>
                <w:szCs w:val="24"/>
              </w:rPr>
              <w:t xml:space="preserve">□本项目__包为单一产品采购项目。</w:t>
            </w:r>
            <w:r/>
          </w:p>
          <w:p>
            <w:pPr>
              <w:jc w:val="left"/>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rPr>
              <w:t xml:space="preserve">本项目__包为非单一产品采购项目，核心产品为：</w:t>
            </w:r>
            <w:r>
              <w:rPr>
                <w:rFonts w:hint="eastAsia" w:ascii="宋体" w:hAnsi="宋体" w:cs="宋体"/>
                <w:sz w:val="24"/>
                <w:u w:val="single"/>
              </w:rPr>
              <w:t xml:space="preserve">     </w:t>
            </w:r>
            <w:r>
              <w:rPr>
                <w:rFonts w:hint="eastAsia" w:ascii="宋体" w:hAnsi="宋体" w:cs="宋体"/>
                <w:sz w:val="24"/>
              </w:rPr>
              <w:t xml:space="preserve">。</w:t>
            </w:r>
            <w:r/>
          </w:p>
        </w:tc>
      </w:tr>
      <w:tr>
        <w:trPr>
          <w:cantSplit/>
          <w:jc w:val="center"/>
          <w:trHeight w:val="20"/>
        </w:trPr>
        <w:tc>
          <w:tcPr>
            <w:tcW w:w="988" w:type="dxa"/>
            <w:vAlign w:val="center"/>
            <w:vMerge w:val="restart"/>
            <w:textDirection w:val="lrTb"/>
            <w:noWrap w:val="false"/>
          </w:tcPr>
          <w:p>
            <w:pPr>
              <w:pStyle w:val="150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50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1507"/>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投标样品递交：</w:t>
            </w:r>
            <w:r/>
          </w:p>
          <w:p>
            <w:pPr>
              <w:jc w:val="left"/>
              <w:rPr>
                <w:rFonts w:hint="eastAsia" w:ascii="宋体" w:hAnsi="宋体" w:cs="宋体"/>
                <w:sz w:val="24"/>
              </w:rPr>
            </w:pPr>
            <w:r>
              <w:rPr>
                <w:rFonts w:hint="eastAsia" w:ascii="宋体" w:hAnsi="宋体" w:cs="宋体"/>
                <w:sz w:val="24"/>
              </w:rPr>
              <w:t xml:space="preserve">■不需要</w:t>
            </w:r>
            <w:r/>
          </w:p>
          <w:p>
            <w:pPr>
              <w:jc w:val="left"/>
              <w:rPr>
                <w:rFonts w:hint="eastAsia" w:ascii="宋体" w:hAnsi="宋体" w:cs="宋体"/>
                <w:sz w:val="24"/>
              </w:rPr>
            </w:pPr>
            <w:r>
              <w:rPr>
                <w:rFonts w:hint="eastAsia" w:ascii="宋体" w:hAnsi="宋体" w:cs="宋体"/>
                <w:sz w:val="24"/>
              </w:rPr>
              <w:t xml:space="preserve">□需要</w:t>
            </w:r>
            <w:r/>
          </w:p>
        </w:tc>
      </w:tr>
      <w:tr>
        <w:trPr>
          <w:jc w:val="center"/>
          <w:trHeight w:val="517"/>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其他未列明行业</w:t>
            </w:r>
            <w:r/>
          </w:p>
        </w:tc>
      </w:tr>
      <w:tr>
        <w:trPr>
          <w:jc w:val="center"/>
          <w:trHeight w:val="517"/>
        </w:trPr>
        <w:tc>
          <w:tcPr>
            <w:tcW w:w="98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c>
          <w:tcPr>
            <w:tcW w:w="1701"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纸质中标（成交）文件</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color w:val="000000"/>
                <w:sz w:val="24"/>
                <w:szCs w:val="24"/>
              </w:rPr>
              <w:t xml:space="preserve">中标（成交）单位在签订合同前需递交与电子投标文件内容一致的纸质投标文件一份正本两份副本（需打印清晰，标注目录及页码），作为项目归档使用。（递交方式可采用邮寄或现场送达，联系方式见《第一章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□有，具体情形：_____。</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本项目的非主体、非关键性工作是否允许分包：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ind w:left="240" w:hanging="24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2026</w:t>
            </w:r>
            <w:r>
              <w:rPr>
                <w:rFonts w:hint="eastAsia" w:ascii="宋体" w:hAnsi="宋体" w:cs="宋体"/>
                <w:b/>
                <w:color w:val="000000"/>
                <w:sz w:val="24"/>
                <w:highlight w:val="none"/>
              </w:rPr>
              <w:t xml:space="preserve">年05月 06日11点00分</w:t>
            </w:r>
            <w:r>
              <w:rPr>
                <w:rFonts w:hint="eastAsia" w:ascii="宋体" w:hAnsi="宋体" w:cs="宋体"/>
                <w:color w:val="000000"/>
                <w:sz w:val="24"/>
                <w:highlight w:val="none"/>
              </w:rPr>
              <w:t xml:space="preserve">（北京时间）前以书面形式提交至</w:t>
            </w:r>
            <w:r>
              <w:rPr>
                <w:rFonts w:hint="eastAsia" w:ascii="宋体" w:hAnsi="宋体" w:cs="宋体"/>
                <w:sz w:val="24"/>
                <w:highlight w:val="none"/>
              </w:rPr>
              <w:t xml:space="preserve">江苏常信保险经纪有限公司</w:t>
            </w:r>
            <w:r>
              <w:rPr>
                <w:rFonts w:hint="eastAsia" w:ascii="宋体" w:hAnsi="宋体" w:cs="宋体"/>
                <w:color w:val="000000"/>
                <w:sz w:val="24"/>
                <w:highlight w:val="none"/>
              </w:rPr>
              <w:t xml:space="preserve">。</w:t>
            </w:r>
            <w:r/>
          </w:p>
          <w:p>
            <w:pPr>
              <w:jc w:val="left"/>
              <w:rPr>
                <w:rFonts w:hint="eastAsia" w:ascii="宋体" w:hAnsi="宋体" w:cs="宋体"/>
                <w:sz w:val="24"/>
              </w:rPr>
            </w:pPr>
            <w:r>
              <w:rPr>
                <w:rFonts w:hint="eastAsia" w:ascii="宋体" w:hAnsi="宋体" w:cs="宋体"/>
                <w:sz w:val="24"/>
              </w:rPr>
              <w:t xml:space="preserve">（注：① 质疑文件须加盖响应单位公章；② 质疑文件以代理机构收到时间为准；否则代理机构有权拒收其质疑文件）。</w:t>
            </w:r>
            <w:r/>
          </w:p>
        </w:tc>
      </w:tr>
      <w:tr>
        <w:trPr>
          <w:jc w:val="center"/>
          <w:trHeight w:val="1411"/>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联系部门：江苏常信保险经纪有限公司；</w:t>
            </w:r>
            <w:r/>
          </w:p>
          <w:p>
            <w:pPr>
              <w:jc w:val="left"/>
              <w:rPr>
                <w:rFonts w:hint="eastAsia" w:ascii="宋体" w:hAnsi="宋体" w:cs="宋体"/>
                <w:sz w:val="24"/>
              </w:rPr>
            </w:pPr>
            <w:r>
              <w:rPr>
                <w:rFonts w:hint="eastAsia" w:ascii="宋体" w:hAnsi="宋体" w:cs="宋体"/>
                <w:sz w:val="24"/>
              </w:rPr>
              <w:t xml:space="preserve">联系电话：0519-88126007 ；</w:t>
            </w:r>
            <w:r/>
          </w:p>
          <w:p>
            <w:pPr>
              <w:jc w:val="left"/>
              <w:rPr>
                <w:rFonts w:hint="eastAsia" w:ascii="宋体" w:hAnsi="宋体" w:cs="宋体"/>
                <w:sz w:val="24"/>
              </w:rPr>
            </w:pPr>
            <w:r>
              <w:rPr>
                <w:rFonts w:hint="eastAsia" w:ascii="宋体" w:hAnsi="宋体" w:cs="宋体"/>
                <w:sz w:val="24"/>
              </w:rPr>
              <w:t xml:space="preserve">通讯地址：常州市局前街285号嘉乐广场A座710。</w:t>
            </w:r>
            <w:r/>
          </w:p>
        </w:tc>
      </w:tr>
      <w:tr>
        <w:trPr>
          <w:jc w:val="center"/>
          <w:trHeight w:val="90"/>
        </w:trPr>
        <w:tc>
          <w:tcPr>
            <w:tcW w:w="988" w:type="dxa"/>
            <w:vAlign w:val="center"/>
            <w:textDirection w:val="lrTb"/>
            <w:noWrap w:val="false"/>
          </w:tcPr>
          <w:p>
            <w:pPr>
              <w:pStyle w:val="1507"/>
              <w:jc w:val="center"/>
              <w:rPr>
                <w:rFonts w:hAnsi="宋体" w:cs="宋体"/>
                <w:sz w:val="24"/>
                <w:szCs w:val="24"/>
              </w:rPr>
            </w:pPr>
            <w:r>
              <w:rPr>
                <w:rFonts w:hAnsi="宋体" w:cs="宋体"/>
                <w:sz w:val="24"/>
                <w:szCs w:val="24"/>
              </w:rPr>
              <w:t xml:space="preserve">27</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收费对象：</w:t>
            </w:r>
            <w:r/>
          </w:p>
          <w:p>
            <w:pPr>
              <w:jc w:val="left"/>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采购人</w:t>
            </w:r>
            <w:r/>
          </w:p>
          <w:p>
            <w:pPr>
              <w:jc w:val="left"/>
              <w:rPr>
                <w:rFonts w:hint="eastAsia" w:ascii="宋体" w:hAnsi="宋体"/>
                <w:sz w:val="24"/>
                <w:highlight w:val="none"/>
              </w:rPr>
            </w:pPr>
            <w:r>
              <w:rPr>
                <w:rFonts w:hint="eastAsia" w:ascii="宋体" w:hAnsi="宋体"/>
                <w:sz w:val="24"/>
                <w:highlight w:val="none"/>
              </w:rPr>
              <w:t xml:space="preserve">■成交供应商</w:t>
            </w:r>
            <w:r/>
          </w:p>
          <w:p>
            <w:pPr>
              <w:jc w:val="left"/>
              <w:rPr>
                <w:rFonts w:hint="eastAsia" w:ascii="宋体" w:hAnsi="宋体"/>
                <w:sz w:val="24"/>
                <w:highlight w:val="none"/>
              </w:rPr>
            </w:pPr>
            <w:r>
              <w:rPr>
                <w:rFonts w:hint="eastAsia" w:ascii="宋体" w:hAnsi="宋体"/>
                <w:sz w:val="24"/>
                <w:highlight w:val="none"/>
              </w:rPr>
              <w:t xml:space="preserve">收费标准：以中标金额为基数（本项目服务期总合同金额），以差额定率累进法计算，按照计价格[2002]1980号及发改价格〔2011〕534号文收费标准费率收取。</w:t>
            </w:r>
            <w:r/>
          </w:p>
          <w:tbl>
            <w:tblPr>
              <w:tblStyle w:val="1313"/>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ind w:firstLine="945"/>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-3175</wp:posOffset>
                            </wp:positionV>
                            <wp:extent cx="1506855" cy="167513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xy;visibility:visible;" from="27.0pt,-0.2pt" to="145.6pt,131.7pt" fillcolor="#FFFFFF" strokecolor="#000000"/>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-111125</wp:posOffset>
                            </wp:positionH>
                            <wp:positionV relativeFrom="paragraph">
                              <wp:posOffset>-3175</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8.8pt,-0.2pt" to="-8.7pt,-0.2pt" fillcolor="#FFFFFF" strokecolor="#000000"/>
                        </w:pict>
                      </mc:Fallback>
                    </mc:AlternateContent>
                  </w:r>
                  <w:r>
                    <w:rPr>
                      <w:rFonts w:hint="eastAsia" w:ascii="宋体" w:hAnsi="宋体" w:cs="宋体"/>
                      <w:bCs/>
                      <w:sz w:val="24"/>
                      <w:highlight w:val="none"/>
                    </w:rPr>
                    <w:t xml:space="preserve">服</w:t>
                  </w:r>
                  <w:r/>
                </w:p>
                <w:p>
                  <w:pPr>
                    <w:ind w:firstLine="240"/>
                    <w:spacing w:line="440" w:lineRule="exact"/>
                    <w:rPr>
                      <w:rFonts w:ascii="宋体" w:hAnsi="宋体" w:cs="宋体"/>
                      <w:bCs/>
                      <w:sz w:val="24"/>
                      <w:highlight w:val="none"/>
                    </w:rPr>
                  </w:pPr>
                  <w:r>
                    <w:rPr>
                      <w:rFonts w:hint="eastAsia" w:ascii="宋体" w:hAnsi="宋体" w:cs="宋体"/>
                      <w:bCs/>
                      <w:sz w:val="24"/>
                      <w:highlight w:val="none"/>
                    </w:rPr>
                    <w:t xml:space="preserve">费　　　   务</w:t>
                  </w:r>
                  <w:r/>
                </w:p>
                <w:p>
                  <w:pPr>
                    <w:ind w:firstLine="1260"/>
                    <w:spacing w:line="440" w:lineRule="exact"/>
                    <w:rPr>
                      <w:rFonts w:ascii="宋体" w:hAnsi="宋体" w:cs="宋体"/>
                      <w:bCs/>
                      <w:sz w:val="24"/>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90805</wp:posOffset>
                            </wp:positionV>
                            <wp:extent cx="1932940" cy="1020445"/>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flip:xy;visibility:visible;" from="-6.4pt,7.1pt" to="145.8pt,87.5pt" fillcolor="#FFFFFF" strokecolor="#000000"/>
                        </w:pict>
                      </mc:Fallback>
                    </mc:AlternateContent>
                  </w:r>
                  <w:r>
                    <w:rPr>
                      <w:rFonts w:hint="eastAsia" w:ascii="宋体" w:hAnsi="宋体" w:cs="宋体"/>
                      <w:bCs/>
                      <w:sz w:val="24"/>
                      <w:highlight w:val="none"/>
                    </w:rPr>
                    <w:t xml:space="preserve">　   类</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率　       型</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　　　　</w:t>
                  </w:r>
                  <w:r/>
                </w:p>
                <w:p>
                  <w:pPr>
                    <w:spacing w:line="440" w:lineRule="exact"/>
                    <w:rPr>
                      <w:rFonts w:ascii="宋体" w:hAnsi="宋体" w:cs="宋体"/>
                      <w:bCs/>
                      <w:sz w:val="24"/>
                      <w:highlight w:val="none"/>
                    </w:rPr>
                  </w:pPr>
                  <w:r>
                    <w:rPr>
                      <w:rFonts w:hint="eastAsia" w:ascii="宋体" w:hAnsi="宋体" w:cs="宋体"/>
                      <w:bCs/>
                      <w:sz w:val="24"/>
                      <w:highlight w:val="none"/>
                    </w:rPr>
                    <w:t xml:space="preserve">成交金额（万元）</w:t>
                  </w:r>
                  <w:r/>
                </w:p>
              </w:tc>
              <w:tc>
                <w:tcPr>
                  <w:tcW w:w="2407" w:type="dxa"/>
                  <w:vAlign w:val="center"/>
                  <w:textDirection w:val="lrTb"/>
                  <w:noWrap w:val="false"/>
                </w:tcPr>
                <w:p>
                  <w:pPr>
                    <w:jc w:val="center"/>
                    <w:spacing w:line="440" w:lineRule="exact"/>
                    <w:rPr>
                      <w:rFonts w:ascii="宋体" w:hAnsi="宋体" w:cs="宋体"/>
                      <w:bCs/>
                      <w:sz w:val="24"/>
                      <w:highlight w:val="none"/>
                    </w:rPr>
                  </w:pPr>
                  <w:r>
                    <w:rPr>
                      <w:rFonts w:hint="eastAsia" w:ascii="宋体" w:hAnsi="宋体" w:cs="宋体"/>
                      <w:bCs/>
                      <w:sz w:val="24"/>
                      <w:highlight w:val="none"/>
                    </w:rPr>
                    <w:t xml:space="preserve">服务类</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100（含，下同）以下</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1.5%</w:t>
                  </w:r>
                  <w:r/>
                </w:p>
              </w:tc>
            </w:tr>
            <w:tr>
              <w:trPr/>
              <w:tc>
                <w:tcPr>
                  <w:tcW w:w="3023"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100-500</w:t>
                  </w:r>
                  <w:r/>
                </w:p>
              </w:tc>
              <w:tc>
                <w:tcPr>
                  <w:tcW w:w="2407" w:type="dxa"/>
                  <w:vAlign w:val="top"/>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0.8%</w:t>
                  </w:r>
                  <w:r/>
                </w:p>
              </w:tc>
            </w:tr>
            <w:tr>
              <w:trPr/>
              <w:tc>
                <w:tcPr>
                  <w:tcW w:w="3023"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500—1000</w:t>
                  </w:r>
                  <w:r/>
                </w:p>
              </w:tc>
              <w:tc>
                <w:tcPr>
                  <w:tcW w:w="2407"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0.45%</w:t>
                  </w:r>
                  <w:r/>
                </w:p>
              </w:tc>
            </w:tr>
            <w:tr>
              <w:trPr/>
              <w:tc>
                <w:tcPr>
                  <w:tcW w:w="3023"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c>
                <w:tcPr>
                  <w:tcW w:w="2407" w:type="dxa"/>
                  <w:vAlign w:val="top"/>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r>
          </w:tbl>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highlight w:val="none"/>
                <w:u w:val="single"/>
              </w:rPr>
            </w:pPr>
            <w:r>
              <w:rPr>
                <w:rFonts w:hint="eastAsia" w:ascii="宋体" w:hAnsi="宋体"/>
                <w:sz w:val="24"/>
                <w:highlight w:val="none"/>
              </w:rPr>
              <w:t xml:space="preserve">收款单位：</w:t>
            </w:r>
            <w:r>
              <w:rPr>
                <w:rFonts w:hint="eastAsia" w:ascii="宋体" w:hAnsi="宋体"/>
                <w:sz w:val="24"/>
                <w:highlight w:val="none"/>
                <w:u w:val="single"/>
              </w:rPr>
              <w:t xml:space="preserve">江苏常信保险经纪有限公司</w:t>
            </w:r>
            <w:r/>
          </w:p>
          <w:p>
            <w:pPr>
              <w:jc w:val="left"/>
              <w:rPr>
                <w:rFonts w:hint="eastAsia"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u w:val="single"/>
              </w:rPr>
              <w:t xml:space="preserve">中国建设银行股份有限公司常州钟楼支行</w:t>
            </w:r>
            <w:r>
              <w:rPr>
                <w:rFonts w:hint="eastAsia" w:ascii="宋体" w:hAnsi="宋体"/>
                <w:sz w:val="24"/>
                <w:highlight w:val="none"/>
              </w:rPr>
              <w:t xml:space="preserve">                      </w:t>
            </w:r>
            <w:r/>
          </w:p>
          <w:p>
            <w:pPr>
              <w:jc w:val="left"/>
              <w:rPr>
                <w:rFonts w:hint="eastAsia" w:ascii="宋体" w:hAnsi="宋体"/>
                <w:sz w:val="24"/>
                <w:highlight w:val="none"/>
              </w:rPr>
            </w:pPr>
            <w:r>
              <w:rPr>
                <w:rFonts w:hint="eastAsia" w:ascii="宋体" w:hAnsi="宋体"/>
                <w:sz w:val="24"/>
                <w:highlight w:val="none"/>
              </w:rPr>
              <w:t xml:space="preserve">账号：</w:t>
            </w:r>
            <w:r>
              <w:rPr>
                <w:rFonts w:hint="eastAsia" w:ascii="宋体" w:hAnsi="宋体"/>
                <w:sz w:val="24"/>
                <w:highlight w:val="none"/>
                <w:u w:val="single"/>
              </w:rPr>
              <w:t xml:space="preserve">3205 0162 8836 0000 1954</w:t>
            </w:r>
            <w:r>
              <w:rPr>
                <w:rFonts w:hint="eastAsia" w:ascii="宋体" w:hAnsi="宋体"/>
                <w:sz w:val="24"/>
                <w:highlight w:val="none"/>
              </w:rPr>
              <w:t xml:space="preserve">                     </w:t>
            </w:r>
            <w:r/>
          </w:p>
          <w:p>
            <w:pPr>
              <w:jc w:val="left"/>
              <w:tabs>
                <w:tab w:val="left" w:pos="1589" w:leader="none"/>
              </w:tabs>
              <w:rPr>
                <w:rFonts w:hint="eastAsia" w:ascii="宋体" w:hAnsi="宋体" w:cs="宋体"/>
                <w:sz w:val="24"/>
              </w:rPr>
            </w:pPr>
            <w:r>
              <w:rPr>
                <w:rFonts w:hint="eastAsia" w:ascii="宋体" w:hAnsi="宋体"/>
                <w:sz w:val="24"/>
                <w:highlight w:val="none"/>
              </w:rPr>
              <w:t xml:space="preserve">缴纳时间：</w:t>
            </w:r>
            <w:r>
              <w:rPr>
                <w:rFonts w:hint="eastAsia" w:ascii="宋体" w:hAnsi="宋体"/>
                <w:sz w:val="24"/>
                <w:highlight w:val="none"/>
                <w:lang w:val="en-US" w:eastAsia="zh-CN"/>
              </w:rPr>
              <w:t xml:space="preserve">领取成交通知书前</w:t>
            </w:r>
            <w:r>
              <w:rPr>
                <w:rFonts w:hint="eastAsia" w:ascii="宋体" w:hAnsi="宋体"/>
                <w:sz w:val="24"/>
                <w:highlight w:val="none"/>
              </w:rPr>
              <w:t xml:space="preserve">一次性缴纳。</w:t>
            </w:r>
            <w:r/>
          </w:p>
        </w:tc>
      </w:tr>
    </w:tbl>
    <w:p>
      <w:pPr>
        <w:rPr>
          <w:sz w:val="24"/>
        </w:rPr>
        <w:sectPr>
          <w:headerReference w:type="even" r:id="rId11"/>
          <w:headerReference w:type="first" r:id="rId12"/>
          <w:footerReference w:type="default" r:id="rId22"/>
          <w:footerReference w:type="even" r:id="rId23"/>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jc w:val="center"/>
        <w:spacing w:before="240" w:after="240"/>
        <w:rPr>
          <w:rFonts w:hint="eastAsia" w:ascii="宋体" w:hAnsi="宋体" w:cs="宋体"/>
          <w:b/>
          <w:sz w:val="28"/>
          <w:szCs w:val="28"/>
        </w:rPr>
      </w:pPr>
      <w:r/>
      <w:bookmarkStart w:id="51" w:name="_Toc353873932"/>
      <w:r/>
      <w:bookmarkStart w:id="52" w:name="_Toc150774722"/>
      <w:r/>
      <w:bookmarkStart w:id="53" w:name="_Toc195842882"/>
      <w:r/>
      <w:bookmarkStart w:id="54" w:name="_Toc353825542"/>
      <w:r/>
      <w:bookmarkStart w:id="55" w:name="_Toc264969207"/>
      <w:r/>
      <w:bookmarkStart w:id="56" w:name="_Toc226965790"/>
      <w:r/>
      <w:bookmarkStart w:id="57" w:name="_Toc265228355"/>
      <w:r/>
      <w:bookmarkStart w:id="58" w:name="_Toc305158785"/>
      <w:r/>
      <w:bookmarkStart w:id="59" w:name="_Toc305158859"/>
      <w:r/>
      <w:bookmarkStart w:id="60" w:name="_Toc150480755"/>
      <w:r/>
      <w:bookmarkStart w:id="61" w:name="_Toc127151517"/>
      <w:r/>
      <w:bookmarkStart w:id="62" w:name="_Toc226337213"/>
      <w:r/>
      <w:bookmarkStart w:id="63" w:name="_Toc353873662"/>
      <w:r/>
      <w:bookmarkStart w:id="64" w:name="_Toc142311019"/>
      <w:r>
        <w:rPr>
          <w:rFonts w:hint="eastAsia" w:ascii="宋体" w:hAnsi="宋体" w:cs="宋体"/>
          <w:b/>
          <w:sz w:val="28"/>
          <w:szCs w:val="28"/>
        </w:rPr>
        <w:t xml:space="preserve">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1483"/>
        <w:jc w:val="left"/>
        <w:spacing w:before="0" w:line="360" w:lineRule="auto"/>
        <w:tabs>
          <w:tab w:val="center" w:pos="4592" w:leader="none"/>
          <w:tab w:val="left" w:pos="7860" w:leader="none"/>
        </w:tabs>
        <w:rPr>
          <w:rFonts w:hint="eastAsia" w:ascii="宋体" w:hAnsi="宋体" w:eastAsia="宋体" w:cs="宋体"/>
          <w:sz w:val="28"/>
        </w:rPr>
      </w:pPr>
      <w:r/>
      <w:bookmarkStart w:id="65" w:name="_Toc127151518"/>
      <w:r/>
      <w:bookmarkStart w:id="66" w:name="_Toc520356143"/>
      <w:r>
        <w:rPr>
          <w:rFonts w:hint="eastAsia" w:ascii="宋体" w:hAnsi="宋体" w:eastAsia="宋体" w:cs="宋体"/>
          <w:sz w:val="28"/>
        </w:rPr>
        <w:tab/>
      </w:r>
      <w:bookmarkEnd w:id="65"/>
      <w:r/>
      <w:bookmarkEnd w:id="66"/>
      <w:r/>
      <w:bookmarkStart w:id="67" w:name="_Toc150509269"/>
      <w:r/>
      <w:bookmarkStart w:id="68" w:name="_Toc150774723"/>
      <w:r/>
      <w:bookmarkStart w:id="69" w:name="_Toc195842883"/>
      <w:r/>
      <w:bookmarkStart w:id="70" w:name="_Toc151193832"/>
      <w:r/>
      <w:bookmarkStart w:id="71" w:name="_Toc264969208"/>
      <w:r/>
      <w:bookmarkStart w:id="72" w:name="_Toc226337214"/>
      <w:r/>
      <w:bookmarkStart w:id="73" w:name="_Toc226965708"/>
      <w:r/>
      <w:bookmarkStart w:id="74" w:name="_Toc265228356"/>
      <w:r/>
      <w:bookmarkStart w:id="75" w:name="_Toc151193616"/>
      <w:r/>
      <w:bookmarkStart w:id="76" w:name="_Toc305158860"/>
      <w:r/>
      <w:bookmarkStart w:id="77" w:name="_Toc151193760"/>
      <w:r/>
      <w:bookmarkStart w:id="78" w:name="_Toc151190145"/>
      <w:r/>
      <w:bookmarkStart w:id="79" w:name="_Toc226965791"/>
      <w:r/>
      <w:bookmarkStart w:id="80" w:name="_Toc151193906"/>
      <w:r/>
      <w:bookmarkStart w:id="81" w:name="_Toc142311020"/>
      <w:r/>
      <w:bookmarkStart w:id="82" w:name="_Toc150774618"/>
      <w:r/>
      <w:bookmarkStart w:id="83" w:name="_Toc151193688"/>
      <w:r/>
      <w:bookmarkStart w:id="84" w:name="_Toc150480756"/>
      <w:r/>
      <w:bookmarkStart w:id="85" w:name="_Toc305158786"/>
      <w:r/>
      <w:bookmarkStart w:id="86" w:name="_Toc226309762"/>
      <w:r/>
      <w:bookmarkStart w:id="87" w:name="_Toc150774727"/>
      <w:r/>
      <w:bookmarkStart w:id="88" w:name="_Toc127151522"/>
      <w:r/>
      <w:bookmarkStart w:id="89" w:name="_Toc305158864"/>
      <w:r/>
      <w:bookmarkStart w:id="90" w:name="_Toc151193764"/>
      <w:r/>
      <w:bookmarkStart w:id="91" w:name="_Toc226965795"/>
      <w:r/>
      <w:bookmarkStart w:id="92" w:name="_Toc150774622"/>
      <w:r/>
      <w:bookmarkStart w:id="93" w:name="_Toc226337218"/>
      <w:r/>
      <w:bookmarkStart w:id="94" w:name="_Toc150509273"/>
      <w:r/>
      <w:bookmarkStart w:id="95" w:name="_Toc151190149"/>
      <w:r/>
      <w:bookmarkStart w:id="96" w:name="_Toc150480760"/>
      <w:r/>
      <w:bookmarkStart w:id="97" w:name="_Toc151193620"/>
      <w:r/>
      <w:bookmarkStart w:id="98" w:name="_Toc151193836"/>
      <w:r/>
      <w:bookmarkStart w:id="99" w:name="_Toc151193910"/>
      <w:r/>
      <w:bookmarkStart w:id="100" w:name="_Toc226309766"/>
      <w:r/>
      <w:bookmarkStart w:id="101" w:name="_Toc520356146"/>
      <w:r/>
      <w:bookmarkStart w:id="102" w:name="_Toc264969212"/>
      <w:r/>
      <w:bookmarkStart w:id="103" w:name="_Toc226965712"/>
      <w:r/>
      <w:bookmarkStart w:id="104" w:name="_Toc305158790"/>
      <w:r/>
      <w:bookmarkStart w:id="105" w:name="_Toc151193692"/>
      <w:r/>
      <w:bookmarkStart w:id="106" w:name="_Toc142311024"/>
      <w:r/>
      <w:bookmarkStart w:id="107" w:name="_Toc265228360"/>
      <w:r/>
      <w:bookmarkStart w:id="108" w:name="_Toc195842887"/>
      <w:r>
        <w:rPr>
          <w:rFonts w:hint="eastAsia" w:ascii="宋体" w:hAnsi="宋体" w:eastAsia="宋体" w:cs="宋体"/>
          <w:sz w:val="28"/>
        </w:rPr>
        <w:t xml:space="preserve">一   说  明</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宋体"/>
          <w:sz w:val="28"/>
        </w:rPr>
        <w:tab/>
      </w:r>
      <w:r/>
    </w:p>
    <w:p>
      <w:pPr>
        <w:numPr>
          <w:ilvl w:val="0"/>
          <w:numId w:val="2"/>
        </w:numPr>
        <w:ind w:left="357" w:hanging="357"/>
        <w:spacing w:line="360" w:lineRule="auto"/>
        <w:tabs>
          <w:tab w:val="left" w:pos="360" w:leader="none"/>
        </w:tabs>
        <w:rPr>
          <w:rFonts w:hint="eastAsia" w:ascii="宋体" w:hAnsi="宋体" w:cs="宋体"/>
          <w:sz w:val="24"/>
        </w:rPr>
        <w:outlineLvl w:val="1"/>
      </w:pPr>
      <w:r/>
      <w:bookmarkStart w:id="109" w:name="_Toc264969209"/>
      <w:r/>
      <w:bookmarkStart w:id="110" w:name="_Toc305158787"/>
      <w:r/>
      <w:bookmarkStart w:id="111" w:name="_Toc265228357"/>
      <w:r/>
      <w:bookmarkStart w:id="112" w:name="_Toc305158861"/>
      <w:r>
        <w:rPr>
          <w:rFonts w:hint="eastAsia" w:ascii="宋体" w:hAnsi="宋体" w:cs="宋体"/>
          <w:sz w:val="24"/>
        </w:rPr>
        <w:t xml:space="preserve">采购人、采购代理机构、投标人</w:t>
      </w:r>
      <w:bookmarkEnd w:id="109"/>
      <w:r/>
      <w:bookmarkEnd w:id="110"/>
      <w:r/>
      <w:bookmarkEnd w:id="111"/>
      <w:r/>
      <w:bookmarkEnd w:id="112"/>
      <w:r>
        <w:rPr>
          <w:rFonts w:hint="eastAsia" w:ascii="宋体" w:hAnsi="宋体" w:cs="宋体"/>
          <w:sz w:val="24"/>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s>
        <w:rPr>
          <w:rFonts w:hint="eastAsia" w:ascii="宋体" w:hAnsi="宋体" w:cs="宋体"/>
          <w:sz w:val="24"/>
        </w:rPr>
        <w:outlineLvl w:val="1"/>
      </w:pPr>
      <w:r/>
      <w:bookmarkStart w:id="113" w:name="_Toc151193618"/>
      <w:r/>
      <w:bookmarkStart w:id="114" w:name="_Toc226309764"/>
      <w:r/>
      <w:bookmarkStart w:id="115" w:name="_Toc164351614"/>
      <w:r/>
      <w:bookmarkStart w:id="116" w:name="_Toc305158862"/>
      <w:r/>
      <w:bookmarkStart w:id="117" w:name="_Toc151193762"/>
      <w:r/>
      <w:bookmarkStart w:id="118" w:name="_Toc226965710"/>
      <w:r/>
      <w:bookmarkStart w:id="119" w:name="_Toc264969210"/>
      <w:r/>
      <w:bookmarkStart w:id="120" w:name="_Toc151193690"/>
      <w:r/>
      <w:bookmarkStart w:id="121" w:name="_Toc164608634"/>
      <w:r/>
      <w:bookmarkStart w:id="122" w:name="_Toc150774725"/>
      <w:r/>
      <w:bookmarkStart w:id="123" w:name="_Toc226965793"/>
      <w:r/>
      <w:bookmarkStart w:id="124" w:name="_Toc127161434"/>
      <w:r/>
      <w:bookmarkStart w:id="125" w:name="_Toc151193834"/>
      <w:r/>
      <w:bookmarkStart w:id="126" w:name="_Toc149720813"/>
      <w:r/>
      <w:bookmarkStart w:id="127" w:name="_Toc164229361"/>
      <w:r/>
      <w:bookmarkStart w:id="128" w:name="_Toc150774620"/>
      <w:r/>
      <w:bookmarkStart w:id="129" w:name="_Toc127151520"/>
      <w:r/>
      <w:bookmarkStart w:id="130" w:name="_Toc164229215"/>
      <w:r/>
      <w:bookmarkStart w:id="131" w:name="_Toc127151721"/>
      <w:r/>
      <w:bookmarkStart w:id="132" w:name="_Toc151193908"/>
      <w:r/>
      <w:bookmarkStart w:id="133" w:name="_Toc142311022"/>
      <w:r/>
      <w:bookmarkStart w:id="134" w:name="_Toc150509271"/>
      <w:r/>
      <w:bookmarkStart w:id="135" w:name="_Toc265228358"/>
      <w:r/>
      <w:bookmarkStart w:id="136" w:name="_Toc305158788"/>
      <w:r/>
      <w:bookmarkStart w:id="137" w:name="_Toc226337216"/>
      <w:r/>
      <w:bookmarkStart w:id="138" w:name="_Toc195842885"/>
      <w:r/>
      <w:bookmarkStart w:id="139" w:name="_Toc151190147"/>
      <w:r/>
      <w:bookmarkStart w:id="140" w:name="_Toc150480758"/>
      <w:r/>
      <w:bookmarkStart w:id="141" w:name="_Toc164608789"/>
      <w:r>
        <w:rPr>
          <w:rFonts w:hint="eastAsia" w:ascii="宋体" w:hAnsi="宋体" w:cs="宋体"/>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rPr>
        <w:t xml:space="preserve">、项目属性、科研仪器设备采购、核心产品</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现场考察、开标前答疑会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样品</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进口产品</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中小企业、监狱企业及残疾人福利性单位</w:t>
      </w:r>
      <w:r/>
    </w:p>
    <w:p>
      <w:pPr>
        <w:numPr>
          <w:ilvl w:val="2"/>
          <w:numId w:val="2"/>
        </w:numPr>
        <w:spacing w:line="360" w:lineRule="auto"/>
        <w:rPr>
          <w:rFonts w:hint="eastAsia" w:ascii="宋体" w:hAnsi="宋体" w:cs="宋体"/>
          <w:sz w:val="24"/>
        </w:rPr>
      </w:pPr>
      <w:r>
        <w:rPr>
          <w:rFonts w:hint="eastAsia" w:ascii="宋体" w:hAnsi="宋体" w:cs="宋体"/>
          <w:sz w:val="24"/>
        </w:rPr>
        <w:t xml:space="preserve">中小企业定义：</w:t>
      </w:r>
      <w:r/>
    </w:p>
    <w:p>
      <w:pPr>
        <w:pStyle w:val="1518"/>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0"/>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1"/>
          <w:numId w:val="3"/>
        </w:numPr>
        <w:spacing w:line="360" w:lineRule="auto"/>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2"/>
          <w:numId w:val="3"/>
        </w:numPr>
        <w:spacing w:line="360" w:lineRule="auto"/>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518"/>
        <w:numPr>
          <w:ilvl w:val="2"/>
          <w:numId w:val="3"/>
        </w:numPr>
        <w:spacing w:line="360" w:lineRule="auto"/>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518"/>
        <w:numPr>
          <w:ilvl w:val="2"/>
          <w:numId w:val="3"/>
        </w:numPr>
        <w:spacing w:line="360" w:lineRule="auto"/>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3"/>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numPr>
          <w:ilvl w:val="2"/>
          <w:numId w:val="2"/>
        </w:numPr>
        <w:spacing w:line="360" w:lineRule="auto"/>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政府采购节能产品、环境标志产品</w:t>
      </w:r>
      <w:r/>
    </w:p>
    <w:p>
      <w:pPr>
        <w:numPr>
          <w:ilvl w:val="2"/>
          <w:numId w:val="2"/>
        </w:numPr>
        <w:spacing w:line="360" w:lineRule="auto"/>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rPr>
        <w:t xml:space="preserve">投标无效</w:t>
      </w:r>
      <w:r>
        <w:rPr>
          <w:rFonts w:hint="eastAsia" w:ascii="宋体" w:hAnsi="宋体" w:cs="宋体"/>
          <w:sz w:val="24"/>
        </w:rPr>
        <w:t xml:space="preserve">；</w:t>
      </w:r>
      <w:r/>
    </w:p>
    <w:p>
      <w:pPr>
        <w:numPr>
          <w:ilvl w:val="2"/>
          <w:numId w:val="2"/>
        </w:numPr>
        <w:spacing w:line="360" w:lineRule="auto"/>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支持乡村产业振兴管理</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正版软件</w:t>
      </w:r>
      <w:r/>
    </w:p>
    <w:p>
      <w:pPr>
        <w:numPr>
          <w:ilvl w:val="2"/>
          <w:numId w:val="2"/>
        </w:numPr>
        <w:spacing w:line="360" w:lineRule="auto"/>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政府采购创新产品政策</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cs="宋体"/>
          <w:sz w:val="24"/>
        </w:rPr>
      </w:pPr>
      <w:r>
        <w:rPr>
          <w:rFonts w:hint="eastAsia" w:ascii="宋体" w:hAnsi="宋体" w:cs="宋体"/>
          <w:sz w:val="24"/>
        </w:rPr>
        <w:t xml:space="preserve"> 5.7     绿色采购政策</w:t>
      </w:r>
      <w:r/>
    </w:p>
    <w:p>
      <w:pPr>
        <w:ind w:firstLine="1200"/>
        <w:spacing w:line="480" w:lineRule="exact"/>
        <w:rPr>
          <w:rFonts w:hint="eastAsia" w:ascii="宋体" w:hAnsi="宋体" w:cs="宋体"/>
          <w:b/>
          <w:sz w:val="24"/>
        </w:rPr>
      </w:pPr>
      <w:r>
        <w:rPr>
          <w:rFonts w:hint="eastAsia" w:ascii="宋体" w:hAnsi="宋体" w:cs="宋体"/>
          <w:sz w:val="24"/>
        </w:rPr>
        <w:t xml:space="preserve">5.7.1  </w:t>
      </w:r>
      <w:r>
        <w:rPr>
          <w:rFonts w:hint="eastAsia" w:ascii="宋体" w:hAnsi="宋体" w:cs="宋体"/>
          <w:b/>
          <w:sz w:val="24"/>
        </w:rPr>
        <w:t xml:space="preserve">绿色数据中心政策 </w:t>
      </w:r>
      <w:r/>
    </w:p>
    <w:p>
      <w:pPr>
        <w:ind w:left="1197"/>
        <w:spacing w:line="480" w:lineRule="exact"/>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cs="宋体"/>
          <w:sz w:val="24"/>
        </w:rPr>
      </w:pPr>
      <w:r>
        <w:rPr>
          <w:rFonts w:hint="eastAsia" w:ascii="宋体" w:hAnsi="宋体" w:cs="宋体"/>
          <w:sz w:val="24"/>
        </w:rPr>
        <w:t xml:space="preserve">5.7.2 推广应用绿色建材</w:t>
      </w:r>
      <w:r/>
    </w:p>
    <w:p>
      <w:pPr>
        <w:ind w:left="1197"/>
        <w:spacing w:line="480" w:lineRule="exact"/>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cs="宋体"/>
          <w:sz w:val="24"/>
        </w:rPr>
      </w:pPr>
      <w:r>
        <w:rPr>
          <w:rFonts w:hint="eastAsia" w:ascii="宋体" w:hAnsi="宋体" w:cs="宋体"/>
          <w:sz w:val="24"/>
        </w:rPr>
        <w:t xml:space="preserve">5.7.3 优先使用低挥发性有机化合物产品</w:t>
      </w:r>
      <w:r/>
    </w:p>
    <w:p>
      <w:pPr>
        <w:ind w:left="1079" w:hanging="600"/>
        <w:spacing w:line="480" w:lineRule="exact"/>
        <w:rPr>
          <w:rFonts w:hint="eastAsia" w:ascii="宋体" w:hAnsi="宋体" w:cs="宋体"/>
          <w:sz w:val="24"/>
        </w:rPr>
      </w:pPr>
      <w:r>
        <w:rPr>
          <w:rFonts w:hint="eastAsia" w:ascii="宋体" w:hAnsi="宋体" w:cs="宋体"/>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cs="宋体"/>
          <w:sz w:val="24"/>
        </w:rPr>
      </w:pPr>
      <w:r>
        <w:rPr>
          <w:rFonts w:hint="eastAsia" w:ascii="宋体" w:hAnsi="宋体" w:cs="宋体"/>
          <w:sz w:val="24"/>
        </w:rPr>
      </w:r>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投标费用</w:t>
      </w:r>
      <w:r/>
    </w:p>
    <w:p>
      <w:pPr>
        <w:numPr>
          <w:ilvl w:val="1"/>
          <w:numId w:val="2"/>
        </w:numPr>
        <w:ind w:left="1080" w:hanging="720"/>
        <w:spacing w:line="360" w:lineRule="auto"/>
        <w:tabs>
          <w:tab w:val="left" w:pos="1080" w:leader="none"/>
          <w:tab w:val="left" w:pos="2014" w:leader="none"/>
        </w:tabs>
        <w:rPr>
          <w:rFonts w:hint="eastAsia" w:ascii="宋体" w:hAnsi="宋体" w:cs="宋体"/>
          <w:sz w:val="28"/>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bookmarkStart w:id="142" w:name="_1.8_计量单位"/>
      <w:r/>
      <w:bookmarkEnd w:id="142"/>
      <w:r/>
      <w:r/>
    </w:p>
    <w:p>
      <w:pPr>
        <w:pStyle w:val="1524"/>
        <w:ind w:firstLine="562"/>
        <w:spacing w:before="0" w:line="360" w:lineRule="auto"/>
        <w:rPr>
          <w:rFonts w:hint="eastAsia" w:ascii="宋体" w:hAnsi="宋体" w:eastAsia="宋体" w:cs="宋体"/>
          <w:sz w:val="28"/>
        </w:rPr>
      </w:pPr>
      <w:r>
        <w:rPr>
          <w:rFonts w:hint="eastAsia" w:ascii="宋体" w:hAnsi="宋体" w:eastAsia="宋体" w:cs="宋体"/>
          <w:sz w:val="28"/>
        </w:rPr>
      </w:r>
      <w:r/>
    </w:p>
    <w:p>
      <w:pPr>
        <w:pStyle w:val="152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143" w:name="_Toc226965796"/>
      <w:r/>
      <w:bookmarkStart w:id="144" w:name="_Toc127151724"/>
      <w:r/>
      <w:bookmarkStart w:id="145" w:name="_Toc151193837"/>
      <w:r/>
      <w:bookmarkStart w:id="146" w:name="_Toc520356147"/>
      <w:r/>
      <w:bookmarkStart w:id="147" w:name="_Toc142311025"/>
      <w:r/>
      <w:bookmarkStart w:id="148" w:name="_Toc226337219"/>
      <w:r/>
      <w:bookmarkStart w:id="149" w:name="_Toc151190150"/>
      <w:r/>
      <w:bookmarkStart w:id="150" w:name="_Toc149720816"/>
      <w:r/>
      <w:bookmarkStart w:id="151" w:name="_Toc305158865"/>
      <w:r/>
      <w:bookmarkStart w:id="152" w:name="_Toc151193621"/>
      <w:r/>
      <w:bookmarkStart w:id="153" w:name="_Toc265228361"/>
      <w:r/>
      <w:bookmarkStart w:id="154" w:name="_Toc151193911"/>
      <w:r/>
      <w:bookmarkStart w:id="155" w:name="_Toc264969213"/>
      <w:r/>
      <w:bookmarkStart w:id="156" w:name="_Toc164608637"/>
      <w:r/>
      <w:bookmarkStart w:id="157" w:name="_Toc226965713"/>
      <w:r/>
      <w:bookmarkStart w:id="158" w:name="_Toc151193693"/>
      <w:r/>
      <w:bookmarkStart w:id="159" w:name="_Toc164229364"/>
      <w:r/>
      <w:bookmarkStart w:id="160" w:name="_Toc226309767"/>
      <w:r/>
      <w:bookmarkStart w:id="161" w:name="_Toc150480761"/>
      <w:r/>
      <w:bookmarkStart w:id="162" w:name="_Toc150774623"/>
      <w:r/>
      <w:bookmarkStart w:id="163" w:name="_Toc127151523"/>
      <w:r/>
      <w:bookmarkStart w:id="164" w:name="_Toc305158791"/>
      <w:r/>
      <w:bookmarkStart w:id="165" w:name="_Toc151193765"/>
      <w:r/>
      <w:bookmarkStart w:id="166" w:name="_Toc164229218"/>
      <w:r/>
      <w:bookmarkStart w:id="167" w:name="_Toc195842888"/>
      <w:r/>
      <w:bookmarkStart w:id="168" w:name="_Toc164351617"/>
      <w:r/>
      <w:bookmarkStart w:id="169" w:name="_Toc150509274"/>
      <w:r/>
      <w:bookmarkStart w:id="170" w:name="_Toc164608792"/>
      <w:r/>
      <w:bookmarkStart w:id="171" w:name="_Toc127161437"/>
      <w:r/>
      <w:bookmarkStart w:id="172" w:name="_Toc150774728"/>
      <w:r>
        <w:rPr>
          <w:rFonts w:hint="eastAsia" w:ascii="宋体" w:hAnsi="宋体" w:cs="宋体"/>
          <w:b/>
          <w:sz w:val="24"/>
        </w:rPr>
        <w:t xml:space="preserve">招标文件构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b/>
          <w:sz w:val="24"/>
        </w:rPr>
        <w:t xml:space="preserve">成</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投标邀请</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投标人须知</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资格审查</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评标程序、评标方法和评标标准</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拟签订的合同文本</w:t>
      </w:r>
      <w:r/>
    </w:p>
    <w:p>
      <w:pPr>
        <w:numPr>
          <w:ilvl w:val="0"/>
          <w:numId w:val="5"/>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4"/>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524"/>
        <w:ind w:firstLine="562"/>
        <w:spacing w:before="0" w:line="360" w:lineRule="auto"/>
        <w:rPr>
          <w:rFonts w:hint="eastAsia" w:ascii="宋体" w:hAnsi="宋体" w:eastAsia="宋体" w:cs="宋体"/>
          <w:sz w:val="28"/>
        </w:rPr>
      </w:pPr>
      <w:r/>
      <w:bookmarkStart w:id="173" w:name="_Toc516367020"/>
      <w:r/>
      <w:bookmarkStart w:id="174" w:name="_Toc226965799"/>
      <w:r/>
      <w:bookmarkStart w:id="175" w:name="_Toc151193624"/>
      <w:r/>
      <w:bookmarkStart w:id="176" w:name="_Toc151193840"/>
      <w:r/>
      <w:bookmarkStart w:id="177" w:name="_Toc195842891"/>
      <w:r/>
      <w:bookmarkStart w:id="178" w:name="_Toc226309770"/>
      <w:r/>
      <w:bookmarkStart w:id="179" w:name="_Toc150509277"/>
      <w:r/>
      <w:bookmarkStart w:id="180" w:name="_Toc151193914"/>
      <w:r/>
      <w:bookmarkStart w:id="181" w:name="_Toc305158794"/>
      <w:r/>
      <w:bookmarkStart w:id="182" w:name="_Toc151193768"/>
      <w:r/>
      <w:bookmarkStart w:id="183" w:name="_Toc520356150"/>
      <w:r/>
      <w:bookmarkStart w:id="184" w:name="_Toc226337222"/>
      <w:r/>
      <w:bookmarkStart w:id="185" w:name="_Toc150774626"/>
      <w:r/>
      <w:bookmarkStart w:id="186" w:name="_Toc150480764"/>
      <w:r/>
      <w:bookmarkStart w:id="187" w:name="_Toc151193696"/>
      <w:r/>
      <w:bookmarkStart w:id="188" w:name="_Toc265228364"/>
      <w:r/>
      <w:bookmarkStart w:id="189" w:name="_Toc127151526"/>
      <w:r/>
      <w:bookmarkStart w:id="190" w:name="_Toc226965716"/>
      <w:r/>
      <w:bookmarkStart w:id="191" w:name="_Toc264969216"/>
      <w:r/>
      <w:bookmarkStart w:id="192" w:name="_Toc150774731"/>
      <w:r/>
      <w:bookmarkStart w:id="193" w:name="_Toc142311028"/>
      <w:r/>
      <w:bookmarkStart w:id="194" w:name="_Toc305158868"/>
      <w:r/>
      <w:bookmarkStart w:id="195" w:name="_Toc151190153"/>
      <w:r>
        <w:rPr>
          <w:rFonts w:hint="eastAsia" w:ascii="宋体" w:hAnsi="宋体" w:eastAsia="宋体" w:cs="宋体"/>
          <w:sz w:val="28"/>
        </w:rPr>
        <w:t xml:space="preserve">三   投标文件</w:t>
      </w:r>
      <w:bookmarkEnd w:id="173"/>
      <w:r>
        <w:rPr>
          <w:rFonts w:hint="eastAsia" w:ascii="宋体" w:hAnsi="宋体" w:eastAsia="宋体" w:cs="宋体"/>
          <w:sz w:val="28"/>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196" w:name="_Toc151193841"/>
      <w:r/>
      <w:bookmarkStart w:id="197" w:name="_Toc150774732"/>
      <w:r/>
      <w:bookmarkStart w:id="198" w:name="_Toc520356151"/>
      <w:r/>
      <w:bookmarkStart w:id="199" w:name="_Toc226965800"/>
      <w:r/>
      <w:bookmarkStart w:id="200" w:name="_Toc265228365"/>
      <w:r/>
      <w:bookmarkStart w:id="201" w:name="_Toc151190154"/>
      <w:r/>
      <w:bookmarkStart w:id="202" w:name="_Toc195842892"/>
      <w:r/>
      <w:bookmarkStart w:id="203" w:name="_Toc226309771"/>
      <w:r/>
      <w:bookmarkStart w:id="204" w:name="_Toc142311029"/>
      <w:r/>
      <w:bookmarkStart w:id="205" w:name="_Toc226965717"/>
      <w:r/>
      <w:bookmarkStart w:id="206" w:name="_Toc150774627"/>
      <w:r/>
      <w:bookmarkStart w:id="207" w:name="_Toc151193769"/>
      <w:r/>
      <w:bookmarkStart w:id="208" w:name="_Toc164608796"/>
      <w:r/>
      <w:bookmarkStart w:id="209" w:name="_Toc164608641"/>
      <w:r/>
      <w:bookmarkStart w:id="210" w:name="_Toc164229368"/>
      <w:r/>
      <w:bookmarkStart w:id="211" w:name="_Toc127161441"/>
      <w:r/>
      <w:bookmarkStart w:id="212" w:name="_Toc150509278"/>
      <w:r/>
      <w:bookmarkStart w:id="213" w:name="_Toc264969217"/>
      <w:r/>
      <w:bookmarkStart w:id="214" w:name="_Toc516367021"/>
      <w:r/>
      <w:bookmarkStart w:id="215" w:name="_Toc305158869"/>
      <w:r/>
      <w:bookmarkStart w:id="216" w:name="_Toc151193625"/>
      <w:r/>
      <w:bookmarkStart w:id="217" w:name="_Toc151193915"/>
      <w:r/>
      <w:bookmarkStart w:id="218" w:name="_Toc226337223"/>
      <w:r/>
      <w:bookmarkStart w:id="219" w:name="_Toc164351621"/>
      <w:r/>
      <w:bookmarkStart w:id="220" w:name="_Toc127151527"/>
      <w:r/>
      <w:bookmarkStart w:id="221" w:name="_Toc164229222"/>
      <w:r/>
      <w:bookmarkStart w:id="222" w:name="_Toc127151728"/>
      <w:r/>
      <w:bookmarkStart w:id="223" w:name="_Toc151193697"/>
      <w:r/>
      <w:bookmarkStart w:id="224" w:name="_Toc149720820"/>
      <w:r/>
      <w:bookmarkStart w:id="225" w:name="_Toc150480765"/>
      <w:r/>
      <w:bookmarkStart w:id="226" w:name="_Toc305158795"/>
      <w:r>
        <w:rPr>
          <w:rFonts w:hint="eastAsia" w:ascii="宋体" w:hAnsi="宋体" w:cs="宋体"/>
          <w:b/>
          <w:sz w:val="24"/>
        </w:rPr>
        <w:t xml:space="preserve">投标范围、投标文件中计量单位的使用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cs="宋体"/>
          <w:b/>
          <w:sz w:val="24"/>
        </w:rPr>
        <w:t xml:space="preserve">及投标语言</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227" w:name="_Ref467306195"/>
      <w:r/>
      <w:bookmarkStart w:id="228" w:name="_Ref467306676"/>
      <w:r/>
      <w:bookmarkStart w:id="229" w:name="_Toc516367022"/>
      <w:r/>
      <w:bookmarkStart w:id="230" w:name="_Toc164229369"/>
      <w:r/>
      <w:bookmarkStart w:id="231" w:name="_Toc149720821"/>
      <w:r/>
      <w:bookmarkStart w:id="232" w:name="_Toc151190155"/>
      <w:r/>
      <w:bookmarkStart w:id="233" w:name="_Toc164608642"/>
      <w:r/>
      <w:bookmarkStart w:id="234" w:name="_Toc520356152"/>
      <w:r/>
      <w:bookmarkStart w:id="235" w:name="_Toc150480766"/>
      <w:r/>
      <w:bookmarkStart w:id="236" w:name="_Toc127161442"/>
      <w:r/>
      <w:bookmarkStart w:id="237" w:name="_Toc150774733"/>
      <w:r/>
      <w:bookmarkStart w:id="238" w:name="_Toc195842893"/>
      <w:r/>
      <w:bookmarkStart w:id="239" w:name="_Toc127151528"/>
      <w:r/>
      <w:bookmarkStart w:id="240" w:name="_Toc164608797"/>
      <w:r/>
      <w:bookmarkStart w:id="241" w:name="_Toc226337224"/>
      <w:r/>
      <w:bookmarkStart w:id="242" w:name="_Toc265228366"/>
      <w:r/>
      <w:bookmarkStart w:id="243" w:name="_Toc151193770"/>
      <w:r/>
      <w:bookmarkStart w:id="244" w:name="_Toc151193698"/>
      <w:r/>
      <w:bookmarkStart w:id="245" w:name="_Toc127151729"/>
      <w:r/>
      <w:bookmarkStart w:id="246" w:name="_Toc150774628"/>
      <w:r/>
      <w:bookmarkStart w:id="247" w:name="_Toc164351622"/>
      <w:r/>
      <w:bookmarkStart w:id="248" w:name="_Toc226965801"/>
      <w:r/>
      <w:bookmarkStart w:id="249" w:name="_Toc226309772"/>
      <w:r/>
      <w:bookmarkStart w:id="250" w:name="_Toc151193916"/>
      <w:r/>
      <w:bookmarkStart w:id="251" w:name="_Toc150509279"/>
      <w:r/>
      <w:bookmarkStart w:id="252" w:name="_Toc226965718"/>
      <w:r/>
      <w:bookmarkStart w:id="253" w:name="_Toc151193842"/>
      <w:r/>
      <w:bookmarkStart w:id="254" w:name="_Toc305158870"/>
      <w:r/>
      <w:bookmarkStart w:id="255" w:name="_Toc151193626"/>
      <w:r/>
      <w:bookmarkStart w:id="256" w:name="_Toc305158796"/>
      <w:r/>
      <w:bookmarkStart w:id="257" w:name="_Toc264969218"/>
      <w:r/>
      <w:bookmarkStart w:id="258" w:name="_Toc164229223"/>
      <w:r/>
      <w:bookmarkStart w:id="259" w:name="_Toc142311030"/>
      <w:r>
        <w:rPr>
          <w:rFonts w:hint="eastAsia" w:ascii="宋体" w:hAnsi="宋体" w:cs="宋体"/>
          <w:b/>
          <w:sz w:val="24"/>
        </w:rPr>
        <w:t xml:space="preserve">投标文件</w:t>
      </w:r>
      <w:bookmarkEnd w:id="227"/>
      <w:r/>
      <w:bookmarkEnd w:id="228"/>
      <w:r/>
      <w:bookmarkEnd w:id="229"/>
      <w:r>
        <w:rPr>
          <w:rFonts w:hint="eastAsia" w:ascii="宋体" w:hAnsi="宋体" w:cs="宋体"/>
          <w:b/>
          <w:sz w:val="24"/>
        </w:rPr>
        <w:t xml:space="preserve">构成</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bookmarkStart w:id="260"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60"/>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261" w:name="_Toc150480768"/>
      <w:r/>
      <w:bookmarkStart w:id="262" w:name="_Toc127161444"/>
      <w:r/>
      <w:bookmarkStart w:id="263" w:name="_Toc164608644"/>
      <w:r/>
      <w:bookmarkStart w:id="264" w:name="_Toc150774630"/>
      <w:r/>
      <w:bookmarkStart w:id="265" w:name="_Toc150509281"/>
      <w:r/>
      <w:bookmarkStart w:id="266" w:name="_Toc127151530"/>
      <w:r/>
      <w:bookmarkStart w:id="267" w:name="_Toc164351624"/>
      <w:r/>
      <w:bookmarkStart w:id="268" w:name="_Toc127151731"/>
      <w:r/>
      <w:bookmarkStart w:id="269" w:name="_Toc151193772"/>
      <w:r/>
      <w:bookmarkStart w:id="270" w:name="_Toc150774735"/>
      <w:r/>
      <w:bookmarkStart w:id="271" w:name="_Toc142311032"/>
      <w:r/>
      <w:bookmarkStart w:id="272" w:name="_Toc149720823"/>
      <w:r/>
      <w:bookmarkStart w:id="273" w:name="_Toc151193918"/>
      <w:r/>
      <w:bookmarkStart w:id="274" w:name="_Toc151193700"/>
      <w:r/>
      <w:bookmarkStart w:id="275" w:name="_Toc151193628"/>
      <w:r/>
      <w:bookmarkStart w:id="276" w:name="_Toc164608799"/>
      <w:r/>
      <w:bookmarkStart w:id="277" w:name="_Toc164229371"/>
      <w:r/>
      <w:bookmarkStart w:id="278" w:name="_Toc195842895"/>
      <w:r/>
      <w:bookmarkStart w:id="279" w:name="_Toc164229225"/>
      <w:r/>
      <w:bookmarkStart w:id="280" w:name="_Toc151193844"/>
      <w:r/>
      <w:bookmarkStart w:id="281" w:name="_Toc151190157"/>
      <w:r/>
      <w:bookmarkStart w:id="282" w:name="_Toc520356155"/>
      <w:r>
        <w:rPr>
          <w:rFonts w:hint="eastAsia" w:ascii="宋体" w:hAnsi="宋体" w:cs="宋体"/>
          <w:b/>
          <w:sz w:val="24"/>
        </w:rPr>
        <w:t xml:space="preserve">投标报价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283" w:name="_Toc150509282"/>
      <w:r/>
      <w:bookmarkStart w:id="284" w:name="_Toc150774736"/>
      <w:r/>
      <w:bookmarkStart w:id="285" w:name="_Toc305158799"/>
      <w:r/>
      <w:bookmarkStart w:id="286" w:name="_Toc164351625"/>
      <w:r/>
      <w:bookmarkStart w:id="287" w:name="_Toc151193919"/>
      <w:r/>
      <w:bookmarkStart w:id="288" w:name="_Toc264969221"/>
      <w:r/>
      <w:bookmarkStart w:id="289" w:name="_Toc164608800"/>
      <w:r/>
      <w:bookmarkStart w:id="290" w:name="_Toc151193773"/>
      <w:r/>
      <w:bookmarkStart w:id="291" w:name="_Toc164229372"/>
      <w:r/>
      <w:bookmarkStart w:id="292" w:name="_Toc127151732"/>
      <w:r/>
      <w:bookmarkStart w:id="293" w:name="_Toc151193701"/>
      <w:r/>
      <w:bookmarkStart w:id="294" w:name="_Toc150774631"/>
      <w:r/>
      <w:bookmarkStart w:id="295" w:name="_Toc164229226"/>
      <w:r/>
      <w:bookmarkStart w:id="296" w:name="_Toc226965721"/>
      <w:r/>
      <w:bookmarkStart w:id="297" w:name="_Toc150480769"/>
      <w:r/>
      <w:bookmarkStart w:id="298" w:name="_Toc226309775"/>
      <w:r/>
      <w:bookmarkStart w:id="299" w:name="_Toc265228369"/>
      <w:r/>
      <w:bookmarkStart w:id="300" w:name="_Toc151193845"/>
      <w:r/>
      <w:bookmarkStart w:id="301" w:name="_Toc127161445"/>
      <w:r/>
      <w:bookmarkStart w:id="302" w:name="_Toc151190158"/>
      <w:r/>
      <w:bookmarkStart w:id="303" w:name="_Toc149720824"/>
      <w:r/>
      <w:bookmarkStart w:id="304" w:name="_Toc142311033"/>
      <w:r/>
      <w:bookmarkStart w:id="305" w:name="_Toc226337227"/>
      <w:r/>
      <w:bookmarkStart w:id="306" w:name="_Toc127151531"/>
      <w:r/>
      <w:bookmarkStart w:id="307" w:name="_Toc226965804"/>
      <w:r/>
      <w:bookmarkStart w:id="308" w:name="_Toc305158873"/>
      <w:r/>
      <w:bookmarkStart w:id="309" w:name="_Ref467306513"/>
      <w:r/>
      <w:bookmarkStart w:id="310" w:name="_Toc164608645"/>
      <w:r/>
      <w:bookmarkStart w:id="311" w:name="_Toc195842896"/>
      <w:r/>
      <w:bookmarkStart w:id="312" w:name="_Toc151193629"/>
      <w:r/>
      <w:bookmarkStart w:id="313" w:name="_Toc520356156"/>
      <w:r>
        <w:rPr>
          <w:rFonts w:hint="eastAsia" w:ascii="宋体" w:hAnsi="宋体" w:cs="宋体"/>
          <w:b/>
          <w:sz w:val="24"/>
        </w:rPr>
        <w:t xml:space="preserve">投标保证金</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314" w:name="_Toc226309776"/>
      <w:r/>
      <w:bookmarkStart w:id="315" w:name="_Toc142311034"/>
      <w:r/>
      <w:bookmarkStart w:id="316" w:name="_Toc305158800"/>
      <w:r/>
      <w:bookmarkStart w:id="317" w:name="_Toc265228370"/>
      <w:r/>
      <w:bookmarkStart w:id="318" w:name="_Toc164351626"/>
      <w:r/>
      <w:bookmarkStart w:id="319" w:name="_Toc151193846"/>
      <w:r/>
      <w:bookmarkStart w:id="320" w:name="_Toc150509283"/>
      <w:r/>
      <w:bookmarkStart w:id="321" w:name="_Toc151190159"/>
      <w:r/>
      <w:bookmarkStart w:id="322" w:name="_Toc151193702"/>
      <w:r/>
      <w:bookmarkStart w:id="323" w:name="_Toc264969222"/>
      <w:r/>
      <w:bookmarkStart w:id="324" w:name="_Toc195842897"/>
      <w:r/>
      <w:bookmarkStart w:id="325" w:name="_Toc151193774"/>
      <w:r/>
      <w:bookmarkStart w:id="326" w:name="_Toc164229373"/>
      <w:r/>
      <w:bookmarkStart w:id="327" w:name="_Toc520356157"/>
      <w:r/>
      <w:bookmarkStart w:id="328" w:name="_Toc305158874"/>
      <w:r/>
      <w:bookmarkStart w:id="329" w:name="_Toc226965805"/>
      <w:r/>
      <w:bookmarkStart w:id="330" w:name="_Toc150774632"/>
      <w:r/>
      <w:bookmarkStart w:id="331" w:name="_Toc127161446"/>
      <w:r/>
      <w:bookmarkStart w:id="332" w:name="_Toc164229227"/>
      <w:r/>
      <w:bookmarkStart w:id="333" w:name="_Toc127151532"/>
      <w:r/>
      <w:bookmarkStart w:id="334" w:name="_Toc226337228"/>
      <w:r/>
      <w:bookmarkStart w:id="335" w:name="_Toc164608801"/>
      <w:r/>
      <w:bookmarkStart w:id="336" w:name="_Toc151193920"/>
      <w:r/>
      <w:bookmarkStart w:id="337" w:name="_Toc164608646"/>
      <w:r/>
      <w:bookmarkStart w:id="338" w:name="_Toc150480770"/>
      <w:r/>
      <w:bookmarkStart w:id="339" w:name="_Toc151193630"/>
      <w:r/>
      <w:bookmarkStart w:id="340" w:name="_Toc150774737"/>
      <w:r/>
      <w:bookmarkStart w:id="341" w:name="_Toc149720825"/>
      <w:r/>
      <w:bookmarkStart w:id="342" w:name="_Toc127151733"/>
      <w:r/>
      <w:bookmarkStart w:id="343" w:name="_Toc226965722"/>
      <w:r>
        <w:rPr>
          <w:rFonts w:hint="eastAsia" w:ascii="宋体" w:hAnsi="宋体" w:cs="宋体"/>
          <w:b/>
          <w:sz w:val="24"/>
        </w:rPr>
        <w:t xml:space="preserve">投标有效期</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344" w:name="_Toc226337229"/>
      <w:r/>
      <w:bookmarkStart w:id="345" w:name="_Toc164351627"/>
      <w:r/>
      <w:bookmarkStart w:id="346" w:name="_Toc164229228"/>
      <w:r/>
      <w:bookmarkStart w:id="347" w:name="_Toc226965723"/>
      <w:r/>
      <w:bookmarkStart w:id="348" w:name="_Toc305158801"/>
      <w:r/>
      <w:bookmarkStart w:id="349" w:name="_Toc164608802"/>
      <w:r/>
      <w:bookmarkStart w:id="350" w:name="_Toc127151734"/>
      <w:r/>
      <w:bookmarkStart w:id="351" w:name="_Toc151193921"/>
      <w:r/>
      <w:bookmarkStart w:id="352" w:name="_Toc151190160"/>
      <w:r/>
      <w:bookmarkStart w:id="353" w:name="_Toc164608647"/>
      <w:r/>
      <w:bookmarkStart w:id="354" w:name="_Toc264969223"/>
      <w:r/>
      <w:bookmarkStart w:id="355" w:name="_Toc226965806"/>
      <w:r/>
      <w:bookmarkStart w:id="356" w:name="_Toc150480771"/>
      <w:r/>
      <w:bookmarkStart w:id="357" w:name="_Toc151193631"/>
      <w:r/>
      <w:bookmarkStart w:id="358" w:name="_Toc151193847"/>
      <w:r/>
      <w:bookmarkStart w:id="359" w:name="_Toc151193775"/>
      <w:r/>
      <w:bookmarkStart w:id="360" w:name="_Toc265228371"/>
      <w:r/>
      <w:bookmarkStart w:id="361" w:name="_Toc151193703"/>
      <w:r/>
      <w:bookmarkStart w:id="362" w:name="_Toc142311035"/>
      <w:r/>
      <w:bookmarkStart w:id="363" w:name="_Toc195842898"/>
      <w:r/>
      <w:bookmarkStart w:id="364" w:name="_Toc226309777"/>
      <w:r/>
      <w:bookmarkStart w:id="365" w:name="_Toc305158875"/>
      <w:r/>
      <w:bookmarkStart w:id="366" w:name="_Toc520356158"/>
      <w:r/>
      <w:bookmarkStart w:id="367" w:name="_Toc150774738"/>
      <w:r/>
      <w:bookmarkStart w:id="368" w:name="_Toc150774633"/>
      <w:r/>
      <w:bookmarkStart w:id="369" w:name="_Toc127151533"/>
      <w:r/>
      <w:bookmarkStart w:id="370" w:name="_Toc149720826"/>
      <w:r/>
      <w:bookmarkStart w:id="371" w:name="_Toc150509284"/>
      <w:r/>
      <w:bookmarkStart w:id="372" w:name="_Toc164229374"/>
      <w:r/>
      <w:bookmarkStart w:id="373" w:name="_Toc127161447"/>
      <w:r>
        <w:rPr>
          <w:rFonts w:hint="eastAsia" w:ascii="宋体" w:hAnsi="宋体" w:cs="宋体"/>
          <w:b/>
          <w:sz w:val="24"/>
        </w:rPr>
        <w:t xml:space="preserve">投标文件的签署</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宋体" w:hAnsi="宋体" w:cs="宋体"/>
          <w:b/>
          <w:sz w:val="24"/>
        </w:rPr>
        <w:t xml:space="preserve">、加盖公章</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bookmarkStart w:id="374" w:name="_Toc305158802"/>
      <w:r/>
      <w:bookmarkStart w:id="375" w:name="_Toc151193922"/>
      <w:r/>
      <w:bookmarkStart w:id="376" w:name="_Toc520356159"/>
      <w:r/>
      <w:bookmarkStart w:id="377" w:name="_Toc151193704"/>
      <w:r/>
      <w:bookmarkStart w:id="378" w:name="_Toc150774739"/>
      <w:r/>
      <w:bookmarkStart w:id="379" w:name="_Toc150480772"/>
      <w:r/>
      <w:bookmarkStart w:id="380" w:name="_Toc151193776"/>
      <w:r/>
      <w:bookmarkStart w:id="381" w:name="_Toc226337230"/>
      <w:r/>
      <w:bookmarkStart w:id="382" w:name="_Toc151190161"/>
      <w:r/>
      <w:bookmarkStart w:id="383" w:name="_Toc226309778"/>
      <w:r/>
      <w:bookmarkStart w:id="384" w:name="_Toc264969224"/>
      <w:r/>
      <w:bookmarkStart w:id="385" w:name="_Toc151193848"/>
      <w:r/>
      <w:bookmarkStart w:id="386" w:name="_Toc127151534"/>
      <w:r/>
      <w:bookmarkStart w:id="387" w:name="_Toc150509285"/>
      <w:r/>
      <w:bookmarkStart w:id="388" w:name="_Toc150774634"/>
      <w:r/>
      <w:bookmarkStart w:id="389" w:name="_Toc265228372"/>
      <w:r/>
      <w:bookmarkStart w:id="390" w:name="_Toc195842899"/>
      <w:r/>
      <w:bookmarkStart w:id="391" w:name="_Toc142311036"/>
      <w:r/>
      <w:bookmarkStart w:id="392" w:name="_Toc226965724"/>
      <w:r/>
      <w:bookmarkStart w:id="393" w:name="_Toc226965807"/>
      <w:r/>
      <w:bookmarkStart w:id="394" w:name="_Toc151193632"/>
      <w:r/>
      <w:bookmarkStart w:id="395" w:name="_Toc30515887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52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396" w:name="_Toc265228373"/>
      <w:r/>
      <w:bookmarkStart w:id="397" w:name="_Toc226965808"/>
      <w:r/>
      <w:bookmarkStart w:id="398" w:name="_Toc127151736"/>
      <w:r/>
      <w:bookmarkStart w:id="399" w:name="_Toc151190162"/>
      <w:r/>
      <w:bookmarkStart w:id="400" w:name="_Toc226337231"/>
      <w:r/>
      <w:bookmarkStart w:id="401" w:name="_Toc151193633"/>
      <w:r/>
      <w:bookmarkStart w:id="402" w:name="_Toc150480773"/>
      <w:r/>
      <w:bookmarkStart w:id="403" w:name="_Toc264969225"/>
      <w:r/>
      <w:bookmarkStart w:id="404" w:name="_Toc150774740"/>
      <w:r/>
      <w:bookmarkStart w:id="405" w:name="_Toc127151535"/>
      <w:r/>
      <w:bookmarkStart w:id="406" w:name="_Toc520356160"/>
      <w:r/>
      <w:bookmarkStart w:id="407" w:name="_Toc164229230"/>
      <w:r/>
      <w:bookmarkStart w:id="408" w:name="_Toc164229376"/>
      <w:r/>
      <w:bookmarkStart w:id="409" w:name="_Toc226965725"/>
      <w:r/>
      <w:bookmarkStart w:id="410" w:name="_Toc150509286"/>
      <w:r/>
      <w:bookmarkStart w:id="411" w:name="_Toc150774635"/>
      <w:r/>
      <w:bookmarkStart w:id="412" w:name="_Toc164351629"/>
      <w:r/>
      <w:bookmarkStart w:id="413" w:name="_Toc151193705"/>
      <w:r/>
      <w:bookmarkStart w:id="414" w:name="_Toc305158877"/>
      <w:r/>
      <w:bookmarkStart w:id="415" w:name="_Toc151193777"/>
      <w:r/>
      <w:bookmarkStart w:id="416" w:name="_Toc151193849"/>
      <w:r/>
      <w:bookmarkStart w:id="417" w:name="_Toc305158803"/>
      <w:r/>
      <w:bookmarkStart w:id="418" w:name="_Toc164608804"/>
      <w:r/>
      <w:bookmarkStart w:id="419" w:name="_Toc151193923"/>
      <w:r/>
      <w:bookmarkStart w:id="420" w:name="_Toc127161449"/>
      <w:r/>
      <w:bookmarkStart w:id="421" w:name="_Toc164608649"/>
      <w:r/>
      <w:bookmarkStart w:id="422" w:name="_Toc149720828"/>
      <w:r/>
      <w:bookmarkStart w:id="423" w:name="_Toc142311037"/>
      <w:r/>
      <w:bookmarkStart w:id="424" w:name="_Toc195842900"/>
      <w:r/>
      <w:bookmarkStart w:id="425" w:name="_Toc226309779"/>
      <w:r>
        <w:rPr>
          <w:rFonts w:hint="eastAsia" w:ascii="宋体" w:hAnsi="宋体" w:cs="宋体"/>
          <w:b/>
          <w:sz w:val="24"/>
        </w:rPr>
        <w:t xml:space="preserve">投标文件的</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cs="宋体"/>
          <w:b/>
          <w:sz w:val="24"/>
        </w:rPr>
        <w:t xml:space="preserve">提交</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426" w:name="_Toc164608805"/>
      <w:r/>
      <w:bookmarkStart w:id="427" w:name="_Toc127151536"/>
      <w:r/>
      <w:bookmarkStart w:id="428" w:name="_Toc226965726"/>
      <w:r/>
      <w:bookmarkStart w:id="429" w:name="_Toc151193924"/>
      <w:r/>
      <w:bookmarkStart w:id="430" w:name="_Toc164608650"/>
      <w:r/>
      <w:bookmarkStart w:id="431" w:name="_Toc151193706"/>
      <w:r/>
      <w:bookmarkStart w:id="432" w:name="_Toc151193850"/>
      <w:r/>
      <w:bookmarkStart w:id="433" w:name="_Toc150774636"/>
      <w:r/>
      <w:bookmarkStart w:id="434" w:name="_Toc127151737"/>
      <w:r/>
      <w:bookmarkStart w:id="435" w:name="_Toc150509287"/>
      <w:r/>
      <w:bookmarkStart w:id="436" w:name="_Toc226309780"/>
      <w:r/>
      <w:bookmarkStart w:id="437" w:name="_Toc164229377"/>
      <w:r/>
      <w:bookmarkStart w:id="438" w:name="_Toc150480774"/>
      <w:r/>
      <w:bookmarkStart w:id="439" w:name="_Toc305158804"/>
      <w:r/>
      <w:bookmarkStart w:id="440" w:name="_Toc149720829"/>
      <w:r/>
      <w:bookmarkStart w:id="441" w:name="_Toc264969226"/>
      <w:r/>
      <w:bookmarkStart w:id="442" w:name="_Toc142311038"/>
      <w:r/>
      <w:bookmarkStart w:id="443" w:name="_Toc226337232"/>
      <w:r/>
      <w:bookmarkStart w:id="444" w:name="_Toc151193778"/>
      <w:r/>
      <w:bookmarkStart w:id="445" w:name="_Toc520356161"/>
      <w:r/>
      <w:bookmarkStart w:id="446" w:name="_Toc195842901"/>
      <w:r/>
      <w:bookmarkStart w:id="447" w:name="_Toc305158878"/>
      <w:r/>
      <w:bookmarkStart w:id="448" w:name="_Toc127161450"/>
      <w:r/>
      <w:bookmarkStart w:id="449" w:name="_Toc265228374"/>
      <w:r/>
      <w:bookmarkStart w:id="450" w:name="_Toc226965809"/>
      <w:r/>
      <w:bookmarkStart w:id="451" w:name="_Toc151193634"/>
      <w:r/>
      <w:bookmarkStart w:id="452" w:name="_Toc164229231"/>
      <w:r/>
      <w:bookmarkStart w:id="453" w:name="_Toc151190163"/>
      <w:r/>
      <w:bookmarkStart w:id="454" w:name="_Toc150774741"/>
      <w:r/>
      <w:bookmarkStart w:id="455" w:name="_Toc164351630"/>
      <w:r>
        <w:rPr>
          <w:rFonts w:hint="eastAsia" w:ascii="宋体" w:hAnsi="宋体" w:cs="宋体"/>
          <w:b/>
          <w:sz w:val="24"/>
        </w:rPr>
        <w:t xml:space="preserve">投标截止</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b/>
          <w:sz w:val="24"/>
        </w:rPr>
        <w:t xml:space="preserve">时间</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456" w:name="_Toc520356162"/>
      <w:r/>
      <w:bookmarkStart w:id="457" w:name="_Toc151193925"/>
      <w:r/>
      <w:bookmarkStart w:id="458" w:name="_Toc164608806"/>
      <w:r/>
      <w:bookmarkStart w:id="459" w:name="_Toc164229378"/>
      <w:r/>
      <w:bookmarkStart w:id="460" w:name="_Toc226965727"/>
      <w:r/>
      <w:bookmarkStart w:id="461" w:name="_Toc149720830"/>
      <w:r/>
      <w:bookmarkStart w:id="462" w:name="_Toc164229232"/>
      <w:r/>
      <w:bookmarkStart w:id="463" w:name="_Toc226337233"/>
      <w:r/>
      <w:bookmarkStart w:id="464" w:name="_Toc226965810"/>
      <w:r/>
      <w:bookmarkStart w:id="465" w:name="_Toc150509288"/>
      <w:r/>
      <w:bookmarkStart w:id="466" w:name="_Toc150774742"/>
      <w:r/>
      <w:bookmarkStart w:id="467" w:name="_Toc151190164"/>
      <w:r/>
      <w:bookmarkStart w:id="468" w:name="_Toc151193779"/>
      <w:r/>
      <w:bookmarkStart w:id="469" w:name="_Toc305158805"/>
      <w:r/>
      <w:bookmarkStart w:id="470" w:name="_Toc164608651"/>
      <w:r/>
      <w:bookmarkStart w:id="471" w:name="_Toc150480775"/>
      <w:r/>
      <w:bookmarkStart w:id="472" w:name="_Toc195842902"/>
      <w:r/>
      <w:bookmarkStart w:id="473" w:name="_Toc127161451"/>
      <w:r/>
      <w:bookmarkStart w:id="474" w:name="_Toc305158879"/>
      <w:r/>
      <w:bookmarkStart w:id="475" w:name="_Toc151193851"/>
      <w:r/>
      <w:bookmarkStart w:id="476" w:name="_Toc264969227"/>
      <w:r/>
      <w:bookmarkStart w:id="477" w:name="_Toc127151738"/>
      <w:r/>
      <w:bookmarkStart w:id="478" w:name="_Toc127151537"/>
      <w:r/>
      <w:bookmarkStart w:id="479" w:name="_Toc142311039"/>
      <w:r/>
      <w:bookmarkStart w:id="480" w:name="_Toc150774637"/>
      <w:r/>
      <w:bookmarkStart w:id="481" w:name="_Toc151193635"/>
      <w:r/>
      <w:bookmarkStart w:id="482" w:name="_Toc151193707"/>
      <w:r/>
      <w:bookmarkStart w:id="483" w:name="_Toc226309781"/>
      <w:r/>
      <w:bookmarkStart w:id="484" w:name="_Toc265228375"/>
      <w:r/>
      <w:bookmarkStart w:id="485" w:name="_Toc164351631"/>
      <w:r>
        <w:rPr>
          <w:rFonts w:hint="eastAsia" w:ascii="宋体" w:hAnsi="宋体" w:cs="宋体"/>
          <w:b/>
          <w:sz w:val="24"/>
        </w:rPr>
        <w:t xml:space="preserve">投标文件的修改与撤回</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rPr>
      </w:pPr>
      <w:r>
        <w:rPr>
          <w:rFonts w:hint="eastAsia" w:ascii="宋体" w:hAnsi="宋体" w:cs="宋体"/>
          <w:sz w:val="24"/>
        </w:rPr>
      </w:r>
      <w:r/>
    </w:p>
    <w:p>
      <w:pPr>
        <w:pStyle w:val="1524"/>
        <w:ind w:firstLine="562"/>
        <w:spacing w:before="0" w:line="360" w:lineRule="auto"/>
        <w:rPr>
          <w:rFonts w:hint="eastAsia" w:ascii="宋体" w:hAnsi="宋体" w:eastAsia="宋体" w:cs="宋体"/>
          <w:sz w:val="28"/>
        </w:rPr>
      </w:pPr>
      <w:r/>
      <w:bookmarkStart w:id="486" w:name="_Toc226965811"/>
      <w:r/>
      <w:bookmarkStart w:id="487" w:name="_Toc151193636"/>
      <w:r/>
      <w:bookmarkStart w:id="488" w:name="_Toc142311040"/>
      <w:r/>
      <w:bookmarkStart w:id="489" w:name="_Toc151193780"/>
      <w:r/>
      <w:bookmarkStart w:id="490" w:name="_Toc150509289"/>
      <w:r/>
      <w:bookmarkStart w:id="491" w:name="_Toc195842903"/>
      <w:r/>
      <w:bookmarkStart w:id="492" w:name="_Toc264969228"/>
      <w:r/>
      <w:bookmarkStart w:id="493" w:name="_Toc265228376"/>
      <w:r/>
      <w:bookmarkStart w:id="494" w:name="_Toc151193852"/>
      <w:r/>
      <w:bookmarkStart w:id="495" w:name="_Toc127151538"/>
      <w:r/>
      <w:bookmarkStart w:id="496" w:name="_Toc150774743"/>
      <w:r/>
      <w:bookmarkStart w:id="497" w:name="_Toc305158806"/>
      <w:r/>
      <w:bookmarkStart w:id="498" w:name="_Toc226965728"/>
      <w:r/>
      <w:bookmarkStart w:id="499" w:name="_Toc150774638"/>
      <w:r/>
      <w:bookmarkStart w:id="500" w:name="_Toc151193708"/>
      <w:r/>
      <w:bookmarkStart w:id="501" w:name="_Toc150480776"/>
      <w:r/>
      <w:bookmarkStart w:id="502" w:name="_Toc151193926"/>
      <w:r/>
      <w:bookmarkStart w:id="503" w:name="_Toc151190165"/>
      <w:r/>
      <w:bookmarkStart w:id="504" w:name="_Toc305158880"/>
      <w:r/>
      <w:bookmarkStart w:id="505" w:name="_Toc226337234"/>
      <w:r/>
      <w:bookmarkStart w:id="506" w:name="_Toc226309782"/>
      <w:r/>
      <w:bookmarkStart w:id="507" w:name="_Toc520356163"/>
      <w:r>
        <w:rPr>
          <w:rFonts w:hint="eastAsia" w:ascii="宋体" w:hAnsi="宋体" w:eastAsia="宋体" w:cs="宋体"/>
          <w:sz w:val="28"/>
        </w:rPr>
        <w:t xml:space="preserve">五   开标、资格审查及评标</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508" w:name="_Toc150774639"/>
      <w:r/>
      <w:bookmarkStart w:id="509" w:name="_Toc142311041"/>
      <w:r/>
      <w:bookmarkStart w:id="510" w:name="_Toc151193927"/>
      <w:r/>
      <w:bookmarkStart w:id="511" w:name="_Toc150774744"/>
      <w:r/>
      <w:bookmarkStart w:id="512" w:name="_Toc127151740"/>
      <w:r/>
      <w:bookmarkStart w:id="513" w:name="_Toc164351633"/>
      <w:r/>
      <w:bookmarkStart w:id="514" w:name="_Toc151193637"/>
      <w:r/>
      <w:bookmarkStart w:id="515" w:name="_Toc150480777"/>
      <w:r/>
      <w:bookmarkStart w:id="516" w:name="_Toc195842904"/>
      <w:r/>
      <w:bookmarkStart w:id="517" w:name="_Toc305158881"/>
      <w:r/>
      <w:bookmarkStart w:id="518" w:name="_Toc151193781"/>
      <w:r/>
      <w:bookmarkStart w:id="519" w:name="_Toc520356164"/>
      <w:r/>
      <w:bookmarkStart w:id="520" w:name="_Toc151193853"/>
      <w:r/>
      <w:bookmarkStart w:id="521" w:name="_Toc226337235"/>
      <w:r/>
      <w:bookmarkStart w:id="522" w:name="_Toc264969229"/>
      <w:r/>
      <w:bookmarkStart w:id="523" w:name="_Toc226309783"/>
      <w:r/>
      <w:bookmarkStart w:id="524" w:name="_Toc305158807"/>
      <w:r/>
      <w:bookmarkStart w:id="525" w:name="_Toc226965812"/>
      <w:r/>
      <w:bookmarkStart w:id="526" w:name="_Toc151193709"/>
      <w:r/>
      <w:bookmarkStart w:id="527" w:name="_Toc226965729"/>
      <w:r/>
      <w:bookmarkStart w:id="528" w:name="_Toc265228377"/>
      <w:r/>
      <w:bookmarkStart w:id="529" w:name="_Toc150509290"/>
      <w:r/>
      <w:bookmarkStart w:id="530" w:name="_Toc164608808"/>
      <w:r/>
      <w:bookmarkStart w:id="531" w:name="_Toc164229234"/>
      <w:r/>
      <w:bookmarkStart w:id="532" w:name="_Toc164229380"/>
      <w:r/>
      <w:bookmarkStart w:id="533" w:name="_Toc164608653"/>
      <w:r/>
      <w:bookmarkStart w:id="534" w:name="_Toc151190166"/>
      <w:r/>
      <w:bookmarkStart w:id="535" w:name="_Toc127151539"/>
      <w:r/>
      <w:bookmarkStart w:id="536" w:name="_Toc149720832"/>
      <w:r/>
      <w:bookmarkStart w:id="537" w:name="_Toc127161453"/>
      <w:r>
        <w:rPr>
          <w:rFonts w:hint="eastAsia" w:ascii="宋体" w:hAnsi="宋体" w:cs="宋体"/>
          <w:b/>
          <w:sz w:val="24"/>
        </w:rPr>
        <w:t xml:space="preserve">开标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38" w:name="_Toc520356165"/>
      <w:r>
        <w:rPr>
          <w:rFonts w:hint="eastAsia" w:ascii="宋体" w:hAnsi="宋体" w:cs="宋体"/>
          <w:sz w:val="24"/>
        </w:rPr>
        <w:t xml:space="preserve">。投标人超过规定时间未确认但是未提出疑义的，系统将视同已确认。</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资格审查</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见第三章《资格审查》。</w:t>
      </w:r>
      <w:bookmarkEnd w:id="538"/>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539" w:name="_Toc150480778"/>
      <w:r/>
      <w:bookmarkStart w:id="540" w:name="_Toc305158882"/>
      <w:r/>
      <w:bookmarkStart w:id="541" w:name="_Toc127151741"/>
      <w:r/>
      <w:bookmarkStart w:id="542" w:name="_Toc305158808"/>
      <w:r/>
      <w:bookmarkStart w:id="543" w:name="_Toc226337236"/>
      <w:r/>
      <w:bookmarkStart w:id="544" w:name="_Toc151193638"/>
      <w:r/>
      <w:bookmarkStart w:id="545" w:name="_Toc164351634"/>
      <w:r/>
      <w:bookmarkStart w:id="546" w:name="_Toc151193928"/>
      <w:r/>
      <w:bookmarkStart w:id="547" w:name="_Toc151193782"/>
      <w:r/>
      <w:bookmarkStart w:id="548" w:name="_Toc142311042"/>
      <w:r/>
      <w:bookmarkStart w:id="549" w:name="_Toc127161454"/>
      <w:r/>
      <w:bookmarkStart w:id="550" w:name="_Toc164608654"/>
      <w:r/>
      <w:bookmarkStart w:id="551" w:name="_Toc226965813"/>
      <w:r/>
      <w:bookmarkStart w:id="552" w:name="_Toc150774745"/>
      <w:r/>
      <w:bookmarkStart w:id="553" w:name="_Toc151190167"/>
      <w:r/>
      <w:bookmarkStart w:id="554" w:name="_Toc265228378"/>
      <w:r/>
      <w:bookmarkStart w:id="555" w:name="_Toc264969230"/>
      <w:r/>
      <w:bookmarkStart w:id="556" w:name="_Toc164229381"/>
      <w:r/>
      <w:bookmarkStart w:id="557" w:name="_Toc151193854"/>
      <w:r/>
      <w:bookmarkStart w:id="558" w:name="_Toc150509291"/>
      <w:r/>
      <w:bookmarkStart w:id="559" w:name="_Toc164608809"/>
      <w:r/>
      <w:bookmarkStart w:id="560" w:name="_Toc151193710"/>
      <w:r/>
      <w:bookmarkStart w:id="561" w:name="_Toc149720833"/>
      <w:r/>
      <w:bookmarkStart w:id="562" w:name="_Toc226309784"/>
      <w:r/>
      <w:bookmarkStart w:id="563" w:name="_Toc164229235"/>
      <w:r/>
      <w:bookmarkStart w:id="564" w:name="_Toc226965730"/>
      <w:r/>
      <w:bookmarkStart w:id="565" w:name="_Toc127151540"/>
      <w:r/>
      <w:bookmarkStart w:id="566" w:name="_Toc195842905"/>
      <w:r/>
      <w:bookmarkStart w:id="567" w:name="_Toc150774640"/>
      <w:r>
        <w:rPr>
          <w:rFonts w:hint="eastAsia" w:ascii="宋体" w:hAnsi="宋体" w:cs="宋体"/>
          <w:b/>
          <w:sz w:val="24"/>
        </w:rPr>
        <w:t xml:space="preserve">评标委员会</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68" w:name="_Toc520356166"/>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68"/>
      <w:r/>
      <w:bookmarkStart w:id="569" w:name="_Toc520356169"/>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524"/>
        <w:ind w:firstLine="562"/>
        <w:spacing w:before="0" w:line="360" w:lineRule="auto"/>
        <w:rPr>
          <w:rFonts w:hint="eastAsia" w:ascii="宋体" w:hAnsi="宋体" w:eastAsia="宋体" w:cs="宋体"/>
          <w:sz w:val="28"/>
        </w:rPr>
      </w:pPr>
      <w:r/>
      <w:bookmarkStart w:id="570" w:name="_Toc150774750"/>
      <w:r/>
      <w:bookmarkStart w:id="571" w:name="_Toc127151545"/>
      <w:r/>
      <w:bookmarkStart w:id="572" w:name="_Toc151193933"/>
      <w:r/>
      <w:bookmarkStart w:id="573" w:name="_Toc226965818"/>
      <w:r/>
      <w:bookmarkStart w:id="574" w:name="_Toc265228383"/>
      <w:r/>
      <w:bookmarkStart w:id="575" w:name="_Toc151193643"/>
      <w:r/>
      <w:bookmarkStart w:id="576" w:name="_Toc151193715"/>
      <w:r/>
      <w:bookmarkStart w:id="577" w:name="_Toc195842910"/>
      <w:r/>
      <w:bookmarkStart w:id="578" w:name="_Toc151190172"/>
      <w:r/>
      <w:bookmarkStart w:id="579" w:name="_Toc151193787"/>
      <w:r/>
      <w:bookmarkStart w:id="580" w:name="_Toc305158887"/>
      <w:r/>
      <w:bookmarkStart w:id="581" w:name="_Toc150480783"/>
      <w:r/>
      <w:bookmarkStart w:id="582" w:name="_Toc150774645"/>
      <w:r/>
      <w:bookmarkStart w:id="583" w:name="_Toc226965735"/>
      <w:r/>
      <w:bookmarkStart w:id="584" w:name="_Toc264969235"/>
      <w:r/>
      <w:bookmarkStart w:id="585" w:name="_Toc226337241"/>
      <w:r/>
      <w:bookmarkStart w:id="586" w:name="_Toc305158813"/>
      <w:r/>
      <w:bookmarkStart w:id="587" w:name="_Toc151193859"/>
      <w:r/>
      <w:bookmarkStart w:id="588" w:name="_Toc226309789"/>
      <w:r/>
      <w:bookmarkStart w:id="589" w:name="_Toc142311047"/>
      <w:r/>
      <w:bookmarkStart w:id="590" w:name="_Toc150509296"/>
      <w:r>
        <w:rPr>
          <w:rFonts w:hint="eastAsia" w:ascii="宋体" w:hAnsi="宋体" w:eastAsia="宋体" w:cs="宋体"/>
          <w:sz w:val="28"/>
        </w:rPr>
        <w:t xml:space="preserve">六   </w:t>
      </w:r>
      <w:bookmarkEnd w:id="569"/>
      <w:r>
        <w:rPr>
          <w:rFonts w:hint="eastAsia" w:ascii="宋体" w:hAnsi="宋体" w:eastAsia="宋体" w:cs="宋体"/>
          <w:sz w:val="28"/>
        </w:rPr>
        <w:t xml:space="preserve">确定中标</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Start w:id="591" w:name="_Toc150509298"/>
      <w:r/>
      <w:bookmarkStart w:id="592" w:name="_Toc164351641"/>
      <w:r/>
      <w:bookmarkStart w:id="593" w:name="_Toc151193645"/>
      <w:r/>
      <w:bookmarkStart w:id="594" w:name="_Toc151193935"/>
      <w:r/>
      <w:bookmarkStart w:id="595" w:name="_Toc164229388"/>
      <w:r/>
      <w:bookmarkStart w:id="596" w:name="_Toc150480785"/>
      <w:r/>
      <w:bookmarkStart w:id="597" w:name="_Toc150774752"/>
      <w:r/>
      <w:bookmarkStart w:id="598" w:name="_Toc305158815"/>
      <w:r/>
      <w:bookmarkStart w:id="599" w:name="_Toc226309791"/>
      <w:r/>
      <w:bookmarkStart w:id="600" w:name="_Toc164608661"/>
      <w:r/>
      <w:bookmarkStart w:id="601" w:name="_Toc127151748"/>
      <w:r/>
      <w:bookmarkStart w:id="602" w:name="_Toc265228385"/>
      <w:r/>
      <w:bookmarkStart w:id="603" w:name="_Toc164608816"/>
      <w:r/>
      <w:bookmarkStart w:id="604" w:name="_Toc305158889"/>
      <w:r/>
      <w:bookmarkStart w:id="605" w:name="_Toc151193861"/>
      <w:r/>
      <w:bookmarkStart w:id="606" w:name="_Toc142311049"/>
      <w:r/>
      <w:bookmarkStart w:id="607" w:name="_Toc164229242"/>
      <w:r/>
      <w:bookmarkStart w:id="608" w:name="_Toc150774647"/>
      <w:r/>
      <w:bookmarkStart w:id="609" w:name="_Toc151193717"/>
      <w:r/>
      <w:bookmarkStart w:id="610" w:name="_Toc195842912"/>
      <w:r/>
      <w:bookmarkStart w:id="611" w:name="_Toc151193789"/>
      <w:r/>
      <w:bookmarkStart w:id="612" w:name="_Toc264969237"/>
      <w:r/>
      <w:bookmarkStart w:id="613" w:name="_Toc226337243"/>
      <w:r/>
      <w:bookmarkStart w:id="614" w:name="_Toc127151547"/>
      <w:r/>
      <w:bookmarkStart w:id="615" w:name="_Toc149720840"/>
      <w:r/>
      <w:bookmarkStart w:id="616" w:name="_Toc151190174"/>
      <w:r/>
      <w:bookmarkStart w:id="617" w:name="_Toc226965820"/>
      <w:r/>
      <w:bookmarkStart w:id="618" w:name="_Toc226965737"/>
      <w:r/>
      <w:bookmarkStart w:id="619" w:name="_Toc127161461"/>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确定中标人</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620" w:name="_Toc305158891"/>
      <w:r/>
      <w:bookmarkStart w:id="621" w:name="_Toc305158817"/>
      <w:r/>
      <w:bookmarkStart w:id="622" w:name="_Toc151193791"/>
      <w:r/>
      <w:bookmarkStart w:id="623" w:name="_Toc150480787"/>
      <w:r/>
      <w:bookmarkStart w:id="624" w:name="_Toc151193937"/>
      <w:r/>
      <w:bookmarkStart w:id="625" w:name="_Toc151193863"/>
      <w:r/>
      <w:bookmarkStart w:id="626" w:name="_Toc127151549"/>
      <w:r/>
      <w:bookmarkStart w:id="627" w:name="_Toc164608818"/>
      <w:r/>
      <w:bookmarkStart w:id="628" w:name="_Toc151190176"/>
      <w:r/>
      <w:bookmarkStart w:id="629" w:name="_Toc226337245"/>
      <w:r/>
      <w:bookmarkStart w:id="630" w:name="_Toc226965822"/>
      <w:r/>
      <w:bookmarkStart w:id="631" w:name="_Toc164229244"/>
      <w:r/>
      <w:bookmarkStart w:id="632" w:name="_Toc149720842"/>
      <w:r/>
      <w:bookmarkStart w:id="633" w:name="_Toc142311051"/>
      <w:r/>
      <w:bookmarkStart w:id="634" w:name="_Toc264969239"/>
      <w:r/>
      <w:bookmarkStart w:id="635" w:name="_Toc151193647"/>
      <w:r/>
      <w:bookmarkStart w:id="636" w:name="_Toc127151750"/>
      <w:r/>
      <w:bookmarkStart w:id="637" w:name="_Toc195842914"/>
      <w:r/>
      <w:bookmarkStart w:id="638" w:name="_Toc127161463"/>
      <w:r/>
      <w:bookmarkStart w:id="639" w:name="_Toc150509300"/>
      <w:r/>
      <w:bookmarkStart w:id="640" w:name="_Toc226309793"/>
      <w:r/>
      <w:bookmarkStart w:id="641" w:name="_Toc164608663"/>
      <w:r/>
      <w:bookmarkStart w:id="642" w:name="_Toc151193719"/>
      <w:r/>
      <w:bookmarkStart w:id="643" w:name="_Toc164229390"/>
      <w:r/>
      <w:bookmarkStart w:id="644" w:name="_Toc265228387"/>
      <w:r/>
      <w:bookmarkStart w:id="645" w:name="_Toc164351643"/>
      <w:r/>
      <w:bookmarkStart w:id="646" w:name="_Toc226965739"/>
      <w:r/>
      <w:bookmarkStart w:id="647" w:name="_Toc150774754"/>
      <w:r/>
      <w:bookmarkStart w:id="648" w:name="_Toc150774649"/>
      <w:r/>
      <w:bookmarkStart w:id="649" w:name="_Ref467307090"/>
      <w:r/>
      <w:bookmarkStart w:id="650" w:name="_Ref467306425"/>
      <w:r/>
      <w:bookmarkStart w:id="651" w:name="_Toc520356176"/>
      <w:r>
        <w:rPr>
          <w:rFonts w:hint="eastAsia" w:ascii="宋体" w:hAnsi="宋体" w:cs="宋体"/>
          <w:b/>
          <w:sz w:val="24"/>
        </w:rPr>
        <w:t xml:space="preserve">中标公告与中标通知书</w:t>
      </w:r>
      <w:bookmarkEnd w:id="620"/>
      <w:r/>
      <w:bookmarkEnd w:id="621"/>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采购人或采购代理机构自中标人确定之日起2个工作日内，在常州市政府采购网公告中标结果，同时向中标人发出中标通知书，中标公告期限为1个工作日。</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废标</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因重大变故，采购任务取消的。</w:t>
      </w:r>
      <w:r/>
    </w:p>
    <w:p>
      <w:pPr>
        <w:numPr>
          <w:ilvl w:val="2"/>
          <w:numId w:val="4"/>
        </w:numPr>
        <w:ind w:left="0" w:firstLine="488"/>
        <w:spacing w:line="360" w:lineRule="auto"/>
        <w:tabs>
          <w:tab w:val="left" w:pos="1276"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0"/>
          <w:numId w:val="4"/>
        </w:numPr>
        <w:ind w:left="0" w:firstLine="482"/>
        <w:spacing w:line="360" w:lineRule="auto"/>
        <w:tabs>
          <w:tab w:val="left" w:pos="360" w:leader="none"/>
        </w:tabs>
        <w:rPr>
          <w:rFonts w:hint="eastAsia" w:ascii="宋体" w:hAnsi="宋体" w:cs="宋体"/>
          <w:b/>
          <w:sz w:val="24"/>
        </w:rPr>
        <w:outlineLvl w:val="1"/>
      </w:pPr>
      <w:r/>
      <w:bookmarkStart w:id="652" w:name="_Toc264969240"/>
      <w:r/>
      <w:bookmarkStart w:id="653" w:name="_Ref467306978"/>
      <w:r/>
      <w:bookmarkStart w:id="654" w:name="_Toc265228388"/>
      <w:r/>
      <w:bookmarkStart w:id="655" w:name="_Toc151193938"/>
      <w:r/>
      <w:bookmarkStart w:id="656" w:name="_Toc151193792"/>
      <w:r/>
      <w:bookmarkStart w:id="657" w:name="_Toc150509301"/>
      <w:r/>
      <w:bookmarkStart w:id="658" w:name="_Toc226965740"/>
      <w:r/>
      <w:bookmarkStart w:id="659" w:name="_Toc127161464"/>
      <w:r/>
      <w:bookmarkStart w:id="660" w:name="_Toc226337246"/>
      <w:r/>
      <w:bookmarkStart w:id="661" w:name="_Toc305158818"/>
      <w:r/>
      <w:bookmarkStart w:id="662" w:name="_Toc305158892"/>
      <w:r/>
      <w:bookmarkStart w:id="663" w:name="_Toc164608664"/>
      <w:r/>
      <w:bookmarkStart w:id="664" w:name="_Toc150774650"/>
      <w:r/>
      <w:bookmarkStart w:id="665" w:name="_Toc226965823"/>
      <w:r/>
      <w:bookmarkStart w:id="666" w:name="_Toc142311052"/>
      <w:r/>
      <w:bookmarkStart w:id="667" w:name="_Toc150480788"/>
      <w:r/>
      <w:bookmarkStart w:id="668" w:name="_Toc150774755"/>
      <w:r/>
      <w:bookmarkStart w:id="669" w:name="_Toc127151550"/>
      <w:r/>
      <w:bookmarkStart w:id="670" w:name="_Toc151190177"/>
      <w:r/>
      <w:bookmarkStart w:id="671" w:name="_Toc226309794"/>
      <w:r/>
      <w:bookmarkStart w:id="672" w:name="_Ref467307062"/>
      <w:r/>
      <w:bookmarkStart w:id="673" w:name="_Toc520356175"/>
      <w:r/>
      <w:bookmarkStart w:id="674" w:name="_Toc195842915"/>
      <w:r/>
      <w:bookmarkStart w:id="675" w:name="_Toc151193720"/>
      <w:r/>
      <w:bookmarkStart w:id="676" w:name="_Toc149720843"/>
      <w:r/>
      <w:bookmarkStart w:id="677" w:name="_Toc164608819"/>
      <w:r/>
      <w:bookmarkStart w:id="678" w:name="_Toc164229391"/>
      <w:r/>
      <w:bookmarkStart w:id="679" w:name="_Ref467307204"/>
      <w:r/>
      <w:bookmarkStart w:id="680" w:name="_Toc151193864"/>
      <w:r/>
      <w:bookmarkStart w:id="681" w:name="_Ref467306377"/>
      <w:r/>
      <w:bookmarkStart w:id="682" w:name="_Toc151193648"/>
      <w:r/>
      <w:bookmarkStart w:id="683" w:name="_Toc127151751"/>
      <w:r/>
      <w:bookmarkStart w:id="684" w:name="_Toc164351644"/>
      <w:r/>
      <w:bookmarkStart w:id="685" w:name="_Toc164229245"/>
      <w:r>
        <w:rPr>
          <w:rFonts w:hint="eastAsia" w:ascii="宋体" w:hAnsi="宋体" w:cs="宋体"/>
          <w:b/>
          <w:sz w:val="24"/>
        </w:rPr>
        <w:t xml:space="preserve">签订合同</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bookmarkEnd w:id="649"/>
      <w:r/>
      <w:bookmarkEnd w:id="650"/>
      <w:r/>
      <w:bookmarkEnd w:id="651"/>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4"/>
        </w:numPr>
        <w:ind w:left="0" w:firstLine="480"/>
        <w:spacing w:line="360" w:lineRule="auto"/>
        <w:tabs>
          <w:tab w:val="left" w:pos="1080" w:leader="none"/>
          <w:tab w:val="left" w:pos="1276"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4"/>
        </w:numPr>
        <w:ind w:left="0" w:firstLine="482"/>
        <w:spacing w:line="360" w:lineRule="auto"/>
        <w:tabs>
          <w:tab w:val="left" w:pos="1276"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527"/>
          <w:rFonts w:hint="eastAsia" w:ascii="宋体" w:hAnsi="宋体" w:cs="宋体"/>
          <w:color w:val="000000"/>
        </w:rPr>
        <w:t xml:space="preserve">http://gk</w:t>
      </w:r>
      <w:bookmarkStart w:id="686" w:name="_Hlt100654014"/>
      <w:r>
        <w:rPr>
          <w:rStyle w:val="1527"/>
          <w:rFonts w:hint="eastAsia" w:ascii="宋体" w:hAnsi="宋体" w:cs="宋体"/>
          <w:color w:val="000000"/>
        </w:rPr>
        <w:t xml:space="preserve">s</w:t>
      </w:r>
      <w:bookmarkEnd w:id="686"/>
      <w:r>
        <w:rPr>
          <w:rStyle w:val="1527"/>
          <w:rFonts w:hint="eastAsia" w:ascii="宋体" w:hAnsi="宋体" w:cs="宋体"/>
          <w:color w:val="000000"/>
        </w:rPr>
        <w:t xml:space="preserve">.m</w:t>
      </w:r>
      <w:bookmarkStart w:id="687" w:name="_Hlt100653994"/>
      <w:r/>
      <w:bookmarkStart w:id="688" w:name="_Hlt100653993"/>
      <w:r>
        <w:rPr>
          <w:rStyle w:val="1527"/>
          <w:rFonts w:hint="eastAsia" w:ascii="宋体" w:hAnsi="宋体" w:cs="宋体"/>
          <w:color w:val="000000"/>
        </w:rPr>
        <w:t xml:space="preserve">o</w:t>
      </w:r>
      <w:bookmarkEnd w:id="687"/>
      <w:r/>
      <w:bookmarkEnd w:id="688"/>
      <w:r>
        <w:rPr>
          <w:rStyle w:val="152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p>
    <w:p>
      <w:pPr>
        <w:ind w:firstLine="480"/>
        <w:spacing w:line="500" w:lineRule="exact"/>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供应商如组成联合体参加投标，则《质疑函范本》中要求签字、盖章、加盖公章之处，联合体各方均须按要求签字、盖章、加盖公章。</w:t>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r>
      <w:r/>
    </w:p>
    <w:p>
      <w:pPr>
        <w:numPr>
          <w:ilvl w:val="2"/>
          <w:numId w:val="4"/>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numPr>
          <w:ilvl w:val="0"/>
          <w:numId w:val="4"/>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4"/>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w:t>
      </w:r>
      <w:r/>
    </w:p>
    <w:p>
      <w:pPr>
        <w:ind w:left="360"/>
        <w:spacing w:line="360" w:lineRule="auto"/>
        <w:tabs>
          <w:tab w:val="left" w:pos="360" w:leader="none"/>
          <w:tab w:val="left" w:pos="1080" w:leader="none"/>
        </w:tabs>
        <w:rPr>
          <w:sz w:val="24"/>
        </w:rPr>
      </w:pPr>
      <w:r>
        <w:rPr>
          <w:sz w:val="24"/>
        </w:rPr>
      </w:r>
      <w:r/>
    </w:p>
    <w:p>
      <w:pPr>
        <w:pStyle w:val="1506"/>
        <w:rPr>
          <w:b/>
          <w:sz w:val="36"/>
          <w:szCs w:val="36"/>
        </w:rPr>
      </w:pPr>
      <w:r>
        <w:rPr>
          <w:b/>
          <w:sz w:val="36"/>
          <w:szCs w:val="36"/>
        </w:rPr>
      </w:r>
      <w:bookmarkEnd w:id="14"/>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第三章   资格审查</w:t>
      </w:r>
      <w:bookmarkStart w:id="689" w:name="_Toc487900382"/>
      <w:r/>
      <w:r/>
    </w:p>
    <w:p>
      <w:pPr>
        <w:jc w:val="center"/>
        <w:spacing w:line="360" w:lineRule="auto"/>
        <w:tabs>
          <w:tab w:val="left" w:pos="360" w:leader="none"/>
          <w:tab w:val="left" w:pos="900" w:leader="none"/>
        </w:tabs>
        <w:rPr>
          <w:rFonts w:hint="eastAsia" w:ascii="宋体" w:hAnsi="宋体" w:cs="宋体"/>
          <w:b/>
          <w:sz w:val="24"/>
        </w:rPr>
        <w:outlineLvl w:val="1"/>
      </w:pPr>
      <w:r/>
      <w:bookmarkStart w:id="690" w:name="_Toc99301422"/>
      <w:r>
        <w:rPr>
          <w:rFonts w:hint="eastAsia" w:ascii="宋体" w:hAnsi="宋体" w:cs="宋体"/>
          <w:b/>
          <w:sz w:val="24"/>
        </w:rPr>
        <w:t xml:space="preserve">一、资格审查程序</w:t>
      </w:r>
      <w:bookmarkEnd w:id="690"/>
      <w:r/>
      <w:r/>
    </w:p>
    <w:p>
      <w:pPr>
        <w:numPr>
          <w:ilvl w:val="0"/>
          <w:numId w:val="6"/>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numPr>
          <w:ilvl w:val="0"/>
          <w:numId w:val="6"/>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numPr>
          <w:ilvl w:val="0"/>
          <w:numId w:val="6"/>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6"/>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jc w:val="left"/>
        <w:widowControl/>
        <w:rPr>
          <w:rFonts w:hint="eastAsia" w:ascii="宋体" w:hAnsi="宋体" w:cs="宋体"/>
          <w:sz w:val="24"/>
        </w:rPr>
      </w:pPr>
      <w:r>
        <w:rPr>
          <w:rFonts w:hint="eastAsia" w:ascii="宋体" w:hAnsi="宋体" w:cs="宋体"/>
          <w:sz w:val="24"/>
        </w:rPr>
      </w:r>
      <w:r/>
    </w:p>
    <w:p>
      <w:pPr>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Style w:val="131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jc w:val="center"/>
              <w:tabs>
                <w:tab w:val="left" w:pos="1080" w:leader="none"/>
              </w:tabs>
              <w:rPr>
                <w:rFonts w:hint="eastAsia" w:ascii="宋体" w:hAnsi="宋体" w:cs="宋体"/>
                <w:b/>
                <w:sz w:val="24"/>
              </w:rPr>
            </w:pPr>
            <w:r/>
            <w:bookmarkStart w:id="691" w:name="_Hlt487972895"/>
            <w:r/>
            <w:bookmarkEnd w:id="691"/>
            <w:r>
              <w:rPr>
                <w:rFonts w:hint="eastAsia" w:ascii="宋体" w:hAnsi="宋体" w:cs="宋体"/>
                <w:b/>
                <w:sz w:val="24"/>
              </w:rPr>
              <w:t xml:space="preserve">序号</w:t>
            </w:r>
            <w:r/>
          </w:p>
        </w:tc>
        <w:tc>
          <w:tcPr>
            <w:tcW w:w="1067"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622"/>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9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投标人营业执照</w:t>
            </w:r>
            <w:r/>
          </w:p>
        </w:tc>
        <w:tc>
          <w:tcPr>
            <w:tcW w:w="482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有效的法人（负责人）或者其他组织的营业执照等证明文件</w:t>
            </w:r>
            <w:r/>
          </w:p>
        </w:tc>
        <w:tc>
          <w:tcPr>
            <w:tcW w:w="163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Cs w:val="21"/>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提供符合招标文件要求的《投标人资格声明函》。</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1-3</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sz w:val="24"/>
              </w:rPr>
            </w:pPr>
            <w:r>
              <w:rPr>
                <w:rFonts w:hint="eastAsia" w:ascii="宋体" w:hAnsi="宋体" w:cs="宋体"/>
                <w:sz w:val="24"/>
              </w:rPr>
            </w:r>
            <w:r/>
          </w:p>
          <w:p>
            <w:pPr>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接受联合体投标（响应）</w:t>
            </w:r>
            <w:r/>
          </w:p>
        </w:tc>
        <w:tc>
          <w:tcPr>
            <w:tcW w:w="2596"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如是联合体投标（响应），投标人（供应商）组成联合体投标（响应）的必须提供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p>
        </w:tc>
        <w:tc>
          <w:tcPr>
            <w:tcW w:w="882"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color w:val="000000"/>
                <w:highlight w:val="none"/>
              </w:rPr>
              <w:t xml:space="preserve">格式见《投标（响应）文件格式》</w:t>
            </w:r>
            <w:r/>
          </w:p>
        </w:tc>
      </w:tr>
      <w:tr>
        <w:trPr>
          <w:cantSplit/>
          <w:trHeight w:val="468"/>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Cs w:val="21"/>
              </w:rPr>
              <w:t xml:space="preserve">提供证明文件的电子件或电子证照。</w:t>
            </w:r>
            <w:bookmarkEnd w:id="689"/>
            <w:r/>
            <w:r/>
          </w:p>
        </w:tc>
      </w:tr>
    </w:tbl>
    <w:p>
      <w:pPr>
        <w:jc w:val="left"/>
        <w:widowControl/>
        <w:rPr>
          <w:sz w:val="24"/>
        </w:rPr>
      </w:pPr>
      <w:r>
        <w:rPr>
          <w:sz w:val="24"/>
        </w:rPr>
        <w:br w:type="page" w:clear="all"/>
      </w:r>
      <w:bookmarkEnd w:id="15"/>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第四章   </w:t>
      </w:r>
      <w:bookmarkStart w:id="692" w:name="_Hlt164229061"/>
      <w:r/>
      <w:bookmarkEnd w:id="692"/>
      <w:r>
        <w:rPr>
          <w:rFonts w:hint="eastAsia" w:ascii="宋体" w:hAnsi="宋体" w:cs="宋体"/>
          <w:b/>
          <w:sz w:val="36"/>
          <w:szCs w:val="36"/>
        </w:rPr>
        <w:t xml:space="preserve">评标程序、评标方法和评标标准</w:t>
      </w:r>
      <w:r/>
    </w:p>
    <w:p>
      <w:pPr>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p>
    <w:p>
      <w:pPr>
        <w:numPr>
          <w:ilvl w:val="0"/>
          <w:numId w:val="7"/>
        </w:numPr>
        <w:ind w:left="0" w:firstLine="482"/>
        <w:spacing w:line="360" w:lineRule="auto"/>
        <w:tabs>
          <w:tab w:val="left" w:pos="360" w:leader="none"/>
          <w:tab w:val="left" w:pos="851" w:leader="none"/>
        </w:tabs>
        <w:rPr>
          <w:rFonts w:hint="eastAsia" w:ascii="宋体" w:hAnsi="宋体" w:cs="宋体"/>
          <w:b/>
          <w:sz w:val="24"/>
        </w:rPr>
        <w:outlineLvl w:val="1"/>
      </w:pPr>
      <w:r/>
      <w:bookmarkStart w:id="693" w:name="_Toc164351635"/>
      <w:r/>
      <w:bookmarkStart w:id="694" w:name="_Toc226965731"/>
      <w:r/>
      <w:bookmarkStart w:id="695" w:name="_Toc151193855"/>
      <w:r/>
      <w:bookmarkStart w:id="696" w:name="_Toc164608810"/>
      <w:r/>
      <w:bookmarkStart w:id="697" w:name="_Toc164608655"/>
      <w:r/>
      <w:bookmarkStart w:id="698" w:name="_Toc151193639"/>
      <w:r/>
      <w:bookmarkStart w:id="699" w:name="_Toc142311043"/>
      <w:r/>
      <w:bookmarkStart w:id="700" w:name="_Toc226309785"/>
      <w:r/>
      <w:bookmarkStart w:id="701" w:name="_Toc305158809"/>
      <w:r/>
      <w:bookmarkStart w:id="702" w:name="_Toc151193929"/>
      <w:r/>
      <w:bookmarkStart w:id="703" w:name="_Toc226337237"/>
      <w:r/>
      <w:bookmarkStart w:id="704" w:name="_Toc150509292"/>
      <w:r/>
      <w:bookmarkStart w:id="705" w:name="_Toc264969231"/>
      <w:r/>
      <w:bookmarkStart w:id="706" w:name="_Toc127151541"/>
      <w:r/>
      <w:bookmarkStart w:id="707" w:name="_Toc150480779"/>
      <w:r/>
      <w:bookmarkStart w:id="708" w:name="_Toc151193783"/>
      <w:r/>
      <w:bookmarkStart w:id="709" w:name="_Toc151193711"/>
      <w:r/>
      <w:bookmarkStart w:id="710" w:name="_Toc226965814"/>
      <w:r/>
      <w:bookmarkStart w:id="711" w:name="_Toc150774746"/>
      <w:r/>
      <w:bookmarkStart w:id="712" w:name="_Toc164229382"/>
      <w:r/>
      <w:bookmarkStart w:id="713" w:name="_Toc127161455"/>
      <w:r/>
      <w:bookmarkStart w:id="714" w:name="_Toc151190168"/>
      <w:r/>
      <w:bookmarkStart w:id="715" w:name="_Toc265228379"/>
      <w:r/>
      <w:bookmarkStart w:id="716" w:name="_Toc150774641"/>
      <w:r/>
      <w:bookmarkStart w:id="717" w:name="_Toc305158883"/>
      <w:r/>
      <w:bookmarkStart w:id="718" w:name="_Toc149720834"/>
      <w:r/>
      <w:bookmarkStart w:id="719" w:name="_Toc164229236"/>
      <w:r/>
      <w:bookmarkStart w:id="720" w:name="_Toc127151742"/>
      <w:r/>
      <w:bookmarkStart w:id="721" w:name="_Toc195842906"/>
      <w:r/>
      <w:bookmarkStart w:id="722" w:name="_Toc353825551"/>
      <w:r/>
      <w:bookmarkStart w:id="723" w:name="_Toc353873941"/>
      <w:r>
        <w:rPr>
          <w:rFonts w:hint="eastAsia" w:ascii="宋体" w:hAnsi="宋体" w:cs="宋体"/>
          <w:b/>
          <w:sz w:val="24"/>
        </w:rPr>
        <w:t xml:space="preserve">投标文件的符合性审查</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
    </w:p>
    <w:p>
      <w:pPr>
        <w:numPr>
          <w:ilvl w:val="1"/>
          <w:numId w:val="7"/>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24" w:name="_Toc520356167"/>
      <w:r/>
      <w:r/>
    </w:p>
    <w:p>
      <w:pPr>
        <w:numPr>
          <w:ilvl w:val="1"/>
          <w:numId w:val="7"/>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24"/>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Style w:val="13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投标函、法定代表人资格证明书、</w:t>
            </w:r>
            <w:r>
              <w:rPr>
                <w:rFonts w:hint="eastAsia" w:ascii="宋体" w:hAnsi="宋体" w:cs="宋体"/>
                <w:color w:val="000000"/>
                <w:sz w:val="24"/>
                <w:highlight w:val="none"/>
              </w:rPr>
              <w:t xml:space="preserve">授权委托书（如有）</w:t>
            </w:r>
            <w:r>
              <w:rPr>
                <w:rFonts w:hint="eastAsia" w:ascii="宋体" w:hAnsi="宋体" w:cs="宋体"/>
                <w:sz w:val="24"/>
                <w:highlight w:val="none"/>
              </w:rPr>
              <w:t xml:space="preserve">和政府采购供应商信用承诺书</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按招标文件要求提供投标函、法定代表人资格证明书、</w:t>
            </w:r>
            <w:r>
              <w:rPr>
                <w:rFonts w:hint="eastAsia" w:ascii="宋体" w:hAnsi="宋体" w:cs="宋体"/>
                <w:color w:val="000000"/>
                <w:sz w:val="24"/>
              </w:rPr>
              <w:t xml:space="preserve">授权委托书（如有）</w:t>
            </w:r>
            <w:r>
              <w:rPr>
                <w:rFonts w:hint="eastAsia" w:ascii="宋体" w:hAnsi="宋体" w:cs="宋体"/>
                <w:sz w:val="24"/>
              </w:rPr>
              <w:t xml:space="preserve">和政府采购供应商信用承诺书；格式见《投标文件格式》</w:t>
            </w:r>
            <w:r/>
          </w:p>
        </w:tc>
      </w:tr>
      <w:tr>
        <w:trPr>
          <w:jc w:val="center"/>
          <w:trHeight w:val="686"/>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投标完整性</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未将一个采购包中的内容拆开投标</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投标报价</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投标报价未超过招标文件中规定的项目/采购包预算金额或者项目/采购包最高限价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投标文件未出现可选择性或可调整的报价（招标文件另有规定的除外）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投标有效期</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标记为“实质性格式”的文件均按招标文件要求提供；格式见《投标文件格式》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★号条款响应</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投标文件满足招标文件第五章《采购需求》中★号条款要求的；格式见《投标文件格式》</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分包承担主体资质（如有）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分包意向协议</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报价合理性</w:t>
            </w:r>
            <w:r/>
          </w:p>
        </w:tc>
        <w:tc>
          <w:tcPr>
            <w:tcW w:w="36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根据《财政部关于推动解决政府采购异常低价问题的通知》财库【2026】2号文件之规定：</w:t>
            </w:r>
            <w:r/>
          </w:p>
          <w:p>
            <w:pPr>
              <w:pStyle w:val="1502"/>
              <w:spacing w:before="0" w:beforeAutospacing="0" w:after="0" w:afterAutospacing="0"/>
              <w:widowControl/>
              <w:rPr>
                <w:rFonts w:ascii="微软雅黑" w:hAnsi="微软雅黑" w:eastAsia="微软雅黑" w:cs="微软雅黑"/>
                <w:color w:val="000000"/>
                <w:szCs w:val="24"/>
              </w:rPr>
            </w:pPr>
            <w:r>
              <w:rPr>
                <w:rFonts w:hint="eastAsia" w:ascii="宋体" w:hAnsi="宋体" w:cs="宋体"/>
                <w:color w:val="000000"/>
                <w:szCs w:val="24"/>
              </w:rPr>
              <w:t xml:space="preserve">采购人应当在采购文件中明确，政府采购评审中出现下列情形之一的，评审委员会应当启动异常低价投标（响应）审查程序：</w:t>
            </w:r>
            <w:r/>
          </w:p>
          <w:p>
            <w:pPr>
              <w:pStyle w:val="1502"/>
              <w:spacing w:before="0" w:beforeAutospacing="0" w:after="0" w:afterAutospacing="0"/>
              <w:widowControl/>
              <w:rPr>
                <w:rFonts w:hint="eastAsia" w:ascii="微软雅黑" w:hAnsi="微软雅黑" w:eastAsia="微软雅黑" w:cs="微软雅黑"/>
                <w:color w:val="000000"/>
                <w:szCs w:val="24"/>
              </w:rPr>
            </w:pPr>
            <w:r>
              <w:rPr>
                <w:rFonts w:hint="eastAsia" w:ascii="宋体" w:hAnsi="宋体" w:cs="宋体"/>
                <w:color w:val="000000"/>
                <w:szCs w:val="24"/>
              </w:rPr>
              <w:t xml:space="preserve">1.投标（响应）报价低于全部通过符合性审查供应商投标（响应）报价平均值50%的，即投标（响应）报价&lt;全部通过符合性审查供应商投标（响应）报价平均值×50%；</w:t>
            </w:r>
            <w:r/>
          </w:p>
          <w:p>
            <w:pPr>
              <w:pStyle w:val="1502"/>
              <w:spacing w:before="0" w:beforeAutospacing="0" w:after="0" w:afterAutospacing="0"/>
              <w:widowControl/>
              <w:rPr>
                <w:rFonts w:hint="eastAsia" w:ascii="微软雅黑" w:hAnsi="微软雅黑" w:eastAsia="微软雅黑" w:cs="微软雅黑"/>
                <w:color w:val="000000"/>
                <w:szCs w:val="24"/>
              </w:rPr>
            </w:pPr>
            <w:r>
              <w:rPr>
                <w:rFonts w:hint="eastAsia" w:ascii="宋体" w:hAnsi="宋体" w:cs="宋体"/>
                <w:color w:val="000000"/>
                <w:szCs w:val="24"/>
              </w:rPr>
              <w:t xml:space="preserve">2.投标（响应）报价低于通过符合性审查的次低报价供应商投标（响应）报价50%的，即投标（响应）报价&lt;通过符合性审查的次低报价供应商投标（响应）报价×50%；</w:t>
            </w:r>
            <w:r/>
          </w:p>
          <w:p>
            <w:pPr>
              <w:pStyle w:val="1502"/>
              <w:spacing w:before="0" w:beforeAutospacing="0" w:after="0" w:afterAutospacing="0"/>
              <w:widowControl/>
              <w:rPr>
                <w:rFonts w:hint="eastAsia" w:ascii="微软雅黑" w:hAnsi="微软雅黑" w:eastAsia="微软雅黑" w:cs="微软雅黑"/>
                <w:color w:val="000000"/>
                <w:szCs w:val="24"/>
              </w:rPr>
            </w:pPr>
            <w:r>
              <w:rPr>
                <w:rFonts w:hint="eastAsia" w:ascii="宋体" w:hAnsi="宋体" w:cs="宋体"/>
                <w:color w:val="000000"/>
                <w:szCs w:val="24"/>
              </w:rPr>
              <w:t xml:space="preserve">3.投标（响应）报价低于采购项目最高限价45%的，即投标（响应）报价&lt;采购项目最高限价×45%；</w:t>
            </w:r>
            <w:r/>
          </w:p>
          <w:p>
            <w:pPr>
              <w:pStyle w:val="1502"/>
              <w:spacing w:before="0" w:beforeAutospacing="0" w:after="0" w:afterAutospacing="0"/>
              <w:widowControl/>
              <w:rPr>
                <w:rFonts w:hint="eastAsia" w:ascii="宋体" w:hAnsi="宋体" w:cs="宋体"/>
                <w:color w:val="000000"/>
                <w:szCs w:val="24"/>
              </w:rPr>
            </w:pPr>
            <w:r>
              <w:rPr>
                <w:rFonts w:hint="eastAsia" w:ascii="宋体" w:hAnsi="宋体" w:cs="宋体"/>
                <w:color w:val="000000"/>
                <w:szCs w:val="24"/>
              </w:rPr>
              <w:t xml:space="preserve">4.评审委员会基于专业判断，认为供应商报价过低，有可能影响产品质量或者不能诚信履约的其他情形。</w:t>
            </w:r>
            <w:r/>
          </w:p>
          <w:p>
            <w:pPr>
              <w:pStyle w:val="1502"/>
              <w:spacing w:before="0" w:beforeAutospacing="0" w:after="0" w:afterAutospacing="0"/>
              <w:widowControl/>
              <w:rPr>
                <w:rFonts w:ascii="微软雅黑" w:hAnsi="微软雅黑" w:eastAsia="微软雅黑" w:cs="微软雅黑"/>
                <w:color w:val="000000"/>
                <w:szCs w:val="24"/>
              </w:rPr>
            </w:pPr>
            <w:r>
              <w:rPr>
                <w:rFonts w:hint="eastAsia" w:ascii="宋体" w:hAnsi="宋体" w:cs="宋体"/>
                <w:color w:val="000000"/>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cs="宋体"/>
                <w:sz w:val="24"/>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进口产品</w:t>
            </w:r>
            <w:r/>
          </w:p>
          <w:p>
            <w:pPr>
              <w:jc w:val="left"/>
              <w:widowControl/>
              <w:rPr>
                <w:rFonts w:hint="eastAsia" w:ascii="宋体" w:hAnsi="宋体" w:cs="宋体"/>
                <w:sz w:val="24"/>
                <w:highlight w:val="none"/>
              </w:rPr>
            </w:pPr>
            <w:r>
              <w:rPr>
                <w:rFonts w:hint="eastAsia" w:ascii="宋体" w:hAnsi="宋体" w:cs="宋体"/>
                <w:sz w:val="24"/>
                <w:highlight w:val="none"/>
              </w:rPr>
              <w:t xml:space="preserve">（如有）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国家有关部门对投标人的投标产品有强制性规定或要求的</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串通投标</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jc w:val="left"/>
              <w:widowControl/>
              <w:rPr>
                <w:rFonts w:hint="eastAsia" w:ascii="宋体" w:hAnsi="宋体" w:cs="宋体"/>
                <w:sz w:val="24"/>
              </w:rPr>
            </w:pPr>
            <w:r>
              <w:rPr>
                <w:rFonts w:hint="eastAsia" w:ascii="宋体" w:hAnsi="宋体" w:cs="宋体"/>
                <w:sz w:val="24"/>
              </w:rPr>
              <w:t xml:space="preserve">（五）不同投标人的投标文件相互混装；</w:t>
            </w:r>
            <w:r/>
          </w:p>
          <w:p>
            <w:pPr>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36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p>
        </w:tc>
      </w:tr>
    </w:tbl>
    <w:p>
      <w:pPr>
        <w:numPr>
          <w:ilvl w:val="0"/>
          <w:numId w:val="8"/>
        </w:numPr>
        <w:spacing w:line="360" w:lineRule="auto"/>
        <w:tabs>
          <w:tab w:val="left" w:pos="1080" w:leader="none"/>
          <w:tab w:val="left" w:pos="1589" w:leader="none"/>
        </w:tabs>
        <w:rPr>
          <w:rFonts w:hint="eastAsia" w:ascii="宋体" w:hAnsi="宋体" w:cs="宋体"/>
          <w:sz w:val="24"/>
        </w:rPr>
        <w:sectPr>
          <w:headerReference w:type="even" r:id="rId13"/>
          <w:headerReference w:type="first" r:id="rId14"/>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7"/>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7"/>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numPr>
          <w:ilvl w:val="2"/>
          <w:numId w:val="7"/>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22"/>
      <w:r/>
      <w:bookmarkEnd w:id="723"/>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评标方法和评标标准</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2"/>
          <w:numId w:val="7"/>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25" w:name="_Toc164608660"/>
      <w:r/>
      <w:bookmarkStart w:id="726" w:name="_Toc127161460"/>
      <w:r/>
      <w:bookmarkStart w:id="727" w:name="_Toc164608815"/>
      <w:r/>
      <w:bookmarkStart w:id="728" w:name="_Toc305158814"/>
      <w:r/>
      <w:bookmarkStart w:id="729" w:name="_Toc195842911"/>
      <w:r/>
      <w:bookmarkStart w:id="730" w:name="_Toc142311048"/>
      <w:r/>
      <w:bookmarkStart w:id="731" w:name="_Toc265228384"/>
      <w:r/>
      <w:bookmarkStart w:id="732" w:name="_Toc305158888"/>
      <w:r/>
      <w:bookmarkStart w:id="733" w:name="_Ref467307010"/>
      <w:r/>
      <w:bookmarkStart w:id="734" w:name="_Toc149720839"/>
      <w:r/>
      <w:bookmarkStart w:id="735" w:name="_Toc226965736"/>
      <w:r/>
      <w:bookmarkStart w:id="736" w:name="_Toc164351640"/>
      <w:r/>
      <w:bookmarkStart w:id="737" w:name="_Toc164229387"/>
      <w:r/>
      <w:bookmarkStart w:id="738" w:name="_Toc226337242"/>
      <w:r/>
      <w:bookmarkStart w:id="739" w:name="_Toc151193860"/>
      <w:r/>
      <w:bookmarkStart w:id="740" w:name="_Toc226309790"/>
      <w:r/>
      <w:bookmarkStart w:id="741" w:name="_Toc151193934"/>
      <w:r/>
      <w:bookmarkStart w:id="742" w:name="_Toc264969236"/>
      <w:r/>
      <w:bookmarkStart w:id="743" w:name="_Toc150774646"/>
      <w:r/>
      <w:bookmarkStart w:id="744" w:name="_Toc226965819"/>
      <w:r/>
      <w:bookmarkStart w:id="745" w:name="_Toc151193716"/>
      <w:r/>
      <w:bookmarkStart w:id="746" w:name="_Toc164229241"/>
      <w:r/>
      <w:bookmarkStart w:id="747" w:name="_Toc150509297"/>
      <w:r/>
      <w:bookmarkStart w:id="748" w:name="_Toc127151747"/>
      <w:r/>
      <w:bookmarkStart w:id="749" w:name="_Toc127151546"/>
      <w:r/>
      <w:bookmarkStart w:id="750" w:name="_Toc520356170"/>
      <w:r/>
      <w:bookmarkStart w:id="751" w:name="_Toc151193644"/>
      <w:r/>
      <w:bookmarkStart w:id="752" w:name="_Toc150774751"/>
      <w:r/>
      <w:bookmarkStart w:id="753" w:name="_Toc151193788"/>
      <w:r/>
      <w:bookmarkStart w:id="754" w:name="_Toc150480784"/>
      <w:r/>
      <w:bookmarkStart w:id="755" w:name="_Toc151190173"/>
      <w:r>
        <w:rPr>
          <w:rFonts w:hint="eastAsia" w:ascii="宋体" w:hAnsi="宋体" w:cs="宋体"/>
          <w:b/>
          <w:sz w:val="24"/>
        </w:rPr>
        <w:t xml:space="preserve">中标候选人名单</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50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50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第一的投标人为中标候选人。评分分值计算保留小数点后两位，第三位四舍五入。</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7"/>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7"/>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br w:type="page" w:clear="all"/>
      </w:r>
      <w:r/>
    </w:p>
    <w:p>
      <w:pPr>
        <w:numPr>
          <w:ilvl w:val="0"/>
          <w:numId w:val="9"/>
        </w:numPr>
        <w:jc w:val="center"/>
        <w:spacing w:line="360" w:lineRule="auto"/>
        <w:tabs>
          <w:tab w:val="left" w:pos="360" w:leader="none"/>
          <w:tab w:val="left" w:pos="900" w:leader="none"/>
        </w:tabs>
        <w:rPr>
          <w:b/>
          <w:sz w:val="24"/>
        </w:rPr>
        <w:outlineLvl w:val="1"/>
      </w:pPr>
      <w:r>
        <w:rPr>
          <w:b/>
          <w:sz w:val="24"/>
        </w:rPr>
        <w:t xml:space="preserve">评标标准</w:t>
      </w:r>
      <w:r/>
    </w:p>
    <w:p>
      <w:pPr>
        <w:spacing w:line="360" w:lineRule="auto"/>
        <w:tabs>
          <w:tab w:val="left" w:pos="360" w:leader="none"/>
          <w:tab w:val="left" w:pos="900" w:leader="none"/>
        </w:tabs>
        <w:rPr>
          <w:b/>
          <w:sz w:val="24"/>
        </w:rPr>
        <w:outlineLvl w:val="1"/>
      </w:pPr>
      <w:r>
        <w:rPr>
          <w:b/>
          <w:sz w:val="24"/>
        </w:rPr>
      </w:r>
      <w:r/>
    </w:p>
    <w:tbl>
      <w:tblPr>
        <w:tblStyle w:val="1313"/>
        <w:tblW w:w="5049" w:type="pct"/>
        <w:tblInd w:w="-203" w:type="dxa"/>
        <w:tblLayout w:type="fixed"/>
        <w:tblCellMar>
          <w:left w:w="108" w:type="dxa"/>
          <w:top w:w="0" w:type="dxa"/>
          <w:right w:w="108" w:type="dxa"/>
          <w:bottom w:w="0" w:type="dxa"/>
        </w:tblCellMar>
        <w:tblLook w:val="04A0" w:firstRow="1" w:lastRow="0" w:firstColumn="1" w:lastColumn="0" w:noHBand="0" w:noVBand="1"/>
      </w:tblPr>
      <w:tblGrid>
        <w:gridCol w:w="589"/>
        <w:gridCol w:w="5949"/>
        <w:gridCol w:w="992"/>
        <w:gridCol w:w="2978"/>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0"/>
                <w:szCs w:val="20"/>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center"/>
              <w:widowControl/>
              <w:rPr>
                <w:rFonts w:ascii="宋体" w:hAnsi="宋体" w:cs="宋体"/>
                <w:sz w:val="24"/>
                <w:szCs w:val="24"/>
              </w:rPr>
            </w:pPr>
            <w:r>
              <w:rPr>
                <w:rFonts w:hint="eastAsia" w:ascii="宋体" w:hAnsi="宋体" w:cs="宋体"/>
                <w:b/>
                <w:bCs/>
                <w:sz w:val="20"/>
                <w:szCs w:val="20"/>
              </w:rPr>
              <w:t xml:space="preserve">评审材料</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eastAsia="等线" w:cs="宋体"/>
                <w:b/>
                <w:bCs/>
                <w:sz w:val="20"/>
                <w:szCs w:val="20"/>
              </w:rPr>
            </w:pPr>
            <w:r>
              <w:rPr>
                <w:rFonts w:hint="eastAsia" w:ascii="宋体" w:hAnsi="宋体" w:cs="宋体"/>
                <w:b/>
                <w:bCs/>
                <w:sz w:val="20"/>
                <w:szCs w:val="20"/>
              </w:rPr>
              <w:t xml:space="preserve">价格分（10分）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spacing w:line="320" w:lineRule="exact"/>
              <w:rPr>
                <w:rFonts w:hint="eastAsia" w:ascii="宋体" w:hAnsi="宋体" w:cs="宋体"/>
                <w:sz w:val="18"/>
                <w:szCs w:val="18"/>
              </w:rPr>
            </w:pPr>
            <w:r>
              <w:rPr>
                <w:rFonts w:hint="eastAsia" w:ascii="宋体" w:hAnsi="宋体" w:cs="宋体"/>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精确到小数点后两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投标人提供报价函</w:t>
            </w:r>
            <w:r/>
          </w:p>
        </w:tc>
      </w:tr>
      <w:tr>
        <w:trPr>
          <w:trHeight w:val="4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主观分（35分）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承保服务方案制定：</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投标人结合采购需求，制定承保方案，内容包括但不限于：1.依法合规核保；2.准确及时出单；3.投保服务便捷、高效等内容。</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方案符合采购需求、设计合理、可操作性强的，得8分；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方案较符合采购需求、设计较合理、有一定可操作性的，得6分；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方案与采购需求有差异、设计不尽合理、可操作性一般的，得4分；</w:t>
            </w:r>
            <w:r/>
          </w:p>
          <w:p>
            <w:pPr>
              <w:ind w:firstLine="360"/>
              <w:jc w:val="left"/>
              <w:widowControl/>
              <w:rPr>
                <w:rFonts w:hint="eastAsia"/>
                <w:sz w:val="18"/>
                <w:szCs w:val="18"/>
              </w:rPr>
            </w:pPr>
            <w:r>
              <w:rPr>
                <w:rFonts w:hint="eastAsia" w:ascii="宋体" w:hAnsi="宋体" w:cs="宋体"/>
                <w:color w:val="000000"/>
                <w:sz w:val="18"/>
                <w:szCs w:val="18"/>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理赔服务方案制定：</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内容包括但不限于：1.理赔服务流程；2.限时支付承诺；3.持续完善的措施等内容。</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方案符合采购需求、设计合理、可操作性强的，得8分；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方案较符合采购需求、设计较合理、有一定可操作性的，得6分；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方案与采购需求有差异、设计不尽合理、可操作性一般的，得4分；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服务保障方案制定：</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根据本项目服务范围广、人员多等特点，具体阐述以下内容：1.投诉制度；2.回访制度；3.培训服务；4.项目宣传服务；5.专属服务能力、专属服务经验。</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方案符合采购需求、设计合理、可操作性强的，得8分；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方案较符合采购需求、设计较合理、有一定可操作性的，得6分；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方案与采购需求有差异、设计不尽合理、可操作性一般的，得4分；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服务团队方案制定：</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投标人结合本项目采购需求组建日常服务团队，包括承保环节负责人及理赔环节负责人；成员项目经验，服务团队职责明晰；提供投诉监督方式；利用经营网点配合团队提供服务等内容。</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方案符合采购需求、团队建设合理、可操作性强的，得8分；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方案较符合采购需求、团队建设较合理、有一定可操作性的得6分；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方案与采购需求有差异、团队建设不尽合理、可操作性一般的，得4分；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方案不符合采购需求、团队建设不合理、无操作性的不得分。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投标人提供相关方案</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诚信履约：</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根据《常州市政府采购供应商信用管理暂行办法》（常财规〔2017〕6号）第5条“供应商在参与政府采购活动中有下列情形之一的，属于失信行为：第（十三）拒绝履行合同义务的；第（十四）未按合同规定履行合同义务，造成不良后果的”及相关失信记录、惩戒规定，投标人结合本保险项目采购需求，对诚信履约进行阐述， 包括投诉处理办法、服务监督措施、赔款滞纳处理方式、争议处理及处罚措施等。</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方案符合采购需求、设计合理、可操作性强的，得3分；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方案较符合采购需求、设计较合理、有一定可操作性的，得2分；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方案不符合采购需求、设计不合理、无操作性的不得分。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firstLine="180"/>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投标人提供相关方案</w:t>
            </w:r>
            <w:r/>
          </w:p>
        </w:tc>
      </w:tr>
      <w:tr>
        <w:trPr>
          <w:trHeight w:val="41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08" w:type="dxa"/>
            <w:vAlign w:val="center"/>
            <w:textDirection w:val="lrTb"/>
            <w:noWrap w:val="false"/>
          </w:tcPr>
          <w:p>
            <w:pPr>
              <w:jc w:val="left"/>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客观分（55分）</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总公司综合偿付能力：</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根据2025年度第三季度各投标人总公司综合偿付能力充足率进行评分：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综合偿付能力充足率≥240%，得9分；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240%＞综合偿付能力充足率≥210%，得6分；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210%＞综合偿付能力充足率≥180%，得3分；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180%＞综合偿付能力充足率的不得分。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投标人提供中国保险行业协会官网信息披露栏中2025年第三季度偿付能力报告摘要扫描件或复印件</w:t>
            </w:r>
            <w:r>
              <w:rPr>
                <w:rFonts w:hint="eastAsia" w:ascii="宋体" w:hAnsi="宋体"/>
                <w:color w:val="000000"/>
                <w:sz w:val="18"/>
                <w:szCs w:val="1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color w:val="000000"/>
                <w:sz w:val="18"/>
                <w:szCs w:val="18"/>
              </w:rPr>
              <w:t xml:space="preserve">投标人提供中国保险行业协会官网信息披露栏中2025年第三季度偿付能力报告摘要扫描件或复印件</w:t>
            </w:r>
            <w:r>
              <w:rPr>
                <w:rFonts w:hint="eastAsia" w:ascii="宋体" w:hAnsi="宋体"/>
                <w:color w:val="000000"/>
                <w:sz w:val="18"/>
                <w:szCs w:val="18"/>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经营服务网络：</w:t>
            </w:r>
            <w:r/>
          </w:p>
          <w:p>
            <w:pPr>
              <w:ind w:firstLine="360"/>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投标人或当地分支机构在本保险</w:t>
            </w:r>
            <w:r>
              <w:rPr>
                <w:rFonts w:hint="eastAsia" w:ascii="宋体" w:hAnsi="宋体" w:cs="宋体"/>
                <w:color w:val="000000"/>
                <w:sz w:val="18"/>
                <w:szCs w:val="18"/>
                <w:highlight w:val="none"/>
                <w:lang w:val="en-US" w:eastAsia="zh-CN"/>
              </w:rPr>
              <w:t xml:space="preserve">项目服务</w:t>
            </w:r>
            <w:r>
              <w:rPr>
                <w:rFonts w:hint="eastAsia" w:ascii="宋体" w:hAnsi="宋体" w:cs="宋体"/>
                <w:color w:val="000000"/>
                <w:sz w:val="18"/>
                <w:szCs w:val="18"/>
                <w:highlight w:val="none"/>
              </w:rPr>
              <w:t xml:space="preserve">区域具有完善的服务网络：（1）有市级分公司或中心支公司，得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分；（2）有区级支公司，得</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分；（市、区级都有的按市级得</w:t>
            </w:r>
            <w:r>
              <w:rPr>
                <w:rFonts w:hint="eastAsia" w:ascii="宋体" w:hAnsi="宋体" w:cs="宋体"/>
                <w:color w:val="000000"/>
                <w:sz w:val="18"/>
                <w:szCs w:val="18"/>
                <w:highlight w:val="none"/>
                <w:lang w:val="en-US" w:eastAsia="zh-CN"/>
              </w:rPr>
              <w:t xml:space="preserve">5</w:t>
            </w:r>
            <w:r>
              <w:rPr>
                <w:rFonts w:hint="eastAsia" w:ascii="宋体" w:hAnsi="宋体" w:cs="宋体"/>
                <w:color w:val="000000"/>
                <w:sz w:val="18"/>
                <w:szCs w:val="18"/>
                <w:highlight w:val="none"/>
              </w:rPr>
              <w:t xml:space="preserve">分，不重复得分）（3）有营业部</w:t>
            </w:r>
            <w:r>
              <w:rPr>
                <w:rFonts w:hint="eastAsia" w:ascii="宋体" w:hAnsi="宋体" w:cs="宋体"/>
                <w:color w:val="000000"/>
                <w:sz w:val="18"/>
                <w:szCs w:val="18"/>
                <w:highlight w:val="none"/>
                <w:lang w:val="en-US" w:eastAsia="zh-CN"/>
              </w:rPr>
              <w:t xml:space="preserve">等</w:t>
            </w:r>
            <w:r>
              <w:rPr>
                <w:rFonts w:hint="eastAsia" w:ascii="宋体" w:hAnsi="宋体" w:cs="宋体"/>
                <w:color w:val="000000"/>
                <w:sz w:val="18"/>
                <w:szCs w:val="18"/>
                <w:highlight w:val="none"/>
              </w:rPr>
              <w:t xml:space="preserve">，每增加一家得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分。本项最多得</w:t>
            </w:r>
            <w:r>
              <w:rPr>
                <w:rFonts w:hint="eastAsia" w:ascii="宋体" w:hAnsi="宋体" w:cs="宋体"/>
                <w:color w:val="000000"/>
                <w:sz w:val="18"/>
                <w:szCs w:val="18"/>
                <w:highlight w:val="none"/>
                <w:lang w:val="en-US" w:eastAsia="zh-CN"/>
              </w:rPr>
              <w:t xml:space="preserve">13</w:t>
            </w:r>
            <w:r>
              <w:rPr>
                <w:rFonts w:hint="eastAsia" w:ascii="宋体" w:hAnsi="宋体" w:cs="宋体"/>
                <w:color w:val="000000"/>
                <w:sz w:val="18"/>
                <w:szCs w:val="18"/>
                <w:highlight w:val="none"/>
              </w:rPr>
              <w:t xml:space="preserve">分。</w:t>
            </w:r>
            <w:r/>
          </w:p>
          <w:p>
            <w:pPr>
              <w:ind w:firstLine="360"/>
              <w:jc w:val="left"/>
              <w:widowControl/>
              <w:rPr>
                <w:rFonts w:hint="eastAsia" w:ascii="宋体" w:hAnsi="宋体" w:cs="宋体"/>
                <w:sz w:val="18"/>
                <w:szCs w:val="18"/>
              </w:rPr>
            </w:pPr>
            <w:r>
              <w:rPr>
                <w:rFonts w:hint="eastAsia" w:ascii="宋体" w:hAnsi="宋体" w:cs="宋体"/>
                <w:color w:val="000000"/>
                <w:sz w:val="18"/>
                <w:szCs w:val="18"/>
              </w:rPr>
              <w:t xml:space="preserve">投标人提供保险业务经营许可证、营业执照副本复印件并加盖投标人公章，未提供或提供的内容不能反映上述要求，本项不得分。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eastAsia="宋体" w:cs="宋体"/>
                <w:sz w:val="18"/>
                <w:szCs w:val="18"/>
                <w:lang w:val="en-US" w:eastAsia="zh-CN"/>
              </w:rPr>
            </w:pPr>
            <w:r>
              <w:rPr>
                <w:rFonts w:hint="eastAsia" w:ascii="宋体" w:hAnsi="宋体" w:cs="宋体"/>
                <w:sz w:val="18"/>
                <w:szCs w:val="18"/>
                <w:highlight w:val="none"/>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投标人提供保险业务经营许可证、营业执照副本复印件</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基层专业服务人员：</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投标人或当地分支机构服务于本保险区域的专岗专业人员数量达3人，得3分，不达3人不得分，每增加1人，加1分。本项最多得</w:t>
            </w:r>
            <w:r>
              <w:rPr>
                <w:rFonts w:hint="eastAsia" w:ascii="宋体" w:hAnsi="宋体" w:cs="宋体"/>
                <w:color w:val="000000"/>
                <w:sz w:val="18"/>
                <w:szCs w:val="18"/>
                <w:lang w:val="en-US" w:eastAsia="zh-CN"/>
              </w:rPr>
              <w:t xml:space="preserve">5</w:t>
            </w:r>
            <w:r>
              <w:rPr>
                <w:rFonts w:hint="eastAsia" w:ascii="宋体" w:hAnsi="宋体" w:cs="宋体"/>
                <w:color w:val="000000"/>
                <w:sz w:val="18"/>
                <w:szCs w:val="18"/>
              </w:rPr>
              <w:t xml:space="preserve">分。</w:t>
            </w:r>
            <w:r/>
          </w:p>
          <w:p>
            <w:pPr>
              <w:ind w:firstLine="360"/>
              <w:jc w:val="left"/>
              <w:widowControl/>
              <w:rPr>
                <w:rFonts w:hint="eastAsia" w:ascii="宋体" w:hAnsi="宋体" w:cs="宋体"/>
                <w:sz w:val="18"/>
                <w:szCs w:val="18"/>
              </w:rPr>
            </w:pPr>
            <w:r>
              <w:rPr>
                <w:rFonts w:hint="eastAsia" w:ascii="宋体" w:hAnsi="宋体" w:cs="宋体"/>
                <w:color w:val="000000"/>
                <w:sz w:val="18"/>
                <w:szCs w:val="18"/>
              </w:rPr>
              <w:t xml:space="preserve">投标人提供人员依法缴纳近6个月的社会保险保障证明并加盖投标人公章，未提供或提供的内容不能反映上述要求，本项不得分。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rPr>
            </w:pPr>
            <w:r>
              <w:rPr>
                <w:rFonts w:hint="eastAsia" w:ascii="宋体" w:hAnsi="宋体" w:cs="宋体"/>
                <w:color w:val="000000"/>
                <w:sz w:val="18"/>
                <w:szCs w:val="18"/>
              </w:rPr>
              <w:t xml:space="preserve">投标人提供人员依法缴纳近6个月的社会保险保障证明并加盖投标人公章</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服务设备：</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投标人具有服务于本保险区域的车辆，投标人配备2辆（含）查勘车的得3分，2辆以下不得分，每多1辆加1分，最多得</w:t>
            </w:r>
            <w:r>
              <w:rPr>
                <w:rFonts w:hint="eastAsia" w:ascii="宋体" w:hAnsi="宋体" w:cs="宋体"/>
                <w:color w:val="000000"/>
                <w:sz w:val="18"/>
                <w:szCs w:val="18"/>
                <w:lang w:val="en-US" w:eastAsia="zh-CN"/>
              </w:rPr>
              <w:t xml:space="preserve">4</w:t>
            </w:r>
            <w:r>
              <w:rPr>
                <w:rFonts w:hint="eastAsia" w:ascii="宋体" w:hAnsi="宋体" w:cs="宋体"/>
                <w:color w:val="000000"/>
                <w:sz w:val="18"/>
                <w:szCs w:val="18"/>
              </w:rPr>
              <w:t xml:space="preserve">分。</w:t>
            </w:r>
            <w:r/>
          </w:p>
          <w:p>
            <w:pPr>
              <w:ind w:firstLine="360"/>
              <w:jc w:val="left"/>
              <w:widowControl/>
              <w:rPr>
                <w:rFonts w:hint="eastAsia" w:ascii="宋体" w:hAnsi="宋体" w:cs="宋体"/>
                <w:sz w:val="18"/>
                <w:szCs w:val="18"/>
              </w:rPr>
            </w:pPr>
            <w:r>
              <w:rPr>
                <w:rFonts w:hint="eastAsia" w:ascii="宋体" w:hAnsi="宋体" w:cs="宋体"/>
                <w:color w:val="000000"/>
                <w:sz w:val="18"/>
                <w:szCs w:val="18"/>
              </w:rPr>
              <w:t xml:space="preserve">投标人提供投入本项目车辆的照片及行驶证复印件并加盖投标人公章，车辆持有人须为投标人或当地分支机构，未提供或提供的内容不能反映上述要求，本项不得分。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color w:val="000000"/>
                <w:sz w:val="18"/>
                <w:szCs w:val="18"/>
              </w:rPr>
            </w:pPr>
            <w:r>
              <w:rPr>
                <w:rFonts w:hint="eastAsia" w:ascii="宋体" w:hAnsi="宋体" w:cs="宋体"/>
                <w:color w:val="000000"/>
                <w:sz w:val="18"/>
                <w:szCs w:val="18"/>
              </w:rPr>
              <w:t xml:space="preserve">投标人提供投入本项目车辆的照片及行驶证复印件并加盖投标人公章，车辆持有人须为投标人或当地分支机构。</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投标人或其当地分支机构2023年</w:t>
            </w:r>
            <w:r>
              <w:rPr>
                <w:rFonts w:hint="eastAsia" w:ascii="宋体" w:hAnsi="宋体" w:cs="宋体"/>
                <w:color w:val="000000"/>
                <w:sz w:val="18"/>
                <w:szCs w:val="18"/>
                <w:lang w:val="en-US" w:eastAsia="zh-CN"/>
              </w:rPr>
              <w:t xml:space="preserve">1月1日起</w:t>
            </w:r>
            <w:r>
              <w:rPr>
                <w:rFonts w:hint="eastAsia" w:ascii="宋体" w:hAnsi="宋体" w:cs="宋体"/>
                <w:color w:val="000000"/>
                <w:sz w:val="18"/>
                <w:szCs w:val="18"/>
              </w:rPr>
              <w:t xml:space="preserve">至今有类似险种的承保经验：</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区级及区级以上当地政府购买的民生类家庭财产保险，每有一项得3分，最高得9分；</w:t>
            </w:r>
            <w:r/>
          </w:p>
          <w:p>
            <w:pPr>
              <w:ind w:firstLine="360"/>
              <w:jc w:val="left"/>
              <w:widowControl/>
              <w:rPr>
                <w:rFonts w:hint="eastAsia" w:ascii="宋体" w:hAnsi="宋体" w:cs="宋体"/>
                <w:color w:val="000000"/>
                <w:sz w:val="18"/>
                <w:szCs w:val="18"/>
              </w:rPr>
            </w:pPr>
            <w:r>
              <w:rPr>
                <w:rFonts w:hint="eastAsia" w:ascii="宋体" w:hAnsi="宋体" w:cs="宋体"/>
                <w:color w:val="000000"/>
                <w:sz w:val="18"/>
                <w:szCs w:val="18"/>
              </w:rPr>
              <w:t xml:space="preserve">财产综合险每有一项得1分，最高得3分。</w:t>
            </w:r>
            <w:r/>
          </w:p>
          <w:p>
            <w:pPr>
              <w:ind w:firstLine="360"/>
              <w:jc w:val="left"/>
              <w:widowControl/>
              <w:rPr>
                <w:rFonts w:hint="eastAsia" w:ascii="宋体" w:hAnsi="宋体" w:cs="宋体"/>
                <w:sz w:val="18"/>
                <w:szCs w:val="18"/>
              </w:rPr>
            </w:pPr>
            <w:r>
              <w:rPr>
                <w:rFonts w:hint="eastAsia" w:ascii="宋体" w:hAnsi="宋体" w:cs="宋体"/>
                <w:color w:val="000000"/>
                <w:sz w:val="18"/>
                <w:szCs w:val="18"/>
              </w:rPr>
              <w:t xml:space="preserve">提供2023年</w:t>
            </w:r>
            <w:r>
              <w:rPr>
                <w:rFonts w:hint="eastAsia" w:ascii="宋体" w:hAnsi="宋体" w:cs="宋体"/>
                <w:color w:val="000000"/>
                <w:sz w:val="18"/>
                <w:szCs w:val="18"/>
                <w:lang w:val="en-US" w:eastAsia="zh-CN"/>
              </w:rPr>
              <w:t xml:space="preserve">1月1日起</w:t>
            </w:r>
            <w:r>
              <w:rPr>
                <w:rFonts w:hint="eastAsia" w:ascii="宋体" w:hAnsi="宋体" w:cs="宋体"/>
                <w:color w:val="000000"/>
                <w:sz w:val="18"/>
                <w:szCs w:val="18"/>
              </w:rPr>
              <w:t xml:space="preserve">至今的保险合同或保险单的复印件。（同一项目不同年度算一个业绩）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ascii="宋体" w:hAnsi="宋体" w:cs="宋体"/>
                <w:sz w:val="18"/>
                <w:szCs w:val="18"/>
              </w:rPr>
            </w:pPr>
            <w:r>
              <w:rPr>
                <w:rFonts w:hint="eastAsia" w:ascii="宋体" w:hAnsi="宋体" w:cs="宋体"/>
                <w:sz w:val="18"/>
                <w:szCs w:val="18"/>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color w:val="000000"/>
                <w:sz w:val="18"/>
                <w:szCs w:val="18"/>
              </w:rPr>
              <w:t xml:space="preserve">提供2023年</w:t>
            </w:r>
            <w:r>
              <w:rPr>
                <w:rFonts w:hint="eastAsia" w:ascii="宋体" w:hAnsi="宋体" w:cs="宋体"/>
                <w:color w:val="000000"/>
                <w:sz w:val="18"/>
                <w:szCs w:val="18"/>
                <w:lang w:val="en-US" w:eastAsia="zh-CN"/>
              </w:rPr>
              <w:t xml:space="preserve">1月1日起</w:t>
            </w:r>
            <w:r>
              <w:rPr>
                <w:rFonts w:hint="eastAsia" w:ascii="宋体" w:hAnsi="宋体" w:cs="宋体"/>
                <w:color w:val="000000"/>
                <w:sz w:val="18"/>
                <w:szCs w:val="18"/>
              </w:rPr>
              <w:t xml:space="preserve">至今的保险合同或保险单的复印件。同一项目不同年度算一个业绩</w:t>
            </w:r>
            <w:r/>
          </w:p>
        </w:tc>
      </w:tr>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tabs>
                <w:tab w:val="left" w:pos="3577" w:leader="none"/>
              </w:tabs>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投标人或其当地分支机构2023年</w:t>
            </w:r>
            <w:r>
              <w:rPr>
                <w:rFonts w:hint="eastAsia" w:ascii="宋体" w:hAnsi="宋体" w:cs="宋体"/>
                <w:color w:val="000000"/>
                <w:sz w:val="18"/>
                <w:szCs w:val="18"/>
                <w:highlight w:val="none"/>
                <w:lang w:val="en-US" w:eastAsia="zh-CN"/>
              </w:rPr>
              <w:t xml:space="preserve">1月1日</w:t>
            </w:r>
            <w:r>
              <w:rPr>
                <w:rFonts w:hint="eastAsia" w:ascii="宋体" w:hAnsi="宋体" w:cs="宋体"/>
                <w:color w:val="000000"/>
                <w:sz w:val="18"/>
                <w:szCs w:val="18"/>
                <w:highlight w:val="none"/>
              </w:rPr>
              <w:t xml:space="preserve">以来受到市级及以上政府表彰或奖励，每有一项得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分，最高</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 w:val="18"/>
                <w:szCs w:val="18"/>
                <w:highlight w:val="none"/>
              </w:rPr>
              <w:t xml:space="preserve">分。</w:t>
            </w:r>
            <w:r>
              <w:tab/>
            </w:r>
            <w:r/>
          </w:p>
          <w:p>
            <w:pPr>
              <w:ind w:firstLine="360"/>
              <w:jc w:val="left"/>
              <w:widowControl/>
              <w:rPr>
                <w:rFonts w:hint="eastAsia" w:ascii="宋体" w:hAnsi="宋体" w:cs="宋体"/>
                <w:sz w:val="18"/>
                <w:szCs w:val="18"/>
              </w:rPr>
            </w:pPr>
            <w:r>
              <w:rPr>
                <w:rFonts w:hint="eastAsia" w:ascii="宋体" w:hAnsi="宋体" w:cs="宋体"/>
                <w:color w:val="000000"/>
                <w:sz w:val="18"/>
                <w:szCs w:val="18"/>
                <w:highlight w:val="none"/>
              </w:rPr>
              <w:t xml:space="preserve">投</w:t>
            </w:r>
            <w:r>
              <w:rPr>
                <w:rFonts w:hint="eastAsia" w:ascii="宋体" w:hAnsi="宋体" w:cs="宋体"/>
                <w:color w:val="000000"/>
                <w:sz w:val="18"/>
                <w:szCs w:val="18"/>
                <w:highlight w:val="none"/>
              </w:rPr>
              <w:t xml:space="preserve">标</w:t>
            </w:r>
            <w:r>
              <w:rPr>
                <w:rFonts w:hint="eastAsia" w:ascii="宋体" w:hAnsi="宋体" w:cs="宋体"/>
                <w:color w:val="000000"/>
                <w:sz w:val="18"/>
                <w:szCs w:val="18"/>
                <w:highlight w:val="none"/>
              </w:rPr>
              <w:t xml:space="preserve">人提供奖励证书或相关证明复印件。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sz w:val="18"/>
                <w:szCs w:val="18"/>
              </w:rPr>
              <w:t xml:space="preserve">提供奖励证书或相关证明复印件</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widowControl/>
              <w:rPr>
                <w:rFonts w:hint="eastAsia" w:ascii="宋体" w:hAnsi="宋体" w:cs="宋体"/>
                <w:sz w:val="18"/>
                <w:szCs w:val="18"/>
                <w:highlight w:val="yellow"/>
              </w:rPr>
            </w:pPr>
            <w:r>
              <w:rPr>
                <w:rFonts w:hint="eastAsia" w:ascii="宋体" w:hAnsi="宋体" w:cs="宋体"/>
                <w:sz w:val="18"/>
                <w:szCs w:val="18"/>
                <w:highlight w:val="yellow"/>
              </w:rPr>
              <w:t xml:space="preserve">服务承诺：</w:t>
            </w:r>
            <w:r/>
          </w:p>
          <w:p>
            <w:pPr>
              <w:jc w:val="left"/>
              <w:widowControl/>
              <w:rPr>
                <w:rFonts w:hint="eastAsia" w:ascii="宋体" w:hAnsi="宋体" w:cs="宋体"/>
                <w:sz w:val="18"/>
                <w:szCs w:val="18"/>
                <w:highlight w:val="yellow"/>
              </w:rPr>
            </w:pPr>
            <w:r>
              <w:rPr>
                <w:rFonts w:hint="eastAsia" w:ascii="宋体" w:hAnsi="宋体" w:cs="宋体"/>
                <w:sz w:val="18"/>
                <w:szCs w:val="18"/>
                <w:highlight w:val="yellow"/>
              </w:rPr>
              <w:t xml:space="preserve">（1）承诺定期向采购人提供本项目理赔明细及汇总数据得</w:t>
            </w:r>
            <w:r>
              <w:rPr>
                <w:rFonts w:hint="eastAsia" w:ascii="宋体" w:hAnsi="宋体" w:cs="宋体"/>
                <w:sz w:val="18"/>
                <w:szCs w:val="18"/>
                <w:highlight w:val="yellow"/>
                <w:lang w:val="en-US" w:eastAsia="zh-CN"/>
              </w:rPr>
              <w:t xml:space="preserve">1</w:t>
            </w:r>
            <w:r>
              <w:rPr>
                <w:rFonts w:hint="eastAsia" w:ascii="宋体" w:hAnsi="宋体" w:cs="宋体"/>
                <w:sz w:val="18"/>
                <w:szCs w:val="18"/>
                <w:highlight w:val="yellow"/>
              </w:rPr>
              <w:t xml:space="preserve">分，不承诺不得分。</w:t>
            </w:r>
            <w:r/>
          </w:p>
          <w:p>
            <w:pPr>
              <w:jc w:val="left"/>
              <w:widowControl/>
              <w:rPr>
                <w:rFonts w:hint="eastAsia" w:ascii="宋体" w:hAnsi="宋体" w:cs="宋体"/>
                <w:sz w:val="18"/>
                <w:szCs w:val="18"/>
                <w:highlight w:val="yellow"/>
              </w:rPr>
            </w:pPr>
            <w:r>
              <w:rPr>
                <w:rFonts w:hint="eastAsia" w:ascii="宋体" w:hAnsi="宋体" w:cs="宋体"/>
                <w:sz w:val="18"/>
                <w:szCs w:val="18"/>
                <w:highlight w:val="yellow"/>
              </w:rPr>
              <w:t xml:space="preserve">（2）承诺接受采购人及采购人委托的第三方对本保险项目的合同履约进行跟踪管理，配合采购人及其委托的第三方进行绩效考评得</w:t>
            </w:r>
            <w:r>
              <w:rPr>
                <w:rFonts w:hint="eastAsia" w:ascii="宋体" w:hAnsi="宋体" w:cs="宋体"/>
                <w:sz w:val="18"/>
                <w:szCs w:val="18"/>
                <w:highlight w:val="yellow"/>
                <w:lang w:val="en-US" w:eastAsia="zh-CN"/>
              </w:rPr>
              <w:t xml:space="preserve">1</w:t>
            </w:r>
            <w:r>
              <w:rPr>
                <w:rFonts w:hint="eastAsia" w:ascii="宋体" w:hAnsi="宋体" w:cs="宋体"/>
                <w:sz w:val="18"/>
                <w:szCs w:val="18"/>
                <w:highlight w:val="yellow"/>
              </w:rPr>
              <w:t xml:space="preserve">分，不承诺不得分。</w:t>
            </w:r>
            <w:r/>
          </w:p>
          <w:p>
            <w:pPr>
              <w:jc w:val="left"/>
              <w:widowControl/>
              <w:rPr>
                <w:highlight w:val="yellow"/>
              </w:rPr>
            </w:pPr>
            <w:r>
              <w:rPr>
                <w:rFonts w:hint="eastAsia" w:ascii="宋体" w:hAnsi="宋体" w:cs="宋体"/>
                <w:sz w:val="18"/>
                <w:szCs w:val="18"/>
                <w:highlight w:val="yellow"/>
              </w:rPr>
              <w:t xml:space="preserve">（3）建立理赔时效规定，承诺在7个工作日内办结保险理赔业务的得</w:t>
            </w:r>
            <w:r>
              <w:rPr>
                <w:rFonts w:hint="eastAsia" w:ascii="宋体" w:hAnsi="宋体" w:cs="宋体"/>
                <w:sz w:val="18"/>
                <w:szCs w:val="18"/>
                <w:highlight w:val="yellow"/>
                <w:lang w:val="en-US" w:eastAsia="zh-CN"/>
              </w:rPr>
              <w:t xml:space="preserve">1</w:t>
            </w:r>
            <w:r>
              <w:rPr>
                <w:rFonts w:hint="eastAsia" w:ascii="宋体" w:hAnsi="宋体" w:cs="宋体"/>
                <w:sz w:val="18"/>
                <w:szCs w:val="18"/>
                <w:highlight w:val="yellow"/>
              </w:rPr>
              <w:t xml:space="preserve">分，不承诺不得分。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18"/>
                <w:szCs w:val="18"/>
                <w:lang w:eastAsia="zh-CN"/>
              </w:rPr>
            </w:pPr>
            <w:r>
              <w:rPr>
                <w:rFonts w:hint="eastAsia" w:ascii="宋体" w:hAnsi="宋体" w:cs="宋体"/>
                <w:sz w:val="18"/>
                <w:szCs w:val="18"/>
                <w:highlight w:val="yellow"/>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hint="eastAsia" w:ascii="宋体" w:hAnsi="宋体" w:cs="宋体"/>
                <w:sz w:val="18"/>
                <w:szCs w:val="18"/>
              </w:rPr>
            </w:pPr>
            <w:r>
              <w:rPr>
                <w:rFonts w:hint="eastAsia" w:ascii="宋体" w:hAnsi="宋体" w:cs="宋体"/>
                <w:color w:val="000000"/>
                <w:sz w:val="18"/>
                <w:szCs w:val="18"/>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default" w:ascii="宋体" w:hAnsi="宋体" w:eastAsia="宋体" w:cs="宋体"/>
                <w:sz w:val="18"/>
                <w:szCs w:val="18"/>
                <w:highlight w:val="yellow"/>
                <w:lang w:val="en-US" w:eastAsia="zh-CN"/>
              </w:rPr>
            </w:pPr>
            <w:r>
              <w:rPr>
                <w:rFonts w:hint="eastAsia" w:ascii="宋体" w:hAnsi="宋体" w:cs="宋体"/>
                <w:sz w:val="18"/>
                <w:szCs w:val="18"/>
                <w:highlight w:val="yellow"/>
                <w:lang w:val="en-US" w:eastAsia="zh-CN"/>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ind w:firstLine="360"/>
              <w:jc w:val="left"/>
              <w:widowControl/>
              <w:rPr>
                <w:rFonts w:hint="eastAsia" w:ascii="宋体" w:hAnsi="宋体" w:cs="宋体"/>
                <w:color w:val="000000"/>
                <w:sz w:val="18"/>
                <w:szCs w:val="18"/>
                <w:highlight w:val="yellow"/>
                <w:lang w:val="en-US" w:eastAsia="zh-CN"/>
              </w:rPr>
            </w:pPr>
            <w:r>
              <w:rPr>
                <w:rFonts w:hint="eastAsia" w:ascii="宋体" w:hAnsi="宋体" w:cs="宋体"/>
                <w:color w:val="000000"/>
                <w:sz w:val="18"/>
                <w:szCs w:val="18"/>
                <w:highlight w:val="yellow"/>
              </w:rPr>
              <w:t xml:space="preserve">因自然灾害及意外事故造成室内装潢损坏赔偿限额</w:t>
            </w:r>
            <w:r>
              <w:rPr>
                <w:rFonts w:hint="eastAsia" w:ascii="宋体" w:hAnsi="宋体" w:cs="宋体"/>
                <w:color w:val="000000"/>
                <w:sz w:val="18"/>
                <w:szCs w:val="18"/>
                <w:highlight w:val="yellow"/>
                <w:lang w:val="en-US" w:eastAsia="zh-CN"/>
              </w:rPr>
              <w:t xml:space="preserve">在</w:t>
            </w:r>
            <w:r>
              <w:rPr>
                <w:rFonts w:hint="eastAsia" w:ascii="宋体" w:hAnsi="宋体" w:cs="宋体"/>
                <w:color w:val="000000"/>
                <w:sz w:val="18"/>
                <w:szCs w:val="18"/>
                <w:highlight w:val="yellow"/>
              </w:rPr>
              <w:t xml:space="preserve">每户每年人民币4万元</w:t>
            </w:r>
            <w:r>
              <w:rPr>
                <w:rFonts w:hint="eastAsia" w:ascii="宋体" w:hAnsi="宋体" w:cs="宋体"/>
                <w:color w:val="000000"/>
                <w:sz w:val="18"/>
                <w:szCs w:val="18"/>
                <w:highlight w:val="yellow"/>
                <w:lang w:val="en-US" w:eastAsia="zh-CN"/>
              </w:rPr>
              <w:t xml:space="preserve">的基础上每增加2万元得0.5分，最高得1分；</w:t>
            </w:r>
            <w:r/>
          </w:p>
          <w:p>
            <w:pPr>
              <w:ind w:firstLine="360"/>
              <w:jc w:val="left"/>
              <w:widowControl/>
              <w:rPr>
                <w:rFonts w:hint="eastAsia" w:ascii="宋体" w:hAnsi="宋体" w:cs="宋体"/>
                <w:color w:val="000000"/>
                <w:sz w:val="18"/>
                <w:szCs w:val="18"/>
                <w:highlight w:val="yellow"/>
                <w:lang w:val="en-US" w:eastAsia="zh-CN"/>
              </w:rPr>
            </w:pPr>
            <w:r>
              <w:rPr>
                <w:rFonts w:hint="default" w:ascii="宋体" w:hAnsi="宋体" w:cs="宋体"/>
                <w:color w:val="000000"/>
                <w:sz w:val="18"/>
                <w:szCs w:val="18"/>
                <w:highlight w:val="yellow"/>
                <w:lang w:val="en-US" w:eastAsia="zh-CN"/>
              </w:rPr>
              <w:t xml:space="preserve">管道破裂及水渍保险赔偿限额</w:t>
            </w:r>
            <w:r>
              <w:rPr>
                <w:rFonts w:hint="eastAsia" w:ascii="宋体" w:hAnsi="宋体" w:cs="宋体"/>
                <w:color w:val="000000"/>
                <w:sz w:val="18"/>
                <w:szCs w:val="18"/>
                <w:highlight w:val="yellow"/>
                <w:lang w:val="en-US" w:eastAsia="zh-CN"/>
              </w:rPr>
              <w:t xml:space="preserve">在</w:t>
            </w:r>
            <w:r>
              <w:rPr>
                <w:rFonts w:hint="eastAsia" w:ascii="宋体" w:hAnsi="宋体" w:cs="宋体"/>
                <w:color w:val="000000"/>
                <w:sz w:val="18"/>
                <w:szCs w:val="18"/>
                <w:highlight w:val="yellow"/>
              </w:rPr>
              <w:t xml:space="preserve">每户每年人民币</w:t>
            </w:r>
            <w:r>
              <w:rPr>
                <w:rFonts w:hint="eastAsia" w:ascii="宋体" w:hAnsi="宋体" w:cs="宋体"/>
                <w:color w:val="000000"/>
                <w:sz w:val="18"/>
                <w:szCs w:val="18"/>
                <w:highlight w:val="yellow"/>
                <w:lang w:val="en-US" w:eastAsia="zh-CN"/>
              </w:rPr>
              <w:t xml:space="preserve">2</w:t>
            </w:r>
            <w:r>
              <w:rPr>
                <w:rFonts w:hint="eastAsia" w:ascii="宋体" w:hAnsi="宋体" w:cs="宋体"/>
                <w:color w:val="000000"/>
                <w:sz w:val="18"/>
                <w:szCs w:val="18"/>
                <w:highlight w:val="yellow"/>
              </w:rPr>
              <w:t xml:space="preserve">万元</w:t>
            </w:r>
            <w:r>
              <w:rPr>
                <w:rFonts w:hint="eastAsia" w:ascii="宋体" w:hAnsi="宋体" w:cs="宋体"/>
                <w:color w:val="000000"/>
                <w:sz w:val="18"/>
                <w:szCs w:val="18"/>
                <w:highlight w:val="yellow"/>
                <w:lang w:val="en-US" w:eastAsia="zh-CN"/>
              </w:rPr>
              <w:t xml:space="preserve">的基础上每增加3万元得1分，最高得2分；</w:t>
            </w:r>
            <w:r/>
          </w:p>
          <w:p>
            <w:pPr>
              <w:ind w:firstLine="360"/>
              <w:jc w:val="left"/>
              <w:widowControl/>
              <w:rPr>
                <w:rFonts w:hint="eastAsia" w:ascii="宋体" w:hAnsi="宋体" w:cs="宋体"/>
                <w:color w:val="000000"/>
                <w:sz w:val="18"/>
                <w:szCs w:val="18"/>
                <w:highlight w:val="yellow"/>
                <w:lang w:val="en-US" w:eastAsia="zh-CN"/>
              </w:rPr>
            </w:pPr>
            <w:r>
              <w:rPr>
                <w:rFonts w:hint="eastAsia" w:ascii="宋体" w:hAnsi="宋体" w:cs="宋体"/>
                <w:color w:val="000000"/>
                <w:sz w:val="18"/>
                <w:szCs w:val="18"/>
                <w:highlight w:val="yellow"/>
                <w:lang w:val="en-US" w:eastAsia="zh-CN"/>
              </w:rPr>
              <w:t xml:space="preserve">家用电器用电安全保险赔偿限额在每户每年人民币2万元的基础上每增加2万元得1分，最高得2分；</w:t>
            </w:r>
            <w:r/>
          </w:p>
          <w:p>
            <w:pPr>
              <w:ind w:firstLine="360"/>
              <w:jc w:val="left"/>
              <w:widowControl/>
              <w:rPr>
                <w:rFonts w:hint="default" w:ascii="宋体" w:hAnsi="宋体" w:cs="宋体"/>
                <w:color w:val="000000"/>
                <w:sz w:val="18"/>
                <w:szCs w:val="18"/>
                <w:highlight w:val="yellow"/>
                <w:lang w:val="en-US" w:eastAsia="zh-CN"/>
              </w:rPr>
            </w:pPr>
            <w:r>
              <w:rPr>
                <w:rFonts w:hint="eastAsia" w:ascii="宋体" w:hAnsi="宋体" w:cs="宋体"/>
                <w:color w:val="000000"/>
                <w:sz w:val="18"/>
                <w:szCs w:val="18"/>
                <w:highlight w:val="yellow"/>
                <w:lang w:val="en-US" w:eastAsia="zh-CN"/>
              </w:rPr>
              <w:t xml:space="preserve">此项最高得5分。</w:t>
            </w:r>
            <w:r/>
          </w:p>
          <w:p>
            <w:pPr>
              <w:jc w:val="left"/>
              <w:widowControl/>
              <w:rPr>
                <w:rFonts w:hint="default" w:ascii="宋体" w:hAnsi="宋体" w:cs="宋体"/>
                <w:color w:val="000000"/>
                <w:sz w:val="18"/>
                <w:szCs w:val="18"/>
                <w:highlight w:val="yellow"/>
                <w:lang w:val="en-US" w:eastAsia="zh-CN"/>
              </w:rPr>
            </w:pPr>
            <w:r>
              <w:rPr>
                <w:rFonts w:hint="default" w:ascii="宋体" w:hAnsi="宋体" w:cs="宋体"/>
                <w:color w:val="000000"/>
                <w:sz w:val="18"/>
                <w:szCs w:val="18"/>
                <w:highlight w:val="yellow"/>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before="100" w:beforeAutospacing="1" w:after="100" w:afterAutospacing="1"/>
              <w:widowControl/>
              <w:rPr>
                <w:rFonts w:hint="eastAsia" w:ascii="宋体" w:hAnsi="宋体" w:eastAsia="宋体" w:cs="宋体"/>
                <w:sz w:val="24"/>
                <w:szCs w:val="24"/>
                <w:highlight w:val="yellow"/>
                <w:lang w:val="en-US" w:eastAsia="zh-CN"/>
              </w:rPr>
            </w:pPr>
            <w:r>
              <w:rPr>
                <w:rFonts w:hint="eastAsia" w:ascii="宋体" w:hAnsi="宋体" w:cs="宋体"/>
                <w:sz w:val="18"/>
                <w:szCs w:val="18"/>
                <w:highlight w:val="yellow"/>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highlight w:val="yellow"/>
              </w:rPr>
            </w:pPr>
            <w:r>
              <w:rPr>
                <w:rFonts w:hint="eastAsia" w:ascii="宋体" w:hAnsi="宋体" w:cs="宋体"/>
                <w:color w:val="000000"/>
                <w:sz w:val="18"/>
                <w:szCs w:val="18"/>
                <w:highlight w:val="yellow"/>
              </w:rPr>
              <w:t xml:space="preserve">提供承诺函</w:t>
            </w:r>
            <w:r/>
          </w:p>
        </w:tc>
      </w:tr>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hint="eastAsia" w:ascii="宋体" w:hAnsi="宋体" w:cs="宋体"/>
                <w:sz w:val="18"/>
                <w:szCs w:val="18"/>
              </w:rPr>
              <w:t xml:space="preserve">合计得分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9" w:type="dxa"/>
            <w:vAlign w:val="center"/>
            <w:textDirection w:val="lrTb"/>
            <w:noWrap w:val="false"/>
          </w:tcPr>
          <w:p>
            <w:pPr>
              <w:jc w:val="left"/>
              <w:spacing w:before="100" w:beforeAutospacing="1" w:after="100" w:afterAutospacing="1"/>
              <w:widowControl/>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r>
            <w:r/>
          </w:p>
        </w:tc>
      </w:tr>
    </w:tbl>
    <w:p>
      <w:pPr>
        <w:pStyle w:val="1506"/>
        <w:rPr>
          <w:b/>
          <w:sz w:val="36"/>
          <w:szCs w:val="36"/>
        </w:rPr>
      </w:pPr>
      <w:r>
        <w:rPr>
          <w:b/>
          <w:sz w:val="36"/>
          <w:szCs w:val="36"/>
        </w:rPr>
      </w:r>
      <w:r/>
    </w:p>
    <w:p>
      <w:r/>
      <w:r/>
    </w:p>
    <w:p>
      <w:pPr>
        <w:rPr>
          <w:b/>
          <w:bCs/>
          <w:sz w:val="36"/>
          <w:szCs w:val="36"/>
        </w:rPr>
        <w:outlineLvl w:val="0"/>
      </w:pPr>
      <w:r>
        <w:rPr>
          <w:b/>
          <w:sz w:val="36"/>
          <w:szCs w:val="36"/>
          <w:highlight w:val="none"/>
        </w:rPr>
        <w:br w:type="page" w:clear="all"/>
      </w:r>
      <w:r/>
    </w:p>
    <w:p>
      <w:pPr>
        <w:jc w:val="center"/>
        <w:spacing w:line="360" w:lineRule="auto"/>
        <w:rPr>
          <w:b/>
          <w:bCs/>
          <w:sz w:val="36"/>
          <w:szCs w:val="36"/>
          <w:highlight w:val="none"/>
        </w:rPr>
        <w:outlineLvl w:val="0"/>
      </w:pPr>
      <w:r>
        <w:rPr>
          <w:b/>
          <w:sz w:val="36"/>
          <w:szCs w:val="36"/>
        </w:rPr>
        <w:t xml:space="preserve">第五章   采购需求</w:t>
      </w:r>
      <w:bookmarkEnd w:id="16"/>
      <w:r/>
      <w:r/>
    </w:p>
    <w:p>
      <w:pPr>
        <w:ind w:firstLine="482"/>
        <w:spacing w:line="360" w:lineRule="auto"/>
        <w:rPr>
          <w:rFonts w:ascii="宋体" w:hAnsi="宋体" w:cs="宋体"/>
          <w:b/>
          <w:bCs/>
          <w:sz w:val="24"/>
        </w:rPr>
      </w:pPr>
      <w:r>
        <w:rPr>
          <w:rFonts w:hint="eastAsia" w:ascii="宋体" w:hAnsi="宋体" w:cs="宋体"/>
          <w:b/>
          <w:bCs/>
          <w:sz w:val="24"/>
        </w:rPr>
        <w:t xml:space="preserve">一、招标内容：</w:t>
      </w:r>
      <w:r/>
    </w:p>
    <w:p>
      <w:pPr>
        <w:ind w:firstLine="480"/>
        <w:spacing w:line="360" w:lineRule="auto"/>
        <w:rPr>
          <w:rFonts w:hint="eastAsia" w:ascii="宋体" w:hAnsi="宋体" w:cs="宋体"/>
          <w:sz w:val="24"/>
        </w:rPr>
      </w:pPr>
      <w:r>
        <w:rPr>
          <w:rFonts w:hint="eastAsia" w:ascii="宋体" w:hAnsi="宋体" w:cs="宋体"/>
          <w:sz w:val="24"/>
        </w:rPr>
        <w:t xml:space="preserve">1、招标项目：2026-2029年度常州市新北区农户家庭财产保险项目</w:t>
      </w:r>
      <w:r/>
    </w:p>
    <w:p>
      <w:pPr>
        <w:ind w:firstLine="480"/>
        <w:spacing w:line="360" w:lineRule="auto"/>
        <w:rPr>
          <w:rFonts w:ascii="宋体" w:hAnsi="宋体" w:cs="宋体"/>
          <w:color w:val="000000"/>
          <w:sz w:val="24"/>
          <w:highlight w:val="none"/>
        </w:rPr>
      </w:pPr>
      <w:r>
        <w:rPr>
          <w:rFonts w:hint="eastAsia" w:ascii="宋体" w:hAnsi="宋体" w:cs="宋体"/>
          <w:sz w:val="24"/>
        </w:rPr>
        <w:t xml:space="preserve">2、</w:t>
      </w:r>
      <w:r>
        <w:rPr>
          <w:rFonts w:hint="eastAsia" w:ascii="宋体" w:hAnsi="宋体" w:cs="宋体"/>
          <w:sz w:val="24"/>
          <w:highlight w:val="none"/>
        </w:rPr>
        <w:t xml:space="preserve">项目预算金额：</w:t>
      </w:r>
      <w:r>
        <w:rPr>
          <w:rFonts w:hint="eastAsia"/>
          <w:sz w:val="24"/>
          <w:highlight w:val="none"/>
          <w:u w:val="single"/>
        </w:rPr>
        <w:t xml:space="preserve">690万元（230万元/年）。</w:t>
      </w:r>
      <w:r/>
    </w:p>
    <w:p>
      <w:pPr>
        <w:ind w:firstLine="480"/>
        <w:spacing w:line="360" w:lineRule="auto"/>
        <w:rPr>
          <w:rFonts w:hint="eastAsia" w:ascii="宋体" w:hAnsi="宋体" w:cs="宋体"/>
          <w:sz w:val="24"/>
        </w:rPr>
      </w:pPr>
      <w:r>
        <w:rPr>
          <w:rFonts w:hint="eastAsia" w:ascii="宋体" w:hAnsi="宋体" w:cs="宋体"/>
          <w:sz w:val="24"/>
        </w:rPr>
        <w:t xml:space="preserve">3、项目背景</w:t>
      </w:r>
      <w:r/>
    </w:p>
    <w:p>
      <w:pPr>
        <w:ind w:firstLine="480"/>
        <w:spacing w:line="360" w:lineRule="auto"/>
        <w:rPr>
          <w:rFonts w:hint="eastAsia" w:ascii="宋体" w:hAnsi="宋体" w:cs="宋体"/>
          <w:sz w:val="24"/>
        </w:rPr>
      </w:pPr>
      <w:r>
        <w:rPr>
          <w:rFonts w:hint="eastAsia" w:ascii="宋体" w:hAnsi="宋体" w:cs="宋体"/>
          <w:sz w:val="24"/>
        </w:rPr>
        <w:t xml:space="preserve">为提高广大农户抵御自然灾害和意外事故的能力，建立健全重大事故紧急救助体系，结合常州市新北区实际情况，常州国家高新技术产业开发区（新北区）农业农村局在新北区开展农户家庭财产保险项目。 </w:t>
      </w:r>
      <w:r/>
    </w:p>
    <w:p>
      <w:pPr>
        <w:ind w:left="420"/>
        <w:spacing w:line="360" w:lineRule="auto"/>
        <w:rPr>
          <w:rFonts w:hint="eastAsia" w:ascii="宋体" w:hAnsi="宋体" w:cs="宋体"/>
          <w:color w:val="000000"/>
          <w:sz w:val="24"/>
        </w:rPr>
      </w:pPr>
      <w:r>
        <w:rPr>
          <w:rFonts w:hint="eastAsia" w:ascii="宋体" w:hAnsi="宋体" w:cs="宋体"/>
          <w:sz w:val="24"/>
        </w:rPr>
        <w:t xml:space="preserve">4、合同履行期限：</w:t>
      </w:r>
      <w:r/>
    </w:p>
    <w:p>
      <w:pPr>
        <w:ind w:firstLine="480"/>
        <w:spacing w:line="360" w:lineRule="auto"/>
        <w:rPr>
          <w:rFonts w:hint="eastAsia" w:ascii="宋体" w:hAnsi="宋体" w:cs="宋体"/>
          <w:sz w:val="24"/>
        </w:rPr>
      </w:pPr>
      <w:r>
        <w:rPr>
          <w:rFonts w:hint="eastAsia" w:ascii="宋体" w:hAnsi="宋体" w:cs="宋体"/>
          <w:sz w:val="24"/>
        </w:rPr>
        <w:t xml:space="preserve">4.1本项目服务期限共三年，2026年4月1日零时——2029年3月31日二十四时（具体服务期限以合同为准，分年度出单）。</w:t>
      </w:r>
      <w:r/>
    </w:p>
    <w:p>
      <w:pPr>
        <w:ind w:firstLine="480"/>
        <w:spacing w:line="360" w:lineRule="auto"/>
        <w:rPr>
          <w:rFonts w:hint="eastAsia" w:ascii="宋体" w:hAnsi="宋体" w:cs="宋体"/>
          <w:sz w:val="24"/>
          <w:highlight w:val="none"/>
        </w:rPr>
      </w:pPr>
      <w:r>
        <w:rPr>
          <w:rFonts w:hint="eastAsia" w:ascii="宋体" w:hAnsi="宋体" w:cs="宋体"/>
          <w:sz w:val="24"/>
        </w:rPr>
        <w:t xml:space="preserve">4.2 </w:t>
      </w:r>
      <w:r>
        <w:rPr>
          <w:rFonts w:hint="eastAsia" w:ascii="宋体" w:hAnsi="宋体" w:cs="宋体"/>
          <w:sz w:val="24"/>
          <w:highlight w:val="none"/>
        </w:rPr>
        <w:t xml:space="preserve">2028年4月1日零时——2029 年3月31日二十四时可由采购人根据中标人的相关理赔、履约情况进行绩效评价，评价结果作为续保的参考。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4.3</w:t>
      </w:r>
      <w:r>
        <w:rPr>
          <w:rFonts w:hint="eastAsia" w:ascii="宋体" w:hAnsi="宋体" w:cs="宋体"/>
          <w:sz w:val="24"/>
          <w:highlight w:val="yellow"/>
          <w:u w:val="none"/>
        </w:rPr>
        <w:t xml:space="preserve">本保险项目所涉保险责任自2026年4月1日零时起，自上述期限起发生合同约定的符合保险条款的保险事故均由</w:t>
      </w:r>
      <w:r>
        <w:rPr>
          <w:rFonts w:hint="eastAsia" w:ascii="宋体" w:hAnsi="宋体" w:cs="宋体"/>
          <w:sz w:val="24"/>
          <w:highlight w:val="yellow"/>
          <w:u w:val="none"/>
          <w:lang w:val="en-US" w:eastAsia="zh-CN"/>
        </w:rPr>
        <w:t xml:space="preserve">中标保险公司</w:t>
      </w:r>
      <w:r>
        <w:rPr>
          <w:rFonts w:hint="eastAsia" w:ascii="宋体" w:hAnsi="宋体" w:cs="宋体"/>
          <w:sz w:val="24"/>
          <w:highlight w:val="yellow"/>
          <w:u w:val="none"/>
        </w:rPr>
        <w:t xml:space="preserve">承担理赔责任。2026年4月1日零时起至首年保险合同签订之日止，采购人</w:t>
      </w:r>
      <w:r>
        <w:rPr>
          <w:rFonts w:hint="eastAsia" w:ascii="宋体" w:hAnsi="宋体" w:cs="宋体"/>
          <w:sz w:val="24"/>
          <w:highlight w:val="yellow"/>
          <w:u w:val="none"/>
          <w:lang w:val="en-US" w:eastAsia="zh-CN"/>
        </w:rPr>
        <w:t xml:space="preserve">确认的</w:t>
      </w:r>
      <w:r>
        <w:rPr>
          <w:rFonts w:hint="eastAsia" w:ascii="宋体" w:hAnsi="宋体" w:cs="宋体"/>
          <w:sz w:val="24"/>
          <w:highlight w:val="yellow"/>
          <w:u w:val="none"/>
        </w:rPr>
        <w:t xml:space="preserve">依据本保险合同条款正常进行的查勘、定损</w:t>
      </w:r>
      <w:r>
        <w:rPr>
          <w:rFonts w:hint="eastAsia" w:ascii="宋体" w:hAnsi="宋体" w:cs="宋体"/>
          <w:sz w:val="24"/>
          <w:highlight w:val="yellow"/>
          <w:u w:val="none"/>
          <w:lang w:val="en-US" w:eastAsia="zh-CN"/>
        </w:rPr>
        <w:t xml:space="preserve">中标保险公司</w:t>
      </w:r>
      <w:r>
        <w:rPr>
          <w:rFonts w:hint="eastAsia" w:ascii="宋体" w:hAnsi="宋体" w:cs="宋体"/>
          <w:sz w:val="24"/>
          <w:highlight w:val="yellow"/>
          <w:u w:val="none"/>
        </w:rPr>
        <w:t xml:space="preserve">均予以认可。</w:t>
      </w:r>
      <w:r>
        <w:rPr>
          <w:rFonts w:hint="eastAsia" w:ascii="宋体" w:hAnsi="宋体" w:cs="宋体"/>
          <w:sz w:val="24"/>
          <w:highlight w:val="yellow"/>
          <w:u w:val="none"/>
          <w:lang w:val="en-US" w:eastAsia="zh-CN"/>
        </w:rPr>
        <w:t xml:space="preserve">中标保险公司</w:t>
      </w:r>
      <w:r>
        <w:rPr>
          <w:rFonts w:hint="eastAsia" w:ascii="宋体" w:hAnsi="宋体" w:cs="宋体"/>
          <w:sz w:val="24"/>
          <w:highlight w:val="yellow"/>
          <w:u w:val="none"/>
        </w:rPr>
        <w:t xml:space="preserve">接受采购人及采购人委托的第三方对本保险项目的合同履约进行跟踪管理和绩效评价。（提供承诺函）</w:t>
      </w:r>
      <w:r/>
    </w:p>
    <w:p>
      <w:pPr>
        <w:ind w:firstLine="480"/>
        <w:spacing w:line="360" w:lineRule="auto"/>
        <w:rPr>
          <w:rFonts w:ascii="宋体" w:hAnsi="宋体" w:cs="宋体"/>
          <w:b/>
          <w:bCs/>
          <w:sz w:val="24"/>
          <w:highlight w:val="none"/>
        </w:rPr>
      </w:pPr>
      <w:r>
        <w:rPr>
          <w:rFonts w:hint="eastAsia" w:ascii="宋体" w:hAnsi="宋体" w:cs="宋体"/>
          <w:b/>
          <w:bCs/>
          <w:sz w:val="24"/>
          <w:highlight w:val="none"/>
        </w:rPr>
        <w:t xml:space="preserve">二、保险方案及特别约定：</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1、保险险种：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yellow"/>
        </w:rPr>
      </w:pPr>
      <w:r>
        <w:rPr>
          <w:rFonts w:hint="eastAsia" w:ascii="宋体" w:hAnsi="宋体" w:cs="宋体"/>
          <w:sz w:val="24"/>
          <w:highlight w:val="none"/>
        </w:rPr>
        <w:t xml:space="preserve">★投标文件中家庭财产综合保险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附加管道破裂及水渍保险</w:t>
      </w:r>
      <w:r>
        <w:rPr>
          <w:rFonts w:hint="eastAsia" w:ascii="宋体" w:hAnsi="宋体" w:cs="宋体"/>
          <w:sz w:val="24"/>
          <w:highlight w:val="none"/>
          <w:lang w:eastAsia="zh-CN"/>
        </w:rPr>
        <w:t xml:space="preserve">、</w:t>
      </w:r>
      <w:r>
        <w:rPr>
          <w:rFonts w:hint="eastAsia" w:ascii="宋体" w:hAnsi="宋体" w:cs="宋体"/>
          <w:sz w:val="24"/>
          <w:highlight w:val="none"/>
        </w:rPr>
        <w:t xml:space="preserve">附加家用电器用电安全保险</w:t>
      </w:r>
      <w:r>
        <w:rPr>
          <w:rFonts w:hint="eastAsia" w:ascii="宋体" w:hAnsi="宋体" w:cs="宋体"/>
          <w:sz w:val="24"/>
          <w:highlight w:val="none"/>
          <w:lang w:val="en-US" w:eastAsia="zh-CN"/>
        </w:rPr>
        <w:t xml:space="preserve">的保险条款及费率</w:t>
      </w:r>
      <w:r>
        <w:rPr>
          <w:rFonts w:hint="eastAsia" w:ascii="宋体" w:hAnsi="宋体" w:cs="宋体"/>
          <w:sz w:val="24"/>
          <w:highlight w:val="none"/>
        </w:rPr>
        <w:t xml:space="preserve">已得到</w:t>
      </w:r>
      <w:r>
        <w:rPr>
          <w:rFonts w:hint="eastAsia" w:ascii="宋体" w:hAnsi="宋体" w:eastAsia="宋体" w:cs="宋体"/>
          <w:sz w:val="24"/>
          <w:highlight w:val="none"/>
        </w:rPr>
        <w:t xml:space="preserve">国家金融监督管理总局（原中国银行保险监督管理委员会）</w:t>
      </w:r>
      <w:r>
        <w:rPr>
          <w:rFonts w:hint="eastAsia" w:ascii="宋体" w:hAnsi="宋体" w:cs="宋体"/>
          <w:sz w:val="24"/>
          <w:highlight w:val="none"/>
        </w:rPr>
        <w:t xml:space="preserve">的批准（或已向</w:t>
      </w:r>
      <w:r>
        <w:rPr>
          <w:rFonts w:hint="eastAsia" w:ascii="宋体" w:hAnsi="宋体"/>
          <w:sz w:val="24"/>
          <w:highlight w:val="none"/>
        </w:rPr>
        <w:t xml:space="preserve">国家金融监督管理总局（原中国银行保险监督管理委员会）</w:t>
      </w:r>
      <w:r>
        <w:rPr>
          <w:rFonts w:hint="eastAsia" w:ascii="宋体" w:hAnsi="宋体" w:cs="宋体"/>
          <w:sz w:val="24"/>
          <w:highlight w:val="none"/>
        </w:rPr>
        <w:t xml:space="preserve">报备）。（提供承诺函）</w:t>
      </w:r>
      <w:r/>
    </w:p>
    <w:p>
      <w:pPr>
        <w:ind w:firstLine="480"/>
        <w:spacing w:line="360" w:lineRule="auto"/>
        <w:rPr>
          <w:rFonts w:ascii="宋体" w:hAnsi="宋体" w:cs="宋体"/>
          <w:bCs/>
          <w:sz w:val="24"/>
        </w:rPr>
      </w:pPr>
      <w:r>
        <w:rPr>
          <w:rFonts w:hint="eastAsia" w:ascii="宋体" w:hAnsi="宋体" w:cs="宋体"/>
          <w:bCs/>
          <w:sz w:val="24"/>
        </w:rPr>
        <w:t xml:space="preserve">2、承保区域：常州市新北区10个街镇。</w:t>
      </w:r>
      <w:r/>
    </w:p>
    <w:p>
      <w:pPr>
        <w:ind w:firstLine="480"/>
        <w:spacing w:line="360" w:lineRule="auto"/>
        <w:rPr>
          <w:rFonts w:ascii="宋体" w:hAnsi="宋体" w:cs="宋体"/>
          <w:bCs/>
          <w:sz w:val="24"/>
        </w:rPr>
      </w:pPr>
      <w:r>
        <w:rPr>
          <w:rFonts w:hint="eastAsia" w:ascii="宋体" w:hAnsi="宋体" w:cs="宋体"/>
          <w:bCs/>
          <w:sz w:val="24"/>
        </w:rPr>
        <w:t xml:space="preserve">3、保障对象：常州市新北区范围内约</w:t>
      </w:r>
      <w:r>
        <w:rPr>
          <w:rFonts w:hint="eastAsia" w:ascii="宋体" w:hAnsi="宋体" w:cs="宋体"/>
          <w:bCs/>
          <w:sz w:val="24"/>
          <w:highlight w:val="none"/>
          <w:u w:val="single"/>
        </w:rPr>
        <w:t xml:space="preserve">15万户</w:t>
      </w:r>
      <w:r>
        <w:rPr>
          <w:rFonts w:hint="eastAsia" w:ascii="宋体" w:hAnsi="宋体" w:cs="宋体"/>
          <w:bCs/>
          <w:sz w:val="24"/>
          <w:highlight w:val="none"/>
        </w:rPr>
        <w:t xml:space="preserve">农户 (包括新北区集体经济组织成员户和原始农村居民非成员户名下的在全区范围内的所有房产)的家庭财产。</w:t>
      </w:r>
      <w:r>
        <w:rPr>
          <w:rFonts w:ascii="宋体" w:hAnsi="宋体" w:cs="宋体"/>
          <w:bCs/>
          <w:sz w:val="24"/>
        </w:rPr>
        <w:t xml:space="preserve"> </w:t>
      </w:r>
      <w:r/>
    </w:p>
    <w:p>
      <w:pPr>
        <w:ind w:firstLine="480"/>
        <w:spacing w:line="360" w:lineRule="auto"/>
        <w:rPr>
          <w:rFonts w:hint="eastAsia" w:ascii="Times New Roman" w:hAnsi="Times New Roman"/>
          <w:bCs/>
          <w:sz w:val="24"/>
        </w:rPr>
      </w:pPr>
      <w:r>
        <w:rPr>
          <w:rFonts w:ascii="Times New Roman" w:hAnsi="Times New Roman"/>
          <w:bCs/>
          <w:sz w:val="24"/>
        </w:rPr>
        <w:t xml:space="preserve">4、</w:t>
      </w:r>
      <w:r>
        <w:rPr>
          <w:rFonts w:hint="eastAsia" w:ascii="Times New Roman" w:hAnsi="Times New Roman"/>
          <w:bCs/>
          <w:sz w:val="24"/>
        </w:rPr>
        <w:t xml:space="preserve">保险责任</w:t>
      </w:r>
      <w:r/>
    </w:p>
    <w:p>
      <w:pPr>
        <w:ind w:firstLine="480"/>
        <w:spacing w:line="360" w:lineRule="auto"/>
        <w:rPr>
          <w:rFonts w:ascii="Times New Roman" w:hAnsi="Times New Roman"/>
          <w:sz w:val="24"/>
        </w:rPr>
      </w:pPr>
      <w:r>
        <w:rPr>
          <w:rFonts w:hint="eastAsia" w:ascii="Times New Roman" w:hAnsi="Times New Roman"/>
          <w:bCs/>
          <w:sz w:val="24"/>
        </w:rPr>
        <w:t xml:space="preserve">4.1</w:t>
      </w:r>
      <w:r>
        <w:rPr>
          <w:rFonts w:hint="eastAsia" w:ascii="Times New Roman" w:hAnsi="Times New Roman"/>
          <w:bCs/>
          <w:sz w:val="24"/>
          <w:u w:val="single"/>
        </w:rPr>
        <w:t xml:space="preserve">家庭财产综合保险</w:t>
      </w:r>
      <w:r>
        <w:rPr>
          <w:rFonts w:ascii="Times New Roman" w:hAnsi="Times New Roman"/>
          <w:bCs/>
          <w:sz w:val="24"/>
        </w:rPr>
        <w:t xml:space="preserve">责任范围：</w:t>
      </w:r>
      <w:r>
        <w:rPr>
          <w:rFonts w:ascii="Times New Roman" w:hAnsi="Times New Roman"/>
          <w:sz w:val="24"/>
        </w:rPr>
        <w:t xml:space="preserve">在保险期间内，凡常州市新北区农户</w:t>
      </w:r>
      <w:r>
        <w:rPr>
          <w:rFonts w:hint="eastAsia" w:ascii="Times New Roman" w:hAnsi="Times New Roman"/>
          <w:sz w:val="24"/>
          <w:highlight w:val="none"/>
        </w:rPr>
        <w:t xml:space="preserve">（包括新北区集体经济组织成员户和原始农村居民非成员户）</w:t>
      </w:r>
      <w:r>
        <w:rPr>
          <w:rFonts w:ascii="Times New Roman" w:hAnsi="Times New Roman"/>
          <w:sz w:val="24"/>
          <w:highlight w:val="none"/>
        </w:rPr>
        <w:t xml:space="preserve">在新北区行政辖区内的住房</w:t>
      </w:r>
      <w:r>
        <w:rPr>
          <w:rFonts w:hint="eastAsia" w:ascii="Times New Roman" w:hAnsi="Times New Roman"/>
          <w:sz w:val="24"/>
          <w:highlight w:val="none"/>
        </w:rPr>
        <w:t xml:space="preserve">（不含房屋主体结构）</w:t>
      </w:r>
      <w:r>
        <w:rPr>
          <w:rFonts w:ascii="Times New Roman" w:hAnsi="Times New Roman"/>
          <w:sz w:val="24"/>
          <w:highlight w:val="none"/>
        </w:rPr>
        <w:t xml:space="preserve">，</w:t>
      </w:r>
      <w:r>
        <w:rPr>
          <w:rFonts w:ascii="Times New Roman" w:hAnsi="Times New Roman"/>
          <w:sz w:val="24"/>
        </w:rPr>
        <w:t xml:space="preserve">因下列原因造成损失，保险人按照保险合同的约定负责赔偿；</w:t>
      </w:r>
      <w:r/>
    </w:p>
    <w:p>
      <w:pPr>
        <w:ind w:firstLine="480"/>
        <w:spacing w:line="360" w:lineRule="auto"/>
        <w:rPr>
          <w:rFonts w:ascii="Times New Roman" w:hAnsi="Times New Roman"/>
          <w:sz w:val="24"/>
        </w:rPr>
      </w:pPr>
      <w:r>
        <w:rPr>
          <w:rFonts w:hint="eastAsia" w:ascii="Times New Roman" w:hAnsi="Times New Roman"/>
          <w:sz w:val="24"/>
        </w:rPr>
        <w:t xml:space="preserve">（一）</w:t>
      </w:r>
      <w:r>
        <w:rPr>
          <w:rFonts w:ascii="Times New Roman" w:hAnsi="Times New Roman"/>
          <w:sz w:val="24"/>
        </w:rPr>
        <w:t xml:space="preserve">火灾、爆炸；</w:t>
      </w:r>
      <w:r/>
    </w:p>
    <w:p>
      <w:pPr>
        <w:ind w:firstLine="480"/>
        <w:spacing w:line="360" w:lineRule="auto"/>
        <w:rPr>
          <w:rFonts w:ascii="Times New Roman" w:hAnsi="Times New Roman"/>
          <w:sz w:val="24"/>
        </w:rPr>
      </w:pPr>
      <w:r>
        <w:rPr>
          <w:rFonts w:hint="eastAsia" w:ascii="Times New Roman" w:hAnsi="Times New Roman"/>
          <w:sz w:val="24"/>
        </w:rPr>
        <w:t xml:space="preserve">（二）</w:t>
      </w:r>
      <w:r>
        <w:rPr>
          <w:rFonts w:ascii="Times New Roman" w:hAnsi="Times New Roman"/>
          <w:sz w:val="24"/>
        </w:rPr>
        <w:t xml:space="preserve">暴风、暴雨、暴雪、崖崩、雷击、洪水、龙卷风、颮线、台风（热带风暴）、泥石流、崩塌、突发性滑坡、地面突然下陷、冰雹</w:t>
      </w:r>
      <w:r>
        <w:rPr>
          <w:rFonts w:hint="eastAsia" w:ascii="Times New Roman" w:hAnsi="Times New Roman"/>
          <w:sz w:val="24"/>
        </w:rPr>
        <w:t xml:space="preserve">、冰凌</w:t>
      </w:r>
      <w:r>
        <w:rPr>
          <w:rFonts w:ascii="Times New Roman" w:hAnsi="Times New Roman"/>
          <w:sz w:val="24"/>
        </w:rPr>
        <w:t xml:space="preserve">；</w:t>
      </w:r>
      <w:r/>
    </w:p>
    <w:p>
      <w:pPr>
        <w:ind w:firstLine="480"/>
        <w:spacing w:line="360" w:lineRule="auto"/>
        <w:rPr>
          <w:rFonts w:ascii="Times New Roman" w:hAnsi="Times New Roman"/>
          <w:sz w:val="24"/>
        </w:rPr>
      </w:pPr>
      <w:r>
        <w:rPr>
          <w:rFonts w:hint="eastAsia" w:ascii="Times New Roman" w:hAnsi="Times New Roman"/>
          <w:sz w:val="24"/>
        </w:rPr>
        <w:t xml:space="preserve">（三）</w:t>
      </w:r>
      <w:r>
        <w:rPr>
          <w:rFonts w:ascii="Times New Roman" w:hAnsi="Times New Roman"/>
          <w:sz w:val="24"/>
        </w:rPr>
        <w:t xml:space="preserve">飞行物</w:t>
      </w:r>
      <w:r>
        <w:rPr>
          <w:rFonts w:hint="eastAsia" w:ascii="Times New Roman" w:hAnsi="Times New Roman"/>
          <w:sz w:val="24"/>
        </w:rPr>
        <w:t xml:space="preserve">体</w:t>
      </w:r>
      <w:r>
        <w:rPr>
          <w:rFonts w:ascii="Times New Roman" w:hAnsi="Times New Roman"/>
          <w:sz w:val="24"/>
        </w:rPr>
        <w:t xml:space="preserve">及其他空中运行物体坠落；</w:t>
      </w:r>
      <w:r/>
    </w:p>
    <w:p>
      <w:pPr>
        <w:ind w:firstLine="480"/>
        <w:spacing w:line="360" w:lineRule="auto"/>
        <w:rPr>
          <w:rFonts w:ascii="Times New Roman" w:hAnsi="Times New Roman"/>
          <w:sz w:val="24"/>
        </w:rPr>
      </w:pPr>
      <w:r>
        <w:rPr>
          <w:rFonts w:hint="eastAsia" w:ascii="Times New Roman" w:hAnsi="Times New Roman"/>
          <w:sz w:val="24"/>
        </w:rPr>
        <w:t xml:space="preserve">（四）</w:t>
      </w:r>
      <w:r>
        <w:rPr>
          <w:rFonts w:ascii="Times New Roman" w:hAnsi="Times New Roman"/>
          <w:sz w:val="24"/>
        </w:rPr>
        <w:t xml:space="preserve">外来不属于被保险人</w:t>
      </w:r>
      <w:r>
        <w:rPr>
          <w:rFonts w:hint="eastAsia" w:ascii="Times New Roman" w:hAnsi="Times New Roman"/>
          <w:sz w:val="24"/>
        </w:rPr>
        <w:t xml:space="preserve">所有或</w:t>
      </w:r>
      <w:r>
        <w:rPr>
          <w:rFonts w:ascii="Times New Roman" w:hAnsi="Times New Roman"/>
          <w:sz w:val="24"/>
        </w:rPr>
        <w:t xml:space="preserve">所使用的建筑物和其他固定物体的倒塌。</w:t>
      </w:r>
      <w:r/>
    </w:p>
    <w:p>
      <w:pPr>
        <w:ind w:firstLine="480"/>
        <w:spacing w:line="360" w:lineRule="auto"/>
        <w:rPr>
          <w:rFonts w:hint="eastAsia" w:ascii="Times New Roman" w:hAnsi="Times New Roman"/>
          <w:sz w:val="24"/>
        </w:rPr>
      </w:pPr>
      <w:r>
        <w:rPr>
          <w:rFonts w:hint="eastAsia" w:ascii="Times New Roman" w:hAnsi="Times New Roman"/>
          <w:sz w:val="24"/>
        </w:rPr>
        <w:t xml:space="preserve">保险事故发生后，被保险人为防止或减少保险标的的损失所支付的必要的、合理的费用，保险人按照本保险合同的约定也负责赔偿。</w:t>
      </w:r>
      <w:r/>
    </w:p>
    <w:p>
      <w:pPr>
        <w:ind w:firstLine="480"/>
        <w:spacing w:line="360" w:lineRule="auto"/>
        <w:rPr>
          <w:rFonts w:hint="eastAsia" w:ascii="Times New Roman" w:hAnsi="Times New Roman"/>
          <w:sz w:val="24"/>
        </w:rPr>
      </w:pPr>
      <w:r>
        <w:rPr>
          <w:rFonts w:ascii="Times New Roman" w:hAnsi="Times New Roman"/>
          <w:sz w:val="24"/>
        </w:rPr>
        <w:t xml:space="preserve">4.2附加管道破裂及水渍保险责任范围：在保险期间内，因被保险人室内的自来水管道</w:t>
      </w:r>
      <w:r>
        <w:rPr>
          <w:rFonts w:hint="eastAsia" w:ascii="Times New Roman" w:hAnsi="Times New Roman"/>
          <w:sz w:val="24"/>
        </w:rPr>
        <w:t xml:space="preserve">、下水管道和暖气管道（含暖气片）突然破裂致使水流外溢或邻居家及公共区域漏水造成被保险人保险财产的损失，保险人按照约定负责赔偿。</w:t>
      </w:r>
      <w:r/>
    </w:p>
    <w:p>
      <w:pPr>
        <w:ind w:firstLine="480"/>
        <w:spacing w:line="360" w:lineRule="auto"/>
        <w:rPr>
          <w:rFonts w:hint="eastAsia" w:ascii="Times New Roman" w:hAnsi="Times New Roman"/>
          <w:sz w:val="24"/>
        </w:rPr>
      </w:pPr>
      <w:r>
        <w:rPr>
          <w:rFonts w:hint="eastAsia" w:ascii="Times New Roman" w:hAnsi="Times New Roman"/>
          <w:sz w:val="24"/>
        </w:rPr>
        <w:t xml:space="preserve">4.3</w:t>
      </w:r>
      <w:r>
        <w:rPr>
          <w:rFonts w:hint="eastAsia" w:ascii="宋体" w:hAnsi="宋体" w:cs="宋体"/>
          <w:bCs/>
          <w:sz w:val="24"/>
        </w:rPr>
        <w:t xml:space="preserve">附加家用电器用电安全保险</w:t>
      </w:r>
      <w:r>
        <w:rPr>
          <w:rFonts w:hint="eastAsia" w:ascii="Times New Roman" w:hAnsi="Times New Roman"/>
          <w:sz w:val="24"/>
        </w:rPr>
        <w:t xml:space="preserve">责任范围：在保险期间内，因下列原因致使电压异常而引起被保险人家用电器的直接损毁，保险人按照本附加保险合同的约定负责赔偿：</w:t>
      </w:r>
      <w:r/>
    </w:p>
    <w:p>
      <w:pPr>
        <w:ind w:firstLine="480"/>
        <w:spacing w:line="360" w:lineRule="auto"/>
        <w:rPr>
          <w:rFonts w:hint="eastAsia" w:ascii="Times New Roman" w:hAnsi="Times New Roman"/>
          <w:sz w:val="24"/>
        </w:rPr>
      </w:pPr>
      <w:r>
        <w:rPr>
          <w:rFonts w:hint="eastAsia" w:ascii="Times New Roman" w:hAnsi="Times New Roman"/>
          <w:sz w:val="24"/>
        </w:rPr>
        <w:t xml:space="preserve">（一）供电线路因遭受家庭财产保险主险保险合同责任范围内的自然灾害和意外事故；</w:t>
      </w:r>
      <w:r/>
    </w:p>
    <w:p>
      <w:pPr>
        <w:ind w:firstLine="480"/>
        <w:spacing w:line="360" w:lineRule="auto"/>
        <w:rPr>
          <w:rFonts w:hint="eastAsia" w:ascii="Times New Roman" w:hAnsi="Times New Roman"/>
          <w:sz w:val="24"/>
        </w:rPr>
      </w:pPr>
      <w:r>
        <w:rPr>
          <w:rFonts w:hint="eastAsia" w:ascii="Times New Roman" w:hAnsi="Times New Roman"/>
          <w:sz w:val="24"/>
        </w:rPr>
        <w:t xml:space="preserve">（二）供电部门或施工失误；</w:t>
      </w:r>
      <w:r/>
    </w:p>
    <w:p>
      <w:pPr>
        <w:ind w:firstLine="480"/>
        <w:spacing w:line="360" w:lineRule="auto"/>
        <w:rPr>
          <w:rFonts w:hint="eastAsia" w:ascii="Times New Roman" w:hAnsi="Times New Roman"/>
          <w:sz w:val="24"/>
        </w:rPr>
      </w:pPr>
      <w:r>
        <w:rPr>
          <w:rFonts w:hint="eastAsia" w:ascii="Times New Roman" w:hAnsi="Times New Roman"/>
          <w:sz w:val="24"/>
        </w:rPr>
        <w:t xml:space="preserve">（三）供电线路发生其他意外事故。</w:t>
      </w:r>
      <w:r/>
    </w:p>
    <w:p>
      <w:pPr>
        <w:ind w:firstLine="480"/>
        <w:spacing w:line="360" w:lineRule="auto"/>
        <w:rPr>
          <w:rFonts w:hint="eastAsia" w:ascii="Times New Roman" w:hAnsi="Times New Roman"/>
          <w:sz w:val="24"/>
        </w:rPr>
      </w:pPr>
      <w:r>
        <w:rPr>
          <w:rFonts w:hint="eastAsia" w:ascii="Times New Roman" w:hAnsi="Times New Roman"/>
          <w:sz w:val="24"/>
        </w:rPr>
        <w:t xml:space="preserve">5、责任免除：</w:t>
      </w:r>
      <w:r/>
    </w:p>
    <w:p>
      <w:pPr>
        <w:ind w:firstLine="480"/>
        <w:spacing w:line="360" w:lineRule="auto"/>
        <w:rPr>
          <w:rFonts w:ascii="Times New Roman" w:hAnsi="Times New Roman"/>
          <w:sz w:val="24"/>
        </w:rPr>
      </w:pPr>
      <w:r>
        <w:rPr>
          <w:rFonts w:hint="eastAsia" w:ascii="Times New Roman" w:hAnsi="Times New Roman"/>
          <w:sz w:val="24"/>
        </w:rPr>
        <w:t xml:space="preserve">5.1</w:t>
      </w:r>
      <w:r>
        <w:rPr>
          <w:rFonts w:ascii="Times New Roman" w:hAnsi="Times New Roman"/>
          <w:sz w:val="24"/>
        </w:rPr>
        <w:t xml:space="preserve">下列原因造成的损失、费用，保险人不负责赔偿：</w:t>
      </w:r>
      <w:r/>
    </w:p>
    <w:p>
      <w:pPr>
        <w:ind w:firstLine="480"/>
        <w:spacing w:line="360" w:lineRule="auto"/>
        <w:rPr>
          <w:rFonts w:ascii="Times New Roman" w:hAnsi="Times New Roman"/>
          <w:sz w:val="24"/>
        </w:rPr>
      </w:pPr>
      <w:r>
        <w:rPr>
          <w:rFonts w:ascii="Times New Roman" w:hAnsi="Times New Roman"/>
          <w:sz w:val="24"/>
        </w:rPr>
        <w:t xml:space="preserve">（一） 战争、敌对行为、军事行动、武装冲突、罢工、骚乱、暴动、恐怖活动、盗抢；</w:t>
      </w:r>
      <w:r/>
    </w:p>
    <w:p>
      <w:pPr>
        <w:ind w:firstLine="480"/>
        <w:spacing w:line="360" w:lineRule="auto"/>
        <w:rPr>
          <w:rFonts w:ascii="Times New Roman" w:hAnsi="Times New Roman"/>
          <w:sz w:val="24"/>
        </w:rPr>
      </w:pPr>
      <w:r>
        <w:rPr>
          <w:rFonts w:ascii="Times New Roman" w:hAnsi="Times New Roman"/>
          <w:sz w:val="24"/>
        </w:rPr>
        <w:t xml:space="preserve">（二） 核辐射、核爆炸、核污染及其他放射性污染；</w:t>
      </w:r>
      <w:r/>
    </w:p>
    <w:p>
      <w:pPr>
        <w:ind w:firstLine="480"/>
        <w:spacing w:line="360" w:lineRule="auto"/>
        <w:rPr>
          <w:rFonts w:ascii="Times New Roman" w:hAnsi="Times New Roman"/>
          <w:sz w:val="24"/>
        </w:rPr>
      </w:pPr>
      <w:r>
        <w:rPr>
          <w:rFonts w:ascii="Times New Roman" w:hAnsi="Times New Roman"/>
          <w:sz w:val="24"/>
        </w:rPr>
        <w:t xml:space="preserve">（三） 被保险人及其家庭成员、寄宿人、雇佣人员的故意或违法行为；</w:t>
      </w:r>
      <w:r/>
    </w:p>
    <w:p>
      <w:pPr>
        <w:ind w:firstLine="480"/>
        <w:spacing w:line="360" w:lineRule="auto"/>
        <w:rPr>
          <w:rFonts w:ascii="Times New Roman" w:hAnsi="Times New Roman"/>
          <w:sz w:val="24"/>
        </w:rPr>
      </w:pPr>
      <w:r>
        <w:rPr>
          <w:rFonts w:ascii="Times New Roman" w:hAnsi="Times New Roman"/>
          <w:sz w:val="24"/>
        </w:rPr>
        <w:t xml:space="preserve">（四） 地震、海啸及其次生灾害；</w:t>
      </w:r>
      <w:r/>
    </w:p>
    <w:p>
      <w:pPr>
        <w:ind w:firstLine="480"/>
        <w:spacing w:line="360" w:lineRule="auto"/>
        <w:rPr>
          <w:rFonts w:ascii="Times New Roman" w:hAnsi="Times New Roman"/>
          <w:sz w:val="24"/>
        </w:rPr>
      </w:pPr>
      <w:r>
        <w:rPr>
          <w:rFonts w:ascii="Times New Roman" w:hAnsi="Times New Roman"/>
          <w:sz w:val="24"/>
        </w:rPr>
        <w:t xml:space="preserve">（五） 行政行为或司法行为。</w:t>
      </w:r>
      <w:r/>
    </w:p>
    <w:p>
      <w:pPr>
        <w:ind w:firstLine="480"/>
        <w:spacing w:line="360" w:lineRule="auto"/>
        <w:rPr>
          <w:rFonts w:ascii="Times New Roman" w:hAnsi="Times New Roman"/>
          <w:sz w:val="24"/>
        </w:rPr>
      </w:pPr>
      <w:r>
        <w:rPr>
          <w:rFonts w:ascii="Times New Roman" w:hAnsi="Times New Roman"/>
          <w:sz w:val="24"/>
        </w:rPr>
        <w:t xml:space="preserve"> </w:t>
      </w:r>
      <w:r>
        <w:rPr>
          <w:rFonts w:hint="eastAsia" w:ascii="Times New Roman" w:hAnsi="Times New Roman"/>
          <w:sz w:val="24"/>
        </w:rPr>
        <w:t xml:space="preserve">5.2</w:t>
      </w:r>
      <w:r>
        <w:rPr>
          <w:rFonts w:ascii="Times New Roman" w:hAnsi="Times New Roman"/>
          <w:sz w:val="24"/>
        </w:rPr>
        <w:t xml:space="preserve">下列损失、费用，保险人也不负责赔偿：</w:t>
      </w:r>
      <w:r/>
    </w:p>
    <w:p>
      <w:pPr>
        <w:ind w:firstLine="480"/>
        <w:spacing w:line="360" w:lineRule="auto"/>
        <w:rPr>
          <w:rFonts w:ascii="Times New Roman" w:hAnsi="Times New Roman"/>
          <w:sz w:val="24"/>
        </w:rPr>
      </w:pPr>
      <w:r>
        <w:rPr>
          <w:rFonts w:ascii="Times New Roman" w:hAnsi="Times New Roman"/>
          <w:sz w:val="24"/>
        </w:rPr>
        <w:t xml:space="preserve">（一） 保险标的遭受保险事故引起的各种间接损失；</w:t>
      </w:r>
      <w:r/>
    </w:p>
    <w:p>
      <w:pPr>
        <w:ind w:firstLine="480"/>
        <w:spacing w:line="360" w:lineRule="auto"/>
        <w:rPr>
          <w:rFonts w:ascii="Times New Roman" w:hAnsi="Times New Roman"/>
          <w:sz w:val="24"/>
        </w:rPr>
      </w:pPr>
      <w:r>
        <w:rPr>
          <w:rFonts w:ascii="Times New Roman" w:hAnsi="Times New Roman"/>
          <w:sz w:val="24"/>
        </w:rPr>
        <w:t xml:space="preserve">（二） 家用电器因使用过度、超电压、短路、断路、漏电、自身发热、烘烤等原因所造成本身的损毁；</w:t>
      </w:r>
      <w:r/>
    </w:p>
    <w:p>
      <w:pPr>
        <w:ind w:firstLine="480"/>
        <w:spacing w:line="360" w:lineRule="auto"/>
        <w:rPr>
          <w:rFonts w:ascii="Times New Roman" w:hAnsi="Times New Roman"/>
          <w:sz w:val="24"/>
        </w:rPr>
      </w:pPr>
      <w:r>
        <w:rPr>
          <w:rFonts w:ascii="Times New Roman" w:hAnsi="Times New Roman"/>
          <w:sz w:val="24"/>
        </w:rPr>
        <w:t xml:space="preserve">（三） 坐落在蓄洪区、行洪区，或在江河岸边、低洼地区以及防洪堤以外当地常年警戒水位线以下的家庭财产，由于洪水所造成的一切损失；</w:t>
      </w:r>
      <w:r/>
    </w:p>
    <w:p>
      <w:pPr>
        <w:ind w:firstLine="480"/>
        <w:spacing w:line="360" w:lineRule="auto"/>
        <w:rPr>
          <w:rFonts w:ascii="Times New Roman" w:hAnsi="Times New Roman"/>
          <w:sz w:val="24"/>
        </w:rPr>
      </w:pPr>
      <w:r>
        <w:rPr>
          <w:rFonts w:ascii="Times New Roman" w:hAnsi="Times New Roman"/>
          <w:sz w:val="24"/>
        </w:rPr>
        <w:t xml:space="preserve">（四） 保险标的本身缺陷、保管不善导致的损毁；</w:t>
      </w:r>
      <w:r/>
    </w:p>
    <w:p>
      <w:pPr>
        <w:ind w:firstLine="480"/>
        <w:spacing w:line="360" w:lineRule="auto"/>
        <w:rPr>
          <w:rFonts w:ascii="Times New Roman" w:hAnsi="Times New Roman"/>
          <w:sz w:val="24"/>
        </w:rPr>
      </w:pPr>
      <w:r>
        <w:rPr>
          <w:rFonts w:ascii="Times New Roman" w:hAnsi="Times New Roman"/>
          <w:sz w:val="24"/>
        </w:rPr>
        <w:t xml:space="preserve">（五） 保险标的的变质、霉烂、受潮、虫咬、自然磨损、自然损耗、自燃、烘焙所造成本身的损失；</w:t>
      </w:r>
      <w:r/>
    </w:p>
    <w:p>
      <w:pPr>
        <w:ind w:firstLine="480"/>
        <w:spacing w:line="360" w:lineRule="auto"/>
        <w:rPr>
          <w:rFonts w:ascii="Times New Roman" w:hAnsi="Times New Roman"/>
          <w:sz w:val="24"/>
        </w:rPr>
      </w:pPr>
      <w:r>
        <w:rPr>
          <w:rFonts w:ascii="Times New Roman" w:hAnsi="Times New Roman"/>
          <w:sz w:val="24"/>
        </w:rPr>
        <w:t xml:space="preserve">（六） 本保险合同约定的免赔额或按本保险合同中载明的免赔率计算的免赔额。</w:t>
      </w:r>
      <w:r/>
    </w:p>
    <w:p>
      <w:pPr>
        <w:ind w:firstLine="480"/>
        <w:spacing w:line="360" w:lineRule="auto"/>
        <w:rPr>
          <w:rFonts w:hint="eastAsia" w:ascii="Times New Roman" w:hAnsi="Times New Roman"/>
          <w:sz w:val="24"/>
        </w:rPr>
      </w:pPr>
      <w:r>
        <w:rPr>
          <w:rFonts w:hint="eastAsia" w:ascii="Times New Roman" w:hAnsi="Times New Roman"/>
          <w:sz w:val="24"/>
        </w:rPr>
        <w:t xml:space="preserve">5.3</w:t>
      </w:r>
      <w:r>
        <w:rPr>
          <w:rFonts w:ascii="Times New Roman" w:hAnsi="Times New Roman"/>
          <w:sz w:val="24"/>
        </w:rPr>
        <w:t xml:space="preserve">附加管道破裂及水渍保险</w:t>
      </w:r>
      <w:r>
        <w:rPr>
          <w:rFonts w:hint="eastAsia" w:ascii="Times New Roman" w:hAnsi="Times New Roman"/>
          <w:sz w:val="24"/>
        </w:rPr>
        <w:t xml:space="preserve">责任免除</w:t>
      </w:r>
      <w:r/>
    </w:p>
    <w:p>
      <w:pPr>
        <w:ind w:firstLine="480"/>
        <w:spacing w:line="360" w:lineRule="auto"/>
        <w:rPr>
          <w:rFonts w:ascii="Times New Roman" w:hAnsi="Times New Roman"/>
          <w:sz w:val="24"/>
        </w:rPr>
      </w:pPr>
      <w:r>
        <w:rPr>
          <w:rFonts w:hint="eastAsia" w:ascii="Times New Roman" w:hAnsi="Times New Roman"/>
          <w:sz w:val="24"/>
        </w:rPr>
        <w:t xml:space="preserve">由于下列原因造成的损失、费用，保险人不负责赔偿：</w:t>
      </w:r>
      <w:r/>
    </w:p>
    <w:p>
      <w:pPr>
        <w:ind w:firstLine="480"/>
        <w:spacing w:line="360" w:lineRule="auto"/>
        <w:rPr>
          <w:rFonts w:ascii="Times New Roman" w:hAnsi="Times New Roman"/>
          <w:sz w:val="24"/>
        </w:rPr>
      </w:pPr>
      <w:r>
        <w:rPr>
          <w:rFonts w:hint="eastAsia" w:ascii="Times New Roman" w:hAnsi="Times New Roman"/>
          <w:sz w:val="24"/>
        </w:rPr>
        <w:t xml:space="preserve">（一）因被保险人私自改动原管道设计致使管道破裂造成家庭财产的损失；</w:t>
      </w:r>
      <w:r/>
    </w:p>
    <w:p>
      <w:pPr>
        <w:ind w:firstLine="480"/>
        <w:spacing w:line="360" w:lineRule="auto"/>
        <w:rPr>
          <w:rFonts w:ascii="Times New Roman" w:hAnsi="Times New Roman"/>
          <w:sz w:val="24"/>
        </w:rPr>
      </w:pPr>
      <w:r>
        <w:rPr>
          <w:rFonts w:hint="eastAsia" w:ascii="Times New Roman" w:hAnsi="Times New Roman"/>
          <w:sz w:val="24"/>
        </w:rPr>
        <w:t xml:space="preserve">（二）因被保险人管道试水、试压造成管道破裂跑水造成的家庭财产损失；</w:t>
      </w:r>
      <w:r/>
    </w:p>
    <w:p>
      <w:pPr>
        <w:ind w:firstLine="480"/>
        <w:spacing w:line="360" w:lineRule="auto"/>
        <w:rPr>
          <w:rFonts w:hint="eastAsia" w:ascii="Times New Roman" w:hAnsi="Times New Roman"/>
          <w:sz w:val="24"/>
        </w:rPr>
      </w:pPr>
      <w:r>
        <w:rPr>
          <w:rFonts w:hint="eastAsia" w:ascii="Times New Roman" w:hAnsi="Times New Roman"/>
          <w:sz w:val="24"/>
        </w:rPr>
        <w:t xml:space="preserve">（三）本附加险合同约定的免赔额或按本附加险合同中载明的免赔率计算的免赔额。</w:t>
      </w:r>
      <w:r/>
    </w:p>
    <w:p>
      <w:pPr>
        <w:ind w:firstLine="480"/>
        <w:spacing w:line="360" w:lineRule="auto"/>
        <w:rPr>
          <w:rFonts w:hint="eastAsia" w:ascii="Times New Roman" w:hAnsi="Times New Roman"/>
          <w:sz w:val="24"/>
        </w:rPr>
      </w:pPr>
      <w:r>
        <w:rPr>
          <w:rFonts w:hint="eastAsia" w:ascii="Times New Roman" w:hAnsi="Times New Roman"/>
          <w:sz w:val="24"/>
        </w:rPr>
        <w:t xml:space="preserve">5.4附加家用电器用电安全保险责任免除</w:t>
      </w:r>
      <w:r/>
    </w:p>
    <w:p>
      <w:pPr>
        <w:ind w:firstLine="480"/>
        <w:spacing w:line="360" w:lineRule="auto"/>
        <w:rPr>
          <w:rFonts w:ascii="Times New Roman" w:hAnsi="Times New Roman"/>
          <w:sz w:val="24"/>
        </w:rPr>
      </w:pPr>
      <w:r>
        <w:rPr>
          <w:rFonts w:hint="eastAsia" w:ascii="Times New Roman" w:hAnsi="Times New Roman"/>
          <w:sz w:val="24"/>
        </w:rPr>
        <w:t xml:space="preserve">由于下列原因造成的损失，保险人不负赔偿责任：</w:t>
      </w:r>
      <w:r/>
    </w:p>
    <w:p>
      <w:pPr>
        <w:ind w:firstLine="480"/>
        <w:spacing w:line="360" w:lineRule="auto"/>
        <w:rPr>
          <w:rFonts w:ascii="Times New Roman" w:hAnsi="Times New Roman"/>
          <w:sz w:val="24"/>
        </w:rPr>
      </w:pPr>
      <w:r>
        <w:rPr>
          <w:rFonts w:hint="eastAsia" w:ascii="Times New Roman" w:hAnsi="Times New Roman"/>
          <w:sz w:val="24"/>
        </w:rPr>
        <w:t xml:space="preserve">（一）被保险人的故意行为以及违章用电，偷电或错误接线造成家用电器的损毁；</w:t>
      </w:r>
      <w:r/>
    </w:p>
    <w:p>
      <w:pPr>
        <w:ind w:firstLine="480"/>
        <w:spacing w:line="360" w:lineRule="auto"/>
        <w:rPr>
          <w:rFonts w:ascii="Times New Roman" w:hAnsi="Times New Roman"/>
          <w:sz w:val="24"/>
        </w:rPr>
      </w:pPr>
      <w:r>
        <w:rPr>
          <w:rFonts w:hint="eastAsia" w:ascii="Times New Roman" w:hAnsi="Times New Roman"/>
          <w:sz w:val="24"/>
        </w:rPr>
        <w:t xml:space="preserve">（二）本附加险合同约定的免赔额或按本附加险合同中载明的免赔率计算的免赔额。</w:t>
      </w:r>
      <w:r/>
    </w:p>
    <w:p>
      <w:pPr>
        <w:ind w:firstLine="480"/>
        <w:spacing w:line="360" w:lineRule="auto"/>
        <w:rPr>
          <w:rFonts w:ascii="Times New Roman" w:hAnsi="Times New Roman"/>
          <w:sz w:val="24"/>
          <w:shd w:val="clear" w:color="ffffff" w:fill="d9d9d9"/>
        </w:rPr>
      </w:pPr>
      <w:r>
        <w:rPr>
          <w:rFonts w:hint="eastAsia" w:ascii="Times New Roman" w:hAnsi="Times New Roman"/>
          <w:sz w:val="24"/>
        </w:rPr>
        <w:t xml:space="preserve">6、</w:t>
      </w:r>
      <w:r>
        <w:rPr>
          <w:rFonts w:ascii="Times New Roman" w:hAnsi="Times New Roman"/>
          <w:sz w:val="24"/>
        </w:rPr>
        <w:t xml:space="preserve">保险费：</w:t>
      </w:r>
      <w:r>
        <w:rPr>
          <w:rFonts w:hint="eastAsia" w:ascii="Times New Roman" w:hAnsi="Times New Roman"/>
          <w:sz w:val="24"/>
        </w:rPr>
        <w:t xml:space="preserve">按照</w:t>
      </w:r>
      <w:r>
        <w:rPr>
          <w:rFonts w:ascii="Times New Roman" w:hAnsi="Times New Roman"/>
          <w:sz w:val="24"/>
        </w:rPr>
        <w:t xml:space="preserve">中标金额确定。</w:t>
      </w:r>
      <w:r/>
    </w:p>
    <w:p>
      <w:pPr>
        <w:ind w:firstLine="480"/>
        <w:spacing w:line="360" w:lineRule="auto"/>
        <w:rPr>
          <w:rFonts w:ascii="Times New Roman" w:hAnsi="Times New Roman"/>
          <w:sz w:val="24"/>
          <w:highlight w:val="yellow"/>
        </w:rPr>
      </w:pPr>
      <w:r>
        <w:rPr>
          <w:rFonts w:hint="eastAsia" w:ascii="Times New Roman" w:hAnsi="Times New Roman"/>
          <w:sz w:val="24"/>
          <w:highlight w:val="yellow"/>
        </w:rPr>
        <w:t xml:space="preserve">7</w:t>
      </w:r>
      <w:r>
        <w:rPr>
          <w:rFonts w:ascii="Times New Roman" w:hAnsi="Times New Roman"/>
          <w:sz w:val="24"/>
          <w:highlight w:val="yellow"/>
        </w:rPr>
        <w:t xml:space="preserve">、赔偿限额：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7.1因自然灾害及意外事故造成家庭室内财产、基本生活设施、农具等损坏赔偿限额：每户每年为人民币</w:t>
      </w:r>
      <w:r>
        <w:rPr>
          <w:rFonts w:hint="eastAsia" w:ascii="宋体" w:hAnsi="宋体" w:cs="宋体"/>
          <w:sz w:val="24"/>
          <w:highlight w:val="none"/>
          <w:u w:val="single"/>
        </w:rPr>
        <w:t xml:space="preserve">8</w:t>
      </w:r>
      <w:r>
        <w:rPr>
          <w:rFonts w:hint="eastAsia" w:ascii="宋体" w:hAnsi="宋体" w:cs="宋体"/>
          <w:sz w:val="24"/>
          <w:highlight w:val="none"/>
        </w:rPr>
        <w:t xml:space="preserve">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7.2因自然灾害及意外事故造成家用电器和文体娱乐用品、家具及其他生活用品等赔偿限额：每户每年为人民币</w:t>
      </w:r>
      <w:r>
        <w:rPr>
          <w:rFonts w:hint="eastAsia" w:ascii="宋体" w:hAnsi="宋体" w:cs="宋体"/>
          <w:sz w:val="24"/>
          <w:highlight w:val="none"/>
          <w:u w:val="single"/>
        </w:rPr>
        <w:t xml:space="preserve">6</w:t>
      </w:r>
      <w:r>
        <w:rPr>
          <w:rFonts w:hint="eastAsia" w:ascii="宋体" w:hAnsi="宋体" w:cs="宋体"/>
          <w:sz w:val="24"/>
          <w:highlight w:val="none"/>
        </w:rPr>
        <w:t xml:space="preserve">万元。</w:t>
      </w:r>
      <w:r/>
    </w:p>
    <w:p>
      <w:pPr>
        <w:ind w:firstLine="480"/>
        <w:spacing w:line="360" w:lineRule="auto"/>
        <w:rPr>
          <w:rFonts w:ascii="宋体" w:hAnsi="宋体" w:cs="宋体"/>
          <w:sz w:val="24"/>
          <w:highlight w:val="yellow"/>
        </w:rPr>
      </w:pPr>
      <w:r>
        <w:rPr>
          <w:rFonts w:hint="eastAsia" w:ascii="宋体" w:hAnsi="宋体" w:cs="宋体"/>
          <w:sz w:val="24"/>
          <w:highlight w:val="yellow"/>
        </w:rPr>
        <w:t xml:space="preserve">7.3因自然灾害及意外事故造成室内装潢损坏赔偿限额：每户每年为人民币</w:t>
      </w:r>
      <w:r>
        <w:rPr>
          <w:rFonts w:hint="eastAsia" w:ascii="宋体" w:hAnsi="宋体" w:cs="宋体"/>
          <w:sz w:val="24"/>
          <w:highlight w:val="yellow"/>
          <w:u w:val="single"/>
          <w:lang w:val="en-US" w:eastAsia="zh-CN"/>
        </w:rPr>
        <w:t xml:space="preserve">4</w:t>
      </w:r>
      <w:r>
        <w:rPr>
          <w:rFonts w:hint="eastAsia" w:ascii="宋体" w:hAnsi="宋体" w:cs="宋体"/>
          <w:sz w:val="24"/>
          <w:highlight w:val="yellow"/>
        </w:rPr>
        <w:t xml:space="preserve">万元。</w:t>
      </w:r>
      <w:r/>
    </w:p>
    <w:p>
      <w:pPr>
        <w:ind w:firstLine="480"/>
        <w:spacing w:line="360" w:lineRule="auto"/>
        <w:rPr>
          <w:rFonts w:ascii="宋体" w:hAnsi="宋体" w:cs="宋体"/>
          <w:bCs/>
          <w:sz w:val="24"/>
          <w:highlight w:val="yellow"/>
        </w:rPr>
      </w:pPr>
      <w:r>
        <w:rPr>
          <w:rFonts w:hint="eastAsia" w:ascii="宋体" w:hAnsi="宋体" w:cs="宋体"/>
          <w:sz w:val="24"/>
          <w:highlight w:val="yellow"/>
        </w:rPr>
        <w:t xml:space="preserve">7.4</w:t>
      </w:r>
      <w:r>
        <w:rPr>
          <w:rFonts w:hint="eastAsia" w:ascii="宋体" w:hAnsi="宋体" w:cs="宋体"/>
          <w:bCs/>
          <w:sz w:val="24"/>
          <w:highlight w:val="yellow"/>
        </w:rPr>
        <w:t xml:space="preserve">管道破裂及水渍保险赔偿限额：每户每年为人民币</w:t>
      </w:r>
      <w:r>
        <w:rPr>
          <w:rFonts w:hint="eastAsia" w:ascii="宋体" w:hAnsi="宋体" w:cs="宋体"/>
          <w:bCs/>
          <w:sz w:val="24"/>
          <w:highlight w:val="yellow"/>
          <w:u w:val="single"/>
          <w:lang w:val="en-US" w:eastAsia="zh-CN"/>
        </w:rPr>
        <w:t xml:space="preserve">2</w:t>
      </w:r>
      <w:r>
        <w:rPr>
          <w:rFonts w:hint="eastAsia" w:ascii="宋体" w:hAnsi="宋体" w:cs="宋体"/>
          <w:bCs/>
          <w:sz w:val="24"/>
          <w:highlight w:val="yellow"/>
        </w:rPr>
        <w:t xml:space="preserve">万元。</w:t>
      </w:r>
      <w:r/>
    </w:p>
    <w:p>
      <w:pPr>
        <w:ind w:firstLine="480"/>
        <w:spacing w:line="360" w:lineRule="auto"/>
        <w:rPr>
          <w:rFonts w:ascii="宋体" w:hAnsi="宋体" w:cs="宋体"/>
          <w:bCs/>
          <w:sz w:val="24"/>
          <w:highlight w:val="yellow"/>
        </w:rPr>
      </w:pPr>
      <w:r>
        <w:rPr>
          <w:rFonts w:hint="eastAsia" w:ascii="宋体" w:hAnsi="宋体" w:cs="宋体"/>
          <w:bCs/>
          <w:sz w:val="24"/>
          <w:highlight w:val="yellow"/>
        </w:rPr>
        <w:t xml:space="preserve">7.5家用电器用电安全保险赔偿限额：每户每年为人民币</w:t>
      </w:r>
      <w:r>
        <w:rPr>
          <w:rFonts w:hint="eastAsia" w:ascii="宋体" w:hAnsi="宋体" w:cs="宋体"/>
          <w:bCs/>
          <w:sz w:val="24"/>
          <w:highlight w:val="yellow"/>
          <w:u w:val="single"/>
          <w:lang w:val="en-US" w:eastAsia="zh-CN"/>
        </w:rPr>
        <w:t xml:space="preserve">2</w:t>
      </w:r>
      <w:r>
        <w:rPr>
          <w:rFonts w:hint="eastAsia" w:ascii="宋体" w:hAnsi="宋体" w:cs="宋体"/>
          <w:bCs/>
          <w:sz w:val="24"/>
          <w:highlight w:val="yellow"/>
        </w:rPr>
        <w:t xml:space="preserve">万元。</w:t>
      </w:r>
      <w:r/>
    </w:p>
    <w:p>
      <w:pPr>
        <w:ind w:firstLine="480"/>
        <w:spacing w:line="360" w:lineRule="auto"/>
        <w:rPr>
          <w:rFonts w:ascii="Times New Roman" w:hAnsi="Times New Roman"/>
          <w:bCs/>
          <w:sz w:val="24"/>
        </w:rPr>
      </w:pPr>
      <w:r>
        <w:rPr>
          <w:rFonts w:hint="eastAsia" w:ascii="Times New Roman" w:hAnsi="Times New Roman"/>
          <w:bCs/>
          <w:sz w:val="24"/>
        </w:rPr>
        <w:t xml:space="preserve">8</w:t>
      </w:r>
      <w:r>
        <w:rPr>
          <w:rFonts w:ascii="Times New Roman" w:hAnsi="Times New Roman"/>
          <w:bCs/>
          <w:sz w:val="24"/>
        </w:rPr>
        <w:t xml:space="preserve">、免赔额：100元/每户/每次事故。</w:t>
      </w:r>
      <w:r/>
    </w:p>
    <w:p>
      <w:pPr>
        <w:ind w:firstLine="480"/>
        <w:spacing w:line="360" w:lineRule="auto"/>
        <w:rPr>
          <w:rFonts w:ascii="Times New Roman" w:hAnsi="Times New Roman"/>
          <w:sz w:val="24"/>
        </w:rPr>
      </w:pPr>
      <w:r>
        <w:rPr>
          <w:rFonts w:hint="eastAsia" w:ascii="Times New Roman" w:hAnsi="Times New Roman"/>
          <w:bCs/>
          <w:sz w:val="24"/>
        </w:rPr>
        <w:t xml:space="preserve">9</w:t>
      </w:r>
      <w:r>
        <w:rPr>
          <w:rFonts w:ascii="Times New Roman" w:hAnsi="Times New Roman"/>
          <w:bCs/>
          <w:sz w:val="24"/>
        </w:rPr>
        <w:t xml:space="preserve">、</w:t>
      </w:r>
      <w:r>
        <w:rPr>
          <w:rFonts w:ascii="Times New Roman" w:hAnsi="Times New Roman"/>
          <w:sz w:val="24"/>
        </w:rPr>
        <w:t xml:space="preserve">出险处理：</w:t>
      </w:r>
      <w:r/>
    </w:p>
    <w:p>
      <w:pPr>
        <w:ind w:firstLine="480"/>
        <w:jc w:val="left"/>
        <w:spacing w:line="360" w:lineRule="auto"/>
        <w:rPr>
          <w:rFonts w:hint="eastAsia" w:ascii="Times New Roman" w:hAnsi="Times New Roman"/>
          <w:bCs/>
          <w:sz w:val="24"/>
        </w:rPr>
      </w:pPr>
      <w:r>
        <w:rPr>
          <w:rFonts w:hint="eastAsia" w:ascii="Times New Roman" w:hAnsi="Times New Roman"/>
          <w:bCs/>
          <w:sz w:val="24"/>
        </w:rPr>
        <w:t xml:space="preserve">9</w:t>
      </w:r>
      <w:r>
        <w:rPr>
          <w:rFonts w:ascii="Times New Roman" w:hAnsi="Times New Roman"/>
          <w:bCs/>
          <w:sz w:val="24"/>
        </w:rPr>
        <w:t xml:space="preserve">.1出险后，被保险人应及时向保险人报案，保险人在接到报案后</w:t>
      </w:r>
      <w:r>
        <w:rPr>
          <w:rFonts w:hint="eastAsia" w:ascii="Times New Roman" w:hAnsi="Times New Roman"/>
          <w:bCs/>
          <w:sz w:val="24"/>
        </w:rPr>
        <w:t xml:space="preserve">24</w:t>
      </w:r>
      <w:r>
        <w:rPr>
          <w:rFonts w:ascii="Times New Roman" w:hAnsi="Times New Roman"/>
          <w:bCs/>
          <w:sz w:val="24"/>
        </w:rPr>
        <w:t xml:space="preserve">小时内完成上门查勘，在对损失金额双方无异议下出具定损清单由被保险人签字认可。保险人根据保险合同约定收全理赔材料后7个工作日内结案，在赔偿限额内扣除100元后足额支付赔款。</w:t>
      </w:r>
      <w:r>
        <w:rPr>
          <w:rFonts w:hint="eastAsia" w:ascii="Times New Roman" w:hAnsi="Times New Roman"/>
          <w:bCs/>
          <w:sz w:val="24"/>
        </w:rPr>
        <w:t xml:space="preserve">情形复杂的案件，最长不超过30日。</w:t>
      </w:r>
      <w:r/>
    </w:p>
    <w:p>
      <w:pPr>
        <w:ind w:firstLine="480"/>
        <w:jc w:val="left"/>
        <w:spacing w:line="360" w:lineRule="auto"/>
        <w:rPr>
          <w:rFonts w:hint="eastAsia" w:ascii="Times New Roman" w:hAnsi="Times New Roman"/>
          <w:bCs/>
          <w:sz w:val="24"/>
        </w:rPr>
      </w:pPr>
      <w:r>
        <w:rPr>
          <w:rFonts w:hint="eastAsia" w:ascii="Times New Roman" w:hAnsi="Times New Roman"/>
          <w:bCs/>
          <w:sz w:val="24"/>
        </w:rPr>
        <w:t xml:space="preserve">如保险人拒赔的须向被保险人发出书面拒赔通知书并说明理由。</w:t>
      </w:r>
      <w:r/>
    </w:p>
    <w:p>
      <w:pPr>
        <w:ind w:left="-4" w:firstLine="480"/>
        <w:spacing w:line="440" w:lineRule="exact"/>
        <w:rPr>
          <w:rFonts w:hint="eastAsia" w:ascii="Times New Roman" w:hAnsi="Times New Roman"/>
          <w:bCs/>
          <w:color w:val="0000ff"/>
          <w:sz w:val="24"/>
        </w:rPr>
      </w:pPr>
      <w:r>
        <w:rPr>
          <w:rFonts w:hint="eastAsia" w:ascii="Times New Roman" w:hAnsi="Times New Roman"/>
          <w:bCs/>
          <w:sz w:val="24"/>
        </w:rPr>
        <w:t xml:space="preserve">9</w:t>
      </w:r>
      <w:r>
        <w:rPr>
          <w:rFonts w:ascii="Times New Roman" w:hAnsi="Times New Roman"/>
          <w:bCs/>
          <w:sz w:val="24"/>
        </w:rPr>
        <w:t xml:space="preserve">.2</w:t>
      </w:r>
      <w:r>
        <w:rPr>
          <w:rFonts w:hint="eastAsia" w:ascii="Times New Roman" w:hAnsi="Times New Roman"/>
          <w:bCs/>
          <w:sz w:val="24"/>
        </w:rPr>
        <w:t xml:space="preserve">保险人应当诚实履约，保险标的遭受保险事故后，应依据事实、保险合同约定与《保险法》等法律规定，及时主动核定、通知与支付保险金，杜绝拖延理赔。</w:t>
      </w:r>
      <w:r>
        <w:rPr>
          <w:rFonts w:ascii="Times New Roman" w:hAnsi="Times New Roman"/>
          <w:bCs/>
          <w:sz w:val="24"/>
        </w:rPr>
        <w:t xml:space="preserve">除非有合理和足够的证据证明，保险人不得以任何理由推卸、拖延甚至拒绝被保险人索赔的要求</w:t>
      </w:r>
      <w:r>
        <w:rPr>
          <w:rFonts w:hint="eastAsia" w:ascii="Times New Roman" w:hAnsi="Times New Roman"/>
          <w:bCs/>
          <w:sz w:val="24"/>
        </w:rPr>
        <w:t xml:space="preserve">。保险人怠于或拒绝履行法定理赔义务，其行为构成违约，须承担违约责任。保险人未按上述9.1要求完成赔付的，在减去约定结案天数后按赔偿金额的0.657‰/日×实际滞纳天数计算滞纳金赔付给被保险人。若造成被保险人损失的，应当承担民事赔偿责任，包括但不限于诉讼费、保全费、律师费、保全担保费等。</w:t>
      </w:r>
      <w:r/>
    </w:p>
    <w:p>
      <w:pPr>
        <w:ind w:firstLine="488"/>
        <w:jc w:val="left"/>
        <w:spacing w:line="360" w:lineRule="auto"/>
        <w:rPr>
          <w:rFonts w:ascii="Times New Roman" w:hAnsi="Times New Roman"/>
          <w:sz w:val="24"/>
        </w:rPr>
      </w:pPr>
      <w:r>
        <w:rPr>
          <w:rFonts w:hint="eastAsia" w:ascii="Times New Roman" w:hAnsi="Times New Roman"/>
          <w:spacing w:val="2"/>
          <w:sz w:val="24"/>
        </w:rPr>
        <w:t xml:space="preserve">9</w:t>
      </w:r>
      <w:r>
        <w:rPr>
          <w:rFonts w:ascii="Times New Roman" w:hAnsi="Times New Roman"/>
          <w:spacing w:val="2"/>
          <w:sz w:val="24"/>
        </w:rPr>
        <w:t xml:space="preserve">.3</w:t>
      </w:r>
      <w:r>
        <w:rPr>
          <w:rFonts w:ascii="Times New Roman" w:hAnsi="Times New Roman"/>
          <w:sz w:val="24"/>
        </w:rPr>
        <w:t xml:space="preserve">若因工程施工或抢险需要，导致被保险人因特殊情况无法报案或无法及时报案，有材料证明事故属于本保险项目保障范围的，保险人正常理赔。</w:t>
      </w:r>
      <w:r/>
    </w:p>
    <w:p>
      <w:pPr>
        <w:ind w:firstLine="480"/>
        <w:jc w:val="left"/>
        <w:spacing w:line="360" w:lineRule="auto"/>
        <w:rPr>
          <w:rFonts w:ascii="Times New Roman" w:hAnsi="Times New Roman"/>
          <w:bCs/>
          <w:sz w:val="24"/>
        </w:rPr>
      </w:pPr>
      <w:r>
        <w:rPr>
          <w:rFonts w:hint="eastAsia" w:ascii="Times New Roman" w:hAnsi="Times New Roman"/>
          <w:bCs/>
          <w:sz w:val="24"/>
        </w:rPr>
        <w:t xml:space="preserve">9</w:t>
      </w:r>
      <w:r>
        <w:rPr>
          <w:rFonts w:ascii="Times New Roman" w:hAnsi="Times New Roman"/>
          <w:bCs/>
          <w:sz w:val="24"/>
        </w:rPr>
        <w:t xml:space="preserve">.4被保险人及保障对象应尽可能为保险人、公估人调查和取证工作保留事故现场；对无法留待保险人、公估人查勘的事故现场，被保险人及保障对象应尽可能留下照片、录像、文字记录供保险人审核之用。</w:t>
      </w:r>
      <w:r/>
    </w:p>
    <w:p>
      <w:pPr>
        <w:ind w:firstLine="480"/>
        <w:spacing w:line="360" w:lineRule="auto"/>
        <w:rPr>
          <w:rFonts w:ascii="Times New Roman" w:hAnsi="Times New Roman"/>
          <w:sz w:val="24"/>
        </w:rPr>
      </w:pPr>
      <w:r>
        <w:rPr>
          <w:rFonts w:hint="eastAsia" w:ascii="Times New Roman" w:hAnsi="Times New Roman"/>
          <w:sz w:val="24"/>
        </w:rPr>
        <w:t xml:space="preserve">10</w:t>
      </w:r>
      <w:r>
        <w:rPr>
          <w:rFonts w:ascii="Times New Roman" w:hAnsi="Times New Roman"/>
          <w:sz w:val="24"/>
        </w:rPr>
        <w:t xml:space="preserve">、特殊情况处理</w:t>
      </w:r>
      <w:r/>
    </w:p>
    <w:p>
      <w:pPr>
        <w:ind w:firstLine="480"/>
        <w:jc w:val="left"/>
        <w:spacing w:line="360" w:lineRule="auto"/>
        <w:rPr>
          <w:rFonts w:ascii="Times New Roman" w:hAnsi="Times New Roman"/>
          <w:sz w:val="24"/>
        </w:rPr>
      </w:pPr>
      <w:r>
        <w:rPr>
          <w:rFonts w:hint="eastAsia" w:ascii="Times New Roman" w:hAnsi="Times New Roman"/>
          <w:sz w:val="24"/>
        </w:rPr>
        <w:t xml:space="preserve">10</w:t>
      </w:r>
      <w:r>
        <w:rPr>
          <w:rFonts w:ascii="Times New Roman" w:hAnsi="Times New Roman"/>
          <w:sz w:val="24"/>
        </w:rPr>
        <w:t xml:space="preserve">.1因本保险项目是采购人为常州市新北区农户采购的普惠性公共保险，中标保险人应当认真听取采购人对案件处理的意见。发生保险事故后，若预估损失金额超过</w:t>
      </w:r>
      <w:r>
        <w:rPr>
          <w:rFonts w:hint="eastAsia" w:ascii="Times New Roman" w:hAnsi="Times New Roman"/>
          <w:sz w:val="24"/>
        </w:rPr>
        <w:t xml:space="preserve">3</w:t>
      </w:r>
      <w:r>
        <w:rPr>
          <w:rFonts w:ascii="Times New Roman" w:hAnsi="Times New Roman"/>
          <w:sz w:val="24"/>
        </w:rPr>
        <w:t xml:space="preserve">000元/件，应及时向采购人汇报。当发生下列情况时，启动大面积灾害处理程序，由中标人在查勘估损基础上提出初步理赔方案，经与采购人协商一致后实施：</w:t>
      </w:r>
      <w:r/>
    </w:p>
    <w:p>
      <w:pPr>
        <w:numPr>
          <w:ilvl w:val="0"/>
          <w:numId w:val="10"/>
        </w:numPr>
        <w:ind w:left="420"/>
        <w:jc w:val="left"/>
        <w:spacing w:line="360" w:lineRule="auto"/>
        <w:rPr>
          <w:rFonts w:ascii="Times New Roman" w:hAnsi="Times New Roman"/>
          <w:bCs/>
          <w:sz w:val="24"/>
        </w:rPr>
      </w:pPr>
      <w:r>
        <w:rPr>
          <w:rFonts w:ascii="Times New Roman" w:hAnsi="Times New Roman"/>
          <w:bCs/>
          <w:sz w:val="24"/>
        </w:rPr>
        <w:t xml:space="preserve">一次事故报案件数超过50件（含）的；</w:t>
      </w:r>
      <w:r/>
    </w:p>
    <w:p>
      <w:pPr>
        <w:numPr>
          <w:ilvl w:val="0"/>
          <w:numId w:val="10"/>
        </w:numPr>
        <w:ind w:left="420"/>
        <w:jc w:val="left"/>
        <w:spacing w:line="360" w:lineRule="auto"/>
        <w:rPr>
          <w:rFonts w:ascii="Times New Roman" w:hAnsi="Times New Roman"/>
          <w:spacing w:val="2"/>
          <w:sz w:val="24"/>
        </w:rPr>
      </w:pPr>
      <w:r>
        <w:rPr>
          <w:rFonts w:ascii="Times New Roman" w:hAnsi="Times New Roman"/>
          <w:bCs/>
          <w:sz w:val="24"/>
        </w:rPr>
        <w:t xml:space="preserve">一次事故涉及多个不同辖区的；</w:t>
      </w:r>
      <w:r/>
    </w:p>
    <w:p>
      <w:pPr>
        <w:jc w:val="left"/>
        <w:spacing w:line="360" w:lineRule="auto"/>
        <w:rPr>
          <w:rFonts w:ascii="Times New Roman" w:hAnsi="Times New Roman"/>
          <w:bCs/>
          <w:sz w:val="24"/>
        </w:rPr>
      </w:pPr>
      <w:r>
        <w:rPr>
          <w:rFonts w:hint="eastAsia" w:ascii="Times New Roman" w:hAnsi="Times New Roman"/>
          <w:bCs/>
          <w:sz w:val="24"/>
        </w:rPr>
        <w:t xml:space="preserve">       （3）</w:t>
      </w:r>
      <w:r>
        <w:rPr>
          <w:rFonts w:ascii="Times New Roman" w:hAnsi="Times New Roman"/>
          <w:bCs/>
          <w:sz w:val="24"/>
        </w:rPr>
        <w:t xml:space="preserve">采购人认为应当由采购人参与协商处理以维护社会稳定的情况。</w:t>
      </w:r>
      <w:r/>
    </w:p>
    <w:p>
      <w:pPr>
        <w:pStyle w:val="1506"/>
        <w:ind w:firstLine="480"/>
        <w:spacing w:line="360" w:lineRule="auto"/>
      </w:pPr>
      <w:r>
        <w:rPr>
          <w:rFonts w:hint="eastAsia" w:ascii="Times New Roman" w:hAnsi="Times New Roman"/>
        </w:rPr>
        <w:t xml:space="preserve">10.2 在遭遇火灾、爆炸或自然灾害等保险事故，致使农户受损，按照“宜宽不宜严、宜粗不宜细、应赔尽赔”原则进行理赔，气象部门出具证明常州市区域内达到保险理赔条款所设定的理赔条件，即视同于所有涉保镇（街道）均达到理赔气象条件。特殊案件经主管部门认定可以赔偿，中标人应按照实际损失进行赔偿。</w:t>
      </w:r>
      <w:r/>
    </w:p>
    <w:p>
      <w:pPr>
        <w:ind w:firstLine="480"/>
        <w:jc w:val="left"/>
        <w:spacing w:line="360" w:lineRule="auto"/>
        <w:rPr>
          <w:rFonts w:ascii="Times New Roman" w:hAnsi="Times New Roman"/>
          <w:bCs/>
          <w:sz w:val="24"/>
        </w:rPr>
      </w:pPr>
      <w:r>
        <w:rPr>
          <w:rFonts w:hint="eastAsia" w:ascii="Times New Roman" w:hAnsi="Times New Roman"/>
          <w:bCs/>
          <w:sz w:val="24"/>
        </w:rPr>
        <w:t xml:space="preserve">11</w:t>
      </w:r>
      <w:r>
        <w:rPr>
          <w:rFonts w:ascii="Times New Roman" w:hAnsi="Times New Roman"/>
          <w:bCs/>
          <w:sz w:val="24"/>
        </w:rPr>
        <w:t xml:space="preserve">、赔付标准</w:t>
      </w:r>
      <w:r/>
    </w:p>
    <w:p>
      <w:pPr>
        <w:ind w:firstLine="480"/>
        <w:jc w:val="left"/>
        <w:spacing w:line="360" w:lineRule="auto"/>
        <w:rPr>
          <w:rFonts w:ascii="Times New Roman" w:hAnsi="Times New Roman"/>
          <w:bCs/>
          <w:sz w:val="24"/>
        </w:rPr>
      </w:pPr>
      <w:r>
        <w:rPr>
          <w:rFonts w:hint="eastAsia" w:ascii="Times New Roman" w:hAnsi="Times New Roman"/>
          <w:bCs/>
          <w:sz w:val="24"/>
        </w:rPr>
        <w:t xml:space="preserve">11</w:t>
      </w:r>
      <w:r>
        <w:rPr>
          <w:rFonts w:ascii="Times New Roman" w:hAnsi="Times New Roman"/>
          <w:bCs/>
          <w:sz w:val="24"/>
        </w:rPr>
        <w:t xml:space="preserve">.1保险标的发生保险责任范围内的损失，保险人以货币方式（支付保险金）赔偿；</w:t>
      </w:r>
      <w:r/>
    </w:p>
    <w:p>
      <w:pPr>
        <w:ind w:firstLine="480"/>
        <w:jc w:val="left"/>
        <w:spacing w:line="360" w:lineRule="auto"/>
        <w:rPr>
          <w:rFonts w:hint="eastAsia" w:ascii="Times New Roman" w:hAnsi="Times New Roman"/>
          <w:bCs/>
          <w:sz w:val="24"/>
        </w:rPr>
      </w:pPr>
      <w:r>
        <w:rPr>
          <w:rFonts w:hint="eastAsia" w:ascii="Times New Roman" w:hAnsi="Times New Roman"/>
          <w:bCs/>
          <w:sz w:val="24"/>
        </w:rPr>
        <w:t xml:space="preserve">11</w:t>
      </w:r>
      <w:r>
        <w:rPr>
          <w:rFonts w:ascii="Times New Roman" w:hAnsi="Times New Roman"/>
          <w:bCs/>
          <w:sz w:val="24"/>
        </w:rPr>
        <w:t xml:space="preserve">.2 因自然灾害、火灾、爆炸等造成房屋、家庭财产损失依据《</w:t>
      </w:r>
      <w:r>
        <w:rPr>
          <w:rFonts w:hint="eastAsia" w:ascii="Times New Roman" w:hAnsi="Times New Roman"/>
          <w:bCs/>
          <w:sz w:val="24"/>
        </w:rPr>
        <w:t xml:space="preserve">关于印发常州市国有土地上征收房屋等级和建安工程重置价格等标准的通知</w:t>
      </w:r>
      <w:r>
        <w:rPr>
          <w:rFonts w:ascii="Times New Roman" w:hAnsi="Times New Roman"/>
          <w:bCs/>
          <w:sz w:val="24"/>
        </w:rPr>
        <w:t xml:space="preserve">》（常</w:t>
      </w:r>
      <w:r>
        <w:rPr>
          <w:rFonts w:hint="eastAsia" w:ascii="Times New Roman" w:hAnsi="Times New Roman"/>
          <w:bCs/>
          <w:sz w:val="24"/>
        </w:rPr>
        <w:t xml:space="preserve">住</w:t>
      </w:r>
      <w:r>
        <w:rPr>
          <w:rFonts w:ascii="Times New Roman" w:hAnsi="Times New Roman"/>
          <w:bCs/>
          <w:sz w:val="24"/>
        </w:rPr>
        <w:t xml:space="preserve">建〔20</w:t>
      </w:r>
      <w:r>
        <w:rPr>
          <w:rFonts w:hint="eastAsia" w:ascii="Times New Roman" w:hAnsi="Times New Roman"/>
          <w:bCs/>
          <w:sz w:val="24"/>
        </w:rPr>
        <w:t xml:space="preserve">22</w:t>
      </w:r>
      <w:r>
        <w:rPr>
          <w:rFonts w:ascii="Times New Roman" w:hAnsi="Times New Roman"/>
          <w:bCs/>
          <w:sz w:val="24"/>
        </w:rPr>
        <w:t xml:space="preserve">〕</w:t>
      </w:r>
      <w:r>
        <w:rPr>
          <w:rFonts w:hint="eastAsia" w:ascii="Times New Roman" w:hAnsi="Times New Roman"/>
          <w:bCs/>
          <w:sz w:val="24"/>
        </w:rPr>
        <w:t xml:space="preserve">252</w:t>
      </w:r>
      <w:r>
        <w:rPr>
          <w:rFonts w:ascii="Times New Roman" w:hAnsi="Times New Roman"/>
          <w:bCs/>
          <w:sz w:val="24"/>
        </w:rPr>
        <w:t xml:space="preserve">号）</w:t>
      </w:r>
      <w:r>
        <w:rPr>
          <w:rFonts w:hint="eastAsia" w:ascii="Times New Roman" w:hAnsi="Times New Roman"/>
          <w:bCs/>
          <w:sz w:val="24"/>
        </w:rPr>
        <w:t xml:space="preserve">标准</w:t>
      </w:r>
      <w:r>
        <w:rPr>
          <w:rFonts w:ascii="Times New Roman" w:hAnsi="Times New Roman"/>
          <w:bCs/>
          <w:sz w:val="24"/>
        </w:rPr>
        <w:t xml:space="preserve">计算理赔</w:t>
      </w:r>
      <w:r>
        <w:rPr>
          <w:rFonts w:hint="eastAsia" w:ascii="Times New Roman" w:hAnsi="Times New Roman"/>
          <w:bCs/>
          <w:sz w:val="24"/>
        </w:rPr>
        <w:t xml:space="preserve">（在保险期间内，如政府主管部门出台新的标准，则按照新标准执行）；</w:t>
      </w:r>
      <w:r/>
    </w:p>
    <w:p>
      <w:pPr>
        <w:ind w:firstLine="480"/>
        <w:jc w:val="left"/>
        <w:spacing w:line="360" w:lineRule="auto"/>
        <w:rPr>
          <w:rFonts w:ascii="Times New Roman" w:hAnsi="Times New Roman"/>
          <w:bCs/>
          <w:sz w:val="24"/>
        </w:rPr>
      </w:pPr>
      <w:r>
        <w:rPr>
          <w:rFonts w:hint="eastAsia" w:ascii="Times New Roman" w:hAnsi="Times New Roman"/>
          <w:bCs/>
          <w:sz w:val="24"/>
        </w:rPr>
        <w:t xml:space="preserve">11</w:t>
      </w:r>
      <w:r>
        <w:rPr>
          <w:rFonts w:ascii="Times New Roman" w:hAnsi="Times New Roman"/>
          <w:bCs/>
          <w:sz w:val="24"/>
        </w:rPr>
        <w:t xml:space="preserve">.</w:t>
      </w:r>
      <w:r>
        <w:rPr>
          <w:rFonts w:hint="eastAsia" w:ascii="Times New Roman" w:hAnsi="Times New Roman"/>
          <w:bCs/>
          <w:sz w:val="24"/>
        </w:rPr>
        <w:t xml:space="preserve">3</w:t>
      </w:r>
      <w:r>
        <w:rPr>
          <w:rFonts w:ascii="Times New Roman" w:hAnsi="Times New Roman"/>
          <w:bCs/>
          <w:sz w:val="24"/>
        </w:rPr>
        <w:t xml:space="preserve">按第一危险责任赔偿。</w:t>
      </w:r>
      <w:r/>
    </w:p>
    <w:p>
      <w:pPr>
        <w:ind w:firstLine="480"/>
        <w:jc w:val="left"/>
        <w:spacing w:line="360" w:lineRule="auto"/>
        <w:rPr>
          <w:rFonts w:ascii="Times New Roman" w:hAnsi="Times New Roman"/>
          <w:spacing w:val="2"/>
          <w:sz w:val="24"/>
        </w:rPr>
      </w:pPr>
      <w:r>
        <w:rPr>
          <w:rFonts w:ascii="Times New Roman" w:hAnsi="Times New Roman"/>
          <w:bCs/>
          <w:sz w:val="24"/>
        </w:rPr>
        <w:t xml:space="preserve">1</w:t>
      </w:r>
      <w:r>
        <w:rPr>
          <w:rFonts w:hint="eastAsia" w:ascii="Times New Roman" w:hAnsi="Times New Roman"/>
          <w:bCs/>
          <w:sz w:val="24"/>
        </w:rPr>
        <w:t xml:space="preserve">2</w:t>
      </w:r>
      <w:r>
        <w:rPr>
          <w:rFonts w:ascii="Times New Roman" w:hAnsi="Times New Roman"/>
          <w:bCs/>
          <w:sz w:val="24"/>
        </w:rPr>
        <w:t xml:space="preserve">、</w:t>
      </w:r>
      <w:r>
        <w:rPr>
          <w:rFonts w:ascii="Times New Roman" w:hAnsi="Times New Roman"/>
          <w:spacing w:val="2"/>
          <w:sz w:val="24"/>
        </w:rPr>
        <w:t xml:space="preserve">关于对保险人的监督管理及绩效考评</w:t>
      </w:r>
      <w:r/>
    </w:p>
    <w:p>
      <w:pPr>
        <w:ind w:firstLine="480"/>
        <w:jc w:val="left"/>
        <w:spacing w:line="360" w:lineRule="auto"/>
        <w:rPr>
          <w:rStyle w:val="1504"/>
          <w:rFonts w:ascii="Times New Roman" w:hAnsi="Times New Roman"/>
          <w:color w:val="000000"/>
          <w:spacing w:val="2"/>
          <w:sz w:val="24"/>
        </w:rPr>
      </w:pPr>
      <w:r>
        <w:rPr>
          <w:rFonts w:ascii="Times New Roman" w:hAnsi="Times New Roman"/>
          <w:bCs/>
          <w:sz w:val="24"/>
        </w:rPr>
        <w:t xml:space="preserve">1</w:t>
      </w:r>
      <w:r>
        <w:rPr>
          <w:rFonts w:hint="eastAsia" w:ascii="Times New Roman" w:hAnsi="Times New Roman"/>
          <w:spacing w:val="2"/>
          <w:sz w:val="24"/>
        </w:rPr>
        <w:t xml:space="preserve">2</w:t>
      </w:r>
      <w:r>
        <w:rPr>
          <w:rFonts w:ascii="Times New Roman" w:hAnsi="Times New Roman"/>
          <w:spacing w:val="2"/>
          <w:sz w:val="24"/>
        </w:rPr>
        <w:t xml:space="preserve">.1</w:t>
      </w:r>
      <w:r>
        <w:rPr>
          <w:rFonts w:ascii="Times New Roman" w:hAnsi="Times New Roman"/>
          <w:color w:val="000000"/>
          <w:spacing w:val="2"/>
          <w:sz w:val="24"/>
        </w:rPr>
        <w:fldChar w:fldCharType="begin"/>
      </w:r>
      <w:r>
        <w:rPr>
          <w:rFonts w:ascii="Times New Roman" w:hAnsi="Times New Roman"/>
          <w:color w:val="000000"/>
          <w:spacing w:val="2"/>
          <w:sz w:val="24"/>
        </w:rPr>
        <w:instrText xml:space="preserve"> HYPERLINK "mailto:为了整个承保机制顺利运行，中标保险公司必须定期向经纪人江苏常信保险经纪有限公司汇报项目运行情况。中标公司于每周五下午15时前将本周接报案明细以邮件形式发送给保险经纪人；于每月5日将上月结案明细以邮件形式发送给保险经纪人（邮箱flyzyz@163.com）。按照规定提交各类报表、赔款理算书、案件汇总、支付赔款凭证等，协助经纪人做好各项工作。" </w:instrText>
      </w:r>
      <w:r>
        <w:rPr>
          <w:rFonts w:ascii="Times New Roman" w:hAnsi="Times New Roman"/>
          <w:color w:val="000000"/>
          <w:spacing w:val="2"/>
          <w:sz w:val="24"/>
        </w:rPr>
        <w:fldChar w:fldCharType="separate"/>
      </w:r>
      <w:r>
        <w:rPr>
          <w:rStyle w:val="1504"/>
          <w:rFonts w:ascii="Times New Roman" w:hAnsi="Times New Roman"/>
          <w:color w:val="000000"/>
          <w:spacing w:val="2"/>
          <w:sz w:val="24"/>
          <w:u w:val="none"/>
        </w:rPr>
        <w:t xml:space="preserve">为了整个承保机制顺利运行，承保人必须每季度向采购人农业农村局汇总项目运行情况，包括理赔清单和汇总表等。</w:t>
      </w:r>
      <w:r>
        <w:rPr>
          <w:rFonts w:ascii="Times New Roman" w:hAnsi="Times New Roman"/>
          <w:color w:val="000000"/>
          <w:spacing w:val="2"/>
          <w:sz w:val="24"/>
        </w:rPr>
        <w:fldChar w:fldCharType="end"/>
      </w:r>
      <w:r>
        <w:rPr>
          <w:rStyle w:val="1504"/>
          <w:rFonts w:ascii="Times New Roman" w:hAnsi="Times New Roman"/>
          <w:color w:val="000000"/>
          <w:spacing w:val="2"/>
          <w:sz w:val="24"/>
          <w:u w:val="none"/>
        </w:rPr>
        <w:t xml:space="preserve">每季度理赔报表格式如下：</w:t>
      </w:r>
      <w:r/>
    </w:p>
    <w:p>
      <w:pPr>
        <w:jc w:val="left"/>
        <w:spacing w:line="360" w:lineRule="auto"/>
        <w:rPr>
          <w:rFonts w:ascii="Times New Roman" w:hAnsi="Times New Roman"/>
          <w:spacing w:val="2"/>
          <w:sz w:val="24"/>
        </w:rPr>
      </w:pPr>
      <w:r>
        <w:rPr>
          <w:rFonts w:ascii="Times New Roman" w:hAnsi="Times New Roman"/>
          <w:sz w:val="24"/>
          <w:shd w:val="clear" w:color="ffffff" w:fill="d9d9d9"/>
        </w:rPr>
        <mc:AlternateContent>
          <mc:Choice Requires="wpg">
            <w:drawing>
              <wp:inline xmlns:wp="http://schemas.openxmlformats.org/drawingml/2006/wordprocessingDrawing" distT="0" distB="0" distL="0" distR="0">
                <wp:extent cx="5276850" cy="1600200"/>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32"/>
                        <a:stretch/>
                      </pic:blipFill>
                      <pic:spPr bwMode="auto">
                        <a:xfrm>
                          <a:off x="0" y="0"/>
                          <a:ext cx="5276850"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5pt;height:126.0pt;mso-wrap-distance-left:0.0pt;mso-wrap-distance-top:0.0pt;mso-wrap-distance-right:0.0pt;mso-wrap-distance-bottom:0.0pt;" stroked="f">
                <v:path textboxrect="0,0,0,0"/>
                <v:imagedata r:id="rId32" o:title=""/>
              </v:shape>
            </w:pict>
          </mc:Fallback>
        </mc:AlternateContent>
      </w:r>
      <w:r/>
    </w:p>
    <w:p>
      <w:pPr>
        <w:ind w:firstLine="488"/>
        <w:jc w:val="left"/>
        <w:spacing w:line="360" w:lineRule="auto"/>
        <w:rPr>
          <w:rFonts w:ascii="Times New Roman" w:hAnsi="Times New Roman"/>
          <w:spacing w:val="2"/>
          <w:sz w:val="24"/>
        </w:rPr>
      </w:pPr>
      <w:r>
        <w:rPr>
          <w:rFonts w:ascii="Times New Roman" w:hAnsi="Times New Roman"/>
          <w:spacing w:val="2"/>
          <w:sz w:val="24"/>
        </w:rPr>
        <w:t xml:space="preserve">1</w:t>
      </w:r>
      <w:r>
        <w:rPr>
          <w:rFonts w:hint="eastAsia" w:ascii="Times New Roman" w:hAnsi="Times New Roman"/>
          <w:spacing w:val="2"/>
          <w:sz w:val="24"/>
        </w:rPr>
        <w:t xml:space="preserve">2</w:t>
      </w:r>
      <w:r>
        <w:rPr>
          <w:rFonts w:ascii="Times New Roman" w:hAnsi="Times New Roman"/>
          <w:spacing w:val="2"/>
          <w:sz w:val="24"/>
        </w:rPr>
        <w:t xml:space="preserve">.2保险人在合同有效期内，应接受采购人的监督。如果其在理赔等服务中消极怠工或不作为，一个保险年度内监管提醒或有效投诉超过3起（含），一经查实，将取消其承保资格。</w:t>
      </w:r>
      <w:r/>
    </w:p>
    <w:p>
      <w:pPr>
        <w:ind w:firstLine="488"/>
        <w:jc w:val="left"/>
        <w:spacing w:line="360" w:lineRule="auto"/>
        <w:rPr>
          <w:rFonts w:ascii="Times New Roman" w:hAnsi="Times New Roman"/>
          <w:spacing w:val="2"/>
          <w:sz w:val="24"/>
          <w:highlight w:val="none"/>
        </w:rPr>
      </w:pPr>
      <w:r>
        <w:rPr>
          <w:rFonts w:ascii="Times New Roman" w:hAnsi="Times New Roman"/>
          <w:spacing w:val="2"/>
          <w:sz w:val="24"/>
          <w:highlight w:val="none"/>
        </w:rPr>
        <w:t xml:space="preserve">1</w:t>
      </w:r>
      <w:r>
        <w:rPr>
          <w:rFonts w:hint="eastAsia" w:ascii="Times New Roman" w:hAnsi="Times New Roman"/>
          <w:spacing w:val="2"/>
          <w:sz w:val="24"/>
          <w:highlight w:val="none"/>
        </w:rPr>
        <w:t xml:space="preserve">2</w:t>
      </w:r>
      <w:r>
        <w:rPr>
          <w:rFonts w:ascii="Times New Roman" w:hAnsi="Times New Roman"/>
          <w:spacing w:val="2"/>
          <w:sz w:val="24"/>
          <w:highlight w:val="none"/>
        </w:rPr>
        <w:t xml:space="preserve">.3采购人在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firstLine="488"/>
        <w:jc w:val="left"/>
        <w:spacing w:line="360" w:lineRule="auto"/>
        <w:rPr>
          <w:rFonts w:ascii="Times New Roman" w:hAnsi="Times New Roman"/>
          <w:spacing w:val="2"/>
          <w:sz w:val="24"/>
        </w:rPr>
      </w:pPr>
      <w:r>
        <w:rPr>
          <w:rFonts w:ascii="Times New Roman" w:hAnsi="Times New Roman"/>
          <w:spacing w:val="2"/>
          <w:sz w:val="24"/>
        </w:rPr>
        <w:t xml:space="preserve">1</w:t>
      </w:r>
      <w:r>
        <w:rPr>
          <w:rFonts w:hint="eastAsia" w:ascii="Times New Roman" w:hAnsi="Times New Roman"/>
          <w:spacing w:val="2"/>
          <w:sz w:val="24"/>
        </w:rPr>
        <w:t xml:space="preserve">3</w:t>
      </w:r>
      <w:r>
        <w:rPr>
          <w:rFonts w:ascii="Times New Roman" w:hAnsi="Times New Roman"/>
          <w:spacing w:val="2"/>
          <w:sz w:val="24"/>
        </w:rPr>
        <w:t xml:space="preserve">、防灾减损专款</w:t>
      </w:r>
      <w:r/>
    </w:p>
    <w:p>
      <w:pPr>
        <w:ind w:firstLine="488"/>
        <w:jc w:val="left"/>
        <w:spacing w:line="360" w:lineRule="auto"/>
        <w:rPr>
          <w:rFonts w:ascii="Times New Roman" w:hAnsi="Times New Roman"/>
          <w:spacing w:val="2"/>
          <w:sz w:val="24"/>
        </w:rPr>
      </w:pPr>
      <w:r>
        <w:rPr>
          <w:rFonts w:ascii="Times New Roman" w:hAnsi="Times New Roman"/>
          <w:spacing w:val="2"/>
          <w:sz w:val="24"/>
        </w:rPr>
        <w:t xml:space="preserve">为加强突发事故的应急处理，以及共同防范风险、降低赔付，中标人按比例将不低于总保费</w:t>
      </w:r>
      <w:r>
        <w:rPr>
          <w:rFonts w:hint="eastAsia" w:ascii="Times New Roman" w:hAnsi="Times New Roman"/>
          <w:spacing w:val="2"/>
          <w:sz w:val="24"/>
        </w:rPr>
        <w:t xml:space="preserve">3</w:t>
      </w:r>
      <w:r>
        <w:rPr>
          <w:rFonts w:ascii="Times New Roman" w:hAnsi="Times New Roman"/>
          <w:spacing w:val="2"/>
          <w:sz w:val="24"/>
        </w:rPr>
        <w:t xml:space="preserve">%的专款用于风险防范、宣传培训，以及突发事故的应急处理。</w:t>
      </w:r>
      <w:r/>
    </w:p>
    <w:p>
      <w:pPr>
        <w:ind w:firstLine="488"/>
        <w:jc w:val="left"/>
        <w:spacing w:line="360" w:lineRule="auto"/>
        <w:rPr>
          <w:rFonts w:ascii="Times New Roman" w:hAnsi="Times New Roman"/>
          <w:spacing w:val="2"/>
          <w:sz w:val="24"/>
        </w:rPr>
      </w:pPr>
      <w:r>
        <w:rPr>
          <w:rFonts w:ascii="Times New Roman" w:hAnsi="Times New Roman"/>
          <w:spacing w:val="2"/>
          <w:sz w:val="24"/>
        </w:rPr>
        <w:t xml:space="preserve">1</w:t>
      </w:r>
      <w:r>
        <w:rPr>
          <w:rFonts w:hint="eastAsia" w:ascii="Times New Roman" w:hAnsi="Times New Roman"/>
          <w:spacing w:val="2"/>
          <w:sz w:val="24"/>
        </w:rPr>
        <w:t xml:space="preserve">4</w:t>
      </w:r>
      <w:r>
        <w:rPr>
          <w:rFonts w:ascii="Times New Roman" w:hAnsi="Times New Roman"/>
          <w:spacing w:val="2"/>
          <w:sz w:val="24"/>
        </w:rPr>
        <w:t xml:space="preserve">、宣传及培训</w:t>
      </w:r>
      <w:r/>
    </w:p>
    <w:p>
      <w:pPr>
        <w:ind w:firstLine="488"/>
        <w:jc w:val="left"/>
        <w:spacing w:line="360" w:lineRule="auto"/>
        <w:rPr>
          <w:rFonts w:ascii="Times New Roman" w:hAnsi="Times New Roman"/>
          <w:spacing w:val="2"/>
          <w:sz w:val="24"/>
        </w:rPr>
      </w:pPr>
      <w:r>
        <w:rPr>
          <w:rFonts w:ascii="Times New Roman" w:hAnsi="Times New Roman"/>
          <w:spacing w:val="2"/>
          <w:sz w:val="24"/>
        </w:rPr>
        <w:t xml:space="preserve">本保险项目宣传工作</w:t>
      </w:r>
      <w:r>
        <w:rPr>
          <w:rFonts w:hint="eastAsia" w:ascii="Times New Roman" w:hAnsi="Times New Roman"/>
          <w:spacing w:val="2"/>
          <w:sz w:val="24"/>
        </w:rPr>
        <w:t xml:space="preserve">采取</w:t>
      </w:r>
      <w:r>
        <w:rPr>
          <w:rFonts w:ascii="Times New Roman" w:hAnsi="Times New Roman"/>
          <w:spacing w:val="2"/>
          <w:sz w:val="24"/>
        </w:rPr>
        <w:t xml:space="preserve">由采购人</w:t>
      </w:r>
      <w:r>
        <w:rPr>
          <w:rFonts w:hint="eastAsia" w:ascii="Times New Roman" w:hAnsi="Times New Roman"/>
          <w:spacing w:val="2"/>
          <w:sz w:val="24"/>
        </w:rPr>
        <w:t xml:space="preserve">同承保</w:t>
      </w:r>
      <w:r>
        <w:rPr>
          <w:rFonts w:ascii="Times New Roman" w:hAnsi="Times New Roman"/>
          <w:spacing w:val="2"/>
          <w:sz w:val="24"/>
        </w:rPr>
        <w:t xml:space="preserve">保险机构联办模式进行宣传。具体宣传工作由</w:t>
      </w:r>
      <w:r>
        <w:rPr>
          <w:rFonts w:hint="eastAsia" w:ascii="Times New Roman" w:hAnsi="Times New Roman"/>
          <w:spacing w:val="2"/>
          <w:sz w:val="24"/>
        </w:rPr>
        <w:t xml:space="preserve">中标单位牵头，</w:t>
      </w:r>
      <w:r>
        <w:rPr>
          <w:rFonts w:ascii="Times New Roman" w:hAnsi="Times New Roman"/>
          <w:spacing w:val="2"/>
          <w:sz w:val="24"/>
        </w:rPr>
        <w:t xml:space="preserve">此项费用从防灾减损专款中列支。培训工作由承保人负责，每年不少于1次。</w:t>
      </w:r>
      <w:r/>
    </w:p>
    <w:p>
      <w:pPr>
        <w:ind w:firstLine="488"/>
        <w:jc w:val="left"/>
        <w:spacing w:line="360" w:lineRule="auto"/>
        <w:rPr>
          <w:rFonts w:hint="eastAsia" w:ascii="Times New Roman" w:hAnsi="Times New Roman"/>
          <w:spacing w:val="2"/>
          <w:sz w:val="24"/>
          <w:highlight w:val="none"/>
        </w:rPr>
      </w:pPr>
      <w:r>
        <w:rPr>
          <w:rFonts w:hint="eastAsia" w:ascii="Times New Roman" w:hAnsi="Times New Roman"/>
          <w:spacing w:val="2"/>
          <w:sz w:val="24"/>
          <w:highlight w:val="none"/>
        </w:rPr>
        <w:t xml:space="preserve">15、如以联合体投标的中标人，由中标联合体牵头人与其他联合体共同签订共保协议，并上报采购人备案，此协议作为保险合同组成部分。联合共保协议不应违反本项目的招标文件、投标文件、保险协议及后续保险合同文件的规定和约定，联合体内部分歧的解决，应以不影响本采购人的保险利益为前提，任何联合体共保成员之间产生的利益矛盾与采购人无关。</w:t>
      </w:r>
      <w:r/>
    </w:p>
    <w:p>
      <w:pPr>
        <w:ind w:firstLine="488"/>
        <w:jc w:val="left"/>
        <w:spacing w:line="360" w:lineRule="auto"/>
        <w:rPr>
          <w:rFonts w:ascii="Times New Roman" w:hAnsi="Times New Roman"/>
          <w:spacing w:val="2"/>
          <w:sz w:val="24"/>
          <w:highlight w:val="none"/>
        </w:rPr>
      </w:pPr>
      <w:r>
        <w:rPr>
          <w:rFonts w:hint="eastAsia" w:ascii="Times New Roman" w:hAnsi="Times New Roman"/>
          <w:spacing w:val="2"/>
          <w:sz w:val="24"/>
          <w:highlight w:val="none"/>
        </w:rPr>
        <w:t xml:space="preserve">16、</w:t>
      </w:r>
      <w:r>
        <w:rPr>
          <w:rFonts w:hint="eastAsia" w:ascii="宋体" w:hAnsi="宋体" w:cs="宋体"/>
          <w:sz w:val="24"/>
          <w:highlight w:val="none"/>
        </w:rPr>
        <w:t xml:space="preserve">中标人应对获得或收到的保单信息、理赔信息、用户资料等信息保密。</w:t>
      </w:r>
      <w:r/>
    </w:p>
    <w:p>
      <w:pPr>
        <w:ind w:firstLine="480"/>
        <w:spacing w:line="360" w:lineRule="auto"/>
        <w:tabs>
          <w:tab w:val="left" w:pos="735" w:leader="none"/>
        </w:tabs>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7</w:t>
      </w:r>
      <w:r>
        <w:rPr>
          <w:rFonts w:ascii="Times New Roman" w:hAnsi="Times New Roman"/>
          <w:sz w:val="24"/>
        </w:rPr>
        <w:t xml:space="preserve">、附加说明：</w:t>
      </w:r>
      <w:r/>
    </w:p>
    <w:p>
      <w:pPr>
        <w:ind w:firstLine="480"/>
        <w:spacing w:line="360" w:lineRule="auto"/>
        <w:rPr>
          <w:rFonts w:ascii="Times New Roman" w:hAnsi="Times New Roman"/>
          <w:sz w:val="24"/>
          <w:highlight w:val="none"/>
        </w:rPr>
      </w:pPr>
      <w:r>
        <w:rPr>
          <w:rFonts w:ascii="Times New Roman" w:hAnsi="Times New Roman"/>
          <w:sz w:val="24"/>
          <w:highlight w:val="none"/>
        </w:rPr>
        <w:t xml:space="preserve">1</w:t>
      </w:r>
      <w:r>
        <w:rPr>
          <w:rFonts w:hint="eastAsia" w:ascii="Times New Roman" w:hAnsi="Times New Roman"/>
          <w:sz w:val="24"/>
          <w:highlight w:val="none"/>
        </w:rPr>
        <w:t xml:space="preserve">7</w:t>
      </w:r>
      <w:r>
        <w:rPr>
          <w:rFonts w:ascii="Times New Roman" w:hAnsi="Times New Roman"/>
          <w:sz w:val="24"/>
          <w:highlight w:val="none"/>
        </w:rPr>
        <w:t xml:space="preserve">.1“住房”的定义为：房屋地址为常州市新北区行政区域内，且为</w:t>
      </w:r>
      <w:r>
        <w:rPr>
          <w:rFonts w:hint="eastAsia" w:ascii="Times New Roman" w:hAnsi="Times New Roman"/>
          <w:sz w:val="24"/>
          <w:highlight w:val="none"/>
        </w:rPr>
        <w:t xml:space="preserve">被保障农户（</w:t>
      </w:r>
      <w:r>
        <w:rPr>
          <w:rFonts w:hint="eastAsia" w:ascii="Times New Roman" w:hAnsi="Times New Roman"/>
          <w:color w:val="000000"/>
          <w:sz w:val="24"/>
          <w:highlight w:val="none"/>
        </w:rPr>
        <w:t xml:space="preserve">包括新北区集体经济组织成员户和原始农村居民非成员户</w:t>
      </w:r>
      <w:r>
        <w:rPr>
          <w:rFonts w:hint="eastAsia" w:ascii="Times New Roman" w:hAnsi="Times New Roman"/>
          <w:sz w:val="24"/>
          <w:highlight w:val="none"/>
        </w:rPr>
        <w:t xml:space="preserve">）</w:t>
      </w:r>
      <w:r>
        <w:rPr>
          <w:rFonts w:ascii="Times New Roman" w:hAnsi="Times New Roman"/>
          <w:sz w:val="24"/>
          <w:highlight w:val="none"/>
        </w:rPr>
        <w:t xml:space="preserve">实际拥有产权（包括无产权但有购房发票以及能够证明房屋所有权的其他证明材料）</w:t>
      </w:r>
      <w:r>
        <w:rPr>
          <w:rFonts w:hint="eastAsia" w:ascii="Times New Roman" w:hAnsi="Times New Roman"/>
          <w:sz w:val="24"/>
          <w:highlight w:val="none"/>
        </w:rPr>
        <w:t xml:space="preserve">用于居住的</w:t>
      </w:r>
      <w:r>
        <w:rPr>
          <w:rFonts w:ascii="Times New Roman" w:hAnsi="Times New Roman"/>
          <w:sz w:val="24"/>
          <w:highlight w:val="none"/>
        </w:rPr>
        <w:t xml:space="preserve">房屋</w:t>
      </w:r>
      <w:r>
        <w:rPr>
          <w:rFonts w:hint="eastAsia" w:ascii="Times New Roman" w:hAnsi="Times New Roman"/>
          <w:sz w:val="24"/>
          <w:highlight w:val="none"/>
          <w:lang w:eastAsia="zh-CN"/>
        </w:rPr>
        <w:t xml:space="preserve">，不包括经营性店面、生产性用房</w:t>
      </w:r>
      <w:r>
        <w:rPr>
          <w:rFonts w:ascii="Times New Roman" w:hAnsi="Times New Roman"/>
          <w:sz w:val="24"/>
          <w:highlight w:val="none"/>
        </w:rPr>
        <w:t xml:space="preserve">。</w:t>
      </w:r>
      <w:r/>
    </w:p>
    <w:p>
      <w:pPr>
        <w:ind w:firstLine="480"/>
        <w:spacing w:line="360" w:lineRule="auto"/>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7</w:t>
      </w:r>
      <w:r>
        <w:rPr>
          <w:rFonts w:ascii="Times New Roman" w:hAnsi="Times New Roman"/>
          <w:sz w:val="24"/>
        </w:rPr>
        <w:t xml:space="preserve">.2因发生火灾、爆炸造成家庭房屋损坏的，如火灾、爆炸事故是由除被保险人以外的第三方引起的，保险人应先行赔付后取得代位追偿权。</w:t>
      </w:r>
      <w:r/>
    </w:p>
    <w:p>
      <w:pPr>
        <w:spacing w:line="360" w:lineRule="auto"/>
        <w:rPr>
          <w:rFonts w:ascii="宋体" w:hAnsi="宋体" w:cs="宋体"/>
          <w:b/>
          <w:bCs/>
          <w:sz w:val="24"/>
        </w:rPr>
      </w:pPr>
      <w:r>
        <w:rPr>
          <w:rFonts w:hint="eastAsia" w:ascii="宋体" w:hAnsi="宋体" w:cs="宋体"/>
          <w:b/>
          <w:bCs/>
          <w:sz w:val="24"/>
        </w:rPr>
        <w:t xml:space="preserve">    三、争议解决方式：</w:t>
      </w:r>
      <w:r/>
    </w:p>
    <w:p>
      <w:pPr>
        <w:ind w:firstLine="480"/>
        <w:jc w:val="left"/>
        <w:spacing w:line="360" w:lineRule="auto"/>
        <w:widowControl/>
        <w:rPr>
          <w:rFonts w:ascii="宋体" w:hAnsi="宋体" w:cs="宋体"/>
          <w:sz w:val="24"/>
          <w:szCs w:val="24"/>
        </w:rPr>
      </w:pPr>
      <w:r>
        <w:rPr>
          <w:rFonts w:hint="eastAsia" w:ascii="宋体" w:hAnsi="宋体" w:cs="宋体"/>
          <w:sz w:val="24"/>
          <w:szCs w:val="21"/>
        </w:rPr>
        <w:t xml:space="preserve">建立争议制度，—旦发生承保、理赔方面的争议，按以下程序进行：</w:t>
      </w:r>
      <w:r/>
    </w:p>
    <w:p>
      <w:pPr>
        <w:ind w:firstLine="480"/>
        <w:jc w:val="left"/>
        <w:spacing w:line="360" w:lineRule="auto"/>
        <w:widowControl/>
        <w:rPr>
          <w:rFonts w:ascii="宋体" w:hAnsi="宋体" w:cs="宋体"/>
          <w:sz w:val="24"/>
          <w:szCs w:val="24"/>
        </w:rPr>
      </w:pPr>
      <w:r>
        <w:rPr>
          <w:rFonts w:cs="Calibri"/>
          <w:sz w:val="24"/>
          <w:szCs w:val="21"/>
        </w:rPr>
        <w:t xml:space="preserve">①</w:t>
      </w:r>
      <w:r>
        <w:rPr>
          <w:rFonts w:hint="eastAsia" w:ascii="宋体" w:hAnsi="宋体" w:cs="宋体"/>
          <w:sz w:val="24"/>
          <w:szCs w:val="21"/>
        </w:rPr>
        <w:t xml:space="preserve">复查承保、理赔程序与相关要求，查明原因后与被保险人协商解决；</w:t>
      </w:r>
      <w:r/>
    </w:p>
    <w:p>
      <w:pPr>
        <w:ind w:firstLine="480"/>
        <w:jc w:val="left"/>
        <w:spacing w:line="360" w:lineRule="auto"/>
        <w:widowControl/>
        <w:rPr>
          <w:rFonts w:ascii="宋体" w:hAnsi="宋体" w:cs="宋体"/>
          <w:sz w:val="24"/>
          <w:szCs w:val="24"/>
        </w:rPr>
      </w:pPr>
      <w:r>
        <w:rPr>
          <w:rFonts w:cs="Calibri"/>
          <w:sz w:val="24"/>
          <w:szCs w:val="21"/>
        </w:rPr>
        <w:t xml:space="preserve">②</w:t>
      </w:r>
      <w:r>
        <w:rPr>
          <w:rFonts w:hint="eastAsia" w:ascii="宋体" w:hAnsi="宋体" w:cs="宋体"/>
          <w:sz w:val="24"/>
          <w:szCs w:val="21"/>
        </w:rPr>
        <w:t xml:space="preserve">与被保险人协商未决，递交村、镇主管部门共同与被保险人协商解决；在协商过程中，以被保险人实际损失为依据，充分尊重主管部门的意见；</w:t>
      </w:r>
      <w:r/>
    </w:p>
    <w:p>
      <w:pPr>
        <w:ind w:firstLine="480"/>
        <w:jc w:val="left"/>
        <w:spacing w:line="360" w:lineRule="auto"/>
        <w:widowControl/>
        <w:rPr>
          <w:rFonts w:hint="eastAsia" w:ascii="宋体" w:hAnsi="宋体" w:cs="宋体"/>
          <w:bCs/>
          <w:sz w:val="24"/>
        </w:rPr>
      </w:pPr>
      <w:r>
        <w:rPr>
          <w:rFonts w:cs="Calibri"/>
          <w:sz w:val="24"/>
          <w:szCs w:val="21"/>
        </w:rPr>
        <w:t xml:space="preserve">③</w:t>
      </w:r>
      <w:r>
        <w:rPr>
          <w:rFonts w:hint="eastAsia" w:ascii="宋体" w:hAnsi="宋体" w:cs="宋体"/>
          <w:sz w:val="24"/>
          <w:szCs w:val="21"/>
        </w:rPr>
        <w:t xml:space="preserve">如果协商不成，依法向有管辖权的人民法院提起诉讼。</w:t>
      </w:r>
      <w:r/>
    </w:p>
    <w:p>
      <w:pPr>
        <w:ind w:firstLine="482"/>
        <w:jc w:val="left"/>
        <w:spacing w:line="360" w:lineRule="auto"/>
        <w:rPr>
          <w:rFonts w:ascii="宋体" w:hAnsi="宋体" w:cs="宋体"/>
          <w:b/>
          <w:sz w:val="24"/>
        </w:rPr>
      </w:pPr>
      <w:r>
        <w:rPr>
          <w:rFonts w:hint="eastAsia" w:ascii="宋体" w:hAnsi="宋体" w:cs="宋体"/>
          <w:b/>
          <w:sz w:val="24"/>
        </w:rPr>
        <w:t xml:space="preserve">四、关于保险合同</w:t>
      </w:r>
      <w:r/>
    </w:p>
    <w:p>
      <w:pPr>
        <w:jc w:val="left"/>
        <w:spacing w:line="360" w:lineRule="auto"/>
        <w:rPr>
          <w:rFonts w:ascii="宋体" w:hAnsi="宋体" w:cs="宋体"/>
          <w:bCs/>
          <w:sz w:val="24"/>
        </w:rPr>
      </w:pPr>
      <w:r>
        <w:rPr>
          <w:rFonts w:hint="eastAsia" w:ascii="宋体" w:hAnsi="宋体" w:cs="宋体"/>
          <w:bCs/>
          <w:sz w:val="24"/>
        </w:rPr>
        <w:t xml:space="preserve">    1、 本招标文件与中标人投标文件、保险合同、今后可能产生的批单、书面询问/答疑问和各方往来函电等构成保险合同。构成保险合同的所有文件被认为是一个整体，相互说明、互为补充、如条文含义不明确时，按保险法有关规定办理。 </w:t>
      </w:r>
      <w:r/>
    </w:p>
    <w:p>
      <w:pPr>
        <w:jc w:val="left"/>
        <w:spacing w:line="360" w:lineRule="auto"/>
        <w:rPr>
          <w:rFonts w:ascii="宋体" w:hAnsi="宋体" w:cs="宋体"/>
          <w:bCs/>
          <w:sz w:val="24"/>
        </w:rPr>
      </w:pPr>
      <w:r>
        <w:rPr>
          <w:rFonts w:hint="eastAsia" w:ascii="宋体" w:hAnsi="宋体" w:cs="宋体"/>
          <w:bCs/>
          <w:sz w:val="24"/>
        </w:rPr>
        <w:t xml:space="preserve">    2 、保险人对保险条款进行解释时，只是合同一方的理解，对争议或歧义的裁决应按保险法规定做出有利于被保险人的解释，若仍有争议则以法院裁决为准。但本条约定并不排斥双方平等协商解决争议的原则。</w:t>
      </w:r>
      <w:r/>
    </w:p>
    <w:p>
      <w:pPr>
        <w:jc w:val="left"/>
        <w:spacing w:line="360" w:lineRule="auto"/>
        <w:rPr>
          <w:rFonts w:hint="eastAsia" w:ascii="宋体" w:hAnsi="宋体" w:cs="宋体"/>
          <w:bCs/>
          <w:sz w:val="24"/>
        </w:rPr>
      </w:pPr>
      <w:r>
        <w:rPr>
          <w:rFonts w:hint="eastAsia" w:ascii="宋体" w:hAnsi="宋体" w:cs="宋体"/>
          <w:bCs/>
          <w:sz w:val="24"/>
        </w:rPr>
        <w:t xml:space="preserve">    3、 关于签订合同：中标单位应当在中标通知书发出之日起15日内，与采购人签订合同。合同内容应符合采购人的具体要求，并不得对本招标文件有实质性改变。</w:t>
      </w:r>
      <w:r/>
    </w:p>
    <w:p>
      <w:pPr>
        <w:ind w:firstLine="482"/>
        <w:jc w:val="left"/>
        <w:spacing w:line="360" w:lineRule="auto"/>
        <w:rPr>
          <w:rFonts w:hint="eastAsia" w:ascii="宋体" w:hAnsi="宋体" w:cs="仿宋_GB2312"/>
          <w:b/>
          <w:bCs/>
          <w:spacing w:val="2"/>
          <w:sz w:val="24"/>
        </w:rPr>
      </w:pPr>
      <w:r>
        <w:rPr>
          <w:rFonts w:hint="eastAsia"/>
          <w:b/>
          <w:bCs/>
          <w:sz w:val="24"/>
        </w:rPr>
        <w:t xml:space="preserve">五、</w:t>
      </w:r>
      <w:r>
        <w:rPr>
          <w:rFonts w:hint="eastAsia" w:ascii="宋体" w:hAnsi="宋体" w:cs="仿宋_GB2312"/>
          <w:b/>
          <w:bCs/>
          <w:spacing w:val="2"/>
          <w:sz w:val="24"/>
        </w:rPr>
        <w:t xml:space="preserve">保险条款与</w:t>
      </w:r>
      <w:r>
        <w:rPr>
          <w:rFonts w:hint="eastAsia" w:ascii="宋体" w:hAnsi="宋体" w:cs="宋体"/>
          <w:b/>
          <w:bCs/>
          <w:sz w:val="24"/>
        </w:rPr>
        <w:t xml:space="preserve">保险方案及特别约定（采购需求）不一致的，以本保险方案</w:t>
      </w:r>
      <w:r>
        <w:rPr>
          <w:rFonts w:hint="eastAsia" w:ascii="宋体" w:hAnsi="宋体" w:cs="仿宋_GB2312"/>
          <w:b/>
          <w:bCs/>
          <w:spacing w:val="2"/>
          <w:sz w:val="24"/>
        </w:rPr>
        <w:t xml:space="preserve">及特别约定（采购需求）为准。</w:t>
      </w:r>
      <w:r/>
    </w:p>
    <w:p>
      <w:pPr>
        <w:ind w:firstLine="490"/>
        <w:jc w:val="left"/>
        <w:spacing w:line="360" w:lineRule="auto"/>
        <w:rPr>
          <w:rFonts w:ascii="宋体" w:hAnsi="宋体" w:cs="仿宋_GB2312"/>
          <w:b/>
          <w:bCs/>
          <w:spacing w:val="2"/>
          <w:sz w:val="24"/>
        </w:rPr>
      </w:pPr>
      <w:r>
        <w:rPr>
          <w:rFonts w:hint="eastAsia" w:ascii="宋体" w:hAnsi="宋体" w:cs="仿宋_GB2312"/>
          <w:b/>
          <w:bCs/>
          <w:spacing w:val="2"/>
          <w:sz w:val="24"/>
        </w:rPr>
        <w:t xml:space="preserve">六、相关文件：</w:t>
      </w:r>
      <w:r/>
    </w:p>
    <w:p>
      <w:pPr>
        <w:ind w:firstLine="420"/>
        <w:jc w:val="left"/>
        <w:rPr>
          <w:rFonts w:hint="eastAsia" w:ascii="宋体" w:hAnsi="宋体" w:cs="仿宋_GB2312"/>
          <w:color w:val="000000"/>
          <w:szCs w:val="32"/>
        </w:rPr>
      </w:pPr>
      <w:r>
        <w:rPr>
          <w:rFonts w:hint="eastAsia" w:ascii="宋体" w:hAnsi="宋体" w:cs="仿宋_GB2312"/>
          <w:color w:val="000000"/>
          <w:szCs w:val="32"/>
        </w:rPr>
      </w:r>
      <w:r/>
    </w:p>
    <w:p>
      <w:pPr>
        <w:ind w:firstLine="490"/>
        <w:jc w:val="center"/>
        <w:rPr>
          <w:rFonts w:hint="eastAsia" w:ascii="宋体" w:hAnsi="宋体" w:cs="仿宋_GB2312"/>
          <w:b/>
          <w:bCs/>
          <w:spacing w:val="2"/>
          <w:sz w:val="24"/>
        </w:rPr>
      </w:pPr>
      <w:r/>
      <w:bookmarkStart w:id="756" w:name="_Toc69709815"/>
      <w:r/>
      <w:bookmarkStart w:id="757" w:name="_Toc69709816"/>
      <w:r/>
      <w:bookmarkStart w:id="758" w:name="_Toc67030718"/>
      <w:r/>
      <w:bookmarkStart w:id="759" w:name="_Toc69710889"/>
      <w:r/>
      <w:bookmarkStart w:id="760" w:name="_Toc69710888"/>
      <w:r>
        <w:rPr>
          <w:rFonts w:hint="eastAsia" w:ascii="宋体" w:hAnsi="宋体" w:cs="仿宋_GB2312"/>
          <w:b/>
          <w:bCs/>
          <w:spacing w:val="2"/>
          <w:sz w:val="24"/>
        </w:rPr>
        <w:t xml:space="preserve">关于印发常州市国有土地上征收房屋等级和建安工程重置价格等标准的通知</w:t>
      </w:r>
      <w:bookmarkEnd w:id="756"/>
      <w:r/>
      <w:bookmarkEnd w:id="757"/>
      <w:r/>
      <w:bookmarkEnd w:id="758"/>
      <w:r/>
      <w:bookmarkEnd w:id="759"/>
      <w:r/>
      <w:bookmarkEnd w:id="760"/>
      <w:r/>
      <w:r/>
    </w:p>
    <w:tbl>
      <w:tblPr>
        <w:tblStyle w:val="1313"/>
        <w:tblW w:w="4750" w:type="pct"/>
        <w:jc w:val="center"/>
        <w:tblCellSpacing w:w="0" w:type="dxa"/>
        <w:tblLayout w:type="autofit"/>
        <w:tblCellMar>
          <w:left w:w="0" w:type="dxa"/>
          <w:top w:w="600" w:type="dxa"/>
          <w:right w:w="0" w:type="dxa"/>
          <w:bottom w:w="600" w:type="dxa"/>
        </w:tblCellMar>
        <w:tblLook w:val="04A0" w:firstRow="1" w:lastRow="0" w:firstColumn="1" w:lastColumn="0" w:noHBand="0" w:noVBand="1"/>
      </w:tblPr>
      <w:tblGrid>
        <w:gridCol w:w="9681"/>
      </w:tblGrid>
      <w:tr>
        <w:trPr>
          <w:jc w:val="center"/>
          <w:tblCellSpacing w:w="0" w:type="dxa"/>
          <w:trHeight w:val="745"/>
        </w:trPr>
        <w:tc>
          <w:tcPr>
            <w:shd w:val="clear" w:color="auto" w:fill="ffffff"/>
            <w:tcBorders>
              <w:top w:val="none" w:color="000000" w:sz="4" w:space="0"/>
              <w:left w:val="none" w:color="000000" w:sz="4" w:space="0"/>
              <w:bottom w:val="none" w:color="000000" w:sz="4" w:space="0"/>
              <w:right w:val="none" w:color="000000" w:sz="4" w:space="0"/>
            </w:tcBorders>
            <w:tcMar>
              <w:top w:w="600" w:type="dxa"/>
              <w:bottom w:w="600" w:type="dxa"/>
            </w:tcMar>
            <w:tcW w:w="9681" w:type="dxa"/>
            <w:vAlign w:val="center"/>
            <w:textDirection w:val="lrTb"/>
            <w:noWrap w:val="false"/>
          </w:tcPr>
          <w:p>
            <w:pPr>
              <w:jc w:val="center"/>
              <w:shd w:val="clear" w:color="auto" w:fill="ffffff"/>
              <w:widowControl/>
              <w:rPr>
                <w:rFonts w:ascii="宋体" w:hAnsi="宋体" w:cs="宋体"/>
                <w:b/>
                <w:bCs/>
                <w:sz w:val="28"/>
                <w:szCs w:val="28"/>
              </w:rPr>
            </w:pPr>
            <w:r>
              <w:rPr>
                <w:rFonts w:ascii="宋体" w:hAnsi="宋体" w:cs="宋体"/>
                <w:b/>
                <w:bCs/>
                <w:sz w:val="28"/>
                <w:szCs w:val="28"/>
              </w:rPr>
              <w:t xml:space="preserve">关于印发常州市国有土地上征收房屋等级和建安工程重置价格等标准的通知</w:t>
            </w:r>
            <w:r/>
          </w:p>
          <w:p>
            <w:pPr>
              <w:jc w:val="center"/>
              <w:shd w:val="clear" w:color="auto" w:fill="ffffff"/>
              <w:widowControl/>
              <w:rPr>
                <w:rFonts w:ascii="宋体" w:hAnsi="宋体" w:cs="宋体"/>
                <w:b/>
                <w:bCs/>
                <w:sz w:val="28"/>
                <w:szCs w:val="28"/>
              </w:rPr>
            </w:pPr>
            <w:r>
              <w:rPr>
                <w:rFonts w:ascii="宋体" w:hAnsi="宋体" w:cs="宋体"/>
                <w:b/>
                <w:bCs/>
                <w:sz w:val="28"/>
                <w:szCs w:val="28"/>
              </w:rPr>
              <w:t xml:space="preserve">常住建〔2022〕252号</w:t>
            </w:r>
            <w:r/>
          </w:p>
        </w:tc>
      </w:tr>
      <w:tr>
        <w:trPr>
          <w:jc w:val="center"/>
          <w:tblCellSpacing w:w="0" w:type="dxa"/>
        </w:trPr>
        <w:tc>
          <w:tcPr>
            <w:shd w:val="clear" w:color="auto" w:fill="ffffff"/>
            <w:tcBorders>
              <w:top w:val="none" w:color="000000" w:sz="4" w:space="0"/>
              <w:left w:val="none" w:color="000000" w:sz="4" w:space="0"/>
              <w:bottom w:val="none" w:color="000000" w:sz="4" w:space="0"/>
              <w:right w:val="none" w:color="000000" w:sz="4" w:space="0"/>
            </w:tcBorders>
            <w:tcW w:w="9681" w:type="dxa"/>
            <w:vAlign w:val="top"/>
            <w:textDirection w:val="lrTb"/>
            <w:noWrap w:val="false"/>
          </w:tcPr>
          <w:p>
            <w:pPr>
              <w:pStyle w:val="1502"/>
              <w:spacing w:line="432" w:lineRule="auto"/>
              <w:widowControl/>
            </w:pPr>
            <w:r>
              <w:t xml:space="preserve">各有关单位： </w:t>
            </w:r>
            <w:r/>
          </w:p>
          <w:p>
            <w:pPr>
              <w:pStyle w:val="1502"/>
              <w:ind w:firstLine="420"/>
              <w:spacing w:line="432" w:lineRule="auto"/>
              <w:widowControl/>
            </w:pPr>
            <w:r>
              <w:t xml:space="preserve">为保障房屋征收评估结果客观公正，进一步增强可操作性，更好地维护被征收人的合法权益，现将《非营业用房基准价格》《房屋装饰装修及附属设施征收补偿评估重置成新价格》《市区征收房屋等级和建安工程重置价格标准》和《市区工业厂房征收房屋等级和建安工程重置价格标准》四个国有土地上房屋征收与补偿评估标准印发给你们，请遵照执行。 </w:t>
            </w:r>
            <w:r/>
          </w:p>
          <w:p>
            <w:pPr>
              <w:pStyle w:val="1502"/>
              <w:ind w:firstLine="420"/>
              <w:spacing w:line="432" w:lineRule="auto"/>
              <w:widowControl/>
            </w:pPr>
            <w:r>
              <w:t xml:space="preserve">本通知适用于本市市区（不含金坛区）国有土地上被征收房屋和用于产权调换房屋的价值评估，被征收房屋类似房地产的市场价格测算，以及对相关评估结果进行复核评估和鉴定等活动。 </w:t>
            </w:r>
            <w:r/>
          </w:p>
          <w:p>
            <w:pPr>
              <w:pStyle w:val="1502"/>
              <w:ind w:firstLine="420"/>
              <w:spacing w:line="432" w:lineRule="auto"/>
              <w:widowControl/>
            </w:pPr>
            <w:r>
              <w:t xml:space="preserve">武进区、新北区非住宅中的非营业用房基准价格由区住建、征收等部门参照本通知拟定并报市住建部门批准后执行。 </w:t>
            </w:r>
            <w:r/>
          </w:p>
          <w:p>
            <w:pPr>
              <w:pStyle w:val="1502"/>
              <w:ind w:firstLine="420"/>
              <w:spacing w:line="432" w:lineRule="auto"/>
              <w:widowControl/>
            </w:pPr>
            <w:r>
              <w:t xml:space="preserve">溧阳市、金坛区可参照本通知，结合本地实际情况制定相关规定。 </w:t>
            </w:r>
            <w:r/>
          </w:p>
          <w:p>
            <w:pPr>
              <w:pStyle w:val="1502"/>
              <w:ind w:firstLine="420"/>
              <w:spacing w:line="432" w:lineRule="auto"/>
              <w:widowControl/>
            </w:pPr>
            <w:r>
              <w:t xml:space="preserve">本通知自2022年11月1日起施行，施行之日前已领取房屋拆迁许可证和已发布房屋征收决定公告的项目仍按原相关规定执行。 </w:t>
            </w:r>
            <w:r/>
          </w:p>
          <w:p>
            <w:pPr>
              <w:pStyle w:val="1502"/>
              <w:ind w:firstLine="420"/>
              <w:spacing w:line="432" w:lineRule="auto"/>
              <w:widowControl/>
            </w:pPr>
            <w:r>
              <w:t xml:space="preserve">      </w:t>
            </w:r>
            <w:r/>
          </w:p>
          <w:p>
            <w:pPr>
              <w:pStyle w:val="1502"/>
              <w:ind w:firstLine="420"/>
              <w:jc w:val="right"/>
              <w:spacing w:line="432" w:lineRule="auto"/>
              <w:widowControl/>
            </w:pPr>
            <w:r>
              <w:t xml:space="preserve">常州市住房和城乡建设局 </w:t>
            </w:r>
            <w:r/>
          </w:p>
          <w:p>
            <w:pPr>
              <w:pStyle w:val="1502"/>
              <w:ind w:firstLine="420"/>
              <w:jc w:val="right"/>
              <w:spacing w:line="432" w:lineRule="auto"/>
              <w:widowControl/>
            </w:pPr>
            <w:r>
              <w:t xml:space="preserve">2022年10月26日 </w:t>
            </w:r>
            <w:r/>
          </w:p>
          <w:p>
            <w:pPr>
              <w:pStyle w:val="1502"/>
              <w:ind w:firstLine="420"/>
              <w:spacing w:line="432" w:lineRule="auto"/>
              <w:widowControl/>
            </w:pPr>
            <w:r>
              <w:t xml:space="preserve">（此件公开发布） </w:t>
            </w:r>
            <w:r/>
          </w:p>
        </w:tc>
      </w:tr>
    </w:tbl>
    <w:p>
      <w:r/>
      <w:r/>
    </w:p>
    <w:p>
      <w:pPr>
        <w:rPr>
          <w:rFonts w:hint="eastAsia" w:ascii="仿宋" w:hAnsi="仿宋" w:eastAsia="仿宋" w:cs="仿宋"/>
          <w:sz w:val="24"/>
        </w:rPr>
        <w:sectPr>
          <w:headerReference w:type="even" r:id="rId15"/>
          <w:footerReference w:type="default" r:id="rId26"/>
          <w:footerReference w:type="even" r:id="rId27"/>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rPr>
      </w:r>
      <w:r/>
    </w:p>
    <w:p>
      <w:pPr>
        <w:pStyle w:val="1492"/>
        <w:spacing w:before="240" w:line="240" w:lineRule="auto"/>
        <w:rPr>
          <w:rFonts w:hint="eastAsia" w:ascii="仿宋" w:hAnsi="仿宋" w:eastAsia="仿宋" w:cs="仿宋"/>
        </w:rPr>
      </w:pPr>
      <w:r>
        <w:rPr>
          <w:rFonts w:hint="eastAsia" w:ascii="仿宋" w:hAnsi="仿宋" w:eastAsia="仿宋" w:cs="仿宋"/>
        </w:rPr>
      </w:r>
      <w:r/>
    </w:p>
    <w:p>
      <w:pPr>
        <w:ind w:left="671"/>
        <w:jc w:val="left"/>
        <w:rPr>
          <w:rFonts w:hint="eastAsia" w:ascii="仿宋" w:hAnsi="仿宋" w:eastAsia="仿宋" w:cs="仿宋"/>
          <w:sz w:val="32"/>
        </w:rPr>
      </w:pPr>
      <w:r>
        <w:rPr>
          <w:rFonts w:hint="eastAsia" w:ascii="仿宋" w:hAnsi="仿宋" w:eastAsia="仿宋" w:cs="仿宋"/>
          <w:sz w:val="32"/>
        </w:rPr>
        <w:t xml:space="preserve">附件 1</w:t>
      </w:r>
      <w:r/>
    </w:p>
    <w:p>
      <w:pPr>
        <w:jc w:val="center"/>
        <w:rPr>
          <w:rFonts w:hint="eastAsia" w:ascii="宋体" w:hAnsi="宋体" w:cs="宋体"/>
          <w:b/>
          <w:bCs/>
          <w:sz w:val="30"/>
          <w:szCs w:val="30"/>
        </w:rPr>
      </w:pPr>
      <w:r>
        <w:rPr>
          <w:rFonts w:hint="eastAsia" w:ascii="宋体" w:hAnsi="宋体" w:cs="宋体"/>
          <w:b/>
          <w:bCs/>
          <w:sz w:val="30"/>
          <w:szCs w:val="30"/>
        </w:rPr>
        <w:t xml:space="preserve">房屋装饰装修及附属设施征收补偿</w:t>
      </w:r>
      <w:r/>
    </w:p>
    <w:p>
      <w:pPr>
        <w:jc w:val="center"/>
        <w:rPr>
          <w:rFonts w:hint="eastAsia" w:ascii="宋体" w:hAnsi="宋体" w:cs="宋体"/>
          <w:b/>
          <w:bCs/>
          <w:sz w:val="30"/>
          <w:szCs w:val="30"/>
        </w:rPr>
      </w:pPr>
      <w:r>
        <w:rPr>
          <w:rFonts w:hint="eastAsia" w:ascii="宋体" w:hAnsi="宋体" w:cs="宋体"/>
          <w:b/>
          <w:bCs/>
          <w:sz w:val="30"/>
          <w:szCs w:val="30"/>
        </w:rPr>
        <w:t xml:space="preserve">评估重置成新价格参照表</w:t>
      </w:r>
      <w:r/>
    </w:p>
    <w:p>
      <w:pPr>
        <w:pStyle w:val="1492"/>
        <w:spacing w:before="17" w:line="240" w:lineRule="auto"/>
        <w:rPr>
          <w:rFonts w:hint="eastAsia" w:ascii="仿宋" w:hAnsi="仿宋" w:eastAsia="仿宋" w:cs="仿宋"/>
          <w:sz w:val="27"/>
        </w:rPr>
      </w:pPr>
      <w:r>
        <w:rPr>
          <w:rFonts w:hint="eastAsia" w:ascii="仿宋" w:hAnsi="仿宋" w:eastAsia="仿宋" w:cs="仿宋"/>
          <w:sz w:val="27"/>
        </w:rPr>
      </w:r>
      <w:r/>
    </w:p>
    <w:tbl>
      <w:tblPr>
        <w:tblStyle w:val="1313"/>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543"/>
        </w:trPr>
        <w:tc>
          <w:tcPr>
            <w:tcW w:w="1292" w:type="dxa"/>
            <w:vAlign w:val="center"/>
            <w:textDirection w:val="lrTb"/>
            <w:noWrap w:val="false"/>
          </w:tcPr>
          <w:p>
            <w:pPr>
              <w:pStyle w:val="1522"/>
              <w:jc w:val="center"/>
              <w:rPr>
                <w:rFonts w:hint="eastAsia"/>
                <w:sz w:val="24"/>
              </w:rPr>
            </w:pPr>
            <w:r>
              <w:rPr>
                <w:rFonts w:hint="eastAsia"/>
                <w:sz w:val="24"/>
              </w:rPr>
              <w:t xml:space="preserve">类别</w:t>
            </w:r>
            <w:r/>
          </w:p>
        </w:tc>
        <w:tc>
          <w:tcPr>
            <w:tcW w:w="708" w:type="dxa"/>
            <w:vAlign w:val="center"/>
            <w:textDirection w:val="lrTb"/>
            <w:noWrap w:val="false"/>
          </w:tcPr>
          <w:p>
            <w:pPr>
              <w:pStyle w:val="1522"/>
              <w:jc w:val="center"/>
              <w:rPr>
                <w:rFonts w:hint="eastAsia"/>
                <w:sz w:val="24"/>
              </w:rPr>
            </w:pPr>
            <w:r>
              <w:rPr>
                <w:rFonts w:hint="eastAsia"/>
                <w:sz w:val="24"/>
              </w:rPr>
              <w:t xml:space="preserve">序号</w:t>
            </w:r>
            <w:r/>
          </w:p>
        </w:tc>
        <w:tc>
          <w:tcPr>
            <w:tcW w:w="1985" w:type="dxa"/>
            <w:vAlign w:val="center"/>
            <w:textDirection w:val="lrTb"/>
            <w:noWrap w:val="false"/>
          </w:tcPr>
          <w:p>
            <w:pPr>
              <w:pStyle w:val="1522"/>
              <w:jc w:val="center"/>
              <w:tabs>
                <w:tab w:val="left" w:pos="1111" w:leader="none"/>
              </w:tabs>
              <w:rPr>
                <w:rFonts w:hint="eastAsia"/>
                <w:sz w:val="24"/>
              </w:rPr>
            </w:pPr>
            <w:r>
              <w:rPr>
                <w:rFonts w:hint="eastAsia"/>
                <w:sz w:val="24"/>
              </w:rPr>
              <w:t xml:space="preserve">项目</w:t>
            </w:r>
            <w:r/>
          </w:p>
        </w:tc>
        <w:tc>
          <w:tcPr>
            <w:tcW w:w="710" w:type="dxa"/>
            <w:vAlign w:val="center"/>
            <w:textDirection w:val="lrTb"/>
            <w:noWrap w:val="false"/>
          </w:tcPr>
          <w:p>
            <w:pPr>
              <w:pStyle w:val="1522"/>
              <w:jc w:val="center"/>
              <w:rPr>
                <w:rFonts w:hint="eastAsia"/>
                <w:sz w:val="24"/>
              </w:rPr>
            </w:pPr>
            <w:r>
              <w:rPr>
                <w:rFonts w:hint="eastAsia"/>
                <w:sz w:val="24"/>
              </w:rPr>
              <w:t xml:space="preserve">等级</w:t>
            </w:r>
            <w:r/>
          </w:p>
        </w:tc>
        <w:tc>
          <w:tcPr>
            <w:tcW w:w="708" w:type="dxa"/>
            <w:vAlign w:val="center"/>
            <w:textDirection w:val="lrTb"/>
            <w:noWrap w:val="false"/>
          </w:tcPr>
          <w:p>
            <w:pPr>
              <w:pStyle w:val="1522"/>
              <w:jc w:val="center"/>
              <w:rPr>
                <w:rFonts w:hint="eastAsia"/>
                <w:sz w:val="24"/>
              </w:rPr>
            </w:pPr>
            <w:r>
              <w:rPr>
                <w:rFonts w:hint="eastAsia"/>
                <w:sz w:val="24"/>
              </w:rPr>
              <w:t xml:space="preserve">单位</w:t>
            </w:r>
            <w:r/>
          </w:p>
        </w:tc>
        <w:tc>
          <w:tcPr>
            <w:tcW w:w="1229" w:type="dxa"/>
            <w:vAlign w:val="center"/>
            <w:textDirection w:val="lrTb"/>
            <w:noWrap w:val="false"/>
          </w:tcPr>
          <w:p>
            <w:pPr>
              <w:pStyle w:val="1522"/>
              <w:jc w:val="center"/>
              <w:rPr>
                <w:rFonts w:hint="eastAsia"/>
                <w:sz w:val="24"/>
              </w:rPr>
            </w:pPr>
            <w:r>
              <w:rPr>
                <w:rFonts w:hint="eastAsia"/>
                <w:sz w:val="24"/>
              </w:rPr>
              <w:t xml:space="preserve">单价</w:t>
            </w:r>
            <w:r/>
          </w:p>
        </w:tc>
        <w:tc>
          <w:tcPr>
            <w:tcW w:w="3308" w:type="dxa"/>
            <w:vAlign w:val="center"/>
            <w:textDirection w:val="lrTb"/>
            <w:noWrap w:val="false"/>
          </w:tcPr>
          <w:p>
            <w:pPr>
              <w:pStyle w:val="1522"/>
              <w:jc w:val="center"/>
              <w:tabs>
                <w:tab w:val="left" w:pos="1591" w:leader="none"/>
              </w:tabs>
              <w:rPr>
                <w:rFonts w:hint="eastAsia"/>
                <w:sz w:val="24"/>
              </w:rPr>
            </w:pPr>
            <w:r>
              <w:rPr>
                <w:rFonts w:hint="eastAsia"/>
                <w:sz w:val="24"/>
              </w:rPr>
              <w:t xml:space="preserve">备注</w:t>
            </w:r>
            <w:r/>
          </w:p>
        </w:tc>
      </w:tr>
      <w:tr>
        <w:trPr>
          <w:trHeight w:val="414"/>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（一）</w:t>
            </w:r>
            <w:r/>
          </w:p>
          <w:p>
            <w:pPr>
              <w:pStyle w:val="1522"/>
              <w:jc w:val="center"/>
              <w:rPr>
                <w:rFonts w:hint="eastAsia" w:ascii="仿宋" w:hAnsi="仿宋" w:eastAsia="仿宋" w:cs="仿宋"/>
                <w:sz w:val="24"/>
              </w:rPr>
            </w:pPr>
            <w:r>
              <w:rPr>
                <w:rFonts w:hint="eastAsia" w:ascii="仿宋" w:hAnsi="仿宋" w:eastAsia="仿宋" w:cs="仿宋"/>
                <w:sz w:val="24"/>
              </w:rPr>
              <w:t xml:space="preserve">地面装修</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预制水磨石地块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25-50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本色水磨石地面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30-50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彩色水磨石地面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40-75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地砖</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50-75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59"/>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抛光地砖</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50-120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282"/>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缸砖</w:t>
            </w:r>
            <w:r/>
          </w:p>
        </w:tc>
        <w:tc>
          <w:tcPr>
            <w:tcW w:w="710" w:type="dxa"/>
            <w:vAlign w:val="top"/>
            <w:textDirection w:val="lrTb"/>
            <w:noWrap w:val="false"/>
          </w:tcPr>
          <w:p>
            <w:pPr>
              <w:pStyle w:val="1522"/>
              <w:rPr>
                <w:rFonts w:hint="eastAsia" w:ascii="仿宋" w:hAnsi="仿宋" w:eastAsia="仿宋" w:cs="仿宋"/>
                <w:sz w:val="20"/>
              </w:rPr>
            </w:pPr>
            <w:r>
              <w:rPr>
                <w:rFonts w:hint="eastAsia" w:ascii="仿宋" w:hAnsi="仿宋" w:eastAsia="仿宋" w:cs="仿宋"/>
                <w:sz w:val="20"/>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30-50</w:t>
            </w:r>
            <w:r/>
          </w:p>
        </w:tc>
        <w:tc>
          <w:tcPr>
            <w:tcW w:w="3308" w:type="dxa"/>
            <w:vAlign w:val="center"/>
            <w:textDirection w:val="lrTb"/>
            <w:noWrap w:val="false"/>
          </w:tcPr>
          <w:p>
            <w:pPr>
              <w:pStyle w:val="1522"/>
              <w:jc w:val="both"/>
              <w:rPr>
                <w:rFonts w:hint="eastAsia" w:ascii="仿宋" w:hAnsi="仿宋" w:eastAsia="仿宋" w:cs="仿宋"/>
                <w:sz w:val="20"/>
              </w:rPr>
            </w:pPr>
            <w:r>
              <w:rPr>
                <w:rFonts w:hint="eastAsia" w:ascii="仿宋" w:hAnsi="仿宋" w:eastAsia="仿宋" w:cs="仿宋"/>
                <w:sz w:val="20"/>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花岗岩地面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40-110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碎石块按 40%</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大理石地面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40-120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塑料地毯</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普通木地板</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80-150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含席纹、木工板、饰面板等</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高档实木地板</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80-350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含木楞、油漆等</w:t>
            </w:r>
            <w:r/>
          </w:p>
        </w:tc>
      </w:tr>
      <w:tr>
        <w:trPr>
          <w:trHeight w:val="297"/>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复合木地板</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15-60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踢脚线</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15-30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含各种材质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楼梯嵌铜条</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6-10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14"/>
              </w:rPr>
            </w:pPr>
            <w:r>
              <w:rPr>
                <w:rFonts w:hint="eastAsia" w:ascii="仿宋" w:hAnsi="仿宋" w:eastAsia="仿宋" w:cs="仿宋"/>
                <w:sz w:val="14"/>
              </w:rPr>
            </w:r>
            <w:r/>
          </w:p>
          <w:p>
            <w:pPr>
              <w:pStyle w:val="1522"/>
              <w:jc w:val="center"/>
              <w:rPr>
                <w:rFonts w:hint="eastAsia" w:ascii="仿宋" w:hAnsi="仿宋" w:eastAsia="仿宋" w:cs="仿宋"/>
                <w:sz w:val="24"/>
              </w:rPr>
            </w:pPr>
            <w:r>
              <w:rPr>
                <w:rFonts w:hint="eastAsia" w:ascii="仿宋" w:hAnsi="仿宋" w:eastAsia="仿宋" w:cs="仿宋"/>
                <w:sz w:val="24"/>
              </w:rPr>
              <w:t xml:space="preserve">（二）</w:t>
            </w:r>
            <w:r/>
          </w:p>
          <w:p>
            <w:pPr>
              <w:pStyle w:val="1522"/>
              <w:jc w:val="center"/>
              <w:rPr>
                <w:rFonts w:hint="eastAsia" w:ascii="仿宋" w:hAnsi="仿宋" w:eastAsia="仿宋" w:cs="仿宋"/>
                <w:sz w:val="24"/>
              </w:rPr>
            </w:pPr>
            <w:r>
              <w:rPr>
                <w:rFonts w:hint="eastAsia" w:ascii="仿宋" w:hAnsi="仿宋" w:eastAsia="仿宋" w:cs="仿宋"/>
                <w:sz w:val="24"/>
              </w:rPr>
              <w:t xml:space="preserve">贴面类</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w:t>
            </w:r>
            <w:r/>
          </w:p>
        </w:tc>
        <w:tc>
          <w:tcPr>
            <w:tcW w:w="1985"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白瓷砖</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35-60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含压顶砖</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2.2</w:t>
            </w:r>
            <w:r/>
          </w:p>
        </w:tc>
        <w:tc>
          <w:tcPr>
            <w:tcW w:w="1985"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花瓷砖</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40-80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含压顶砖</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2.3</w:t>
            </w:r>
            <w:r/>
          </w:p>
        </w:tc>
        <w:tc>
          <w:tcPr>
            <w:tcW w:w="1985"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马赛克</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35-60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2.4</w:t>
            </w:r>
            <w:r/>
          </w:p>
        </w:tc>
        <w:tc>
          <w:tcPr>
            <w:tcW w:w="1985"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墙砖贴面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50-75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702"/>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普通夹板墙面</w:t>
            </w:r>
            <w:r/>
          </w:p>
        </w:tc>
        <w:tc>
          <w:tcPr>
            <w:tcW w:w="710" w:type="dxa"/>
            <w:vAlign w:val="center"/>
            <w:textDirection w:val="lrTb"/>
            <w:noWrap w:val="false"/>
          </w:tcPr>
          <w:p>
            <w:pPr>
              <w:pStyle w:val="1522"/>
              <w:jc w:val="center"/>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30-75</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普通夹板、水曲柳，含龙骨、油漆</w:t>
            </w:r>
            <w:r/>
          </w:p>
        </w:tc>
      </w:tr>
      <w:tr>
        <w:trPr>
          <w:trHeight w:val="604"/>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高档夹板墙面</w:t>
            </w:r>
            <w:r/>
          </w:p>
        </w:tc>
        <w:tc>
          <w:tcPr>
            <w:tcW w:w="710" w:type="dxa"/>
            <w:vAlign w:val="center"/>
            <w:textDirection w:val="lrTb"/>
            <w:noWrap w:val="false"/>
          </w:tcPr>
          <w:p>
            <w:pPr>
              <w:pStyle w:val="1522"/>
              <w:jc w:val="center"/>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60-140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pacing w:val="-13"/>
                <w:sz w:val="24"/>
                <w:lang w:eastAsia="zh-CN"/>
              </w:rPr>
              <w:t xml:space="preserve">榉木、柚木、樱桃木、枫木等，</w:t>
            </w:r>
            <w:r/>
          </w:p>
          <w:p>
            <w:pPr>
              <w:pStyle w:val="1522"/>
              <w:jc w:val="both"/>
              <w:rPr>
                <w:rFonts w:hint="eastAsia" w:ascii="仿宋" w:hAnsi="仿宋" w:eastAsia="仿宋" w:cs="仿宋"/>
                <w:sz w:val="24"/>
              </w:rPr>
            </w:pPr>
            <w:r>
              <w:rPr>
                <w:rFonts w:hint="eastAsia" w:ascii="仿宋" w:hAnsi="仿宋" w:eastAsia="仿宋" w:cs="仿宋"/>
                <w:sz w:val="24"/>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软包</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20-80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含夹板衬底</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墙纸墙面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8-30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299"/>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墙布墙面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10-45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门窗套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30-60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含龙骨、油漆</w:t>
            </w:r>
            <w:r/>
          </w:p>
        </w:tc>
      </w:tr>
      <w:tr>
        <w:trPr>
          <w:trHeight w:val="329"/>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窗帘盒</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20-30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夹板面层</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10-20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夹板隔断</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含双面油漆，龙骨</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纤维板隔断</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25-45</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含双面油漆，龙骨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石膏板隔断</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40-100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含双面粉刷、龙骨</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铝塑板墙面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top"/>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15-80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sz w:val="22"/>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rPr>
      </w:r>
      <w:r/>
    </w:p>
    <w:p>
      <w:pPr>
        <w:pStyle w:val="1492"/>
        <w:spacing w:before="0" w:line="240" w:lineRule="auto"/>
        <w:rPr>
          <w:rFonts w:hint="eastAsia" w:ascii="仿宋" w:hAnsi="仿宋" w:eastAsia="仿宋" w:cs="仿宋"/>
          <w:sz w:val="19"/>
        </w:rPr>
      </w:pPr>
      <w:r>
        <w:rPr>
          <w:rFonts w:hint="eastAsia" w:ascii="仿宋" w:hAnsi="仿宋" w:eastAsia="仿宋" w:cs="仿宋"/>
          <w:sz w:val="19"/>
        </w:rPr>
      </w:r>
      <w:r/>
    </w:p>
    <w:tbl>
      <w:tblPr>
        <w:tblStyle w:val="1313"/>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（二）</w:t>
            </w:r>
            <w:r/>
          </w:p>
          <w:p>
            <w:pPr>
              <w:pStyle w:val="1522"/>
              <w:jc w:val="center"/>
              <w:rPr>
                <w:rFonts w:hint="eastAsia" w:ascii="仿宋" w:hAnsi="仿宋" w:eastAsia="仿宋" w:cs="仿宋"/>
                <w:sz w:val="24"/>
              </w:rPr>
            </w:pPr>
            <w:r>
              <w:rPr>
                <w:rFonts w:hint="eastAsia" w:ascii="仿宋" w:hAnsi="仿宋" w:eastAsia="仿宋" w:cs="仿宋"/>
                <w:sz w:val="24"/>
              </w:rPr>
              <w:t xml:space="preserve">贴面类</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水刷石</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20-35</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9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2.18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彩色水刷石</w:t>
            </w:r>
            <w:r/>
          </w:p>
        </w:tc>
        <w:tc>
          <w:tcPr>
            <w:tcW w:w="710" w:type="dxa"/>
            <w:vAlign w:val="top"/>
            <w:textDirection w:val="lrTb"/>
            <w:noWrap w:val="false"/>
          </w:tcPr>
          <w:p>
            <w:pPr>
              <w:pStyle w:val="1522"/>
              <w:rPr>
                <w:rFonts w:hint="eastAsia" w:ascii="仿宋" w:hAnsi="仿宋" w:eastAsia="仿宋" w:cs="仿宋"/>
                <w:sz w:val="20"/>
              </w:rPr>
            </w:pPr>
            <w:r>
              <w:rPr>
                <w:rFonts w:hint="eastAsia" w:ascii="仿宋" w:hAnsi="仿宋" w:eastAsia="仿宋" w:cs="仿宋"/>
                <w:sz w:val="20"/>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25-45</w:t>
            </w:r>
            <w:r/>
          </w:p>
        </w:tc>
        <w:tc>
          <w:tcPr>
            <w:tcW w:w="3308" w:type="dxa"/>
            <w:vAlign w:val="top"/>
            <w:textDirection w:val="lrTb"/>
            <w:noWrap w:val="false"/>
          </w:tcPr>
          <w:p>
            <w:pPr>
              <w:pStyle w:val="1522"/>
              <w:rPr>
                <w:rFonts w:hint="eastAsia" w:ascii="仿宋" w:hAnsi="仿宋" w:eastAsia="仿宋" w:cs="仿宋"/>
                <w:sz w:val="20"/>
              </w:rPr>
            </w:pPr>
            <w:r>
              <w:rPr>
                <w:rFonts w:hint="eastAsia" w:ascii="仿宋" w:hAnsi="仿宋" w:eastAsia="仿宋" w:cs="仿宋"/>
                <w:sz w:val="20"/>
              </w:rPr>
            </w:r>
            <w:r/>
          </w:p>
        </w:tc>
      </w:tr>
      <w:tr>
        <w:trPr>
          <w:trHeight w:val="330"/>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4"/>
              </w:rPr>
            </w:pPr>
            <w:r>
              <w:rPr>
                <w:rFonts w:hint="eastAsia" w:ascii="仿宋" w:hAnsi="仿宋" w:eastAsia="仿宋" w:cs="仿宋"/>
                <w:sz w:val="24"/>
              </w:rPr>
            </w:r>
            <w:r/>
          </w:p>
          <w:p>
            <w:pPr>
              <w:pStyle w:val="1522"/>
              <w:jc w:val="center"/>
              <w:rPr>
                <w:rFonts w:hint="eastAsia" w:ascii="仿宋" w:hAnsi="仿宋" w:eastAsia="仿宋" w:cs="仿宋"/>
                <w:sz w:val="25"/>
              </w:rPr>
            </w:pPr>
            <w:r>
              <w:rPr>
                <w:rFonts w:hint="eastAsia" w:ascii="仿宋" w:hAnsi="仿宋" w:eastAsia="仿宋" w:cs="仿宋"/>
                <w:sz w:val="25"/>
              </w:rPr>
            </w:r>
            <w:r/>
          </w:p>
          <w:p>
            <w:pPr>
              <w:pStyle w:val="1522"/>
              <w:jc w:val="center"/>
              <w:rPr>
                <w:rFonts w:hint="eastAsia" w:ascii="仿宋" w:hAnsi="仿宋" w:eastAsia="仿宋" w:cs="仿宋"/>
                <w:sz w:val="24"/>
              </w:rPr>
            </w:pPr>
            <w:r>
              <w:rPr>
                <w:rFonts w:hint="eastAsia" w:ascii="仿宋" w:hAnsi="仿宋" w:eastAsia="仿宋" w:cs="仿宋"/>
                <w:sz w:val="24"/>
              </w:rPr>
              <w:t xml:space="preserve">（三）</w:t>
            </w:r>
            <w:r/>
          </w:p>
          <w:p>
            <w:pPr>
              <w:pStyle w:val="1522"/>
              <w:jc w:val="center"/>
              <w:rPr>
                <w:rFonts w:hint="eastAsia" w:ascii="仿宋" w:hAnsi="仿宋" w:eastAsia="仿宋" w:cs="仿宋"/>
                <w:sz w:val="24"/>
              </w:rPr>
            </w:pPr>
            <w:r>
              <w:rPr>
                <w:rFonts w:hint="eastAsia" w:ascii="仿宋" w:hAnsi="仿宋" w:eastAsia="仿宋" w:cs="仿宋"/>
                <w:sz w:val="24"/>
              </w:rPr>
              <w:t xml:space="preserve">门窗类</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铝合金门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80-100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85"/>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铝合金窗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70-90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铝合金纱门窗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20-40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54"/>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绿纱木门窗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w:t>
            </w:r>
            <w:r>
              <w:rPr>
                <w:rFonts w:ascii="Times New Roman" w:hAnsi="Times New Roman" w:eastAsia="仿宋" w:cs="Times New Roman"/>
                <w:b/>
                <w:sz w:val="24"/>
                <w:szCs w:val="24"/>
              </w:rPr>
              <w:t xml:space="preserve">-</w:t>
            </w:r>
            <w:r>
              <w:rPr>
                <w:rFonts w:ascii="Times New Roman" w:hAnsi="Times New Roman" w:eastAsia="仿宋" w:cs="Times New Roman"/>
                <w:sz w:val="24"/>
                <w:szCs w:val="24"/>
              </w:rPr>
              <w:t xml:space="preserve">60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塑钢门窗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70-100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塑钢纱窗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20-40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659"/>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卷帘门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60-100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按洞口尺寸，高度加 60cm 计</w:t>
            </w:r>
            <w:r/>
          </w:p>
          <w:p>
            <w:pPr>
              <w:pStyle w:val="1522"/>
              <w:jc w:val="both"/>
              <w:rPr>
                <w:rFonts w:hint="eastAsia" w:ascii="仿宋" w:hAnsi="仿宋" w:eastAsia="仿宋" w:cs="仿宋"/>
                <w:sz w:val="24"/>
              </w:rPr>
            </w:pPr>
            <w:r>
              <w:rPr>
                <w:rFonts w:hint="eastAsia" w:ascii="仿宋" w:hAnsi="仿宋" w:eastAsia="仿宋" w:cs="仿宋"/>
                <w:sz w:val="24"/>
              </w:rPr>
              <w:t xml:space="preserve">算面积</w:t>
            </w:r>
            <w:r/>
          </w:p>
        </w:tc>
      </w:tr>
      <w:tr>
        <w:trPr>
          <w:trHeight w:val="70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不锈钢无框门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200-400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含不锈钢龙门架、地弹簧、门拉手、门夹</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钢管防盗门窗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40-60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3.10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不锈钢防盗门窗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50-120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含内衬铁条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3.11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白铁皮防盗门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50-80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（四）</w:t>
            </w:r>
            <w:r/>
          </w:p>
          <w:p>
            <w:pPr>
              <w:pStyle w:val="1522"/>
              <w:jc w:val="center"/>
              <w:rPr>
                <w:rFonts w:hint="eastAsia" w:ascii="仿宋" w:hAnsi="仿宋" w:eastAsia="仿宋" w:cs="仿宋"/>
                <w:sz w:val="24"/>
              </w:rPr>
            </w:pPr>
            <w:r>
              <w:rPr>
                <w:rFonts w:hint="eastAsia" w:ascii="仿宋" w:hAnsi="仿宋" w:eastAsia="仿宋" w:cs="仿宋"/>
                <w:sz w:val="24"/>
              </w:rPr>
              <w:t xml:space="preserve">天棚类</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纤维板吊顶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20-45</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普通夹板吊顶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50-90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含龙骨、油漆、线条</w:t>
            </w:r>
            <w:r/>
          </w:p>
        </w:tc>
      </w:tr>
      <w:tr>
        <w:trPr>
          <w:trHeight w:val="626"/>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高档夹板吊顶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50-150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pacing w:val="-13"/>
                <w:sz w:val="24"/>
                <w:lang w:eastAsia="zh-CN"/>
              </w:rPr>
              <w:t xml:space="preserve">榉木、柚木、樱桃木、枫木等，</w:t>
            </w:r>
            <w:r/>
          </w:p>
          <w:p>
            <w:pPr>
              <w:pStyle w:val="1522"/>
              <w:jc w:val="both"/>
              <w:rPr>
                <w:rFonts w:hint="eastAsia" w:ascii="仿宋" w:hAnsi="仿宋" w:eastAsia="仿宋" w:cs="仿宋"/>
                <w:sz w:val="24"/>
              </w:rPr>
            </w:pPr>
            <w:r>
              <w:rPr>
                <w:rFonts w:hint="eastAsia" w:ascii="仿宋" w:hAnsi="仿宋" w:eastAsia="仿宋" w:cs="仿宋"/>
                <w:sz w:val="24"/>
              </w:rPr>
              <w:t xml:space="preserve">含龙骨、油漆、线条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玻璃吊顶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50-130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含龙骨、线条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扣板吊顶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25-45</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含龙骨、线条</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石膏吊顶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含龙骨、油漆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石膏线条</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5-10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木线条</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5-15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铝合金天棚</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120-200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天井等</w:t>
            </w:r>
            <w:r/>
          </w:p>
        </w:tc>
      </w:tr>
      <w:tr>
        <w:trPr>
          <w:trHeight w:val="813"/>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（五）</w:t>
            </w:r>
            <w:r/>
          </w:p>
          <w:p>
            <w:pPr>
              <w:pStyle w:val="1522"/>
              <w:jc w:val="center"/>
              <w:rPr>
                <w:rFonts w:hint="eastAsia" w:ascii="仿宋" w:hAnsi="仿宋" w:eastAsia="仿宋" w:cs="仿宋"/>
                <w:sz w:val="24"/>
              </w:rPr>
            </w:pPr>
            <w:r>
              <w:rPr>
                <w:rFonts w:hint="eastAsia" w:ascii="仿宋" w:hAnsi="仿宋" w:eastAsia="仿宋" w:cs="仿宋"/>
                <w:sz w:val="24"/>
              </w:rPr>
              <w:t xml:space="preserve">家具类</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普通固定木柜</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60-300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普通夹板、水曲柳，按正投影面积</w:t>
            </w:r>
            <w:r/>
          </w:p>
        </w:tc>
      </w:tr>
      <w:tr>
        <w:trPr>
          <w:trHeight w:val="724"/>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高档固定木柜</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150-400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榉木、樱桃木，枫木，按正投影面积</w:t>
            </w:r>
            <w:r/>
          </w:p>
        </w:tc>
      </w:tr>
      <w:tr>
        <w:trPr>
          <w:trHeight w:val="347"/>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木柜门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仅指砌体上安装木门</w:t>
            </w:r>
            <w:r/>
          </w:p>
        </w:tc>
      </w:tr>
      <w:tr>
        <w:trPr>
          <w:trHeight w:val="426"/>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（六）</w:t>
            </w:r>
            <w:r/>
          </w:p>
          <w:p>
            <w:pPr>
              <w:pStyle w:val="1522"/>
              <w:jc w:val="center"/>
              <w:rPr>
                <w:rFonts w:hint="eastAsia" w:ascii="仿宋" w:hAnsi="仿宋" w:eastAsia="仿宋" w:cs="仿宋"/>
                <w:sz w:val="24"/>
              </w:rPr>
            </w:pPr>
            <w:r>
              <w:rPr>
                <w:rFonts w:hint="eastAsia" w:ascii="仿宋" w:hAnsi="仿宋" w:eastAsia="仿宋" w:cs="仿宋"/>
                <w:sz w:val="24"/>
              </w:rPr>
              <w:t xml:space="preserve">楼梯</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铁楼梯</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70-200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楼房楼梯无论内外均不计算</w:t>
            </w:r>
            <w:r/>
          </w:p>
        </w:tc>
      </w:tr>
      <w:tr>
        <w:trPr>
          <w:trHeight w:val="48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水泥楼梯</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50-90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楼房楼梯无论内外均不计算</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木楼梯</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150-300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楼房楼梯无论内外均不计算</w:t>
            </w:r>
            <w:r/>
          </w:p>
        </w:tc>
      </w:tr>
      <w:tr>
        <w:trPr>
          <w:trHeight w:val="359"/>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不锈钢扶手</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100-220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含栏杆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铸铁栏杆</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80-150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木扶手</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80-200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含栏杆</w:t>
            </w:r>
            <w:r/>
          </w:p>
        </w:tc>
      </w:tr>
    </w:tbl>
    <w:p>
      <w:pPr>
        <w:rPr>
          <w:rFonts w:hint="eastAsia" w:ascii="仿宋" w:hAnsi="仿宋" w:eastAsia="仿宋" w:cs="仿宋"/>
          <w:sz w:val="24"/>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rPr>
      </w:r>
      <w:r/>
    </w:p>
    <w:p>
      <w:pPr>
        <w:pStyle w:val="1492"/>
        <w:spacing w:before="0" w:line="240" w:lineRule="auto"/>
        <w:rPr>
          <w:rFonts w:hint="eastAsia" w:ascii="仿宋" w:hAnsi="仿宋" w:eastAsia="仿宋" w:cs="仿宋"/>
          <w:sz w:val="19"/>
        </w:rPr>
      </w:pPr>
      <w:r>
        <w:rPr>
          <w:rFonts w:hint="eastAsia" w:ascii="仿宋" w:hAnsi="仿宋" w:eastAsia="仿宋" w:cs="仿宋"/>
          <w:sz w:val="19"/>
        </w:rPr>
      </w:r>
      <w:r/>
    </w:p>
    <w:tbl>
      <w:tblPr>
        <w:tblStyle w:val="1313"/>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（七）</w:t>
            </w:r>
            <w:r/>
          </w:p>
          <w:p>
            <w:pPr>
              <w:pStyle w:val="1522"/>
              <w:jc w:val="center"/>
              <w:rPr>
                <w:rFonts w:hint="eastAsia" w:ascii="仿宋" w:hAnsi="仿宋" w:eastAsia="仿宋" w:cs="仿宋"/>
                <w:sz w:val="24"/>
              </w:rPr>
            </w:pPr>
            <w:r>
              <w:rPr>
                <w:rFonts w:hint="eastAsia" w:ascii="仿宋" w:hAnsi="仿宋" w:eastAsia="仿宋" w:cs="仿宋"/>
                <w:sz w:val="24"/>
              </w:rPr>
              <w:t xml:space="preserve">装修设备</w:t>
            </w:r>
            <w:r/>
          </w:p>
          <w:p>
            <w:pPr>
              <w:pStyle w:val="1522"/>
              <w:jc w:val="center"/>
              <w:rPr>
                <w:rFonts w:hint="eastAsia" w:ascii="仿宋" w:hAnsi="仿宋" w:eastAsia="仿宋" w:cs="仿宋"/>
                <w:sz w:val="24"/>
              </w:rPr>
            </w:pPr>
            <w:r>
              <w:rPr>
                <w:rFonts w:hint="eastAsia" w:ascii="仿宋" w:hAnsi="仿宋" w:eastAsia="仿宋" w:cs="仿宋"/>
                <w:sz w:val="24"/>
              </w:rPr>
              <w:t xml:space="preserve">设施</w:t>
            </w:r>
            <w:r/>
          </w:p>
        </w:tc>
        <w:tc>
          <w:tcPr>
            <w:tcW w:w="708" w:type="dxa"/>
            <w:vAlign w:val="center"/>
            <w:vMerge w:val="restart"/>
            <w:textDirection w:val="lrTb"/>
            <w:noWrap w:val="false"/>
          </w:tcPr>
          <w:p>
            <w:pPr>
              <w:pStyle w:val="1522"/>
              <w:jc w:val="center"/>
              <w:rPr>
                <w:rFonts w:hint="eastAsia" w:ascii="仿宋" w:hAnsi="仿宋" w:eastAsia="仿宋" w:cs="仿宋"/>
                <w:sz w:val="26"/>
              </w:rPr>
            </w:pPr>
            <w:r>
              <w:rPr>
                <w:rFonts w:hint="eastAsia" w:ascii="仿宋" w:hAnsi="仿宋" w:eastAsia="仿宋" w:cs="仿宋"/>
                <w:sz w:val="26"/>
              </w:rPr>
            </w:r>
            <w:r/>
          </w:p>
          <w:p>
            <w:pPr>
              <w:pStyle w:val="1522"/>
              <w:jc w:val="center"/>
              <w:rPr>
                <w:rFonts w:hint="eastAsia" w:ascii="仿宋" w:hAnsi="仿宋" w:eastAsia="仿宋" w:cs="仿宋"/>
                <w:sz w:val="24"/>
              </w:rPr>
            </w:pPr>
            <w:r>
              <w:rPr>
                <w:rFonts w:hint="eastAsia" w:ascii="仿宋" w:hAnsi="仿宋" w:eastAsia="仿宋" w:cs="仿宋"/>
                <w:sz w:val="24"/>
              </w:rPr>
              <w:t xml:space="preserve">7.1</w:t>
            </w:r>
            <w:r/>
          </w:p>
        </w:tc>
        <w:tc>
          <w:tcPr>
            <w:tcW w:w="1985" w:type="dxa"/>
            <w:vAlign w:val="center"/>
            <w:vMerge w:val="restart"/>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家用灶</w:t>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单眼</w:t>
            </w:r>
            <w:r/>
          </w:p>
        </w:tc>
        <w:tc>
          <w:tcPr>
            <w:tcW w:w="708" w:type="dxa"/>
            <w:vAlign w:val="center"/>
            <w:vMerge w:val="restart"/>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r>
            <w:r/>
          </w:p>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座</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300-650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1985" w:type="dxa"/>
            <w:vAlign w:val="center"/>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双眼</w:t>
            </w:r>
            <w:r/>
          </w:p>
        </w:tc>
        <w:tc>
          <w:tcPr>
            <w:tcW w:w="708" w:type="dxa"/>
            <w:vAlign w:val="center"/>
            <w:vMerge w:val="continue"/>
            <w:textDirection w:val="lrTb"/>
            <w:noWrap w:val="false"/>
          </w:tcPr>
          <w:p>
            <w:pPr>
              <w:jc w:val="center"/>
              <w:rPr>
                <w:rFonts w:ascii="Times New Roman" w:hAnsi="Times New Roman" w:eastAsia="仿宋"/>
                <w:sz w:val="24"/>
                <w:szCs w:val="24"/>
              </w:rPr>
            </w:pPr>
            <w:r>
              <w:rPr>
                <w:rFonts w:ascii="Times New Roman" w:hAnsi="Times New Roman" w:eastAsia="仿宋"/>
                <w:sz w:val="24"/>
                <w:szCs w:val="24"/>
              </w:rPr>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500-850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1985" w:type="dxa"/>
            <w:vAlign w:val="center"/>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三眼</w:t>
            </w:r>
            <w:r/>
          </w:p>
        </w:tc>
        <w:tc>
          <w:tcPr>
            <w:tcW w:w="708" w:type="dxa"/>
            <w:vAlign w:val="center"/>
            <w:vMerge w:val="continue"/>
            <w:textDirection w:val="lrTb"/>
            <w:noWrap w:val="false"/>
          </w:tcPr>
          <w:p>
            <w:pPr>
              <w:jc w:val="center"/>
              <w:rPr>
                <w:rFonts w:ascii="Times New Roman" w:hAnsi="Times New Roman" w:eastAsia="仿宋"/>
                <w:sz w:val="24"/>
                <w:szCs w:val="24"/>
              </w:rPr>
            </w:pPr>
            <w:r>
              <w:rPr>
                <w:rFonts w:ascii="Times New Roman" w:hAnsi="Times New Roman" w:eastAsia="仿宋"/>
                <w:sz w:val="24"/>
                <w:szCs w:val="24"/>
              </w:rPr>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600-1000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贴面另计</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1985" w:type="dxa"/>
            <w:vAlign w:val="center"/>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砼灶</w:t>
            </w:r>
            <w:r/>
          </w:p>
        </w:tc>
        <w:tc>
          <w:tcPr>
            <w:tcW w:w="708" w:type="dxa"/>
            <w:vAlign w:val="center"/>
            <w:vMerge w:val="continue"/>
            <w:textDirection w:val="lrTb"/>
            <w:noWrap w:val="false"/>
          </w:tcPr>
          <w:p>
            <w:pPr>
              <w:jc w:val="center"/>
              <w:rPr>
                <w:rFonts w:ascii="Times New Roman" w:hAnsi="Times New Roman" w:eastAsia="仿宋"/>
                <w:sz w:val="24"/>
                <w:szCs w:val="24"/>
              </w:rPr>
            </w:pPr>
            <w:r>
              <w:rPr>
                <w:rFonts w:ascii="Times New Roman" w:hAnsi="Times New Roman" w:eastAsia="仿宋"/>
                <w:sz w:val="24"/>
                <w:szCs w:val="24"/>
              </w:rPr>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400-750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贴面另计</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普通水池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搪瓷水池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50-80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单眼不锈钢水池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80-150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含管件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双眼不锈钢水池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120-250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浴缸</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200-800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含砌体及管件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座便器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300-600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含水箱、管件等</w:t>
            </w:r>
            <w:r/>
          </w:p>
        </w:tc>
      </w:tr>
      <w:tr>
        <w:trPr>
          <w:trHeight w:val="396"/>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洗脸池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含水箱、管件等</w:t>
            </w:r>
            <w:r/>
          </w:p>
        </w:tc>
      </w:tr>
      <w:tr>
        <w:trPr>
          <w:trHeight w:val="417"/>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花岗岩台面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100-180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7.10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人造石台面</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120-200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（八）</w:t>
            </w:r>
            <w:r/>
          </w:p>
          <w:p>
            <w:pPr>
              <w:pStyle w:val="1522"/>
              <w:jc w:val="center"/>
              <w:rPr>
                <w:rFonts w:hint="eastAsia" w:ascii="仿宋" w:hAnsi="仿宋" w:eastAsia="仿宋" w:cs="仿宋"/>
                <w:sz w:val="24"/>
              </w:rPr>
            </w:pPr>
            <w:r>
              <w:rPr>
                <w:rFonts w:hint="eastAsia" w:ascii="仿宋" w:hAnsi="仿宋" w:eastAsia="仿宋" w:cs="仿宋"/>
                <w:sz w:val="24"/>
              </w:rPr>
              <w:t xml:space="preserve">阁板</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方木有付楞木阁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150-400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方木无付楞木阁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100-300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洋松或杉木板、楞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元木有付楞木阁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120-300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杉木板、楞</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元木无付楞木阁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80-250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杉木板、楞</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砼桁木板阁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70-200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钢架楞木阁相同</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水泥阁</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405"/>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（九）</w:t>
            </w:r>
            <w:r/>
          </w:p>
          <w:p>
            <w:pPr>
              <w:pStyle w:val="1522"/>
              <w:jc w:val="center"/>
              <w:rPr>
                <w:rFonts w:hint="eastAsia" w:ascii="仿宋" w:hAnsi="仿宋" w:eastAsia="仿宋" w:cs="仿宋"/>
                <w:sz w:val="24"/>
              </w:rPr>
            </w:pPr>
            <w:r>
              <w:rPr>
                <w:rFonts w:hint="eastAsia" w:ascii="仿宋" w:hAnsi="仿宋" w:eastAsia="仿宋" w:cs="仿宋"/>
                <w:sz w:val="24"/>
              </w:rPr>
              <w:t xml:space="preserve">其它</w:t>
            </w:r>
            <w:r/>
          </w:p>
          <w:p>
            <w:pPr>
              <w:pStyle w:val="1522"/>
              <w:jc w:val="center"/>
              <w:rPr>
                <w:rFonts w:hint="eastAsia" w:ascii="仿宋" w:hAnsi="仿宋" w:eastAsia="仿宋" w:cs="仿宋"/>
                <w:sz w:val="24"/>
              </w:rPr>
            </w:pPr>
            <w:r>
              <w:rPr>
                <w:rFonts w:hint="eastAsia" w:ascii="仿宋" w:hAnsi="仿宋" w:eastAsia="仿宋" w:cs="仿宋"/>
                <w:sz w:val="24"/>
              </w:rPr>
              <w:t xml:space="preserve">附属物</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布遮阳</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20-30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含不锈钢、方管骨架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玻璃钢罩</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25-40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玻璃钢遮阳</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20-40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含不锈钢、方管骨架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玻璃钢瓦</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张</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石棉瓦</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张</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石棉瓦遮阳</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20-40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含方管骨架</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9.7</w:t>
            </w:r>
            <w:r/>
          </w:p>
        </w:tc>
        <w:tc>
          <w:tcPr>
            <w:tcW w:w="1985" w:type="dxa"/>
            <w:vAlign w:val="center"/>
            <w:vMerge w:val="restart"/>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围墙</w:t>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甲</w:t>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100-200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连墙基、实砌墙、压顶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1985" w:type="dxa"/>
            <w:vAlign w:val="center"/>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10" w:type="dxa"/>
            <w:vAlign w:val="top"/>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乙</w:t>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70-150</w:t>
            </w:r>
            <w:r/>
          </w:p>
        </w:tc>
        <w:tc>
          <w:tcPr>
            <w:tcW w:w="3308"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连墙基、空斗墙、压顶</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石驳岸</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3</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250-450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含基础</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自来水管</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8-15</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表后部分（不含成套住宅）</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水嘴、凡尔</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8-15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深井</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座</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150-300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土井</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座</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500-1000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连井台、下水道</w:t>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室外石子地</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5-20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室外水泥地</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25-60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647"/>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室外水泥道路</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80</w:t>
            </w:r>
            <w:r/>
          </w:p>
        </w:tc>
        <w:tc>
          <w:tcPr>
            <w:tcW w:w="3308"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混凝土超出15cm 厚按5 元/cm</w:t>
            </w:r>
            <w:r/>
          </w:p>
          <w:p>
            <w:pPr>
              <w:pStyle w:val="1522"/>
              <w:jc w:val="both"/>
              <w:rPr>
                <w:rFonts w:hint="eastAsia" w:ascii="仿宋" w:hAnsi="仿宋" w:eastAsia="仿宋" w:cs="仿宋"/>
                <w:sz w:val="24"/>
              </w:rPr>
            </w:pPr>
            <w:r>
              <w:rPr>
                <w:rFonts w:hint="eastAsia" w:ascii="仿宋" w:hAnsi="仿宋" w:eastAsia="仿宋" w:cs="仿宋"/>
                <w:sz w:val="24"/>
              </w:rPr>
              <w:t xml:space="preserve">增加</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室外砖地</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10-25</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老虎窗</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座</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200-500</w:t>
            </w:r>
            <w:r/>
          </w:p>
        </w:tc>
        <w:tc>
          <w:tcPr>
            <w:tcW w:w="3308" w:type="dxa"/>
            <w:vAlign w:val="center"/>
            <w:textDirection w:val="lrTb"/>
            <w:noWrap w:val="false"/>
          </w:tcPr>
          <w:p>
            <w:pPr>
              <w:pStyle w:val="1522"/>
              <w:jc w:val="both"/>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sz w:val="22"/>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2"/>
        </w:rPr>
      </w:r>
      <w:r/>
    </w:p>
    <w:p>
      <w:pPr>
        <w:pStyle w:val="1492"/>
        <w:spacing w:before="0" w:line="240" w:lineRule="auto"/>
        <w:rPr>
          <w:rFonts w:hint="eastAsia" w:ascii="仿宋" w:hAnsi="仿宋" w:eastAsia="仿宋" w:cs="仿宋"/>
          <w:sz w:val="19"/>
        </w:rPr>
      </w:pPr>
      <w:r>
        <w:rPr>
          <w:rFonts w:hint="eastAsia" w:ascii="仿宋" w:hAnsi="仿宋" w:eastAsia="仿宋" w:cs="仿宋"/>
          <w:sz w:val="19"/>
        </w:rPr>
      </w:r>
      <w:r/>
    </w:p>
    <w:tbl>
      <w:tblPr>
        <w:tblStyle w:val="1313"/>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708"/>
        <w:gridCol w:w="1985"/>
        <w:gridCol w:w="710"/>
        <w:gridCol w:w="708"/>
        <w:gridCol w:w="1229"/>
        <w:gridCol w:w="3308"/>
      </w:tblGrid>
      <w:tr>
        <w:trPr>
          <w:trHeight w:val="330"/>
        </w:trPr>
        <w:tc>
          <w:tcPr>
            <w:tcW w:w="1292"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（九）</w:t>
            </w:r>
            <w:r/>
          </w:p>
          <w:p>
            <w:pPr>
              <w:pStyle w:val="1522"/>
              <w:jc w:val="center"/>
              <w:rPr>
                <w:rFonts w:hint="eastAsia" w:ascii="仿宋" w:hAnsi="仿宋" w:eastAsia="仿宋" w:cs="仿宋"/>
                <w:sz w:val="24"/>
              </w:rPr>
            </w:pPr>
            <w:r>
              <w:rPr>
                <w:rFonts w:hint="eastAsia" w:ascii="仿宋" w:hAnsi="仿宋" w:eastAsia="仿宋" w:cs="仿宋"/>
                <w:sz w:val="24"/>
              </w:rPr>
              <w:t xml:space="preserve">其它</w:t>
            </w:r>
            <w:r/>
          </w:p>
          <w:p>
            <w:pPr>
              <w:pStyle w:val="1522"/>
              <w:jc w:val="center"/>
              <w:rPr>
                <w:rFonts w:hint="eastAsia" w:ascii="仿宋" w:hAnsi="仿宋" w:eastAsia="仿宋" w:cs="仿宋"/>
                <w:sz w:val="24"/>
              </w:rPr>
            </w:pPr>
            <w:r>
              <w:rPr>
                <w:rFonts w:hint="eastAsia" w:ascii="仿宋" w:hAnsi="仿宋" w:eastAsia="仿宋" w:cs="仿宋"/>
                <w:sz w:val="24"/>
              </w:rPr>
              <w:t xml:space="preserve">附属物</w:t>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房基</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m</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60-100</w:t>
            </w:r>
            <w:r/>
          </w:p>
        </w:tc>
        <w:tc>
          <w:tcPr>
            <w:tcW w:w="3308"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深 0.6 米内</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粪坑</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30-50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沼气池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150-250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9.21</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猪圈、厕所</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100-250</w:t>
            </w:r>
            <w:r/>
          </w:p>
        </w:tc>
        <w:tc>
          <w:tcPr>
            <w:tcW w:w="3308"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独指独立建筑</w:t>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花坛</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30-150</w:t>
            </w:r>
            <w:r/>
          </w:p>
        </w:tc>
        <w:tc>
          <w:tcPr>
            <w:tcW w:w="3308" w:type="dxa"/>
            <w:vAlign w:val="top"/>
            <w:textDirection w:val="lrTb"/>
            <w:noWrap w:val="false"/>
          </w:tcPr>
          <w:p>
            <w:pPr>
              <w:pStyle w:val="1522"/>
              <w:rPr>
                <w:rFonts w:hint="eastAsia" w:ascii="仿宋" w:hAnsi="仿宋" w:eastAsia="仿宋" w:cs="仿宋"/>
                <w:sz w:val="24"/>
              </w:rPr>
            </w:pPr>
            <w:r>
              <w:rPr>
                <w:rFonts w:hint="eastAsia" w:ascii="仿宋" w:hAnsi="仿宋" w:eastAsia="仿宋" w:cs="仿宋"/>
                <w:sz w:val="24"/>
              </w:rPr>
              <w:t xml:space="preserve">贴面另计</w:t>
            </w:r>
            <w:r/>
          </w:p>
        </w:tc>
      </w:tr>
      <w:tr>
        <w:trPr>
          <w:trHeight w:val="34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护坡</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15-50</w:t>
            </w:r>
            <w:r/>
          </w:p>
        </w:tc>
        <w:tc>
          <w:tcPr>
            <w:tcW w:w="3308" w:type="dxa"/>
            <w:vAlign w:val="top"/>
            <w:textDirection w:val="lrTb"/>
            <w:noWrap w:val="false"/>
          </w:tcPr>
          <w:p>
            <w:pPr>
              <w:pStyle w:val="1522"/>
              <w:rPr>
                <w:rFonts w:hint="eastAsia" w:ascii="仿宋" w:hAnsi="仿宋" w:eastAsia="仿宋" w:cs="仿宋"/>
                <w:sz w:val="24"/>
                <w:lang w:eastAsia="zh-CN"/>
              </w:rPr>
            </w:pPr>
            <w:r>
              <w:rPr>
                <w:rFonts w:hint="eastAsia" w:ascii="仿宋" w:hAnsi="仿宋" w:eastAsia="仿宋" w:cs="仿宋"/>
                <w:sz w:val="24"/>
                <w:lang w:eastAsia="zh-CN"/>
              </w:rPr>
              <w:t xml:space="preserve">石砌护坡参照驳岸标准</w:t>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简易棚</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30-60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化粪池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只</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250-500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屋顶水箱</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座</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100-200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太阳能热水器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台</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300-1000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不锈钢晾衣架</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120-200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9.29</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品牌防盗门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樘</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500-1000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534"/>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9.30</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墙镜</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69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9.31</w:t>
            </w:r>
            <w:r/>
          </w:p>
        </w:tc>
        <w:tc>
          <w:tcPr>
            <w:tcW w:w="1985"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pacing w:val="14"/>
                <w:sz w:val="24"/>
                <w:lang w:eastAsia="zh-CN"/>
              </w:rPr>
              <w:t xml:space="preserve">不锈钢毛巾架及</w:t>
            </w:r>
            <w:r/>
          </w:p>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有关不锈钢挂件</w:t>
            </w:r>
            <w:r/>
          </w:p>
        </w:tc>
        <w:tc>
          <w:tcPr>
            <w:tcW w:w="710" w:type="dxa"/>
            <w:vAlign w:val="top"/>
            <w:textDirection w:val="lrTb"/>
            <w:noWrap w:val="false"/>
          </w:tcPr>
          <w:p>
            <w:pPr>
              <w:pStyle w:val="1522"/>
              <w:rPr>
                <w:rFonts w:hint="eastAsia" w:ascii="仿宋" w:hAnsi="仿宋" w:eastAsia="仿宋" w:cs="仿宋"/>
                <w:lang w:eastAsia="zh-CN"/>
              </w:rPr>
            </w:pPr>
            <w:r>
              <w:rPr>
                <w:rFonts w:hint="eastAsia" w:ascii="仿宋" w:hAnsi="仿宋" w:eastAsia="仿宋" w:cs="仿宋"/>
                <w:lang w:eastAsia="zh-CN"/>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件</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50-100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9.32</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淋浴房</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500-2000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9.33</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无烟灶台</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台</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600-800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9.34</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蹲便器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150-300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9.35</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洗脸池柜</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200-500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0"/>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9.36</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拖把池</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30-100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28"/>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9.37</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立式小便器</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套</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100-200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331"/>
        </w:trPr>
        <w:tc>
          <w:tcPr>
            <w:tcW w:w="1292"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708"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9.38</w:t>
            </w:r>
            <w:r/>
          </w:p>
        </w:tc>
        <w:tc>
          <w:tcPr>
            <w:tcW w:w="1985" w:type="dxa"/>
            <w:vAlign w:val="center"/>
            <w:textDirection w:val="lrTb"/>
            <w:noWrap w:val="false"/>
          </w:tcPr>
          <w:p>
            <w:pPr>
              <w:pStyle w:val="1522"/>
              <w:jc w:val="both"/>
              <w:rPr>
                <w:rFonts w:hint="eastAsia" w:ascii="仿宋" w:hAnsi="仿宋" w:eastAsia="仿宋" w:cs="仿宋"/>
                <w:sz w:val="24"/>
              </w:rPr>
            </w:pPr>
            <w:r>
              <w:rPr>
                <w:rFonts w:hint="eastAsia" w:ascii="仿宋" w:hAnsi="仿宋" w:eastAsia="仿宋" w:cs="仿宋"/>
                <w:sz w:val="24"/>
              </w:rPr>
              <w:t xml:space="preserve">阳光板、彩钢瓦</w:t>
            </w:r>
            <w:r/>
          </w:p>
        </w:tc>
        <w:tc>
          <w:tcPr>
            <w:tcW w:w="710"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c>
          <w:tcPr>
            <w:tcW w:w="708"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position w:val="-8"/>
                <w:sz w:val="24"/>
                <w:szCs w:val="24"/>
              </w:rPr>
              <w:t xml:space="preserve">m</w:t>
            </w:r>
            <w:r>
              <w:rPr>
                <w:rFonts w:ascii="Times New Roman" w:hAnsi="Times New Roman" w:eastAsia="仿宋" w:cs="Times New Roman"/>
                <w:sz w:val="24"/>
                <w:szCs w:val="24"/>
              </w:rPr>
              <w:t xml:space="preserve">2</w:t>
            </w:r>
            <w:r/>
          </w:p>
        </w:tc>
        <w:tc>
          <w:tcPr>
            <w:tcW w:w="1229" w:type="dxa"/>
            <w:vAlign w:val="center"/>
            <w:textDirection w:val="lrTb"/>
            <w:noWrap w:val="false"/>
          </w:tcPr>
          <w:p>
            <w:pPr>
              <w:pStyle w:val="1522"/>
              <w:jc w:val="center"/>
              <w:rPr>
                <w:rFonts w:ascii="Times New Roman" w:hAnsi="Times New Roman" w:eastAsia="仿宋" w:cs="Times New Roman"/>
                <w:sz w:val="24"/>
                <w:szCs w:val="24"/>
              </w:rPr>
            </w:pPr>
            <w:r>
              <w:rPr>
                <w:rFonts w:ascii="Times New Roman" w:hAnsi="Times New Roman" w:eastAsia="仿宋" w:cs="Times New Roman"/>
                <w:sz w:val="24"/>
                <w:szCs w:val="24"/>
              </w:rPr>
              <w:t xml:space="preserve">50-80</w:t>
            </w:r>
            <w:r/>
          </w:p>
        </w:tc>
        <w:tc>
          <w:tcPr>
            <w:tcW w:w="3308" w:type="dxa"/>
            <w:vAlign w:val="top"/>
            <w:textDirection w:val="lrTb"/>
            <w:noWrap w:val="false"/>
          </w:tcPr>
          <w:p>
            <w:pPr>
              <w:pStyle w:val="1522"/>
              <w:rPr>
                <w:rFonts w:hint="eastAsia" w:ascii="仿宋" w:hAnsi="仿宋" w:eastAsia="仿宋" w:cs="仿宋"/>
              </w:rPr>
            </w:pPr>
            <w:r>
              <w:rPr>
                <w:rFonts w:hint="eastAsia" w:ascii="仿宋" w:hAnsi="仿宋" w:eastAsia="仿宋" w:cs="仿宋"/>
              </w:rPr>
            </w:r>
            <w:r/>
          </w:p>
        </w:tc>
      </w:tr>
      <w:tr>
        <w:trPr>
          <w:trHeight w:val="755"/>
        </w:trPr>
        <w:tc>
          <w:tcPr>
            <w:gridSpan w:val="7"/>
            <w:tcW w:w="9940" w:type="dxa"/>
            <w:vAlign w:val="center"/>
            <w:textDirection w:val="lrTb"/>
            <w:noWrap w:val="false"/>
          </w:tcPr>
          <w:p>
            <w:pPr>
              <w:pStyle w:val="1522"/>
              <w:jc w:val="both"/>
              <w:rPr>
                <w:rFonts w:hint="eastAsia" w:ascii="仿宋" w:hAnsi="仿宋" w:eastAsia="仿宋" w:cs="仿宋"/>
                <w:sz w:val="24"/>
                <w:lang w:eastAsia="zh-CN"/>
              </w:rPr>
            </w:pPr>
            <w:r>
              <w:rPr>
                <w:rFonts w:hint="eastAsia" w:ascii="仿宋" w:hAnsi="仿宋" w:eastAsia="仿宋" w:cs="仿宋"/>
                <w:sz w:val="24"/>
                <w:lang w:eastAsia="zh-CN"/>
              </w:rPr>
              <w:t xml:space="preserve">说明：1.评估工作中，用材和成新率与本细则标准有差异的，由评估机构按实调整。</w:t>
            </w:r>
            <w:r/>
          </w:p>
          <w:p>
            <w:pPr>
              <w:pStyle w:val="1522"/>
              <w:ind w:firstLine="720"/>
              <w:jc w:val="both"/>
              <w:rPr>
                <w:rFonts w:hint="eastAsia" w:ascii="仿宋" w:hAnsi="仿宋" w:eastAsia="仿宋" w:cs="仿宋"/>
                <w:sz w:val="24"/>
                <w:lang w:eastAsia="zh-CN"/>
              </w:rPr>
            </w:pPr>
            <w:r>
              <w:rPr>
                <w:rFonts w:hint="eastAsia" w:ascii="仿宋" w:hAnsi="仿宋" w:eastAsia="仿宋" w:cs="仿宋"/>
                <w:sz w:val="24"/>
                <w:lang w:eastAsia="zh-CN"/>
              </w:rPr>
              <w:t xml:space="preserve">2.以上标准包含土建工程费、水电工程费及材料差价等综合因素。</w:t>
            </w:r>
            <w:r/>
          </w:p>
        </w:tc>
      </w:tr>
    </w:tbl>
    <w:p>
      <w:pPr>
        <w:rPr>
          <w:rFonts w:hint="eastAsia" w:ascii="仿宋" w:hAnsi="仿宋" w:eastAsia="仿宋" w:cs="仿宋"/>
          <w:sz w:val="24"/>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rPr>
      </w:r>
      <w:r/>
    </w:p>
    <w:p>
      <w:pPr>
        <w:ind w:left="671"/>
        <w:jc w:val="left"/>
        <w:rPr>
          <w:rFonts w:hint="eastAsia" w:ascii="仿宋" w:hAnsi="仿宋" w:eastAsia="仿宋" w:cs="仿宋"/>
          <w:sz w:val="32"/>
        </w:rPr>
      </w:pPr>
      <w:r>
        <w:rPr>
          <w:rFonts w:hint="eastAsia" w:ascii="仿宋" w:hAnsi="仿宋" w:eastAsia="仿宋" w:cs="仿宋"/>
          <w:sz w:val="32"/>
        </w:rPr>
        <w:t xml:space="preserve">附件 2</w:t>
      </w:r>
      <w:r/>
    </w:p>
    <w:p>
      <w:pPr>
        <w:jc w:val="center"/>
        <w:rPr>
          <w:rFonts w:hint="eastAsia" w:ascii="宋体" w:hAnsi="宋体" w:cs="宋体"/>
          <w:b/>
          <w:bCs/>
          <w:sz w:val="30"/>
          <w:szCs w:val="30"/>
        </w:rPr>
      </w:pPr>
      <w:r>
        <w:rPr>
          <w:rFonts w:hint="eastAsia" w:ascii="宋体" w:hAnsi="宋体" w:cs="宋体"/>
          <w:b/>
          <w:bCs/>
          <w:sz w:val="30"/>
          <w:szCs w:val="30"/>
        </w:rPr>
        <w:t xml:space="preserve">市区征收房屋等级和建安工程重置价格标准</w:t>
      </w:r>
      <w:r/>
    </w:p>
    <w:tbl>
      <w:tblPr>
        <w:tblStyle w:val="1313"/>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0"/>
        <w:gridCol w:w="656"/>
        <w:gridCol w:w="615"/>
        <w:gridCol w:w="5957"/>
        <w:gridCol w:w="1275"/>
      </w:tblGrid>
      <w:tr>
        <w:trPr>
          <w:trHeight w:val="484"/>
        </w:trPr>
        <w:tc>
          <w:tcPr>
            <w:tcW w:w="1140" w:type="dxa"/>
            <w:vAlign w:val="center"/>
            <w:textDirection w:val="lrTb"/>
            <w:noWrap w:val="false"/>
          </w:tcPr>
          <w:p>
            <w:pPr>
              <w:pStyle w:val="1522"/>
              <w:jc w:val="center"/>
              <w:rPr>
                <w:rFonts w:hint="eastAsia" w:ascii="仿宋" w:hAnsi="仿宋" w:eastAsia="仿宋" w:cs="仿宋"/>
                <w:b/>
                <w:bCs/>
                <w:sz w:val="24"/>
              </w:rPr>
            </w:pPr>
            <w:r>
              <w:rPr>
                <w:rFonts w:hint="eastAsia" w:ascii="仿宋" w:hAnsi="仿宋" w:eastAsia="仿宋" w:cs="仿宋"/>
                <w:b/>
                <w:bCs/>
                <w:sz w:val="24"/>
              </w:rPr>
              <w:t xml:space="preserve">类别</w:t>
            </w:r>
            <w:r/>
          </w:p>
        </w:tc>
        <w:tc>
          <w:tcPr>
            <w:gridSpan w:val="2"/>
            <w:tcW w:w="1271" w:type="dxa"/>
            <w:vAlign w:val="center"/>
            <w:textDirection w:val="lrTb"/>
            <w:noWrap w:val="false"/>
          </w:tcPr>
          <w:p>
            <w:pPr>
              <w:pStyle w:val="1522"/>
              <w:jc w:val="center"/>
              <w:rPr>
                <w:rFonts w:hint="eastAsia" w:ascii="仿宋" w:hAnsi="仿宋" w:eastAsia="仿宋" w:cs="仿宋"/>
                <w:b/>
                <w:bCs/>
                <w:sz w:val="24"/>
              </w:rPr>
            </w:pPr>
            <w:r>
              <w:rPr>
                <w:rFonts w:hint="eastAsia" w:ascii="仿宋" w:hAnsi="仿宋" w:eastAsia="仿宋" w:cs="仿宋"/>
                <w:b/>
                <w:bCs/>
                <w:sz w:val="24"/>
              </w:rPr>
              <w:t xml:space="preserve">等级</w:t>
            </w:r>
            <w:r/>
          </w:p>
        </w:tc>
        <w:tc>
          <w:tcPr>
            <w:tcW w:w="5957" w:type="dxa"/>
            <w:vAlign w:val="center"/>
            <w:textDirection w:val="lrTb"/>
            <w:noWrap w:val="false"/>
          </w:tcPr>
          <w:p>
            <w:pPr>
              <w:pStyle w:val="1522"/>
              <w:jc w:val="center"/>
              <w:rPr>
                <w:rFonts w:hint="eastAsia" w:ascii="仿宋" w:hAnsi="仿宋" w:eastAsia="仿宋" w:cs="仿宋"/>
                <w:b/>
                <w:bCs/>
                <w:sz w:val="24"/>
              </w:rPr>
            </w:pPr>
            <w:r>
              <w:rPr>
                <w:rFonts w:hint="eastAsia" w:ascii="仿宋" w:hAnsi="仿宋" w:eastAsia="仿宋" w:cs="仿宋"/>
                <w:b/>
                <w:bCs/>
                <w:sz w:val="24"/>
              </w:rPr>
              <w:t xml:space="preserve">结构装修及设备状况</w:t>
            </w:r>
            <w:r/>
          </w:p>
        </w:tc>
        <w:tc>
          <w:tcPr>
            <w:tcW w:w="1275" w:type="dxa"/>
            <w:vAlign w:val="center"/>
            <w:textDirection w:val="lrTb"/>
            <w:noWrap w:val="false"/>
          </w:tcPr>
          <w:p>
            <w:pPr>
              <w:pStyle w:val="1522"/>
              <w:jc w:val="center"/>
              <w:rPr>
                <w:rFonts w:hint="eastAsia" w:ascii="仿宋" w:hAnsi="仿宋" w:eastAsia="仿宋" w:cs="仿宋"/>
                <w:b/>
                <w:bCs/>
                <w:sz w:val="12"/>
              </w:rPr>
            </w:pPr>
            <w:r>
              <w:rPr>
                <w:rFonts w:hint="eastAsia" w:ascii="仿宋" w:hAnsi="仿宋" w:eastAsia="仿宋" w:cs="仿宋"/>
                <w:b/>
                <w:bCs/>
                <w:sz w:val="24"/>
              </w:rPr>
              <w:t xml:space="preserve">元/m</w:t>
            </w:r>
            <w:r>
              <w:rPr>
                <w:rFonts w:hint="eastAsia" w:ascii="仿宋" w:hAnsi="仿宋" w:eastAsia="仿宋" w:cs="仿宋"/>
                <w:b/>
                <w:bCs/>
                <w:position w:val="12"/>
                <w:sz w:val="12"/>
              </w:rPr>
              <w:t xml:space="preserve">2</w:t>
            </w:r>
            <w:r/>
          </w:p>
        </w:tc>
      </w:tr>
      <w:tr>
        <w:trPr>
          <w:trHeight w:val="933"/>
        </w:trPr>
        <w:tc>
          <w:tcPr>
            <w:tcW w:w="1140"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钢混凝土结构</w:t>
            </w:r>
            <w:r/>
          </w:p>
        </w:tc>
        <w:tc>
          <w:tcPr>
            <w:tcW w:w="656"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高层</w:t>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钢筋砼基础，钢砼框架或剪承重、砖墙围护、外墙面砖或涂料、内墙中级抹灰普通水泥地面、铝合金或塑钢门</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窗、水、电、卫、消防设施齐全。</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1690</w:t>
            </w:r>
            <w:r/>
          </w:p>
        </w:tc>
      </w:tr>
      <w:tr>
        <w:trPr>
          <w:trHeight w:val="1245"/>
        </w:trPr>
        <w:tc>
          <w:tcPr>
            <w:tcW w:w="1140"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多层</w:t>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78"/>
              <w:jc w:val="both"/>
              <w:spacing w:before="19"/>
              <w:rPr>
                <w:rFonts w:hint="eastAsia" w:ascii="仿宋" w:hAnsi="仿宋" w:eastAsia="仿宋" w:cs="仿宋"/>
                <w:sz w:val="24"/>
                <w:lang w:eastAsia="zh-CN"/>
              </w:rPr>
            </w:pPr>
            <w:r>
              <w:rPr>
                <w:rFonts w:hint="eastAsia" w:ascii="仿宋" w:hAnsi="仿宋" w:eastAsia="仿宋" w:cs="仿宋"/>
                <w:sz w:val="24"/>
                <w:lang w:eastAsia="zh-CN"/>
              </w:rPr>
              <w:t xml:space="preserve">钢筋砼框架承重，钢筋砼基础，实砌墙围护或填充墙， 钢筋砼屋面或钢屋架，木基层，水磨石地面，铝合金门窗或塑钢窗，木门，水、电、卫、消防设施齐全，适用</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多层办公和外墙面均为面砖商业用房。</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1430</w:t>
            </w:r>
            <w:r/>
          </w:p>
        </w:tc>
      </w:tr>
      <w:tr>
        <w:trPr>
          <w:trHeight w:val="623"/>
        </w:trPr>
        <w:tc>
          <w:tcPr>
            <w:tcW w:w="1140"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w:t>
            </w:r>
            <w:r/>
          </w:p>
        </w:tc>
        <w:tc>
          <w:tcPr>
            <w:tcW w:w="5957" w:type="dxa"/>
            <w:vAlign w:val="top"/>
            <w:textDirection w:val="lrTb"/>
            <w:noWrap w:val="false"/>
          </w:tcPr>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钢筋砼框架承重，钢筋砼基础，砖墙围护，铝合金窗或</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钢窗，水、电、卫、消防设施齐全。</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1170</w:t>
            </w:r>
            <w:r/>
          </w:p>
        </w:tc>
      </w:tr>
      <w:tr>
        <w:trPr>
          <w:trHeight w:val="729"/>
        </w:trPr>
        <w:tc>
          <w:tcPr>
            <w:tcW w:w="1140"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w:t>
            </w:r>
            <w:r/>
          </w:p>
        </w:tc>
        <w:tc>
          <w:tcPr>
            <w:tcW w:w="5957" w:type="dxa"/>
            <w:vAlign w:val="top"/>
            <w:textDirection w:val="lrTb"/>
            <w:noWrap w:val="false"/>
          </w:tcPr>
          <w:p>
            <w:pPr>
              <w:pStyle w:val="1522"/>
              <w:ind w:left="106" w:right="78"/>
              <w:spacing w:before="72"/>
              <w:rPr>
                <w:rFonts w:hint="eastAsia" w:ascii="仿宋" w:hAnsi="仿宋" w:eastAsia="仿宋" w:cs="仿宋"/>
                <w:sz w:val="24"/>
                <w:lang w:eastAsia="zh-CN"/>
              </w:rPr>
            </w:pPr>
            <w:r>
              <w:rPr>
                <w:rFonts w:hint="eastAsia" w:ascii="仿宋" w:hAnsi="仿宋" w:eastAsia="仿宋" w:cs="仿宋"/>
                <w:sz w:val="24"/>
                <w:lang w:eastAsia="zh-CN"/>
              </w:rPr>
              <w:t xml:space="preserve">部分钢筋框架承重，砖墙承重围护，钢窗，木门，水、电、卫设施齐全，结构较为简单。</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1040</w:t>
            </w:r>
            <w:r/>
          </w:p>
        </w:tc>
      </w:tr>
      <w:tr>
        <w:trPr>
          <w:trHeight w:val="933"/>
        </w:trPr>
        <w:tc>
          <w:tcPr>
            <w:tcW w:w="1140"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混合结构</w:t>
            </w:r>
            <w:r/>
          </w:p>
        </w:tc>
        <w:tc>
          <w:tcPr>
            <w:tcW w:w="656" w:type="dxa"/>
            <w:vAlign w:val="center"/>
            <w:vMerge w:val="restart"/>
            <w:textDirection w:val="lrTb"/>
            <w:noWrap w:val="false"/>
          </w:tcPr>
          <w:p>
            <w:pPr>
              <w:pStyle w:val="1522"/>
              <w:jc w:val="center"/>
              <w:rPr>
                <w:rFonts w:hint="eastAsia" w:ascii="仿宋" w:hAnsi="仿宋" w:eastAsia="仿宋" w:cs="仿宋"/>
                <w:sz w:val="12"/>
                <w:lang w:eastAsia="zh-CN"/>
              </w:rPr>
            </w:pPr>
            <w:r>
              <w:rPr>
                <w:rFonts w:hint="eastAsia" w:ascii="仿宋" w:hAnsi="仿宋" w:eastAsia="仿宋" w:cs="仿宋"/>
                <w:sz w:val="12"/>
                <w:lang w:eastAsia="zh-CN"/>
              </w:rPr>
            </w:r>
            <w:r/>
          </w:p>
          <w:p>
            <w:pPr>
              <w:pStyle w:val="1522"/>
              <w:jc w:val="center"/>
              <w:rPr>
                <w:rFonts w:hint="eastAsia" w:ascii="仿宋" w:hAnsi="仿宋" w:eastAsia="仿宋" w:cs="仿宋"/>
                <w:sz w:val="24"/>
                <w:lang w:eastAsia="zh-CN"/>
              </w:rPr>
            </w:pPr>
            <w:r>
              <w:rPr>
                <w:rFonts w:hint="eastAsia" w:ascii="仿宋" w:hAnsi="仿宋" w:eastAsia="仿宋" w:cs="仿宋"/>
                <w:sz w:val="24"/>
                <w:lang w:eastAsia="zh-CN"/>
              </w:rPr>
              <w:t xml:space="preserve">单元式住宅</w:t>
            </w:r>
            <w:r/>
          </w:p>
          <w:p>
            <w:pPr>
              <w:pStyle w:val="1522"/>
              <w:jc w:val="center"/>
              <w:rPr>
                <w:rFonts w:hint="eastAsia" w:ascii="仿宋" w:hAnsi="仿宋" w:eastAsia="仿宋" w:cs="仿宋"/>
                <w:sz w:val="24"/>
                <w:lang w:eastAsia="zh-CN"/>
              </w:rPr>
            </w:pPr>
            <w:r>
              <w:rPr>
                <w:rFonts w:hint="eastAsia" w:ascii="仿宋" w:hAnsi="仿宋" w:eastAsia="仿宋" w:cs="仿宋"/>
                <w:sz w:val="24"/>
                <w:lang w:eastAsia="zh-CN"/>
              </w:rPr>
              <w:t xml:space="preserve">、办公用房</w:t>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砖或钢筋砼条基，平坡屋面，现浇板或空心板楼层，铝合金或塑钢窗，水、电、卫实施齐全，户型新型，适用</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于四层以上近年新建的多层住宅楼或办公用房。</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1100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砖或钢筋砼条基，平坡屋面，多孔板楼层，砖墙或砼大板墙，钢窗或木窗，水、电、卫设施齐全，适用于四层</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(含四层)以上成套住宅或办公用房。</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980</w:t>
            </w:r>
            <w:r/>
          </w:p>
        </w:tc>
      </w:tr>
      <w:tr>
        <w:trPr>
          <w:trHeight w:val="933"/>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continue"/>
            <w:textDirection w:val="lrTb"/>
            <w:noWrap w:val="false"/>
          </w:tcPr>
          <w:p>
            <w:pPr>
              <w:jc w:val="cente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w:t>
            </w:r>
            <w:r/>
          </w:p>
        </w:tc>
        <w:tc>
          <w:tcPr>
            <w:tcW w:w="5957" w:type="dxa"/>
            <w:vAlign w:val="top"/>
            <w:textDirection w:val="lrTb"/>
            <w:noWrap w:val="false"/>
          </w:tcPr>
          <w:p>
            <w:pPr>
              <w:pStyle w:val="1522"/>
              <w:ind w:left="106" w:right="78"/>
              <w:spacing w:before="20"/>
              <w:rPr>
                <w:rFonts w:hint="eastAsia" w:ascii="仿宋" w:hAnsi="仿宋" w:eastAsia="仿宋" w:cs="仿宋"/>
                <w:sz w:val="24"/>
                <w:lang w:eastAsia="zh-CN"/>
              </w:rPr>
            </w:pPr>
            <w:r>
              <w:rPr>
                <w:rFonts w:hint="eastAsia" w:ascii="仿宋" w:hAnsi="仿宋" w:eastAsia="仿宋" w:cs="仿宋"/>
                <w:sz w:val="24"/>
                <w:lang w:eastAsia="zh-CN"/>
              </w:rPr>
              <w:t xml:space="preserve">砖或钢筋砼条基，平坡屋面，多孔板楼层，钢窗木门， 实砌墙，水、电设施齐全，含公厕，适用于三层（含三</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层）以上单元非成套住宅或办公用房。</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850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56"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普通房屋</w:t>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砖或钢筋砼条基，平坡屋面，多孔板楼层，实砌墙，钢</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窗或木门窗，水、电齐全，适用一般民用建筑。</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850</w:t>
            </w:r>
            <w:r/>
          </w:p>
        </w:tc>
      </w:tr>
      <w:tr>
        <w:trPr>
          <w:trHeight w:val="935"/>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5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w:t>
            </w:r>
            <w:r/>
          </w:p>
        </w:tc>
        <w:tc>
          <w:tcPr>
            <w:tcW w:w="5957" w:type="dxa"/>
            <w:vAlign w:val="top"/>
            <w:textDirection w:val="lrTb"/>
            <w:noWrap w:val="false"/>
          </w:tcPr>
          <w:p>
            <w:pPr>
              <w:pStyle w:val="1522"/>
              <w:ind w:left="106" w:right="-29"/>
              <w:spacing w:before="19"/>
              <w:rPr>
                <w:rFonts w:hint="eastAsia" w:ascii="仿宋" w:hAnsi="仿宋" w:eastAsia="仿宋" w:cs="仿宋"/>
                <w:sz w:val="24"/>
                <w:lang w:eastAsia="zh-CN"/>
              </w:rPr>
            </w:pPr>
            <w:r>
              <w:rPr>
                <w:rFonts w:hint="eastAsia" w:ascii="仿宋" w:hAnsi="仿宋" w:eastAsia="仿宋" w:cs="仿宋"/>
                <w:spacing w:val="-3"/>
                <w:sz w:val="24"/>
                <w:lang w:eastAsia="zh-CN"/>
              </w:rPr>
              <w:t xml:space="preserve">砖或钢筋砼条基，空斗墙，平本瓦望砖屋面，多孔板或</w:t>
            </w:r>
            <w:r>
              <w:rPr>
                <w:rFonts w:hint="eastAsia" w:ascii="仿宋" w:hAnsi="仿宋" w:eastAsia="仿宋" w:cs="仿宋"/>
                <w:spacing w:val="-14"/>
                <w:sz w:val="24"/>
                <w:lang w:eastAsia="zh-CN"/>
              </w:rPr>
              <w:t xml:space="preserve">砼小梁板楼板，砼楼梯，水泥楼地面，普通钢，木门窗，</w:t>
            </w:r>
            <w:r/>
          </w:p>
          <w:p>
            <w:pPr>
              <w:pStyle w:val="1522"/>
              <w:ind w:left="106"/>
              <w:rPr>
                <w:rFonts w:hint="eastAsia" w:ascii="仿宋" w:hAnsi="仿宋" w:eastAsia="仿宋" w:cs="仿宋"/>
                <w:sz w:val="24"/>
              </w:rPr>
            </w:pPr>
            <w:r>
              <w:rPr>
                <w:rFonts w:hint="eastAsia" w:ascii="仿宋" w:hAnsi="仿宋" w:eastAsia="仿宋" w:cs="仿宋"/>
                <w:sz w:val="24"/>
              </w:rPr>
              <w:t xml:space="preserve">水电俱全。</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780</w:t>
            </w:r>
            <w:r/>
          </w:p>
        </w:tc>
      </w:tr>
      <w:tr>
        <w:trPr>
          <w:trHeight w:val="621"/>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5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61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w:t>
            </w:r>
            <w:r/>
          </w:p>
        </w:tc>
        <w:tc>
          <w:tcPr>
            <w:tcW w:w="5957" w:type="dxa"/>
            <w:vAlign w:val="top"/>
            <w:textDirection w:val="lrTb"/>
            <w:noWrap w:val="false"/>
          </w:tcPr>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多孔板，砼小梁板屋面，空斗墙，水泥地或砖地，普通</w:t>
            </w:r>
            <w:r/>
          </w:p>
          <w:p>
            <w:pPr>
              <w:pStyle w:val="1522"/>
              <w:ind w:left="106"/>
              <w:rPr>
                <w:rFonts w:hint="eastAsia" w:ascii="仿宋" w:hAnsi="仿宋" w:eastAsia="仿宋" w:cs="仿宋"/>
                <w:sz w:val="24"/>
              </w:rPr>
            </w:pPr>
            <w:r>
              <w:rPr>
                <w:rFonts w:hint="eastAsia" w:ascii="仿宋" w:hAnsi="仿宋" w:eastAsia="仿宋" w:cs="仿宋"/>
                <w:sz w:val="24"/>
              </w:rPr>
              <w:t xml:space="preserve">木门窗，有水电。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590</w:t>
            </w:r>
            <w:r/>
          </w:p>
        </w:tc>
      </w:tr>
      <w:tr>
        <w:trPr>
          <w:trHeight w:val="1245"/>
        </w:trPr>
        <w:tc>
          <w:tcPr>
            <w:tcW w:w="1140"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砖木</w:t>
            </w:r>
            <w:r/>
          </w:p>
          <w:p>
            <w:pPr>
              <w:pStyle w:val="1522"/>
              <w:jc w:val="center"/>
              <w:rPr>
                <w:rFonts w:hint="eastAsia" w:ascii="仿宋" w:hAnsi="仿宋" w:eastAsia="仿宋" w:cs="仿宋"/>
                <w:sz w:val="24"/>
              </w:rPr>
            </w:pPr>
            <w:r>
              <w:rPr>
                <w:rFonts w:hint="eastAsia" w:ascii="仿宋" w:hAnsi="仿宋" w:eastAsia="仿宋" w:cs="仿宋"/>
                <w:sz w:val="24"/>
              </w:rPr>
              <w:t xml:space="preserve">旧式</w:t>
            </w:r>
            <w:r/>
          </w:p>
        </w:tc>
        <w:tc>
          <w:tcPr>
            <w:gridSpan w:val="2"/>
            <w:tcW w:w="1271" w:type="dxa"/>
            <w:vAlign w:val="center"/>
            <w:textDirection w:val="lrTb"/>
            <w:noWrap w:val="false"/>
          </w:tcPr>
          <w:p>
            <w:pPr>
              <w:pStyle w:val="1522"/>
              <w:ind w:left="6"/>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29"/>
              <w:jc w:val="both"/>
              <w:spacing w:before="19"/>
              <w:rPr>
                <w:rFonts w:hint="eastAsia" w:ascii="仿宋" w:hAnsi="仿宋" w:eastAsia="仿宋" w:cs="仿宋"/>
                <w:sz w:val="24"/>
                <w:lang w:eastAsia="zh-CN"/>
              </w:rPr>
            </w:pPr>
            <w:r>
              <w:rPr>
                <w:rFonts w:hint="eastAsia" w:ascii="仿宋" w:hAnsi="仿宋" w:eastAsia="仿宋" w:cs="仿宋"/>
                <w:spacing w:val="4"/>
                <w:sz w:val="24"/>
                <w:lang w:eastAsia="zh-CN"/>
              </w:rPr>
              <w:t xml:space="preserve">望板基层（</w:t>
            </w:r>
            <w:r>
              <w:rPr>
                <w:rFonts w:hint="eastAsia" w:ascii="仿宋" w:hAnsi="仿宋" w:eastAsia="仿宋" w:cs="仿宋"/>
                <w:spacing w:val="3"/>
                <w:sz w:val="24"/>
                <w:lang w:eastAsia="zh-CN"/>
              </w:rPr>
              <w:t xml:space="preserve">部分双层</w:t>
            </w:r>
            <w:r>
              <w:rPr>
                <w:rFonts w:hint="eastAsia" w:ascii="仿宋" w:hAnsi="仿宋" w:eastAsia="仿宋" w:cs="仿宋"/>
                <w:spacing w:val="-118"/>
                <w:sz w:val="24"/>
                <w:lang w:eastAsia="zh-CN"/>
              </w:rPr>
              <w:t xml:space="preserve">）</w:t>
            </w:r>
            <w:r>
              <w:rPr>
                <w:rFonts w:hint="eastAsia" w:ascii="仿宋" w:hAnsi="仿宋" w:eastAsia="仿宋" w:cs="仿宋"/>
                <w:spacing w:val="1"/>
                <w:sz w:val="24"/>
                <w:lang w:eastAsia="zh-CN"/>
              </w:rPr>
              <w:t xml:space="preserve">，小瓦屋面，半元椽方木桁条，</w:t>
            </w:r>
            <w:r>
              <w:rPr>
                <w:rFonts w:hint="eastAsia" w:ascii="仿宋" w:hAnsi="仿宋" w:eastAsia="仿宋" w:cs="仿宋"/>
                <w:spacing w:val="-4"/>
                <w:sz w:val="24"/>
                <w:lang w:eastAsia="zh-CN"/>
              </w:rPr>
              <w:t xml:space="preserve">杉木立帖，排柱齐全，正砖实砌墙，薄板天棚，双层木</w:t>
            </w:r>
            <w:r>
              <w:rPr>
                <w:rFonts w:hint="eastAsia" w:ascii="仿宋" w:hAnsi="仿宋" w:eastAsia="仿宋" w:cs="仿宋"/>
                <w:spacing w:val="-14"/>
                <w:sz w:val="24"/>
                <w:lang w:eastAsia="zh-CN"/>
              </w:rPr>
              <w:t xml:space="preserve">楼板，较好的木楼梯木间壁，木门窗制作讲究，带裙板，</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企口木地板，明间方砖地，有水电。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1170</w:t>
            </w:r>
            <w:r/>
          </w:p>
        </w:tc>
      </w:tr>
      <w:tr>
        <w:trPr>
          <w:trHeight w:val="1245"/>
        </w:trPr>
        <w:tc>
          <w:tcPr>
            <w:tcW w:w="1140"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gridSpan w:val="2"/>
            <w:tcW w:w="1271" w:type="dxa"/>
            <w:vAlign w:val="center"/>
            <w:textDirection w:val="lrTb"/>
            <w:noWrap w:val="false"/>
          </w:tcPr>
          <w:p>
            <w:pPr>
              <w:pStyle w:val="1522"/>
              <w:ind w:left="6"/>
              <w:jc w:val="center"/>
              <w:rPr>
                <w:rFonts w:hint="eastAsia" w:ascii="仿宋" w:hAnsi="仿宋" w:eastAsia="仿宋" w:cs="仿宋"/>
                <w:sz w:val="24"/>
              </w:rPr>
            </w:pPr>
            <w:r>
              <w:rPr>
                <w:rFonts w:hint="eastAsia" w:ascii="仿宋" w:hAnsi="仿宋" w:eastAsia="仿宋" w:cs="仿宋"/>
                <w:sz w:val="24"/>
              </w:rPr>
              <w:t xml:space="preserve">2</w:t>
            </w:r>
            <w:r/>
          </w:p>
        </w:tc>
        <w:tc>
          <w:tcPr>
            <w:tcW w:w="5957" w:type="dxa"/>
            <w:vAlign w:val="top"/>
            <w:textDirection w:val="lrTb"/>
            <w:noWrap w:val="false"/>
          </w:tcPr>
          <w:p>
            <w:pPr>
              <w:pStyle w:val="1522"/>
              <w:ind w:left="106" w:right="99"/>
              <w:jc w:val="both"/>
              <w:spacing w:before="19"/>
              <w:rPr>
                <w:rFonts w:hint="eastAsia" w:ascii="仿宋" w:hAnsi="仿宋" w:eastAsia="仿宋" w:cs="仿宋"/>
                <w:sz w:val="24"/>
                <w:lang w:eastAsia="zh-CN"/>
              </w:rPr>
            </w:pPr>
            <w:r>
              <w:rPr>
                <w:rFonts w:hint="eastAsia" w:ascii="仿宋" w:hAnsi="仿宋" w:eastAsia="仿宋" w:cs="仿宋"/>
                <w:spacing w:val="-3"/>
                <w:sz w:val="24"/>
                <w:lang w:eastAsia="zh-CN"/>
              </w:rPr>
              <w:t xml:space="preserve">望砖</w:t>
            </w:r>
            <w:r>
              <w:rPr>
                <w:rFonts w:hint="eastAsia" w:ascii="仿宋" w:hAnsi="仿宋" w:eastAsia="仿宋" w:cs="仿宋"/>
                <w:sz w:val="24"/>
                <w:lang w:eastAsia="zh-CN"/>
              </w:rPr>
              <w:t xml:space="preserve">（板</w:t>
            </w:r>
            <w:r>
              <w:rPr>
                <w:rFonts w:hint="eastAsia" w:ascii="仿宋" w:hAnsi="仿宋" w:eastAsia="仿宋" w:cs="仿宋"/>
                <w:spacing w:val="-5"/>
                <w:sz w:val="24"/>
                <w:lang w:eastAsia="zh-CN"/>
              </w:rPr>
              <w:t xml:space="preserve">）</w:t>
            </w:r>
            <w:r>
              <w:rPr>
                <w:rFonts w:hint="eastAsia" w:ascii="仿宋" w:hAnsi="仿宋" w:eastAsia="仿宋" w:cs="仿宋"/>
                <w:spacing w:val="-4"/>
                <w:sz w:val="24"/>
                <w:lang w:eastAsia="zh-CN"/>
              </w:rPr>
              <w:t xml:space="preserve">小瓦屋面，半元椽，木桁条较粗状杉木立帖</w:t>
            </w:r>
            <w:r>
              <w:rPr>
                <w:rFonts w:hint="eastAsia" w:ascii="仿宋" w:hAnsi="仿宋" w:eastAsia="仿宋" w:cs="仿宋"/>
                <w:spacing w:val="-5"/>
                <w:sz w:val="24"/>
                <w:lang w:eastAsia="zh-CN"/>
              </w:rPr>
              <w:t xml:space="preserve">排柱齐全，薄板天棚，木间壁，普通木门窗，前沿格子</w:t>
            </w:r>
            <w:r>
              <w:rPr>
                <w:rFonts w:hint="eastAsia" w:ascii="仿宋" w:hAnsi="仿宋" w:eastAsia="仿宋" w:cs="仿宋"/>
                <w:spacing w:val="-6"/>
                <w:sz w:val="24"/>
                <w:lang w:eastAsia="zh-CN"/>
              </w:rPr>
              <w:t xml:space="preserve">门窗，木地板，乱砧填充墙或木间壁，有水、电或公用</w:t>
            </w:r>
            <w:r/>
          </w:p>
          <w:p>
            <w:pPr>
              <w:pStyle w:val="1522"/>
              <w:ind w:left="106"/>
              <w:rPr>
                <w:rFonts w:hint="eastAsia" w:ascii="仿宋" w:hAnsi="仿宋" w:eastAsia="仿宋" w:cs="仿宋"/>
                <w:sz w:val="24"/>
              </w:rPr>
            </w:pPr>
            <w:r>
              <w:rPr>
                <w:rFonts w:hint="eastAsia" w:ascii="仿宋" w:hAnsi="仿宋" w:eastAsia="仿宋" w:cs="仿宋"/>
                <w:sz w:val="24"/>
              </w:rPr>
              <w:t xml:space="preserve">水。</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980</w:t>
            </w:r>
            <w:r/>
          </w:p>
        </w:tc>
      </w:tr>
    </w:tbl>
    <w:p>
      <w:pPr>
        <w:jc w:val="center"/>
        <w:rPr>
          <w:rFonts w:hint="eastAsia" w:ascii="仿宋" w:hAnsi="仿宋" w:eastAsia="仿宋" w:cs="仿宋"/>
          <w:sz w:val="24"/>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sz w:val="24"/>
        </w:rPr>
      </w:r>
      <w:r/>
    </w:p>
    <w:p>
      <w:pPr>
        <w:pStyle w:val="1492"/>
        <w:spacing w:before="2" w:line="240" w:lineRule="auto"/>
        <w:rPr>
          <w:rFonts w:hint="eastAsia" w:ascii="仿宋" w:hAnsi="仿宋" w:eastAsia="仿宋" w:cs="仿宋"/>
          <w:sz w:val="19"/>
        </w:rPr>
      </w:pPr>
      <w:r>
        <w:rPr>
          <w:rFonts w:hint="eastAsia" w:ascii="仿宋" w:hAnsi="仿宋" w:eastAsia="仿宋" w:cs="仿宋"/>
          <w:sz w:val="19"/>
        </w:rPr>
      </w:r>
      <w:r/>
    </w:p>
    <w:tbl>
      <w:tblPr>
        <w:tblStyle w:val="1313"/>
        <w:tblW w:w="0" w:type="auto"/>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6"/>
        <w:gridCol w:w="1275"/>
        <w:gridCol w:w="5957"/>
        <w:gridCol w:w="1275"/>
      </w:tblGrid>
      <w:tr>
        <w:trPr>
          <w:trHeight w:val="933"/>
        </w:trPr>
        <w:tc>
          <w:tcPr>
            <w:tcW w:w="1136"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砖木</w:t>
            </w:r>
            <w:r/>
          </w:p>
          <w:p>
            <w:pPr>
              <w:pStyle w:val="1522"/>
              <w:jc w:val="center"/>
              <w:rPr>
                <w:rFonts w:hint="eastAsia" w:ascii="仿宋" w:hAnsi="仿宋" w:eastAsia="仿宋" w:cs="仿宋"/>
                <w:sz w:val="24"/>
              </w:rPr>
            </w:pPr>
            <w:r>
              <w:rPr>
                <w:rFonts w:hint="eastAsia" w:ascii="仿宋" w:hAnsi="仿宋" w:eastAsia="仿宋" w:cs="仿宋"/>
                <w:sz w:val="24"/>
              </w:rPr>
              <w:t xml:space="preserve">旧式</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小瓦屋面，望砖基屋，半元椽，木桁条，杉木立帖屋架用料一般，普通木门窗，水泥地（或不规则地板）乱砖</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填充墙，有水电或公用水。</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850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小瓦屋面，芦菲或纤维板基屋，半元椽，木桁条，杉木立帖屋架用料一般，普通木门窗，水泥地（或不规则地</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板）乱砖填充墙，有水电或公用水。</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w:t>
            </w:r>
            <w:r/>
          </w:p>
        </w:tc>
        <w:tc>
          <w:tcPr>
            <w:tcW w:w="5957" w:type="dxa"/>
            <w:vAlign w:val="top"/>
            <w:textDirection w:val="lrTb"/>
            <w:noWrap w:val="false"/>
          </w:tcPr>
          <w:p>
            <w:pPr>
              <w:pStyle w:val="1522"/>
              <w:ind w:left="106" w:right="-29"/>
              <w:spacing w:before="17"/>
              <w:rPr>
                <w:rFonts w:hint="eastAsia" w:ascii="仿宋" w:hAnsi="仿宋" w:eastAsia="仿宋" w:cs="仿宋"/>
                <w:sz w:val="24"/>
                <w:lang w:eastAsia="zh-CN"/>
              </w:rPr>
            </w:pPr>
            <w:r>
              <w:rPr>
                <w:rFonts w:hint="eastAsia" w:ascii="仿宋" w:hAnsi="仿宋" w:eastAsia="仿宋" w:cs="仿宋"/>
                <w:spacing w:val="-14"/>
                <w:sz w:val="24"/>
                <w:lang w:eastAsia="zh-CN"/>
              </w:rPr>
              <w:t xml:space="preserve">小瓦屋面，芦菲、芦便垫层，杂木椽，木桁条用料较小， </w:t>
            </w:r>
            <w:r>
              <w:rPr>
                <w:rFonts w:hint="eastAsia" w:ascii="仿宋" w:hAnsi="仿宋" w:eastAsia="仿宋" w:cs="仿宋"/>
                <w:spacing w:val="-16"/>
                <w:sz w:val="24"/>
                <w:lang w:eastAsia="zh-CN"/>
              </w:rPr>
              <w:t xml:space="preserve">有立帖山墙，简易木门窗，简易间隔墙，水泥地或砖地，</w:t>
            </w:r>
            <w:r/>
          </w:p>
          <w:p>
            <w:pPr>
              <w:pStyle w:val="1522"/>
              <w:ind w:left="106"/>
              <w:rPr>
                <w:rFonts w:hint="eastAsia" w:ascii="仿宋" w:hAnsi="仿宋" w:eastAsia="仿宋" w:cs="仿宋"/>
                <w:sz w:val="24"/>
              </w:rPr>
            </w:pPr>
            <w:r>
              <w:rPr>
                <w:rFonts w:hint="eastAsia" w:ascii="仿宋" w:hAnsi="仿宋" w:eastAsia="仿宋" w:cs="仿宋"/>
                <w:sz w:val="24"/>
              </w:rPr>
              <w:t xml:space="preserve">有水电或公用水。</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470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w:t>
            </w:r>
            <w:r/>
          </w:p>
        </w:tc>
        <w:tc>
          <w:tcPr>
            <w:tcW w:w="5957" w:type="dxa"/>
            <w:vAlign w:val="top"/>
            <w:textDirection w:val="lrTb"/>
            <w:noWrap w:val="false"/>
          </w:tcPr>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土墙，部分砖墙、木柱、木桁条、本瓦、望砖屋面，木</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板或砖墙分间，门窗尚好，水泥地或砖地，有水电。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390</w:t>
            </w:r>
            <w:r/>
          </w:p>
        </w:tc>
      </w:tr>
      <w:tr>
        <w:trPr>
          <w:trHeight w:val="1245"/>
        </w:trPr>
        <w:tc>
          <w:tcPr>
            <w:tcW w:w="1136" w:type="dxa"/>
            <w:vAlign w:val="center"/>
            <w:vMerge w:val="restart"/>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砖木</w:t>
            </w:r>
            <w:r/>
          </w:p>
          <w:p>
            <w:pPr>
              <w:pStyle w:val="1522"/>
              <w:jc w:val="center"/>
              <w:rPr>
                <w:rFonts w:hint="eastAsia" w:ascii="仿宋" w:hAnsi="仿宋" w:eastAsia="仿宋" w:cs="仿宋"/>
                <w:sz w:val="24"/>
              </w:rPr>
            </w:pPr>
            <w:r>
              <w:rPr>
                <w:rFonts w:hint="eastAsia" w:ascii="仿宋" w:hAnsi="仿宋" w:eastAsia="仿宋" w:cs="仿宋"/>
                <w:sz w:val="24"/>
              </w:rPr>
              <w:t xml:space="preserve">新式</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29"/>
              <w:jc w:val="both"/>
              <w:spacing w:before="20"/>
              <w:rPr>
                <w:rFonts w:hint="eastAsia" w:ascii="仿宋" w:hAnsi="仿宋" w:eastAsia="仿宋" w:cs="仿宋"/>
                <w:sz w:val="24"/>
                <w:lang w:eastAsia="zh-CN"/>
              </w:rPr>
            </w:pPr>
            <w:r>
              <w:rPr>
                <w:rFonts w:hint="eastAsia" w:ascii="仿宋" w:hAnsi="仿宋" w:eastAsia="仿宋" w:cs="仿宋"/>
                <w:sz w:val="24"/>
                <w:lang w:eastAsia="zh-CN"/>
              </w:rPr>
              <w:t xml:space="preserve">砖或钢筋砼条基，实砌墙承重，木桁条，洋松木屋架， </w:t>
            </w:r>
            <w:r>
              <w:rPr>
                <w:rFonts w:hint="eastAsia" w:ascii="仿宋" w:hAnsi="仿宋" w:eastAsia="仿宋" w:cs="仿宋"/>
                <w:spacing w:val="-13"/>
                <w:sz w:val="24"/>
                <w:lang w:eastAsia="zh-CN"/>
              </w:rPr>
              <w:t xml:space="preserve">平瓦屋面，内外粉刷硬大楼地板西式木楼梯，用料讲究， </w:t>
            </w:r>
            <w:r>
              <w:rPr>
                <w:rFonts w:hint="eastAsia" w:ascii="仿宋" w:hAnsi="仿宋" w:eastAsia="仿宋" w:cs="仿宋"/>
                <w:spacing w:val="-11"/>
                <w:sz w:val="24"/>
                <w:lang w:eastAsia="zh-CN"/>
              </w:rPr>
              <w:t xml:space="preserve">制作精细</w:t>
            </w:r>
            <w:r>
              <w:rPr>
                <w:rFonts w:hint="eastAsia" w:ascii="仿宋" w:hAnsi="仿宋" w:eastAsia="仿宋" w:cs="仿宋"/>
                <w:sz w:val="24"/>
                <w:lang w:eastAsia="zh-CN"/>
              </w:rPr>
              <w:t xml:space="preserve">（起线雕花</w:t>
            </w:r>
            <w:r>
              <w:rPr>
                <w:rFonts w:hint="eastAsia" w:ascii="仿宋" w:hAnsi="仿宋" w:eastAsia="仿宋" w:cs="仿宋"/>
                <w:spacing w:val="-8"/>
                <w:sz w:val="24"/>
                <w:lang w:eastAsia="zh-CN"/>
              </w:rPr>
              <w:t xml:space="preserve">）</w:t>
            </w:r>
            <w:r>
              <w:rPr>
                <w:rFonts w:hint="eastAsia" w:ascii="仿宋" w:hAnsi="仿宋" w:eastAsia="仿宋" w:cs="仿宋"/>
                <w:spacing w:val="-2"/>
                <w:sz w:val="24"/>
                <w:lang w:eastAsia="zh-CN"/>
              </w:rPr>
              <w:t xml:space="preserve">的硬木门窗，薄板吊平顶，水电</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卫生设备俱全，庭院或花园洋房。</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1100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老式木楼清水墙，砖或钢筋条基，木桁条，普通木楼地板、木楼梯，木屋架，平瓦望砖（木望板）屋面，内外</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粉刷，普通吊平顶，有水电。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910</w:t>
            </w:r>
            <w:r/>
          </w:p>
        </w:tc>
      </w:tr>
      <w:tr>
        <w:trPr>
          <w:trHeight w:val="935"/>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w:t>
            </w:r>
            <w:r/>
          </w:p>
        </w:tc>
        <w:tc>
          <w:tcPr>
            <w:tcW w:w="5957" w:type="dxa"/>
            <w:vAlign w:val="top"/>
            <w:textDirection w:val="lrTb"/>
            <w:noWrap w:val="false"/>
          </w:tcPr>
          <w:p>
            <w:pPr>
              <w:pStyle w:val="1522"/>
              <w:ind w:left="106" w:right="-29"/>
              <w:spacing w:before="19"/>
              <w:rPr>
                <w:rFonts w:hint="eastAsia" w:ascii="仿宋" w:hAnsi="仿宋" w:eastAsia="仿宋" w:cs="仿宋"/>
                <w:sz w:val="24"/>
                <w:lang w:eastAsia="zh-CN"/>
              </w:rPr>
            </w:pPr>
            <w:r>
              <w:rPr>
                <w:rFonts w:hint="eastAsia" w:ascii="仿宋" w:hAnsi="仿宋" w:eastAsia="仿宋" w:cs="仿宋"/>
                <w:spacing w:val="-4"/>
                <w:sz w:val="24"/>
                <w:lang w:eastAsia="zh-CN"/>
              </w:rPr>
              <w:t xml:space="preserve">砖或钢筋条基，平瓦望砖屋面、木桁条、半元椽一般木</w:t>
            </w:r>
            <w:r>
              <w:rPr>
                <w:rFonts w:hint="eastAsia" w:ascii="仿宋" w:hAnsi="仿宋" w:eastAsia="仿宋" w:cs="仿宋"/>
                <w:spacing w:val="-13"/>
                <w:sz w:val="24"/>
                <w:lang w:eastAsia="zh-CN"/>
              </w:rPr>
              <w:t xml:space="preserve">屋架，砖墙承重，内外粉刷，木楼板，木楼梯，水泥地，</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钢窗，普通木门窗，有水电。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820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砖或钢筋条基，平瓦望砖屋面、木桁条、半元椽一般木屋架，砖墙承重，内外粉刷，水泥地，钢窗，普通木门</w:t>
            </w:r>
            <w:r/>
          </w:p>
          <w:p>
            <w:pPr>
              <w:pStyle w:val="1522"/>
              <w:ind w:left="106"/>
              <w:rPr>
                <w:rFonts w:hint="eastAsia" w:ascii="仿宋" w:hAnsi="仿宋" w:eastAsia="仿宋" w:cs="仿宋"/>
                <w:sz w:val="24"/>
              </w:rPr>
            </w:pPr>
            <w:r>
              <w:rPr>
                <w:rFonts w:hint="eastAsia" w:ascii="仿宋" w:hAnsi="仿宋" w:eastAsia="仿宋" w:cs="仿宋"/>
                <w:sz w:val="24"/>
              </w:rPr>
              <w:t xml:space="preserve">窗，有水电。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730</w:t>
            </w:r>
            <w:r/>
          </w:p>
        </w:tc>
      </w:tr>
      <w:tr>
        <w:trPr>
          <w:trHeight w:val="933"/>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w:t>
            </w:r>
            <w:r/>
          </w:p>
        </w:tc>
        <w:tc>
          <w:tcPr>
            <w:tcW w:w="5957" w:type="dxa"/>
            <w:vAlign w:val="top"/>
            <w:textDirection w:val="lrTb"/>
            <w:noWrap w:val="false"/>
          </w:tcPr>
          <w:p>
            <w:pPr>
              <w:pStyle w:val="1522"/>
              <w:ind w:left="106" w:right="50"/>
              <w:spacing w:before="19"/>
              <w:rPr>
                <w:rFonts w:hint="eastAsia" w:ascii="仿宋" w:hAnsi="仿宋" w:eastAsia="仿宋" w:cs="仿宋"/>
                <w:sz w:val="24"/>
                <w:lang w:eastAsia="zh-CN"/>
              </w:rPr>
            </w:pPr>
            <w:r>
              <w:rPr>
                <w:rFonts w:hint="eastAsia" w:ascii="仿宋" w:hAnsi="仿宋" w:eastAsia="仿宋" w:cs="仿宋"/>
                <w:sz w:val="24"/>
                <w:lang w:eastAsia="zh-CN"/>
              </w:rPr>
              <w:t xml:space="preserve">砖基础，砖墙承重，木桁条用料一般或砼桁木椽，有木屋架，平瓦屋面，芦便或纤维板基层，普通木门窗，水</w:t>
            </w:r>
            <w:r/>
          </w:p>
          <w:p>
            <w:pPr>
              <w:pStyle w:val="1522"/>
              <w:ind w:left="106"/>
              <w:rPr>
                <w:rFonts w:hint="eastAsia" w:ascii="仿宋" w:hAnsi="仿宋" w:eastAsia="仿宋" w:cs="仿宋"/>
                <w:sz w:val="24"/>
              </w:rPr>
            </w:pPr>
            <w:r>
              <w:rPr>
                <w:rFonts w:hint="eastAsia" w:ascii="仿宋" w:hAnsi="仿宋" w:eastAsia="仿宋" w:cs="仿宋"/>
                <w:sz w:val="24"/>
              </w:rPr>
              <w:t xml:space="preserve">泥地，有水电。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590</w:t>
            </w:r>
            <w:r/>
          </w:p>
        </w:tc>
      </w:tr>
      <w:tr>
        <w:trPr>
          <w:trHeight w:val="777"/>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6</w:t>
            </w:r>
            <w:r/>
          </w:p>
        </w:tc>
        <w:tc>
          <w:tcPr>
            <w:tcW w:w="5957" w:type="dxa"/>
            <w:vAlign w:val="top"/>
            <w:textDirection w:val="lrTb"/>
            <w:noWrap w:val="false"/>
          </w:tcPr>
          <w:p>
            <w:pPr>
              <w:pStyle w:val="1522"/>
              <w:ind w:left="106" w:right="49"/>
              <w:spacing w:before="96"/>
              <w:rPr>
                <w:rFonts w:hint="eastAsia" w:ascii="仿宋" w:hAnsi="仿宋" w:eastAsia="仿宋" w:cs="仿宋"/>
                <w:sz w:val="24"/>
                <w:lang w:eastAsia="zh-CN"/>
              </w:rPr>
            </w:pPr>
            <w:r>
              <w:rPr>
                <w:rFonts w:hint="eastAsia" w:ascii="仿宋" w:hAnsi="仿宋" w:eastAsia="仿宋" w:cs="仿宋"/>
                <w:sz w:val="24"/>
                <w:lang w:eastAsia="zh-CN"/>
              </w:rPr>
              <w:t xml:space="preserve">砖墙，平瓦屋面，杂木椽，杂木桁砼桁简易木门窗，水泥地，有水电。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460</w:t>
            </w:r>
            <w:r/>
          </w:p>
        </w:tc>
      </w:tr>
      <w:tr>
        <w:trPr>
          <w:trHeight w:val="621"/>
        </w:trPr>
        <w:tc>
          <w:tcPr>
            <w:tcW w:w="1136" w:type="dxa"/>
            <w:vAlign w:val="top"/>
            <w:vMerge w:val="continue"/>
            <w:textDirection w:val="lrTb"/>
            <w:noWrap w:val="false"/>
          </w:tcPr>
          <w:p>
            <w:pPr>
              <w:rPr>
                <w:rFonts w:hint="eastAsia" w:ascii="仿宋" w:hAnsi="仿宋" w:eastAsia="仿宋" w:cs="仿宋"/>
                <w:sz w:val="2"/>
                <w:szCs w:val="2"/>
              </w:rPr>
            </w:pPr>
            <w:r>
              <w:rPr>
                <w:rFonts w:hint="eastAsia" w:ascii="仿宋" w:hAnsi="仿宋" w:eastAsia="仿宋" w:cs="仿宋"/>
                <w:sz w:val="2"/>
                <w:szCs w:val="2"/>
              </w:rPr>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7</w:t>
            </w:r>
            <w:r/>
          </w:p>
        </w:tc>
        <w:tc>
          <w:tcPr>
            <w:tcW w:w="5957" w:type="dxa"/>
            <w:vAlign w:val="top"/>
            <w:textDirection w:val="lrTb"/>
            <w:noWrap w:val="false"/>
          </w:tcPr>
          <w:p>
            <w:pPr>
              <w:pStyle w:val="1522"/>
              <w:ind w:left="106" w:right="-29"/>
              <w:rPr>
                <w:rFonts w:hint="eastAsia" w:ascii="仿宋" w:hAnsi="仿宋" w:eastAsia="仿宋" w:cs="仿宋"/>
                <w:sz w:val="24"/>
                <w:lang w:eastAsia="zh-CN"/>
              </w:rPr>
            </w:pPr>
            <w:r>
              <w:rPr>
                <w:rFonts w:hint="eastAsia" w:ascii="仿宋" w:hAnsi="仿宋" w:eastAsia="仿宋" w:cs="仿宋"/>
                <w:spacing w:val="-14"/>
                <w:sz w:val="24"/>
                <w:lang w:eastAsia="zh-CN"/>
              </w:rPr>
              <w:t xml:space="preserve">不规则木屋架，木或钢筋砼桁条，瓦屋面或低标砼屋墙，</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砖地承重，不规则木门窗，水泥地，有水电。</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330</w:t>
            </w:r>
            <w:r/>
          </w:p>
        </w:tc>
      </w:tr>
      <w:tr>
        <w:trPr>
          <w:trHeight w:val="623"/>
        </w:trPr>
        <w:tc>
          <w:tcPr>
            <w:tcW w:w="1136"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其它</w:t>
            </w:r>
            <w:r/>
          </w:p>
          <w:p>
            <w:pPr>
              <w:pStyle w:val="1522"/>
              <w:jc w:val="center"/>
              <w:rPr>
                <w:rFonts w:hint="eastAsia" w:ascii="仿宋" w:hAnsi="仿宋" w:eastAsia="仿宋" w:cs="仿宋"/>
                <w:sz w:val="24"/>
              </w:rPr>
            </w:pPr>
            <w:r>
              <w:rPr>
                <w:rFonts w:hint="eastAsia" w:ascii="仿宋" w:hAnsi="仿宋" w:eastAsia="仿宋" w:cs="仿宋"/>
                <w:sz w:val="24"/>
              </w:rPr>
              <w:t xml:space="preserve">结构</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1</w:t>
            </w:r>
            <w:r/>
          </w:p>
        </w:tc>
        <w:tc>
          <w:tcPr>
            <w:tcW w:w="5957" w:type="dxa"/>
            <w:vAlign w:val="top"/>
            <w:textDirection w:val="lrTb"/>
            <w:noWrap w:val="false"/>
          </w:tcPr>
          <w:p>
            <w:pPr>
              <w:pStyle w:val="1522"/>
              <w:ind w:left="106" w:right="-29"/>
              <w:rPr>
                <w:rFonts w:hint="eastAsia" w:ascii="仿宋" w:hAnsi="仿宋" w:eastAsia="仿宋" w:cs="仿宋"/>
                <w:sz w:val="24"/>
                <w:lang w:eastAsia="zh-CN"/>
              </w:rPr>
            </w:pPr>
            <w:r>
              <w:rPr>
                <w:rFonts w:hint="eastAsia" w:ascii="仿宋" w:hAnsi="仿宋" w:eastAsia="仿宋" w:cs="仿宋"/>
                <w:spacing w:val="-13"/>
                <w:sz w:val="24"/>
                <w:lang w:eastAsia="zh-CN"/>
              </w:rPr>
              <w:t xml:space="preserve">砖墙承重，有门窗，水泥地面或砖地，有水电，石棉瓦、</w:t>
            </w:r>
            <w:r/>
          </w:p>
          <w:p>
            <w:pPr>
              <w:pStyle w:val="1522"/>
              <w:ind w:left="106"/>
              <w:rPr>
                <w:rFonts w:hint="eastAsia" w:ascii="仿宋" w:hAnsi="仿宋" w:eastAsia="仿宋" w:cs="仿宋"/>
                <w:sz w:val="24"/>
                <w:lang w:eastAsia="zh-CN"/>
              </w:rPr>
            </w:pPr>
            <w:r>
              <w:rPr>
                <w:rFonts w:hint="eastAsia" w:ascii="仿宋" w:hAnsi="仿宋" w:eastAsia="仿宋" w:cs="仿宋"/>
                <w:sz w:val="24"/>
                <w:lang w:eastAsia="zh-CN"/>
              </w:rPr>
              <w:t xml:space="preserve">彩钢瓦、铝合金玻璃等屋面。</w:t>
            </w:r>
            <w:r/>
          </w:p>
        </w:tc>
        <w:tc>
          <w:tcPr>
            <w:tcW w:w="1275" w:type="dxa"/>
            <w:vAlign w:val="center"/>
            <w:textDirection w:val="lrTb"/>
            <w:noWrap w:val="false"/>
          </w:tcPr>
          <w:p>
            <w:pPr>
              <w:pStyle w:val="1522"/>
              <w:jc w:val="center"/>
              <w:rPr>
                <w:rFonts w:hint="eastAsia" w:ascii="仿宋" w:hAnsi="仿宋" w:eastAsia="仿宋" w:cs="仿宋"/>
                <w:sz w:val="24"/>
              </w:rPr>
            </w:pPr>
            <w:r>
              <w:rPr>
                <w:rFonts w:hint="eastAsia" w:ascii="仿宋" w:hAnsi="仿宋" w:eastAsia="仿宋" w:cs="仿宋"/>
                <w:sz w:val="24"/>
              </w:rPr>
              <w:t xml:space="preserve">250-330</w:t>
            </w:r>
            <w:r/>
          </w:p>
        </w:tc>
      </w:tr>
      <w:tr>
        <w:trPr>
          <w:trHeight w:val="566"/>
        </w:trPr>
        <w:tc>
          <w:tcPr>
            <w:gridSpan w:val="4"/>
            <w:tcW w:w="9643" w:type="dxa"/>
            <w:vAlign w:val="top"/>
            <w:textDirection w:val="lrTb"/>
            <w:noWrap w:val="false"/>
          </w:tcPr>
          <w:p>
            <w:pPr>
              <w:pStyle w:val="1522"/>
              <w:ind w:firstLine="240"/>
              <w:spacing w:before="120" w:after="120"/>
              <w:rPr>
                <w:rFonts w:hint="eastAsia" w:ascii="仿宋" w:hAnsi="仿宋" w:eastAsia="仿宋" w:cs="仿宋"/>
                <w:sz w:val="24"/>
                <w:lang w:eastAsia="zh-CN"/>
              </w:rPr>
            </w:pPr>
            <w:r>
              <w:rPr>
                <w:rFonts w:hint="eastAsia" w:ascii="仿宋" w:hAnsi="仿宋" w:eastAsia="仿宋" w:cs="仿宋"/>
                <w:sz w:val="24"/>
                <w:lang w:eastAsia="zh-CN"/>
              </w:rPr>
              <w:t xml:space="preserve">注：本价格标准表内“有水电”均指含下水设施。</w:t>
            </w:r>
            <w:r/>
          </w:p>
        </w:tc>
      </w:tr>
    </w:tbl>
    <w:p>
      <w:pPr>
        <w:pStyle w:val="1492"/>
        <w:spacing w:line="240" w:lineRule="auto"/>
        <w:rPr>
          <w:rFonts w:hint="eastAsia" w:ascii="仿宋" w:hAnsi="仿宋" w:eastAsia="仿宋" w:cs="仿宋"/>
        </w:rPr>
      </w:pPr>
      <w:r>
        <w:rPr>
          <w:rFonts w:hint="eastAsia" w:ascii="仿宋" w:hAnsi="仿宋" w:eastAsia="仿宋" w:cs="仿宋"/>
        </w:rPr>
        <w:t xml:space="preserve">注：1.以上标准中所列房屋的层高(除其它结构的房屋)为:砖木结构2.7米,钢砼结构3.6米,混合结构2.9米。房屋层高每增减0.2米,重置价格相应增减2%,房屋层高为室内地坪面至沿口高度,前后沿高不等的,以平均高度计算。</w:t>
      </w:r>
      <w:r/>
    </w:p>
    <w:p>
      <w:pPr>
        <w:pStyle w:val="1492"/>
        <w:spacing w:line="240" w:lineRule="auto"/>
        <w:rPr>
          <w:rFonts w:hint="eastAsia" w:ascii="仿宋" w:hAnsi="仿宋" w:eastAsia="仿宋" w:cs="仿宋"/>
        </w:rPr>
        <w:sectPr>
          <w:footnotePr/>
          <w:endnotePr/>
          <w:type w:val="nextPage"/>
          <w:pgSz w:w="11910" w:h="16840" w:orient="portrait"/>
          <w:pgMar w:top="1580" w:right="860" w:bottom="280" w:left="860" w:header="720" w:footer="720" w:gutter="0"/>
          <w:cols w:num="1" w:sep="0" w:space="1701" w:equalWidth="1"/>
          <w:docGrid w:linePitch="360"/>
        </w:sectPr>
      </w:pPr>
      <w:r>
        <w:rPr>
          <w:rFonts w:hint="eastAsia" w:ascii="仿宋" w:hAnsi="仿宋" w:eastAsia="仿宋" w:cs="仿宋"/>
        </w:rPr>
        <w:t xml:space="preserve">2.房屋的结构、装修和设备状况相应等级有较大差异时，重置价格可适当增减，但增减幅度不得超过重置价格标准的5%</w:t>
      </w:r>
      <w:r/>
    </w:p>
    <w:p>
      <w:pPr>
        <w:widowControl/>
        <w:rPr>
          <w:b/>
          <w:sz w:val="36"/>
          <w:szCs w:val="36"/>
        </w:rPr>
      </w:pPr>
      <w:r>
        <w:rPr>
          <w:b/>
          <w:sz w:val="36"/>
          <w:szCs w:val="36"/>
        </w:rPr>
      </w:r>
      <w:r/>
    </w:p>
    <w:p>
      <w:pPr>
        <w:jc w:val="center"/>
        <w:widowControl/>
        <w:rPr>
          <w:b/>
          <w:sz w:val="36"/>
          <w:szCs w:val="36"/>
        </w:rPr>
      </w:pPr>
      <w:r>
        <w:rPr>
          <w:b/>
          <w:sz w:val="36"/>
          <w:szCs w:val="36"/>
        </w:rPr>
        <w:t xml:space="preserve">第六章   拟签订的合同文本</w:t>
      </w:r>
      <w:bookmarkEnd w:id="17"/>
      <w:r/>
      <w:r/>
    </w:p>
    <w:p>
      <w:pPr>
        <w:spacing w:line="360" w:lineRule="auto"/>
        <w:tabs>
          <w:tab w:val="left" w:pos="900" w:leader="none"/>
          <w:tab w:val="left" w:pos="1080" w:leader="none"/>
        </w:tabs>
        <w:rPr>
          <w:sz w:val="18"/>
          <w:szCs w:val="18"/>
        </w:rPr>
      </w:pPr>
      <w:r>
        <w:rPr>
          <w:sz w:val="18"/>
          <w:szCs w:val="18"/>
        </w:rPr>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以下为中标后签定本项目合同的通用条款，中标人不得提出实质性的修改。</w:t>
      </w:r>
      <w:r/>
    </w:p>
    <w:p>
      <w:pPr>
        <w:jc w:val="center"/>
        <w:spacing w:line="360" w:lineRule="auto"/>
        <w:rPr>
          <w:rFonts w:hint="eastAsia" w:ascii="宋体" w:hAnsi="宋体" w:cs="宋体"/>
          <w:b/>
          <w:bCs/>
          <w:sz w:val="30"/>
          <w:szCs w:val="20"/>
        </w:rPr>
      </w:pPr>
      <w:r>
        <w:rPr>
          <w:rFonts w:hint="eastAsia" w:ascii="宋体" w:hAnsi="宋体" w:cs="宋体"/>
          <w:b/>
          <w:sz w:val="30"/>
          <w:szCs w:val="21"/>
        </w:rPr>
        <w:t xml:space="preserve">常州市政府采购合同（服务）（合同编号）</w:t>
      </w:r>
      <w:r/>
    </w:p>
    <w:p>
      <w:pPr>
        <w:pStyle w:val="1495"/>
        <w:spacing w:line="360" w:lineRule="auto"/>
        <w:rPr>
          <w:rFonts w:hAnsi="宋体" w:cs="宋体"/>
          <w:b/>
          <w:sz w:val="24"/>
          <w:szCs w:val="24"/>
        </w:rPr>
      </w:pPr>
      <w:r>
        <w:rPr>
          <w:rFonts w:hint="eastAsia" w:hAnsi="宋体" w:cs="宋体"/>
          <w:sz w:val="24"/>
          <w:szCs w:val="24"/>
        </w:rPr>
        <w:t xml:space="preserve">甲方（招标人）:</w:t>
      </w:r>
      <w:r>
        <w:rPr>
          <w:rFonts w:hint="eastAsia" w:hAnsi="宋体" w:cs="宋体"/>
          <w:b/>
          <w:sz w:val="24"/>
          <w:szCs w:val="24"/>
        </w:rPr>
        <w:t xml:space="preserve"> </w:t>
      </w:r>
      <w:r>
        <w:rPr>
          <w:rFonts w:hint="eastAsia" w:hAnsi="宋体" w:cs="宋体"/>
          <w:sz w:val="24"/>
          <w:szCs w:val="24"/>
        </w:rPr>
        <w:t xml:space="preserve"> 常州国家高新技术产业开发区（新北区）农业农村局</w:t>
      </w:r>
      <w:r>
        <w:rPr>
          <w:rFonts w:hint="eastAsia" w:hAnsi="宋体" w:cs="宋体"/>
          <w:b/>
          <w:sz w:val="24"/>
          <w:szCs w:val="24"/>
        </w:rPr>
        <w:t xml:space="preserve">     </w:t>
      </w:r>
      <w:r/>
    </w:p>
    <w:p>
      <w:pPr>
        <w:pStyle w:val="1495"/>
        <w:spacing w:line="360" w:lineRule="auto"/>
        <w:rPr>
          <w:rFonts w:hAnsi="宋体" w:cs="宋体"/>
          <w:sz w:val="24"/>
          <w:szCs w:val="24"/>
        </w:rPr>
      </w:pPr>
      <w:r>
        <w:rPr>
          <w:rFonts w:hint="eastAsia" w:hAnsi="宋体" w:cs="宋体"/>
          <w:b/>
          <w:sz w:val="24"/>
          <w:szCs w:val="24"/>
        </w:rPr>
        <w:t xml:space="preserve">         </w:t>
      </w:r>
      <w:r/>
    </w:p>
    <w:p>
      <w:pPr>
        <w:pStyle w:val="1495"/>
        <w:spacing w:line="360" w:lineRule="auto"/>
        <w:rPr>
          <w:rFonts w:hAnsi="宋体" w:cs="宋体"/>
          <w:b/>
          <w:sz w:val="24"/>
          <w:szCs w:val="24"/>
          <w:u w:val="single"/>
        </w:rPr>
      </w:pPr>
      <w:r>
        <w:rPr>
          <w:rFonts w:hint="eastAsia" w:hAnsi="宋体" w:cs="宋体"/>
          <w:sz w:val="24"/>
          <w:szCs w:val="24"/>
        </w:rPr>
        <w:t xml:space="preserve">乙方（中标人）: </w:t>
      </w:r>
      <w:r>
        <w:rPr>
          <w:rFonts w:hint="eastAsia" w:hAnsi="宋体" w:cs="宋体"/>
          <w:b/>
          <w:sz w:val="24"/>
          <w:szCs w:val="24"/>
          <w:u w:val="single"/>
        </w:rPr>
        <w:t xml:space="preserve">                       </w:t>
      </w:r>
      <w:r>
        <w:rPr>
          <w:rFonts w:hint="eastAsia" w:hAnsi="宋体" w:cs="宋体"/>
          <w:b/>
          <w:sz w:val="24"/>
          <w:szCs w:val="24"/>
        </w:rPr>
        <w:t xml:space="preserve"> </w:t>
      </w:r>
      <w:r>
        <w:rPr>
          <w:rFonts w:hint="eastAsia" w:hAnsi="宋体" w:cs="宋体"/>
          <w:b/>
          <w:sz w:val="24"/>
          <w:szCs w:val="24"/>
          <w:u w:val="single"/>
        </w:rPr>
        <w:t xml:space="preserve">                       </w:t>
      </w:r>
      <w:r/>
    </w:p>
    <w:p>
      <w:pPr>
        <w:pStyle w:val="1495"/>
        <w:ind w:firstLine="1928"/>
        <w:spacing w:line="360" w:lineRule="auto"/>
        <w:rPr>
          <w:rFonts w:hAnsi="宋体" w:cs="宋体"/>
          <w:b/>
          <w:sz w:val="24"/>
          <w:szCs w:val="24"/>
        </w:rPr>
      </w:pPr>
      <w:r>
        <w:rPr>
          <w:rFonts w:hint="eastAsia" w:hAnsi="宋体" w:cs="宋体"/>
          <w:b/>
          <w:sz w:val="24"/>
          <w:szCs w:val="24"/>
          <w:u w:val="single"/>
        </w:rPr>
        <w:t xml:space="preserve">                        </w:t>
      </w:r>
      <w:r>
        <w:rPr>
          <w:rFonts w:hint="eastAsia" w:hAnsi="宋体" w:cs="宋体"/>
          <w:b/>
          <w:sz w:val="24"/>
          <w:szCs w:val="24"/>
        </w:rPr>
        <w:t xml:space="preserve"> </w:t>
      </w:r>
      <w:r/>
    </w:p>
    <w:p>
      <w:pPr>
        <w:pStyle w:val="1495"/>
        <w:spacing w:line="360" w:lineRule="auto"/>
        <w:rPr>
          <w:rFonts w:hAnsi="宋体" w:cs="宋体"/>
          <w:sz w:val="24"/>
          <w:szCs w:val="24"/>
        </w:rPr>
      </w:pPr>
      <w:r>
        <w:rPr>
          <w:rFonts w:hint="eastAsia" w:hAnsi="宋体" w:cs="宋体"/>
          <w:sz w:val="24"/>
          <w:szCs w:val="24"/>
        </w:rPr>
        <w:t xml:space="preserve">签订地点（合同履行地）：常州市新北区         </w:t>
      </w:r>
      <w:r/>
    </w:p>
    <w:p>
      <w:pPr>
        <w:pStyle w:val="1495"/>
        <w:spacing w:line="360" w:lineRule="auto"/>
        <w:rPr>
          <w:rFonts w:hAnsi="宋体" w:cs="宋体"/>
          <w:sz w:val="24"/>
          <w:szCs w:val="24"/>
        </w:rPr>
      </w:pPr>
      <w:r>
        <w:rPr>
          <w:rFonts w:hint="eastAsia" w:hAnsi="宋体" w:cs="宋体"/>
          <w:sz w:val="24"/>
          <w:szCs w:val="24"/>
        </w:rPr>
        <w:t xml:space="preserve">合同时间:      年    月    日</w:t>
      </w:r>
      <w:r/>
    </w:p>
    <w:p>
      <w:pPr>
        <w:pStyle w:val="1495"/>
        <w:spacing w:line="360" w:lineRule="auto"/>
        <w:rPr>
          <w:rFonts w:hAnsi="宋体" w:cs="宋体"/>
          <w:sz w:val="24"/>
          <w:szCs w:val="24"/>
        </w:rPr>
      </w:pPr>
      <w:r>
        <w:rPr>
          <w:rFonts w:hAnsi="宋体" w:cs="宋体"/>
          <w:sz w:val="24"/>
          <w:szCs w:val="24"/>
        </w:rPr>
      </w:r>
      <w:r/>
    </w:p>
    <w:p>
      <w:pPr>
        <w:ind w:firstLine="480"/>
        <w:spacing w:line="360" w:lineRule="auto"/>
        <w:rPr>
          <w:rFonts w:ascii="宋体" w:hAnsi="宋体" w:cs="宋体"/>
          <w:sz w:val="24"/>
        </w:rPr>
      </w:pPr>
      <w:r>
        <w:rPr>
          <w:rFonts w:hint="eastAsia" w:ascii="宋体" w:hAnsi="宋体" w:cs="宋体"/>
          <w:sz w:val="24"/>
        </w:rPr>
        <w:t xml:space="preserve">根据《中华人民共和国民法典》、《中华人民共和国政府采购法》等相关法律法规之规定及招标编号为</w:t>
      </w:r>
      <w:r>
        <w:rPr>
          <w:rFonts w:hint="eastAsia" w:ascii="宋体" w:hAnsi="宋体" w:cs="宋体"/>
          <w:sz w:val="24"/>
          <w:u w:val="single"/>
        </w:rPr>
        <w:t xml:space="preserve">                 号</w:t>
      </w:r>
      <w:r>
        <w:rPr>
          <w:rFonts w:hint="eastAsia" w:ascii="宋体" w:hAnsi="宋体" w:cs="宋体"/>
          <w:sz w:val="24"/>
        </w:rPr>
        <w:t xml:space="preserve">招标文件及投标文件，按照自愿、平等、公平和诚实信用的原则，经甲乙双方协商一致，约定以下合同条款，以兹共同遵守、全面履行。</w:t>
      </w:r>
      <w:r/>
    </w:p>
    <w:p>
      <w:pPr>
        <w:spacing w:line="360" w:lineRule="auto"/>
        <w:rPr>
          <w:rStyle w:val="1514"/>
          <w:rFonts w:hint="eastAsia" w:ascii="宋体" w:hAnsi="宋体" w:eastAsia="宋体" w:cs="宋体"/>
          <w:b/>
          <w:bCs/>
          <w:szCs w:val="24"/>
        </w:rPr>
      </w:pPr>
      <w:r>
        <w:rPr>
          <w:rStyle w:val="1514"/>
          <w:rFonts w:hint="eastAsia" w:ascii="宋体" w:hAnsi="宋体" w:eastAsia="宋体" w:cs="宋体"/>
          <w:b/>
          <w:bCs/>
          <w:szCs w:val="24"/>
        </w:rPr>
        <w:t xml:space="preserve">1.定义</w:t>
      </w:r>
      <w:r/>
    </w:p>
    <w:p>
      <w:pPr>
        <w:ind w:firstLine="480"/>
        <w:spacing w:line="400" w:lineRule="exact"/>
        <w:rPr>
          <w:rFonts w:ascii="宋体" w:hAnsi="宋体" w:cs="宋体"/>
          <w:sz w:val="24"/>
        </w:rPr>
      </w:pPr>
      <w:r>
        <w:rPr>
          <w:rFonts w:hint="eastAsia" w:ascii="宋体" w:hAnsi="宋体" w:cs="宋体"/>
          <w:sz w:val="24"/>
        </w:rPr>
        <w:t xml:space="preserve">除非另有特别约定，在本合同以及与本合同有关的甲乙双方另行签订的其他文件中，下列词语按如下定义进行解释：</w:t>
      </w:r>
      <w:r/>
    </w:p>
    <w:p>
      <w:pPr>
        <w:ind w:firstLine="480"/>
        <w:spacing w:line="400" w:lineRule="exact"/>
        <w:rPr>
          <w:rFonts w:ascii="宋体" w:hAnsi="宋体" w:cs="宋体"/>
          <w:sz w:val="24"/>
        </w:rPr>
      </w:pPr>
      <w:r>
        <w:rPr>
          <w:rFonts w:hint="eastAsia" w:ascii="宋体" w:hAnsi="宋体" w:cs="宋体"/>
          <w:sz w:val="24"/>
        </w:rPr>
        <w:t xml:space="preserve">1.1</w:t>
      </w:r>
      <w:r>
        <w:rPr>
          <w:rFonts w:hint="eastAsia" w:ascii="宋体" w:hAnsi="宋体"/>
          <w:sz w:val="24"/>
        </w:rPr>
        <w:t xml:space="preserve">“合同”系指甲方与乙方签署的，合同格式中载明的甲方与乙方所达成的协议，包括所有的附件、附录和构成合同的所有文件。</w:t>
      </w:r>
      <w:r/>
    </w:p>
    <w:p>
      <w:pPr>
        <w:ind w:right="211" w:firstLine="480"/>
        <w:spacing w:line="360" w:lineRule="auto"/>
        <w:rPr>
          <w:rFonts w:ascii="宋体" w:hAnsi="宋体"/>
          <w:sz w:val="24"/>
        </w:rPr>
      </w:pPr>
      <w:r>
        <w:rPr>
          <w:rFonts w:hint="eastAsia" w:ascii="宋体" w:hAnsi="宋体" w:cs="宋体"/>
          <w:sz w:val="24"/>
        </w:rPr>
        <w:t xml:space="preserve">1.2</w:t>
      </w:r>
      <w:r>
        <w:rPr>
          <w:rFonts w:hint="eastAsia" w:ascii="宋体" w:hAnsi="宋体"/>
          <w:sz w:val="24"/>
        </w:rPr>
        <w:t xml:space="preserve">“服务”系指根据合同规定乙方应承担的义务及相关的后续服务，比如成立专项小组、提供上门服务、及时汇报数据、无偿提供保险知识培训和其他类似的乙方应承担的义务。</w:t>
      </w:r>
      <w:r/>
    </w:p>
    <w:p>
      <w:pPr>
        <w:ind w:right="211" w:firstLine="480"/>
        <w:spacing w:line="360" w:lineRule="auto"/>
        <w:rPr>
          <w:rFonts w:ascii="宋体" w:hAnsi="宋体"/>
          <w:sz w:val="24"/>
        </w:rPr>
      </w:pPr>
      <w:r>
        <w:rPr>
          <w:rFonts w:hint="eastAsia" w:ascii="宋体" w:hAnsi="宋体"/>
          <w:sz w:val="24"/>
        </w:rPr>
        <w:t xml:space="preserve">1.3“甲方”系指</w:t>
      </w:r>
      <w:r>
        <w:rPr>
          <w:rFonts w:hint="eastAsia" w:hAnsi="宋体" w:cs="宋体"/>
          <w:sz w:val="24"/>
        </w:rPr>
        <w:t xml:space="preserve">常州国家高新技术产业开发区（新北区）农业农村局</w:t>
      </w:r>
      <w:r>
        <w:rPr>
          <w:rFonts w:hint="eastAsia" w:ascii="宋体" w:hAnsi="宋体"/>
          <w:sz w:val="24"/>
        </w:rPr>
        <w:t xml:space="preserve">。</w:t>
      </w:r>
      <w:r/>
    </w:p>
    <w:p>
      <w:pPr>
        <w:ind w:right="211" w:firstLine="480"/>
        <w:spacing w:line="360" w:lineRule="auto"/>
        <w:rPr>
          <w:rFonts w:hint="eastAsia" w:ascii="宋体" w:hAnsi="宋体"/>
          <w:sz w:val="24"/>
        </w:rPr>
      </w:pPr>
      <w:r>
        <w:rPr>
          <w:rFonts w:hint="eastAsia" w:ascii="宋体" w:hAnsi="宋体"/>
          <w:sz w:val="24"/>
        </w:rPr>
        <w:t xml:space="preserve">1.4“乙方”系指为：中标保险机构。</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sz w:val="24"/>
        </w:rPr>
        <w:t xml:space="preserve">1.5“被保险人”</w:t>
      </w:r>
      <w:r>
        <w:rPr>
          <w:rFonts w:hint="eastAsia" w:ascii="宋体" w:hAnsi="宋体"/>
          <w:sz w:val="24"/>
        </w:rPr>
        <w:t xml:space="preserve">系指：</w:t>
      </w:r>
      <w:r>
        <w:rPr>
          <w:rFonts w:hint="eastAsia" w:ascii="宋体" w:hAnsi="宋体"/>
          <w:sz w:val="24"/>
          <w:highlight w:val="none"/>
        </w:rPr>
        <w:t xml:space="preserve">常州市新北区范围内约15万户农户 (包括新北区集体经济组织成员户和原始农村居民非成员户</w:t>
      </w:r>
      <w:r>
        <w:rPr>
          <w:rFonts w:hint="eastAsia" w:ascii="宋体" w:hAnsi="宋体"/>
          <w:sz w:val="24"/>
          <w:highlight w:val="none"/>
          <w:lang w:eastAsia="zh-CN"/>
        </w:rPr>
        <w:t xml:space="preserve">）。</w:t>
      </w:r>
      <w:r/>
    </w:p>
    <w:p>
      <w:pPr>
        <w:ind w:firstLine="480"/>
        <w:spacing w:line="400" w:lineRule="exact"/>
        <w:rPr>
          <w:rFonts w:hint="eastAsia" w:ascii="宋体" w:hAnsi="宋体" w:eastAsia="宋体"/>
          <w:sz w:val="24"/>
          <w:highlight w:val="none"/>
          <w:lang w:eastAsia="zh-CN"/>
        </w:rPr>
      </w:pPr>
      <w:r>
        <w:rPr>
          <w:rFonts w:hint="eastAsia" w:ascii="宋体" w:hAnsi="宋体"/>
          <w:sz w:val="24"/>
          <w:highlight w:val="none"/>
        </w:rPr>
        <w:t xml:space="preserve">“被保险人”的财产系指</w:t>
      </w:r>
      <w:r>
        <w:rPr>
          <w:rFonts w:hint="eastAsia" w:ascii="宋体" w:hAnsi="宋体" w:cs="宋体"/>
          <w:sz w:val="24"/>
          <w:highlight w:val="none"/>
        </w:rPr>
        <w:t xml:space="preserve">常州市新北区范围内约15万户农户 (包括新北区集体经济组织成员户和原始农村居民非成员户名下的在全区范围内的所有房产)的房屋</w:t>
      </w:r>
      <w:r>
        <w:rPr>
          <w:rFonts w:hint="eastAsia" w:ascii="宋体" w:hAnsi="宋体" w:cs="宋体"/>
          <w:sz w:val="24"/>
          <w:highlight w:val="none"/>
          <w:lang w:eastAsia="zh-CN"/>
        </w:rPr>
        <w:t xml:space="preserve">（不含房屋主体结构）</w:t>
      </w:r>
      <w:r>
        <w:rPr>
          <w:rFonts w:hint="eastAsia" w:ascii="宋体" w:hAnsi="宋体" w:cs="宋体"/>
          <w:sz w:val="24"/>
          <w:highlight w:val="none"/>
        </w:rPr>
        <w:t xml:space="preserve">、装饰、农具、家电</w:t>
      </w:r>
      <w:r>
        <w:rPr>
          <w:rFonts w:hint="eastAsia" w:ascii="宋体" w:hAnsi="宋体"/>
          <w:sz w:val="24"/>
          <w:highlight w:val="none"/>
        </w:rPr>
        <w:t xml:space="preserve">等</w:t>
      </w:r>
      <w:r>
        <w:rPr>
          <w:rFonts w:hint="eastAsia" w:ascii="宋体" w:hAnsi="宋体"/>
          <w:sz w:val="24"/>
          <w:highlight w:val="none"/>
          <w:lang w:eastAsia="zh-CN"/>
        </w:rPr>
        <w:t xml:space="preserve">。</w:t>
      </w:r>
      <w:r/>
    </w:p>
    <w:p>
      <w:pPr>
        <w:ind w:firstLine="480"/>
        <w:spacing w:line="400" w:lineRule="exact"/>
        <w:rPr>
          <w:rFonts w:ascii="宋体" w:hAnsi="宋体" w:cs="宋体"/>
          <w:sz w:val="24"/>
        </w:rPr>
      </w:pPr>
      <w:r>
        <w:rPr>
          <w:rFonts w:hint="eastAsia" w:ascii="宋体" w:hAnsi="宋体" w:cs="宋体"/>
          <w:sz w:val="24"/>
        </w:rPr>
        <w:t xml:space="preserve">1.6“工作日”是指除公休日和国家法定节假日以外的日历日。</w:t>
      </w:r>
      <w:r/>
    </w:p>
    <w:p>
      <w:pPr>
        <w:ind w:firstLine="480"/>
        <w:spacing w:line="400" w:lineRule="exact"/>
        <w:rPr>
          <w:rFonts w:ascii="宋体" w:hAnsi="宋体" w:cs="宋体"/>
          <w:sz w:val="24"/>
        </w:rPr>
      </w:pPr>
      <w:r>
        <w:rPr>
          <w:rFonts w:hint="eastAsia" w:ascii="宋体" w:hAnsi="宋体" w:cs="宋体"/>
          <w:sz w:val="24"/>
        </w:rPr>
        <w:t xml:space="preserve">1.7“附件”是指与本合同的订立、履行有关的，经甲乙双方认可的，对本合同约定的内容进行细化、补充、修改、变更的文件、图纸、音像制品等资料。</w:t>
      </w:r>
      <w:r/>
    </w:p>
    <w:p>
      <w:pPr>
        <w:spacing w:line="360" w:lineRule="auto"/>
        <w:rPr>
          <w:rStyle w:val="1514"/>
          <w:rFonts w:hint="eastAsia" w:ascii="宋体" w:hAnsi="宋体" w:eastAsia="宋体" w:cs="宋体"/>
          <w:b/>
          <w:bCs/>
          <w:szCs w:val="24"/>
        </w:rPr>
      </w:pPr>
      <w:r>
        <w:rPr>
          <w:rStyle w:val="1514"/>
          <w:rFonts w:hint="eastAsia" w:ascii="宋体" w:hAnsi="宋体" w:eastAsia="宋体" w:cs="宋体"/>
          <w:b/>
          <w:bCs/>
          <w:szCs w:val="24"/>
        </w:rPr>
        <w:t xml:space="preserve">2.合同的组成</w:t>
      </w:r>
      <w:r/>
    </w:p>
    <w:p>
      <w:pPr>
        <w:ind w:firstLine="480"/>
        <w:spacing w:line="400" w:lineRule="exact"/>
        <w:rPr>
          <w:rFonts w:ascii="宋体" w:hAnsi="宋体" w:cs="宋体"/>
          <w:sz w:val="24"/>
        </w:rPr>
      </w:pPr>
      <w:r>
        <w:rPr>
          <w:rFonts w:hint="eastAsia" w:ascii="宋体" w:hAnsi="宋体" w:cs="宋体"/>
          <w:sz w:val="24"/>
        </w:rPr>
        <w:t xml:space="preserve">下列文件为本合同不可分割的组成部分，与本合同具有同等法律效力，这些文件包括但不限于：</w:t>
      </w:r>
      <w:r/>
    </w:p>
    <w:p>
      <w:pPr>
        <w:ind w:firstLine="480"/>
        <w:spacing w:line="400" w:lineRule="exact"/>
        <w:rPr>
          <w:rFonts w:ascii="宋体" w:hAnsi="宋体" w:cs="宋体"/>
          <w:sz w:val="24"/>
        </w:rPr>
      </w:pPr>
      <w:r>
        <w:rPr>
          <w:rFonts w:hint="eastAsia" w:ascii="宋体" w:hAnsi="宋体" w:cs="宋体"/>
          <w:sz w:val="24"/>
        </w:rPr>
        <w:t xml:space="preserve">2.1 本合同书及其补充合同、变更协议；</w:t>
      </w:r>
      <w:r/>
    </w:p>
    <w:p>
      <w:pPr>
        <w:ind w:firstLine="480"/>
        <w:spacing w:line="400" w:lineRule="exact"/>
        <w:rPr>
          <w:rFonts w:ascii="宋体" w:hAnsi="宋体" w:cs="宋体"/>
          <w:sz w:val="24"/>
        </w:rPr>
      </w:pPr>
      <w:r>
        <w:rPr>
          <w:rFonts w:hint="eastAsia" w:ascii="宋体" w:hAnsi="宋体" w:cs="宋体"/>
          <w:sz w:val="24"/>
        </w:rPr>
        <w:t xml:space="preserve">2.2 中标通知书；</w:t>
      </w:r>
      <w:r/>
    </w:p>
    <w:p>
      <w:pPr>
        <w:ind w:firstLine="480"/>
        <w:spacing w:line="400" w:lineRule="exact"/>
        <w:rPr>
          <w:rFonts w:ascii="宋体" w:hAnsi="宋体" w:cs="宋体"/>
          <w:sz w:val="24"/>
        </w:rPr>
      </w:pPr>
      <w:r>
        <w:rPr>
          <w:rFonts w:hint="eastAsia" w:ascii="宋体" w:hAnsi="宋体" w:cs="宋体"/>
          <w:sz w:val="24"/>
        </w:rPr>
        <w:t xml:space="preserve">2.3 投标文件（含澄清或者说明文件）；</w:t>
      </w:r>
      <w:r/>
    </w:p>
    <w:p>
      <w:pPr>
        <w:ind w:firstLine="480"/>
        <w:spacing w:line="400" w:lineRule="exact"/>
        <w:rPr>
          <w:rFonts w:ascii="宋体" w:hAnsi="宋体" w:cs="宋体"/>
          <w:sz w:val="24"/>
        </w:rPr>
      </w:pPr>
      <w:r>
        <w:rPr>
          <w:rFonts w:hint="eastAsia" w:ascii="宋体" w:hAnsi="宋体" w:cs="宋体"/>
          <w:sz w:val="24"/>
        </w:rPr>
        <w:t xml:space="preserve">2.4招标文件（含澄清或者修改文件）；</w:t>
      </w:r>
      <w:r/>
    </w:p>
    <w:p>
      <w:pPr>
        <w:ind w:firstLine="480"/>
        <w:spacing w:line="400" w:lineRule="exact"/>
        <w:rPr>
          <w:rFonts w:ascii="宋体" w:hAnsi="宋体" w:cs="宋体"/>
          <w:sz w:val="24"/>
        </w:rPr>
      </w:pPr>
      <w:r>
        <w:rPr>
          <w:rFonts w:hint="eastAsia" w:ascii="宋体" w:hAnsi="宋体" w:cs="宋体"/>
          <w:sz w:val="24"/>
        </w:rPr>
        <w:t xml:space="preserve">2.5与本次招标有关的并经当事人双方确认的其他文件（联合体协议等）。</w:t>
      </w:r>
      <w:r/>
    </w:p>
    <w:p>
      <w:pPr>
        <w:ind w:firstLine="480"/>
        <w:spacing w:line="400" w:lineRule="exact"/>
        <w:rPr>
          <w:rFonts w:ascii="宋体" w:hAnsi="宋体" w:cs="宋体"/>
          <w:sz w:val="24"/>
        </w:rPr>
      </w:pPr>
      <w:r>
        <w:rPr>
          <w:rFonts w:hint="eastAsia" w:ascii="宋体" w:hAnsi="宋体" w:cs="宋体"/>
          <w:sz w:val="24"/>
        </w:rPr>
        <w:t xml:space="preserve">上述文件互为补充和解释，如有不清或相互矛盾之处，以所列顺序在前的为准，但甲乙双方有特别约定的除外。</w:t>
      </w:r>
      <w:r/>
    </w:p>
    <w:p>
      <w:pPr>
        <w:spacing w:line="360" w:lineRule="auto"/>
        <w:rPr>
          <w:rFonts w:ascii="宋体" w:hAnsi="宋体" w:cs="宋体"/>
          <w:b/>
          <w:color w:val="000000"/>
          <w:sz w:val="24"/>
        </w:rPr>
      </w:pPr>
      <w:r>
        <w:rPr>
          <w:rFonts w:hint="eastAsia" w:ascii="宋体" w:hAnsi="宋体" w:cs="宋体"/>
          <w:b/>
          <w:sz w:val="24"/>
        </w:rPr>
        <w:t xml:space="preserve">3、</w:t>
      </w:r>
      <w:r>
        <w:rPr>
          <w:rFonts w:hint="eastAsia" w:ascii="宋体" w:hAnsi="宋体" w:cs="宋体"/>
          <w:b/>
          <w:color w:val="000000"/>
          <w:sz w:val="24"/>
        </w:rPr>
        <w:t xml:space="preserve">服务范围及保险险种</w:t>
      </w:r>
      <w:r/>
    </w:p>
    <w:p>
      <w:pPr>
        <w:ind w:right="211" w:firstLine="4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3.1本合同服务范围</w:t>
      </w:r>
      <w:r>
        <w:rPr>
          <w:rFonts w:hint="eastAsia" w:ascii="宋体" w:hAnsi="宋体" w:cs="宋体"/>
          <w:bCs/>
          <w:sz w:val="24"/>
          <w:highlight w:val="none"/>
          <w:lang w:val="en-US" w:eastAsia="zh-CN"/>
        </w:rPr>
        <w:t xml:space="preserve">为</w:t>
      </w:r>
      <w:r>
        <w:rPr>
          <w:rFonts w:hint="eastAsia" w:ascii="宋体" w:hAnsi="宋体" w:cs="宋体"/>
          <w:sz w:val="24"/>
          <w:highlight w:val="none"/>
        </w:rPr>
        <w:t xml:space="preserve">常州市新北区范围内约15万户农户 (包括新北区集体经济组织成员户和原始农村居民非成员户名下的在全区范围内的所有房产)的家庭财产</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不含</w:t>
      </w:r>
      <w:r>
        <w:rPr>
          <w:rFonts w:hint="eastAsia" w:ascii="宋体" w:hAnsi="宋体" w:cs="宋体"/>
          <w:sz w:val="24"/>
          <w:highlight w:val="none"/>
          <w:lang w:eastAsia="zh-CN"/>
        </w:rPr>
        <w:t xml:space="preserve">房屋主体结构）。</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3.2本保险险种为： 1）家庭财产综合保险；</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2）附加管道破裂及水渍保险</w:t>
      </w:r>
      <w:r>
        <w:rPr>
          <w:rFonts w:hint="eastAsia" w:ascii="宋体" w:hAnsi="宋体" w:cs="宋体"/>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                   3）附加家用电器用电安全保险</w:t>
      </w:r>
      <w:r>
        <w:rPr>
          <w:rFonts w:hint="eastAsia" w:ascii="宋体" w:hAnsi="宋体" w:cs="宋体"/>
          <w:sz w:val="24"/>
          <w:highlight w:val="none"/>
        </w:rPr>
        <w:t xml:space="preserve">。</w:t>
      </w:r>
      <w:r/>
    </w:p>
    <w:p>
      <w:pPr>
        <w:numPr>
          <w:ilvl w:val="0"/>
          <w:numId w:val="11"/>
        </w:num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保险期间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4.1项目保险期间：2026年4月1日零时——2029年3月31日二十四时；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4.2保险合同以年分期出单；</w:t>
      </w:r>
      <w:r/>
    </w:p>
    <w:p>
      <w:pPr>
        <w:ind w:firstLine="480"/>
        <w:spacing w:line="360" w:lineRule="auto"/>
        <w:rPr>
          <w:rFonts w:ascii="宋体" w:hAnsi="宋体" w:cs="宋体"/>
          <w:b/>
          <w:color w:val="000000"/>
          <w:sz w:val="24"/>
          <w:highlight w:val="none"/>
        </w:rPr>
      </w:pPr>
      <w:r>
        <w:rPr>
          <w:rFonts w:hint="eastAsia" w:ascii="宋体" w:hAnsi="宋体" w:cs="宋体"/>
          <w:sz w:val="24"/>
          <w:highlight w:val="none"/>
        </w:rPr>
        <w:t xml:space="preserve">4.3 2028年4月1日零时——2029 年3月31日二十四时可由采购人根据中标人的相关理赔、履约情况进行绩效评价，评价结果作为续保的参考。</w:t>
      </w:r>
      <w:r/>
    </w:p>
    <w:p>
      <w:pPr>
        <w:spacing w:line="360" w:lineRule="auto"/>
        <w:rPr>
          <w:rFonts w:hint="eastAsia" w:ascii="宋体" w:hAnsi="宋体" w:cs="仿宋_GB2312"/>
          <w:b/>
          <w:color w:val="000000"/>
          <w:spacing w:val="2"/>
          <w:sz w:val="24"/>
        </w:rPr>
      </w:pPr>
      <w:r>
        <w:rPr>
          <w:rFonts w:hint="eastAsia" w:ascii="宋体" w:hAnsi="宋体" w:cs="仿宋_GB2312"/>
          <w:b/>
          <w:color w:val="000000"/>
          <w:spacing w:val="2"/>
          <w:sz w:val="24"/>
        </w:rPr>
        <w:t xml:space="preserve">5、保险方案及特别约定</w:t>
      </w:r>
      <w:r/>
    </w:p>
    <w:p>
      <w:pPr>
        <w:ind w:firstLine="488"/>
        <w:spacing w:line="360" w:lineRule="auto"/>
        <w:rPr>
          <w:rFonts w:hint="eastAsia" w:ascii="宋体" w:hAnsi="宋体" w:cs="仿宋_GB2312"/>
          <w:bCs/>
          <w:color w:val="000000"/>
          <w:spacing w:val="2"/>
          <w:sz w:val="24"/>
        </w:rPr>
      </w:pPr>
      <w:r>
        <w:rPr>
          <w:rFonts w:hint="eastAsia" w:ascii="宋体" w:hAnsi="宋体" w:cs="仿宋_GB2312"/>
          <w:bCs/>
          <w:color w:val="000000"/>
          <w:spacing w:val="2"/>
          <w:sz w:val="24"/>
        </w:rPr>
        <w:t xml:space="preserve">乙方应遵循本招标文件及其组成文件中特定的保险方案及特别约定提供保险服务。保险方案及保险条款相悖处，以保险方案及特别约定为准。</w:t>
      </w:r>
      <w:r/>
    </w:p>
    <w:p>
      <w:pPr>
        <w:spacing w:line="360" w:lineRule="auto"/>
        <w:rPr>
          <w:rFonts w:hint="eastAsia" w:ascii="宋体" w:hAnsi="宋体" w:cs="仿宋_GB2312"/>
          <w:b/>
          <w:color w:val="000000"/>
          <w:spacing w:val="2"/>
          <w:sz w:val="24"/>
        </w:rPr>
      </w:pPr>
      <w:r>
        <w:rPr>
          <w:rFonts w:hint="eastAsia" w:ascii="宋体" w:hAnsi="宋体" w:cs="仿宋_GB2312"/>
          <w:b/>
          <w:color w:val="000000"/>
          <w:spacing w:val="2"/>
          <w:sz w:val="24"/>
        </w:rPr>
        <w:t xml:space="preserve">6、建立争议制度：</w:t>
      </w:r>
      <w:r/>
    </w:p>
    <w:p>
      <w:pPr>
        <w:pStyle w:val="1506"/>
        <w:ind w:firstLine="488"/>
        <w:spacing w:line="360" w:lineRule="auto"/>
        <w:rPr>
          <w:rFonts w:hint="eastAsia" w:ascii="宋体" w:hAnsi="宋体" w:cs="仿宋_GB2312"/>
          <w:bCs/>
          <w:spacing w:val="2"/>
          <w:szCs w:val="22"/>
        </w:rPr>
      </w:pPr>
      <w:r>
        <w:rPr>
          <w:rFonts w:hint="eastAsia" w:ascii="宋体" w:hAnsi="宋体" w:cs="仿宋_GB2312"/>
          <w:bCs/>
          <w:spacing w:val="2"/>
          <w:szCs w:val="22"/>
        </w:rPr>
        <w:t xml:space="preserve">建立争议制度，—旦本项目被保险人与乙方发生承保、理赔方面的争议，按以下程序进行：</w:t>
      </w:r>
      <w:r/>
    </w:p>
    <w:p>
      <w:pPr>
        <w:pStyle w:val="1506"/>
        <w:spacing w:line="360" w:lineRule="auto"/>
        <w:rPr>
          <w:rFonts w:hint="eastAsia" w:ascii="宋体" w:hAnsi="宋体" w:cs="仿宋_GB2312"/>
          <w:bCs/>
          <w:spacing w:val="2"/>
          <w:szCs w:val="22"/>
        </w:rPr>
      </w:pPr>
      <w:r>
        <w:rPr>
          <w:rFonts w:hint="eastAsia" w:ascii="宋体" w:hAnsi="宋体" w:cs="仿宋_GB2312"/>
          <w:bCs/>
          <w:spacing w:val="2"/>
          <w:szCs w:val="22"/>
        </w:rPr>
        <w:t xml:space="preserve">①复查承保、理赔程序与相关要求，查明原因后与被保险人协商解决；</w:t>
      </w:r>
      <w:r/>
    </w:p>
    <w:p>
      <w:pPr>
        <w:pStyle w:val="1506"/>
        <w:spacing w:line="360" w:lineRule="auto"/>
        <w:rPr>
          <w:rFonts w:hint="eastAsia" w:ascii="宋体" w:hAnsi="宋体" w:cs="仿宋_GB2312"/>
          <w:bCs/>
          <w:spacing w:val="2"/>
          <w:szCs w:val="22"/>
        </w:rPr>
      </w:pPr>
      <w:r>
        <w:rPr>
          <w:rFonts w:hint="eastAsia" w:ascii="宋体" w:hAnsi="宋体" w:cs="仿宋_GB2312"/>
          <w:bCs/>
          <w:spacing w:val="2"/>
          <w:szCs w:val="22"/>
        </w:rPr>
        <w:t xml:space="preserve">②与被保险人协商未决，递交村、镇主管部门共同与被保险人协商解决；在协商过程中，以被保险人实际损失为依据，充分尊重主管部门的意见；</w:t>
      </w:r>
      <w:r/>
    </w:p>
    <w:p>
      <w:pPr>
        <w:pStyle w:val="1506"/>
        <w:spacing w:line="360" w:lineRule="auto"/>
        <w:rPr>
          <w:rFonts w:hint="eastAsia" w:ascii="宋体" w:hAnsi="宋体" w:cs="仿宋_GB2312"/>
          <w:bCs/>
          <w:spacing w:val="2"/>
          <w:szCs w:val="22"/>
        </w:rPr>
      </w:pPr>
      <w:r>
        <w:rPr>
          <w:rFonts w:hint="eastAsia" w:ascii="宋体" w:hAnsi="宋体" w:cs="仿宋_GB2312"/>
          <w:bCs/>
          <w:spacing w:val="2"/>
          <w:szCs w:val="22"/>
        </w:rPr>
        <w:t xml:space="preserve">③如果协商不成，依法向有管辖权的人民法院提起诉讼。</w:t>
      </w:r>
      <w:r/>
    </w:p>
    <w:p>
      <w:pPr>
        <w:spacing w:line="360" w:lineRule="auto"/>
        <w:rPr>
          <w:rFonts w:ascii="宋体" w:hAnsi="宋体" w:cs="宋体"/>
          <w:b/>
          <w:sz w:val="24"/>
        </w:rPr>
      </w:pPr>
      <w:r>
        <w:rPr>
          <w:rFonts w:hint="eastAsia" w:ascii="宋体" w:hAnsi="宋体" w:cs="宋体"/>
          <w:b/>
          <w:color w:val="000000"/>
          <w:spacing w:val="2"/>
          <w:sz w:val="24"/>
        </w:rPr>
        <w:t xml:space="preserve">7、</w:t>
      </w:r>
      <w:r>
        <w:rPr>
          <w:rFonts w:hint="eastAsia" w:ascii="宋体" w:hAnsi="宋体" w:cs="宋体"/>
          <w:b/>
          <w:bCs/>
          <w:sz w:val="24"/>
        </w:rPr>
        <w:t xml:space="preserve">履约责任及保证</w:t>
      </w:r>
      <w:r/>
    </w:p>
    <w:p>
      <w:pPr>
        <w:ind w:firstLine="480"/>
        <w:spacing w:line="360" w:lineRule="auto"/>
        <w:rPr>
          <w:rFonts w:ascii="宋体" w:hAnsi="宋体" w:cs="宋体"/>
          <w:sz w:val="24"/>
        </w:rPr>
      </w:pPr>
      <w:r>
        <w:rPr>
          <w:rFonts w:hint="eastAsia" w:ascii="宋体" w:hAnsi="宋体" w:cs="宋体"/>
          <w:sz w:val="24"/>
        </w:rPr>
        <w:t xml:space="preserve">7.1甲方应积极推动本保险项目的实施，并按时支付保险费。</w:t>
      </w:r>
      <w:r/>
    </w:p>
    <w:p>
      <w:pPr>
        <w:ind w:right="211" w:firstLine="480"/>
        <w:spacing w:line="360" w:lineRule="auto"/>
        <w:rPr>
          <w:rFonts w:ascii="宋体" w:hAnsi="宋体" w:cs="宋体"/>
          <w:sz w:val="24"/>
        </w:rPr>
      </w:pPr>
      <w:r>
        <w:rPr>
          <w:rFonts w:hint="eastAsia" w:ascii="宋体" w:hAnsi="宋体" w:cs="宋体"/>
          <w:sz w:val="24"/>
        </w:rPr>
        <w:t xml:space="preserve">7.2乙方应针对本项目成立健全的专门服务小组、分管领导亲自负责，做好本保险的承保及理赔服务工作。</w:t>
      </w:r>
      <w:r/>
    </w:p>
    <w:p>
      <w:pPr>
        <w:ind w:firstLine="480"/>
        <w:spacing w:line="360" w:lineRule="auto"/>
        <w:rPr>
          <w:rFonts w:hint="eastAsia" w:ascii="宋体" w:hAnsi="宋体" w:cs="宋体"/>
          <w:sz w:val="24"/>
        </w:rPr>
      </w:pPr>
      <w:r>
        <w:rPr>
          <w:rFonts w:hint="eastAsia" w:ascii="宋体" w:hAnsi="宋体" w:cs="宋体"/>
          <w:sz w:val="24"/>
        </w:rPr>
        <w:t xml:space="preserve">7.3乙方在服务期间，应及时定期向甲方提供履约相关资料、报表。</w:t>
      </w:r>
      <w:r/>
    </w:p>
    <w:p>
      <w:pPr>
        <w:ind w:firstLine="480"/>
        <w:spacing w:line="360" w:lineRule="auto"/>
        <w:rPr>
          <w:rFonts w:hint="eastAsia" w:ascii="宋体" w:hAnsi="宋体" w:cs="宋体"/>
          <w:sz w:val="24"/>
        </w:rPr>
      </w:pPr>
      <w:r>
        <w:rPr>
          <w:rFonts w:hint="eastAsia" w:ascii="宋体" w:hAnsi="宋体" w:cs="宋体"/>
          <w:sz w:val="24"/>
        </w:rPr>
        <w:t xml:space="preserve">7.4乙方应配合甲方做好各项宣传、培训工作。</w:t>
      </w:r>
      <w:r/>
    </w:p>
    <w:p>
      <w:pPr>
        <w:ind w:firstLine="480"/>
        <w:spacing w:line="360" w:lineRule="auto"/>
        <w:rPr>
          <w:rFonts w:hint="eastAsia" w:ascii="宋体" w:hAnsi="宋体" w:cs="宋体"/>
          <w:sz w:val="24"/>
        </w:rPr>
      </w:pPr>
      <w:r>
        <w:rPr>
          <w:rFonts w:hint="eastAsia" w:ascii="宋体" w:hAnsi="宋体" w:cs="宋体"/>
          <w:sz w:val="24"/>
        </w:rPr>
        <w:t xml:space="preserve">7.5乙方严格按照合同约定执行，按照相关管理办法定期接受甲方履约考核。</w:t>
      </w:r>
      <w:r/>
    </w:p>
    <w:p>
      <w:pPr>
        <w:spacing w:line="360" w:lineRule="auto"/>
        <w:rPr>
          <w:rFonts w:ascii="宋体" w:hAnsi="宋体" w:cs="宋体"/>
          <w:b/>
          <w:bCs/>
          <w:sz w:val="24"/>
        </w:rPr>
      </w:pPr>
      <w:r>
        <w:rPr>
          <w:rFonts w:hint="eastAsia" w:ascii="宋体" w:hAnsi="宋体" w:cs="宋体"/>
          <w:b/>
          <w:bCs/>
          <w:sz w:val="24"/>
        </w:rPr>
        <w:t xml:space="preserve">8、合同考核及违约责任</w:t>
      </w:r>
      <w:r/>
    </w:p>
    <w:p>
      <w:pPr>
        <w:ind w:right="211"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8.1在本合同执行过程中，甲方</w:t>
      </w:r>
      <w:r>
        <w:rPr>
          <w:rFonts w:hint="eastAsia" w:ascii="宋体" w:hAnsi="宋体" w:cs="宋体"/>
          <w:color w:val="000000"/>
          <w:sz w:val="24"/>
          <w:highlight w:val="none"/>
          <w:lang w:val="en-US" w:eastAsia="zh-CN"/>
        </w:rPr>
        <w:t xml:space="preserve">可</w:t>
      </w:r>
      <w:r>
        <w:rPr>
          <w:rFonts w:hint="eastAsia" w:ascii="宋体" w:hAnsi="宋体" w:cs="宋体"/>
          <w:color w:val="000000"/>
          <w:sz w:val="24"/>
          <w:highlight w:val="none"/>
        </w:rPr>
        <w:t xml:space="preserve">会同相关部门不定期对乙方执行合同的情况进行检查，如有下列情况甲方有权要求乙方立即整改，情节严重的甲方有权取消乙方第三年承保资格，若造成被保险人损失的，应当承担民事赔偿责任，包括但不限于诉讼费、律师费、保全担保费等。</w:t>
      </w:r>
      <w:r/>
    </w:p>
    <w:p>
      <w:pPr>
        <w:ind w:right="211" w:firstLine="480"/>
        <w:spacing w:line="360" w:lineRule="auto"/>
        <w:rPr>
          <w:rFonts w:ascii="宋体" w:hAnsi="宋体" w:cs="宋体"/>
          <w:sz w:val="24"/>
        </w:rPr>
      </w:pPr>
      <w:r>
        <w:rPr>
          <w:rFonts w:hint="eastAsia" w:ascii="宋体" w:hAnsi="宋体" w:cs="宋体"/>
          <w:sz w:val="24"/>
        </w:rPr>
        <w:t xml:space="preserve">（1）接到甲方的通知后，乙方未及时上门签订保险单，给投保人造成重大损失的；</w:t>
      </w:r>
      <w:r/>
    </w:p>
    <w:p>
      <w:pPr>
        <w:ind w:right="211" w:firstLine="480"/>
        <w:spacing w:line="360" w:lineRule="auto"/>
        <w:rPr>
          <w:rFonts w:ascii="宋体" w:hAnsi="宋体" w:cs="宋体"/>
          <w:sz w:val="24"/>
        </w:rPr>
      </w:pPr>
      <w:r>
        <w:rPr>
          <w:rFonts w:hint="eastAsia" w:ascii="宋体" w:hAnsi="宋体" w:cs="宋体"/>
          <w:sz w:val="24"/>
        </w:rPr>
        <w:t xml:space="preserve">（2）如果手续齐全的赔案在乙方承诺的支付赔款时限内未能支付完毕，情节严重的；</w:t>
      </w:r>
      <w:r/>
    </w:p>
    <w:p>
      <w:pPr>
        <w:ind w:right="211" w:firstLine="480"/>
        <w:spacing w:line="360" w:lineRule="auto"/>
        <w:rPr>
          <w:rFonts w:ascii="宋体" w:hAnsi="宋体" w:cs="宋体"/>
          <w:sz w:val="24"/>
        </w:rPr>
      </w:pPr>
      <w:r>
        <w:rPr>
          <w:rFonts w:hint="eastAsia" w:ascii="宋体" w:hAnsi="宋体" w:cs="宋体"/>
          <w:sz w:val="24"/>
        </w:rPr>
        <w:t xml:space="preserve">（3）故意隐瞒事实未根据甲方要求详细、准确地向甲方填报承保及理赔报表； </w:t>
      </w:r>
      <w:r/>
    </w:p>
    <w:p>
      <w:pPr>
        <w:ind w:right="211" w:firstLine="480"/>
        <w:spacing w:line="360" w:lineRule="auto"/>
        <w:rPr>
          <w:rFonts w:ascii="宋体" w:hAnsi="宋体" w:cs="宋体"/>
          <w:sz w:val="24"/>
        </w:rPr>
      </w:pPr>
      <w:r>
        <w:rPr>
          <w:rFonts w:hint="eastAsia" w:ascii="宋体" w:hAnsi="宋体" w:cs="宋体"/>
          <w:sz w:val="24"/>
        </w:rPr>
        <w:t xml:space="preserve">（4）未按招标文件以及乙方投标承诺履行服务承诺的；</w:t>
      </w:r>
      <w:r/>
    </w:p>
    <w:p>
      <w:pPr>
        <w:ind w:right="211" w:firstLine="480"/>
        <w:spacing w:line="360" w:lineRule="auto"/>
        <w:rPr>
          <w:rFonts w:ascii="宋体" w:hAnsi="宋体" w:cs="宋体"/>
          <w:sz w:val="24"/>
        </w:rPr>
      </w:pPr>
      <w:r>
        <w:rPr>
          <w:rFonts w:hint="eastAsia" w:ascii="宋体" w:hAnsi="宋体" w:cs="宋体"/>
          <w:sz w:val="24"/>
        </w:rPr>
        <w:t xml:space="preserve">（5）无论何种情况下，乙方未按投标承诺执行保费价格的；</w:t>
      </w:r>
      <w:r/>
    </w:p>
    <w:p>
      <w:pPr>
        <w:ind w:right="211" w:firstLine="480"/>
        <w:spacing w:line="360" w:lineRule="auto"/>
        <w:rPr>
          <w:rFonts w:ascii="宋体" w:hAnsi="宋体" w:cs="宋体"/>
          <w:sz w:val="24"/>
        </w:rPr>
      </w:pPr>
      <w:r>
        <w:rPr>
          <w:rFonts w:hint="eastAsia" w:ascii="宋体" w:hAnsi="宋体" w:cs="宋体"/>
          <w:sz w:val="24"/>
        </w:rPr>
        <w:t xml:space="preserve">（6）其他严重违反本项目招标文件及乙方投标文件相关承诺的情况。</w:t>
      </w:r>
      <w:r/>
    </w:p>
    <w:p>
      <w:pPr>
        <w:ind w:right="211" w:firstLine="480"/>
        <w:spacing w:line="360" w:lineRule="auto"/>
        <w:rPr>
          <w:rFonts w:ascii="宋体" w:hAnsi="宋体" w:cs="宋体"/>
          <w:sz w:val="24"/>
          <w:highlight w:val="none"/>
        </w:rPr>
      </w:pPr>
      <w:r>
        <w:rPr>
          <w:rFonts w:hint="eastAsia" w:ascii="宋体" w:hAnsi="宋体" w:cs="宋体"/>
          <w:sz w:val="24"/>
        </w:rPr>
        <w:t xml:space="preserve">8.2</w:t>
      </w:r>
      <w:r>
        <w:rPr>
          <w:rFonts w:ascii="Times New Roman" w:hAnsi="Times New Roman"/>
          <w:spacing w:val="2"/>
          <w:sz w:val="24"/>
          <w:highlight w:val="none"/>
        </w:rPr>
        <w:t xml:space="preserve">采购人在</w:t>
      </w:r>
      <w:r>
        <w:rPr>
          <w:rFonts w:hint="eastAsia" w:ascii="Times New Roman" w:hAnsi="Times New Roman"/>
          <w:spacing w:val="2"/>
          <w:sz w:val="24"/>
          <w:highlight w:val="none"/>
        </w:rPr>
        <w:t xml:space="preserve">一个采购周期内应当</w:t>
      </w:r>
      <w:r>
        <w:rPr>
          <w:rFonts w:ascii="Times New Roman" w:hAnsi="Times New Roman"/>
          <w:spacing w:val="2"/>
          <w:sz w:val="24"/>
          <w:highlight w:val="none"/>
        </w:rPr>
        <w:t xml:space="preserve">聘请第三方对本保险项目进行一次绩效评价，绩效评价费用由中标保险人按照比例支付。</w:t>
      </w:r>
      <w:r/>
    </w:p>
    <w:p>
      <w:pPr>
        <w:ind w:right="211" w:firstLine="480"/>
        <w:spacing w:line="360" w:lineRule="auto"/>
        <w:rPr>
          <w:rFonts w:ascii="宋体" w:hAnsi="宋体" w:cs="宋体"/>
          <w:sz w:val="24"/>
        </w:rPr>
      </w:pPr>
      <w:r>
        <w:rPr>
          <w:rFonts w:hint="eastAsia" w:ascii="宋体" w:hAnsi="宋体" w:cs="宋体"/>
          <w:sz w:val="24"/>
        </w:rPr>
        <w:t xml:space="preserve">8.3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spacing w:line="400" w:lineRule="exact"/>
        <w:rPr>
          <w:rStyle w:val="1514"/>
          <w:rFonts w:ascii="宋体" w:hAnsi="宋体" w:cs="宋体"/>
          <w:b/>
          <w:szCs w:val="24"/>
        </w:rPr>
      </w:pPr>
      <w:r>
        <w:rPr>
          <w:rStyle w:val="1514"/>
          <w:rFonts w:hint="eastAsia" w:ascii="宋体" w:hAnsi="宋体" w:eastAsia="宋体" w:cs="宋体"/>
          <w:b/>
          <w:szCs w:val="24"/>
        </w:rPr>
        <w:t xml:space="preserve">9</w:t>
      </w:r>
      <w:r>
        <w:rPr>
          <w:rStyle w:val="1514"/>
          <w:rFonts w:hint="eastAsia" w:ascii="宋体" w:hAnsi="宋体" w:eastAsia="宋体" w:cs="宋体"/>
          <w:b/>
          <w:bCs/>
          <w:szCs w:val="24"/>
        </w:rPr>
        <w:t xml:space="preserve">．保密条款</w:t>
      </w:r>
      <w:r/>
    </w:p>
    <w:p>
      <w:pPr>
        <w:ind w:right="211" w:firstLine="480"/>
        <w:spacing w:line="360" w:lineRule="auto"/>
        <w:rPr>
          <w:rFonts w:ascii="宋体" w:hAnsi="宋体" w:cs="宋体"/>
          <w:sz w:val="24"/>
        </w:rPr>
      </w:pPr>
      <w:r>
        <w:rPr>
          <w:rFonts w:hint="eastAsia" w:ascii="宋体" w:hAnsi="宋体" w:cs="宋体"/>
          <w:sz w:val="24"/>
        </w:rPr>
        <w:t xml:space="preserve">9.1任何一方对其获知的本合同涉及的所有有形、无形的信息及资料（包括但不限于甲乙双方的往来书面文字文件、电子邮件及信息、电子资料等）中另一方的商业秘密负有保密义务。</w:t>
      </w:r>
      <w:r/>
    </w:p>
    <w:p>
      <w:pPr>
        <w:ind w:right="211" w:firstLine="480"/>
        <w:spacing w:line="360" w:lineRule="auto"/>
        <w:rPr>
          <w:rFonts w:ascii="宋体" w:hAnsi="宋体" w:cs="宋体"/>
          <w:sz w:val="24"/>
        </w:rPr>
      </w:pPr>
      <w:r>
        <w:rPr>
          <w:rFonts w:hint="eastAsia" w:ascii="宋体" w:hAnsi="宋体" w:cs="宋体"/>
          <w:sz w:val="24"/>
        </w:rPr>
        <w:t xml:space="preserve">9.2除非法律、法规另有规定或得到本合同之另一方的书面许可，任何一方不得向第三方泄露前款规定的商业秘密。保密期限自任何一方获知该商业秘密之日起至本条规定的秘密成为公众信息之日止。</w:t>
      </w:r>
      <w:r/>
    </w:p>
    <w:p>
      <w:pPr>
        <w:spacing w:line="360" w:lineRule="auto"/>
        <w:rPr>
          <w:rStyle w:val="1514"/>
          <w:rFonts w:hint="eastAsia" w:ascii="宋体" w:hAnsi="宋体" w:eastAsia="宋体" w:cs="宋体"/>
          <w:b/>
          <w:bCs/>
          <w:szCs w:val="24"/>
        </w:rPr>
      </w:pPr>
      <w:r>
        <w:rPr>
          <w:rStyle w:val="1514"/>
          <w:rFonts w:hint="eastAsia" w:ascii="宋体" w:hAnsi="宋体" w:eastAsia="宋体" w:cs="宋体"/>
          <w:b/>
          <w:bCs/>
          <w:szCs w:val="24"/>
        </w:rPr>
        <w:t xml:space="preserve">10、保费</w:t>
      </w:r>
      <w:r/>
    </w:p>
    <w:p>
      <w:pPr>
        <w:ind w:right="211" w:firstLine="480"/>
        <w:spacing w:line="360" w:lineRule="auto"/>
        <w:rPr>
          <w:rFonts w:ascii="宋体" w:hAnsi="宋体"/>
          <w:sz w:val="24"/>
        </w:rPr>
      </w:pPr>
      <w:r>
        <w:rPr>
          <w:rFonts w:hint="eastAsia" w:ascii="宋体" w:hAnsi="宋体"/>
          <w:sz w:val="24"/>
        </w:rPr>
        <w:t xml:space="preserve">10.1本合同保费均以人民币结算。 </w:t>
      </w:r>
      <w:r/>
    </w:p>
    <w:p>
      <w:pPr>
        <w:ind w:right="211" w:firstLine="480"/>
        <w:spacing w:line="360" w:lineRule="auto"/>
        <w:rPr>
          <w:rFonts w:ascii="宋体" w:hAnsi="宋体"/>
          <w:sz w:val="24"/>
        </w:rPr>
      </w:pPr>
      <w:r>
        <w:rPr>
          <w:rFonts w:hint="eastAsia" w:ascii="宋体" w:hAnsi="宋体"/>
          <w:sz w:val="24"/>
        </w:rPr>
        <w:t xml:space="preserve">10.2本合同保费按年度支付。</w:t>
      </w:r>
      <w:r/>
    </w:p>
    <w:p>
      <w:pPr>
        <w:ind w:right="211" w:firstLine="480"/>
        <w:spacing w:line="360" w:lineRule="auto"/>
        <w:rPr>
          <w:rFonts w:ascii="宋体" w:hAnsi="宋体"/>
          <w:sz w:val="24"/>
        </w:rPr>
      </w:pPr>
      <w:r>
        <w:rPr>
          <w:rFonts w:hint="eastAsia" w:ascii="宋体" w:hAnsi="宋体"/>
          <w:sz w:val="24"/>
        </w:rPr>
        <w:t xml:space="preserve">10.3在约定保险期间内，保费交清前发生的保险事故，保险人承担保险责任。</w:t>
      </w:r>
      <w:r/>
    </w:p>
    <w:p>
      <w:pPr>
        <w:ind w:right="211" w:firstLine="480"/>
        <w:spacing w:line="360" w:lineRule="auto"/>
        <w:rPr>
          <w:rFonts w:ascii="宋体" w:hAnsi="宋体"/>
          <w:sz w:val="24"/>
        </w:rPr>
      </w:pPr>
      <w:r>
        <w:rPr>
          <w:rFonts w:hint="eastAsia" w:ascii="宋体" w:hAnsi="宋体"/>
          <w:sz w:val="24"/>
        </w:rPr>
        <w:t xml:space="preserve">10.4与本合同有关的一切税费，均由乙方承担。</w:t>
      </w:r>
      <w:r/>
    </w:p>
    <w:p>
      <w:pPr>
        <w:spacing w:line="400" w:lineRule="exact"/>
        <w:rPr>
          <w:rStyle w:val="1514"/>
          <w:rFonts w:hint="eastAsia" w:ascii="宋体" w:hAnsi="宋体" w:eastAsia="宋体" w:cs="宋体"/>
          <w:b/>
        </w:rPr>
      </w:pPr>
      <w:r>
        <w:rPr>
          <w:rStyle w:val="1514"/>
          <w:rFonts w:hint="eastAsia" w:ascii="宋体" w:hAnsi="宋体" w:eastAsia="宋体" w:cs="宋体"/>
          <w:b/>
        </w:rPr>
        <w:t xml:space="preserve">11、合同变更</w:t>
      </w:r>
      <w:r/>
    </w:p>
    <w:p>
      <w:pPr>
        <w:ind w:right="211" w:firstLine="480"/>
        <w:spacing w:line="360" w:lineRule="auto"/>
        <w:rPr>
          <w:rFonts w:ascii="宋体" w:hAnsi="宋体"/>
          <w:sz w:val="24"/>
        </w:rPr>
      </w:pPr>
      <w:r>
        <w:rPr>
          <w:rFonts w:hint="eastAsia" w:ascii="宋体" w:hAnsi="宋体"/>
          <w:sz w:val="24"/>
        </w:rPr>
        <w:t xml:space="preserve">如需修改或补充合同内容，应经甲方、乙方协商，共同签署书面修改或补充协议。该协议将作为本合同不可分割的一部分。</w:t>
      </w:r>
      <w:r/>
    </w:p>
    <w:p>
      <w:pPr>
        <w:spacing w:line="400" w:lineRule="exact"/>
        <w:rPr>
          <w:rStyle w:val="1514"/>
          <w:rFonts w:hint="eastAsia" w:ascii="宋体" w:hAnsi="宋体" w:eastAsia="宋体" w:cs="宋体"/>
          <w:b/>
        </w:rPr>
      </w:pPr>
      <w:r>
        <w:rPr>
          <w:rStyle w:val="1514"/>
          <w:rFonts w:hint="eastAsia" w:ascii="宋体" w:hAnsi="宋体" w:eastAsia="宋体" w:cs="宋体"/>
          <w:b/>
        </w:rPr>
        <w:t xml:space="preserve">12、转让</w:t>
      </w:r>
      <w:r/>
    </w:p>
    <w:p>
      <w:pPr>
        <w:ind w:right="211"/>
        <w:spacing w:line="360" w:lineRule="auto"/>
        <w:rPr>
          <w:rFonts w:ascii="宋体" w:hAnsi="宋体"/>
          <w:sz w:val="24"/>
        </w:rPr>
      </w:pPr>
      <w:r>
        <w:rPr>
          <w:rFonts w:hint="eastAsia" w:ascii="宋体" w:hAnsi="宋体"/>
          <w:sz w:val="24"/>
        </w:rPr>
        <w:t xml:space="preserve">    合同履行期间，除甲方事先书面同意外，乙方不得擅自部分或全部转让其应履行的合同义务。</w:t>
      </w:r>
      <w:r/>
    </w:p>
    <w:p>
      <w:pPr>
        <w:spacing w:line="400" w:lineRule="exact"/>
        <w:rPr>
          <w:rStyle w:val="1514"/>
          <w:rFonts w:hint="eastAsia" w:ascii="宋体" w:hAnsi="宋体" w:eastAsia="宋体" w:cs="宋体"/>
          <w:b/>
        </w:rPr>
      </w:pPr>
      <w:r>
        <w:rPr>
          <w:rStyle w:val="1514"/>
          <w:rFonts w:hint="eastAsia" w:ascii="宋体" w:hAnsi="宋体" w:eastAsia="宋体" w:cs="宋体"/>
          <w:b/>
        </w:rPr>
        <w:t xml:space="preserve">13、争议的解决</w:t>
      </w:r>
      <w:r/>
    </w:p>
    <w:p>
      <w:pPr>
        <w:ind w:firstLine="480"/>
        <w:spacing w:line="400" w:lineRule="exact"/>
        <w:rPr>
          <w:rFonts w:ascii="宋体" w:hAnsi="宋体" w:cs="宋体"/>
          <w:sz w:val="24"/>
        </w:rPr>
      </w:pPr>
      <w:r>
        <w:rPr>
          <w:rFonts w:hint="eastAsia" w:ascii="宋体" w:hAnsi="宋体" w:cs="宋体"/>
          <w:sz w:val="24"/>
        </w:rPr>
        <w:t xml:space="preserve">在执行本合同中发生的与本合同有关的争端，甲乙双方应通过友好协商解决，经协商不能达成协议时，甲乙双方同意将争议提交新北区人民法院。</w:t>
      </w:r>
      <w:r/>
    </w:p>
    <w:p>
      <w:pPr>
        <w:spacing w:line="400" w:lineRule="exact"/>
        <w:rPr>
          <w:rStyle w:val="1514"/>
          <w:rFonts w:hint="eastAsia" w:ascii="宋体" w:hAnsi="宋体" w:eastAsia="宋体" w:cs="宋体"/>
          <w:b/>
        </w:rPr>
      </w:pPr>
      <w:r>
        <w:rPr>
          <w:rStyle w:val="1514"/>
          <w:rFonts w:hint="eastAsia" w:ascii="宋体" w:hAnsi="宋体" w:eastAsia="宋体" w:cs="宋体"/>
          <w:b/>
        </w:rPr>
        <w:t xml:space="preserve">14、合同生效 </w:t>
      </w:r>
      <w:r/>
    </w:p>
    <w:p>
      <w:pPr>
        <w:ind w:right="211" w:firstLine="480"/>
        <w:spacing w:line="360" w:lineRule="auto"/>
        <w:rPr>
          <w:rFonts w:ascii="宋体" w:hAnsi="宋体" w:cs="宋体"/>
          <w:sz w:val="24"/>
        </w:rPr>
      </w:pPr>
      <w:r>
        <w:rPr>
          <w:rFonts w:hint="eastAsia" w:ascii="宋体" w:hAnsi="宋体"/>
          <w:sz w:val="24"/>
        </w:rPr>
        <w:t xml:space="preserve">合同应在甲方、乙方双方签字盖章后生效。</w:t>
      </w:r>
      <w:r/>
    </w:p>
    <w:p>
      <w:pPr>
        <w:pStyle w:val="1520"/>
        <w:ind w:firstLine="0"/>
        <w:rPr>
          <w:rFonts w:ascii="宋体" w:hAnsi="宋体" w:eastAsia="宋体" w:cs="宋体"/>
          <w:b/>
          <w:sz w:val="24"/>
          <w:szCs w:val="24"/>
        </w:rPr>
      </w:pPr>
      <w:r>
        <w:rPr>
          <w:rStyle w:val="1514"/>
          <w:rFonts w:hint="eastAsia" w:ascii="宋体" w:hAnsi="宋体" w:eastAsia="宋体" w:cs="宋体"/>
          <w:b/>
          <w:szCs w:val="24"/>
        </w:rPr>
        <w:t xml:space="preserve">15、合同保存</w:t>
      </w:r>
      <w:r/>
    </w:p>
    <w:p>
      <w:pPr>
        <w:ind w:firstLine="482"/>
        <w:spacing w:line="360" w:lineRule="auto"/>
        <w:rPr>
          <w:rFonts w:hint="eastAsia" w:ascii="宋体" w:hAnsi="宋体" w:cs="宋体"/>
          <w:b/>
        </w:rPr>
      </w:pPr>
      <w:r>
        <w:rPr>
          <w:rFonts w:hint="eastAsia" w:ascii="宋体" w:hAnsi="宋体" w:cs="宋体"/>
          <w:b/>
          <w:sz w:val="24"/>
        </w:rPr>
        <w:t xml:space="preserve">合同份数：本合同一式</w:t>
      </w:r>
      <w:r>
        <w:rPr>
          <w:rFonts w:hint="eastAsia" w:ascii="宋体" w:hAnsi="宋体" w:cs="宋体"/>
          <w:b/>
          <w:sz w:val="24"/>
          <w:u w:val="single"/>
        </w:rPr>
        <w:t xml:space="preserve">   </w:t>
      </w:r>
      <w:r>
        <w:rPr>
          <w:rFonts w:hint="eastAsia" w:ascii="宋体" w:hAnsi="宋体" w:cs="宋体"/>
          <w:b/>
          <w:sz w:val="24"/>
        </w:rPr>
        <w:t xml:space="preserve">份，甲方执</w:t>
      </w:r>
      <w:r>
        <w:rPr>
          <w:rFonts w:hint="eastAsia" w:ascii="宋体" w:hAnsi="宋体" w:cs="宋体"/>
          <w:b/>
          <w:sz w:val="24"/>
          <w:u w:val="single"/>
        </w:rPr>
        <w:t xml:space="preserve">   </w:t>
      </w:r>
      <w:r>
        <w:rPr>
          <w:rFonts w:hint="eastAsia" w:ascii="宋体" w:hAnsi="宋体" w:cs="宋体"/>
          <w:b/>
          <w:sz w:val="24"/>
        </w:rPr>
        <w:t xml:space="preserve">份、乙方执</w:t>
      </w:r>
      <w:r>
        <w:rPr>
          <w:rFonts w:hint="eastAsia" w:ascii="宋体" w:hAnsi="宋体" w:cs="宋体"/>
          <w:b/>
          <w:sz w:val="24"/>
          <w:u w:val="single"/>
        </w:rPr>
        <w:t xml:space="preserve">   </w:t>
      </w:r>
      <w:r>
        <w:rPr>
          <w:rFonts w:hint="eastAsia" w:ascii="宋体" w:hAnsi="宋体" w:cs="宋体"/>
          <w:b/>
          <w:sz w:val="24"/>
        </w:rPr>
        <w:t xml:space="preserve">份。采购代理机构执一份备案。</w:t>
      </w:r>
      <w:r/>
    </w:p>
    <w:p>
      <w:pPr>
        <w:rPr>
          <w:rFonts w:ascii="宋体" w:hAnsi="宋体"/>
          <w:sz w:val="24"/>
        </w:rPr>
      </w:pPr>
      <w:r>
        <w:rPr>
          <w:rFonts w:hint="eastAsia" w:ascii="宋体" w:hAnsi="宋体"/>
          <w:sz w:val="24"/>
        </w:rPr>
        <w:t xml:space="preserve">甲    方：                                     </w:t>
      </w:r>
      <w:r/>
    </w:p>
    <w:p>
      <w:pPr>
        <w:rPr>
          <w:rFonts w:ascii="宋体" w:hAnsi="宋体"/>
          <w:sz w:val="24"/>
        </w:rPr>
      </w:pPr>
      <w:r>
        <w:rPr>
          <w:rFonts w:hint="eastAsia" w:ascii="宋体" w:hAnsi="宋体"/>
          <w:sz w:val="24"/>
        </w:rPr>
        <w:t xml:space="preserve">单位名称（章）：</w:t>
      </w:r>
      <w:r/>
    </w:p>
    <w:p>
      <w:pPr>
        <w:rPr>
          <w:rFonts w:ascii="宋体" w:hAnsi="宋体"/>
          <w:sz w:val="24"/>
        </w:rPr>
      </w:pPr>
      <w:r>
        <w:rPr>
          <w:rFonts w:hint="eastAsia" w:ascii="宋体" w:hAnsi="宋体"/>
          <w:sz w:val="24"/>
        </w:rPr>
        <w:t xml:space="preserve">单位地址：</w:t>
      </w:r>
      <w:r/>
    </w:p>
    <w:p>
      <w:pPr>
        <w:rPr>
          <w:rFonts w:ascii="宋体" w:hAnsi="宋体"/>
          <w:sz w:val="24"/>
        </w:rPr>
      </w:pPr>
      <w:r>
        <w:rPr>
          <w:rFonts w:hint="eastAsia" w:ascii="宋体" w:hAnsi="宋体"/>
          <w:sz w:val="24"/>
        </w:rPr>
        <w:t xml:space="preserve">法定代表人：                        </w:t>
      </w:r>
      <w:r/>
    </w:p>
    <w:p>
      <w:pPr>
        <w:rPr>
          <w:rFonts w:ascii="宋体" w:hAnsi="宋体"/>
          <w:sz w:val="24"/>
        </w:rPr>
      </w:pPr>
      <w:r>
        <w:rPr>
          <w:rFonts w:hint="eastAsia" w:ascii="宋体" w:hAnsi="宋体"/>
          <w:sz w:val="24"/>
        </w:rPr>
        <w:t xml:space="preserve">委托代理人： </w:t>
      </w:r>
      <w:r/>
    </w:p>
    <w:p>
      <w:pPr>
        <w:rPr>
          <w:rFonts w:ascii="宋体" w:hAnsi="宋体"/>
          <w:sz w:val="24"/>
        </w:rPr>
      </w:pPr>
      <w:r>
        <w:rPr>
          <w:rFonts w:hint="eastAsia" w:ascii="宋体" w:hAnsi="宋体"/>
          <w:sz w:val="24"/>
        </w:rPr>
        <w:t xml:space="preserve">经办人：                        </w:t>
      </w:r>
      <w:r/>
    </w:p>
    <w:p>
      <w:pPr>
        <w:rPr>
          <w:rFonts w:ascii="宋体" w:hAnsi="宋体"/>
          <w:sz w:val="24"/>
        </w:rPr>
      </w:pPr>
      <w:r>
        <w:rPr>
          <w:rFonts w:hint="eastAsia" w:ascii="宋体" w:hAnsi="宋体"/>
          <w:sz w:val="24"/>
        </w:rPr>
        <w:t xml:space="preserve">电  话：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t xml:space="preserve">（此页无正文） </w:t>
      </w:r>
      <w:r/>
    </w:p>
    <w:p>
      <w:pPr>
        <w:pStyle w:val="1506"/>
      </w:pPr>
      <w:r/>
      <w:r/>
    </w:p>
    <w:p>
      <w:pPr>
        <w:rPr>
          <w:rFonts w:ascii="宋体" w:hAnsi="宋体"/>
          <w:sz w:val="24"/>
        </w:rPr>
      </w:pPr>
      <w:r>
        <w:rPr>
          <w:rFonts w:hint="eastAsia" w:ascii="宋体" w:hAnsi="宋体"/>
          <w:sz w:val="24"/>
        </w:rPr>
        <w:t xml:space="preserve">乙    方：</w:t>
      </w:r>
      <w:r/>
    </w:p>
    <w:p>
      <w:pPr>
        <w:rPr>
          <w:rFonts w:ascii="宋体" w:hAnsi="宋体"/>
          <w:sz w:val="24"/>
        </w:rPr>
      </w:pPr>
      <w:r>
        <w:rPr>
          <w:rFonts w:hint="eastAsia" w:ascii="宋体" w:hAnsi="宋体"/>
          <w:sz w:val="24"/>
        </w:rPr>
        <w:t xml:space="preserve">单位名称（章）：</w:t>
      </w:r>
      <w:r/>
    </w:p>
    <w:p>
      <w:pPr>
        <w:rPr>
          <w:rFonts w:ascii="宋体" w:hAnsi="宋体"/>
          <w:sz w:val="24"/>
        </w:rPr>
      </w:pPr>
      <w:r>
        <w:rPr>
          <w:rFonts w:hint="eastAsia" w:ascii="宋体" w:hAnsi="宋体"/>
          <w:sz w:val="24"/>
        </w:rPr>
        <w:t xml:space="preserve">单位地址：</w:t>
      </w:r>
      <w:r/>
    </w:p>
    <w:p>
      <w:pPr>
        <w:rPr>
          <w:rFonts w:ascii="宋体" w:hAnsi="宋体"/>
          <w:sz w:val="24"/>
        </w:rPr>
      </w:pPr>
      <w:r>
        <w:rPr>
          <w:rFonts w:hint="eastAsia" w:ascii="宋体" w:hAnsi="宋体"/>
          <w:sz w:val="24"/>
        </w:rPr>
        <w:t xml:space="preserve">开户银行：</w:t>
      </w:r>
      <w:r/>
    </w:p>
    <w:p>
      <w:pPr>
        <w:rPr>
          <w:rFonts w:ascii="宋体" w:hAnsi="宋体"/>
          <w:sz w:val="24"/>
        </w:rPr>
      </w:pPr>
      <w:r>
        <w:rPr>
          <w:rFonts w:hint="eastAsia" w:ascii="宋体" w:hAnsi="宋体"/>
          <w:sz w:val="24"/>
        </w:rPr>
        <w:t xml:space="preserve">银行帐号：</w:t>
      </w:r>
      <w:r/>
    </w:p>
    <w:p>
      <w:pPr>
        <w:rPr>
          <w:rFonts w:ascii="宋体" w:hAnsi="宋体"/>
          <w:sz w:val="24"/>
        </w:rPr>
      </w:pPr>
      <w:r>
        <w:rPr>
          <w:rFonts w:hint="eastAsia" w:ascii="宋体" w:hAnsi="宋体"/>
          <w:sz w:val="24"/>
        </w:rPr>
        <w:t xml:space="preserve">法定代表人：</w:t>
      </w:r>
      <w:r/>
    </w:p>
    <w:p>
      <w:pPr>
        <w:rPr>
          <w:rFonts w:ascii="宋体" w:hAnsi="宋体"/>
          <w:sz w:val="24"/>
        </w:rPr>
      </w:pPr>
      <w:r>
        <w:rPr>
          <w:rFonts w:hint="eastAsia" w:ascii="宋体" w:hAnsi="宋体"/>
          <w:sz w:val="24"/>
        </w:rPr>
        <w:t xml:space="preserve">委托代理人：</w:t>
      </w:r>
      <w:r/>
    </w:p>
    <w:p>
      <w:pPr>
        <w:rPr>
          <w:rFonts w:ascii="宋体" w:hAnsi="宋体"/>
          <w:sz w:val="24"/>
        </w:rPr>
      </w:pPr>
      <w:r>
        <w:rPr>
          <w:rFonts w:hint="eastAsia" w:ascii="宋体" w:hAnsi="宋体"/>
          <w:sz w:val="24"/>
        </w:rPr>
        <w:t xml:space="preserve">电  话：</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b/>
          <w:sz w:val="36"/>
          <w:szCs w:val="36"/>
        </w:rPr>
      </w:pPr>
      <w:r>
        <w:rPr>
          <w:rFonts w:hint="eastAsia" w:ascii="宋体" w:hAnsi="宋体"/>
          <w:b/>
          <w:bCs/>
          <w:sz w:val="24"/>
        </w:rPr>
        <w:t xml:space="preserve">注：银行帐号与开户银行必须填写清楚</w:t>
      </w:r>
      <w:bookmarkEnd w:id="18"/>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pStyle w:val="1506"/>
        <w:rPr>
          <w:rFonts w:hint="eastAsia" w:ascii="宋体" w:hAnsi="宋体" w:cs="宋体"/>
          <w:b/>
          <w:sz w:val="36"/>
          <w:szCs w:val="36"/>
        </w:rPr>
      </w:pPr>
      <w:r>
        <w:rPr>
          <w:rFonts w:hint="eastAsia" w:ascii="宋体" w:hAnsi="宋体" w:cs="宋体"/>
          <w:b/>
          <w:sz w:val="36"/>
          <w:szCs w:val="36"/>
        </w:rPr>
      </w:r>
      <w:r/>
    </w:p>
    <w:p>
      <w:pPr>
        <w:pStyle w:val="1506"/>
        <w:rPr>
          <w:rFonts w:hint="eastAsia" w:ascii="宋体" w:hAnsi="宋体" w:cs="宋体"/>
          <w:b/>
          <w:sz w:val="36"/>
          <w:szCs w:val="36"/>
        </w:rPr>
      </w:pPr>
      <w:r>
        <w:rPr>
          <w:rFonts w:hint="eastAsia" w:ascii="宋体" w:hAnsi="宋体" w:cs="宋体"/>
          <w:b/>
          <w:sz w:val="36"/>
          <w:szCs w:val="36"/>
        </w:rPr>
      </w:r>
      <w:r/>
    </w:p>
    <w:p>
      <w:pPr>
        <w:pStyle w:val="1506"/>
        <w:rPr>
          <w:rFonts w:hint="eastAsia" w:ascii="宋体" w:hAnsi="宋体" w:cs="宋体"/>
          <w:b/>
          <w:sz w:val="36"/>
          <w:szCs w:val="36"/>
        </w:rPr>
      </w:pPr>
      <w:r>
        <w:rPr>
          <w:rFonts w:hint="eastAsia" w:ascii="宋体" w:hAnsi="宋体" w:cs="宋体"/>
          <w:b/>
          <w:sz w:val="36"/>
          <w:szCs w:val="36"/>
        </w:rPr>
      </w:r>
      <w:r/>
    </w:p>
    <w:p>
      <w:pPr>
        <w:pStyle w:val="1506"/>
        <w:rPr>
          <w:rFonts w:hint="eastAsia" w:ascii="宋体" w:hAnsi="宋体" w:cs="宋体"/>
          <w:b/>
          <w:sz w:val="36"/>
          <w:szCs w:val="36"/>
        </w:rPr>
      </w:pPr>
      <w:r>
        <w:rPr>
          <w:rFonts w:hint="eastAsia" w:ascii="宋体" w:hAnsi="宋体" w:cs="宋体"/>
          <w:b/>
          <w:sz w:val="36"/>
          <w:szCs w:val="36"/>
        </w:rPr>
      </w:r>
      <w:r/>
    </w:p>
    <w:p>
      <w:pPr>
        <w:pStyle w:val="1506"/>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r>
      <w:r/>
    </w:p>
    <w:p>
      <w:pPr>
        <w:ind w:left="142" w:firstLine="482"/>
        <w:spacing w:line="360" w:lineRule="auto"/>
        <w:tabs>
          <w:tab w:val="left" w:pos="900" w:leader="none"/>
          <w:tab w:val="left" w:pos="1980" w:leader="none"/>
        </w:tabs>
        <w:rPr>
          <w:rFonts w:hint="eastAsia" w:ascii="宋体" w:hAnsi="宋体" w:cs="宋体"/>
          <w:sz w:val="24"/>
        </w:rPr>
      </w:pPr>
      <w:r>
        <w:rPr>
          <w:rFonts w:hint="eastAsia" w:ascii="宋体" w:hAnsi="宋体" w:cs="宋体"/>
          <w:b/>
          <w:sz w:val="24"/>
        </w:rPr>
        <w:t xml:space="preserve">投标人编制文件须知</w:t>
      </w:r>
      <w:r/>
    </w:p>
    <w:p>
      <w:pPr>
        <w:ind w:left="142" w:firstLine="480"/>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4.实行电子化不见面交易方式的，加盖公章、签名等均通过投标文件编制工具加盖电子公章、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jc w:val="left"/>
        <w:widowControl/>
        <w:rPr>
          <w:sz w:val="24"/>
        </w:rPr>
      </w:pPr>
      <w:r>
        <w:rPr>
          <w:sz w:val="24"/>
        </w:rPr>
        <w:br w:type="page" w:clear="all"/>
      </w:r>
      <w:r/>
    </w:p>
    <w:p>
      <w:pPr>
        <w:rPr>
          <w:b/>
          <w:spacing w:val="20"/>
          <w:szCs w:val="21"/>
        </w:rPr>
      </w:pPr>
      <w:r>
        <w:rPr>
          <w:b/>
          <w:spacing w:val="20"/>
          <w:szCs w:val="21"/>
        </w:rPr>
      </w:r>
      <w:r/>
    </w:p>
    <w:p>
      <w:pPr>
        <w:jc w:val="left"/>
        <w:keepLines/>
        <w:keepNext/>
        <w:spacing w:before="120" w:line="300" w:lineRule="auto"/>
        <w:rPr>
          <w:rFonts w:hint="eastAsia" w:ascii="宋体" w:hAnsi="宋体" w:cs="宋体"/>
          <w:b/>
          <w:sz w:val="30"/>
          <w:szCs w:val="20"/>
        </w:rPr>
        <w:outlineLvl w:val="1"/>
      </w:pPr>
      <w:r/>
      <w:bookmarkStart w:id="761" w:name="_Toc305158899"/>
      <w:r/>
      <w:bookmarkStart w:id="762" w:name="_Toc305158825"/>
      <w:r/>
      <w:bookmarkStart w:id="763" w:name="_Toc226965830"/>
      <w:r/>
      <w:bookmarkStart w:id="764" w:name="_Ref467988705"/>
      <w:r/>
      <w:bookmarkStart w:id="765" w:name="_Toc150480795"/>
      <w:r/>
      <w:bookmarkStart w:id="766" w:name="_Toc226309801"/>
      <w:r/>
      <w:bookmarkStart w:id="767" w:name="_Toc226337253"/>
      <w:r/>
      <w:bookmarkStart w:id="768" w:name="_Toc195842922"/>
      <w:r/>
      <w:bookmarkStart w:id="769" w:name="_Toc264969247"/>
      <w:r/>
      <w:bookmarkStart w:id="770" w:name="_Toc226965747"/>
      <w:r/>
      <w:bookmarkStart w:id="771" w:name="_Toc127151557"/>
      <w:r/>
      <w:bookmarkStart w:id="772" w:name="_Toc150774762"/>
      <w:r/>
      <w:bookmarkStart w:id="773" w:name="_Toc480942350"/>
      <w:r/>
      <w:bookmarkStart w:id="774" w:name="_Toc265228395"/>
      <w:r/>
      <w:bookmarkStart w:id="775" w:name="_Toc520356218"/>
      <w:r/>
      <w:bookmarkStart w:id="776" w:name="_Toc142311059"/>
      <w:r>
        <w:rPr>
          <w:rFonts w:hint="eastAsia" w:ascii="宋体" w:hAnsi="宋体" w:cs="宋体"/>
          <w:b/>
          <w:spacing w:val="20"/>
          <w:sz w:val="24"/>
        </w:rPr>
        <w:t xml:space="preserve">一、资格证明文件格式</w:t>
      </w:r>
      <w:r/>
    </w:p>
    <w:p>
      <w:pPr>
        <w:rPr>
          <w:rFonts w:hint="eastAsia" w:ascii="宋体" w:hAnsi="宋体" w:cs="宋体"/>
          <w:b/>
          <w:spacing w:val="20"/>
          <w:szCs w:val="21"/>
        </w:rPr>
      </w:pPr>
      <w:r>
        <w:rPr>
          <w:rFonts w:hint="eastAsia" w:ascii="宋体" w:hAnsi="宋体" w:cs="宋体"/>
          <w:b/>
          <w:spacing w:val="20"/>
          <w:szCs w:val="21"/>
        </w:rPr>
      </w:r>
      <w:r/>
    </w:p>
    <w:p>
      <w:pPr>
        <w:rPr>
          <w:rFonts w:hint="eastAsia"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hint="eastAsia" w:ascii="宋体" w:hAnsi="宋体" w:cs="宋体"/>
          <w:b/>
          <w:spacing w:val="60"/>
          <w:sz w:val="52"/>
          <w:szCs w:val="52"/>
        </w:rPr>
      </w:pPr>
      <w:r>
        <w:rPr>
          <w:rFonts w:hint="eastAsia" w:ascii="宋体" w:hAnsi="宋体" w:cs="宋体"/>
          <w:b/>
          <w:spacing w:val="60"/>
          <w:sz w:val="52"/>
          <w:szCs w:val="52"/>
        </w:rPr>
      </w:r>
      <w:r/>
    </w:p>
    <w:p>
      <w:pPr>
        <w:ind w:firstLine="963"/>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b/>
          <w:sz w:val="24"/>
          <w:szCs w:val="20"/>
        </w:rPr>
        <w:outlineLvl w:val="2"/>
      </w:pPr>
      <w:r>
        <w:rPr>
          <w:rFonts w:hint="eastAsia" w:ascii="宋体" w:hAnsi="宋体" w:cs="宋体"/>
          <w:sz w:val="24"/>
          <w:szCs w:val="20"/>
        </w:rPr>
        <w:t xml:space="preserve">1 </w:t>
      </w:r>
      <w:r>
        <w:rPr>
          <w:rFonts w:hint="eastAsia" w:ascii="宋体" w:hAnsi="宋体" w:cs="宋体"/>
          <w:b/>
          <w:sz w:val="24"/>
        </w:rPr>
        <w:t xml:space="preserve">满足《中华人民共和国政府采购法》第二十二条规定及法律法规的其他规定</w:t>
      </w:r>
      <w:r/>
    </w:p>
    <w:p>
      <w:pPr>
        <w:pStyle w:val="1530"/>
        <w:rPr>
          <w:rFonts w:hint="eastAsia" w:hAnsi="宋体" w:cs="宋体"/>
          <w:b w:val="0"/>
          <w:bCs/>
          <w:u w:val="none"/>
        </w:rPr>
      </w:pPr>
      <w:r>
        <w:rPr>
          <w:rFonts w:hint="eastAsia" w:hAnsi="宋体" w:cs="宋体"/>
          <w:b w:val="0"/>
          <w:u w:val="none"/>
        </w:rPr>
        <w:t xml:space="preserve">1-1 </w:t>
      </w:r>
      <w:r>
        <w:rPr>
          <w:rFonts w:hint="eastAsia" w:hAnsi="宋体" w:cs="宋体"/>
          <w:u w:val="none"/>
        </w:rPr>
        <w:t xml:space="preserve">投标人资格声明函（实质性格式）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525"/>
        <w:ind w:firstLine="480"/>
        <w:spacing w:line="460" w:lineRule="exact"/>
        <w:rPr>
          <w:rFonts w:hint="eastAsia" w:hAnsi="宋体" w:cs="宋体"/>
        </w:rPr>
      </w:pPr>
      <w:r>
        <w:rPr>
          <w:rFonts w:hint="eastAsia" w:hAnsi="宋体" w:cs="宋体"/>
        </w:rPr>
      </w:r>
      <w:r/>
    </w:p>
    <w:p>
      <w:pPr>
        <w:pStyle w:val="1525"/>
        <w:ind w:firstLine="480"/>
        <w:spacing w:line="460" w:lineRule="exact"/>
        <w:rPr>
          <w:rFonts w:hint="eastAsia" w:hAnsi="宋体" w:cs="宋体"/>
        </w:rPr>
      </w:pPr>
      <w:r>
        <w:rPr>
          <w:rFonts w:hint="eastAsia" w:hAnsi="宋体" w:cs="宋体"/>
        </w:rPr>
        <w:t xml:space="preserve">致：江苏常信保险经纪有限公司</w:t>
      </w:r>
      <w:r/>
    </w:p>
    <w:p>
      <w:pPr>
        <w:pStyle w:val="1525"/>
        <w:ind w:firstLine="960"/>
        <w:spacing w:line="460" w:lineRule="exact"/>
        <w:rPr>
          <w:rFonts w:hint="eastAsia" w:hAnsi="宋体" w:cs="宋体"/>
          <w:u w:val="single"/>
        </w:rPr>
      </w:pPr>
      <w:r>
        <w:rPr>
          <w:rFonts w:hint="eastAsia" w:hAnsi="宋体" w:cs="宋体"/>
          <w:u w:val="single"/>
        </w:rPr>
        <w:t xml:space="preserve">（采购人名称）</w:t>
      </w:r>
      <w:r/>
    </w:p>
    <w:p>
      <w:pPr>
        <w:pStyle w:val="1525"/>
        <w:ind w:firstLine="480"/>
        <w:spacing w:line="460" w:lineRule="exact"/>
        <w:rPr>
          <w:rFonts w:hint="eastAsia" w:hAnsi="宋体" w:cs="宋体"/>
        </w:rPr>
      </w:pPr>
      <w:r>
        <w:rPr>
          <w:rFonts w:hint="eastAsia" w:hAnsi="宋体" w:cs="宋体"/>
        </w:rPr>
      </w:r>
      <w:r/>
    </w:p>
    <w:p>
      <w:pPr>
        <w:pStyle w:val="1525"/>
        <w:ind w:firstLine="480"/>
        <w:spacing w:line="460" w:lineRule="exact"/>
        <w:rPr>
          <w:rFonts w:hint="eastAsia" w:hAnsi="宋体" w:cs="宋体"/>
        </w:rPr>
      </w:pPr>
      <w:r>
        <w:rPr>
          <w:rFonts w:hint="eastAsia" w:hAnsi="宋体" w:cs="宋体"/>
        </w:rPr>
        <w:t xml:space="preserve">按照《中华人民共和国政府采购法》第二十二条和招标文件的规定，我单位郑重声明如下：</w:t>
      </w:r>
      <w:r/>
    </w:p>
    <w:p>
      <w:pPr>
        <w:pStyle w:val="1525"/>
        <w:ind w:firstLine="480"/>
        <w:spacing w:line="460" w:lineRule="exact"/>
        <w:rPr>
          <w:rFonts w:hint="eastAsia" w:hAnsi="宋体" w:cs="宋体"/>
          <w:i/>
          <w:iCs/>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b/>
          <w:i/>
          <w:iCs/>
        </w:rPr>
        <w:t xml:space="preserve">（如属于分公司经总公司授权参与项目，由总公司承担民事责任的，需提供总公司项目授权书）</w:t>
      </w:r>
      <w:r>
        <w:rPr>
          <w:rFonts w:hint="eastAsia" w:hAnsi="宋体"/>
          <w:i/>
          <w:iCs/>
        </w:rPr>
        <w:t xml:space="preserve">。</w:t>
      </w:r>
      <w:r/>
    </w:p>
    <w:p>
      <w:pPr>
        <w:pStyle w:val="1525"/>
        <w:ind w:firstLine="480"/>
        <w:spacing w:line="460" w:lineRule="exact"/>
        <w:rPr>
          <w:rFonts w:hint="eastAsia" w:hAnsi="宋体" w:cs="宋体"/>
        </w:rPr>
      </w:pPr>
      <w:r>
        <w:rPr>
          <w:rFonts w:hint="eastAsia" w:hAnsi="宋体" w:cs="宋体"/>
        </w:rPr>
        <w:t xml:space="preserve">二、我单位具有良好的商业信誉（指投标人经营状况良好，无本资格声明第十条情形）和健全的财务会计制度。</w:t>
      </w:r>
      <w:r/>
    </w:p>
    <w:p>
      <w:pPr>
        <w:pStyle w:val="1525"/>
        <w:ind w:firstLine="480"/>
        <w:spacing w:line="460" w:lineRule="exact"/>
        <w:rPr>
          <w:rFonts w:hint="eastAsia" w:hAnsi="宋体" w:cs="宋体"/>
        </w:rPr>
      </w:pPr>
      <w:r>
        <w:rPr>
          <w:rFonts w:hint="eastAsia" w:hAnsi="宋体" w:cs="宋体"/>
        </w:rPr>
        <w:t xml:space="preserve">三、我单位依法进行纳税和社会保险申报并实际履行了义务。</w:t>
      </w:r>
      <w:r/>
    </w:p>
    <w:p>
      <w:pPr>
        <w:pStyle w:val="1525"/>
        <w:ind w:firstLine="480"/>
        <w:spacing w:line="460" w:lineRule="exact"/>
        <w:rPr>
          <w:rFonts w:hint="eastAsia"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525"/>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p>
    <w:p>
      <w:pPr>
        <w:pStyle w:val="1525"/>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p>
    <w:p>
      <w:pPr>
        <w:pStyle w:val="1525"/>
        <w:ind w:firstLine="480"/>
        <w:spacing w:line="460" w:lineRule="exact"/>
        <w:rPr>
          <w:rFonts w:hint="eastAsia"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525"/>
        <w:ind w:firstLine="480"/>
        <w:spacing w:line="460" w:lineRule="exact"/>
        <w:rPr>
          <w:rFonts w:hint="eastAsia" w:hAnsi="宋体" w:cs="宋体"/>
        </w:rPr>
      </w:pPr>
      <w:r>
        <w:rPr>
          <w:rFonts w:hint="eastAsia" w:hAnsi="宋体" w:cs="宋体"/>
        </w:rPr>
        <w:t xml:space="preserve">六、我单位具备法律、行政法规规定的其他条件。</w:t>
      </w:r>
      <w:r/>
    </w:p>
    <w:p>
      <w:pPr>
        <w:pStyle w:val="1525"/>
        <w:ind w:firstLine="480"/>
        <w:spacing w:line="460" w:lineRule="exact"/>
        <w:rPr>
          <w:rFonts w:hint="eastAsia"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525"/>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525"/>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525"/>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525"/>
        <w:ind w:firstLine="480"/>
        <w:spacing w:line="460" w:lineRule="exact"/>
        <w:rPr>
          <w:rFonts w:hint="eastAsia" w:hAnsi="宋体" w:cs="宋体"/>
        </w:rPr>
      </w:pPr>
      <w:r>
        <w:rPr>
          <w:rFonts w:hint="eastAsia" w:hAnsi="宋体" w:cs="宋体"/>
        </w:rPr>
        <w:t xml:space="preserve">八、我单位不属于为本项目提供整体设计、规范编制或者项目管理、监理、检测等服务的投标人。</w:t>
      </w:r>
      <w:r/>
    </w:p>
    <w:p>
      <w:pPr>
        <w:pStyle w:val="1525"/>
        <w:ind w:firstLine="480"/>
        <w:spacing w:line="460" w:lineRule="exact"/>
        <w:rPr>
          <w:rFonts w:hint="eastAsia" w:hAnsi="宋体" w:cs="宋体"/>
        </w:rPr>
      </w:pPr>
      <w:r>
        <w:rPr>
          <w:rFonts w:hint="eastAsia" w:hAnsi="宋体" w:cs="宋体"/>
        </w:rPr>
        <w:t xml:space="preserve">九、我单位无以下不良信用记录情形：</w:t>
      </w:r>
      <w:r/>
    </w:p>
    <w:p>
      <w:pPr>
        <w:pStyle w:val="1525"/>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1525"/>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1525"/>
        <w:ind w:firstLine="480"/>
        <w:spacing w:line="460" w:lineRule="exact"/>
        <w:rPr>
          <w:rFonts w:hint="eastAsia" w:hAnsi="宋体" w:cs="宋体"/>
        </w:rPr>
      </w:pPr>
      <w:r>
        <w:rPr>
          <w:rFonts w:hint="eastAsia" w:hAnsi="宋体" w:cs="宋体"/>
        </w:rPr>
        <w:t xml:space="preserve">3、不符合《政府采购法》第二十二条规定的条件。</w:t>
      </w:r>
      <w:r/>
    </w:p>
    <w:p>
      <w:pPr>
        <w:pStyle w:val="1525"/>
        <w:ind w:firstLine="480"/>
        <w:spacing w:line="460" w:lineRule="exact"/>
        <w:rPr>
          <w:rFonts w:hint="eastAsia" w:hAnsi="宋体" w:cs="宋体"/>
        </w:rPr>
      </w:pPr>
      <w:r>
        <w:rPr>
          <w:rFonts w:hint="eastAsia" w:hAnsi="宋体" w:cs="宋体"/>
        </w:rPr>
      </w:r>
      <w:r/>
    </w:p>
    <w:p>
      <w:pPr>
        <w:pStyle w:val="1525"/>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525"/>
        <w:ind w:firstLine="480"/>
        <w:spacing w:line="460" w:lineRule="exact"/>
        <w:rPr>
          <w:rFonts w:hint="eastAsia" w:hAnsi="宋体" w:cs="宋体"/>
        </w:rPr>
      </w:pPr>
      <w:r>
        <w:rPr>
          <w:rFonts w:hint="eastAsia" w:hAnsi="宋体" w:cs="宋体"/>
        </w:rPr>
      </w:r>
      <w:r/>
    </w:p>
    <w:p>
      <w:pPr>
        <w:pStyle w:val="1525"/>
        <w:ind w:firstLine="480"/>
        <w:spacing w:line="460" w:lineRule="exact"/>
        <w:rPr>
          <w:rFonts w:hint="eastAsia" w:hAnsi="宋体" w:cs="宋体"/>
        </w:rPr>
      </w:pPr>
      <w:r>
        <w:rPr>
          <w:rFonts w:hint="eastAsia" w:hAnsi="宋体" w:cs="宋体"/>
        </w:rPr>
      </w:r>
      <w:r/>
    </w:p>
    <w:p>
      <w:pPr>
        <w:pStyle w:val="1525"/>
        <w:ind w:firstLine="480"/>
        <w:spacing w:line="460" w:lineRule="exact"/>
        <w:rPr>
          <w:rFonts w:hint="eastAsia" w:hAnsi="宋体" w:cs="宋体"/>
        </w:rPr>
      </w:pPr>
      <w:r>
        <w:rPr>
          <w:rFonts w:hint="eastAsia" w:hAnsi="宋体" w:cs="宋体"/>
        </w:rPr>
        <w:t xml:space="preserve">                                      投标人：（加盖公章）</w:t>
      </w:r>
      <w:r/>
    </w:p>
    <w:p>
      <w:pPr>
        <w:pStyle w:val="1525"/>
        <w:ind w:firstLine="480"/>
        <w:spacing w:line="460" w:lineRule="exact"/>
        <w:rPr>
          <w:rFonts w:hint="eastAsia" w:hAnsi="宋体" w:cs="宋体"/>
        </w:rPr>
      </w:pPr>
      <w:r>
        <w:rPr>
          <w:rFonts w:hint="eastAsia" w:hAnsi="宋体" w:cs="宋体"/>
        </w:rPr>
        <w:t xml:space="preserve">                      法定代表人（或单位负责人）签字或盖章：</w:t>
      </w:r>
      <w:r/>
    </w:p>
    <w:p>
      <w:pPr>
        <w:pStyle w:val="1525"/>
        <w:ind w:firstLine="4920"/>
        <w:spacing w:line="460" w:lineRule="exact"/>
        <w:rPr>
          <w:rFonts w:hint="eastAsia" w:hAnsi="宋体" w:cs="宋体"/>
        </w:rPr>
      </w:pPr>
      <w:r>
        <w:rPr>
          <w:rFonts w:hint="eastAsia" w:hAnsi="宋体" w:cs="宋体"/>
        </w:rPr>
        <w:t xml:space="preserve">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rPr>
        <w:outlineLvl w:val="2"/>
      </w:pPr>
      <w:r>
        <w:rPr>
          <w:rFonts w:ascii="宋体" w:hAnsi="宋体"/>
          <w:b/>
          <w:sz w:val="24"/>
          <w:szCs w:val="20"/>
        </w:rPr>
        <w:t xml:space="preserve">3 本项目的特定资格要求（如有）</w:t>
      </w:r>
      <w:r/>
    </w:p>
    <w:p>
      <w:pPr>
        <w:spacing w:line="360" w:lineRule="auto"/>
        <w:rPr>
          <w:rFonts w:hint="eastAsia" w:ascii="宋体" w:hAnsi="宋体"/>
          <w:b/>
          <w:sz w:val="24"/>
          <w:szCs w:val="20"/>
        </w:rPr>
        <w:outlineLvl w:val="2"/>
      </w:pPr>
      <w:r>
        <w:rPr>
          <w:rFonts w:ascii="宋体" w:hAnsi="宋体"/>
          <w:b/>
          <w:sz w:val="24"/>
          <w:szCs w:val="20"/>
        </w:rPr>
        <w:t xml:space="preserve">3-1其他特定资格要求</w:t>
      </w:r>
      <w:r/>
    </w:p>
    <w:p>
      <w:pPr>
        <w:spacing w:line="360" w:lineRule="auto"/>
        <w:rPr>
          <w:rFonts w:hint="eastAsia" w:ascii="宋体" w:hAnsi="宋体" w:cs="宋体"/>
          <w:sz w:val="24"/>
        </w:rPr>
        <w:outlineLvl w:val="2"/>
      </w:pPr>
      <w:r>
        <w:rPr>
          <w:rFonts w:hint="eastAsia" w:ascii="宋体" w:hAnsi="宋体" w:cs="宋体"/>
          <w:sz w:val="24"/>
        </w:rPr>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jc w:val="left"/>
        <w:keepLines/>
        <w:keepNext/>
        <w:spacing w:before="120" w:line="300" w:lineRule="auto"/>
        <w:rPr>
          <w:rFonts w:hint="eastAsia" w:ascii="宋体" w:hAnsi="宋体"/>
          <w:b/>
          <w:sz w:val="32"/>
          <w:szCs w:val="32"/>
        </w:rPr>
        <w:outlineLvl w:val="1"/>
      </w:pPr>
      <w:r>
        <w:rPr>
          <w:rFonts w:hint="eastAsia" w:ascii="宋体" w:hAnsi="宋体" w:cs="宋体"/>
          <w:sz w:val="24"/>
        </w:rPr>
        <w:br w:type="page" w:clear="all"/>
      </w:r>
      <w:r>
        <w:rPr>
          <w:rFonts w:ascii="宋体" w:hAnsi="宋体"/>
          <w:b/>
          <w:spacing w:val="20"/>
          <w:sz w:val="24"/>
        </w:rPr>
        <w:t xml:space="preserve">二、商务技术文件格式</w:t>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r>
        <w:rPr>
          <w:rFonts w:hint="eastAsia" w:ascii="宋体" w:hAnsi="宋体"/>
          <w:b/>
          <w:sz w:val="24"/>
        </w:rPr>
        <w:t xml:space="preserve">函</w:t>
      </w:r>
      <w:r>
        <w:rPr>
          <w:rFonts w:ascii="宋体" w:hAnsi="宋体"/>
          <w:b/>
          <w:sz w:val="24"/>
          <w:szCs w:val="20"/>
        </w:rPr>
        <w:t xml:space="preserve">（实质性格式）</w:t>
      </w:r>
      <w:r/>
    </w:p>
    <w:p>
      <w:pPr>
        <w:spacing w:line="360" w:lineRule="auto"/>
        <w:tabs>
          <w:tab w:val="left" w:pos="5580" w:leader="none"/>
        </w:tabs>
        <w:rPr>
          <w:rFonts w:ascii="宋体" w:hAnsi="宋体"/>
          <w:sz w:val="24"/>
        </w:rPr>
      </w:pPr>
      <w:r>
        <w:rPr>
          <w:rFonts w:ascii="宋体" w:hAnsi="宋体"/>
          <w:sz w:val="24"/>
        </w:rPr>
      </w:r>
      <w:r/>
    </w:p>
    <w:p>
      <w:pPr>
        <w:jc w:val="center"/>
        <w:spacing w:line="360" w:lineRule="auto"/>
        <w:rPr>
          <w:rFonts w:ascii="宋体" w:hAnsi="宋体"/>
          <w:b/>
          <w:sz w:val="36"/>
          <w:szCs w:val="36"/>
        </w:rPr>
      </w:pPr>
      <w:r>
        <w:rPr>
          <w:rFonts w:hint="eastAsia" w:ascii="宋体" w:hAnsi="宋体"/>
          <w:b/>
          <w:sz w:val="36"/>
          <w:szCs w:val="36"/>
        </w:rPr>
        <w:t xml:space="preserve">投标函</w:t>
      </w:r>
      <w:r/>
    </w:p>
    <w:p>
      <w:pPr>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ascii="宋体" w:hAnsi="宋体"/>
          <w:sz w:val="24"/>
          <w:szCs w:val="20"/>
        </w:rPr>
      </w:pPr>
      <w:r>
        <w:rPr>
          <w:rFonts w:ascii="宋体" w:hAnsi="宋体"/>
          <w:sz w:val="24"/>
          <w:szCs w:val="20"/>
        </w:rPr>
      </w:r>
      <w:r/>
    </w:p>
    <w:p>
      <w:pPr>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ascii="宋体" w:hAnsi="宋体"/>
          <w:sz w:val="24"/>
          <w:szCs w:val="20"/>
        </w:rPr>
      </w:pPr>
      <w:r>
        <w:rPr>
          <w:rFonts w:ascii="宋体" w:hAnsi="宋体"/>
          <w:sz w:val="24"/>
          <w:szCs w:val="20"/>
        </w:rPr>
      </w:r>
      <w:r/>
    </w:p>
    <w:p>
      <w:pPr>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ascii="宋体" w:hAnsi="宋体"/>
          <w:sz w:val="24"/>
          <w:szCs w:val="20"/>
        </w:rPr>
      </w:pPr>
      <w:r>
        <w:rPr>
          <w:rFonts w:ascii="宋体" w:hAnsi="宋体"/>
          <w:sz w:val="24"/>
          <w:szCs w:val="20"/>
        </w:rPr>
      </w:r>
      <w:r/>
    </w:p>
    <w:p>
      <w:pPr>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jc w:val="left"/>
        <w:widowControl/>
        <w:rPr>
          <w:rFonts w:hint="eastAsia" w:ascii="宋体" w:hAnsi="宋体" w:cs="宋体"/>
          <w:sz w:val="24"/>
        </w:rPr>
      </w:pPr>
      <w:r>
        <w:rPr>
          <w:rFonts w:hint="eastAsia" w:ascii="宋体" w:hAnsi="宋体" w:cs="宋体"/>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b/>
          <w:sz w:val="24"/>
        </w:rPr>
        <w:outlineLvl w:val="2"/>
      </w:pPr>
      <w:r>
        <w:rPr>
          <w:rFonts w:hint="eastAsia" w:ascii="宋体" w:hAnsi="宋体"/>
          <w:b/>
          <w:sz w:val="24"/>
        </w:rPr>
      </w:r>
      <w:r/>
    </w:p>
    <w:p>
      <w:pPr>
        <w:spacing w:line="360" w:lineRule="auto"/>
        <w:rPr>
          <w:rFonts w:hint="eastAsia" w:ascii="宋体" w:hAnsi="宋体"/>
          <w:b/>
          <w:sz w:val="24"/>
        </w:rPr>
        <w:outlineLvl w:val="2"/>
      </w:pPr>
      <w:r>
        <w:rPr>
          <w:rFonts w:hint="eastAsia" w:ascii="宋体" w:hAnsi="宋体"/>
          <w:b/>
          <w:sz w:val="24"/>
        </w:rPr>
      </w:r>
      <w:r/>
    </w:p>
    <w:p>
      <w:pPr>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49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31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（或负责人）签字或盖章</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ind w:right="1560" w:firstLine="504"/>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p>
    <w:p>
      <w:pPr>
        <w:jc w:val="center"/>
        <w:rPr>
          <w:rFonts w:hint="eastAsia" w:ascii="宋体" w:hAnsi="宋体"/>
          <w:b/>
          <w:sz w:val="32"/>
          <w:szCs w:val="32"/>
        </w:rPr>
      </w:pPr>
      <w:r>
        <w:rPr>
          <w:rFonts w:hint="eastAsia" w:ascii="宋体" w:hAnsi="宋体"/>
          <w:b/>
          <w:sz w:val="32"/>
          <w:szCs w:val="32"/>
        </w:rPr>
      </w:r>
      <w:r/>
    </w:p>
    <w:p>
      <w:pPr>
        <w:pStyle w:val="1507"/>
        <w:jc w:val="center"/>
        <w:spacing w:line="480" w:lineRule="auto"/>
        <w:rPr>
          <w:rFonts w:cs="宋体"/>
          <w:sz w:val="24"/>
        </w:rPr>
      </w:pPr>
      <w:r>
        <w:rPr>
          <w:b/>
          <w:sz w:val="36"/>
          <w:szCs w:val="36"/>
        </w:rPr>
        <w:t xml:space="preserve">授权委托书</w:t>
      </w:r>
      <w:r/>
    </w:p>
    <w:p>
      <w:pPr>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ascii="宋体" w:hAnsi="宋体" w:cs="宋体"/>
          <w:sz w:val="24"/>
        </w:rPr>
      </w:pPr>
      <w:r>
        <w:rPr>
          <w:rFonts w:hint="eastAsia" w:ascii="宋体" w:hAnsi="宋体" w:cs="宋体"/>
          <w:sz w:val="24"/>
        </w:rPr>
        <w:t xml:space="preserve">投标人公章： </w:t>
      </w:r>
      <w:r/>
    </w:p>
    <w:p>
      <w:pPr>
        <w:spacing w:line="360" w:lineRule="auto"/>
        <w:rPr>
          <w:rFonts w:hint="eastAsia" w:ascii="宋体" w:hAnsi="宋体" w:cs="宋体"/>
          <w:sz w:val="24"/>
        </w:rPr>
      </w:pPr>
      <w:r>
        <w:rPr>
          <w:rFonts w:hint="eastAsia" w:ascii="宋体" w:hAnsi="宋体" w:cs="宋体"/>
          <w:sz w:val="24"/>
        </w:rPr>
        <w:t xml:space="preserve">法定代表人（或负责人）签字或盖章</w:t>
      </w:r>
      <w:r>
        <w:rPr>
          <w:rFonts w:hint="eastAsia" w:ascii="宋体" w:hAnsi="宋体"/>
          <w:sz w:val="24"/>
        </w:rPr>
        <w:t xml:space="preserve">：</w:t>
      </w:r>
      <w:r>
        <w:rPr>
          <w:rFonts w:hint="eastAsia" w:ascii="宋体" w:hAnsi="宋体" w:cs="宋体"/>
          <w:sz w:val="24"/>
        </w:rPr>
        <w:t xml:space="preserve">                     联系电话：</w:t>
      </w:r>
      <w:r/>
    </w:p>
    <w:p>
      <w:pPr>
        <w:pStyle w:val="1506"/>
        <w:spacing w:line="360" w:lineRule="auto"/>
        <w:rPr>
          <w:rFonts w:ascii="宋体" w:hAnsi="宋体" w:cs="宋体"/>
          <w:color w:val="000000"/>
        </w:rPr>
      </w:pPr>
      <w:r>
        <w:rPr>
          <w:rFonts w:hint="eastAsia" w:ascii="宋体" w:hAnsi="宋体" w:cs="宋体"/>
          <w:color w:val="000000"/>
        </w:rPr>
        <w:t xml:space="preserve">日期：</w:t>
      </w:r>
      <w:r/>
    </w:p>
    <w:p>
      <w:pPr>
        <w:spacing w:line="400" w:lineRule="exact"/>
        <w:rPr>
          <w:rFonts w:ascii="宋体" w:hAnsi="宋体" w:cs="宋体"/>
          <w:sz w:val="24"/>
        </w:rPr>
      </w:pPr>
      <w:r>
        <w:rPr>
          <w:rFonts w:ascii="宋体" w:hAnsi="宋体" w:cs="宋体"/>
          <w:sz w:val="24"/>
        </w:rPr>
      </w:r>
      <w:r/>
    </w:p>
    <w:p>
      <w:pPr>
        <w:pStyle w:val="149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Style w:val="131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pStyle w:val="1492"/>
        <w:ind w:right="-46"/>
        <w:spacing w:line="583" w:lineRule="auto"/>
        <w:rPr>
          <w:rFonts w:hint="eastAsia"/>
          <w:b/>
          <w:bCs/>
        </w:rPr>
      </w:pPr>
      <w:r>
        <w:rPr>
          <w:rFonts w:hint="eastAsia"/>
          <w:b/>
          <w:bCs/>
        </w:rPr>
        <w:t xml:space="preserve">投标人近三个月内任意一个月（自开标之日往前推）为其缴纳社保的记录</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备注：</w:t>
      </w:r>
      <w:r/>
    </w:p>
    <w:p>
      <w:pPr>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p>
    <w:p>
      <w:pPr>
        <w:pStyle w:val="1507"/>
        <w:spacing w:line="360" w:lineRule="exact"/>
        <w:rPr>
          <w:rFonts w:cs="宋体"/>
          <w:szCs w:val="21"/>
        </w:rPr>
      </w:pPr>
      <w:r>
        <w:rPr>
          <w:rFonts w:cs="宋体"/>
          <w:szCs w:val="21"/>
        </w:rPr>
        <w:t xml:space="preserve">2.投标人为自然人的情形，可不提供本《授权委托书》。</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spacing w:line="360" w:lineRule="auto"/>
        <w:rPr>
          <w:rFonts w:hint="eastAsia" w:ascii="宋体" w:hAnsi="宋体"/>
          <w:b/>
          <w:sz w:val="24"/>
        </w:rPr>
        <w:outlineLvl w:val="2"/>
      </w:pPr>
      <w:r>
        <w:rPr>
          <w:rFonts w:hint="eastAsia" w:ascii="宋体" w:hAnsi="宋体"/>
          <w:b/>
          <w:sz w:val="24"/>
        </w:rPr>
        <w:t xml:space="preserve">4  政府采购供应商信用承诺书</w:t>
      </w:r>
      <w:r>
        <w:rPr>
          <w:rFonts w:ascii="宋体" w:hAnsi="宋体"/>
          <w:b/>
          <w:sz w:val="24"/>
        </w:rP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r>
      <w:r/>
    </w:p>
    <w:p>
      <w:pPr>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p>
    <w:p>
      <w:pPr>
        <w:ind w:firstLine="640"/>
        <w:rPr>
          <w:rFonts w:ascii="宋体" w:hAnsi="宋体"/>
        </w:rPr>
      </w:pPr>
      <w:r>
        <w:rPr>
          <w:rFonts w:ascii="宋体" w:hAnsi="宋体"/>
        </w:r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51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jc w:val="left"/>
        <w:widowControl/>
        <w:rPr>
          <w:rFonts w:hint="eastAsia" w:ascii="宋体" w:hAnsi="宋体" w:cs="宋体"/>
          <w:b/>
          <w:sz w:val="24"/>
          <w:szCs w:val="20"/>
        </w:rPr>
      </w:pPr>
      <w:r>
        <w:rPr>
          <w:rFonts w:hint="eastAsia" w:ascii="宋体" w:hAnsi="宋体" w:cs="宋体"/>
          <w:b/>
          <w:sz w:val="24"/>
          <w:szCs w:val="20"/>
        </w:rPr>
      </w:r>
      <w:r/>
    </w:p>
    <w:p>
      <w:pPr>
        <w:spacing w:line="360" w:lineRule="auto"/>
        <w:rPr>
          <w:rFonts w:ascii="宋体" w:hAnsi="宋体"/>
          <w:b/>
          <w:sz w:val="24"/>
          <w:szCs w:val="20"/>
        </w:rPr>
        <w:outlineLvl w:val="2"/>
      </w:pPr>
      <w:r>
        <w:rPr>
          <w:rFonts w:hint="eastAsia" w:ascii="宋体" w:hAnsi="宋体"/>
          <w:b/>
          <w:sz w:val="24"/>
        </w:rPr>
        <w:t xml:space="preserve">5</w:t>
      </w:r>
      <w:r>
        <w:rPr>
          <w:rFonts w:ascii="宋体" w:hAnsi="宋体"/>
          <w:b/>
          <w:sz w:val="24"/>
        </w:rPr>
        <w:t xml:space="preserve">  开标一览表（实质性格式）</w:t>
      </w:r>
      <w:r/>
    </w:p>
    <w:p>
      <w:pPr>
        <w:jc w:val="center"/>
        <w:spacing w:line="360" w:lineRule="exact"/>
        <w:rPr>
          <w:rFonts w:ascii="宋体" w:hAnsi="宋体"/>
          <w:b/>
          <w:sz w:val="36"/>
          <w:szCs w:val="36"/>
        </w:rPr>
      </w:pPr>
      <w:r>
        <w:rPr>
          <w:rFonts w:hint="eastAsia" w:ascii="宋体" w:hAnsi="宋体"/>
          <w:b/>
          <w:sz w:val="36"/>
          <w:szCs w:val="36"/>
        </w:rPr>
        <w:t xml:space="preserve">开标一览表</w:t>
      </w:r>
      <w:r/>
    </w:p>
    <w:p>
      <w:pPr>
        <w:jc w:val="left"/>
        <w:spacing w:line="360" w:lineRule="auto"/>
        <w:tabs>
          <w:tab w:val="left" w:pos="1800" w:leader="none"/>
          <w:tab w:val="left" w:pos="5580" w:leader="none"/>
        </w:tabs>
        <w:rPr>
          <w:rFonts w:ascii="宋体" w:hAnsi="宋体"/>
          <w:i/>
          <w:sz w:val="24"/>
        </w:rPr>
      </w:pPr>
      <w:r>
        <w:rPr>
          <w:rFonts w:ascii="宋体" w:hAnsi="宋体"/>
          <w:i/>
          <w:sz w:val="24"/>
        </w:rPr>
      </w:r>
      <w:r/>
    </w:p>
    <w:p>
      <w:pPr>
        <w:jc w:val="left"/>
        <w:spacing w:line="360" w:lineRule="auto"/>
        <w:tabs>
          <w:tab w:val="left" w:pos="1800" w:leader="none"/>
          <w:tab w:val="left" w:pos="5580" w:leader="none"/>
        </w:tabs>
        <w:rPr>
          <w:rFonts w:ascii="宋体" w:hAnsi="宋体"/>
          <w:i/>
          <w:sz w:val="24"/>
        </w:rPr>
      </w:pPr>
      <w:r>
        <w:rPr>
          <w:rFonts w:ascii="宋体" w:hAnsi="宋体"/>
          <w:i/>
          <w:sz w:val="24"/>
        </w:rPr>
      </w:r>
      <w:r/>
    </w:p>
    <w:p>
      <w:pPr>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p>
    <w:tbl>
      <w:tblPr>
        <w:tblStyle w:val="1313"/>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jc w:val="center"/>
          <w:trHeight w:val="531"/>
        </w:trPr>
        <w:tc>
          <w:tcPr>
            <w:tcW w:w="412" w:type="dxa"/>
            <w:vAlign w:val="center"/>
            <w:vMerge w:val="restart"/>
            <w:textDirection w:val="lrTb"/>
            <w:noWrap w:val="false"/>
          </w:tcPr>
          <w:p>
            <w:pPr>
              <w:jc w:val="center"/>
              <w:tabs>
                <w:tab w:val="left" w:pos="5580" w:leader="none"/>
              </w:tabs>
              <w:rPr>
                <w:rFonts w:ascii="宋体" w:hAnsi="宋体"/>
                <w:b/>
                <w:sz w:val="24"/>
              </w:rPr>
            </w:pPr>
            <w:r>
              <w:rPr>
                <w:rFonts w:ascii="宋体" w:hAnsi="宋体"/>
                <w:b/>
                <w:sz w:val="24"/>
              </w:rPr>
              <w:t xml:space="preserve">序号</w:t>
            </w:r>
            <w:r/>
          </w:p>
        </w:tc>
        <w:tc>
          <w:tcPr>
            <w:tcW w:w="2215" w:type="dxa"/>
            <w:vAlign w:val="center"/>
            <w:vMerge w:val="restart"/>
            <w:textDirection w:val="lrTb"/>
            <w:noWrap w:val="false"/>
          </w:tcPr>
          <w:p>
            <w:pPr>
              <w:jc w:val="center"/>
              <w:tabs>
                <w:tab w:val="left" w:pos="5580" w:leader="none"/>
              </w:tabs>
              <w:rPr>
                <w:rFonts w:ascii="宋体" w:hAnsi="宋体"/>
                <w:b/>
                <w:sz w:val="24"/>
              </w:rPr>
            </w:pPr>
            <w:r>
              <w:rPr>
                <w:rFonts w:ascii="宋体" w:hAnsi="宋体"/>
                <w:b/>
                <w:sz w:val="24"/>
              </w:rPr>
              <w:t xml:space="preserve">投标人名称</w:t>
            </w:r>
            <w:r/>
          </w:p>
        </w:tc>
        <w:tc>
          <w:tcPr>
            <w:gridSpan w:val="2"/>
            <w:tcW w:w="3973" w:type="dxa"/>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投标报价</w:t>
            </w:r>
            <w:r/>
          </w:p>
        </w:tc>
      </w:tr>
      <w:tr>
        <w:trPr>
          <w:jc w:val="center"/>
          <w:trHeight w:val="674"/>
        </w:trPr>
        <w:tc>
          <w:tcPr>
            <w:tcW w:w="412" w:type="dxa"/>
            <w:vAlign w:val="center"/>
            <w:vMerge w:val="continue"/>
            <w:textDirection w:val="lrTb"/>
            <w:noWrap w:val="false"/>
          </w:tcPr>
          <w:p>
            <w:pPr>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大写</w:t>
            </w:r>
            <w:r/>
          </w:p>
        </w:tc>
        <w:tc>
          <w:tcPr>
            <w:tcW w:w="1182" w:type="dxa"/>
            <w:vAlign w:val="center"/>
            <w:textDirection w:val="lrTb"/>
            <w:noWrap w:val="false"/>
          </w:tcPr>
          <w:p>
            <w:pPr>
              <w:jc w:val="center"/>
              <w:tabs>
                <w:tab w:val="left" w:pos="5580" w:leader="none"/>
              </w:tabs>
              <w:rPr>
                <w:rFonts w:ascii="宋体" w:hAnsi="宋体"/>
                <w:b/>
                <w:sz w:val="24"/>
              </w:rPr>
            </w:pPr>
            <w:r>
              <w:rPr>
                <w:rFonts w:ascii="宋体" w:hAnsi="宋体"/>
                <w:b/>
                <w:sz w:val="24"/>
              </w:rPr>
              <w:t xml:space="preserve">小写</w:t>
            </w:r>
            <w:r/>
          </w:p>
        </w:tc>
      </w:tr>
      <w:tr>
        <w:trPr>
          <w:jc w:val="center"/>
          <w:trHeight w:val="976"/>
        </w:trPr>
        <w:tc>
          <w:tcPr>
            <w:tcW w:w="412" w:type="dxa"/>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jc w:val="center"/>
              <w:tabs>
                <w:tab w:val="left" w:pos="5580" w:leader="none"/>
              </w:tabs>
              <w:rPr>
                <w:rFonts w:ascii="宋体" w:hAnsi="宋体"/>
                <w:sz w:val="24"/>
              </w:rPr>
            </w:pPr>
            <w:r>
              <w:rPr>
                <w:rFonts w:ascii="宋体" w:hAnsi="宋体"/>
                <w:sz w:val="24"/>
              </w:rPr>
            </w:r>
            <w:r/>
          </w:p>
        </w:tc>
      </w:tr>
    </w:tbl>
    <w:p>
      <w:pPr>
        <w:jc w:val="left"/>
        <w:rPr>
          <w:rFonts w:ascii="宋体" w:hAnsi="宋体"/>
          <w:sz w:val="24"/>
        </w:rPr>
      </w:pPr>
      <w:r>
        <w:rPr>
          <w:rFonts w:ascii="宋体" w:hAnsi="宋体"/>
          <w:sz w:val="24"/>
        </w:rPr>
      </w:r>
      <w:r/>
    </w:p>
    <w:p>
      <w:pPr>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spacing w:before="25" w:after="25" w:line="360" w:lineRule="auto"/>
        <w:rPr>
          <w:rFonts w:ascii="宋体" w:hAnsi="宋体"/>
          <w:sz w:val="24"/>
          <w:lang w:val="zh-CN"/>
        </w:rPr>
      </w:pPr>
      <w:r>
        <w:rPr>
          <w:rFonts w:ascii="宋体" w:hAnsi="宋体"/>
          <w:sz w:val="24"/>
          <w:lang w:val="zh-CN"/>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ascii="宋体" w:hAnsi="宋体"/>
          <w:sz w:val="24"/>
          <w:lang w:val="zh-CN"/>
        </w:rPr>
      </w:pPr>
      <w:r>
        <w:rPr>
          <w:rFonts w:ascii="宋体" w:hAnsi="宋体"/>
          <w:sz w:val="24"/>
          <w:szCs w:val="20"/>
        </w:rPr>
        <w:t xml:space="preserve">日期：_____年______月______日   </w:t>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widowControl/>
        <w:rPr>
          <w:rFonts w:hint="eastAsia" w:ascii="宋体" w:hAnsi="宋体" w:cs="宋体"/>
          <w:b/>
          <w:sz w:val="24"/>
          <w:szCs w:val="20"/>
        </w:rPr>
      </w:pPr>
      <w:r>
        <w:rPr>
          <w:rFonts w:hint="eastAsia" w:ascii="宋体" w:hAnsi="宋体" w:cs="宋体"/>
          <w:b/>
          <w:sz w:val="24"/>
          <w:szCs w:val="20"/>
        </w:rPr>
      </w:r>
      <w:r/>
    </w:p>
    <w:p>
      <w:pPr>
        <w:jc w:val="left"/>
        <w:spacing w:line="360" w:lineRule="auto"/>
        <w:tabs>
          <w:tab w:val="left" w:pos="5580" w:leader="none"/>
        </w:tabs>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sz w:val="24"/>
        </w:rPr>
      </w:pPr>
      <w:r>
        <w:rPr>
          <w:rFonts w:hint="eastAsia" w:ascii="宋体" w:hAnsi="宋体" w:cs="宋体"/>
          <w:sz w:val="24"/>
        </w:rPr>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
    </w:p>
    <w:p>
      <w:pPr>
        <w:jc w:val="left"/>
        <w:widowControl/>
        <w:rPr>
          <w:color w:val="000000"/>
          <w:sz w:val="24"/>
          <w:szCs w:val="20"/>
        </w:rPr>
      </w:pPr>
      <w:r/>
      <w:bookmarkStart w:id="777" w:name="_Toc226965749"/>
      <w:r/>
      <w:bookmarkStart w:id="778" w:name="_Toc195842924"/>
      <w:r/>
      <w:bookmarkStart w:id="779" w:name="_Toc142311060"/>
      <w:r/>
      <w:bookmarkStart w:id="780" w:name="_Toc226337255"/>
      <w:r/>
      <w:bookmarkStart w:id="781" w:name="_Toc305158901"/>
      <w:r/>
      <w:bookmarkStart w:id="782" w:name="_Toc127151558"/>
      <w:r/>
      <w:bookmarkStart w:id="783" w:name="_Toc305158827"/>
      <w:r/>
      <w:bookmarkStart w:id="784" w:name="_Toc226309803"/>
      <w:r/>
      <w:bookmarkStart w:id="785" w:name="_Toc264969249"/>
      <w:r/>
      <w:bookmarkStart w:id="786" w:name="_Toc265228397"/>
      <w:r/>
      <w:bookmarkStart w:id="787" w:name="_Toc150774763"/>
      <w:r/>
      <w:bookmarkStart w:id="788" w:name="_Toc226965832"/>
      <w:r/>
      <w:bookmarkStart w:id="789" w:name="_Toc150480796"/>
      <w:r/>
      <w:r/>
    </w:p>
    <w:p>
      <w:pPr>
        <w:spacing w:line="360" w:lineRule="auto"/>
        <w:rPr>
          <w:b/>
          <w:bCs/>
          <w:color w:val="000000"/>
          <w:sz w:val="24"/>
          <w:szCs w:val="20"/>
          <w:highlight w:val="none"/>
        </w:rPr>
        <w:outlineLvl w:val="2"/>
      </w:pPr>
      <w:r>
        <w:rPr>
          <w:rFonts w:hint="eastAsia"/>
          <w:b/>
          <w:bCs/>
          <w:color w:val="000000"/>
          <w:sz w:val="24"/>
          <w:szCs w:val="20"/>
          <w:highlight w:val="none"/>
        </w:rPr>
        <w:t xml:space="preserve">6</w:t>
      </w:r>
      <w:r>
        <w:rPr>
          <w:b/>
          <w:bCs/>
          <w:color w:val="000000"/>
          <w:sz w:val="24"/>
          <w:szCs w:val="20"/>
          <w:highlight w:val="none"/>
        </w:rPr>
        <w:t xml:space="preserve"> 投标分项报价表</w:t>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rFonts w:hint="eastAsia"/>
          <w:b/>
          <w:color w:val="000000"/>
          <w:sz w:val="36"/>
          <w:szCs w:val="36"/>
          <w:highlight w:val="none"/>
        </w:rPr>
        <w:t xml:space="preserve">投标分项报价表</w:t>
      </w:r>
      <w:r/>
    </w:p>
    <w:p>
      <w:pPr>
        <w:jc w:val="center"/>
        <w:spacing w:line="260" w:lineRule="exact"/>
        <w:rPr>
          <w:color w:val="000000"/>
          <w:sz w:val="36"/>
          <w:szCs w:val="36"/>
          <w:highlight w:val="none"/>
        </w:rPr>
      </w:pPr>
      <w:r>
        <w:rPr>
          <w:color w:val="000000"/>
          <w:sz w:val="36"/>
          <w:szCs w:val="36"/>
          <w:highlight w:val="none"/>
        </w:rPr>
      </w:r>
      <w:r/>
    </w:p>
    <w:p>
      <w:pPr>
        <w:tabs>
          <w:tab w:val="left" w:pos="1800" w:leader="none"/>
          <w:tab w:val="left" w:pos="5580" w:leader="none"/>
        </w:tabs>
        <w:rPr>
          <w:rFonts w:hint="eastAsia"/>
          <w:color w:val="000000"/>
          <w:sz w:val="24"/>
          <w:highlight w:val="none"/>
        </w:rPr>
      </w:pPr>
      <w:r>
        <w:rPr>
          <w:rFonts w:hint="eastAsia"/>
          <w:color w:val="000000"/>
          <w:sz w:val="24"/>
          <w:highlight w:val="none"/>
        </w:rPr>
      </w:r>
      <w:r/>
    </w:p>
    <w:p>
      <w:pPr>
        <w:ind w:firstLine="480"/>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p>
    <w:tbl>
      <w:tblPr>
        <w:tblStyle w:val="1313"/>
        <w:tblW w:w="8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bookmarkStart w:id="790" w:name="_Toc264969252"/>
            <w:r/>
            <w:bookmarkStart w:id="791" w:name="_Toc226337258"/>
            <w:r/>
            <w:bookmarkStart w:id="792" w:name="_Toc150480798"/>
            <w:r/>
            <w:bookmarkStart w:id="793" w:name="_Toc305158904"/>
            <w:r/>
            <w:bookmarkStart w:id="794" w:name="_Toc265228400"/>
            <w:r/>
            <w:bookmarkStart w:id="795" w:name="_Toc195842927"/>
            <w:r/>
            <w:bookmarkStart w:id="796" w:name="_Toc142311062"/>
            <w:r/>
            <w:bookmarkStart w:id="797" w:name="_Toc305158830"/>
            <w:r/>
            <w:bookmarkStart w:id="798" w:name="_Toc226309806"/>
            <w:r/>
            <w:bookmarkStart w:id="799" w:name="_Toc150774765"/>
            <w:r/>
            <w:bookmarkStart w:id="800" w:name="_Toc226965835"/>
            <w:r/>
            <w:bookmarkStart w:id="801" w:name="_Toc127151562"/>
            <w:r/>
            <w:bookmarkStart w:id="802" w:name="_Toc226965752"/>
            <w:r/>
            <w:bookmarkStart w:id="803" w:name="_Toc226309805"/>
            <w:r/>
            <w:bookmarkStart w:id="804" w:name="_Toc264969251"/>
            <w:r/>
            <w:bookmarkStart w:id="805" w:name="_Toc305158829"/>
            <w:r/>
            <w:bookmarkStart w:id="806" w:name="_Toc305158903"/>
            <w:r/>
            <w:bookmarkStart w:id="807" w:name="_Toc150480797"/>
            <w:r/>
            <w:bookmarkStart w:id="808" w:name="_Toc226337257"/>
            <w:r/>
            <w:bookmarkStart w:id="809" w:name="_Toc150774764"/>
            <w:r/>
            <w:bookmarkStart w:id="810" w:name="_Toc142311061"/>
            <w:r/>
            <w:bookmarkStart w:id="811" w:name="_Toc195842926"/>
            <w:r/>
            <w:bookmarkStart w:id="812" w:name="_Toc265228399"/>
            <w:r/>
            <w:bookmarkStart w:id="813" w:name="_Toc226965834"/>
            <w:r/>
            <w:bookmarkStart w:id="814" w:name="_Toc226965751"/>
            <w:r/>
            <w:bookmarkStart w:id="815" w:name="_Toc127151561"/>
            <w:r>
              <w:rPr>
                <w:rFonts w:hint="eastAsia" w:ascii="宋体" w:hAnsi="宋体" w:eastAsia="宋体" w:cs="Times New Roman"/>
                <w:sz w:val="24"/>
                <w:szCs w:val="24"/>
                <w:highlight w:val="none"/>
              </w:rPr>
              <w:t xml:space="preserve">序号</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服务名称</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服务内容</w:t>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单位</w:t>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数量</w:t>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单价</w:t>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127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p>
        </w:tc>
        <w:tc>
          <w:tcPr>
            <w:tcW w:w="2139"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24"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777"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992"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98" w:type="dxa"/>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cantSplit/>
          <w:trHeight w:val="734"/>
        </w:trPr>
        <w:tc>
          <w:tcPr>
            <w:gridSpan w:val="6"/>
            <w:tcW w:w="7054" w:type="dxa"/>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投标总报价（人民币：元）</w:t>
            </w:r>
            <w:r/>
          </w:p>
        </w:tc>
        <w:tc>
          <w:tcPr>
            <w:tcW w:w="1798" w:type="dxa"/>
            <w:vAlign w:val="top"/>
            <w:textDirection w:val="lrTb"/>
            <w:noWrap w:val="false"/>
          </w:tcPr>
          <w:p>
            <w:pP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                                </w:t>
      </w:r>
      <w:r/>
    </w:p>
    <w:p>
      <w:pPr>
        <w:jc w:val="left"/>
        <w:tabs>
          <w:tab w:val="left" w:pos="1800" w:leader="none"/>
          <w:tab w:val="left" w:pos="5580"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备注：1.投标报价采用总承包方式，“投标总报价”应包括采购人需求的服务为完成本项目所发生的税费及为完成整个项目所产生的其它所有费用，招标文件另有规定的除外。</w:t>
      </w:r>
      <w:r/>
    </w:p>
    <w:p>
      <w:pPr>
        <w:ind w:firstLine="720"/>
        <w:jc w:val="left"/>
        <w:tabs>
          <w:tab w:val="left" w:pos="1800" w:leader="none"/>
          <w:tab w:val="left" w:pos="5580" w:leader="none"/>
        </w:tabs>
        <w:rPr>
          <w:rFonts w:hint="eastAsia"/>
          <w:color w:val="000000"/>
          <w:sz w:val="24"/>
          <w:highlight w:val="none"/>
        </w:rPr>
      </w:pPr>
      <w:r>
        <w:rPr>
          <w:rFonts w:hint="eastAsia" w:ascii="宋体" w:hAnsi="宋体" w:eastAsia="宋体" w:cs="Times New Roman"/>
          <w:sz w:val="24"/>
          <w:szCs w:val="24"/>
          <w:highlight w:val="none"/>
        </w:rPr>
        <w:t xml:space="preserve">2. “投标分项报价表”中“投标总报价”数额应当与“开标一览表”中“投标总报价”数额一致。</w:t>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b/>
          <w:bCs/>
          <w:color w:val="000000"/>
          <w:sz w:val="24"/>
          <w:szCs w:val="20"/>
        </w:rPr>
        <w:outlineLvl w:val="2"/>
      </w:pPr>
      <w:r>
        <w:rPr>
          <w:color w:val="000000"/>
          <w:sz w:val="24"/>
          <w:szCs w:val="20"/>
        </w:rPr>
        <w:br w:type="page" w:clear="all"/>
      </w:r>
      <w:r>
        <w:rPr>
          <w:rFonts w:hint="eastAsia"/>
          <w:b/>
          <w:bCs/>
          <w:color w:val="000000"/>
          <w:sz w:val="24"/>
          <w:szCs w:val="20"/>
        </w:rPr>
        <w:t xml:space="preserve">7</w:t>
      </w:r>
      <w:r>
        <w:rPr>
          <w:b/>
          <w:bCs/>
          <w:color w:val="000000"/>
          <w:sz w:val="24"/>
          <w:szCs w:val="20"/>
        </w:rPr>
        <w:t xml:space="preserve"> 合同条款偏离表</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b/>
          <w:bCs/>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13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b/>
          <w:bCs/>
          <w:color w:val="000000"/>
          <w:sz w:val="24"/>
          <w:szCs w:val="20"/>
        </w:rPr>
        <w:outlineLvl w:val="2"/>
      </w:pPr>
      <w:r>
        <w:rPr>
          <w:color w:val="000000"/>
          <w:sz w:val="24"/>
          <w:szCs w:val="20"/>
        </w:rPr>
        <w:br w:type="page" w:clear="all"/>
      </w:r>
      <w:r>
        <w:rPr>
          <w:rFonts w:hint="eastAsia"/>
          <w:b/>
          <w:bCs/>
          <w:color w:val="000000"/>
          <w:sz w:val="24"/>
          <w:szCs w:val="20"/>
        </w:rPr>
        <w:t xml:space="preserve">8</w:t>
      </w:r>
      <w:r>
        <w:rPr>
          <w:b/>
          <w:bCs/>
          <w:color w:val="000000"/>
          <w:sz w:val="24"/>
          <w:szCs w:val="20"/>
        </w:rPr>
        <w:t xml:space="preserve">  </w:t>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b/>
          <w:bCs/>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131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ascii="宋体" w:hAnsi="宋体"/>
          <w:b/>
          <w:sz w:val="24"/>
          <w:szCs w:val="20"/>
        </w:rPr>
        <w:outlineLvl w:val="2"/>
      </w:pPr>
      <w:r>
        <w:rPr>
          <w:color w:val="000000"/>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spacing w:line="360" w:lineRule="auto"/>
        <w:tabs>
          <w:tab w:val="left" w:pos="5580" w:leader="none"/>
        </w:tabs>
        <w:rPr>
          <w:rFonts w:ascii="宋体" w:hAnsi="宋体"/>
          <w:sz w:val="24"/>
        </w:rPr>
      </w:pPr>
      <w:r>
        <w:rPr>
          <w:rFonts w:hint="eastAsia" w:ascii="宋体" w:hAnsi="宋体"/>
          <w:sz w:val="24"/>
        </w:rPr>
        <w:t xml:space="preserve">说明：</w:t>
      </w:r>
      <w:r/>
    </w:p>
    <w:p>
      <w:pPr>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50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2"/>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numPr>
          <w:ilvl w:val="0"/>
          <w:numId w:val="12"/>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ind w:left="860"/>
        <w:jc w:val="left"/>
        <w:spacing w:line="360" w:lineRule="auto"/>
        <w:rPr>
          <w:rFonts w:ascii="宋体" w:hAnsi="宋体"/>
          <w:sz w:val="24"/>
        </w:rPr>
      </w:pPr>
      <w:r>
        <w:rPr>
          <w:rFonts w:ascii="宋体" w:hAnsi="宋体"/>
          <w:sz w:val="24"/>
        </w:rPr>
        <w:t xml:space="preserve">……</w:t>
      </w:r>
      <w:r/>
    </w:p>
    <w:p>
      <w:pPr>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p>
    <w:p>
      <w:pPr>
        <w:ind w:firstLine="504"/>
        <w:spacing w:line="360" w:lineRule="auto"/>
        <w:rPr>
          <w:rFonts w:ascii="宋体" w:hAnsi="宋体"/>
          <w:spacing w:val="6"/>
          <w:sz w:val="24"/>
        </w:rPr>
      </w:pPr>
      <w:r>
        <w:rPr>
          <w:rFonts w:ascii="宋体" w:hAnsi="宋体"/>
          <w:spacing w:val="6"/>
          <w:sz w:val="24"/>
        </w:rPr>
      </w:r>
      <w:r/>
    </w:p>
    <w:p>
      <w:pPr>
        <w:ind w:right="360" w:firstLine="480"/>
        <w:jc w:val="right"/>
        <w:spacing w:line="360" w:lineRule="auto"/>
        <w:rPr>
          <w:rFonts w:ascii="宋体" w:hAnsi="宋体"/>
          <w:sz w:val="24"/>
        </w:rPr>
      </w:pPr>
      <w:r>
        <w:rPr>
          <w:rFonts w:ascii="宋体" w:hAnsi="宋体"/>
          <w:sz w:val="24"/>
        </w:rPr>
      </w:r>
      <w:r/>
    </w:p>
    <w:p>
      <w:pPr>
        <w:ind w:right="360" w:firstLine="480"/>
        <w:jc w:val="right"/>
        <w:spacing w:line="360" w:lineRule="auto"/>
        <w:rPr>
          <w:rFonts w:ascii="宋体" w:hAnsi="宋体"/>
          <w:sz w:val="24"/>
        </w:rPr>
      </w:pPr>
      <w:r>
        <w:rPr>
          <w:rFonts w:ascii="宋体" w:hAnsi="宋体"/>
          <w:sz w:val="24"/>
        </w:rPr>
        <w:t xml:space="preserve">企业名称（加盖公章）：________</w:t>
      </w:r>
      <w:r/>
    </w:p>
    <w:p>
      <w:pPr>
        <w:ind w:right="360" w:firstLine="480"/>
        <w:jc w:val="right"/>
        <w:spacing w:line="360" w:lineRule="auto"/>
        <w:rPr>
          <w:rFonts w:ascii="宋体" w:hAnsi="宋体"/>
          <w:sz w:val="24"/>
        </w:rPr>
      </w:pPr>
      <w:r>
        <w:rPr>
          <w:rFonts w:ascii="宋体" w:hAnsi="宋体"/>
          <w:sz w:val="24"/>
        </w:rPr>
        <w:t xml:space="preserve">日 期：________</w:t>
      </w:r>
      <w:r/>
    </w:p>
    <w:p>
      <w:pPr>
        <w:ind w:right="360" w:firstLine="480"/>
        <w:jc w:val="right"/>
        <w:spacing w:line="360" w:lineRule="auto"/>
        <w:rPr>
          <w:rFonts w:ascii="宋体" w:hAnsi="宋体"/>
          <w:sz w:val="24"/>
        </w:rPr>
      </w:pPr>
      <w:r>
        <w:rPr>
          <w:rFonts w:ascii="宋体" w:hAnsi="宋体"/>
          <w:sz w:val="24"/>
        </w:rPr>
      </w:r>
      <w:r/>
    </w:p>
    <w:p>
      <w:pPr>
        <w:jc w:val="left"/>
        <w:rPr>
          <w:rFonts w:ascii="宋体" w:hAnsi="宋体"/>
          <w:sz w:val="24"/>
          <w:szCs w:val="21"/>
        </w:rPr>
      </w:pPr>
      <w:r>
        <w:rPr>
          <w:rFonts w:ascii="宋体" w:hAnsi="宋体"/>
          <w:sz w:val="24"/>
          <w:szCs w:val="21"/>
        </w:rPr>
      </w:r>
      <w:r/>
    </w:p>
    <w:tbl>
      <w:tblPr>
        <w:tblStyle w:val="131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jc w:val="left"/>
        <w:rPr>
          <w:rFonts w:ascii="宋体" w:hAnsi="宋体"/>
          <w:szCs w:val="21"/>
          <w:vertAlign w:val="superscript"/>
        </w:rPr>
      </w:pPr>
      <w:r>
        <w:rPr>
          <w:rFonts w:ascii="宋体" w:hAnsi="宋体"/>
          <w:szCs w:val="21"/>
          <w:vertAlign w:val="superscript"/>
        </w:rPr>
      </w:r>
      <w:r/>
    </w:p>
    <w:p>
      <w:pPr>
        <w:ind w:right="360" w:firstLine="480"/>
        <w:jc w:val="right"/>
        <w:spacing w:line="360" w:lineRule="auto"/>
        <w:rPr>
          <w:rFonts w:ascii="宋体" w:hAnsi="宋体"/>
          <w:sz w:val="24"/>
        </w:rPr>
      </w:pPr>
      <w:r>
        <w:rPr>
          <w:rFonts w:ascii="宋体" w:hAnsi="宋体"/>
          <w:sz w:val="24"/>
        </w:rPr>
      </w:r>
      <w:r/>
    </w:p>
    <w:p>
      <w:pPr>
        <w:ind w:right="360" w:firstLine="480"/>
        <w:jc w:val="right"/>
        <w:spacing w:line="360" w:lineRule="auto"/>
        <w:rPr>
          <w:rFonts w:ascii="宋体" w:hAnsi="宋体"/>
          <w:sz w:val="24"/>
        </w:rPr>
      </w:pPr>
      <w:r>
        <w:rPr>
          <w:rFonts w:ascii="宋体" w:hAnsi="宋体"/>
          <w:sz w:val="24"/>
        </w:rPr>
      </w:r>
      <w:r/>
    </w:p>
    <w:p>
      <w:pPr>
        <w:spacing w:line="360" w:lineRule="auto"/>
        <w:rPr>
          <w:rFonts w:ascii="宋体" w:hAnsi="宋体"/>
          <w:sz w:val="24"/>
          <w:szCs w:val="20"/>
        </w:rPr>
        <w:outlineLvl w:val="2"/>
      </w:pPr>
      <w:r>
        <w:rPr>
          <w:rFonts w:ascii="宋体" w:hAnsi="宋体"/>
          <w:sz w:val="24"/>
          <w:szCs w:val="20"/>
        </w:rPr>
        <w:br w:type="page" w:clear="all"/>
      </w:r>
      <w:r/>
    </w:p>
    <w:p>
      <w:pPr>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rPr>
          <w:color w:val="000000"/>
          <w:sz w:val="24"/>
          <w:szCs w:val="20"/>
        </w:rPr>
      </w:pPr>
      <w:r>
        <w:rPr>
          <w:color w:val="000000"/>
          <w:sz w:val="24"/>
          <w:szCs w:val="20"/>
        </w:rPr>
      </w:r>
      <w:r/>
    </w:p>
    <w:p>
      <w:pPr>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联合体协议（参考格式）</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自愿组成联合体，参加常州国家高新技术产业开发区（新北区）农业农村局组织实施的采购编号为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为牵头单位（牵头单位必须为联合体成员）进行投标，并按照招标文件的规定提交资格文件。</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在本次投标过程中，牵头单位的法定代表人（负责人）或授权代理人根据采购文件规定及投标内容而对采购人和采购代理机构所做的任何合法承诺，包括书面澄清及响应等均对联合投标各方产生约束力。如果中标并签订合同，则联合投标各方将共同履行对采购人或采购代理机构所负有的全部义务，并就采购合同约定的事项对采购人承担连带责任。</w:t>
      </w:r>
      <w:r/>
    </w:p>
    <w:p>
      <w:pPr>
        <w:ind w:firstLine="645"/>
        <w:spacing w:line="560" w:lineRule="exact"/>
        <w:rPr>
          <w:rFonts w:ascii="宋体" w:hAnsi="宋体"/>
          <w:sz w:val="24"/>
          <w:szCs w:val="21"/>
        </w:rPr>
      </w:pPr>
      <w:r>
        <w:rPr>
          <w:rFonts w:hint="eastAsia" w:ascii="宋体" w:hAnsi="宋体"/>
          <w:sz w:val="24"/>
          <w:szCs w:val="21"/>
        </w:rPr>
        <w:t xml:space="preserve">3、在本次联合投标中，若我们联合中标、成交，牵头单位（供应商单位</w:t>
      </w:r>
      <w:r>
        <w:rPr>
          <w:rFonts w:ascii="宋体" w:hAnsi="宋体"/>
          <w:sz w:val="24"/>
          <w:szCs w:val="21"/>
        </w:rPr>
        <w:t xml:space="preserve">1</w:t>
      </w:r>
      <w:r>
        <w:rPr>
          <w:rFonts w:hint="eastAsia" w:ascii="宋体" w:hAnsi="宋体"/>
          <w:sz w:val="24"/>
          <w:szCs w:val="21"/>
        </w:rPr>
        <w:t xml:space="preserve">全称）承担的工作和义务为：投标、承保、保全、理赔等保险服务；其他各方（供应商单位2等全称）承担的工作和义务为：配合牵头单位完成投标、承保、保全、理赔等保险服务工作。</w:t>
      </w:r>
      <w:r/>
    </w:p>
    <w:p>
      <w:pPr>
        <w:ind w:firstLine="645"/>
        <w:spacing w:line="560" w:lineRule="exact"/>
        <w:rPr>
          <w:rFonts w:ascii="宋体" w:hAnsi="宋体"/>
          <w:sz w:val="24"/>
          <w:szCs w:val="21"/>
        </w:rPr>
      </w:pPr>
      <w:r>
        <w:rPr>
          <w:rFonts w:hint="eastAsia" w:ascii="宋体" w:hAnsi="宋体"/>
          <w:sz w:val="24"/>
          <w:szCs w:val="21"/>
        </w:rPr>
        <w:t xml:space="preserve">4、牵头单位（供应商单位</w:t>
      </w:r>
      <w:r>
        <w:rPr>
          <w:rFonts w:ascii="宋体" w:hAnsi="宋体"/>
          <w:sz w:val="24"/>
          <w:szCs w:val="21"/>
        </w:rPr>
        <w:t xml:space="preserve">1</w:t>
      </w:r>
      <w:r>
        <w:rPr>
          <w:rFonts w:hint="eastAsia" w:ascii="宋体" w:hAnsi="宋体"/>
          <w:sz w:val="24"/>
          <w:szCs w:val="21"/>
        </w:rPr>
        <w:t xml:space="preserve">全称）承保份额：         ；其他方（供应商单位2全称）承保份额：        ；其他方（供应商单位3全称）承保份额：   ......</w:t>
      </w:r>
      <w:r/>
    </w:p>
    <w:p>
      <w:pPr>
        <w:ind w:firstLine="645"/>
        <w:spacing w:line="560" w:lineRule="exact"/>
        <w:rPr>
          <w:rFonts w:hint="eastAsia" w:ascii="宋体" w:hAnsi="宋体"/>
          <w:sz w:val="24"/>
          <w:szCs w:val="21"/>
        </w:rPr>
      </w:pPr>
      <w:r>
        <w:rPr>
          <w:rFonts w:hint="eastAsia" w:ascii="宋体" w:hAnsi="宋体"/>
          <w:sz w:val="24"/>
          <w:szCs w:val="21"/>
        </w:rPr>
        <w:t xml:space="preserve">5、本协议提交采购人后，联合投标各方不得以任何形式对上述实质内容进行修改或撤销。</w:t>
      </w:r>
      <w:r/>
    </w:p>
    <w:p>
      <w:pPr>
        <w:ind w:firstLine="645"/>
        <w:spacing w:line="560" w:lineRule="exact"/>
        <w:rPr>
          <w:rFonts w:ascii="宋体" w:hAnsi="宋体"/>
          <w:sz w:val="24"/>
          <w:szCs w:val="21"/>
        </w:rPr>
      </w:pPr>
      <w:r>
        <w:rPr>
          <w:rFonts w:hint="eastAsia" w:ascii="宋体" w:hAnsi="宋体"/>
          <w:sz w:val="24"/>
          <w:szCs w:val="21"/>
        </w:rPr>
        <w:t xml:space="preserve">6、本协议一式</w:t>
      </w:r>
      <w:r>
        <w:rPr>
          <w:rFonts w:hint="eastAsia" w:ascii="宋体" w:hAnsi="宋体"/>
          <w:sz w:val="24"/>
          <w:szCs w:val="21"/>
          <w:u w:val="single"/>
        </w:rPr>
        <w:t xml:space="preserve">    </w:t>
      </w:r>
      <w:r>
        <w:rPr>
          <w:rFonts w:hint="eastAsia" w:ascii="宋体" w:hAnsi="宋体"/>
          <w:sz w:val="24"/>
          <w:szCs w:val="21"/>
        </w:rPr>
        <w:t xml:space="preserve">份，签约各方各执一份，交采购代理机构、采购人各一份。</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color w:val="000000"/>
          <w:sz w:val="24"/>
          <w:szCs w:val="20"/>
        </w:rPr>
      </w:pPr>
      <w:r>
        <w:rPr>
          <w:rFonts w:ascii="宋体" w:hAnsi="宋体"/>
          <w:sz w:val="24"/>
          <w:szCs w:val="21"/>
        </w:rPr>
        <w:t xml:space="preserve">                   </w:t>
      </w:r>
      <w:r>
        <w:rPr>
          <w:rFonts w:hint="eastAsia" w:ascii="宋体" w:hAnsi="宋体"/>
          <w:sz w:val="24"/>
          <w:szCs w:val="21"/>
        </w:rPr>
        <w:t xml:space="preserve">                     日期：</w:t>
      </w:r>
      <w:r/>
    </w:p>
    <w:p>
      <w:pPr>
        <w:rPr>
          <w:color w:val="000000"/>
          <w:sz w:val="24"/>
          <w:szCs w:val="20"/>
        </w:rPr>
      </w:pPr>
      <w:r>
        <w:rPr>
          <w:color w:val="000000"/>
          <w:sz w:val="24"/>
          <w:szCs w:val="20"/>
        </w:rPr>
      </w:r>
      <w:r/>
    </w:p>
    <w:p>
      <w:pPr>
        <w:rPr>
          <w:rFonts w:hint="eastAsia" w:ascii="宋体" w:hAnsi="宋体" w:cs="宋体"/>
          <w:b/>
          <w:sz w:val="24"/>
          <w:szCs w:val="20"/>
        </w:rPr>
      </w:pPr>
      <w:r>
        <w:rPr>
          <w:rFonts w:hint="eastAsia" w:ascii="宋体" w:hAnsi="宋体" w:cs="宋体"/>
          <w:b/>
          <w:sz w:val="24"/>
          <w:szCs w:val="20"/>
        </w:rPr>
        <w:t xml:space="preserve">10 项目实施方案等，包括但不限于如下主题：</w:t>
      </w:r>
      <w:r/>
    </w:p>
    <w:p>
      <w:pPr>
        <w:ind w:firstLine="480"/>
        <w:spacing w:line="560" w:lineRule="exact"/>
        <w:rPr>
          <w:color w:val="000000"/>
          <w:sz w:val="24"/>
          <w:szCs w:val="20"/>
        </w:rPr>
      </w:pPr>
      <w:r>
        <w:rPr>
          <w:rFonts w:hint="eastAsia"/>
          <w:color w:val="000000"/>
          <w:sz w:val="24"/>
          <w:szCs w:val="20"/>
        </w:rPr>
        <w:t xml:space="preserve">1）承保服务方案；</w:t>
      </w:r>
      <w:r/>
    </w:p>
    <w:p>
      <w:pPr>
        <w:ind w:firstLine="480"/>
        <w:spacing w:line="560" w:lineRule="exact"/>
        <w:rPr>
          <w:color w:val="000000"/>
          <w:sz w:val="24"/>
          <w:szCs w:val="20"/>
        </w:rPr>
      </w:pPr>
      <w:r>
        <w:rPr>
          <w:rFonts w:hint="eastAsia"/>
          <w:color w:val="000000"/>
          <w:sz w:val="24"/>
          <w:szCs w:val="20"/>
        </w:rPr>
        <w:t xml:space="preserve">2）理赔服务方案；</w:t>
      </w:r>
      <w:r/>
    </w:p>
    <w:p>
      <w:pPr>
        <w:ind w:firstLine="480"/>
        <w:spacing w:line="560" w:lineRule="exact"/>
        <w:rPr>
          <w:color w:val="000000"/>
          <w:sz w:val="24"/>
          <w:szCs w:val="20"/>
        </w:rPr>
      </w:pPr>
      <w:r>
        <w:rPr>
          <w:rFonts w:hint="eastAsia"/>
          <w:color w:val="000000"/>
          <w:sz w:val="24"/>
          <w:szCs w:val="20"/>
        </w:rPr>
        <w:t xml:space="preserve">3）服务保障方案；</w:t>
      </w:r>
      <w:r/>
    </w:p>
    <w:p>
      <w:pPr>
        <w:ind w:firstLine="480"/>
        <w:spacing w:line="560" w:lineRule="exact"/>
        <w:rPr>
          <w:color w:val="000000"/>
          <w:sz w:val="24"/>
          <w:szCs w:val="20"/>
        </w:rPr>
      </w:pPr>
      <w:r>
        <w:rPr>
          <w:rFonts w:hint="eastAsia"/>
          <w:color w:val="000000"/>
          <w:sz w:val="24"/>
          <w:szCs w:val="20"/>
        </w:rPr>
        <w:t xml:space="preserve">4）服务团队方案；</w:t>
      </w:r>
      <w:r/>
    </w:p>
    <w:p>
      <w:pPr>
        <w:ind w:firstLine="480"/>
        <w:spacing w:line="560" w:lineRule="exact"/>
        <w:rPr>
          <w:rFonts w:hint="eastAsia"/>
          <w:color w:val="000000"/>
          <w:sz w:val="24"/>
          <w:szCs w:val="20"/>
        </w:rPr>
      </w:pPr>
      <w:r>
        <w:rPr>
          <w:rFonts w:hint="eastAsia"/>
          <w:color w:val="000000"/>
          <w:sz w:val="24"/>
          <w:szCs w:val="20"/>
        </w:rPr>
        <w:t xml:space="preserve">5）诚信履约；</w:t>
      </w:r>
      <w:r/>
    </w:p>
    <w:p>
      <w:pPr>
        <w:ind w:firstLine="480"/>
        <w:spacing w:line="560" w:lineRule="exact"/>
        <w:rPr>
          <w:rFonts w:hint="eastAsia"/>
          <w:color w:val="000000"/>
          <w:sz w:val="24"/>
          <w:szCs w:val="20"/>
        </w:rPr>
      </w:pPr>
      <w:r>
        <w:rPr>
          <w:rFonts w:hint="eastAsia"/>
          <w:color w:val="000000"/>
          <w:sz w:val="24"/>
          <w:szCs w:val="20"/>
        </w:rPr>
        <w:t xml:space="preserve">6）其他；</w:t>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rPr>
          <w:rFonts w:hint="eastAsia" w:ascii="宋体" w:hAnsi="宋体" w:cs="宋体"/>
          <w:b/>
          <w:sz w:val="24"/>
          <w:szCs w:val="20"/>
        </w:rPr>
      </w:pPr>
      <w:r>
        <w:rPr>
          <w:rFonts w:hint="eastAsia" w:ascii="宋体" w:hAnsi="宋体" w:cs="宋体"/>
          <w:b/>
          <w:sz w:val="24"/>
          <w:szCs w:val="20"/>
        </w:rPr>
        <w:t xml:space="preserve">11  参加本项目人员一览表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31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W w:w="945"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szCs w:val="20"/>
        </w:rPr>
      </w:pPr>
      <w:r>
        <w:rPr>
          <w:rFonts w:hint="eastAsia" w:ascii="宋体" w:hAnsi="宋体" w:cs="宋体"/>
          <w:sz w:val="24"/>
          <w:szCs w:val="20"/>
        </w:rPr>
        <w:t xml:space="preserve">日期：_____年______月______日   </w:t>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szCs w:val="20"/>
        </w:rPr>
      </w:pPr>
      <w:r>
        <w:rPr>
          <w:rFonts w:hint="eastAsia" w:ascii="宋体" w:hAnsi="宋体" w:cs="宋体"/>
          <w:sz w:val="24"/>
          <w:szCs w:val="20"/>
        </w:rPr>
      </w:r>
      <w:r/>
    </w:p>
    <w:p>
      <w:pPr>
        <w:rPr>
          <w:rFonts w:hint="eastAsia" w:ascii="宋体" w:hAnsi="宋体" w:cs="宋体"/>
          <w:color w:val="000000"/>
          <w:sz w:val="24"/>
          <w:szCs w:val="20"/>
        </w:rPr>
      </w:pPr>
      <w:r>
        <w:rPr>
          <w:rFonts w:hint="eastAsia" w:ascii="宋体" w:hAnsi="宋体" w:cs="宋体"/>
          <w:color w:val="000000"/>
          <w:sz w:val="24"/>
          <w:szCs w:val="20"/>
        </w:rPr>
        <w:t xml:space="preserve">12 相关业绩案例一览表</w:t>
      </w:r>
      <w:r/>
    </w:p>
    <w:p>
      <w:pPr>
        <w:rPr>
          <w:rFonts w:hint="eastAsia" w:ascii="宋体" w:hAnsi="宋体" w:cs="宋体"/>
          <w:color w:val="000000"/>
          <w:sz w:val="24"/>
          <w:szCs w:val="20"/>
        </w:rPr>
      </w:pPr>
      <w:r>
        <w:rPr>
          <w:rFonts w:hint="eastAsia" w:ascii="宋体" w:hAnsi="宋体" w:cs="宋体"/>
          <w:color w:val="000000"/>
          <w:sz w:val="24"/>
          <w:szCs w:val="20"/>
        </w:rPr>
      </w:r>
      <w:r/>
    </w:p>
    <w:p>
      <w:pPr>
        <w:jc w:val="center"/>
        <w:rPr>
          <w:rFonts w:hint="eastAsia" w:ascii="宋体" w:hAnsi="宋体" w:cs="宋体"/>
          <w:b/>
          <w:sz w:val="32"/>
          <w:szCs w:val="32"/>
        </w:rPr>
      </w:pPr>
      <w:r>
        <w:rPr>
          <w:rFonts w:hint="eastAsia" w:ascii="宋体" w:hAnsi="宋体" w:cs="宋体"/>
          <w:b/>
          <w:sz w:val="32"/>
          <w:szCs w:val="32"/>
        </w:rPr>
        <w:t xml:space="preserve">相关业绩案例一览表</w:t>
      </w:r>
      <w:r/>
    </w:p>
    <w:p>
      <w:pPr>
        <w:jc w:val="center"/>
        <w:spacing w:line="360" w:lineRule="auto"/>
        <w:rPr>
          <w:rFonts w:hint="eastAsia" w:ascii="宋体" w:hAnsi="宋体" w:cs="宋体"/>
          <w:b/>
          <w:sz w:val="28"/>
          <w:szCs w:val="30"/>
        </w:rPr>
      </w:pPr>
      <w:r>
        <w:rPr>
          <w:rFonts w:hint="eastAsia" w:ascii="宋体" w:hAnsi="宋体" w:cs="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31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    ____________</w:t>
      </w:r>
      <w:r/>
    </w:p>
    <w:p>
      <w:pPr>
        <w:spacing w:before="25" w:after="25" w:line="360" w:lineRule="auto"/>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0"/>
        <w:spacing w:line="560" w:lineRule="exact"/>
        <w:rPr>
          <w:rFonts w:hint="eastAsia" w:ascii="宋体" w:hAnsi="宋体" w:cs="宋体"/>
          <w:sz w:val="24"/>
        </w:rPr>
      </w:pPr>
      <w:r>
        <w:rPr>
          <w:rFonts w:hint="eastAsia" w:ascii="宋体" w:hAnsi="宋体" w:cs="宋体"/>
          <w:sz w:val="24"/>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b/>
          <w:bCs/>
          <w:color w:val="000000"/>
          <w:sz w:val="24"/>
          <w:szCs w:val="20"/>
        </w:rPr>
        <w:outlineLvl w:val="2"/>
      </w:pPr>
      <w:r>
        <w:rPr>
          <w:rFonts w:hint="eastAsia"/>
          <w:b/>
          <w:bCs/>
          <w:color w:val="000000"/>
          <w:sz w:val="24"/>
          <w:szCs w:val="20"/>
        </w:rPr>
        <w:t xml:space="preserve">13同意接受对本项目保险责任起期及服务管理</w:t>
      </w:r>
      <w:r>
        <w:rPr>
          <w:rFonts w:hint="eastAsia"/>
          <w:b/>
          <w:bCs/>
          <w:color w:val="000000"/>
          <w:sz w:val="24"/>
          <w:szCs w:val="20"/>
          <w:lang w:val="en-US" w:eastAsia="zh-CN"/>
        </w:rPr>
        <w:t xml:space="preserve">承诺函</w:t>
      </w:r>
      <w:r/>
    </w:p>
    <w:p>
      <w:pPr>
        <w:widowControl/>
        <w:rPr>
          <w:rFonts w:hint="eastAsia"/>
          <w:b/>
          <w:bCs/>
          <w:color w:val="000000"/>
          <w:sz w:val="24"/>
          <w:szCs w:val="20"/>
        </w:rPr>
      </w:pPr>
      <w:r>
        <w:rPr>
          <w:rFonts w:hint="eastAsia"/>
          <w:b/>
          <w:bCs/>
          <w:color w:val="000000"/>
          <w:sz w:val="24"/>
          <w:szCs w:val="20"/>
        </w:rPr>
      </w:r>
      <w:r/>
    </w:p>
    <w:p>
      <w:pPr>
        <w:widowControl/>
        <w:rPr>
          <w:rFonts w:hint="eastAsia" w:ascii="宋体" w:hAnsi="宋体" w:cs="宋体"/>
          <w:b/>
          <w:bCs/>
          <w:sz w:val="28"/>
          <w:szCs w:val="28"/>
        </w:rPr>
      </w:pPr>
      <w:r>
        <w:rPr>
          <w:rFonts w:hint="eastAsia" w:ascii="宋体" w:hAnsi="宋体" w:cs="宋体"/>
          <w:b/>
          <w:bCs/>
          <w:sz w:val="28"/>
          <w:szCs w:val="28"/>
        </w:rPr>
      </w:r>
      <w:r/>
    </w:p>
    <w:p>
      <w:pPr>
        <w:jc w:val="center"/>
        <w:widowControl/>
        <w:rPr>
          <w:rFonts w:hint="eastAsia" w:ascii="宋体" w:hAnsi="宋体" w:eastAsia="宋体" w:cs="宋体"/>
          <w:b/>
          <w:bCs/>
          <w:sz w:val="28"/>
          <w:szCs w:val="28"/>
          <w:lang w:val="en-US" w:eastAsia="zh-CN"/>
        </w:rPr>
      </w:pPr>
      <w:r>
        <w:rPr>
          <w:rFonts w:hint="eastAsia" w:ascii="宋体" w:hAnsi="宋体" w:cs="宋体"/>
          <w:b/>
          <w:bCs/>
          <w:sz w:val="28"/>
          <w:szCs w:val="28"/>
        </w:rPr>
        <w:t xml:space="preserve">同意接受对本项目保险责任起期及服务管理</w:t>
      </w:r>
      <w:r>
        <w:rPr>
          <w:rFonts w:hint="eastAsia" w:ascii="宋体" w:hAnsi="宋体" w:cs="宋体"/>
          <w:b/>
          <w:bCs/>
          <w:sz w:val="28"/>
          <w:szCs w:val="28"/>
          <w:lang w:val="en-US" w:eastAsia="zh-CN"/>
        </w:rPr>
        <w:t xml:space="preserve">承诺函</w:t>
      </w:r>
      <w:r/>
    </w:p>
    <w:p>
      <w:pPr>
        <w:widowControl/>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r>
      <w:r/>
    </w:p>
    <w:p>
      <w:pPr>
        <w:ind w:firstLine="480"/>
        <w:spacing w:line="360" w:lineRule="auto"/>
        <w:widowControl/>
        <w:rPr>
          <w:rFonts w:hint="eastAsia" w:ascii="宋体" w:hAnsi="宋体" w:cs="宋体"/>
          <w:sz w:val="24"/>
        </w:rPr>
      </w:pPr>
      <w:r>
        <w:rPr>
          <w:rFonts w:hint="eastAsia" w:ascii="宋体" w:hAnsi="宋体" w:cs="宋体"/>
          <w:sz w:val="24"/>
        </w:rPr>
        <w:t xml:space="preserve">常州国家高新技术产业开发区（新北区）农业农村局、江苏常信保险经纪有限公司：</w:t>
      </w:r>
      <w:r/>
    </w:p>
    <w:p>
      <w:pPr>
        <w:ind w:firstLine="480"/>
        <w:spacing w:line="360" w:lineRule="auto"/>
        <w:widowControl/>
        <w:rPr>
          <w:rFonts w:hint="eastAsia" w:ascii="宋体" w:hAnsi="宋体" w:cs="宋体"/>
          <w:sz w:val="24"/>
        </w:rPr>
      </w:pPr>
      <w:r>
        <w:rPr>
          <w:rFonts w:hint="eastAsia" w:ascii="宋体" w:hAnsi="宋体" w:cs="宋体"/>
          <w:sz w:val="24"/>
        </w:rPr>
        <w:t xml:space="preserve">我公司愿针对2026-2029年度常州市新北区农户家庭财产保险项目（     ）进行投标，若本公司中标承诺如下:</w:t>
      </w:r>
      <w:r/>
    </w:p>
    <w:p>
      <w:pPr>
        <w:ind w:firstLine="480"/>
        <w:spacing w:line="360" w:lineRule="auto"/>
        <w:widowControl/>
        <w:rPr>
          <w:rFonts w:hint="eastAsia" w:ascii="宋体" w:hAnsi="宋体" w:cs="宋体"/>
          <w:sz w:val="24"/>
          <w:highlight w:val="yellow"/>
        </w:rPr>
      </w:pPr>
      <w:r>
        <w:rPr>
          <w:rFonts w:hint="eastAsia" w:ascii="宋体" w:hAnsi="宋体" w:cs="宋体"/>
          <w:sz w:val="24"/>
          <w:highlight w:val="yellow"/>
        </w:rPr>
        <w:t xml:space="preserve">1、本保险项目所涉保险责任自2026年4月1日零时起，自上述期限起发生合同约定的符合保险条款的保险事故均由我公司承担理赔责任</w:t>
      </w:r>
      <w:r>
        <w:rPr>
          <w:rFonts w:hint="eastAsia" w:ascii="宋体" w:hAnsi="宋体" w:cs="宋体"/>
          <w:sz w:val="24"/>
          <w:highlight w:val="yellow"/>
          <w:lang w:eastAsia="zh-CN"/>
        </w:rPr>
        <w:t xml:space="preserve">，</w:t>
      </w:r>
      <w:r>
        <w:rPr>
          <w:rFonts w:hint="eastAsia" w:ascii="宋体" w:hAnsi="宋体" w:cs="宋体"/>
          <w:sz w:val="24"/>
          <w:highlight w:val="yellow"/>
          <w:lang w:val="en-US" w:eastAsia="zh-CN"/>
        </w:rPr>
        <w:t xml:space="preserve">2026年4月1日零时起至首年保险合同签订之日止，采购人确认的</w:t>
      </w:r>
      <w:r>
        <w:rPr>
          <w:rFonts w:hint="eastAsia" w:ascii="宋体" w:hAnsi="宋体" w:cs="宋体"/>
          <w:sz w:val="24"/>
          <w:highlight w:val="yellow"/>
          <w:lang w:eastAsia="zh-CN"/>
        </w:rPr>
        <w:t xml:space="preserve">依据</w:t>
      </w:r>
      <w:r>
        <w:rPr>
          <w:rFonts w:hint="eastAsia" w:ascii="宋体" w:hAnsi="宋体" w:cs="宋体"/>
          <w:sz w:val="24"/>
          <w:highlight w:val="yellow"/>
          <w:lang w:val="en-US" w:eastAsia="zh-CN"/>
        </w:rPr>
        <w:t xml:space="preserve">本</w:t>
      </w:r>
      <w:r>
        <w:rPr>
          <w:rFonts w:hint="eastAsia" w:ascii="宋体" w:hAnsi="宋体" w:cs="宋体"/>
          <w:sz w:val="24"/>
          <w:highlight w:val="yellow"/>
          <w:lang w:eastAsia="zh-CN"/>
        </w:rPr>
        <w:t xml:space="preserve">保险合同条款正常</w:t>
      </w:r>
      <w:r>
        <w:rPr>
          <w:rFonts w:hint="eastAsia" w:ascii="宋体" w:hAnsi="宋体" w:cs="宋体"/>
          <w:sz w:val="24"/>
          <w:highlight w:val="yellow"/>
          <w:lang w:val="en-US" w:eastAsia="zh-CN"/>
        </w:rPr>
        <w:t xml:space="preserve">进行的</w:t>
      </w:r>
      <w:r>
        <w:rPr>
          <w:rFonts w:hint="eastAsia" w:ascii="宋体" w:hAnsi="宋体" w:cs="宋体"/>
          <w:sz w:val="24"/>
          <w:highlight w:val="yellow"/>
          <w:lang w:eastAsia="zh-CN"/>
        </w:rPr>
        <w:t xml:space="preserve">查勘、定损</w:t>
      </w:r>
      <w:r>
        <w:rPr>
          <w:rFonts w:hint="eastAsia" w:ascii="宋体" w:hAnsi="宋体" w:cs="宋体"/>
          <w:sz w:val="24"/>
          <w:highlight w:val="yellow"/>
          <w:lang w:val="en-US" w:eastAsia="zh-CN"/>
        </w:rPr>
        <w:t xml:space="preserve">我公司均予以认可</w:t>
      </w:r>
      <w:r>
        <w:rPr>
          <w:rFonts w:hint="eastAsia" w:ascii="宋体" w:hAnsi="宋体" w:cs="宋体"/>
          <w:sz w:val="24"/>
          <w:highlight w:val="yellow"/>
        </w:rPr>
        <w:t xml:space="preserve">。</w:t>
      </w:r>
      <w:r/>
    </w:p>
    <w:p>
      <w:pPr>
        <w:ind w:firstLine="480"/>
        <w:spacing w:line="360" w:lineRule="auto"/>
        <w:widowControl/>
        <w:rPr>
          <w:rFonts w:hint="eastAsia" w:ascii="宋体" w:hAnsi="宋体" w:cs="宋体"/>
          <w:sz w:val="24"/>
        </w:rPr>
      </w:pPr>
      <w:r>
        <w:rPr>
          <w:rFonts w:hint="eastAsia" w:ascii="宋体" w:hAnsi="宋体" w:cs="宋体"/>
          <w:sz w:val="24"/>
        </w:rPr>
        <w:t xml:space="preserve">2、同意接受采购人及采购人委托的第三方对本保险项目的合同履约进行跟踪管理和绩效评价。</w:t>
      </w:r>
      <w:r/>
    </w:p>
    <w:p>
      <w:pPr>
        <w:widowControl/>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t xml:space="preserve">特此承诺！</w:t>
      </w:r>
      <w:r/>
    </w:p>
    <w:p>
      <w:pPr>
        <w:widowControl/>
        <w:rPr>
          <w:rFonts w:ascii="宋体" w:hAnsi="宋体" w:cs="宋体"/>
          <w:sz w:val="24"/>
        </w:rPr>
      </w:pPr>
      <w:r>
        <w:rPr>
          <w:rFonts w:ascii="宋体" w:hAnsi="宋体" w:cs="宋体"/>
          <w:sz w:val="24"/>
        </w:rPr>
      </w:r>
      <w:r/>
    </w:p>
    <w:p>
      <w:pPr>
        <w:widowControl/>
        <w:rPr>
          <w:rFonts w:ascii="宋体" w:hAnsi="宋体" w:cs="宋体"/>
          <w:sz w:val="24"/>
        </w:rPr>
      </w:pPr>
      <w:r>
        <w:rPr>
          <w:rFonts w:ascii="宋体" w:hAnsi="宋体" w:cs="宋体"/>
          <w:sz w:val="24"/>
        </w:rPr>
      </w:r>
      <w:r/>
    </w:p>
    <w:p>
      <w:pPr>
        <w:widowControl/>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jc w:val="left"/>
        <w:spacing w:line="480" w:lineRule="auto"/>
        <w:rPr>
          <w:b/>
          <w:bCs/>
          <w:color w:val="000000"/>
          <w:sz w:val="24"/>
          <w:szCs w:val="20"/>
        </w:rPr>
      </w:pPr>
      <w:r>
        <w:rPr>
          <w:rFonts w:hint="eastAsia"/>
          <w:b/>
          <w:bCs/>
          <w:color w:val="000000"/>
          <w:sz w:val="24"/>
          <w:szCs w:val="20"/>
        </w:rPr>
        <w:t xml:space="preserve">1</w:t>
      </w:r>
      <w:bookmarkStart w:id="816" w:name="OLE_LINK10"/>
      <w:r>
        <w:rPr>
          <w:rFonts w:hint="eastAsia"/>
          <w:b/>
          <w:bCs/>
          <w:color w:val="000000"/>
          <w:sz w:val="24"/>
          <w:szCs w:val="20"/>
        </w:rPr>
        <w:t xml:space="preserve">4保险条款、费率报备</w:t>
      </w:r>
      <w:r>
        <w:rPr>
          <w:rFonts w:hint="eastAsia"/>
          <w:b/>
          <w:bCs/>
          <w:color w:val="000000"/>
          <w:sz w:val="24"/>
          <w:szCs w:val="20"/>
          <w:lang w:val="en-US" w:eastAsia="zh-CN"/>
        </w:rPr>
        <w:t xml:space="preserve">承诺函</w:t>
      </w:r>
      <w:r/>
    </w:p>
    <w:p>
      <w:pPr>
        <w:jc w:val="center"/>
        <w:spacing w:line="480" w:lineRule="auto"/>
        <w:rPr>
          <w:rFonts w:hint="eastAsia" w:ascii="宋体" w:hAnsi="宋体" w:eastAsia="宋体" w:cs="宋体"/>
          <w:b/>
          <w:bCs/>
          <w:sz w:val="28"/>
          <w:szCs w:val="28"/>
          <w:lang w:val="en-US" w:eastAsia="zh-CN"/>
        </w:rPr>
      </w:pPr>
      <w:r>
        <w:rPr>
          <w:rFonts w:hint="eastAsia"/>
          <w:b/>
          <w:bCs/>
          <w:color w:val="000000"/>
          <w:sz w:val="24"/>
          <w:szCs w:val="20"/>
        </w:rPr>
        <w:t xml:space="preserve">保险条款、费率报备</w:t>
      </w:r>
      <w:bookmarkEnd w:id="816"/>
      <w:r>
        <w:rPr>
          <w:rFonts w:hint="eastAsia"/>
          <w:b/>
          <w:bCs/>
          <w:color w:val="000000"/>
          <w:sz w:val="24"/>
          <w:szCs w:val="20"/>
          <w:lang w:val="en-US" w:eastAsia="zh-CN"/>
        </w:rPr>
        <w:t xml:space="preserve">承诺函</w:t>
      </w:r>
      <w:r/>
    </w:p>
    <w:p>
      <w:pPr>
        <w:spacing w:after="120" w:line="540" w:lineRule="exact"/>
        <w:rPr>
          <w:rFonts w:hint="eastAsia" w:ascii="宋体" w:hAnsi="宋体" w:cs="宋体"/>
          <w:sz w:val="28"/>
          <w:szCs w:val="28"/>
        </w:rPr>
      </w:pPr>
      <w:r>
        <w:rPr>
          <w:rFonts w:hint="eastAsia" w:ascii="宋体" w:hAnsi="宋体" w:cs="宋体"/>
          <w:sz w:val="28"/>
          <w:szCs w:val="28"/>
        </w:rPr>
      </w:r>
      <w:r/>
    </w:p>
    <w:p>
      <w:pPr>
        <w:spacing w:line="360" w:lineRule="auto"/>
        <w:widowControl/>
        <w:rPr>
          <w:rFonts w:hint="eastAsia" w:ascii="宋体" w:hAnsi="宋体" w:cs="Arial"/>
          <w:sz w:val="24"/>
        </w:rPr>
      </w:pPr>
      <w:r>
        <w:rPr>
          <w:rFonts w:hint="eastAsia" w:ascii="宋体" w:hAnsi="宋体" w:cs="Arial"/>
          <w:sz w:val="24"/>
        </w:rPr>
        <w:t xml:space="preserve">常州国家高新技术产业开发区（新北区）农业农村局、</w:t>
      </w:r>
      <w:r>
        <w:rPr>
          <w:rFonts w:hint="eastAsia" w:ascii="宋体" w:hAnsi="宋体" w:cs="宋体"/>
          <w:sz w:val="24"/>
        </w:rPr>
        <w:t xml:space="preserve">江苏常信保险经纪有限公司</w:t>
      </w:r>
      <w:r>
        <w:rPr>
          <w:rFonts w:hint="eastAsia" w:ascii="宋体" w:hAnsi="宋体" w:cs="Arial"/>
          <w:sz w:val="24"/>
        </w:rPr>
        <w:t xml:space="preserve">：</w:t>
      </w:r>
      <w:r/>
    </w:p>
    <w:p>
      <w:pPr>
        <w:ind w:firstLine="480"/>
        <w:spacing w:after="120" w:line="540" w:lineRule="exact"/>
        <w:rPr>
          <w:rFonts w:hint="eastAsia" w:ascii="宋体" w:hAnsi="宋体" w:cs="宋体"/>
          <w:sz w:val="24"/>
          <w:u w:val="single"/>
        </w:rPr>
      </w:pPr>
      <w:r>
        <w:rPr>
          <w:rFonts w:hint="eastAsia" w:ascii="宋体" w:hAnsi="宋体" w:cs="宋体"/>
          <w:sz w:val="24"/>
        </w:rPr>
        <w:t xml:space="preserve">我公司投标文件中“2026-2029年度常州市新北区农户家庭财产保险”中的保险条款及费率，已得到</w:t>
      </w:r>
      <w:r>
        <w:rPr>
          <w:rFonts w:hint="eastAsia" w:ascii="宋体" w:hAnsi="宋体" w:eastAsia="宋体" w:cs="宋体"/>
          <w:sz w:val="24"/>
        </w:rPr>
        <w:t xml:space="preserve">国家金融监督管理总局（原中国银行保险监督管理委员会）</w:t>
      </w:r>
      <w:r>
        <w:rPr>
          <w:rFonts w:hint="eastAsia" w:ascii="宋体" w:hAnsi="宋体" w:cs="宋体"/>
          <w:sz w:val="24"/>
        </w:rPr>
        <w:t xml:space="preserve">的批准（或已向</w:t>
      </w:r>
      <w:r>
        <w:rPr>
          <w:rFonts w:hint="eastAsia" w:ascii="宋体" w:hAnsi="宋体"/>
          <w:sz w:val="24"/>
        </w:rPr>
        <w:t xml:space="preserve">国家金融监督管理总局（原中国银行保险监督管理委员会）</w:t>
      </w:r>
      <w:r>
        <w:rPr>
          <w:rFonts w:hint="eastAsia" w:ascii="宋体" w:hAnsi="宋体" w:cs="宋体"/>
          <w:sz w:val="24"/>
        </w:rPr>
        <w:t xml:space="preserve">报备）。</w:t>
      </w:r>
      <w:r/>
    </w:p>
    <w:p>
      <w:pPr>
        <w:ind w:firstLine="420"/>
        <w:spacing w:line="360" w:lineRule="auto"/>
        <w:widowControl/>
        <w:rPr>
          <w:rFonts w:hint="eastAsia" w:ascii="宋体" w:hAnsi="宋体" w:cs="Arial"/>
          <w:color w:val="000000"/>
          <w:szCs w:val="21"/>
        </w:rPr>
      </w:pPr>
      <w:r>
        <w:rPr>
          <w:rFonts w:hint="eastAsia" w:ascii="宋体" w:hAnsi="宋体" w:cs="Arial"/>
          <w:color w:val="000000"/>
          <w:szCs w:val="21"/>
        </w:rPr>
        <w:t xml:space="preserve">          </w:t>
      </w:r>
      <w:r/>
    </w:p>
    <w:p>
      <w:pPr>
        <w:ind w:firstLine="480"/>
        <w:spacing w:after="120" w:line="540" w:lineRule="exact"/>
        <w:rPr>
          <w:rFonts w:hint="eastAsia" w:ascii="宋体" w:hAnsi="宋体" w:cs="宋体"/>
          <w:sz w:val="24"/>
        </w:rPr>
      </w:pPr>
      <w:r>
        <w:rPr>
          <w:rFonts w:hint="eastAsia"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ind w:firstLine="480"/>
        <w:spacing w:after="120" w:line="540" w:lineRule="exact"/>
        <w:rPr>
          <w:rFonts w:hint="eastAsia" w:ascii="宋体" w:hAnsi="宋体" w:cs="宋体"/>
          <w:sz w:val="24"/>
        </w:rPr>
      </w:pPr>
      <w:r>
        <w:rPr>
          <w:rFonts w:hint="eastAsia" w:ascii="宋体" w:hAnsi="宋体" w:cs="宋体"/>
          <w:sz w:val="24"/>
        </w:rPr>
      </w:r>
      <w:r/>
    </w:p>
    <w:p>
      <w:pPr>
        <w:ind w:firstLine="480"/>
        <w:spacing w:after="120" w:line="540" w:lineRule="exact"/>
        <w:rPr>
          <w:rFonts w:hint="eastAsia" w:ascii="宋体" w:hAnsi="宋体" w:cs="宋体"/>
          <w:sz w:val="24"/>
        </w:rPr>
      </w:pPr>
      <w:r>
        <w:rPr>
          <w:rFonts w:hint="eastAsia" w:ascii="宋体" w:hAnsi="宋体" w:cs="宋体"/>
          <w:sz w:val="24"/>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pStyle w:val="1506"/>
        <w:rPr>
          <w:rFonts w:hint="eastAsia" w:ascii="宋体" w:hAnsi="宋体" w:cs="宋体"/>
        </w:rPr>
      </w:pPr>
      <w:r>
        <w:rPr>
          <w:rFonts w:hint="eastAsia" w:ascii="宋体" w:hAnsi="宋体" w:cs="宋体"/>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ascii="宋体" w:hAnsi="宋体" w:cs="宋体"/>
          <w:b/>
          <w:bCs/>
          <w:sz w:val="24"/>
          <w:szCs w:val="20"/>
        </w:rPr>
        <w:outlineLvl w:val="2"/>
      </w:pPr>
      <w:r>
        <w:rPr>
          <w:rFonts w:hint="eastAsia"/>
          <w:b/>
          <w:bCs/>
          <w:color w:val="000000"/>
          <w:sz w:val="24"/>
          <w:szCs w:val="20"/>
        </w:rPr>
        <w:t xml:space="preserve">15</w:t>
      </w:r>
      <w:r>
        <w:rPr>
          <w:rFonts w:hint="eastAsia" w:ascii="宋体" w:hAnsi="宋体" w:cs="宋体"/>
          <w:b/>
          <w:bCs/>
          <w:sz w:val="24"/>
          <w:szCs w:val="20"/>
        </w:rPr>
        <w:t xml:space="preserve">服务网络一览表</w:t>
      </w:r>
      <w:r/>
    </w:p>
    <w:p>
      <w:pPr>
        <w:ind w:left="-420"/>
        <w:jc w:val="center"/>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cs="宋体"/>
          <w:b/>
          <w:bCs/>
          <w:sz w:val="28"/>
          <w:szCs w:val="28"/>
        </w:rPr>
        <w:outlineLvl w:val="2"/>
      </w:pPr>
      <w:r>
        <w:rPr>
          <w:rFonts w:hint="eastAsia" w:ascii="宋体" w:hAnsi="宋体" w:cs="宋体"/>
          <w:b/>
          <w:bCs/>
          <w:sz w:val="28"/>
          <w:szCs w:val="28"/>
        </w:rPr>
        <w:t xml:space="preserve">服务网络一览表</w:t>
      </w:r>
      <w:r/>
    </w:p>
    <w:p>
      <w:pPr>
        <w:pStyle w:val="1506"/>
        <w:rPr>
          <w:rFonts w:hint="eastAsia" w:ascii="宋体" w:hAnsi="宋体"/>
        </w:rPr>
      </w:pPr>
      <w:r>
        <w:rPr>
          <w:rFonts w:hint="eastAsia" w:ascii="宋体" w:hAnsi="宋体"/>
        </w:rPr>
      </w:r>
      <w:r/>
    </w:p>
    <w:p>
      <w:pPr>
        <w:pStyle w:val="1506"/>
        <w:rPr>
          <w:rFonts w:hint="eastAsia" w:ascii="宋体" w:hAnsi="宋体"/>
        </w:rPr>
      </w:pPr>
      <w:r>
        <w:rPr>
          <w:rFonts w:hint="eastAsia" w:ascii="宋体" w:hAnsi="宋体"/>
        </w:rPr>
      </w:r>
      <w:r/>
    </w:p>
    <w:tbl>
      <w:tblPr>
        <w:tblStyle w:val="13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0"/>
        <w:gridCol w:w="3262"/>
        <w:gridCol w:w="1769"/>
        <w:gridCol w:w="1529"/>
      </w:tblGrid>
      <w:tr>
        <w:trPr>
          <w:jc w:val="center"/>
          <w:trHeight w:val="877"/>
        </w:trPr>
        <w:tc>
          <w:tcPr>
            <w:tcW w:w="2180" w:type="dxa"/>
            <w:vAlign w:val="center"/>
            <w:textDirection w:val="lrTb"/>
            <w:noWrap w:val="false"/>
          </w:tcPr>
          <w:p>
            <w:pPr>
              <w:jc w:val="center"/>
              <w:rPr>
                <w:rFonts w:ascii="宋体" w:hAnsi="宋体"/>
                <w:b/>
                <w:bCs/>
                <w:sz w:val="24"/>
              </w:rPr>
            </w:pPr>
            <w:r>
              <w:rPr>
                <w:rFonts w:hint="eastAsia" w:ascii="宋体" w:hAnsi="宋体"/>
                <w:sz w:val="24"/>
              </w:rPr>
              <w:t xml:space="preserve">机构名称</w:t>
            </w:r>
            <w:r/>
          </w:p>
        </w:tc>
        <w:tc>
          <w:tcPr>
            <w:tcW w:w="3262" w:type="dxa"/>
            <w:vAlign w:val="center"/>
            <w:textDirection w:val="lrTb"/>
            <w:noWrap w:val="false"/>
          </w:tcPr>
          <w:p>
            <w:pPr>
              <w:jc w:val="center"/>
              <w:rPr>
                <w:rFonts w:ascii="宋体" w:hAnsi="宋体"/>
                <w:sz w:val="24"/>
              </w:rPr>
            </w:pPr>
            <w:r>
              <w:rPr>
                <w:rFonts w:hint="eastAsia" w:ascii="宋体" w:hAnsi="宋体"/>
                <w:sz w:val="24"/>
              </w:rPr>
              <w:t xml:space="preserve">服 务 地 址</w:t>
            </w:r>
            <w:r/>
          </w:p>
        </w:tc>
        <w:tc>
          <w:tcPr>
            <w:tcW w:w="1769" w:type="dxa"/>
            <w:vAlign w:val="center"/>
            <w:textDirection w:val="lrTb"/>
            <w:noWrap w:val="false"/>
          </w:tcPr>
          <w:p>
            <w:pPr>
              <w:jc w:val="center"/>
              <w:rPr>
                <w:rFonts w:ascii="宋体" w:hAnsi="宋体"/>
                <w:sz w:val="24"/>
              </w:rPr>
            </w:pPr>
            <w:r>
              <w:rPr>
                <w:rFonts w:hint="eastAsia" w:ascii="宋体" w:hAnsi="宋体"/>
                <w:sz w:val="24"/>
              </w:rPr>
              <w:t xml:space="preserve">负责人姓名</w:t>
            </w:r>
            <w:r/>
          </w:p>
        </w:tc>
        <w:tc>
          <w:tcPr>
            <w:tcW w:w="1529" w:type="dxa"/>
            <w:vAlign w:val="center"/>
            <w:textDirection w:val="lrTb"/>
            <w:noWrap w:val="false"/>
          </w:tcPr>
          <w:p>
            <w:pPr>
              <w:jc w:val="center"/>
              <w:rPr>
                <w:rFonts w:ascii="宋体" w:hAnsi="宋体"/>
                <w:sz w:val="24"/>
              </w:rPr>
            </w:pPr>
            <w:r>
              <w:rPr>
                <w:rFonts w:hint="eastAsia" w:ascii="宋体" w:hAnsi="宋体"/>
                <w:sz w:val="24"/>
              </w:rPr>
              <w:t xml:space="preserve">员工人数</w:t>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r>
        <w:trPr>
          <w:jc w:val="center"/>
          <w:trHeight w:val="431"/>
        </w:trPr>
        <w:tc>
          <w:tcPr>
            <w:tcW w:w="2180" w:type="dxa"/>
            <w:vAlign w:val="center"/>
            <w:textDirection w:val="lrTb"/>
            <w:noWrap w:val="false"/>
          </w:tcPr>
          <w:p>
            <w:pPr>
              <w:jc w:val="center"/>
              <w:rPr>
                <w:rFonts w:ascii="宋体" w:hAnsi="宋体"/>
                <w:sz w:val="24"/>
              </w:rPr>
            </w:pPr>
            <w:r>
              <w:rPr>
                <w:rFonts w:ascii="宋体" w:hAnsi="宋体"/>
                <w:sz w:val="24"/>
              </w:rPr>
            </w:r>
            <w:r/>
          </w:p>
        </w:tc>
        <w:tc>
          <w:tcPr>
            <w:tcW w:w="3262" w:type="dxa"/>
            <w:vAlign w:val="center"/>
            <w:textDirection w:val="lrTb"/>
            <w:noWrap w:val="false"/>
          </w:tcPr>
          <w:p>
            <w:pPr>
              <w:jc w:val="center"/>
              <w:rPr>
                <w:rFonts w:ascii="宋体" w:hAnsi="宋体"/>
                <w:sz w:val="24"/>
              </w:rPr>
            </w:pPr>
            <w:r>
              <w:rPr>
                <w:rFonts w:ascii="宋体" w:hAnsi="宋体"/>
                <w:sz w:val="24"/>
              </w:rPr>
            </w:r>
            <w:r/>
          </w:p>
        </w:tc>
        <w:tc>
          <w:tcPr>
            <w:tcW w:w="1769" w:type="dxa"/>
            <w:vAlign w:val="center"/>
            <w:textDirection w:val="lrTb"/>
            <w:noWrap w:val="false"/>
          </w:tcPr>
          <w:p>
            <w:pPr>
              <w:jc w:val="center"/>
              <w:rPr>
                <w:rFonts w:ascii="宋体" w:hAnsi="宋体"/>
                <w:sz w:val="24"/>
              </w:rPr>
            </w:pPr>
            <w:r>
              <w:rPr>
                <w:rFonts w:ascii="宋体" w:hAnsi="宋体"/>
                <w:sz w:val="24"/>
              </w:rPr>
            </w:r>
            <w:r/>
          </w:p>
        </w:tc>
        <w:tc>
          <w:tcPr>
            <w:tcW w:w="1529" w:type="dxa"/>
            <w:vAlign w:val="center"/>
            <w:textDirection w:val="lrTb"/>
            <w:noWrap w:val="false"/>
          </w:tcPr>
          <w:p>
            <w:pPr>
              <w:jc w:val="center"/>
              <w:rPr>
                <w:rFonts w:ascii="宋体" w:hAnsi="宋体"/>
                <w:sz w:val="24"/>
              </w:rPr>
            </w:pPr>
            <w:r>
              <w:rPr>
                <w:rFonts w:ascii="宋体" w:hAnsi="宋体"/>
                <w:sz w:val="24"/>
              </w:rPr>
            </w:r>
            <w:r/>
          </w:p>
        </w:tc>
      </w:tr>
    </w:tbl>
    <w:p>
      <w:pPr>
        <w:spacing w:line="360" w:lineRule="auto"/>
        <w:rPr>
          <w:rFonts w:ascii="宋体" w:hAnsi="宋体"/>
          <w:szCs w:val="21"/>
        </w:rPr>
      </w:pPr>
      <w:r>
        <w:rPr>
          <w:rFonts w:hint="eastAsia" w:ascii="宋体" w:hAnsi="宋体"/>
        </w:rPr>
        <w:t xml:space="preserve"> </w:t>
      </w:r>
      <w:r/>
    </w:p>
    <w:p>
      <w:pPr>
        <w:ind w:left="5250" w:firstLine="360"/>
        <w:spacing w:before="50"/>
        <w:rPr>
          <w:rFonts w:ascii="宋体" w:hAnsi="宋体"/>
          <w:sz w:val="18"/>
          <w:szCs w:val="18"/>
        </w:rPr>
      </w:pPr>
      <w:r>
        <w:rPr>
          <w:rFonts w:hint="eastAsia" w:ascii="宋体" w:hAnsi="宋体"/>
          <w:sz w:val="18"/>
          <w:szCs w:val="18"/>
        </w:rPr>
        <w:t xml:space="preserve">注：如不够，可另接。</w:t>
      </w:r>
      <w:r/>
    </w:p>
    <w:p>
      <w:pPr>
        <w:spacing w:line="360" w:lineRule="auto"/>
        <w:rPr>
          <w:color w:val="000000"/>
          <w:sz w:val="24"/>
          <w:szCs w:val="20"/>
        </w:rPr>
        <w:outlineLvl w:val="2"/>
      </w:pPr>
      <w:r>
        <w:rPr>
          <w:color w:val="000000"/>
          <w:sz w:val="24"/>
          <w:szCs w:val="20"/>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pStyle w:val="1506"/>
        <w:rPr>
          <w:szCs w:val="20"/>
        </w:rPr>
      </w:pPr>
      <w:r>
        <w:rPr>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rFonts w:hint="eastAsia"/>
          <w:color w:val="000000"/>
          <w:sz w:val="24"/>
          <w:szCs w:val="20"/>
        </w:rPr>
        <w:t xml:space="preserve">16</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p>
      <w:pPr>
        <w:rPr>
          <w:rFonts w:hint="eastAsia" w:ascii="宋体" w:hAnsi="宋体" w:cs="宋体"/>
          <w:b/>
          <w:sz w:val="32"/>
        </w:rPr>
      </w:pPr>
      <w:r>
        <w:rPr>
          <w:rFonts w:hint="eastAsia" w:ascii="宋体" w:hAnsi="宋体" w:cs="宋体"/>
          <w:b/>
          <w:sz w:val="32"/>
        </w:rPr>
        <w:t xml:space="preserve">*本招标文件的最终解释权归江苏常信保险经纪有限公司所有*</w:t>
      </w:r>
      <w:r/>
    </w:p>
    <w:p>
      <w:pPr>
        <w:jc w:val="center"/>
        <w:rPr>
          <w:rFonts w:hint="eastAsia" w:ascii="宋体" w:hAnsi="宋体" w:cs="宋体"/>
        </w:rPr>
      </w:pPr>
      <w:r>
        <w:rPr>
          <w:rFonts w:hint="eastAsia" w:ascii="宋体" w:hAnsi="宋体" w:cs="宋体"/>
          <w:b/>
          <w:sz w:val="32"/>
        </w:rPr>
        <w:t xml:space="preserve">（全文完）</w:t>
      </w:r>
      <w:r/>
    </w:p>
    <w:p>
      <w:pPr>
        <w:jc w:val="left"/>
        <w:widowControl/>
        <w:rPr>
          <w:b/>
          <w:sz w:val="36"/>
          <w:szCs w:val="36"/>
        </w:rPr>
      </w:pPr>
      <w:r>
        <w:rPr>
          <w:b/>
          <w:sz w:val="36"/>
          <w:szCs w:val="36"/>
        </w:rPr>
      </w:r>
      <w:r/>
    </w:p>
    <w:p>
      <w:r/>
      <w:r/>
    </w:p>
    <w:sectPr>
      <w:headerReference w:type="default" r:id="rId16"/>
      <w:headerReference w:type="even" r:id="rId17"/>
      <w:headerReference w:type="first" r:id="rId18"/>
      <w:footerReference w:type="default" r:id="rId28"/>
      <w:footerReference w:type="even" r:id="rId29"/>
      <w:footerReference w:type="first" r:id="rId3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等线">
    <w:panose1 w:val="02010600030101010101"/>
  </w:font>
  <w:font w:name="等线 Light">
    <w:panose1 w:val="02010600030101010101"/>
  </w:font>
  <w:font w:name="仿宋">
    <w:panose1 w:val="02010609060101010101"/>
  </w:font>
  <w:font w:name="楷体_GB2312">
    <w:panose1 w:val="02010609060101010101"/>
  </w:font>
  <w:font w:name="Symbol">
    <w:panose1 w:val="05050102010706020507"/>
  </w:font>
  <w:font w:name="Calibri">
    <w:panose1 w:val="020F0502020204030204"/>
  </w:font>
  <w:font w:name="Batang">
    <w:panose1 w:val="02010600040101010101"/>
  </w:font>
  <w:font w:name="微软雅黑">
    <w:panose1 w:val="020B0503020204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ind w:right="360"/>
      <w:rPr>
        <w:rStyle w:val="1503"/>
      </w:rPr>
      <w:framePr w:wrap="around" w:vAnchor="text" w:hAnchor="margin" w:y="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p>
    <w:pPr>
      <w:pStyle w:val="149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rPr>
        <w:rStyle w:val="1503"/>
      </w:rPr>
      <w:framePr w:wrap="around" w:vAnchor="text" w:hAnchor="margin" w:xAlign="right" w:y="1"/>
    </w:pPr>
    <w:r/>
    <w:r/>
  </w:p>
  <w:p>
    <w:pPr>
      <w:pStyle w:val="149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9"/>
      <w:rPr>
        <w:rStyle w:val="1508"/>
      </w:rPr>
      <w:framePr w:wrap="around" w:vAnchor="text" w:hAnchor="margin" w:xAlign="right" w:y="1"/>
    </w:pPr>
    <w:r>
      <w:rPr>
        <w:rStyle w:val="1508"/>
      </w:rPr>
      <w:fldChar w:fldCharType="begin"/>
    </w:r>
    <w:r>
      <w:rPr>
        <w:rStyle w:val="1508"/>
      </w:rPr>
      <w:instrText xml:space="preserve">PAGE  </w:instrText>
    </w:r>
    <w:r>
      <w:rPr>
        <w:rStyle w:val="1508"/>
      </w:rPr>
      <w:fldChar w:fldCharType="separate"/>
    </w:r>
    <w:r>
      <w:rPr>
        <w:rStyle w:val="1508"/>
      </w:rPr>
      <w:t xml:space="preserve">10</w:t>
    </w:r>
    <w:r>
      <w:rPr>
        <w:rStyle w:val="1508"/>
      </w:rPr>
      <w:fldChar w:fldCharType="end"/>
    </w:r>
    <w:r/>
  </w:p>
  <w:p>
    <w:pPr>
      <w:pStyle w:val="152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r/>
                    <w:r/>
                  </w:p>
                </w:txbxContent>
              </v:textbox>
            </v:shape>
          </w:pict>
        </mc:Fallback>
      </mc:AlternateContent>
    </w:r>
    <w:r>
      <w:rPr>
        <w:rFonts w:hint="eastAsia"/>
        <w:sz w:val="16"/>
        <w:szCs w:val="24"/>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7"/>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7"/>
                      <w:tabs>
                        <w:tab w:val="clear" w:pos="4153" w:leader="none"/>
                        <w:tab w:val="clear" w:pos="8306" w:leader="none"/>
                      </w:tabs>
                    </w:pPr>
                    <w:r/>
                    <w:r/>
                  </w:p>
                  <w:p>
                    <w:r/>
                    <w:r/>
                  </w:p>
                  <w:p>
                    <w:r/>
                    <w:r/>
                  </w:p>
                </w:txbxContent>
              </v:textbox>
            </v:shape>
          </w:pict>
        </mc:Fallback>
      </mc:AlternateContent>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Fonts w:hint="eastAsia"/>
      </w:rP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rPr>
        <w:rFonts w:hint="eastAsia"/>
      </w:rP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left" w:pos="2174" w:leader="none"/>
        <w:tab w:val="center" w:pos="4153" w:leader="none"/>
        <w:tab w:val="right" w:pos="8307" w:leader="none"/>
        <w:tab w:val="right" w:pos="8427" w:leader="none"/>
      </w:tabs>
      <w:rPr>
        <w:sz w:val="24"/>
        <w:szCs w:val="24"/>
      </w:rPr>
    </w:pPr>
    <w:r>
      <w:rPr>
        <w:rFonts w:hint="eastAsia"/>
        <w:sz w:val="24"/>
        <w:szCs w:val="24"/>
      </w:rPr>
      <w:tab/>
    </w:r>
    <w:r>
      <w:rPr>
        <w:rFonts w:hint="eastAsia"/>
        <w:sz w:val="24"/>
        <w:szCs w:val="24"/>
      </w:rPr>
      <w:tab/>
    </w:r>
    <w:r>
      <w:rPr>
        <w:rFonts w:hint="eastAsia"/>
        <w:sz w:val="24"/>
        <w:szCs w:val="24"/>
      </w:rPr>
      <w:tab/>
    </w:r>
    <w:r>
      <w:rPr>
        <w:rFonts w:hint="eastAsia"/>
        <w:sz w:val="24"/>
        <w:szCs w:val="24"/>
      </w:rPr>
      <w:t xml:space="preserve">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5.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0"/>
      <w:numFmt w:val="bullet"/>
      <w:isLgl w:val="false"/>
      <w:suff w:val="tab"/>
      <w:lvlText w:val="•"/>
      <w:lvlJc w:val="left"/>
      <w:pPr>
        <w:ind w:left="2010" w:hanging="382"/>
      </w:pPr>
    </w:lvl>
    <w:lvl w:ilvl="2">
      <w:start w:val="0"/>
      <w:numFmt w:val="bullet"/>
      <w:isLgl w:val="false"/>
      <w:suff w:val="tab"/>
      <w:lvlText w:val="•"/>
      <w:lvlJc w:val="left"/>
      <w:pPr>
        <w:ind w:left="2781" w:hanging="382"/>
      </w:pPr>
    </w:lvl>
    <w:lvl w:ilvl="3">
      <w:start w:val="0"/>
      <w:numFmt w:val="bullet"/>
      <w:isLgl w:val="false"/>
      <w:suff w:val="tab"/>
      <w:lvlText w:val="•"/>
      <w:lvlJc w:val="left"/>
      <w:pPr>
        <w:ind w:left="3551" w:hanging="382"/>
      </w:pPr>
    </w:lvl>
    <w:lvl w:ilvl="4">
      <w:start w:val="0"/>
      <w:numFmt w:val="bullet"/>
      <w:isLgl w:val="false"/>
      <w:suff w:val="tab"/>
      <w:lvlText w:val="•"/>
      <w:lvlJc w:val="left"/>
      <w:pPr>
        <w:ind w:left="4322" w:hanging="382"/>
      </w:pPr>
    </w:lvl>
    <w:lvl w:ilvl="5">
      <w:start w:val="0"/>
      <w:numFmt w:val="bullet"/>
      <w:isLgl w:val="false"/>
      <w:suff w:val="tab"/>
      <w:lvlText w:val="•"/>
      <w:lvlJc w:val="left"/>
      <w:pPr>
        <w:ind w:left="5093" w:hanging="382"/>
      </w:pPr>
    </w:lvl>
    <w:lvl w:ilvl="6">
      <w:start w:val="0"/>
      <w:numFmt w:val="bullet"/>
      <w:isLgl w:val="false"/>
      <w:suff w:val="tab"/>
      <w:lvlText w:val="•"/>
      <w:lvlJc w:val="left"/>
      <w:pPr>
        <w:ind w:left="5863" w:hanging="382"/>
      </w:pPr>
    </w:lvl>
    <w:lvl w:ilvl="7">
      <w:start w:val="0"/>
      <w:numFmt w:val="bullet"/>
      <w:isLgl w:val="false"/>
      <w:suff w:val="tab"/>
      <w:lvlText w:val="•"/>
      <w:lvlJc w:val="left"/>
      <w:pPr>
        <w:ind w:left="6634" w:hanging="382"/>
      </w:pPr>
    </w:lvl>
    <w:lvl w:ilvl="8">
      <w:start w:val="0"/>
      <w:numFmt w:val="bullet"/>
      <w:isLgl w:val="false"/>
      <w:suff w:val="tab"/>
      <w:lvlText w:val="•"/>
      <w:lvlJc w:val="left"/>
      <w:pPr>
        <w:ind w:left="7404" w:hanging="382"/>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2" w:default="1">
    <w:name w:val="Normal"/>
    <w:link w:val="15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name w:val="Heading 1"/>
    <w:basedOn w:val="1302"/>
    <w:next w:val="1302"/>
    <w:link w:val="1335"/>
    <w:uiPriority w:val="9"/>
    <w:qFormat/>
    <w:pPr>
      <w:keepLines/>
      <w:keepNext/>
      <w:spacing w:before="480" w:after="200"/>
      <w:outlineLvl w:val="0"/>
    </w:pPr>
    <w:rPr>
      <w:rFonts w:ascii="Arial" w:hAnsi="Arial" w:eastAsia="Arial" w:cs="Arial"/>
      <w:sz w:val="40"/>
      <w:szCs w:val="40"/>
    </w:rPr>
  </w:style>
  <w:style w:type="paragraph" w:styleId="1304">
    <w:name w:val="Heading 2"/>
    <w:basedOn w:val="1302"/>
    <w:next w:val="1302"/>
    <w:link w:val="1336"/>
    <w:uiPriority w:val="9"/>
    <w:unhideWhenUsed/>
    <w:qFormat/>
    <w:pPr>
      <w:keepLines/>
      <w:keepNext/>
      <w:spacing w:before="360" w:after="200"/>
      <w:outlineLvl w:val="1"/>
    </w:pPr>
    <w:rPr>
      <w:rFonts w:ascii="Arial" w:hAnsi="Arial" w:eastAsia="Arial" w:cs="Arial"/>
      <w:sz w:val="34"/>
    </w:rPr>
  </w:style>
  <w:style w:type="paragraph" w:styleId="1305">
    <w:name w:val="Heading 3"/>
    <w:basedOn w:val="1302"/>
    <w:next w:val="1302"/>
    <w:link w:val="1337"/>
    <w:uiPriority w:val="9"/>
    <w:unhideWhenUsed/>
    <w:qFormat/>
    <w:pPr>
      <w:keepLines/>
      <w:keepNext/>
      <w:spacing w:before="320" w:after="200"/>
      <w:outlineLvl w:val="2"/>
    </w:pPr>
    <w:rPr>
      <w:rFonts w:ascii="Arial" w:hAnsi="Arial" w:eastAsia="Arial" w:cs="Arial"/>
      <w:sz w:val="30"/>
      <w:szCs w:val="30"/>
    </w:rPr>
  </w:style>
  <w:style w:type="paragraph" w:styleId="1306">
    <w:name w:val="Heading 4"/>
    <w:basedOn w:val="1302"/>
    <w:next w:val="1302"/>
    <w:link w:val="1338"/>
    <w:uiPriority w:val="9"/>
    <w:unhideWhenUsed/>
    <w:qFormat/>
    <w:pPr>
      <w:keepLines/>
      <w:keepNext/>
      <w:spacing w:before="320" w:after="200"/>
      <w:outlineLvl w:val="3"/>
    </w:pPr>
    <w:rPr>
      <w:rFonts w:ascii="Arial" w:hAnsi="Arial" w:eastAsia="Arial" w:cs="Arial"/>
      <w:b/>
      <w:bCs/>
      <w:sz w:val="26"/>
      <w:szCs w:val="26"/>
    </w:rPr>
  </w:style>
  <w:style w:type="paragraph" w:styleId="1307">
    <w:name w:val="Heading 5"/>
    <w:basedOn w:val="1302"/>
    <w:next w:val="1302"/>
    <w:link w:val="1339"/>
    <w:uiPriority w:val="9"/>
    <w:unhideWhenUsed/>
    <w:qFormat/>
    <w:pPr>
      <w:keepLines/>
      <w:keepNext/>
      <w:spacing w:before="320" w:after="200"/>
      <w:outlineLvl w:val="4"/>
    </w:pPr>
    <w:rPr>
      <w:rFonts w:ascii="Arial" w:hAnsi="Arial" w:eastAsia="Arial" w:cs="Arial"/>
      <w:b/>
      <w:bCs/>
      <w:sz w:val="24"/>
      <w:szCs w:val="24"/>
    </w:rPr>
  </w:style>
  <w:style w:type="paragraph" w:styleId="1308">
    <w:name w:val="Heading 6"/>
    <w:basedOn w:val="1302"/>
    <w:next w:val="1302"/>
    <w:link w:val="1340"/>
    <w:uiPriority w:val="9"/>
    <w:unhideWhenUsed/>
    <w:qFormat/>
    <w:pPr>
      <w:keepLines/>
      <w:keepNext/>
      <w:spacing w:before="320" w:after="200"/>
      <w:outlineLvl w:val="5"/>
    </w:pPr>
    <w:rPr>
      <w:rFonts w:ascii="Arial" w:hAnsi="Arial" w:eastAsia="Arial" w:cs="Arial"/>
      <w:b/>
      <w:bCs/>
      <w:sz w:val="22"/>
      <w:szCs w:val="22"/>
    </w:rPr>
  </w:style>
  <w:style w:type="paragraph" w:styleId="1309">
    <w:name w:val="Heading 7"/>
    <w:basedOn w:val="1302"/>
    <w:next w:val="1302"/>
    <w:link w:val="1341"/>
    <w:uiPriority w:val="9"/>
    <w:unhideWhenUsed/>
    <w:qFormat/>
    <w:pPr>
      <w:keepLines/>
      <w:keepNext/>
      <w:spacing w:before="320" w:after="200"/>
      <w:outlineLvl w:val="6"/>
    </w:pPr>
    <w:rPr>
      <w:rFonts w:ascii="Arial" w:hAnsi="Arial" w:eastAsia="Arial" w:cs="Arial"/>
      <w:b/>
      <w:bCs/>
      <w:i/>
      <w:iCs/>
      <w:sz w:val="22"/>
      <w:szCs w:val="22"/>
    </w:rPr>
  </w:style>
  <w:style w:type="paragraph" w:styleId="1310">
    <w:name w:val="Heading 8"/>
    <w:basedOn w:val="1302"/>
    <w:next w:val="1302"/>
    <w:link w:val="1342"/>
    <w:uiPriority w:val="9"/>
    <w:unhideWhenUsed/>
    <w:qFormat/>
    <w:pPr>
      <w:keepLines/>
      <w:keepNext/>
      <w:spacing w:before="320" w:after="200"/>
      <w:outlineLvl w:val="7"/>
    </w:pPr>
    <w:rPr>
      <w:rFonts w:ascii="Arial" w:hAnsi="Arial" w:eastAsia="Arial" w:cs="Arial"/>
      <w:i/>
      <w:iCs/>
      <w:sz w:val="22"/>
      <w:szCs w:val="22"/>
    </w:rPr>
  </w:style>
  <w:style w:type="paragraph" w:styleId="1311">
    <w:name w:val="Heading 9"/>
    <w:basedOn w:val="1302"/>
    <w:next w:val="1302"/>
    <w:link w:val="1343"/>
    <w:uiPriority w:val="9"/>
    <w:unhideWhenUsed/>
    <w:qFormat/>
    <w:pPr>
      <w:keepLines/>
      <w:keepNext/>
      <w:spacing w:before="320" w:after="200"/>
      <w:outlineLvl w:val="8"/>
    </w:pPr>
    <w:rPr>
      <w:rFonts w:ascii="Arial" w:hAnsi="Arial" w:eastAsia="Arial" w:cs="Arial"/>
      <w:i/>
      <w:iCs/>
      <w:sz w:val="21"/>
      <w:szCs w:val="21"/>
    </w:rPr>
  </w:style>
  <w:style w:type="character" w:styleId="1312" w:default="1">
    <w:name w:val="Default Paragraph Font"/>
    <w:uiPriority w:val="1"/>
    <w:semiHidden/>
    <w:unhideWhenUsed/>
    <w:qFormat/>
  </w:style>
  <w:style w:type="table" w:styleId="1313" w:default="1">
    <w:name w:val="Normal Table"/>
    <w:uiPriority w:val="99"/>
    <w:semiHidden/>
    <w:unhideWhenUsed/>
    <w:qFormat/>
    <w:tblPr>
      <w:tblCellMar>
        <w:left w:w="108" w:type="dxa"/>
        <w:top w:w="0" w:type="dxa"/>
        <w:right w:w="108" w:type="dxa"/>
        <w:bottom w:w="0" w:type="dxa"/>
      </w:tblCellMar>
    </w:tblPr>
  </w:style>
  <w:style w:type="paragraph" w:styleId="1314">
    <w:name w:val="toc 7"/>
    <w:basedOn w:val="1302"/>
    <w:next w:val="1302"/>
    <w:uiPriority w:val="39"/>
    <w:unhideWhenUsed/>
    <w:qFormat/>
    <w:pPr>
      <w:ind w:left="1701" w:right="0" w:firstLine="0"/>
      <w:spacing w:after="57"/>
    </w:pPr>
  </w:style>
  <w:style w:type="paragraph" w:styleId="1315">
    <w:name w:val="Caption"/>
    <w:basedOn w:val="1302"/>
    <w:next w:val="1302"/>
    <w:uiPriority w:val="35"/>
    <w:semiHidden/>
    <w:unhideWhenUsed/>
    <w:qFormat/>
    <w:pPr>
      <w:spacing w:line="276" w:lineRule="auto"/>
    </w:pPr>
    <w:rPr>
      <w:b/>
      <w:bCs/>
      <w:color w:val="4f81bd" w:themeColor="accent1"/>
      <w:sz w:val="18"/>
      <w:szCs w:val="18"/>
    </w:rPr>
  </w:style>
  <w:style w:type="paragraph" w:styleId="1316">
    <w:name w:val="toc 5"/>
    <w:basedOn w:val="1302"/>
    <w:next w:val="1302"/>
    <w:uiPriority w:val="39"/>
    <w:unhideWhenUsed/>
    <w:qFormat/>
    <w:pPr>
      <w:ind w:left="1134" w:right="0" w:firstLine="0"/>
      <w:spacing w:after="57"/>
    </w:pPr>
  </w:style>
  <w:style w:type="paragraph" w:styleId="1317">
    <w:name w:val="toc 3"/>
    <w:basedOn w:val="1302"/>
    <w:next w:val="1302"/>
    <w:uiPriority w:val="39"/>
    <w:unhideWhenUsed/>
    <w:qFormat/>
    <w:pPr>
      <w:ind w:left="567" w:right="0" w:firstLine="0"/>
      <w:spacing w:after="57"/>
    </w:pPr>
  </w:style>
  <w:style w:type="paragraph" w:styleId="1318">
    <w:name w:val="toc 8"/>
    <w:basedOn w:val="1302"/>
    <w:next w:val="1302"/>
    <w:uiPriority w:val="39"/>
    <w:unhideWhenUsed/>
    <w:qFormat/>
    <w:pPr>
      <w:ind w:left="1984" w:right="0" w:firstLine="0"/>
      <w:spacing w:after="57"/>
    </w:pPr>
  </w:style>
  <w:style w:type="paragraph" w:styleId="1319">
    <w:name w:val="endnote text"/>
    <w:basedOn w:val="1302"/>
    <w:link w:val="1481"/>
    <w:uiPriority w:val="99"/>
    <w:semiHidden/>
    <w:unhideWhenUsed/>
    <w:qFormat/>
    <w:pPr>
      <w:spacing w:after="0" w:line="240" w:lineRule="auto"/>
    </w:pPr>
    <w:rPr>
      <w:sz w:val="20"/>
    </w:rPr>
  </w:style>
  <w:style w:type="paragraph" w:styleId="1320">
    <w:name w:val="Footer"/>
    <w:basedOn w:val="1302"/>
    <w:link w:val="1354"/>
    <w:uiPriority w:val="99"/>
    <w:unhideWhenUsed/>
    <w:qFormat/>
    <w:pPr>
      <w:spacing w:after="0" w:line="240" w:lineRule="auto"/>
      <w:tabs>
        <w:tab w:val="center" w:pos="7143" w:leader="none"/>
        <w:tab w:val="right" w:pos="14287" w:leader="none"/>
      </w:tabs>
    </w:pPr>
  </w:style>
  <w:style w:type="paragraph" w:styleId="1321">
    <w:name w:val="Header"/>
    <w:basedOn w:val="1302"/>
    <w:link w:val="1352"/>
    <w:uiPriority w:val="99"/>
    <w:unhideWhenUsed/>
    <w:qFormat/>
    <w:pPr>
      <w:spacing w:after="0" w:line="240" w:lineRule="auto"/>
      <w:tabs>
        <w:tab w:val="center" w:pos="7143" w:leader="none"/>
        <w:tab w:val="right" w:pos="14287" w:leader="none"/>
      </w:tabs>
    </w:pPr>
  </w:style>
  <w:style w:type="paragraph" w:styleId="1322">
    <w:name w:val="toc 1"/>
    <w:basedOn w:val="1302"/>
    <w:next w:val="1302"/>
    <w:uiPriority w:val="39"/>
    <w:unhideWhenUsed/>
    <w:qFormat/>
    <w:pPr>
      <w:ind w:left="0" w:right="0" w:firstLine="0"/>
      <w:spacing w:after="57"/>
    </w:pPr>
  </w:style>
  <w:style w:type="paragraph" w:styleId="1323">
    <w:name w:val="toc 4"/>
    <w:basedOn w:val="1302"/>
    <w:next w:val="1302"/>
    <w:uiPriority w:val="39"/>
    <w:unhideWhenUsed/>
    <w:qFormat/>
    <w:pPr>
      <w:ind w:left="850" w:right="0" w:firstLine="0"/>
      <w:spacing w:after="57"/>
    </w:pPr>
  </w:style>
  <w:style w:type="paragraph" w:styleId="1324">
    <w:name w:val="Subtitle"/>
    <w:basedOn w:val="1302"/>
    <w:next w:val="1302"/>
    <w:link w:val="1347"/>
    <w:uiPriority w:val="11"/>
    <w:qFormat/>
    <w:pPr>
      <w:spacing w:before="200" w:after="200"/>
    </w:pPr>
    <w:rPr>
      <w:sz w:val="24"/>
      <w:szCs w:val="24"/>
    </w:rPr>
  </w:style>
  <w:style w:type="paragraph" w:styleId="1325">
    <w:name w:val="footnote text"/>
    <w:basedOn w:val="1302"/>
    <w:link w:val="1480"/>
    <w:uiPriority w:val="99"/>
    <w:semiHidden/>
    <w:unhideWhenUsed/>
    <w:qFormat/>
    <w:pPr>
      <w:spacing w:after="40" w:line="240" w:lineRule="auto"/>
    </w:pPr>
    <w:rPr>
      <w:sz w:val="18"/>
    </w:rPr>
  </w:style>
  <w:style w:type="paragraph" w:styleId="1326">
    <w:name w:val="toc 6"/>
    <w:basedOn w:val="1302"/>
    <w:next w:val="1302"/>
    <w:uiPriority w:val="39"/>
    <w:unhideWhenUsed/>
    <w:qFormat/>
    <w:pPr>
      <w:ind w:left="1417" w:right="0" w:firstLine="0"/>
      <w:spacing w:after="57"/>
    </w:pPr>
  </w:style>
  <w:style w:type="paragraph" w:styleId="1327">
    <w:name w:val="table of figures"/>
    <w:basedOn w:val="1302"/>
    <w:next w:val="1302"/>
    <w:uiPriority w:val="99"/>
    <w:unhideWhenUsed/>
    <w:qFormat/>
    <w:pPr>
      <w:spacing w:after="0" w:afterAutospacing="0"/>
    </w:pPr>
  </w:style>
  <w:style w:type="paragraph" w:styleId="1328">
    <w:name w:val="toc 2"/>
    <w:basedOn w:val="1302"/>
    <w:next w:val="1302"/>
    <w:uiPriority w:val="39"/>
    <w:unhideWhenUsed/>
    <w:qFormat/>
    <w:pPr>
      <w:ind w:left="283" w:right="0" w:firstLine="0"/>
      <w:spacing w:after="57"/>
    </w:pPr>
  </w:style>
  <w:style w:type="paragraph" w:styleId="1329">
    <w:name w:val="toc 9"/>
    <w:basedOn w:val="1302"/>
    <w:next w:val="1302"/>
    <w:uiPriority w:val="39"/>
    <w:unhideWhenUsed/>
    <w:qFormat/>
    <w:pPr>
      <w:ind w:left="2268" w:right="0" w:firstLine="0"/>
      <w:spacing w:after="57"/>
    </w:pPr>
  </w:style>
  <w:style w:type="paragraph" w:styleId="1330">
    <w:name w:val="Title"/>
    <w:basedOn w:val="1302"/>
    <w:next w:val="1302"/>
    <w:link w:val="1346"/>
    <w:uiPriority w:val="10"/>
    <w:qFormat/>
    <w:pPr>
      <w:contextualSpacing/>
      <w:spacing w:before="300" w:after="200"/>
    </w:pPr>
    <w:rPr>
      <w:sz w:val="48"/>
      <w:szCs w:val="48"/>
    </w:rPr>
  </w:style>
  <w:style w:type="table" w:styleId="13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32">
    <w:name w:val="endnote reference"/>
    <w:uiPriority w:val="99"/>
    <w:semiHidden/>
    <w:unhideWhenUsed/>
    <w:qFormat/>
    <w:rPr>
      <w:vertAlign w:val="superscript"/>
    </w:rPr>
  </w:style>
  <w:style w:type="character" w:styleId="1333">
    <w:name w:val="Hyperlink"/>
    <w:uiPriority w:val="99"/>
    <w:unhideWhenUsed/>
    <w:qFormat/>
    <w:rPr>
      <w:color w:val="0000ff" w:themeColor="hyperlink"/>
      <w:u w:val="single"/>
    </w:rPr>
  </w:style>
  <w:style w:type="character" w:styleId="1334">
    <w:name w:val="footnote reference"/>
    <w:uiPriority w:val="99"/>
    <w:unhideWhenUsed/>
    <w:qFormat/>
    <w:rPr>
      <w:vertAlign w:val="superscript"/>
    </w:rPr>
  </w:style>
  <w:style w:type="character" w:styleId="1335" w:customStyle="1">
    <w:name w:val="Heading 1 Char"/>
    <w:link w:val="1303"/>
    <w:uiPriority w:val="9"/>
    <w:qFormat/>
    <w:rPr>
      <w:rFonts w:ascii="Arial" w:hAnsi="Arial" w:eastAsia="Arial" w:cs="Arial"/>
      <w:sz w:val="40"/>
      <w:szCs w:val="40"/>
    </w:rPr>
  </w:style>
  <w:style w:type="character" w:styleId="1336" w:customStyle="1">
    <w:name w:val="Heading 2 Char"/>
    <w:link w:val="1304"/>
    <w:uiPriority w:val="9"/>
    <w:qFormat/>
    <w:rPr>
      <w:rFonts w:ascii="Arial" w:hAnsi="Arial" w:eastAsia="Arial" w:cs="Arial"/>
      <w:sz w:val="34"/>
    </w:rPr>
  </w:style>
  <w:style w:type="character" w:styleId="1337" w:customStyle="1">
    <w:name w:val="Heading 3 Char"/>
    <w:link w:val="1305"/>
    <w:uiPriority w:val="9"/>
    <w:qFormat/>
    <w:rPr>
      <w:rFonts w:ascii="Arial" w:hAnsi="Arial" w:eastAsia="Arial" w:cs="Arial"/>
      <w:sz w:val="30"/>
      <w:szCs w:val="30"/>
    </w:rPr>
  </w:style>
  <w:style w:type="character" w:styleId="1338" w:customStyle="1">
    <w:name w:val="Heading 4 Char"/>
    <w:link w:val="1306"/>
    <w:uiPriority w:val="9"/>
    <w:qFormat/>
    <w:rPr>
      <w:rFonts w:ascii="Arial" w:hAnsi="Arial" w:eastAsia="Arial" w:cs="Arial"/>
      <w:b/>
      <w:bCs/>
      <w:sz w:val="26"/>
      <w:szCs w:val="26"/>
    </w:rPr>
  </w:style>
  <w:style w:type="character" w:styleId="1339" w:customStyle="1">
    <w:name w:val="Heading 5 Char"/>
    <w:link w:val="1307"/>
    <w:uiPriority w:val="9"/>
    <w:qFormat/>
    <w:rPr>
      <w:rFonts w:ascii="Arial" w:hAnsi="Arial" w:eastAsia="Arial" w:cs="Arial"/>
      <w:b/>
      <w:bCs/>
      <w:sz w:val="24"/>
      <w:szCs w:val="24"/>
    </w:rPr>
  </w:style>
  <w:style w:type="character" w:styleId="1340" w:customStyle="1">
    <w:name w:val="Heading 6 Char"/>
    <w:link w:val="1308"/>
    <w:uiPriority w:val="9"/>
    <w:qFormat/>
    <w:rPr>
      <w:rFonts w:ascii="Arial" w:hAnsi="Arial" w:eastAsia="Arial" w:cs="Arial"/>
      <w:b/>
      <w:bCs/>
      <w:sz w:val="22"/>
      <w:szCs w:val="22"/>
    </w:rPr>
  </w:style>
  <w:style w:type="character" w:styleId="1341" w:customStyle="1">
    <w:name w:val="Heading 7 Char"/>
    <w:link w:val="1309"/>
    <w:uiPriority w:val="9"/>
    <w:qFormat/>
    <w:rPr>
      <w:rFonts w:ascii="Arial" w:hAnsi="Arial" w:eastAsia="Arial" w:cs="Arial"/>
      <w:b/>
      <w:bCs/>
      <w:i/>
      <w:iCs/>
      <w:sz w:val="22"/>
      <w:szCs w:val="22"/>
    </w:rPr>
  </w:style>
  <w:style w:type="character" w:styleId="1342" w:customStyle="1">
    <w:name w:val="Heading 8 Char"/>
    <w:link w:val="1310"/>
    <w:uiPriority w:val="9"/>
    <w:qFormat/>
    <w:rPr>
      <w:rFonts w:ascii="Arial" w:hAnsi="Arial" w:eastAsia="Arial" w:cs="Arial"/>
      <w:i/>
      <w:iCs/>
      <w:sz w:val="22"/>
      <w:szCs w:val="22"/>
    </w:rPr>
  </w:style>
  <w:style w:type="character" w:styleId="1343" w:customStyle="1">
    <w:name w:val="Heading 9 Char"/>
    <w:link w:val="1311"/>
    <w:uiPriority w:val="9"/>
    <w:qFormat/>
    <w:rPr>
      <w:rFonts w:ascii="Arial" w:hAnsi="Arial" w:eastAsia="Arial" w:cs="Arial"/>
      <w:i/>
      <w:iCs/>
      <w:sz w:val="21"/>
      <w:szCs w:val="21"/>
    </w:rPr>
  </w:style>
  <w:style w:type="paragraph" w:styleId="1344">
    <w:name w:val="List Paragraph"/>
    <w:basedOn w:val="1302"/>
    <w:uiPriority w:val="34"/>
    <w:qFormat/>
    <w:pPr>
      <w:contextualSpacing/>
      <w:ind w:left="720"/>
    </w:pPr>
  </w:style>
  <w:style w:type="paragraph" w:styleId="1345">
    <w:name w:val="No Spacing"/>
    <w:uiPriority w:val="1"/>
    <w:qFormat/>
    <w:pPr>
      <w:spacing w:before="0" w:after="0" w:line="240" w:lineRule="auto"/>
    </w:pPr>
    <w:rPr>
      <w:rFonts w:hint="default" w:ascii="Times New Roman" w:hAnsi="Times New Roman" w:eastAsia="宋体" w:cs="Times New Roman"/>
    </w:rPr>
  </w:style>
  <w:style w:type="character" w:styleId="1346" w:customStyle="1">
    <w:name w:val="Title Char"/>
    <w:link w:val="1330"/>
    <w:uiPriority w:val="10"/>
    <w:qFormat/>
    <w:rPr>
      <w:sz w:val="48"/>
      <w:szCs w:val="48"/>
    </w:rPr>
  </w:style>
  <w:style w:type="character" w:styleId="1347" w:customStyle="1">
    <w:name w:val="Subtitle Char"/>
    <w:link w:val="1324"/>
    <w:uiPriority w:val="11"/>
    <w:qFormat/>
    <w:rPr>
      <w:sz w:val="24"/>
      <w:szCs w:val="24"/>
    </w:rPr>
  </w:style>
  <w:style w:type="paragraph" w:styleId="1348">
    <w:name w:val="Quote"/>
    <w:basedOn w:val="1302"/>
    <w:next w:val="1302"/>
    <w:link w:val="1349"/>
    <w:uiPriority w:val="29"/>
    <w:qFormat/>
    <w:pPr>
      <w:ind w:left="720" w:right="720"/>
    </w:pPr>
    <w:rPr>
      <w:i/>
    </w:rPr>
  </w:style>
  <w:style w:type="character" w:styleId="1349" w:customStyle="1">
    <w:name w:val="Quote Char"/>
    <w:link w:val="1348"/>
    <w:uiPriority w:val="29"/>
    <w:qFormat/>
    <w:rPr>
      <w:i/>
    </w:rPr>
  </w:style>
  <w:style w:type="paragraph" w:styleId="1350">
    <w:name w:val="Intense Quote"/>
    <w:basedOn w:val="1302"/>
    <w:next w:val="1302"/>
    <w:link w:val="13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1" w:customStyle="1">
    <w:name w:val="Intense Quote Char"/>
    <w:link w:val="1350"/>
    <w:uiPriority w:val="30"/>
    <w:qFormat/>
    <w:rPr>
      <w:i/>
    </w:rPr>
  </w:style>
  <w:style w:type="character" w:styleId="1352" w:customStyle="1">
    <w:name w:val="Header Char"/>
    <w:link w:val="1321"/>
    <w:uiPriority w:val="99"/>
    <w:qFormat/>
  </w:style>
  <w:style w:type="character" w:styleId="1353" w:customStyle="1">
    <w:name w:val="Footer Char"/>
    <w:link w:val="1320"/>
    <w:uiPriority w:val="99"/>
    <w:qFormat/>
  </w:style>
  <w:style w:type="character" w:styleId="1354" w:customStyle="1">
    <w:name w:val="Caption Char"/>
    <w:link w:val="1320"/>
    <w:uiPriority w:val="99"/>
    <w:qFormat/>
  </w:style>
  <w:style w:type="table" w:styleId="13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3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3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4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3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4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4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4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80" w:customStyle="1">
    <w:name w:val="Footnote Text Char"/>
    <w:link w:val="1325"/>
    <w:uiPriority w:val="99"/>
    <w:qFormat/>
    <w:rPr>
      <w:sz w:val="18"/>
    </w:rPr>
  </w:style>
  <w:style w:type="character" w:styleId="1481" w:customStyle="1">
    <w:name w:val="Endnote Text Char"/>
    <w:link w:val="1319"/>
    <w:uiPriority w:val="99"/>
    <w:rPr>
      <w:sz w:val="20"/>
    </w:rPr>
  </w:style>
  <w:style w:type="paragraph" w:styleId="1482" w:customStyle="1">
    <w:name w:val="TOC Heading"/>
    <w:uiPriority w:val="39"/>
    <w:unhideWhenUsed/>
    <w:qFormat/>
    <w:rPr>
      <w:rFonts w:hint="default" w:ascii="Times New Roman" w:hAnsi="Times New Roman" w:eastAsia="宋体" w:cs="Times New Roman"/>
    </w:rPr>
  </w:style>
  <w:style w:type="paragraph" w:styleId="1483" w:customStyle="1">
    <w:name w:val="标题 211"/>
    <w:basedOn w:val="1302"/>
    <w:next w:val="1484"/>
    <w:link w:val="1488"/>
    <w:uiPriority w:val="0"/>
    <w:qFormat/>
    <w:pPr>
      <w:jc w:val="center"/>
      <w:keepLines/>
      <w:keepNext/>
      <w:spacing w:before="120" w:line="300" w:lineRule="auto"/>
      <w:outlineLvl w:val="1"/>
    </w:pPr>
    <w:rPr>
      <w:rFonts w:ascii="Arial" w:hAnsi="Arial" w:eastAsia="黑体"/>
      <w:b/>
      <w:sz w:val="30"/>
      <w:szCs w:val="20"/>
    </w:rPr>
  </w:style>
  <w:style w:type="paragraph" w:styleId="1484" w:customStyle="1">
    <w:name w:val="正文缩进1"/>
    <w:basedOn w:val="1302"/>
    <w:link w:val="1489"/>
    <w:uiPriority w:val="0"/>
    <w:qFormat/>
    <w:pPr>
      <w:ind w:firstLine="420"/>
      <w:jc w:val="left"/>
    </w:pPr>
    <w:rPr>
      <w:rFonts w:ascii="宋体" w:hAnsi="Times New Roman" w:eastAsia="宋体"/>
      <w:sz w:val="24"/>
      <w:szCs w:val="24"/>
    </w:rPr>
  </w:style>
  <w:style w:type="paragraph" w:styleId="1485" w:customStyle="1">
    <w:name w:val="标题 311"/>
    <w:basedOn w:val="1302"/>
    <w:next w:val="1484"/>
    <w:link w:val="1490"/>
    <w:uiPriority w:val="0"/>
    <w:qFormat/>
    <w:pPr>
      <w:jc w:val="left"/>
      <w:keepLines/>
      <w:keepNext/>
      <w:spacing w:before="360" w:after="120"/>
      <w:outlineLvl w:val="2"/>
    </w:pPr>
    <w:rPr>
      <w:rFonts w:ascii="宋体" w:hAnsi="Times New Roman" w:eastAsia="宋体"/>
      <w:b/>
      <w:sz w:val="24"/>
      <w:szCs w:val="20"/>
      <w:u w:val="single"/>
    </w:rPr>
  </w:style>
  <w:style w:type="character" w:styleId="1486" w:customStyle="1">
    <w:name w:val="默认段落字体1"/>
    <w:link w:val="1302"/>
    <w:uiPriority w:val="1"/>
    <w:unhideWhenUsed/>
    <w:qFormat/>
  </w:style>
  <w:style w:type="table" w:styleId="1487" w:customStyle="1">
    <w:name w:val="普通表格1"/>
    <w:uiPriority w:val="99"/>
    <w:unhideWhenUsed/>
    <w:qFormat/>
    <w:tblPr/>
  </w:style>
  <w:style w:type="character" w:styleId="1488" w:customStyle="1">
    <w:name w:val="标题 2 字符1"/>
    <w:link w:val="1483"/>
    <w:uiPriority w:val="0"/>
    <w:qFormat/>
    <w:rPr>
      <w:rFonts w:ascii="Arial" w:hAnsi="Arial" w:eastAsia="黑体"/>
      <w:b/>
      <w:sz w:val="30"/>
    </w:rPr>
  </w:style>
  <w:style w:type="character" w:styleId="1489" w:customStyle="1">
    <w:name w:val="正文缩进 字符"/>
    <w:link w:val="1484"/>
    <w:uiPriority w:val="0"/>
    <w:qFormat/>
    <w:rPr>
      <w:rFonts w:ascii="宋体" w:hAnsi="Times New Roman" w:eastAsia="宋体"/>
      <w:sz w:val="24"/>
      <w:szCs w:val="24"/>
    </w:rPr>
  </w:style>
  <w:style w:type="character" w:styleId="1490" w:customStyle="1">
    <w:name w:val="标题 3 字符1"/>
    <w:link w:val="1485"/>
    <w:uiPriority w:val="0"/>
    <w:qFormat/>
    <w:rPr>
      <w:rFonts w:ascii="宋体" w:hAnsi="Times New Roman" w:eastAsia="宋体"/>
      <w:b/>
      <w:sz w:val="24"/>
      <w:u w:val="single"/>
    </w:rPr>
  </w:style>
  <w:style w:type="paragraph" w:styleId="1491" w:customStyle="1">
    <w:name w:val="批注文字1"/>
    <w:basedOn w:val="1302"/>
    <w:uiPriority w:val="0"/>
    <w:qFormat/>
    <w:pPr>
      <w:jc w:val="left"/>
    </w:pPr>
    <w:rPr>
      <w:rFonts w:ascii="Times New Roman" w:hAnsi="Times New Roman"/>
    </w:rPr>
  </w:style>
  <w:style w:type="paragraph" w:styleId="1492" w:customStyle="1">
    <w:name w:val="正文文本11"/>
    <w:basedOn w:val="1302"/>
    <w:link w:val="1493"/>
    <w:uiPriority w:val="0"/>
    <w:qFormat/>
    <w:pPr>
      <w:spacing w:before="120" w:line="22" w:lineRule="atLeast"/>
      <w:tabs>
        <w:tab w:val="left" w:pos="567" w:leader="none"/>
      </w:tabs>
    </w:pPr>
    <w:rPr>
      <w:rFonts w:ascii="宋体" w:hAnsi="宋体" w:eastAsia="宋体"/>
      <w:sz w:val="24"/>
      <w:szCs w:val="24"/>
    </w:rPr>
  </w:style>
  <w:style w:type="character" w:styleId="1493" w:customStyle="1">
    <w:name w:val="正文文本 字符1"/>
    <w:link w:val="1492"/>
    <w:uiPriority w:val="0"/>
    <w:qFormat/>
    <w:rPr>
      <w:rFonts w:ascii="宋体" w:hAnsi="宋体" w:eastAsia="宋体"/>
      <w:sz w:val="24"/>
      <w:szCs w:val="24"/>
    </w:rPr>
  </w:style>
  <w:style w:type="paragraph" w:styleId="1494" w:customStyle="1">
    <w:name w:val="正文文本缩进1"/>
    <w:basedOn w:val="1302"/>
    <w:uiPriority w:val="0"/>
    <w:qFormat/>
    <w:pPr>
      <w:ind w:firstLine="640"/>
    </w:pPr>
    <w:rPr>
      <w:rFonts w:ascii="仿宋_GB2312" w:hAnsi="Arial" w:eastAsia="仿宋_GB2312"/>
      <w:sz w:val="32"/>
      <w:szCs w:val="32"/>
    </w:rPr>
  </w:style>
  <w:style w:type="paragraph" w:styleId="1495" w:customStyle="1">
    <w:name w:val="纯文本11"/>
    <w:basedOn w:val="1302"/>
    <w:link w:val="1496"/>
    <w:uiPriority w:val="0"/>
    <w:qFormat/>
    <w:rPr>
      <w:rFonts w:ascii="宋体" w:hAnsi="Courier New" w:eastAsia="宋体"/>
      <w:szCs w:val="20"/>
    </w:rPr>
  </w:style>
  <w:style w:type="character" w:styleId="1496" w:customStyle="1">
    <w:name w:val="纯文本 字符1"/>
    <w:link w:val="1495"/>
    <w:uiPriority w:val="0"/>
    <w:qFormat/>
    <w:rPr>
      <w:rFonts w:ascii="宋体" w:hAnsi="Courier New" w:eastAsia="宋体"/>
      <w:sz w:val="21"/>
    </w:rPr>
  </w:style>
  <w:style w:type="paragraph" w:styleId="1497" w:customStyle="1">
    <w:name w:val="页脚11"/>
    <w:basedOn w:val="1302"/>
    <w:link w:val="1498"/>
    <w:uiPriority w:val="99"/>
    <w:qFormat/>
    <w:pPr>
      <w:jc w:val="left"/>
      <w:tabs>
        <w:tab w:val="center" w:pos="4153" w:leader="none"/>
        <w:tab w:val="right" w:pos="8306" w:leader="none"/>
      </w:tabs>
    </w:pPr>
    <w:rPr>
      <w:rFonts w:ascii="宋体" w:hAnsi="Times New Roman" w:eastAsia="宋体"/>
      <w:sz w:val="18"/>
      <w:szCs w:val="20"/>
    </w:rPr>
  </w:style>
  <w:style w:type="character" w:styleId="1498" w:customStyle="1">
    <w:name w:val="页脚 字符1"/>
    <w:link w:val="1497"/>
    <w:uiPriority w:val="99"/>
    <w:qFormat/>
    <w:rPr>
      <w:rFonts w:ascii="宋体" w:hAnsi="Times New Roman" w:eastAsia="宋体"/>
      <w:sz w:val="18"/>
    </w:rPr>
  </w:style>
  <w:style w:type="paragraph" w:styleId="1499" w:customStyle="1">
    <w:name w:val="页眉11"/>
    <w:basedOn w:val="1302"/>
    <w:link w:val="1500"/>
    <w:uiPriority w:val="0"/>
    <w:qFormat/>
    <w:pPr>
      <w:jc w:val="center"/>
      <w:tabs>
        <w:tab w:val="center" w:pos="4153" w:leader="none"/>
        <w:tab w:val="right" w:pos="8306" w:leader="none"/>
      </w:tabs>
    </w:pPr>
    <w:rPr>
      <w:rFonts w:ascii="Times New Roman" w:hAnsi="Times New Roman" w:eastAsia="宋体"/>
      <w:sz w:val="18"/>
      <w:szCs w:val="18"/>
    </w:rPr>
  </w:style>
  <w:style w:type="character" w:styleId="1500" w:customStyle="1">
    <w:name w:val="页眉 字符1"/>
    <w:link w:val="1499"/>
    <w:uiPriority w:val="0"/>
    <w:qFormat/>
    <w:rPr>
      <w:rFonts w:ascii="Times New Roman" w:hAnsi="Times New Roman" w:eastAsia="宋体"/>
      <w:sz w:val="18"/>
      <w:szCs w:val="18"/>
    </w:rPr>
  </w:style>
  <w:style w:type="paragraph" w:styleId="1501" w:customStyle="1">
    <w:name w:val="目录 411"/>
    <w:basedOn w:val="1302"/>
    <w:next w:val="1302"/>
    <w:uiPriority w:val="0"/>
    <w:qFormat/>
    <w:pPr>
      <w:ind w:left="1260"/>
    </w:pPr>
  </w:style>
  <w:style w:type="paragraph" w:styleId="1502" w:customStyle="1">
    <w:name w:val="普通(网站)1"/>
    <w:basedOn w:val="1302"/>
    <w:uiPriority w:val="0"/>
    <w:qFormat/>
    <w:pPr>
      <w:ind w:left="0" w:right="0"/>
      <w:jc w:val="left"/>
      <w:spacing w:before="100" w:beforeAutospacing="1" w:after="100" w:afterAutospacing="1"/>
    </w:pPr>
    <w:rPr>
      <w:sz w:val="24"/>
      <w:lang w:val="en-US" w:eastAsia="zh-CN" w:bidi="ar"/>
    </w:rPr>
  </w:style>
  <w:style w:type="character" w:styleId="1503" w:customStyle="1">
    <w:name w:val="页码11"/>
    <w:link w:val="1302"/>
    <w:uiPriority w:val="0"/>
    <w:qFormat/>
  </w:style>
  <w:style w:type="character" w:styleId="1504" w:customStyle="1">
    <w:name w:val="超链接11"/>
    <w:link w:val="1302"/>
    <w:uiPriority w:val="99"/>
    <w:qFormat/>
    <w:rPr>
      <w:color w:val="0000ff"/>
      <w:u w:val="single"/>
    </w:rPr>
  </w:style>
  <w:style w:type="character" w:styleId="1505" w:customStyle="1">
    <w:name w:val="批注引用1"/>
    <w:link w:val="1302"/>
    <w:uiPriority w:val="99"/>
    <w:qFormat/>
    <w:rPr>
      <w:rFonts w:ascii="Calibri" w:hAnsi="Calibri" w:eastAsia="宋体" w:cs="Times New Roman"/>
      <w:sz w:val="21"/>
      <w:szCs w:val="21"/>
    </w:rPr>
  </w:style>
  <w:style w:type="paragraph" w:styleId="150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507" w:customStyle="1">
    <w:name w:val="纯文本1"/>
    <w:basedOn w:val="1302"/>
    <w:next w:val="1501"/>
    <w:uiPriority w:val="99"/>
    <w:qFormat/>
    <w:rPr>
      <w:rFonts w:hint="eastAsia" w:ascii="宋体" w:hAnsi="Courier New"/>
      <w:szCs w:val="20"/>
    </w:rPr>
  </w:style>
  <w:style w:type="character" w:styleId="1508" w:customStyle="1">
    <w:name w:val="页码1"/>
    <w:link w:val="1302"/>
    <w:uiPriority w:val="0"/>
    <w:qFormat/>
  </w:style>
  <w:style w:type="character" w:styleId="1509" w:customStyle="1">
    <w:name w:val="正文文本 字符"/>
    <w:link w:val="1302"/>
    <w:uiPriority w:val="99"/>
    <w:semiHidden/>
    <w:qFormat/>
    <w:rPr>
      <w:sz w:val="21"/>
      <w:szCs w:val="22"/>
    </w:rPr>
  </w:style>
  <w:style w:type="character" w:styleId="1510" w:customStyle="1">
    <w:name w:val="纯文本 字符"/>
    <w:link w:val="1302"/>
    <w:uiPriority w:val="99"/>
    <w:semiHidden/>
    <w:qFormat/>
    <w:rPr>
      <w:rFonts w:ascii="宋体" w:hAnsi="Courier New" w:eastAsia="宋体" w:cs="Courier New"/>
      <w:sz w:val="21"/>
      <w:szCs w:val="21"/>
    </w:rPr>
  </w:style>
  <w:style w:type="character" w:styleId="1511" w:customStyle="1">
    <w:name w:val="页脚 字符"/>
    <w:link w:val="1302"/>
    <w:uiPriority w:val="99"/>
    <w:semiHidden/>
    <w:qFormat/>
    <w:rPr>
      <w:sz w:val="18"/>
      <w:szCs w:val="18"/>
    </w:rPr>
  </w:style>
  <w:style w:type="character" w:styleId="1512" w:customStyle="1">
    <w:name w:val="成文日期 Char"/>
    <w:link w:val="1513"/>
    <w:uiPriority w:val="0"/>
    <w:qFormat/>
    <w:rPr>
      <w:rFonts w:ascii="仿宋_GB2312" w:hAnsi="Times New Roman" w:eastAsia="仿宋_GB2312"/>
      <w:sz w:val="32"/>
    </w:rPr>
  </w:style>
  <w:style w:type="paragraph" w:styleId="1513" w:customStyle="1">
    <w:name w:val="成文日期"/>
    <w:basedOn w:val="1302"/>
    <w:link w:val="1512"/>
    <w:uiPriority w:val="0"/>
    <w:qFormat/>
    <w:pPr>
      <w:ind w:right="400" w:firstLine="200"/>
      <w:jc w:val="right"/>
      <w:spacing w:line="570" w:lineRule="exact"/>
    </w:pPr>
    <w:rPr>
      <w:rFonts w:ascii="仿宋_GB2312" w:hAnsi="Times New Roman" w:eastAsia="仿宋_GB2312"/>
      <w:sz w:val="32"/>
      <w:szCs w:val="20"/>
    </w:rPr>
  </w:style>
  <w:style w:type="character" w:styleId="1514" w:customStyle="1">
    <w:name w:val="CharAttribute5"/>
    <w:link w:val="1302"/>
    <w:uiPriority w:val="0"/>
    <w:qFormat/>
    <w:rPr>
      <w:rFonts w:ascii="楷体_GB2312" w:hAnsi="Calibri" w:eastAsia="楷体_GB2312" w:cs="Times New Roman"/>
      <w:sz w:val="24"/>
    </w:rPr>
  </w:style>
  <w:style w:type="character" w:styleId="1515" w:customStyle="1">
    <w:name w:val="页眉 字符"/>
    <w:link w:val="1302"/>
    <w:uiPriority w:val="99"/>
    <w:semiHidden/>
    <w:qFormat/>
    <w:rPr>
      <w:sz w:val="18"/>
      <w:szCs w:val="18"/>
    </w:rPr>
  </w:style>
  <w:style w:type="character" w:styleId="1516" w:customStyle="1">
    <w:name w:val="标题 3 字符"/>
    <w:link w:val="1302"/>
    <w:uiPriority w:val="9"/>
    <w:semiHidden/>
    <w:qFormat/>
    <w:rPr>
      <w:b/>
      <w:bCs/>
      <w:sz w:val="32"/>
      <w:szCs w:val="32"/>
    </w:rPr>
  </w:style>
  <w:style w:type="character" w:styleId="1517" w:customStyle="1">
    <w:name w:val="列表段落 字符"/>
    <w:link w:val="1518"/>
    <w:uiPriority w:val="34"/>
    <w:qFormat/>
    <w:rPr>
      <w:rFonts w:ascii="Calibri" w:hAnsi="Calibri"/>
    </w:rPr>
  </w:style>
  <w:style w:type="paragraph" w:styleId="1518" w:customStyle="1">
    <w:name w:val="列表段落"/>
    <w:basedOn w:val="1302"/>
    <w:link w:val="1517"/>
    <w:uiPriority w:val="34"/>
    <w:qFormat/>
    <w:pPr>
      <w:ind w:firstLine="420"/>
    </w:pPr>
    <w:rPr>
      <w:rFonts w:ascii="Calibri" w:hAnsi="Calibri"/>
      <w:sz w:val="20"/>
      <w:szCs w:val="20"/>
    </w:rPr>
  </w:style>
  <w:style w:type="character" w:styleId="1519" w:customStyle="1">
    <w:name w:val="标题 2 字符"/>
    <w:link w:val="1302"/>
    <w:uiPriority w:val="9"/>
    <w:semiHidden/>
    <w:qFormat/>
    <w:rPr>
      <w:rFonts w:ascii="等线 Light" w:hAnsi="等线 Light" w:eastAsia="等线 Light" w:cs="Times New Roman"/>
      <w:b/>
      <w:bCs/>
      <w:sz w:val="32"/>
      <w:szCs w:val="32"/>
    </w:rPr>
  </w:style>
  <w:style w:type="paragraph" w:styleId="1520" w:customStyle="1">
    <w:name w:val="ParaAttribute4"/>
    <w:uiPriority w:val="0"/>
    <w:qFormat/>
    <w:pPr>
      <w:ind w:firstLine="480"/>
      <w:jc w:val="both"/>
      <w:spacing w:line="400" w:lineRule="exact"/>
      <w:widowControl w:val="off"/>
    </w:pPr>
    <w:rPr>
      <w:rFonts w:hint="default" w:ascii="Times New Roman" w:hAnsi="Times New Roman" w:eastAsia="Batang" w:cs="Times New Roman"/>
      <w:sz w:val="21"/>
      <w:szCs w:val="22"/>
      <w:lang w:val="en-US" w:eastAsia="zh-CN" w:bidi="ar-SA"/>
    </w:rPr>
  </w:style>
  <w:style w:type="paragraph" w:styleId="1521"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522" w:customStyle="1">
    <w:name w:val="Table Paragraph"/>
    <w:basedOn w:val="1302"/>
    <w:uiPriority w:val="1"/>
    <w:qFormat/>
    <w:pPr>
      <w:jc w:val="left"/>
    </w:pPr>
    <w:rPr>
      <w:rFonts w:ascii="宋体" w:hAnsi="宋体" w:eastAsia="宋体" w:cs="宋体"/>
      <w:sz w:val="22"/>
      <w:lang w:eastAsia="en-US"/>
    </w:rPr>
  </w:style>
  <w:style w:type="paragraph" w:styleId="1523" w:customStyle="1">
    <w:name w:val="_Style 9"/>
    <w:basedOn w:val="1302"/>
    <w:next w:val="1302"/>
    <w:uiPriority w:val="39"/>
    <w:qFormat/>
    <w:pPr>
      <w:spacing w:line="300" w:lineRule="auto"/>
      <w:tabs>
        <w:tab w:val="left" w:pos="1050" w:leader="none"/>
        <w:tab w:val="right" w:pos="8937" w:leader="dot"/>
      </w:tabs>
    </w:pPr>
    <w:rPr>
      <w:rFonts w:ascii="宋体" w:hAnsi="宋体" w:eastAsia="宋体"/>
      <w:b/>
      <w:sz w:val="24"/>
      <w:szCs w:val="24"/>
    </w:rPr>
  </w:style>
  <w:style w:type="paragraph" w:styleId="1524" w:customStyle="1">
    <w:name w:val="标题 21"/>
    <w:basedOn w:val="1302"/>
    <w:next w:val="1525"/>
    <w:uiPriority w:val="0"/>
    <w:qFormat/>
    <w:pPr>
      <w:jc w:val="center"/>
      <w:keepLines/>
      <w:keepNext/>
      <w:spacing w:before="120" w:line="300" w:lineRule="auto"/>
      <w:outlineLvl w:val="1"/>
    </w:pPr>
    <w:rPr>
      <w:rFonts w:ascii="Arial" w:hAnsi="Arial" w:eastAsia="黑体"/>
      <w:b/>
      <w:sz w:val="30"/>
      <w:szCs w:val="20"/>
    </w:rPr>
  </w:style>
  <w:style w:type="paragraph" w:styleId="1525" w:customStyle="1">
    <w:name w:val="正文缩进11"/>
    <w:basedOn w:val="1302"/>
    <w:uiPriority w:val="99"/>
    <w:qFormat/>
    <w:pPr>
      <w:ind w:firstLine="420"/>
      <w:jc w:val="left"/>
    </w:pPr>
    <w:rPr>
      <w:rFonts w:ascii="宋体"/>
      <w:sz w:val="24"/>
    </w:rPr>
  </w:style>
  <w:style w:type="paragraph" w:styleId="1526" w:customStyle="1">
    <w:name w:val="目录 41"/>
    <w:basedOn w:val="1302"/>
    <w:next w:val="1302"/>
    <w:uiPriority w:val="0"/>
    <w:qFormat/>
    <w:pPr>
      <w:ind w:left="1260"/>
    </w:pPr>
  </w:style>
  <w:style w:type="character" w:styleId="1527" w:customStyle="1">
    <w:name w:val="超链接1"/>
    <w:link w:val="1302"/>
    <w:uiPriority w:val="99"/>
    <w:qFormat/>
    <w:rPr>
      <w:sz w:val="21"/>
      <w:szCs w:val="22"/>
      <w:lang w:val="en-US" w:eastAsia="zh-CN" w:bidi="ar-SA"/>
    </w:rPr>
  </w:style>
  <w:style w:type="paragraph" w:styleId="1528" w:customStyle="1">
    <w:name w:val="页眉1"/>
    <w:basedOn w:val="1302"/>
    <w:uiPriority w:val="0"/>
    <w:qFormat/>
    <w:pPr>
      <w:jc w:val="center"/>
      <w:tabs>
        <w:tab w:val="center" w:pos="4153" w:leader="none"/>
        <w:tab w:val="right" w:pos="8306" w:leader="none"/>
      </w:tabs>
      <w:pBdr>
        <w:bottom w:val="single" w:color="000000" w:sz="6" w:space="1"/>
      </w:pBdr>
    </w:pPr>
    <w:rPr>
      <w:sz w:val="18"/>
      <w:szCs w:val="18"/>
    </w:rPr>
  </w:style>
  <w:style w:type="paragraph" w:styleId="1529" w:customStyle="1">
    <w:name w:val="页脚1"/>
    <w:basedOn w:val="1302"/>
    <w:uiPriority w:val="99"/>
    <w:qFormat/>
    <w:pPr>
      <w:jc w:val="left"/>
      <w:tabs>
        <w:tab w:val="center" w:pos="4153" w:leader="none"/>
        <w:tab w:val="right" w:pos="8306" w:leader="none"/>
      </w:tabs>
    </w:pPr>
    <w:rPr>
      <w:rFonts w:ascii="宋体"/>
      <w:sz w:val="18"/>
      <w:szCs w:val="20"/>
    </w:rPr>
  </w:style>
  <w:style w:type="paragraph" w:styleId="1530" w:customStyle="1">
    <w:name w:val="标题 31"/>
    <w:basedOn w:val="1302"/>
    <w:next w:val="1525"/>
    <w:uiPriority w:val="0"/>
    <w:qFormat/>
    <w:pPr>
      <w:jc w:val="left"/>
      <w:keepLines/>
      <w:keepNext/>
      <w:spacing w:before="360" w:after="120"/>
      <w:outlineLvl w:val="2"/>
    </w:pPr>
    <w:rPr>
      <w:rFonts w:ascii="宋体"/>
      <w:b/>
      <w:sz w:val="24"/>
      <w:szCs w:val="20"/>
      <w:u w:val="single"/>
    </w:rPr>
  </w:style>
  <w:style w:type="paragraph" w:styleId="1531" w:customStyle="1">
    <w:name w:val="正文文本1"/>
    <w:basedOn w:val="1302"/>
    <w:uiPriority w:val="0"/>
    <w:qFormat/>
    <w:pPr>
      <w:spacing w:before="120" w:line="22" w:lineRule="atLeast"/>
      <w:tabs>
        <w:tab w:val="left" w:pos="567" w:leader="none"/>
      </w:tabs>
    </w:pPr>
    <w:rPr>
      <w:rFonts w:ascii="宋体" w:hAnsi="宋体"/>
      <w:sz w:val="24"/>
    </w:rPr>
  </w:style>
  <w:style w:type="numbering" w:styleId="1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customXml" Target="../customXml/item1.xml" /><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孙戴</dc:creator>
  <cp:lastModifiedBy>陈晨</cp:lastModifiedBy>
  <cp:revision>9</cp:revision>
  <dcterms:created xsi:type="dcterms:W3CDTF">2022-12-12T09:25:00Z</dcterms:created>
  <dcterms:modified xsi:type="dcterms:W3CDTF">2026-04-24T08:01:55Z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eyJoZGlkIjoiYzMxN2YyMTM5N2VmMDNhMGJmZTc3YmU5OGZiZWNhYmMiLCJ1c2VySWQiOiIxNTc4MjcyODIzIn0=</vt:lpwstr>
  </property>
  <property fmtid="{D5CDD505-2E9C-101B-9397-08002B2CF9AE}" pid="3" name="KSOProductBuildVer">
    <vt:lpwstr>2052-12.1.0.25865</vt:lpwstr>
  </property>
  <property fmtid="{D5CDD505-2E9C-101B-9397-08002B2CF9AE}" pid="4" name="ICV">
    <vt:lpwstr>5A0F28E4C9014483B41D98A792E60EC3_12</vt:lpwstr>
  </property>
</Properties>
</file>