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line="360" w:lineRule="auto"/>
        <w:jc w:val="center"/>
        <w:rPr>
          <w:rFonts w:ascii="黑体" w:hAnsi="Times New Roman" w:eastAsia="黑体" w:cs="宋体"/>
          <w:b/>
          <w:bCs/>
          <w:color w:val="000000"/>
          <w:kern w:val="0"/>
          <w:sz w:val="32"/>
          <w:szCs w:val="32"/>
        </w:rPr>
      </w:pPr>
      <w:r>
        <w:rPr>
          <w:rFonts w:hint="eastAsia" w:ascii="黑体" w:hAnsi="Times New Roman" w:eastAsia="黑体" w:cs="宋体"/>
          <w:b/>
          <w:bCs/>
          <w:color w:val="000000"/>
          <w:kern w:val="0"/>
          <w:sz w:val="32"/>
          <w:szCs w:val="32"/>
        </w:rPr>
        <w:t>2026、2027年度扬中市城区道路维护项目《工程量清单》</w:t>
      </w:r>
    </w:p>
    <w:p>
      <w:pPr>
        <w:widowControl/>
        <w:snapToGrid w:val="0"/>
        <w:spacing w:before="100" w:beforeAutospacing="1" w:after="100" w:afterAutospacing="1" w:line="360" w:lineRule="auto"/>
        <w:jc w:val="center"/>
        <w:rPr>
          <w:rFonts w:ascii="黑体" w:hAnsi="Times New Roman" w:eastAsia="黑体" w:cs="宋体"/>
          <w:b/>
          <w:bCs/>
          <w:color w:val="000000"/>
          <w:kern w:val="0"/>
          <w:sz w:val="36"/>
          <w:szCs w:val="36"/>
        </w:rPr>
      </w:pPr>
      <w:r>
        <w:rPr>
          <w:rFonts w:hint="eastAsia" w:ascii="黑体" w:hAnsi="Times New Roman" w:eastAsia="黑体" w:cs="宋体"/>
          <w:b/>
          <w:bCs/>
          <w:color w:val="000000"/>
          <w:kern w:val="0"/>
          <w:sz w:val="36"/>
          <w:szCs w:val="36"/>
        </w:rPr>
        <w:t>编</w:t>
      </w:r>
      <w:r>
        <w:rPr>
          <w:rFonts w:ascii="黑体" w:hAnsi="Times New Roman" w:eastAsia="黑体" w:cs="宋体"/>
          <w:b/>
          <w:bCs/>
          <w:color w:val="000000"/>
          <w:kern w:val="0"/>
          <w:sz w:val="36"/>
          <w:szCs w:val="36"/>
        </w:rPr>
        <w:t xml:space="preserve"> </w:t>
      </w:r>
      <w:r>
        <w:rPr>
          <w:rFonts w:hint="eastAsia" w:ascii="黑体" w:hAnsi="Times New Roman" w:eastAsia="黑体" w:cs="宋体"/>
          <w:b/>
          <w:bCs/>
          <w:color w:val="000000"/>
          <w:kern w:val="0"/>
          <w:sz w:val="36"/>
          <w:szCs w:val="36"/>
        </w:rPr>
        <w:t>制</w:t>
      </w:r>
      <w:r>
        <w:rPr>
          <w:rFonts w:ascii="黑体" w:hAnsi="Times New Roman" w:eastAsia="黑体" w:cs="宋体"/>
          <w:b/>
          <w:bCs/>
          <w:color w:val="000000"/>
          <w:kern w:val="0"/>
          <w:sz w:val="36"/>
          <w:szCs w:val="36"/>
        </w:rPr>
        <w:t xml:space="preserve"> </w:t>
      </w:r>
      <w:r>
        <w:rPr>
          <w:rFonts w:hint="eastAsia" w:ascii="黑体" w:hAnsi="Times New Roman" w:eastAsia="黑体" w:cs="宋体"/>
          <w:b/>
          <w:bCs/>
          <w:color w:val="000000"/>
          <w:kern w:val="0"/>
          <w:sz w:val="36"/>
          <w:szCs w:val="36"/>
        </w:rPr>
        <w:t>说</w:t>
      </w:r>
      <w:r>
        <w:rPr>
          <w:rFonts w:ascii="黑体" w:hAnsi="Times New Roman" w:eastAsia="黑体" w:cs="宋体"/>
          <w:b/>
          <w:bCs/>
          <w:color w:val="000000"/>
          <w:kern w:val="0"/>
          <w:sz w:val="36"/>
          <w:szCs w:val="36"/>
        </w:rPr>
        <w:t xml:space="preserve"> </w:t>
      </w:r>
      <w:r>
        <w:rPr>
          <w:rFonts w:hint="eastAsia" w:ascii="黑体" w:hAnsi="Times New Roman" w:eastAsia="黑体" w:cs="宋体"/>
          <w:b/>
          <w:bCs/>
          <w:color w:val="000000"/>
          <w:kern w:val="0"/>
          <w:sz w:val="36"/>
          <w:szCs w:val="36"/>
        </w:rPr>
        <w:t>明</w:t>
      </w:r>
    </w:p>
    <w:p>
      <w:pPr>
        <w:widowControl/>
        <w:snapToGrid w:val="0"/>
        <w:spacing w:before="100" w:beforeAutospacing="1" w:after="100" w:afterAutospacing="1" w:line="360" w:lineRule="auto"/>
        <w:jc w:val="left"/>
        <w:rPr>
          <w:rFonts w:ascii="黑体" w:hAnsi="Times New Roman" w:eastAsia="黑体" w:cs="宋体"/>
          <w:color w:val="000000"/>
          <w:kern w:val="0"/>
          <w:sz w:val="36"/>
          <w:szCs w:val="36"/>
        </w:rPr>
      </w:pPr>
      <w:r>
        <w:rPr>
          <w:rFonts w:ascii="黑体" w:hAnsi="Times New Roman" w:eastAsia="黑体" w:cs="宋体"/>
          <w:color w:val="000000"/>
          <w:kern w:val="0"/>
          <w:sz w:val="36"/>
          <w:szCs w:val="36"/>
        </w:rPr>
        <w:t xml:space="preserve">  </w:t>
      </w:r>
      <w:r>
        <w:rPr>
          <w:rFonts w:hint="eastAsia" w:ascii="黑体" w:hAnsi="Times New Roman" w:eastAsia="黑体" w:cs="宋体"/>
          <w:color w:val="000000"/>
          <w:kern w:val="0"/>
          <w:sz w:val="24"/>
          <w:szCs w:val="24"/>
        </w:rPr>
        <w:t>一、编制依据</w:t>
      </w:r>
    </w:p>
    <w:p>
      <w:pPr>
        <w:widowControl/>
        <w:snapToGrid w:val="0"/>
        <w:spacing w:before="100" w:beforeAutospacing="1" w:after="100" w:afterAutospacing="1" w:line="360" w:lineRule="auto"/>
        <w:ind w:firstLine="480" w:firstLineChars="200"/>
        <w:jc w:val="left"/>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w:t>
      </w:r>
      <w:r>
        <w:rPr>
          <w:rFonts w:hint="eastAsia" w:ascii="宋体" w:hAnsi="宋体"/>
          <w:sz w:val="24"/>
          <w:szCs w:val="24"/>
        </w:rPr>
        <w:t>《建设工程工程量清单计价规范》</w:t>
      </w:r>
      <w:r>
        <w:rPr>
          <w:rFonts w:ascii="宋体" w:hAnsi="宋体"/>
          <w:sz w:val="24"/>
          <w:szCs w:val="24"/>
        </w:rPr>
        <w:t>(GB50500-2013)</w:t>
      </w:r>
      <w:r>
        <w:rPr>
          <w:rFonts w:ascii="宋体" w:hAnsi="宋体" w:cs="宋体"/>
          <w:color w:val="000000"/>
          <w:kern w:val="0"/>
          <w:sz w:val="24"/>
          <w:szCs w:val="24"/>
        </w:rPr>
        <w:t xml:space="preserve"> </w:t>
      </w:r>
      <w:r>
        <w:rPr>
          <w:rFonts w:hint="eastAsia" w:ascii="宋体" w:hAnsi="宋体" w:cs="宋体"/>
          <w:color w:val="000000"/>
          <w:kern w:val="0"/>
          <w:sz w:val="24"/>
          <w:szCs w:val="24"/>
        </w:rPr>
        <w:t>（注：参考）；</w:t>
      </w:r>
    </w:p>
    <w:p>
      <w:pPr>
        <w:widowControl/>
        <w:snapToGrid w:val="0"/>
        <w:spacing w:before="100" w:beforeAutospacing="1" w:after="100" w:afterAutospacing="1" w:line="360" w:lineRule="auto"/>
        <w:ind w:firstLine="480" w:firstLineChars="200"/>
        <w:jc w:val="left"/>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、《江苏省市政设施养护维修定额》（</w:t>
      </w:r>
      <w:r>
        <w:rPr>
          <w:rFonts w:ascii="宋体" w:hAnsi="宋体" w:cs="宋体"/>
          <w:color w:val="000000"/>
          <w:kern w:val="0"/>
          <w:sz w:val="24"/>
          <w:szCs w:val="24"/>
        </w:rPr>
        <w:t>2013</w:t>
      </w:r>
      <w:r>
        <w:rPr>
          <w:rFonts w:hint="eastAsia" w:ascii="宋体" w:hAnsi="宋体" w:cs="宋体"/>
          <w:color w:val="000000"/>
          <w:kern w:val="0"/>
          <w:sz w:val="24"/>
          <w:szCs w:val="24"/>
        </w:rPr>
        <w:t>）；</w:t>
      </w:r>
    </w:p>
    <w:p>
      <w:pPr>
        <w:widowControl/>
        <w:snapToGrid w:val="0"/>
        <w:spacing w:before="100" w:beforeAutospacing="1" w:after="100" w:afterAutospacing="1" w:line="360" w:lineRule="auto"/>
        <w:ind w:firstLine="480" w:firstLineChars="200"/>
        <w:jc w:val="left"/>
        <w:rPr>
          <w:rFonts w:asci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、《江苏省市政工程计价定额》（</w:t>
      </w:r>
      <w:r>
        <w:rPr>
          <w:rFonts w:ascii="宋体" w:hAnsi="宋体" w:cs="宋体"/>
          <w:color w:val="000000"/>
          <w:kern w:val="0"/>
          <w:sz w:val="24"/>
          <w:szCs w:val="24"/>
        </w:rPr>
        <w:t>2014</w:t>
      </w:r>
      <w:r>
        <w:rPr>
          <w:rFonts w:hint="eastAsia" w:ascii="宋体" w:hAnsi="宋体" w:cs="宋体"/>
          <w:color w:val="000000"/>
          <w:kern w:val="0"/>
          <w:sz w:val="24"/>
          <w:szCs w:val="24"/>
        </w:rPr>
        <w:t>）营改增版；</w:t>
      </w:r>
    </w:p>
    <w:p>
      <w:pPr>
        <w:widowControl/>
        <w:snapToGrid w:val="0"/>
        <w:spacing w:before="100" w:beforeAutospacing="1" w:after="100" w:afterAutospacing="1" w:line="360" w:lineRule="auto"/>
        <w:ind w:firstLine="480" w:firstLineChars="200"/>
        <w:jc w:val="left"/>
        <w:rPr>
          <w:rFonts w:ascii="黑体" w:hAnsi="Times New Roman" w:eastAsia="黑体" w:cs="宋体"/>
          <w:color w:val="000000"/>
          <w:kern w:val="0"/>
          <w:sz w:val="24"/>
          <w:szCs w:val="24"/>
        </w:rPr>
      </w:pPr>
      <w:r>
        <w:rPr>
          <w:rFonts w:hint="eastAsia" w:ascii="黑体" w:hAnsi="Times New Roman" w:eastAsia="黑体" w:cs="宋体"/>
          <w:color w:val="000000"/>
          <w:kern w:val="0"/>
          <w:sz w:val="24"/>
          <w:szCs w:val="24"/>
        </w:rPr>
        <w:t>二、执行原则</w:t>
      </w:r>
    </w:p>
    <w:p>
      <w:pPr>
        <w:widowControl/>
        <w:snapToGrid w:val="0"/>
        <w:spacing w:before="100" w:beforeAutospacing="1" w:after="100" w:afterAutospacing="1" w:line="360" w:lineRule="auto"/>
        <w:ind w:firstLine="480" w:firstLineChars="200"/>
        <w:jc w:val="lef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、本工程取费标准按</w:t>
      </w:r>
      <w:bookmarkStart w:id="0" w:name="OLE_LINK1"/>
      <w:r>
        <w:rPr>
          <w:rFonts w:hint="eastAsia" w:ascii="宋体" w:hAnsi="宋体" w:cs="宋体"/>
          <w:color w:val="000000"/>
          <w:kern w:val="0"/>
          <w:sz w:val="24"/>
          <w:szCs w:val="24"/>
        </w:rPr>
        <w:t>苏建城</w:t>
      </w:r>
      <w:r>
        <w:rPr>
          <w:rFonts w:ascii="宋体" w:hAnsi="宋体" w:cs="宋体"/>
          <w:color w:val="000000"/>
          <w:kern w:val="0"/>
          <w:sz w:val="24"/>
          <w:szCs w:val="24"/>
        </w:rPr>
        <w:t>[2014]280</w:t>
      </w:r>
      <w:r>
        <w:rPr>
          <w:rFonts w:hint="eastAsia" w:ascii="宋体" w:hAnsi="宋体" w:cs="宋体"/>
          <w:color w:val="000000"/>
          <w:kern w:val="0"/>
          <w:sz w:val="24"/>
          <w:szCs w:val="24"/>
        </w:rPr>
        <w:t>号文</w:t>
      </w:r>
      <w:bookmarkEnd w:id="0"/>
      <w:r>
        <w:rPr>
          <w:rFonts w:hint="eastAsia" w:ascii="宋体" w:hAnsi="宋体" w:cs="宋体"/>
          <w:color w:val="000000"/>
          <w:kern w:val="0"/>
          <w:sz w:val="24"/>
          <w:szCs w:val="24"/>
        </w:rPr>
        <w:t>、江苏省建设工程费用定额(2014年)营改增版规定执行，税率参照苏建函价[2019]178号文件中增值税一般计税法执行。</w:t>
      </w:r>
    </w:p>
    <w:p>
      <w:pPr>
        <w:framePr w:hSpace="180" w:wrap="around" w:vAnchor="text" w:hAnchor="margin" w:y="30"/>
        <w:spacing w:line="360" w:lineRule="auto"/>
        <w:rPr>
          <w:rFonts w:ascii="宋体" w:hAnsi="宋体" w:cs="宋体"/>
          <w:color w:val="000000"/>
          <w:kern w:val="0"/>
          <w:sz w:val="24"/>
          <w:szCs w:val="24"/>
        </w:rPr>
      </w:pPr>
      <w:r>
        <w:rPr>
          <w:rFonts w:hint="eastAsia" w:ascii="宋体" w:hAnsi="宋体" w:cs="宋体"/>
          <w:color w:val="000000"/>
          <w:kern w:val="0"/>
          <w:sz w:val="24"/>
          <w:szCs w:val="24"/>
        </w:rPr>
        <w:t xml:space="preserve">工程类别:                 </w:t>
      </w:r>
    </w:p>
    <w:p>
      <w:pPr>
        <w:framePr w:hSpace="180" w:wrap="around" w:vAnchor="text" w:hAnchor="margin" w:y="30"/>
        <w:spacing w:line="360" w:lineRule="auto"/>
        <w:rPr>
          <w:rFonts w:ascii="宋体" w:hAnsi="宋体" w:cs="宋体"/>
          <w:color w:val="000000"/>
          <w:kern w:val="0"/>
          <w:sz w:val="24"/>
          <w:szCs w:val="24"/>
        </w:rPr>
      </w:pPr>
      <w:r>
        <w:rPr>
          <w:rFonts w:hint="eastAsia" w:ascii="宋体" w:hAnsi="宋体" w:cs="宋体"/>
          <w:color w:val="000000"/>
          <w:kern w:val="0"/>
          <w:sz w:val="24"/>
          <w:szCs w:val="24"/>
        </w:rPr>
        <w:t>市政设施养护维修工程、市政道路三类工程、市政路灯及交通设施工程</w:t>
      </w:r>
    </w:p>
    <w:p>
      <w:pPr>
        <w:framePr w:hSpace="180" w:wrap="around" w:vAnchor="text" w:hAnchor="margin" w:y="30"/>
        <w:spacing w:line="360" w:lineRule="auto"/>
        <w:rPr>
          <w:rFonts w:ascii="宋体" w:hAnsi="宋体" w:cs="宋体"/>
          <w:color w:val="000000"/>
          <w:kern w:val="0"/>
          <w:sz w:val="24"/>
          <w:szCs w:val="24"/>
        </w:rPr>
      </w:pPr>
      <w:r>
        <w:rPr>
          <w:rFonts w:hint="eastAsia" w:ascii="宋体" w:hAnsi="宋体" w:cs="宋体"/>
          <w:color w:val="000000"/>
          <w:kern w:val="0"/>
          <w:sz w:val="24"/>
          <w:szCs w:val="24"/>
        </w:rPr>
        <w:t>取费标准:</w:t>
      </w:r>
    </w:p>
    <w:p>
      <w:pPr>
        <w:framePr w:hSpace="180" w:wrap="around" w:vAnchor="text" w:hAnchor="margin" w:y="30"/>
        <w:spacing w:line="360" w:lineRule="auto"/>
        <w:rPr>
          <w:rFonts w:ascii="宋体" w:hAnsi="宋体" w:cs="宋体"/>
          <w:color w:val="000000"/>
          <w:kern w:val="0"/>
          <w:sz w:val="24"/>
          <w:szCs w:val="24"/>
        </w:rPr>
      </w:pPr>
      <w:r>
        <w:rPr>
          <w:rFonts w:hint="eastAsia" w:ascii="宋体" w:hAnsi="宋体" w:cs="宋体"/>
          <w:color w:val="000000"/>
          <w:kern w:val="0"/>
          <w:sz w:val="24"/>
          <w:szCs w:val="24"/>
        </w:rPr>
        <w:t>市政设施养护维修工程(维修面积≤400m2)</w:t>
      </w:r>
    </w:p>
    <w:p>
      <w:pPr>
        <w:framePr w:hSpace="180" w:wrap="around" w:vAnchor="text" w:hAnchor="margin" w:y="30"/>
        <w:spacing w:line="360" w:lineRule="auto"/>
        <w:rPr>
          <w:rFonts w:ascii="宋体" w:hAnsi="宋体" w:cs="宋体"/>
          <w:color w:val="000000"/>
          <w:kern w:val="0"/>
          <w:sz w:val="24"/>
          <w:szCs w:val="24"/>
        </w:rPr>
      </w:pPr>
      <w:r>
        <w:rPr>
          <w:rFonts w:hint="eastAsia" w:ascii="宋体" w:hAnsi="宋体" w:cs="宋体"/>
          <w:color w:val="000000"/>
          <w:kern w:val="0"/>
          <w:sz w:val="24"/>
          <w:szCs w:val="24"/>
        </w:rPr>
        <w:t>道路  间接费率:               15.68%</w:t>
      </w:r>
    </w:p>
    <w:p>
      <w:pPr>
        <w:framePr w:hSpace="180" w:wrap="around" w:vAnchor="text" w:hAnchor="margin" w:y="30"/>
        <w:spacing w:line="360" w:lineRule="auto"/>
        <w:ind w:firstLine="720" w:firstLineChars="300"/>
        <w:rPr>
          <w:rFonts w:ascii="宋体" w:hAnsi="宋体" w:cs="宋体"/>
          <w:color w:val="000000"/>
          <w:kern w:val="0"/>
          <w:sz w:val="24"/>
          <w:szCs w:val="24"/>
        </w:rPr>
      </w:pPr>
      <w:r>
        <w:rPr>
          <w:rFonts w:hint="eastAsia" w:ascii="宋体" w:hAnsi="宋体" w:cs="宋体"/>
          <w:color w:val="000000"/>
          <w:kern w:val="0"/>
          <w:sz w:val="24"/>
          <w:szCs w:val="24"/>
        </w:rPr>
        <w:t>利 润 率:                 3.5%</w:t>
      </w:r>
    </w:p>
    <w:p>
      <w:pPr>
        <w:framePr w:hSpace="180" w:wrap="around" w:vAnchor="text" w:hAnchor="margin" w:y="30"/>
        <w:spacing w:line="360" w:lineRule="auto"/>
        <w:ind w:firstLine="720" w:firstLineChars="300"/>
        <w:rPr>
          <w:rFonts w:ascii="宋体" w:hAnsi="宋体" w:cs="宋体"/>
          <w:color w:val="000000"/>
          <w:kern w:val="0"/>
          <w:sz w:val="24"/>
          <w:szCs w:val="24"/>
        </w:rPr>
      </w:pPr>
      <w:r>
        <w:rPr>
          <w:rFonts w:hint="eastAsia" w:ascii="宋体" w:hAnsi="宋体" w:cs="宋体"/>
          <w:color w:val="000000"/>
          <w:kern w:val="0"/>
          <w:sz w:val="24"/>
          <w:szCs w:val="24"/>
        </w:rPr>
        <w:t>措施费率                  4.1%</w:t>
      </w:r>
    </w:p>
    <w:p>
      <w:pPr>
        <w:framePr w:hSpace="180" w:wrap="around" w:vAnchor="text" w:hAnchor="margin" w:y="30"/>
        <w:spacing w:line="360" w:lineRule="auto"/>
        <w:rPr>
          <w:rFonts w:ascii="宋体" w:hAnsi="宋体" w:cs="宋体"/>
          <w:color w:val="000000"/>
          <w:kern w:val="0"/>
          <w:sz w:val="24"/>
          <w:szCs w:val="24"/>
        </w:rPr>
      </w:pPr>
      <w:r>
        <w:rPr>
          <w:rFonts w:hint="eastAsia" w:ascii="宋体" w:hAnsi="宋体" w:cs="宋体"/>
          <w:color w:val="000000"/>
          <w:kern w:val="0"/>
          <w:sz w:val="24"/>
          <w:szCs w:val="24"/>
        </w:rPr>
        <w:t>排水  间接费率:                14.2%</w:t>
      </w:r>
    </w:p>
    <w:p>
      <w:pPr>
        <w:framePr w:hSpace="180" w:wrap="around" w:vAnchor="text" w:hAnchor="margin" w:y="30"/>
        <w:spacing w:line="360" w:lineRule="auto"/>
        <w:ind w:firstLine="720" w:firstLineChars="300"/>
        <w:rPr>
          <w:rFonts w:ascii="宋体" w:hAnsi="宋体" w:cs="宋体"/>
          <w:color w:val="000000"/>
          <w:kern w:val="0"/>
          <w:sz w:val="24"/>
          <w:szCs w:val="24"/>
        </w:rPr>
      </w:pPr>
      <w:r>
        <w:rPr>
          <w:rFonts w:hint="eastAsia" w:ascii="宋体" w:hAnsi="宋体" w:cs="宋体"/>
          <w:color w:val="000000"/>
          <w:kern w:val="0"/>
          <w:sz w:val="24"/>
          <w:szCs w:val="24"/>
        </w:rPr>
        <w:t>利 润 率:                 3.5%</w:t>
      </w:r>
    </w:p>
    <w:p>
      <w:pPr>
        <w:framePr w:hSpace="180" w:wrap="around" w:vAnchor="text" w:hAnchor="margin" w:y="30"/>
        <w:spacing w:line="360" w:lineRule="auto"/>
        <w:ind w:firstLine="720" w:firstLineChars="300"/>
        <w:rPr>
          <w:rFonts w:ascii="宋体" w:hAnsi="宋体" w:cs="宋体"/>
          <w:color w:val="000000"/>
          <w:kern w:val="0"/>
          <w:sz w:val="24"/>
          <w:szCs w:val="24"/>
        </w:rPr>
      </w:pPr>
      <w:r>
        <w:rPr>
          <w:rFonts w:hint="eastAsia" w:ascii="宋体" w:hAnsi="宋体" w:cs="宋体"/>
          <w:color w:val="000000"/>
          <w:kern w:val="0"/>
          <w:sz w:val="24"/>
          <w:szCs w:val="24"/>
        </w:rPr>
        <w:t>措施费率：                6.0%</w:t>
      </w:r>
    </w:p>
    <w:p>
      <w:pPr>
        <w:framePr w:hSpace="180" w:wrap="around" w:vAnchor="text" w:hAnchor="margin" w:y="30"/>
        <w:spacing w:line="360" w:lineRule="auto"/>
        <w:rPr>
          <w:rFonts w:ascii="宋体" w:hAnsi="宋体" w:cs="宋体"/>
          <w:color w:val="000000"/>
          <w:kern w:val="0"/>
          <w:sz w:val="24"/>
          <w:szCs w:val="24"/>
        </w:rPr>
      </w:pPr>
      <w:r>
        <w:rPr>
          <w:rFonts w:hint="eastAsia" w:ascii="宋体" w:hAnsi="宋体" w:cs="宋体"/>
          <w:color w:val="000000"/>
          <w:kern w:val="0"/>
          <w:sz w:val="24"/>
          <w:szCs w:val="24"/>
        </w:rPr>
        <w:t>市政道路工程(维修面积＞400m2)</w:t>
      </w:r>
    </w:p>
    <w:p>
      <w:pPr>
        <w:framePr w:hSpace="180" w:wrap="around" w:vAnchor="text" w:hAnchor="margin" w:y="30"/>
        <w:spacing w:line="360" w:lineRule="auto"/>
        <w:rPr>
          <w:rFonts w:ascii="宋体" w:hAnsi="宋体" w:cs="宋体"/>
          <w:color w:val="000000"/>
          <w:kern w:val="0"/>
          <w:sz w:val="24"/>
          <w:szCs w:val="24"/>
        </w:rPr>
      </w:pPr>
      <w:r>
        <w:rPr>
          <w:rFonts w:hint="eastAsia" w:ascii="宋体" w:hAnsi="宋体" w:cs="宋体"/>
          <w:color w:val="000000"/>
          <w:kern w:val="0"/>
          <w:sz w:val="24"/>
          <w:szCs w:val="24"/>
        </w:rPr>
        <w:t xml:space="preserve">      管理费率：                 20%</w:t>
      </w:r>
    </w:p>
    <w:p>
      <w:pPr>
        <w:framePr w:hSpace="180" w:wrap="around" w:vAnchor="text" w:hAnchor="margin" w:y="30"/>
        <w:spacing w:line="360" w:lineRule="auto"/>
        <w:rPr>
          <w:rFonts w:ascii="宋体" w:hAnsi="宋体" w:cs="宋体"/>
          <w:color w:val="000000"/>
          <w:kern w:val="0"/>
          <w:sz w:val="24"/>
          <w:szCs w:val="24"/>
        </w:rPr>
      </w:pPr>
      <w:r>
        <w:rPr>
          <w:rFonts w:hint="eastAsia" w:ascii="宋体" w:hAnsi="宋体" w:cs="宋体"/>
          <w:color w:val="000000"/>
          <w:kern w:val="0"/>
          <w:sz w:val="24"/>
          <w:szCs w:val="24"/>
        </w:rPr>
        <w:t xml:space="preserve">      利 润 率：                 10%</w:t>
      </w:r>
    </w:p>
    <w:p>
      <w:pPr>
        <w:widowControl/>
        <w:snapToGrid w:val="0"/>
        <w:spacing w:before="100" w:beforeAutospacing="1" w:after="100" w:afterAutospacing="1"/>
        <w:jc w:val="left"/>
        <w:rPr>
          <w:rFonts w:ascii="宋体" w:hAnsi="宋体" w:cs="宋体"/>
          <w:color w:val="000000"/>
          <w:kern w:val="0"/>
          <w:sz w:val="24"/>
          <w:szCs w:val="24"/>
        </w:rPr>
      </w:pPr>
      <w:r>
        <w:rPr>
          <w:rFonts w:hint="eastAsia" w:ascii="宋体" w:hAnsi="宋体" w:cs="宋体"/>
          <w:color w:val="000000"/>
          <w:kern w:val="0"/>
          <w:sz w:val="24"/>
          <w:szCs w:val="24"/>
        </w:rPr>
        <w:t xml:space="preserve">      现场安全文明施工基本费:   1.5%</w:t>
      </w:r>
    </w:p>
    <w:p>
      <w:pPr>
        <w:widowControl/>
        <w:snapToGrid w:val="0"/>
        <w:spacing w:before="100" w:beforeAutospacing="1" w:after="100" w:afterAutospacing="1"/>
        <w:jc w:val="left"/>
        <w:rPr>
          <w:rFonts w:ascii="宋体" w:hAnsi="宋体" w:cs="宋体"/>
          <w:color w:val="000000"/>
          <w:kern w:val="0"/>
          <w:sz w:val="24"/>
          <w:szCs w:val="24"/>
        </w:rPr>
      </w:pPr>
      <w:r>
        <w:rPr>
          <w:rFonts w:hint="eastAsia" w:ascii="宋体" w:hAnsi="宋体" w:cs="宋体"/>
          <w:color w:val="000000"/>
          <w:kern w:val="0"/>
          <w:sz w:val="24"/>
          <w:szCs w:val="24"/>
        </w:rPr>
        <w:t xml:space="preserve">      扬尘污染防治增加费：     0.31%</w:t>
      </w:r>
    </w:p>
    <w:p>
      <w:pPr>
        <w:widowControl/>
        <w:snapToGrid w:val="0"/>
        <w:spacing w:before="100" w:beforeAutospacing="1" w:after="100" w:afterAutospacing="1"/>
        <w:jc w:val="left"/>
        <w:rPr>
          <w:rFonts w:ascii="宋体" w:hAnsi="宋体" w:cs="宋体"/>
          <w:color w:val="000000"/>
          <w:kern w:val="0"/>
          <w:sz w:val="24"/>
          <w:szCs w:val="24"/>
        </w:rPr>
      </w:pPr>
      <w:r>
        <w:rPr>
          <w:rFonts w:hint="eastAsia" w:ascii="宋体" w:hAnsi="宋体" w:cs="宋体"/>
          <w:color w:val="000000"/>
          <w:kern w:val="0"/>
          <w:sz w:val="24"/>
          <w:szCs w:val="24"/>
        </w:rPr>
        <w:t>交通设施(标线)：</w:t>
      </w:r>
    </w:p>
    <w:p>
      <w:pPr>
        <w:framePr w:hSpace="180" w:wrap="around" w:vAnchor="text" w:hAnchor="margin" w:y="30"/>
        <w:rPr>
          <w:rFonts w:ascii="宋体" w:hAnsi="宋体" w:cs="宋体"/>
          <w:color w:val="000000"/>
          <w:kern w:val="0"/>
          <w:sz w:val="24"/>
          <w:szCs w:val="24"/>
        </w:rPr>
      </w:pPr>
      <w:r>
        <w:rPr>
          <w:rFonts w:hint="eastAsia" w:ascii="宋体" w:hAnsi="宋体" w:cs="宋体"/>
          <w:color w:val="000000"/>
          <w:kern w:val="0"/>
          <w:sz w:val="24"/>
          <w:szCs w:val="24"/>
        </w:rPr>
        <w:t xml:space="preserve">      管理费率：                 43%</w:t>
      </w:r>
    </w:p>
    <w:p>
      <w:pPr>
        <w:widowControl/>
        <w:snapToGrid w:val="0"/>
        <w:spacing w:before="100" w:beforeAutospacing="1" w:after="100" w:afterAutospacing="1"/>
        <w:jc w:val="left"/>
        <w:rPr>
          <w:rFonts w:ascii="宋体" w:hAnsi="宋体" w:cs="宋体"/>
          <w:color w:val="000000"/>
          <w:kern w:val="0"/>
          <w:sz w:val="24"/>
          <w:szCs w:val="24"/>
        </w:rPr>
      </w:pPr>
      <w:r>
        <w:rPr>
          <w:rFonts w:hint="eastAsia" w:ascii="宋体" w:hAnsi="宋体" w:cs="宋体"/>
          <w:color w:val="000000"/>
          <w:kern w:val="0"/>
          <w:sz w:val="24"/>
          <w:szCs w:val="24"/>
        </w:rPr>
        <w:t xml:space="preserve">      </w:t>
      </w:r>
    </w:p>
    <w:p>
      <w:pPr>
        <w:widowControl/>
        <w:snapToGrid w:val="0"/>
        <w:spacing w:before="100" w:beforeAutospacing="1" w:after="100" w:afterAutospacing="1"/>
        <w:jc w:val="left"/>
        <w:rPr>
          <w:rFonts w:ascii="宋体" w:hAnsi="宋体" w:cs="宋体"/>
          <w:color w:val="000000"/>
          <w:kern w:val="0"/>
          <w:sz w:val="24"/>
          <w:szCs w:val="24"/>
        </w:rPr>
      </w:pPr>
      <w:r>
        <w:rPr>
          <w:rFonts w:hint="eastAsia" w:ascii="宋体" w:hAnsi="宋体" w:cs="宋体"/>
          <w:color w:val="000000"/>
          <w:kern w:val="0"/>
          <w:sz w:val="24"/>
          <w:szCs w:val="24"/>
        </w:rPr>
        <w:t xml:space="preserve">      利 润 率：                 13%</w:t>
      </w:r>
    </w:p>
    <w:p>
      <w:pPr>
        <w:widowControl/>
        <w:snapToGrid w:val="0"/>
        <w:spacing w:before="100" w:beforeAutospacing="1" w:after="100" w:afterAutospacing="1"/>
        <w:jc w:val="left"/>
        <w:rPr>
          <w:rFonts w:ascii="宋体" w:hAnsi="宋体" w:cs="宋体"/>
          <w:color w:val="000000"/>
          <w:kern w:val="0"/>
          <w:sz w:val="24"/>
          <w:szCs w:val="24"/>
        </w:rPr>
      </w:pPr>
      <w:r>
        <w:rPr>
          <w:rFonts w:hint="eastAsia" w:ascii="宋体" w:hAnsi="宋体" w:cs="宋体"/>
          <w:color w:val="000000"/>
          <w:kern w:val="0"/>
          <w:sz w:val="24"/>
          <w:szCs w:val="24"/>
        </w:rPr>
        <w:t xml:space="preserve">      现场安全文明施工基本费:   1.2%</w:t>
      </w:r>
    </w:p>
    <w:p>
      <w:pPr>
        <w:widowControl/>
        <w:snapToGrid w:val="0"/>
        <w:spacing w:before="100" w:beforeAutospacing="1" w:after="100" w:afterAutospacing="1"/>
        <w:jc w:val="left"/>
        <w:rPr>
          <w:rFonts w:ascii="宋体" w:hAnsi="宋体" w:cs="宋体"/>
          <w:color w:val="000000"/>
          <w:kern w:val="0"/>
          <w:sz w:val="24"/>
          <w:szCs w:val="24"/>
        </w:rPr>
      </w:pPr>
      <w:r>
        <w:rPr>
          <w:rFonts w:hint="eastAsia" w:ascii="宋体" w:hAnsi="宋体" w:cs="宋体"/>
          <w:color w:val="000000"/>
          <w:kern w:val="0"/>
          <w:sz w:val="24"/>
          <w:szCs w:val="24"/>
        </w:rPr>
        <w:t xml:space="preserve">      扬尘污染防治增加费：      0.1%</w:t>
      </w:r>
    </w:p>
    <w:p>
      <w:pPr>
        <w:widowControl/>
        <w:snapToGrid w:val="0"/>
        <w:spacing w:before="100" w:beforeAutospacing="1" w:after="100" w:afterAutospacing="1" w:line="360" w:lineRule="auto"/>
        <w:ind w:firstLine="480" w:firstLineChars="200"/>
        <w:jc w:val="left"/>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、本工程人工工资参照苏建函价[202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27</w:t>
      </w:r>
      <w:r>
        <w:rPr>
          <w:rFonts w:hint="eastAsia" w:ascii="宋体" w:hAnsi="宋体" w:cs="宋体"/>
          <w:color w:val="000000"/>
          <w:kern w:val="0"/>
          <w:sz w:val="24"/>
          <w:szCs w:val="24"/>
        </w:rPr>
        <w:t>号文件执行，材料价格参考</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年《镇江工程造价信息》第</w:t>
      </w:r>
      <w:r>
        <w:rPr>
          <w:rFonts w:hint="eastAsia" w:ascii="宋体" w:hAnsi="宋体" w:cs="宋体"/>
          <w:color w:val="000000"/>
          <w:kern w:val="0"/>
          <w:sz w:val="24"/>
          <w:szCs w:val="24"/>
          <w:u w:val="single"/>
          <w:lang w:val="en-US" w:eastAsia="zh-CN"/>
        </w:rPr>
        <w:t>2</w:t>
      </w:r>
      <w:r>
        <w:rPr>
          <w:rFonts w:hint="eastAsia" w:ascii="宋体" w:hAnsi="宋体" w:cs="宋体"/>
          <w:color w:val="000000"/>
          <w:kern w:val="0"/>
          <w:sz w:val="24"/>
          <w:szCs w:val="24"/>
        </w:rPr>
        <w:t>期的信息指导价</w:t>
      </w:r>
      <w:r>
        <w:rPr>
          <w:rFonts w:ascii="宋体" w:cs="宋体"/>
          <w:color w:val="000000"/>
          <w:kern w:val="0"/>
          <w:sz w:val="24"/>
          <w:szCs w:val="24"/>
        </w:rPr>
        <w:t>,</w:t>
      </w:r>
      <w:r>
        <w:rPr>
          <w:rFonts w:hint="eastAsia" w:ascii="宋体" w:hAnsi="宋体" w:cs="宋体"/>
          <w:color w:val="000000"/>
          <w:kern w:val="0"/>
          <w:sz w:val="24"/>
          <w:szCs w:val="24"/>
        </w:rPr>
        <w:t>没有的材料价格根据市场询价。</w:t>
      </w:r>
    </w:p>
    <w:p>
      <w:pPr>
        <w:widowControl/>
        <w:snapToGrid w:val="0"/>
        <w:spacing w:before="100" w:beforeAutospacing="1" w:after="100" w:afterAutospacing="1" w:line="360" w:lineRule="auto"/>
        <w:ind w:firstLine="480" w:firstLineChars="200"/>
        <w:jc w:val="lef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本工程量清单仅未考虑沥青摊铺机、压路机、沥青热再生大型机械进退场费，其他机械已综合考虑在全费用综合单价中，投标单位报价时自行考虑除上述几种未考虑机械以外其他机械的报价，结算时不再增加。沥青摊铺机、压路机、沥青热再生大型机械进退场费结算时按业主签证确认数量计算。</w:t>
      </w:r>
    </w:p>
    <w:p>
      <w:pPr>
        <w:widowControl/>
        <w:snapToGrid w:val="0"/>
        <w:spacing w:before="100" w:beforeAutospacing="1" w:after="100" w:afterAutospacing="1" w:line="36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4、因本工程项目的特殊性，零星及小修工程扬尘污染防治增加费不计。间接费中不含环境保护税(原工程排污费)。</w:t>
      </w:r>
    </w:p>
    <w:p>
      <w:pPr>
        <w:widowControl/>
        <w:snapToGrid w:val="0"/>
        <w:spacing w:before="100" w:beforeAutospacing="1" w:after="100" w:afterAutospacing="1" w:line="360" w:lineRule="auto"/>
        <w:ind w:firstLine="480" w:firstLineChars="200"/>
        <w:jc w:val="left"/>
        <w:rPr>
          <w:rFonts w:ascii="黑体" w:hAnsi="Times New Roman" w:eastAsia="黑体" w:cs="宋体"/>
          <w:color w:val="000000"/>
          <w:kern w:val="0"/>
          <w:sz w:val="24"/>
          <w:szCs w:val="24"/>
        </w:rPr>
      </w:pPr>
      <w:r>
        <w:rPr>
          <w:rFonts w:hint="eastAsia" w:ascii="黑体" w:hAnsi="Times New Roman" w:eastAsia="黑体" w:cs="宋体"/>
          <w:color w:val="000000"/>
          <w:kern w:val="0"/>
          <w:sz w:val="24"/>
          <w:szCs w:val="24"/>
        </w:rPr>
        <w:t>三、工程量清单编制方案说明</w:t>
      </w:r>
    </w:p>
    <w:p>
      <w:pPr>
        <w:widowControl/>
        <w:snapToGrid w:val="0"/>
        <w:spacing w:before="100" w:beforeAutospacing="1" w:after="100" w:afterAutospacing="1" w:line="360" w:lineRule="auto"/>
        <w:ind w:firstLine="480" w:firstLineChars="200"/>
        <w:jc w:val="left"/>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、本工程的综合单价为“全费用综合单价”。</w:t>
      </w:r>
    </w:p>
    <w:p>
      <w:pPr>
        <w:widowControl/>
        <w:snapToGrid w:val="0"/>
        <w:spacing w:before="100" w:beforeAutospacing="1" w:after="100" w:afterAutospacing="1" w:line="360" w:lineRule="auto"/>
        <w:ind w:firstLine="480" w:firstLineChars="200"/>
        <w:jc w:val="lef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、本工程根据目前扬中市已交付市政道路的大致状况及近几年市政道路的维护情况，拟定了几种常见的可能因素。</w:t>
      </w:r>
    </w:p>
    <w:p>
      <w:pPr>
        <w:widowControl/>
        <w:snapToGrid w:val="0"/>
        <w:spacing w:before="100" w:beforeAutospacing="1" w:after="100" w:afterAutospacing="1" w:line="36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3、应业主要求本工程分别考虑了修补面积400m2内、400 m2以上各种情况。其中：修补面积400m2内执行市政养护维修定额、400m2以上执行市政定额，为非全封闭施工，并考虑施工过程中行车行人干扰等因素，行车行人干扰费参照镇建价[2018]1号文要求按平均费率0.2%费率计算，施工围挡按移动式钢围栏、彩钢板钢管围栏考虑。</w:t>
      </w:r>
    </w:p>
    <w:p>
      <w:pPr>
        <w:widowControl/>
        <w:snapToGrid w:val="0"/>
        <w:spacing w:before="100" w:beforeAutospacing="1" w:after="100" w:afterAutospacing="1" w:line="36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4、砼道路面层厚度分别按照</w:t>
      </w:r>
      <w:r>
        <w:rPr>
          <w:rFonts w:ascii="宋体" w:hAnsi="宋体" w:cs="宋体"/>
          <w:color w:val="000000"/>
          <w:kern w:val="0"/>
          <w:sz w:val="24"/>
          <w:szCs w:val="24"/>
        </w:rPr>
        <w:t>22.0cm</w:t>
      </w:r>
      <w:r>
        <w:rPr>
          <w:rFonts w:hint="eastAsia" w:ascii="宋体" w:hAnsi="宋体" w:cs="宋体"/>
          <w:color w:val="000000"/>
          <w:kern w:val="0"/>
          <w:sz w:val="24"/>
          <w:szCs w:val="24"/>
        </w:rPr>
        <w:t>、</w:t>
      </w:r>
      <w:r>
        <w:rPr>
          <w:rFonts w:ascii="宋体" w:hAnsi="宋体" w:cs="宋体"/>
          <w:color w:val="000000"/>
          <w:kern w:val="0"/>
          <w:sz w:val="24"/>
          <w:szCs w:val="24"/>
        </w:rPr>
        <w:t>20.0cm及2</w:t>
      </w:r>
      <w:r>
        <w:rPr>
          <w:rFonts w:hint="eastAsia" w:ascii="宋体" w:hAnsi="宋体" w:cs="宋体"/>
          <w:color w:val="000000"/>
          <w:kern w:val="0"/>
          <w:sz w:val="24"/>
          <w:szCs w:val="24"/>
        </w:rPr>
        <w:t>5</w:t>
      </w:r>
      <w:r>
        <w:rPr>
          <w:rFonts w:ascii="宋体" w:hAnsi="宋体" w:cs="宋体"/>
          <w:color w:val="000000"/>
          <w:kern w:val="0"/>
          <w:sz w:val="24"/>
          <w:szCs w:val="24"/>
        </w:rPr>
        <w:t>.0cm</w:t>
      </w:r>
      <w:r>
        <w:rPr>
          <w:rFonts w:hint="eastAsia" w:ascii="宋体" w:hAnsi="宋体" w:cs="宋体"/>
          <w:color w:val="000000"/>
          <w:kern w:val="0"/>
          <w:sz w:val="24"/>
          <w:szCs w:val="24"/>
        </w:rPr>
        <w:t>编制，沥青砼道路面层厚度（细粒式沥青砼）按照4.0cm及5</w:t>
      </w:r>
      <w:r>
        <w:rPr>
          <w:rFonts w:ascii="宋体" w:hAnsi="宋体" w:cs="宋体"/>
          <w:color w:val="000000"/>
          <w:kern w:val="0"/>
          <w:sz w:val="24"/>
          <w:szCs w:val="24"/>
        </w:rPr>
        <w:t>.0cm</w:t>
      </w:r>
      <w:r>
        <w:rPr>
          <w:rFonts w:hint="eastAsia" w:ascii="宋体" w:hAnsi="宋体" w:cs="宋体"/>
          <w:color w:val="000000"/>
          <w:kern w:val="0"/>
          <w:sz w:val="24"/>
          <w:szCs w:val="24"/>
        </w:rPr>
        <w:t>、</w:t>
      </w:r>
      <w:r>
        <w:rPr>
          <w:rFonts w:ascii="宋体" w:hAnsi="宋体" w:cs="宋体"/>
          <w:color w:val="000000"/>
          <w:kern w:val="0"/>
          <w:sz w:val="24"/>
          <w:szCs w:val="24"/>
        </w:rPr>
        <w:t>(</w:t>
      </w:r>
      <w:r>
        <w:rPr>
          <w:rFonts w:hint="eastAsia" w:ascii="宋体" w:hAnsi="宋体" w:cs="宋体"/>
          <w:color w:val="000000"/>
          <w:kern w:val="0"/>
          <w:sz w:val="24"/>
          <w:szCs w:val="24"/>
        </w:rPr>
        <w:t>中粒式沥青砼</w:t>
      </w:r>
      <w:r>
        <w:rPr>
          <w:rFonts w:ascii="宋体" w:hAnsi="宋体" w:cs="宋体"/>
          <w:color w:val="000000"/>
          <w:kern w:val="0"/>
          <w:sz w:val="24"/>
          <w:szCs w:val="24"/>
        </w:rPr>
        <w:t>)</w:t>
      </w:r>
      <w:r>
        <w:rPr>
          <w:rFonts w:hint="eastAsia" w:ascii="宋体" w:hAnsi="宋体" w:cs="宋体"/>
          <w:color w:val="000000"/>
          <w:kern w:val="0"/>
          <w:sz w:val="24"/>
          <w:szCs w:val="24"/>
        </w:rPr>
        <w:t>分别按照</w:t>
      </w:r>
      <w:r>
        <w:rPr>
          <w:rFonts w:ascii="宋体" w:hAnsi="宋体" w:cs="宋体"/>
          <w:color w:val="000000"/>
          <w:kern w:val="0"/>
          <w:sz w:val="24"/>
          <w:szCs w:val="24"/>
        </w:rPr>
        <w:t>6.0cm</w:t>
      </w:r>
      <w:r>
        <w:rPr>
          <w:rFonts w:hint="eastAsia" w:ascii="宋体" w:hAnsi="宋体" w:cs="宋体"/>
          <w:color w:val="000000"/>
          <w:kern w:val="0"/>
          <w:sz w:val="24"/>
          <w:szCs w:val="24"/>
        </w:rPr>
        <w:t>和</w:t>
      </w:r>
      <w:r>
        <w:rPr>
          <w:rFonts w:ascii="宋体" w:hAnsi="宋体" w:cs="宋体"/>
          <w:color w:val="000000"/>
          <w:kern w:val="0"/>
          <w:sz w:val="24"/>
          <w:szCs w:val="24"/>
        </w:rPr>
        <w:t>8.0cm</w:t>
      </w:r>
      <w:r>
        <w:rPr>
          <w:rFonts w:hint="eastAsia" w:ascii="宋体" w:hAnsi="宋体" w:cs="宋体"/>
          <w:color w:val="000000"/>
          <w:kern w:val="0"/>
          <w:sz w:val="24"/>
          <w:szCs w:val="24"/>
        </w:rPr>
        <w:t>编制</w:t>
      </w:r>
      <w:r>
        <w:rPr>
          <w:rFonts w:ascii="宋体" w:cs="宋体"/>
          <w:color w:val="000000"/>
          <w:kern w:val="0"/>
          <w:sz w:val="24"/>
          <w:szCs w:val="24"/>
        </w:rPr>
        <w:t>,</w:t>
      </w:r>
      <w:r>
        <w:rPr>
          <w:rFonts w:hint="eastAsia" w:ascii="宋体" w:hAnsi="宋体" w:cs="宋体"/>
          <w:color w:val="000000"/>
          <w:kern w:val="0"/>
          <w:sz w:val="24"/>
          <w:szCs w:val="24"/>
        </w:rPr>
        <w:t>人行道分别按照彩道板、花岗岩道板、广场砖及面包砖编制，其中</w:t>
      </w:r>
      <w:r>
        <w:rPr>
          <w:rFonts w:ascii="宋体" w:hAnsi="宋体" w:cs="宋体"/>
          <w:color w:val="000000"/>
          <w:kern w:val="0"/>
          <w:sz w:val="24"/>
          <w:szCs w:val="24"/>
        </w:rPr>
        <w:t>:</w:t>
      </w:r>
      <w:r>
        <w:rPr>
          <w:rFonts w:hint="eastAsia" w:ascii="宋体" w:hAnsi="宋体" w:cs="宋体"/>
          <w:color w:val="000000"/>
          <w:kern w:val="0"/>
          <w:sz w:val="24"/>
          <w:szCs w:val="24"/>
        </w:rPr>
        <w:t>花岗岩道板、盲道板按照常见的品种分别以</w:t>
      </w:r>
      <w:r>
        <w:rPr>
          <w:rFonts w:ascii="宋体" w:hAnsi="宋体" w:cs="宋体"/>
          <w:color w:val="000000"/>
          <w:kern w:val="0"/>
          <w:sz w:val="24"/>
          <w:szCs w:val="24"/>
        </w:rPr>
        <w:t>30mm</w:t>
      </w:r>
      <w:r>
        <w:rPr>
          <w:rFonts w:hint="eastAsia" w:ascii="宋体" w:hAnsi="宋体" w:cs="宋体"/>
          <w:color w:val="000000"/>
          <w:kern w:val="0"/>
          <w:sz w:val="24"/>
          <w:szCs w:val="24"/>
        </w:rPr>
        <w:t>厚和</w:t>
      </w:r>
      <w:r>
        <w:rPr>
          <w:rFonts w:ascii="宋体" w:hAnsi="宋体" w:cs="宋体"/>
          <w:color w:val="000000"/>
          <w:kern w:val="0"/>
          <w:sz w:val="24"/>
          <w:szCs w:val="24"/>
        </w:rPr>
        <w:t>50mm</w:t>
      </w:r>
      <w:r>
        <w:rPr>
          <w:rFonts w:hint="eastAsia" w:ascii="宋体" w:hAnsi="宋体" w:cs="宋体"/>
          <w:color w:val="000000"/>
          <w:kern w:val="0"/>
          <w:sz w:val="24"/>
          <w:szCs w:val="24"/>
        </w:rPr>
        <w:t>厚编制</w:t>
      </w:r>
      <w:r>
        <w:rPr>
          <w:rFonts w:ascii="宋体" w:hAnsi="宋体" w:cs="宋体"/>
          <w:color w:val="000000"/>
          <w:kern w:val="0"/>
          <w:sz w:val="24"/>
          <w:szCs w:val="24"/>
        </w:rPr>
        <w:t>(</w:t>
      </w:r>
      <w:r>
        <w:rPr>
          <w:rFonts w:hint="eastAsia" w:ascii="宋体" w:hAnsi="宋体" w:cs="宋体"/>
          <w:color w:val="000000"/>
          <w:kern w:val="0"/>
          <w:sz w:val="24"/>
          <w:szCs w:val="24"/>
        </w:rPr>
        <w:t>具体参见工程量清单特征描述</w:t>
      </w:r>
      <w:r>
        <w:rPr>
          <w:rFonts w:ascii="宋体" w:hAnsi="宋体" w:cs="宋体"/>
          <w:color w:val="000000"/>
          <w:kern w:val="0"/>
          <w:sz w:val="24"/>
          <w:szCs w:val="24"/>
        </w:rPr>
        <w:t>)</w:t>
      </w:r>
      <w:r>
        <w:rPr>
          <w:rFonts w:hint="eastAsia" w:ascii="宋体" w:hAnsi="宋体" w:cs="宋体"/>
          <w:color w:val="000000"/>
          <w:kern w:val="0"/>
          <w:sz w:val="24"/>
          <w:szCs w:val="24"/>
        </w:rPr>
        <w:t>。人行道及混凝土道路维修中混凝土均按商品混凝土考虑。</w:t>
      </w:r>
    </w:p>
    <w:p>
      <w:pPr>
        <w:widowControl/>
        <w:snapToGrid w:val="0"/>
        <w:spacing w:before="100" w:beforeAutospacing="1" w:after="100" w:afterAutospacing="1"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5、本工程道路维修水泥混凝土、沥青混凝土面层及基层水泥稳定碎石均按厂拌考虑，运距已包含在全费用单价中。</w:t>
      </w:r>
    </w:p>
    <w:p>
      <w:pPr>
        <w:widowControl/>
        <w:snapToGrid w:val="0"/>
        <w:spacing w:before="100" w:beforeAutospacing="1" w:after="100" w:afterAutospacing="1"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6、砼道路修补清单中移动式钢围栏及彩钢板钢管围挡同样适用于其他修补内容。</w:t>
      </w:r>
    </w:p>
    <w:p>
      <w:pPr>
        <w:widowControl/>
        <w:snapToGrid w:val="0"/>
        <w:spacing w:before="100" w:beforeAutospacing="1" w:after="100" w:afterAutospacing="1"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7、应业主要求，考虑到大面积修补及特殊路段修补对交通出行造成较大影响，维修面积≥5000㎡的沥青道路面层维修暂采用就地热再生沥青考虑。</w:t>
      </w:r>
    </w:p>
    <w:p>
      <w:pPr>
        <w:widowControl/>
        <w:snapToGrid w:val="0"/>
        <w:spacing w:before="100" w:beforeAutospacing="1" w:after="100" w:afterAutospacing="1" w:line="360" w:lineRule="auto"/>
        <w:ind w:firstLine="420" w:firstLineChars="200"/>
        <w:jc w:val="left"/>
        <w:rPr>
          <w:rFonts w:ascii="宋体" w:hAnsi="宋体" w:cs="宋体"/>
          <w:color w:val="000000"/>
          <w:kern w:val="0"/>
          <w:sz w:val="24"/>
          <w:szCs w:val="24"/>
        </w:rPr>
      </w:pPr>
      <w:r>
        <w:t>项目实施期间必须做好安全保障。结合交通状况，为了保证项目实施过程中通畅、安全，最大限度保护公众利益，特做如下要求：</w:t>
      </w:r>
      <w:r>
        <w:br w:type="textWrapping"/>
      </w:r>
      <w:r>
        <w:t>1）、根据《中华人民共和国安全生产法》中华人民共和国主席令第13号文规定“为了加强安全生产工作，防止和减少生产安全事故，保证人民群众生命和财产安全”，要求施工期间不得有任何时段的中断交通，每天施工结束和接到应急保障通知时，所有施工人员和设备设施必须在半小时内撤离施工现场，不得停放在应急车道，撤离方式不限。</w:t>
      </w:r>
      <w:r>
        <w:br w:type="textWrapping"/>
      </w:r>
      <w:r>
        <w:t>2）、为了响应国家 “加大环境治理力度，以提高环境质量为核心，实行最严格的环境保护制度”的要求；结合《中华人民共和国大气污染防治法》中对颗粒物、氮氧化物实施协同控制，推广生产和使用清洁能源的要求。该项目中采用的加热机等施工设备所使用的燃料必须为天然气、液化石油气等清洁能源。同时，满足《中华人民共和国特种设备安全法》、《特种设备安全监察条例》以及《固定式压力容器安全技术监察 规程》（TSG21-2016）的要求，禁止现场加注天然气、液化石油气等有压气体燃料，必须到固定场所进行加注。</w:t>
      </w:r>
      <w:r>
        <w:br w:type="textWrapping"/>
      </w:r>
      <w:r>
        <w:t>技术要求：结合国家节能减排循环发展要求，本项目采用就地循环再用技术进行修复，要求中标人具有相应的施工设备（自有或租赁）和施工能力，确保路面材料100%原价值再利用。为了确保实现本工程的技术目标，做到源头把控、过程控制，依据中国工程建设标准化协会标准《城市道路沥青路面就地热再生技术规程》（T/CECS 502-2018）或江苏省公路地方标准《沥青路面就地热再生施工技术规范》（DB32/T  3134-2006）的规定，对投标人就地热再生技术和设备作要求如下：</w:t>
      </w:r>
      <w:r>
        <w:br w:type="textWrapping"/>
      </w:r>
      <w:r>
        <w:t>1）、为了确保加热施工过程中必须确保加热深度的同时路表面沥青又不被烧焦老化，要求再生施工过程中必须做到路表加热瞬时温度不超过200</w:t>
      </w:r>
      <w:r>
        <w:rPr>
          <w:rFonts w:hint="eastAsia" w:ascii="宋体" w:hAnsi="宋体" w:cs="宋体"/>
        </w:rPr>
        <w:t>℃</w:t>
      </w:r>
      <w:r>
        <w:t>。</w:t>
      </w:r>
      <w:r>
        <w:br w:type="textWrapping"/>
      </w:r>
      <w:r>
        <w:t>2）、为了保证再生材料的性能，避免再生过程中材料级配和均匀性对性能的影响，要求路面加热后翻松过程中不打碎石料（即没有花白料），再生剂必须全断面均匀添加。</w:t>
      </w:r>
      <w:r>
        <w:br w:type="textWrapping"/>
      </w:r>
      <w:r>
        <w:t>3）、因就地热再生施工过程中层间粘结不喷洒粘层油，而采用层间加热粘结的方式，因此为确保层间粘结效果，要求层间热粘结温度不低于100</w:t>
      </w:r>
      <w:r>
        <w:rPr>
          <w:rFonts w:hint="eastAsia" w:ascii="宋体" w:hAnsi="宋体" w:cs="宋体"/>
        </w:rPr>
        <w:t>℃</w:t>
      </w:r>
      <w:r>
        <w:t>。以上条件基于本项目施工安全、优质、高效、环保等方面的要求，请各投标人务必实事求是</w:t>
      </w:r>
      <w:r>
        <w:rPr>
          <w:rFonts w:hint="eastAsia"/>
        </w:rPr>
        <w:t>。</w:t>
      </w:r>
    </w:p>
    <w:p>
      <w:pPr>
        <w:widowControl/>
        <w:snapToGrid w:val="0"/>
        <w:spacing w:before="100" w:beforeAutospacing="1" w:after="100" w:afterAutospacing="1"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8、五防重型井盖需满足防响、防盗、防坠落、防滑、防移位等要求。</w:t>
      </w:r>
    </w:p>
    <w:p>
      <w:pPr>
        <w:widowControl/>
        <w:snapToGrid w:val="0"/>
        <w:spacing w:before="100" w:beforeAutospacing="1" w:after="100" w:afterAutospacing="1"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9、本工程施工用水、电由施工单位自行解决，业主方不提供电源和水源。业主方不提供地下管线情况，地下管线由施工单位自行调查，如造成地下管线损坏，所有责任及费用由施工单位承担。</w:t>
      </w:r>
    </w:p>
    <w:p>
      <w:pPr>
        <w:widowControl/>
        <w:snapToGrid w:val="0"/>
        <w:spacing w:before="100" w:beforeAutospacing="1" w:after="100" w:afterAutospacing="1"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10、投标单位在报价时需考虑安排至少两名每日专职巡查人员。专职巡查人员需对所管辖的范围进行巡查，并将巡查记录定时上报。业主单位不定期对巡查人员和记录进行检查。此项费用在投标报价时考虑，结算时不再增加。</w:t>
      </w:r>
    </w:p>
    <w:p>
      <w:pPr>
        <w:widowControl/>
        <w:snapToGrid w:val="0"/>
        <w:spacing w:before="100" w:beforeAutospacing="1" w:after="100" w:afterAutospacing="1" w:line="36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 xml:space="preserve">                                                202</w:t>
      </w:r>
      <w:bookmarkStart w:id="1" w:name="_GoBack"/>
      <w:bookmarkEnd w:id="1"/>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1Mzk0OTlkMTBkM2RkMDY0Mzg1MTkzZWNmZTM5MWIifQ=="/>
  </w:docVars>
  <w:rsids>
    <w:rsidRoot w:val="00E653BF"/>
    <w:rsid w:val="00004B25"/>
    <w:rsid w:val="00020CBE"/>
    <w:rsid w:val="00042E8D"/>
    <w:rsid w:val="0004672A"/>
    <w:rsid w:val="000604E0"/>
    <w:rsid w:val="000626ED"/>
    <w:rsid w:val="0008080E"/>
    <w:rsid w:val="000858D7"/>
    <w:rsid w:val="00096491"/>
    <w:rsid w:val="000C1F0C"/>
    <w:rsid w:val="000D6319"/>
    <w:rsid w:val="000E4065"/>
    <w:rsid w:val="000E6674"/>
    <w:rsid w:val="000F2E4A"/>
    <w:rsid w:val="000F3D6A"/>
    <w:rsid w:val="00107FA6"/>
    <w:rsid w:val="00135E1D"/>
    <w:rsid w:val="001456EF"/>
    <w:rsid w:val="00151ED3"/>
    <w:rsid w:val="001576BE"/>
    <w:rsid w:val="00157DFC"/>
    <w:rsid w:val="00172485"/>
    <w:rsid w:val="00183F22"/>
    <w:rsid w:val="00186DA8"/>
    <w:rsid w:val="00190296"/>
    <w:rsid w:val="001A75DD"/>
    <w:rsid w:val="001B119A"/>
    <w:rsid w:val="001B2C02"/>
    <w:rsid w:val="001D5E11"/>
    <w:rsid w:val="001F5405"/>
    <w:rsid w:val="001F5BB2"/>
    <w:rsid w:val="002051BF"/>
    <w:rsid w:val="00226A30"/>
    <w:rsid w:val="002301BD"/>
    <w:rsid w:val="0023407A"/>
    <w:rsid w:val="0023595E"/>
    <w:rsid w:val="00242DBF"/>
    <w:rsid w:val="00264615"/>
    <w:rsid w:val="0028023D"/>
    <w:rsid w:val="00295F4E"/>
    <w:rsid w:val="002A4B45"/>
    <w:rsid w:val="002B615F"/>
    <w:rsid w:val="002D1F4A"/>
    <w:rsid w:val="002D4996"/>
    <w:rsid w:val="002E098A"/>
    <w:rsid w:val="002F7A39"/>
    <w:rsid w:val="00322D8A"/>
    <w:rsid w:val="003344A7"/>
    <w:rsid w:val="003719F8"/>
    <w:rsid w:val="003D3448"/>
    <w:rsid w:val="003E1044"/>
    <w:rsid w:val="003E7AB7"/>
    <w:rsid w:val="00407CAC"/>
    <w:rsid w:val="004349CE"/>
    <w:rsid w:val="00443D28"/>
    <w:rsid w:val="00462261"/>
    <w:rsid w:val="00491DB0"/>
    <w:rsid w:val="0049290C"/>
    <w:rsid w:val="004B10AD"/>
    <w:rsid w:val="004B5C79"/>
    <w:rsid w:val="004D37F6"/>
    <w:rsid w:val="004E794F"/>
    <w:rsid w:val="004F0AFE"/>
    <w:rsid w:val="004F5F56"/>
    <w:rsid w:val="00507F16"/>
    <w:rsid w:val="00511EEC"/>
    <w:rsid w:val="00523260"/>
    <w:rsid w:val="00527E82"/>
    <w:rsid w:val="0053499F"/>
    <w:rsid w:val="00537327"/>
    <w:rsid w:val="00557EAB"/>
    <w:rsid w:val="00565AC2"/>
    <w:rsid w:val="00566C79"/>
    <w:rsid w:val="00571335"/>
    <w:rsid w:val="0057175B"/>
    <w:rsid w:val="00583B72"/>
    <w:rsid w:val="005958B1"/>
    <w:rsid w:val="005A0324"/>
    <w:rsid w:val="005A3B85"/>
    <w:rsid w:val="005A7B08"/>
    <w:rsid w:val="006139E5"/>
    <w:rsid w:val="00633C5F"/>
    <w:rsid w:val="00654A9C"/>
    <w:rsid w:val="006808CC"/>
    <w:rsid w:val="00681318"/>
    <w:rsid w:val="006829EA"/>
    <w:rsid w:val="006F1F86"/>
    <w:rsid w:val="006F4D4F"/>
    <w:rsid w:val="00705089"/>
    <w:rsid w:val="00707C72"/>
    <w:rsid w:val="0072145E"/>
    <w:rsid w:val="00734B1C"/>
    <w:rsid w:val="00761D04"/>
    <w:rsid w:val="0079513C"/>
    <w:rsid w:val="007A0DCF"/>
    <w:rsid w:val="007C3046"/>
    <w:rsid w:val="007C6BFF"/>
    <w:rsid w:val="007D223C"/>
    <w:rsid w:val="007E46A8"/>
    <w:rsid w:val="00804F0D"/>
    <w:rsid w:val="008147DF"/>
    <w:rsid w:val="008277A1"/>
    <w:rsid w:val="00845A9D"/>
    <w:rsid w:val="00854EDB"/>
    <w:rsid w:val="00865AE1"/>
    <w:rsid w:val="00880A37"/>
    <w:rsid w:val="00886E1E"/>
    <w:rsid w:val="00893A0C"/>
    <w:rsid w:val="008E5DDD"/>
    <w:rsid w:val="0090738B"/>
    <w:rsid w:val="00936068"/>
    <w:rsid w:val="0093747B"/>
    <w:rsid w:val="009503B2"/>
    <w:rsid w:val="009545B1"/>
    <w:rsid w:val="00954818"/>
    <w:rsid w:val="00957433"/>
    <w:rsid w:val="00963A4D"/>
    <w:rsid w:val="00987793"/>
    <w:rsid w:val="00990300"/>
    <w:rsid w:val="009C091E"/>
    <w:rsid w:val="009C5119"/>
    <w:rsid w:val="009D42A0"/>
    <w:rsid w:val="009D6BA3"/>
    <w:rsid w:val="00A43E50"/>
    <w:rsid w:val="00A4457C"/>
    <w:rsid w:val="00A63F16"/>
    <w:rsid w:val="00A65D70"/>
    <w:rsid w:val="00A726D5"/>
    <w:rsid w:val="00A7506C"/>
    <w:rsid w:val="00AA09E4"/>
    <w:rsid w:val="00AD7694"/>
    <w:rsid w:val="00AE05AC"/>
    <w:rsid w:val="00AE12D2"/>
    <w:rsid w:val="00B0103F"/>
    <w:rsid w:val="00B07ACE"/>
    <w:rsid w:val="00B31FCA"/>
    <w:rsid w:val="00B44EDD"/>
    <w:rsid w:val="00B45FEC"/>
    <w:rsid w:val="00B722C9"/>
    <w:rsid w:val="00B77237"/>
    <w:rsid w:val="00B83ED2"/>
    <w:rsid w:val="00BA5B70"/>
    <w:rsid w:val="00BC449A"/>
    <w:rsid w:val="00C00FAF"/>
    <w:rsid w:val="00C2036E"/>
    <w:rsid w:val="00C27663"/>
    <w:rsid w:val="00C34E4F"/>
    <w:rsid w:val="00C43F2C"/>
    <w:rsid w:val="00C460EF"/>
    <w:rsid w:val="00C60827"/>
    <w:rsid w:val="00C73F38"/>
    <w:rsid w:val="00C82EA2"/>
    <w:rsid w:val="00C904DA"/>
    <w:rsid w:val="00CD6DCA"/>
    <w:rsid w:val="00CE0637"/>
    <w:rsid w:val="00CE5B55"/>
    <w:rsid w:val="00CF4AB8"/>
    <w:rsid w:val="00CF75FC"/>
    <w:rsid w:val="00D0397E"/>
    <w:rsid w:val="00D322B9"/>
    <w:rsid w:val="00D34D08"/>
    <w:rsid w:val="00D4517F"/>
    <w:rsid w:val="00D52690"/>
    <w:rsid w:val="00D60ABC"/>
    <w:rsid w:val="00D805D2"/>
    <w:rsid w:val="00DA0AEF"/>
    <w:rsid w:val="00DB4B35"/>
    <w:rsid w:val="00DC4706"/>
    <w:rsid w:val="00DF6F8B"/>
    <w:rsid w:val="00E175C1"/>
    <w:rsid w:val="00E34825"/>
    <w:rsid w:val="00E36DDC"/>
    <w:rsid w:val="00E45D50"/>
    <w:rsid w:val="00E653BF"/>
    <w:rsid w:val="00E842FA"/>
    <w:rsid w:val="00EB2E77"/>
    <w:rsid w:val="00EC17AD"/>
    <w:rsid w:val="00ED3754"/>
    <w:rsid w:val="00F0573D"/>
    <w:rsid w:val="00F32F4A"/>
    <w:rsid w:val="00F45104"/>
    <w:rsid w:val="00F53455"/>
    <w:rsid w:val="00F60823"/>
    <w:rsid w:val="00F6634E"/>
    <w:rsid w:val="00F66787"/>
    <w:rsid w:val="00F836A1"/>
    <w:rsid w:val="00F946EB"/>
    <w:rsid w:val="00F974A3"/>
    <w:rsid w:val="00FA3E71"/>
    <w:rsid w:val="00FD6055"/>
    <w:rsid w:val="00FE083B"/>
    <w:rsid w:val="00FE4073"/>
    <w:rsid w:val="00FE7279"/>
    <w:rsid w:val="00FF22A5"/>
    <w:rsid w:val="00FF41A7"/>
    <w:rsid w:val="2B3860E4"/>
    <w:rsid w:val="2F1E1322"/>
    <w:rsid w:val="343C06D0"/>
    <w:rsid w:val="352C2A4A"/>
    <w:rsid w:val="3A4B5E4D"/>
    <w:rsid w:val="4C4B2BDB"/>
    <w:rsid w:val="53027840"/>
    <w:rsid w:val="7AE92E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rFonts w:cs="Times New Roman"/>
      <w:sz w:val="18"/>
      <w:szCs w:val="18"/>
    </w:rPr>
  </w:style>
  <w:style w:type="character" w:customStyle="1" w:styleId="7">
    <w:name w:val="页脚 Char"/>
    <w:basedOn w:val="5"/>
    <w:link w:val="2"/>
    <w:qFormat/>
    <w:locked/>
    <w:uiPriority w:val="99"/>
    <w:rPr>
      <w:rFonts w:cs="Times New Roman"/>
      <w:sz w:val="18"/>
      <w:szCs w:val="18"/>
    </w:rPr>
  </w:style>
  <w:style w:type="paragraph" w:customStyle="1" w:styleId="8">
    <w:name w:val="列出段落1"/>
    <w:basedOn w:val="1"/>
    <w:qFormat/>
    <w:uiPriority w:val="34"/>
    <w:pPr>
      <w:ind w:firstLine="420" w:firstLineChars="200"/>
    </w:pPr>
  </w:style>
  <w:style w:type="character" w:customStyle="1" w:styleId="9">
    <w:name w:val="textcontents"/>
    <w:basedOn w:val="5"/>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2243</Words>
  <Characters>2459</Characters>
  <Lines>4</Lines>
  <Paragraphs>5</Paragraphs>
  <TotalTime>910</TotalTime>
  <ScaleCrop>false</ScaleCrop>
  <LinksUpToDate>false</LinksUpToDate>
  <CharactersWithSpaces>2786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2010-08-13T00:44:00Z</dcterms:created>
  <dc:creator>xg</dc:creator>
  <cp:lastModifiedBy>Administrator</cp:lastModifiedBy>
  <cp:lastPrinted>2022-01-28T02:20:00Z</cp:lastPrinted>
  <dcterms:modified xsi:type="dcterms:W3CDTF">2026-03-26T02:14:21Z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EACCD73CD8154D76BFE7C1B090BA5481</vt:lpwstr>
  </property>
</Properties>
</file>