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tabs>
          <w:tab w:val="left" w:pos="2505" w:leader="none"/>
        </w:tabs>
        <w:rPr>
          <w:rFonts w:ascii="宋体" w:hAnsi="宋体"/>
          <w:color w:val="auto"/>
          <w:highlight w:val="none"/>
        </w:rPr>
      </w:pPr>
      <w:r>
        <w:rPr>
          <w:rFonts w:ascii="宋体" w:hAnsi="宋体"/>
          <w:color w:val="auto"/>
          <w:highlight w:val="none"/>
        </w:rPr>
        <w:tab/>
      </w:r>
      <w:r>
        <w:rPr>
          <w:rFonts w:ascii="宋体" w:hAnsi="宋体"/>
          <w:b/>
          <w:color w:val="auto"/>
          <w:sz w:val="52"/>
          <w:szCs w:val="52"/>
          <w:highlight w:val="none"/>
        </w:rPr>
        <mc:AlternateContent>
          <mc:Choice Requires="wpg">
            <w:drawing>
              <wp:inline xmlns:wp="http://schemas.openxmlformats.org/drawingml/2006/wordprocessingDrawing" distT="0" distB="0" distL="0" distR="0">
                <wp:extent cx="1952625" cy="1343025"/>
                <wp:effectExtent l="19050" t="0" r="9525" b="0"/>
                <wp:docPr id="2" name="图片 1" descr="QQ图片20140922104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QQ图片20140922104244"/>
                        <pic:cNvPicPr>
                          <a:picLocks noChangeAspect="1"/>
                        </pic:cNvPicPr>
                        <pic:nvPr/>
                      </pic:nvPicPr>
                      <pic:blipFill>
                        <a:blip r:embed="rId13"/>
                        <a:stretch/>
                      </pic:blipFill>
                      <pic:spPr bwMode="auto">
                        <a:xfrm>
                          <a:off x="0" y="0"/>
                          <a:ext cx="1952625" cy="134302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3.8pt;height:105.8pt;mso-wrap-distance-left:0.0pt;mso-wrap-distance-top:0.0pt;mso-wrap-distance-right:0.0pt;mso-wrap-distance-bottom:0.0pt;" stroked="f" strokeweight="0.75pt">
                <v:path textboxrect="0,0,0,0"/>
                <v:imagedata r:id="rId13" o:title=""/>
              </v:shape>
            </w:pict>
          </mc:Fallback>
        </mc:AlternateContent>
      </w:r>
      <w:r/>
    </w:p>
    <w:p>
      <w:pPr>
        <w:spacing w:line="360" w:lineRule="auto"/>
        <w:tabs>
          <w:tab w:val="left" w:pos="2505" w:leader="none"/>
        </w:tabs>
        <w:rPr>
          <w:rFonts w:ascii="宋体" w:hAnsi="宋体"/>
          <w:color w:val="auto"/>
          <w:highlight w:val="none"/>
        </w:rPr>
      </w:pPr>
      <w:r>
        <w:rPr>
          <w:rFonts w:ascii="宋体" w:hAnsi="宋体"/>
          <w:color w:val="auto"/>
          <w:highlight w:val="none"/>
        </w:rPr>
      </w:r>
      <w:r/>
    </w:p>
    <w:p>
      <w:pPr>
        <w:spacing w:line="360" w:lineRule="auto"/>
        <w:tabs>
          <w:tab w:val="left" w:pos="2505" w:leader="none"/>
        </w:tabs>
        <w:rPr>
          <w:rFonts w:ascii="宋体" w:hAnsi="宋体"/>
          <w:color w:val="auto"/>
          <w:highlight w:val="none"/>
        </w:rPr>
      </w:pPr>
      <w:r>
        <w:rPr>
          <w:rFonts w:ascii="宋体" w:hAnsi="宋体"/>
          <w:color w:val="auto"/>
          <w:highlight w:val="none"/>
        </w:rPr>
      </w:r>
      <w:r/>
    </w:p>
    <w:p>
      <w:pPr>
        <w:jc w:val="center"/>
        <w:rPr>
          <w:rFonts w:ascii="宋体" w:hAnsi="宋体"/>
          <w:b/>
          <w:bCs/>
          <w:color w:val="auto"/>
          <w:sz w:val="52"/>
          <w:szCs w:val="52"/>
          <w:highlight w:val="none"/>
        </w:rPr>
      </w:pPr>
      <w:r>
        <w:rPr>
          <w:rFonts w:hint="eastAsia" w:ascii="宋体" w:hAnsi="宋体"/>
          <w:b/>
          <w:bCs/>
          <w:color w:val="auto"/>
          <w:sz w:val="52"/>
          <w:szCs w:val="52"/>
          <w:highlight w:val="none"/>
        </w:rPr>
        <w:t xml:space="preserve">昆山市政府采购</w:t>
      </w:r>
      <w:r/>
    </w:p>
    <w:p>
      <w:pPr>
        <w:jc w:val="center"/>
        <w:rPr>
          <w:rFonts w:ascii="宋体" w:hAnsi="宋体"/>
          <w:b/>
          <w:bCs/>
          <w:color w:val="auto"/>
          <w:sz w:val="52"/>
          <w:szCs w:val="52"/>
          <w:highlight w:val="none"/>
        </w:rPr>
      </w:pPr>
      <w:r>
        <w:rPr>
          <w:rFonts w:ascii="宋体" w:hAnsi="宋体"/>
          <w:b/>
          <w:bCs/>
          <w:color w:val="auto"/>
          <w:sz w:val="52"/>
          <w:szCs w:val="52"/>
          <w:highlight w:val="none"/>
        </w:rPr>
      </w:r>
      <w:r/>
    </w:p>
    <w:p>
      <w:pPr>
        <w:jc w:val="center"/>
        <w:rPr>
          <w:rFonts w:ascii="宋体" w:hAnsi="宋体"/>
          <w:b/>
          <w:bCs/>
          <w:color w:val="auto"/>
          <w:sz w:val="52"/>
          <w:szCs w:val="52"/>
          <w:highlight w:val="none"/>
        </w:rPr>
      </w:pPr>
      <w:r>
        <w:rPr>
          <w:rFonts w:hint="eastAsia" w:ascii="宋体" w:hAnsi="宋体"/>
          <w:b/>
          <w:bCs/>
          <w:color w:val="auto"/>
          <w:sz w:val="52"/>
          <w:szCs w:val="52"/>
          <w:highlight w:val="none"/>
        </w:rPr>
        <w:t xml:space="preserve"> 竞争性谈判采购文件</w:t>
      </w:r>
      <w:r/>
    </w:p>
    <w:p>
      <w:pPr>
        <w:jc w:val="center"/>
        <w:rPr>
          <w:rFonts w:ascii="宋体" w:hAnsi="宋体"/>
          <w:b/>
          <w:bCs/>
          <w:color w:val="auto"/>
          <w:sz w:val="52"/>
          <w:szCs w:val="52"/>
          <w:highlight w:val="none"/>
        </w:rPr>
      </w:pPr>
      <w:r>
        <w:rPr>
          <w:rFonts w:ascii="宋体" w:hAnsi="宋体"/>
          <w:b/>
          <w:bCs/>
          <w:color w:val="auto"/>
          <w:sz w:val="52"/>
          <w:szCs w:val="52"/>
          <w:highlight w:val="none"/>
        </w:rPr>
        <w:tab/>
      </w:r>
      <w:r/>
    </w:p>
    <w:p>
      <w:pPr>
        <w:spacing w:line="360" w:lineRule="auto"/>
        <w:rPr>
          <w:rFonts w:ascii="宋体" w:hAnsi="宋体"/>
          <w:color w:val="auto"/>
          <w:highlight w:val="none"/>
        </w:rPr>
      </w:pPr>
      <w:r>
        <w:rPr>
          <w:rFonts w:ascii="宋体" w:hAnsi="宋体"/>
          <w:color w:val="auto"/>
          <w:highlight w:val="none"/>
        </w:rPr>
      </w:r>
      <w:r/>
    </w:p>
    <w:p>
      <w:pPr>
        <w:ind w:firstLine="140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项目编号：JSZC-320583-SZYE-T2026-0012</w:t>
      </w:r>
      <w:r/>
    </w:p>
    <w:p>
      <w:pPr>
        <w:ind w:firstLine="1400"/>
        <w:spacing w:line="360" w:lineRule="auto"/>
        <w:rPr>
          <w:rFonts w:hint="default"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采购内容：</w:t>
      </w:r>
      <w:r>
        <w:rPr>
          <w:rFonts w:hint="eastAsia" w:ascii="宋体" w:hAnsi="宋体"/>
          <w:color w:val="auto"/>
          <w:sz w:val="28"/>
          <w:szCs w:val="28"/>
          <w:highlight w:val="none"/>
          <w:lang w:val="en-US" w:eastAsia="zh-CN"/>
        </w:rPr>
        <w:t xml:space="preserve">2026年度电子警察类交通设施维护项目</w:t>
      </w:r>
      <w:r/>
    </w:p>
    <w:p>
      <w:pPr>
        <w:ind w:firstLine="1400"/>
        <w:spacing w:line="360" w:lineRule="auto"/>
        <w:rPr>
          <w:rFonts w:hint="eastAsia"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采购单位：昆山市公安局</w:t>
      </w:r>
      <w:r/>
    </w:p>
    <w:p>
      <w:pPr>
        <w:rPr>
          <w:rFonts w:ascii="宋体" w:hAnsi="宋体"/>
          <w:color w:val="auto"/>
          <w:sz w:val="28"/>
          <w:szCs w:val="28"/>
          <w:highlight w:val="none"/>
        </w:rPr>
      </w:pPr>
      <w:r>
        <w:rPr>
          <w:rFonts w:ascii="宋体" w:hAnsi="宋体"/>
          <w:color w:val="auto"/>
          <w:sz w:val="28"/>
          <w:szCs w:val="28"/>
          <w:highlight w:val="none"/>
        </w:rPr>
      </w:r>
      <w:r/>
    </w:p>
    <w:p>
      <w:pPr>
        <w:rPr>
          <w:rFonts w:ascii="宋体" w:hAnsi="宋体"/>
          <w:color w:val="auto"/>
          <w:sz w:val="30"/>
          <w:highlight w:val="none"/>
        </w:rPr>
      </w:pPr>
      <w:r>
        <w:rPr>
          <w:rFonts w:ascii="宋体" w:hAnsi="宋体"/>
          <w:color w:val="auto"/>
          <w:sz w:val="30"/>
          <w:highlight w:val="none"/>
        </w:rPr>
      </w:r>
      <w:r/>
    </w:p>
    <w:p>
      <w:pPr>
        <w:rPr>
          <w:rFonts w:ascii="宋体" w:hAnsi="宋体"/>
          <w:color w:val="auto"/>
          <w:sz w:val="30"/>
          <w:highlight w:val="none"/>
        </w:rPr>
      </w:pPr>
      <w:r>
        <w:rPr>
          <w:rFonts w:ascii="宋体" w:hAnsi="宋体"/>
          <w:color w:val="auto"/>
          <w:sz w:val="30"/>
          <w:highlight w:val="none"/>
        </w:rPr>
      </w:r>
      <w:r/>
    </w:p>
    <w:p>
      <w:pPr>
        <w:rPr>
          <w:rFonts w:ascii="宋体" w:hAnsi="宋体"/>
          <w:color w:val="auto"/>
          <w:sz w:val="30"/>
          <w:highlight w:val="none"/>
        </w:rPr>
      </w:pPr>
      <w:r>
        <w:rPr>
          <w:rFonts w:ascii="宋体" w:hAnsi="宋体"/>
          <w:color w:val="auto"/>
          <w:sz w:val="30"/>
          <w:highlight w:val="none"/>
        </w:rPr>
      </w:r>
      <w:r/>
    </w:p>
    <w:p>
      <w:pP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spacing w:line="360" w:lineRule="auto"/>
        <w:rPr>
          <w:rFonts w:ascii="宋体" w:hAnsi="宋体"/>
          <w:color w:val="auto"/>
          <w:sz w:val="28"/>
          <w:highlight w:val="none"/>
        </w:rPr>
      </w:pPr>
      <w:r>
        <w:rPr>
          <w:rFonts w:hint="eastAsia" w:ascii="宋体" w:hAnsi="宋体"/>
          <w:color w:val="auto"/>
          <w:sz w:val="28"/>
          <w:highlight w:val="none"/>
        </w:rPr>
        <w:t xml:space="preserve">苏州宇恩项目咨询有限公司</w:t>
      </w:r>
      <w:r/>
    </w:p>
    <w:p>
      <w:pPr>
        <w:jc w:val="left"/>
        <w:spacing w:line="360" w:lineRule="auto"/>
        <w:tabs>
          <w:tab w:val="left" w:pos="3324" w:leader="none"/>
          <w:tab w:val="center" w:pos="4216" w:leader="none"/>
        </w:tabs>
        <w:rPr>
          <w:rFonts w:ascii="宋体" w:hAnsi="宋体"/>
          <w:color w:val="auto"/>
          <w:sz w:val="28"/>
          <w:highlight w:val="none"/>
        </w:rPr>
      </w:pPr>
      <w:r>
        <w:rPr>
          <w:rFonts w:hint="eastAsia" w:ascii="宋体" w:hAnsi="宋体"/>
          <w:color w:val="auto"/>
          <w:sz w:val="28"/>
          <w:highlight w:val="none"/>
        </w:rPr>
        <w:tab/>
      </w:r>
      <w:r>
        <w:rPr>
          <w:rFonts w:hint="eastAsia" w:ascii="宋体" w:hAnsi="宋体"/>
          <w:color w:val="auto"/>
          <w:sz w:val="28"/>
          <w:highlight w:val="none"/>
        </w:rPr>
        <w:t xml:space="preserve"> </w:t>
      </w:r>
      <w:r>
        <w:rPr>
          <w:rFonts w:hint="eastAsia" w:ascii="宋体" w:hAnsi="宋体"/>
          <w:color w:val="auto"/>
          <w:sz w:val="28"/>
          <w:highlight w:val="none"/>
        </w:rPr>
        <w:tab/>
      </w:r>
      <w:r>
        <w:rPr>
          <w:rFonts w:hint="eastAsia" w:ascii="宋体" w:hAnsi="宋体"/>
          <w:color w:val="auto"/>
          <w:sz w:val="28"/>
          <w:highlight w:val="none"/>
        </w:rPr>
        <w:t xml:space="preserve">202</w:t>
      </w:r>
      <w:r>
        <w:rPr>
          <w:rFonts w:hint="eastAsia" w:ascii="宋体" w:hAnsi="宋体"/>
          <w:color w:val="auto"/>
          <w:sz w:val="28"/>
          <w:highlight w:val="none"/>
          <w:lang w:val="en-US" w:eastAsia="zh-CN"/>
        </w:rPr>
        <w:t xml:space="preserve">6</w:t>
      </w:r>
      <w:r>
        <w:rPr>
          <w:rFonts w:hint="eastAsia" w:ascii="宋体" w:hAnsi="宋体"/>
          <w:color w:val="auto"/>
          <w:sz w:val="28"/>
          <w:highlight w:val="none"/>
        </w:rPr>
        <w:t xml:space="preserve">年</w:t>
      </w:r>
      <w:r>
        <w:rPr>
          <w:rFonts w:hint="eastAsia" w:ascii="宋体" w:hAnsi="宋体"/>
          <w:color w:val="auto"/>
          <w:sz w:val="28"/>
          <w:highlight w:val="none"/>
          <w:lang w:val="en-US" w:eastAsia="zh-CN"/>
        </w:rPr>
        <w:t xml:space="preserve">04</w:t>
      </w:r>
      <w:r>
        <w:rPr>
          <w:rFonts w:hint="eastAsia" w:ascii="宋体" w:hAnsi="宋体"/>
          <w:color w:val="auto"/>
          <w:sz w:val="28"/>
          <w:highlight w:val="none"/>
        </w:rPr>
        <w:t xml:space="preserve">月</w:t>
      </w:r>
      <w:r/>
    </w:p>
    <w:p>
      <w:pPr>
        <w:jc w:val="center"/>
        <w:widowControl/>
        <w:rPr>
          <w:rFonts w:hint="eastAsia" w:ascii="宋体" w:hAnsi="宋体"/>
          <w:b/>
          <w:color w:val="auto"/>
          <w:sz w:val="40"/>
          <w:szCs w:val="32"/>
          <w:highlight w:val="none"/>
        </w:rPr>
        <w:sectPr>
          <w:headerReference w:type="default" r:id="rId9"/>
          <w:footerReference w:type="even" r:id="rId10"/>
          <w:footnotePr/>
          <w:endnotePr/>
          <w:type w:val="nextPage"/>
          <w:pgSz w:w="11906" w:h="16838" w:orient="portrait"/>
          <w:pgMar w:top="1440" w:right="1797" w:bottom="1440" w:left="1797" w:header="851" w:footer="992" w:gutter="0"/>
          <w:cols w:num="1" w:sep="0" w:space="425" w:equalWidth="1"/>
          <w:docGrid w:linePitch="360"/>
        </w:sectPr>
      </w:pPr>
      <w:r>
        <w:rPr>
          <w:rFonts w:hint="eastAsia" w:ascii="宋体" w:hAnsi="宋体"/>
          <w:b/>
          <w:color w:val="auto"/>
          <w:sz w:val="40"/>
          <w:szCs w:val="32"/>
          <w:highlight w:val="none"/>
        </w:rPr>
      </w:r>
      <w:r/>
    </w:p>
    <w:p>
      <w:pPr>
        <w:jc w:val="center"/>
        <w:widowControl/>
        <w:rPr>
          <w:rFonts w:ascii="宋体" w:hAnsi="宋体"/>
          <w:b/>
          <w:color w:val="auto"/>
          <w:sz w:val="40"/>
          <w:szCs w:val="32"/>
          <w:highlight w:val="none"/>
        </w:rPr>
      </w:pPr>
      <w:r>
        <w:rPr>
          <w:rFonts w:hint="eastAsia" w:ascii="宋体" w:hAnsi="宋体"/>
          <w:b/>
          <w:color w:val="auto"/>
          <w:sz w:val="40"/>
          <w:szCs w:val="32"/>
          <w:highlight w:val="none"/>
        </w:rPr>
        <w:t xml:space="preserve">目 录</w:t>
      </w:r>
      <w:r/>
    </w:p>
    <w:p>
      <w:pPr>
        <w:jc w:val="center"/>
        <w:widowControl/>
        <w:rPr>
          <w:rFonts w:ascii="宋体" w:hAnsi="宋体"/>
          <w:b/>
          <w:color w:val="auto"/>
          <w:sz w:val="28"/>
          <w:szCs w:val="28"/>
          <w:highlight w:val="none"/>
        </w:rPr>
      </w:pPr>
      <w:r>
        <w:rPr>
          <w:rFonts w:ascii="宋体" w:hAnsi="宋体"/>
          <w:b/>
          <w:color w:val="auto"/>
          <w:sz w:val="28"/>
          <w:szCs w:val="28"/>
          <w:highlight w:val="none"/>
        </w:rPr>
      </w:r>
      <w:r/>
    </w:p>
    <w:p>
      <w:pPr>
        <w:pStyle w:val="763"/>
        <w:tabs>
          <w:tab w:val="right" w:pos="8302" w:leader="dot"/>
        </w:tabs>
        <w:rPr>
          <w:rFonts w:asciiTheme="minorHAnsi" w:hAnsiTheme="minorHAnsi" w:eastAsiaTheme="minorEastAsia" w:cstheme="minorBidi"/>
          <w:color w:val="auto"/>
          <w:sz w:val="21"/>
          <w:szCs w:val="22"/>
          <w:highlight w:val="none"/>
        </w:rPr>
      </w:pPr>
      <w:r>
        <w:rPr>
          <w:rFonts w:ascii="宋体" w:hAnsi="宋体"/>
          <w:color w:val="auto"/>
          <w:sz w:val="28"/>
          <w:highlight w:val="none"/>
        </w:rPr>
        <w:fldChar w:fldCharType="begin"/>
      </w:r>
      <w:r>
        <w:rPr>
          <w:rFonts w:ascii="宋体" w:hAnsi="宋体"/>
          <w:color w:val="auto"/>
          <w:sz w:val="28"/>
          <w:highlight w:val="none"/>
        </w:rPr>
        <w:instrText xml:space="preserve"> TOC \o "1-2" \h \z \u </w:instrText>
      </w:r>
      <w:r>
        <w:rPr>
          <w:rFonts w:ascii="宋体" w:hAnsi="宋体"/>
          <w:color w:val="auto"/>
          <w:sz w:val="28"/>
          <w:highlight w:val="none"/>
        </w:rPr>
        <w:fldChar w:fldCharType="separate"/>
      </w:r>
      <w:r>
        <w:rPr>
          <w:color w:val="auto"/>
          <w:highlight w:val="none"/>
        </w:rPr>
        <w:fldChar w:fldCharType="begin"/>
      </w:r>
      <w:r>
        <w:rPr>
          <w:color w:val="auto"/>
          <w:highlight w:val="none"/>
        </w:rPr>
        <w:instrText xml:space="preserve"> HYPERLINK \l "_Toc166488918" \o "#_Toc166488918" </w:instrText>
      </w:r>
      <w:r>
        <w:rPr>
          <w:color w:val="auto"/>
          <w:highlight w:val="none"/>
        </w:rPr>
        <w:fldChar w:fldCharType="separate"/>
      </w:r>
      <w:r>
        <w:rPr>
          <w:rStyle w:val="789"/>
          <w:rFonts w:hint="eastAsia"/>
          <w:color w:val="auto"/>
          <w:highlight w:val="none"/>
        </w:rPr>
        <w:t xml:space="preserve">第一章 竞争性谈判邀请函</w:t>
      </w:r>
      <w:r>
        <w:rPr>
          <w:color w:val="auto"/>
          <w:highlight w:val="none"/>
        </w:rPr>
        <w:tab/>
      </w:r>
      <w:r>
        <w:rPr>
          <w:color w:val="auto"/>
          <w:highlight w:val="none"/>
        </w:rPr>
        <w:fldChar w:fldCharType="begin"/>
      </w:r>
      <w:r>
        <w:rPr>
          <w:color w:val="auto"/>
          <w:highlight w:val="none"/>
        </w:rPr>
        <w:instrText xml:space="preserve"> PAGEREF _Toc166488918 \h </w:instrText>
      </w:r>
      <w:r>
        <w:rPr>
          <w:color w:val="auto"/>
          <w:highlight w:val="none"/>
        </w:rPr>
        <w:fldChar w:fldCharType="separate"/>
      </w:r>
      <w:r>
        <w:rPr>
          <w:color w:val="auto"/>
          <w:highlight w:val="none"/>
        </w:rPr>
        <w:t xml:space="preserve">2</w:t>
      </w:r>
      <w:r>
        <w:rPr>
          <w:color w:val="auto"/>
          <w:highlight w:val="none"/>
        </w:rPr>
        <w:fldChar w:fldCharType="end"/>
      </w:r>
      <w:r>
        <w:rPr>
          <w:color w:val="auto"/>
          <w:highlight w:val="none"/>
        </w:rPr>
        <w:fldChar w:fldCharType="end"/>
      </w:r>
      <w:r/>
    </w:p>
    <w:p>
      <w:pPr>
        <w:pStyle w:val="763"/>
        <w:tabs>
          <w:tab w:val="right" w:pos="8302" w:leader="dot"/>
        </w:tabs>
        <w:rPr>
          <w:rFonts w:asciiTheme="minorHAnsi" w:hAnsiTheme="minorHAnsi" w:eastAsiaTheme="minorEastAsia" w:cstheme="minorBidi"/>
          <w:color w:val="auto"/>
          <w:sz w:val="21"/>
          <w:szCs w:val="22"/>
          <w:highlight w:val="none"/>
        </w:rPr>
      </w:pPr>
      <w:r>
        <w:rPr>
          <w:color w:val="auto"/>
          <w:highlight w:val="none"/>
        </w:rPr>
        <w:fldChar w:fldCharType="begin"/>
      </w:r>
      <w:r>
        <w:rPr>
          <w:color w:val="auto"/>
          <w:highlight w:val="none"/>
        </w:rPr>
        <w:instrText xml:space="preserve"> HYPERLINK \l "_Toc166488919" \o "#_Toc166488919" </w:instrText>
      </w:r>
      <w:r>
        <w:rPr>
          <w:color w:val="auto"/>
          <w:highlight w:val="none"/>
        </w:rPr>
        <w:fldChar w:fldCharType="separate"/>
      </w:r>
      <w:r>
        <w:rPr>
          <w:rStyle w:val="789"/>
          <w:rFonts w:hint="eastAsia"/>
          <w:color w:val="auto"/>
          <w:highlight w:val="none"/>
        </w:rPr>
        <w:t xml:space="preserve">第二章</w:t>
      </w:r>
      <w:r>
        <w:rPr>
          <w:rStyle w:val="789"/>
          <w:color w:val="auto"/>
          <w:highlight w:val="none"/>
        </w:rPr>
        <w:t xml:space="preserve"> </w:t>
      </w:r>
      <w:r>
        <w:rPr>
          <w:rStyle w:val="789"/>
          <w:rFonts w:hint="eastAsia"/>
          <w:color w:val="auto"/>
          <w:highlight w:val="none"/>
        </w:rPr>
        <w:t xml:space="preserve">响应须知</w:t>
      </w:r>
      <w:r>
        <w:rPr>
          <w:color w:val="auto"/>
          <w:highlight w:val="none"/>
        </w:rPr>
        <w:tab/>
      </w:r>
      <w:r>
        <w:rPr>
          <w:color w:val="auto"/>
          <w:highlight w:val="none"/>
        </w:rPr>
        <w:fldChar w:fldCharType="begin"/>
      </w:r>
      <w:r>
        <w:rPr>
          <w:color w:val="auto"/>
          <w:highlight w:val="none"/>
        </w:rPr>
        <w:instrText xml:space="preserve"> PAGEREF _Toc166488919 \h </w:instrText>
      </w:r>
      <w:r>
        <w:rPr>
          <w:color w:val="auto"/>
          <w:highlight w:val="none"/>
        </w:rPr>
        <w:fldChar w:fldCharType="separate"/>
      </w:r>
      <w:r>
        <w:rPr>
          <w:color w:val="auto"/>
          <w:highlight w:val="none"/>
        </w:rPr>
        <w:t xml:space="preserve">5</w:t>
      </w:r>
      <w:r>
        <w:rPr>
          <w:color w:val="auto"/>
          <w:highlight w:val="none"/>
        </w:rPr>
        <w:fldChar w:fldCharType="end"/>
      </w:r>
      <w:r>
        <w:rPr>
          <w:color w:val="auto"/>
          <w:highlight w:val="none"/>
        </w:rPr>
        <w:fldChar w:fldCharType="end"/>
      </w:r>
      <w:r/>
    </w:p>
    <w:p>
      <w:pPr>
        <w:pStyle w:val="763"/>
        <w:tabs>
          <w:tab w:val="right" w:pos="8302" w:leader="dot"/>
        </w:tabs>
        <w:rPr>
          <w:rFonts w:asciiTheme="minorHAnsi" w:hAnsiTheme="minorHAnsi" w:eastAsiaTheme="minorEastAsia" w:cstheme="minorBidi"/>
          <w:color w:val="auto"/>
          <w:sz w:val="21"/>
          <w:szCs w:val="22"/>
          <w:highlight w:val="none"/>
        </w:rPr>
      </w:pPr>
      <w:r>
        <w:rPr>
          <w:color w:val="auto"/>
          <w:highlight w:val="none"/>
        </w:rPr>
        <w:fldChar w:fldCharType="begin"/>
      </w:r>
      <w:r>
        <w:rPr>
          <w:color w:val="auto"/>
          <w:highlight w:val="none"/>
        </w:rPr>
        <w:instrText xml:space="preserve"> HYPERLINK \l "_Toc166488920" \o "#_Toc166488920" </w:instrText>
      </w:r>
      <w:r>
        <w:rPr>
          <w:color w:val="auto"/>
          <w:highlight w:val="none"/>
        </w:rPr>
        <w:fldChar w:fldCharType="separate"/>
      </w:r>
      <w:r>
        <w:rPr>
          <w:rStyle w:val="789"/>
          <w:rFonts w:hint="eastAsia"/>
          <w:color w:val="auto"/>
          <w:highlight w:val="none"/>
        </w:rPr>
        <w:t xml:space="preserve">第三章</w:t>
      </w:r>
      <w:r>
        <w:rPr>
          <w:rStyle w:val="789"/>
          <w:color w:val="auto"/>
          <w:highlight w:val="none"/>
        </w:rPr>
        <w:t xml:space="preserve"> </w:t>
      </w:r>
      <w:r>
        <w:rPr>
          <w:rStyle w:val="789"/>
          <w:rFonts w:hint="eastAsia"/>
          <w:color w:val="auto"/>
          <w:highlight w:val="none"/>
        </w:rPr>
        <w:t xml:space="preserve">响应内容</w:t>
      </w:r>
      <w:r>
        <w:rPr>
          <w:color w:val="auto"/>
          <w:highlight w:val="none"/>
        </w:rPr>
        <w:tab/>
      </w:r>
      <w:r>
        <w:rPr>
          <w:color w:val="auto"/>
          <w:highlight w:val="none"/>
        </w:rPr>
        <w:fldChar w:fldCharType="begin"/>
      </w:r>
      <w:r>
        <w:rPr>
          <w:color w:val="auto"/>
          <w:highlight w:val="none"/>
        </w:rPr>
        <w:instrText xml:space="preserve"> PAGEREF _Toc166488920 \h </w:instrText>
      </w:r>
      <w:r>
        <w:rPr>
          <w:color w:val="auto"/>
          <w:highlight w:val="none"/>
        </w:rPr>
        <w:fldChar w:fldCharType="separate"/>
      </w:r>
      <w:r>
        <w:rPr>
          <w:color w:val="auto"/>
          <w:highlight w:val="none"/>
        </w:rPr>
        <w:t xml:space="preserve">13</w:t>
      </w:r>
      <w:r>
        <w:rPr>
          <w:color w:val="auto"/>
          <w:highlight w:val="none"/>
        </w:rPr>
        <w:fldChar w:fldCharType="end"/>
      </w:r>
      <w:r>
        <w:rPr>
          <w:color w:val="auto"/>
          <w:highlight w:val="none"/>
        </w:rPr>
        <w:fldChar w:fldCharType="end"/>
      </w:r>
      <w:r/>
    </w:p>
    <w:p>
      <w:pPr>
        <w:pStyle w:val="763"/>
        <w:tabs>
          <w:tab w:val="right" w:pos="8302" w:leader="dot"/>
        </w:tabs>
        <w:rPr>
          <w:rFonts w:asciiTheme="minorHAnsi" w:hAnsiTheme="minorHAnsi" w:eastAsiaTheme="minorEastAsia" w:cstheme="minorBidi"/>
          <w:color w:val="auto"/>
          <w:sz w:val="21"/>
          <w:szCs w:val="22"/>
          <w:highlight w:val="none"/>
        </w:rPr>
      </w:pPr>
      <w:r>
        <w:rPr>
          <w:color w:val="auto"/>
          <w:highlight w:val="none"/>
        </w:rPr>
        <w:fldChar w:fldCharType="begin"/>
      </w:r>
      <w:r>
        <w:rPr>
          <w:color w:val="auto"/>
          <w:highlight w:val="none"/>
        </w:rPr>
        <w:instrText xml:space="preserve"> HYPERLINK \l "_Toc166488921" \o "#_Toc166488921" </w:instrText>
      </w:r>
      <w:r>
        <w:rPr>
          <w:color w:val="auto"/>
          <w:highlight w:val="none"/>
        </w:rPr>
        <w:fldChar w:fldCharType="separate"/>
      </w:r>
      <w:r>
        <w:rPr>
          <w:rStyle w:val="789"/>
          <w:rFonts w:hint="eastAsia"/>
          <w:color w:val="auto"/>
          <w:highlight w:val="none"/>
        </w:rPr>
        <w:t xml:space="preserve">第四章</w:t>
      </w:r>
      <w:r>
        <w:rPr>
          <w:rStyle w:val="789"/>
          <w:color w:val="auto"/>
          <w:highlight w:val="none"/>
        </w:rPr>
        <w:t xml:space="preserve"> </w:t>
      </w:r>
      <w:r>
        <w:rPr>
          <w:rStyle w:val="789"/>
          <w:rFonts w:hint="eastAsia"/>
          <w:color w:val="auto"/>
          <w:highlight w:val="none"/>
        </w:rPr>
        <w:t xml:space="preserve">竞争性谈判程序</w:t>
      </w:r>
      <w:r>
        <w:rPr>
          <w:color w:val="auto"/>
          <w:highlight w:val="none"/>
        </w:rPr>
        <w:tab/>
      </w:r>
      <w:r>
        <w:rPr>
          <w:color w:val="auto"/>
          <w:highlight w:val="none"/>
        </w:rPr>
        <w:fldChar w:fldCharType="begin"/>
      </w:r>
      <w:r>
        <w:rPr>
          <w:color w:val="auto"/>
          <w:highlight w:val="none"/>
        </w:rPr>
        <w:instrText xml:space="preserve"> PAGEREF _Toc166488921 \h </w:instrText>
      </w:r>
      <w:r>
        <w:rPr>
          <w:color w:val="auto"/>
          <w:highlight w:val="none"/>
        </w:rPr>
        <w:fldChar w:fldCharType="separate"/>
      </w:r>
      <w:r>
        <w:rPr>
          <w:color w:val="auto"/>
          <w:highlight w:val="none"/>
        </w:rPr>
        <w:t xml:space="preserve">13</w:t>
      </w:r>
      <w:r>
        <w:rPr>
          <w:color w:val="auto"/>
          <w:highlight w:val="none"/>
        </w:rPr>
        <w:fldChar w:fldCharType="end"/>
      </w:r>
      <w:r>
        <w:rPr>
          <w:color w:val="auto"/>
          <w:highlight w:val="none"/>
        </w:rPr>
        <w:fldChar w:fldCharType="end"/>
      </w:r>
      <w:r/>
    </w:p>
    <w:p>
      <w:pPr>
        <w:pStyle w:val="763"/>
        <w:tabs>
          <w:tab w:val="right" w:pos="8302" w:leader="dot"/>
        </w:tabs>
        <w:rPr>
          <w:rFonts w:asciiTheme="minorHAnsi" w:hAnsiTheme="minorHAnsi" w:eastAsiaTheme="minorEastAsia" w:cstheme="minorBidi"/>
          <w:color w:val="auto"/>
          <w:sz w:val="21"/>
          <w:szCs w:val="22"/>
          <w:highlight w:val="none"/>
        </w:rPr>
      </w:pPr>
      <w:r>
        <w:rPr>
          <w:color w:val="auto"/>
          <w:highlight w:val="none"/>
        </w:rPr>
        <w:fldChar w:fldCharType="begin"/>
      </w:r>
      <w:r>
        <w:rPr>
          <w:color w:val="auto"/>
          <w:highlight w:val="none"/>
        </w:rPr>
        <w:instrText xml:space="preserve"> HYPERLINK \l "_Toc166488922" \o "#_Toc166488922" </w:instrText>
      </w:r>
      <w:r>
        <w:rPr>
          <w:color w:val="auto"/>
          <w:highlight w:val="none"/>
        </w:rPr>
        <w:fldChar w:fldCharType="separate"/>
      </w:r>
      <w:r>
        <w:rPr>
          <w:rStyle w:val="789"/>
          <w:rFonts w:hint="eastAsia"/>
          <w:color w:val="auto"/>
          <w:highlight w:val="none"/>
        </w:rPr>
        <w:t xml:space="preserve">第五章</w:t>
      </w:r>
      <w:r>
        <w:rPr>
          <w:rStyle w:val="789"/>
          <w:color w:val="auto"/>
          <w:highlight w:val="none"/>
        </w:rPr>
        <w:t xml:space="preserve"> </w:t>
      </w:r>
      <w:r>
        <w:rPr>
          <w:rStyle w:val="789"/>
          <w:rFonts w:hint="eastAsia"/>
          <w:color w:val="auto"/>
          <w:highlight w:val="none"/>
        </w:rPr>
        <w:t xml:space="preserve">合同条款</w:t>
      </w:r>
      <w:r>
        <w:rPr>
          <w:color w:val="auto"/>
          <w:highlight w:val="none"/>
        </w:rPr>
        <w:tab/>
      </w:r>
      <w:r>
        <w:rPr>
          <w:color w:val="auto"/>
          <w:highlight w:val="none"/>
        </w:rPr>
        <w:fldChar w:fldCharType="begin"/>
      </w:r>
      <w:r>
        <w:rPr>
          <w:color w:val="auto"/>
          <w:highlight w:val="none"/>
        </w:rPr>
        <w:instrText xml:space="preserve"> PAGEREF _Toc166488922 \h </w:instrText>
      </w:r>
      <w:r>
        <w:rPr>
          <w:color w:val="auto"/>
          <w:highlight w:val="none"/>
        </w:rPr>
        <w:fldChar w:fldCharType="separate"/>
      </w:r>
      <w:r>
        <w:rPr>
          <w:color w:val="auto"/>
          <w:highlight w:val="none"/>
        </w:rPr>
        <w:t xml:space="preserve">38</w:t>
      </w:r>
      <w:r>
        <w:rPr>
          <w:color w:val="auto"/>
          <w:highlight w:val="none"/>
        </w:rPr>
        <w:fldChar w:fldCharType="end"/>
      </w:r>
      <w:r>
        <w:rPr>
          <w:color w:val="auto"/>
          <w:highlight w:val="none"/>
        </w:rPr>
        <w:fldChar w:fldCharType="end"/>
      </w:r>
      <w:r/>
    </w:p>
    <w:p>
      <w:pPr>
        <w:pStyle w:val="763"/>
        <w:tabs>
          <w:tab w:val="right" w:pos="8302" w:leader="dot"/>
        </w:tabs>
        <w:rPr>
          <w:rFonts w:asciiTheme="minorHAnsi" w:hAnsiTheme="minorHAnsi" w:eastAsiaTheme="minorEastAsia" w:cstheme="minorBidi"/>
          <w:color w:val="auto"/>
          <w:sz w:val="21"/>
          <w:szCs w:val="22"/>
          <w:highlight w:val="none"/>
        </w:rPr>
      </w:pPr>
      <w:r>
        <w:rPr>
          <w:color w:val="auto"/>
          <w:highlight w:val="none"/>
        </w:rPr>
        <w:fldChar w:fldCharType="begin"/>
      </w:r>
      <w:r>
        <w:rPr>
          <w:color w:val="auto"/>
          <w:highlight w:val="none"/>
        </w:rPr>
        <w:instrText xml:space="preserve"> HYPERLINK \l "_Toc166488923" \o "#_Toc166488923" </w:instrText>
      </w:r>
      <w:r>
        <w:rPr>
          <w:color w:val="auto"/>
          <w:highlight w:val="none"/>
        </w:rPr>
        <w:fldChar w:fldCharType="separate"/>
      </w:r>
      <w:r>
        <w:rPr>
          <w:rStyle w:val="789"/>
          <w:rFonts w:hint="eastAsia"/>
          <w:color w:val="auto"/>
          <w:highlight w:val="none"/>
        </w:rPr>
        <w:t xml:space="preserve">第六章</w:t>
      </w:r>
      <w:r>
        <w:rPr>
          <w:rStyle w:val="789"/>
          <w:color w:val="auto"/>
          <w:highlight w:val="none"/>
        </w:rPr>
        <w:t xml:space="preserve"> </w:t>
      </w:r>
      <w:r>
        <w:rPr>
          <w:rStyle w:val="789"/>
          <w:rFonts w:hint="eastAsia"/>
          <w:color w:val="auto"/>
          <w:highlight w:val="none"/>
        </w:rPr>
        <w:t xml:space="preserve">评审方法</w:t>
      </w:r>
      <w:r>
        <w:rPr>
          <w:color w:val="auto"/>
          <w:highlight w:val="none"/>
        </w:rPr>
        <w:tab/>
      </w:r>
      <w:r>
        <w:rPr>
          <w:color w:val="auto"/>
          <w:highlight w:val="none"/>
        </w:rPr>
        <w:fldChar w:fldCharType="begin"/>
      </w:r>
      <w:r>
        <w:rPr>
          <w:color w:val="auto"/>
          <w:highlight w:val="none"/>
        </w:rPr>
        <w:instrText xml:space="preserve"> PAGEREF _Toc166488923 \h </w:instrText>
      </w:r>
      <w:r>
        <w:rPr>
          <w:color w:val="auto"/>
          <w:highlight w:val="none"/>
        </w:rPr>
        <w:fldChar w:fldCharType="separate"/>
      </w:r>
      <w:r>
        <w:rPr>
          <w:color w:val="auto"/>
          <w:highlight w:val="none"/>
        </w:rPr>
        <w:t xml:space="preserve">38</w:t>
      </w:r>
      <w:r>
        <w:rPr>
          <w:color w:val="auto"/>
          <w:highlight w:val="none"/>
        </w:rPr>
        <w:fldChar w:fldCharType="end"/>
      </w:r>
      <w:r>
        <w:rPr>
          <w:color w:val="auto"/>
          <w:highlight w:val="none"/>
        </w:rPr>
        <w:fldChar w:fldCharType="end"/>
      </w:r>
      <w:r/>
    </w:p>
    <w:p>
      <w:pPr>
        <w:pStyle w:val="763"/>
        <w:tabs>
          <w:tab w:val="right" w:pos="8302" w:leader="dot"/>
        </w:tabs>
        <w:rPr>
          <w:rFonts w:asciiTheme="minorHAnsi" w:hAnsiTheme="minorHAnsi" w:eastAsiaTheme="minorEastAsia" w:cstheme="minorBidi"/>
          <w:color w:val="auto"/>
          <w:sz w:val="21"/>
          <w:szCs w:val="22"/>
          <w:highlight w:val="none"/>
        </w:rPr>
      </w:pPr>
      <w:r>
        <w:rPr>
          <w:color w:val="auto"/>
          <w:highlight w:val="none"/>
        </w:rPr>
        <w:fldChar w:fldCharType="begin"/>
      </w:r>
      <w:r>
        <w:rPr>
          <w:color w:val="auto"/>
          <w:highlight w:val="none"/>
        </w:rPr>
        <w:instrText xml:space="preserve"> HYPERLINK \l "_Toc166488924" \o "#_Toc166488924" </w:instrText>
      </w:r>
      <w:r>
        <w:rPr>
          <w:color w:val="auto"/>
          <w:highlight w:val="none"/>
        </w:rPr>
        <w:fldChar w:fldCharType="separate"/>
      </w:r>
      <w:r>
        <w:rPr>
          <w:rStyle w:val="789"/>
          <w:rFonts w:hint="eastAsia"/>
          <w:color w:val="auto"/>
          <w:highlight w:val="none"/>
        </w:rPr>
        <w:t xml:space="preserve">第七章</w:t>
      </w:r>
      <w:r>
        <w:rPr>
          <w:rStyle w:val="789"/>
          <w:color w:val="auto"/>
          <w:highlight w:val="none"/>
        </w:rPr>
        <w:t xml:space="preserve"> </w:t>
      </w:r>
      <w:r>
        <w:rPr>
          <w:rStyle w:val="789"/>
          <w:rFonts w:hint="eastAsia"/>
          <w:color w:val="auto"/>
          <w:highlight w:val="none"/>
        </w:rPr>
        <w:t xml:space="preserve">附件</w:t>
      </w:r>
      <w:r>
        <w:rPr>
          <w:color w:val="auto"/>
          <w:highlight w:val="none"/>
        </w:rPr>
        <w:tab/>
      </w:r>
      <w:r>
        <w:rPr>
          <w:color w:val="auto"/>
          <w:highlight w:val="none"/>
        </w:rPr>
        <w:fldChar w:fldCharType="begin"/>
      </w:r>
      <w:r>
        <w:rPr>
          <w:color w:val="auto"/>
          <w:highlight w:val="none"/>
        </w:rPr>
        <w:instrText xml:space="preserve"> PAGEREF _Toc166488924 \h </w:instrText>
      </w:r>
      <w:r>
        <w:rPr>
          <w:color w:val="auto"/>
          <w:highlight w:val="none"/>
        </w:rPr>
        <w:fldChar w:fldCharType="separate"/>
      </w:r>
      <w:r>
        <w:rPr>
          <w:color w:val="auto"/>
          <w:highlight w:val="none"/>
        </w:rPr>
        <w:t xml:space="preserve">46</w:t>
      </w:r>
      <w:r>
        <w:rPr>
          <w:color w:val="auto"/>
          <w:highlight w:val="none"/>
        </w:rPr>
        <w:fldChar w:fldCharType="end"/>
      </w:r>
      <w:r>
        <w:rPr>
          <w:color w:val="auto"/>
          <w:highlight w:val="none"/>
        </w:rPr>
        <w:fldChar w:fldCharType="end"/>
      </w:r>
      <w:r/>
    </w:p>
    <w:p>
      <w:pPr>
        <w:pStyle w:val="763"/>
        <w:tabs>
          <w:tab w:val="right" w:pos="8302" w:leader="dot"/>
        </w:tabs>
        <w:rPr>
          <w:rFonts w:asciiTheme="minorHAnsi" w:hAnsiTheme="minorHAnsi" w:eastAsiaTheme="minorEastAsia" w:cstheme="minorBidi"/>
          <w:color w:val="auto"/>
          <w:sz w:val="21"/>
          <w:szCs w:val="22"/>
          <w:highlight w:val="none"/>
        </w:rPr>
      </w:pPr>
      <w:r>
        <w:rPr>
          <w:rFonts w:ascii="宋体" w:hAnsi="宋体"/>
          <w:color w:val="auto"/>
          <w:sz w:val="28"/>
          <w:highlight w:val="none"/>
        </w:rPr>
        <w:fldChar w:fldCharType="end"/>
      </w:r>
      <w:r/>
    </w:p>
    <w:p>
      <w:pPr>
        <w:spacing w:line="360" w:lineRule="auto"/>
        <w:rPr>
          <w:rFonts w:ascii="宋体" w:hAnsi="宋体"/>
          <w:color w:val="auto"/>
          <w:sz w:val="28"/>
          <w:highlight w:val="none"/>
        </w:rPr>
      </w:pPr>
      <w:r>
        <w:rPr>
          <w:rFonts w:ascii="宋体" w:hAnsi="宋体"/>
          <w:color w:val="auto"/>
          <w:sz w:val="28"/>
          <w:highlight w:val="none"/>
        </w:rPr>
      </w:r>
      <w:r/>
    </w:p>
    <w:p>
      <w:pPr>
        <w:spacing w:line="360" w:lineRule="auto"/>
        <w:rPr>
          <w:rFonts w:ascii="宋体" w:hAnsi="宋体"/>
          <w:color w:val="auto"/>
          <w:sz w:val="28"/>
          <w:highlight w:val="none"/>
        </w:rPr>
      </w:pPr>
      <w:r/>
      <w:bookmarkStart w:id="92" w:name="_GoBack"/>
      <w:r/>
      <w:bookmarkEnd w:id="92"/>
      <w:r/>
      <w:r/>
    </w:p>
    <w:p>
      <w:pPr>
        <w:spacing w:line="360" w:lineRule="auto"/>
        <w:rPr>
          <w:rFonts w:ascii="宋体" w:hAnsi="宋体"/>
          <w:color w:val="auto"/>
          <w:sz w:val="28"/>
          <w:highlight w:val="none"/>
        </w:rPr>
      </w:pPr>
      <w:r>
        <w:rPr>
          <w:rFonts w:ascii="宋体" w:hAnsi="宋体"/>
          <w:color w:val="auto"/>
          <w:sz w:val="28"/>
          <w:highlight w:val="none"/>
        </w:rPr>
      </w:r>
      <w:r/>
    </w:p>
    <w:p>
      <w:pPr>
        <w:spacing w:line="360" w:lineRule="auto"/>
        <w:rPr>
          <w:rFonts w:ascii="宋体" w:hAnsi="宋体"/>
          <w:color w:val="auto"/>
          <w:sz w:val="28"/>
          <w:highlight w:val="none"/>
        </w:rPr>
      </w:pPr>
      <w:r>
        <w:rPr>
          <w:rFonts w:ascii="宋体" w:hAnsi="宋体"/>
          <w:color w:val="auto"/>
          <w:sz w:val="28"/>
          <w:highlight w:val="none"/>
        </w:rPr>
      </w:r>
      <w:r/>
    </w:p>
    <w:p>
      <w:pPr>
        <w:rPr>
          <w:rFonts w:ascii="宋体" w:hAnsi="宋体"/>
          <w:b/>
          <w:bCs/>
          <w:color w:val="auto"/>
          <w:sz w:val="30"/>
          <w:highlight w:val="none"/>
        </w:rPr>
      </w:pPr>
      <w:r/>
      <w:bookmarkStart w:id="0" w:name="_Toc477184667"/>
      <w:r/>
      <w:bookmarkStart w:id="1" w:name="_Toc477184526"/>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rPr>
          <w:rStyle w:val="1064"/>
          <w:color w:val="auto"/>
          <w:sz w:val="32"/>
          <w:szCs w:val="32"/>
          <w:highlight w:val="none"/>
        </w:rPr>
      </w:pPr>
      <w:r>
        <w:rPr>
          <w:color w:val="auto"/>
          <w:highlight w:val="none"/>
        </w:rPr>
        <w:br w:type="page" w:clear="all"/>
      </w:r>
      <w:r/>
    </w:p>
    <w:p>
      <w:pPr>
        <w:pStyle w:val="728"/>
        <w:jc w:val="center"/>
        <w:spacing w:line="240" w:lineRule="auto"/>
        <w:rPr>
          <w:color w:val="auto"/>
          <w:highlight w:val="none"/>
        </w:rPr>
      </w:pPr>
      <w:r/>
      <w:bookmarkStart w:id="2" w:name="_Toc166488918"/>
      <w:r>
        <w:rPr>
          <w:rStyle w:val="1064"/>
          <w:rFonts w:hint="eastAsia"/>
          <w:b/>
          <w:bCs/>
          <w:color w:val="auto"/>
          <w:sz w:val="32"/>
          <w:szCs w:val="32"/>
          <w:highlight w:val="none"/>
        </w:rPr>
        <w:t xml:space="preserve">第一章 竞争性谈判邀请函</w:t>
      </w:r>
      <w:bookmarkEnd w:id="0"/>
      <w:r/>
      <w:bookmarkEnd w:id="1"/>
      <w:r/>
      <w:bookmarkEnd w:id="2"/>
      <w:r/>
      <w:r/>
    </w:p>
    <w:p>
      <w:pPr>
        <w:ind w:firstLine="420"/>
        <w:spacing w:line="360" w:lineRule="auto"/>
        <w:rPr>
          <w:rFonts w:ascii="宋体" w:hAnsi="宋体"/>
          <w:color w:val="auto"/>
          <w:szCs w:val="21"/>
          <w:highlight w:val="none"/>
        </w:rPr>
      </w:pPr>
      <w:r/>
      <w:bookmarkStart w:id="3" w:name="_Toc477184668"/>
      <w:r/>
      <w:bookmarkStart w:id="4" w:name="_Toc477184528"/>
      <w:r/>
      <w:bookmarkStart w:id="5" w:name="_Toc477184527"/>
      <w:r/>
      <w:bookmarkStart w:id="6" w:name="_Toc477184669"/>
      <w:r>
        <w:rPr>
          <w:rFonts w:hint="eastAsia" w:ascii="宋体" w:hAnsi="宋体"/>
          <w:color w:val="auto"/>
          <w:szCs w:val="21"/>
          <w:highlight w:val="none"/>
        </w:rPr>
        <w:t xml:space="preserve">受</w:t>
      </w:r>
      <w:r>
        <w:rPr>
          <w:rFonts w:hint="eastAsia" w:ascii="宋体" w:hAnsi="宋体"/>
          <w:color w:val="auto"/>
          <w:szCs w:val="21"/>
          <w:highlight w:val="none"/>
          <w:u w:val="single"/>
          <w:lang w:eastAsia="zh-CN"/>
        </w:rPr>
        <w:t xml:space="preserve">昆山市公安局</w:t>
      </w:r>
      <w:r>
        <w:rPr>
          <w:rFonts w:hint="eastAsia" w:ascii="宋体" w:hAnsi="宋体"/>
          <w:color w:val="auto"/>
          <w:szCs w:val="21"/>
          <w:highlight w:val="none"/>
        </w:rPr>
        <w:t xml:space="preserve">委托，</w:t>
      </w:r>
      <w:r>
        <w:rPr>
          <w:rFonts w:hint="eastAsia" w:ascii="宋体" w:hAnsi="宋体"/>
          <w:color w:val="auto"/>
          <w:szCs w:val="21"/>
          <w:highlight w:val="none"/>
          <w:u w:val="single"/>
        </w:rPr>
        <w:t xml:space="preserve">苏州宇恩项目咨询有限公司 </w:t>
      </w:r>
      <w:r>
        <w:rPr>
          <w:rFonts w:hint="eastAsia" w:ascii="宋体" w:hAnsi="宋体"/>
          <w:color w:val="auto"/>
          <w:szCs w:val="21"/>
          <w:highlight w:val="none"/>
        </w:rPr>
        <w:t xml:space="preserve">对其所需采购的</w:t>
      </w:r>
      <w:r>
        <w:rPr>
          <w:rFonts w:hint="eastAsia" w:ascii="宋体" w:hAnsi="宋体"/>
          <w:color w:val="auto"/>
          <w:szCs w:val="21"/>
          <w:highlight w:val="none"/>
          <w:u w:val="single"/>
          <w:lang w:eastAsia="zh-CN"/>
        </w:rPr>
        <w:t xml:space="preserve">2026年度电子警察类交通设施维护项目</w:t>
      </w:r>
      <w:r>
        <w:rPr>
          <w:rFonts w:hint="eastAsia" w:ascii="宋体" w:hAnsi="宋体"/>
          <w:color w:val="auto"/>
          <w:szCs w:val="21"/>
          <w:highlight w:val="none"/>
        </w:rPr>
        <w:t xml:space="preserve">进行竞争性谈判。欢迎有资格的供应商前来参加投标。</w:t>
      </w:r>
      <w:r/>
    </w:p>
    <w:p>
      <w:pPr>
        <w:ind w:right="178" w:firstLine="422"/>
        <w:spacing w:line="360" w:lineRule="auto"/>
        <w:rPr>
          <w:rFonts w:ascii="宋体" w:hAnsi="宋体"/>
          <w:color w:val="auto"/>
          <w:szCs w:val="21"/>
          <w:highlight w:val="none"/>
        </w:rPr>
      </w:pPr>
      <w:r>
        <w:rPr>
          <w:rFonts w:hint="eastAsia" w:ascii="宋体" w:hAnsi="宋体"/>
          <w:b/>
          <w:color w:val="auto"/>
          <w:szCs w:val="21"/>
          <w:highlight w:val="none"/>
        </w:rPr>
        <w:t xml:space="preserve">一、项目基本情况</w:t>
      </w:r>
      <w:r/>
    </w:p>
    <w:p>
      <w:pPr>
        <w:ind w:right="178" w:firstLine="420"/>
        <w:spacing w:line="360" w:lineRule="auto"/>
        <w:tabs>
          <w:tab w:val="right" w:pos="7892" w:leader="none"/>
        </w:tabs>
        <w:rPr>
          <w:rFonts w:ascii="宋体" w:hAnsi="宋体"/>
          <w:bCs/>
          <w:color w:val="auto"/>
          <w:szCs w:val="21"/>
          <w:highlight w:val="none"/>
        </w:rPr>
      </w:pPr>
      <w:r>
        <w:rPr>
          <w:rFonts w:hint="eastAsia" w:ascii="宋体" w:hAnsi="宋体"/>
          <w:color w:val="auto"/>
          <w:szCs w:val="21"/>
          <w:highlight w:val="none"/>
        </w:rPr>
        <w:t xml:space="preserve">1.项目编号：</w:t>
      </w:r>
      <w:r>
        <w:rPr>
          <w:rFonts w:hint="eastAsia" w:ascii="宋体" w:hAnsi="宋体"/>
          <w:color w:val="auto"/>
          <w:szCs w:val="21"/>
          <w:highlight w:val="none"/>
          <w:lang w:val="en-US" w:eastAsia="zh-CN"/>
        </w:rPr>
        <w:t xml:space="preserve">JSZC-320583-SZYE-T2026-0012</w:t>
      </w:r>
      <w:r>
        <w:rPr>
          <w:rFonts w:hint="eastAsia" w:ascii="宋体" w:hAnsi="宋体"/>
          <w:color w:val="auto"/>
          <w:szCs w:val="21"/>
          <w:highlight w:val="none"/>
        </w:rPr>
        <w:t xml:space="preserve">；</w:t>
      </w:r>
      <w:r>
        <w:rPr>
          <w:rFonts w:hint="eastAsia" w:ascii="宋体" w:hAnsi="宋体"/>
          <w:color w:val="auto"/>
          <w:szCs w:val="21"/>
          <w:highlight w:val="none"/>
        </w:rPr>
        <w:tab/>
      </w:r>
      <w:r/>
    </w:p>
    <w:p>
      <w:pPr>
        <w:ind w:right="178" w:firstLine="420"/>
        <w:spacing w:line="360" w:lineRule="auto"/>
        <w:rPr>
          <w:rFonts w:ascii="宋体" w:hAnsi="宋体"/>
          <w:color w:val="auto"/>
          <w:szCs w:val="21"/>
          <w:highlight w:val="none"/>
          <w:u w:val="single"/>
        </w:rPr>
      </w:pPr>
      <w:r>
        <w:rPr>
          <w:rFonts w:ascii="宋体" w:hAnsi="宋体"/>
          <w:bCs/>
          <w:color w:val="auto"/>
          <w:szCs w:val="21"/>
          <w:highlight w:val="none"/>
        </w:rPr>
        <w:t xml:space="preserve">2</w:t>
      </w:r>
      <w:r>
        <w:rPr>
          <w:rFonts w:hint="eastAsia" w:ascii="宋体" w:hAnsi="宋体"/>
          <w:bCs/>
          <w:color w:val="auto"/>
          <w:szCs w:val="21"/>
          <w:highlight w:val="none"/>
        </w:rPr>
        <w:t xml:space="preserve">.项目名称</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2026年度电子警察类交通设施维护项目</w:t>
      </w:r>
      <w:r>
        <w:rPr>
          <w:rFonts w:hint="eastAsia" w:ascii="宋体" w:hAnsi="宋体"/>
          <w:color w:val="auto"/>
          <w:szCs w:val="21"/>
          <w:highlight w:val="none"/>
        </w:rPr>
        <w:t xml:space="preserve">；</w:t>
      </w:r>
      <w:r/>
    </w:p>
    <w:p>
      <w:pPr>
        <w:ind w:right="178" w:firstLine="420"/>
        <w:spacing w:line="360" w:lineRule="auto"/>
        <w:rPr>
          <w:rFonts w:ascii="宋体" w:hAnsi="宋体"/>
          <w:color w:val="auto"/>
          <w:szCs w:val="21"/>
          <w:highlight w:val="none"/>
        </w:rPr>
      </w:pPr>
      <w:r>
        <w:rPr>
          <w:rFonts w:hint="eastAsia" w:ascii="宋体" w:hAnsi="宋体"/>
          <w:color w:val="auto"/>
          <w:szCs w:val="21"/>
          <w:highlight w:val="none"/>
        </w:rPr>
        <w:t xml:space="preserve">3.预算金额：人民币壹佰壹拾玖万玖仟玖佰贰拾元整（人民币：1199920.00元）；</w:t>
      </w:r>
      <w:r/>
    </w:p>
    <w:p>
      <w:pPr>
        <w:ind w:right="178" w:firstLine="420"/>
        <w:spacing w:line="360" w:lineRule="auto"/>
        <w:rPr>
          <w:rFonts w:ascii="宋体" w:hAnsi="宋体"/>
          <w:color w:val="auto"/>
          <w:szCs w:val="21"/>
          <w:highlight w:val="none"/>
        </w:rPr>
      </w:pPr>
      <w:r>
        <w:rPr>
          <w:rFonts w:hint="eastAsia" w:ascii="宋体" w:hAnsi="宋体"/>
          <w:color w:val="auto"/>
          <w:szCs w:val="21"/>
          <w:highlight w:val="none"/>
        </w:rPr>
        <w:t xml:space="preserve">4.采购内容：</w:t>
      </w:r>
      <w:r>
        <w:rPr>
          <w:rFonts w:hint="eastAsia" w:ascii="宋体" w:hAnsi="宋体"/>
          <w:color w:val="auto"/>
          <w:szCs w:val="21"/>
          <w:highlight w:val="none"/>
          <w:lang w:eastAsia="zh-CN"/>
        </w:rPr>
        <w:t xml:space="preserve">2026年度电子警察类交通设施维护项目，服务范围为昆山市中环范围内及框架道路的交通技术监控设施的新增及维护保养，具体详见</w:t>
      </w:r>
      <w:r>
        <w:rPr>
          <w:rFonts w:hint="eastAsia" w:ascii="宋体" w:hAnsi="宋体"/>
          <w:color w:val="auto"/>
          <w:szCs w:val="21"/>
          <w:highlight w:val="none"/>
          <w:lang w:val="en-US" w:eastAsia="zh-CN"/>
        </w:rPr>
        <w:t xml:space="preserve">招标文件</w:t>
      </w:r>
      <w:r>
        <w:rPr>
          <w:rFonts w:hint="eastAsia" w:ascii="宋体" w:hAnsi="宋体"/>
          <w:color w:val="auto"/>
          <w:szCs w:val="21"/>
          <w:highlight w:val="none"/>
        </w:rPr>
        <w:t xml:space="preserve">；</w:t>
      </w:r>
      <w:r/>
    </w:p>
    <w:p>
      <w:pPr>
        <w:ind w:right="178" w:firstLine="420"/>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5.</w:t>
      </w:r>
      <w:r>
        <w:rPr>
          <w:rFonts w:hint="eastAsia" w:ascii="宋体" w:hAnsi="宋体"/>
          <w:b w:val="0"/>
          <w:bCs w:val="0"/>
          <w:color w:val="auto"/>
          <w:szCs w:val="21"/>
          <w:highlight w:val="none"/>
          <w:lang w:val="en-US" w:eastAsia="zh-CN"/>
        </w:rPr>
        <w:t xml:space="preserve">服务期限：1年，具体在合同中明确；</w:t>
      </w:r>
      <w:r/>
    </w:p>
    <w:p>
      <w:pPr>
        <w:ind w:right="178" w:firstLine="420"/>
        <w:spacing w:line="360" w:lineRule="auto"/>
        <w:rPr>
          <w:rFonts w:hint="default" w:ascii="宋体" w:hAnsi="宋体" w:eastAsia="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6.最高限价：无；</w:t>
      </w:r>
      <w:r/>
    </w:p>
    <w:p>
      <w:pPr>
        <w:ind w:right="178"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.本项目不接受联合体投标。</w:t>
      </w:r>
      <w:r/>
    </w:p>
    <w:p>
      <w:pPr>
        <w:ind w:right="178"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二、申请人的资格要求</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w:t>
      </w:r>
      <w:r>
        <w:rPr>
          <w:rFonts w:hint="eastAsia" w:ascii="宋体" w:hAnsi="宋体"/>
          <w:color w:val="auto"/>
          <w:szCs w:val="21"/>
          <w:highlight w:val="none"/>
        </w:rPr>
        <w:t xml:space="preserve">满足《中华人民共和国政府采购法》第二十二条规定；（提供相关材料）</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w:t>
      </w:r>
      <w:r>
        <w:rPr>
          <w:rFonts w:hint="eastAsia" w:ascii="宋体" w:hAnsi="宋体"/>
          <w:color w:val="auto"/>
          <w:szCs w:val="21"/>
          <w:highlight w:val="none"/>
        </w:rPr>
        <w:t xml:space="preserve">落实政府采购政策需满足的资格要求：</w:t>
      </w:r>
      <w:r>
        <w:rPr>
          <w:rFonts w:hint="eastAsia" w:ascii="宋体" w:hAnsi="宋体"/>
          <w:b/>
          <w:color w:val="auto"/>
          <w:szCs w:val="21"/>
          <w:highlight w:val="none"/>
        </w:rPr>
        <w:t xml:space="preserve">本项目专门面向中小企业采购，残疾人福利性单位、监狱企业视同小型、微型企业</w:t>
      </w:r>
      <w:r>
        <w:rPr>
          <w:rFonts w:hint="eastAsia" w:ascii="宋体" w:hAnsi="宋体"/>
          <w:color w:val="auto"/>
          <w:szCs w:val="21"/>
          <w:highlight w:val="none"/>
        </w:rPr>
        <w:t xml:space="preserve">；</w:t>
      </w:r>
      <w:r/>
    </w:p>
    <w:p>
      <w:pPr>
        <w:ind w:firstLine="420"/>
        <w:spacing w:line="360" w:lineRule="auto"/>
        <w:rPr>
          <w:rFonts w:hint="eastAsia" w:ascii="宋体" w:hAnsi="宋体" w:eastAsia="宋体"/>
          <w:color w:val="auto"/>
          <w:szCs w:val="21"/>
          <w:highlight w:val="none"/>
          <w:lang w:val="en-US" w:eastAsia="zh-CN"/>
        </w:rPr>
      </w:pPr>
      <w:r>
        <w:rPr>
          <w:rFonts w:hint="eastAsia" w:ascii="宋体" w:hAnsi="宋体"/>
          <w:color w:val="auto"/>
          <w:szCs w:val="21"/>
          <w:highlight w:val="none"/>
        </w:rPr>
        <w:t xml:space="preserve">3</w:t>
      </w:r>
      <w:r>
        <w:rPr>
          <w:rFonts w:ascii="宋体" w:hAnsi="宋体"/>
          <w:color w:val="auto"/>
          <w:szCs w:val="21"/>
          <w:highlight w:val="none"/>
        </w:rPr>
        <w:t xml:space="preserve">.</w:t>
      </w:r>
      <w:r>
        <w:rPr>
          <w:rFonts w:hint="eastAsia" w:ascii="宋体" w:hAnsi="宋体"/>
          <w:color w:val="auto"/>
          <w:szCs w:val="21"/>
          <w:highlight w:val="none"/>
        </w:rPr>
        <w:t xml:space="preserve">本项目的特定资格条件：</w:t>
      </w:r>
      <w:r>
        <w:rPr>
          <w:rFonts w:hint="eastAsia" w:ascii="宋体" w:hAnsi="宋体"/>
          <w:color w:val="auto"/>
          <w:szCs w:val="21"/>
          <w:highlight w:val="none"/>
          <w:lang w:val="en-US" w:eastAsia="zh-CN"/>
        </w:rPr>
        <w:t xml:space="preserve">无；</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w:t>
      </w:r>
      <w:r>
        <w:rPr>
          <w:rFonts w:hint="eastAsia" w:ascii="宋体" w:hAnsi="宋体"/>
          <w:color w:val="auto"/>
          <w:szCs w:val="21"/>
          <w:highlight w:val="none"/>
        </w:rPr>
        <w:t xml:space="preserve">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firstLine="422"/>
        <w:spacing w:line="360" w:lineRule="auto"/>
        <w:rPr>
          <w:rFonts w:ascii="宋体" w:hAnsi="宋体"/>
          <w:color w:val="auto"/>
          <w:szCs w:val="21"/>
          <w:highlight w:val="none"/>
        </w:rPr>
      </w:pPr>
      <w:r>
        <w:rPr>
          <w:rFonts w:hint="eastAsia" w:ascii="宋体" w:hAnsi="宋体"/>
          <w:b/>
          <w:color w:val="auto"/>
          <w:szCs w:val="21"/>
          <w:highlight w:val="none"/>
        </w:rPr>
        <w:t xml:space="preserve">注:</w:t>
      </w:r>
      <w:r>
        <w:rPr>
          <w:rFonts w:ascii="宋体" w:hAnsi="宋体"/>
          <w:b/>
          <w:color w:val="auto"/>
          <w:szCs w:val="21"/>
          <w:highlight w:val="none"/>
        </w:rPr>
        <w:t xml:space="preserve">投标单位要充分考虑知识产权问题，应保证采购单位免除且承担由于投标单位在其本国使用该项目所需的材料和设计或其任何一部分时而引起第三方提出的侵犯专利权、商标权或工业设计权的起诉、行动、行政程序索赔、请求等，以及采购单位为此而产生的损失和损害、费用和支出（包括律师费）。</w:t>
      </w:r>
      <w:r/>
    </w:p>
    <w:p>
      <w:pPr>
        <w:ind w:firstLine="422"/>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三、获取谈判文件</w:t>
      </w:r>
      <w:r/>
    </w:p>
    <w:p>
      <w:pPr>
        <w:ind w:firstLine="420"/>
        <w:spacing w:line="360" w:lineRule="auto"/>
        <w:rPr>
          <w:rFonts w:ascii="宋体" w:hAnsi="宋体" w:cs="Arial"/>
          <w:color w:val="auto"/>
          <w:szCs w:val="21"/>
          <w:highlight w:val="none"/>
        </w:rPr>
      </w:pPr>
      <w:r>
        <w:rPr>
          <w:rFonts w:hint="eastAsia" w:ascii="宋体" w:hAnsi="宋体" w:cs="Arial"/>
          <w:color w:val="auto"/>
          <w:szCs w:val="21"/>
          <w:highlight w:val="none"/>
        </w:rPr>
        <w:t xml:space="preserve">1.获取谈判文件时间：</w:t>
      </w:r>
      <w:r>
        <w:rPr>
          <w:rFonts w:hint="eastAsia" w:ascii="宋体" w:hAnsi="宋体"/>
          <w:bCs/>
          <w:color w:val="auto"/>
          <w:szCs w:val="21"/>
          <w:highlight w:val="none"/>
        </w:rPr>
        <w:t xml:space="preserve">上网之日起至</w:t>
      </w:r>
      <w:r>
        <w:rPr>
          <w:rFonts w:hint="eastAsia" w:ascii="宋体" w:hAnsi="宋体"/>
          <w:bCs/>
          <w:color w:val="auto"/>
          <w:szCs w:val="21"/>
          <w:highlight w:val="none"/>
          <w:lang w:val="en-US" w:eastAsia="zh-CN"/>
        </w:rPr>
        <w:t xml:space="preserve">2026</w:t>
      </w:r>
      <w:r>
        <w:rPr>
          <w:rFonts w:hint="eastAsia" w:ascii="宋体" w:hAnsi="宋体"/>
          <w:color w:val="auto"/>
          <w:highlight w:val="none"/>
        </w:rPr>
        <w:t xml:space="preserve">年</w:t>
      </w:r>
      <w:r>
        <w:rPr>
          <w:rFonts w:hint="eastAsia" w:ascii="宋体" w:hAnsi="宋体"/>
          <w:color w:val="auto"/>
          <w:highlight w:val="none"/>
          <w:lang w:val="en-US" w:eastAsia="zh-CN"/>
        </w:rPr>
        <w:t xml:space="preserve">04</w:t>
      </w:r>
      <w:r>
        <w:rPr>
          <w:rFonts w:hint="eastAsia" w:ascii="宋体" w:hAnsi="宋体"/>
          <w:color w:val="auto"/>
          <w:highlight w:val="none"/>
        </w:rPr>
        <w:t xml:space="preserve">月</w:t>
      </w:r>
      <w:r>
        <w:rPr>
          <w:rFonts w:hint="eastAsia" w:ascii="宋体" w:hAnsi="宋体"/>
          <w:color w:val="auto"/>
          <w:highlight w:val="none"/>
          <w:lang w:val="en-US" w:eastAsia="zh-CN"/>
        </w:rPr>
        <w:t xml:space="preserve">22</w:t>
      </w:r>
      <w:r>
        <w:rPr>
          <w:rFonts w:hint="eastAsia" w:ascii="宋体" w:hAnsi="宋体"/>
          <w:color w:val="auto"/>
          <w:highlight w:val="none"/>
        </w:rPr>
        <w:t xml:space="preserve">日17:00</w:t>
      </w:r>
      <w:r>
        <w:rPr>
          <w:rFonts w:hint="eastAsia" w:ascii="宋体" w:hAnsi="宋体" w:cs="Arial"/>
          <w:color w:val="auto"/>
          <w:szCs w:val="21"/>
          <w:highlight w:val="none"/>
        </w:rPr>
        <w:t xml:space="preserve">（北京时间）；</w:t>
      </w:r>
      <w:r/>
    </w:p>
    <w:p>
      <w:pPr>
        <w:ind w:firstLine="420"/>
        <w:spacing w:line="360" w:lineRule="auto"/>
        <w:rPr>
          <w:rFonts w:ascii="宋体" w:hAnsi="宋体" w:cs="Arial"/>
          <w:color w:val="auto"/>
          <w:szCs w:val="21"/>
          <w:highlight w:val="none"/>
        </w:rPr>
      </w:pPr>
      <w:r>
        <w:rPr>
          <w:rFonts w:hint="eastAsia" w:ascii="宋体" w:hAnsi="宋体" w:cs="Arial"/>
          <w:color w:val="auto"/>
          <w:szCs w:val="21"/>
          <w:highlight w:val="none"/>
        </w:rPr>
        <w:t xml:space="preserve">2.获取谈判文件方式：登录“苏采云”系统自行下载本项目招标文件；</w:t>
      </w:r>
      <w:r/>
    </w:p>
    <w:p>
      <w:pPr>
        <w:ind w:firstLine="420"/>
        <w:spacing w:line="360" w:lineRule="auto"/>
        <w:rPr>
          <w:rFonts w:ascii="宋体" w:hAnsi="宋体" w:cs="Arial"/>
          <w:b/>
          <w:color w:val="auto"/>
          <w:szCs w:val="21"/>
          <w:highlight w:val="none"/>
        </w:rPr>
      </w:pPr>
      <w:r>
        <w:rPr>
          <w:rFonts w:hint="eastAsia" w:ascii="宋体" w:hAnsi="宋体" w:cs="Arial"/>
          <w:color w:val="auto"/>
          <w:szCs w:val="21"/>
          <w:highlight w:val="none"/>
        </w:rPr>
        <w:t xml:space="preserve">3.谈判文件售价：0元。 </w:t>
      </w:r>
      <w:r>
        <w:rPr>
          <w:rFonts w:hint="eastAsia" w:ascii="宋体" w:hAnsi="宋体" w:cs="Arial"/>
          <w:b/>
          <w:color w:val="auto"/>
          <w:szCs w:val="21"/>
          <w:highlight w:val="none"/>
        </w:rPr>
        <w:t xml:space="preserve"> </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rPr>
        <w:t xml:space="preserve">四、提交响应文件截止时间、开标时间和地点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本项目采用电子化采购模式，供应商须网上提交响应文件，并可通过远程开标方式完成开标。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1.提交响应文件截止时间：202</w:t>
      </w:r>
      <w:r>
        <w:rPr>
          <w:rFonts w:hint="eastAsia" w:ascii="宋体" w:hAnsi="宋体"/>
          <w:bCs/>
          <w:color w:val="auto"/>
          <w:szCs w:val="21"/>
          <w:highlight w:val="none"/>
          <w:lang w:val="en-US" w:eastAsia="zh-CN"/>
        </w:rPr>
        <w:t xml:space="preserve">6</w:t>
      </w:r>
      <w:r>
        <w:rPr>
          <w:rFonts w:hint="eastAsia" w:ascii="宋体" w:hAnsi="宋体"/>
          <w:bCs/>
          <w:color w:val="auto"/>
          <w:szCs w:val="21"/>
          <w:highlight w:val="none"/>
        </w:rPr>
        <w:t xml:space="preserve">年</w:t>
      </w:r>
      <w:r>
        <w:rPr>
          <w:rFonts w:hint="eastAsia" w:ascii="宋体" w:hAnsi="宋体"/>
          <w:bCs/>
          <w:color w:val="auto"/>
          <w:szCs w:val="21"/>
          <w:highlight w:val="none"/>
          <w:lang w:val="en-US" w:eastAsia="zh-CN"/>
        </w:rPr>
        <w:t xml:space="preserve">04</w:t>
      </w:r>
      <w:r>
        <w:rPr>
          <w:rFonts w:hint="eastAsia" w:ascii="宋体" w:hAnsi="宋体"/>
          <w:bCs/>
          <w:color w:val="auto"/>
          <w:szCs w:val="21"/>
          <w:highlight w:val="none"/>
        </w:rPr>
        <w:t xml:space="preserve">月</w:t>
      </w:r>
      <w:r>
        <w:rPr>
          <w:rFonts w:hint="eastAsia" w:ascii="宋体" w:hAnsi="宋体"/>
          <w:bCs/>
          <w:color w:val="auto"/>
          <w:szCs w:val="21"/>
          <w:highlight w:val="none"/>
          <w:lang w:val="en-US" w:eastAsia="zh-CN"/>
        </w:rPr>
        <w:t xml:space="preserve">29</w:t>
      </w:r>
      <w:r>
        <w:rPr>
          <w:rFonts w:hint="eastAsia" w:ascii="宋体" w:hAnsi="宋体"/>
          <w:bCs/>
          <w:color w:val="auto"/>
          <w:szCs w:val="21"/>
          <w:highlight w:val="none"/>
        </w:rPr>
        <w:t xml:space="preserve">日</w:t>
      </w:r>
      <w:r>
        <w:rPr>
          <w:rFonts w:ascii="宋体" w:hAnsi="宋体"/>
          <w:bCs/>
          <w:color w:val="auto"/>
          <w:szCs w:val="21"/>
          <w:highlight w:val="none"/>
        </w:rPr>
        <w:t xml:space="preserve">1</w:t>
      </w:r>
      <w:r>
        <w:rPr>
          <w:rFonts w:hint="eastAsia" w:ascii="宋体" w:hAnsi="宋体"/>
          <w:bCs/>
          <w:color w:val="auto"/>
          <w:szCs w:val="21"/>
          <w:highlight w:val="none"/>
          <w:lang w:val="en-US" w:eastAsia="zh-CN"/>
        </w:rPr>
        <w:t xml:space="preserve">4</w:t>
      </w:r>
      <w:r>
        <w:rPr>
          <w:rFonts w:hint="eastAsia" w:ascii="宋体" w:hAnsi="宋体"/>
          <w:bCs/>
          <w:color w:val="auto"/>
          <w:szCs w:val="21"/>
          <w:highlight w:val="none"/>
        </w:rPr>
        <w:t xml:space="preserve">:30（北京时间）；</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2.远程开标时间：202</w:t>
      </w:r>
      <w:r>
        <w:rPr>
          <w:rFonts w:hint="eastAsia" w:ascii="宋体" w:hAnsi="宋体"/>
          <w:bCs/>
          <w:color w:val="auto"/>
          <w:szCs w:val="21"/>
          <w:highlight w:val="none"/>
          <w:lang w:val="en-US" w:eastAsia="zh-CN"/>
        </w:rPr>
        <w:t xml:space="preserve">6</w:t>
      </w:r>
      <w:r>
        <w:rPr>
          <w:rFonts w:hint="eastAsia" w:ascii="宋体" w:hAnsi="宋体"/>
          <w:bCs/>
          <w:color w:val="auto"/>
          <w:szCs w:val="21"/>
          <w:highlight w:val="none"/>
        </w:rPr>
        <w:t xml:space="preserve">年</w:t>
      </w:r>
      <w:r>
        <w:rPr>
          <w:rFonts w:hint="eastAsia" w:ascii="宋体" w:hAnsi="宋体"/>
          <w:bCs/>
          <w:color w:val="auto"/>
          <w:szCs w:val="21"/>
          <w:highlight w:val="none"/>
          <w:lang w:val="en-US" w:eastAsia="zh-CN"/>
        </w:rPr>
        <w:t xml:space="preserve">04</w:t>
      </w:r>
      <w:r>
        <w:rPr>
          <w:rFonts w:hint="eastAsia" w:ascii="宋体" w:hAnsi="宋体"/>
          <w:bCs/>
          <w:color w:val="auto"/>
          <w:szCs w:val="21"/>
          <w:highlight w:val="none"/>
        </w:rPr>
        <w:t xml:space="preserve">月</w:t>
      </w:r>
      <w:r>
        <w:rPr>
          <w:rFonts w:hint="eastAsia" w:ascii="宋体" w:hAnsi="宋体"/>
          <w:bCs/>
          <w:color w:val="auto"/>
          <w:szCs w:val="21"/>
          <w:highlight w:val="none"/>
          <w:lang w:val="en-US" w:eastAsia="zh-CN"/>
        </w:rPr>
        <w:t xml:space="preserve">29</w:t>
      </w:r>
      <w:r>
        <w:rPr>
          <w:rFonts w:hint="eastAsia" w:ascii="宋体" w:hAnsi="宋体"/>
          <w:bCs/>
          <w:color w:val="auto"/>
          <w:szCs w:val="21"/>
          <w:highlight w:val="none"/>
        </w:rPr>
        <w:t xml:space="preserve">日</w:t>
      </w:r>
      <w:r>
        <w:rPr>
          <w:rFonts w:ascii="宋体" w:hAnsi="宋体"/>
          <w:bCs/>
          <w:color w:val="auto"/>
          <w:szCs w:val="21"/>
          <w:highlight w:val="none"/>
        </w:rPr>
        <w:t xml:space="preserve">1</w:t>
      </w:r>
      <w:r>
        <w:rPr>
          <w:rFonts w:hint="eastAsia" w:ascii="宋体" w:hAnsi="宋体"/>
          <w:bCs/>
          <w:color w:val="auto"/>
          <w:szCs w:val="21"/>
          <w:highlight w:val="none"/>
          <w:lang w:val="en-US" w:eastAsia="zh-CN"/>
        </w:rPr>
        <w:t xml:space="preserve">4</w:t>
      </w:r>
      <w:r>
        <w:rPr>
          <w:rFonts w:hint="eastAsia" w:ascii="宋体" w:hAnsi="宋体"/>
          <w:bCs/>
          <w:color w:val="auto"/>
          <w:szCs w:val="21"/>
          <w:highlight w:val="none"/>
        </w:rPr>
        <w:t xml:space="preserve">:30（（北京时间）；</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3.远程CA解密时间：以开标时“苏采云”系统为准；</w:t>
      </w:r>
      <w:r/>
    </w:p>
    <w:p>
      <w:pPr>
        <w:ind w:firstLine="420"/>
        <w:spacing w:line="360" w:lineRule="auto"/>
        <w:rPr>
          <w:rFonts w:ascii="宋体" w:hAnsi="宋体"/>
          <w:bCs/>
          <w:color w:val="auto"/>
          <w:szCs w:val="21"/>
          <w:highlight w:val="none"/>
        </w:rPr>
      </w:pPr>
      <w:r>
        <w:rPr>
          <w:rFonts w:ascii="宋体" w:hAnsi="宋体"/>
          <w:bCs/>
          <w:color w:val="auto"/>
          <w:szCs w:val="21"/>
          <w:highlight w:val="none"/>
        </w:rPr>
        <w:t xml:space="preserve">4</w:t>
      </w:r>
      <w:r>
        <w:rPr>
          <w:rFonts w:hint="eastAsia" w:ascii="宋体" w:hAnsi="宋体"/>
          <w:bCs/>
          <w:color w:val="auto"/>
          <w:szCs w:val="21"/>
          <w:highlight w:val="none"/>
        </w:rPr>
        <w:t xml:space="preserve">.开标地点：“苏采云”系统（网址：http://jszfcg.jsczt.cn/）。</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五、公告信息</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1.本公告在江苏政府采购网、苏州市政府采购网发布；</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2.公告期限：自本公告发布之日起3个工作日。</w:t>
      </w:r>
      <w:r/>
    </w:p>
    <w:p>
      <w:pPr>
        <w:ind w:firstLine="422"/>
        <w:spacing w:line="360" w:lineRule="auto"/>
        <w:rPr>
          <w:b/>
          <w:bCs/>
          <w:color w:val="auto"/>
          <w:szCs w:val="21"/>
          <w:highlight w:val="none"/>
        </w:rPr>
      </w:pPr>
      <w:r>
        <w:rPr>
          <w:rFonts w:hint="eastAsia" w:ascii="宋体" w:hAnsi="宋体"/>
          <w:b/>
          <w:color w:val="auto"/>
          <w:szCs w:val="21"/>
          <w:highlight w:val="none"/>
        </w:rPr>
        <w:t xml:space="preserve">六、</w:t>
      </w:r>
      <w:r>
        <w:rPr>
          <w:rFonts w:hint="eastAsia"/>
          <w:b/>
          <w:bCs/>
          <w:color w:val="auto"/>
          <w:szCs w:val="21"/>
          <w:highlight w:val="none"/>
        </w:rPr>
        <w:t xml:space="preserve">其它补充事宜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1.CA证书办理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2.参与采购活动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3.电子投标准备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在系统操作过程中如有疑问，请按以下方式联系：</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注册咨询：18261002950；</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CA技术咨询电话：400-608-6099；</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签章使用问题：025-83633811、025-83633812、15380932027、15371015030；</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系统使用指导与咨询：联系电话：18261002950；QQ：3048755361、1315179389、895706745。</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4.远程开标支持计算机端，投标人可根据“《苏采云系统供应商操作手册》（网址链接https://czju.suzhou.gov.cn/zfcg/html/content/20231220161910031.shtml）进行操作。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6.本项目以电子投标文件的内容为准，不再收取纸质投标文件及相关原件等纸质材料。</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7.投标人在参加政府采购活动时须遵守《昆山市政府采购供应商诚信管理办法》的相关规定。</w:t>
      </w:r>
      <w:r/>
    </w:p>
    <w:p>
      <w:pPr>
        <w:ind w:firstLine="422"/>
        <w:spacing w:line="360" w:lineRule="auto"/>
        <w:rPr>
          <w:rFonts w:ascii="宋体" w:hAnsi="宋体"/>
          <w:color w:val="auto"/>
          <w:szCs w:val="21"/>
          <w:highlight w:val="none"/>
        </w:rPr>
      </w:pPr>
      <w:r>
        <w:rPr>
          <w:rFonts w:hint="eastAsia" w:ascii="宋体" w:hAnsi="宋体"/>
          <w:b/>
          <w:color w:val="auto"/>
          <w:szCs w:val="21"/>
          <w:highlight w:val="none"/>
        </w:rPr>
        <w:t xml:space="preserve">七、</w:t>
      </w:r>
      <w:r>
        <w:rPr>
          <w:rFonts w:hint="eastAsia"/>
          <w:b/>
          <w:bCs/>
          <w:color w:val="auto"/>
          <w:szCs w:val="21"/>
          <w:highlight w:val="none"/>
        </w:rPr>
        <w:t xml:space="preserve">凡对本次采购提出询问，请按以下方式联系</w:t>
      </w:r>
      <w:r/>
    </w:p>
    <w:p>
      <w:pPr>
        <w:ind w:right="-315" w:firstLine="420"/>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1、</w:t>
      </w:r>
      <w:r>
        <w:rPr>
          <w:rFonts w:ascii="宋体" w:hAnsi="宋体"/>
          <w:color w:val="auto"/>
          <w:szCs w:val="21"/>
          <w:highlight w:val="none"/>
        </w:rPr>
        <w:t xml:space="preserve">采购人</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昆山市公安局</w:t>
      </w:r>
      <w:r/>
    </w:p>
    <w:p>
      <w:pPr>
        <w:ind w:right="-315" w:firstLine="420"/>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地址：</w:t>
      </w:r>
      <w:r>
        <w:rPr>
          <w:rFonts w:hint="eastAsia" w:ascii="宋体" w:hAnsi="宋体"/>
          <w:color w:val="auto"/>
          <w:szCs w:val="21"/>
          <w:highlight w:val="none"/>
          <w:lang w:val="en-US" w:eastAsia="zh-CN"/>
        </w:rPr>
        <w:t xml:space="preserve">昆山市前进东路1288号</w:t>
      </w:r>
      <w:r/>
    </w:p>
    <w:p>
      <w:pPr>
        <w:ind w:right="-315" w:firstLine="420"/>
        <w:spacing w:line="360" w:lineRule="auto"/>
        <w:rPr>
          <w:rFonts w:ascii="宋体" w:hAnsi="宋体"/>
          <w:bCs/>
          <w:color w:val="auto"/>
          <w:szCs w:val="21"/>
          <w:highlight w:val="none"/>
        </w:rPr>
      </w:pPr>
      <w:r>
        <w:rPr>
          <w:rFonts w:hint="eastAsia" w:ascii="宋体" w:hAnsi="宋体"/>
          <w:color w:val="auto"/>
          <w:szCs w:val="21"/>
          <w:highlight w:val="none"/>
        </w:rPr>
        <w:t xml:space="preserve">联系人：</w:t>
      </w:r>
      <w:r>
        <w:rPr>
          <w:rFonts w:hint="eastAsia" w:ascii="宋体" w:hAnsi="宋体"/>
          <w:color w:val="auto"/>
          <w:szCs w:val="21"/>
          <w:highlight w:val="none"/>
          <w:lang w:val="en-US" w:eastAsia="zh-CN"/>
        </w:rPr>
        <w:t xml:space="preserve">那成慧</w:t>
      </w:r>
      <w:r>
        <w:rPr>
          <w:rFonts w:hint="eastAsia" w:ascii="宋体" w:hAnsi="宋体"/>
          <w:bCs/>
          <w:color w:val="auto"/>
          <w:szCs w:val="21"/>
          <w:highlight w:val="none"/>
        </w:rPr>
        <w:t xml:space="preserve">  </w:t>
      </w:r>
      <w:r/>
    </w:p>
    <w:p>
      <w:pPr>
        <w:ind w:right="-315" w:firstLine="420"/>
        <w:spacing w:line="360" w:lineRule="auto"/>
        <w:rPr>
          <w:rFonts w:hint="default" w:ascii="宋体" w:hAnsi="宋体" w:eastAsia="宋体"/>
          <w:color w:val="auto"/>
          <w:szCs w:val="21"/>
          <w:highlight w:val="none"/>
          <w:lang w:val="en-US" w:eastAsia="zh-CN"/>
        </w:rPr>
      </w:pPr>
      <w:r>
        <w:rPr>
          <w:rFonts w:hint="eastAsia" w:ascii="宋体" w:hAnsi="宋体"/>
          <w:bCs/>
          <w:color w:val="auto"/>
          <w:szCs w:val="21"/>
          <w:highlight w:val="none"/>
        </w:rPr>
        <w:t xml:space="preserve">联系电话：</w:t>
      </w:r>
      <w:r>
        <w:rPr>
          <w:rFonts w:hint="eastAsia" w:ascii="宋体" w:hAnsi="宋体"/>
          <w:bCs/>
          <w:color w:val="auto"/>
          <w:szCs w:val="21"/>
          <w:highlight w:val="none"/>
          <w:lang w:val="en-US" w:eastAsia="zh-CN"/>
        </w:rPr>
        <w:t xml:space="preserve">0512-57702333</w:t>
      </w:r>
      <w:r/>
    </w:p>
    <w:p>
      <w:pPr>
        <w:ind w:right="-315" w:firstLine="412"/>
        <w:spacing w:line="360" w:lineRule="auto"/>
        <w:rPr>
          <w:rFonts w:ascii="宋体" w:hAnsi="宋体"/>
          <w:color w:val="auto"/>
          <w:szCs w:val="21"/>
          <w:highlight w:val="none"/>
        </w:rPr>
      </w:pPr>
      <w:r>
        <w:rPr>
          <w:rFonts w:hint="eastAsia" w:ascii="宋体" w:hAnsi="宋体"/>
          <w:color w:val="auto"/>
          <w:szCs w:val="21"/>
          <w:highlight w:val="none"/>
        </w:rPr>
        <w:t xml:space="preserve">2、招标代理机构名称：苏州宇恩项目咨询有限公司 </w:t>
      </w:r>
      <w:r/>
    </w:p>
    <w:p>
      <w:pPr>
        <w:ind w:right="-315" w:firstLine="420"/>
        <w:spacing w:line="360" w:lineRule="auto"/>
        <w:rPr>
          <w:rFonts w:ascii="宋体" w:hAnsi="宋体"/>
          <w:color w:val="auto"/>
          <w:szCs w:val="21"/>
          <w:highlight w:val="none"/>
        </w:rPr>
      </w:pPr>
      <w:r>
        <w:rPr>
          <w:rFonts w:hint="eastAsia" w:ascii="宋体" w:hAnsi="宋体"/>
          <w:color w:val="auto"/>
          <w:szCs w:val="21"/>
          <w:highlight w:val="none"/>
        </w:rPr>
        <w:t xml:space="preserve">地址： 昆山市玉山镇萧林路1999号5号楼A区11楼   </w:t>
      </w:r>
      <w:r/>
    </w:p>
    <w:p>
      <w:pPr>
        <w:ind w:right="-315" w:firstLine="420"/>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联系人：薛媛媛、</w:t>
      </w:r>
      <w:r>
        <w:rPr>
          <w:rFonts w:hint="eastAsia" w:ascii="宋体" w:hAnsi="宋体"/>
          <w:color w:val="auto"/>
          <w:szCs w:val="21"/>
          <w:highlight w:val="none"/>
          <w:lang w:val="en-US" w:eastAsia="zh-CN"/>
        </w:rPr>
        <w:t xml:space="preserve">姜晓明</w:t>
      </w:r>
      <w:r/>
    </w:p>
    <w:p>
      <w:pPr>
        <w:ind w:right="-315" w:firstLine="420"/>
        <w:spacing w:line="360" w:lineRule="auto"/>
        <w:rPr>
          <w:rFonts w:ascii="宋体" w:hAnsi="宋体"/>
          <w:color w:val="auto"/>
          <w:szCs w:val="21"/>
          <w:highlight w:val="none"/>
        </w:rPr>
      </w:pPr>
      <w:r>
        <w:rPr>
          <w:rFonts w:hint="eastAsia" w:ascii="宋体" w:hAnsi="宋体"/>
          <w:color w:val="auto"/>
          <w:szCs w:val="21"/>
          <w:highlight w:val="none"/>
        </w:rPr>
        <w:t xml:space="preserve">联系电话：0512-57383089 </w:t>
      </w:r>
      <w:r/>
    </w:p>
    <w:p>
      <w:pPr>
        <w:ind w:right="-252" w:firstLine="413"/>
        <w:spacing w:line="360" w:lineRule="auto"/>
        <w:rPr>
          <w:rFonts w:ascii="宋体" w:hAnsi="宋体"/>
          <w:b/>
          <w:color w:val="auto"/>
          <w:szCs w:val="21"/>
          <w:highlight w:val="none"/>
        </w:rPr>
      </w:pPr>
      <w:r>
        <w:rPr>
          <w:rFonts w:hint="eastAsia" w:ascii="宋体" w:hAnsi="宋体"/>
          <w:b/>
          <w:color w:val="auto"/>
          <w:szCs w:val="21"/>
          <w:highlight w:val="none"/>
        </w:rPr>
        <w:t xml:space="preserve">八、</w:t>
      </w:r>
      <w:r>
        <w:rPr>
          <w:rFonts w:hint="eastAsia" w:ascii="Arial" w:hAnsi="Arial"/>
          <w:b/>
          <w:bCs/>
          <w:color w:val="auto"/>
          <w:szCs w:val="22"/>
          <w:highlight w:val="none"/>
          <w:shd w:val="clear" w:color="auto" w:fill="ffffff"/>
        </w:rPr>
        <w:t xml:space="preserve">供应商诚信管理：</w:t>
      </w:r>
      <w:r/>
    </w:p>
    <w:p>
      <w:pPr>
        <w:ind w:right="-252" w:firstLine="413"/>
        <w:spacing w:line="360" w:lineRule="auto"/>
        <w:rPr>
          <w:rFonts w:ascii="宋体" w:hAnsi="宋体"/>
          <w:b/>
          <w:color w:val="auto"/>
          <w:szCs w:val="21"/>
          <w:highlight w:val="none"/>
        </w:rPr>
      </w:pPr>
      <w:r>
        <w:rPr>
          <w:rFonts w:hint="eastAsia" w:ascii="宋体" w:hAnsi="宋体"/>
          <w:bCs/>
          <w:color w:val="auto"/>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p>
    <w:p>
      <w:pPr>
        <w:ind w:right="-252" w:firstLine="413"/>
        <w:spacing w:line="360" w:lineRule="auto"/>
        <w:rPr>
          <w:rFonts w:ascii="宋体" w:hAnsi="宋体"/>
          <w:b/>
          <w:color w:val="auto"/>
          <w:szCs w:val="21"/>
          <w:highlight w:val="none"/>
        </w:rPr>
      </w:pPr>
      <w:r>
        <w:rPr>
          <w:rFonts w:hint="eastAsia" w:ascii="宋体" w:hAnsi="宋体"/>
          <w:b/>
          <w:color w:val="auto"/>
          <w:szCs w:val="21"/>
          <w:highlight w:val="none"/>
        </w:rPr>
        <w:t xml:space="preserve">九、昆山市政府采购管理部门监督电话：0512-57310854</w:t>
      </w:r>
      <w:r/>
    </w:p>
    <w:p>
      <w:pPr>
        <w:ind w:firstLine="422"/>
        <w:spacing w:line="360" w:lineRule="auto"/>
        <w:rPr>
          <w:rFonts w:ascii="宋体" w:hAnsi="宋体"/>
          <w:b/>
          <w:color w:val="auto"/>
          <w:szCs w:val="22"/>
          <w:highlight w:val="none"/>
        </w:rPr>
      </w:pPr>
      <w:r/>
      <w:bookmarkStart w:id="7" w:name="_Toc35393626"/>
      <w:r>
        <w:rPr>
          <w:rFonts w:hint="eastAsia" w:ascii="宋体" w:hAnsi="宋体"/>
          <w:b/>
          <w:color w:val="auto"/>
          <w:szCs w:val="22"/>
          <w:highlight w:val="none"/>
        </w:rPr>
        <w:t xml:space="preserve">十、其他补充事宜</w:t>
      </w:r>
      <w:bookmarkEnd w:id="7"/>
      <w:r/>
      <w:r/>
    </w:p>
    <w:p>
      <w:pPr>
        <w:ind w:firstLine="420"/>
        <w:spacing w:line="360" w:lineRule="auto"/>
        <w:rPr>
          <w:rFonts w:ascii="宋体" w:hAnsi="宋体"/>
          <w:color w:val="auto"/>
          <w:szCs w:val="22"/>
          <w:highlight w:val="none"/>
        </w:rPr>
      </w:pPr>
      <w:r/>
      <w:bookmarkStart w:id="8" w:name="_Toc35393796"/>
      <w:r/>
      <w:bookmarkEnd w:id="8"/>
      <w:r>
        <w:rPr>
          <w:rFonts w:hint="eastAsia" w:ascii="宋体" w:hAnsi="宋体"/>
          <w:color w:val="auto"/>
          <w:szCs w:val="22"/>
          <w:highlight w:val="none"/>
        </w:rPr>
        <w:t xml:space="preserve">1、</w:t>
      </w:r>
      <w:r>
        <w:rPr>
          <w:rFonts w:hint="eastAsia" w:ascii="宋体" w:hAnsi="宋体"/>
          <w:color w:val="auto"/>
          <w:szCs w:val="21"/>
          <w:highlight w:val="none"/>
        </w:rPr>
        <w:t xml:space="preserve">本项目获取招标文件截止日期之后仍可以下载招标文件，但截止日期之后下载的招标文件，视为非有效方式且不作为供应商权益受到损害的证明材料和依据。</w:t>
      </w:r>
      <w:r>
        <w:rPr>
          <w:rFonts w:ascii="宋体" w:hAnsi="宋体"/>
          <w:color w:val="auto"/>
          <w:szCs w:val="22"/>
          <w:highlight w:val="none"/>
        </w:rPr>
        <w:t xml:space="preserve"> </w:t>
      </w:r>
      <w:r/>
    </w:p>
    <w:p>
      <w:pPr>
        <w:ind w:right="-252"/>
        <w:spacing w:line="360" w:lineRule="auto"/>
        <w:rPr>
          <w:rFonts w:ascii="宋体" w:hAnsi="宋体"/>
          <w:color w:val="auto"/>
          <w:szCs w:val="21"/>
          <w:highlight w:val="none"/>
        </w:rPr>
      </w:pPr>
      <w:r>
        <w:rPr>
          <w:rFonts w:ascii="宋体" w:hAnsi="宋体"/>
          <w:color w:val="auto"/>
          <w:szCs w:val="21"/>
          <w:highlight w:val="none"/>
        </w:rPr>
      </w:r>
      <w:r/>
    </w:p>
    <w:p>
      <w:pPr>
        <w:ind w:right="-252"/>
        <w:jc w:val="right"/>
        <w:spacing w:line="360" w:lineRule="auto"/>
        <w:rPr>
          <w:rFonts w:ascii="宋体" w:hAnsi="宋体"/>
          <w:color w:val="auto"/>
          <w:szCs w:val="22"/>
          <w:highlight w:val="none"/>
        </w:rPr>
      </w:pPr>
      <w:r>
        <w:rPr>
          <w:rFonts w:hint="eastAsia" w:ascii="宋体" w:hAnsi="宋体"/>
          <w:color w:val="auto"/>
          <w:szCs w:val="22"/>
          <w:highlight w:val="none"/>
        </w:rPr>
        <w:t xml:space="preserve">苏州宇恩项目咨询有限公司</w:t>
      </w:r>
      <w:r/>
    </w:p>
    <w:p>
      <w:pPr>
        <w:ind w:right="-252"/>
        <w:jc w:val="center"/>
        <w:spacing w:line="360" w:lineRule="auto"/>
        <w:rPr>
          <w:rFonts w:ascii="宋体" w:hAnsi="宋体"/>
          <w:color w:val="auto"/>
          <w:szCs w:val="22"/>
          <w:highlight w:val="none"/>
        </w:rPr>
      </w:pPr>
      <w:r>
        <w:rPr>
          <w:rFonts w:hint="eastAsia" w:ascii="宋体" w:hAnsi="宋体"/>
          <w:color w:val="auto"/>
          <w:szCs w:val="22"/>
          <w:highlight w:val="none"/>
        </w:rPr>
        <w:t xml:space="preserve">                                                          202</w:t>
      </w:r>
      <w:r>
        <w:rPr>
          <w:rFonts w:hint="eastAsia" w:ascii="宋体" w:hAnsi="宋体"/>
          <w:color w:val="auto"/>
          <w:szCs w:val="22"/>
          <w:highlight w:val="none"/>
          <w:lang w:val="en-US" w:eastAsia="zh-CN"/>
        </w:rPr>
        <w:t xml:space="preserve">6</w:t>
      </w:r>
      <w:r>
        <w:rPr>
          <w:rFonts w:hint="eastAsia" w:ascii="宋体" w:hAnsi="宋体"/>
          <w:color w:val="auto"/>
          <w:szCs w:val="22"/>
          <w:highlight w:val="none"/>
        </w:rPr>
        <w:t xml:space="preserve">年</w:t>
      </w:r>
      <w:r>
        <w:rPr>
          <w:rFonts w:hint="eastAsia" w:ascii="宋体" w:hAnsi="宋体"/>
          <w:color w:val="auto"/>
          <w:szCs w:val="22"/>
          <w:highlight w:val="none"/>
          <w:lang w:val="en-US" w:eastAsia="zh-CN"/>
        </w:rPr>
        <w:t xml:space="preserve">04</w:t>
      </w:r>
      <w:r>
        <w:rPr>
          <w:rFonts w:ascii="宋体" w:hAnsi="宋体"/>
          <w:color w:val="auto"/>
          <w:szCs w:val="22"/>
          <w:highlight w:val="none"/>
        </w:rPr>
        <w:t xml:space="preserve">月</w:t>
      </w:r>
      <w:r>
        <w:rPr>
          <w:rFonts w:hint="eastAsia" w:ascii="宋体" w:hAnsi="宋体"/>
          <w:color w:val="auto"/>
          <w:szCs w:val="22"/>
          <w:highlight w:val="none"/>
          <w:lang w:val="en-US" w:eastAsia="zh-CN"/>
        </w:rPr>
        <w:t xml:space="preserve">17</w:t>
      </w:r>
      <w:r>
        <w:rPr>
          <w:rFonts w:ascii="宋体" w:hAnsi="宋体"/>
          <w:color w:val="auto"/>
          <w:szCs w:val="22"/>
          <w:highlight w:val="none"/>
        </w:rPr>
        <w:t xml:space="preserve">日</w:t>
      </w:r>
      <w:r/>
    </w:p>
    <w:p>
      <w:pPr>
        <w:ind w:right="-315" w:firstLine="420"/>
        <w:spacing w:line="360" w:lineRule="auto"/>
        <w:rPr>
          <w:rFonts w:ascii="宋体" w:hAnsi="宋体"/>
          <w:color w:val="auto"/>
          <w:szCs w:val="21"/>
          <w:highlight w:val="none"/>
        </w:rPr>
      </w:pPr>
      <w:r>
        <w:rPr>
          <w:rFonts w:ascii="宋体" w:hAnsi="宋体"/>
          <w:color w:val="auto"/>
          <w:szCs w:val="21"/>
          <w:highlight w:val="none"/>
        </w:rPr>
      </w:r>
      <w:r/>
    </w:p>
    <w:p>
      <w:pPr>
        <w:rPr>
          <w:rStyle w:val="1064"/>
          <w:color w:val="auto"/>
          <w:sz w:val="32"/>
          <w:szCs w:val="32"/>
          <w:highlight w:val="none"/>
        </w:rPr>
      </w:pPr>
      <w:r>
        <w:rPr>
          <w:color w:val="auto"/>
          <w:sz w:val="32"/>
          <w:szCs w:val="32"/>
          <w:highlight w:val="none"/>
        </w:rPr>
      </w:r>
      <w:r/>
    </w:p>
    <w:p>
      <w:pPr>
        <w:pStyle w:val="728"/>
        <w:jc w:val="center"/>
        <w:spacing w:line="240" w:lineRule="auto"/>
        <w:rPr>
          <w:rStyle w:val="1064"/>
          <w:b/>
          <w:bCs/>
          <w:color w:val="auto"/>
          <w:sz w:val="32"/>
          <w:szCs w:val="32"/>
          <w:highlight w:val="none"/>
        </w:rPr>
      </w:pPr>
      <w:r/>
      <w:bookmarkStart w:id="9" w:name="_Toc166488919"/>
      <w:r>
        <w:rPr>
          <w:rStyle w:val="1064"/>
          <w:rFonts w:hint="eastAsia"/>
          <w:b/>
          <w:bCs/>
          <w:color w:val="auto"/>
          <w:sz w:val="32"/>
          <w:szCs w:val="32"/>
          <w:highlight w:val="none"/>
        </w:rPr>
        <w:t xml:space="preserve">第二章</w:t>
      </w:r>
      <w:bookmarkEnd w:id="3"/>
      <w:r/>
      <w:bookmarkEnd w:id="4"/>
      <w:r/>
      <w:bookmarkEnd w:id="5"/>
      <w:r/>
      <w:bookmarkEnd w:id="6"/>
      <w:r>
        <w:rPr>
          <w:rStyle w:val="1064"/>
          <w:rFonts w:hint="eastAsia"/>
          <w:b/>
          <w:bCs/>
          <w:color w:val="auto"/>
          <w:sz w:val="32"/>
          <w:szCs w:val="32"/>
          <w:highlight w:val="none"/>
        </w:rPr>
        <w:t xml:space="preserve"> 响应须知</w:t>
      </w:r>
      <w:bookmarkEnd w:id="9"/>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一、采购说明</w:t>
      </w:r>
      <w:r/>
    </w:p>
    <w:p>
      <w:pPr>
        <w:pStyle w:val="741"/>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本谈判文件仅适用于苏州宇恩项目咨询有限公司组织的采购活动。</w:t>
      </w:r>
      <w:r/>
    </w:p>
    <w:p>
      <w:pPr>
        <w:pStyle w:val="741"/>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本次采购活动及因本次采购活动产生的合同受中国法律制约和保护。</w:t>
      </w:r>
      <w:r/>
    </w:p>
    <w:p>
      <w:pPr>
        <w:pStyle w:val="741"/>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本谈判文件的解释权属于苏州宇恩项目咨询有限公司。</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二、响应文件说明</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（一）响应文件计量单位和使用文字</w:t>
      </w:r>
      <w:r/>
    </w:p>
    <w:p>
      <w:pPr>
        <w:pStyle w:val="741"/>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1.响应文件中所使用的计量单位，除谈判文件中有特殊要求外，应采用国家法定计量单位。</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2.响应文件应使用中文编制，响应文件中必须使用其他文字的，必须附有中文译本，</w:t>
      </w:r>
      <w:r>
        <w:rPr>
          <w:rFonts w:hint="eastAsia" w:ascii="宋体"/>
          <w:color w:val="auto"/>
          <w:szCs w:val="21"/>
          <w:highlight w:val="none"/>
          <w:lang w:val="zh-CN"/>
        </w:rPr>
        <w:t xml:space="preserve">对不同文本响应文件的解释发生异议的，以中文文本为准。</w:t>
      </w:r>
      <w:r>
        <w:rPr>
          <w:rFonts w:hint="eastAsia" w:ascii="宋体" w:hAnsi="宋体"/>
          <w:color w:val="auto"/>
          <w:szCs w:val="21"/>
          <w:highlight w:val="none"/>
        </w:rPr>
        <w:t xml:space="preserve">对于未附有中文译本和中文译本不准确的响应文件，由此引起的对供应商不利后果的，采购代理机构概不负责。</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（二）响应文件编制说明</w:t>
      </w:r>
      <w:r/>
    </w:p>
    <w:p>
      <w:pPr>
        <w:ind w:left="425"/>
        <w:spacing w:line="400" w:lineRule="exact"/>
        <w:tabs>
          <w:tab w:val="left" w:pos="720" w:leader="none"/>
        </w:tabs>
        <w:rPr>
          <w:rFonts w:ascii="宋体" w:hAnsi="宋体" w:cs="Arial"/>
          <w:color w:val="auto"/>
          <w:szCs w:val="21"/>
          <w:highlight w:val="none"/>
        </w:rPr>
      </w:pPr>
      <w:r>
        <w:rPr>
          <w:rFonts w:hint="eastAsia" w:ascii="宋体" w:hAnsi="宋体"/>
          <w:color w:val="auto"/>
          <w:highlight w:val="none"/>
        </w:rPr>
        <w:t xml:space="preserve">1</w:t>
      </w:r>
      <w:r>
        <w:rPr>
          <w:rFonts w:ascii="宋体" w:hAnsi="宋体"/>
          <w:color w:val="auto"/>
          <w:highlight w:val="none"/>
        </w:rPr>
        <w:t xml:space="preserve">.</w:t>
      </w:r>
      <w:r>
        <w:rPr>
          <w:rFonts w:hint="eastAsia" w:ascii="宋体" w:hAnsi="宋体"/>
          <w:color w:val="auto"/>
          <w:highlight w:val="none"/>
        </w:rPr>
        <w:t xml:space="preserve">供应商应按须知的规定，编制一份电子响应文件，并进行网上投标。</w:t>
      </w:r>
      <w:r/>
    </w:p>
    <w:p>
      <w:pPr>
        <w:ind w:left="425"/>
        <w:spacing w:line="400" w:lineRule="exact"/>
        <w:tabs>
          <w:tab w:val="left" w:pos="720" w:leader="none"/>
        </w:tabs>
        <w:rPr>
          <w:rFonts w:ascii="宋体" w:hAnsi="宋体" w:cs="Arial"/>
          <w:color w:val="auto"/>
          <w:szCs w:val="21"/>
          <w:highlight w:val="none"/>
        </w:rPr>
      </w:pPr>
      <w:r>
        <w:rPr>
          <w:rFonts w:hint="eastAsia" w:ascii="宋体" w:hAnsi="宋体"/>
          <w:color w:val="auto"/>
          <w:highlight w:val="none"/>
        </w:rPr>
        <w:t xml:space="preserve">2</w:t>
      </w:r>
      <w:r>
        <w:rPr>
          <w:rFonts w:ascii="宋体" w:hAnsi="宋体"/>
          <w:color w:val="auto"/>
          <w:highlight w:val="none"/>
        </w:rPr>
        <w:t xml:space="preserve">.</w:t>
      </w:r>
      <w:r>
        <w:rPr>
          <w:rFonts w:hint="eastAsia" w:ascii="宋体" w:hAnsi="宋体"/>
          <w:color w:val="auto"/>
          <w:highlight w:val="none"/>
        </w:rPr>
        <w:t xml:space="preserve">上传响应文件需要盖单位公章的地方必须盖公章，需要法定代表人（或委托代理人）盖章或签名的文件必须按要求盖章或签名。若未按上述要求签署的谈判响应文件，评审小组有权拒绝其响应单位的响应文件。</w:t>
      </w:r>
      <w:r/>
    </w:p>
    <w:p>
      <w:pPr>
        <w:ind w:left="425"/>
        <w:spacing w:line="400" w:lineRule="exact"/>
        <w:tabs>
          <w:tab w:val="left" w:pos="720" w:leader="none"/>
        </w:tabs>
        <w:rPr>
          <w:rFonts w:ascii="宋体" w:hAnsi="宋体" w:cs="Arial"/>
          <w:color w:val="auto"/>
          <w:szCs w:val="21"/>
          <w:highlight w:val="none"/>
        </w:rPr>
      </w:pPr>
      <w:r>
        <w:rPr>
          <w:rFonts w:hint="eastAsia" w:ascii="宋体" w:hAnsi="宋体"/>
          <w:color w:val="auto"/>
          <w:highlight w:val="none"/>
        </w:rPr>
        <w:t xml:space="preserve">3</w:t>
      </w:r>
      <w:r>
        <w:rPr>
          <w:rFonts w:ascii="宋体" w:hAnsi="宋体"/>
          <w:color w:val="auto"/>
          <w:highlight w:val="none"/>
        </w:rPr>
        <w:t xml:space="preserve">.</w:t>
      </w:r>
      <w:r>
        <w:rPr>
          <w:rFonts w:hint="eastAsia" w:ascii="宋体" w:hAnsi="宋体"/>
          <w:color w:val="auto"/>
          <w:highlight w:val="none"/>
        </w:rPr>
        <w:t xml:space="preserve">谈判响应文件以中文为准，谈判响应文件的有效期为自谈判之日起</w:t>
      </w:r>
      <w:r>
        <w:rPr>
          <w:rFonts w:hint="eastAsia" w:ascii="宋体" w:hAnsi="宋体"/>
          <w:b/>
          <w:color w:val="auto"/>
          <w:highlight w:val="none"/>
          <w:u w:val="single"/>
        </w:rPr>
        <w:t xml:space="preserve">90</w:t>
      </w:r>
      <w:r>
        <w:rPr>
          <w:rFonts w:hint="eastAsia" w:ascii="宋体" w:hAnsi="宋体"/>
          <w:color w:val="auto"/>
          <w:highlight w:val="none"/>
        </w:rPr>
        <w:t xml:space="preserve">日。</w:t>
      </w:r>
      <w:r/>
    </w:p>
    <w:p>
      <w:pPr>
        <w:ind w:left="425"/>
        <w:spacing w:line="400" w:lineRule="exact"/>
        <w:tabs>
          <w:tab w:val="left" w:pos="720" w:leader="none"/>
        </w:tabs>
        <w:rPr>
          <w:rFonts w:ascii="宋体" w:hAnsi="宋体" w:cs="Arial"/>
          <w:color w:val="auto"/>
          <w:szCs w:val="21"/>
          <w:highlight w:val="none"/>
        </w:rPr>
      </w:pPr>
      <w:r>
        <w:rPr>
          <w:rFonts w:hint="eastAsia" w:ascii="宋体" w:hAnsi="宋体"/>
          <w:color w:val="auto"/>
          <w:highlight w:val="none"/>
        </w:rPr>
        <w:t xml:space="preserve">4</w:t>
      </w:r>
      <w:r>
        <w:rPr>
          <w:rFonts w:ascii="宋体" w:hAnsi="宋体"/>
          <w:color w:val="auto"/>
          <w:highlight w:val="none"/>
        </w:rPr>
        <w:t xml:space="preserve">.</w:t>
      </w:r>
      <w:r>
        <w:rPr>
          <w:rFonts w:hint="eastAsia" w:ascii="宋体" w:hAnsi="宋体"/>
          <w:color w:val="auto"/>
          <w:highlight w:val="none"/>
        </w:rPr>
        <w:t xml:space="preserve">一经谈判，除非谈判响应单位在谈判响应文件中对谈判采购文件的规定或条款有书面偏离或保留，否则应视为其全部接受和遵守。同时无论谈判响应单位是否成交，其谈判响应文件恕不退还。</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（三）响应报价</w:t>
      </w:r>
      <w:r/>
    </w:p>
    <w:p>
      <w:pPr>
        <w:ind w:firstLine="420"/>
        <w:spacing w:line="400" w:lineRule="exact"/>
        <w:rPr>
          <w:rFonts w:ascii="宋体" w:hAnsi="宋体"/>
          <w:color w:val="auto"/>
          <w:highlight w:val="none"/>
        </w:rPr>
      </w:pPr>
      <w:r>
        <w:rPr>
          <w:rFonts w:hint="eastAsia" w:ascii="宋体" w:hAnsi="宋体"/>
          <w:color w:val="auto"/>
          <w:szCs w:val="21"/>
          <w:highlight w:val="none"/>
        </w:rPr>
        <w:t xml:space="preserve">1.</w:t>
      </w:r>
      <w:r>
        <w:rPr>
          <w:rFonts w:ascii="宋体" w:hAnsi="宋体"/>
          <w:color w:val="auto"/>
          <w:highlight w:val="none"/>
        </w:rPr>
        <w:t xml:space="preserve">供应商对本项目的报价应包括完成本项工作所需的</w:t>
      </w:r>
      <w:r>
        <w:rPr>
          <w:rFonts w:hint="default" w:ascii="宋体" w:hAnsi="宋体" w:eastAsia="宋体" w:cs="Times New Roman"/>
          <w:color w:val="auto"/>
          <w:szCs w:val="21"/>
          <w:highlight w:val="none"/>
        </w:rPr>
        <w:t xml:space="preserve">人工、材料、机械</w:t>
      </w:r>
      <w:r>
        <w:rPr>
          <w:rFonts w:hint="eastAsia" w:ascii="宋体" w:hAnsi="宋体" w:eastAsia="宋体" w:cs="Times New Roman"/>
          <w:color w:val="auto"/>
          <w:szCs w:val="21"/>
          <w:highlight w:val="none"/>
        </w:rPr>
        <w:t xml:space="preserve">（设备）</w:t>
      </w:r>
      <w:r>
        <w:rPr>
          <w:rFonts w:hint="default" w:ascii="宋体" w:hAnsi="宋体" w:eastAsia="宋体" w:cs="Times New Roman"/>
          <w:color w:val="auto"/>
          <w:szCs w:val="21"/>
          <w:highlight w:val="none"/>
        </w:rPr>
        <w:t xml:space="preserve">、管理、维护、售后服务</w:t>
      </w:r>
      <w:r>
        <w:rPr>
          <w:rFonts w:hint="eastAsia" w:ascii="宋体" w:hAnsi="宋体" w:eastAsia="宋体" w:cs="Times New Roman"/>
          <w:color w:val="auto"/>
          <w:szCs w:val="21"/>
          <w:highlight w:val="none"/>
        </w:rPr>
        <w:t xml:space="preserve">、</w:t>
      </w:r>
      <w:r>
        <w:rPr>
          <w:rFonts w:hint="default" w:ascii="宋体" w:hAnsi="宋体" w:eastAsia="宋体" w:cs="Times New Roman"/>
          <w:color w:val="auto"/>
          <w:szCs w:val="21"/>
          <w:highlight w:val="none"/>
        </w:rPr>
        <w:t xml:space="preserve">保险、利润、税金、政策性文件规定及合同包含的所有风险、责任等各项应有费用</w:t>
      </w:r>
      <w:r>
        <w:rPr>
          <w:rFonts w:ascii="宋体" w:hAnsi="宋体"/>
          <w:color w:val="auto"/>
          <w:highlight w:val="none"/>
        </w:rPr>
        <w:t xml:space="preserve">。除非因特殊原因并经双方协商同意，供应商不得再要求追加任何费用。同时，除非合同条款中另有规定，否则，供应商所报价格在合同实施期间不因市场变化因素而变动。</w:t>
      </w:r>
      <w:r/>
    </w:p>
    <w:p>
      <w:pPr>
        <w:pStyle w:val="741"/>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2.供应商应按《报价分析表》中的谈判项目计算单价和总价。《报价分析表》中的每一单项均应计算并填写单价和总价，并由法定代表人或被授权人签署。</w:t>
      </w:r>
      <w:r/>
    </w:p>
    <w:p>
      <w:pPr>
        <w:pStyle w:val="741"/>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供应商应对谈判文件内所要采购的全部内容进行报价，只对其中部分内容报价的，则投标为无效标。如果谈判文件要求分标段响应的，则供应商可以根据自身经营许可范围，选择响应其中部分或者全部标段，但各标段应分别计算填写单价和总价。</w:t>
      </w:r>
      <w:r/>
    </w:p>
    <w:p>
      <w:pPr>
        <w:pStyle w:val="741"/>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4.响应文件报价中的单价和总价全部采用人民币表示，除非另有规定。</w:t>
      </w:r>
      <w:r/>
    </w:p>
    <w:p>
      <w:pPr>
        <w:pStyle w:val="741"/>
        <w:ind w:firstLine="422"/>
        <w:spacing w:line="400" w:lineRule="exact"/>
        <w:rPr>
          <w:rFonts w:ascii="宋体" w:hAnsi="宋体" w:eastAsia="宋体"/>
          <w:color w:val="auto"/>
          <w:sz w:val="21"/>
          <w:szCs w:val="21"/>
          <w:highlight w:val="none"/>
          <w:u w:val="single"/>
        </w:rPr>
      </w:pPr>
      <w:r>
        <w:rPr>
          <w:rFonts w:ascii="宋体" w:hAnsi="宋体" w:eastAsia="宋体"/>
          <w:b/>
          <w:color w:val="auto"/>
          <w:sz w:val="21"/>
          <w:szCs w:val="21"/>
          <w:highlight w:val="none"/>
        </w:rPr>
        <w:t xml:space="preserve">5.</w:t>
      </w:r>
      <w:r>
        <w:rPr>
          <w:rFonts w:hint="eastAsia"/>
          <w:color w:val="auto"/>
          <w:highlight w:val="none"/>
        </w:rPr>
        <w:t xml:space="preserve"> </w:t>
      </w:r>
      <w:r>
        <w:rPr>
          <w:rFonts w:hint="eastAsia" w:ascii="宋体" w:hAnsi="宋体" w:eastAsia="宋体"/>
          <w:b/>
          <w:color w:val="auto"/>
          <w:sz w:val="21"/>
          <w:szCs w:val="21"/>
          <w:highlight w:val="none"/>
        </w:rPr>
        <w:t xml:space="preserve">本次谈判响应报价共有两次报价机会，第二次报价为最终总报价（最后报价时间为10分钟）；若谈判响应单位未在最后一次报价中分别报各个产品单价的，则其各个产品的单价按最终总报价与首次报价之比同比例下浮。</w:t>
      </w:r>
      <w:r/>
    </w:p>
    <w:p>
      <w:pPr>
        <w:pStyle w:val="741"/>
        <w:spacing w:line="400" w:lineRule="exact"/>
        <w:rPr>
          <w:rFonts w:ascii="宋体" w:hAnsi="宋体" w:eastAsia="宋体"/>
          <w:color w:val="auto"/>
          <w:sz w:val="21"/>
          <w:szCs w:val="21"/>
          <w:highlight w:val="none"/>
          <w:u w:val="single"/>
        </w:rPr>
      </w:pPr>
      <w:r>
        <w:rPr>
          <w:rFonts w:ascii="宋体" w:hAnsi="宋体" w:eastAsia="宋体"/>
          <w:color w:val="auto"/>
          <w:sz w:val="21"/>
          <w:szCs w:val="21"/>
          <w:highlight w:val="none"/>
        </w:rPr>
        <w:t xml:space="preserve">6</w:t>
      </w:r>
      <w:r>
        <w:rPr>
          <w:rFonts w:hint="eastAsia" w:ascii="宋体" w:hAnsi="宋体" w:eastAsia="宋体"/>
          <w:color w:val="auto"/>
          <w:sz w:val="21"/>
          <w:szCs w:val="21"/>
          <w:highlight w:val="none"/>
        </w:rPr>
        <w:t xml:space="preserve">.竞争性</w:t>
      </w:r>
      <w:r>
        <w:rPr>
          <w:rFonts w:ascii="宋体" w:hAnsi="宋体" w:eastAsia="宋体"/>
          <w:color w:val="auto"/>
          <w:sz w:val="21"/>
          <w:szCs w:val="21"/>
          <w:highlight w:val="none"/>
        </w:rPr>
        <w:t xml:space="preserve">谈判采取</w:t>
      </w:r>
      <w:r>
        <w:rPr>
          <w:rFonts w:hint="eastAsia" w:ascii="宋体" w:hAnsi="宋体" w:eastAsia="宋体"/>
          <w:color w:val="auto"/>
          <w:sz w:val="21"/>
          <w:szCs w:val="21"/>
          <w:highlight w:val="none"/>
        </w:rPr>
        <w:t xml:space="preserve">最低评标价法</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即根据质量和服务均能满足采购文件实质性响应要求的前提下，以提出最低报价（以第二次报价为准，且</w:t>
      </w:r>
      <w:r>
        <w:rPr>
          <w:rFonts w:hint="eastAsia" w:ascii="宋体" w:hAnsi="宋体" w:eastAsia="宋体"/>
          <w:b/>
          <w:color w:val="auto"/>
          <w:sz w:val="21"/>
          <w:szCs w:val="21"/>
          <w:highlight w:val="none"/>
        </w:rPr>
        <w:t xml:space="preserve">最后报价时间为10分钟</w:t>
      </w:r>
      <w:r>
        <w:rPr>
          <w:rFonts w:hint="eastAsia" w:ascii="宋体" w:hAnsi="宋体" w:eastAsia="宋体"/>
          <w:color w:val="auto"/>
          <w:sz w:val="21"/>
          <w:szCs w:val="21"/>
          <w:highlight w:val="none"/>
        </w:rPr>
        <w:t xml:space="preserve">）的供应商作为成交供应商。</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（四）响应文件的组成</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1.响应文件</w:t>
      </w:r>
      <w:r>
        <w:rPr>
          <w:rFonts w:hint="eastAsia" w:ascii="宋体" w:hAnsi="宋体" w:cs="Arial"/>
          <w:b/>
          <w:color w:val="auto"/>
          <w:szCs w:val="21"/>
          <w:highlight w:val="none"/>
        </w:rPr>
        <w:t xml:space="preserve">（报价、相关资格部分及技术部分）：</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1</w:t>
      </w:r>
      <w:r>
        <w:rPr>
          <w:rFonts w:ascii="宋体" w:hAnsi="宋体" w:cs="Arial"/>
          <w:color w:val="auto"/>
          <w:szCs w:val="21"/>
          <w:highlight w:val="none"/>
        </w:rPr>
        <w:t xml:space="preserve">.1</w:t>
      </w:r>
      <w:r>
        <w:rPr>
          <w:rFonts w:hint="eastAsia" w:ascii="宋体" w:hAnsi="宋体" w:cs="Arial"/>
          <w:color w:val="auto"/>
          <w:szCs w:val="21"/>
          <w:highlight w:val="none"/>
        </w:rPr>
        <w:t xml:space="preserve">封面；</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1</w:t>
      </w:r>
      <w:r>
        <w:rPr>
          <w:rFonts w:ascii="宋体" w:hAnsi="宋体" w:cs="Arial"/>
          <w:color w:val="auto"/>
          <w:szCs w:val="21"/>
          <w:highlight w:val="none"/>
        </w:rPr>
        <w:t xml:space="preserve">.2</w:t>
      </w:r>
      <w:r>
        <w:rPr>
          <w:rFonts w:hint="eastAsia" w:ascii="宋体" w:hAnsi="宋体" w:cs="Arial"/>
          <w:color w:val="auto"/>
          <w:szCs w:val="21"/>
          <w:highlight w:val="none"/>
        </w:rPr>
        <w:t xml:space="preserve">开标一览表</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w:t>
      </w:r>
      <w:r>
        <w:rPr>
          <w:rFonts w:hint="eastAsia" w:ascii="宋体" w:hAnsi="宋体"/>
          <w:color w:val="auto"/>
          <w:szCs w:val="21"/>
          <w:highlight w:val="none"/>
        </w:rPr>
        <w:t xml:space="preserve">3</w:t>
      </w:r>
      <w:r>
        <w:rPr>
          <w:rFonts w:ascii="宋体" w:hAnsi="宋体"/>
          <w:color w:val="auto"/>
          <w:szCs w:val="21"/>
          <w:highlight w:val="none"/>
          <w:lang w:val="zh-CN"/>
        </w:rPr>
        <w:t xml:space="preserve">远程参与开标会议诚信承诺书</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rPr>
          <w:rFonts w:hint="eastAsia" w:ascii="宋体" w:hAnsi="宋体"/>
          <w:color w:val="auto"/>
          <w:szCs w:val="21"/>
          <w:highlight w:val="none"/>
          <w:lang w:val="zh-CN"/>
        </w:rPr>
        <w:t xml:space="preserve">；</w:t>
      </w:r>
      <w:r/>
    </w:p>
    <w:p>
      <w:pPr>
        <w:ind w:firstLine="420"/>
        <w:spacing w:line="400" w:lineRule="exact"/>
        <w:tabs>
          <w:tab w:val="left" w:pos="720" w:leader="none"/>
        </w:tabs>
        <w:rPr>
          <w:rFonts w:ascii="宋体" w:hAnsi="宋体" w:cs="Arial"/>
          <w:color w:val="auto"/>
          <w:highlight w:val="none"/>
        </w:rPr>
      </w:pPr>
      <w:r>
        <w:rPr>
          <w:rFonts w:hint="eastAsia" w:ascii="宋体" w:hAnsi="宋体" w:cs="Arial"/>
          <w:color w:val="auto"/>
          <w:szCs w:val="21"/>
          <w:highlight w:val="none"/>
        </w:rPr>
        <w:t xml:space="preserve">1</w:t>
      </w:r>
      <w:r>
        <w:rPr>
          <w:rFonts w:ascii="宋体" w:hAnsi="宋体" w:cs="Arial"/>
          <w:color w:val="auto"/>
          <w:szCs w:val="21"/>
          <w:highlight w:val="none"/>
        </w:rPr>
        <w:t xml:space="preserve">.</w:t>
      </w:r>
      <w:r>
        <w:rPr>
          <w:rFonts w:hint="eastAsia" w:ascii="宋体" w:hAnsi="宋体" w:cs="Arial"/>
          <w:color w:val="auto"/>
          <w:szCs w:val="21"/>
          <w:highlight w:val="none"/>
        </w:rPr>
        <w:t xml:space="preserve">4提供法人或者其他组织的营业执照等证明文件、自然人的身份证明；</w:t>
      </w:r>
      <w:r/>
    </w:p>
    <w:p>
      <w:pPr>
        <w:ind w:firstLine="420"/>
        <w:spacing w:line="400" w:lineRule="exact"/>
        <w:tabs>
          <w:tab w:val="left" w:pos="720" w:leader="none"/>
        </w:tabs>
        <w:rPr>
          <w:rFonts w:ascii="宋体" w:hAnsi="宋体" w:cs="宋体"/>
          <w:color w:val="auto"/>
          <w:highlight w:val="none"/>
        </w:rPr>
      </w:pPr>
      <w:r>
        <w:rPr>
          <w:rFonts w:hint="eastAsia" w:ascii="宋体" w:hAnsi="宋体" w:cs="Arial"/>
          <w:color w:val="auto"/>
          <w:szCs w:val="21"/>
          <w:highlight w:val="none"/>
        </w:rPr>
        <w:t xml:space="preserve">1.5法定代表人授权委托书及双方身份证明（如有授权）</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rPr>
          <w:rFonts w:ascii="宋体" w:hAnsi="宋体" w:cs="宋体"/>
          <w:color w:val="auto"/>
          <w:highlight w:val="none"/>
        </w:rPr>
        <w:t xml:space="preserve">；</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宋体"/>
          <w:color w:val="auto"/>
          <w:highlight w:val="none"/>
        </w:rPr>
        <w:t xml:space="preserve">1.6</w:t>
      </w:r>
      <w:r>
        <w:rPr>
          <w:rFonts w:hint="eastAsia" w:ascii="宋体" w:hAnsi="宋体" w:cs="Arial"/>
          <w:color w:val="auto"/>
          <w:szCs w:val="21"/>
          <w:highlight w:val="none"/>
          <w:lang w:val="en-US" w:eastAsia="zh-CN"/>
        </w:rPr>
        <w:t xml:space="preserve">响应</w:t>
      </w:r>
      <w:r>
        <w:rPr>
          <w:rFonts w:hint="eastAsia" w:ascii="宋体" w:hAnsi="宋体" w:cs="Arial"/>
          <w:color w:val="auto"/>
          <w:szCs w:val="21"/>
          <w:highlight w:val="none"/>
        </w:rPr>
        <w:t xml:space="preserve">承诺函（格式见第七章）；</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1.7</w:t>
      </w:r>
      <w:r>
        <w:rPr>
          <w:rFonts w:ascii="宋体" w:hAnsi="宋体" w:cs="宋体"/>
          <w:color w:val="auto"/>
          <w:highlight w:val="none"/>
        </w:rPr>
        <w:t xml:space="preserve">投标文件</w:t>
      </w:r>
      <w:r>
        <w:rPr>
          <w:rFonts w:hint="eastAsia" w:ascii="宋体" w:hAnsi="宋体" w:cs="宋体"/>
          <w:color w:val="auto"/>
          <w:highlight w:val="none"/>
        </w:rPr>
        <w:t xml:space="preserve">资格证明</w:t>
      </w:r>
      <w:r>
        <w:rPr>
          <w:rFonts w:ascii="宋体" w:hAnsi="宋体" w:cs="宋体"/>
          <w:color w:val="auto"/>
          <w:highlight w:val="none"/>
        </w:rPr>
        <w:t xml:space="preserve">声明函</w:t>
      </w:r>
      <w:r>
        <w:rPr>
          <w:rFonts w:hint="eastAsia" w:ascii="宋体" w:hAnsi="宋体" w:cs="Arial"/>
          <w:color w:val="auto"/>
          <w:szCs w:val="21"/>
          <w:highlight w:val="none"/>
        </w:rPr>
        <w:t xml:space="preserve">（格式见第七章）；</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1.8</w:t>
      </w:r>
      <w:r>
        <w:rPr>
          <w:rFonts w:hint="eastAsia" w:ascii="宋体" w:hAnsi="宋体" w:cs="Arial"/>
          <w:color w:val="auto"/>
          <w:szCs w:val="21"/>
          <w:highlight w:val="none"/>
          <w:lang w:val="en-US" w:eastAsia="zh-CN"/>
        </w:rPr>
        <w:t xml:space="preserve">供应商</w:t>
      </w:r>
      <w:r>
        <w:rPr>
          <w:rFonts w:hint="eastAsia" w:ascii="宋体" w:hAnsi="宋体" w:cs="Arial"/>
          <w:color w:val="auto"/>
          <w:szCs w:val="21"/>
          <w:highlight w:val="none"/>
        </w:rPr>
        <w:t xml:space="preserve">情况表（格式见第七章）；</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highlight w:val="none"/>
        </w:rPr>
        <w:t xml:space="preserve">1.9</w:t>
      </w:r>
      <w:r>
        <w:rPr>
          <w:rFonts w:hint="eastAsia" w:ascii="宋体" w:hAnsi="宋体" w:cs="Arial"/>
          <w:color w:val="auto"/>
          <w:szCs w:val="21"/>
          <w:highlight w:val="none"/>
        </w:rPr>
        <w:t xml:space="preserve">招标文件要求的其他相关证明材料（人员</w:t>
      </w:r>
      <w:r>
        <w:rPr>
          <w:rFonts w:hint="eastAsia" w:ascii="宋体" w:hAnsi="宋体" w:cs="Arial"/>
          <w:color w:val="auto"/>
          <w:szCs w:val="21"/>
          <w:highlight w:val="none"/>
          <w:lang w:val="en-US" w:eastAsia="zh-CN"/>
        </w:rPr>
        <w:t xml:space="preserve">配置、</w:t>
      </w:r>
      <w:r>
        <w:rPr>
          <w:rFonts w:hint="eastAsia" w:ascii="宋体" w:hAnsi="宋体" w:cs="Arial"/>
          <w:color w:val="auto"/>
          <w:szCs w:val="21"/>
          <w:highlight w:val="none"/>
        </w:rPr>
        <w:t xml:space="preserve">业绩等）。</w:t>
      </w:r>
      <w:r/>
    </w:p>
    <w:p>
      <w:pPr>
        <w:ind w:left="425"/>
        <w:spacing w:line="400" w:lineRule="exact"/>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2</w:t>
      </w:r>
      <w:r>
        <w:rPr>
          <w:rFonts w:ascii="宋体" w:hAnsi="宋体" w:cs="Arial"/>
          <w:b/>
          <w:color w:val="auto"/>
          <w:szCs w:val="21"/>
          <w:highlight w:val="none"/>
        </w:rPr>
        <w:t xml:space="preserve">.</w:t>
      </w:r>
      <w:r>
        <w:rPr>
          <w:rFonts w:hint="eastAsia" w:ascii="宋体" w:hAnsi="宋体" w:cs="Arial"/>
          <w:b/>
          <w:color w:val="auto"/>
          <w:szCs w:val="21"/>
          <w:highlight w:val="none"/>
        </w:rPr>
        <w:t xml:space="preserve">资格条件：</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2.1</w:t>
      </w:r>
      <w:r>
        <w:rPr>
          <w:rFonts w:hint="eastAsia" w:ascii="宋体" w:hAnsi="宋体"/>
          <w:color w:val="auto"/>
          <w:szCs w:val="21"/>
          <w:highlight w:val="none"/>
        </w:rPr>
        <w:t xml:space="preserve">满足《中华人民共和国政府采购法》第二十二条规定；（提供相关材料）</w:t>
      </w:r>
      <w:r/>
    </w:p>
    <w:p>
      <w:pPr>
        <w:ind w:firstLine="420"/>
        <w:spacing w:line="400" w:lineRule="exact"/>
        <w:tabs>
          <w:tab w:val="left" w:pos="720" w:leader="none"/>
        </w:tabs>
        <w:rPr>
          <w:rFonts w:ascii="宋体" w:hAnsi="宋体"/>
          <w:color w:val="auto"/>
          <w:szCs w:val="21"/>
          <w:highlight w:val="none"/>
        </w:rPr>
      </w:pPr>
      <w:r>
        <w:rPr>
          <w:rFonts w:hint="eastAsia" w:ascii="宋体" w:hAnsi="宋体" w:cs="Arial"/>
          <w:color w:val="auto"/>
          <w:szCs w:val="21"/>
          <w:highlight w:val="none"/>
        </w:rPr>
        <w:t xml:space="preserve">2</w:t>
      </w:r>
      <w:r>
        <w:rPr>
          <w:rFonts w:ascii="宋体" w:hAnsi="宋体" w:cs="Arial"/>
          <w:color w:val="auto"/>
          <w:szCs w:val="21"/>
          <w:highlight w:val="none"/>
        </w:rPr>
        <w:t xml:space="preserve">.</w:t>
      </w:r>
      <w:r>
        <w:rPr>
          <w:rFonts w:hint="eastAsia" w:ascii="宋体" w:hAnsi="宋体" w:cs="Arial"/>
          <w:color w:val="auto"/>
          <w:szCs w:val="21"/>
          <w:highlight w:val="none"/>
        </w:rPr>
        <w:t xml:space="preserve">2落实</w:t>
      </w:r>
      <w:r>
        <w:rPr>
          <w:rFonts w:hint="eastAsia" w:ascii="宋体" w:hAnsi="宋体"/>
          <w:color w:val="auto"/>
          <w:szCs w:val="21"/>
          <w:highlight w:val="none"/>
        </w:rPr>
        <w:t xml:space="preserve">政府采购政策</w:t>
      </w:r>
      <w:r>
        <w:rPr>
          <w:rFonts w:hint="eastAsia" w:ascii="宋体" w:hAnsi="宋体"/>
          <w:b/>
          <w:bCs/>
          <w:color w:val="auto"/>
          <w:szCs w:val="21"/>
          <w:highlight w:val="none"/>
        </w:rPr>
        <w:t xml:space="preserve">（以下任选其一）</w:t>
      </w:r>
      <w:r>
        <w:rPr>
          <w:rFonts w:hint="eastAsia" w:ascii="宋体" w:hAnsi="宋体"/>
          <w:color w:val="auto"/>
          <w:szCs w:val="21"/>
          <w:highlight w:val="none"/>
        </w:rPr>
        <w:t xml:space="preserve">：</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w:t>
      </w:r>
      <w:r>
        <w:rPr>
          <w:rFonts w:hint="eastAsia" w:ascii="宋体" w:hAnsi="宋体"/>
          <w:color w:val="auto"/>
          <w:szCs w:val="21"/>
          <w:highlight w:val="none"/>
        </w:rPr>
        <w:t xml:space="preserve">2</w:t>
      </w:r>
      <w:r>
        <w:rPr>
          <w:rFonts w:ascii="宋体" w:hAnsi="宋体"/>
          <w:color w:val="auto"/>
          <w:szCs w:val="21"/>
          <w:highlight w:val="none"/>
        </w:rPr>
        <w:t xml:space="preserve">.1</w:t>
      </w:r>
      <w:r>
        <w:rPr>
          <w:rFonts w:hint="eastAsia" w:ascii="宋体" w:hAnsi="宋体" w:cs="Arial"/>
          <w:color w:val="auto"/>
          <w:szCs w:val="21"/>
          <w:highlight w:val="none"/>
        </w:rPr>
        <w:t xml:space="preserve">提供《中小企业声明函》（如有）</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rPr>
          <w:rFonts w:hint="eastAsia" w:ascii="宋体" w:hAnsi="宋体" w:cs="Arial"/>
          <w:color w:val="auto"/>
          <w:szCs w:val="21"/>
          <w:highlight w:val="none"/>
        </w:rPr>
        <w:t xml:space="preserve">；</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2</w:t>
      </w:r>
      <w:r>
        <w:rPr>
          <w:rFonts w:ascii="宋体" w:hAnsi="宋体" w:cs="Arial"/>
          <w:color w:val="auto"/>
          <w:szCs w:val="21"/>
          <w:highlight w:val="none"/>
        </w:rPr>
        <w:t xml:space="preserve">.</w:t>
      </w:r>
      <w:r>
        <w:rPr>
          <w:rFonts w:hint="eastAsia" w:ascii="宋体" w:hAnsi="宋体" w:cs="Arial"/>
          <w:color w:val="auto"/>
          <w:szCs w:val="21"/>
          <w:highlight w:val="none"/>
        </w:rPr>
        <w:t xml:space="preserve">2</w:t>
      </w:r>
      <w:r>
        <w:rPr>
          <w:rFonts w:ascii="宋体" w:hAnsi="宋体" w:cs="Arial"/>
          <w:color w:val="auto"/>
          <w:szCs w:val="21"/>
          <w:highlight w:val="none"/>
        </w:rPr>
        <w:t xml:space="preserve">.2残疾人福利性单位声明函</w:t>
      </w:r>
      <w:r>
        <w:rPr>
          <w:rFonts w:hint="eastAsia" w:ascii="宋体" w:hAnsi="宋体" w:cs="Arial"/>
          <w:color w:val="auto"/>
          <w:szCs w:val="21"/>
          <w:highlight w:val="none"/>
        </w:rPr>
        <w:t xml:space="preserve">（如有）（</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rPr>
          <w:rFonts w:hint="eastAsia" w:ascii="宋体" w:hAnsi="宋体" w:cs="Arial"/>
          <w:color w:val="auto"/>
          <w:szCs w:val="21"/>
          <w:highlight w:val="none"/>
        </w:rPr>
        <w:t xml:space="preserve">；</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2</w:t>
      </w:r>
      <w:r>
        <w:rPr>
          <w:rFonts w:ascii="宋体" w:hAnsi="宋体" w:cs="Arial"/>
          <w:color w:val="auto"/>
          <w:szCs w:val="21"/>
          <w:highlight w:val="none"/>
        </w:rPr>
        <w:t xml:space="preserve">.</w:t>
      </w:r>
      <w:r>
        <w:rPr>
          <w:rFonts w:hint="eastAsia" w:ascii="宋体" w:hAnsi="宋体" w:cs="Arial"/>
          <w:color w:val="auto"/>
          <w:szCs w:val="21"/>
          <w:highlight w:val="none"/>
        </w:rPr>
        <w:t xml:space="preserve">2</w:t>
      </w:r>
      <w:r>
        <w:rPr>
          <w:rFonts w:ascii="宋体" w:hAnsi="宋体" w:cs="Arial"/>
          <w:color w:val="auto"/>
          <w:szCs w:val="21"/>
          <w:highlight w:val="none"/>
        </w:rPr>
        <w:t xml:space="preserve">.3</w:t>
      </w:r>
      <w:r>
        <w:rPr>
          <w:rFonts w:hint="eastAsia" w:ascii="宋体" w:hAnsi="宋体" w:cs="Arial"/>
          <w:color w:val="auto"/>
          <w:szCs w:val="21"/>
          <w:highlight w:val="none"/>
        </w:rPr>
        <w:t xml:space="preserve">监狱企业证明文件（如有）。</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2</w:t>
      </w:r>
      <w:r>
        <w:rPr>
          <w:rFonts w:ascii="宋体" w:hAnsi="宋体" w:cs="Arial"/>
          <w:color w:val="auto"/>
          <w:szCs w:val="21"/>
          <w:highlight w:val="none"/>
        </w:rPr>
        <w:t xml:space="preserve">.</w:t>
      </w:r>
      <w:r>
        <w:rPr>
          <w:rFonts w:hint="eastAsia" w:ascii="宋体" w:hAnsi="宋体" w:cs="Arial"/>
          <w:color w:val="auto"/>
          <w:szCs w:val="21"/>
          <w:highlight w:val="none"/>
        </w:rPr>
        <w:t xml:space="preserve">3第一章投标邀请中采购人根据采购项目的特殊要求规定的特定条件证明文件（如有）。</w:t>
      </w:r>
      <w:r/>
    </w:p>
    <w:p>
      <w:pPr>
        <w:ind w:left="425"/>
        <w:spacing w:line="400" w:lineRule="exact"/>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3</w:t>
      </w:r>
      <w:r>
        <w:rPr>
          <w:rFonts w:ascii="宋体" w:hAnsi="宋体" w:cs="Arial"/>
          <w:b/>
          <w:color w:val="auto"/>
          <w:szCs w:val="21"/>
          <w:highlight w:val="none"/>
        </w:rPr>
        <w:t xml:space="preserve">.</w:t>
      </w:r>
      <w:r>
        <w:rPr>
          <w:rFonts w:hint="eastAsia" w:ascii="宋体" w:hAnsi="宋体" w:cs="Arial"/>
          <w:b/>
          <w:color w:val="auto"/>
          <w:szCs w:val="21"/>
          <w:highlight w:val="none"/>
        </w:rPr>
        <w:t xml:space="preserve">符合性条件</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3.1报价分析表</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3</w:t>
      </w:r>
      <w:r>
        <w:rPr>
          <w:rFonts w:ascii="宋体" w:hAnsi="宋体" w:cs="Arial"/>
          <w:color w:val="auto"/>
          <w:szCs w:val="21"/>
          <w:highlight w:val="none"/>
        </w:rPr>
        <w:t xml:space="preserve">.</w:t>
      </w:r>
      <w:r>
        <w:rPr>
          <w:rFonts w:hint="eastAsia" w:ascii="宋体" w:hAnsi="宋体" w:cs="Arial"/>
          <w:color w:val="auto"/>
          <w:szCs w:val="21"/>
          <w:highlight w:val="none"/>
        </w:rPr>
        <w:t xml:space="preserve">2商务偏离表</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3.3技术偏离表</w:t>
      </w:r>
      <w:r/>
    </w:p>
    <w:p>
      <w:pPr>
        <w:numPr>
          <w:ilvl w:val="0"/>
          <w:numId w:val="10"/>
        </w:numPr>
        <w:ind w:firstLine="422"/>
        <w:spacing w:line="400" w:lineRule="exact"/>
        <w:tabs>
          <w:tab w:val="clear" w:pos="312" w:leader="none"/>
          <w:tab w:val="left" w:pos="720" w:leader="none"/>
        </w:tabs>
        <w:rPr>
          <w:rFonts w:ascii="宋体" w:hAnsi="宋体" w:cs="Arial"/>
          <w:b/>
          <w:bCs/>
          <w:color w:val="auto"/>
          <w:szCs w:val="21"/>
          <w:highlight w:val="none"/>
        </w:rPr>
      </w:pPr>
      <w:r>
        <w:rPr>
          <w:rFonts w:hint="eastAsia" w:ascii="宋体" w:hAnsi="宋体" w:cs="Arial"/>
          <w:b/>
          <w:bCs/>
          <w:color w:val="auto"/>
          <w:szCs w:val="21"/>
          <w:highlight w:val="none"/>
        </w:rPr>
        <w:t xml:space="preserve">价格折扣证明</w:t>
      </w:r>
      <w:r>
        <w:rPr>
          <w:rFonts w:hint="eastAsia" w:ascii="宋体" w:hAnsi="宋体"/>
          <w:b/>
          <w:bCs/>
          <w:color w:val="auto"/>
          <w:szCs w:val="21"/>
          <w:highlight w:val="none"/>
        </w:rPr>
        <w:t xml:space="preserve">（以下任选其一）：</w:t>
      </w:r>
      <w:r/>
    </w:p>
    <w:p>
      <w:pPr>
        <w:ind w:right="-252" w:firstLine="420"/>
        <w:spacing w:line="400" w:lineRule="exact"/>
        <w:rPr>
          <w:rFonts w:ascii="宋体" w:hAnsi="宋体"/>
          <w:color w:val="auto"/>
          <w:szCs w:val="21"/>
          <w:highlight w:val="none"/>
        </w:rPr>
      </w:pPr>
      <w:r>
        <w:rPr>
          <w:rFonts w:hint="eastAsia" w:ascii="宋体" w:hAnsi="宋体"/>
          <w:color w:val="auto"/>
          <w:szCs w:val="21"/>
          <w:highlight w:val="none"/>
        </w:rPr>
        <w:t xml:space="preserve">4.1</w:t>
      </w:r>
      <w:r>
        <w:rPr>
          <w:rFonts w:hint="eastAsia" w:ascii="宋体" w:hAnsi="宋体" w:cs="Arial"/>
          <w:color w:val="auto"/>
          <w:szCs w:val="21"/>
          <w:highlight w:val="none"/>
        </w:rPr>
        <w:t xml:space="preserve">提供《中小企业声明函》（如有）</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rPr>
          <w:rFonts w:hint="eastAsia" w:ascii="宋体" w:hAnsi="宋体" w:cs="Arial"/>
          <w:color w:val="auto"/>
          <w:szCs w:val="21"/>
          <w:highlight w:val="none"/>
        </w:rPr>
        <w:t xml:space="preserve">；</w:t>
      </w:r>
      <w:r/>
    </w:p>
    <w:p>
      <w:pPr>
        <w:ind w:right="-252" w:firstLine="420"/>
        <w:spacing w:line="400" w:lineRule="exact"/>
        <w:rPr>
          <w:rFonts w:ascii="宋体" w:hAnsi="宋体"/>
          <w:color w:val="auto"/>
          <w:szCs w:val="21"/>
          <w:highlight w:val="none"/>
        </w:rPr>
      </w:pPr>
      <w:r>
        <w:rPr>
          <w:rFonts w:hint="eastAsia" w:ascii="宋体" w:hAnsi="宋体"/>
          <w:color w:val="auto"/>
          <w:szCs w:val="21"/>
          <w:highlight w:val="none"/>
        </w:rPr>
        <w:t xml:space="preserve">4.2</w:t>
      </w:r>
      <w:r>
        <w:rPr>
          <w:rFonts w:ascii="宋体" w:hAnsi="宋体" w:cs="Arial"/>
          <w:color w:val="auto"/>
          <w:szCs w:val="21"/>
          <w:highlight w:val="none"/>
        </w:rPr>
        <w:t xml:space="preserve">残疾人福利性单位声明函</w:t>
      </w:r>
      <w:r>
        <w:rPr>
          <w:rFonts w:hint="eastAsia" w:ascii="宋体" w:hAnsi="宋体" w:cs="Arial"/>
          <w:color w:val="auto"/>
          <w:szCs w:val="21"/>
          <w:highlight w:val="none"/>
        </w:rPr>
        <w:t xml:space="preserve">（如有）（</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rPr>
          <w:rFonts w:hint="eastAsia" w:ascii="宋体" w:hAnsi="宋体" w:cs="Arial"/>
          <w:color w:val="auto"/>
          <w:szCs w:val="21"/>
          <w:highlight w:val="none"/>
        </w:rPr>
        <w:t xml:space="preserve">；</w:t>
      </w:r>
      <w:r/>
    </w:p>
    <w:p>
      <w:pPr>
        <w:ind w:right="-252"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4.3监狱企业证明文件（如有）。</w:t>
      </w:r>
      <w:r/>
    </w:p>
    <w:p>
      <w:pPr>
        <w:ind w:firstLine="422"/>
        <w:spacing w:line="400" w:lineRule="exact"/>
        <w:tabs>
          <w:tab w:val="left" w:pos="72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注：</w:t>
      </w:r>
      <w:r/>
    </w:p>
    <w:p>
      <w:pPr>
        <w:numPr>
          <w:ilvl w:val="0"/>
          <w:numId w:val="11"/>
        </w:numPr>
        <w:ind w:firstLine="422"/>
        <w:spacing w:line="400" w:lineRule="exact"/>
        <w:tabs>
          <w:tab w:val="left" w:pos="72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以上“1-4”为资格性、符合性审查等其他必须提供的资料，投标人必须提供并加盖电子公章。否则，投标文件将被认定为未实质性响应。</w:t>
      </w:r>
      <w:r/>
    </w:p>
    <w:p>
      <w:pPr>
        <w:ind w:firstLine="420"/>
        <w:spacing w:line="400" w:lineRule="exact"/>
        <w:rPr>
          <w:rFonts w:ascii="宋体" w:hAnsi="宋体" w:cs="宋体"/>
          <w:b/>
          <w:bCs/>
          <w:color w:val="auto"/>
          <w:szCs w:val="21"/>
          <w:highlight w:val="none"/>
        </w:rPr>
      </w:pPr>
      <w:r>
        <w:rPr>
          <w:rFonts w:hint="eastAsia"/>
          <w:b/>
          <w:color w:val="auto"/>
          <w:szCs w:val="21"/>
          <w:highlight w:val="none"/>
        </w:rPr>
        <w:t xml:space="preserve">（2）</w:t>
      </w:r>
      <w:r>
        <w:rPr>
          <w:b/>
          <w:color w:val="auto"/>
          <w:szCs w:val="21"/>
          <w:highlight w:val="none"/>
        </w:rPr>
        <w:t xml:space="preserve">制作电子</w:t>
      </w:r>
      <w:r>
        <w:rPr>
          <w:rFonts w:hint="eastAsia"/>
          <w:b/>
          <w:color w:val="auto"/>
          <w:szCs w:val="21"/>
          <w:highlight w:val="none"/>
        </w:rPr>
        <w:t xml:space="preserve">响应</w:t>
      </w:r>
      <w:r>
        <w:rPr>
          <w:b/>
          <w:color w:val="auto"/>
          <w:szCs w:val="21"/>
          <w:highlight w:val="none"/>
        </w:rPr>
        <w:t xml:space="preserve">文件时必须与投标文件制作软件目录</w:t>
      </w:r>
      <w:r>
        <w:rPr>
          <w:rFonts w:hint="eastAsia"/>
          <w:b/>
          <w:color w:val="auto"/>
          <w:szCs w:val="21"/>
          <w:highlight w:val="none"/>
        </w:rPr>
        <w:t xml:space="preserve">一一</w:t>
      </w:r>
      <w:r>
        <w:rPr>
          <w:b/>
          <w:color w:val="auto"/>
          <w:szCs w:val="21"/>
          <w:highlight w:val="none"/>
        </w:rPr>
        <w:t xml:space="preserve">对应，</w:t>
      </w:r>
      <w:r>
        <w:rPr>
          <w:rFonts w:hint="eastAsia"/>
          <w:b/>
          <w:color w:val="auto"/>
          <w:szCs w:val="21"/>
          <w:highlight w:val="none"/>
        </w:rPr>
        <w:t xml:space="preserve">并</w:t>
      </w:r>
      <w:r>
        <w:rPr>
          <w:b/>
          <w:color w:val="auto"/>
          <w:szCs w:val="21"/>
          <w:highlight w:val="none"/>
        </w:rPr>
        <w:t xml:space="preserve">将相关资料上传至相应模块，否则将认定相关材料无效。</w:t>
      </w:r>
      <w:r/>
    </w:p>
    <w:p>
      <w:pPr>
        <w:spacing w:line="400" w:lineRule="exact"/>
        <w:tabs>
          <w:tab w:val="left" w:pos="720" w:leader="none"/>
        </w:tabs>
        <w:rPr>
          <w:rFonts w:ascii="宋体" w:hAnsi="宋体"/>
          <w:b/>
          <w:color w:val="auto"/>
          <w:szCs w:val="21"/>
          <w:highlight w:val="none"/>
        </w:rPr>
      </w:pPr>
      <w:r>
        <w:rPr>
          <w:rFonts w:hint="eastAsia" w:ascii="宋体" w:hAnsi="宋体" w:cs="Arial"/>
          <w:b/>
          <w:bCs/>
          <w:color w:val="auto"/>
          <w:szCs w:val="21"/>
          <w:highlight w:val="none"/>
        </w:rPr>
        <w:t xml:space="preserve">（五）</w:t>
      </w:r>
      <w:r>
        <w:rPr>
          <w:rFonts w:hint="eastAsia" w:ascii="宋体" w:hAnsi="宋体"/>
          <w:b/>
          <w:color w:val="auto"/>
          <w:szCs w:val="21"/>
          <w:highlight w:val="none"/>
        </w:rPr>
        <w:t xml:space="preserve">响应文件的撤回和修改</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在提交响应文件的截止时间前，供应商可以撤回或者修改响应文件。</w:t>
      </w:r>
      <w:r/>
    </w:p>
    <w:p>
      <w:pPr>
        <w:spacing w:line="400" w:lineRule="exact"/>
        <w:tabs>
          <w:tab w:val="left" w:pos="720" w:leader="none"/>
        </w:tabs>
        <w:rPr>
          <w:rFonts w:ascii="宋体" w:hAnsi="宋体" w:cs="Arial"/>
          <w:b/>
          <w:bCs/>
          <w:color w:val="auto"/>
          <w:szCs w:val="21"/>
          <w:highlight w:val="none"/>
        </w:rPr>
      </w:pPr>
      <w:r>
        <w:rPr>
          <w:rFonts w:hint="eastAsia" w:ascii="宋体" w:hAnsi="宋体" w:cs="Arial"/>
          <w:b/>
          <w:bCs/>
          <w:color w:val="auto"/>
          <w:szCs w:val="21"/>
          <w:highlight w:val="none"/>
        </w:rPr>
        <w:t xml:space="preserve">（六）投标截止时间</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1</w:t>
      </w:r>
      <w:r>
        <w:rPr>
          <w:rFonts w:ascii="宋体" w:hAnsi="宋体" w:cs="Arial"/>
          <w:color w:val="auto"/>
          <w:szCs w:val="21"/>
          <w:highlight w:val="none"/>
        </w:rPr>
        <w:t xml:space="preserve">.</w:t>
      </w:r>
      <w:r>
        <w:rPr>
          <w:rFonts w:hint="eastAsia" w:ascii="宋体" w:hAnsi="宋体" w:cs="Arial"/>
          <w:color w:val="auto"/>
          <w:szCs w:val="21"/>
          <w:highlight w:val="none"/>
        </w:rPr>
        <w:t xml:space="preserve">电子响应文件必须按《投标邀请函》规定的网上投标截止时间前提交。</w:t>
      </w:r>
      <w:r/>
    </w:p>
    <w:p>
      <w:pPr>
        <w:ind w:firstLine="420"/>
        <w:spacing w:line="400" w:lineRule="exact"/>
        <w:tabs>
          <w:tab w:val="left" w:pos="720" w:leader="none"/>
        </w:tabs>
        <w:rPr>
          <w:rFonts w:ascii="宋体" w:hAnsi="宋体" w:cs="Arial"/>
          <w:color w:val="auto"/>
          <w:szCs w:val="21"/>
          <w:highlight w:val="none"/>
        </w:rPr>
      </w:pPr>
      <w:r>
        <w:rPr>
          <w:rFonts w:ascii="宋体" w:hAnsi="宋体" w:cs="Arial"/>
          <w:color w:val="auto"/>
          <w:szCs w:val="21"/>
          <w:highlight w:val="none"/>
        </w:rPr>
        <w:t xml:space="preserve">2.</w:t>
      </w:r>
      <w:r>
        <w:rPr>
          <w:rFonts w:hint="eastAsia" w:ascii="宋体" w:hAnsi="宋体" w:cs="Arial"/>
          <w:color w:val="auto"/>
          <w:szCs w:val="21"/>
          <w:highlight w:val="none"/>
        </w:rPr>
        <w:t xml:space="preserve">采购人推迟投标截止时间时，应以网上公布的形式，通知供应商，在这种情况下，采购人和供应商的权利和义务将受到新的截止期的约束。</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三、谈判文件说明</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（一）谈判文件的澄清和修改</w:t>
      </w:r>
      <w:r/>
    </w:p>
    <w:p>
      <w:pPr>
        <w:pStyle w:val="741"/>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1.供应商在获取谈判文件后，若有疑问，应于提交投标文件截止时间前，向采购代理机构提出询问，采购代理机构将按规定时间内予以答复。</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2.在提交响应文件截止时间前，采购人或者采购代理机构可以对已发出的谈判文件进行必要的澄清或者修改，澄清或者修改的内容作为谈判文件的组成部分。</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3.采购代理机构对谈判文件的澄清或者修改，将按规定在提交响应文件截止时间前以补充公告形式在法定的政府采购信息发布媒体上发布。</w:t>
      </w:r>
      <w:r/>
    </w:p>
    <w:p>
      <w:pPr>
        <w:ind w:firstLine="420"/>
        <w:spacing w:line="400" w:lineRule="exact"/>
        <w:rPr>
          <w:rFonts w:ascii="宋体" w:hAnsi="宋体"/>
          <w:color w:val="auto"/>
          <w:highlight w:val="none"/>
        </w:rPr>
      </w:pPr>
      <w:r>
        <w:rPr>
          <w:rFonts w:hint="eastAsia" w:ascii="宋体" w:hAnsi="宋体"/>
          <w:color w:val="auto"/>
          <w:highlight w:val="none"/>
        </w:rPr>
        <w:t xml:space="preserve">4.供应商应在</w:t>
      </w:r>
      <w:r>
        <w:rPr>
          <w:rFonts w:hint="eastAsia" w:ascii="宋体" w:hAnsi="宋体"/>
          <w:color w:val="auto"/>
          <w:szCs w:val="21"/>
          <w:highlight w:val="none"/>
        </w:rPr>
        <w:t xml:space="preserve">提交响应文件截止时间</w:t>
      </w:r>
      <w:r>
        <w:rPr>
          <w:rFonts w:hint="eastAsia" w:ascii="宋体" w:hAnsi="宋体"/>
          <w:color w:val="auto"/>
          <w:highlight w:val="none"/>
        </w:rPr>
        <w:t xml:space="preserve">前关注原采购信息发布媒体上有无本项目的补充公告。</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（二）质疑</w:t>
      </w:r>
      <w:r/>
    </w:p>
    <w:p>
      <w:pPr>
        <w:pStyle w:val="741"/>
        <w:spacing w:line="400" w:lineRule="exact"/>
        <w:rPr>
          <w:rFonts w:ascii="宋体" w:hAnsi="宋体" w:eastAsia="宋体"/>
          <w:color w:val="auto"/>
          <w:sz w:val="21"/>
          <w:szCs w:val="21"/>
          <w:highlight w:val="none"/>
        </w:rPr>
      </w:pPr>
      <w:r>
        <w:rPr>
          <w:rFonts w:hint="eastAsia" w:ascii="宋体" w:hAnsi="宋体"/>
          <w:color w:val="auto"/>
          <w:sz w:val="21"/>
          <w:szCs w:val="21"/>
          <w:highlight w:val="none"/>
        </w:rPr>
        <w:t xml:space="preserve">1.</w:t>
      </w:r>
      <w:r>
        <w:rPr>
          <w:rFonts w:hint="eastAsia" w:ascii="宋体" w:hAnsi="宋体" w:eastAsia="宋体"/>
          <w:color w:val="auto"/>
          <w:sz w:val="21"/>
          <w:szCs w:val="21"/>
          <w:highlight w:val="none"/>
        </w:rPr>
        <w:t xml:space="preserve">供应商认为谈判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eastAsia="宋体"/>
          <w:color w:val="auto"/>
          <w:sz w:val="21"/>
          <w:szCs w:val="21"/>
          <w:highlight w:val="none"/>
        </w:rPr>
        <w:t xml:space="preserve">http://www.szzyjy.com.cn/kssfzx/034004/034004002/20190929/5beba8e5-100a-4262-89c0-d476cc460507.html</w:t>
      </w:r>
      <w:r>
        <w:rPr>
          <w:rFonts w:hint="eastAsia" w:ascii="宋体" w:hAnsi="宋体" w:eastAsia="宋体"/>
          <w:color w:val="auto"/>
          <w:sz w:val="21"/>
          <w:szCs w:val="21"/>
          <w:highlight w:val="none"/>
        </w:rPr>
        <w:t xml:space="preserve">）。</w:t>
      </w:r>
      <w:r/>
    </w:p>
    <w:p>
      <w:pPr>
        <w:pStyle w:val="741"/>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供应商应当在法定质疑期内一次性提出针对同一采购程序环节的质疑。</w:t>
      </w:r>
      <w:r/>
    </w:p>
    <w:p>
      <w:pPr>
        <w:pStyle w:val="741"/>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采购人、采购代理机构应当在收到供应商书面质疑后七个工作日内作出答复，并以书面形式通知质疑供应商和其他相关供应商。</w:t>
      </w:r>
      <w:r/>
    </w:p>
    <w:p>
      <w:pPr>
        <w:pStyle w:val="741"/>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质疑供应商是指直接参加本次投标活动的供应商，未参加投标活动的供应商或在投标活动中自身权益未受到损害的供应商所提出的质疑不予受理。未依照采购公告要求实行网上获取招标文件的供应商，视为未参与该项政府采购活动，不具备对该政府采购项目提出质疑的法定权利，但因供应商资格条件或获取招标文件时间设定不符合有关法律法规规定等原因使供应商权益受损的除外。</w:t>
      </w:r>
      <w:r/>
    </w:p>
    <w:p>
      <w:pPr>
        <w:pStyle w:val="741"/>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质疑必须以参加投标供应商法定代表人或授权代表（投标文件中所确定的）原件送达的方式提交，否则，招标代理人有权不予受理。</w:t>
      </w:r>
      <w:r/>
    </w:p>
    <w:p>
      <w:pPr>
        <w:pStyle w:val="741"/>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4.</w:t>
      </w:r>
      <w:r>
        <w:rPr>
          <w:rFonts w:hint="eastAsia" w:ascii="宋体" w:hAnsi="宋体" w:eastAsia="宋体"/>
          <w:color w:val="auto"/>
          <w:sz w:val="21"/>
          <w:szCs w:val="21"/>
          <w:highlight w:val="none"/>
        </w:rPr>
        <w:t xml:space="preserve">上述应知其权益受到损害之日是指：</w:t>
      </w:r>
      <w:r/>
    </w:p>
    <w:p>
      <w:pPr>
        <w:ind w:left="426"/>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4</w:t>
      </w:r>
      <w:r>
        <w:rPr>
          <w:rFonts w:ascii="宋体" w:hAnsi="宋体" w:cs="Arial"/>
          <w:color w:val="auto"/>
          <w:szCs w:val="21"/>
          <w:highlight w:val="none"/>
        </w:rPr>
        <w:t xml:space="preserve">.1</w:t>
      </w:r>
      <w:r>
        <w:rPr>
          <w:rFonts w:hint="eastAsia" w:ascii="宋体" w:hAnsi="宋体" w:cs="Arial"/>
          <w:color w:val="auto"/>
          <w:szCs w:val="21"/>
          <w:highlight w:val="none"/>
        </w:rPr>
        <w:t xml:space="preserve">对招标文件提出质疑的，为投标文件公告期限届满之日起计算；</w:t>
      </w:r>
      <w:r/>
    </w:p>
    <w:p>
      <w:pPr>
        <w:ind w:left="426"/>
        <w:spacing w:line="400" w:lineRule="exact"/>
        <w:tabs>
          <w:tab w:val="left" w:pos="720" w:leader="none"/>
        </w:tabs>
        <w:rPr>
          <w:rFonts w:ascii="宋体" w:hAnsi="宋体" w:cs="Arial"/>
          <w:color w:val="auto"/>
          <w:szCs w:val="21"/>
          <w:highlight w:val="none"/>
        </w:rPr>
      </w:pPr>
      <w:r>
        <w:rPr>
          <w:rFonts w:ascii="宋体" w:hAnsi="宋体" w:cs="Arial"/>
          <w:color w:val="auto"/>
          <w:szCs w:val="21"/>
          <w:highlight w:val="none"/>
        </w:rPr>
        <w:t xml:space="preserve">4.2</w:t>
      </w:r>
      <w:r>
        <w:rPr>
          <w:rFonts w:hint="eastAsia" w:ascii="宋体" w:hAnsi="宋体" w:cs="Arial"/>
          <w:color w:val="auto"/>
          <w:szCs w:val="21"/>
          <w:highlight w:val="none"/>
        </w:rPr>
        <w:t xml:space="preserve">对采购过程提出质疑的，自采购程序环节结束之日起计算；</w:t>
      </w:r>
      <w:r/>
    </w:p>
    <w:p>
      <w:pPr>
        <w:ind w:left="426"/>
        <w:spacing w:line="400" w:lineRule="exact"/>
        <w:tabs>
          <w:tab w:val="left" w:pos="720" w:leader="none"/>
        </w:tabs>
        <w:rPr>
          <w:rFonts w:ascii="宋体" w:hAnsi="宋体" w:cs="Arial"/>
          <w:color w:val="auto"/>
          <w:szCs w:val="21"/>
          <w:highlight w:val="none"/>
        </w:rPr>
      </w:pPr>
      <w:r>
        <w:rPr>
          <w:rFonts w:ascii="宋体" w:hAnsi="宋体" w:cs="Arial"/>
          <w:color w:val="auto"/>
          <w:szCs w:val="21"/>
          <w:highlight w:val="none"/>
        </w:rPr>
        <w:t xml:space="preserve">4.3</w:t>
      </w:r>
      <w:r>
        <w:rPr>
          <w:rFonts w:hint="eastAsia" w:ascii="宋体" w:hAnsi="宋体" w:cs="Arial"/>
          <w:color w:val="auto"/>
          <w:szCs w:val="21"/>
          <w:highlight w:val="none"/>
        </w:rPr>
        <w:t xml:space="preserve">对成交结果提出质疑的，自成交结果公告期限届满之日起计算。</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.质疑函应包括以下主要内容，并按照</w:t>
      </w:r>
      <w:r>
        <w:rPr>
          <w:rFonts w:ascii="宋体" w:hAnsi="宋体"/>
          <w:color w:val="auto"/>
          <w:highlight w:val="none"/>
        </w:rPr>
        <w:t xml:space="preserve">“</w:t>
      </w:r>
      <w:r>
        <w:rPr>
          <w:rFonts w:hint="eastAsia" w:ascii="宋体" w:hAnsi="宋体"/>
          <w:color w:val="auto"/>
          <w:highlight w:val="none"/>
        </w:rPr>
        <w:t xml:space="preserve">谁主张、谁举证</w:t>
      </w:r>
      <w:r>
        <w:rPr>
          <w:rFonts w:ascii="宋体" w:hAnsi="宋体"/>
          <w:color w:val="auto"/>
          <w:highlight w:val="none"/>
        </w:rPr>
        <w:t xml:space="preserve">”</w:t>
      </w:r>
      <w:r>
        <w:rPr>
          <w:rFonts w:hint="eastAsia" w:ascii="宋体" w:hAnsi="宋体"/>
          <w:color w:val="auto"/>
          <w:highlight w:val="none"/>
        </w:rPr>
        <w:t xml:space="preserve">的原则，附上必要的证明材料。　　　　　　　</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.1供应商的姓名或者名称、地址、邮编、联系人及联系电话；</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.2质疑项目名称、编号；</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.3具体、明确的质疑事项和与质疑事项相关的请求；</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.4具体的事实依据及相关证据材料；</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.5必要的法律依据；</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.6提出质疑的日期；</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.7供应商为自然人的，应当由本人签字；供应商为法人或者其他组织的，应当由法定代表人、主要负责人、或者其授权代表签字或者盖章，并加盖公章。</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8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spacing w:line="400" w:lineRule="exact"/>
        <w:rPr>
          <w:rFonts w:ascii="宋体" w:hAnsi="宋体"/>
          <w:color w:val="auto"/>
          <w:highlight w:val="none"/>
        </w:rPr>
      </w:pPr>
      <w:r>
        <w:rPr>
          <w:rFonts w:hint="eastAsia" w:ascii="宋体" w:hAnsi="宋体"/>
          <w:color w:val="auto"/>
          <w:highlight w:val="none"/>
        </w:rPr>
        <w:t xml:space="preserve">代理人提出质疑，应当提交供应商签署的授权委托书。</w:t>
      </w:r>
      <w:r/>
    </w:p>
    <w:p>
      <w:pPr>
        <w:ind w:firstLine="420"/>
        <w:spacing w:line="400" w:lineRule="exact"/>
        <w:rPr>
          <w:rFonts w:ascii="宋体" w:hAnsi="宋体"/>
          <w:color w:val="auto"/>
          <w:highlight w:val="none"/>
        </w:rPr>
      </w:pPr>
      <w:r>
        <w:rPr>
          <w:rFonts w:ascii="宋体" w:hAnsi="宋体"/>
          <w:color w:val="auto"/>
          <w:highlight w:val="none"/>
        </w:rPr>
        <w:t xml:space="preserve">6</w:t>
      </w:r>
      <w:r>
        <w:rPr>
          <w:rFonts w:hint="eastAsia" w:ascii="宋体" w:hAnsi="宋体"/>
          <w:color w:val="auto"/>
          <w:highlight w:val="none"/>
        </w:rPr>
        <w:t xml:space="preserve">.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0"/>
        <w:spacing w:line="400" w:lineRule="exact"/>
        <w:rPr>
          <w:rFonts w:ascii="宋体" w:hAnsi="宋体"/>
          <w:color w:val="auto"/>
          <w:highlight w:val="none"/>
        </w:rPr>
      </w:pPr>
      <w:r>
        <w:rPr>
          <w:rFonts w:hint="eastAsia" w:ascii="宋体" w:hAnsi="宋体"/>
          <w:color w:val="auto"/>
          <w:highlight w:val="none"/>
        </w:rPr>
        <w:t xml:space="preserve">7</w:t>
      </w:r>
      <w:r>
        <w:rPr>
          <w:rFonts w:ascii="宋体" w:hAnsi="宋体"/>
          <w:color w:val="auto"/>
          <w:highlight w:val="none"/>
        </w:rPr>
        <w:t xml:space="preserve">.</w:t>
      </w:r>
      <w:r>
        <w:rPr>
          <w:rFonts w:hint="eastAsia" w:ascii="宋体" w:hAnsi="宋体"/>
          <w:color w:val="auto"/>
          <w:highlight w:val="none"/>
        </w:rPr>
        <w:t xml:space="preserve">供应商“依法获取采购文件”的方式为供应商进行系统自行下载采购文件，并打印、保留《投标供应商确认函》，质疑时与质疑函一并提交。</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四、开标和评标</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（一）开标</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采购代理人按《投标邀请函》规定的时间、地点进行开标。开标仪式根据委托人授权由采购代理人主持，买方代表及有关工作人员参加。</w:t>
      </w:r>
      <w:r/>
    </w:p>
    <w:p>
      <w:pPr>
        <w:ind w:firstLine="420"/>
        <w:spacing w:line="400" w:lineRule="exact"/>
        <w:tabs>
          <w:tab w:val="left" w:pos="720" w:leader="none"/>
        </w:tabs>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w:t>
      </w:r>
      <w:r>
        <w:rPr>
          <w:rFonts w:hint="eastAsia" w:ascii="宋体" w:hAnsi="宋体"/>
          <w:color w:val="auto"/>
          <w:szCs w:val="21"/>
          <w:highlight w:val="none"/>
        </w:rPr>
        <w:t xml:space="preserve">远程开标CA预解密时间为开标开始后10分钟内，各谈判响应单位参与远程开标时需要随身携带CA证书及CA密码，输入CA密码的时间不超过远程开标CA预解密10分钟限制时间且CA密码输入次数不超过十次（以CA内置的错误计数为准），否则视为无效响应。</w:t>
      </w:r>
      <w:r/>
    </w:p>
    <w:p>
      <w:pPr>
        <w:ind w:firstLine="420"/>
        <w:spacing w:line="400" w:lineRule="exact"/>
        <w:tabs>
          <w:tab w:val="left" w:pos="720" w:leader="none"/>
        </w:tabs>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w:t>
      </w:r>
      <w:r>
        <w:rPr>
          <w:rFonts w:hint="eastAsia" w:ascii="宋体" w:hAnsi="宋体"/>
          <w:color w:val="auto"/>
          <w:szCs w:val="21"/>
          <w:highlight w:val="none"/>
        </w:rPr>
        <w:t xml:space="preserve">谈判响应单位如不能完成网上投标操作的，请出示证据（若为谈判响应单位自行操作不当原因造成的，不予接受认可），否则为无效响应。</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出现下列情形之一的，将终止竞争性谈判采购活动：</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4.1</w:t>
      </w:r>
      <w:r>
        <w:rPr>
          <w:rFonts w:hint="eastAsia" w:ascii="宋体" w:hAnsi="宋体"/>
          <w:color w:val="auto"/>
          <w:szCs w:val="21"/>
          <w:highlight w:val="none"/>
        </w:rPr>
        <w:t xml:space="preserve">因情况变化，不再符合规定的竞争性谈判采购方式适用情形的；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4.2</w:t>
      </w:r>
      <w:r>
        <w:rPr>
          <w:rFonts w:hint="eastAsia" w:ascii="宋体" w:hAnsi="宋体"/>
          <w:color w:val="auto"/>
          <w:szCs w:val="21"/>
          <w:highlight w:val="none"/>
        </w:rPr>
        <w:t xml:space="preserve">出现影响采购公正的违法、违规行为的；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4.3</w:t>
      </w:r>
      <w:r>
        <w:rPr>
          <w:rFonts w:hint="eastAsia" w:ascii="宋体" w:hAnsi="宋体"/>
          <w:color w:val="auto"/>
          <w:szCs w:val="21"/>
          <w:highlight w:val="none"/>
        </w:rPr>
        <w:t xml:space="preserve">在采购过程中符合竞争要求的供应商或者报价未超过采购预算的供应商不足3家的；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4.4</w:t>
      </w:r>
      <w:r>
        <w:rPr>
          <w:rFonts w:hint="eastAsia" w:ascii="宋体" w:hAnsi="宋体"/>
          <w:color w:val="auto"/>
          <w:szCs w:val="21"/>
          <w:highlight w:val="none"/>
        </w:rPr>
        <w:t xml:space="preserve">开评标过程中，如遇到交易中心出现断电、断网或其他不可预见原因导致开评标终止，该项目将做废标处理。</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4.5</w:t>
      </w:r>
      <w:r>
        <w:rPr>
          <w:rFonts w:hint="eastAsia" w:ascii="宋体" w:hAnsi="宋体"/>
          <w:color w:val="auto"/>
          <w:szCs w:val="21"/>
          <w:highlight w:val="none"/>
        </w:rPr>
        <w:t xml:space="preserve">出现影响采购公正的违法、违规行为的；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4.6</w:t>
      </w:r>
      <w:r>
        <w:rPr>
          <w:rFonts w:hint="eastAsia" w:ascii="宋体" w:hAnsi="宋体"/>
          <w:color w:val="auto"/>
          <w:szCs w:val="21"/>
          <w:highlight w:val="none"/>
        </w:rPr>
        <w:t xml:space="preserve">供应商的报价均超过了采购预算，采购方不能支付的；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4.7</w:t>
      </w:r>
      <w:r>
        <w:rPr>
          <w:rFonts w:hint="eastAsia" w:ascii="宋体" w:hAnsi="宋体"/>
          <w:color w:val="auto"/>
          <w:szCs w:val="21"/>
          <w:highlight w:val="none"/>
        </w:rPr>
        <w:t xml:space="preserve">因重大变故，采购任务取消的。</w:t>
      </w:r>
      <w:r/>
    </w:p>
    <w:p>
      <w:pPr>
        <w:ind w:firstLine="420"/>
        <w:spacing w:line="400" w:lineRule="exact"/>
        <w:tabs>
          <w:tab w:val="left" w:pos="720" w:leader="none"/>
        </w:tabs>
        <w:rPr>
          <w:rFonts w:ascii="宋体" w:hAnsi="宋体"/>
          <w:color w:val="auto"/>
          <w:szCs w:val="21"/>
          <w:highlight w:val="none"/>
        </w:rPr>
      </w:pPr>
      <w:r>
        <w:rPr>
          <w:rFonts w:hint="eastAsia" w:ascii="宋体" w:hAnsi="宋体"/>
          <w:color w:val="auto"/>
          <w:szCs w:val="21"/>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400" w:lineRule="exact"/>
        <w:tabs>
          <w:tab w:val="left" w:pos="720" w:leader="none"/>
        </w:tabs>
        <w:rPr>
          <w:rFonts w:ascii="宋体" w:hAnsi="宋体"/>
          <w:color w:val="auto"/>
          <w:szCs w:val="21"/>
          <w:highlight w:val="none"/>
        </w:rPr>
      </w:pPr>
      <w:r>
        <w:rPr>
          <w:rFonts w:hint="eastAsia" w:ascii="宋体" w:hAnsi="宋体"/>
          <w:color w:val="auto"/>
          <w:szCs w:val="21"/>
          <w:highlight w:val="none"/>
        </w:rPr>
        <w:t xml:space="preserve">6</w:t>
      </w:r>
      <w:r>
        <w:rPr>
          <w:rFonts w:ascii="宋体" w:hAnsi="宋体"/>
          <w:color w:val="auto"/>
          <w:szCs w:val="21"/>
          <w:highlight w:val="none"/>
        </w:rPr>
        <w:t xml:space="preserve">.</w:t>
      </w:r>
      <w:r>
        <w:rPr>
          <w:rFonts w:hint="eastAsia" w:ascii="宋体" w:hAnsi="宋体"/>
          <w:color w:val="auto"/>
          <w:szCs w:val="21"/>
          <w:highlight w:val="none"/>
        </w:rPr>
        <w:t xml:space="preserve"> 废标后，采购人将把废标的理由通知所有供应商 。</w:t>
      </w:r>
      <w:r/>
    </w:p>
    <w:p>
      <w:pPr>
        <w:spacing w:line="400" w:lineRule="exact"/>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（二）谈判小组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谈判小组的评标工作由采购单位负责组织，具体评标事务由谈判小组负责，并独立履行法律、法规规定的职责。</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谈判小组负责具体的评标事务，并独立履行以下职责：</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2.1</w:t>
      </w:r>
      <w:r>
        <w:rPr>
          <w:rFonts w:hint="eastAsia" w:ascii="宋体" w:hAnsi="宋体"/>
          <w:color w:val="auto"/>
          <w:szCs w:val="21"/>
          <w:highlight w:val="none"/>
        </w:rPr>
        <w:t xml:space="preserve">审查响应文件是否符合谈判文件的要求，并作出评价。</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2.2</w:t>
      </w:r>
      <w:r>
        <w:rPr>
          <w:rFonts w:hint="eastAsia" w:ascii="宋体" w:hAnsi="宋体"/>
          <w:color w:val="auto"/>
          <w:szCs w:val="21"/>
          <w:highlight w:val="none"/>
        </w:rPr>
        <w:t xml:space="preserve">可以要求供应商对响应文件有关事项作出解释或澄清。</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2.3</w:t>
      </w:r>
      <w:r>
        <w:rPr>
          <w:rFonts w:hint="eastAsia" w:ascii="宋体" w:hAnsi="宋体"/>
          <w:color w:val="auto"/>
          <w:szCs w:val="21"/>
          <w:highlight w:val="none"/>
        </w:rPr>
        <w:t xml:space="preserve">推荐成交候选供应商名单，或者受采购人委托按照事先确定的办法直接确定可以交单位。</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3.评标内容的保密</w:t>
      </w:r>
      <w:r/>
    </w:p>
    <w:p>
      <w:pPr>
        <w:ind w:firstLine="420"/>
        <w:spacing w:line="400" w:lineRule="exact"/>
        <w:tabs>
          <w:tab w:val="left" w:pos="720" w:leader="none"/>
        </w:tabs>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.1</w:t>
      </w:r>
      <w:r>
        <w:rPr>
          <w:rFonts w:hint="eastAsia" w:ascii="宋体" w:hAnsi="宋体"/>
          <w:color w:val="auto"/>
          <w:szCs w:val="21"/>
          <w:highlight w:val="none"/>
        </w:rPr>
        <w:t xml:space="preserve">开标后，直到宣布授予成交单位成交为止，凡属于审查、澄清、评价和比较投标的所有资料，有关授予成交的信息都不应向供应商或与评标无关的其他人泄露。</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3.2</w:t>
      </w:r>
      <w:r>
        <w:rPr>
          <w:rFonts w:hint="eastAsia" w:ascii="宋体" w:hAnsi="宋体"/>
          <w:color w:val="auto"/>
          <w:szCs w:val="21"/>
          <w:highlight w:val="none"/>
        </w:rPr>
        <w:t xml:space="preserve">在响应文件的审查、澄清、评价和比较以及授予成交的过程中，供应商对招标代理人和谈判小组成员施加影响的任何行为，都将取消其投标资格。</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3.3</w:t>
      </w:r>
      <w:r>
        <w:rPr>
          <w:rFonts w:hint="eastAsia" w:ascii="宋体" w:hAnsi="宋体"/>
          <w:color w:val="auto"/>
          <w:szCs w:val="21"/>
          <w:highlight w:val="none"/>
        </w:rPr>
        <w:t xml:space="preserve">在评标期间，招标代理人将通过指定联络人与供应商进行联系。</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（三）对响应文件的审核</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采购人或者采购代理人资格证明文件要求进行供应商资格审查，如缺少内容，视为无效投标；</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对价格的计算错误按下述原则修正：</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2.1</w:t>
      </w:r>
      <w:r>
        <w:rPr>
          <w:rFonts w:hint="eastAsia" w:ascii="宋体" w:hAnsi="宋体"/>
          <w:color w:val="auto"/>
          <w:szCs w:val="21"/>
          <w:highlight w:val="none"/>
        </w:rPr>
        <w:t xml:space="preserve">如果单价乘数量不等于总价，应以单价为准修正总价。</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2.2</w:t>
      </w:r>
      <w:r>
        <w:rPr>
          <w:rFonts w:hint="eastAsia" w:ascii="宋体" w:hAnsi="宋体"/>
          <w:color w:val="auto"/>
          <w:szCs w:val="21"/>
          <w:highlight w:val="none"/>
        </w:rPr>
        <w:t xml:space="preserve">大写金额和小写金额不一致的，以大写金额为准。</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2.3</w:t>
      </w:r>
      <w:r>
        <w:rPr>
          <w:rFonts w:hint="eastAsia" w:ascii="宋体" w:hAnsi="宋体"/>
          <w:color w:val="auto"/>
          <w:szCs w:val="21"/>
          <w:highlight w:val="none"/>
        </w:rPr>
        <w:t xml:space="preserve">单价金额小数点有明显错位的，应以总价为准，并修改单价。</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2.4</w:t>
      </w:r>
      <w:r>
        <w:rPr>
          <w:rFonts w:hint="eastAsia" w:ascii="宋体" w:hAnsi="宋体"/>
          <w:color w:val="auto"/>
          <w:szCs w:val="21"/>
          <w:highlight w:val="none"/>
        </w:rPr>
        <w:t xml:space="preserve">如果以文字表示的数据与数字表示的有差别，应以文字为准修正数字。</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2.5</w:t>
      </w:r>
      <w:r>
        <w:rPr>
          <w:rFonts w:hint="eastAsia" w:ascii="宋体" w:hAnsi="宋体"/>
          <w:color w:val="auto"/>
          <w:szCs w:val="21"/>
          <w:highlight w:val="none"/>
        </w:rPr>
        <w:t xml:space="preserve">对不同文字文本响应文件的解释发生异议的，以中文文本为准。</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2.6</w:t>
      </w:r>
      <w:r>
        <w:rPr>
          <w:rFonts w:hint="eastAsia" w:ascii="宋体" w:hAnsi="宋体"/>
          <w:color w:val="auto"/>
          <w:szCs w:val="21"/>
          <w:highlight w:val="none"/>
        </w:rPr>
        <w:t xml:space="preserve">供应商不同意以上修正，则其投标为无效投标。</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与谈判文件有重大偏离的响应文件为无效投标。重大偏离系指系统和服务的质量、数量及交货期明显不能满足谈判文件的要求。这些偏离不允许在开标后修正。但采购代理人将允许修改投标中不构成重大偏离的微小的、非正规、不一致或不规则的地方。</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谈判小组对响应文件的判定，只依据投标内容本身，不依据开标后的任何外来证明。</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下列响应文件为无效投标：</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w:t>
      </w:r>
      <w:r>
        <w:rPr>
          <w:rFonts w:hint="eastAsia" w:ascii="宋体" w:hAnsi="宋体"/>
          <w:color w:val="auto"/>
          <w:szCs w:val="21"/>
          <w:highlight w:val="none"/>
        </w:rPr>
        <w:t xml:space="preserve">与谈判文件有重大偏离。</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5.2</w:t>
      </w:r>
      <w:r>
        <w:rPr>
          <w:rFonts w:hint="eastAsia" w:ascii="宋体" w:hAnsi="宋体"/>
          <w:color w:val="auto"/>
          <w:szCs w:val="21"/>
          <w:highlight w:val="none"/>
        </w:rPr>
        <w:t xml:space="preserve">供应商的报价是选择性的。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5.3</w:t>
      </w:r>
      <w:r>
        <w:rPr>
          <w:rFonts w:hint="eastAsia" w:ascii="宋体" w:hAnsi="宋体"/>
          <w:color w:val="auto"/>
          <w:szCs w:val="21"/>
          <w:highlight w:val="none"/>
        </w:rPr>
        <w:t xml:space="preserve">供应商的报价只报了部分内容。</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5.4</w:t>
      </w:r>
      <w:r>
        <w:rPr>
          <w:rFonts w:hint="eastAsia" w:ascii="宋体" w:hAnsi="宋体"/>
          <w:color w:val="auto"/>
          <w:szCs w:val="21"/>
          <w:highlight w:val="none"/>
        </w:rPr>
        <w:t xml:space="preserve">投标报价超过预算的。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5.5</w:t>
      </w:r>
      <w:r>
        <w:rPr>
          <w:rFonts w:hint="eastAsia" w:ascii="宋体" w:hAnsi="宋体"/>
          <w:color w:val="auto"/>
          <w:szCs w:val="21"/>
          <w:highlight w:val="none"/>
        </w:rPr>
        <w:t xml:space="preserve">不具备谈判文件中规定的资格要求。</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5.6</w:t>
      </w:r>
      <w:r>
        <w:rPr>
          <w:rFonts w:hint="eastAsia" w:ascii="宋体" w:hAnsi="宋体"/>
          <w:color w:val="auto"/>
          <w:szCs w:val="21"/>
          <w:highlight w:val="none"/>
        </w:rPr>
        <w:t xml:space="preserve">不同供应商的响应文件由同一单位或者个人编制。</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5.7</w:t>
      </w:r>
      <w:r>
        <w:rPr>
          <w:rFonts w:hint="eastAsia" w:ascii="宋体" w:hAnsi="宋体"/>
          <w:color w:val="auto"/>
          <w:szCs w:val="21"/>
          <w:highlight w:val="none"/>
        </w:rPr>
        <w:t xml:space="preserve">不同供应商委托同一单位或者个人办理投标事宜。</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5.8</w:t>
      </w:r>
      <w:r>
        <w:rPr>
          <w:rFonts w:hint="eastAsia" w:ascii="宋体" w:hAnsi="宋体"/>
          <w:color w:val="auto"/>
          <w:szCs w:val="21"/>
          <w:highlight w:val="none"/>
        </w:rPr>
        <w:t xml:space="preserve">不同供应商的响应文件载明的项目管理成员为同一人。</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5.9</w:t>
      </w:r>
      <w:r>
        <w:rPr>
          <w:rFonts w:hint="eastAsia" w:ascii="宋体" w:hAnsi="宋体"/>
          <w:color w:val="auto"/>
          <w:szCs w:val="21"/>
          <w:highlight w:val="none"/>
        </w:rPr>
        <w:t xml:space="preserve">不同供应商的响应文件异常一致。</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5.10</w:t>
      </w:r>
      <w:r>
        <w:rPr>
          <w:rFonts w:hint="eastAsia" w:ascii="宋体" w:hAnsi="宋体"/>
          <w:color w:val="auto"/>
          <w:szCs w:val="21"/>
          <w:highlight w:val="none"/>
        </w:rPr>
        <w:t xml:space="preserve">不同供应商的法定代表人或委托代理人有夫妻、直系血亲关系的。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5.11</w:t>
      </w:r>
      <w:r>
        <w:rPr>
          <w:rFonts w:hint="eastAsia" w:ascii="宋体" w:hAnsi="宋体"/>
          <w:color w:val="auto"/>
          <w:szCs w:val="21"/>
          <w:highlight w:val="none"/>
        </w:rPr>
        <w:t xml:space="preserve">不同供应商的负责人为同一人或者存在控股、管理关系的。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5.12</w:t>
      </w:r>
      <w:r>
        <w:rPr>
          <w:rFonts w:hint="eastAsia" w:ascii="宋体" w:hAnsi="宋体"/>
          <w:color w:val="auto"/>
          <w:szCs w:val="21"/>
          <w:highlight w:val="none"/>
        </w:rPr>
        <w:t xml:space="preserve">没有逐一说明投标产品名称、品牌、规格型号和技术参数，而是直接拷贝谈判文件技术要求的；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5.13</w:t>
      </w:r>
      <w:r>
        <w:rPr>
          <w:rFonts w:hint="eastAsia" w:ascii="宋体" w:hAnsi="宋体"/>
          <w:color w:val="auto"/>
          <w:szCs w:val="21"/>
          <w:highlight w:val="none"/>
        </w:rPr>
        <w:t xml:space="preserve">不同供应商的委托代理人(或法定代表人、项目经理、项目总监、项目负责人等)在谈判文件发布日上月至投标截止日当月在同一单位缴纳社会保险的。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5.14</w:t>
      </w:r>
      <w:r>
        <w:rPr>
          <w:rFonts w:hint="eastAsia" w:ascii="宋体" w:hAnsi="宋体"/>
          <w:color w:val="auto"/>
          <w:szCs w:val="21"/>
          <w:highlight w:val="none"/>
        </w:rPr>
        <w:t xml:space="preserve">服务承诺和付款条件未响应招标要求的；</w:t>
      </w:r>
      <w:r/>
    </w:p>
    <w:p>
      <w:pPr>
        <w:ind w:firstLine="420"/>
        <w:spacing w:line="400" w:lineRule="exact"/>
        <w:tabs>
          <w:tab w:val="left" w:pos="720" w:leader="none"/>
        </w:tabs>
        <w:rPr>
          <w:rFonts w:ascii="宋体" w:hAnsi="宋体"/>
          <w:color w:val="auto"/>
          <w:szCs w:val="21"/>
          <w:highlight w:val="none"/>
        </w:rPr>
      </w:pPr>
      <w:r>
        <w:rPr>
          <w:rFonts w:hint="eastAsia" w:ascii="宋体" w:hAnsi="宋体"/>
          <w:color w:val="auto"/>
          <w:szCs w:val="21"/>
          <w:highlight w:val="none"/>
        </w:rPr>
        <w:t xml:space="preserve">5.15特征码检查中，不同投标人上传采购文件所使用的电脑网卡信息等一致的（如发现违法违规行为，将依法追究其法律责任）；</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w:t>
      </w:r>
      <w:r>
        <w:rPr>
          <w:rFonts w:hint="eastAsia" w:ascii="宋体" w:hAnsi="宋体"/>
          <w:color w:val="auto"/>
          <w:szCs w:val="21"/>
          <w:highlight w:val="none"/>
        </w:rPr>
        <w:t xml:space="preserve">6不符合法律、法规和谈判文件规定的其他实质性要求的。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w:t>
      </w:r>
      <w:r>
        <w:rPr>
          <w:rFonts w:hint="eastAsia" w:ascii="宋体" w:hAnsi="宋体"/>
          <w:color w:val="auto"/>
          <w:szCs w:val="21"/>
          <w:highlight w:val="none"/>
        </w:rPr>
        <w:t xml:space="preserve">7谈判小组认定的其它为无效投标的事项。</w:t>
      </w:r>
      <w:r/>
    </w:p>
    <w:p>
      <w:pPr>
        <w:spacing w:line="400" w:lineRule="exact"/>
        <w:rPr>
          <w:rFonts w:ascii="宋体" w:hAnsi="宋体" w:cs="Arial"/>
          <w:b/>
          <w:color w:val="auto"/>
          <w:szCs w:val="21"/>
          <w:highlight w:val="none"/>
        </w:rPr>
      </w:pPr>
      <w:r>
        <w:rPr>
          <w:rFonts w:hint="eastAsia" w:ascii="宋体" w:hAnsi="宋体"/>
          <w:b/>
          <w:color w:val="auto"/>
          <w:szCs w:val="21"/>
          <w:highlight w:val="none"/>
        </w:rPr>
        <w:t xml:space="preserve">（四）响应文件</w:t>
      </w:r>
      <w:r>
        <w:rPr>
          <w:rFonts w:hint="eastAsia" w:ascii="宋体" w:hAnsi="宋体" w:cs="Arial"/>
          <w:b/>
          <w:color w:val="auto"/>
          <w:szCs w:val="21"/>
          <w:highlight w:val="none"/>
        </w:rPr>
        <w:t xml:space="preserve">的澄清</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必要时谈判小组可要求供应商澄清、说明或者更正响应文件以书面形式作出，并应当由法定代表人或其授权代表签字或者加盖公章。</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（五）响应文件的评价</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谈判小组对响应文件是否实质上响应谈判文件要求的响应文件进行评审。</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评价和比较采用最低评标价法，谈判小组严格按照谈判文件的要求、条件，对供应商所作的实质性响应内容进行评审。</w:t>
      </w:r>
      <w:r/>
    </w:p>
    <w:p>
      <w:pPr>
        <w:spacing w:line="400" w:lineRule="exact"/>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五、授予合同</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（一）成交单位的确认</w:t>
      </w:r>
      <w:r/>
    </w:p>
    <w:p>
      <w:pPr>
        <w:ind w:firstLine="420"/>
        <w:spacing w:line="400" w:lineRule="exact"/>
        <w:tabs>
          <w:tab w:val="left" w:pos="720" w:leader="none"/>
        </w:tabs>
        <w:rPr>
          <w:rFonts w:ascii="宋体" w:hAnsi="宋体" w:cs="Arial"/>
          <w:color w:val="auto"/>
          <w:szCs w:val="21"/>
          <w:highlight w:val="none"/>
        </w:rPr>
      </w:pPr>
      <w:r>
        <w:rPr>
          <w:rFonts w:ascii="宋体" w:hAnsi="宋体" w:cs="Arial"/>
          <w:color w:val="auto"/>
          <w:szCs w:val="21"/>
          <w:highlight w:val="none"/>
        </w:rPr>
        <w:t xml:space="preserve">1.</w:t>
      </w:r>
      <w:r>
        <w:rPr>
          <w:rFonts w:hint="eastAsia" w:ascii="宋体" w:hAnsi="宋体"/>
          <w:color w:val="auto"/>
          <w:szCs w:val="21"/>
          <w:highlight w:val="none"/>
        </w:rPr>
        <w:t xml:space="preserve">谈判小组根据供应商的响应文件按照谈判文件的规定和要求进行资格性和符合性评审，如评审内容条款均满足谈判文件要求的，则认为该供应商响应文件评审合格。如某一条款内容评审不合格，须注明评审不合格原因。</w:t>
      </w:r>
      <w:r/>
    </w:p>
    <w:p>
      <w:pPr>
        <w:pStyle w:val="741"/>
        <w:jc w:val="both"/>
        <w:spacing w:line="400" w:lineRule="exact"/>
        <w:rPr>
          <w:rFonts w:ascii="宋体" w:hAnsi="宋体" w:eastAsia="宋体" w:cs="Arial"/>
          <w:color w:val="auto"/>
          <w:sz w:val="21"/>
          <w:szCs w:val="21"/>
          <w:highlight w:val="none"/>
        </w:rPr>
      </w:pPr>
      <w:r>
        <w:rPr>
          <w:rFonts w:hint="eastAsia" w:ascii="宋体" w:hAnsi="宋体" w:eastAsia="宋体" w:cs="Arial"/>
          <w:color w:val="auto"/>
          <w:sz w:val="21"/>
          <w:szCs w:val="21"/>
          <w:highlight w:val="none"/>
        </w:rPr>
        <w:t xml:space="preserve">2.各投标单位如对公示结果有异议，应在成交公告发布之日起七个工作日内，以书面形式向采购人提出质疑，同时该质疑应有投标单位法定代表人或参加投标的授权委托人签署。采购人将在收到经投标单位法定代表人或参加投标的授权委托人签署的书面质疑后七个工作日内，对质疑内容作出答复。如投标单位在成交公告发布之日起七个工作日后向采购人提出质疑或质疑未经投标单位法定代表人或参加投标的授权委托人签署，采购人有权对该质疑不予答复。</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（二）合同授予标准</w:t>
      </w:r>
      <w:r/>
    </w:p>
    <w:p>
      <w:pPr>
        <w:pStyle w:val="741"/>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1.</w:t>
      </w:r>
      <w:r>
        <w:rPr>
          <w:rFonts w:hint="eastAsia" w:ascii="宋体" w:hAnsi="宋体" w:eastAsia="宋体" w:cs="Arial"/>
          <w:color w:val="auto"/>
          <w:sz w:val="21"/>
          <w:szCs w:val="21"/>
          <w:highlight w:val="none"/>
        </w:rPr>
        <w:t xml:space="preserve">确定为成交的供应商必须具有实施本合同的能力和资源。</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（三）成交通知书</w:t>
      </w:r>
      <w:r/>
    </w:p>
    <w:p>
      <w:pPr>
        <w:ind w:firstLine="420"/>
        <w:spacing w:line="400" w:lineRule="exact"/>
        <w:rPr>
          <w:rFonts w:ascii="宋体" w:hAnsi="宋体" w:cs="Arial"/>
          <w:color w:val="auto"/>
          <w:szCs w:val="21"/>
          <w:highlight w:val="none"/>
        </w:rPr>
      </w:pPr>
      <w:r>
        <w:rPr>
          <w:rFonts w:ascii="宋体" w:hAnsi="宋体" w:cs="Arial"/>
          <w:color w:val="auto"/>
          <w:szCs w:val="21"/>
          <w:highlight w:val="none"/>
        </w:rPr>
        <w:t xml:space="preserve">1.</w:t>
      </w:r>
      <w:r>
        <w:rPr>
          <w:rFonts w:hint="eastAsia" w:ascii="宋体" w:hAnsi="宋体" w:cs="Arial"/>
          <w:color w:val="auto"/>
          <w:szCs w:val="21"/>
          <w:highlight w:val="none"/>
        </w:rPr>
        <w:t xml:space="preserve">成交通知书将成为合同的组成部分。</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（四）合同的签订</w:t>
      </w:r>
      <w:r/>
    </w:p>
    <w:p>
      <w:pPr>
        <w:pStyle w:val="741"/>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1.</w:t>
      </w:r>
      <w:r>
        <w:rPr>
          <w:rFonts w:hint="eastAsia" w:ascii="宋体" w:hAnsi="宋体" w:eastAsia="宋体" w:cs="Arial"/>
          <w:color w:val="auto"/>
          <w:sz w:val="21"/>
          <w:szCs w:val="21"/>
          <w:highlight w:val="none"/>
        </w:rPr>
        <w:t xml:space="preserve">成交单位应按成交通知书中规定的期限，与甲方签订合同。</w:t>
      </w:r>
      <w:r/>
    </w:p>
    <w:p>
      <w:pPr>
        <w:pStyle w:val="741"/>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2.</w:t>
      </w:r>
      <w:r>
        <w:rPr>
          <w:rFonts w:hint="eastAsia" w:ascii="宋体" w:hAnsi="宋体" w:eastAsia="宋体" w:cs="Arial"/>
          <w:color w:val="auto"/>
          <w:sz w:val="21"/>
          <w:szCs w:val="21"/>
          <w:highlight w:val="none"/>
        </w:rPr>
        <w:t xml:space="preserve">签订合同及合同条款应以谈判文件和成交单位的响应文件为依据，所签订的合同不得对谈判文件和成交供应商响应文件作实质性修改。</w:t>
      </w:r>
      <w:r/>
    </w:p>
    <w:p>
      <w:pPr>
        <w:pStyle w:val="741"/>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3.</w:t>
      </w:r>
      <w:r>
        <w:rPr>
          <w:rFonts w:hint="eastAsia" w:ascii="宋体" w:hAnsi="宋体" w:eastAsia="宋体" w:cs="Arial"/>
          <w:color w:val="auto"/>
          <w:sz w:val="21"/>
          <w:szCs w:val="21"/>
          <w:highlight w:val="none"/>
        </w:rPr>
        <w:t xml:space="preserve">采购人不得向成交供应商提出任何不合理的要求作为签订合同的条件，不得与成交供应商私下订立背离合同实质性内容的协议。</w:t>
      </w:r>
      <w:r/>
    </w:p>
    <w:p>
      <w:pPr>
        <w:pStyle w:val="741"/>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4.</w:t>
      </w:r>
      <w:r>
        <w:rPr>
          <w:rFonts w:hint="eastAsia" w:ascii="宋体" w:hAnsi="宋体" w:eastAsia="宋体" w:cs="Arial"/>
          <w:color w:val="auto"/>
          <w:sz w:val="21"/>
          <w:szCs w:val="21"/>
          <w:highlight w:val="none"/>
        </w:rPr>
        <w:t xml:space="preserve">采购合同履行中，采购人需追加与合同标的相同货物的，在不改变合同其他条款的前提下，可以与供应商协商签订补充合同，但所有补充合同的采购金额不得超过原合同采购金额的百分之十。</w:t>
      </w:r>
      <w:r/>
    </w:p>
    <w:p>
      <w:pPr>
        <w:spacing w:line="400" w:lineRule="exact"/>
        <w:rPr>
          <w:rFonts w:ascii="宋体" w:hAnsi="宋体" w:cs="Arial"/>
          <w:b/>
          <w:color w:val="auto"/>
          <w:szCs w:val="21"/>
          <w:highlight w:val="none"/>
        </w:rPr>
      </w:pPr>
      <w:r>
        <w:rPr>
          <w:rFonts w:hint="eastAsia" w:ascii="宋体" w:hAnsi="宋体"/>
          <w:b/>
          <w:color w:val="auto"/>
          <w:szCs w:val="21"/>
          <w:highlight w:val="none"/>
          <w:lang w:val="zh-CN"/>
        </w:rPr>
        <w:t xml:space="preserve">六、</w:t>
      </w:r>
      <w:r>
        <w:rPr>
          <w:rFonts w:hint="eastAsia" w:ascii="宋体" w:hAnsi="宋体" w:cs="Arial"/>
          <w:b/>
          <w:color w:val="auto"/>
          <w:szCs w:val="21"/>
          <w:highlight w:val="none"/>
        </w:rPr>
        <w:t xml:space="preserve">诚实信用</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（一）诚实信用</w:t>
      </w:r>
      <w:r/>
    </w:p>
    <w:p>
      <w:pPr>
        <w:pStyle w:val="741"/>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1.</w:t>
      </w:r>
      <w:r>
        <w:rPr>
          <w:rFonts w:hint="eastAsia" w:ascii="宋体" w:hAnsi="宋体" w:eastAsia="宋体" w:cs="Arial"/>
          <w:color w:val="auto"/>
          <w:sz w:val="21"/>
          <w:szCs w:val="21"/>
          <w:highlight w:val="none"/>
        </w:rPr>
        <w:t xml:space="preserve">供应商之间不得相互串通投标报价，不得妨碍其他供应商的公平竞争，不得损害采购人和其他供应商的合法权益。</w:t>
      </w:r>
      <w:r/>
    </w:p>
    <w:p>
      <w:pPr>
        <w:pStyle w:val="741"/>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2.</w:t>
      </w:r>
      <w:r>
        <w:rPr>
          <w:rFonts w:hint="eastAsia" w:ascii="宋体" w:hAnsi="宋体" w:eastAsia="宋体" w:cs="Arial"/>
          <w:color w:val="auto"/>
          <w:sz w:val="21"/>
          <w:szCs w:val="21"/>
          <w:highlight w:val="none"/>
        </w:rPr>
        <w:t xml:space="preserve">供应商不得虚假承诺，否则，按照提供虚假材料谋取中标处理。</w:t>
      </w:r>
      <w:r/>
    </w:p>
    <w:p>
      <w:pPr>
        <w:pStyle w:val="741"/>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3.</w:t>
      </w:r>
      <w:r>
        <w:rPr>
          <w:rFonts w:hint="eastAsia" w:ascii="宋体" w:hAnsi="宋体" w:eastAsia="宋体" w:cs="Arial"/>
          <w:color w:val="auto"/>
          <w:sz w:val="21"/>
          <w:szCs w:val="21"/>
          <w:highlight w:val="none"/>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pStyle w:val="741"/>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4.</w:t>
      </w:r>
      <w:r>
        <w:rPr>
          <w:rFonts w:hint="eastAsia" w:ascii="宋体" w:hAnsi="宋体" w:eastAsia="宋体" w:cs="Arial"/>
          <w:color w:val="auto"/>
          <w:sz w:val="21"/>
          <w:szCs w:val="21"/>
          <w:highlight w:val="none"/>
        </w:rPr>
        <w:t xml:space="preserve">供应商不得向工作人员、谈判小组成员行贿或者采取其他不正当手段谋取中标。经查实供应商有此行为的，政府采购管理部门将供应商列入不良行为记录名单，按照《政府采购法》有关规定处理。</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spacing w:line="400" w:lineRule="exact"/>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七、其他事项</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（一）成交服务费</w:t>
      </w:r>
      <w:r/>
    </w:p>
    <w:p>
      <w:pPr>
        <w:ind w:firstLine="420"/>
        <w:spacing w:line="400" w:lineRule="exact"/>
        <w:tabs>
          <w:tab w:val="left" w:pos="720" w:leader="none"/>
        </w:tabs>
        <w:rPr>
          <w:rFonts w:ascii="宋体" w:hAnsi="宋体" w:cs="Arial"/>
          <w:color w:val="auto"/>
          <w:szCs w:val="21"/>
          <w:highlight w:val="none"/>
        </w:rPr>
      </w:pPr>
      <w:r>
        <w:rPr>
          <w:rFonts w:ascii="宋体" w:hAnsi="宋体" w:cs="Arial"/>
          <w:color w:val="auto"/>
          <w:szCs w:val="21"/>
          <w:highlight w:val="none"/>
        </w:rPr>
        <w:t xml:space="preserve">1.</w:t>
      </w:r>
      <w:r>
        <w:rPr>
          <w:rFonts w:hint="eastAsia" w:ascii="宋体" w:hAnsi="宋体" w:cs="Arial"/>
          <w:color w:val="auto"/>
          <w:szCs w:val="21"/>
          <w:highlight w:val="none"/>
        </w:rPr>
        <w:t xml:space="preserve">成交单位须按规定支付成交服务费，该费用应在合同签订后三天内付清。</w:t>
      </w:r>
      <w:r/>
    </w:p>
    <w:p>
      <w:pPr>
        <w:ind w:firstLine="422"/>
        <w:spacing w:line="400" w:lineRule="exact"/>
        <w:tabs>
          <w:tab w:val="left" w:pos="720" w:leader="none"/>
        </w:tabs>
        <w:rPr>
          <w:rFonts w:hint="eastAsia" w:ascii="宋体" w:hAnsi="宋体" w:eastAsia="宋体" w:cs="Arial"/>
          <w:b/>
          <w:color w:val="auto"/>
          <w:szCs w:val="21"/>
          <w:highlight w:val="none"/>
          <w:lang w:eastAsia="zh-CN"/>
        </w:rPr>
      </w:pPr>
      <w:r>
        <w:rPr>
          <w:rFonts w:ascii="宋体" w:hAnsi="宋体" w:cs="Arial"/>
          <w:b w:val="0"/>
          <w:bCs/>
          <w:color w:val="auto"/>
          <w:sz w:val="21"/>
          <w:szCs w:val="21"/>
          <w:highlight w:val="none"/>
        </w:rPr>
        <w:t xml:space="preserve">2.</w:t>
      </w:r>
      <w:r>
        <w:rPr>
          <w:rFonts w:hint="eastAsia" w:ascii="宋体" w:hAnsi="宋体" w:eastAsia="宋体" w:cs="Arial"/>
          <w:b/>
          <w:color w:val="auto"/>
          <w:szCs w:val="21"/>
          <w:highlight w:val="none"/>
          <w:lang w:val="en-US" w:eastAsia="zh-CN"/>
        </w:rPr>
        <w:t xml:space="preserve">成交</w:t>
      </w:r>
      <w:r>
        <w:rPr>
          <w:rFonts w:hint="eastAsia" w:ascii="宋体" w:hAnsi="宋体" w:eastAsia="宋体" w:cs="Arial"/>
          <w:b/>
          <w:color w:val="auto"/>
          <w:szCs w:val="21"/>
          <w:highlight w:val="none"/>
        </w:rPr>
        <w:t xml:space="preserve">服务费</w:t>
      </w:r>
      <w:r>
        <w:rPr>
          <w:rFonts w:hint="eastAsia" w:ascii="宋体" w:hAnsi="宋体" w:eastAsia="宋体" w:cs="Arial"/>
          <w:b/>
          <w:color w:val="auto"/>
          <w:szCs w:val="21"/>
          <w:highlight w:val="none"/>
          <w:lang w:eastAsia="zh-CN"/>
        </w:rPr>
        <w:t xml:space="preserve">：</w:t>
      </w:r>
      <w:r>
        <w:rPr>
          <w:rFonts w:hint="eastAsia" w:ascii="宋体" w:hAnsi="宋体" w:cs="Arial"/>
          <w:b/>
          <w:color w:val="auto"/>
          <w:szCs w:val="21"/>
          <w:highlight w:val="none"/>
        </w:rPr>
        <w:t xml:space="preserve">按差额累计法收费（按项目预算金额100万元以下，收取1.5%；100-500万元，收取1.1%；500-1000万元，收取0.8%；1000-5000万元，收取0.5%；5000-10000万元，收取0.25%），最低不少于3000元</w:t>
      </w:r>
      <w:r>
        <w:rPr>
          <w:rFonts w:hint="eastAsia" w:ascii="宋体" w:hAnsi="宋体" w:cs="Arial"/>
          <w:b/>
          <w:color w:val="auto"/>
          <w:szCs w:val="21"/>
          <w:highlight w:val="none"/>
          <w:lang w:eastAsia="zh-CN"/>
        </w:rPr>
        <w:t xml:space="preserve">。</w:t>
      </w:r>
      <w:r/>
    </w:p>
    <w:p>
      <w:pPr>
        <w:spacing w:line="400" w:lineRule="exact"/>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（二）监督</w:t>
      </w:r>
      <w:r/>
    </w:p>
    <w:p>
      <w:pPr>
        <w:ind w:firstLine="422"/>
        <w:spacing w:line="400" w:lineRule="exact"/>
        <w:tabs>
          <w:tab w:val="left" w:pos="720" w:leader="none"/>
        </w:tabs>
        <w:rPr>
          <w:rFonts w:ascii="宋体" w:hAnsi="宋体" w:cs="Arial"/>
          <w:b/>
          <w:color w:val="auto"/>
          <w:szCs w:val="21"/>
          <w:highlight w:val="none"/>
        </w:rPr>
      </w:pPr>
      <w:r>
        <w:rPr>
          <w:rFonts w:ascii="宋体" w:hAnsi="宋体" w:cs="Arial"/>
          <w:b/>
          <w:color w:val="auto"/>
          <w:szCs w:val="21"/>
          <w:highlight w:val="none"/>
        </w:rPr>
        <w:t xml:space="preserve">1.</w:t>
      </w:r>
      <w:r>
        <w:rPr>
          <w:rFonts w:hint="eastAsia" w:ascii="宋体" w:hAnsi="宋体" w:cs="Arial"/>
          <w:b/>
          <w:color w:val="auto"/>
          <w:szCs w:val="21"/>
          <w:highlight w:val="none"/>
        </w:rPr>
        <w:t xml:space="preserve">政府有关监督部门将对招投标全过程进行监督。</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（三）绿色采购</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1.若本次采购货物中包含有《节能产品政府采购品目清单》中规定的政府强制采购产品的，供应商须在投标文件中提供产品有效期内的认证证书扫描件等相关证明材料，</w:t>
      </w:r>
      <w:r>
        <w:rPr>
          <w:rFonts w:hint="eastAsia" w:ascii="宋体" w:hAnsi="宋体" w:cs="宋体"/>
          <w:b/>
          <w:bCs/>
          <w:color w:val="auto"/>
          <w:szCs w:val="21"/>
          <w:highlight w:val="none"/>
        </w:rPr>
        <w:t xml:space="preserve">否则将被认定为未实质性响应招标文件要求。</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400" w:lineRule="exact"/>
        <w:rPr>
          <w:rFonts w:ascii="宋体" w:hAnsi="宋体" w:cs="Arial"/>
          <w:b/>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spacing w:line="400" w:lineRule="exact"/>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（四）未尽事宜</w:t>
      </w:r>
      <w:r/>
    </w:p>
    <w:p>
      <w:pPr>
        <w:ind w:firstLine="422"/>
        <w:spacing w:line="400" w:lineRule="exact"/>
        <w:tabs>
          <w:tab w:val="left" w:pos="720" w:leader="none"/>
        </w:tabs>
        <w:rPr>
          <w:rFonts w:ascii="宋体" w:hAnsi="宋体" w:cs="Arial"/>
          <w:b/>
          <w:color w:val="auto"/>
          <w:szCs w:val="21"/>
          <w:highlight w:val="none"/>
        </w:rPr>
      </w:pPr>
      <w:r>
        <w:rPr>
          <w:rFonts w:ascii="宋体" w:hAnsi="宋体" w:cs="Arial"/>
          <w:b/>
          <w:color w:val="auto"/>
          <w:szCs w:val="21"/>
          <w:highlight w:val="none"/>
        </w:rPr>
        <w:t xml:space="preserve">1.</w:t>
      </w:r>
      <w:r>
        <w:rPr>
          <w:rFonts w:hint="eastAsia" w:ascii="宋体" w:hAnsi="宋体" w:cs="Arial"/>
          <w:b/>
          <w:color w:val="auto"/>
          <w:szCs w:val="21"/>
          <w:highlight w:val="none"/>
        </w:rPr>
        <w:t xml:space="preserve">按《中华人民共和国政府采购法》及其他有关政府采购的法律法规的的规定执行。</w:t>
      </w:r>
      <w:r/>
    </w:p>
    <w:p>
      <w:pPr>
        <w:ind w:firstLine="422"/>
        <w:spacing w:line="400" w:lineRule="exact"/>
        <w:tabs>
          <w:tab w:val="left" w:pos="720" w:leader="none"/>
        </w:tabs>
        <w:rPr>
          <w:rStyle w:val="1064"/>
          <w:color w:val="auto"/>
          <w:sz w:val="32"/>
          <w:szCs w:val="32"/>
          <w:highlight w:val="none"/>
        </w:rPr>
      </w:pPr>
      <w:r>
        <w:rPr>
          <w:rFonts w:hint="eastAsia" w:ascii="宋体" w:hAnsi="宋体" w:cs="Arial"/>
          <w:b/>
          <w:color w:val="auto"/>
          <w:szCs w:val="21"/>
          <w:highlight w:val="none"/>
        </w:rPr>
        <w:t xml:space="preserve">2.</w:t>
      </w:r>
      <w:r>
        <w:rPr>
          <w:rFonts w:hint="eastAsia" w:ascii="宋体" w:hAnsi="宋体" w:cs="宋体"/>
          <w:b/>
          <w:bCs/>
          <w:color w:val="auto"/>
          <w:szCs w:val="21"/>
          <w:highlight w:val="none"/>
        </w:rPr>
        <w:t xml:space="preserve">成交后成交单位需提供与网上投标文件一致的书面投标文件贰套，用于项目归档。</w:t>
      </w:r>
      <w:bookmarkStart w:id="10" w:name="_Toc166488920"/>
      <w:r/>
      <w:r/>
    </w:p>
    <w:p>
      <w:pPr>
        <w:rPr>
          <w:rStyle w:val="1064"/>
          <w:rFonts w:hint="eastAsia"/>
          <w:b/>
          <w:bCs/>
          <w:color w:val="auto"/>
          <w:sz w:val="32"/>
          <w:szCs w:val="32"/>
          <w:highlight w:val="none"/>
        </w:rPr>
      </w:pPr>
      <w:r>
        <w:rPr>
          <w:rStyle w:val="1064"/>
          <w:rFonts w:hint="eastAsia"/>
          <w:b/>
          <w:bCs/>
          <w:color w:val="auto"/>
          <w:sz w:val="32"/>
          <w:szCs w:val="32"/>
          <w:highlight w:val="none"/>
        </w:rPr>
        <w:br w:type="page" w:clear="all"/>
      </w:r>
      <w:r/>
    </w:p>
    <w:p>
      <w:pPr>
        <w:pStyle w:val="728"/>
        <w:jc w:val="center"/>
        <w:spacing w:line="240" w:lineRule="auto"/>
        <w:rPr>
          <w:rStyle w:val="1064"/>
          <w:b/>
          <w:bCs/>
          <w:color w:val="auto"/>
          <w:sz w:val="32"/>
          <w:szCs w:val="32"/>
          <w:highlight w:val="none"/>
        </w:rPr>
      </w:pPr>
      <w:r>
        <w:rPr>
          <w:rStyle w:val="1064"/>
          <w:rFonts w:hint="eastAsia"/>
          <w:b/>
          <w:bCs/>
          <w:color w:val="auto"/>
          <w:sz w:val="32"/>
          <w:szCs w:val="32"/>
          <w:highlight w:val="none"/>
        </w:rPr>
        <w:t xml:space="preserve">第三章 响应内容</w:t>
      </w:r>
      <w:bookmarkEnd w:id="10"/>
      <w:r/>
      <w:r/>
    </w:p>
    <w:p>
      <w:pPr>
        <w:ind w:firstLine="422"/>
        <w:spacing w:line="360" w:lineRule="auto"/>
        <w:rPr>
          <w:rFonts w:ascii="宋体" w:hAnsi="宋体" w:eastAsia="宋体" w:cs="Times New Roman"/>
          <w:b/>
          <w:color w:val="auto"/>
          <w:szCs w:val="21"/>
          <w:highlight w:val="none"/>
        </w:rPr>
      </w:pPr>
      <w:r/>
      <w:bookmarkStart w:id="11" w:name="_Toc166488921"/>
      <w:r/>
      <w:bookmarkStart w:id="12" w:name="_Toc477184672"/>
      <w:r/>
      <w:bookmarkStart w:id="13" w:name="_Toc477184531"/>
      <w:r>
        <w:rPr>
          <w:rFonts w:hint="eastAsia" w:ascii="宋体" w:hAnsi="宋体" w:eastAsia="宋体" w:cs="Times New Roman"/>
          <w:b/>
          <w:color w:val="auto"/>
          <w:szCs w:val="21"/>
          <w:highlight w:val="none"/>
        </w:rPr>
        <w:t xml:space="preserve">本章内容（包括清单及方案内）</w:t>
      </w:r>
      <w:r>
        <w:rPr>
          <w:rFonts w:ascii="宋体" w:hAnsi="宋体" w:eastAsia="宋体" w:cs="Times New Roman"/>
          <w:b/>
          <w:color w:val="auto"/>
          <w:szCs w:val="21"/>
          <w:highlight w:val="none"/>
        </w:rPr>
        <w:t xml:space="preserve">打</w:t>
      </w:r>
      <w:r>
        <w:rPr>
          <w:rFonts w:hint="eastAsia" w:ascii="宋体" w:hAnsi="宋体" w:eastAsia="宋体" w:cs="宋体"/>
          <w:color w:val="auto"/>
          <w:szCs w:val="21"/>
          <w:highlight w:val="none"/>
        </w:rPr>
        <w:t xml:space="preserve">★</w:t>
      </w:r>
      <w:r>
        <w:rPr>
          <w:rFonts w:ascii="宋体" w:hAnsi="宋体" w:eastAsia="宋体" w:cs="Times New Roman"/>
          <w:b/>
          <w:color w:val="auto"/>
          <w:szCs w:val="21"/>
          <w:highlight w:val="none"/>
        </w:rPr>
        <w:t xml:space="preserve">项</w:t>
      </w:r>
      <w:r>
        <w:rPr>
          <w:rFonts w:hint="eastAsia" w:ascii="宋体" w:hAnsi="宋体" w:eastAsia="宋体" w:cs="Times New Roman"/>
          <w:b/>
          <w:color w:val="auto"/>
          <w:szCs w:val="21"/>
          <w:highlight w:val="none"/>
        </w:rPr>
        <w:t xml:space="preserve">为实质性响应项，供应商须在偏离表中如实填写响应情况，如有要求提供材料的，须按要求提供相应材料。偏离表未填写、负偏离、未提供所要求的材料的，将被视为无效响应。</w:t>
      </w:r>
      <w:r/>
    </w:p>
    <w:p>
      <w:pPr>
        <w:spacing w:line="360" w:lineRule="auto"/>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一、项目基本情况：</w:t>
      </w:r>
      <w:r/>
    </w:p>
    <w:p>
      <w:pPr>
        <w:ind w:firstLine="420"/>
        <w:spacing w:line="360" w:lineRule="auto"/>
        <w:rPr>
          <w:rFonts w:hint="eastAsia" w:ascii="宋体" w:hAnsi="宋体" w:eastAsia="宋体" w:cs="宋体"/>
          <w:color w:val="auto"/>
          <w:szCs w:val="21"/>
          <w:highlight w:val="none"/>
          <w:lang w:val="en-US" w:eastAsia="zh-CN"/>
        </w:rPr>
      </w:pPr>
      <w:r>
        <w:rPr>
          <w:rFonts w:ascii="宋体" w:hAnsi="宋体" w:eastAsia="宋体" w:cs="宋体"/>
          <w:color w:val="auto"/>
          <w:szCs w:val="21"/>
          <w:highlight w:val="none"/>
        </w:rPr>
        <w:t xml:space="preserve">1.</w:t>
      </w:r>
      <w:r>
        <w:rPr>
          <w:rFonts w:hint="eastAsia" w:ascii="宋体" w:hAnsi="宋体" w:eastAsia="宋体" w:cs="宋体"/>
          <w:color w:val="auto"/>
          <w:szCs w:val="21"/>
          <w:highlight w:val="none"/>
        </w:rPr>
        <w:t xml:space="preserve">项目编号：JSZC-320583-SZYE-T2026-0012</w:t>
      </w:r>
      <w:r>
        <w:rPr>
          <w:rFonts w:hint="eastAsia" w:ascii="宋体" w:hAnsi="宋体" w:cs="宋体"/>
          <w:color w:val="auto"/>
          <w:szCs w:val="21"/>
          <w:highlight w:val="none"/>
          <w:lang w:eastAsia="zh-CN"/>
        </w:rPr>
        <w:t xml:space="preserve">；</w:t>
      </w:r>
      <w:r/>
    </w:p>
    <w:p>
      <w:pPr>
        <w:ind w:firstLine="420"/>
        <w:spacing w:line="360" w:lineRule="auto"/>
        <w:rPr>
          <w:rFonts w:ascii="宋体" w:hAnsi="宋体" w:eastAsia="宋体" w:cs="宋体"/>
          <w:color w:val="auto"/>
          <w:szCs w:val="21"/>
          <w:highlight w:val="none"/>
        </w:rPr>
      </w:pPr>
      <w:r>
        <w:rPr>
          <w:rFonts w:ascii="宋体" w:hAnsi="宋体" w:eastAsia="宋体" w:cs="宋体"/>
          <w:color w:val="auto"/>
          <w:szCs w:val="21"/>
          <w:highlight w:val="none"/>
        </w:rPr>
        <w:t xml:space="preserve">2.</w:t>
      </w:r>
      <w:r>
        <w:rPr>
          <w:rFonts w:hint="eastAsia" w:ascii="宋体" w:hAnsi="宋体" w:eastAsia="宋体" w:cs="宋体"/>
          <w:color w:val="auto"/>
          <w:szCs w:val="21"/>
          <w:highlight w:val="none"/>
        </w:rPr>
        <w:t xml:space="preserve">项目名称：</w:t>
      </w:r>
      <w:r>
        <w:rPr>
          <w:rFonts w:hint="eastAsia" w:ascii="宋体" w:hAnsi="宋体" w:cs="宋体"/>
          <w:color w:val="auto"/>
          <w:szCs w:val="21"/>
          <w:highlight w:val="none"/>
          <w:lang w:eastAsia="zh-CN"/>
        </w:rPr>
        <w:t xml:space="preserve">2026年度电子警察类交通设施维护项目</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3.</w:t>
      </w:r>
      <w:r>
        <w:rPr>
          <w:rFonts w:hint="eastAsia" w:ascii="宋体" w:hAnsi="宋体" w:cs="宋体"/>
          <w:color w:val="auto"/>
          <w:szCs w:val="21"/>
          <w:highlight w:val="none"/>
          <w:lang w:val="en-US" w:eastAsia="zh-CN"/>
        </w:rPr>
        <w:t xml:space="preserve">服务期限</w:t>
      </w:r>
      <w:r>
        <w:rPr>
          <w:rFonts w:hint="eastAsia" w:ascii="宋体" w:hAnsi="宋体" w:eastAsia="宋体" w:cs="Times New Roman"/>
          <w:color w:val="auto"/>
          <w:szCs w:val="21"/>
          <w:highlight w:val="none"/>
        </w:rPr>
        <w:t xml:space="preserve">：1年，具体在合同中明确</w:t>
      </w:r>
      <w:r>
        <w:rPr>
          <w:rFonts w:hint="eastAsia" w:ascii="宋体" w:hAnsi="宋体" w:cs="Times New Roman"/>
          <w:color w:val="auto"/>
          <w:szCs w:val="21"/>
          <w:highlight w:val="none"/>
          <w:lang w:eastAsia="zh-CN"/>
        </w:rPr>
        <w:t xml:space="preserve">。</w:t>
      </w:r>
      <w:r/>
    </w:p>
    <w:p>
      <w:pPr>
        <w:spacing w:line="360" w:lineRule="auto"/>
        <w:rPr>
          <w:rFonts w:hint="eastAsia" w:cs="Times New Roman"/>
          <w:color w:val="auto"/>
          <w:szCs w:val="21"/>
          <w:highlight w:val="none"/>
          <w:lang w:val="en-US" w:eastAsia="zh-CN"/>
        </w:rPr>
      </w:pPr>
      <w:r>
        <w:rPr>
          <w:rFonts w:hint="eastAsia" w:ascii="Times New Roman" w:hAnsi="Times New Roman" w:eastAsia="宋体" w:cs="Times New Roman"/>
          <w:color w:val="auto"/>
          <w:szCs w:val="21"/>
          <w:highlight w:val="none"/>
        </w:rPr>
        <w:t xml:space="preserve">二、项目需求及</w:t>
      </w:r>
      <w:r>
        <w:rPr>
          <w:rFonts w:hint="eastAsia" w:cs="Times New Roman"/>
          <w:color w:val="auto"/>
          <w:szCs w:val="21"/>
          <w:highlight w:val="none"/>
          <w:lang w:val="en-US" w:eastAsia="zh-CN"/>
        </w:rPr>
        <w:t xml:space="preserve">要求</w:t>
      </w:r>
      <w:r/>
    </w:p>
    <w:p>
      <w:pPr>
        <w:spacing w:line="360" w:lineRule="auto"/>
        <w:rPr>
          <w:rFonts w:ascii="宋体" w:hAnsi="Times New Roman" w:eastAsia="宋体" w:cs="Times New Roman"/>
          <w:color w:val="auto"/>
          <w:szCs w:val="20"/>
          <w:highlight w:val="none"/>
        </w:rPr>
      </w:pP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一</w:t>
      </w:r>
      <w:r>
        <w:rPr>
          <w:rFonts w:hint="eastAsia" w:ascii="宋体" w:hAnsi="宋体" w:cs="宋体"/>
          <w:b/>
          <w:bCs/>
          <w:color w:val="auto"/>
          <w:szCs w:val="21"/>
          <w:highlight w:val="none"/>
          <w:lang w:eastAsia="zh-CN"/>
        </w:rPr>
        <w:t xml:space="preserve">）</w:t>
      </w:r>
      <w:r>
        <w:rPr>
          <w:rFonts w:ascii="宋体" w:hAnsi="宋体" w:eastAsia="宋体" w:cs="宋体"/>
          <w:b/>
          <w:bCs/>
          <w:color w:val="auto"/>
          <w:szCs w:val="21"/>
          <w:highlight w:val="none"/>
        </w:rPr>
        <w:t xml:space="preserve">采购清单</w:t>
      </w:r>
      <w:r>
        <w:rPr>
          <w:rFonts w:hint="eastAsia" w:ascii="宋体" w:hAnsi="宋体" w:eastAsia="宋体" w:cs="宋体"/>
          <w:b/>
          <w:bCs/>
          <w:color w:val="auto"/>
          <w:szCs w:val="21"/>
          <w:highlight w:val="none"/>
        </w:rPr>
        <w:t xml:space="preserve">：</w:t>
      </w:r>
      <w:r>
        <w:rPr>
          <w:rFonts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rPr>
        <w:t xml:space="preserve">清单中所涉及的品牌型号仅供参考，但所投产品不得低于招标文件要求</w:t>
      </w:r>
      <w:r>
        <w:rPr>
          <w:rFonts w:ascii="宋体" w:hAnsi="宋体" w:eastAsia="宋体" w:cs="宋体"/>
          <w:b/>
          <w:bCs/>
          <w:color w:val="auto"/>
          <w:szCs w:val="21"/>
          <w:highlight w:val="none"/>
        </w:rPr>
        <w:t xml:space="preserve">）</w:t>
      </w:r>
      <w:r/>
    </w:p>
    <w:tbl>
      <w:tblPr>
        <w:tblStyle w:val="738"/>
        <w:tblW w:w="10483" w:type="dxa"/>
        <w:jc w:val="center"/>
        <w:tblLayout w:type="fixed"/>
        <w:tblCellMar>
          <w:left w:w="108" w:type="dxa"/>
          <w:top w:w="0" w:type="dxa"/>
          <w:right w:w="108" w:type="dxa"/>
          <w:bottom w:w="0" w:type="dxa"/>
        </w:tblCellMar>
        <w:tblLook w:val="04A0" w:firstRow="1" w:lastRow="0" w:firstColumn="1" w:lastColumn="0" w:noHBand="0" w:noVBand="1"/>
      </w:tblPr>
      <w:tblGrid>
        <w:gridCol w:w="676"/>
        <w:gridCol w:w="1535"/>
        <w:gridCol w:w="4181"/>
        <w:gridCol w:w="1540"/>
        <w:gridCol w:w="709"/>
        <w:gridCol w:w="708"/>
        <w:gridCol w:w="1134"/>
      </w:tblGrid>
      <w:tr>
        <w:trPr>
          <w:jc w:val="center"/>
          <w:trHeight w:val="480"/>
        </w:trPr>
        <w:tc>
          <w:tcPr>
            <w:shd w:val="clear" w:color="auto" w:fill="auto"/>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项目名称</w:t>
            </w:r>
            <w:r/>
          </w:p>
        </w:tc>
        <w:tc>
          <w:tcPr>
            <w:shd w:val="clear" w:color="auto" w:fill="auto"/>
            <w:tcBorders>
              <w:top w:val="single" w:color="auto"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项目特征描述</w:t>
            </w:r>
            <w:r/>
          </w:p>
        </w:tc>
        <w:tc>
          <w:tcPr>
            <w:shd w:val="clear" w:color="auto" w:fill="auto"/>
            <w:tcBorders>
              <w:top w:val="single" w:color="auto"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设备型号</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计量单位</w:t>
            </w:r>
            <w:r/>
          </w:p>
        </w:tc>
        <w:tc>
          <w:tcPr>
            <w:shd w:val="clear" w:color="auto" w:fill="auto"/>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工程量</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全费用综合单价（元）</w:t>
            </w:r>
            <w:r/>
          </w:p>
        </w:tc>
      </w:tr>
      <w:tr>
        <w:trPr>
          <w:jc w:val="center"/>
          <w:trHeight w:val="180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900万像素抓拍一体化摄像机</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lef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1、高像质：采用行业专用GS-CMOS图像传感器，高感光度，高信噪比，高宽动态，呈现高清</w:t>
            </w:r>
            <w:r>
              <w:rPr>
                <w:rFonts w:hint="eastAsia" w:ascii="宋体" w:hAnsi="宋体" w:eastAsia="宋体" w:cs="宋体"/>
                <w:color w:val="auto"/>
                <w:szCs w:val="21"/>
                <w:highlight w:val="none"/>
              </w:rPr>
              <w:t xml:space="preserve">图像；2、多应用：支持多样性混合场景应用，集卡口电警全线业务、流量采集、事件检测于一体，全方位适配道路交通场景；3、全感知：支持北斗/GPS定位校时（天线需单独下单），感知多维度数据；4、强安全：满足GB35114-A级加密标准，采用一体化结构设计，IP66防护等级，适用多种复杂环境；5、采用1英寸GS-CMOS图像传感器，最大输出4096×2160@25fps高清图像；6、支持双码流，且满足H.265&amp;amp;H.264编码，超低延时，超低码率，压缩比高，处理灵活；7、支持单快门、全息双快门、三快门模式。</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ITC902-RU2D</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17644 </w:t>
            </w:r>
            <w:r/>
          </w:p>
        </w:tc>
      </w:tr>
      <w:tr>
        <w:trPr>
          <w:jc w:val="center"/>
          <w:trHeight w:val="20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900万一体化电警抓拍</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lef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1、无光污染：采用先进的图像融合技术，夜间无需使用白光爆闪灯或无需外加频闪灯（正常环境光路口，电警可仅采用下挂灯）即可输出高质量全彩图像</w:t>
            </w:r>
            <w:r>
              <w:rPr>
                <w:rFonts w:hint="eastAsia" w:ascii="宋体" w:hAnsi="宋体" w:eastAsia="宋体" w:cs="宋体"/>
                <w:color w:val="auto"/>
                <w:szCs w:val="21"/>
                <w:highlight w:val="none"/>
              </w:rPr>
              <w:t xml:space="preserve">，有效解决夜间光污染、避免“麻雀杆”现象；2、超高帧率：采用交通专用高性能GS-CMOS图像传感器，50fps高帧率、高信噪比、高宽动态，全天候呈现逼真场景图像；3、全结构化：采用高性能AI处理器，加载深度学习算法，支持多目标混合场景应用，实时提取机动车、非机动车、人体、人脸数十种全结构化信息，为业务快速决策提供全方位的特征数据；4、一机并用：支持一机并用，集卡口电警数十种违法抓拍业务、交通信息采集、事件检测于一体，适用于多种道路场景；5、多维感知：支持北斗/GPS定位校时(天线需单独下单)，感知多维度数据</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；6、安全稳定：满足GB 35114-A级加密标准，更加安全；7、采用星光级1英寸GS-CMOS图像传感器，最大输出 4096×2820@50fps高清图像单元。</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DH-CP902-AU3F-L</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18260 </w:t>
            </w:r>
            <w:r/>
          </w:p>
        </w:tc>
      </w:tr>
      <w:tr>
        <w:trPr>
          <w:jc w:val="center"/>
          <w:trHeight w:val="180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行人灯取证单元</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lef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1、高像质：采用超星光CMOS图</w:t>
            </w:r>
            <w:r>
              <w:rPr>
                <w:rFonts w:hint="eastAsia" w:ascii="宋体" w:hAnsi="宋体" w:eastAsia="宋体" w:cs="宋体"/>
                <w:color w:val="auto"/>
                <w:szCs w:val="21"/>
                <w:highlight w:val="none"/>
              </w:rPr>
              <w:t xml:space="preserve">像传感器，高感光度，高信噪比，高宽动态,呈现逼真场景图像；2、全智能：采用高性能AI处理器，支持机非人全结构化信息提取，为业务决策提供丰富的特征信息；3、多场景：支持多样性混合场景应用，集道路监控全线业务、流量采集、事件检测于一体，全方位适配道路交通场景；4、高防护：采用一体化结构设计，支持网络防雷、防浪涌、防静电，IP66防护等级，适用于各种恶劣环境；5、更安全：满足GB 35114-A级加密标准，加强公安网络视频信息数据安全；6、  更环保：支持内置3500K暖光下挂灯，减少光污染；标配大光圈变焦镜头。</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DH-CP235-AU1F-LZF2070</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6330 </w:t>
            </w:r>
            <w:r/>
          </w:p>
        </w:tc>
      </w:tr>
      <w:tr>
        <w:trPr>
          <w:jc w:val="center"/>
          <w:trHeight w:val="1915"/>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2800万AI一体化抓拍单元</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lef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1、远距离：在传统卡口抓拍功能的基础上，实现80米远距离违法变道、车辆排队加塞、违法停车、压线、占道等违法抓拍功能；2、高性能：采用高性</w:t>
            </w:r>
            <w:r>
              <w:rPr>
                <w:rFonts w:hint="eastAsia" w:ascii="宋体" w:hAnsi="宋体" w:eastAsia="宋体" w:cs="宋体"/>
                <w:color w:val="auto"/>
                <w:szCs w:val="21"/>
                <w:highlight w:val="none"/>
              </w:rPr>
              <w:t xml:space="preserve">能AI处理器和交通专用GS-CMOS图像传感器，加载深度学习算法；3、结构化：支持多目标混合场景应用，实时提取机动车、非机动车、人体等结构化信息，为业务决策提供全方位的特征数据；4、多应用：集多种卡口违法抓拍业务、交通信息采集、事件检测于一体，实现一机并用；5、全感知：支持北斗/GPS定位校时（天线需单独下单），感知多维度数据；6、强安全：满足GB 35114-A级加密标准；采用一体化结构设计，IP67防护等级，支持除雾功能，适用多种复杂环境；7、采用双摄像头无痕拼接融合技术，最大可输出2800万高清图像；</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8、支持双码流，且满足H.265&amp;amp;H.264编码；9、支持自动情景模式、自动白平衡、自动电子快门；、支持最大256G TF卡本地存储，抓拍图片可断网续传</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；10、支持网络接口、RS-485接口、RS-232接口、USB2.0接口、外置灯接口；</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11、支持内置暖光LED补光灯和除雾功能。</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DH-CP2802-CU3F-TF37</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37953 </w:t>
            </w:r>
            <w:r/>
          </w:p>
        </w:tc>
      </w:tr>
      <w:tr>
        <w:trPr>
          <w:jc w:val="center"/>
          <w:trHeight w:val="1575"/>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400万出入口抓拍一体机</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lef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LED屏（4行4字，支持红绿黄三色显示）；显示屏亮度≥5</w:t>
            </w:r>
            <w:r>
              <w:rPr>
                <w:rFonts w:hint="eastAsia" w:ascii="宋体" w:hAnsi="宋体" w:eastAsia="宋体" w:cs="宋体"/>
                <w:color w:val="auto"/>
                <w:szCs w:val="21"/>
                <w:highlight w:val="none"/>
              </w:rPr>
              <w:t xml:space="preserve">000cd/㎡，可调并可根据环境亮度自适应；显示屏分辨率4096Dots（64x64，4行4字），点间距4.0mm；传感器类型1/1.8英寸CMOS；镜头标配3.6-11mm电动变焦镜头；补光灯数量3颗（可根据客户需求自由切换为暖光灯或红外灯，暖光灯色温3000K，亮度可自动调节）；图像分辨率2688×1520（不包含OSD黑边）；视频压缩标准MJPEG；H.264H；H.264M；H.264B；H.265；抓拍距离2.5~8m；二维码显示支持；语音功能支持语音播报；屏幕坏点检测支持；除雾功能支持自动除雾。</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DH-IPMECS-2214-Z</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6886 </w:t>
            </w:r>
            <w:r/>
          </w:p>
        </w:tc>
      </w:tr>
      <w:tr>
        <w:trPr>
          <w:jc w:val="center"/>
          <w:trHeight w:val="1125"/>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道闸</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lef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杆件类型直杆；支持杆长3米；起杆速度1S；RS-485接口1个；I/O接口5个（升、降、地感1、地感2、防砸）；状态输出3路（开到位、关到位、红绿灯）；防砸功能支持：压力波防砸、雷达防砸、线圈防砸、红外防砸；远程遥控支持遥控器远程开关，最大距离50m；电机寿命500万次；工作温度-40℃～+70℃；防护等级IP54；供电方式AC186~264V</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DH-IPMECD-2032-RM30-T10</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5518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出入口综合管理系统</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DH-DSS-H710S2</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15132 </w:t>
            </w:r>
            <w:r/>
          </w:p>
        </w:tc>
      </w:tr>
      <w:tr>
        <w:trPr>
          <w:jc w:val="center"/>
          <w:trHeight w:val="180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车辆未避让人行横道线抓拍一体化摄像机</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lef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传感器类型：1英寸全局曝光CMOS；分辨率：4096(H)×2160(V)；帧率：25fps；码流：8192Kbps ；接</w:t>
            </w:r>
            <w:r>
              <w:rPr>
                <w:rFonts w:hint="eastAsia" w:ascii="宋体" w:hAnsi="宋体" w:eastAsia="宋体" w:cs="宋体"/>
                <w:color w:val="auto"/>
                <w:szCs w:val="21"/>
                <w:highlight w:val="none"/>
              </w:rPr>
              <w:t xml:space="preserve">口协议：ONVIF(PROFILE S,PROFILE G),ISAPI ,GB28181，海康SDK；内部组件：防尘、防水面板，LED补光灯；摄像机参数配置功能：曝光速度、AGC控制、白平衡方式控制等；视频压缩标准：H.264/H.265/MJPEG；输出图片格式：JPEG；接口：3个RS-485接口,1个RS-232接口；2个RJ45 10M/100M/1000M自适应以太网口；触发输入：4路外部触发输入，1路SYNC信号灯电源同步输入；触发输出：6路（光耦隔离2500VAC）,作为补光灯同步输出控制。</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iDS-TCV700-AE/NET</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15349 </w:t>
            </w:r>
            <w:r/>
          </w:p>
        </w:tc>
      </w:tr>
      <w:tr>
        <w:trPr>
          <w:jc w:val="center"/>
          <w:trHeight w:val="873"/>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900万像素电警抓拍单元</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lef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分辨率：最大支持4096*2160；帧率：25fps；图像传感器：采用1" Global shutte</w:t>
            </w:r>
            <w:r>
              <w:rPr>
                <w:rFonts w:hint="eastAsia" w:ascii="宋体" w:hAnsi="宋体" w:eastAsia="宋体" w:cs="宋体"/>
                <w:color w:val="auto"/>
                <w:szCs w:val="21"/>
                <w:highlight w:val="none"/>
              </w:rPr>
              <w:t xml:space="preserve">r CMOS；照度：彩色:0.01Lux  黑色:0.008Lux；  视频压缩标准：H.265/H.264/MJPEG；图像输出格式：JPEG；输出：电平量信号；通讯接口：2个RJ45 100M/1000M自适应网口，3个RS485接口，1个RS232接口；触发输入：1个触发/报警输入；触发输出：7路F+F-输出接口,可作为补光灯同步输出控制；同步输入：SYNC信号灯电源同步输入；存储支持：支持TF卡、USB；自动光圈镜头：支持；工作电压：220VAC±20%；频率：50HZ±2%；功耗：20W MAX；</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iDS-TCV900-AE/JT</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17548 </w:t>
            </w:r>
            <w:r/>
          </w:p>
        </w:tc>
      </w:tr>
      <w:tr>
        <w:trPr>
          <w:jc w:val="center"/>
          <w:trHeight w:val="5341"/>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900万像素环保电警抓拍单元</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lef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支持在夜间无外置补光的条件下输出清晰的车辆图片；像素：900W；分辨率：最大支持4096*2160；帧率：25fps；图像传感器：采用1" Global shutter CMOS；照度：彩色:0.01Lux  黑色:0.008Lux；  视频压缩标准：H.265/H.264/MJP</w:t>
            </w:r>
            <w:r>
              <w:rPr>
                <w:rFonts w:hint="eastAsia" w:ascii="宋体" w:hAnsi="宋体" w:eastAsia="宋体" w:cs="宋体"/>
                <w:color w:val="auto"/>
                <w:szCs w:val="21"/>
                <w:highlight w:val="none"/>
              </w:rPr>
              <w:t xml:space="preserve">EG；图像输出格式：JPEG；输出：电平量信号；通讯接口：2个RJ45 100M/1000M自适应网口，3个RS485接口，1个RS232接口；触发输入：1个触发/报警输入；触发输出：7路F+F-输出接口,可作为补光灯同步输出控制；同步输入：SYNC信号灯电源同步输入；存储支持：支持TF卡、USB；自动光圈镜头：支持；工作电压：220VAC±20%；频率：50HZ±2%；功耗：20W MAX；支持智能识别功能：内置视频识别功能，支持车牌识别、视频触发、车身颜色识别、车型识别，通行车辆信息捕获和违章检测功能。</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iDS-TCE900-JT/16</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17935 </w:t>
            </w:r>
            <w:r/>
          </w:p>
        </w:tc>
      </w:tr>
      <w:tr>
        <w:trPr>
          <w:jc w:val="center"/>
          <w:trHeight w:val="1125"/>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200万像素电警辅助抓拍单元</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lef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日夜型枪型智能交通高清网络摄像机；传感器：1/1.8”Progressive Scan CMOS；最小照度：彩色:0.001Lux @(F1.2，AGC ON)；黑白:0.0001 Lux @(F1.2，AGC ON)；快门：1秒至1/100，000秒；镜头接口类型：C/CS接口；自动光圈：DC 驱动；日夜转换模式：ICR红外滤片式；数字降噪：3D数字降噪；分辨率：1920（H）×1200（V），彩色；</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iDS-TCM200-JT</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4288 </w:t>
            </w:r>
            <w:r/>
          </w:p>
        </w:tc>
      </w:tr>
      <w:tr>
        <w:trPr>
          <w:jc w:val="center"/>
          <w:trHeight w:val="1125"/>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测速一体化抓拍单元</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lef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传感器类型：1英寸全局曝光CMOS分辨率：4096(H)×2160(V)；帧率：25fps；码流：8192Kbps；</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接口协议：ONVIF(PROFILE S,PROFILE G),ISAPI ,GB28181，海康SDK；内部组件：防尘、防水面板，LED补光灯；摄像机参数配置功能：曝光快门、AGC控制、白平衡方式控制等。</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iDS-TCV900-AE/XX</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17838 </w:t>
            </w:r>
            <w:r/>
          </w:p>
        </w:tc>
      </w:tr>
      <w:tr>
        <w:trPr>
          <w:jc w:val="center"/>
          <w:trHeight w:val="90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高清抓拍单元</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lef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像素：900W；分辨率：最大支持4096*2160；帧率：25fps；图像传感器：采用1" Global shutter CMOS；照度：彩色:0.01Lux；视频压缩标准：H.265/H.264/MJPEG；图像输出格式：JPEG；输出：电平量信号；通讯接口：2个RJ45 100M/1000M自适应网口，3个RS485接口，1个RS232接口；</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iDS-TCV900-BE/XD</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13293 </w:t>
            </w:r>
            <w:r/>
          </w:p>
        </w:tc>
      </w:tr>
      <w:tr>
        <w:trPr>
          <w:jc w:val="center"/>
          <w:trHeight w:val="1575"/>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雷达视频一体机</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lef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77GHz高频段毫米波雷达 &amp; 900万全局曝光CMOS低照度摄像机；支持多目标机动车轨迹跟踪检测及目标可视化，纵向200米；支持全天候环境下工作，不受雨、雾、大风、灰尘、光照等影响；采用H.264/H.265 High Profile编码,最大可输出Full HD4096×2160@25fps实时图像,超低延时,超低码率；支持输出H.265或H.264码流可配置,三路高清码流可分别独立设置不同的高清分辨率,帧率与码率；内置深度学习算法，支持智能识别功能，支持车牌识别及目标全结构化；</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iDS-TCS907-BX</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36502 </w:t>
            </w:r>
            <w:r/>
          </w:p>
        </w:tc>
      </w:tr>
      <w:tr>
        <w:trPr>
          <w:jc w:val="center"/>
          <w:trHeight w:val="1125"/>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非机动车闯红灯抓拍</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lef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英寸900万像素高帧率彩色全局曝光CMOS高清智能摄像机，最大分辨率可达4096×2160，帧率25帧；输出图片格式：JPEG；支持LED频闪灯同步补光，防护罩内置LED车牌补光灯；红绿灯信号检测方式支持：红绿灯检测器，视频检测；支持机动车车型、车身颜色等信息识别功能；支持机动车车牌识别；支持非机动车车牌定制识别。</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iDS-TCE900-W/FJDC</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18612 </w:t>
            </w:r>
            <w:r/>
          </w:p>
        </w:tc>
      </w:tr>
      <w:tr>
        <w:trPr>
          <w:jc w:val="center"/>
          <w:trHeight w:val="135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400万自动红外跟踪一体球机（含32G内存卡）</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lef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支持FC光纤接口与以太网电口输出；图像传感器: 1/1.8＂ Progressive Scan CMOS；最低照度: 彩色：0.0005Lux @ (F1.2，AGC ON)；黑白：0.0001Lux @(F1.2，AGC ON) ；0 Lux with IR；</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分辨率及帧率: 主码流  50Hz:25fps(2560×1440)；60Hz:30fps(2560×1440,)；视频压缩: H.265/H.264/MJPEG，H.264编码支持Baseline/Main/High Profile；红外照射距离: 200米；焦距: 6-192mm，32倍光学。</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iDS-2VS436-F832/SP</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16252 </w:t>
            </w:r>
            <w:r/>
          </w:p>
        </w:tc>
      </w:tr>
      <w:tr>
        <w:trPr>
          <w:jc w:val="center"/>
          <w:trHeight w:val="1125"/>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出入口视频单元</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lef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集成度高：集摄像机、护罩、LED补光灯、镜头于一体，，有效节省施工布线成本；调试方便：采用3.1-6mm电动变焦镜头，支持软件自动调焦，调试更加方便，场景适应性更广；接口丰富：丰富的控制接口，可直接控制道闸开/关，支持外接报警设备、LED显示屏、音频输入；输出等，镜头：电动镜头3.1-6mm；日夜转换模式：ICR红外滤片式；数字降噪：3D数字降噪；</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DS-TCG205-X</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4562 </w:t>
            </w:r>
            <w:r/>
          </w:p>
        </w:tc>
      </w:tr>
      <w:tr>
        <w:trPr>
          <w:jc w:val="center"/>
          <w:trHeight w:val="45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出入口LED显示屏</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lef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364mm*484mm*60mm，双基色显示，可以显示红色、绿色、黄色；分辨率64*64，支持最小16点阵显示。</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DS-TVL224-4-5Y/S</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4568 </w:t>
            </w:r>
            <w:r/>
          </w:p>
        </w:tc>
      </w:tr>
      <w:tr>
        <w:trPr>
          <w:jc w:val="center"/>
          <w:trHeight w:val="1125"/>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道闸</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lef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直杆】【中速】4系列道闸，包含：2个遥控器；道闸类型：直杆；道闸方向：右向；道闸杆长：4米；运行速度：3秒；机箱材质：冷轧钢；机箱颜色：橙色；遥控距离：≥30m；输入电压：220VAC+10%；电机驱动：交流电机；电机功率：90W；功能特性：支持外接红绿灯警示、外接红外保护、外接地感功能，支持强冷天气。</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DS-TMG400-MR</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6038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出入口雷达</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lef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运行速度：3秒</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DS-TMG034</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1539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球机电源</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lef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AC24V</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AC24V</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81 </w:t>
            </w:r>
            <w:r/>
          </w:p>
        </w:tc>
      </w:tr>
      <w:tr>
        <w:trPr>
          <w:jc w:val="center"/>
          <w:trHeight w:val="180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云台摄像机</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lef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200万36倍红外中载云台，红外200米；图像传感器: 1/1.8" Progressive Scan CMOS；最低照度: 彩色：0.0005Lux@（F1.5,AGC ON） 黑白：0.0002Lux@（F1.5,AGC ON）；0 Lux with IR；</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分辨率及帧率: 主码流：50Hz: 50fps:(1920×1080); 60Hz: 60fps:(1920×1080)；视频压缩: H.265（Main Profile）/H.264（Baseline、Main、High Profile）/MJPEG/Smart 264/Smart 265；焦距: 5.9-188.8mm，32倍光学变倍；Smart图像增强: 透雾、电子防抖、背光补偿、强光抑制、120dB超宽动态。</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iDS-2DY9236HWD-KS</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16032 </w:t>
            </w:r>
            <w:r/>
          </w:p>
        </w:tc>
      </w:tr>
      <w:tr>
        <w:trPr>
          <w:jc w:val="center"/>
          <w:trHeight w:val="180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远距离变道抓拍智能球型摄像机</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lef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支持一体化扬声器；传感器类型: 【全景】1/1.8＂progressive scan CMOS，【细节】1/1.8＂progressive scan CMOS；最低照度: 【全景】彩</w:t>
            </w:r>
            <w:r>
              <w:rPr>
                <w:rFonts w:hint="eastAsia" w:ascii="宋体" w:hAnsi="宋体" w:eastAsia="宋体" w:cs="宋体"/>
                <w:color w:val="auto"/>
                <w:szCs w:val="21"/>
                <w:highlight w:val="none"/>
              </w:rPr>
              <w:t xml:space="preserve">色：0.0005 Lux @（F1.7，AGC ON），黑白：0.0001 Lux @（F1.7，AGC ON），0 Lux with IR，【细节】彩色：0.0005 Lux @（F1.2，AGC ON），黑白：0.0001 Lux @（F1.2，AGC ON），0 Lux with IR；光学变倍: 【全景】4倍；【细节】40倍；焦距: 【全景】13~52 mm；【细节】6.0~240 mm ；补光灯类型: 【全景】白光；【细节】混合光（白光+红外）；补光灯距离: 【全景】30 m；【细节】250 m。</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iDS-2VT84W-JT840</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24172 </w:t>
            </w:r>
            <w:r/>
          </w:p>
        </w:tc>
      </w:tr>
      <w:tr>
        <w:trPr>
          <w:jc w:val="center"/>
          <w:trHeight w:val="90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智慧行人一体化灯</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lef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配备43.8寸LCD户外高清显示屏。支持实时显示监控视频、违法图片，播放本地视频及图片；1、支持双色行人信号和双色双8倒计时，显示清晰无延迟，可指示行人快速通行；2、支持正面6汉字静态或者动态滚动显示；3、支持发送警示语音，可有效起到警示作用；</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DH-ITASL-902A</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53248 </w:t>
            </w:r>
            <w:r/>
          </w:p>
        </w:tc>
      </w:tr>
      <w:tr>
        <w:trPr>
          <w:jc w:val="center"/>
          <w:trHeight w:val="45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视频检测器主机</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lef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主频1.5GHz,内存1GB DDR3,内置存储8GB eMMC 4.41高速闪存,供电电压5VDC±20%,功率3W,视频输入,网络输入, 实时时钟内嵌实时时钟（RTC）</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HT-TSC-FDZS</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28375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通讯板</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lef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1768 </w:t>
            </w:r>
            <w:r/>
          </w:p>
        </w:tc>
      </w:tr>
      <w:tr>
        <w:trPr>
          <w:jc w:val="center"/>
          <w:trHeight w:val="90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流量检测单元</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lef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不低于200万像素摄像机、前置光学处理单元，视频检测车道数：同向3～4车道。交通流量检测准确率： 95%以上。 进口车道车头时距、排队长度、车道占有状态等检测准确率：白天95%以上，夜间90%以上。断面车速精度：-10%～10%。 平均无故障工作时间：≥20000h</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HT-TSC-FDCS</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3573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全彩LED诱导屏</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全彩P10,12.9平方米/块3.84*3.36，2块，蓝绿管科锐，红管晶元</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全彩P10</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m2</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15007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LED诱导屏防水箱体</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LED诱导屏防水箱体</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3410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异步控制器及4G模块</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支持RJ45,4G</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异步控制器及4G模块</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2790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交通诱导屏</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YDBZ-1-B-HKYD-160P</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10436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交通诱导屏配件</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DS-TVL000-0-4</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8927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交通诱导屏</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YDBZ-0-C-HKYD-161</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19227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交通诱导屏配件</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DS-TVL000-0-7</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13128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硬盘录像机16路NVR</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DS-8616N-ST</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5014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硬盘录像机32路NVR</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DS-9632N-ST</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11714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行人过街语音提示装置</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YY-DH1111BL</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1142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落地式室外LED交通违章发布屏</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DH-ITIS-C400C-S1AB</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m2</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11491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大华同步诱导屏播放系统</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DH-DSS-T-SPS</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 </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8743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高清镜头</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1英寸16mm</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OPTY-11C16M-MP</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1473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高清镜头</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1英寸，12mm，</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OPT-11C12M</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1526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高清镜头</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1英寸，25mm</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OPT-11C25M-5MP</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2072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高清镜头</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1英寸，25mm</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OPT-11C25M-6MP</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2072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高清镜头</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1英寸，12mm</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OPT-110C12M</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1526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高清镜头</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1英寸，10-40mm</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OPT-11C1040M-9M</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1350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支架</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122 </w:t>
            </w:r>
            <w:r/>
          </w:p>
        </w:tc>
      </w:tr>
      <w:tr>
        <w:trPr>
          <w:jc w:val="center"/>
          <w:trHeight w:val="398"/>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卡口专用雷达</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lef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测速误差 误差：（-4～0）Km/h；发射功率 20dBm；监控</w:t>
            </w:r>
            <w:r>
              <w:rPr>
                <w:rFonts w:hint="eastAsia" w:ascii="宋体" w:hAnsi="宋体" w:eastAsia="宋体" w:cs="宋体"/>
                <w:color w:val="auto"/>
                <w:szCs w:val="21"/>
                <w:highlight w:val="none"/>
              </w:rPr>
              <w:t xml:space="preserve">车道数 单车道；探测角度 6°(H) ×6°(V)；抓拍距离 18m～38m（安装高度约6m）；功能参数：定位精度 ±0.5米；接口保护 对应输出接口均具有过流过压保护功能；外部接口：RS-232接口 标准RS-232；电源输入 DC12V，具有过压、过流、反接保护，能够安全稳定的为设备供电；常规参数：采样频率 37KHz；产品尺寸 雷达：205mm×170mm×35mm；支架：163.4mm×100mm×155mm；超速抓拍捕获率 ≥95%；工作湿度 10%～90%（无凝结）；工作温度 -40℃～70℃；</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DH-ITARD-024ST</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9129 </w:t>
            </w:r>
            <w:r/>
          </w:p>
        </w:tc>
      </w:tr>
      <w:tr>
        <w:trPr>
          <w:jc w:val="center"/>
          <w:trHeight w:val="675"/>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卡口专用雷达</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lef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窄波测速雷达-ST单车道测速雷达，频率24G；测速距离：单车道18～38m(可调整)；测速范围：10km/h～250km/h；WIFI功能：可通过雷达WIFI进行雷达各项参数设置，调试简单快捷；工作电压：9-12V DC；工作功耗：≤2WJ1。</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窄波测速雷达-STJ1</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8993 </w:t>
            </w:r>
            <w:r/>
          </w:p>
        </w:tc>
      </w:tr>
      <w:tr>
        <w:trPr>
          <w:jc w:val="center"/>
          <w:trHeight w:val="675"/>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LED频闪灯</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lef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25°(3500K)，采用Cree高性能暖光LED，光源高效、节能环保；支持低照度下受相机控制自动开启补光；支持低照度光敏自动开启补光；支持视频补光同步。</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DH-ITALE-060AA-PW3525</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1546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补光灯</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lef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10°(3500K)</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DH-ITALE-060AA-PW3510</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1546 </w:t>
            </w:r>
            <w:r/>
          </w:p>
        </w:tc>
      </w:tr>
      <w:tr>
        <w:trPr>
          <w:jc w:val="center"/>
          <w:trHeight w:val="90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LED补光灯（暖）</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lef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补光距离16m～25m（暖光）光源类型：原装进口大功率LED，单车道环境补光；LED灯珠数量：16颗（参考型号：监控摄像设备\LED补光灯（暖），补光距离16m～25m（暖光）光源类型：原装进口大功率LED，单车道环境补光；LED灯珠数量：16颗。</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CXBG-1-PS-DS-TL2000A-L1-N</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2067 </w:t>
            </w:r>
            <w:r/>
          </w:p>
        </w:tc>
      </w:tr>
      <w:tr>
        <w:trPr>
          <w:jc w:val="center"/>
          <w:trHeight w:val="45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LED补光灯（36W）</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lef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补光距离16m～25m（白光），光源类型：原装进口大功率LED，1.5车道补光；LED灯珠数量：28颗；发光角度：10°；最佳补光距离：16米-25米。</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CXBG-1-PS-DS-TL2002A-N</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3142 </w:t>
            </w:r>
            <w:r/>
          </w:p>
        </w:tc>
      </w:tr>
      <w:tr>
        <w:trPr>
          <w:jc w:val="center"/>
          <w:trHeight w:val="1575"/>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53</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四合一生态补光灯</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lef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无光污染，1、高度集成：集暖光LED频闪、爆闪和氙气白光、红外爆闪于一体，有效降低光污染、避免麻雀杆现象；2、自动调节：内置光敏，根据环境光自动切换白天/夜晚模式，自动调节氙气灯亮度和切换LED灯亮灭，灵活方便；3、红外白光：支持红外/白光闪光，可自动切换红外和白光模式；4、视频同步：支持LED频闪同步相机视频补光，车牌补光效果更好；5、抓拍同步：支持LED爆闪或氙气爆闪同步相机抓拍补光，车窗内人脸和细节效果更优；6、亮度可调：支持相机WEB或客户端设置LED频闪灯和氙气爆闪灯亮度；</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DH-ITALF-300AG</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3255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54</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爆闪灯（100W）</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CXBG-2-MC-SL-1211-2</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2578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智能交通终端管理设备</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DH-ITSE0804-GN5B-D</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7858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交通联网信息发布平台</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DH-DSS-T8140-B1</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43420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57</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交通综合管控平台</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DH-DSS-T8100-B1</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68141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58</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交通车辆大数据管控平台</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DH-DSS-T8500-B</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119395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59</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ORACLE数据库服务器</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DH-DB-ORC8000/5Y</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45428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交通数据平台软件升级</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CUS-DSS-T（每子项）</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1930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61</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智能终端</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DS-TP50-12E</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8198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62</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终端服务器</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DS-TST300-E(FJDC)</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8970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63</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信号检测器</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单方向红灯信号检测</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DH-ITASD-012B</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2838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64</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信号检测器</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16路红灯信号检测</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DH-ITASD-016RA</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3177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65</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信号检测器</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20路红灯信号检测</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DH-ITASD-020RA</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3515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66</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交通灯信号检测器</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16路红灯信号检测</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TLD-2016-6</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3515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67</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交通灯信号检测器</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8路红灯信号检测</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TLD-2208</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3322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68</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硬盘 </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1000G</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1011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69</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硬盘 </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2000G</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1077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70</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硬盘</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3000G</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1148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71</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硬盘</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4000G</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1214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72</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SD卡</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国标</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64G</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127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73</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工业交换器  </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国标</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8口千兆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1206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74</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工业交换机</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千兆</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EII08-6E-2F</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1161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75</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8电4光交换机</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千兆</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MIB12G-8EG-4G-EIB</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2144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76</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SFP千兆光模 单模单纤</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LC光口，传输带宽1.25g/1.25g，传输公里数20KM</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SFP千兆光模 </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312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77</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不锈钢挂杆小机箱</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815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78</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不锈钢挂杆大机箱</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1871 </w:t>
            </w:r>
            <w:r/>
          </w:p>
        </w:tc>
      </w:tr>
      <w:tr>
        <w:trPr>
          <w:jc w:val="center"/>
          <w:trHeight w:val="45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79</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智能运维箱</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MIB12G-IMB-4EG2G-4P-2D2C-PD-B</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4365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80</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扩展电源模块</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12V3A</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MIB12G-IME-D12-3-1</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124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81</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扩展电源模块</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24V3A</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MIB12G-IME-A24-3-1</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222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82</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扩展电源模块 </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220V</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MIB12G-IME-A220-3-1</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140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83</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路口不锈钢大机箱</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4666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84</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光纤收发器</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千兆</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FSLB2T1F-BG4/FSLB1T1F-BG4</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2157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85</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光纤收发器</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千兆</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FSLB4T1F-BG4</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1402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86</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光纤收发器</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千兆</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MIB12G-1E-1GA-EN</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1543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87</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光纤收发器</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千兆</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MIB12G-1E-1GA-AWN</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1543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88</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继电器</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国标</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JZX-22F(D)/2Z</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104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89</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继电器底座</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CZY08A</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86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90</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电源防雷器</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AM2-40/2</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AM2-40/2</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449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91</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电源网络二合一防雷器</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KBT-V/2</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KBT-V/2</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643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92</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电源三级防雷器</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KBT- D380/3/20</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KBT- D380/3/20</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643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93</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开关电源</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国标</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开关电源</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278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94</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插座 </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AC220V</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6孔/3P</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187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95</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超五类网线</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CAT5E</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CAT5E</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6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96</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光缆4芯 </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国标</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光缆4芯 </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6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97</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铠装光缆,6芯单模</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6芯单模</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6芯单模</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8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98</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无线网桥 千兆</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千兆</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千兆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1658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99</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光缆熔接</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703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联网光端机</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国标</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国标</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5799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101</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C25砼基础</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m3</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866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102</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人工开挖基础及沟槽</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m3</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46 </w:t>
            </w:r>
            <w:r/>
          </w:p>
        </w:tc>
      </w:tr>
      <w:tr>
        <w:trPr>
          <w:jc w:val="center"/>
          <w:trHeight w:val="45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103</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人工装车及自卸汽车土方外运.运距10km内</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m3</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67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104</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基础铁件</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578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105</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电子警察立杆 横臂5-7米</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8808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106</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电子警察立杆 横臂(8-10米)</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10910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107</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电子警察立杆 横臂(11-13米)</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12960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108</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标秆横臂加长</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1185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109</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电警配套设施 </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 标志标牌、辅助标牌、禁停标线</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2888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110</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开挖普通路面</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定制，人工开挖,土方回填，深500mm内</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19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111</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开挖柏油路面</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定制，,切割/破碎/垃圾清运/水泥及柏油修补，深500mm内</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m2</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346 </w:t>
            </w:r>
            <w:r/>
          </w:p>
        </w:tc>
      </w:tr>
      <w:tr>
        <w:trPr>
          <w:jc w:val="center"/>
          <w:trHeight w:val="45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112</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水泥路面开挖</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定制，（含管沟混凝土修补）切割/破碎/垃圾清运/水泥及路面修补，深500mm内</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m2</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266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113</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开挖道板(含垃圾清运，修补)</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m2</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300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114</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8mm钢丝绳</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国标</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8mm</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7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115</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35#挂钩</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国标</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8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116</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20mm花篮螺丝</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国标</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20mm</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55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117</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KVV4*1.5屏蔽控制电缆</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国标</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KVV4*1.5</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9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118</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防水电缆FSRVV3*2.5mm2</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国标</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FSRVV3*2.5mm2</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16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119</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2寸乙烯管穿管</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国标</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国标</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21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120</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2寸钢管</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国标</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国标</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94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121</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连接弯头</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国标</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国标</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180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122</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接线窨井</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定制，,600*600*400砌砖粉水泥</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座</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601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123</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镀锌扁钢接地40*25</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国标</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国标</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69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124</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切割线圈(含电线)</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国标</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国标</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1059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125</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顶管(双管),顶PE50管</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国标</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国标</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173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126</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落地箱锁</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只</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79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127</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立杆箱锁</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只</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39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128</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视频信号线材等</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国标</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国标</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943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129</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机箱加托板</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国标</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国标</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只</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393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130</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服务器</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主流品牌</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主流品牌</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458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131</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服务器导轨</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国标</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国标</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只</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462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132</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电源12V3A</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国标</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国标</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150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133</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按钮86型</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国标</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国标</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72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134</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电气配管PVC25</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国标</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国标</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17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135</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读卡器</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国标</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DS-K1102MK</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934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136</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控制主机</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国标</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DS-K1T341M</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2008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137</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控制器</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国标</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DS-K2604</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2121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138</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电插锁 </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国标</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DS-K4T108</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2117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139</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电插锁</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国标</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DS-K4T108G</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831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140</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玻璃锁夹 </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国标</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DS-K4T108-U1</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只</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69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141</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双口信息面板</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国标</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FP-21-2</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17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142</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2米六类网络跳线</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国标</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2米六类网络跳线</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条</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47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143</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PVC线槽1公分</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国标</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PVC线槽1公分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11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144</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PVC线槽3公分</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国标</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PVC线槽3公分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13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145</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信号线RVV2*0.75</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国标</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RVV2*0.75</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4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146</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信号线RVVP4*1.0</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国标</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RVVP4*1.0</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8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147</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电源线RVV3*2.5</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国标</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RVV3*2.5</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11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148</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电源线RVV2*1.5</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国标</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RVV2*1.5</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5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149</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电插锁控制线RVV4*1.0</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国标</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RVV4*1.0</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7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150</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读卡器信号线RVVP4*1.0</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国标</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RVVP4*1.0</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8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151</w:t>
            </w:r>
            <w:r/>
          </w:p>
        </w:tc>
        <w:tc>
          <w:tcPr>
            <w:shd w:val="clear" w:color="000000" w:fill="ffffff"/>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六类信息模块UTP-CAT6e</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国标</w:t>
            </w:r>
            <w:r/>
          </w:p>
        </w:tc>
        <w:tc>
          <w:tcPr>
            <w:shd w:val="clear" w:color="000000" w:fill="ffffff"/>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UTP-CAT6e</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33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152</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高清车牌识别一体机</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BSG-TCE116TS</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18418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153</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车牌识别摄像机</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BSG-TCE116</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7780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154</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控制板</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BSG-116</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3845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155</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车牌识别显示屏</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车牌识别显示屏</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4765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156</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车牌识别补光灯</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车牌识别补光灯</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1206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157</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车牌识别电源</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车牌识别电源</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337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158</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车牌识别外壳及支架</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车牌识别外壳及支架</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2226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159</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数字力矩快速道闸（直杆）</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BSG-DZJ1R12</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6968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160</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快速电机</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快速电机</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3185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161</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道闸控制板</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道闸控制板</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1319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162</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机械链接部分</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机械链接部分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693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163</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限位接近开关</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国标</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限位接近开关</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360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164</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弹簧</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国标</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弹簧</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只</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69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165</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道闸杆（直杆）</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国标</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道闸杆（直杆）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924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166</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道闸外壳</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国标</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道闸外壳</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1386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167</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数字式车辆检测器（雷达地感）</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BSG-DGL109LD</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2918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168</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数字式车辆检测器（双环路）</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BSG-DGL109S</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3208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169</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车牌识别专用管理软件</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BSG-CPV5</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2504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170</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加密狗</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加密狗</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520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171</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网络交换机  </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千兆</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8口交换机</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767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172</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高级人行摆闸</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BSG-BZ03S</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18138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173</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人脸识别仪</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BSG-FT300</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12980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174</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人脸录入高清摄像机</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奥尼C32</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702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175</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身份证阅读器</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BSG-SFZDK02</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3133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176</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控制板</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控制板</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3845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177</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全透LED主动发光标志,800*800*3mm</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3934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178</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全透LED主动发光标志,DN800*3mm</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3637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179</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全透LED主动发光标志,DN600*3mm</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3176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180</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全透LED主动发光标志L900*3mm</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3627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181</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全透LED主动发光标志L900*200*3mm</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1997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182</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全透LED主动发光标志L700*3mm</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2971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183</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太阳能供电系统</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国标</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国标</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4034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184</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LED可变车道标志,1.0m*1.5m,LED</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25989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185</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抱箍配件3寸及以下,热镀锌</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付</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14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186</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抱箍配件4寸及以下,热镀锌</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付</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18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187</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抱箍配件5寸及以下,热镀锌</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付</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24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188</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不锈钢捆扎2-8寸</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付</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17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189</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抱箍配件6寸及以下,热镀锌</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付</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28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190</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抱箍配件8寸及以下,热镀锌</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付</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30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191</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修剪树枝修理(含机械及人工)</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次</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260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192</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接线窨井盖,600*600</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座</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193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193</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接线窨井盖,600*600加强型</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座</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233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194</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其他零星修理(含机械及人工)</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次</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271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195</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通讯链路</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公安链路运营商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14200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196</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链路迁移 100米以内</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5000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197</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链路升级</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公安链路运营商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7000 </w:t>
            </w:r>
            <w:r/>
          </w:p>
        </w:tc>
      </w:tr>
      <w:tr>
        <w:trPr>
          <w:jc w:val="center"/>
          <w:trHeight w:val="90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198</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巡查及维护费</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lef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1.每周现场巡查不低于1次，每月累计不低于4次，全年不低于48次。2.杆件挂壁箱内所含设备损坏均包含更换（箱体除外）。3.更换管道、电缆线、光纤线、杆件损坏除外4.配备不低于2车4人（车辆配置：适合高处作业车辆；人员配置：5年以上智能化专业技术人员）</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套/每年</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500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199</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吊机机械</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台班</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929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200</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吊机机械</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次</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464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201</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升降车机械</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台班</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514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202</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升降车机械</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次</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257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203</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工程车辆机械</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台班</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547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204</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工程车辆机械</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次</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290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205</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焊接机械</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台班</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648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206</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焊接机械</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次</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324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207</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气割机械</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台班</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648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208</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气割机械</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次</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324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209</w:t>
            </w:r>
            <w:r/>
          </w:p>
        </w:tc>
        <w:tc>
          <w:tcPr>
            <w:shd w:val="clear" w:color="auto" w:fill="auto"/>
            <w:tcBorders>
              <w:top w:val="none" w:color="000000" w:sz="4" w:space="0"/>
              <w:left w:val="none" w:color="000000" w:sz="4" w:space="0"/>
              <w:bottom w:val="single" w:color="auto" w:sz="4" w:space="0"/>
              <w:right w:val="single" w:color="auto" w:sz="4" w:space="0"/>
            </w:tcBorders>
            <w:tcW w:w="153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人工</w:t>
            </w:r>
            <w:r/>
          </w:p>
        </w:tc>
        <w:tc>
          <w:tcPr>
            <w:shd w:val="clear" w:color="auto" w:fill="auto"/>
            <w:tcBorders>
              <w:top w:val="none" w:color="000000" w:sz="4" w:space="0"/>
              <w:left w:val="none" w:color="000000" w:sz="4" w:space="0"/>
              <w:bottom w:val="single" w:color="auto" w:sz="4" w:space="0"/>
              <w:right w:val="single" w:color="auto" w:sz="4" w:space="0"/>
            </w:tcBorders>
            <w:tcW w:w="4181"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工日</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300 </w:t>
            </w:r>
            <w:r/>
          </w:p>
        </w:tc>
      </w:tr>
      <w:tr>
        <w:trPr>
          <w:jc w:val="center"/>
          <w:trHeight w:val="240"/>
        </w:trPr>
        <w:tc>
          <w:tcPr>
            <w:gridSpan w:val="7"/>
            <w:shd w:val="clear" w:color="auto" w:fill="auto"/>
            <w:tcBorders>
              <w:top w:val="single" w:color="auto" w:sz="4" w:space="0"/>
              <w:left w:val="single" w:color="auto" w:sz="4" w:space="0"/>
              <w:bottom w:val="single" w:color="auto" w:sz="4" w:space="0"/>
              <w:right w:val="single" w:color="auto" w:sz="4" w:space="0"/>
            </w:tcBorders>
            <w:tcW w:w="10483" w:type="dxa"/>
            <w:vAlign w:val="center"/>
            <w:textDirection w:val="lrTb"/>
            <w:noWrap w:val="false"/>
          </w:tcPr>
          <w:p>
            <w:pPr>
              <w:jc w:val="lef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注：（1）机械、人工费不与材料单独重复计算。</w:t>
            </w:r>
            <w:r/>
          </w:p>
          <w:p>
            <w:pPr>
              <w:jc w:val="lef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（2）每一子项的综合报价已含：材料费、人工费、机械费、管理费、安全文明施工费、夜间施工费、冬雨季施工费、规费、税金、企业管理费及利润等其他一切费用。</w:t>
            </w:r>
            <w:r/>
          </w:p>
          <w:p>
            <w:pPr>
              <w:jc w:val="left"/>
              <w:widowControl/>
              <w:rPr>
                <w:rFonts w:hint="default" w:ascii="宋体" w:hAnsi="宋体" w:eastAsia="宋体" w:cs="宋体"/>
                <w:color w:val="auto"/>
                <w:szCs w:val="21"/>
                <w:highlight w:val="none"/>
              </w:rPr>
            </w:pPr>
            <w:r>
              <w:rPr>
                <w:rFonts w:hint="eastAsia" w:ascii="宋体" w:hAnsi="宋体" w:eastAsia="宋体" w:cs="Times New Roman"/>
                <w:color w:val="auto"/>
                <w:szCs w:val="21"/>
                <w:highlight w:val="none"/>
              </w:rPr>
              <w:t xml:space="preserve">（3）属于设备的综合单价中其措施费及规费中已扣除设备主材费用。</w:t>
            </w:r>
            <w:r/>
          </w:p>
        </w:tc>
      </w:tr>
    </w:tbl>
    <w:p>
      <w:pPr>
        <w:spacing w:line="360" w:lineRule="auto"/>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r>
      <w:r/>
    </w:p>
    <w:p>
      <w:pPr>
        <w:numPr>
          <w:ilvl w:val="0"/>
          <w:numId w:val="12"/>
        </w:numPr>
        <w:spacing w:line="360" w:lineRule="auto"/>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eastAsia="zh-CN"/>
        </w:rPr>
        <w:t xml:space="preserve">技术</w:t>
      </w:r>
      <w:r>
        <w:rPr>
          <w:rFonts w:hint="eastAsia" w:ascii="宋体" w:hAnsi="宋体" w:cs="宋体"/>
          <w:b/>
          <w:bCs/>
          <w:color w:val="auto"/>
          <w:szCs w:val="21"/>
          <w:highlight w:val="none"/>
          <w:lang w:val="en-US" w:eastAsia="zh-CN"/>
        </w:rPr>
        <w:t xml:space="preserve">服务</w:t>
      </w:r>
      <w:r>
        <w:rPr>
          <w:rFonts w:hint="eastAsia" w:ascii="宋体" w:hAnsi="宋体" w:cs="宋体"/>
          <w:b/>
          <w:bCs/>
          <w:color w:val="auto"/>
          <w:szCs w:val="21"/>
          <w:highlight w:val="none"/>
          <w:lang w:eastAsia="zh-CN"/>
        </w:rPr>
        <w:t xml:space="preserve">方案（方案中如涉及预算、采购产品型号仅供参考）</w:t>
      </w:r>
      <w:r/>
    </w:p>
    <w:p>
      <w:pPr>
        <w:numPr>
          <w:ilvl w:val="0"/>
          <w:numId w:val="0"/>
        </w:numPr>
        <w:jc w:val="both"/>
        <w:spacing w:line="360" w:lineRule="auto"/>
        <w:widowControl w:val="off"/>
        <w:rPr>
          <w:rFonts w:hint="eastAsia"/>
          <w:lang w:eastAsia="zh-CN"/>
        </w:rPr>
      </w:pPr>
      <w:r>
        <w:rPr>
          <w:rFonts w:hint="eastAsia" w:ascii="宋体" w:hAnsi="宋体" w:cs="宋体"/>
          <w:b/>
          <w:bCs/>
          <w:color w:val="auto"/>
          <w:szCs w:val="21"/>
          <w:highlight w:val="none"/>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2.6pt;height:40.2pt;mso-wrap-distance-left:0.0pt;mso-wrap-distance-top:0.0pt;mso-wrap-distance-right:0.0pt;mso-wrap-distance-bottom:0.0pt;" filled="f" stroked="f">
            <v:path textboxrect="0,0,0,0"/>
            <v:imagedata r:id="rId14" o:title=""/>
          </v:shape>
          <o:OLEObject DrawAspect="Content" r:id="rId15" ObjectID="_1525042" ProgID="Package" ShapeID="_x0000_i2" Type="Embed"/>
        </w:object>
      </w:r>
      <w:r/>
    </w:p>
    <w:p>
      <w:pPr>
        <w:numPr>
          <w:ilvl w:val="0"/>
          <w:numId w:val="0"/>
        </w:numPr>
        <w:jc w:val="both"/>
        <w:spacing w:line="360" w:lineRule="auto"/>
        <w:widowControl w:val="off"/>
        <w:rPr>
          <w:rFonts w:hint="default" w:ascii="宋体" w:hAnsi="宋体" w:eastAsia="宋体" w:cs="Times New Roman"/>
          <w:b/>
          <w:bCs/>
          <w:color w:val="auto"/>
          <w:szCs w:val="21"/>
          <w:highlight w:val="none"/>
        </w:rPr>
      </w:pPr>
      <w:r>
        <w:rPr>
          <w:rFonts w:hint="eastAsia" w:ascii="宋体" w:hAnsi="宋体" w:eastAsia="宋体" w:cs="Times New Roman"/>
          <w:b/>
          <w:bCs/>
          <w:color w:val="auto"/>
          <w:szCs w:val="21"/>
          <w:highlight w:val="none"/>
          <w:lang w:eastAsia="zh-CN"/>
        </w:rPr>
        <w:t xml:space="preserve">（</w:t>
      </w:r>
      <w:r>
        <w:rPr>
          <w:rFonts w:hint="eastAsia" w:ascii="宋体" w:hAnsi="宋体" w:eastAsia="宋体" w:cs="Times New Roman"/>
          <w:b/>
          <w:bCs/>
          <w:color w:val="auto"/>
          <w:szCs w:val="21"/>
          <w:highlight w:val="none"/>
          <w:lang w:val="en-US" w:eastAsia="zh-CN"/>
        </w:rPr>
        <w:t xml:space="preserve">三</w:t>
      </w:r>
      <w:r>
        <w:rPr>
          <w:rFonts w:hint="eastAsia" w:ascii="宋体" w:hAnsi="宋体" w:eastAsia="宋体" w:cs="Times New Roman"/>
          <w:b/>
          <w:bCs/>
          <w:color w:val="auto"/>
          <w:szCs w:val="21"/>
          <w:highlight w:val="none"/>
          <w:lang w:eastAsia="zh-CN"/>
        </w:rPr>
        <w:t xml:space="preserve">）</w:t>
      </w:r>
      <w:r>
        <w:rPr>
          <w:rFonts w:hint="eastAsia" w:ascii="宋体" w:hAnsi="宋体" w:eastAsia="宋体" w:cs="Times New Roman"/>
          <w:b/>
          <w:bCs/>
          <w:color w:val="auto"/>
          <w:szCs w:val="21"/>
          <w:highlight w:val="none"/>
        </w:rPr>
        <w:t xml:space="preserve">服务内容及要求</w:t>
      </w:r>
      <w:r/>
    </w:p>
    <w:p>
      <w:pPr>
        <w:ind w:firstLine="211"/>
        <w:spacing w:line="360" w:lineRule="auto"/>
        <w:rPr>
          <w:rFonts w:hint="default" w:ascii="宋体" w:hAnsi="宋体" w:eastAsia="宋体" w:cs="宋体"/>
          <w:b/>
          <w:color w:val="auto"/>
          <w:highlight w:val="none"/>
        </w:rPr>
      </w:pPr>
      <w:r>
        <w:rPr>
          <w:rFonts w:hint="eastAsia" w:ascii="宋体" w:hAnsi="宋体" w:eastAsia="宋体" w:cs="宋体"/>
          <w:b/>
          <w:color w:val="auto"/>
          <w:highlight w:val="none"/>
        </w:rPr>
        <w:t xml:space="preserve">1、维护服务商要求：</w:t>
      </w:r>
      <w:r/>
    </w:p>
    <w:p>
      <w:pPr>
        <w:ind w:firstLine="420"/>
        <w:spacing w:line="360" w:lineRule="auto"/>
        <w:rPr>
          <w:rFonts w:hint="default" w:ascii="宋体" w:hAnsi="宋体" w:eastAsia="宋体" w:cs="Tahoma"/>
          <w:color w:val="auto"/>
          <w:szCs w:val="21"/>
          <w:highlight w:val="none"/>
        </w:rPr>
      </w:pPr>
      <w:r>
        <w:rPr>
          <w:rFonts w:hint="eastAsia" w:ascii="宋体" w:hAnsi="宋体" w:eastAsia="宋体" w:cs="宋体"/>
          <w:b/>
          <w:color w:val="auto"/>
          <w:highlight w:val="none"/>
        </w:rPr>
        <w:t xml:space="preserve">★</w:t>
      </w:r>
      <w:r>
        <w:rPr>
          <w:rFonts w:hint="eastAsia" w:ascii="宋体" w:hAnsi="宋体" w:eastAsia="宋体" w:cs="宋体"/>
          <w:color w:val="auto"/>
          <w:highlight w:val="none"/>
        </w:rPr>
        <w:t xml:space="preserve">（1）</w:t>
      </w:r>
      <w:r>
        <w:rPr>
          <w:rFonts w:hint="eastAsia" w:ascii="宋体" w:hAnsi="宋体" w:eastAsia="宋体" w:cs="宋体"/>
          <w:color w:val="auto"/>
          <w:szCs w:val="21"/>
          <w:highlight w:val="none"/>
        </w:rPr>
        <w:t xml:space="preserve">由于本项目前端维护点位采用公安专网，如遇专网链路突发状况需抢修或保障，响应单位须能够协调有资质及实施能力的运营商提供7天*24小时现场技术支持服务。</w:t>
      </w:r>
      <w:r>
        <w:rPr>
          <w:rFonts w:hint="default" w:ascii="宋体" w:hAnsi="宋体" w:eastAsia="宋体" w:cs="宋体"/>
          <w:b/>
          <w:color w:val="auto"/>
          <w:szCs w:val="21"/>
          <w:highlight w:val="none"/>
        </w:rPr>
        <w:t xml:space="preserve">（</w:t>
      </w:r>
      <w:r>
        <w:rPr>
          <w:rFonts w:hint="eastAsia" w:ascii="宋体" w:hAnsi="宋体" w:eastAsia="宋体" w:cs="宋体"/>
          <w:b/>
          <w:color w:val="auto"/>
          <w:szCs w:val="21"/>
          <w:highlight w:val="none"/>
        </w:rPr>
        <w:t xml:space="preserve">响应文件中须提供服务承诺函，</w:t>
      </w:r>
      <w:r>
        <w:rPr>
          <w:rFonts w:hint="default" w:ascii="宋体" w:hAnsi="宋体" w:eastAsia="宋体" w:cs="宋体"/>
          <w:b/>
          <w:color w:val="auto"/>
          <w:szCs w:val="21"/>
          <w:highlight w:val="none"/>
        </w:rPr>
        <w:t xml:space="preserve">并加盖公章）</w:t>
      </w:r>
      <w:r/>
    </w:p>
    <w:p>
      <w:pPr>
        <w:ind w:firstLine="420"/>
        <w:spacing w:line="360" w:lineRule="auto"/>
        <w:rPr>
          <w:rFonts w:hint="default" w:ascii="宋体" w:hAnsi="宋体" w:eastAsia="宋体" w:cs="宋体"/>
          <w:b/>
          <w:color w:val="auto"/>
          <w:highlight w:val="none"/>
        </w:rPr>
      </w:pPr>
      <w:r>
        <w:rPr>
          <w:rFonts w:hint="eastAsia" w:ascii="宋体" w:hAnsi="宋体" w:eastAsia="宋体" w:cs="宋体"/>
          <w:b/>
          <w:color w:val="auto"/>
          <w:highlight w:val="none"/>
        </w:rPr>
        <w:t xml:space="preserve">★</w:t>
      </w:r>
      <w:r>
        <w:rPr>
          <w:rFonts w:hint="eastAsia" w:ascii="宋体" w:hAnsi="宋体" w:eastAsia="宋体" w:cs="Tahoma"/>
          <w:color w:val="auto"/>
          <w:szCs w:val="21"/>
          <w:highlight w:val="none"/>
        </w:rPr>
        <w:t xml:space="preserve">（2）</w:t>
      </w:r>
      <w:r>
        <w:rPr>
          <w:rFonts w:hint="eastAsia" w:ascii="宋体" w:hAnsi="宋体" w:eastAsia="宋体" w:cs="宋体"/>
          <w:color w:val="auto"/>
          <w:szCs w:val="21"/>
          <w:highlight w:val="none"/>
        </w:rPr>
        <w:t xml:space="preserve">响应</w:t>
      </w:r>
      <w:r>
        <w:rPr>
          <w:rFonts w:hint="default" w:ascii="宋体" w:hAnsi="宋体" w:eastAsia="宋体" w:cs="宋体"/>
          <w:color w:val="auto"/>
          <w:szCs w:val="21"/>
          <w:highlight w:val="none"/>
        </w:rPr>
        <w:t xml:space="preserve">单位拟选派</w:t>
      </w:r>
      <w:r>
        <w:rPr>
          <w:rFonts w:hint="eastAsia" w:ascii="宋体" w:hAnsi="宋体" w:eastAsia="宋体" w:cs="宋体"/>
          <w:color w:val="auto"/>
          <w:szCs w:val="21"/>
          <w:highlight w:val="none"/>
        </w:rPr>
        <w:t xml:space="preserve">的</w:t>
      </w:r>
      <w:r>
        <w:rPr>
          <w:rFonts w:hint="default" w:ascii="宋体" w:hAnsi="宋体" w:eastAsia="宋体" w:cs="宋体"/>
          <w:b/>
          <w:color w:val="auto"/>
          <w:szCs w:val="21"/>
          <w:highlight w:val="none"/>
        </w:rPr>
        <w:t xml:space="preserve">项目负责人</w:t>
      </w:r>
      <w:r>
        <w:rPr>
          <w:rFonts w:hint="default" w:ascii="宋体" w:hAnsi="宋体" w:eastAsia="宋体" w:cs="宋体"/>
          <w:color w:val="auto"/>
          <w:szCs w:val="21"/>
          <w:highlight w:val="none"/>
        </w:rPr>
        <w:t xml:space="preserve">须具备中级</w:t>
      </w:r>
      <w:r>
        <w:rPr>
          <w:rFonts w:hint="eastAsia" w:ascii="宋体" w:hAnsi="宋体" w:eastAsia="宋体" w:cs="宋体"/>
          <w:color w:val="auto"/>
          <w:szCs w:val="21"/>
          <w:highlight w:val="none"/>
        </w:rPr>
        <w:t xml:space="preserve">及以上</w:t>
      </w:r>
      <w:r>
        <w:rPr>
          <w:rFonts w:hint="default" w:ascii="宋体" w:hAnsi="宋体" w:eastAsia="宋体" w:cs="宋体"/>
          <w:color w:val="auto"/>
          <w:szCs w:val="21"/>
          <w:highlight w:val="none"/>
        </w:rPr>
        <w:t xml:space="preserve">工程师</w:t>
      </w:r>
      <w:r>
        <w:rPr>
          <w:rFonts w:hint="eastAsia" w:ascii="宋体" w:hAnsi="宋体" w:eastAsia="宋体" w:cs="宋体"/>
          <w:color w:val="auto"/>
          <w:szCs w:val="21"/>
          <w:highlight w:val="none"/>
        </w:rPr>
        <w:t xml:space="preserve">职称证书</w:t>
      </w:r>
      <w:r>
        <w:rPr>
          <w:rFonts w:hint="default" w:ascii="宋体" w:hAnsi="宋体" w:eastAsia="宋体" w:cs="宋体"/>
          <w:color w:val="auto"/>
          <w:szCs w:val="21"/>
          <w:highlight w:val="none"/>
        </w:rPr>
        <w:t xml:space="preserve">（智能化或电子信息相关专业）、机电专业</w:t>
      </w:r>
      <w:r>
        <w:rPr>
          <w:rFonts w:hint="eastAsia" w:ascii="宋体" w:hAnsi="宋体" w:eastAsia="宋体" w:cs="宋体"/>
          <w:color w:val="auto"/>
          <w:szCs w:val="21"/>
          <w:highlight w:val="none"/>
        </w:rPr>
        <w:t xml:space="preserve">一级</w:t>
      </w:r>
      <w:r>
        <w:rPr>
          <w:rFonts w:hint="default" w:ascii="宋体" w:hAnsi="宋体" w:eastAsia="宋体" w:cs="宋体"/>
          <w:color w:val="auto"/>
          <w:szCs w:val="21"/>
          <w:highlight w:val="none"/>
        </w:rPr>
        <w:t xml:space="preserve">建造师注册证书，</w:t>
      </w:r>
      <w:r>
        <w:rPr>
          <w:rFonts w:hint="eastAsia" w:ascii="宋体" w:hAnsi="宋体" w:eastAsia="宋体" w:cs="宋体"/>
          <w:color w:val="auto"/>
          <w:szCs w:val="21"/>
          <w:highlight w:val="none"/>
        </w:rPr>
        <w:t xml:space="preserve">负责本项目维护、施工管理等</w:t>
      </w:r>
      <w:r>
        <w:rPr>
          <w:rFonts w:hint="default" w:ascii="宋体" w:hAnsi="宋体" w:eastAsia="宋体" w:cs="宋体"/>
          <w:color w:val="auto"/>
          <w:szCs w:val="21"/>
          <w:highlight w:val="none"/>
        </w:rPr>
        <w:t xml:space="preserve">。</w:t>
      </w:r>
      <w:r>
        <w:rPr>
          <w:rFonts w:hint="default" w:ascii="宋体" w:hAnsi="宋体" w:eastAsia="宋体" w:cs="宋体"/>
          <w:b/>
          <w:color w:val="auto"/>
          <w:szCs w:val="21"/>
          <w:highlight w:val="none"/>
        </w:rPr>
        <w:t xml:space="preserve">（</w:t>
      </w:r>
      <w:r>
        <w:rPr>
          <w:rFonts w:hint="eastAsia" w:ascii="宋体" w:hAnsi="宋体" w:eastAsia="宋体" w:cs="宋体"/>
          <w:b/>
          <w:color w:val="auto"/>
          <w:szCs w:val="21"/>
          <w:highlight w:val="none"/>
        </w:rPr>
        <w:t xml:space="preserve">响应文件中须提供项目负责人有效证书扫描件、身份证扫描件及本单位近三个月为其缴纳的</w:t>
      </w:r>
      <w:r>
        <w:rPr>
          <w:rFonts w:hint="eastAsia" w:ascii="宋体" w:hAnsi="宋体" w:eastAsia="宋体" w:cs="宋体"/>
          <w:b/>
          <w:color w:val="auto"/>
          <w:highlight w:val="none"/>
        </w:rPr>
        <w:t xml:space="preserve">社保证明，项目负责人不能与技术负责人、项目组人员重复</w:t>
      </w:r>
      <w:r>
        <w:rPr>
          <w:rFonts w:hint="default" w:ascii="宋体" w:hAnsi="宋体" w:eastAsia="宋体" w:cs="宋体"/>
          <w:b/>
          <w:color w:val="auto"/>
          <w:highlight w:val="none"/>
        </w:rPr>
        <w:t xml:space="preserve">）</w:t>
      </w:r>
      <w:r/>
    </w:p>
    <w:p>
      <w:pPr>
        <w:ind w:firstLine="420"/>
        <w:spacing w:line="360" w:lineRule="auto"/>
        <w:rPr>
          <w:rFonts w:hint="default" w:ascii="宋体" w:hAnsi="宋体" w:eastAsia="宋体" w:cs="宋体"/>
          <w:b/>
          <w:color w:val="auto"/>
          <w:highlight w:val="none"/>
        </w:rPr>
      </w:pPr>
      <w:r>
        <w:rPr>
          <w:rFonts w:hint="eastAsia" w:ascii="宋体" w:hAnsi="宋体" w:eastAsia="宋体" w:cs="宋体"/>
          <w:color w:val="auto"/>
          <w:highlight w:val="none"/>
        </w:rPr>
        <w:t xml:space="preserve">★（</w:t>
      </w:r>
      <w:r>
        <w:rPr>
          <w:rFonts w:hint="default" w:ascii="宋体" w:hAnsi="宋体" w:eastAsia="宋体" w:cs="宋体"/>
          <w:color w:val="auto"/>
          <w:highlight w:val="none"/>
        </w:rPr>
        <w:t xml:space="preserve">3</w:t>
      </w:r>
      <w:r>
        <w:rPr>
          <w:rFonts w:hint="eastAsia" w:ascii="宋体" w:hAnsi="宋体" w:eastAsia="宋体" w:cs="宋体"/>
          <w:color w:val="auto"/>
          <w:highlight w:val="none"/>
        </w:rPr>
        <w:t xml:space="preserve">）响应</w:t>
      </w:r>
      <w:r>
        <w:rPr>
          <w:rFonts w:hint="default" w:ascii="宋体" w:hAnsi="宋体" w:eastAsia="宋体" w:cs="宋体"/>
          <w:color w:val="auto"/>
          <w:highlight w:val="none"/>
        </w:rPr>
        <w:t xml:space="preserve">单位拟选派</w:t>
      </w:r>
      <w:r>
        <w:rPr>
          <w:rFonts w:hint="eastAsia" w:ascii="宋体" w:hAnsi="宋体" w:eastAsia="宋体" w:cs="宋体"/>
          <w:color w:val="auto"/>
          <w:highlight w:val="none"/>
        </w:rPr>
        <w:t xml:space="preserve">的</w:t>
      </w:r>
      <w:r>
        <w:rPr>
          <w:rFonts w:hint="eastAsia" w:ascii="宋体" w:hAnsi="宋体" w:eastAsia="宋体" w:cs="宋体"/>
          <w:b/>
          <w:color w:val="auto"/>
          <w:highlight w:val="none"/>
        </w:rPr>
        <w:t xml:space="preserve">技术</w:t>
      </w:r>
      <w:r>
        <w:rPr>
          <w:rFonts w:hint="default" w:ascii="宋体" w:hAnsi="宋体" w:eastAsia="宋体" w:cs="宋体"/>
          <w:b/>
          <w:color w:val="auto"/>
          <w:highlight w:val="none"/>
        </w:rPr>
        <w:t xml:space="preserve">负责人</w:t>
      </w:r>
      <w:r>
        <w:rPr>
          <w:rFonts w:hint="default" w:ascii="宋体" w:hAnsi="宋体" w:eastAsia="宋体" w:cs="宋体"/>
          <w:color w:val="auto"/>
          <w:highlight w:val="none"/>
        </w:rPr>
        <w:t xml:space="preserve">须具备机电专业</w:t>
      </w:r>
      <w:r>
        <w:rPr>
          <w:rFonts w:hint="eastAsia" w:ascii="宋体" w:hAnsi="宋体" w:eastAsia="宋体" w:cs="宋体"/>
          <w:color w:val="auto"/>
          <w:highlight w:val="none"/>
        </w:rPr>
        <w:t xml:space="preserve">二级及以上</w:t>
      </w:r>
      <w:r>
        <w:rPr>
          <w:rFonts w:hint="default" w:ascii="宋体" w:hAnsi="宋体" w:eastAsia="宋体" w:cs="宋体"/>
          <w:color w:val="auto"/>
          <w:highlight w:val="none"/>
        </w:rPr>
        <w:t xml:space="preserve">建造师注册证书，负责本项目</w:t>
      </w:r>
      <w:r>
        <w:rPr>
          <w:rFonts w:hint="eastAsia" w:ascii="宋体" w:hAnsi="宋体" w:eastAsia="宋体" w:cs="宋体"/>
          <w:color w:val="auto"/>
          <w:highlight w:val="none"/>
        </w:rPr>
        <w:t xml:space="preserve">维护、技术支持等</w:t>
      </w:r>
      <w:r>
        <w:rPr>
          <w:rFonts w:hint="default" w:ascii="宋体" w:hAnsi="宋体" w:eastAsia="宋体" w:cs="宋体"/>
          <w:color w:val="auto"/>
          <w:highlight w:val="none"/>
        </w:rPr>
        <w:t xml:space="preserve">。</w:t>
      </w:r>
      <w:r>
        <w:rPr>
          <w:rFonts w:hint="default" w:ascii="宋体" w:hAnsi="宋体" w:eastAsia="宋体" w:cs="宋体"/>
          <w:b/>
          <w:color w:val="auto"/>
          <w:highlight w:val="none"/>
        </w:rPr>
        <w:t xml:space="preserve">（</w:t>
      </w:r>
      <w:r>
        <w:rPr>
          <w:rFonts w:hint="eastAsia" w:ascii="宋体" w:hAnsi="宋体" w:eastAsia="宋体" w:cs="宋体"/>
          <w:b/>
          <w:color w:val="auto"/>
          <w:highlight w:val="none"/>
        </w:rPr>
        <w:t xml:space="preserve">响应文件中须提供技术负责人有效证书扫描件、身份证扫描件及本单位</w:t>
      </w:r>
      <w:r>
        <w:rPr>
          <w:rFonts w:hint="eastAsia" w:ascii="宋体" w:hAnsi="宋体" w:eastAsia="宋体" w:cs="宋体"/>
          <w:b/>
          <w:color w:val="auto"/>
          <w:szCs w:val="21"/>
          <w:highlight w:val="none"/>
        </w:rPr>
        <w:t xml:space="preserve">近三个月</w:t>
      </w:r>
      <w:r>
        <w:rPr>
          <w:rFonts w:hint="eastAsia" w:ascii="宋体" w:hAnsi="宋体" w:eastAsia="宋体" w:cs="宋体"/>
          <w:b/>
          <w:color w:val="auto"/>
          <w:highlight w:val="none"/>
        </w:rPr>
        <w:t xml:space="preserve">为其缴纳的社保证明，技术负责人不能与项目负责人、项目组人员重复</w:t>
      </w:r>
      <w:r>
        <w:rPr>
          <w:rFonts w:hint="default" w:ascii="宋体" w:hAnsi="宋体" w:eastAsia="宋体" w:cs="宋体"/>
          <w:b/>
          <w:color w:val="auto"/>
          <w:highlight w:val="none"/>
        </w:rPr>
        <w:t xml:space="preserve">）</w:t>
      </w:r>
      <w:r/>
    </w:p>
    <w:p>
      <w:pPr>
        <w:ind w:firstLine="420"/>
        <w:spacing w:line="360" w:lineRule="auto"/>
        <w:rPr>
          <w:rFonts w:hint="default" w:ascii="宋体" w:hAnsi="宋体" w:eastAsia="宋体" w:cs="宋体"/>
          <w:b/>
          <w:color w:val="auto"/>
          <w:szCs w:val="21"/>
          <w:highlight w:val="none"/>
        </w:rPr>
      </w:pPr>
      <w:r>
        <w:rPr>
          <w:rFonts w:hint="eastAsia" w:ascii="宋体" w:hAnsi="宋体" w:eastAsia="宋体" w:cs="宋体"/>
          <w:b/>
          <w:color w:val="auto"/>
          <w:highlight w:val="none"/>
        </w:rPr>
        <w:t xml:space="preserve">★</w:t>
      </w:r>
      <w:r>
        <w:rPr>
          <w:rFonts w:hint="eastAsia" w:ascii="宋体" w:hAnsi="宋体" w:eastAsia="宋体" w:cs="宋体"/>
          <w:color w:val="auto"/>
          <w:highlight w:val="none"/>
        </w:rPr>
        <w:t xml:space="preserve">（</w:t>
      </w:r>
      <w:r>
        <w:rPr>
          <w:rFonts w:hint="default" w:ascii="宋体" w:hAnsi="宋体" w:eastAsia="宋体" w:cs="宋体"/>
          <w:color w:val="auto"/>
          <w:highlight w:val="none"/>
        </w:rPr>
        <w:t xml:space="preserve">4</w:t>
      </w:r>
      <w:r>
        <w:rPr>
          <w:rFonts w:hint="eastAsia" w:ascii="宋体" w:hAnsi="宋体" w:eastAsia="宋体" w:cs="宋体"/>
          <w:color w:val="auto"/>
          <w:highlight w:val="none"/>
        </w:rPr>
        <w:t xml:space="preserve">）</w:t>
      </w:r>
      <w:r>
        <w:rPr>
          <w:rFonts w:hint="eastAsia" w:ascii="宋体" w:hAnsi="宋体" w:eastAsia="宋体" w:cs="宋体"/>
          <w:color w:val="auto"/>
          <w:szCs w:val="21"/>
          <w:highlight w:val="none"/>
        </w:rPr>
        <w:t xml:space="preserve">响应</w:t>
      </w:r>
      <w:r>
        <w:rPr>
          <w:rFonts w:hint="default" w:ascii="宋体" w:hAnsi="宋体" w:eastAsia="宋体" w:cs="宋体"/>
          <w:color w:val="auto"/>
          <w:szCs w:val="21"/>
          <w:highlight w:val="none"/>
        </w:rPr>
        <w:t xml:space="preserve">单位</w:t>
      </w:r>
      <w:r>
        <w:rPr>
          <w:rFonts w:hint="default" w:ascii="宋体" w:hAnsi="宋体" w:eastAsia="宋体" w:cs="宋体"/>
          <w:color w:val="auto"/>
          <w:highlight w:val="none"/>
        </w:rPr>
        <w:t xml:space="preserve">拟选派</w:t>
      </w:r>
      <w:r>
        <w:rPr>
          <w:rFonts w:hint="eastAsia" w:ascii="宋体" w:hAnsi="宋体" w:eastAsia="宋体" w:cs="宋体"/>
          <w:color w:val="auto"/>
          <w:highlight w:val="none"/>
        </w:rPr>
        <w:t xml:space="preserve">的</w:t>
      </w:r>
      <w:r>
        <w:rPr>
          <w:rFonts w:hint="eastAsia" w:ascii="宋体" w:hAnsi="宋体" w:eastAsia="宋体" w:cs="宋体"/>
          <w:b/>
          <w:color w:val="auto"/>
          <w:szCs w:val="21"/>
          <w:highlight w:val="none"/>
        </w:rPr>
        <w:t xml:space="preserve">项目组人员</w:t>
      </w:r>
      <w:r>
        <w:rPr>
          <w:rFonts w:hint="default" w:ascii="宋体" w:hAnsi="宋体" w:eastAsia="宋体" w:cs="宋体"/>
          <w:color w:val="auto"/>
          <w:szCs w:val="21"/>
          <w:highlight w:val="none"/>
        </w:rPr>
        <w:t xml:space="preserve">须</w:t>
      </w:r>
      <w:r>
        <w:rPr>
          <w:rFonts w:hint="eastAsia" w:ascii="宋体" w:hAnsi="宋体" w:eastAsia="宋体" w:cs="宋体"/>
          <w:color w:val="auto"/>
          <w:szCs w:val="21"/>
          <w:highlight w:val="none"/>
        </w:rPr>
        <w:t xml:space="preserve">至少具备</w:t>
      </w:r>
      <w:r>
        <w:rPr>
          <w:rFonts w:hint="default" w:ascii="宋体" w:hAnsi="宋体" w:eastAsia="宋体" w:cs="宋体"/>
          <w:color w:val="auto"/>
          <w:szCs w:val="21"/>
          <w:highlight w:val="none"/>
        </w:rPr>
        <w:t xml:space="preserve">2名中级及以上工程师（智能化或电子信息相关专业）、2名具有特种作业操作证（高处作业）的人员、2名建筑电工人员或具有特种作业操作证(低压电工证或高压电工证)的电工人员，负责</w:t>
      </w:r>
      <w:r>
        <w:rPr>
          <w:rFonts w:hint="eastAsia" w:ascii="宋体" w:hAnsi="宋体" w:eastAsia="宋体" w:cs="宋体"/>
          <w:color w:val="auto"/>
          <w:szCs w:val="21"/>
          <w:highlight w:val="none"/>
        </w:rPr>
        <w:t xml:space="preserve">本项</w:t>
      </w:r>
      <w:r>
        <w:rPr>
          <w:rFonts w:hint="default" w:ascii="宋体" w:hAnsi="宋体" w:eastAsia="宋体" w:cs="宋体"/>
          <w:color w:val="auto"/>
          <w:szCs w:val="21"/>
          <w:highlight w:val="none"/>
        </w:rPr>
        <w:t xml:space="preserve">目</w:t>
      </w:r>
      <w:r>
        <w:rPr>
          <w:rFonts w:hint="eastAsia" w:ascii="宋体" w:hAnsi="宋体" w:eastAsia="宋体" w:cs="宋体"/>
          <w:color w:val="auto"/>
          <w:szCs w:val="21"/>
          <w:highlight w:val="none"/>
        </w:rPr>
        <w:t xml:space="preserve">例行维护服务、重大故障的排查与维护等</w:t>
      </w:r>
      <w:r>
        <w:rPr>
          <w:rFonts w:hint="default" w:ascii="宋体" w:hAnsi="宋体" w:eastAsia="宋体" w:cs="宋体"/>
          <w:color w:val="auto"/>
          <w:szCs w:val="21"/>
          <w:highlight w:val="none"/>
        </w:rPr>
        <w:t xml:space="preserve">。</w:t>
      </w:r>
      <w:r>
        <w:rPr>
          <w:rFonts w:hint="default" w:ascii="宋体" w:hAnsi="宋体" w:eastAsia="宋体" w:cs="宋体"/>
          <w:b/>
          <w:color w:val="auto"/>
          <w:szCs w:val="21"/>
          <w:highlight w:val="none"/>
        </w:rPr>
        <w:t xml:space="preserve">（响应文件中须提供相关人员有效证书扫描件、身份证</w:t>
      </w:r>
      <w:r>
        <w:rPr>
          <w:rFonts w:hint="eastAsia" w:ascii="宋体" w:hAnsi="宋体" w:eastAsia="宋体" w:cs="宋体"/>
          <w:b/>
          <w:color w:val="auto"/>
          <w:szCs w:val="21"/>
          <w:highlight w:val="none"/>
        </w:rPr>
        <w:t xml:space="preserve">扫描件</w:t>
      </w:r>
      <w:r>
        <w:rPr>
          <w:rFonts w:hint="default" w:ascii="宋体" w:hAnsi="宋体" w:eastAsia="宋体" w:cs="宋体"/>
          <w:b/>
          <w:color w:val="auto"/>
          <w:szCs w:val="21"/>
          <w:highlight w:val="none"/>
        </w:rPr>
        <w:t xml:space="preserve">及本单位</w:t>
      </w:r>
      <w:r>
        <w:rPr>
          <w:rFonts w:hint="eastAsia" w:ascii="宋体" w:hAnsi="宋体" w:eastAsia="宋体" w:cs="宋体"/>
          <w:b/>
          <w:color w:val="auto"/>
          <w:szCs w:val="21"/>
          <w:highlight w:val="none"/>
        </w:rPr>
        <w:t xml:space="preserve">近三个月为其</w:t>
      </w:r>
      <w:r>
        <w:rPr>
          <w:rFonts w:hint="default" w:ascii="宋体" w:hAnsi="宋体" w:eastAsia="宋体" w:cs="宋体"/>
          <w:b/>
          <w:color w:val="auto"/>
          <w:szCs w:val="21"/>
          <w:highlight w:val="none"/>
        </w:rPr>
        <w:t xml:space="preserve">缴纳的社保证明，</w:t>
      </w:r>
      <w:r>
        <w:rPr>
          <w:rFonts w:hint="eastAsia" w:ascii="宋体" w:hAnsi="宋体" w:eastAsia="宋体" w:cs="宋体"/>
          <w:b/>
          <w:color w:val="auto"/>
          <w:szCs w:val="21"/>
          <w:highlight w:val="none"/>
        </w:rPr>
        <w:t xml:space="preserve">项目组</w:t>
      </w:r>
      <w:r>
        <w:rPr>
          <w:rFonts w:hint="default" w:ascii="宋体" w:hAnsi="宋体" w:eastAsia="宋体" w:cs="宋体"/>
          <w:b/>
          <w:color w:val="auto"/>
          <w:szCs w:val="21"/>
          <w:highlight w:val="none"/>
        </w:rPr>
        <w:t xml:space="preserve">人员不能</w:t>
      </w:r>
      <w:r>
        <w:rPr>
          <w:rFonts w:hint="eastAsia" w:ascii="宋体" w:hAnsi="宋体" w:eastAsia="宋体" w:cs="宋体"/>
          <w:b/>
          <w:color w:val="auto"/>
          <w:szCs w:val="21"/>
          <w:highlight w:val="none"/>
        </w:rPr>
        <w:t xml:space="preserve">重复、不能与</w:t>
      </w:r>
      <w:r>
        <w:rPr>
          <w:rFonts w:hint="default" w:ascii="宋体" w:hAnsi="宋体" w:eastAsia="宋体" w:cs="宋体"/>
          <w:b/>
          <w:color w:val="auto"/>
          <w:szCs w:val="21"/>
          <w:highlight w:val="none"/>
        </w:rPr>
        <w:t xml:space="preserve">项目负责人</w:t>
      </w:r>
      <w:r>
        <w:rPr>
          <w:rFonts w:hint="eastAsia" w:ascii="宋体" w:hAnsi="宋体" w:eastAsia="宋体" w:cs="宋体"/>
          <w:b/>
          <w:color w:val="auto"/>
          <w:szCs w:val="21"/>
          <w:highlight w:val="none"/>
        </w:rPr>
        <w:t xml:space="preserve">及技术负责人</w:t>
      </w:r>
      <w:r>
        <w:rPr>
          <w:rFonts w:hint="default" w:ascii="宋体" w:hAnsi="宋体" w:eastAsia="宋体" w:cs="宋体"/>
          <w:b/>
          <w:color w:val="auto"/>
          <w:szCs w:val="21"/>
          <w:highlight w:val="none"/>
        </w:rPr>
        <w:t xml:space="preserve">重复）</w:t>
      </w:r>
      <w:r/>
    </w:p>
    <w:p>
      <w:pPr>
        <w:ind w:firstLine="420"/>
        <w:spacing w:line="360" w:lineRule="auto"/>
        <w:rPr>
          <w:rFonts w:hint="default" w:ascii="宋体" w:hAnsi="宋体" w:eastAsia="宋体" w:cs="宋体"/>
          <w:b/>
          <w:color w:val="auto"/>
          <w:szCs w:val="21"/>
          <w:highlight w:val="none"/>
        </w:rPr>
      </w:pPr>
      <w:r>
        <w:rPr>
          <w:rFonts w:hint="eastAsia" w:ascii="宋体" w:hAnsi="宋体" w:eastAsia="宋体" w:cs="宋体"/>
          <w:color w:val="auto"/>
          <w:highlight w:val="none"/>
        </w:rPr>
        <w:t xml:space="preserve">★（</w:t>
      </w:r>
      <w:r>
        <w:rPr>
          <w:rFonts w:hint="default" w:ascii="宋体" w:hAnsi="宋体" w:eastAsia="宋体" w:cs="宋体"/>
          <w:color w:val="auto"/>
          <w:highlight w:val="none"/>
        </w:rPr>
        <w:t xml:space="preserve">5</w:t>
      </w:r>
      <w:r>
        <w:rPr>
          <w:rFonts w:hint="eastAsia" w:ascii="宋体" w:hAnsi="宋体" w:eastAsia="宋体" w:cs="宋体"/>
          <w:color w:val="auto"/>
          <w:highlight w:val="none"/>
        </w:rPr>
        <w:t xml:space="preserve">）响应单位须为本项目提供至少1名免费驻场服务人员，用于公安交警平台保障、平台巡检及维护台账管理等服务，遵守公安机关信息安全管理规定并签署保密协议，驻场服务期至少1年。</w:t>
      </w:r>
      <w:r>
        <w:rPr>
          <w:rFonts w:hint="eastAsia" w:ascii="宋体" w:hAnsi="宋体" w:eastAsia="宋体" w:cs="宋体"/>
          <w:b/>
          <w:color w:val="auto"/>
          <w:szCs w:val="21"/>
          <w:highlight w:val="none"/>
        </w:rPr>
        <w:t xml:space="preserve">（响应文件中须提供免费驻场服务承诺函、驻场人员身份证复印件及本单位近三个月为其缴纳的社保证明，并加盖公章）</w:t>
      </w:r>
      <w:r/>
    </w:p>
    <w:p>
      <w:pPr>
        <w:ind w:firstLine="420"/>
        <w:spacing w:line="360" w:lineRule="auto"/>
        <w:rPr>
          <w:rFonts w:hint="default" w:ascii="宋体" w:hAnsi="宋体" w:eastAsia="宋体" w:cs="宋体"/>
          <w:b/>
          <w:color w:val="auto"/>
          <w:szCs w:val="21"/>
          <w:highlight w:val="none"/>
        </w:rPr>
      </w:pPr>
      <w:r>
        <w:rPr>
          <w:rFonts w:hint="eastAsia" w:ascii="宋体" w:hAnsi="宋体" w:eastAsia="宋体" w:cs="宋体"/>
          <w:b/>
          <w:color w:val="auto"/>
          <w:highlight w:val="none"/>
        </w:rPr>
        <w:t xml:space="preserve">★</w:t>
      </w:r>
      <w:r>
        <w:rPr>
          <w:rFonts w:hint="eastAsia" w:ascii="宋体" w:hAnsi="宋体" w:eastAsia="宋体" w:cs="Tahoma"/>
          <w:color w:val="auto"/>
          <w:szCs w:val="21"/>
          <w:highlight w:val="none"/>
        </w:rPr>
        <w:t xml:space="preserve">（</w:t>
      </w:r>
      <w:r>
        <w:rPr>
          <w:rFonts w:hint="default" w:ascii="宋体" w:hAnsi="宋体" w:eastAsia="宋体" w:cs="Tahoma"/>
          <w:color w:val="auto"/>
          <w:szCs w:val="21"/>
          <w:highlight w:val="none"/>
        </w:rPr>
        <w:t xml:space="preserve">6</w:t>
      </w:r>
      <w:r>
        <w:rPr>
          <w:rFonts w:hint="eastAsia" w:ascii="宋体" w:hAnsi="宋体" w:eastAsia="宋体" w:cs="Tahoma"/>
          <w:color w:val="auto"/>
          <w:szCs w:val="21"/>
          <w:highlight w:val="none"/>
        </w:rPr>
        <w:t xml:space="preserve">）</w:t>
      </w:r>
      <w:r>
        <w:rPr>
          <w:rFonts w:hint="eastAsia" w:ascii="宋体" w:hAnsi="宋体" w:eastAsia="宋体" w:cs="宋体"/>
          <w:color w:val="auto"/>
          <w:szCs w:val="21"/>
          <w:highlight w:val="none"/>
        </w:rPr>
        <w:t xml:space="preserve">响应</w:t>
      </w:r>
      <w:r>
        <w:rPr>
          <w:rFonts w:hint="default" w:ascii="宋体" w:hAnsi="宋体" w:eastAsia="宋体" w:cs="宋体"/>
          <w:color w:val="auto"/>
          <w:szCs w:val="21"/>
          <w:highlight w:val="none"/>
        </w:rPr>
        <w:t xml:space="preserve">单位</w:t>
      </w:r>
      <w:r>
        <w:rPr>
          <w:rFonts w:hint="eastAsia" w:ascii="宋体" w:hAnsi="宋体" w:eastAsia="宋体" w:cs="宋体"/>
          <w:color w:val="auto"/>
          <w:szCs w:val="21"/>
          <w:highlight w:val="none"/>
        </w:rPr>
        <w:t xml:space="preserve">须</w:t>
      </w:r>
      <w:r>
        <w:rPr>
          <w:rFonts w:hint="default" w:ascii="宋体" w:hAnsi="宋体" w:eastAsia="宋体" w:cs="宋体"/>
          <w:color w:val="auto"/>
          <w:szCs w:val="21"/>
          <w:highlight w:val="none"/>
        </w:rPr>
        <w:t xml:space="preserve">具有有效期</w:t>
      </w:r>
      <w:r>
        <w:rPr>
          <w:rFonts w:hint="eastAsia" w:ascii="宋体" w:hAnsi="宋体" w:eastAsia="宋体" w:cs="宋体"/>
          <w:color w:val="auto"/>
          <w:szCs w:val="21"/>
          <w:highlight w:val="none"/>
        </w:rPr>
        <w:t xml:space="preserve">内</w:t>
      </w:r>
      <w:r>
        <w:rPr>
          <w:rFonts w:hint="default" w:ascii="宋体" w:hAnsi="宋体" w:eastAsia="宋体" w:cs="宋体"/>
          <w:color w:val="auto"/>
          <w:szCs w:val="21"/>
          <w:highlight w:val="none"/>
        </w:rPr>
        <w:t xml:space="preserve">的质量管理体系认证</w:t>
      </w:r>
      <w:r>
        <w:rPr>
          <w:rFonts w:hint="eastAsia" w:ascii="宋体" w:hAnsi="宋体" w:eastAsia="宋体" w:cs="宋体"/>
          <w:color w:val="auto"/>
          <w:szCs w:val="21"/>
          <w:highlight w:val="none"/>
        </w:rPr>
        <w:t xml:space="preserve">证书。</w:t>
      </w:r>
      <w:r>
        <w:rPr>
          <w:rFonts w:hint="eastAsia" w:ascii="宋体" w:hAnsi="宋体" w:eastAsia="宋体" w:cs="宋体"/>
          <w:b/>
          <w:color w:val="auto"/>
          <w:szCs w:val="21"/>
          <w:highlight w:val="none"/>
        </w:rPr>
        <w:t xml:space="preserve">（响应文件中提供有效期内的证书扫描件并</w:t>
      </w:r>
      <w:r>
        <w:rPr>
          <w:rFonts w:hint="default" w:ascii="宋体" w:hAnsi="宋体" w:eastAsia="宋体" w:cs="宋体"/>
          <w:b/>
          <w:color w:val="auto"/>
          <w:szCs w:val="21"/>
          <w:highlight w:val="none"/>
        </w:rPr>
        <w:t xml:space="preserve">加盖公章</w:t>
      </w:r>
      <w:r>
        <w:rPr>
          <w:rFonts w:hint="eastAsia" w:ascii="宋体" w:hAnsi="宋体" w:eastAsia="宋体" w:cs="宋体"/>
          <w:b/>
          <w:color w:val="auto"/>
          <w:szCs w:val="21"/>
          <w:highlight w:val="none"/>
        </w:rPr>
        <w:t xml:space="preserve">，</w:t>
      </w:r>
      <w:r>
        <w:rPr>
          <w:rFonts w:hint="default" w:ascii="宋体" w:hAnsi="宋体" w:eastAsia="宋体" w:cs="宋体"/>
          <w:b/>
          <w:color w:val="auto"/>
          <w:szCs w:val="21"/>
          <w:highlight w:val="none"/>
        </w:rPr>
        <w:t xml:space="preserve">并提供全国认证认可信息公共服务平台查询截图</w:t>
      </w:r>
      <w:r>
        <w:rPr>
          <w:rFonts w:hint="eastAsia" w:ascii="宋体" w:hAnsi="宋体" w:eastAsia="宋体" w:cs="宋体"/>
          <w:b/>
          <w:color w:val="auto"/>
          <w:szCs w:val="21"/>
          <w:highlight w:val="none"/>
        </w:rPr>
        <w:t xml:space="preserve">）</w:t>
      </w:r>
      <w:r/>
    </w:p>
    <w:p>
      <w:pPr>
        <w:ind w:firstLine="420"/>
        <w:spacing w:line="360" w:lineRule="auto"/>
        <w:rPr>
          <w:rFonts w:hint="default" w:ascii="宋体" w:hAnsi="宋体" w:eastAsia="宋体" w:cs="宋体"/>
          <w:b/>
          <w:color w:val="auto"/>
          <w:szCs w:val="21"/>
          <w:highlight w:val="none"/>
        </w:rPr>
      </w:pPr>
      <w:r>
        <w:rPr>
          <w:rFonts w:hint="default" w:ascii="宋体" w:hAnsi="宋体" w:eastAsia="宋体" w:cs="宋体"/>
          <w:b/>
          <w:color w:val="auto"/>
          <w:szCs w:val="21"/>
          <w:highlight w:val="none"/>
        </w:rPr>
        <w:t xml:space="preserve">（</w:t>
      </w:r>
      <w:r>
        <w:rPr>
          <w:rFonts w:hint="eastAsia" w:ascii="宋体" w:hAnsi="宋体" w:eastAsia="宋体" w:cs="宋体"/>
          <w:b/>
          <w:color w:val="auto"/>
          <w:szCs w:val="21"/>
          <w:highlight w:val="none"/>
        </w:rPr>
        <w:t xml:space="preserve">查询地址：</w:t>
      </w: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HYPERLINK "http://cx.cnca.cn/CertECloud/result/skipResultList" \o "http://cx.cnca.cn/CertECloud/result/skipResultList" </w:instrText>
      </w:r>
      <w:r>
        <w:rPr>
          <w:rFonts w:hint="default" w:ascii="Times New Roman" w:hAnsi="Times New Roman" w:eastAsia="宋体" w:cs="Times New Roman"/>
          <w:color w:val="auto"/>
          <w:highlight w:val="none"/>
        </w:rPr>
        <w:fldChar w:fldCharType="separate"/>
      </w:r>
      <w:r>
        <w:rPr>
          <w:rFonts w:hint="default" w:ascii="宋体" w:hAnsi="宋体" w:eastAsia="宋体" w:cs="宋体"/>
          <w:b/>
          <w:color w:val="auto"/>
          <w:szCs w:val="21"/>
          <w:highlight w:val="none"/>
          <w:u w:val="single"/>
        </w:rPr>
        <w:t xml:space="preserve">http://cx.cnca.cn/CertECloud/result/skipResultList</w:t>
      </w:r>
      <w:r>
        <w:rPr>
          <w:rFonts w:hint="default" w:ascii="宋体" w:hAnsi="宋体" w:eastAsia="宋体" w:cs="宋体"/>
          <w:b/>
          <w:color w:val="auto"/>
          <w:szCs w:val="21"/>
          <w:highlight w:val="none"/>
          <w:u w:val="single"/>
        </w:rPr>
        <w:fldChar w:fldCharType="end"/>
      </w:r>
      <w:r>
        <w:rPr>
          <w:rFonts w:hint="default" w:ascii="宋体" w:hAnsi="宋体" w:eastAsia="宋体" w:cs="宋体"/>
          <w:b/>
          <w:color w:val="auto"/>
          <w:szCs w:val="21"/>
          <w:highlight w:val="none"/>
        </w:rPr>
        <w:t xml:space="preserve">）</w:t>
      </w:r>
      <w:r/>
    </w:p>
    <w:p>
      <w:pPr>
        <w:ind w:firstLine="420"/>
        <w:spacing w:line="360" w:lineRule="auto"/>
        <w:rPr>
          <w:rFonts w:hint="default" w:ascii="Times New Roman" w:hAnsi="Times New Roman" w:eastAsia="宋体" w:cs="Times New Roman"/>
          <w:color w:val="auto"/>
          <w:highlight w:val="none"/>
        </w:rPr>
      </w:pPr>
      <w:r>
        <w:rPr>
          <w:rFonts w:hint="eastAsia" w:ascii="宋体" w:hAnsi="宋体" w:eastAsia="宋体" w:cs="宋体"/>
          <w:b/>
          <w:color w:val="auto"/>
          <w:highlight w:val="none"/>
        </w:rPr>
        <w:t xml:space="preserve">★</w:t>
      </w:r>
      <w:r>
        <w:rPr>
          <w:rFonts w:hint="eastAsia" w:ascii="宋体" w:hAnsi="宋体" w:eastAsia="宋体" w:cs="Tahoma"/>
          <w:color w:val="auto"/>
          <w:szCs w:val="21"/>
          <w:highlight w:val="none"/>
        </w:rPr>
        <w:t xml:space="preserve">（</w:t>
      </w:r>
      <w:r>
        <w:rPr>
          <w:rFonts w:hint="default" w:ascii="宋体" w:hAnsi="宋体" w:eastAsia="宋体" w:cs="Tahoma"/>
          <w:color w:val="auto"/>
          <w:szCs w:val="21"/>
          <w:highlight w:val="none"/>
        </w:rPr>
        <w:t xml:space="preserve">7</w:t>
      </w:r>
      <w:r>
        <w:rPr>
          <w:rFonts w:hint="eastAsia" w:ascii="宋体" w:hAnsi="宋体" w:eastAsia="宋体" w:cs="Tahoma"/>
          <w:color w:val="auto"/>
          <w:szCs w:val="21"/>
          <w:highlight w:val="none"/>
        </w:rPr>
        <w:t xml:space="preserve">）</w:t>
      </w:r>
      <w:r>
        <w:rPr>
          <w:rFonts w:hint="default" w:ascii="宋体" w:hAnsi="宋体" w:eastAsia="宋体" w:cs="Times New Roman"/>
          <w:color w:val="auto"/>
          <w:szCs w:val="21"/>
          <w:highlight w:val="none"/>
        </w:rPr>
        <w:t xml:space="preserve">响应单位</w:t>
      </w:r>
      <w:r>
        <w:rPr>
          <w:rFonts w:hint="eastAsia" w:ascii="宋体" w:hAnsi="宋体" w:eastAsia="宋体" w:cs="宋体"/>
          <w:color w:val="auto"/>
          <w:szCs w:val="21"/>
          <w:highlight w:val="none"/>
        </w:rPr>
        <w:t xml:space="preserve">须</w:t>
      </w:r>
      <w:r>
        <w:rPr>
          <w:rFonts w:hint="eastAsia" w:ascii="宋体" w:hAnsi="宋体" w:eastAsia="宋体" w:cs="Times New Roman"/>
          <w:color w:val="auto"/>
          <w:szCs w:val="21"/>
          <w:highlight w:val="none"/>
        </w:rPr>
        <w:t xml:space="preserve">具有有效的电子与智能化工程专业承包贰级及以上证书、安防工程企业设计施工维护能力贰级及以上证书。</w:t>
      </w:r>
      <w:r>
        <w:rPr>
          <w:rFonts w:hint="eastAsia" w:ascii="宋体" w:hAnsi="宋体" w:eastAsia="宋体" w:cs="Times New Roman"/>
          <w:b/>
          <w:color w:val="auto"/>
          <w:szCs w:val="21"/>
          <w:highlight w:val="none"/>
        </w:rPr>
        <w:t xml:space="preserve">（提供有效的相关证书扫描件</w:t>
      </w:r>
      <w:r>
        <w:rPr>
          <w:rFonts w:hint="default" w:ascii="宋体" w:hAnsi="宋体" w:eastAsia="宋体" w:cs="Times New Roman"/>
          <w:b/>
          <w:color w:val="auto"/>
          <w:szCs w:val="21"/>
          <w:highlight w:val="none"/>
        </w:rPr>
        <w:t xml:space="preserve">并加盖投标单位公章</w:t>
      </w:r>
      <w:r>
        <w:rPr>
          <w:rFonts w:hint="eastAsia" w:ascii="宋体" w:hAnsi="宋体" w:eastAsia="宋体" w:cs="Times New Roman"/>
          <w:b/>
          <w:color w:val="auto"/>
          <w:szCs w:val="21"/>
          <w:highlight w:val="none"/>
        </w:rPr>
        <w:t xml:space="preserve">）</w:t>
      </w:r>
      <w:r/>
    </w:p>
    <w:p>
      <w:pPr>
        <w:ind w:firstLine="420"/>
        <w:spacing w:line="360" w:lineRule="auto"/>
        <w:rPr>
          <w:rFonts w:hint="default" w:ascii="宋体" w:hAnsi="宋体" w:eastAsia="宋体" w:cs="宋体"/>
          <w:b/>
          <w:color w:val="auto"/>
          <w:szCs w:val="21"/>
          <w:highlight w:val="none"/>
        </w:rPr>
      </w:pPr>
      <w:r>
        <w:rPr>
          <w:rFonts w:hint="eastAsia" w:ascii="宋体" w:hAnsi="宋体" w:eastAsia="宋体" w:cs="宋体"/>
          <w:b/>
          <w:color w:val="auto"/>
          <w:highlight w:val="none"/>
        </w:rPr>
        <w:t xml:space="preserve">★</w:t>
      </w:r>
      <w:r>
        <w:rPr>
          <w:rFonts w:hint="eastAsia" w:ascii="宋体" w:hAnsi="宋体" w:eastAsia="宋体" w:cs="Tahoma"/>
          <w:color w:val="auto"/>
          <w:szCs w:val="21"/>
          <w:highlight w:val="none"/>
        </w:rPr>
        <w:t xml:space="preserve">（</w:t>
      </w:r>
      <w:r>
        <w:rPr>
          <w:rFonts w:hint="default" w:ascii="宋体" w:hAnsi="宋体" w:eastAsia="宋体" w:cs="Tahoma"/>
          <w:color w:val="auto"/>
          <w:szCs w:val="21"/>
          <w:highlight w:val="none"/>
        </w:rPr>
        <w:t xml:space="preserve">8</w:t>
      </w:r>
      <w:r>
        <w:rPr>
          <w:rFonts w:hint="eastAsia" w:ascii="宋体" w:hAnsi="宋体" w:eastAsia="宋体" w:cs="Tahoma"/>
          <w:color w:val="auto"/>
          <w:szCs w:val="21"/>
          <w:highlight w:val="none"/>
        </w:rPr>
        <w:t xml:space="preserve">）</w:t>
      </w:r>
      <w:r>
        <w:rPr>
          <w:rFonts w:hint="eastAsia" w:ascii="宋体" w:hAnsi="宋体" w:eastAsia="宋体" w:cs="宋体"/>
          <w:color w:val="auto"/>
          <w:szCs w:val="21"/>
          <w:highlight w:val="none"/>
        </w:rPr>
        <w:t xml:space="preserve">响应单位须专门为本项目配备适合高空作业的施工维护车辆不少于2辆。</w:t>
      </w:r>
      <w:r>
        <w:rPr>
          <w:rFonts w:hint="eastAsia" w:ascii="宋体" w:hAnsi="宋体" w:eastAsia="宋体" w:cs="宋体"/>
          <w:b/>
          <w:color w:val="auto"/>
          <w:szCs w:val="21"/>
          <w:highlight w:val="none"/>
        </w:rPr>
        <w:t xml:space="preserve">（若为自有产权车辆须提供车辆照片、行驶证</w:t>
      </w:r>
      <w:r>
        <w:rPr>
          <w:rFonts w:hint="default" w:ascii="宋体" w:hAnsi="宋体" w:eastAsia="宋体" w:cs="宋体"/>
          <w:b/>
          <w:color w:val="auto"/>
          <w:szCs w:val="21"/>
          <w:highlight w:val="none"/>
        </w:rPr>
        <w:t xml:space="preserve">或产权登记证扫描件</w:t>
      </w:r>
      <w:r>
        <w:rPr>
          <w:rFonts w:hint="eastAsia" w:ascii="宋体" w:hAnsi="宋体" w:eastAsia="宋体" w:cs="宋体"/>
          <w:b/>
          <w:color w:val="auto"/>
          <w:szCs w:val="21"/>
          <w:highlight w:val="none"/>
        </w:rPr>
        <w:t xml:space="preserve">；若为租赁车辆须提供车辆照片、行驶证、租赁合同扫描件及租赁发票）</w:t>
      </w:r>
      <w:r/>
    </w:p>
    <w:p>
      <w:pPr>
        <w:ind w:firstLine="422"/>
        <w:spacing w:line="360" w:lineRule="auto"/>
        <w:rPr>
          <w:rFonts w:hint="default" w:ascii="宋体" w:hAnsi="宋体" w:eastAsia="宋体" w:cs="Times New Roman"/>
          <w:b/>
          <w:color w:val="auto"/>
          <w:szCs w:val="21"/>
          <w:highlight w:val="none"/>
        </w:rPr>
      </w:pPr>
      <w:r>
        <w:rPr>
          <w:rFonts w:hint="eastAsia" w:ascii="宋体" w:hAnsi="宋体" w:eastAsia="宋体" w:cs="宋体"/>
          <w:b/>
          <w:color w:val="auto"/>
          <w:highlight w:val="none"/>
        </w:rPr>
        <w:t xml:space="preserve">★</w:t>
      </w:r>
      <w:r>
        <w:rPr>
          <w:rFonts w:hint="eastAsia" w:ascii="宋体" w:hAnsi="宋体" w:eastAsia="宋体" w:cs="Tahoma"/>
          <w:color w:val="auto"/>
          <w:szCs w:val="21"/>
          <w:highlight w:val="none"/>
        </w:rPr>
        <w:t xml:space="preserve">（</w:t>
      </w:r>
      <w:r>
        <w:rPr>
          <w:rFonts w:hint="default" w:ascii="宋体" w:hAnsi="宋体" w:eastAsia="宋体" w:cs="Tahoma"/>
          <w:color w:val="auto"/>
          <w:szCs w:val="21"/>
          <w:highlight w:val="none"/>
        </w:rPr>
        <w:t xml:space="preserve">9</w:t>
      </w:r>
      <w:r>
        <w:rPr>
          <w:rFonts w:hint="eastAsia" w:ascii="宋体" w:hAnsi="宋体" w:eastAsia="宋体" w:cs="Tahoma"/>
          <w:color w:val="auto"/>
          <w:szCs w:val="21"/>
          <w:highlight w:val="none"/>
        </w:rPr>
        <w:t xml:space="preserve">）</w:t>
      </w:r>
      <w:r>
        <w:rPr>
          <w:rFonts w:hint="eastAsia" w:ascii="宋体" w:hAnsi="宋体" w:eastAsia="宋体" w:cs="Times New Roman"/>
          <w:color w:val="auto"/>
          <w:szCs w:val="21"/>
          <w:highlight w:val="none"/>
        </w:rPr>
        <w:t xml:space="preserve">响应单位自20</w:t>
      </w:r>
      <w:r>
        <w:rPr>
          <w:rFonts w:hint="default" w:ascii="宋体" w:hAnsi="宋体" w:eastAsia="宋体" w:cs="Times New Roman"/>
          <w:color w:val="auto"/>
          <w:szCs w:val="21"/>
          <w:highlight w:val="none"/>
        </w:rPr>
        <w:t xml:space="preserve">23</w:t>
      </w:r>
      <w:r>
        <w:rPr>
          <w:rFonts w:hint="eastAsia" w:ascii="宋体" w:hAnsi="宋体" w:eastAsia="宋体" w:cs="Times New Roman"/>
          <w:color w:val="auto"/>
          <w:szCs w:val="21"/>
          <w:highlight w:val="none"/>
        </w:rPr>
        <w:t xml:space="preserve">年</w:t>
      </w:r>
      <w:r>
        <w:rPr>
          <w:rFonts w:hint="default"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rPr>
        <w:t xml:space="preserve">月至今（以合同签订日期为准）承担过的类似服务项目业绩不少于2个。</w:t>
      </w:r>
      <w:r>
        <w:rPr>
          <w:rFonts w:hint="eastAsia" w:ascii="宋体" w:hAnsi="宋体" w:eastAsia="宋体" w:cs="Times New Roman"/>
          <w:b/>
          <w:color w:val="auto"/>
          <w:szCs w:val="21"/>
          <w:highlight w:val="none"/>
        </w:rPr>
        <w:t xml:space="preserve">（提供有效合同及3</w:t>
      </w:r>
      <w:r>
        <w:rPr>
          <w:rFonts w:hint="default" w:ascii="宋体" w:hAnsi="宋体" w:eastAsia="宋体" w:cs="Times New Roman"/>
          <w:b/>
          <w:color w:val="auto"/>
          <w:szCs w:val="21"/>
          <w:highlight w:val="none"/>
        </w:rPr>
        <w:t xml:space="preserve">0%</w:t>
      </w:r>
      <w:r>
        <w:rPr>
          <w:rFonts w:hint="eastAsia" w:ascii="宋体" w:hAnsi="宋体" w:eastAsia="宋体" w:cs="Times New Roman"/>
          <w:b/>
          <w:color w:val="auto"/>
          <w:szCs w:val="21"/>
          <w:highlight w:val="none"/>
        </w:rPr>
        <w:t xml:space="preserve">发票证明扫描件并加盖</w:t>
      </w:r>
      <w:r>
        <w:rPr>
          <w:rFonts w:hint="default" w:ascii="宋体" w:hAnsi="宋体" w:eastAsia="宋体" w:cs="Times New Roman"/>
          <w:b/>
          <w:color w:val="auto"/>
          <w:szCs w:val="21"/>
          <w:highlight w:val="none"/>
        </w:rPr>
        <w:t xml:space="preserve">投标单位</w:t>
      </w:r>
      <w:r>
        <w:rPr>
          <w:rFonts w:hint="eastAsia" w:ascii="宋体" w:hAnsi="宋体" w:eastAsia="宋体" w:cs="Times New Roman"/>
          <w:b/>
          <w:color w:val="auto"/>
          <w:szCs w:val="21"/>
          <w:highlight w:val="none"/>
        </w:rPr>
        <w:t xml:space="preserve">公章）</w:t>
      </w:r>
      <w:r/>
    </w:p>
    <w:p>
      <w:pPr>
        <w:ind w:firstLine="422"/>
        <w:spacing w:line="360" w:lineRule="auto"/>
        <w:rPr>
          <w:rFonts w:hint="default" w:ascii="宋体" w:hAnsi="宋体" w:eastAsia="宋体" w:cs="宋体"/>
          <w:b/>
          <w:color w:val="auto"/>
          <w:highlight w:val="none"/>
        </w:rPr>
      </w:pPr>
      <w:r>
        <w:rPr>
          <w:rFonts w:hint="eastAsia" w:ascii="宋体" w:hAnsi="宋体" w:eastAsia="宋体" w:cs="宋体"/>
          <w:b/>
          <w:color w:val="auto"/>
          <w:highlight w:val="none"/>
        </w:rPr>
        <w:t xml:space="preserve">上述带★项需按要求提供相关证明资料，</w:t>
      </w:r>
      <w:r>
        <w:rPr>
          <w:rFonts w:hint="default" w:ascii="宋体" w:hAnsi="宋体" w:eastAsia="宋体" w:cs="宋体"/>
          <w:b/>
          <w:color w:val="auto"/>
          <w:highlight w:val="none"/>
        </w:rPr>
        <w:t xml:space="preserve">否则，视为未实质性响应谈判文件。</w:t>
      </w:r>
      <w:r/>
    </w:p>
    <w:p>
      <w:pPr>
        <w:ind w:firstLine="422"/>
        <w:spacing w:line="360" w:lineRule="auto"/>
        <w:rPr>
          <w:rFonts w:hint="default" w:ascii="宋体" w:hAnsi="宋体" w:eastAsia="宋体" w:cs="宋体"/>
          <w:b/>
          <w:color w:val="auto"/>
          <w:highlight w:val="none"/>
        </w:rPr>
      </w:pPr>
      <w:r>
        <w:rPr>
          <w:rFonts w:hint="default" w:ascii="宋体" w:hAnsi="宋体" w:eastAsia="宋体" w:cs="宋体"/>
          <w:b/>
          <w:color w:val="auto"/>
          <w:highlight w:val="none"/>
        </w:rPr>
        <w:t xml:space="preserve">2</w:t>
      </w:r>
      <w:r>
        <w:rPr>
          <w:rFonts w:hint="eastAsia" w:ascii="宋体" w:hAnsi="宋体" w:eastAsia="宋体" w:cs="宋体"/>
          <w:b/>
          <w:color w:val="auto"/>
          <w:highlight w:val="none"/>
        </w:rPr>
        <w:t xml:space="preserve">、维护服务相关工作机制</w:t>
      </w:r>
      <w:r/>
    </w:p>
    <w:p>
      <w:pPr>
        <w:ind w:firstLine="420"/>
        <w:spacing w:line="360" w:lineRule="auto"/>
        <w:rPr>
          <w:rFonts w:hint="default" w:ascii="宋体" w:hAnsi="宋体" w:eastAsia="宋体" w:cs="宋体"/>
          <w:color w:val="auto"/>
          <w:highlight w:val="none"/>
        </w:rPr>
      </w:pPr>
      <w:r>
        <w:rPr>
          <w:rFonts w:hint="eastAsia" w:ascii="宋体" w:hAnsi="宋体" w:eastAsia="宋体" w:cs="宋体"/>
          <w:color w:val="auto"/>
          <w:highlight w:val="none"/>
        </w:rPr>
        <w:t xml:space="preserve">道路交通电子警察类维护服务主要来源：上级督办、领导交办、信访投诉、巡查发现、交通转换、隐患排除、其他来源。</w:t>
      </w:r>
      <w:r/>
    </w:p>
    <w:p>
      <w:pPr>
        <w:ind w:firstLine="422"/>
        <w:spacing w:line="360" w:lineRule="auto"/>
        <w:rPr>
          <w:rFonts w:hint="default" w:ascii="宋体" w:hAnsi="宋体" w:eastAsia="宋体" w:cs="宋体"/>
          <w:b/>
          <w:color w:val="auto"/>
          <w:highlight w:val="none"/>
        </w:rPr>
      </w:pPr>
      <w:r>
        <w:rPr>
          <w:rFonts w:hint="default" w:ascii="宋体" w:hAnsi="宋体" w:eastAsia="宋体" w:cs="宋体"/>
          <w:b/>
          <w:color w:val="auto"/>
          <w:highlight w:val="none"/>
        </w:rPr>
        <w:t xml:space="preserve">3</w:t>
      </w:r>
      <w:r>
        <w:rPr>
          <w:rFonts w:hint="eastAsia" w:ascii="宋体" w:hAnsi="宋体" w:eastAsia="宋体" w:cs="宋体"/>
          <w:b/>
          <w:color w:val="auto"/>
          <w:highlight w:val="none"/>
        </w:rPr>
        <w:t xml:space="preserve">、维护服务基本服务流程</w:t>
      </w:r>
      <w:r/>
    </w:p>
    <w:p>
      <w:pPr>
        <w:ind w:firstLine="422"/>
        <w:spacing w:line="360" w:lineRule="auto"/>
        <w:rPr>
          <w:rFonts w:hint="default" w:ascii="宋体" w:hAnsi="宋体" w:eastAsia="宋体" w:cs="宋体"/>
          <w:b/>
          <w:color w:val="auto"/>
          <w:highlight w:val="none"/>
        </w:rPr>
      </w:pPr>
      <w:r>
        <w:rPr>
          <w:rFonts w:hint="eastAsia" w:ascii="宋体" w:hAnsi="宋体" w:eastAsia="宋体" w:cs="宋体"/>
          <w:b/>
          <w:color w:val="auto"/>
          <w:highlight w:val="none"/>
        </w:rPr>
        <w:t xml:space="preserve">（1）电子警察类交通设施一般维护服务流程</w:t>
      </w:r>
      <w:r/>
    </w:p>
    <w:p>
      <w:pPr>
        <w:ind w:firstLine="420"/>
        <w:spacing w:line="360" w:lineRule="auto"/>
        <w:rPr>
          <w:rFonts w:hint="default" w:ascii="宋体" w:hAnsi="宋体" w:eastAsia="宋体" w:cs="宋体"/>
          <w:color w:val="auto"/>
          <w:highlight w:val="none"/>
        </w:rPr>
      </w:pPr>
      <w:r>
        <w:rPr>
          <w:rFonts w:hint="eastAsia" w:ascii="宋体" w:hAnsi="宋体" w:eastAsia="宋体" w:cs="宋体"/>
          <w:color w:val="auto"/>
          <w:highlight w:val="none"/>
        </w:rPr>
        <w:t xml:space="preserve">巡查发现或接到昆山市公安局（交通管理大队）的工作指令——立即响应——30分钟内到达现场先行拍照、记录并将具体情况电话报告昆山市公安局（交通管理大队）管理人员，每周一前制作维护服务预算——得到管理人员许可后进行相关作业，作业时维护方应同时通知监理单位到现场确认——根据监理单位要求，每周将交通设施维护服务工程量签证单（附打印照片）送至监理单位复核工程量及金额——监理单位复核后交昆山市公安局（交通管理大队）管理人员进行再次复查后进行签证确认。</w:t>
      </w:r>
      <w:r/>
    </w:p>
    <w:p>
      <w:pPr>
        <w:ind w:firstLine="422"/>
        <w:spacing w:line="360" w:lineRule="auto"/>
        <w:rPr>
          <w:rFonts w:hint="default" w:ascii="宋体" w:hAnsi="宋体" w:eastAsia="宋体" w:cs="宋体"/>
          <w:b/>
          <w:color w:val="auto"/>
          <w:highlight w:val="none"/>
        </w:rPr>
      </w:pPr>
      <w:r>
        <w:rPr>
          <w:rFonts w:hint="eastAsia" w:ascii="宋体" w:hAnsi="宋体" w:eastAsia="宋体" w:cs="宋体"/>
          <w:b/>
          <w:color w:val="auto"/>
          <w:highlight w:val="none"/>
        </w:rPr>
        <w:t xml:space="preserve">（2）电子警察类交通设施应急抢修流程</w:t>
      </w:r>
      <w:r/>
    </w:p>
    <w:p>
      <w:pPr>
        <w:ind w:firstLine="420"/>
        <w:spacing w:line="360" w:lineRule="auto"/>
        <w:rPr>
          <w:rFonts w:hint="default" w:ascii="宋体" w:hAnsi="宋体" w:eastAsia="宋体" w:cs="宋体"/>
          <w:color w:val="auto"/>
          <w:highlight w:val="none"/>
        </w:rPr>
      </w:pPr>
      <w:r>
        <w:rPr>
          <w:rFonts w:hint="eastAsia" w:ascii="宋体" w:hAnsi="宋体" w:eastAsia="宋体" w:cs="宋体"/>
          <w:color w:val="auto"/>
          <w:highlight w:val="none"/>
        </w:rPr>
        <w:t xml:space="preserve">巡查发现或接到昆山市公安局（交通管理大队）的工作指令——立即响应——30分钟内到达现场先行拍照、记录并将具体情况电话报告昆山市公安局（交通管理大队）管理人员——得到管理人员许可后进行相关作业，作业时维护方应同时通知监理单位到现场确认——根据监理要求，每周将交通设施维护服务工程量签证单（附打印照片）送至监理单位复核工程量及金额——监理单位复核后交昆山市公安局（交通管理大队）管理人员进行再次复查后进行签证确认。</w:t>
      </w:r>
      <w:r/>
    </w:p>
    <w:p>
      <w:pPr>
        <w:ind w:firstLine="422"/>
        <w:spacing w:line="360" w:lineRule="auto"/>
        <w:rPr>
          <w:rFonts w:hint="default" w:ascii="宋体" w:hAnsi="宋体" w:eastAsia="宋体" w:cs="宋体"/>
          <w:b/>
          <w:color w:val="auto"/>
          <w:highlight w:val="none"/>
        </w:rPr>
      </w:pPr>
      <w:r>
        <w:rPr>
          <w:rFonts w:hint="eastAsia" w:ascii="宋体" w:hAnsi="宋体" w:eastAsia="宋体" w:cs="宋体"/>
          <w:b/>
          <w:color w:val="auto"/>
          <w:highlight w:val="none"/>
        </w:rPr>
        <w:t xml:space="preserve">（3）因交通事故等情形导致电子警察类交通设施损坏抢修流程</w:t>
      </w:r>
      <w:r/>
    </w:p>
    <w:p>
      <w:pPr>
        <w:ind w:firstLine="420"/>
        <w:spacing w:line="360" w:lineRule="auto"/>
        <w:rPr>
          <w:rFonts w:hint="default" w:ascii="宋体" w:hAnsi="宋体" w:eastAsia="宋体" w:cs="宋体"/>
          <w:color w:val="auto"/>
          <w:highlight w:val="none"/>
        </w:rPr>
      </w:pPr>
      <w:r>
        <w:rPr>
          <w:rFonts w:hint="eastAsia" w:ascii="宋体" w:hAnsi="宋体" w:eastAsia="宋体" w:cs="宋体"/>
          <w:color w:val="auto"/>
          <w:highlight w:val="none"/>
        </w:rPr>
        <w:t xml:space="preserve">巡查发现或接到昆山市公安局（交通管理大队）的工作指令——立即响应——30分钟内到达现场先行拍照、记录并将具体情况电话报告昆山市公安局（交通管理大队）管理人员——得到管理人员许可后进行相关作业，作业时维护方应同时通知监理单位、属地交管中队到现场取证——制作相关维修费用清单报属地交管中队，按照交通事故等相关规定处理。</w:t>
      </w:r>
      <w:r/>
    </w:p>
    <w:p>
      <w:pPr>
        <w:ind w:firstLine="422"/>
        <w:spacing w:line="360" w:lineRule="auto"/>
        <w:rPr>
          <w:rFonts w:hint="default" w:ascii="宋体" w:hAnsi="宋体" w:eastAsia="宋体" w:cs="宋体"/>
          <w:b/>
          <w:color w:val="auto"/>
          <w:highlight w:val="none"/>
        </w:rPr>
      </w:pPr>
      <w:r>
        <w:rPr>
          <w:rFonts w:hint="eastAsia" w:ascii="宋体" w:hAnsi="宋体" w:eastAsia="宋体" w:cs="宋体"/>
          <w:b/>
          <w:color w:val="auto"/>
          <w:highlight w:val="none"/>
        </w:rPr>
        <w:t xml:space="preserve"> </w:t>
      </w:r>
      <w:r>
        <w:rPr>
          <w:rFonts w:hint="default" w:ascii="宋体" w:hAnsi="宋体" w:eastAsia="宋体" w:cs="宋体"/>
          <w:b/>
          <w:color w:val="auto"/>
          <w:highlight w:val="none"/>
        </w:rPr>
        <w:t xml:space="preserve">4</w:t>
      </w:r>
      <w:r>
        <w:rPr>
          <w:rFonts w:hint="eastAsia" w:ascii="宋体" w:hAnsi="宋体" w:eastAsia="宋体" w:cs="宋体"/>
          <w:b/>
          <w:color w:val="auto"/>
          <w:highlight w:val="none"/>
        </w:rPr>
        <w:t xml:space="preserve">、维护服务台账要求</w:t>
      </w:r>
      <w:r/>
    </w:p>
    <w:p>
      <w:pPr>
        <w:ind w:firstLine="420"/>
        <w:spacing w:line="360" w:lineRule="auto"/>
        <w:rPr>
          <w:rFonts w:hint="default" w:ascii="宋体" w:hAnsi="宋体" w:eastAsia="宋体" w:cs="宋体"/>
          <w:color w:val="auto"/>
          <w:highlight w:val="none"/>
        </w:rPr>
      </w:pPr>
      <w:r>
        <w:rPr>
          <w:rFonts w:hint="eastAsia" w:ascii="宋体" w:hAnsi="宋体" w:eastAsia="宋体" w:cs="宋体"/>
          <w:color w:val="auto"/>
          <w:highlight w:val="none"/>
        </w:rPr>
        <w:t xml:space="preserve">（1）建立电子警察类交通设施基础台账，台账应包含道路电子警察所在地点、灯组数量、每个方位的实景照片（含拍摄日期）、主机位置型号及情况联网、地下管线位置。维护方应在中标后一个月内将此项台账装订成册，一式两份分别交监理单位、昆山市公安局（交通管理大队）（附台账电子版）。</w:t>
      </w:r>
      <w:r/>
    </w:p>
    <w:p>
      <w:pPr>
        <w:ind w:firstLine="420"/>
        <w:spacing w:line="360" w:lineRule="auto"/>
        <w:rPr>
          <w:rFonts w:hint="default" w:ascii="宋体" w:hAnsi="宋体" w:eastAsia="宋体" w:cs="宋体"/>
          <w:color w:val="auto"/>
          <w:highlight w:val="none"/>
        </w:rPr>
      </w:pPr>
      <w:r>
        <w:rPr>
          <w:rFonts w:hint="eastAsia" w:ascii="宋体" w:hAnsi="宋体" w:eastAsia="宋体" w:cs="宋体"/>
          <w:color w:val="auto"/>
          <w:highlight w:val="none"/>
        </w:rPr>
        <w:t xml:space="preserve">维护方应妥善保管各种图纸、说明书和有关资料，集中存放，由专人定期整理。设备调拨时有关资料应随机转移，不得扣留或抽取插页。</w:t>
      </w:r>
      <w:r/>
    </w:p>
    <w:p>
      <w:pPr>
        <w:ind w:firstLine="420"/>
        <w:spacing w:line="360" w:lineRule="auto"/>
        <w:rPr>
          <w:rFonts w:hint="default" w:ascii="宋体" w:hAnsi="宋体" w:eastAsia="宋体" w:cs="宋体"/>
          <w:color w:val="auto"/>
          <w:highlight w:val="none"/>
        </w:rPr>
      </w:pPr>
      <w:r>
        <w:rPr>
          <w:rFonts w:hint="eastAsia" w:ascii="宋体" w:hAnsi="宋体" w:eastAsia="宋体" w:cs="宋体"/>
          <w:color w:val="auto"/>
          <w:highlight w:val="none"/>
        </w:rPr>
        <w:t xml:space="preserve">（2）建立电子警察类交通设施维护台账，台账应包含维护时间、地点、维护项目来源、维护内容、维护产生金额。设施启用、停用、大修、故障及重要测试数据应作为维护台账内容做好详细记录。</w:t>
      </w:r>
      <w:r/>
    </w:p>
    <w:p>
      <w:pPr>
        <w:ind w:firstLine="420"/>
        <w:spacing w:line="360" w:lineRule="auto"/>
        <w:rPr>
          <w:rFonts w:hint="default" w:ascii="宋体" w:hAnsi="宋体" w:eastAsia="宋体" w:cs="宋体"/>
          <w:color w:val="auto"/>
          <w:highlight w:val="none"/>
        </w:rPr>
      </w:pPr>
      <w:r>
        <w:rPr>
          <w:rFonts w:hint="eastAsia" w:ascii="宋体" w:hAnsi="宋体" w:eastAsia="宋体" w:cs="宋体"/>
          <w:color w:val="auto"/>
          <w:highlight w:val="none"/>
        </w:rPr>
        <w:t xml:space="preserve">维护方应在中标后每个月16日将上一月台账装订成册，一式两份分别交监理单位、昆山市公安局（交通管理大队）（附台账电子版）。</w:t>
      </w:r>
      <w:r/>
    </w:p>
    <w:p>
      <w:pPr>
        <w:ind w:firstLine="420"/>
        <w:spacing w:line="360" w:lineRule="auto"/>
        <w:rPr>
          <w:rFonts w:hint="default" w:ascii="宋体" w:hAnsi="宋体" w:eastAsia="宋体" w:cs="宋体"/>
          <w:color w:val="auto"/>
          <w:highlight w:val="none"/>
        </w:rPr>
      </w:pPr>
      <w:r>
        <w:rPr>
          <w:rFonts w:hint="eastAsia" w:ascii="宋体" w:hAnsi="宋体" w:eastAsia="宋体" w:cs="宋体"/>
          <w:color w:val="auto"/>
          <w:highlight w:val="none"/>
        </w:rPr>
        <w:t xml:space="preserve">（3）建立电子警察类交通设施巡查台账，每个月至少两次对维护服务的道路电子警察类所有交通设施巡查，台账应记录巡查时间和巡查人。恶劣天气或特殊情况，维护方应及时增加巡检次数，确保设备（设施）正常运行。因日常巡检不到位、修复不及时等原因引发的事故均由维护方承担相应责任。</w:t>
      </w:r>
      <w:r/>
    </w:p>
    <w:p>
      <w:pPr>
        <w:ind w:firstLine="420"/>
        <w:spacing w:line="360" w:lineRule="auto"/>
        <w:rPr>
          <w:rFonts w:hint="default" w:ascii="宋体" w:hAnsi="宋体" w:eastAsia="宋体" w:cs="宋体"/>
          <w:color w:val="auto"/>
          <w:highlight w:val="none"/>
        </w:rPr>
      </w:pPr>
      <w:r>
        <w:rPr>
          <w:rFonts w:hint="eastAsia" w:ascii="宋体" w:hAnsi="宋体" w:eastAsia="宋体" w:cs="宋体"/>
          <w:color w:val="auto"/>
          <w:highlight w:val="none"/>
        </w:rPr>
        <w:t xml:space="preserve">维护方应在中标后每个月16日将上一月台账装订成册，一式两份分别交监理单位、昆山市公安局（交通管理大队）（附台账电子版）。</w:t>
      </w:r>
      <w:r/>
    </w:p>
    <w:p>
      <w:pPr>
        <w:ind w:firstLine="420"/>
        <w:spacing w:line="360" w:lineRule="auto"/>
        <w:rPr>
          <w:rFonts w:hint="default" w:ascii="宋体" w:hAnsi="宋体" w:eastAsia="宋体" w:cs="宋体"/>
          <w:color w:val="auto"/>
          <w:highlight w:val="none"/>
        </w:rPr>
      </w:pPr>
      <w:r>
        <w:rPr>
          <w:rFonts w:hint="eastAsia" w:ascii="宋体" w:hAnsi="宋体" w:eastAsia="宋体" w:cs="宋体"/>
          <w:color w:val="auto"/>
          <w:highlight w:val="none"/>
        </w:rPr>
        <w:t xml:space="preserve">（4）建立电子警察类交通设施安全施工作业培训台账，台账应包含培训时间、培训地点、参加人数、培训内容、培训现场的照片，维护方应在中标后每个月16日将上一月台账装订成册，一式两份分别交监督检查单位、昆山市公安局（交通管理大队）（附台账电子版）。</w:t>
      </w:r>
      <w:r/>
    </w:p>
    <w:p>
      <w:pPr>
        <w:ind w:firstLine="422"/>
        <w:spacing w:line="360" w:lineRule="auto"/>
        <w:rPr>
          <w:rFonts w:hint="default" w:ascii="宋体" w:hAnsi="宋体" w:eastAsia="宋体" w:cs="宋体"/>
          <w:b/>
          <w:color w:val="auto"/>
          <w:highlight w:val="none"/>
        </w:rPr>
      </w:pPr>
      <w:r>
        <w:rPr>
          <w:rFonts w:hint="default" w:ascii="宋体" w:hAnsi="宋体" w:eastAsia="宋体" w:cs="宋体"/>
          <w:b/>
          <w:color w:val="auto"/>
          <w:highlight w:val="none"/>
        </w:rPr>
        <w:t xml:space="preserve">5</w:t>
      </w:r>
      <w:r>
        <w:rPr>
          <w:rFonts w:hint="eastAsia" w:ascii="宋体" w:hAnsi="宋体" w:eastAsia="宋体" w:cs="宋体"/>
          <w:b/>
          <w:color w:val="auto"/>
          <w:highlight w:val="none"/>
        </w:rPr>
        <w:t xml:space="preserve">、维护服务施工规范</w:t>
      </w:r>
      <w:r/>
    </w:p>
    <w:p>
      <w:pPr>
        <w:ind w:firstLine="420"/>
        <w:spacing w:line="360" w:lineRule="auto"/>
        <w:rPr>
          <w:rFonts w:hint="default" w:ascii="宋体" w:hAnsi="宋体" w:eastAsia="宋体" w:cs="宋体"/>
          <w:color w:val="auto"/>
          <w:highlight w:val="none"/>
        </w:rPr>
      </w:pPr>
      <w:r>
        <w:rPr>
          <w:rFonts w:hint="eastAsia" w:ascii="宋体" w:hAnsi="宋体" w:eastAsia="宋体" w:cs="宋体"/>
          <w:color w:val="auto"/>
          <w:highlight w:val="none"/>
        </w:rPr>
        <w:t xml:space="preserve">维护方组织施工作业时应严格按照《城市道路施工作业交通组织规范》、《公路养护安全作业规程》等相关行业标准及相关法律法规开展。</w:t>
      </w:r>
      <w:r/>
    </w:p>
    <w:p>
      <w:pPr>
        <w:ind w:firstLine="420"/>
        <w:spacing w:line="360" w:lineRule="auto"/>
        <w:rPr>
          <w:rFonts w:hint="default" w:ascii="宋体" w:hAnsi="宋体" w:eastAsia="宋体" w:cs="宋体"/>
          <w:color w:val="auto"/>
          <w:highlight w:val="none"/>
        </w:rPr>
      </w:pPr>
      <w:r>
        <w:rPr>
          <w:rFonts w:hint="eastAsia" w:ascii="宋体" w:hAnsi="宋体" w:eastAsia="宋体" w:cs="宋体"/>
          <w:color w:val="auto"/>
          <w:highlight w:val="none"/>
        </w:rPr>
        <w:t xml:space="preserve">维护方应严格按照电子警察相关规范要求施工。</w:t>
      </w:r>
      <w:r/>
    </w:p>
    <w:p>
      <w:pPr>
        <w:ind w:firstLine="420"/>
        <w:spacing w:line="360" w:lineRule="auto"/>
        <w:rPr>
          <w:rFonts w:hint="default" w:ascii="宋体" w:hAnsi="宋体" w:eastAsia="宋体" w:cs="宋体"/>
          <w:color w:val="auto"/>
          <w:highlight w:val="none"/>
        </w:rPr>
      </w:pPr>
      <w:r>
        <w:rPr>
          <w:rFonts w:hint="eastAsia" w:ascii="宋体" w:hAnsi="宋体" w:eastAsia="宋体" w:cs="宋体"/>
          <w:color w:val="auto"/>
          <w:highlight w:val="none"/>
        </w:rPr>
        <w:t xml:space="preserve">维护方必须加强管理，遵守作业相关安全规章制度，文明安全施工。因未遵守相关安全规章制度而引发的后果及产生的费用由维护方全部承担, 昆山市公安局（交通管理大队）不承担任何责任。</w:t>
      </w:r>
      <w:r/>
    </w:p>
    <w:p>
      <w:pPr>
        <w:ind w:firstLine="422"/>
        <w:spacing w:line="360" w:lineRule="auto"/>
        <w:rPr>
          <w:rFonts w:hint="default" w:ascii="宋体" w:hAnsi="宋体" w:eastAsia="宋体" w:cs="宋体"/>
          <w:b/>
          <w:color w:val="auto"/>
          <w:highlight w:val="none"/>
        </w:rPr>
      </w:pPr>
      <w:r>
        <w:rPr>
          <w:rFonts w:hint="eastAsia" w:ascii="宋体" w:hAnsi="宋体" w:eastAsia="宋体" w:cs="宋体"/>
          <w:b/>
          <w:color w:val="auto"/>
          <w:highlight w:val="none"/>
        </w:rPr>
        <w:t xml:space="preserve">6、维护服务内容和要求</w:t>
      </w:r>
      <w:r/>
    </w:p>
    <w:p>
      <w:pPr>
        <w:ind w:firstLine="420"/>
        <w:spacing w:line="360" w:lineRule="auto"/>
        <w:rPr>
          <w:rFonts w:hint="default" w:ascii="宋体" w:hAnsi="宋体" w:eastAsia="宋体" w:cs="宋体"/>
          <w:color w:val="auto"/>
          <w:highlight w:val="none"/>
        </w:rPr>
      </w:pPr>
      <w:r>
        <w:rPr>
          <w:rFonts w:hint="eastAsia" w:ascii="宋体" w:hAnsi="宋体" w:eastAsia="宋体" w:cs="宋体"/>
          <w:color w:val="auto"/>
          <w:highlight w:val="none"/>
        </w:rPr>
        <w:t xml:space="preserve">（</w:t>
      </w:r>
      <w:r>
        <w:rPr>
          <w:rFonts w:hint="default" w:ascii="宋体" w:hAnsi="宋体" w:eastAsia="宋体" w:cs="宋体"/>
          <w:color w:val="auto"/>
          <w:highlight w:val="none"/>
        </w:rPr>
        <w:t xml:space="preserve">1</w:t>
      </w:r>
      <w:r>
        <w:rPr>
          <w:rFonts w:hint="eastAsia" w:ascii="宋体" w:hAnsi="宋体" w:eastAsia="宋体" w:cs="宋体"/>
          <w:color w:val="auto"/>
          <w:highlight w:val="none"/>
        </w:rPr>
        <w:t xml:space="preserve">）维护服务范围</w:t>
      </w:r>
      <w:r/>
    </w:p>
    <w:p>
      <w:pPr>
        <w:ind w:firstLine="420"/>
        <w:spacing w:line="360" w:lineRule="auto"/>
        <w:rPr>
          <w:rFonts w:hint="default" w:ascii="宋体" w:hAnsi="宋体" w:eastAsia="宋体" w:cs="宋体"/>
          <w:color w:val="auto"/>
          <w:highlight w:val="none"/>
        </w:rPr>
      </w:pPr>
      <w:r>
        <w:rPr>
          <w:rFonts w:hint="eastAsia" w:ascii="宋体" w:hAnsi="宋体" w:eastAsia="宋体" w:cs="宋体"/>
          <w:color w:val="auto"/>
          <w:highlight w:val="none"/>
        </w:rPr>
        <w:t xml:space="preserve">本次维护服务项目由昆山市公安局(交通管理大队)统筹安排维护方的具体工作内容，本次电子警察类交通设施维护服务包含：</w:t>
      </w:r>
      <w:r/>
    </w:p>
    <w:p>
      <w:pPr>
        <w:ind w:firstLine="420"/>
        <w:spacing w:line="360" w:lineRule="auto"/>
        <w:rPr>
          <w:rFonts w:hint="default" w:ascii="宋体" w:hAnsi="宋体" w:eastAsia="宋体" w:cs="宋体"/>
          <w:color w:val="auto"/>
          <w:highlight w:val="none"/>
        </w:rPr>
      </w:pPr>
      <w:r>
        <w:rPr>
          <w:rFonts w:hint="eastAsia" w:ascii="宋体" w:hAnsi="宋体" w:eastAsia="宋体" w:cs="宋体"/>
          <w:color w:val="auto"/>
          <w:highlight w:val="none"/>
        </w:rPr>
        <w:t xml:space="preserve">1）前端各路口电子警察硬件设备的日常运维与保养；</w:t>
      </w:r>
      <w:r/>
    </w:p>
    <w:p>
      <w:pPr>
        <w:ind w:firstLine="420"/>
        <w:spacing w:line="360" w:lineRule="auto"/>
        <w:rPr>
          <w:rFonts w:hint="default" w:ascii="宋体" w:hAnsi="宋体" w:eastAsia="宋体" w:cs="宋体"/>
          <w:color w:val="auto"/>
          <w:highlight w:val="none"/>
        </w:rPr>
      </w:pPr>
      <w:r>
        <w:rPr>
          <w:rFonts w:hint="eastAsia" w:ascii="宋体" w:hAnsi="宋体" w:eastAsia="宋体" w:cs="宋体"/>
          <w:color w:val="auto"/>
          <w:highlight w:val="none"/>
        </w:rPr>
        <w:t xml:space="preserve">2）每星期一次的正常巡视，每月一次的正常抽检，建立维护台账；</w:t>
      </w:r>
      <w:r/>
    </w:p>
    <w:p>
      <w:pPr>
        <w:ind w:firstLine="420"/>
        <w:spacing w:line="360" w:lineRule="auto"/>
        <w:rPr>
          <w:rFonts w:hint="default" w:ascii="宋体" w:hAnsi="宋体" w:eastAsia="宋体" w:cs="宋体"/>
          <w:color w:val="auto"/>
          <w:highlight w:val="none"/>
        </w:rPr>
      </w:pPr>
      <w:r>
        <w:rPr>
          <w:rFonts w:hint="eastAsia" w:ascii="宋体" w:hAnsi="宋体" w:eastAsia="宋体" w:cs="宋体"/>
          <w:color w:val="auto"/>
          <w:highlight w:val="none"/>
        </w:rPr>
        <w:t xml:space="preserve">3）前端设备及辅助线材的损坏及老化修复；</w:t>
      </w:r>
      <w:r/>
    </w:p>
    <w:p>
      <w:pPr>
        <w:ind w:firstLine="420"/>
        <w:spacing w:line="360" w:lineRule="auto"/>
        <w:rPr>
          <w:rFonts w:hint="default" w:ascii="宋体" w:hAnsi="宋体" w:eastAsia="宋体" w:cs="宋体"/>
          <w:color w:val="auto"/>
          <w:highlight w:val="none"/>
        </w:rPr>
      </w:pPr>
      <w:r>
        <w:rPr>
          <w:rFonts w:hint="eastAsia" w:ascii="宋体" w:hAnsi="宋体" w:eastAsia="宋体" w:cs="宋体"/>
          <w:color w:val="auto"/>
          <w:highlight w:val="none"/>
        </w:rPr>
        <w:t xml:space="preserve">4）保证抓拍数据传输的稳定、及时、准确；</w:t>
      </w:r>
      <w:r/>
    </w:p>
    <w:p>
      <w:pPr>
        <w:ind w:firstLine="420"/>
        <w:spacing w:line="360" w:lineRule="auto"/>
        <w:rPr>
          <w:rFonts w:hint="default" w:ascii="宋体" w:hAnsi="宋体" w:eastAsia="宋体" w:cs="宋体"/>
          <w:color w:val="auto"/>
          <w:highlight w:val="none"/>
        </w:rPr>
      </w:pPr>
      <w:r>
        <w:rPr>
          <w:rFonts w:hint="eastAsia" w:ascii="宋体" w:hAnsi="宋体" w:eastAsia="宋体" w:cs="宋体"/>
          <w:color w:val="auto"/>
          <w:highlight w:val="none"/>
        </w:rPr>
        <w:t xml:space="preserve">5）建立完善的电子警察维护服务流程、施工规范、应急处置；</w:t>
      </w:r>
      <w:r/>
    </w:p>
    <w:p>
      <w:pPr>
        <w:ind w:firstLine="420"/>
        <w:spacing w:line="360" w:lineRule="auto"/>
        <w:rPr>
          <w:rFonts w:hint="default" w:ascii="宋体" w:hAnsi="宋体" w:eastAsia="宋体" w:cs="宋体"/>
          <w:color w:val="auto"/>
          <w:highlight w:val="none"/>
        </w:rPr>
      </w:pPr>
      <w:r>
        <w:rPr>
          <w:rFonts w:hint="eastAsia" w:ascii="宋体" w:hAnsi="宋体" w:eastAsia="宋体" w:cs="宋体"/>
          <w:color w:val="auto"/>
          <w:highlight w:val="none"/>
        </w:rPr>
        <w:t xml:space="preserve">6）现有设备的技术升级，优化数据采集；</w:t>
      </w:r>
      <w:r/>
    </w:p>
    <w:p>
      <w:pPr>
        <w:ind w:firstLine="420"/>
        <w:spacing w:line="360" w:lineRule="auto"/>
        <w:rPr>
          <w:rFonts w:hint="default" w:ascii="宋体" w:hAnsi="宋体" w:eastAsia="宋体" w:cs="宋体"/>
          <w:color w:val="auto"/>
          <w:highlight w:val="none"/>
        </w:rPr>
      </w:pPr>
      <w:r>
        <w:rPr>
          <w:rFonts w:hint="eastAsia" w:ascii="宋体" w:hAnsi="宋体" w:eastAsia="宋体" w:cs="宋体"/>
          <w:color w:val="auto"/>
          <w:highlight w:val="none"/>
        </w:rPr>
        <w:t xml:space="preserve">7）应急保障。</w:t>
      </w:r>
      <w:r/>
    </w:p>
    <w:p>
      <w:pPr>
        <w:ind w:firstLine="420"/>
        <w:spacing w:line="360" w:lineRule="auto"/>
        <w:rPr>
          <w:rFonts w:hint="default" w:ascii="宋体" w:hAnsi="宋体" w:eastAsia="宋体" w:cs="宋体"/>
          <w:color w:val="auto"/>
          <w:highlight w:val="none"/>
        </w:rPr>
      </w:pPr>
      <w:r>
        <w:rPr>
          <w:rFonts w:hint="eastAsia" w:ascii="宋体" w:hAnsi="宋体" w:eastAsia="宋体" w:cs="宋体"/>
          <w:color w:val="auto"/>
          <w:highlight w:val="none"/>
        </w:rPr>
        <w:t xml:space="preserve">（</w:t>
      </w:r>
      <w:r>
        <w:rPr>
          <w:rFonts w:hint="default" w:ascii="宋体" w:hAnsi="宋体" w:eastAsia="宋体" w:cs="宋体"/>
          <w:color w:val="auto"/>
          <w:highlight w:val="none"/>
        </w:rPr>
        <w:t xml:space="preserve">2</w:t>
      </w:r>
      <w:r>
        <w:rPr>
          <w:rFonts w:hint="eastAsia" w:ascii="宋体" w:hAnsi="宋体" w:eastAsia="宋体" w:cs="宋体"/>
          <w:color w:val="auto"/>
          <w:highlight w:val="none"/>
        </w:rPr>
        <w:t xml:space="preserve">）维护服务目标</w:t>
      </w:r>
      <w:r/>
    </w:p>
    <w:p>
      <w:pPr>
        <w:ind w:firstLine="420"/>
        <w:spacing w:line="360" w:lineRule="auto"/>
        <w:rPr>
          <w:rFonts w:hint="default" w:ascii="宋体" w:hAnsi="宋体" w:eastAsia="宋体" w:cs="宋体"/>
          <w:color w:val="auto"/>
          <w:highlight w:val="none"/>
        </w:rPr>
      </w:pPr>
      <w:r>
        <w:rPr>
          <w:rFonts w:hint="eastAsia" w:ascii="宋体" w:hAnsi="宋体" w:eastAsia="宋体" w:cs="宋体"/>
          <w:color w:val="auto"/>
          <w:highlight w:val="none"/>
        </w:rPr>
        <w:t xml:space="preserve">结合昆山市公安局（交通管理大队）的电子警察相关设备实际管理和使用要求，以使整个电子警察类交通设施维护工作系统化、规范化、档案化。保证整个系统正常运行，以达到用户的实际使用要求。</w:t>
      </w:r>
      <w:r/>
    </w:p>
    <w:p>
      <w:pPr>
        <w:ind w:firstLine="420"/>
        <w:spacing w:line="360" w:lineRule="auto"/>
        <w:rPr>
          <w:rFonts w:hint="default" w:ascii="宋体" w:hAnsi="宋体" w:eastAsia="宋体" w:cs="宋体"/>
          <w:color w:val="auto"/>
          <w:highlight w:val="none"/>
        </w:rPr>
      </w:pPr>
      <w:r>
        <w:rPr>
          <w:rFonts w:hint="eastAsia" w:ascii="宋体" w:hAnsi="宋体" w:eastAsia="宋体" w:cs="宋体"/>
          <w:color w:val="auto"/>
          <w:highlight w:val="none"/>
        </w:rPr>
        <w:t xml:space="preserve">维护方应遵照“稳定准确，随叫随到”的工作原则，落实维护各个环节，做好昆山市公安局（交通管理大队）电子警察系统前端设备的维护、保养和运行管理工作，保证设备机械性能良好、电气特性符合标准要求、设备运行正常、稳定，数据及时准确，技术资料、原始记录齐全。</w:t>
      </w:r>
      <w:r/>
    </w:p>
    <w:p>
      <w:pPr>
        <w:ind w:firstLine="420"/>
        <w:spacing w:line="360" w:lineRule="auto"/>
        <w:rPr>
          <w:rFonts w:hint="default" w:ascii="宋体" w:hAnsi="宋体" w:eastAsia="宋体" w:cs="宋体"/>
          <w:color w:val="auto"/>
          <w:highlight w:val="none"/>
        </w:rPr>
      </w:pPr>
      <w:r>
        <w:rPr>
          <w:rFonts w:hint="eastAsia" w:ascii="宋体" w:hAnsi="宋体" w:eastAsia="宋体" w:cs="宋体"/>
          <w:color w:val="auto"/>
          <w:highlight w:val="none"/>
        </w:rPr>
        <w:t xml:space="preserve">（</w:t>
      </w:r>
      <w:r>
        <w:rPr>
          <w:rFonts w:hint="default" w:ascii="宋体" w:hAnsi="宋体" w:eastAsia="宋体" w:cs="宋体"/>
          <w:color w:val="auto"/>
          <w:highlight w:val="none"/>
        </w:rPr>
        <w:t xml:space="preserve">3</w:t>
      </w:r>
      <w:r>
        <w:rPr>
          <w:rFonts w:hint="eastAsia" w:ascii="宋体" w:hAnsi="宋体" w:eastAsia="宋体" w:cs="宋体"/>
          <w:color w:val="auto"/>
          <w:highlight w:val="none"/>
        </w:rPr>
        <w:t xml:space="preserve">）维护服务责任</w:t>
      </w:r>
      <w:r/>
    </w:p>
    <w:p>
      <w:pPr>
        <w:ind w:firstLine="420"/>
        <w:spacing w:line="360" w:lineRule="auto"/>
        <w:rPr>
          <w:rFonts w:hint="default" w:ascii="宋体" w:hAnsi="宋体" w:eastAsia="宋体" w:cs="宋体"/>
          <w:color w:val="auto"/>
          <w:highlight w:val="none"/>
        </w:rPr>
      </w:pPr>
      <w:r>
        <w:rPr>
          <w:rFonts w:hint="eastAsia" w:ascii="宋体" w:hAnsi="宋体" w:eastAsia="宋体" w:cs="宋体"/>
          <w:color w:val="auto"/>
          <w:highlight w:val="none"/>
        </w:rPr>
        <w:t xml:space="preserve">1）维护方将按照维护内容、要求和考核细则，设专人负责电子警察点位的运行维护工作，并接受公安局（交通管理大队）的检查和考核，维护方将向甲方提供维修人员的联系方式，负责内容及使用的维修车辆等有关资料。</w:t>
      </w:r>
      <w:r/>
    </w:p>
    <w:p>
      <w:pPr>
        <w:ind w:firstLine="420"/>
        <w:spacing w:line="360" w:lineRule="auto"/>
        <w:rPr>
          <w:rFonts w:hint="default" w:ascii="宋体" w:hAnsi="宋体" w:eastAsia="宋体" w:cs="宋体"/>
          <w:color w:val="auto"/>
          <w:highlight w:val="none"/>
        </w:rPr>
      </w:pPr>
      <w:r>
        <w:rPr>
          <w:rFonts w:hint="default" w:ascii="宋体" w:hAnsi="宋体" w:eastAsia="宋体" w:cs="宋体"/>
          <w:color w:val="auto"/>
          <w:highlight w:val="none"/>
        </w:rPr>
        <w:t xml:space="preserve">2</w:t>
      </w:r>
      <w:r>
        <w:rPr>
          <w:rFonts w:hint="eastAsia" w:ascii="宋体" w:hAnsi="宋体" w:eastAsia="宋体" w:cs="宋体"/>
          <w:color w:val="auto"/>
          <w:highlight w:val="none"/>
        </w:rPr>
        <w:t xml:space="preserve">）当有故障发生时，服务商必须立即采取有效措施排除故障，不得以任何理由拖延、推诿和隐瞒。因日常巡检不到位、修复不及时等原因引发的后果及产生的费用由均由维护方承担相应责任。</w:t>
      </w:r>
      <w:r/>
    </w:p>
    <w:p>
      <w:pPr>
        <w:ind w:firstLine="420"/>
        <w:spacing w:line="360" w:lineRule="auto"/>
        <w:rPr>
          <w:rFonts w:hint="default" w:ascii="宋体" w:hAnsi="宋体" w:eastAsia="宋体" w:cs="宋体"/>
          <w:color w:val="auto"/>
          <w:highlight w:val="none"/>
        </w:rPr>
      </w:pPr>
      <w:r>
        <w:rPr>
          <w:rFonts w:hint="eastAsia" w:ascii="宋体" w:hAnsi="宋体" w:eastAsia="宋体" w:cs="宋体"/>
          <w:color w:val="auto"/>
          <w:highlight w:val="none"/>
        </w:rPr>
        <w:t xml:space="preserve">3）维护方保证做好维修过程中的保密工作，对于存储资料的设备如：硬盘、DVR、服务器、PC机等的维修，原则上要求在现场维修，对于需要带回公司进行维修的，严禁将带回的设备接入Internet。设备内部资料严禁私自刻录，拷贝，更不得通过各种途径进行传播。</w:t>
      </w:r>
      <w:r/>
    </w:p>
    <w:p>
      <w:pPr>
        <w:ind w:firstLine="420"/>
        <w:spacing w:line="360" w:lineRule="auto"/>
        <w:rPr>
          <w:rFonts w:hint="default" w:ascii="宋体" w:hAnsi="宋体" w:eastAsia="宋体" w:cs="宋体"/>
          <w:color w:val="auto"/>
          <w:highlight w:val="none"/>
        </w:rPr>
      </w:pPr>
      <w:r>
        <w:rPr>
          <w:rFonts w:hint="eastAsia" w:ascii="宋体" w:hAnsi="宋体" w:eastAsia="宋体" w:cs="宋体"/>
          <w:color w:val="auto"/>
          <w:highlight w:val="none"/>
        </w:rPr>
        <w:t xml:space="preserve">（</w:t>
      </w:r>
      <w:r>
        <w:rPr>
          <w:rFonts w:hint="default" w:ascii="宋体" w:hAnsi="宋体" w:eastAsia="宋体" w:cs="宋体"/>
          <w:color w:val="auto"/>
          <w:highlight w:val="none"/>
        </w:rPr>
        <w:t xml:space="preserve">4</w:t>
      </w:r>
      <w:r>
        <w:rPr>
          <w:rFonts w:hint="eastAsia" w:ascii="宋体" w:hAnsi="宋体" w:eastAsia="宋体" w:cs="宋体"/>
          <w:color w:val="auto"/>
          <w:highlight w:val="none"/>
        </w:rPr>
        <w:t xml:space="preserve">）服务响应时间：</w:t>
      </w:r>
      <w:r/>
    </w:p>
    <w:tbl>
      <w:tblPr>
        <w:tblStyle w:val="738"/>
        <w:tblW w:w="488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2294"/>
        <w:gridCol w:w="1404"/>
        <w:gridCol w:w="1366"/>
        <w:gridCol w:w="2318"/>
      </w:tblGrid>
      <w:tr>
        <w:trPr/>
        <w:tc>
          <w:tcPr>
            <w:tcW w:w="569" w:type="pct"/>
            <w:vAlign w:val="center"/>
            <w:textDirection w:val="lrTb"/>
            <w:noWrap w:val="false"/>
          </w:tcPr>
          <w:p>
            <w:pPr>
              <w:jc w:val="center"/>
              <w:spacing w:line="360" w:lineRule="auto"/>
              <w:rPr>
                <w:rFonts w:hint="default" w:ascii="宋体" w:hAnsi="宋体" w:eastAsia="宋体" w:cs="宋体"/>
                <w:color w:val="auto"/>
                <w:highlight w:val="none"/>
              </w:rPr>
            </w:pPr>
            <w:r>
              <w:rPr>
                <w:rFonts w:hint="eastAsia" w:ascii="宋体" w:hAnsi="宋体" w:eastAsia="宋体" w:cs="宋体"/>
                <w:color w:val="auto"/>
                <w:highlight w:val="none"/>
              </w:rPr>
              <w:t xml:space="preserve">序号</w:t>
            </w:r>
            <w:r/>
          </w:p>
        </w:tc>
        <w:tc>
          <w:tcPr>
            <w:tcW w:w="1377" w:type="pct"/>
            <w:vAlign w:val="center"/>
            <w:textDirection w:val="lrTb"/>
            <w:noWrap w:val="false"/>
          </w:tcPr>
          <w:p>
            <w:pPr>
              <w:jc w:val="center"/>
              <w:spacing w:line="360" w:lineRule="auto"/>
              <w:rPr>
                <w:rFonts w:hint="default" w:ascii="宋体" w:hAnsi="宋体" w:eastAsia="宋体" w:cs="宋体"/>
                <w:color w:val="auto"/>
                <w:highlight w:val="none"/>
              </w:rPr>
            </w:pPr>
            <w:r>
              <w:rPr>
                <w:rFonts w:hint="eastAsia" w:ascii="宋体" w:hAnsi="宋体" w:eastAsia="宋体" w:cs="宋体"/>
                <w:color w:val="auto"/>
                <w:highlight w:val="none"/>
              </w:rPr>
              <w:t xml:space="preserve">故障情况</w:t>
            </w:r>
            <w:r/>
          </w:p>
        </w:tc>
        <w:tc>
          <w:tcPr>
            <w:tcW w:w="843" w:type="pct"/>
            <w:vAlign w:val="center"/>
            <w:textDirection w:val="lrTb"/>
            <w:noWrap w:val="false"/>
          </w:tcPr>
          <w:p>
            <w:pPr>
              <w:jc w:val="center"/>
              <w:spacing w:line="360" w:lineRule="auto"/>
              <w:rPr>
                <w:rFonts w:hint="default" w:ascii="宋体" w:hAnsi="宋体" w:eastAsia="宋体" w:cs="宋体"/>
                <w:color w:val="auto"/>
                <w:highlight w:val="none"/>
              </w:rPr>
            </w:pPr>
            <w:r>
              <w:rPr>
                <w:rFonts w:hint="eastAsia" w:ascii="宋体" w:hAnsi="宋体" w:eastAsia="宋体" w:cs="宋体"/>
                <w:color w:val="auto"/>
                <w:highlight w:val="none"/>
              </w:rPr>
              <w:t xml:space="preserve">响应时间</w:t>
            </w:r>
            <w:r/>
          </w:p>
        </w:tc>
        <w:tc>
          <w:tcPr>
            <w:tcW w:w="820" w:type="pct"/>
            <w:vAlign w:val="center"/>
            <w:textDirection w:val="lrTb"/>
            <w:noWrap w:val="false"/>
          </w:tcPr>
          <w:p>
            <w:pPr>
              <w:jc w:val="center"/>
              <w:spacing w:line="360" w:lineRule="auto"/>
              <w:rPr>
                <w:rFonts w:hint="default" w:ascii="宋体" w:hAnsi="宋体" w:eastAsia="宋体" w:cs="宋体"/>
                <w:color w:val="auto"/>
                <w:highlight w:val="none"/>
              </w:rPr>
            </w:pPr>
            <w:r>
              <w:rPr>
                <w:rFonts w:hint="eastAsia" w:ascii="宋体" w:hAnsi="宋体" w:eastAsia="宋体" w:cs="宋体"/>
                <w:color w:val="auto"/>
                <w:highlight w:val="none"/>
              </w:rPr>
              <w:t xml:space="preserve">到场时间</w:t>
            </w:r>
            <w:r/>
          </w:p>
        </w:tc>
        <w:tc>
          <w:tcPr>
            <w:tcW w:w="1391" w:type="pct"/>
            <w:vAlign w:val="center"/>
            <w:textDirection w:val="lrTb"/>
            <w:noWrap w:val="false"/>
          </w:tcPr>
          <w:p>
            <w:pPr>
              <w:jc w:val="center"/>
              <w:spacing w:line="360" w:lineRule="auto"/>
              <w:rPr>
                <w:rFonts w:hint="default" w:ascii="宋体" w:hAnsi="宋体" w:eastAsia="宋体" w:cs="宋体"/>
                <w:color w:val="auto"/>
                <w:highlight w:val="none"/>
              </w:rPr>
            </w:pPr>
            <w:r>
              <w:rPr>
                <w:rFonts w:hint="eastAsia" w:ascii="宋体" w:hAnsi="宋体" w:eastAsia="宋体" w:cs="宋体"/>
                <w:color w:val="auto"/>
                <w:highlight w:val="none"/>
              </w:rPr>
              <w:t xml:space="preserve">解决问题时间</w:t>
            </w:r>
            <w:r/>
          </w:p>
        </w:tc>
      </w:tr>
      <w:tr>
        <w:trPr/>
        <w:tc>
          <w:tcPr>
            <w:tcW w:w="569" w:type="pct"/>
            <w:vAlign w:val="center"/>
            <w:textDirection w:val="lrTb"/>
            <w:noWrap w:val="false"/>
          </w:tcPr>
          <w:p>
            <w:pPr>
              <w:jc w:val="center"/>
              <w:spacing w:line="360" w:lineRule="auto"/>
              <w:rPr>
                <w:rFonts w:hint="default" w:ascii="宋体" w:hAnsi="宋体" w:eastAsia="宋体" w:cs="宋体"/>
                <w:color w:val="auto"/>
                <w:highlight w:val="none"/>
              </w:rPr>
            </w:pPr>
            <w:r>
              <w:rPr>
                <w:rFonts w:hint="eastAsia" w:ascii="宋体" w:hAnsi="宋体" w:eastAsia="宋体" w:cs="宋体"/>
                <w:color w:val="auto"/>
                <w:highlight w:val="none"/>
              </w:rPr>
              <w:t xml:space="preserve">1</w:t>
            </w:r>
            <w:r/>
          </w:p>
        </w:tc>
        <w:tc>
          <w:tcPr>
            <w:tcW w:w="1377" w:type="pct"/>
            <w:vAlign w:val="center"/>
            <w:textDirection w:val="lrTb"/>
            <w:noWrap w:val="false"/>
          </w:tcPr>
          <w:p>
            <w:pPr>
              <w:jc w:val="center"/>
              <w:rPr>
                <w:rFonts w:hint="default" w:ascii="宋体" w:hAnsi="宋体" w:eastAsia="宋体" w:cs="Times New Roman"/>
                <w:color w:val="auto"/>
                <w:szCs w:val="28"/>
                <w:highlight w:val="none"/>
              </w:rPr>
            </w:pPr>
            <w:r>
              <w:rPr>
                <w:rFonts w:hint="default" w:ascii="宋体" w:hAnsi="宋体" w:eastAsia="宋体" w:cs="Times New Roman"/>
                <w:color w:val="auto"/>
                <w:szCs w:val="28"/>
                <w:highlight w:val="none"/>
              </w:rPr>
              <w:t xml:space="preserve">四级（轻微的故障）</w:t>
            </w:r>
            <w:r/>
          </w:p>
        </w:tc>
        <w:tc>
          <w:tcPr>
            <w:tcW w:w="843" w:type="pct"/>
            <w:vAlign w:val="center"/>
            <w:textDirection w:val="lrTb"/>
            <w:noWrap w:val="false"/>
          </w:tcPr>
          <w:p>
            <w:pPr>
              <w:jc w:val="center"/>
              <w:spacing w:line="360" w:lineRule="auto"/>
              <w:rPr>
                <w:rFonts w:hint="default" w:ascii="宋体" w:hAnsi="宋体" w:eastAsia="宋体" w:cs="宋体"/>
                <w:color w:val="auto"/>
                <w:highlight w:val="none"/>
              </w:rPr>
            </w:pPr>
            <w:r>
              <w:rPr>
                <w:rFonts w:hint="eastAsia" w:ascii="宋体" w:hAnsi="宋体" w:eastAsia="宋体" w:cs="宋体"/>
                <w:color w:val="auto"/>
                <w:highlight w:val="none"/>
              </w:rPr>
              <w:t xml:space="preserve">即时</w:t>
            </w:r>
            <w:r/>
          </w:p>
        </w:tc>
        <w:tc>
          <w:tcPr>
            <w:tcW w:w="820" w:type="pct"/>
            <w:vAlign w:val="center"/>
            <w:textDirection w:val="lrTb"/>
            <w:noWrap w:val="false"/>
          </w:tcPr>
          <w:p>
            <w:pPr>
              <w:jc w:val="center"/>
              <w:spacing w:line="360" w:lineRule="auto"/>
              <w:rPr>
                <w:rFonts w:hint="default" w:ascii="宋体" w:hAnsi="宋体" w:eastAsia="宋体" w:cs="宋体"/>
                <w:color w:val="auto"/>
                <w:highlight w:val="none"/>
              </w:rPr>
            </w:pPr>
            <w:r>
              <w:rPr>
                <w:rFonts w:hint="default" w:ascii="宋体" w:hAnsi="宋体" w:eastAsia="宋体" w:cs="宋体"/>
                <w:color w:val="auto"/>
                <w:highlight w:val="none"/>
              </w:rPr>
              <w:t xml:space="preserve">2小时</w:t>
            </w:r>
            <w:r/>
          </w:p>
        </w:tc>
        <w:tc>
          <w:tcPr>
            <w:tcW w:w="1391" w:type="pct"/>
            <w:vAlign w:val="center"/>
            <w:textDirection w:val="lrTb"/>
            <w:noWrap w:val="false"/>
          </w:tcPr>
          <w:p>
            <w:pPr>
              <w:jc w:val="center"/>
              <w:spacing w:line="360" w:lineRule="auto"/>
              <w:rPr>
                <w:rFonts w:hint="default" w:ascii="宋体" w:hAnsi="宋体" w:eastAsia="宋体" w:cs="宋体"/>
                <w:color w:val="auto"/>
                <w:highlight w:val="none"/>
              </w:rPr>
            </w:pPr>
            <w:r>
              <w:rPr>
                <w:rFonts w:hint="default" w:ascii="宋体" w:hAnsi="宋体" w:eastAsia="宋体" w:cs="宋体"/>
                <w:color w:val="auto"/>
                <w:highlight w:val="none"/>
              </w:rPr>
              <w:t xml:space="preserve">4小时</w:t>
            </w:r>
            <w:r/>
          </w:p>
        </w:tc>
      </w:tr>
      <w:tr>
        <w:trPr/>
        <w:tc>
          <w:tcPr>
            <w:tcW w:w="569" w:type="pct"/>
            <w:vAlign w:val="center"/>
            <w:textDirection w:val="lrTb"/>
            <w:noWrap w:val="false"/>
          </w:tcPr>
          <w:p>
            <w:pPr>
              <w:jc w:val="center"/>
              <w:spacing w:line="360" w:lineRule="auto"/>
              <w:rPr>
                <w:rFonts w:hint="default" w:ascii="宋体" w:hAnsi="宋体" w:eastAsia="宋体" w:cs="宋体"/>
                <w:color w:val="auto"/>
                <w:highlight w:val="none"/>
              </w:rPr>
            </w:pPr>
            <w:r>
              <w:rPr>
                <w:rFonts w:hint="eastAsia" w:ascii="宋体" w:hAnsi="宋体" w:eastAsia="宋体" w:cs="宋体"/>
                <w:color w:val="auto"/>
                <w:highlight w:val="none"/>
              </w:rPr>
              <w:t xml:space="preserve">2</w:t>
            </w:r>
            <w:r/>
          </w:p>
        </w:tc>
        <w:tc>
          <w:tcPr>
            <w:tcW w:w="1377" w:type="pct"/>
            <w:vAlign w:val="center"/>
            <w:textDirection w:val="lrTb"/>
            <w:noWrap w:val="false"/>
          </w:tcPr>
          <w:p>
            <w:pPr>
              <w:jc w:val="center"/>
              <w:rPr>
                <w:rFonts w:hint="default" w:ascii="宋体" w:hAnsi="宋体" w:eastAsia="宋体" w:cs="Times New Roman"/>
                <w:color w:val="auto"/>
                <w:szCs w:val="28"/>
                <w:highlight w:val="none"/>
              </w:rPr>
            </w:pPr>
            <w:r>
              <w:rPr>
                <w:rFonts w:hint="default" w:ascii="宋体" w:hAnsi="宋体" w:eastAsia="宋体" w:cs="Times New Roman"/>
                <w:color w:val="auto"/>
                <w:szCs w:val="28"/>
                <w:highlight w:val="none"/>
              </w:rPr>
              <w:t xml:space="preserve">三级（限制性故障）</w:t>
            </w:r>
            <w:r/>
          </w:p>
        </w:tc>
        <w:tc>
          <w:tcPr>
            <w:tcW w:w="843" w:type="pct"/>
            <w:vAlign w:val="center"/>
            <w:textDirection w:val="lrTb"/>
            <w:noWrap w:val="false"/>
          </w:tcPr>
          <w:p>
            <w:pPr>
              <w:jc w:val="center"/>
              <w:spacing w:line="360" w:lineRule="auto"/>
              <w:rPr>
                <w:rFonts w:hint="default" w:ascii="宋体" w:hAnsi="宋体" w:eastAsia="宋体" w:cs="宋体"/>
                <w:color w:val="auto"/>
                <w:highlight w:val="none"/>
              </w:rPr>
            </w:pPr>
            <w:r>
              <w:rPr>
                <w:rFonts w:hint="eastAsia" w:ascii="宋体" w:hAnsi="宋体" w:eastAsia="宋体" w:cs="宋体"/>
                <w:color w:val="auto"/>
                <w:highlight w:val="none"/>
              </w:rPr>
              <w:t xml:space="preserve">即时</w:t>
            </w:r>
            <w:r/>
          </w:p>
        </w:tc>
        <w:tc>
          <w:tcPr>
            <w:tcW w:w="820" w:type="pct"/>
            <w:vAlign w:val="center"/>
            <w:textDirection w:val="lrTb"/>
            <w:noWrap w:val="false"/>
          </w:tcPr>
          <w:p>
            <w:pPr>
              <w:jc w:val="center"/>
              <w:spacing w:line="360" w:lineRule="auto"/>
              <w:rPr>
                <w:rFonts w:hint="default" w:ascii="宋体" w:hAnsi="宋体" w:eastAsia="宋体" w:cs="宋体"/>
                <w:color w:val="auto"/>
                <w:highlight w:val="none"/>
              </w:rPr>
            </w:pPr>
            <w:r>
              <w:rPr>
                <w:rFonts w:hint="default" w:ascii="宋体" w:hAnsi="宋体" w:eastAsia="宋体" w:cs="宋体"/>
                <w:color w:val="auto"/>
                <w:highlight w:val="none"/>
              </w:rPr>
              <w:t xml:space="preserve">2小时</w:t>
            </w:r>
            <w:r/>
          </w:p>
        </w:tc>
        <w:tc>
          <w:tcPr>
            <w:tcW w:w="1391" w:type="pct"/>
            <w:vAlign w:val="center"/>
            <w:textDirection w:val="lrTb"/>
            <w:noWrap w:val="false"/>
          </w:tcPr>
          <w:p>
            <w:pPr>
              <w:jc w:val="center"/>
              <w:spacing w:line="360" w:lineRule="auto"/>
              <w:rPr>
                <w:rFonts w:hint="default" w:ascii="宋体" w:hAnsi="宋体" w:eastAsia="宋体" w:cs="宋体"/>
                <w:color w:val="auto"/>
                <w:highlight w:val="none"/>
              </w:rPr>
            </w:pPr>
            <w:r>
              <w:rPr>
                <w:rFonts w:hint="default" w:ascii="宋体" w:hAnsi="宋体" w:eastAsia="宋体" w:cs="宋体"/>
                <w:color w:val="auto"/>
                <w:highlight w:val="none"/>
              </w:rPr>
              <w:t xml:space="preserve">4小时</w:t>
            </w:r>
            <w:r/>
          </w:p>
        </w:tc>
      </w:tr>
      <w:tr>
        <w:trPr/>
        <w:tc>
          <w:tcPr>
            <w:tcW w:w="569" w:type="pct"/>
            <w:vAlign w:val="center"/>
            <w:textDirection w:val="lrTb"/>
            <w:noWrap w:val="false"/>
          </w:tcPr>
          <w:p>
            <w:pPr>
              <w:jc w:val="center"/>
              <w:spacing w:line="360" w:lineRule="auto"/>
              <w:rPr>
                <w:rFonts w:hint="default" w:ascii="宋体" w:hAnsi="宋体" w:eastAsia="宋体" w:cs="宋体"/>
                <w:color w:val="auto"/>
                <w:highlight w:val="none"/>
              </w:rPr>
            </w:pPr>
            <w:r>
              <w:rPr>
                <w:rFonts w:hint="eastAsia" w:ascii="宋体" w:hAnsi="宋体" w:eastAsia="宋体" w:cs="宋体"/>
                <w:color w:val="auto"/>
                <w:highlight w:val="none"/>
              </w:rPr>
              <w:t xml:space="preserve">3</w:t>
            </w:r>
            <w:r/>
          </w:p>
        </w:tc>
        <w:tc>
          <w:tcPr>
            <w:tcW w:w="1377" w:type="pct"/>
            <w:vAlign w:val="center"/>
            <w:textDirection w:val="lrTb"/>
            <w:noWrap w:val="false"/>
          </w:tcPr>
          <w:p>
            <w:pPr>
              <w:jc w:val="center"/>
              <w:rPr>
                <w:rFonts w:hint="default" w:ascii="宋体" w:hAnsi="宋体" w:eastAsia="宋体" w:cs="Times New Roman"/>
                <w:color w:val="auto"/>
                <w:szCs w:val="28"/>
                <w:highlight w:val="none"/>
              </w:rPr>
            </w:pPr>
            <w:r>
              <w:rPr>
                <w:rFonts w:hint="default" w:ascii="宋体" w:hAnsi="宋体" w:eastAsia="宋体" w:cs="Times New Roman"/>
                <w:color w:val="auto"/>
                <w:szCs w:val="28"/>
                <w:highlight w:val="none"/>
              </w:rPr>
              <w:t xml:space="preserve">二级（严重的故障）</w:t>
            </w:r>
            <w:r/>
          </w:p>
        </w:tc>
        <w:tc>
          <w:tcPr>
            <w:tcW w:w="843" w:type="pct"/>
            <w:vAlign w:val="center"/>
            <w:textDirection w:val="lrTb"/>
            <w:noWrap w:val="false"/>
          </w:tcPr>
          <w:p>
            <w:pPr>
              <w:jc w:val="center"/>
              <w:spacing w:line="360" w:lineRule="auto"/>
              <w:rPr>
                <w:rFonts w:hint="default" w:ascii="宋体" w:hAnsi="宋体" w:eastAsia="宋体" w:cs="宋体"/>
                <w:color w:val="auto"/>
                <w:highlight w:val="none"/>
              </w:rPr>
            </w:pPr>
            <w:r>
              <w:rPr>
                <w:rFonts w:hint="eastAsia" w:ascii="宋体" w:hAnsi="宋体" w:eastAsia="宋体" w:cs="宋体"/>
                <w:color w:val="auto"/>
                <w:highlight w:val="none"/>
              </w:rPr>
              <w:t xml:space="preserve">即时</w:t>
            </w:r>
            <w:r/>
          </w:p>
        </w:tc>
        <w:tc>
          <w:tcPr>
            <w:tcW w:w="820" w:type="pct"/>
            <w:vAlign w:val="center"/>
            <w:textDirection w:val="lrTb"/>
            <w:noWrap w:val="false"/>
          </w:tcPr>
          <w:p>
            <w:pPr>
              <w:jc w:val="center"/>
              <w:spacing w:line="360" w:lineRule="auto"/>
              <w:rPr>
                <w:rFonts w:hint="default" w:ascii="宋体" w:hAnsi="宋体" w:eastAsia="宋体" w:cs="宋体"/>
                <w:color w:val="auto"/>
                <w:highlight w:val="none"/>
              </w:rPr>
            </w:pPr>
            <w:r>
              <w:rPr>
                <w:rFonts w:hint="default" w:ascii="宋体" w:hAnsi="宋体" w:eastAsia="宋体" w:cs="宋体"/>
                <w:color w:val="auto"/>
                <w:highlight w:val="none"/>
              </w:rPr>
              <w:t xml:space="preserve">1小时</w:t>
            </w:r>
            <w:r/>
          </w:p>
        </w:tc>
        <w:tc>
          <w:tcPr>
            <w:tcW w:w="1391" w:type="pct"/>
            <w:vAlign w:val="center"/>
            <w:textDirection w:val="lrTb"/>
            <w:noWrap w:val="false"/>
          </w:tcPr>
          <w:p>
            <w:pPr>
              <w:jc w:val="center"/>
              <w:spacing w:line="360" w:lineRule="auto"/>
              <w:rPr>
                <w:rFonts w:hint="default" w:ascii="宋体" w:hAnsi="宋体" w:eastAsia="宋体" w:cs="宋体"/>
                <w:color w:val="auto"/>
                <w:highlight w:val="none"/>
              </w:rPr>
            </w:pPr>
            <w:r>
              <w:rPr>
                <w:rFonts w:hint="default" w:ascii="宋体" w:hAnsi="宋体" w:eastAsia="宋体" w:cs="宋体"/>
                <w:color w:val="auto"/>
                <w:highlight w:val="none"/>
              </w:rPr>
              <w:t xml:space="preserve">2</w:t>
            </w:r>
            <w:r>
              <w:rPr>
                <w:rFonts w:hint="eastAsia" w:ascii="宋体" w:hAnsi="宋体" w:eastAsia="宋体" w:cs="宋体"/>
                <w:color w:val="auto"/>
                <w:highlight w:val="none"/>
              </w:rPr>
              <w:t xml:space="preserve">小时</w:t>
            </w:r>
            <w:r/>
          </w:p>
        </w:tc>
      </w:tr>
      <w:tr>
        <w:trPr/>
        <w:tc>
          <w:tcPr>
            <w:tcW w:w="569" w:type="pct"/>
            <w:vAlign w:val="center"/>
            <w:textDirection w:val="lrTb"/>
            <w:noWrap w:val="false"/>
          </w:tcPr>
          <w:p>
            <w:pPr>
              <w:jc w:val="center"/>
              <w:spacing w:line="360" w:lineRule="auto"/>
              <w:rPr>
                <w:rFonts w:hint="default" w:ascii="宋体" w:hAnsi="宋体" w:eastAsia="宋体" w:cs="宋体"/>
                <w:color w:val="auto"/>
                <w:highlight w:val="none"/>
              </w:rPr>
            </w:pPr>
            <w:r>
              <w:rPr>
                <w:rFonts w:hint="eastAsia" w:ascii="宋体" w:hAnsi="宋体" w:eastAsia="宋体" w:cs="宋体"/>
                <w:color w:val="auto"/>
                <w:highlight w:val="none"/>
              </w:rPr>
              <w:t xml:space="preserve">4</w:t>
            </w:r>
            <w:r/>
          </w:p>
        </w:tc>
        <w:tc>
          <w:tcPr>
            <w:tcW w:w="1377" w:type="pct"/>
            <w:vAlign w:val="center"/>
            <w:textDirection w:val="lrTb"/>
            <w:noWrap w:val="false"/>
          </w:tcPr>
          <w:p>
            <w:pPr>
              <w:jc w:val="center"/>
              <w:rPr>
                <w:rFonts w:hint="default" w:ascii="宋体" w:hAnsi="宋体" w:eastAsia="宋体" w:cs="Times New Roman"/>
                <w:color w:val="auto"/>
                <w:szCs w:val="28"/>
                <w:highlight w:val="none"/>
              </w:rPr>
            </w:pPr>
            <w:r>
              <w:rPr>
                <w:rFonts w:hint="default" w:ascii="宋体" w:hAnsi="宋体" w:eastAsia="宋体" w:cs="Times New Roman"/>
                <w:color w:val="auto"/>
                <w:szCs w:val="28"/>
                <w:highlight w:val="none"/>
              </w:rPr>
              <w:t xml:space="preserve">一级（紧急的故障）</w:t>
            </w:r>
            <w:r/>
          </w:p>
        </w:tc>
        <w:tc>
          <w:tcPr>
            <w:tcW w:w="843" w:type="pct"/>
            <w:vAlign w:val="center"/>
            <w:textDirection w:val="lrTb"/>
            <w:noWrap w:val="false"/>
          </w:tcPr>
          <w:p>
            <w:pPr>
              <w:jc w:val="center"/>
              <w:spacing w:line="360" w:lineRule="auto"/>
              <w:rPr>
                <w:rFonts w:hint="default" w:ascii="宋体" w:hAnsi="宋体" w:eastAsia="宋体" w:cs="宋体"/>
                <w:color w:val="auto"/>
                <w:highlight w:val="none"/>
              </w:rPr>
            </w:pPr>
            <w:r>
              <w:rPr>
                <w:rFonts w:hint="eastAsia" w:ascii="宋体" w:hAnsi="宋体" w:eastAsia="宋体" w:cs="宋体"/>
                <w:color w:val="auto"/>
                <w:highlight w:val="none"/>
              </w:rPr>
              <w:t xml:space="preserve">即时</w:t>
            </w:r>
            <w:r/>
          </w:p>
        </w:tc>
        <w:tc>
          <w:tcPr>
            <w:tcW w:w="820" w:type="pct"/>
            <w:vAlign w:val="center"/>
            <w:textDirection w:val="lrTb"/>
            <w:noWrap w:val="false"/>
          </w:tcPr>
          <w:p>
            <w:pPr>
              <w:jc w:val="center"/>
              <w:spacing w:line="360" w:lineRule="auto"/>
              <w:rPr>
                <w:rFonts w:hint="default" w:ascii="宋体" w:hAnsi="宋体" w:eastAsia="宋体" w:cs="宋体"/>
                <w:color w:val="auto"/>
                <w:highlight w:val="none"/>
              </w:rPr>
            </w:pPr>
            <w:r>
              <w:rPr>
                <w:rFonts w:hint="default" w:ascii="宋体" w:hAnsi="宋体" w:eastAsia="宋体" w:cs="宋体"/>
                <w:color w:val="auto"/>
                <w:highlight w:val="none"/>
              </w:rPr>
              <w:t xml:space="preserve">0.5个小时</w:t>
            </w:r>
            <w:r/>
          </w:p>
        </w:tc>
        <w:tc>
          <w:tcPr>
            <w:tcW w:w="1391" w:type="pct"/>
            <w:vAlign w:val="center"/>
            <w:textDirection w:val="lrTb"/>
            <w:noWrap w:val="false"/>
          </w:tcPr>
          <w:p>
            <w:pPr>
              <w:jc w:val="center"/>
              <w:spacing w:line="360" w:lineRule="auto"/>
              <w:rPr>
                <w:rFonts w:hint="default" w:ascii="宋体" w:hAnsi="宋体" w:eastAsia="宋体" w:cs="宋体"/>
                <w:color w:val="auto"/>
                <w:highlight w:val="none"/>
              </w:rPr>
            </w:pPr>
            <w:r>
              <w:rPr>
                <w:rFonts w:hint="default" w:ascii="宋体" w:hAnsi="宋体" w:eastAsia="宋体" w:cs="宋体"/>
                <w:color w:val="auto"/>
                <w:highlight w:val="none"/>
              </w:rPr>
              <w:t xml:space="preserve">2</w:t>
            </w:r>
            <w:r>
              <w:rPr>
                <w:rFonts w:hint="eastAsia" w:ascii="宋体" w:hAnsi="宋体" w:eastAsia="宋体" w:cs="宋体"/>
                <w:color w:val="auto"/>
                <w:highlight w:val="none"/>
              </w:rPr>
              <w:t xml:space="preserve">小时</w:t>
            </w:r>
            <w:r/>
          </w:p>
        </w:tc>
      </w:tr>
    </w:tbl>
    <w:p>
      <w:pPr>
        <w:ind w:firstLine="561"/>
        <w:spacing w:line="360" w:lineRule="auto"/>
        <w:rPr>
          <w:rFonts w:hint="default" w:ascii="宋体" w:hAnsi="宋体" w:eastAsia="宋体" w:cs="Times New Roman"/>
          <w:color w:val="auto"/>
          <w:szCs w:val="28"/>
          <w:highlight w:val="none"/>
        </w:rPr>
      </w:pPr>
      <w:r>
        <w:rPr>
          <w:rFonts w:hint="default" w:ascii="宋体" w:hAnsi="宋体" w:eastAsia="宋体" w:cs="Times New Roman"/>
          <w:color w:val="auto"/>
          <w:szCs w:val="28"/>
          <w:highlight w:val="none"/>
        </w:rPr>
        <w:t xml:space="preserve">注：一级（紧急的故障）：设备运行状态危急不能正常工作。</w:t>
      </w:r>
      <w:r/>
    </w:p>
    <w:p>
      <w:pPr>
        <w:ind w:firstLine="561"/>
        <w:spacing w:line="360" w:lineRule="auto"/>
        <w:rPr>
          <w:rFonts w:hint="default" w:ascii="宋体" w:hAnsi="宋体" w:eastAsia="宋体" w:cs="Times New Roman"/>
          <w:color w:val="auto"/>
          <w:szCs w:val="28"/>
          <w:highlight w:val="none"/>
        </w:rPr>
      </w:pPr>
      <w:r>
        <w:rPr>
          <w:rFonts w:hint="default" w:ascii="宋体" w:hAnsi="宋体" w:eastAsia="宋体" w:cs="Times New Roman"/>
          <w:color w:val="auto"/>
          <w:szCs w:val="28"/>
          <w:highlight w:val="none"/>
        </w:rPr>
        <w:t xml:space="preserve">二级（严重的故障）：设备出现故障仍能运行，但功能被严重削弱。</w:t>
      </w:r>
      <w:r/>
    </w:p>
    <w:p>
      <w:pPr>
        <w:ind w:firstLine="561"/>
        <w:spacing w:line="360" w:lineRule="auto"/>
        <w:rPr>
          <w:rFonts w:hint="default" w:ascii="宋体" w:hAnsi="宋体" w:eastAsia="宋体" w:cs="Times New Roman"/>
          <w:color w:val="auto"/>
          <w:szCs w:val="28"/>
          <w:highlight w:val="none"/>
        </w:rPr>
      </w:pPr>
      <w:r>
        <w:rPr>
          <w:rFonts w:hint="default" w:ascii="宋体" w:hAnsi="宋体" w:eastAsia="宋体" w:cs="Times New Roman"/>
          <w:color w:val="auto"/>
          <w:szCs w:val="28"/>
          <w:highlight w:val="none"/>
        </w:rPr>
        <w:t xml:space="preserve">三级（限制性故障）：一般设备或线路故障。</w:t>
      </w:r>
      <w:r/>
    </w:p>
    <w:p>
      <w:pPr>
        <w:ind w:firstLine="561"/>
        <w:spacing w:line="360" w:lineRule="auto"/>
        <w:rPr>
          <w:rFonts w:hint="default" w:ascii="宋体" w:hAnsi="宋体" w:eastAsia="宋体" w:cs="Times New Roman"/>
          <w:color w:val="auto"/>
          <w:szCs w:val="28"/>
          <w:highlight w:val="none"/>
        </w:rPr>
      </w:pPr>
      <w:r>
        <w:rPr>
          <w:rFonts w:hint="default" w:ascii="宋体" w:hAnsi="宋体" w:eastAsia="宋体" w:cs="Times New Roman"/>
          <w:color w:val="auto"/>
          <w:szCs w:val="28"/>
          <w:highlight w:val="none"/>
        </w:rPr>
        <w:t xml:space="preserve">四级（轻微的故障）：正确的操作可预防发生故障。</w:t>
      </w:r>
      <w:r/>
    </w:p>
    <w:p>
      <w:pPr>
        <w:ind w:firstLine="561"/>
        <w:spacing w:line="360" w:lineRule="auto"/>
        <w:rPr>
          <w:rFonts w:hint="default" w:ascii="宋体" w:hAnsi="宋体" w:eastAsia="宋体" w:cs="Times New Roman"/>
          <w:color w:val="auto"/>
          <w:szCs w:val="28"/>
          <w:highlight w:val="none"/>
        </w:rPr>
      </w:pPr>
      <w:r>
        <w:rPr>
          <w:rFonts w:hint="default" w:ascii="宋体" w:hAnsi="宋体" w:eastAsia="宋体" w:cs="Times New Roman"/>
          <w:color w:val="auto"/>
          <w:szCs w:val="28"/>
          <w:highlight w:val="none"/>
        </w:rPr>
        <w:t xml:space="preserve">有特殊需要（系统演示、领导参观、重大保卫活动等）时，无论设备是否有故障，维护方维护人员随叫随到，相关人员在2个小时内到达现场，如有故障必须在4小时内解决。</w:t>
      </w:r>
      <w:r/>
    </w:p>
    <w:p>
      <w:pPr>
        <w:ind w:firstLine="561"/>
        <w:spacing w:line="360" w:lineRule="auto"/>
        <w:rPr>
          <w:rFonts w:hint="default" w:ascii="宋体" w:hAnsi="宋体" w:eastAsia="宋体" w:cs="Times New Roman"/>
          <w:color w:val="auto"/>
          <w:szCs w:val="28"/>
          <w:highlight w:val="none"/>
        </w:rPr>
      </w:pPr>
      <w:r>
        <w:rPr>
          <w:rFonts w:hint="default" w:ascii="宋体" w:hAnsi="宋体" w:eastAsia="宋体" w:cs="Times New Roman"/>
          <w:color w:val="auto"/>
          <w:szCs w:val="28"/>
          <w:highlight w:val="none"/>
        </w:rPr>
        <w:t xml:space="preserve">因客观因素无法解决的,</w:t>
      </w:r>
      <w:r>
        <w:rPr>
          <w:rFonts w:hint="eastAsia" w:ascii="宋体" w:hAnsi="宋体" w:eastAsia="宋体" w:cs="Times New Roman"/>
          <w:color w:val="auto"/>
          <w:szCs w:val="28"/>
          <w:highlight w:val="none"/>
        </w:rPr>
        <w:t xml:space="preserve">或</w:t>
      </w:r>
      <w:r>
        <w:rPr>
          <w:rFonts w:hint="default" w:ascii="宋体" w:hAnsi="宋体" w:eastAsia="宋体" w:cs="Times New Roman"/>
          <w:color w:val="auto"/>
          <w:szCs w:val="28"/>
          <w:highlight w:val="none"/>
        </w:rPr>
        <w:t xml:space="preserve">不能当场排除的硬件故障时,用不低于故障机配置的周转机供用户使用</w:t>
      </w:r>
      <w:r>
        <w:rPr>
          <w:rFonts w:hint="eastAsia" w:ascii="宋体" w:hAnsi="宋体" w:eastAsia="宋体" w:cs="Times New Roman"/>
          <w:color w:val="auto"/>
          <w:szCs w:val="28"/>
          <w:highlight w:val="none"/>
        </w:rPr>
        <w:t xml:space="preserve">，且</w:t>
      </w:r>
      <w:r>
        <w:rPr>
          <w:rFonts w:hint="default" w:ascii="宋体" w:hAnsi="宋体" w:eastAsia="宋体" w:cs="Times New Roman"/>
          <w:color w:val="auto"/>
          <w:szCs w:val="28"/>
          <w:highlight w:val="none"/>
        </w:rPr>
        <w:t xml:space="preserve">故障必须在4小时内解决</w:t>
      </w:r>
      <w:r>
        <w:rPr>
          <w:rFonts w:hint="eastAsia" w:ascii="宋体" w:hAnsi="宋体" w:eastAsia="宋体" w:cs="Times New Roman"/>
          <w:color w:val="auto"/>
          <w:szCs w:val="28"/>
          <w:highlight w:val="none"/>
        </w:rPr>
        <w:t xml:space="preserve">。</w:t>
      </w:r>
      <w:r/>
    </w:p>
    <w:p>
      <w:pPr>
        <w:ind w:firstLine="422"/>
        <w:spacing w:line="360" w:lineRule="auto"/>
        <w:rPr>
          <w:rFonts w:hint="default" w:ascii="宋体" w:hAnsi="宋体" w:eastAsia="宋体" w:cs="宋体"/>
          <w:b/>
          <w:color w:val="auto"/>
          <w:highlight w:val="none"/>
        </w:rPr>
      </w:pPr>
      <w:r>
        <w:rPr>
          <w:rFonts w:hint="default" w:ascii="宋体" w:hAnsi="宋体" w:eastAsia="宋体" w:cs="宋体"/>
          <w:b/>
          <w:color w:val="auto"/>
          <w:highlight w:val="none"/>
        </w:rPr>
        <w:t xml:space="preserve">7</w:t>
      </w:r>
      <w:r>
        <w:rPr>
          <w:rFonts w:hint="eastAsia" w:ascii="宋体" w:hAnsi="宋体" w:eastAsia="宋体" w:cs="宋体"/>
          <w:b/>
          <w:color w:val="auto"/>
          <w:highlight w:val="none"/>
        </w:rPr>
        <w:t xml:space="preserve">、维护服务相关罚则</w:t>
      </w:r>
      <w:bookmarkStart w:id="14" w:name="_Hlk73365271"/>
      <w:r/>
      <w:r/>
    </w:p>
    <w:p>
      <w:pPr>
        <w:ind w:firstLine="561"/>
        <w:spacing w:line="360" w:lineRule="auto"/>
        <w:rPr>
          <w:rFonts w:hint="default" w:ascii="宋体" w:hAnsi="宋体" w:eastAsia="宋体" w:cs="Times New Roman"/>
          <w:color w:val="auto"/>
          <w:szCs w:val="28"/>
          <w:highlight w:val="none"/>
        </w:rPr>
      </w:pPr>
      <w:r>
        <w:rPr>
          <w:rFonts w:hint="eastAsia" w:ascii="宋体" w:hAnsi="宋体" w:eastAsia="宋体" w:cs="Times New Roman"/>
          <w:color w:val="auto"/>
          <w:szCs w:val="28"/>
          <w:highlight w:val="none"/>
        </w:rPr>
        <w:t xml:space="preserve">1）维护方接到电子警察类交通设施维护指令后，未在30分钟内到达现场开展有效工作的（因客观原因造成的，并经昆山市公安局（交通管理大队）认可的除外），每次扣罚200元；</w:t>
      </w:r>
      <w:r/>
    </w:p>
    <w:p>
      <w:pPr>
        <w:ind w:firstLine="561"/>
        <w:spacing w:line="360" w:lineRule="auto"/>
        <w:rPr>
          <w:rFonts w:hint="default" w:ascii="宋体" w:hAnsi="宋体" w:eastAsia="宋体" w:cs="Times New Roman"/>
          <w:color w:val="auto"/>
          <w:szCs w:val="28"/>
          <w:highlight w:val="none"/>
        </w:rPr>
      </w:pPr>
      <w:r>
        <w:rPr>
          <w:rFonts w:hint="default" w:ascii="宋体" w:hAnsi="宋体" w:eastAsia="宋体" w:cs="Times New Roman"/>
          <w:color w:val="auto"/>
          <w:szCs w:val="28"/>
          <w:highlight w:val="none"/>
        </w:rPr>
        <w:t xml:space="preserve">2</w:t>
      </w:r>
      <w:r>
        <w:rPr>
          <w:rFonts w:hint="eastAsia" w:ascii="宋体" w:hAnsi="宋体" w:eastAsia="宋体" w:cs="Times New Roman"/>
          <w:color w:val="auto"/>
          <w:szCs w:val="28"/>
          <w:highlight w:val="none"/>
        </w:rPr>
        <w:t xml:space="preserve">）维护方接到电子警察类交通设施维护指令后，忘记维修或不去维修的（接到维护指令后24小时内未到现场开展有效工作的），每次扣罚2000元，因维修不及时引发道路交通事故或其他人身及财产损失，由维护方承担全部责任；</w:t>
      </w:r>
      <w:r/>
    </w:p>
    <w:p>
      <w:pPr>
        <w:ind w:firstLine="561"/>
        <w:spacing w:line="360" w:lineRule="auto"/>
        <w:rPr>
          <w:rFonts w:hint="default" w:ascii="宋体" w:hAnsi="宋体" w:eastAsia="宋体" w:cs="Times New Roman"/>
          <w:color w:val="auto"/>
          <w:szCs w:val="28"/>
          <w:highlight w:val="none"/>
        </w:rPr>
      </w:pPr>
      <w:r>
        <w:rPr>
          <w:rFonts w:hint="default" w:ascii="宋体" w:hAnsi="宋体" w:eastAsia="宋体" w:cs="Times New Roman"/>
          <w:color w:val="auto"/>
          <w:szCs w:val="28"/>
          <w:highlight w:val="none"/>
        </w:rPr>
        <w:t xml:space="preserve">3</w:t>
      </w:r>
      <w:r>
        <w:rPr>
          <w:rFonts w:hint="eastAsia" w:ascii="宋体" w:hAnsi="宋体" w:eastAsia="宋体" w:cs="Times New Roman"/>
          <w:color w:val="auto"/>
          <w:szCs w:val="28"/>
          <w:highlight w:val="none"/>
        </w:rPr>
        <w:t xml:space="preserve">）维护方因客观原因无法及时对电子警察类交通设施故障进行修复，未采取相应的临时措施，且未向昆山市公安局（交通管理大队）汇报，导致设施隐患一直存在的，每次扣罚1000元，若由此引发道路交通事故或其他人身及财产损失，由维护方承担全部责任；</w:t>
      </w:r>
      <w:r/>
    </w:p>
    <w:p>
      <w:pPr>
        <w:ind w:firstLine="561"/>
        <w:spacing w:line="360" w:lineRule="auto"/>
        <w:rPr>
          <w:rFonts w:hint="default" w:ascii="宋体" w:hAnsi="宋体" w:eastAsia="宋体" w:cs="Times New Roman"/>
          <w:color w:val="auto"/>
          <w:szCs w:val="28"/>
          <w:highlight w:val="none"/>
        </w:rPr>
      </w:pPr>
      <w:r>
        <w:rPr>
          <w:rFonts w:hint="default" w:ascii="宋体" w:hAnsi="宋体" w:eastAsia="宋体" w:cs="Times New Roman"/>
          <w:color w:val="auto"/>
          <w:szCs w:val="28"/>
          <w:highlight w:val="none"/>
        </w:rPr>
        <w:t xml:space="preserve">4</w:t>
      </w:r>
      <w:r>
        <w:rPr>
          <w:rFonts w:hint="eastAsia" w:ascii="宋体" w:hAnsi="宋体" w:eastAsia="宋体" w:cs="Times New Roman"/>
          <w:color w:val="auto"/>
          <w:szCs w:val="28"/>
          <w:highlight w:val="none"/>
        </w:rPr>
        <w:t xml:space="preserve">）维护方应加强对电子警察类交通设施的日常巡检工作，发现问题及时反馈处理，确保设施正常使用。若电子警察故障已存在24小时以上而维护方未发现或未排除设施故障，每次扣罚100元；</w:t>
      </w:r>
      <w:r/>
    </w:p>
    <w:p>
      <w:pPr>
        <w:ind w:firstLine="561"/>
        <w:spacing w:line="360" w:lineRule="auto"/>
        <w:rPr>
          <w:rFonts w:hint="default" w:ascii="宋体" w:hAnsi="宋体" w:eastAsia="宋体" w:cs="Times New Roman"/>
          <w:color w:val="auto"/>
          <w:szCs w:val="28"/>
          <w:highlight w:val="none"/>
        </w:rPr>
      </w:pPr>
      <w:r>
        <w:rPr>
          <w:rFonts w:hint="default" w:ascii="宋体" w:hAnsi="宋体" w:eastAsia="宋体" w:cs="Times New Roman"/>
          <w:color w:val="auto"/>
          <w:szCs w:val="28"/>
          <w:highlight w:val="none"/>
        </w:rPr>
        <w:t xml:space="preserve">5</w:t>
      </w:r>
      <w:r>
        <w:rPr>
          <w:rFonts w:hint="eastAsia" w:ascii="宋体" w:hAnsi="宋体" w:eastAsia="宋体" w:cs="Times New Roman"/>
          <w:color w:val="auto"/>
          <w:szCs w:val="28"/>
          <w:highlight w:val="none"/>
        </w:rPr>
        <w:t xml:space="preserve">）维护方违反规定在早晚高峰期间进行施工作业（除抢修项目外），影响道路交通正常通行或造成交通拥堵的，每次扣罚200元。经交通执勤人员劝阻后，不服指挥继续施工作业的，每次扣罚500元。</w:t>
      </w:r>
      <w:r/>
    </w:p>
    <w:p>
      <w:pPr>
        <w:ind w:firstLine="561"/>
        <w:spacing w:line="360" w:lineRule="auto"/>
        <w:rPr>
          <w:rFonts w:hint="default" w:ascii="宋体" w:hAnsi="宋体" w:eastAsia="宋体" w:cs="Times New Roman"/>
          <w:color w:val="auto"/>
          <w:szCs w:val="28"/>
          <w:highlight w:val="none"/>
        </w:rPr>
      </w:pPr>
      <w:r>
        <w:rPr>
          <w:rFonts w:hint="default" w:ascii="宋体" w:hAnsi="宋体" w:eastAsia="宋体" w:cs="Times New Roman"/>
          <w:color w:val="auto"/>
          <w:szCs w:val="28"/>
          <w:highlight w:val="none"/>
        </w:rPr>
        <w:t xml:space="preserve">6</w:t>
      </w:r>
      <w:r>
        <w:rPr>
          <w:rFonts w:hint="eastAsia" w:ascii="宋体" w:hAnsi="宋体" w:eastAsia="宋体" w:cs="Times New Roman"/>
          <w:color w:val="auto"/>
          <w:szCs w:val="28"/>
          <w:highlight w:val="none"/>
        </w:rPr>
        <w:t xml:space="preserve">）维护方不按实际维修情况，虚报、谎报维修清单及工程量的，经查实，每次扣罚10000元；</w:t>
      </w:r>
      <w:r/>
    </w:p>
    <w:p>
      <w:pPr>
        <w:ind w:firstLine="561"/>
        <w:spacing w:line="360" w:lineRule="auto"/>
        <w:rPr>
          <w:rFonts w:hint="default" w:ascii="宋体" w:hAnsi="宋体" w:eastAsia="宋体" w:cs="Times New Roman"/>
          <w:color w:val="auto"/>
          <w:szCs w:val="28"/>
          <w:highlight w:val="none"/>
        </w:rPr>
      </w:pPr>
      <w:r>
        <w:rPr>
          <w:rFonts w:hint="default" w:ascii="宋体" w:hAnsi="宋体" w:eastAsia="宋体" w:cs="Times New Roman"/>
          <w:color w:val="auto"/>
          <w:szCs w:val="28"/>
          <w:highlight w:val="none"/>
        </w:rPr>
        <w:t xml:space="preserve">7</w:t>
      </w:r>
      <w:r>
        <w:rPr>
          <w:rFonts w:hint="eastAsia" w:ascii="宋体" w:hAnsi="宋体" w:eastAsia="宋体" w:cs="Times New Roman"/>
          <w:color w:val="auto"/>
          <w:szCs w:val="28"/>
          <w:highlight w:val="none"/>
        </w:rPr>
        <w:t xml:space="preserve">）维护方违反操作规程，导致人为增加实际工程量的，经查实，每次扣罚10000元；</w:t>
      </w:r>
      <w:r/>
    </w:p>
    <w:p>
      <w:pPr>
        <w:ind w:firstLine="561"/>
        <w:spacing w:line="360" w:lineRule="auto"/>
        <w:rPr>
          <w:rFonts w:hint="default" w:ascii="宋体" w:hAnsi="宋体" w:eastAsia="宋体" w:cs="Times New Roman"/>
          <w:color w:val="auto"/>
          <w:szCs w:val="28"/>
          <w:highlight w:val="none"/>
        </w:rPr>
      </w:pPr>
      <w:r>
        <w:rPr>
          <w:rFonts w:hint="default" w:ascii="宋体" w:hAnsi="宋体" w:eastAsia="宋体" w:cs="Times New Roman"/>
          <w:color w:val="auto"/>
          <w:szCs w:val="28"/>
          <w:highlight w:val="none"/>
        </w:rPr>
        <w:t xml:space="preserve">8</w:t>
      </w:r>
      <w:r>
        <w:rPr>
          <w:rFonts w:hint="eastAsia" w:ascii="宋体" w:hAnsi="宋体" w:eastAsia="宋体" w:cs="Times New Roman"/>
          <w:color w:val="auto"/>
          <w:szCs w:val="28"/>
          <w:highlight w:val="none"/>
        </w:rPr>
        <w:t xml:space="preserve">）除上述情况外，维护方违反招标文件中的其他规定的，每发现一次，扣罚200元，不设上限；</w:t>
      </w:r>
      <w:r/>
    </w:p>
    <w:p>
      <w:pPr>
        <w:ind w:firstLine="561"/>
        <w:spacing w:line="360" w:lineRule="auto"/>
        <w:rPr>
          <w:rFonts w:hint="default" w:ascii="宋体" w:hAnsi="宋体" w:eastAsia="宋体" w:cs="Times New Roman"/>
          <w:color w:val="auto"/>
          <w:szCs w:val="28"/>
          <w:highlight w:val="none"/>
        </w:rPr>
      </w:pPr>
      <w:r>
        <w:rPr>
          <w:rFonts w:hint="default" w:ascii="宋体" w:hAnsi="宋体" w:eastAsia="宋体" w:cs="Times New Roman"/>
          <w:color w:val="auto"/>
          <w:szCs w:val="28"/>
          <w:highlight w:val="none"/>
        </w:rPr>
        <w:t xml:space="preserve">9</w:t>
      </w:r>
      <w:r>
        <w:rPr>
          <w:rFonts w:hint="eastAsia" w:ascii="宋体" w:hAnsi="宋体" w:eastAsia="宋体" w:cs="Times New Roman"/>
          <w:color w:val="auto"/>
          <w:szCs w:val="28"/>
          <w:highlight w:val="none"/>
        </w:rPr>
        <w:t xml:space="preserve">）多次违反上述规定的，且维护方整改不力的，昆山市公安局（交通管理大队）有权要求维护方停业整顿或终止合同。</w:t>
      </w:r>
      <w:r/>
    </w:p>
    <w:p>
      <w:pPr>
        <w:ind w:firstLine="561"/>
        <w:spacing w:line="360" w:lineRule="auto"/>
        <w:rPr>
          <w:rFonts w:hint="default" w:ascii="宋体" w:hAnsi="宋体" w:eastAsia="宋体" w:cs="宋体"/>
          <w:b/>
          <w:color w:val="auto"/>
          <w:highlight w:val="none"/>
        </w:rPr>
      </w:pPr>
      <w:r>
        <w:rPr>
          <w:rFonts w:hint="default" w:ascii="宋体" w:hAnsi="宋体" w:eastAsia="宋体" w:cs="宋体"/>
          <w:b/>
          <w:color w:val="auto"/>
          <w:highlight w:val="none"/>
        </w:rPr>
        <w:t xml:space="preserve">8</w:t>
      </w:r>
      <w:r>
        <w:rPr>
          <w:rFonts w:hint="eastAsia" w:ascii="宋体" w:hAnsi="宋体" w:eastAsia="宋体" w:cs="宋体"/>
          <w:b/>
          <w:color w:val="auto"/>
          <w:highlight w:val="none"/>
        </w:rPr>
        <w:t xml:space="preserve">、维护服务考核</w:t>
      </w:r>
      <w:r/>
    </w:p>
    <w:p>
      <w:pPr>
        <w:ind w:firstLine="420"/>
        <w:spacing w:line="360" w:lineRule="auto"/>
        <w:rPr>
          <w:rFonts w:hint="default" w:ascii="宋体" w:hAnsi="宋体" w:eastAsia="宋体" w:cs="Times New Roman"/>
          <w:color w:val="auto"/>
          <w:szCs w:val="28"/>
          <w:highlight w:val="none"/>
        </w:rPr>
      </w:pPr>
      <w:r>
        <w:rPr>
          <w:rFonts w:hint="eastAsia" w:ascii="宋体" w:hAnsi="宋体" w:eastAsia="宋体" w:cs="宋体"/>
          <w:color w:val="auto"/>
          <w:highlight w:val="none"/>
        </w:rPr>
        <w:t xml:space="preserve">（</w:t>
      </w:r>
      <w:r>
        <w:rPr>
          <w:rFonts w:hint="default" w:ascii="宋体" w:hAnsi="宋体" w:eastAsia="宋体" w:cs="宋体"/>
          <w:color w:val="auto"/>
          <w:highlight w:val="none"/>
        </w:rPr>
        <w:t xml:space="preserve">1</w:t>
      </w:r>
      <w:r>
        <w:rPr>
          <w:rFonts w:hint="eastAsia" w:ascii="宋体" w:hAnsi="宋体" w:eastAsia="宋体" w:cs="宋体"/>
          <w:color w:val="auto"/>
          <w:highlight w:val="none"/>
        </w:rPr>
        <w:t xml:space="preserve">）</w:t>
      </w:r>
      <w:r>
        <w:rPr>
          <w:rFonts w:hint="eastAsia" w:ascii="宋体" w:hAnsi="宋体" w:eastAsia="宋体" w:cs="Times New Roman"/>
          <w:color w:val="auto"/>
          <w:szCs w:val="28"/>
          <w:highlight w:val="none"/>
        </w:rPr>
        <w:t xml:space="preserve">考核依据：系统使用方的故障申告必须有文字记录，必须对故障发生的时间、故障情况、处理措施、值班人员等进行</w:t>
      </w:r>
      <w:r>
        <w:rPr>
          <w:rFonts w:hint="eastAsia" w:ascii="宋体" w:hAnsi="宋体" w:cs="Times New Roman"/>
          <w:color w:val="auto"/>
          <w:szCs w:val="28"/>
          <w:highlight w:val="none"/>
          <w:lang w:val="en-US" w:eastAsia="zh-CN"/>
        </w:rPr>
        <w:t xml:space="preserve">详</w:t>
      </w:r>
      <w:r>
        <w:rPr>
          <w:rFonts w:hint="eastAsia" w:ascii="宋体" w:hAnsi="宋体" w:eastAsia="宋体" w:cs="Times New Roman"/>
          <w:color w:val="auto"/>
          <w:szCs w:val="28"/>
          <w:highlight w:val="none"/>
        </w:rPr>
        <w:t xml:space="preserve">实记录；维护工程师每次的故障处理，必须由系统使用方值班人员与维护工程师双方签字确认；系统的正常维护遵守投标时的维护响应及处理承诺。</w:t>
      </w:r>
      <w:r/>
    </w:p>
    <w:p>
      <w:pPr>
        <w:ind w:firstLine="420"/>
        <w:spacing w:line="360" w:lineRule="auto"/>
        <w:rPr>
          <w:rFonts w:hint="default" w:ascii="宋体" w:hAnsi="宋体" w:eastAsia="宋体" w:cs="Times New Roman"/>
          <w:color w:val="auto"/>
          <w:szCs w:val="28"/>
          <w:highlight w:val="none"/>
        </w:rPr>
      </w:pPr>
      <w:r>
        <w:rPr>
          <w:rFonts w:hint="eastAsia" w:ascii="宋体" w:hAnsi="宋体" w:eastAsia="宋体" w:cs="宋体"/>
          <w:color w:val="auto"/>
          <w:highlight w:val="none"/>
        </w:rPr>
        <w:t xml:space="preserve">（</w:t>
      </w:r>
      <w:r>
        <w:rPr>
          <w:rFonts w:hint="default" w:ascii="宋体" w:hAnsi="宋体" w:eastAsia="宋体" w:cs="宋体"/>
          <w:color w:val="auto"/>
          <w:highlight w:val="none"/>
        </w:rPr>
        <w:t xml:space="preserve">2</w:t>
      </w:r>
      <w:r>
        <w:rPr>
          <w:rFonts w:hint="eastAsia" w:ascii="宋体" w:hAnsi="宋体" w:eastAsia="宋体" w:cs="宋体"/>
          <w:color w:val="auto"/>
          <w:highlight w:val="none"/>
        </w:rPr>
        <w:t xml:space="preserve">）</w:t>
      </w:r>
      <w:r>
        <w:rPr>
          <w:rFonts w:hint="eastAsia" w:ascii="宋体" w:hAnsi="宋体" w:eastAsia="宋体" w:cs="Times New Roman"/>
          <w:color w:val="auto"/>
          <w:szCs w:val="28"/>
          <w:highlight w:val="none"/>
        </w:rPr>
        <w:t xml:space="preserve">考核方式：维护考核采用积分制进行考核，由昆山市公安局（交通管理大队）进行考核评分。</w:t>
      </w:r>
      <w:r/>
    </w:p>
    <w:p>
      <w:pPr>
        <w:ind w:firstLine="561"/>
        <w:spacing w:line="360" w:lineRule="auto"/>
        <w:rPr>
          <w:rFonts w:hint="default" w:ascii="宋体" w:hAnsi="宋体" w:eastAsia="宋体" w:cs="Times New Roman"/>
          <w:color w:val="auto"/>
          <w:szCs w:val="28"/>
          <w:highlight w:val="none"/>
        </w:rPr>
      </w:pPr>
      <w:r>
        <w:rPr>
          <w:rFonts w:hint="default" w:ascii="宋体" w:hAnsi="宋体" w:eastAsia="宋体" w:cs="Times New Roman"/>
          <w:color w:val="auto"/>
          <w:szCs w:val="28"/>
          <w:highlight w:val="none"/>
        </w:rPr>
        <w:t xml:space="preserve">1</w:t>
      </w:r>
      <w:r>
        <w:rPr>
          <w:rFonts w:hint="eastAsia" w:ascii="宋体" w:hAnsi="宋体" w:eastAsia="宋体" w:cs="Times New Roman"/>
          <w:color w:val="auto"/>
          <w:szCs w:val="28"/>
          <w:highlight w:val="none"/>
        </w:rPr>
        <w:t xml:space="preserve">）前端设备完好率定期巡检（每周一次），年度得分取平均分。其他考项按次累加。</w:t>
      </w:r>
      <w:r/>
    </w:p>
    <w:p>
      <w:pPr>
        <w:ind w:firstLine="561"/>
        <w:spacing w:line="360" w:lineRule="auto"/>
        <w:rPr>
          <w:rFonts w:hint="default" w:ascii="宋体" w:hAnsi="宋体" w:eastAsia="宋体" w:cs="Times New Roman"/>
          <w:color w:val="auto"/>
          <w:szCs w:val="28"/>
          <w:highlight w:val="none"/>
        </w:rPr>
      </w:pPr>
      <w:r>
        <w:rPr>
          <w:rFonts w:hint="eastAsia" w:ascii="宋体" w:hAnsi="宋体" w:eastAsia="宋体" w:cs="Times New Roman"/>
          <w:color w:val="auto"/>
          <w:szCs w:val="28"/>
          <w:highlight w:val="none"/>
        </w:rPr>
        <w:t xml:space="preserve">2）考核周期为单月考核、季度考核、年终考核。维护方每月统计该月的维护情况报表，对每部分的维护工作进行汇总形成季度考核、年终考核，由昆山市公安局（交通管理大队）根据考核依据进行考核评分。</w:t>
      </w:r>
      <w:bookmarkEnd w:id="14"/>
      <w:r/>
      <w:r/>
    </w:p>
    <w:p>
      <w:pPr>
        <w:ind w:firstLine="561"/>
        <w:spacing w:line="360" w:lineRule="auto"/>
        <w:rPr>
          <w:rFonts w:hint="default" w:ascii="宋体" w:hAnsi="宋体" w:eastAsia="宋体" w:cs="Times New Roman"/>
          <w:color w:val="auto"/>
          <w:szCs w:val="28"/>
          <w:highlight w:val="none"/>
        </w:rPr>
      </w:pPr>
      <w:r>
        <w:rPr>
          <w:rFonts w:hint="default" w:ascii="宋体" w:hAnsi="宋体" w:eastAsia="宋体" w:cs="Times New Roman"/>
          <w:color w:val="auto"/>
          <w:szCs w:val="28"/>
          <w:highlight w:val="none"/>
        </w:rPr>
        <w:t xml:space="preserve">3</w:t>
      </w:r>
      <w:r>
        <w:rPr>
          <w:rFonts w:hint="eastAsia" w:ascii="宋体" w:hAnsi="宋体" w:eastAsia="宋体" w:cs="Times New Roman"/>
          <w:color w:val="auto"/>
          <w:szCs w:val="28"/>
          <w:highlight w:val="none"/>
        </w:rPr>
        <w:t xml:space="preserve">）维护方每季度考核总分值为100分，年度考核分值为季度考核平均值。年度考核得分90（含）以上按合同全款支付，考核得分低于60（含）以下，甲方有权提前终止合同，不支付剩余款项。</w:t>
      </w:r>
      <w:r/>
    </w:p>
    <w:p>
      <w:pPr>
        <w:ind w:firstLine="561"/>
        <w:spacing w:line="360" w:lineRule="auto"/>
        <w:rPr>
          <w:rFonts w:hint="default" w:ascii="宋体" w:hAnsi="宋体" w:eastAsia="宋体" w:cs="Times New Roman"/>
          <w:color w:val="auto"/>
          <w:szCs w:val="28"/>
          <w:highlight w:val="none"/>
        </w:rPr>
      </w:pPr>
      <w:r>
        <w:rPr>
          <w:rFonts w:hint="default" w:ascii="宋体" w:hAnsi="宋体" w:eastAsia="宋体" w:cs="Times New Roman"/>
          <w:color w:val="auto"/>
          <w:szCs w:val="28"/>
          <w:highlight w:val="none"/>
        </w:rPr>
        <w:t xml:space="preserve">4</w:t>
      </w:r>
      <w:r>
        <w:rPr>
          <w:rFonts w:hint="eastAsia" w:ascii="宋体" w:hAnsi="宋体" w:eastAsia="宋体" w:cs="Times New Roman"/>
          <w:color w:val="auto"/>
          <w:szCs w:val="28"/>
          <w:highlight w:val="none"/>
        </w:rPr>
        <w:t xml:space="preserve">）如果维护方在运维过程中弄虚作假，有违规行为，额外1次扣15分，累计2次的不享受运维合同资金，并解除维护服务合同。</w:t>
      </w:r>
      <w:r/>
    </w:p>
    <w:p>
      <w:pPr>
        <w:ind w:firstLine="561"/>
        <w:spacing w:line="360" w:lineRule="auto"/>
        <w:rPr>
          <w:rFonts w:hint="default" w:ascii="宋体" w:hAnsi="宋体" w:eastAsia="宋体" w:cs="Times New Roman"/>
          <w:color w:val="auto"/>
          <w:szCs w:val="28"/>
          <w:highlight w:val="none"/>
        </w:rPr>
      </w:pPr>
      <w:r>
        <w:rPr>
          <w:rFonts w:hint="eastAsia" w:ascii="宋体" w:hAnsi="宋体" w:cs="Times New Roman"/>
          <w:color w:val="auto"/>
          <w:szCs w:val="28"/>
          <w:highlight w:val="none"/>
          <w:lang w:val="en-US" w:eastAsia="zh-CN"/>
        </w:rPr>
        <w:t xml:space="preserve">5</w:t>
      </w:r>
      <w:r>
        <w:rPr>
          <w:rFonts w:hint="eastAsia" w:ascii="宋体" w:hAnsi="宋体" w:eastAsia="宋体" w:cs="Times New Roman"/>
          <w:color w:val="auto"/>
          <w:szCs w:val="28"/>
          <w:highlight w:val="none"/>
        </w:rPr>
        <w:t xml:space="preserve">）考核标准如下：</w:t>
      </w:r>
      <w:r/>
    </w:p>
    <w:tbl>
      <w:tblPr>
        <w:tblStyle w:val="738"/>
        <w:tblW w:w="533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3"/>
        <w:gridCol w:w="2563"/>
        <w:gridCol w:w="4870"/>
        <w:gridCol w:w="1042"/>
      </w:tblGrid>
      <w:tr>
        <w:trPr>
          <w:jc w:val="center"/>
          <w:trHeight w:val="397"/>
        </w:trPr>
        <w:tc>
          <w:tcPr>
            <w:shd w:val="clear" w:color="auto" w:fill="auto"/>
            <w:tcW w:w="342" w:type="pct"/>
            <w:vAlign w:val="center"/>
            <w:textDirection w:val="lrTb"/>
            <w:noWrap/>
          </w:tcPr>
          <w:p>
            <w:pPr>
              <w:jc w:val="center"/>
              <w:rPr>
                <w:rFonts w:hint="default" w:ascii="宋体" w:hAnsi="宋体" w:eastAsia="宋体" w:cs="Times New Roman"/>
                <w:b/>
                <w:color w:val="auto"/>
                <w:szCs w:val="28"/>
                <w:highlight w:val="none"/>
              </w:rPr>
            </w:pPr>
            <w:r>
              <w:rPr>
                <w:rFonts w:hint="eastAsia" w:ascii="宋体" w:hAnsi="宋体" w:eastAsia="宋体" w:cs="Times New Roman"/>
                <w:b/>
                <w:color w:val="auto"/>
                <w:szCs w:val="28"/>
                <w:highlight w:val="none"/>
              </w:rPr>
              <w:t xml:space="preserve">序号</w:t>
            </w:r>
            <w:r/>
          </w:p>
        </w:tc>
        <w:tc>
          <w:tcPr>
            <w:shd w:val="clear" w:color="auto" w:fill="auto"/>
            <w:tcW w:w="1408" w:type="pct"/>
            <w:vAlign w:val="center"/>
            <w:textDirection w:val="lrTb"/>
            <w:noWrap/>
          </w:tcPr>
          <w:p>
            <w:pPr>
              <w:jc w:val="center"/>
              <w:rPr>
                <w:rFonts w:hint="default" w:ascii="宋体" w:hAnsi="宋体" w:eastAsia="宋体" w:cs="Times New Roman"/>
                <w:b/>
                <w:color w:val="auto"/>
                <w:szCs w:val="28"/>
                <w:highlight w:val="none"/>
              </w:rPr>
            </w:pPr>
            <w:r>
              <w:rPr>
                <w:rFonts w:hint="eastAsia" w:ascii="宋体" w:hAnsi="宋体" w:eastAsia="宋体" w:cs="Times New Roman"/>
                <w:b/>
                <w:color w:val="auto"/>
                <w:szCs w:val="28"/>
                <w:highlight w:val="none"/>
              </w:rPr>
              <w:t xml:space="preserve">考核项目</w:t>
            </w:r>
            <w:r/>
          </w:p>
        </w:tc>
        <w:tc>
          <w:tcPr>
            <w:shd w:val="clear" w:color="auto" w:fill="auto"/>
            <w:tcW w:w="2676" w:type="pct"/>
            <w:vAlign w:val="center"/>
            <w:textDirection w:val="lrTb"/>
            <w:noWrap/>
          </w:tcPr>
          <w:p>
            <w:pPr>
              <w:jc w:val="center"/>
              <w:rPr>
                <w:rFonts w:hint="default" w:ascii="宋体" w:hAnsi="宋体" w:eastAsia="宋体" w:cs="Times New Roman"/>
                <w:b/>
                <w:color w:val="auto"/>
                <w:szCs w:val="28"/>
                <w:highlight w:val="none"/>
              </w:rPr>
            </w:pPr>
            <w:r>
              <w:rPr>
                <w:rFonts w:hint="eastAsia" w:ascii="宋体" w:hAnsi="宋体" w:eastAsia="宋体" w:cs="Times New Roman"/>
                <w:b/>
                <w:color w:val="auto"/>
                <w:szCs w:val="28"/>
                <w:highlight w:val="none"/>
              </w:rPr>
              <w:t xml:space="preserve">考核标准</w:t>
            </w:r>
            <w:r/>
          </w:p>
        </w:tc>
        <w:tc>
          <w:tcPr>
            <w:shd w:val="clear" w:color="auto" w:fill="auto"/>
            <w:tcW w:w="572" w:type="pct"/>
            <w:vAlign w:val="center"/>
            <w:textDirection w:val="lrTb"/>
            <w:noWrap/>
          </w:tcPr>
          <w:p>
            <w:pPr>
              <w:jc w:val="center"/>
              <w:rPr>
                <w:rFonts w:hint="default" w:ascii="宋体" w:hAnsi="宋体" w:eastAsia="宋体" w:cs="Times New Roman"/>
                <w:b/>
                <w:color w:val="auto"/>
                <w:szCs w:val="28"/>
                <w:highlight w:val="none"/>
              </w:rPr>
            </w:pPr>
            <w:r>
              <w:rPr>
                <w:rFonts w:hint="eastAsia" w:ascii="宋体" w:hAnsi="宋体" w:eastAsia="宋体" w:cs="Times New Roman"/>
                <w:b/>
                <w:color w:val="auto"/>
                <w:szCs w:val="28"/>
                <w:highlight w:val="none"/>
              </w:rPr>
              <w:t xml:space="preserve">分值</w:t>
            </w:r>
            <w:r/>
          </w:p>
        </w:tc>
      </w:tr>
      <w:tr>
        <w:trPr>
          <w:jc w:val="center"/>
          <w:trHeight w:val="397"/>
        </w:trPr>
        <w:tc>
          <w:tcPr>
            <w:shd w:val="clear" w:color="auto" w:fill="auto"/>
            <w:tcW w:w="342" w:type="pct"/>
            <w:vAlign w:val="center"/>
            <w:textDirection w:val="lrTb"/>
            <w:noWrap/>
          </w:tcPr>
          <w:p>
            <w:pPr>
              <w:jc w:val="center"/>
              <w:rPr>
                <w:rFonts w:hint="default" w:ascii="宋体" w:hAnsi="宋体" w:eastAsia="宋体" w:cs="Times New Roman"/>
                <w:color w:val="auto"/>
                <w:szCs w:val="28"/>
                <w:highlight w:val="none"/>
              </w:rPr>
            </w:pPr>
            <w:r>
              <w:rPr>
                <w:rFonts w:hint="eastAsia" w:ascii="宋体" w:hAnsi="宋体" w:eastAsia="宋体" w:cs="Times New Roman"/>
                <w:color w:val="auto"/>
                <w:szCs w:val="28"/>
                <w:highlight w:val="none"/>
              </w:rPr>
              <w:t xml:space="preserve">1</w:t>
            </w:r>
            <w:r/>
          </w:p>
        </w:tc>
        <w:tc>
          <w:tcPr>
            <w:shd w:val="clear" w:color="auto" w:fill="auto"/>
            <w:tcW w:w="1408" w:type="pct"/>
            <w:vAlign w:val="center"/>
            <w:textDirection w:val="lrTb"/>
            <w:noWrap/>
          </w:tcPr>
          <w:p>
            <w:pPr>
              <w:jc w:val="center"/>
              <w:rPr>
                <w:rFonts w:hint="default" w:ascii="宋体" w:hAnsi="宋体" w:eastAsia="宋体" w:cs="Times New Roman"/>
                <w:color w:val="auto"/>
                <w:szCs w:val="28"/>
                <w:highlight w:val="none"/>
              </w:rPr>
            </w:pPr>
            <w:r>
              <w:rPr>
                <w:rFonts w:hint="eastAsia" w:ascii="宋体" w:hAnsi="宋体" w:eastAsia="宋体" w:cs="Times New Roman"/>
                <w:color w:val="auto"/>
                <w:szCs w:val="28"/>
                <w:highlight w:val="none"/>
              </w:rPr>
              <w:t xml:space="preserve">设备完好率</w:t>
            </w:r>
            <w:r/>
          </w:p>
        </w:tc>
        <w:tc>
          <w:tcPr>
            <w:shd w:val="clear" w:color="auto" w:fill="auto"/>
            <w:tcW w:w="2676" w:type="pct"/>
            <w:vAlign w:val="center"/>
            <w:textDirection w:val="lrTb"/>
            <w:noWrap w:val="false"/>
          </w:tcPr>
          <w:p>
            <w:pPr>
              <w:rPr>
                <w:rFonts w:hint="default" w:ascii="宋体" w:hAnsi="宋体" w:eastAsia="宋体" w:cs="Times New Roman"/>
                <w:color w:val="auto"/>
                <w:szCs w:val="28"/>
                <w:highlight w:val="none"/>
              </w:rPr>
            </w:pPr>
            <w:r>
              <w:rPr>
                <w:rFonts w:hint="eastAsia" w:ascii="宋体" w:hAnsi="宋体" w:eastAsia="宋体" w:cs="Times New Roman"/>
                <w:color w:val="auto"/>
                <w:szCs w:val="28"/>
                <w:highlight w:val="none"/>
              </w:rPr>
              <w:t xml:space="preserve">前端抓拍设备在线率低于9</w:t>
            </w:r>
            <w:r>
              <w:rPr>
                <w:rFonts w:hint="default" w:ascii="宋体" w:hAnsi="宋体" w:eastAsia="宋体" w:cs="Times New Roman"/>
                <w:color w:val="auto"/>
                <w:szCs w:val="28"/>
                <w:highlight w:val="none"/>
              </w:rPr>
              <w:t xml:space="preserve">8</w:t>
            </w:r>
            <w:r>
              <w:rPr>
                <w:rFonts w:hint="eastAsia" w:ascii="宋体" w:hAnsi="宋体" w:eastAsia="宋体" w:cs="Times New Roman"/>
                <w:color w:val="auto"/>
                <w:szCs w:val="28"/>
                <w:highlight w:val="none"/>
              </w:rPr>
              <w:t xml:space="preserve">%的，每低1个百分点扣</w:t>
            </w:r>
            <w:r>
              <w:rPr>
                <w:rFonts w:hint="default" w:ascii="宋体" w:hAnsi="宋体" w:eastAsia="宋体" w:cs="Times New Roman"/>
                <w:color w:val="auto"/>
                <w:szCs w:val="28"/>
                <w:highlight w:val="none"/>
              </w:rPr>
              <w:t xml:space="preserve">1</w:t>
            </w:r>
            <w:r>
              <w:rPr>
                <w:rFonts w:hint="eastAsia" w:ascii="宋体" w:hAnsi="宋体" w:eastAsia="宋体" w:cs="Times New Roman"/>
                <w:color w:val="auto"/>
                <w:szCs w:val="28"/>
                <w:highlight w:val="none"/>
              </w:rPr>
              <w:t xml:space="preserve">分，每高1个百分点加</w:t>
            </w:r>
            <w:r>
              <w:rPr>
                <w:rFonts w:hint="default" w:ascii="宋体" w:hAnsi="宋体" w:eastAsia="宋体" w:cs="Times New Roman"/>
                <w:color w:val="auto"/>
                <w:szCs w:val="28"/>
                <w:highlight w:val="none"/>
              </w:rPr>
              <w:t xml:space="preserve">1</w:t>
            </w:r>
            <w:r>
              <w:rPr>
                <w:rFonts w:hint="eastAsia" w:ascii="宋体" w:hAnsi="宋体" w:eastAsia="宋体" w:cs="Times New Roman"/>
                <w:color w:val="auto"/>
                <w:szCs w:val="28"/>
                <w:highlight w:val="none"/>
              </w:rPr>
              <w:t xml:space="preserve">分。</w:t>
            </w:r>
            <w:r/>
          </w:p>
        </w:tc>
        <w:tc>
          <w:tcPr>
            <w:shd w:val="clear" w:color="auto" w:fill="auto"/>
            <w:tcW w:w="572" w:type="pct"/>
            <w:vAlign w:val="center"/>
            <w:textDirection w:val="lrTb"/>
            <w:noWrap/>
          </w:tcPr>
          <w:p>
            <w:pPr>
              <w:jc w:val="center"/>
              <w:rPr>
                <w:rFonts w:hint="default" w:ascii="宋体" w:hAnsi="宋体" w:eastAsia="宋体" w:cs="Times New Roman"/>
                <w:color w:val="auto"/>
                <w:szCs w:val="28"/>
                <w:highlight w:val="none"/>
              </w:rPr>
            </w:pPr>
            <w:r>
              <w:rPr>
                <w:rFonts w:hint="default" w:ascii="宋体" w:hAnsi="宋体" w:eastAsia="宋体" w:cs="Times New Roman"/>
                <w:color w:val="auto"/>
                <w:szCs w:val="28"/>
                <w:highlight w:val="none"/>
              </w:rPr>
              <w:t xml:space="preserve">20</w:t>
            </w:r>
            <w:r/>
          </w:p>
        </w:tc>
      </w:tr>
      <w:tr>
        <w:trPr>
          <w:jc w:val="center"/>
          <w:trHeight w:val="397"/>
        </w:trPr>
        <w:tc>
          <w:tcPr>
            <w:shd w:val="clear" w:color="auto" w:fill="auto"/>
            <w:tcW w:w="342" w:type="pct"/>
            <w:vAlign w:val="center"/>
            <w:textDirection w:val="lrTb"/>
            <w:noWrap/>
          </w:tcPr>
          <w:p>
            <w:pPr>
              <w:jc w:val="center"/>
              <w:rPr>
                <w:rFonts w:hint="default" w:ascii="宋体" w:hAnsi="宋体" w:eastAsia="宋体" w:cs="Times New Roman"/>
                <w:color w:val="auto"/>
                <w:szCs w:val="28"/>
                <w:highlight w:val="none"/>
              </w:rPr>
            </w:pPr>
            <w:r>
              <w:rPr>
                <w:rFonts w:hint="eastAsia" w:ascii="宋体" w:hAnsi="宋体" w:eastAsia="宋体" w:cs="Times New Roman"/>
                <w:color w:val="auto"/>
                <w:szCs w:val="28"/>
                <w:highlight w:val="none"/>
              </w:rPr>
              <w:t xml:space="preserve">2</w:t>
            </w:r>
            <w:r/>
          </w:p>
        </w:tc>
        <w:tc>
          <w:tcPr>
            <w:shd w:val="clear" w:color="auto" w:fill="auto"/>
            <w:tcW w:w="1408" w:type="pct"/>
            <w:vAlign w:val="center"/>
            <w:textDirection w:val="lrTb"/>
            <w:noWrap/>
          </w:tcPr>
          <w:p>
            <w:pPr>
              <w:jc w:val="center"/>
              <w:rPr>
                <w:rFonts w:hint="default" w:ascii="宋体" w:hAnsi="宋体" w:eastAsia="宋体" w:cs="Times New Roman"/>
                <w:color w:val="auto"/>
                <w:szCs w:val="28"/>
                <w:highlight w:val="none"/>
              </w:rPr>
            </w:pPr>
            <w:r>
              <w:rPr>
                <w:rFonts w:hint="eastAsia" w:ascii="宋体" w:hAnsi="宋体" w:eastAsia="宋体" w:cs="Times New Roman"/>
                <w:color w:val="auto"/>
                <w:szCs w:val="28"/>
                <w:highlight w:val="none"/>
              </w:rPr>
              <w:t xml:space="preserve">响应处置速度</w:t>
            </w:r>
            <w:r/>
          </w:p>
        </w:tc>
        <w:tc>
          <w:tcPr>
            <w:shd w:val="clear" w:color="auto" w:fill="auto"/>
            <w:tcW w:w="2676" w:type="pct"/>
            <w:vAlign w:val="center"/>
            <w:textDirection w:val="lrTb"/>
            <w:noWrap w:val="false"/>
          </w:tcPr>
          <w:p>
            <w:pPr>
              <w:rPr>
                <w:rFonts w:hint="default" w:ascii="宋体" w:hAnsi="宋体" w:eastAsia="宋体" w:cs="Times New Roman"/>
                <w:color w:val="auto"/>
                <w:szCs w:val="28"/>
                <w:highlight w:val="none"/>
              </w:rPr>
            </w:pPr>
            <w:r>
              <w:rPr>
                <w:rFonts w:hint="eastAsia" w:ascii="宋体" w:hAnsi="宋体" w:eastAsia="宋体" w:cs="Times New Roman"/>
                <w:color w:val="auto"/>
                <w:szCs w:val="28"/>
                <w:highlight w:val="none"/>
              </w:rPr>
              <w:t xml:space="preserve">根据不同故障等级，在规定时间内未响应或未维修完成的一次扣0.5分。</w:t>
            </w:r>
            <w:r/>
          </w:p>
        </w:tc>
        <w:tc>
          <w:tcPr>
            <w:shd w:val="clear" w:color="auto" w:fill="auto"/>
            <w:tcW w:w="572" w:type="pct"/>
            <w:vAlign w:val="center"/>
            <w:textDirection w:val="lrTb"/>
            <w:noWrap/>
          </w:tcPr>
          <w:p>
            <w:pPr>
              <w:jc w:val="center"/>
              <w:rPr>
                <w:rFonts w:hint="default" w:ascii="宋体" w:hAnsi="宋体" w:eastAsia="宋体" w:cs="Times New Roman"/>
                <w:color w:val="auto"/>
                <w:szCs w:val="28"/>
                <w:highlight w:val="none"/>
              </w:rPr>
            </w:pPr>
            <w:r>
              <w:rPr>
                <w:rFonts w:hint="eastAsia" w:ascii="宋体" w:hAnsi="宋体" w:eastAsia="宋体" w:cs="Times New Roman"/>
                <w:color w:val="auto"/>
                <w:szCs w:val="28"/>
                <w:highlight w:val="none"/>
              </w:rPr>
              <w:t xml:space="preserve">30</w:t>
            </w:r>
            <w:r/>
          </w:p>
        </w:tc>
      </w:tr>
      <w:tr>
        <w:trPr>
          <w:jc w:val="center"/>
          <w:trHeight w:val="397"/>
        </w:trPr>
        <w:tc>
          <w:tcPr>
            <w:shd w:val="clear" w:color="auto" w:fill="auto"/>
            <w:tcW w:w="342" w:type="pct"/>
            <w:vAlign w:val="center"/>
            <w:textDirection w:val="lrTb"/>
            <w:noWrap/>
          </w:tcPr>
          <w:p>
            <w:pPr>
              <w:jc w:val="center"/>
              <w:rPr>
                <w:rFonts w:hint="default" w:ascii="宋体" w:hAnsi="宋体" w:eastAsia="宋体" w:cs="Times New Roman"/>
                <w:color w:val="auto"/>
                <w:szCs w:val="28"/>
                <w:highlight w:val="none"/>
              </w:rPr>
            </w:pPr>
            <w:r>
              <w:rPr>
                <w:rFonts w:hint="eastAsia" w:ascii="宋体" w:hAnsi="宋体" w:eastAsia="宋体" w:cs="Times New Roman"/>
                <w:color w:val="auto"/>
                <w:szCs w:val="28"/>
                <w:highlight w:val="none"/>
              </w:rPr>
              <w:t xml:space="preserve">3</w:t>
            </w:r>
            <w:r/>
          </w:p>
        </w:tc>
        <w:tc>
          <w:tcPr>
            <w:shd w:val="clear" w:color="auto" w:fill="auto"/>
            <w:tcW w:w="1408" w:type="pct"/>
            <w:vAlign w:val="center"/>
            <w:textDirection w:val="lrTb"/>
            <w:noWrap/>
          </w:tcPr>
          <w:p>
            <w:pPr>
              <w:jc w:val="center"/>
              <w:rPr>
                <w:rFonts w:hint="default" w:ascii="宋体" w:hAnsi="宋体" w:eastAsia="宋体" w:cs="Times New Roman"/>
                <w:color w:val="auto"/>
                <w:szCs w:val="28"/>
                <w:highlight w:val="none"/>
              </w:rPr>
            </w:pPr>
            <w:r>
              <w:rPr>
                <w:rFonts w:hint="eastAsia" w:ascii="宋体" w:hAnsi="宋体" w:eastAsia="宋体" w:cs="Times New Roman"/>
                <w:color w:val="auto"/>
                <w:szCs w:val="28"/>
                <w:highlight w:val="none"/>
              </w:rPr>
              <w:t xml:space="preserve">定期巡检</w:t>
            </w:r>
            <w:r/>
          </w:p>
        </w:tc>
        <w:tc>
          <w:tcPr>
            <w:shd w:val="clear" w:color="auto" w:fill="auto"/>
            <w:tcW w:w="2676" w:type="pct"/>
            <w:vAlign w:val="center"/>
            <w:textDirection w:val="lrTb"/>
            <w:noWrap w:val="false"/>
          </w:tcPr>
          <w:p>
            <w:pPr>
              <w:rPr>
                <w:rFonts w:hint="default" w:ascii="宋体" w:hAnsi="宋体" w:eastAsia="宋体" w:cs="Times New Roman"/>
                <w:color w:val="auto"/>
                <w:szCs w:val="28"/>
                <w:highlight w:val="none"/>
              </w:rPr>
            </w:pPr>
            <w:r>
              <w:rPr>
                <w:rFonts w:hint="eastAsia" w:ascii="宋体" w:hAnsi="宋体" w:eastAsia="宋体" w:cs="Times New Roman"/>
                <w:color w:val="auto"/>
                <w:szCs w:val="28"/>
                <w:highlight w:val="none"/>
              </w:rPr>
              <w:t xml:space="preserve">定期对维保设备进行巡检，保障设备功能完好可用，未完成的，每次扣1分</w:t>
            </w:r>
            <w:r/>
          </w:p>
        </w:tc>
        <w:tc>
          <w:tcPr>
            <w:shd w:val="clear" w:color="auto" w:fill="auto"/>
            <w:tcW w:w="572" w:type="pct"/>
            <w:vAlign w:val="center"/>
            <w:textDirection w:val="lrTb"/>
            <w:noWrap/>
          </w:tcPr>
          <w:p>
            <w:pPr>
              <w:jc w:val="center"/>
              <w:rPr>
                <w:rFonts w:hint="default" w:ascii="宋体" w:hAnsi="宋体" w:eastAsia="宋体" w:cs="Times New Roman"/>
                <w:color w:val="auto"/>
                <w:szCs w:val="28"/>
                <w:highlight w:val="none"/>
              </w:rPr>
            </w:pPr>
            <w:r>
              <w:rPr>
                <w:rFonts w:hint="eastAsia" w:ascii="宋体" w:hAnsi="宋体" w:eastAsia="宋体" w:cs="Times New Roman"/>
                <w:color w:val="auto"/>
                <w:szCs w:val="28"/>
                <w:highlight w:val="none"/>
              </w:rPr>
              <w:t xml:space="preserve">10</w:t>
            </w:r>
            <w:r/>
          </w:p>
        </w:tc>
      </w:tr>
      <w:tr>
        <w:trPr>
          <w:jc w:val="center"/>
          <w:trHeight w:val="397"/>
        </w:trPr>
        <w:tc>
          <w:tcPr>
            <w:shd w:val="clear" w:color="auto" w:fill="auto"/>
            <w:tcW w:w="342" w:type="pct"/>
            <w:vAlign w:val="center"/>
            <w:textDirection w:val="lrTb"/>
            <w:noWrap/>
          </w:tcPr>
          <w:p>
            <w:pPr>
              <w:jc w:val="center"/>
              <w:rPr>
                <w:rFonts w:hint="default" w:ascii="宋体" w:hAnsi="宋体" w:eastAsia="宋体" w:cs="Times New Roman"/>
                <w:color w:val="auto"/>
                <w:szCs w:val="28"/>
                <w:highlight w:val="none"/>
              </w:rPr>
            </w:pPr>
            <w:r>
              <w:rPr>
                <w:rFonts w:hint="default" w:ascii="宋体" w:hAnsi="宋体" w:eastAsia="宋体" w:cs="Times New Roman"/>
                <w:color w:val="auto"/>
                <w:szCs w:val="28"/>
                <w:highlight w:val="none"/>
              </w:rPr>
              <w:t xml:space="preserve">4</w:t>
            </w:r>
            <w:r/>
          </w:p>
        </w:tc>
        <w:tc>
          <w:tcPr>
            <w:shd w:val="clear" w:color="auto" w:fill="auto"/>
            <w:tcW w:w="1408" w:type="pct"/>
            <w:vAlign w:val="center"/>
            <w:textDirection w:val="lrTb"/>
            <w:noWrap/>
          </w:tcPr>
          <w:p>
            <w:pPr>
              <w:jc w:val="center"/>
              <w:rPr>
                <w:rFonts w:hint="default" w:ascii="宋体" w:hAnsi="宋体" w:eastAsia="宋体" w:cs="Times New Roman"/>
                <w:color w:val="auto"/>
                <w:szCs w:val="28"/>
                <w:highlight w:val="none"/>
              </w:rPr>
            </w:pPr>
            <w:r>
              <w:rPr>
                <w:rFonts w:hint="eastAsia" w:ascii="宋体" w:hAnsi="宋体" w:eastAsia="宋体" w:cs="Times New Roman"/>
                <w:color w:val="auto"/>
                <w:szCs w:val="28"/>
                <w:highlight w:val="none"/>
              </w:rPr>
              <w:t xml:space="preserve">信息安全</w:t>
            </w:r>
            <w:r/>
          </w:p>
        </w:tc>
        <w:tc>
          <w:tcPr>
            <w:shd w:val="clear" w:color="auto" w:fill="auto"/>
            <w:tcW w:w="2676" w:type="pct"/>
            <w:vAlign w:val="center"/>
            <w:textDirection w:val="lrTb"/>
            <w:noWrap w:val="false"/>
          </w:tcPr>
          <w:p>
            <w:pPr>
              <w:rPr>
                <w:rFonts w:hint="default" w:ascii="宋体" w:hAnsi="宋体" w:eastAsia="宋体" w:cs="Times New Roman"/>
                <w:color w:val="auto"/>
                <w:szCs w:val="28"/>
                <w:highlight w:val="none"/>
              </w:rPr>
            </w:pPr>
            <w:r>
              <w:rPr>
                <w:rFonts w:hint="eastAsia" w:ascii="宋体" w:hAnsi="宋体" w:eastAsia="宋体" w:cs="Times New Roman"/>
                <w:color w:val="auto"/>
                <w:szCs w:val="28"/>
                <w:highlight w:val="none"/>
              </w:rPr>
              <w:t xml:space="preserve">未遵守保密条款，泄露视频、图像等昆山市公安局（交通管理大队）保密信息的，一次扣5分</w:t>
            </w:r>
            <w:r/>
          </w:p>
        </w:tc>
        <w:tc>
          <w:tcPr>
            <w:shd w:val="clear" w:color="auto" w:fill="auto"/>
            <w:tcW w:w="572" w:type="pct"/>
            <w:vAlign w:val="center"/>
            <w:textDirection w:val="lrTb"/>
            <w:noWrap/>
          </w:tcPr>
          <w:p>
            <w:pPr>
              <w:jc w:val="center"/>
              <w:rPr>
                <w:rFonts w:hint="default" w:ascii="宋体" w:hAnsi="宋体" w:eastAsia="宋体" w:cs="Times New Roman"/>
                <w:color w:val="auto"/>
                <w:szCs w:val="28"/>
                <w:highlight w:val="none"/>
              </w:rPr>
            </w:pPr>
            <w:r>
              <w:rPr>
                <w:rFonts w:hint="eastAsia" w:ascii="宋体" w:hAnsi="宋体" w:eastAsia="宋体" w:cs="Times New Roman"/>
                <w:color w:val="auto"/>
                <w:szCs w:val="28"/>
                <w:highlight w:val="none"/>
              </w:rPr>
              <w:t xml:space="preserve">10</w:t>
            </w:r>
            <w:r/>
          </w:p>
        </w:tc>
      </w:tr>
      <w:tr>
        <w:trPr>
          <w:jc w:val="center"/>
          <w:trHeight w:val="397"/>
        </w:trPr>
        <w:tc>
          <w:tcPr>
            <w:shd w:val="clear" w:color="auto" w:fill="auto"/>
            <w:tcW w:w="342" w:type="pct"/>
            <w:vAlign w:val="center"/>
            <w:textDirection w:val="lrTb"/>
            <w:noWrap/>
          </w:tcPr>
          <w:p>
            <w:pPr>
              <w:jc w:val="center"/>
              <w:rPr>
                <w:rFonts w:hint="default" w:ascii="宋体" w:hAnsi="宋体" w:eastAsia="宋体" w:cs="Times New Roman"/>
                <w:color w:val="auto"/>
                <w:szCs w:val="28"/>
                <w:highlight w:val="none"/>
              </w:rPr>
            </w:pPr>
            <w:r>
              <w:rPr>
                <w:rFonts w:hint="default" w:ascii="宋体" w:hAnsi="宋体" w:eastAsia="宋体" w:cs="Times New Roman"/>
                <w:color w:val="auto"/>
                <w:szCs w:val="28"/>
                <w:highlight w:val="none"/>
              </w:rPr>
              <w:t xml:space="preserve">5</w:t>
            </w:r>
            <w:r/>
          </w:p>
        </w:tc>
        <w:tc>
          <w:tcPr>
            <w:shd w:val="clear" w:color="auto" w:fill="auto"/>
            <w:tcW w:w="1408" w:type="pct"/>
            <w:vAlign w:val="center"/>
            <w:textDirection w:val="lrTb"/>
            <w:noWrap/>
          </w:tcPr>
          <w:p>
            <w:pPr>
              <w:jc w:val="center"/>
              <w:rPr>
                <w:rFonts w:hint="default" w:ascii="宋体" w:hAnsi="宋体" w:eastAsia="宋体" w:cs="Times New Roman"/>
                <w:color w:val="auto"/>
                <w:szCs w:val="28"/>
                <w:highlight w:val="none"/>
              </w:rPr>
            </w:pPr>
            <w:r>
              <w:rPr>
                <w:rFonts w:hint="eastAsia" w:ascii="宋体" w:hAnsi="宋体" w:eastAsia="宋体" w:cs="Times New Roman"/>
                <w:color w:val="auto"/>
                <w:szCs w:val="28"/>
                <w:highlight w:val="none"/>
              </w:rPr>
              <w:t xml:space="preserve">系统漏洞或安全风险</w:t>
            </w:r>
            <w:r/>
          </w:p>
        </w:tc>
        <w:tc>
          <w:tcPr>
            <w:shd w:val="clear" w:color="auto" w:fill="auto"/>
            <w:tcW w:w="2676" w:type="pct"/>
            <w:vAlign w:val="center"/>
            <w:textDirection w:val="lrTb"/>
            <w:noWrap w:val="false"/>
          </w:tcPr>
          <w:p>
            <w:pPr>
              <w:rPr>
                <w:rFonts w:hint="default" w:ascii="宋体" w:hAnsi="宋体" w:eastAsia="宋体" w:cs="Times New Roman"/>
                <w:color w:val="auto"/>
                <w:szCs w:val="28"/>
                <w:highlight w:val="none"/>
              </w:rPr>
            </w:pPr>
            <w:r>
              <w:rPr>
                <w:rFonts w:hint="eastAsia" w:ascii="宋体" w:hAnsi="宋体" w:eastAsia="宋体" w:cs="Times New Roman"/>
                <w:color w:val="auto"/>
                <w:szCs w:val="28"/>
                <w:highlight w:val="none"/>
              </w:rPr>
              <w:t xml:space="preserve">每发现一个设备弱口令扣</w:t>
            </w:r>
            <w:r>
              <w:rPr>
                <w:rFonts w:hint="default" w:ascii="宋体" w:hAnsi="宋体" w:eastAsia="宋体" w:cs="Times New Roman"/>
                <w:color w:val="auto"/>
                <w:szCs w:val="28"/>
                <w:highlight w:val="none"/>
              </w:rPr>
              <w:t xml:space="preserve">0.2分，每发现一个系统漏洞或安全风险扣1分。</w:t>
            </w:r>
            <w:r/>
          </w:p>
        </w:tc>
        <w:tc>
          <w:tcPr>
            <w:shd w:val="clear" w:color="auto" w:fill="auto"/>
            <w:tcW w:w="572" w:type="pct"/>
            <w:vAlign w:val="center"/>
            <w:textDirection w:val="lrTb"/>
            <w:noWrap/>
          </w:tcPr>
          <w:p>
            <w:pPr>
              <w:jc w:val="center"/>
              <w:rPr>
                <w:rFonts w:hint="default" w:ascii="宋体" w:hAnsi="宋体" w:eastAsia="宋体" w:cs="Times New Roman"/>
                <w:color w:val="auto"/>
                <w:szCs w:val="28"/>
                <w:highlight w:val="none"/>
              </w:rPr>
            </w:pPr>
            <w:r>
              <w:rPr>
                <w:rFonts w:hint="default" w:ascii="宋体" w:hAnsi="宋体" w:eastAsia="宋体" w:cs="Times New Roman"/>
                <w:color w:val="auto"/>
                <w:szCs w:val="28"/>
                <w:highlight w:val="none"/>
              </w:rPr>
              <w:t xml:space="preserve">10</w:t>
            </w:r>
            <w:r/>
          </w:p>
        </w:tc>
      </w:tr>
      <w:tr>
        <w:trPr>
          <w:jc w:val="center"/>
          <w:trHeight w:val="397"/>
        </w:trPr>
        <w:tc>
          <w:tcPr>
            <w:shd w:val="clear" w:color="auto" w:fill="auto"/>
            <w:tcW w:w="342" w:type="pct"/>
            <w:vAlign w:val="center"/>
            <w:textDirection w:val="lrTb"/>
            <w:noWrap/>
          </w:tcPr>
          <w:p>
            <w:pPr>
              <w:jc w:val="center"/>
              <w:rPr>
                <w:rFonts w:hint="default" w:ascii="宋体" w:hAnsi="宋体" w:eastAsia="宋体" w:cs="Times New Roman"/>
                <w:color w:val="auto"/>
                <w:szCs w:val="28"/>
                <w:highlight w:val="none"/>
              </w:rPr>
            </w:pPr>
            <w:r>
              <w:rPr>
                <w:rFonts w:hint="default" w:ascii="宋体" w:hAnsi="宋体" w:eastAsia="宋体" w:cs="Times New Roman"/>
                <w:color w:val="auto"/>
                <w:szCs w:val="28"/>
                <w:highlight w:val="none"/>
              </w:rPr>
              <w:t xml:space="preserve">6</w:t>
            </w:r>
            <w:r/>
          </w:p>
        </w:tc>
        <w:tc>
          <w:tcPr>
            <w:shd w:val="clear" w:color="auto" w:fill="auto"/>
            <w:tcW w:w="1408" w:type="pct"/>
            <w:vAlign w:val="center"/>
            <w:textDirection w:val="lrTb"/>
            <w:noWrap/>
          </w:tcPr>
          <w:p>
            <w:pPr>
              <w:jc w:val="center"/>
              <w:rPr>
                <w:rFonts w:hint="default" w:ascii="宋体" w:hAnsi="宋体" w:eastAsia="宋体" w:cs="Times New Roman"/>
                <w:color w:val="auto"/>
                <w:szCs w:val="28"/>
                <w:highlight w:val="none"/>
              </w:rPr>
            </w:pPr>
            <w:r>
              <w:rPr>
                <w:rFonts w:hint="eastAsia" w:ascii="宋体" w:hAnsi="宋体" w:eastAsia="宋体" w:cs="Times New Roman"/>
                <w:color w:val="auto"/>
                <w:szCs w:val="28"/>
                <w:highlight w:val="none"/>
              </w:rPr>
              <w:t xml:space="preserve">备件情况</w:t>
            </w:r>
            <w:r/>
          </w:p>
        </w:tc>
        <w:tc>
          <w:tcPr>
            <w:shd w:val="clear" w:color="auto" w:fill="auto"/>
            <w:tcW w:w="2676" w:type="pct"/>
            <w:vAlign w:val="center"/>
            <w:textDirection w:val="lrTb"/>
            <w:noWrap w:val="false"/>
          </w:tcPr>
          <w:p>
            <w:pPr>
              <w:rPr>
                <w:rFonts w:hint="default" w:ascii="宋体" w:hAnsi="宋体" w:eastAsia="宋体" w:cs="Times New Roman"/>
                <w:color w:val="auto"/>
                <w:szCs w:val="28"/>
                <w:highlight w:val="none"/>
              </w:rPr>
            </w:pPr>
            <w:r>
              <w:rPr>
                <w:rFonts w:hint="eastAsia" w:ascii="宋体" w:hAnsi="宋体" w:eastAsia="宋体" w:cs="Times New Roman"/>
                <w:color w:val="auto"/>
                <w:szCs w:val="28"/>
                <w:highlight w:val="none"/>
              </w:rPr>
              <w:t xml:space="preserve">出现一次无备件替代情况，扣</w:t>
            </w:r>
            <w:r>
              <w:rPr>
                <w:rFonts w:hint="default" w:ascii="宋体" w:hAnsi="宋体" w:eastAsia="宋体" w:cs="Times New Roman"/>
                <w:color w:val="auto"/>
                <w:szCs w:val="28"/>
                <w:highlight w:val="none"/>
              </w:rPr>
              <w:t xml:space="preserve">2</w:t>
            </w:r>
            <w:r>
              <w:rPr>
                <w:rFonts w:hint="eastAsia" w:ascii="宋体" w:hAnsi="宋体" w:eastAsia="宋体" w:cs="Times New Roman"/>
                <w:color w:val="auto"/>
                <w:szCs w:val="28"/>
                <w:highlight w:val="none"/>
              </w:rPr>
              <w:t xml:space="preserve">分</w:t>
            </w:r>
            <w:r/>
          </w:p>
        </w:tc>
        <w:tc>
          <w:tcPr>
            <w:shd w:val="clear" w:color="auto" w:fill="auto"/>
            <w:tcW w:w="572" w:type="pct"/>
            <w:vAlign w:val="center"/>
            <w:textDirection w:val="lrTb"/>
            <w:noWrap/>
          </w:tcPr>
          <w:p>
            <w:pPr>
              <w:jc w:val="center"/>
              <w:rPr>
                <w:rFonts w:hint="default" w:ascii="宋体" w:hAnsi="宋体" w:eastAsia="宋体" w:cs="Times New Roman"/>
                <w:color w:val="auto"/>
                <w:szCs w:val="28"/>
                <w:highlight w:val="none"/>
              </w:rPr>
            </w:pPr>
            <w:r>
              <w:rPr>
                <w:rFonts w:hint="default" w:ascii="宋体" w:hAnsi="宋体" w:eastAsia="宋体" w:cs="Times New Roman"/>
                <w:color w:val="auto"/>
                <w:szCs w:val="28"/>
                <w:highlight w:val="none"/>
              </w:rPr>
              <w:t xml:space="preserve">10</w:t>
            </w:r>
            <w:r/>
          </w:p>
        </w:tc>
      </w:tr>
      <w:tr>
        <w:trPr>
          <w:jc w:val="center"/>
          <w:trHeight w:val="397"/>
        </w:trPr>
        <w:tc>
          <w:tcPr>
            <w:shd w:val="clear" w:color="auto" w:fill="auto"/>
            <w:tcW w:w="342" w:type="pct"/>
            <w:vAlign w:val="center"/>
            <w:textDirection w:val="lrTb"/>
            <w:noWrap/>
          </w:tcPr>
          <w:p>
            <w:pPr>
              <w:jc w:val="center"/>
              <w:rPr>
                <w:rFonts w:hint="default" w:ascii="宋体" w:hAnsi="宋体" w:eastAsia="宋体" w:cs="Times New Roman"/>
                <w:color w:val="auto"/>
                <w:szCs w:val="28"/>
                <w:highlight w:val="none"/>
              </w:rPr>
            </w:pPr>
            <w:r>
              <w:rPr>
                <w:rFonts w:hint="default" w:ascii="宋体" w:hAnsi="宋体" w:eastAsia="宋体" w:cs="Times New Roman"/>
                <w:color w:val="auto"/>
                <w:szCs w:val="28"/>
                <w:highlight w:val="none"/>
              </w:rPr>
              <w:t xml:space="preserve">7</w:t>
            </w:r>
            <w:r/>
          </w:p>
        </w:tc>
        <w:tc>
          <w:tcPr>
            <w:shd w:val="clear" w:color="auto" w:fill="auto"/>
            <w:tcW w:w="1408" w:type="pct"/>
            <w:vAlign w:val="center"/>
            <w:textDirection w:val="lrTb"/>
            <w:noWrap/>
          </w:tcPr>
          <w:p>
            <w:pPr>
              <w:jc w:val="center"/>
              <w:rPr>
                <w:rFonts w:hint="default" w:ascii="宋体" w:hAnsi="宋体" w:eastAsia="宋体" w:cs="Times New Roman"/>
                <w:color w:val="auto"/>
                <w:szCs w:val="28"/>
                <w:highlight w:val="none"/>
              </w:rPr>
            </w:pPr>
            <w:r>
              <w:rPr>
                <w:rFonts w:hint="eastAsia" w:ascii="宋体" w:hAnsi="宋体" w:eastAsia="宋体" w:cs="Times New Roman"/>
                <w:color w:val="auto"/>
                <w:szCs w:val="28"/>
                <w:highlight w:val="none"/>
              </w:rPr>
              <w:t xml:space="preserve">客户满意度</w:t>
            </w:r>
            <w:r/>
          </w:p>
        </w:tc>
        <w:tc>
          <w:tcPr>
            <w:shd w:val="clear" w:color="auto" w:fill="auto"/>
            <w:tcW w:w="2676" w:type="pct"/>
            <w:vAlign w:val="center"/>
            <w:textDirection w:val="lrTb"/>
            <w:noWrap w:val="false"/>
          </w:tcPr>
          <w:p>
            <w:pPr>
              <w:rPr>
                <w:rFonts w:hint="default" w:ascii="宋体" w:hAnsi="宋体" w:eastAsia="宋体" w:cs="Times New Roman"/>
                <w:color w:val="auto"/>
                <w:szCs w:val="28"/>
                <w:highlight w:val="none"/>
              </w:rPr>
            </w:pPr>
            <w:r>
              <w:rPr>
                <w:rFonts w:hint="eastAsia" w:ascii="宋体" w:hAnsi="宋体" w:eastAsia="宋体" w:cs="Times New Roman"/>
                <w:color w:val="auto"/>
                <w:szCs w:val="28"/>
                <w:highlight w:val="none"/>
              </w:rPr>
              <w:t xml:space="preserve">接到昆山市公安局（交通管理大队）投诉，查证属实的，一次扣</w:t>
            </w:r>
            <w:r>
              <w:rPr>
                <w:rFonts w:hint="default" w:ascii="宋体" w:hAnsi="宋体" w:eastAsia="宋体" w:cs="Times New Roman"/>
                <w:color w:val="auto"/>
                <w:szCs w:val="28"/>
                <w:highlight w:val="none"/>
              </w:rPr>
              <w:t xml:space="preserve">1</w:t>
            </w:r>
            <w:r>
              <w:rPr>
                <w:rFonts w:hint="eastAsia" w:ascii="宋体" w:hAnsi="宋体" w:eastAsia="宋体" w:cs="Times New Roman"/>
                <w:color w:val="auto"/>
                <w:szCs w:val="28"/>
                <w:highlight w:val="none"/>
              </w:rPr>
              <w:t xml:space="preserve">分。</w:t>
            </w:r>
            <w:r/>
          </w:p>
        </w:tc>
        <w:tc>
          <w:tcPr>
            <w:shd w:val="clear" w:color="auto" w:fill="auto"/>
            <w:tcW w:w="572" w:type="pct"/>
            <w:vAlign w:val="center"/>
            <w:textDirection w:val="lrTb"/>
            <w:noWrap/>
          </w:tcPr>
          <w:p>
            <w:pPr>
              <w:jc w:val="center"/>
              <w:rPr>
                <w:rFonts w:hint="default" w:ascii="宋体" w:hAnsi="宋体" w:eastAsia="宋体" w:cs="Times New Roman"/>
                <w:color w:val="auto"/>
                <w:szCs w:val="28"/>
                <w:highlight w:val="none"/>
              </w:rPr>
            </w:pPr>
            <w:r>
              <w:rPr>
                <w:rFonts w:hint="default" w:ascii="宋体" w:hAnsi="宋体" w:eastAsia="宋体" w:cs="Times New Roman"/>
                <w:color w:val="auto"/>
                <w:szCs w:val="28"/>
                <w:highlight w:val="none"/>
              </w:rPr>
              <w:t xml:space="preserve">5</w:t>
            </w:r>
            <w:r/>
          </w:p>
        </w:tc>
      </w:tr>
      <w:tr>
        <w:trPr>
          <w:jc w:val="center"/>
          <w:trHeight w:val="397"/>
        </w:trPr>
        <w:tc>
          <w:tcPr>
            <w:shd w:val="clear" w:color="auto" w:fill="auto"/>
            <w:tcW w:w="342" w:type="pct"/>
            <w:vAlign w:val="center"/>
            <w:textDirection w:val="lrTb"/>
            <w:noWrap/>
          </w:tcPr>
          <w:p>
            <w:pPr>
              <w:jc w:val="center"/>
              <w:rPr>
                <w:rFonts w:hint="default" w:ascii="宋体" w:hAnsi="宋体" w:eastAsia="宋体" w:cs="Times New Roman"/>
                <w:color w:val="auto"/>
                <w:szCs w:val="28"/>
                <w:highlight w:val="none"/>
              </w:rPr>
            </w:pPr>
            <w:r>
              <w:rPr>
                <w:rFonts w:hint="default" w:ascii="宋体" w:hAnsi="宋体" w:eastAsia="宋体" w:cs="Times New Roman"/>
                <w:color w:val="auto"/>
                <w:szCs w:val="28"/>
                <w:highlight w:val="none"/>
              </w:rPr>
              <w:t xml:space="preserve">8</w:t>
            </w:r>
            <w:r/>
          </w:p>
        </w:tc>
        <w:tc>
          <w:tcPr>
            <w:shd w:val="clear" w:color="auto" w:fill="auto"/>
            <w:tcW w:w="1408" w:type="pct"/>
            <w:vAlign w:val="center"/>
            <w:textDirection w:val="lrTb"/>
            <w:noWrap/>
          </w:tcPr>
          <w:p>
            <w:pPr>
              <w:jc w:val="center"/>
              <w:rPr>
                <w:rFonts w:hint="default" w:ascii="宋体" w:hAnsi="宋体" w:eastAsia="宋体" w:cs="Times New Roman"/>
                <w:color w:val="auto"/>
                <w:szCs w:val="28"/>
                <w:highlight w:val="none"/>
              </w:rPr>
            </w:pPr>
            <w:r>
              <w:rPr>
                <w:rFonts w:hint="eastAsia" w:ascii="宋体" w:hAnsi="宋体" w:eastAsia="宋体" w:cs="Times New Roman"/>
                <w:color w:val="auto"/>
                <w:szCs w:val="28"/>
                <w:highlight w:val="none"/>
              </w:rPr>
              <w:t xml:space="preserve">昆山市公安局（交通管理大队）重大活动保障</w:t>
            </w:r>
            <w:r/>
          </w:p>
        </w:tc>
        <w:tc>
          <w:tcPr>
            <w:shd w:val="clear" w:color="auto" w:fill="auto"/>
            <w:tcW w:w="2676" w:type="pct"/>
            <w:vAlign w:val="center"/>
            <w:textDirection w:val="lrTb"/>
            <w:noWrap w:val="false"/>
          </w:tcPr>
          <w:p>
            <w:pPr>
              <w:rPr>
                <w:rFonts w:hint="default" w:ascii="宋体" w:hAnsi="宋体" w:eastAsia="宋体" w:cs="Times New Roman"/>
                <w:color w:val="auto"/>
                <w:szCs w:val="28"/>
                <w:highlight w:val="none"/>
              </w:rPr>
            </w:pPr>
            <w:r>
              <w:rPr>
                <w:rFonts w:hint="eastAsia" w:ascii="宋体" w:hAnsi="宋体" w:eastAsia="宋体" w:cs="Times New Roman"/>
                <w:color w:val="auto"/>
                <w:szCs w:val="28"/>
                <w:highlight w:val="none"/>
              </w:rPr>
              <w:t xml:space="preserve">顺利保障昆山市公安局（交通管理大队）重大活动，一次加</w:t>
            </w:r>
            <w:r>
              <w:rPr>
                <w:rFonts w:hint="default" w:ascii="宋体" w:hAnsi="宋体" w:eastAsia="宋体" w:cs="Times New Roman"/>
                <w:color w:val="auto"/>
                <w:szCs w:val="28"/>
                <w:highlight w:val="none"/>
              </w:rPr>
              <w:t xml:space="preserve">1</w:t>
            </w:r>
            <w:r>
              <w:rPr>
                <w:rFonts w:hint="eastAsia" w:ascii="宋体" w:hAnsi="宋体" w:eastAsia="宋体" w:cs="Times New Roman"/>
                <w:color w:val="auto"/>
                <w:szCs w:val="28"/>
                <w:highlight w:val="none"/>
              </w:rPr>
              <w:t xml:space="preserve">分，最高</w:t>
            </w:r>
            <w:r>
              <w:rPr>
                <w:rFonts w:hint="default" w:ascii="宋体" w:hAnsi="宋体" w:eastAsia="宋体" w:cs="Times New Roman"/>
                <w:color w:val="auto"/>
                <w:szCs w:val="28"/>
                <w:highlight w:val="none"/>
              </w:rPr>
              <w:t xml:space="preserve">10</w:t>
            </w:r>
            <w:r>
              <w:rPr>
                <w:rFonts w:hint="eastAsia" w:ascii="宋体" w:hAnsi="宋体" w:eastAsia="宋体" w:cs="Times New Roman"/>
                <w:color w:val="auto"/>
                <w:szCs w:val="28"/>
                <w:highlight w:val="none"/>
              </w:rPr>
              <w:t xml:space="preserve">分</w:t>
            </w:r>
            <w:r/>
          </w:p>
        </w:tc>
        <w:tc>
          <w:tcPr>
            <w:shd w:val="clear" w:color="auto" w:fill="auto"/>
            <w:tcW w:w="572" w:type="pct"/>
            <w:vAlign w:val="center"/>
            <w:textDirection w:val="lrTb"/>
            <w:noWrap/>
          </w:tcPr>
          <w:p>
            <w:pPr>
              <w:jc w:val="center"/>
              <w:rPr>
                <w:rFonts w:hint="default" w:ascii="宋体" w:hAnsi="宋体" w:eastAsia="宋体" w:cs="Times New Roman"/>
                <w:color w:val="auto"/>
                <w:szCs w:val="28"/>
                <w:highlight w:val="none"/>
              </w:rPr>
            </w:pPr>
            <w:r>
              <w:rPr>
                <w:rFonts w:hint="default" w:ascii="宋体" w:hAnsi="宋体" w:eastAsia="宋体" w:cs="Times New Roman"/>
                <w:color w:val="auto"/>
                <w:szCs w:val="28"/>
                <w:highlight w:val="none"/>
              </w:rPr>
              <w:t xml:space="preserve">5</w:t>
            </w:r>
            <w:r/>
          </w:p>
        </w:tc>
      </w:tr>
      <w:tr>
        <w:trPr>
          <w:jc w:val="center"/>
          <w:trHeight w:val="397"/>
        </w:trPr>
        <w:tc>
          <w:tcPr>
            <w:gridSpan w:val="3"/>
            <w:shd w:val="clear" w:color="auto" w:fill="auto"/>
            <w:tcW w:w="4427" w:type="pct"/>
            <w:vAlign w:val="center"/>
            <w:textDirection w:val="lrTb"/>
            <w:noWrap/>
          </w:tcPr>
          <w:p>
            <w:pPr>
              <w:jc w:val="center"/>
              <w:rPr>
                <w:rFonts w:hint="default" w:ascii="宋体" w:hAnsi="宋体" w:eastAsia="宋体" w:cs="Times New Roman"/>
                <w:color w:val="auto"/>
                <w:szCs w:val="28"/>
                <w:highlight w:val="none"/>
              </w:rPr>
            </w:pPr>
            <w:r>
              <w:rPr>
                <w:rFonts w:hint="eastAsia" w:ascii="宋体" w:hAnsi="宋体" w:eastAsia="宋体" w:cs="Times New Roman"/>
                <w:color w:val="auto"/>
                <w:szCs w:val="28"/>
                <w:highlight w:val="none"/>
              </w:rPr>
              <w:t xml:space="preserve">合计</w:t>
            </w:r>
            <w:r/>
          </w:p>
        </w:tc>
        <w:tc>
          <w:tcPr>
            <w:shd w:val="clear" w:color="auto" w:fill="auto"/>
            <w:tcW w:w="572" w:type="pct"/>
            <w:vAlign w:val="center"/>
            <w:textDirection w:val="lrTb"/>
            <w:noWrap/>
          </w:tcPr>
          <w:p>
            <w:pPr>
              <w:jc w:val="center"/>
              <w:rPr>
                <w:rFonts w:hint="default" w:ascii="宋体" w:hAnsi="宋体" w:eastAsia="宋体" w:cs="Times New Roman"/>
                <w:color w:val="auto"/>
                <w:szCs w:val="28"/>
                <w:highlight w:val="none"/>
              </w:rPr>
            </w:pPr>
            <w:r>
              <w:rPr>
                <w:rFonts w:hint="eastAsia" w:ascii="宋体" w:hAnsi="宋体" w:eastAsia="宋体" w:cs="Times New Roman"/>
                <w:color w:val="auto"/>
                <w:szCs w:val="28"/>
                <w:highlight w:val="none"/>
              </w:rPr>
              <w:t xml:space="preserve">100</w:t>
            </w:r>
            <w:r/>
          </w:p>
        </w:tc>
      </w:tr>
    </w:tbl>
    <w:p>
      <w:pPr>
        <w:ind w:firstLine="422"/>
        <w:keepLines w:val="0"/>
        <w:keepNext w:val="0"/>
        <w:pageBreakBefore w:val="0"/>
        <w:spacing w:line="360" w:lineRule="auto"/>
        <w:widowControl w:val="off"/>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r>
      <w:r/>
    </w:p>
    <w:p>
      <w:pPr>
        <w:ind w:firstLine="422"/>
        <w:keepLines w:val="0"/>
        <w:keepNext w:val="0"/>
        <w:pageBreakBefore w:val="0"/>
        <w:spacing w:line="360" w:lineRule="auto"/>
        <w:widowControl w:val="off"/>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三</w:t>
      </w:r>
      <w:r>
        <w:rPr>
          <w:rFonts w:hint="eastAsia" w:ascii="宋体" w:hAnsi="宋体" w:eastAsia="宋体" w:cs="宋体"/>
          <w:b/>
          <w:bCs/>
          <w:color w:val="auto"/>
          <w:szCs w:val="21"/>
          <w:highlight w:val="none"/>
        </w:rPr>
        <w:t xml:space="preserve">、综合说明其它要求</w:t>
      </w:r>
      <w:r/>
    </w:p>
    <w:p>
      <w:pPr>
        <w:ind w:firstLine="420"/>
        <w:keepLines w:val="0"/>
        <w:keepNext w:val="0"/>
        <w:pageBreakBefore w:val="0"/>
        <w:spacing w:line="360" w:lineRule="auto"/>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Times New Roman"/>
          <w:color w:val="auto"/>
          <w:szCs w:val="21"/>
          <w:highlight w:val="none"/>
        </w:rPr>
        <w:t xml:space="preserve">投标人必须承诺招标文件中提出的全部维护要求，如果以其中某些条款不响应时，应在文件中逐条列出，未列出的视同响应</w:t>
      </w:r>
      <w:r>
        <w:rPr>
          <w:rFonts w:hint="eastAsia" w:ascii="宋体" w:hAnsi="宋体" w:eastAsia="宋体" w:cs="宋体"/>
          <w:color w:val="auto"/>
          <w:szCs w:val="21"/>
          <w:highlight w:val="none"/>
        </w:rPr>
        <w:t xml:space="preserve">。</w:t>
      </w:r>
      <w:r/>
    </w:p>
    <w:p>
      <w:pPr>
        <w:ind w:firstLine="420"/>
        <w:keepLines w:val="0"/>
        <w:keepNext w:val="0"/>
        <w:pageBreakBefore w:val="0"/>
        <w:spacing w:line="360" w:lineRule="auto"/>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Times New Roman"/>
          <w:color w:val="auto"/>
          <w:szCs w:val="21"/>
          <w:highlight w:val="none"/>
        </w:rPr>
        <w:t xml:space="preserve">投标总报价一次报定，</w:t>
      </w:r>
      <w:r>
        <w:rPr>
          <w:rFonts w:hint="default" w:ascii="宋体" w:hAnsi="宋体" w:eastAsia="宋体" w:cs="Times New Roman"/>
          <w:color w:val="auto"/>
          <w:highlight w:val="none"/>
        </w:rPr>
        <w:t xml:space="preserve">除非合同中另有规定，投标人对投标报价中的工</w:t>
      </w:r>
      <w:r>
        <w:rPr>
          <w:rFonts w:hint="eastAsia" w:ascii="宋体" w:hAnsi="宋体" w:eastAsia="宋体" w:cs="Times New Roman"/>
          <w:color w:val="auto"/>
          <w:highlight w:val="none"/>
        </w:rPr>
        <w:t xml:space="preserve">作</w:t>
      </w:r>
      <w:r>
        <w:rPr>
          <w:rFonts w:hint="default" w:ascii="宋体" w:hAnsi="宋体" w:eastAsia="宋体" w:cs="Times New Roman"/>
          <w:color w:val="auto"/>
          <w:highlight w:val="none"/>
        </w:rPr>
        <w:t xml:space="preserve">量和服务的报价应</w:t>
      </w:r>
      <w:r>
        <w:rPr>
          <w:rFonts w:hint="default" w:ascii="宋体" w:hAnsi="宋体" w:eastAsia="宋体" w:cs="Times New Roman"/>
          <w:color w:val="auto"/>
          <w:szCs w:val="21"/>
          <w:highlight w:val="none"/>
        </w:rPr>
        <w:t xml:space="preserve">包括完成本项工作所需的人工、材料、机械</w:t>
      </w:r>
      <w:r>
        <w:rPr>
          <w:rFonts w:hint="eastAsia" w:ascii="宋体" w:hAnsi="宋体" w:eastAsia="宋体" w:cs="Times New Roman"/>
          <w:color w:val="auto"/>
          <w:szCs w:val="21"/>
          <w:highlight w:val="none"/>
        </w:rPr>
        <w:t xml:space="preserve">（设备）</w:t>
      </w:r>
      <w:r>
        <w:rPr>
          <w:rFonts w:hint="default" w:ascii="宋体" w:hAnsi="宋体" w:eastAsia="宋体" w:cs="Times New Roman"/>
          <w:color w:val="auto"/>
          <w:szCs w:val="21"/>
          <w:highlight w:val="none"/>
        </w:rPr>
        <w:t xml:space="preserve">、管理、维护、售后服务</w:t>
      </w:r>
      <w:r>
        <w:rPr>
          <w:rFonts w:hint="eastAsia" w:ascii="宋体" w:hAnsi="宋体" w:eastAsia="宋体" w:cs="Times New Roman"/>
          <w:color w:val="auto"/>
          <w:szCs w:val="21"/>
          <w:highlight w:val="none"/>
        </w:rPr>
        <w:t xml:space="preserve">、</w:t>
      </w:r>
      <w:r>
        <w:rPr>
          <w:rFonts w:hint="default" w:ascii="宋体" w:hAnsi="宋体" w:eastAsia="宋体" w:cs="Times New Roman"/>
          <w:color w:val="auto"/>
          <w:szCs w:val="21"/>
          <w:highlight w:val="none"/>
        </w:rPr>
        <w:t xml:space="preserve">保险、利润、税金、政策性文件规定及合同包含的所有风险、责任等各项应有费用</w:t>
      </w:r>
      <w:r>
        <w:rPr>
          <w:rFonts w:hint="default" w:ascii="宋体" w:hAnsi="宋体" w:eastAsia="宋体" w:cs="Times New Roman"/>
          <w:color w:val="auto"/>
          <w:highlight w:val="none"/>
        </w:rPr>
        <w:t xml:space="preserve">。投标报价为最终报价，除非因特殊原因并经买卖双方协商同意，投标人不得再要求追加任何费用。同时，除非合同条款中另有规定，否则，投标单位所报价格在合同实施期间不因市场变化因素而变动</w:t>
      </w:r>
      <w:r>
        <w:rPr>
          <w:rFonts w:hint="eastAsia" w:ascii="宋体" w:hAnsi="宋体" w:eastAsia="宋体" w:cs="宋体"/>
          <w:color w:val="auto"/>
          <w:szCs w:val="21"/>
          <w:highlight w:val="none"/>
        </w:rPr>
        <w:t xml:space="preserve">。</w:t>
      </w:r>
      <w:r/>
    </w:p>
    <w:p>
      <w:pPr>
        <w:ind w:firstLine="420"/>
        <w:keepLines w:val="0"/>
        <w:keepNext w:val="0"/>
        <w:pageBreakBefore w:val="0"/>
        <w:spacing w:line="360" w:lineRule="auto"/>
        <w:widowControl w:val="off"/>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w:t>
      </w:r>
      <w:r>
        <w:rPr>
          <w:rFonts w:hint="eastAsia" w:ascii="宋体" w:hAnsi="宋体" w:eastAsia="宋体" w:cs="宋体"/>
          <w:color w:val="auto"/>
          <w:szCs w:val="21"/>
          <w:highlight w:val="none"/>
        </w:rPr>
        <w:t xml:space="preserve">、</w:t>
      </w:r>
      <w:r>
        <w:rPr>
          <w:rFonts w:hint="default" w:ascii="宋体" w:hAnsi="宋体" w:eastAsia="宋体" w:cs="Times New Roman"/>
          <w:color w:val="auto"/>
          <w:szCs w:val="21"/>
          <w:highlight w:val="none"/>
        </w:rPr>
        <w:t xml:space="preserve">工作过程中因</w:t>
      </w:r>
      <w:r>
        <w:rPr>
          <w:rFonts w:hint="eastAsia" w:ascii="宋体" w:hAnsi="宋体" w:eastAsia="宋体" w:cs="宋体"/>
          <w:color w:val="auto"/>
          <w:highlight w:val="none"/>
        </w:rPr>
        <w:t xml:space="preserve">成交</w:t>
      </w:r>
      <w:r>
        <w:rPr>
          <w:rFonts w:hint="eastAsia" w:ascii="宋体" w:hAnsi="宋体" w:eastAsia="宋体" w:cs="Times New Roman"/>
          <w:color w:val="auto"/>
          <w:szCs w:val="21"/>
          <w:highlight w:val="none"/>
        </w:rPr>
        <w:t xml:space="preserve">人</w:t>
      </w:r>
      <w:r>
        <w:rPr>
          <w:rFonts w:hint="default" w:ascii="宋体" w:hAnsi="宋体" w:eastAsia="宋体" w:cs="Times New Roman"/>
          <w:color w:val="auto"/>
          <w:szCs w:val="21"/>
          <w:highlight w:val="none"/>
        </w:rPr>
        <w:t xml:space="preserve">责任所造成的经济损失由</w:t>
      </w:r>
      <w:r>
        <w:rPr>
          <w:rFonts w:hint="eastAsia" w:ascii="宋体" w:hAnsi="宋体" w:eastAsia="宋体" w:cs="宋体"/>
          <w:color w:val="auto"/>
          <w:highlight w:val="none"/>
        </w:rPr>
        <w:t xml:space="preserve">成交</w:t>
      </w:r>
      <w:r>
        <w:rPr>
          <w:rFonts w:hint="eastAsia" w:ascii="宋体" w:hAnsi="宋体" w:eastAsia="宋体" w:cs="Times New Roman"/>
          <w:color w:val="auto"/>
          <w:szCs w:val="21"/>
          <w:highlight w:val="none"/>
        </w:rPr>
        <w:t xml:space="preserve">人</w:t>
      </w:r>
      <w:r>
        <w:rPr>
          <w:rFonts w:hint="default" w:ascii="宋体" w:hAnsi="宋体" w:eastAsia="宋体" w:cs="Times New Roman"/>
          <w:color w:val="auto"/>
          <w:szCs w:val="21"/>
          <w:highlight w:val="none"/>
        </w:rPr>
        <w:t xml:space="preserve">按实际金额赔偿。</w:t>
      </w:r>
      <w:r>
        <w:rPr>
          <w:rFonts w:hint="eastAsia" w:ascii="宋体" w:hAnsi="宋体" w:eastAsia="宋体" w:cs="宋体"/>
          <w:color w:val="auto"/>
          <w:highlight w:val="none"/>
        </w:rPr>
        <w:t xml:space="preserve">成交</w:t>
      </w:r>
      <w:r>
        <w:rPr>
          <w:rFonts w:hint="eastAsia" w:ascii="宋体" w:hAnsi="宋体" w:eastAsia="宋体" w:cs="Times New Roman"/>
          <w:color w:val="auto"/>
          <w:szCs w:val="21"/>
          <w:highlight w:val="none"/>
        </w:rPr>
        <w:t xml:space="preserve">单位工作人员在岗履行职责期间（包括上下班途中），发生自身的人身伤害、伤亡，均由</w:t>
      </w:r>
      <w:r>
        <w:rPr>
          <w:rFonts w:hint="eastAsia" w:ascii="宋体" w:hAnsi="宋体" w:eastAsia="宋体" w:cs="宋体"/>
          <w:color w:val="auto"/>
          <w:highlight w:val="none"/>
        </w:rPr>
        <w:t xml:space="preserve">成交</w:t>
      </w:r>
      <w:r>
        <w:rPr>
          <w:rFonts w:hint="eastAsia" w:ascii="宋体" w:hAnsi="宋体" w:eastAsia="宋体" w:cs="Times New Roman"/>
          <w:color w:val="auto"/>
          <w:szCs w:val="21"/>
          <w:highlight w:val="none"/>
        </w:rPr>
        <w:t xml:space="preserve">单位负责处理并承担经济和人道主义上的责任，招标单位不承担任何责任。</w:t>
      </w:r>
      <w:r>
        <w:rPr>
          <w:rFonts w:hint="eastAsia" w:ascii="宋体" w:hAnsi="宋体" w:eastAsia="宋体" w:cs="宋体"/>
          <w:color w:val="auto"/>
          <w:highlight w:val="none"/>
        </w:rPr>
        <w:t xml:space="preserve">成交</w:t>
      </w:r>
      <w:r>
        <w:rPr>
          <w:rFonts w:hint="eastAsia" w:ascii="宋体" w:hAnsi="宋体" w:eastAsia="宋体" w:cs="Times New Roman"/>
          <w:color w:val="auto"/>
          <w:szCs w:val="21"/>
          <w:highlight w:val="none"/>
        </w:rPr>
        <w:t xml:space="preserve">单位违反国家相关法规，与聘用人员发生纠纷，均由</w:t>
      </w:r>
      <w:r>
        <w:rPr>
          <w:rFonts w:hint="eastAsia" w:ascii="宋体" w:hAnsi="宋体" w:eastAsia="宋体" w:cs="宋体"/>
          <w:color w:val="auto"/>
          <w:highlight w:val="none"/>
        </w:rPr>
        <w:t xml:space="preserve">成交</w:t>
      </w:r>
      <w:r>
        <w:rPr>
          <w:rFonts w:hint="eastAsia" w:ascii="宋体" w:hAnsi="宋体" w:eastAsia="宋体" w:cs="Times New Roman"/>
          <w:color w:val="auto"/>
          <w:szCs w:val="21"/>
          <w:highlight w:val="none"/>
        </w:rPr>
        <w:t xml:space="preserve">单位负责调解与处理，采购单位不承担责任。</w:t>
      </w:r>
      <w:r/>
    </w:p>
    <w:p>
      <w:pPr>
        <w:ind w:firstLine="420"/>
        <w:keepLines w:val="0"/>
        <w:keepNext w:val="0"/>
        <w:pageBreakBefore w:val="0"/>
        <w:spacing w:line="360" w:lineRule="auto"/>
        <w:widowControl w:val="off"/>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4、因</w:t>
      </w:r>
      <w:r>
        <w:rPr>
          <w:rFonts w:hint="eastAsia" w:ascii="宋体" w:hAnsi="宋体" w:eastAsia="宋体" w:cs="宋体"/>
          <w:color w:val="auto"/>
          <w:highlight w:val="none"/>
        </w:rPr>
        <w:t xml:space="preserve">成交</w:t>
      </w:r>
      <w:r>
        <w:rPr>
          <w:rFonts w:hint="eastAsia" w:ascii="宋体" w:hAnsi="宋体" w:eastAsia="宋体" w:cs="Times New Roman"/>
          <w:color w:val="auto"/>
          <w:szCs w:val="21"/>
          <w:highlight w:val="none"/>
        </w:rPr>
        <w:t xml:space="preserve">单位管理不善，造成工作范围内的设施、设备等损坏的，由</w:t>
      </w:r>
      <w:r>
        <w:rPr>
          <w:rFonts w:hint="eastAsia" w:ascii="宋体" w:hAnsi="宋体" w:eastAsia="宋体" w:cs="宋体"/>
          <w:color w:val="auto"/>
          <w:highlight w:val="none"/>
        </w:rPr>
        <w:t xml:space="preserve">成交</w:t>
      </w:r>
      <w:r>
        <w:rPr>
          <w:rFonts w:hint="eastAsia" w:ascii="宋体" w:hAnsi="宋体" w:eastAsia="宋体" w:cs="Times New Roman"/>
          <w:color w:val="auto"/>
          <w:szCs w:val="21"/>
          <w:highlight w:val="none"/>
        </w:rPr>
        <w:t xml:space="preserve">单位赔偿，采购单位有权要求</w:t>
      </w:r>
      <w:r>
        <w:rPr>
          <w:rFonts w:hint="eastAsia" w:ascii="宋体" w:hAnsi="宋体" w:eastAsia="宋体" w:cs="宋体"/>
          <w:color w:val="auto"/>
          <w:highlight w:val="none"/>
        </w:rPr>
        <w:t xml:space="preserve">成交</w:t>
      </w:r>
      <w:r>
        <w:rPr>
          <w:rFonts w:hint="eastAsia" w:ascii="宋体" w:hAnsi="宋体" w:eastAsia="宋体" w:cs="Times New Roman"/>
          <w:color w:val="auto"/>
          <w:szCs w:val="21"/>
          <w:highlight w:val="none"/>
        </w:rPr>
        <w:t xml:space="preserve">单位负责赔偿损失，情节严重的可终止合同甚至诉诸法律。</w:t>
      </w:r>
      <w:r/>
    </w:p>
    <w:p>
      <w:pPr>
        <w:ind w:firstLine="420"/>
        <w:keepLines w:val="0"/>
        <w:keepNext w:val="0"/>
        <w:pageBreakBefore w:val="0"/>
        <w:spacing w:line="360" w:lineRule="auto"/>
        <w:widowControl w:val="off"/>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5、知识产权：</w:t>
      </w:r>
      <w:r/>
    </w:p>
    <w:p>
      <w:pPr>
        <w:ind w:firstLine="420"/>
        <w:keepLines w:val="0"/>
        <w:keepNext w:val="0"/>
        <w:pageBreakBefore w:val="0"/>
        <w:spacing w:line="360" w:lineRule="auto"/>
        <w:widowControl w:val="off"/>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承包人应保证发包人免除且承包人承担由于发包人在其本国使用该设备或设备任何一部分时而引起第三方提出的侵犯专利权、商标权或工业设计权的起诉、行动、行政程序索赔、请求等以及发包人为此而产生的损失和损害、费用和支出（包括律师费）。</w:t>
      </w:r>
      <w:r/>
    </w:p>
    <w:p>
      <w:pPr>
        <w:ind w:firstLine="420"/>
        <w:keepLines w:val="0"/>
        <w:keepNext w:val="0"/>
        <w:pageBreakBefore w:val="0"/>
        <w:spacing w:line="360" w:lineRule="auto"/>
        <w:widowControl w:val="off"/>
        <w:rPr>
          <w:rStyle w:val="1064"/>
          <w:rFonts w:hint="eastAsia"/>
          <w:b/>
          <w:bCs/>
          <w:color w:val="auto"/>
          <w:sz w:val="32"/>
          <w:szCs w:val="32"/>
          <w:highlight w:val="none"/>
        </w:rPr>
      </w:pPr>
      <w:r>
        <w:rPr>
          <w:rFonts w:hint="eastAsia" w:ascii="宋体" w:hAnsi="宋体" w:eastAsia="宋体" w:cs="Times New Roman"/>
          <w:color w:val="auto"/>
          <w:szCs w:val="21"/>
          <w:highlight w:val="none"/>
        </w:rPr>
        <w:t xml:space="preserve">6、凡涉及招标文件的补充说明和修改，均以招标代理机构网上发布的公告为准。</w:t>
      </w:r>
      <w:r>
        <w:rPr>
          <w:rStyle w:val="1064"/>
          <w:rFonts w:hint="eastAsia"/>
          <w:b/>
          <w:bCs/>
          <w:color w:val="auto"/>
          <w:sz w:val="32"/>
          <w:szCs w:val="32"/>
          <w:highlight w:val="none"/>
        </w:rPr>
        <w:br w:type="page" w:clear="all"/>
      </w:r>
      <w:r/>
    </w:p>
    <w:p>
      <w:pPr>
        <w:pStyle w:val="728"/>
        <w:jc w:val="center"/>
        <w:spacing w:line="240" w:lineRule="auto"/>
        <w:rPr>
          <w:rStyle w:val="1064"/>
          <w:b/>
          <w:bCs/>
          <w:color w:val="auto"/>
          <w:sz w:val="32"/>
          <w:szCs w:val="32"/>
          <w:highlight w:val="none"/>
        </w:rPr>
      </w:pPr>
      <w:r>
        <w:rPr>
          <w:rStyle w:val="1064"/>
          <w:rFonts w:hint="eastAsia"/>
          <w:b/>
          <w:bCs/>
          <w:color w:val="auto"/>
          <w:sz w:val="32"/>
          <w:szCs w:val="32"/>
          <w:highlight w:val="none"/>
        </w:rPr>
        <w:t xml:space="preserve">第四章 竞争性谈判程序</w:t>
      </w:r>
      <w:bookmarkEnd w:id="11"/>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一、谈判流程：</w:t>
      </w:r>
      <w:r/>
    </w:p>
    <w:p>
      <w:pPr>
        <w:ind w:firstLine="420"/>
        <w:spacing w:line="360" w:lineRule="auto"/>
        <w:rPr>
          <w:rFonts w:ascii="宋体" w:hAnsi="宋体"/>
          <w:color w:val="auto"/>
          <w:highlight w:val="none"/>
        </w:rPr>
      </w:pPr>
      <w:r>
        <w:rPr>
          <w:rFonts w:hint="eastAsia" w:ascii="宋体" w:hAnsi="宋体"/>
          <w:color w:val="auto"/>
          <w:highlight w:val="none"/>
        </w:rPr>
        <w:t xml:space="preserve">1.采购代理机构按谈判文件规定的时间、地点主持谈判活动。投标人应当按照《苏采云系统供应商操作手册》规定，参加开标活动和在“苏采云”系统规定的时间内对投标文件进行解密。评标委员会成员不得参加开标活动。</w:t>
      </w:r>
      <w:r/>
    </w:p>
    <w:p>
      <w:pPr>
        <w:ind w:firstLine="420"/>
        <w:spacing w:line="360" w:lineRule="auto"/>
        <w:rPr>
          <w:rFonts w:ascii="宋体" w:hAnsi="宋体"/>
          <w:color w:val="auto"/>
          <w:highlight w:val="none"/>
        </w:rPr>
      </w:pPr>
      <w:r>
        <w:rPr>
          <w:rFonts w:hint="eastAsia" w:ascii="宋体" w:hAnsi="宋体"/>
          <w:color w:val="auto"/>
          <w:highlight w:val="none"/>
        </w:rPr>
        <w:t xml:space="preserve">2.开标完成后，进入评审环节，谈判小组按照谈判文件的要求独立对供应商进行资格性和符合性审查，确定合格供应商。</w:t>
      </w:r>
      <w:r/>
    </w:p>
    <w:p>
      <w:pPr>
        <w:ind w:firstLine="420"/>
        <w:spacing w:line="360" w:lineRule="auto"/>
        <w:rPr>
          <w:rFonts w:ascii="宋体" w:hAnsi="宋体"/>
          <w:color w:val="auto"/>
          <w:highlight w:val="none"/>
        </w:rPr>
      </w:pPr>
      <w:r>
        <w:rPr>
          <w:rFonts w:hint="eastAsia" w:ascii="宋体" w:hAnsi="宋体"/>
          <w:color w:val="auto"/>
          <w:highlight w:val="none"/>
        </w:rPr>
        <w:t xml:space="preserve">2.1资格审查：由谈判小组依据法律法规和谈判文件的规定，对响应文件中的资格证明文件进行审查，以确定供应商是否具备参加谈判的资格。</w:t>
      </w:r>
      <w:r/>
    </w:p>
    <w:p>
      <w:pPr>
        <w:ind w:firstLine="420"/>
        <w:spacing w:line="360" w:lineRule="auto"/>
        <w:rPr>
          <w:rFonts w:ascii="宋体" w:hAnsi="宋体"/>
          <w:color w:val="auto"/>
          <w:highlight w:val="none"/>
        </w:rPr>
      </w:pPr>
      <w:r>
        <w:rPr>
          <w:rFonts w:hint="eastAsia" w:ascii="宋体" w:hAnsi="宋体"/>
          <w:color w:val="auto"/>
          <w:highlight w:val="none"/>
        </w:rPr>
        <w:t xml:space="preserve">谈判小组在进行资格审查的同时，将在“信用中国”网站（www.creditchina.gov.cn）查询供应商的信用记录，以确定供应商是否具备谈判资格,查询结果留存并归档。</w:t>
      </w:r>
      <w:r/>
    </w:p>
    <w:p>
      <w:pPr>
        <w:ind w:firstLine="420"/>
        <w:spacing w:line="360" w:lineRule="auto"/>
        <w:rPr>
          <w:rFonts w:ascii="宋体" w:hAnsi="宋体"/>
          <w:color w:val="auto"/>
          <w:highlight w:val="none"/>
        </w:rPr>
      </w:pPr>
      <w:r>
        <w:rPr>
          <w:rFonts w:hint="eastAsia" w:ascii="宋体" w:hAnsi="宋体"/>
          <w:color w:val="auto"/>
          <w:highlight w:val="none"/>
        </w:rPr>
        <w:t xml:space="preserve">2.2符合性审查：依据谈判文件的规定，由谈判小组从响应文件的有效性、完整性和对谈判文件的响应程度进行审查，以确定是否对谈判文件的实质性要求作出响应。</w:t>
      </w:r>
      <w:r/>
    </w:p>
    <w:p>
      <w:pPr>
        <w:ind w:firstLine="420"/>
        <w:spacing w:line="360" w:lineRule="auto"/>
        <w:rPr>
          <w:rFonts w:ascii="宋体" w:hAnsi="宋体"/>
          <w:color w:val="auto"/>
          <w:highlight w:val="none"/>
        </w:rPr>
      </w:pPr>
      <w:r>
        <w:rPr>
          <w:rFonts w:hint="eastAsia" w:ascii="宋体" w:hAnsi="宋体"/>
          <w:color w:val="auto"/>
          <w:highlight w:val="none"/>
        </w:rPr>
        <w:t xml:space="preserve">2.3未通过资格审查或符合性审查的供应商，谈判小组将在苏采云系统中告知未通过资格审查或符合性审查的原因，评审结束后，谈判小组将不再告知未通过资格审查或符合性审查的原因。</w:t>
      </w:r>
      <w:r/>
    </w:p>
    <w:p>
      <w:pPr>
        <w:ind w:firstLine="420"/>
        <w:spacing w:line="360" w:lineRule="auto"/>
        <w:rPr>
          <w:rFonts w:ascii="宋体" w:hAnsi="宋体"/>
          <w:color w:val="auto"/>
          <w:highlight w:val="none"/>
        </w:rPr>
      </w:pPr>
      <w:r>
        <w:rPr>
          <w:rFonts w:hint="eastAsia" w:ascii="宋体" w:hAnsi="宋体"/>
          <w:color w:val="auto"/>
          <w:highlight w:val="none"/>
        </w:rPr>
        <w:t xml:space="preserve">2.4在详细评审之前，谈判小组将首先审查每份响应文件是否实质性响应了谈判文件的要求。实质性响应的响应文件应该是与谈判文件要求的条款、条件和规格相符，没有重大偏离或保留。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ascii="宋体" w:hAnsi="宋体"/>
          <w:color w:val="auto"/>
          <w:highlight w:val="none"/>
        </w:rPr>
      </w:pPr>
      <w:r>
        <w:rPr>
          <w:rFonts w:hint="eastAsia" w:ascii="宋体" w:hAnsi="宋体"/>
          <w:color w:val="auto"/>
          <w:highlight w:val="none"/>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20"/>
        <w:spacing w:line="360" w:lineRule="auto"/>
        <w:rPr>
          <w:rFonts w:ascii="宋体" w:hAnsi="宋体"/>
          <w:color w:val="auto"/>
          <w:highlight w:val="none"/>
        </w:rPr>
      </w:pPr>
      <w:r>
        <w:rPr>
          <w:rFonts w:hint="eastAsia" w:ascii="宋体" w:hAnsi="宋体"/>
          <w:color w:val="auto"/>
          <w:highlight w:val="none"/>
        </w:rPr>
        <w:t xml:space="preserve">2.5未实质性响应谈判文件的情形</w:t>
      </w:r>
      <w:r/>
    </w:p>
    <w:p>
      <w:pPr>
        <w:ind w:firstLine="420"/>
        <w:spacing w:line="360" w:lineRule="auto"/>
        <w:rPr>
          <w:rFonts w:ascii="宋体" w:hAnsi="宋体"/>
          <w:color w:val="auto"/>
          <w:highlight w:val="none"/>
        </w:rPr>
      </w:pPr>
      <w:r>
        <w:rPr>
          <w:rFonts w:hint="eastAsia" w:ascii="宋体" w:hAnsi="宋体"/>
          <w:color w:val="auto"/>
          <w:highlight w:val="none"/>
        </w:rPr>
        <w:t xml:space="preserve">2.5.1供应商在苏采云系统规定的时间内未成功解密电子响应文件的。</w:t>
      </w:r>
      <w:r/>
    </w:p>
    <w:p>
      <w:pPr>
        <w:ind w:firstLine="420"/>
        <w:spacing w:line="360" w:lineRule="auto"/>
        <w:rPr>
          <w:rFonts w:ascii="宋体" w:hAnsi="宋体"/>
          <w:color w:val="auto"/>
          <w:highlight w:val="none"/>
        </w:rPr>
      </w:pPr>
      <w:r>
        <w:rPr>
          <w:rFonts w:hint="eastAsia" w:ascii="宋体" w:hAnsi="宋体"/>
          <w:color w:val="auto"/>
          <w:highlight w:val="none"/>
        </w:rPr>
        <w:t xml:space="preserve">2.5.2供应商未按照谈判文件要求上传电子响应文件的。</w:t>
      </w:r>
      <w:r/>
    </w:p>
    <w:p>
      <w:pPr>
        <w:ind w:firstLine="420"/>
        <w:spacing w:line="360" w:lineRule="auto"/>
        <w:rPr>
          <w:rFonts w:ascii="宋体" w:hAnsi="宋体"/>
          <w:color w:val="auto"/>
          <w:highlight w:val="none"/>
        </w:rPr>
      </w:pPr>
      <w:r>
        <w:rPr>
          <w:rFonts w:hint="eastAsia" w:ascii="宋体" w:hAnsi="宋体"/>
          <w:color w:val="auto"/>
          <w:highlight w:val="none"/>
        </w:rPr>
        <w:t xml:space="preserve">2.5.3同一供应商提交两个（含两个）以上不同的响应文件或者最后报价的。</w:t>
      </w:r>
      <w:r/>
    </w:p>
    <w:p>
      <w:pPr>
        <w:ind w:firstLine="420"/>
        <w:spacing w:line="360" w:lineRule="auto"/>
        <w:rPr>
          <w:rFonts w:ascii="宋体" w:hAnsi="宋体"/>
          <w:color w:val="auto"/>
          <w:highlight w:val="none"/>
        </w:rPr>
      </w:pPr>
      <w:r>
        <w:rPr>
          <w:rFonts w:hint="eastAsia" w:ascii="宋体" w:hAnsi="宋体"/>
          <w:color w:val="auto"/>
          <w:highlight w:val="none"/>
        </w:rPr>
        <w:t xml:space="preserve">2.5.4供应商不具备谈判文件中规定资格要求的。</w:t>
      </w:r>
      <w:r/>
    </w:p>
    <w:p>
      <w:pPr>
        <w:ind w:firstLine="420"/>
        <w:spacing w:line="360" w:lineRule="auto"/>
        <w:rPr>
          <w:rFonts w:ascii="宋体" w:hAnsi="宋体"/>
          <w:color w:val="auto"/>
          <w:highlight w:val="none"/>
        </w:rPr>
      </w:pPr>
      <w:r>
        <w:rPr>
          <w:rFonts w:hint="eastAsia" w:ascii="宋体" w:hAnsi="宋体"/>
          <w:color w:val="auto"/>
          <w:highlight w:val="none"/>
        </w:rPr>
        <w:t xml:space="preserve">2.5.5供应商的最后报价超过了采购预算。</w:t>
      </w:r>
      <w:r/>
    </w:p>
    <w:p>
      <w:pPr>
        <w:ind w:firstLine="420"/>
        <w:spacing w:line="360" w:lineRule="auto"/>
        <w:rPr>
          <w:rFonts w:ascii="宋体" w:hAnsi="宋体"/>
          <w:color w:val="auto"/>
          <w:highlight w:val="none"/>
        </w:rPr>
      </w:pPr>
      <w:r>
        <w:rPr>
          <w:rFonts w:hint="eastAsia" w:ascii="宋体" w:hAnsi="宋体"/>
          <w:color w:val="auto"/>
          <w:highlight w:val="none"/>
        </w:rPr>
        <w:t xml:space="preserve">2.5.6不符合谈判文件中规定的实质性要求和条件的。</w:t>
      </w:r>
      <w:r/>
    </w:p>
    <w:p>
      <w:pPr>
        <w:ind w:firstLine="420"/>
        <w:spacing w:line="360" w:lineRule="auto"/>
        <w:rPr>
          <w:rFonts w:ascii="宋体" w:hAnsi="宋体"/>
          <w:color w:val="auto"/>
          <w:highlight w:val="none"/>
        </w:rPr>
      </w:pPr>
      <w:r>
        <w:rPr>
          <w:rFonts w:hint="eastAsia" w:ascii="宋体" w:hAnsi="宋体"/>
          <w:color w:val="auto"/>
          <w:highlight w:val="none"/>
        </w:rPr>
        <w:t xml:space="preserve">2.5.7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ascii="宋体" w:hAnsi="宋体"/>
          <w:color w:val="auto"/>
          <w:highlight w:val="none"/>
        </w:rPr>
      </w:pPr>
      <w:r>
        <w:rPr>
          <w:rFonts w:hint="eastAsia" w:ascii="宋体" w:hAnsi="宋体"/>
          <w:color w:val="auto"/>
          <w:highlight w:val="none"/>
        </w:rPr>
        <w:t xml:space="preserve">2.5.8响应文件含有采购人不能接受的附加条件的。</w:t>
      </w:r>
      <w:r/>
    </w:p>
    <w:p>
      <w:pPr>
        <w:ind w:firstLine="420"/>
        <w:spacing w:line="360" w:lineRule="auto"/>
        <w:rPr>
          <w:rFonts w:ascii="宋体" w:hAnsi="宋体"/>
          <w:color w:val="auto"/>
          <w:highlight w:val="none"/>
        </w:rPr>
      </w:pPr>
      <w:r>
        <w:rPr>
          <w:rFonts w:hint="eastAsia" w:ascii="宋体" w:hAnsi="宋体"/>
          <w:color w:val="auto"/>
          <w:highlight w:val="none"/>
        </w:rPr>
        <w:t xml:space="preserve">2.5.9本项目采购产品被财政部、国家发改委、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2.5.10响应文件未按照谈判文件要求加盖CA电子公章的。</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2.6未实质性响应谈判文件的响应文件按无效响应处理。</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2.7如果响应文件实质上没有响应谈判文件的要求，谈判小组将予以拒绝，供应商不得通过修改或撤销不合要求的偏离或保留而使其成为实质性响应的文件。</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2.8供应商在项目评审全过程中应保持通讯畅通，并安排专人与采购中心及谈判小组联系。</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3.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系统中重新提交响应文件，并加盖CA电子公章。</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4.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提交最后报价的规定时间为十分钟，超过规定的时间视为放弃提交最后报价。</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提交最后报价的规定时间为十分钟，超过规定的时间视为放弃提交最后报价。</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最后报价是供应商响应文件的有效组成部分。</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5.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6.谈判小组认为供应商的报价明显低于其他通过符合性审查的供应商的报价，有可能影响产品质量或者不能诚信履约的，应当要求其以书面形式作出相关说明，供应商不能证明其报价合理性的，谈判小组应当认定其响应无效。</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7.谈判小组根据谈判成交原则确定成交供应商，并将结果通知所有参加谈判的未成交的供应商</w:t>
      </w:r>
      <w:r>
        <w:rPr>
          <w:rFonts w:hint="eastAsia" w:ascii="宋体" w:hAnsi="宋体" w:cs="宋体"/>
          <w:color w:val="auto"/>
          <w:highlight w:val="none"/>
        </w:rPr>
        <w:t xml:space="preserve">。</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二、项目评审</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（一）谈判小组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谈判小组为三人或三人以上单数。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 谈判小组的评审工作由采购代理机构负责组织，具体评审事务由谈判小组负责，并独立履行法律、法规规定的职责。</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（二）评审过程</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如评审需要，谈判小组所有成员应当集中与单一响应单位分别进行谈判，并给予所有参加谈判的响应单位平等的谈判机会。采购文件如有实质性变动的，对采购文件作出的实质性变动是采购文件的有效组成部分，将以书面形式同时通知所有参加谈判的供应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3.谈判小组在对响应文件的有效性、完整性和响应程度进行审查时，可以要求响应单位对响应文件中含义不明确、同类问题表述不一致或者有明显文字和计算错误的内容等作出必要的</w:t>
      </w:r>
      <w:r>
        <w:rPr>
          <w:rFonts w:hint="eastAsia" w:ascii="宋体" w:hAnsi="宋体" w:cs="宋体"/>
          <w:color w:val="auto"/>
          <w:szCs w:val="21"/>
          <w:highlight w:val="none"/>
          <w:lang w:val="zh-CN"/>
        </w:rPr>
        <w:t xml:space="preserve">澄清、说明或者更正。响应单位的澄清、说明或者更正不得超出响应文件的范围或者改变响应文件的实质性内容，并作为响应文件的有效组成部分。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接到谈判小组澄清、说明和更正要求的供应商如未按规定做出澄清、说明和更正，其风险由供应商自行承担。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4.采购代理机构将采取必要措施，保证评审在严格保密的情况下进行，任何单位和个人不得非法干预、影响评审过程和结果。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5.项目开标后，直到宣布成交结果为止，凡属于评审、澄清、评价和比较响应等相关的信息都不应向供应商或与评审无关的其他人泄露。</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三、项目成交</w:t>
      </w:r>
      <w:r/>
    </w:p>
    <w:p>
      <w:pPr>
        <w:pStyle w:val="758"/>
        <w:ind w:firstLine="0"/>
        <w:spacing w:line="360" w:lineRule="auto"/>
        <w:rPr>
          <w:rFonts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（一）项目成交需同时满足以下条件：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1.满足谈判文件实质性要求的合格供应商不少于三家；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2.合格供应商的报价均未超过采购预算；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3.采购过程中未出现违法、违规行为；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4.按照谈判文件规定的评审办法确定成交供应商。</w:t>
      </w:r>
      <w:r/>
    </w:p>
    <w:p>
      <w:pPr>
        <w:pStyle w:val="758"/>
        <w:ind w:firstLine="0"/>
        <w:spacing w:line="360" w:lineRule="auto"/>
        <w:rPr>
          <w:rFonts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（二）重新评审</w:t>
      </w:r>
      <w:r/>
    </w:p>
    <w:p>
      <w:pPr>
        <w:pStyle w:val="758"/>
        <w:ind w:firstLine="420"/>
        <w:spacing w:line="360" w:lineRule="auto"/>
        <w:rPr>
          <w:rFonts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pStyle w:val="758"/>
        <w:ind w:firstLine="420"/>
        <w:spacing w:line="360" w:lineRule="auto"/>
        <w:rPr>
          <w:rFonts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采购人或者采购代理机构不得通过对样品进行检测、对供应商进行考察等方式改变评审结果。</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（三）成交通知书及合同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1.采购代理机构按照法定流程发布成交公告，及时向成交供应商发送成交通知书。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2.采购人与成交供应商应当在成交通知书发出之日起三十日内，按照谈判文件及响应文件确定的事项签订政府采购合同。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成交通知书对采购人和成交供应商均具有法律效力，成交通知书发出后，采购人改变成交结果的，或者成交供应商放弃成交项目的，应当依法承担法律责任。</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四、响应无效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1.出现下列情形之一的，将被认定为响应无效或无效文件：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w:t>
      </w:r>
      <w:r>
        <w:rPr>
          <w:rFonts w:hint="eastAsia" w:ascii="宋体" w:hAnsi="宋体" w:cs="宋体"/>
          <w:color w:val="auto"/>
          <w:szCs w:val="21"/>
          <w:highlight w:val="none"/>
          <w:lang w:val="zh-CN"/>
        </w:rPr>
        <w:t xml:space="preserve">投标报价超出预算的；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zh-CN"/>
        </w:rPr>
        <w:t xml:space="preserve">违反政府采购相关规定的；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w:t>
      </w:r>
      <w:r>
        <w:rPr>
          <w:rFonts w:hint="eastAsia" w:ascii="宋体" w:hAnsi="宋体" w:cs="宋体"/>
          <w:color w:val="auto"/>
          <w:szCs w:val="21"/>
          <w:highlight w:val="none"/>
          <w:lang w:val="zh-CN"/>
        </w:rPr>
        <w:t xml:space="preserve">未实质性响应采购文件要求的；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w:t>
      </w:r>
      <w:r>
        <w:rPr>
          <w:rFonts w:hint="eastAsia" w:ascii="宋体" w:hAnsi="宋体" w:cs="宋体"/>
          <w:color w:val="auto"/>
          <w:szCs w:val="21"/>
          <w:highlight w:val="none"/>
          <w:lang w:val="zh-CN"/>
        </w:rPr>
        <w:t xml:space="preserve">不符合法律、法规和招标文件规定的其他实质性要求的；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w:t>
      </w:r>
      <w:r>
        <w:rPr>
          <w:rFonts w:hint="eastAsia" w:ascii="宋体" w:hAnsi="宋体" w:cs="宋体"/>
          <w:color w:val="auto"/>
          <w:szCs w:val="21"/>
          <w:highlight w:val="none"/>
          <w:lang w:val="zh-CN"/>
        </w:rPr>
        <w:t xml:space="preserve">谈判小组认定的其他情形；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2.被认定为响应无效或无效文件的，采购代理机构应当将理由告知相关供应商。</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五、项目终止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1.出现下列情形之一的，采购人或者采购代理机构应当终止竞争性谈判采购活动，发布项目终止公告并说明原因，重新开展采购活动：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1.1因情况变化，不再符合规定的竞争性谈判采购方式适用情形的；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1.2出现影响采购公正的违法、违规行为的；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1.3在采购过程中符合竞争要求的供应商或者报价未超过采购预算的供应商不足三家的；</w:t>
      </w:r>
      <w:r/>
    </w:p>
    <w:p>
      <w:pPr>
        <w:ind w:firstLine="420"/>
        <w:spacing w:line="360" w:lineRule="auto"/>
        <w:rPr>
          <w:rFonts w:ascii="宋体" w:hAnsi="宋体" w:cs="宋体"/>
          <w:color w:val="auto"/>
          <w:szCs w:val="21"/>
          <w:highlight w:val="none"/>
        </w:rPr>
      </w:pPr>
      <w:r>
        <w:rPr>
          <w:rFonts w:hint="eastAsia" w:ascii="宋体" w:hAnsi="宋体" w:cs="宋体"/>
          <w:color w:val="auto"/>
          <w:highlight w:val="none"/>
        </w:rPr>
        <w:t xml:space="preserve">1.4谈判采购过程中，如遇到交易中心出现断电、断网或其他不可预见原因导致采购活动无法正常进行的。</w:t>
      </w:r>
      <w:r/>
    </w:p>
    <w:p>
      <w:pPr>
        <w:ind w:firstLine="420"/>
        <w:widowControl/>
        <w:rPr>
          <w:rStyle w:val="1064"/>
          <w:rFonts w:ascii="Calibri" w:hAnsi="Calibri"/>
          <w:color w:val="auto"/>
          <w:sz w:val="32"/>
          <w:szCs w:val="32"/>
          <w:highlight w:val="none"/>
        </w:rPr>
      </w:pPr>
      <w:r>
        <w:rPr>
          <w:rFonts w:hint="eastAsia" w:ascii="宋体" w:hAnsi="宋体" w:cs="宋体"/>
          <w:color w:val="auto"/>
          <w:szCs w:val="21"/>
          <w:highlight w:val="none"/>
        </w:rPr>
        <w:t xml:space="preserve">2.项目终止后，采购代理机构应当将项目终止的理由告知所有供应商</w:t>
      </w:r>
      <w:r>
        <w:rPr>
          <w:rFonts w:hint="eastAsia" w:ascii="宋体" w:hAnsi="宋体"/>
          <w:color w:val="auto"/>
          <w:szCs w:val="21"/>
          <w:highlight w:val="none"/>
        </w:rPr>
        <w:t xml:space="preserve">。</w:t>
      </w:r>
      <w:r>
        <w:rPr>
          <w:rStyle w:val="1064"/>
          <w:b w:val="0"/>
          <w:bCs w:val="0"/>
          <w:color w:val="auto"/>
          <w:sz w:val="32"/>
          <w:szCs w:val="32"/>
          <w:highlight w:val="none"/>
        </w:rPr>
        <w:br w:type="page" w:clear="all"/>
      </w:r>
      <w:bookmarkEnd w:id="12"/>
      <w:r/>
      <w:bookmarkEnd w:id="13"/>
      <w:r/>
      <w:r/>
    </w:p>
    <w:p>
      <w:pPr>
        <w:pStyle w:val="728"/>
        <w:jc w:val="center"/>
        <w:spacing w:line="240" w:lineRule="auto"/>
        <w:rPr>
          <w:rStyle w:val="1064"/>
          <w:b/>
          <w:bCs/>
          <w:color w:val="auto"/>
          <w:sz w:val="32"/>
          <w:szCs w:val="32"/>
          <w:highlight w:val="none"/>
        </w:rPr>
      </w:pPr>
      <w:r/>
      <w:bookmarkStart w:id="15" w:name="_Toc166488922"/>
      <w:r>
        <w:rPr>
          <w:rStyle w:val="1064"/>
          <w:rFonts w:hint="eastAsia"/>
          <w:b/>
          <w:bCs/>
          <w:color w:val="auto"/>
          <w:sz w:val="32"/>
          <w:szCs w:val="32"/>
          <w:highlight w:val="none"/>
        </w:rPr>
        <w:t xml:space="preserve">第五章 合同条款</w:t>
      </w:r>
      <w:bookmarkEnd w:id="15"/>
      <w:r/>
      <w:r/>
    </w:p>
    <w:p>
      <w:pPr>
        <w:ind w:firstLine="422"/>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采购单位（以下简称甲方）</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 xml:space="preserve">                     </w:t>
      </w:r>
      <w:r/>
    </w:p>
    <w:p>
      <w:pPr>
        <w:ind w:firstLine="422"/>
        <w:keepLines w:val="0"/>
        <w:keepNext w:val="0"/>
        <w:pageBreakBefore w:val="0"/>
        <w:spacing w:line="360" w:lineRule="auto"/>
        <w:widowControl w:val="off"/>
        <w:rPr>
          <w:rFonts w:hint="eastAsia" w:ascii="宋体" w:hAnsi="宋体" w:eastAsia="宋体" w:cs="宋体"/>
          <w:color w:val="auto"/>
          <w:szCs w:val="21"/>
          <w:highlight w:val="none"/>
          <w:u w:val="single"/>
        </w:rPr>
      </w:pPr>
      <w:r>
        <w:rPr>
          <w:rFonts w:hint="eastAsia" w:ascii="宋体" w:hAnsi="宋体" w:eastAsia="宋体" w:cs="宋体"/>
          <w:b/>
          <w:color w:val="auto"/>
          <w:szCs w:val="21"/>
          <w:highlight w:val="none"/>
        </w:rPr>
        <w:t xml:space="preserve">供应单位（以下简称乙方）</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 xml:space="preserve">                     </w:t>
      </w:r>
      <w:bookmarkStart w:id="16" w:name="_Toc13642118"/>
      <w:r/>
      <w:bookmarkStart w:id="17" w:name="_Toc13889378"/>
      <w:r/>
      <w:bookmarkStart w:id="18" w:name="_Toc166488923"/>
      <w:r/>
      <w:r/>
    </w:p>
    <w:p>
      <w:pPr>
        <w:ind w:left="0" w:firstLine="420"/>
        <w:jc w:val="both"/>
        <w:spacing w:line="360" w:lineRule="auto"/>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根据《</w:t>
      </w:r>
      <w:r>
        <w:rPr>
          <w:rFonts w:hint="default" w:ascii="宋体" w:hAnsi="宋体" w:eastAsia="宋体" w:cs="Times New Roman"/>
          <w:color w:val="auto"/>
          <w:sz w:val="21"/>
          <w:szCs w:val="21"/>
          <w:highlight w:val="none"/>
        </w:rPr>
        <w:t xml:space="preserve">中华人民共和国</w:t>
      </w:r>
      <w:r>
        <w:rPr>
          <w:rFonts w:hint="eastAsia" w:ascii="宋体" w:hAnsi="宋体" w:eastAsia="宋体" w:cs="Times New Roman"/>
          <w:color w:val="auto"/>
          <w:sz w:val="21"/>
          <w:szCs w:val="21"/>
          <w:highlight w:val="none"/>
        </w:rPr>
        <w:t xml:space="preserve">民法典》等有关法律法规，为明确采购单位（甲方）和服务单位（乙方）购销过程中的权利、义务和经济责任，双方遵循平等、自愿、公平和诚实信用原则，经友好协商，同意按照下面的条款和条件订立</w:t>
      </w:r>
      <w:r>
        <w:rPr>
          <w:rFonts w:hint="eastAsia" w:ascii="宋体" w:hAnsi="宋体" w:eastAsia="宋体" w:cs="Times New Roman"/>
          <w:color w:val="auto"/>
          <w:sz w:val="21"/>
          <w:szCs w:val="21"/>
          <w:highlight w:val="none"/>
          <w:u w:val="single"/>
        </w:rPr>
        <w:t xml:space="preserve"> 2026年度电子警察类交通设施维护项目 </w:t>
      </w:r>
      <w:r>
        <w:rPr>
          <w:rFonts w:hint="eastAsia" w:ascii="宋体" w:hAnsi="宋体" w:eastAsia="宋体" w:cs="Times New Roman"/>
          <w:color w:val="auto"/>
          <w:sz w:val="21"/>
          <w:szCs w:val="21"/>
          <w:highlight w:val="none"/>
        </w:rPr>
        <w:t xml:space="preserve">合同，以资共同遵守。</w:t>
      </w:r>
      <w:r/>
    </w:p>
    <w:p>
      <w:pPr>
        <w:ind w:firstLine="422"/>
        <w:spacing w:line="360" w:lineRule="auto"/>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一、定义：以下术语有特定的含义：</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服务是指根据合同规定乙方应承担</w:t>
      </w:r>
      <w:r>
        <w:rPr>
          <w:rFonts w:ascii="宋体" w:hAnsi="宋体" w:eastAsia="宋体" w:cs="Arial"/>
          <w:color w:val="auto"/>
          <w:szCs w:val="21"/>
          <w:highlight w:val="none"/>
        </w:rPr>
        <w:t xml:space="preserve">甲方管辖范围内的</w:t>
      </w:r>
      <w:r>
        <w:rPr>
          <w:rFonts w:hint="eastAsia" w:ascii="宋体" w:hAnsi="宋体" w:eastAsia="宋体" w:cs="Arial"/>
          <w:color w:val="auto"/>
          <w:szCs w:val="21"/>
          <w:highlight w:val="none"/>
        </w:rPr>
        <w:t xml:space="preserve">电子警察等设备的维护保养</w:t>
      </w:r>
      <w:r>
        <w:rPr>
          <w:rFonts w:hint="eastAsia" w:ascii="宋体" w:hAnsi="宋体" w:eastAsia="宋体" w:cs="Times New Roman"/>
          <w:color w:val="auto"/>
          <w:szCs w:val="21"/>
          <w:highlight w:val="none"/>
        </w:rPr>
        <w:t xml:space="preserve">和合同中规定乙方应承担的其它义务。</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合同价是指根据中标的投标文件和合同规定，乙方在正确地履行合同义务后甲方应支付给乙方的价款。</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甲方是指合同中明确规定的接受服务的单位。</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乙方是指合同中规定的提供服务的单位。</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损失是指合同一方因不履行合同义务而导致另一方及第三方的各种损失的费用，还包括守约方为减轻损失或维护权利而需支付的各种调查费用、车旅费用、律师费用等。</w:t>
      </w:r>
      <w:r/>
    </w:p>
    <w:p>
      <w:pPr>
        <w:ind w:firstLine="422"/>
        <w:spacing w:line="360" w:lineRule="auto"/>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二、合同内容</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1.项目编号：</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2.项目名称：2026年度电子警察类交通设施维护项目</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3.服务范围：昆山市中环范围内及框架道路的交通技术监控设施的新增及维护保养</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4.服务期限：壹年，自</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年</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月</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日起至</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年</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月</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日止</w:t>
      </w:r>
      <w:r>
        <w:rPr>
          <w:rFonts w:ascii="宋体" w:hAnsi="宋体" w:eastAsia="宋体" w:cs="Times New Roman"/>
          <w:color w:val="auto"/>
          <w:szCs w:val="21"/>
          <w:highlight w:val="none"/>
        </w:rPr>
        <w:t xml:space="preserve">。在协议有效期内一方不得擅自变更或中止此项协议，如未经双方同意，擅自变更或中止此项的一方要负违约责任。此项协议需终止或续签，应在协议期内提前</w:t>
      </w:r>
      <w:r>
        <w:rPr>
          <w:rFonts w:hint="eastAsia" w:ascii="宋体" w:hAnsi="宋体" w:eastAsia="宋体" w:cs="Times New Roman"/>
          <w:color w:val="auto"/>
          <w:szCs w:val="21"/>
          <w:highlight w:val="none"/>
        </w:rPr>
        <w:t xml:space="preserve">一</w:t>
      </w:r>
      <w:r>
        <w:rPr>
          <w:rFonts w:ascii="宋体" w:hAnsi="宋体" w:eastAsia="宋体" w:cs="Times New Roman"/>
          <w:color w:val="auto"/>
          <w:szCs w:val="21"/>
          <w:highlight w:val="none"/>
        </w:rPr>
        <w:t xml:space="preserve">个月</w:t>
      </w:r>
      <w:r>
        <w:rPr>
          <w:rFonts w:hint="eastAsia" w:ascii="宋体" w:hAnsi="宋体" w:eastAsia="宋体" w:cs="Times New Roman"/>
          <w:color w:val="auto"/>
          <w:szCs w:val="21"/>
          <w:highlight w:val="none"/>
        </w:rPr>
        <w:t xml:space="preserve">以书面形式</w:t>
      </w:r>
      <w:r>
        <w:rPr>
          <w:rFonts w:ascii="宋体" w:hAnsi="宋体" w:eastAsia="宋体" w:cs="Times New Roman"/>
          <w:color w:val="auto"/>
          <w:szCs w:val="21"/>
          <w:highlight w:val="none"/>
        </w:rPr>
        <w:t xml:space="preserve">通知对方。</w:t>
      </w:r>
      <w:r/>
    </w:p>
    <w:p>
      <w:pPr>
        <w:ind w:right="-178"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三、</w:t>
      </w:r>
      <w:r>
        <w:rPr>
          <w:rFonts w:hint="eastAsia" w:ascii="宋体" w:hAnsi="宋体" w:eastAsia="宋体" w:cs="Times New Roman"/>
          <w:b/>
          <w:color w:val="auto"/>
          <w:szCs w:val="21"/>
          <w:highlight w:val="none"/>
        </w:rPr>
        <w:t xml:space="preserve">成交折扣率：</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w:t>
      </w:r>
      <w:r>
        <w:rPr>
          <w:rFonts w:hint="eastAsia" w:ascii="宋体" w:hAnsi="宋体" w:eastAsia="宋体" w:cs="Arial"/>
          <w:b/>
          <w:color w:val="auto"/>
          <w:szCs w:val="21"/>
          <w:highlight w:val="none"/>
        </w:rPr>
        <w:t xml:space="preserve">合同金额暂</w:t>
      </w:r>
      <w:r>
        <w:rPr>
          <w:rFonts w:ascii="宋体" w:hAnsi="宋体" w:eastAsia="宋体" w:cs="Times New Roman"/>
          <w:b/>
          <w:color w:val="auto"/>
          <w:szCs w:val="21"/>
          <w:highlight w:val="none"/>
        </w:rPr>
        <w:t xml:space="preserve">按</w:t>
      </w:r>
      <w:r>
        <w:rPr>
          <w:rFonts w:hint="eastAsia" w:ascii="宋体" w:hAnsi="宋体" w:eastAsia="宋体" w:cs="Times New Roman"/>
          <w:b/>
          <w:color w:val="auto"/>
          <w:szCs w:val="21"/>
          <w:highlight w:val="none"/>
        </w:rPr>
        <w:t xml:space="preserve">项目预算金额签订，即</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b/>
          <w:color w:val="auto"/>
          <w:szCs w:val="21"/>
          <w:highlight w:val="none"/>
        </w:rPr>
        <w:t xml:space="preserve">元</w:t>
      </w:r>
      <w:r>
        <w:rPr>
          <w:rFonts w:hint="eastAsia" w:ascii="Times New Roman" w:hAnsi="宋体" w:eastAsia="宋体" w:cs="Times New Roman"/>
          <w:color w:val="auto"/>
          <w:szCs w:val="21"/>
          <w:highlight w:val="none"/>
        </w:rPr>
        <w:t xml:space="preserve">，</w:t>
      </w:r>
      <w:r>
        <w:rPr>
          <w:rFonts w:hint="eastAsia" w:ascii="宋体" w:hAnsi="宋体" w:eastAsia="宋体" w:cs="Times New Roman"/>
          <w:color w:val="auto"/>
          <w:szCs w:val="21"/>
          <w:highlight w:val="none"/>
        </w:rPr>
        <w:t xml:space="preserve">应包括完成本项工作所需的人工、材料、机械（设备）、管理、维护、售后服务、保险、利润、税金、政策性文件规定及合同包含的所有风险、责任等各项应有费用。</w:t>
      </w:r>
      <w:r/>
    </w:p>
    <w:p>
      <w:pPr>
        <w:ind w:firstLine="422"/>
        <w:spacing w:line="360" w:lineRule="auto"/>
        <w:rPr>
          <w:rFonts w:hint="eastAsia" w:ascii="宋体" w:hAnsi="宋体" w:eastAsia="宋体" w:cs="Times New Roman"/>
          <w:b/>
          <w:color w:val="auto"/>
          <w:szCs w:val="21"/>
          <w:highlight w:val="none"/>
          <w:lang w:eastAsia="zh-CN"/>
        </w:rPr>
      </w:pPr>
      <w:r>
        <w:rPr>
          <w:rFonts w:hint="eastAsia" w:ascii="宋体" w:hAnsi="宋体" w:eastAsia="宋体" w:cs="Times New Roman"/>
          <w:b/>
          <w:color w:val="auto"/>
          <w:szCs w:val="21"/>
          <w:highlight w:val="none"/>
        </w:rPr>
        <w:t xml:space="preserve">四、付款方式</w:t>
      </w:r>
      <w:r>
        <w:rPr>
          <w:rFonts w:hint="eastAsia" w:ascii="宋体" w:hAnsi="宋体" w:eastAsia="宋体" w:cs="Times New Roman"/>
          <w:b/>
          <w:color w:val="auto"/>
          <w:szCs w:val="21"/>
          <w:highlight w:val="none"/>
          <w:lang w:eastAsia="zh-CN"/>
        </w:rPr>
        <w:t xml:space="preserve">：合同签订后支付合同金额10%作为预付款。</w:t>
      </w:r>
      <w:r/>
    </w:p>
    <w:p>
      <w:pPr>
        <w:pStyle w:val="739"/>
        <w:ind w:firstLine="420"/>
        <w:keepLines w:val="0"/>
        <w:keepNext w:val="0"/>
        <w:pageBreakBefore w:val="0"/>
        <w:spacing w:line="360" w:lineRule="auto"/>
        <w:widowControl/>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1、监理单位、昆山市公安局(交通管理大队)对维护方提出的维护服务项目工程</w:t>
      </w:r>
      <w:r>
        <w:rPr>
          <w:rFonts w:hint="eastAsia" w:hAnsi="宋体" w:cs="Times New Roman"/>
          <w:color w:val="auto"/>
          <w:szCs w:val="21"/>
          <w:highlight w:val="none"/>
          <w:lang w:val="en-US" w:eastAsia="zh-CN"/>
        </w:rPr>
        <w:t xml:space="preserve">量</w:t>
      </w:r>
      <w:r>
        <w:rPr>
          <w:rFonts w:hint="eastAsia" w:ascii="宋体" w:hAnsi="宋体" w:eastAsia="宋体" w:cs="Times New Roman"/>
          <w:color w:val="auto"/>
          <w:szCs w:val="21"/>
          <w:highlight w:val="none"/>
        </w:rPr>
        <w:t xml:space="preserve">进行复查及签字确认，并作为维护方向昆山市公安局(交通管理大队)结算费用的有效凭证。</w:t>
      </w:r>
      <w:r/>
    </w:p>
    <w:p>
      <w:pPr>
        <w:pStyle w:val="739"/>
        <w:ind w:firstLine="420"/>
        <w:keepLines w:val="0"/>
        <w:keepNext w:val="0"/>
        <w:pageBreakBefore w:val="0"/>
        <w:spacing w:line="360" w:lineRule="auto"/>
        <w:widowControl/>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2、维护服务工程里以监理单位、昆山市公安局(交通管理大队)确认工程量为准，维护全额按维护项目限价*投标下浮率结算，以每季度为一审计单元。</w:t>
      </w:r>
      <w:r/>
    </w:p>
    <w:p>
      <w:pPr>
        <w:pStyle w:val="739"/>
        <w:ind w:firstLine="420"/>
        <w:keepLines w:val="0"/>
        <w:keepNext w:val="0"/>
        <w:pageBreakBefore w:val="0"/>
        <w:spacing w:line="360" w:lineRule="auto"/>
        <w:widowControl/>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3、昆山市公安局(交通管理大队)以每季度为结算单位向维护方支付费用;每季度结付金额=每季度维护服务评定审核金额-当期应扣罚金额;</w:t>
      </w:r>
      <w:r/>
    </w:p>
    <w:p>
      <w:pPr>
        <w:pStyle w:val="739"/>
        <w:ind w:firstLine="420"/>
        <w:keepLines w:val="0"/>
        <w:keepNext w:val="0"/>
        <w:pageBreakBefore w:val="0"/>
        <w:spacing w:line="360" w:lineRule="auto"/>
        <w:widowControl/>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4、支付维护服务费用根据财政相关要求执行。</w:t>
      </w:r>
      <w:r/>
    </w:p>
    <w:p>
      <w:pPr>
        <w:pStyle w:val="739"/>
        <w:ind w:firstLine="420"/>
        <w:keepLines w:val="0"/>
        <w:keepNext w:val="0"/>
        <w:pageBreakBefore w:val="0"/>
        <w:spacing w:line="360" w:lineRule="auto"/>
        <w:widowControl/>
        <w:rPr>
          <w:color w:val="auto"/>
          <w:highlight w:val="none"/>
        </w:rPr>
      </w:pPr>
      <w:r>
        <w:rPr>
          <w:rFonts w:hint="eastAsia" w:ascii="宋体" w:hAnsi="宋体" w:eastAsia="宋体" w:cs="Times New Roman"/>
          <w:color w:val="auto"/>
          <w:szCs w:val="21"/>
          <w:highlight w:val="none"/>
        </w:rPr>
        <w:t xml:space="preserve">5、每次付款前，维护服务商应当向甲方提供等额的增值税专用发票。如果维护服务商未提供合格发票，甲方有权拒绝付款。</w:t>
      </w:r>
      <w:r/>
    </w:p>
    <w:p>
      <w:pPr>
        <w:ind w:firstLine="422"/>
        <w:spacing w:line="360" w:lineRule="auto"/>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五、履约保证金 </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1.在签署本合同之前，乙方应向甲方提交一笔金额为</w:t>
      </w:r>
      <w:r>
        <w:rPr>
          <w:rFonts w:hint="eastAsia" w:ascii="宋体" w:hAnsi="宋体" w:eastAsia="宋体" w:cs="Times New Roman"/>
          <w:b/>
          <w:color w:val="auto"/>
          <w:szCs w:val="21"/>
          <w:highlight w:val="none"/>
        </w:rPr>
        <w:t xml:space="preserve">3</w:t>
      </w:r>
      <w:r>
        <w:rPr>
          <w:rFonts w:ascii="宋体" w:hAnsi="宋体" w:eastAsia="宋体" w:cs="Times New Roman"/>
          <w:b/>
          <w:color w:val="auto"/>
          <w:szCs w:val="21"/>
          <w:highlight w:val="none"/>
        </w:rPr>
        <w:t xml:space="preserve">0000</w:t>
      </w:r>
      <w:r>
        <w:rPr>
          <w:rFonts w:hint="eastAsia" w:ascii="宋体" w:hAnsi="宋体" w:eastAsia="宋体" w:cs="Times New Roman"/>
          <w:b/>
          <w:color w:val="auto"/>
          <w:szCs w:val="21"/>
          <w:highlight w:val="none"/>
        </w:rPr>
        <w:t xml:space="preserve">元</w:t>
      </w:r>
      <w:r>
        <w:rPr>
          <w:rFonts w:hint="eastAsia" w:ascii="宋体" w:hAnsi="宋体" w:eastAsia="宋体" w:cs="Times New Roman"/>
          <w:color w:val="auto"/>
          <w:szCs w:val="21"/>
          <w:highlight w:val="none"/>
        </w:rPr>
        <w:t xml:space="preserve">的履约保证金，如果乙方未能履行合同规定的任何义务，甲方有权从履约保证金中取得补偿，履约保证金（无息）将在乙方履行完合同义务，无质量异议后退还。</w:t>
      </w:r>
      <w:r/>
    </w:p>
    <w:p>
      <w:pPr>
        <w:ind w:firstLine="420"/>
        <w:spacing w:line="360" w:lineRule="auto"/>
        <w:rPr>
          <w:rFonts w:ascii="宋体" w:hAnsi="宋体" w:eastAsia="宋体" w:cs="Times New Roman"/>
          <w:b/>
          <w:color w:val="auto"/>
          <w:szCs w:val="21"/>
          <w:highlight w:val="none"/>
        </w:rPr>
      </w:pPr>
      <w:r>
        <w:rPr>
          <w:rFonts w:hint="eastAsia" w:ascii="宋体" w:hAnsi="宋体" w:eastAsia="宋体" w:cs="Times New Roman"/>
          <w:color w:val="auto"/>
          <w:szCs w:val="21"/>
          <w:highlight w:val="none"/>
        </w:rPr>
        <w:t xml:space="preserve">2.履约保证金</w:t>
      </w:r>
      <w:r>
        <w:rPr>
          <w:rFonts w:ascii="宋体" w:hAnsi="宋体" w:eastAsia="宋体" w:cs="宋体"/>
          <w:color w:val="auto"/>
          <w:szCs w:val="21"/>
          <w:highlight w:val="none"/>
        </w:rPr>
        <w:t xml:space="preserve">应当</w:t>
      </w:r>
      <w:r>
        <w:rPr>
          <w:rFonts w:hint="eastAsia" w:ascii="宋体" w:hAnsi="宋体" w:eastAsia="宋体" w:cs="Times New Roman"/>
          <w:color w:val="auto"/>
          <w:szCs w:val="21"/>
          <w:highlight w:val="none"/>
        </w:rPr>
        <w:t xml:space="preserve">以支票、汇票、本票或者金融机构、担保机构出具的保函、银行转账</w:t>
      </w:r>
      <w:r>
        <w:rPr>
          <w:rFonts w:ascii="宋体" w:hAnsi="宋体" w:eastAsia="宋体" w:cs="宋体"/>
          <w:color w:val="auto"/>
          <w:szCs w:val="21"/>
          <w:highlight w:val="none"/>
        </w:rPr>
        <w:t xml:space="preserve">等非现金形式提交</w:t>
      </w:r>
      <w:r>
        <w:rPr>
          <w:rFonts w:hint="eastAsia" w:ascii="宋体" w:hAnsi="宋体" w:eastAsia="宋体" w:cs="宋体"/>
          <w:color w:val="auto"/>
          <w:szCs w:val="21"/>
          <w:highlight w:val="none"/>
        </w:rPr>
        <w:t xml:space="preserve">，</w:t>
      </w:r>
      <w:r>
        <w:rPr>
          <w:rFonts w:hint="eastAsia" w:ascii="宋体" w:hAnsi="宋体" w:eastAsia="宋体" w:cs="Times New Roman"/>
          <w:color w:val="auto"/>
          <w:szCs w:val="21"/>
          <w:highlight w:val="none"/>
        </w:rPr>
        <w:t xml:space="preserve">乙方提交履约保证金所需的有关费用均由其自行负担。</w:t>
      </w:r>
      <w:r/>
    </w:p>
    <w:p>
      <w:pPr>
        <w:ind w:firstLine="422"/>
        <w:spacing w:line="360" w:lineRule="auto"/>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六、甲乙双方的权利和义务 </w:t>
      </w:r>
      <w:r/>
    </w:p>
    <w:p>
      <w:pPr>
        <w:ind w:firstLine="420"/>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rPr>
        <w:t xml:space="preserve">甲方依据本次招标内容将管理的电子警察类交通设施委托乙方进行安全管理及日常巡查维护。</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2.甲方有权统筹安排乙方的具体工作内容。</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3.乙方应按本次招标内容及相关技术标准和管理要求对甲方委托的项目进行安全管理及日常维护修理，并建立基础设施台账、巡查台账、维护台账、安全施工作业培训台账等其它相关台账。</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4.乙方对委托项目进行安全管理中，发现有损坏戓不符合规范要求的，应及时向甲方管理人员报告，按照维护服务流程进行规范的维护修理。</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5.甲方根据年度计划或工作安排需实施的电子警察类交通设施维护修理，在遵循政府采购戓招标的工作要求下，经审批后按维护修理内容通知乙方实施完成。</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6.乙方对委托项目落实管理中发现轻微的故障应立即排除；限制性故障修理须2小时内排除；严重的故障修理须12小时内排除；紧急的故障修理不得超过48小时。如设备损坏严重无法修复，应在甲方许可下用相关产品替代完成。</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7.乙方应根据甲方及监督检查单位的要求对项目实施过程中产生的废旧设备进行登记造册，并提供无偿妥善保管，甲方将根据实际情况组织对废旧设备进行处置，乙方应无条件服从甲方安排并提供相应的工作便利。如乙方在保管期间对废旧设备保管不善的，应承担相应赔偿责任。</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8、合同终止后甲方应在六个月内将保存在乙方的废旧设备进行转场，如逾期转场的甲方应承担六个月之后的保管费用。</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9、乙方应执行国家有关规定（如昆山最低工资标准和其他规定），负责乙方员工的生病、事故、伤残、死亡和劳务纠纷，甲方不承担任何相关责任。</w:t>
      </w:r>
      <w:r/>
    </w:p>
    <w:p>
      <w:pPr>
        <w:ind w:firstLine="422"/>
        <w:spacing w:line="360" w:lineRule="auto"/>
        <w:rPr>
          <w:rFonts w:ascii="Times New Roman" w:hAnsi="Times New Roman" w:eastAsia="宋体" w:cs="Times New Roman"/>
          <w:color w:val="auto"/>
          <w:szCs w:val="21"/>
          <w:highlight w:val="none"/>
        </w:rPr>
      </w:pPr>
      <w:r>
        <w:rPr>
          <w:rFonts w:hint="eastAsia" w:ascii="宋体" w:hAnsi="宋体" w:eastAsia="宋体" w:cs="Times New Roman"/>
          <w:color w:val="auto"/>
          <w:szCs w:val="21"/>
          <w:highlight w:val="none"/>
        </w:rPr>
        <w:t xml:space="preserve">10、乙方负有对自己员工的安全责任，甲方不承担任何相关责任。</w:t>
      </w:r>
      <w:r/>
    </w:p>
    <w:p>
      <w:pPr>
        <w:ind w:firstLine="422"/>
        <w:spacing w:line="360" w:lineRule="auto"/>
        <w:rPr>
          <w:rFonts w:hint="eastAsia" w:ascii="宋体" w:hAnsi="宋体" w:eastAsia="宋体" w:cs="宋体"/>
          <w:b/>
          <w:color w:val="auto"/>
          <w:highlight w:val="none"/>
        </w:rPr>
      </w:pPr>
      <w:r>
        <w:rPr>
          <w:rFonts w:hint="eastAsia" w:ascii="Times New Roman" w:hAnsi="Times New Roman" w:eastAsia="宋体" w:cs="Times New Roman"/>
          <w:b/>
          <w:color w:val="auto"/>
          <w:highlight w:val="none"/>
        </w:rPr>
        <w:t xml:space="preserve">七、</w:t>
      </w:r>
      <w:r>
        <w:rPr>
          <w:rFonts w:hint="eastAsia" w:ascii="宋体" w:hAnsi="宋体" w:eastAsia="宋体" w:cs="宋体"/>
          <w:b/>
          <w:color w:val="auto"/>
          <w:highlight w:val="none"/>
        </w:rPr>
        <w:t xml:space="preserve">考核详规</w:t>
      </w:r>
      <w:r/>
    </w:p>
    <w:p>
      <w:pPr>
        <w:ind w:firstLine="422"/>
        <w:spacing w:line="360" w:lineRule="auto"/>
        <w:rPr>
          <w:rFonts w:hint="eastAsia" w:ascii="宋体" w:hAnsi="宋体" w:eastAsia="宋体" w:cs="Times New Roman"/>
          <w:color w:val="auto"/>
          <w:szCs w:val="28"/>
          <w:highlight w:val="none"/>
        </w:rPr>
      </w:pPr>
      <w:r>
        <w:rPr>
          <w:rFonts w:hint="eastAsia" w:ascii="宋体" w:hAnsi="宋体" w:eastAsia="宋体" w:cs="Times New Roman"/>
          <w:color w:val="auto"/>
          <w:szCs w:val="28"/>
          <w:highlight w:val="none"/>
          <w:lang w:val="en-US" w:eastAsia="zh-CN"/>
        </w:rPr>
        <w:t xml:space="preserve">1、</w:t>
      </w:r>
      <w:r>
        <w:rPr>
          <w:rFonts w:hint="eastAsia" w:ascii="宋体" w:hAnsi="宋体" w:eastAsia="宋体" w:cs="Times New Roman"/>
          <w:color w:val="auto"/>
          <w:szCs w:val="28"/>
          <w:highlight w:val="none"/>
        </w:rPr>
        <w:t xml:space="preserve">维护方接到电子警察类交通设施维护指令后，未在30分钟内到达现场开展有效工作的（因客观原因造成的，并经昆山市公安局（交通管理大队）认可的除外），每次扣罚200元；</w:t>
      </w:r>
      <w:r/>
    </w:p>
    <w:p>
      <w:pPr>
        <w:ind w:firstLine="422"/>
        <w:spacing w:line="360" w:lineRule="auto"/>
        <w:rPr>
          <w:rFonts w:hint="eastAsia" w:ascii="宋体" w:hAnsi="宋体" w:eastAsia="宋体" w:cs="Times New Roman"/>
          <w:color w:val="auto"/>
          <w:szCs w:val="28"/>
          <w:highlight w:val="none"/>
        </w:rPr>
      </w:pPr>
      <w:r>
        <w:rPr>
          <w:rFonts w:hint="eastAsia" w:ascii="宋体" w:hAnsi="宋体" w:eastAsia="宋体" w:cs="Times New Roman"/>
          <w:color w:val="auto"/>
          <w:szCs w:val="28"/>
          <w:highlight w:val="none"/>
          <w:lang w:val="en-US" w:eastAsia="zh-CN"/>
        </w:rPr>
        <w:t xml:space="preserve">2、</w:t>
      </w:r>
      <w:r>
        <w:rPr>
          <w:rFonts w:hint="eastAsia" w:ascii="宋体" w:hAnsi="宋体" w:eastAsia="宋体" w:cs="Times New Roman"/>
          <w:color w:val="auto"/>
          <w:szCs w:val="28"/>
          <w:highlight w:val="none"/>
        </w:rPr>
        <w:t xml:space="preserve">维护方接到电子警察类交通设施维护指令后，忘记维修或不去维修的（接到维护指令后24小时内未到现场开展有效工作的），每次扣罚2000元，因维修不及时引发道路交通事故或其他人身及财产损失，由维护方承担全部责任；</w:t>
      </w:r>
      <w:r/>
    </w:p>
    <w:p>
      <w:pPr>
        <w:ind w:firstLine="422"/>
        <w:spacing w:line="360" w:lineRule="auto"/>
        <w:rPr>
          <w:rFonts w:hint="eastAsia" w:ascii="宋体" w:hAnsi="宋体" w:eastAsia="宋体" w:cs="Times New Roman"/>
          <w:color w:val="auto"/>
          <w:szCs w:val="28"/>
          <w:highlight w:val="none"/>
        </w:rPr>
      </w:pPr>
      <w:r>
        <w:rPr>
          <w:rFonts w:hint="eastAsia" w:ascii="宋体" w:hAnsi="宋体" w:eastAsia="宋体" w:cs="Times New Roman"/>
          <w:color w:val="auto"/>
          <w:szCs w:val="28"/>
          <w:highlight w:val="none"/>
          <w:lang w:val="en-US" w:eastAsia="zh-CN"/>
        </w:rPr>
        <w:t xml:space="preserve">3、</w:t>
      </w:r>
      <w:r>
        <w:rPr>
          <w:rFonts w:hint="eastAsia" w:ascii="宋体" w:hAnsi="宋体" w:eastAsia="宋体" w:cs="Times New Roman"/>
          <w:color w:val="auto"/>
          <w:szCs w:val="28"/>
          <w:highlight w:val="none"/>
        </w:rPr>
        <w:t xml:space="preserve">维护方因客观原因无法及时对电子警察类交通设施故障进行修复，未采取相应的临时措施，且未向昆山市公安局（交通管理大队）汇报，导致设施隐患一直存在的，每次扣罚1000元，若由此引发道路交通事故或其他人身及财产损失，由维护方承担全部责任；</w:t>
      </w:r>
      <w:r/>
    </w:p>
    <w:p>
      <w:pPr>
        <w:ind w:firstLine="422"/>
        <w:spacing w:line="360" w:lineRule="auto"/>
        <w:rPr>
          <w:rFonts w:hint="eastAsia" w:ascii="宋体" w:hAnsi="宋体" w:eastAsia="宋体" w:cs="Times New Roman"/>
          <w:color w:val="auto"/>
          <w:szCs w:val="28"/>
          <w:highlight w:val="none"/>
        </w:rPr>
      </w:pPr>
      <w:r>
        <w:rPr>
          <w:rFonts w:hint="eastAsia" w:ascii="宋体" w:hAnsi="宋体" w:eastAsia="宋体" w:cs="Times New Roman"/>
          <w:color w:val="auto"/>
          <w:szCs w:val="28"/>
          <w:highlight w:val="none"/>
          <w:lang w:val="en-US" w:eastAsia="zh-CN"/>
        </w:rPr>
        <w:t xml:space="preserve">4、</w:t>
      </w:r>
      <w:r>
        <w:rPr>
          <w:rFonts w:hint="eastAsia" w:ascii="宋体" w:hAnsi="宋体" w:eastAsia="宋体" w:cs="Times New Roman"/>
          <w:color w:val="auto"/>
          <w:szCs w:val="28"/>
          <w:highlight w:val="none"/>
        </w:rPr>
        <w:t xml:space="preserve">维护方应加强对电子警察类交通设施的日常巡检工作，发现问题及时反馈处理，确保设施正常使用。若电子警察故障已存在24小时以上而维护方未发现或未排除设施故障，每次扣罚100元；</w:t>
      </w:r>
      <w:r/>
    </w:p>
    <w:p>
      <w:pPr>
        <w:ind w:firstLine="422"/>
        <w:spacing w:line="360" w:lineRule="auto"/>
        <w:rPr>
          <w:rFonts w:hint="eastAsia" w:ascii="宋体" w:hAnsi="宋体" w:eastAsia="宋体" w:cs="Times New Roman"/>
          <w:color w:val="auto"/>
          <w:szCs w:val="28"/>
          <w:highlight w:val="none"/>
        </w:rPr>
      </w:pPr>
      <w:r>
        <w:rPr>
          <w:rFonts w:hint="eastAsia" w:ascii="宋体" w:hAnsi="宋体" w:eastAsia="宋体" w:cs="Times New Roman"/>
          <w:color w:val="auto"/>
          <w:szCs w:val="28"/>
          <w:highlight w:val="none"/>
          <w:lang w:val="en-US" w:eastAsia="zh-CN"/>
        </w:rPr>
        <w:t xml:space="preserve">5、</w:t>
      </w:r>
      <w:r>
        <w:rPr>
          <w:rFonts w:hint="eastAsia" w:ascii="宋体" w:hAnsi="宋体" w:eastAsia="宋体" w:cs="Times New Roman"/>
          <w:color w:val="auto"/>
          <w:szCs w:val="28"/>
          <w:highlight w:val="none"/>
        </w:rPr>
        <w:t xml:space="preserve">维护方违反规定在早晚高峰期间进行施工作业（除抢修项目外），影响道路交通正常通行或造成交通拥堵的，每次扣罚200元。经交通执勤人员劝阻后，不服指挥继续施工作业的，每次扣罚500元。</w:t>
      </w:r>
      <w:r/>
    </w:p>
    <w:p>
      <w:pPr>
        <w:ind w:firstLine="422"/>
        <w:spacing w:line="360" w:lineRule="auto"/>
        <w:rPr>
          <w:rFonts w:hint="eastAsia" w:ascii="宋体" w:hAnsi="宋体" w:eastAsia="宋体" w:cs="Times New Roman"/>
          <w:color w:val="auto"/>
          <w:szCs w:val="28"/>
          <w:highlight w:val="none"/>
        </w:rPr>
      </w:pPr>
      <w:r>
        <w:rPr>
          <w:rFonts w:hint="eastAsia" w:ascii="宋体" w:hAnsi="宋体" w:eastAsia="宋体" w:cs="Times New Roman"/>
          <w:color w:val="auto"/>
          <w:szCs w:val="28"/>
          <w:highlight w:val="none"/>
          <w:lang w:val="en-US" w:eastAsia="zh-CN"/>
        </w:rPr>
        <w:t xml:space="preserve">6、</w:t>
      </w:r>
      <w:r>
        <w:rPr>
          <w:rFonts w:hint="eastAsia" w:ascii="宋体" w:hAnsi="宋体" w:eastAsia="宋体" w:cs="Times New Roman"/>
          <w:color w:val="auto"/>
          <w:szCs w:val="28"/>
          <w:highlight w:val="none"/>
        </w:rPr>
        <w:t xml:space="preserve">维护方不按实际维修情况，虚报、谎报维修清单及工程量的，经查实，每次扣罚10000元；</w:t>
      </w:r>
      <w:r/>
    </w:p>
    <w:p>
      <w:pPr>
        <w:ind w:firstLine="422"/>
        <w:spacing w:line="360" w:lineRule="auto"/>
        <w:rPr>
          <w:rFonts w:hint="eastAsia" w:ascii="宋体" w:hAnsi="宋体" w:eastAsia="宋体" w:cs="Times New Roman"/>
          <w:color w:val="auto"/>
          <w:szCs w:val="28"/>
          <w:highlight w:val="none"/>
          <w:lang w:eastAsia="zh-CN"/>
        </w:rPr>
      </w:pPr>
      <w:r>
        <w:rPr>
          <w:rFonts w:hint="eastAsia" w:ascii="宋体" w:hAnsi="宋体" w:eastAsia="宋体" w:cs="Times New Roman"/>
          <w:color w:val="auto"/>
          <w:szCs w:val="28"/>
          <w:highlight w:val="none"/>
          <w:lang w:val="en-US" w:eastAsia="zh-CN"/>
        </w:rPr>
        <w:t xml:space="preserve">7、</w:t>
      </w:r>
      <w:r>
        <w:rPr>
          <w:rFonts w:hint="eastAsia" w:ascii="宋体" w:hAnsi="宋体" w:eastAsia="宋体" w:cs="Times New Roman"/>
          <w:color w:val="auto"/>
          <w:szCs w:val="28"/>
          <w:highlight w:val="none"/>
        </w:rPr>
        <w:t xml:space="preserve">维护方违反操作规程，导致人为增加实际工程量的，经查实，每次扣罚10000元</w:t>
      </w:r>
      <w:r>
        <w:rPr>
          <w:rFonts w:hint="eastAsia" w:ascii="宋体" w:hAnsi="宋体" w:eastAsia="宋体" w:cs="Times New Roman"/>
          <w:color w:val="auto"/>
          <w:szCs w:val="28"/>
          <w:highlight w:val="none"/>
          <w:lang w:eastAsia="zh-CN"/>
        </w:rPr>
        <w:t xml:space="preserve">；</w:t>
      </w:r>
      <w:r/>
    </w:p>
    <w:p>
      <w:pPr>
        <w:ind w:firstLine="422"/>
        <w:spacing w:line="360" w:lineRule="auto"/>
        <w:rPr>
          <w:rFonts w:hint="eastAsia" w:ascii="宋体" w:hAnsi="宋体" w:eastAsia="宋体" w:cs="Times New Roman"/>
          <w:color w:val="auto"/>
          <w:szCs w:val="28"/>
          <w:highlight w:val="none"/>
        </w:rPr>
      </w:pPr>
      <w:r>
        <w:rPr>
          <w:rFonts w:hint="eastAsia" w:ascii="宋体" w:hAnsi="宋体" w:eastAsia="宋体" w:cs="Times New Roman"/>
          <w:color w:val="auto"/>
          <w:szCs w:val="28"/>
          <w:highlight w:val="none"/>
          <w:lang w:val="en-US" w:eastAsia="zh-CN"/>
        </w:rPr>
        <w:t xml:space="preserve">8、</w:t>
      </w:r>
      <w:r>
        <w:rPr>
          <w:rFonts w:hint="eastAsia" w:ascii="宋体" w:hAnsi="宋体" w:eastAsia="宋体" w:cs="Times New Roman"/>
          <w:color w:val="auto"/>
          <w:szCs w:val="28"/>
          <w:highlight w:val="none"/>
        </w:rPr>
        <w:t xml:space="preserve">除上述情况外，维护方违反招标文件中的其他规定的，每发现一次，扣罚200元，不设上限；</w:t>
      </w:r>
      <w:r/>
    </w:p>
    <w:p>
      <w:pPr>
        <w:ind w:firstLine="422"/>
        <w:spacing w:line="360" w:lineRule="auto"/>
        <w:rPr>
          <w:color w:val="auto"/>
          <w:highlight w:val="none"/>
        </w:rPr>
      </w:pPr>
      <w:r>
        <w:rPr>
          <w:rFonts w:hint="eastAsia" w:ascii="宋体" w:hAnsi="宋体" w:eastAsia="宋体" w:cs="Times New Roman"/>
          <w:color w:val="auto"/>
          <w:szCs w:val="28"/>
          <w:highlight w:val="none"/>
          <w:lang w:val="en-US" w:eastAsia="zh-CN"/>
        </w:rPr>
        <w:t xml:space="preserve">9、</w:t>
      </w:r>
      <w:r>
        <w:rPr>
          <w:rFonts w:hint="eastAsia" w:ascii="宋体" w:hAnsi="宋体" w:eastAsia="宋体" w:cs="Times New Roman"/>
          <w:color w:val="auto"/>
          <w:szCs w:val="28"/>
          <w:highlight w:val="none"/>
        </w:rPr>
        <w:t xml:space="preserve">多次违反上述规定的，且维护方整改不力的，昆山市公安局（交通管理大队）有权要求维护方停业整顿或终止合同。</w:t>
      </w:r>
      <w:r/>
    </w:p>
    <w:p>
      <w:pPr>
        <w:ind w:firstLine="422"/>
        <w:spacing w:line="360" w:lineRule="auto"/>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八、索赔</w:t>
      </w:r>
      <w:r/>
    </w:p>
    <w:p>
      <w:pPr>
        <w:ind w:right="26" w:firstLine="412"/>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1.在合同生效后，无正当理由甲方要求解除合同的，应向乙方偿付合同总价款1%的违约金，违约金不足以补偿损失的，乙方有权要求甲方补足。</w:t>
      </w:r>
      <w:r/>
    </w:p>
    <w:p>
      <w:pPr>
        <w:ind w:right="26" w:firstLine="412"/>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2.甲方无正当理由或乙方先行催告逾期付款的，应按照逾期付款金额的每天万分之一支付逾期付款违约金。</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w:t>
      </w:r>
      <w:r>
        <w:rPr>
          <w:rFonts w:ascii="宋体" w:hAnsi="宋体" w:eastAsia="宋体" w:cs="Times New Roman"/>
          <w:color w:val="auto"/>
          <w:szCs w:val="21"/>
          <w:highlight w:val="none"/>
        </w:rPr>
        <w:t xml:space="preserve">.</w:t>
      </w:r>
      <w:r>
        <w:rPr>
          <w:rFonts w:hint="eastAsia" w:ascii="宋体" w:hAnsi="宋体" w:eastAsia="宋体" w:cs="Times New Roman"/>
          <w:color w:val="auto"/>
          <w:szCs w:val="21"/>
          <w:highlight w:val="none"/>
        </w:rPr>
        <w:t xml:space="preserve">乙方未按合同规定的质量要求提供服务，不能在约定的时间内完成合同时，甲方有权解除合同，并从应付货款或从乙方提交的履约保证金中扣除合同总价款1%作为违约金。</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4.乙方因违反合同及招标文件其他应尽义务的，甲方有权根据乙方违约程度要求乙方支付相当于合同总价款20</w:t>
      </w:r>
      <w:r>
        <w:rPr>
          <w:rFonts w:ascii="宋体" w:hAnsi="宋体" w:eastAsia="宋体" w:cs="Times New Roman"/>
          <w:color w:val="auto"/>
          <w:szCs w:val="21"/>
          <w:highlight w:val="none"/>
        </w:rPr>
        <w:t xml:space="preserve">%的违约金。</w:t>
      </w:r>
      <w:r>
        <w:rPr>
          <w:rFonts w:hint="eastAsia" w:ascii="宋体" w:hAnsi="宋体" w:eastAsia="宋体" w:cs="Times New Roman"/>
          <w:color w:val="auto"/>
          <w:szCs w:val="21"/>
          <w:highlight w:val="none"/>
        </w:rPr>
        <w:t xml:space="preserve">如违约金不足弥补甲方损失的，由乙方另行支付，由此引起的后果，甲方保留进一步追索的权利。</w:t>
      </w:r>
      <w:r/>
    </w:p>
    <w:p>
      <w:pPr>
        <w:ind w:firstLine="422"/>
        <w:spacing w:line="360" w:lineRule="auto"/>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九、履约延误 </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1.乙方应按照合同规定的期限、地点提供服务；甲方应按照合同规定的期限、地点接受服务。</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2.如果乙方无正当理由拖延提供服务，将受到以下制裁：加收误期赔偿费（每日按合同总价款万分之五计算）、终止合同；如果甲方无正当理由拖延接受服务，应承担相应责任。</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在履行合同过程中，如果乙方遇到可能妨碍其按时提供服务的情况，或者甲方遇到可能妨碍其按时接受服务的情况，应及时以书面形式将拖延的事实，可能拖延的期限和理由通知对方。甲方（或乙方）在收到乙方（或甲方）通知后，应尽快对情况进行评估，并确定是否通过修改合同，酌情延期提供服务，或者终止合同。</w:t>
      </w:r>
      <w:r/>
    </w:p>
    <w:p>
      <w:pPr>
        <w:ind w:firstLine="422"/>
        <w:spacing w:line="360" w:lineRule="auto"/>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十、不可抗力</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2.本条所述的“不可抗力”系指那些双方无法控制，不可预见的事件，但不包括双方的违约或疏忽。这些事件包括但不限于：战争、严重火灾、洪水、台风、地震以及其它双方商定的事件。 </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2"/>
        <w:spacing w:line="360" w:lineRule="auto"/>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十一、争端的解决 </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1.甲方和乙方应通过友好协商，解决在执行本合同过程中所发生的或与本合同有关的一切争端。如从协商开始十天内仍不能解决，可向有关合同管理部门提请调解。 </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2.如果调解不成，双方中的任何一方可向甲方所在地人民法院提起诉讼。</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3.诉讼费由败诉方负担。</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4.因合同部分履行引发诉讼的，在诉讼期间，除正在进行诉讼的部分外，本合同的其它部分应继续执行。 </w:t>
      </w:r>
      <w:r/>
    </w:p>
    <w:p>
      <w:pPr>
        <w:ind w:firstLine="422"/>
        <w:spacing w:line="360" w:lineRule="auto"/>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十二、政府采购法对政府采购合同变更终止的规定</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firstLine="422"/>
        <w:spacing w:line="360" w:lineRule="auto"/>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十三、合同转让和分包</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乙方必须自己完成合同内容，不得自行分包，否则，甲方有权按乙方不能完成合同处理；乙方需要分包的都必须事先在投标文件中明确单位承担和承担单位的情况介绍。如在合同履行过程中，乙方将未事先分包的项目转包或分包给第三人的，甲方有权单方解除合同，并要求乙方承担合同总价款20%的违约金。</w:t>
      </w:r>
      <w:r/>
    </w:p>
    <w:p>
      <w:pPr>
        <w:ind w:firstLine="422"/>
        <w:spacing w:line="360" w:lineRule="auto"/>
        <w:rPr>
          <w:rFonts w:ascii="宋体" w:hAnsi="宋体" w:eastAsia="宋体" w:cs="Times New Roman"/>
          <w:color w:val="auto"/>
          <w:szCs w:val="21"/>
          <w:highlight w:val="none"/>
        </w:rPr>
      </w:pPr>
      <w:r>
        <w:rPr>
          <w:rFonts w:hint="eastAsia" w:ascii="宋体" w:hAnsi="宋体" w:eastAsia="宋体" w:cs="Times New Roman"/>
          <w:b/>
          <w:color w:val="auto"/>
          <w:szCs w:val="21"/>
          <w:highlight w:val="none"/>
        </w:rPr>
        <w:t xml:space="preserve">十四、需要补充的合同条款：</w:t>
      </w:r>
      <w:r>
        <w:rPr>
          <w:rFonts w:hint="eastAsia" w:ascii="宋体" w:hAnsi="宋体" w:eastAsia="宋体" w:cs="Times New Roman"/>
          <w:color w:val="auto"/>
          <w:szCs w:val="21"/>
          <w:highlight w:val="none"/>
        </w:rPr>
        <w:t xml:space="preserve">（根据评标过程中或者商务谈判时商定的条款和条件在订立合同时标明） </w:t>
      </w:r>
      <w:r/>
    </w:p>
    <w:p>
      <w:pPr>
        <w:ind w:firstLine="422"/>
        <w:spacing w:line="360" w:lineRule="auto"/>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十五、合同生效 </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1.双方签约人为各自法定代表人或被授权代表。</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2.本合同系指本文件及其附件中的所有部分，招标文件、中标的投标文件、中标通知书、中标单位在招标过程中的澄清和承诺等为本合同不可缺少的组成部分。</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3.本合同壹式叁份，甲乙双方、采购代理机构各执壹份，各份具有同等法律效力。</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4.本合同应按照中华人民共和国的现行法律进行解释。</w:t>
      </w:r>
      <w:r/>
    </w:p>
    <w:p>
      <w:pPr>
        <w:ind w:firstLine="420"/>
        <w:spacing w:line="360" w:lineRule="auto"/>
        <w:rPr>
          <w:rFonts w:ascii="宋体" w:hAnsi="宋体" w:eastAsia="宋体" w:cs="宋体"/>
          <w:color w:val="auto"/>
          <w:highlight w:val="none"/>
        </w:rPr>
      </w:pPr>
      <w:r>
        <w:rPr>
          <w:rFonts w:hint="eastAsia" w:ascii="宋体" w:hAnsi="宋体" w:eastAsia="宋体" w:cs="Times New Roman"/>
          <w:color w:val="auto"/>
          <w:szCs w:val="21"/>
          <w:highlight w:val="none"/>
        </w:rPr>
        <w:t xml:space="preserve">5.合同修改：除甲乙双方签署书面修改、补充协议，并成为本合同不可分割的一部分之外，本合同条件不得有任何变化或修改。 </w:t>
      </w:r>
      <w:r>
        <w:rPr>
          <w:rFonts w:ascii="宋体" w:hAnsi="宋体" w:eastAsia="宋体" w:cs="Times New Roman"/>
          <w:color w:val="auto"/>
          <w:szCs w:val="21"/>
          <w:highlight w:val="none"/>
        </w:rPr>
        <w:t xml:space="preserve">             </w:t>
      </w:r>
      <w:r>
        <w:rPr>
          <w:rFonts w:hint="eastAsia" w:ascii="宋体" w:hAnsi="宋体" w:eastAsia="宋体" w:cs="Times New Roman"/>
          <w:color w:val="auto"/>
          <w:szCs w:val="21"/>
          <w:highlight w:val="none"/>
        </w:rPr>
        <w:t xml:space="preserve">  </w:t>
      </w:r>
      <w:r>
        <w:rPr>
          <w:rFonts w:ascii="宋体" w:hAnsi="宋体" w:eastAsia="宋体" w:cs="Times New Roman"/>
          <w:color w:val="auto"/>
          <w:szCs w:val="21"/>
          <w:highlight w:val="none"/>
        </w:rPr>
        <w:t xml:space="preserve">      </w:t>
      </w:r>
      <w:r>
        <w:rPr>
          <w:rFonts w:hint="eastAsia" w:ascii="宋体" w:hAnsi="宋体" w:eastAsia="宋体" w:cs="Times New Roman"/>
          <w:color w:val="auto"/>
          <w:szCs w:val="21"/>
          <w:highlight w:val="none"/>
        </w:rPr>
        <w:t xml:space="preserve">  </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252" w:firstLine="420"/>
        <w:jc w:val="center"/>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以下无正文</w:t>
      </w:r>
      <w:r>
        <w:rPr>
          <w:rFonts w:hint="eastAsia" w:ascii="宋体" w:hAnsi="宋体" w:eastAsia="宋体" w:cs="宋体"/>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                                         乙方：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法人（授权代表）：                             法人（授权代表）：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签约日期：                                     签约日期：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开户行：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 xml:space="preserve">                       开户行：</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帐户：</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 xml:space="preserve">                   帐户：</w:t>
      </w:r>
      <w:r/>
    </w:p>
    <w:p>
      <w:pPr>
        <w:ind w:firstLine="420"/>
        <w:keepLines w:val="0"/>
        <w:keepNext w:val="0"/>
        <w:pageBreakBefore w:val="0"/>
        <w:spacing w:line="360" w:lineRule="auto"/>
        <w:widowControl w:val="off"/>
        <w:rPr>
          <w:rStyle w:val="1064"/>
          <w:rFonts w:hint="eastAsia" w:ascii="Times New Roman" w:hAnsi="Times New Roman"/>
          <w:b/>
          <w:bCs/>
          <w:color w:val="auto"/>
          <w:sz w:val="32"/>
          <w:szCs w:val="32"/>
          <w:highlight w:val="none"/>
        </w:rPr>
      </w:pPr>
      <w:r>
        <w:rPr>
          <w:rFonts w:hint="eastAsia" w:ascii="宋体" w:hAnsi="宋体" w:eastAsia="宋体" w:cs="宋体"/>
          <w:color w:val="auto"/>
          <w:szCs w:val="21"/>
          <w:highlight w:val="none"/>
        </w:rPr>
        <w:t xml:space="preserve">合同签定地：</w:t>
      </w:r>
      <w:bookmarkEnd w:id="16"/>
      <w:r/>
      <w:bookmarkEnd w:id="17"/>
      <w:r>
        <w:rPr>
          <w:rStyle w:val="1064"/>
          <w:rFonts w:hint="eastAsia" w:ascii="Times New Roman" w:hAnsi="Times New Roman"/>
          <w:b/>
          <w:bCs/>
          <w:color w:val="auto"/>
          <w:sz w:val="32"/>
          <w:szCs w:val="32"/>
          <w:highlight w:val="none"/>
        </w:rPr>
        <w:br w:type="page" w:clear="all"/>
      </w:r>
      <w:r/>
    </w:p>
    <w:p>
      <w:pPr>
        <w:pStyle w:val="728"/>
        <w:jc w:val="center"/>
        <w:spacing w:line="240" w:lineRule="auto"/>
        <w:tabs>
          <w:tab w:val="left" w:pos="2754" w:leader="none"/>
          <w:tab w:val="center" w:pos="4215" w:leader="none"/>
        </w:tabs>
        <w:rPr>
          <w:rStyle w:val="1064"/>
          <w:rFonts w:ascii="Times New Roman" w:hAnsi="Times New Roman"/>
          <w:b/>
          <w:bCs/>
          <w:color w:val="auto"/>
          <w:sz w:val="32"/>
          <w:szCs w:val="32"/>
          <w:highlight w:val="none"/>
        </w:rPr>
      </w:pPr>
      <w:r>
        <w:rPr>
          <w:rStyle w:val="1064"/>
          <w:rFonts w:hint="eastAsia" w:ascii="Times New Roman" w:hAnsi="Times New Roman"/>
          <w:b/>
          <w:bCs/>
          <w:color w:val="auto"/>
          <w:sz w:val="32"/>
          <w:szCs w:val="32"/>
          <w:highlight w:val="none"/>
        </w:rPr>
        <w:t xml:space="preserve">第六章 评审方法</w:t>
      </w:r>
      <w:bookmarkEnd w:id="18"/>
      <w:r/>
      <w:r/>
    </w:p>
    <w:p>
      <w:pPr>
        <w:spacing w:line="360" w:lineRule="auto"/>
        <w:rPr>
          <w:rFonts w:ascii="宋体" w:hAnsi="宋体"/>
          <w:b/>
          <w:bCs/>
          <w:color w:val="auto"/>
          <w:szCs w:val="21"/>
          <w:highlight w:val="none"/>
        </w:rPr>
      </w:pPr>
      <w:r>
        <w:rPr>
          <w:rFonts w:hint="eastAsia"/>
          <w:b/>
          <w:bCs/>
          <w:color w:val="auto"/>
          <w:szCs w:val="21"/>
          <w:highlight w:val="none"/>
        </w:rPr>
        <w:t xml:space="preserve">一、评审办法</w:t>
      </w:r>
      <w:r/>
    </w:p>
    <w:p>
      <w:pPr>
        <w:ind w:firstLine="420"/>
        <w:spacing w:line="360" w:lineRule="auto"/>
        <w:tabs>
          <w:tab w:val="left" w:pos="2870" w:leader="none"/>
        </w:tabs>
        <w:rPr>
          <w:rFonts w:ascii="宋体" w:hAnsi="宋体"/>
          <w:color w:val="auto"/>
          <w:highlight w:val="none"/>
        </w:rPr>
      </w:pPr>
      <w:r>
        <w:rPr>
          <w:rFonts w:hint="eastAsia" w:ascii="宋体" w:hAnsi="宋体" w:cs="宋体"/>
          <w:bCs/>
          <w:color w:val="auto"/>
          <w:szCs w:val="21"/>
          <w:highlight w:val="none"/>
        </w:rPr>
        <w:t xml:space="preserve">1.</w:t>
      </w:r>
      <w:r>
        <w:rPr>
          <w:rFonts w:ascii="宋体" w:hAnsi="宋体"/>
          <w:color w:val="auto"/>
          <w:szCs w:val="21"/>
          <w:highlight w:val="none"/>
        </w:rPr>
        <w:t xml:space="preserve">本次</w:t>
      </w:r>
      <w:r>
        <w:rPr>
          <w:rFonts w:hint="eastAsia" w:ascii="宋体" w:hAnsi="宋体"/>
          <w:color w:val="auto"/>
          <w:szCs w:val="21"/>
          <w:highlight w:val="none"/>
        </w:rPr>
        <w:t xml:space="preserve">采购评审采用最低评标价法，即在符合采购采购需求、质量和服务相等的前提下，以提出最低报价（以第二次报价为准</w:t>
      </w:r>
      <w:r>
        <w:rPr>
          <w:rFonts w:hint="eastAsia" w:ascii="宋体" w:hAnsi="宋体"/>
          <w:b/>
          <w:color w:val="auto"/>
          <w:szCs w:val="21"/>
          <w:highlight w:val="none"/>
        </w:rPr>
        <w:t xml:space="preserve">，且最后报价时间为10分钟</w:t>
      </w:r>
      <w:r>
        <w:rPr>
          <w:rFonts w:hint="eastAsia" w:ascii="宋体" w:hAnsi="宋体"/>
          <w:color w:val="auto"/>
          <w:szCs w:val="21"/>
          <w:highlight w:val="none"/>
        </w:rPr>
        <w:t xml:space="preserve">）的供应商作为成交供应商。</w:t>
      </w:r>
      <w:r/>
    </w:p>
    <w:p>
      <w:pPr>
        <w:ind w:firstLine="420"/>
        <w:spacing w:line="360" w:lineRule="auto"/>
        <w:rPr>
          <w:rFonts w:ascii="宋体" w:hAnsi="宋体" w:cs="宋体"/>
          <w:color w:val="auto"/>
          <w:szCs w:val="22"/>
          <w:highlight w:val="none"/>
        </w:rPr>
      </w:pPr>
      <w:r>
        <w:rPr>
          <w:rFonts w:hint="eastAsia" w:ascii="宋体" w:hAnsi="宋体"/>
          <w:color w:val="auto"/>
          <w:szCs w:val="21"/>
          <w:highlight w:val="none"/>
        </w:rPr>
        <w:t xml:space="preserve">2.</w:t>
      </w:r>
      <w:r>
        <w:rPr>
          <w:rFonts w:hint="eastAsia" w:ascii="宋体" w:hAnsi="宋体" w:cs="宋体"/>
          <w:color w:val="auto"/>
          <w:highlight w:val="none"/>
        </w:rPr>
        <w:t xml:space="preserve">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w:t>
      </w:r>
      <w:r>
        <w:rPr>
          <w:rFonts w:hint="eastAsia" w:ascii="宋体" w:hAnsi="宋体"/>
          <w:color w:val="auto"/>
          <w:szCs w:val="21"/>
          <w:highlight w:val="none"/>
        </w:rPr>
        <w:t xml:space="preserve">如某一评审条款出现评审专家意见不一致时，则按少数服从多数的原则，确定该项条款是否合格。评审内容中（本次评审内容共四项）有内容评委一致认为不合格的，则该谈判响应文件将被视为不合格，且不具备中标资格。在评审合格的供应商中以提出最低报价的谈判供应商作为成交候选供应商或成交供应商。如出现两个或两个以上谈判供应商的最终报价相同且最低的，则由采购人以抽签方式在提出最低报价的供应商中确定成交候选人。</w:t>
      </w:r>
      <w:r/>
    </w:p>
    <w:p>
      <w:pPr>
        <w:ind w:firstLine="420"/>
        <w:spacing w:line="360" w:lineRule="auto"/>
        <w:rPr>
          <w:rFonts w:ascii="宋体" w:hAnsi="宋体"/>
          <w:color w:val="auto"/>
          <w:highlight w:val="none"/>
        </w:rPr>
      </w:pPr>
      <w:r>
        <w:rPr>
          <w:rFonts w:hint="eastAsia" w:ascii="宋体" w:hAnsi="宋体"/>
          <w:color w:val="auto"/>
          <w:highlight w:val="none"/>
        </w:rPr>
        <w:t xml:space="preserve">4</w:t>
      </w:r>
      <w:r>
        <w:rPr>
          <w:rFonts w:ascii="宋体" w:hAnsi="宋体"/>
          <w:color w:val="auto"/>
          <w:highlight w:val="none"/>
        </w:rPr>
        <w:t xml:space="preserve">.</w:t>
      </w:r>
      <w:r>
        <w:rPr>
          <w:rFonts w:hint="eastAsia" w:ascii="宋体" w:hAnsi="宋体"/>
          <w:color w:val="auto"/>
          <w:highlight w:val="none"/>
        </w:rPr>
        <w:t xml:space="preserve">谈判小组认为供应商的报价明显低于其他通过符合性审查的供应商的报价，有可能影响产品质量或者不能诚信履约的，</w:t>
      </w:r>
      <w:r>
        <w:rPr>
          <w:rFonts w:hint="eastAsia" w:ascii="宋体" w:hAnsi="宋体"/>
          <w:color w:val="auto"/>
          <w:szCs w:val="21"/>
          <w:highlight w:val="none"/>
        </w:rPr>
        <w:t xml:space="preserve">则谈判小组有权要求</w:t>
      </w:r>
      <w:r>
        <w:rPr>
          <w:rFonts w:hint="eastAsia" w:ascii="宋体" w:hAnsi="宋体"/>
          <w:color w:val="auto"/>
          <w:highlight w:val="none"/>
        </w:rPr>
        <w:t xml:space="preserve">其以书面形式作出相关说明，供应商不能证明其报价合理性的，谈判小组应当认定其响应无效</w:t>
      </w:r>
      <w:r>
        <w:rPr>
          <w:rFonts w:hint="eastAsia" w:ascii="宋体" w:hAnsi="宋体"/>
          <w:color w:val="auto"/>
          <w:szCs w:val="21"/>
          <w:highlight w:val="none"/>
        </w:rPr>
        <w:t xml:space="preserve">取消该供应商的成交候选资格</w:t>
      </w:r>
      <w:r>
        <w:rPr>
          <w:rFonts w:hint="eastAsia" w:ascii="宋体" w:hAnsi="宋体"/>
          <w:color w:val="auto"/>
          <w:highlight w:val="none"/>
        </w:rPr>
        <w:t xml:space="preserve">。</w:t>
      </w:r>
      <w:r/>
    </w:p>
    <w:p>
      <w:pPr>
        <w:ind w:firstLine="420"/>
        <w:spacing w:line="360" w:lineRule="auto"/>
        <w:tabs>
          <w:tab w:val="left" w:pos="2870" w:leader="none"/>
        </w:tabs>
        <w:rPr>
          <w:rFonts w:ascii="宋体" w:hAnsi="宋体"/>
          <w:color w:val="auto"/>
          <w:szCs w:val="21"/>
          <w:highlight w:val="none"/>
        </w:rPr>
      </w:pPr>
      <w:r>
        <w:rPr>
          <w:rFonts w:hint="eastAsia" w:ascii="宋体" w:hAnsi="宋体"/>
          <w:color w:val="auto"/>
          <w:highlight w:val="none"/>
        </w:rPr>
        <w:t xml:space="preserve">5</w:t>
      </w:r>
      <w:r>
        <w:rPr>
          <w:rFonts w:ascii="宋体" w:hAnsi="宋体"/>
          <w:color w:val="auto"/>
          <w:highlight w:val="none"/>
        </w:rPr>
        <w:t xml:space="preserve">.</w:t>
      </w:r>
      <w:r>
        <w:rPr>
          <w:rFonts w:hint="eastAsia" w:ascii="宋体" w:hAnsi="宋体"/>
          <w:color w:val="auto"/>
          <w:szCs w:val="21"/>
          <w:highlight w:val="none"/>
        </w:rPr>
        <w:t xml:space="preserve"> 本次谈判响应报价共有两次报价机会，第二次报价为最终总报价；若谈判响应单位未在最后一次报价中分别报各个产品单价的，则其各个产品的单价按最终总报价与首次报价之比同比例下浮。</w:t>
      </w:r>
      <w:r/>
    </w:p>
    <w:p>
      <w:pPr>
        <w:ind w:firstLine="420"/>
        <w:spacing w:line="360" w:lineRule="auto"/>
        <w:rPr>
          <w:rFonts w:hint="eastAsia" w:ascii="宋体" w:hAnsi="宋体" w:cs="仿宋_GB2312"/>
          <w:color w:val="auto"/>
          <w:szCs w:val="21"/>
          <w:highlight w:val="none"/>
        </w:rPr>
      </w:pPr>
      <w:r>
        <w:rPr>
          <w:rFonts w:hint="eastAsia" w:ascii="宋体" w:hAnsi="宋体" w:cs="仿宋_GB2312"/>
          <w:color w:val="auto"/>
          <w:szCs w:val="21"/>
          <w:highlight w:val="none"/>
        </w:rPr>
        <w:t xml:space="preserve">本项目核心产品详见招标书要求，核心产品提供相同品牌产品且通过资格审查、符合性审查的不同投标人参加同一合同项下投标的，按一家投标人计算。</w:t>
      </w:r>
      <w:r/>
    </w:p>
    <w:p>
      <w:pPr>
        <w:numPr>
          <w:ilvl w:val="0"/>
          <w:numId w:val="0"/>
        </w:numPr>
        <w:ind w:firstLine="420"/>
        <w:spacing w:line="360" w:lineRule="auto"/>
        <w:rPr>
          <w:rFonts w:hint="eastAsia" w:ascii="宋体" w:hAnsi="宋体"/>
          <w:b/>
          <w:bCs/>
          <w:color w:val="auto"/>
          <w:szCs w:val="21"/>
          <w:highlight w:val="none"/>
          <w:lang w:val="en-US" w:eastAsia="zh-CN"/>
        </w:rPr>
      </w:pPr>
      <w:r>
        <w:rPr>
          <w:rFonts w:hint="eastAsia" w:ascii="宋体" w:hAnsi="宋体" w:cs="仿宋_GB2312"/>
          <w:b/>
          <w:bCs/>
          <w:color w:val="auto"/>
          <w:szCs w:val="21"/>
          <w:highlight w:val="none"/>
          <w:lang w:val="en-US" w:eastAsia="zh-CN"/>
        </w:rPr>
        <w:t xml:space="preserve">6.</w:t>
      </w:r>
      <w:r>
        <w:rPr>
          <w:rFonts w:hint="eastAsia" w:ascii="宋体" w:hAnsi="宋体"/>
          <w:b/>
          <w:bCs/>
          <w:color w:val="auto"/>
          <w:szCs w:val="21"/>
          <w:highlight w:val="none"/>
          <w:lang w:val="en-US" w:eastAsia="zh-CN"/>
        </w:rPr>
        <w:t xml:space="preserve">异常低价投标审查</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lang w:eastAsia="zh-CN"/>
        </w:rPr>
        <w:t xml:space="preserve">按照财政部发布的《关于推动解决政府采购异常低价问题的通知》（财库〔2026〕2号）文，政府采购评审中出现下列情形之一的，评审委员会应当启动异常低价投标（响应）审查程序：</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lang w:eastAsia="zh-CN"/>
        </w:rPr>
        <w:t xml:space="preserve">A、评审过程中出现下列情形之一的，评审委员会应当启动异常低价投标（响应）审查程序：</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lang w:val="en-US" w:eastAsia="zh-CN"/>
        </w:rPr>
        <w:t xml:space="preserve">6.</w:t>
      </w:r>
      <w:r>
        <w:rPr>
          <w:rFonts w:hint="eastAsia" w:ascii="宋体" w:hAnsi="宋体" w:eastAsia="宋体" w:cs="Times New Roman"/>
          <w:color w:val="auto"/>
          <w:szCs w:val="21"/>
          <w:highlight w:val="none"/>
          <w:lang w:eastAsia="zh-CN"/>
        </w:rPr>
        <w:t xml:space="preserve">1.投标（响应）报价低于全部通过符合性审查供应商投标（响应）报价平均值65%的，即投标（响应）报价&lt;全部通过符合性审查供应商投标（响应）报价平均值×65%；</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lang w:val="en-US" w:eastAsia="zh-CN"/>
        </w:rPr>
        <w:t xml:space="preserve">6.</w:t>
      </w:r>
      <w:r>
        <w:rPr>
          <w:rFonts w:hint="eastAsia" w:ascii="宋体" w:hAnsi="宋体" w:eastAsia="宋体" w:cs="Times New Roman"/>
          <w:color w:val="auto"/>
          <w:szCs w:val="21"/>
          <w:highlight w:val="none"/>
          <w:lang w:eastAsia="zh-CN"/>
        </w:rPr>
        <w:t xml:space="preserve">2.投标（响应）报价低于通过符合性审查的次低报价供应商投标（响应）报价65%的，即投标（响应）报价&lt;通过符合性审查的次低报价供应商投标（响应）报价×65%；</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lang w:val="en-US" w:eastAsia="zh-CN"/>
        </w:rPr>
        <w:t xml:space="preserve">6.</w:t>
      </w:r>
      <w:r>
        <w:rPr>
          <w:rFonts w:hint="eastAsia" w:ascii="宋体" w:hAnsi="宋体" w:eastAsia="宋体" w:cs="Times New Roman"/>
          <w:color w:val="auto"/>
          <w:szCs w:val="21"/>
          <w:highlight w:val="none"/>
          <w:lang w:eastAsia="zh-CN"/>
        </w:rPr>
        <w:t xml:space="preserve">3.投标（响应）报价低于采购项目最高限价65%的，即投标（响应）报价&lt;采购项目最高限价×65%；</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lang w:val="en-US" w:eastAsia="zh-CN"/>
        </w:rPr>
        <w:t xml:space="preserve">6.</w:t>
      </w:r>
      <w:r>
        <w:rPr>
          <w:rFonts w:hint="eastAsia" w:ascii="宋体" w:hAnsi="宋体" w:eastAsia="宋体" w:cs="Times New Roman"/>
          <w:color w:val="auto"/>
          <w:szCs w:val="21"/>
          <w:highlight w:val="none"/>
          <w:lang w:eastAsia="zh-CN"/>
        </w:rPr>
        <w:t xml:space="preserve">4.评审委员会基于专业判断，认为供应商报价过低，有可能影响产品质量或者不能诚信履约的其他情形。</w:t>
      </w:r>
      <w:r/>
    </w:p>
    <w:p>
      <w:pPr>
        <w:ind w:firstLine="420"/>
        <w:keepLines w:val="0"/>
        <w:keepNext w:val="0"/>
        <w:pageBreakBefore w:val="0"/>
        <w:spacing w:line="360" w:lineRule="auto"/>
        <w:widowControl w:val="off"/>
        <w:rPr>
          <w:rFonts w:hint="default" w:ascii="宋体" w:hAnsi="宋体" w:eastAsia="宋体" w:cs="仿宋_GB2312"/>
          <w:color w:val="auto"/>
          <w:szCs w:val="21"/>
          <w:highlight w:val="none"/>
          <w:lang w:val="en-US" w:eastAsia="zh-CN"/>
        </w:rPr>
      </w:pPr>
      <w:r>
        <w:rPr>
          <w:rFonts w:hint="eastAsia" w:ascii="宋体" w:hAnsi="宋体" w:eastAsia="宋体" w:cs="Times New Roman"/>
          <w:color w:val="auto"/>
          <w:szCs w:val="21"/>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spacing w:line="360" w:lineRule="auto"/>
        <w:rPr>
          <w:rFonts w:ascii="宋体" w:hAnsi="宋体"/>
          <w:b/>
          <w:color w:val="auto"/>
          <w:szCs w:val="21"/>
          <w:highlight w:val="none"/>
        </w:rPr>
      </w:pPr>
      <w:r>
        <w:rPr>
          <w:rFonts w:hint="eastAsia" w:ascii="宋体" w:hAnsi="宋体"/>
          <w:b/>
          <w:color w:val="auto"/>
          <w:szCs w:val="21"/>
          <w:highlight w:val="none"/>
        </w:rPr>
        <w:t xml:space="preserve">二、采购政策</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（一）中小微企业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根据《政府采购促进中小企业发展管理办法》（财库〔2020〕46号）的相关规定，</w:t>
      </w:r>
      <w:r>
        <w:rPr>
          <w:rFonts w:hint="eastAsia" w:ascii="宋体" w:hAnsi="宋体" w:cs="宋体"/>
          <w:b/>
          <w:color w:val="auto"/>
          <w:szCs w:val="21"/>
          <w:highlight w:val="none"/>
        </w:rPr>
        <w:t xml:space="preserve">本项目为专门面向中小企业采购</w:t>
      </w:r>
      <w:r>
        <w:rPr>
          <w:rFonts w:hint="eastAsia" w:ascii="宋体" w:hAnsi="宋体" w:cs="宋体"/>
          <w:color w:val="auto"/>
          <w:szCs w:val="21"/>
          <w:highlight w:val="none"/>
        </w:rPr>
        <w:t xml:space="preserve">。如投标人认定本企业为中型、小型或微型企业，则需根据《中小企业划型标准规定》（工信部联企业〔2011〕300号）填报《中小企业声明函》。</w:t>
      </w:r>
      <w:r>
        <w:rPr>
          <w:rFonts w:hint="eastAsia" w:ascii="宋体" w:hAnsi="宋体" w:cs="宋体"/>
          <w:b/>
          <w:color w:val="auto"/>
          <w:szCs w:val="21"/>
          <w:highlight w:val="none"/>
        </w:rPr>
        <w:t xml:space="preserve">加盖公章后的《中小企业声明函》电子件放置于响应文件中提交。</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（二）残疾人福利性单位</w:t>
      </w:r>
      <w:r/>
    </w:p>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根据《三部门联合发布关于促进残疾人就业政府采购政策的通知》（财库〔2017〕141号）的相关规定，如投标人为残疾人福利性单位，则视同小型、微型企业，享受预留份额的政府采购政策。</w:t>
      </w:r>
      <w:r>
        <w:rPr>
          <w:rFonts w:hint="eastAsia" w:ascii="宋体" w:hAnsi="宋体" w:cs="宋体"/>
          <w:b/>
          <w:color w:val="auto"/>
          <w:szCs w:val="21"/>
          <w:highlight w:val="none"/>
        </w:rPr>
        <w:t xml:space="preserve">加盖公章后的《残疾人福利性单位声明函》电子件放置于响应文件中提交。</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（三）监狱企业</w:t>
      </w:r>
      <w:r/>
    </w:p>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cs="宋体"/>
          <w:b/>
          <w:color w:val="auto"/>
          <w:szCs w:val="21"/>
          <w:highlight w:val="none"/>
        </w:rPr>
        <w:t xml:space="preserve">证明文件电子件放置于响应文件中提交。</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（四）绿色采购</w:t>
      </w:r>
      <w:r/>
    </w:p>
    <w:p>
      <w:pPr>
        <w:ind w:firstLine="420"/>
        <w:spacing w:line="360" w:lineRule="auto"/>
        <w:rPr>
          <w:rFonts w:ascii="宋体" w:hAnsi="宋体"/>
          <w:color w:val="auto"/>
          <w:szCs w:val="21"/>
          <w:highlight w:val="none"/>
        </w:rPr>
      </w:pPr>
      <w:r>
        <w:rPr>
          <w:rFonts w:hint="eastAsia"/>
          <w:color w:val="auto"/>
          <w:highlight w:val="none"/>
        </w:rPr>
        <w:t xml:space="preserve">根据《关于调整优化节能产品、环境标志产品政府采购执行机制的通知》（财库〔2019〕9号）等相关文件的规定，</w:t>
      </w:r>
      <w:r>
        <w:rPr>
          <w:rFonts w:hint="eastAsia"/>
          <w:b/>
          <w:color w:val="auto"/>
          <w:highlight w:val="none"/>
        </w:rPr>
        <w:t xml:space="preserve">对属于《节能产品政府采购品目清单》政府强制采购产品的，供应商</w:t>
      </w:r>
      <w:r>
        <w:rPr>
          <w:rFonts w:hint="eastAsia" w:ascii="宋体" w:hAnsi="宋体"/>
          <w:b/>
          <w:color w:val="auto"/>
          <w:szCs w:val="21"/>
          <w:highlight w:val="none"/>
        </w:rPr>
        <w:t xml:space="preserve">需提供该产品有效期内的认证等相关证明材料，证明材料电子件放置于响应文件中提交。</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（五）若供应商提供的《中小企业声明函》 、《残疾人福利性单位声明函》及监狱企业认定证明等材料为虚假材料，按《中华人民共和国政府采购法》等相关法律法规的规定处理，并报请政府采购监管部门给予行政处罚。</w:t>
      </w:r>
      <w:r/>
    </w:p>
    <w:p>
      <w:pPr>
        <w:spacing w:line="360" w:lineRule="auto"/>
        <w:rPr>
          <w:b/>
          <w:color w:val="auto"/>
          <w:szCs w:val="21"/>
          <w:highlight w:val="none"/>
        </w:rPr>
      </w:pPr>
      <w:r>
        <w:rPr>
          <w:rFonts w:hint="eastAsia"/>
          <w:b/>
          <w:color w:val="auto"/>
          <w:szCs w:val="21"/>
          <w:highlight w:val="none"/>
        </w:rPr>
        <w:t xml:space="preserve">二、评审内容：</w:t>
      </w:r>
      <w:r/>
    </w:p>
    <w:tbl>
      <w:tblPr>
        <w:tblStyle w:val="738"/>
        <w:tblW w:w="8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2"/>
        <w:gridCol w:w="4429"/>
        <w:gridCol w:w="2057"/>
        <w:gridCol w:w="1159"/>
      </w:tblGrid>
      <w:tr>
        <w:trPr>
          <w:jc w:val="center"/>
          <w:trHeight w:val="615"/>
        </w:trPr>
        <w:tc>
          <w:tcPr>
            <w:tcBorders>
              <w:top w:val="single" w:color="auto" w:sz="4" w:space="0"/>
              <w:left w:val="single" w:color="auto" w:sz="4" w:space="0"/>
              <w:bottom w:val="single" w:color="auto" w:sz="4" w:space="0"/>
              <w:right w:val="single" w:color="auto" w:sz="4" w:space="0"/>
            </w:tcBorders>
            <w:tcW w:w="692" w:type="dxa"/>
            <w:vAlign w:val="bottom"/>
            <w:textDirection w:val="lrTb"/>
            <w:noWrap w:val="false"/>
          </w:tcPr>
          <w:p>
            <w:pPr>
              <w:jc w:val="center"/>
              <w:spacing w:line="360" w:lineRule="auto"/>
              <w:rPr>
                <w:color w:val="auto"/>
                <w:szCs w:val="21"/>
                <w:highlight w:val="none"/>
              </w:rPr>
            </w:pPr>
            <w:r/>
            <w:bookmarkStart w:id="19" w:name="gpc_accord_horizontal_1"/>
            <w:r>
              <w:rPr>
                <w:rFonts w:hint="eastAsia" w:hAnsi="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4429" w:type="dxa"/>
            <w:vAlign w:val="bottom"/>
            <w:textDirection w:val="lrTb"/>
            <w:noWrap w:val="false"/>
          </w:tcPr>
          <w:p>
            <w:pPr>
              <w:jc w:val="center"/>
              <w:spacing w:line="360" w:lineRule="auto"/>
              <w:rPr>
                <w:color w:val="auto"/>
                <w:szCs w:val="21"/>
                <w:highlight w:val="none"/>
              </w:rPr>
            </w:pPr>
            <w:r>
              <w:rPr>
                <w:rFonts w:hint="eastAsia" w:hAnsi="宋体"/>
                <w:color w:val="auto"/>
                <w:szCs w:val="21"/>
                <w:highlight w:val="none"/>
              </w:rPr>
              <w:t xml:space="preserve">评审内容</w:t>
            </w:r>
            <w:r/>
          </w:p>
        </w:tc>
        <w:tc>
          <w:tcPr>
            <w:tcBorders>
              <w:top w:val="single" w:color="auto" w:sz="4" w:space="0"/>
              <w:left w:val="single" w:color="auto" w:sz="4" w:space="0"/>
              <w:bottom w:val="single" w:color="auto" w:sz="4" w:space="0"/>
              <w:right w:val="single" w:color="auto" w:sz="4" w:space="0"/>
            </w:tcBorders>
            <w:tcW w:w="2057" w:type="dxa"/>
            <w:vAlign w:val="bottom"/>
            <w:textDirection w:val="lrTb"/>
            <w:noWrap w:val="false"/>
          </w:tcPr>
          <w:p>
            <w:pPr>
              <w:jc w:val="center"/>
              <w:spacing w:line="360" w:lineRule="auto"/>
              <w:rPr>
                <w:color w:val="auto"/>
                <w:szCs w:val="21"/>
                <w:highlight w:val="none"/>
              </w:rPr>
            </w:pPr>
            <w:r>
              <w:rPr>
                <w:rFonts w:hint="eastAsia" w:hAnsi="宋体"/>
                <w:color w:val="auto"/>
                <w:szCs w:val="21"/>
                <w:highlight w:val="none"/>
              </w:rPr>
              <w:t xml:space="preserve">是否合格</w:t>
            </w:r>
            <w:r>
              <w:rPr>
                <w:rFonts w:hint="eastAsia" w:ascii="宋体" w:hAnsi="宋体"/>
                <w:color w:val="auto"/>
                <w:szCs w:val="21"/>
                <w:highlight w:val="none"/>
              </w:rPr>
              <w:t xml:space="preserve">（是/否）</w:t>
            </w:r>
            <w:r/>
          </w:p>
        </w:tc>
        <w:tc>
          <w:tcPr>
            <w:tcBorders>
              <w:top w:val="single" w:color="auto" w:sz="4" w:space="0"/>
              <w:left w:val="single" w:color="auto" w:sz="4" w:space="0"/>
              <w:bottom w:val="single" w:color="auto" w:sz="4" w:space="0"/>
              <w:right w:val="single" w:color="auto" w:sz="4" w:space="0"/>
            </w:tcBorders>
            <w:tcW w:w="1159" w:type="dxa"/>
            <w:vAlign w:val="bottom"/>
            <w:textDirection w:val="lrTb"/>
            <w:noWrap w:val="false"/>
          </w:tcPr>
          <w:p>
            <w:pPr>
              <w:jc w:val="center"/>
              <w:spacing w:line="360" w:lineRule="auto"/>
              <w:rPr>
                <w:color w:val="auto"/>
                <w:szCs w:val="21"/>
                <w:highlight w:val="none"/>
              </w:rPr>
            </w:pPr>
            <w:r>
              <w:rPr>
                <w:rFonts w:hint="eastAsia"/>
                <w:color w:val="auto"/>
                <w:szCs w:val="21"/>
                <w:highlight w:val="none"/>
              </w:rPr>
              <w:t xml:space="preserve">备注</w:t>
            </w:r>
            <w:r/>
          </w:p>
        </w:tc>
      </w:tr>
      <w:tr>
        <w:trPr>
          <w:jc w:val="center"/>
          <w:trHeight w:val="660"/>
        </w:trPr>
        <w:tc>
          <w:tcPr>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jc w:val="center"/>
              <w:spacing w:line="360" w:lineRule="auto"/>
              <w:rPr>
                <w:color w:val="auto"/>
                <w:szCs w:val="21"/>
                <w:highlight w:val="none"/>
              </w:rPr>
            </w:pPr>
            <w:r>
              <w:rPr>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4429" w:type="dxa"/>
            <w:vAlign w:val="center"/>
            <w:textDirection w:val="lrTb"/>
            <w:noWrap w:val="false"/>
          </w:tcPr>
          <w:p>
            <w:pPr>
              <w:spacing w:line="360" w:lineRule="auto"/>
              <w:rPr>
                <w:color w:val="auto"/>
                <w:szCs w:val="21"/>
                <w:highlight w:val="none"/>
              </w:rPr>
            </w:pPr>
            <w:r>
              <w:rPr>
                <w:rFonts w:hint="eastAsia" w:hAnsi="宋体"/>
                <w:color w:val="auto"/>
                <w:szCs w:val="21"/>
                <w:highlight w:val="none"/>
              </w:rPr>
              <w:t xml:space="preserve">供应商的资格条件</w:t>
            </w:r>
            <w:r/>
          </w:p>
        </w:tc>
        <w:tc>
          <w:tcPr>
            <w:tcBorders>
              <w:top w:val="single" w:color="auto" w:sz="4" w:space="0"/>
              <w:left w:val="single" w:color="auto" w:sz="4" w:space="0"/>
              <w:bottom w:val="single" w:color="auto" w:sz="4" w:space="0"/>
              <w:right w:val="single" w:color="auto" w:sz="4" w:space="0"/>
            </w:tcBorders>
            <w:tcW w:w="2057" w:type="dxa"/>
            <w:vAlign w:val="center"/>
            <w:textDirection w:val="lrTb"/>
            <w:noWrap w:val="false"/>
          </w:tcPr>
          <w:p>
            <w:pPr>
              <w:spacing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spacing w:line="360" w:lineRule="auto"/>
              <w:rPr>
                <w:color w:val="auto"/>
                <w:szCs w:val="21"/>
                <w:highlight w:val="none"/>
              </w:rPr>
            </w:pPr>
            <w:r>
              <w:rPr>
                <w:color w:val="auto"/>
                <w:szCs w:val="21"/>
                <w:highlight w:val="none"/>
              </w:rPr>
            </w:r>
            <w:r/>
          </w:p>
        </w:tc>
      </w:tr>
      <w:tr>
        <w:trPr>
          <w:jc w:val="center"/>
          <w:trHeight w:val="466"/>
        </w:trPr>
        <w:tc>
          <w:tcPr>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jc w:val="center"/>
              <w:spacing w:line="360" w:lineRule="auto"/>
              <w:tabs>
                <w:tab w:val="left" w:pos="0" w:leader="none"/>
              </w:tabs>
              <w:rPr>
                <w:color w:val="auto"/>
                <w:szCs w:val="21"/>
                <w:highlight w:val="none"/>
              </w:rPr>
            </w:pPr>
            <w:r>
              <w:rPr>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4429" w:type="dxa"/>
            <w:vAlign w:val="center"/>
            <w:textDirection w:val="lrTb"/>
            <w:noWrap w:val="false"/>
          </w:tcPr>
          <w:p>
            <w:pPr>
              <w:spacing w:line="360" w:lineRule="auto"/>
              <w:tabs>
                <w:tab w:val="left" w:pos="0" w:leader="none"/>
              </w:tabs>
              <w:rPr>
                <w:color w:val="auto"/>
                <w:szCs w:val="21"/>
                <w:highlight w:val="none"/>
              </w:rPr>
            </w:pPr>
            <w:r>
              <w:rPr>
                <w:rFonts w:hint="eastAsia" w:ascii="宋体" w:hAnsi="宋体" w:cs="宋体"/>
                <w:color w:val="auto"/>
                <w:szCs w:val="21"/>
                <w:highlight w:val="none"/>
              </w:rPr>
              <w:t xml:space="preserve">本次采购的产品（服务）数量、技术参数等采购需求的符合性</w:t>
            </w:r>
            <w:r/>
          </w:p>
        </w:tc>
        <w:tc>
          <w:tcPr>
            <w:tcBorders>
              <w:top w:val="single" w:color="auto" w:sz="4" w:space="0"/>
              <w:left w:val="single" w:color="auto" w:sz="4" w:space="0"/>
              <w:bottom w:val="single" w:color="auto" w:sz="4" w:space="0"/>
              <w:right w:val="single" w:color="auto" w:sz="4" w:space="0"/>
            </w:tcBorders>
            <w:tcW w:w="2057" w:type="dxa"/>
            <w:vAlign w:val="center"/>
            <w:textDirection w:val="lrTb"/>
            <w:noWrap w:val="false"/>
          </w:tcPr>
          <w:p>
            <w:pPr>
              <w:spacing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spacing w:line="360" w:lineRule="auto"/>
              <w:rPr>
                <w:color w:val="auto"/>
                <w:szCs w:val="21"/>
                <w:highlight w:val="none"/>
              </w:rPr>
            </w:pPr>
            <w:r>
              <w:rPr>
                <w:color w:val="auto"/>
                <w:szCs w:val="21"/>
                <w:highlight w:val="none"/>
              </w:rPr>
            </w:r>
            <w:r/>
          </w:p>
        </w:tc>
      </w:tr>
      <w:tr>
        <w:trPr>
          <w:jc w:val="center"/>
          <w:trHeight w:val="236"/>
        </w:trPr>
        <w:tc>
          <w:tcPr>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jc w:val="center"/>
              <w:spacing w:line="360" w:lineRule="auto"/>
              <w:tabs>
                <w:tab w:val="left" w:pos="0" w:leader="none"/>
              </w:tabs>
              <w:rPr>
                <w:color w:val="auto"/>
                <w:szCs w:val="21"/>
                <w:highlight w:val="none"/>
              </w:rPr>
            </w:pPr>
            <w:r>
              <w:rPr>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4429" w:type="dxa"/>
            <w:vAlign w:val="center"/>
            <w:textDirection w:val="lrTb"/>
            <w:noWrap w:val="false"/>
          </w:tcPr>
          <w:p>
            <w:pPr>
              <w:spacing w:line="360" w:lineRule="auto"/>
              <w:tabs>
                <w:tab w:val="left" w:pos="0" w:leader="none"/>
              </w:tabs>
              <w:rPr>
                <w:color w:val="auto"/>
                <w:szCs w:val="21"/>
                <w:highlight w:val="none"/>
              </w:rPr>
            </w:pPr>
            <w:r>
              <w:rPr>
                <w:rFonts w:hint="eastAsia" w:ascii="宋体" w:hAnsi="宋体" w:cs="宋体"/>
                <w:color w:val="auto"/>
                <w:szCs w:val="21"/>
                <w:highlight w:val="none"/>
              </w:rPr>
              <w:t xml:space="preserve">服务期限、付款方式、质保期限等的响应情况</w:t>
            </w:r>
            <w:r/>
          </w:p>
        </w:tc>
        <w:tc>
          <w:tcPr>
            <w:tcBorders>
              <w:top w:val="single" w:color="auto" w:sz="4" w:space="0"/>
              <w:left w:val="single" w:color="auto" w:sz="4" w:space="0"/>
              <w:bottom w:val="single" w:color="auto" w:sz="4" w:space="0"/>
              <w:right w:val="single" w:color="auto" w:sz="4" w:space="0"/>
            </w:tcBorders>
            <w:tcW w:w="2057" w:type="dxa"/>
            <w:vAlign w:val="center"/>
            <w:textDirection w:val="lrTb"/>
            <w:noWrap w:val="false"/>
          </w:tcPr>
          <w:p>
            <w:pPr>
              <w:spacing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spacing w:line="360" w:lineRule="auto"/>
              <w:rPr>
                <w:color w:val="auto"/>
                <w:szCs w:val="21"/>
                <w:highlight w:val="none"/>
              </w:rPr>
            </w:pPr>
            <w:r>
              <w:rPr>
                <w:color w:val="auto"/>
                <w:szCs w:val="21"/>
                <w:highlight w:val="none"/>
              </w:rPr>
            </w:r>
            <w:r/>
          </w:p>
        </w:tc>
      </w:tr>
      <w:tr>
        <w:trPr>
          <w:jc w:val="center"/>
          <w:trHeight w:val="667"/>
        </w:trPr>
        <w:tc>
          <w:tcPr>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jc w:val="center"/>
              <w:spacing w:line="360" w:lineRule="auto"/>
              <w:tabs>
                <w:tab w:val="left" w:pos="0" w:leader="none"/>
              </w:tabs>
              <w:rPr>
                <w:color w:val="auto"/>
                <w:szCs w:val="21"/>
                <w:highlight w:val="none"/>
              </w:rPr>
            </w:pPr>
            <w:r>
              <w:rPr>
                <w:rFonts w:hint="eastAsia"/>
                <w:color w:val="auto"/>
                <w:szCs w:val="21"/>
                <w:highlight w:val="none"/>
              </w:rPr>
              <w:t xml:space="preserve">4</w:t>
            </w:r>
            <w:bookmarkEnd w:id="19"/>
            <w:r/>
            <w:r/>
          </w:p>
        </w:tc>
        <w:tc>
          <w:tcPr>
            <w:tcBorders>
              <w:top w:val="single" w:color="auto" w:sz="4" w:space="0"/>
              <w:left w:val="single" w:color="auto" w:sz="4" w:space="0"/>
              <w:bottom w:val="single" w:color="auto" w:sz="4" w:space="0"/>
              <w:right w:val="single" w:color="auto" w:sz="4" w:space="0"/>
            </w:tcBorders>
            <w:tcW w:w="4429" w:type="dxa"/>
            <w:vAlign w:val="center"/>
            <w:textDirection w:val="lrTb"/>
            <w:noWrap w:val="false"/>
          </w:tcPr>
          <w:p>
            <w:pPr>
              <w:spacing w:line="360" w:lineRule="auto"/>
              <w:tabs>
                <w:tab w:val="left" w:pos="0" w:leader="none"/>
                <w:tab w:val="left" w:pos="3048" w:leader="none"/>
              </w:tabs>
              <w:rPr>
                <w:rFonts w:hAnsi="宋体"/>
                <w:color w:val="auto"/>
                <w:szCs w:val="21"/>
                <w:highlight w:val="none"/>
              </w:rPr>
            </w:pPr>
            <w:r>
              <w:rPr>
                <w:rFonts w:hint="eastAsia" w:ascii="宋体" w:hAnsi="宋体" w:cs="宋体"/>
                <w:color w:val="auto"/>
                <w:szCs w:val="21"/>
                <w:highlight w:val="none"/>
              </w:rPr>
              <w:t xml:space="preserve">其他（除供应商资格条件及采购内容以外的其他涉及实质性响应谈判文件的条款内容）</w:t>
            </w:r>
            <w:r/>
          </w:p>
        </w:tc>
        <w:tc>
          <w:tcPr>
            <w:tcBorders>
              <w:top w:val="single" w:color="auto" w:sz="4" w:space="0"/>
              <w:left w:val="single" w:color="auto" w:sz="4" w:space="0"/>
              <w:bottom w:val="single" w:color="auto" w:sz="4" w:space="0"/>
              <w:right w:val="single" w:color="auto" w:sz="4" w:space="0"/>
            </w:tcBorders>
            <w:tcW w:w="2057" w:type="dxa"/>
            <w:vAlign w:val="center"/>
            <w:textDirection w:val="lrTb"/>
            <w:noWrap w:val="false"/>
          </w:tcPr>
          <w:p>
            <w:pPr>
              <w:spacing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spacing w:line="360" w:lineRule="auto"/>
              <w:rPr>
                <w:color w:val="auto"/>
                <w:szCs w:val="21"/>
                <w:highlight w:val="none"/>
              </w:rPr>
            </w:pPr>
            <w:r>
              <w:rPr>
                <w:color w:val="auto"/>
                <w:szCs w:val="21"/>
                <w:highlight w:val="none"/>
              </w:rPr>
            </w:r>
            <w:r/>
          </w:p>
        </w:tc>
      </w:tr>
    </w:tbl>
    <w:p>
      <w:pPr>
        <w:spacing w:line="360" w:lineRule="auto"/>
        <w:rPr>
          <w:rFonts w:ascii="宋体" w:hAnsi="宋体"/>
          <w:b/>
          <w:color w:val="auto"/>
          <w:szCs w:val="21"/>
          <w:highlight w:val="none"/>
        </w:rPr>
      </w:pPr>
      <w:r>
        <w:rPr>
          <w:rFonts w:ascii="宋体" w:hAnsi="宋体"/>
          <w:b/>
          <w:color w:val="auto"/>
          <w:szCs w:val="21"/>
          <w:highlight w:val="none"/>
        </w:rPr>
      </w:r>
      <w:r/>
    </w:p>
    <w:p>
      <w:pPr>
        <w:rPr>
          <w:color w:val="auto"/>
          <w:highlight w:val="none"/>
        </w:rPr>
        <w:sectPr>
          <w:footerReference w:type="default" r:id="rId11"/>
          <w:footnotePr/>
          <w:endnotePr/>
          <w:type w:val="nextPage"/>
          <w:pgSz w:w="11906" w:h="16838" w:orient="portrait"/>
          <w:pgMar w:top="1440" w:right="1797" w:bottom="1440" w:left="1797" w:header="851" w:footer="992" w:gutter="0"/>
          <w:pgNumType w:start="1"/>
          <w:cols w:num="1" w:sep="0" w:space="425" w:equalWidth="1"/>
          <w:docGrid w:linePitch="360"/>
        </w:sectPr>
      </w:pPr>
      <w:r>
        <w:rPr>
          <w:color w:val="auto"/>
          <w:highlight w:val="none"/>
        </w:rPr>
      </w:r>
      <w:r/>
    </w:p>
    <w:p>
      <w:pPr>
        <w:pStyle w:val="728"/>
        <w:jc w:val="center"/>
        <w:spacing w:line="240" w:lineRule="auto"/>
        <w:rPr>
          <w:rStyle w:val="1064"/>
          <w:b/>
          <w:bCs w:val="0"/>
          <w:color w:val="auto"/>
          <w:sz w:val="32"/>
          <w:szCs w:val="32"/>
          <w:highlight w:val="none"/>
        </w:rPr>
      </w:pPr>
      <w:r/>
      <w:bookmarkStart w:id="20" w:name="_Toc166488924"/>
      <w:r>
        <w:rPr>
          <w:rStyle w:val="1064"/>
          <w:rFonts w:hint="eastAsia"/>
          <w:b/>
          <w:bCs w:val="0"/>
          <w:color w:val="auto"/>
          <w:sz w:val="32"/>
          <w:szCs w:val="32"/>
          <w:highlight w:val="none"/>
        </w:rPr>
        <w:t xml:space="preserve">第七章 附件</w:t>
      </w:r>
      <w:bookmarkEnd w:id="20"/>
      <w:r/>
      <w:bookmarkStart w:id="21" w:name="gpcItem_SubmitDocStruct"/>
      <w:r/>
      <w:bookmarkEnd w:id="21"/>
      <w:r/>
      <w:r/>
    </w:p>
    <w:p>
      <w:pPr>
        <w:pStyle w:val="741"/>
        <w:ind w:firstLine="0"/>
        <w:spacing w:line="360" w:lineRule="auto"/>
        <w:rPr>
          <w:rFonts w:ascii="宋体" w:hAnsi="宋体" w:eastAsia="宋体"/>
          <w:b/>
          <w:color w:val="auto"/>
          <w:sz w:val="28"/>
          <w:szCs w:val="28"/>
          <w:highlight w:val="none"/>
        </w:rPr>
      </w:pPr>
      <w:r/>
      <w:bookmarkStart w:id="22" w:name="gpcItem_tenderStruct2"/>
      <w:r>
        <w:rPr>
          <w:rFonts w:hint="eastAsia" w:ascii="宋体" w:hAnsi="宋体" w:eastAsia="宋体"/>
          <w:b/>
          <w:color w:val="auto"/>
          <w:sz w:val="28"/>
          <w:szCs w:val="28"/>
          <w:highlight w:val="none"/>
        </w:rPr>
        <w:t xml:space="preserve">响应文档结构表</w:t>
      </w:r>
      <w:r/>
    </w:p>
    <w:tbl>
      <w:tblPr>
        <w:tblStyle w:val="738"/>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3118"/>
        <w:gridCol w:w="3997"/>
      </w:tblGrid>
      <w:tr>
        <w:trPr>
          <w:trHeight w:val="680"/>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pStyle w:val="741"/>
              <w:ind w:firstLine="0"/>
              <w:jc w:val="center"/>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标书名称</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741"/>
              <w:ind w:firstLine="0"/>
              <w:jc w:val="center"/>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文档名称</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741"/>
              <w:ind w:firstLine="0"/>
              <w:jc w:val="center"/>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标题名称</w:t>
            </w:r>
            <w:r/>
          </w:p>
        </w:tc>
      </w:tr>
      <w:tr>
        <w:trPr>
          <w:trHeight w:val="680"/>
        </w:trPr>
        <w:tc>
          <w:tcPr>
            <w:tcBorders>
              <w:left w:val="single" w:color="auto" w:sz="4" w:space="0"/>
              <w:right w:val="single" w:color="auto" w:sz="4" w:space="0"/>
            </w:tcBorders>
            <w:tcW w:w="1413" w:type="dxa"/>
            <w:vAlign w:val="center"/>
            <w:vMerge w:val="restart"/>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t xml:space="preserve">标书结构</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741"/>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供应商情况表</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741"/>
              <w:ind w:firstLine="0"/>
              <w:rPr>
                <w:rFonts w:ascii="宋体" w:hAnsi="宋体" w:eastAsia="宋体"/>
                <w:color w:val="auto"/>
                <w:sz w:val="21"/>
                <w:szCs w:val="21"/>
                <w:highlight w:val="none"/>
              </w:rPr>
            </w:pPr>
            <w:r>
              <w:rPr>
                <w:color w:val="auto"/>
                <w:highlight w:val="none"/>
              </w:rPr>
              <w:fldChar w:fldCharType="begin"/>
            </w:r>
            <w:r>
              <w:rPr>
                <w:color w:val="auto"/>
                <w:highlight w:val="none"/>
              </w:rPr>
              <w:instrText xml:space="preserve"> REF _Ref15302730 \h  \* MERGEFORMAT </w:instrText>
            </w:r>
            <w:r>
              <w:rPr>
                <w:color w:val="auto"/>
                <w:highlight w:val="none"/>
              </w:rPr>
              <w:fldChar w:fldCharType="separate"/>
            </w:r>
            <w:r>
              <w:rPr>
                <w:rFonts w:ascii="宋体" w:hAnsi="宋体" w:eastAsia="宋体"/>
                <w:color w:val="auto"/>
                <w:sz w:val="21"/>
                <w:szCs w:val="21"/>
                <w:highlight w:val="none"/>
              </w:rPr>
              <w:t xml:space="preserve">附件1：供应商情况表</w:t>
            </w:r>
            <w:r>
              <w:rPr>
                <w:color w:val="auto"/>
                <w:highlight w:val="none"/>
              </w:rP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741"/>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响应承诺函</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741"/>
              <w:ind w:firstLine="0"/>
              <w:rPr>
                <w:rFonts w:ascii="宋体" w:hAnsi="宋体" w:eastAsia="宋体"/>
                <w:color w:val="auto"/>
                <w:sz w:val="21"/>
                <w:szCs w:val="21"/>
                <w:highlight w:val="none"/>
              </w:rPr>
            </w:pPr>
            <w:r>
              <w:rPr>
                <w:color w:val="auto"/>
                <w:highlight w:val="none"/>
              </w:rPr>
              <w:fldChar w:fldCharType="begin"/>
            </w:r>
            <w:r>
              <w:rPr>
                <w:color w:val="auto"/>
                <w:highlight w:val="none"/>
              </w:rPr>
              <w:instrText xml:space="preserve"> REF _Ref33617519 \h  \* MERGEFORMAT </w:instrText>
            </w:r>
            <w:r>
              <w:rPr>
                <w:color w:val="auto"/>
                <w:highlight w:val="none"/>
              </w:rPr>
              <w:fldChar w:fldCharType="separate"/>
            </w:r>
            <w:r>
              <w:rPr>
                <w:rFonts w:ascii="宋体" w:hAnsi="宋体" w:eastAsia="宋体"/>
                <w:color w:val="auto"/>
                <w:sz w:val="21"/>
                <w:szCs w:val="21"/>
                <w:highlight w:val="none"/>
              </w:rPr>
              <w:t xml:space="preserve">附件2：响应</w:t>
            </w:r>
            <w:r>
              <w:rPr>
                <w:rFonts w:hint="eastAsia" w:ascii="宋体" w:hAnsi="宋体" w:eastAsia="宋体"/>
                <w:color w:val="auto"/>
                <w:sz w:val="21"/>
                <w:szCs w:val="21"/>
                <w:highlight w:val="none"/>
              </w:rPr>
              <w:t xml:space="preserve">承诺</w:t>
            </w:r>
            <w:r>
              <w:rPr>
                <w:rFonts w:ascii="宋体" w:hAnsi="宋体" w:eastAsia="宋体"/>
                <w:color w:val="auto"/>
                <w:sz w:val="21"/>
                <w:szCs w:val="21"/>
                <w:highlight w:val="none"/>
              </w:rPr>
              <w:t xml:space="preserve">函</w:t>
            </w:r>
            <w:r>
              <w:rPr>
                <w:color w:val="auto"/>
                <w:highlight w:val="none"/>
              </w:rP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741"/>
              <w:ind w:left="420" w:hanging="42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中小企业声明函</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741"/>
              <w:ind w:firstLine="0"/>
              <w:rPr>
                <w:rFonts w:ascii="宋体" w:hAnsi="宋体" w:eastAsia="宋体"/>
                <w:color w:val="auto"/>
                <w:sz w:val="21"/>
                <w:szCs w:val="21"/>
                <w:highlight w:val="none"/>
              </w:rPr>
            </w:pPr>
            <w:r>
              <w:rPr>
                <w:color w:val="auto"/>
                <w:highlight w:val="none"/>
              </w:rPr>
              <w:fldChar w:fldCharType="begin"/>
            </w:r>
            <w:r>
              <w:rPr>
                <w:color w:val="auto"/>
                <w:highlight w:val="none"/>
              </w:rPr>
              <w:instrText xml:space="preserve"> REF _Ref33617527 \h  \* MERGEFORMAT </w:instrText>
            </w:r>
            <w:r>
              <w:rPr>
                <w:color w:val="auto"/>
                <w:highlight w:val="none"/>
              </w:rPr>
              <w:fldChar w:fldCharType="separate"/>
            </w:r>
            <w:r>
              <w:rPr>
                <w:rFonts w:ascii="宋体" w:hAnsi="宋体" w:eastAsia="宋体"/>
                <w:color w:val="auto"/>
                <w:sz w:val="21"/>
                <w:szCs w:val="21"/>
                <w:highlight w:val="none"/>
              </w:rPr>
              <w:t xml:space="preserve">附件</w:t>
            </w: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：中小企业声明函</w:t>
            </w:r>
            <w:r>
              <w:rPr>
                <w:color w:val="auto"/>
                <w:highlight w:val="none"/>
              </w:rP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741"/>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残疾人福利性单位声明函</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741"/>
              <w:ind w:firstLine="0"/>
              <w:rPr>
                <w:rFonts w:ascii="宋体" w:hAnsi="宋体" w:eastAsia="宋体"/>
                <w:color w:val="auto"/>
                <w:sz w:val="21"/>
                <w:szCs w:val="21"/>
                <w:highlight w:val="none"/>
              </w:rPr>
            </w:pPr>
            <w:r>
              <w:rPr>
                <w:color w:val="auto"/>
                <w:highlight w:val="none"/>
              </w:rPr>
              <w:fldChar w:fldCharType="begin"/>
            </w:r>
            <w:r>
              <w:rPr>
                <w:color w:val="auto"/>
                <w:highlight w:val="none"/>
              </w:rPr>
              <w:instrText xml:space="preserve"> REF _Ref33617531 \h  \* MERGEFORMAT </w:instrText>
            </w:r>
            <w:r>
              <w:rPr>
                <w:color w:val="auto"/>
                <w:highlight w:val="none"/>
              </w:rPr>
              <w:fldChar w:fldCharType="separate"/>
            </w:r>
            <w:r>
              <w:rPr>
                <w:rFonts w:ascii="宋体" w:hAnsi="宋体" w:eastAsia="宋体"/>
                <w:color w:val="auto"/>
                <w:sz w:val="21"/>
                <w:szCs w:val="21"/>
                <w:highlight w:val="none"/>
              </w:rPr>
              <w:t xml:space="preserve">附件</w:t>
            </w:r>
            <w:r>
              <w:rPr>
                <w:rFonts w:hint="eastAsia" w:ascii="宋体" w:hAnsi="宋体" w:eastAsia="宋体"/>
                <w:color w:val="auto"/>
                <w:sz w:val="21"/>
                <w:szCs w:val="21"/>
                <w:highlight w:val="none"/>
              </w:rPr>
              <w:t xml:space="preserve">4</w:t>
            </w:r>
            <w:r>
              <w:rPr>
                <w:rFonts w:ascii="宋体" w:hAnsi="宋体" w:eastAsia="宋体"/>
                <w:color w:val="auto"/>
                <w:sz w:val="21"/>
                <w:szCs w:val="21"/>
                <w:highlight w:val="none"/>
              </w:rPr>
              <w:t xml:space="preserve">：残疾人福利性单位声明函</w:t>
            </w:r>
            <w:r>
              <w:rPr>
                <w:color w:val="auto"/>
                <w:highlight w:val="none"/>
              </w:rP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741"/>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法定代表人授权委托书</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741"/>
              <w:ind w:firstLine="0"/>
              <w:rPr>
                <w:rFonts w:ascii="宋体" w:hAnsi="宋体" w:eastAsia="宋体"/>
                <w:color w:val="auto"/>
                <w:sz w:val="21"/>
                <w:szCs w:val="21"/>
                <w:highlight w:val="none"/>
              </w:rPr>
            </w:pPr>
            <w:r>
              <w:rPr>
                <w:color w:val="auto"/>
                <w:highlight w:val="none"/>
              </w:rPr>
              <w:fldChar w:fldCharType="begin"/>
            </w:r>
            <w:r>
              <w:rPr>
                <w:color w:val="auto"/>
                <w:highlight w:val="none"/>
              </w:rPr>
              <w:instrText xml:space="preserve"> REF _Ref33617535 \h  \* MERGEFORMAT </w:instrText>
            </w:r>
            <w:r>
              <w:rPr>
                <w:color w:val="auto"/>
                <w:highlight w:val="none"/>
              </w:rPr>
              <w:fldChar w:fldCharType="separate"/>
            </w:r>
            <w:r>
              <w:rPr>
                <w:rFonts w:ascii="宋体" w:hAnsi="宋体" w:eastAsia="宋体"/>
                <w:color w:val="auto"/>
                <w:sz w:val="21"/>
                <w:szCs w:val="21"/>
                <w:highlight w:val="none"/>
              </w:rPr>
              <w:t xml:space="preserve">附件</w:t>
            </w: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：法定代表人授权委托书:</w:t>
            </w:r>
            <w:r>
              <w:rPr>
                <w:color w:val="auto"/>
                <w:highlight w:val="none"/>
              </w:rP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741"/>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开标一览表</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741"/>
              <w:ind w:firstLine="0"/>
              <w:rPr>
                <w:rFonts w:ascii="宋体" w:hAnsi="宋体" w:eastAsia="宋体"/>
                <w:color w:val="auto"/>
                <w:sz w:val="21"/>
                <w:szCs w:val="21"/>
                <w:highlight w:val="none"/>
              </w:rPr>
            </w:pPr>
            <w:r>
              <w:rPr>
                <w:color w:val="auto"/>
                <w:highlight w:val="none"/>
              </w:rPr>
              <w:fldChar w:fldCharType="begin"/>
            </w:r>
            <w:r>
              <w:rPr>
                <w:color w:val="auto"/>
                <w:highlight w:val="none"/>
              </w:rPr>
              <w:instrText xml:space="preserve"> REF _Ref15302750 \h  \* MERGEFORMAT </w:instrText>
            </w:r>
            <w:r>
              <w:rPr>
                <w:color w:val="auto"/>
                <w:highlight w:val="none"/>
              </w:rPr>
              <w:fldChar w:fldCharType="separate"/>
            </w:r>
            <w:r>
              <w:rPr>
                <w:rFonts w:ascii="宋体" w:hAnsi="宋体" w:eastAsia="宋体"/>
                <w:color w:val="auto"/>
                <w:sz w:val="21"/>
                <w:szCs w:val="21"/>
                <w:highlight w:val="none"/>
              </w:rPr>
              <w:t xml:space="preserve">附件</w:t>
            </w:r>
            <w:r>
              <w:rPr>
                <w:rFonts w:hint="eastAsia" w:ascii="宋体" w:hAnsi="宋体" w:eastAsia="宋体"/>
                <w:color w:val="auto"/>
                <w:sz w:val="21"/>
                <w:szCs w:val="21"/>
                <w:highlight w:val="none"/>
              </w:rPr>
              <w:t xml:space="preserve">6</w:t>
            </w:r>
            <w:r>
              <w:rPr>
                <w:rFonts w:ascii="宋体" w:hAnsi="宋体" w:eastAsia="宋体"/>
                <w:color w:val="auto"/>
                <w:sz w:val="21"/>
                <w:szCs w:val="21"/>
                <w:highlight w:val="none"/>
              </w:rPr>
              <w:t xml:space="preserve">：开标一览表</w:t>
            </w:r>
            <w:r>
              <w:rPr>
                <w:color w:val="auto"/>
                <w:highlight w:val="none"/>
              </w:rPr>
              <w:fldChar w:fldCharType="end"/>
            </w:r>
            <w:r/>
          </w:p>
        </w:tc>
      </w:tr>
      <w:tr>
        <w:trPr>
          <w:trHeight w:val="685"/>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741"/>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报价分析表</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741"/>
              <w:ind w:firstLine="0"/>
              <w:rPr>
                <w:rFonts w:ascii="宋体" w:hAnsi="宋体" w:eastAsia="宋体"/>
                <w:color w:val="auto"/>
                <w:sz w:val="21"/>
                <w:szCs w:val="21"/>
                <w:highlight w:val="none"/>
              </w:rPr>
            </w:pPr>
            <w:r>
              <w:rPr>
                <w:color w:val="auto"/>
                <w:highlight w:val="none"/>
              </w:rPr>
              <w:fldChar w:fldCharType="begin"/>
            </w:r>
            <w:r>
              <w:rPr>
                <w:color w:val="auto"/>
                <w:highlight w:val="none"/>
              </w:rPr>
              <w:instrText xml:space="preserve"> REF _Ref15304724 \h  \* MERGEFORMAT </w:instrText>
            </w:r>
            <w:r>
              <w:rPr>
                <w:color w:val="auto"/>
                <w:highlight w:val="none"/>
              </w:rPr>
              <w:fldChar w:fldCharType="separate"/>
            </w:r>
            <w:r>
              <w:rPr>
                <w:rFonts w:ascii="宋体" w:hAnsi="宋体" w:eastAsia="宋体"/>
                <w:color w:val="auto"/>
                <w:sz w:val="21"/>
                <w:szCs w:val="21"/>
                <w:highlight w:val="none"/>
              </w:rPr>
              <w:br w:type="column"/>
            </w:r>
            <w:r>
              <w:rPr>
                <w:rFonts w:ascii="宋体" w:hAnsi="宋体" w:eastAsia="宋体"/>
                <w:color w:val="auto"/>
                <w:sz w:val="21"/>
                <w:szCs w:val="21"/>
                <w:highlight w:val="none"/>
              </w:rPr>
              <w:t xml:space="preserve">附件</w:t>
            </w:r>
            <w:r>
              <w:rPr>
                <w:rFonts w:hint="eastAsia" w:ascii="宋体" w:hAnsi="宋体" w:eastAsia="宋体"/>
                <w:color w:val="auto"/>
                <w:sz w:val="21"/>
                <w:szCs w:val="21"/>
                <w:highlight w:val="none"/>
              </w:rPr>
              <w:t xml:space="preserve">7</w:t>
            </w:r>
            <w:r>
              <w:rPr>
                <w:rFonts w:ascii="宋体" w:hAnsi="宋体" w:eastAsia="宋体"/>
                <w:color w:val="auto"/>
                <w:sz w:val="21"/>
                <w:szCs w:val="21"/>
                <w:highlight w:val="none"/>
              </w:rPr>
              <w:t xml:space="preserve">：报价分析表</w:t>
            </w:r>
            <w:r>
              <w:rPr>
                <w:color w:val="auto"/>
                <w:highlight w:val="none"/>
              </w:rP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741"/>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相关业绩一览表</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741"/>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附件</w:t>
            </w:r>
            <w:r>
              <w:rPr>
                <w:rFonts w:ascii="宋体" w:hAnsi="宋体" w:eastAsia="宋体"/>
                <w:color w:val="auto"/>
                <w:sz w:val="21"/>
                <w:szCs w:val="21"/>
                <w:highlight w:val="none"/>
              </w:rPr>
              <w:t xml:space="preserve">8</w:t>
            </w:r>
            <w:r>
              <w:rPr>
                <w:rFonts w:hint="eastAsia" w:ascii="宋体" w:hAnsi="宋体" w:eastAsia="宋体"/>
                <w:color w:val="auto"/>
                <w:sz w:val="21"/>
                <w:szCs w:val="21"/>
                <w:highlight w:val="none"/>
              </w:rPr>
              <w:t xml:space="preserve">：相关业绩一览表</w:t>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741"/>
              <w:ind w:firstLine="0"/>
              <w:rPr>
                <w:rFonts w:ascii="宋体" w:hAnsi="宋体" w:eastAsia="宋体"/>
                <w:color w:val="auto"/>
                <w:sz w:val="21"/>
                <w:szCs w:val="21"/>
                <w:highlight w:val="none"/>
              </w:rPr>
            </w:pPr>
            <w:r>
              <w:rPr>
                <w:rFonts w:hint="eastAsia" w:ascii="宋体" w:hAnsi="宋体" w:eastAsia="宋体" w:cs="Times New Roman"/>
                <w:color w:val="auto"/>
                <w:sz w:val="21"/>
                <w:szCs w:val="21"/>
                <w:highlight w:val="none"/>
                <w:lang w:val="en-US" w:eastAsia="zh-CN"/>
              </w:rPr>
              <w:t xml:space="preserve">拟投入人员及设备配置一览表</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741"/>
              <w:ind w:firstLine="0"/>
              <w:rPr>
                <w:rFonts w:hint="default" w:ascii="宋体" w:hAnsi="宋体" w:eastAsia="宋体"/>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附件9：拟投入人员及设备配置一览表</w:t>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741"/>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偏离表</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left"/>
              <w:widowControl/>
              <w:rPr>
                <w:rFonts w:ascii="宋体" w:hAnsi="宋体"/>
                <w:b/>
                <w:bCs/>
                <w:color w:val="auto"/>
                <w:szCs w:val="21"/>
                <w:highlight w:val="none"/>
              </w:rPr>
            </w:pPr>
            <w:r>
              <w:rPr>
                <w:color w:val="auto"/>
                <w:highlight w:val="none"/>
              </w:rPr>
              <w:fldChar w:fldCharType="begin"/>
            </w:r>
            <w:r>
              <w:rPr>
                <w:color w:val="auto"/>
                <w:highlight w:val="none"/>
              </w:rPr>
              <w:instrText xml:space="preserve"> REF _Ref33617553 \h  \* MERGEFORMAT </w:instrText>
            </w:r>
            <w:r>
              <w:rPr>
                <w:color w:val="auto"/>
                <w:highlight w:val="none"/>
              </w:rPr>
              <w:fldChar w:fldCharType="separate"/>
            </w:r>
            <w:r>
              <w:rPr>
                <w:rFonts w:ascii="宋体" w:hAnsi="宋体"/>
                <w:color w:val="auto"/>
                <w:szCs w:val="21"/>
                <w:highlight w:val="none"/>
              </w:rPr>
              <w:br w:type="page" w:clear="all"/>
            </w:r>
            <w:r>
              <w:rPr>
                <w:rFonts w:hint="eastAsia" w:ascii="宋体" w:hAnsi="宋体"/>
                <w:color w:val="auto"/>
                <w:szCs w:val="21"/>
                <w:highlight w:val="none"/>
              </w:rPr>
              <w:t xml:space="preserve">附件</w:t>
            </w:r>
            <w:r>
              <w:rPr>
                <w:rFonts w:ascii="宋体" w:hAnsi="宋体"/>
                <w:color w:val="auto"/>
                <w:szCs w:val="21"/>
                <w:highlight w:val="none"/>
              </w:rPr>
              <w:t xml:space="preserve">1</w:t>
            </w:r>
            <w:r>
              <w:rPr>
                <w:rFonts w:hint="eastAsia" w:ascii="宋体" w:hAnsi="宋体"/>
                <w:color w:val="auto"/>
                <w:szCs w:val="21"/>
                <w:highlight w:val="none"/>
                <w:lang w:val="en-US" w:eastAsia="zh-CN"/>
              </w:rPr>
              <w:t xml:space="preserve">0</w:t>
            </w:r>
            <w:r>
              <w:rPr>
                <w:rFonts w:ascii="宋体" w:hAnsi="宋体"/>
                <w:color w:val="auto"/>
                <w:szCs w:val="21"/>
                <w:highlight w:val="none"/>
              </w:rPr>
              <w:t xml:space="preserve">：偏离表（技术、商务）</w:t>
            </w:r>
            <w:r>
              <w:rPr>
                <w:color w:val="auto"/>
                <w:highlight w:val="none"/>
              </w:rP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741"/>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资格证明声明函</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left"/>
              <w:widowControl/>
              <w:rPr>
                <w:color w:val="auto"/>
                <w:highlight w:val="none"/>
              </w:rPr>
            </w:pPr>
            <w:r>
              <w:rPr>
                <w:rFonts w:hint="eastAsia"/>
                <w:color w:val="auto"/>
                <w:highlight w:val="none"/>
              </w:rPr>
              <w:t xml:space="preserve">附件</w:t>
            </w:r>
            <w:r>
              <w:rPr>
                <w:color w:val="auto"/>
                <w:highlight w:val="none"/>
              </w:rPr>
              <w:t xml:space="preserve">1</w:t>
            </w:r>
            <w:r>
              <w:rPr>
                <w:rFonts w:hint="eastAsia"/>
                <w:color w:val="auto"/>
                <w:highlight w:val="none"/>
                <w:lang w:val="en-US" w:eastAsia="zh-CN"/>
              </w:rPr>
              <w:t xml:space="preserve">1</w:t>
            </w:r>
            <w:r>
              <w:rPr>
                <w:rFonts w:hint="eastAsia"/>
                <w:color w:val="auto"/>
                <w:highlight w:val="none"/>
              </w:rPr>
              <w:t xml:space="preserve">：</w:t>
            </w:r>
            <w:r>
              <w:rPr>
                <w:rFonts w:hint="eastAsia" w:ascii="宋体" w:hAnsi="宋体"/>
                <w:color w:val="auto"/>
                <w:szCs w:val="21"/>
                <w:highlight w:val="none"/>
              </w:rPr>
              <w:t xml:space="preserve">资格证明声明函</w:t>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741"/>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远程参与开标会议诚信承诺书</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left"/>
              <w:widowControl/>
              <w:rPr>
                <w:color w:val="auto"/>
                <w:highlight w:val="none"/>
              </w:rPr>
            </w:pPr>
            <w:r>
              <w:rPr>
                <w:rFonts w:hint="eastAsia"/>
                <w:color w:val="auto"/>
                <w:highlight w:val="none"/>
              </w:rPr>
              <w:t xml:space="preserve">附件</w:t>
            </w:r>
            <w:r>
              <w:rPr>
                <w:color w:val="auto"/>
                <w:highlight w:val="none"/>
              </w:rPr>
              <w:t xml:space="preserve">1</w:t>
            </w:r>
            <w:r>
              <w:rPr>
                <w:rFonts w:hint="eastAsia"/>
                <w:color w:val="auto"/>
                <w:highlight w:val="none"/>
                <w:lang w:val="en-US" w:eastAsia="zh-CN"/>
              </w:rPr>
              <w:t xml:space="preserve">2</w:t>
            </w:r>
            <w:r>
              <w:rPr>
                <w:rFonts w:hint="eastAsia"/>
                <w:color w:val="auto"/>
                <w:highlight w:val="none"/>
              </w:rPr>
              <w:t xml:space="preserve">：</w:t>
            </w:r>
            <w:r>
              <w:rPr>
                <w:color w:val="auto"/>
                <w:szCs w:val="21"/>
                <w:highlight w:val="none"/>
              </w:rPr>
              <w:t xml:space="preserve">远程参与开标会议诚信承诺书</w:t>
            </w:r>
            <w:bookmarkEnd w:id="22"/>
            <w:r/>
            <w:r/>
          </w:p>
        </w:tc>
      </w:tr>
    </w:tbl>
    <w:p>
      <w:pPr>
        <w:pStyle w:val="741"/>
        <w:ind w:firstLine="0"/>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说明：</w:t>
      </w:r>
      <w:r/>
    </w:p>
    <w:p>
      <w:pPr>
        <w:pStyle w:val="741"/>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对本章的格式</w:t>
      </w:r>
      <w:r>
        <w:rPr>
          <w:rFonts w:ascii="宋体" w:hAnsi="宋体" w:eastAsia="宋体"/>
          <w:b/>
          <w:color w:val="auto"/>
          <w:sz w:val="21"/>
          <w:szCs w:val="21"/>
          <w:highlight w:val="none"/>
        </w:rPr>
        <w:t xml:space="preserve">，</w:t>
      </w:r>
      <w:r>
        <w:rPr>
          <w:rFonts w:hint="eastAsia" w:ascii="宋体" w:hAnsi="宋体" w:eastAsia="宋体"/>
          <w:b/>
          <w:color w:val="auto"/>
          <w:sz w:val="21"/>
          <w:szCs w:val="21"/>
          <w:highlight w:val="none"/>
        </w:rPr>
        <w:t xml:space="preserve">供应商</w:t>
      </w:r>
      <w:r>
        <w:rPr>
          <w:rFonts w:ascii="宋体" w:hAnsi="宋体" w:eastAsia="宋体"/>
          <w:b/>
          <w:color w:val="auto"/>
          <w:sz w:val="21"/>
          <w:szCs w:val="21"/>
          <w:highlight w:val="none"/>
        </w:rPr>
        <w:t xml:space="preserve">可根据自身情况进行补充和修改，但补充和修改不得造成与本格式内容有实质性的违背。</w:t>
      </w:r>
      <w:r/>
    </w:p>
    <w:p>
      <w:pPr>
        <w:rPr>
          <w:color w:val="auto"/>
          <w:highlight w:val="none"/>
        </w:rPr>
      </w:pPr>
      <w:r>
        <w:rPr>
          <w:color w:val="auto"/>
          <w:highlight w:val="none"/>
        </w:rPr>
        <w:br w:type="page" w:clear="all"/>
      </w:r>
      <w:r/>
    </w:p>
    <w:p>
      <w:pPr>
        <w:pStyle w:val="729"/>
        <w:rPr>
          <w:rFonts w:ascii="宋体" w:hAnsi="宋体" w:eastAsia="宋体"/>
          <w:color w:val="auto"/>
          <w:sz w:val="24"/>
          <w:szCs w:val="24"/>
          <w:highlight w:val="none"/>
        </w:rPr>
      </w:pPr>
      <w:r/>
      <w:bookmarkStart w:id="23" w:name="_Ref10712456"/>
      <w:r/>
      <w:bookmarkStart w:id="24" w:name="_Toc500143975"/>
      <w:r/>
      <w:bookmarkStart w:id="25" w:name="_Toc519686649"/>
      <w:r/>
      <w:bookmarkStart w:id="26" w:name="_Ref499899149"/>
      <w:r/>
      <w:bookmarkStart w:id="27" w:name="_Ref15302730"/>
      <w:r/>
      <w:bookmarkStart w:id="28" w:name="_Toc166487075"/>
      <w:r/>
      <w:bookmarkStart w:id="29" w:name="_Toc130478801"/>
      <w:r/>
      <w:bookmarkStart w:id="30" w:name="_Toc166488925"/>
      <w:r/>
      <w:bookmarkStart w:id="31" w:name="_Toc98785116"/>
      <w:r/>
      <w:bookmarkStart w:id="32" w:name="_Ref477865927"/>
      <w:r>
        <w:rPr>
          <w:rFonts w:ascii="宋体" w:hAnsi="宋体" w:eastAsia="宋体"/>
          <w:color w:val="auto"/>
          <w:sz w:val="24"/>
          <w:szCs w:val="24"/>
          <w:highlight w:val="none"/>
        </w:rPr>
        <w:t xml:space="preserve">附件1：</w:t>
      </w:r>
      <w:bookmarkEnd w:id="23"/>
      <w:r/>
      <w:bookmarkEnd w:id="24"/>
      <w:r/>
      <w:bookmarkEnd w:id="25"/>
      <w:r/>
      <w:bookmarkEnd w:id="26"/>
      <w:r>
        <w:rPr>
          <w:rFonts w:ascii="宋体" w:hAnsi="宋体" w:eastAsia="宋体"/>
          <w:color w:val="auto"/>
          <w:sz w:val="24"/>
          <w:szCs w:val="24"/>
          <w:highlight w:val="none"/>
        </w:rPr>
        <w:t xml:space="preserve">供应商情况表</w:t>
      </w:r>
      <w:bookmarkEnd w:id="27"/>
      <w:r/>
      <w:bookmarkEnd w:id="28"/>
      <w:r/>
      <w:bookmarkEnd w:id="29"/>
      <w:r/>
      <w:bookmarkEnd w:id="30"/>
      <w:r/>
      <w:bookmarkEnd w:id="31"/>
      <w:r/>
      <w:r/>
    </w:p>
    <w:p>
      <w:pPr>
        <w:jc w:val="center"/>
        <w:rPr>
          <w:color w:val="auto"/>
          <w:highlight w:val="none"/>
        </w:rPr>
      </w:pPr>
      <w:r>
        <w:rPr>
          <w:rFonts w:hint="eastAsia"/>
          <w:color w:val="auto"/>
          <w:highlight w:val="none"/>
        </w:rPr>
        <w:t xml:space="preserve">供应商情况表</w:t>
      </w:r>
      <w:r/>
    </w:p>
    <w:p>
      <w:pPr>
        <w:spacing w:line="300" w:lineRule="auto"/>
        <w:rPr>
          <w:rFonts w:ascii="宋体" w:hAnsi="宋体"/>
          <w:color w:val="auto"/>
          <w:szCs w:val="21"/>
          <w:highlight w:val="none"/>
        </w:rPr>
      </w:pPr>
      <w:r>
        <w:rPr>
          <w:rFonts w:ascii="宋体" w:hAnsi="宋体"/>
          <w:color w:val="auto"/>
          <w:szCs w:val="21"/>
          <w:highlight w:val="none"/>
        </w:rPr>
        <w:t xml:space="preserve">单位名称（加盖公章）：</w:t>
      </w:r>
      <w:r/>
    </w:p>
    <w:tbl>
      <w:tblPr>
        <w:tblStyle w:val="738"/>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741"/>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w:t>
            </w:r>
            <w:r/>
          </w:p>
        </w:tc>
        <w:tc>
          <w:tcPr>
            <w:gridSpan w:val="2"/>
            <w:tcBorders>
              <w:right w:val="single" w:color="auto" w:sz="4" w:space="0"/>
            </w:tcBorders>
            <w:tcW w:w="1564" w:type="dxa"/>
            <w:vAlign w:val="center"/>
            <w:textDirection w:val="lrTb"/>
            <w:noWrap w:val="false"/>
          </w:tcPr>
          <w:p>
            <w:pPr>
              <w:pStyle w:val="741"/>
              <w:ind w:firstLine="0"/>
              <w:jc w:val="center"/>
              <w:spacing w:line="30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w:t>
            </w:r>
            <w:r/>
          </w:p>
        </w:tc>
        <w:tc>
          <w:tcPr>
            <w:gridSpan w:val="3"/>
            <w:tcBorders>
              <w:left w:val="single" w:color="auto" w:sz="4" w:space="0"/>
            </w:tcBorders>
            <w:tcW w:w="2784" w:type="dxa"/>
            <w:vAlign w:val="center"/>
            <w:textDirection w:val="lrTb"/>
            <w:noWrap w:val="false"/>
          </w:tcPr>
          <w:p>
            <w:pPr>
              <w:pStyle w:val="741"/>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580" w:type="dxa"/>
            <w:vAlign w:val="center"/>
            <w:textDirection w:val="lrTb"/>
            <w:noWrap w:val="false"/>
          </w:tcPr>
          <w:p>
            <w:pPr>
              <w:pStyle w:val="741"/>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公司成立日期</w:t>
            </w:r>
            <w:r/>
          </w:p>
        </w:tc>
        <w:tc>
          <w:tcPr>
            <w:gridSpan w:val="2"/>
            <w:tcW w:w="2764" w:type="dxa"/>
            <w:vAlign w:val="center"/>
            <w:textDirection w:val="lrTb"/>
            <w:noWrap w:val="false"/>
          </w:tcPr>
          <w:p>
            <w:pPr>
              <w:pStyle w:val="741"/>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45"/>
        </w:trPr>
        <w:tc>
          <w:tcPr>
            <w:tcW w:w="650" w:type="dxa"/>
            <w:vAlign w:val="center"/>
            <w:textDirection w:val="lrTb"/>
            <w:noWrap w:val="false"/>
          </w:tcPr>
          <w:p>
            <w:pPr>
              <w:pStyle w:val="741"/>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p>
        </w:tc>
        <w:tc>
          <w:tcPr>
            <w:gridSpan w:val="2"/>
            <w:tcBorders>
              <w:right w:val="single" w:color="auto" w:sz="4" w:space="0"/>
            </w:tcBorders>
            <w:tcW w:w="1564" w:type="dxa"/>
            <w:vAlign w:val="center"/>
            <w:textDirection w:val="lrTb"/>
            <w:noWrap w:val="false"/>
          </w:tcPr>
          <w:p>
            <w:pPr>
              <w:pStyle w:val="741"/>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总部地址</w:t>
            </w:r>
            <w:r/>
          </w:p>
        </w:tc>
        <w:tc>
          <w:tcPr>
            <w:gridSpan w:val="7"/>
            <w:tcBorders>
              <w:left w:val="single" w:color="auto" w:sz="4" w:space="0"/>
            </w:tcBorders>
            <w:tcW w:w="7128" w:type="dxa"/>
            <w:vAlign w:val="center"/>
            <w:textDirection w:val="lrTb"/>
            <w:noWrap w:val="false"/>
          </w:tcPr>
          <w:p>
            <w:pPr>
              <w:pStyle w:val="741"/>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45"/>
        </w:trPr>
        <w:tc>
          <w:tcPr>
            <w:tcW w:w="650" w:type="dxa"/>
            <w:vAlign w:val="center"/>
            <w:textDirection w:val="lrTb"/>
            <w:noWrap w:val="false"/>
          </w:tcPr>
          <w:p>
            <w:pPr>
              <w:pStyle w:val="741"/>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3</w:t>
            </w:r>
            <w:r/>
          </w:p>
        </w:tc>
        <w:tc>
          <w:tcPr>
            <w:gridSpan w:val="2"/>
            <w:tcBorders>
              <w:right w:val="single" w:color="auto" w:sz="4" w:space="0"/>
            </w:tcBorders>
            <w:tcW w:w="1564" w:type="dxa"/>
            <w:vAlign w:val="center"/>
            <w:textDirection w:val="lrTb"/>
            <w:noWrap w:val="false"/>
          </w:tcPr>
          <w:p>
            <w:pPr>
              <w:pStyle w:val="741"/>
              <w:ind w:firstLine="0"/>
              <w:jc w:val="both"/>
              <w:spacing w:line="30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本地办事处</w:t>
            </w:r>
            <w:r>
              <w:rPr>
                <w:rFonts w:ascii="宋体" w:hAnsi="宋体" w:eastAsia="宋体"/>
                <w:color w:val="auto"/>
                <w:sz w:val="21"/>
                <w:szCs w:val="21"/>
                <w:highlight w:val="none"/>
              </w:rPr>
              <w:t xml:space="preserve">地址</w:t>
            </w:r>
            <w:r/>
          </w:p>
        </w:tc>
        <w:tc>
          <w:tcPr>
            <w:gridSpan w:val="7"/>
            <w:tcBorders>
              <w:left w:val="single" w:color="auto" w:sz="4" w:space="0"/>
            </w:tcBorders>
            <w:tcW w:w="7128" w:type="dxa"/>
            <w:vAlign w:val="center"/>
            <w:textDirection w:val="lrTb"/>
            <w:noWrap w:val="false"/>
          </w:tcPr>
          <w:p>
            <w:pPr>
              <w:pStyle w:val="741"/>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45"/>
        </w:trPr>
        <w:tc>
          <w:tcPr>
            <w:tcW w:w="650" w:type="dxa"/>
            <w:vAlign w:val="center"/>
            <w:textDirection w:val="lrTb"/>
            <w:noWrap w:val="false"/>
          </w:tcPr>
          <w:p>
            <w:pPr>
              <w:pStyle w:val="741"/>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4</w:t>
            </w:r>
            <w:r/>
          </w:p>
        </w:tc>
        <w:tc>
          <w:tcPr>
            <w:tcBorders>
              <w:right w:val="single" w:color="auto" w:sz="4" w:space="0"/>
            </w:tcBorders>
            <w:tcW w:w="1088" w:type="dxa"/>
            <w:vAlign w:val="center"/>
            <w:textDirection w:val="lrTb"/>
            <w:noWrap w:val="false"/>
          </w:tcPr>
          <w:p>
            <w:pPr>
              <w:pStyle w:val="741"/>
              <w:ind w:firstLine="0"/>
              <w:spacing w:line="30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联系人</w:t>
            </w:r>
            <w:r/>
          </w:p>
        </w:tc>
        <w:tc>
          <w:tcPr>
            <w:gridSpan w:val="3"/>
            <w:tcBorders>
              <w:left w:val="single" w:color="auto" w:sz="4" w:space="0"/>
            </w:tcBorders>
            <w:tcW w:w="2773" w:type="dxa"/>
            <w:vAlign w:val="center"/>
            <w:textDirection w:val="lrTb"/>
            <w:noWrap w:val="false"/>
          </w:tcPr>
          <w:p>
            <w:pPr>
              <w:pStyle w:val="741"/>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Borders>
              <w:right w:val="single" w:color="auto" w:sz="4" w:space="0"/>
            </w:tcBorders>
            <w:tcW w:w="1289" w:type="dxa"/>
            <w:vAlign w:val="center"/>
            <w:textDirection w:val="lrTb"/>
            <w:noWrap w:val="false"/>
          </w:tcPr>
          <w:p>
            <w:pPr>
              <w:pStyle w:val="741"/>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联系人电话（手机）</w:t>
            </w:r>
            <w:r/>
          </w:p>
        </w:tc>
        <w:tc>
          <w:tcPr>
            <w:gridSpan w:val="3"/>
            <w:tcBorders>
              <w:left w:val="single" w:color="auto" w:sz="4" w:space="0"/>
            </w:tcBorders>
            <w:tcW w:w="3542" w:type="dxa"/>
            <w:vAlign w:val="center"/>
            <w:textDirection w:val="lrTb"/>
            <w:noWrap w:val="false"/>
          </w:tcPr>
          <w:p>
            <w:pPr>
              <w:pStyle w:val="741"/>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25"/>
        </w:trPr>
        <w:tc>
          <w:tcPr>
            <w:tcW w:w="650" w:type="dxa"/>
            <w:vAlign w:val="center"/>
            <w:textDirection w:val="lrTb"/>
            <w:noWrap w:val="false"/>
          </w:tcPr>
          <w:p>
            <w:pPr>
              <w:pStyle w:val="741"/>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5</w:t>
            </w:r>
            <w:r/>
          </w:p>
        </w:tc>
        <w:tc>
          <w:tcPr>
            <w:tcBorders>
              <w:right w:val="single" w:color="auto" w:sz="4" w:space="0"/>
            </w:tcBorders>
            <w:tcW w:w="1088" w:type="dxa"/>
            <w:vAlign w:val="center"/>
            <w:textDirection w:val="lrTb"/>
            <w:noWrap w:val="false"/>
          </w:tcPr>
          <w:p>
            <w:pPr>
              <w:pStyle w:val="741"/>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传真</w:t>
            </w:r>
            <w:r/>
          </w:p>
        </w:tc>
        <w:tc>
          <w:tcPr>
            <w:gridSpan w:val="3"/>
            <w:tcBorders>
              <w:left w:val="single" w:color="auto" w:sz="4" w:space="0"/>
            </w:tcBorders>
            <w:tcW w:w="2773" w:type="dxa"/>
            <w:vAlign w:val="center"/>
            <w:textDirection w:val="lrTb"/>
            <w:noWrap w:val="false"/>
          </w:tcPr>
          <w:p>
            <w:pPr>
              <w:pStyle w:val="741"/>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Borders>
              <w:right w:val="single" w:color="auto" w:sz="4" w:space="0"/>
            </w:tcBorders>
            <w:tcW w:w="1289" w:type="dxa"/>
            <w:vAlign w:val="center"/>
            <w:textDirection w:val="lrTb"/>
            <w:noWrap w:val="false"/>
          </w:tcPr>
          <w:p>
            <w:pPr>
              <w:pStyle w:val="741"/>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电子邮箱</w:t>
            </w:r>
            <w:r/>
          </w:p>
        </w:tc>
        <w:tc>
          <w:tcPr>
            <w:gridSpan w:val="3"/>
            <w:tcBorders>
              <w:left w:val="single" w:color="auto" w:sz="4" w:space="0"/>
            </w:tcBorders>
            <w:tcW w:w="3542" w:type="dxa"/>
            <w:vAlign w:val="center"/>
            <w:textDirection w:val="lrTb"/>
            <w:noWrap w:val="false"/>
          </w:tcPr>
          <w:p>
            <w:pPr>
              <w:pStyle w:val="741"/>
              <w:ind w:firstLine="0"/>
              <w:jc w:val="both"/>
              <w:spacing w:line="300" w:lineRule="auto"/>
              <w:rPr>
                <w:rFonts w:ascii="宋体" w:hAnsi="宋体" w:eastAsia="宋体"/>
                <w:b/>
                <w:color w:val="auto"/>
                <w:sz w:val="18"/>
                <w:szCs w:val="18"/>
                <w:highlight w:val="none"/>
              </w:rPr>
            </w:pPr>
            <w:r>
              <w:rPr>
                <w:rFonts w:hint="eastAsia" w:ascii="宋体" w:hAnsi="宋体" w:eastAsia="宋体"/>
                <w:b/>
                <w:color w:val="auto"/>
                <w:sz w:val="18"/>
                <w:szCs w:val="18"/>
                <w:highlight w:val="none"/>
              </w:rPr>
              <w:t xml:space="preserve">（必填，涉及澄清、解释等的书面形式沟通）</w:t>
            </w:r>
            <w:r/>
          </w:p>
        </w:tc>
      </w:tr>
      <w:tr>
        <w:trPr>
          <w:jc w:val="center"/>
          <w:trHeight w:val="645"/>
        </w:trPr>
        <w:tc>
          <w:tcPr>
            <w:tcW w:w="650" w:type="dxa"/>
            <w:vAlign w:val="center"/>
            <w:textDirection w:val="lrTb"/>
            <w:noWrap w:val="false"/>
          </w:tcPr>
          <w:p>
            <w:pPr>
              <w:pStyle w:val="741"/>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6</w:t>
            </w:r>
            <w:r/>
          </w:p>
        </w:tc>
        <w:tc>
          <w:tcPr>
            <w:tcBorders>
              <w:right w:val="single" w:color="auto" w:sz="4" w:space="0"/>
            </w:tcBorders>
            <w:tcW w:w="1088" w:type="dxa"/>
            <w:vAlign w:val="center"/>
            <w:textDirection w:val="lrTb"/>
            <w:noWrap w:val="false"/>
          </w:tcPr>
          <w:p>
            <w:pPr>
              <w:rPr>
                <w:color w:val="auto"/>
                <w:highlight w:val="none"/>
              </w:rPr>
            </w:pPr>
            <w:r>
              <w:rPr>
                <w:rFonts w:hint="eastAsia"/>
                <w:color w:val="auto"/>
                <w:highlight w:val="none"/>
              </w:rPr>
              <w:t xml:space="preserve">单位从业人员数量</w:t>
            </w:r>
            <w:r/>
          </w:p>
        </w:tc>
        <w:tc>
          <w:tcPr>
            <w:gridSpan w:val="3"/>
            <w:tcBorders>
              <w:left w:val="single" w:color="auto" w:sz="4" w:space="0"/>
            </w:tcBorders>
            <w:tcW w:w="2773" w:type="dxa"/>
            <w:vAlign w:val="center"/>
            <w:textDirection w:val="lrTb"/>
            <w:noWrap w:val="false"/>
          </w:tcPr>
          <w:p>
            <w:pPr>
              <w:pStyle w:val="741"/>
              <w:ind w:firstLine="216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人</w:t>
            </w:r>
            <w:r/>
          </w:p>
        </w:tc>
        <w:tc>
          <w:tcPr>
            <w:gridSpan w:val="4"/>
            <w:tcBorders>
              <w:right w:val="single" w:color="auto" w:sz="4" w:space="0"/>
            </w:tcBorders>
            <w:tcW w:w="2701" w:type="dxa"/>
            <w:vAlign w:val="center"/>
            <w:textDirection w:val="lrTb"/>
            <w:noWrap w:val="false"/>
          </w:tcPr>
          <w:p>
            <w:pPr>
              <w:pStyle w:val="741"/>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单位</w:t>
            </w:r>
            <w:r>
              <w:rPr>
                <w:rFonts w:hint="eastAsia" w:ascii="宋体" w:hAnsi="宋体" w:eastAsia="宋体"/>
                <w:color w:val="auto"/>
                <w:sz w:val="21"/>
                <w:szCs w:val="21"/>
                <w:highlight w:val="none"/>
              </w:rPr>
              <w:t xml:space="preserve">2024</w:t>
            </w:r>
            <w:r>
              <w:rPr>
                <w:rFonts w:ascii="宋体" w:hAnsi="宋体" w:eastAsia="宋体"/>
                <w:color w:val="auto"/>
                <w:sz w:val="21"/>
                <w:szCs w:val="21"/>
                <w:highlight w:val="none"/>
              </w:rPr>
              <w:t xml:space="preserve">年总营业收入</w:t>
            </w:r>
            <w:r/>
          </w:p>
        </w:tc>
        <w:tc>
          <w:tcPr>
            <w:tcBorders>
              <w:left w:val="single" w:color="auto" w:sz="4" w:space="0"/>
            </w:tcBorders>
            <w:tcW w:w="2130" w:type="dxa"/>
            <w:vAlign w:val="center"/>
            <w:textDirection w:val="lrTb"/>
            <w:noWrap w:val="false"/>
          </w:tcPr>
          <w:p>
            <w:pPr>
              <w:pStyle w:val="741"/>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万元</w:t>
            </w:r>
            <w:r/>
          </w:p>
        </w:tc>
      </w:tr>
      <w:tr>
        <w:trPr>
          <w:jc w:val="center"/>
          <w:trHeight w:val="645"/>
        </w:trPr>
        <w:tc>
          <w:tcPr>
            <w:tcW w:w="650" w:type="dxa"/>
            <w:vAlign w:val="center"/>
            <w:textDirection w:val="lrTb"/>
            <w:noWrap w:val="false"/>
          </w:tcPr>
          <w:p>
            <w:pPr>
              <w:pStyle w:val="741"/>
              <w:ind w:firstLine="0"/>
              <w:jc w:val="center"/>
              <w:spacing w:line="30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w:t>
            </w:r>
            <w:r/>
          </w:p>
        </w:tc>
        <w:tc>
          <w:tcPr>
            <w:tcBorders>
              <w:right w:val="single" w:color="auto" w:sz="4" w:space="0"/>
            </w:tcBorders>
            <w:tcW w:w="1088" w:type="dxa"/>
            <w:vAlign w:val="center"/>
            <w:textDirection w:val="lrTb"/>
            <w:noWrap w:val="false"/>
          </w:tcPr>
          <w:p>
            <w:pPr>
              <w:rPr>
                <w:color w:val="auto"/>
                <w:highlight w:val="none"/>
              </w:rPr>
            </w:pPr>
            <w:r>
              <w:rPr>
                <w:rFonts w:hint="eastAsia"/>
                <w:color w:val="auto"/>
                <w:highlight w:val="none"/>
              </w:rPr>
              <w:t xml:space="preserve">企业规模</w:t>
            </w:r>
            <w:r/>
          </w:p>
        </w:tc>
        <w:tc>
          <w:tcPr>
            <w:gridSpan w:val="8"/>
            <w:tcBorders>
              <w:left w:val="single" w:color="auto" w:sz="4" w:space="0"/>
            </w:tcBorders>
            <w:tcW w:w="7604" w:type="dxa"/>
            <w:vAlign w:val="center"/>
            <w:textDirection w:val="lrTb"/>
            <w:noWrap w:val="false"/>
          </w:tcPr>
          <w:p>
            <w:pPr>
              <w:ind w:firstLine="1050"/>
              <w:rPr>
                <w:rFonts w:ascii="宋体" w:hAnsi="宋体"/>
                <w:color w:val="auto"/>
                <w:szCs w:val="21"/>
                <w:highlight w:val="none"/>
              </w:rPr>
            </w:pPr>
            <w:r>
              <w:rPr>
                <w:rFonts w:hint="eastAsia"/>
                <w:color w:val="auto"/>
                <w:highlight w:val="none"/>
              </w:rPr>
              <w:t xml:space="preserve">□大型 </w:t>
            </w:r>
            <w:r>
              <w:rPr>
                <w:color w:val="auto"/>
                <w:highlight w:val="none"/>
              </w:rPr>
              <w:t xml:space="preserve">      </w:t>
            </w:r>
            <w:r>
              <w:rPr>
                <w:rFonts w:hint="eastAsia"/>
                <w:color w:val="auto"/>
                <w:highlight w:val="none"/>
              </w:rPr>
              <w:t xml:space="preserve">□中型 </w:t>
            </w:r>
            <w:r>
              <w:rPr>
                <w:color w:val="auto"/>
                <w:highlight w:val="none"/>
              </w:rPr>
              <w:t xml:space="preserve">      </w:t>
            </w:r>
            <w:r>
              <w:rPr>
                <w:rFonts w:hint="eastAsia"/>
                <w:color w:val="auto"/>
                <w:highlight w:val="none"/>
              </w:rPr>
              <w:t xml:space="preserve">□小型 </w:t>
            </w:r>
            <w:r>
              <w:rPr>
                <w:color w:val="auto"/>
                <w:highlight w:val="none"/>
              </w:rPr>
              <w:t xml:space="preserve">   </w:t>
            </w:r>
            <w:r>
              <w:rPr>
                <w:rFonts w:hint="eastAsia"/>
                <w:color w:val="auto"/>
                <w:highlight w:val="none"/>
              </w:rPr>
              <w:t xml:space="preserve"> </w:t>
            </w:r>
            <w:r>
              <w:rPr>
                <w:color w:val="auto"/>
                <w:highlight w:val="none"/>
              </w:rPr>
              <w:t xml:space="preserve">  </w:t>
            </w:r>
            <w:r>
              <w:rPr>
                <w:rFonts w:hint="eastAsia"/>
                <w:color w:val="auto"/>
                <w:highlight w:val="none"/>
              </w:rPr>
              <w:t xml:space="preserve">□微型</w:t>
            </w:r>
            <w:r/>
          </w:p>
        </w:tc>
      </w:tr>
      <w:tr>
        <w:trPr>
          <w:jc w:val="center"/>
          <w:trHeight w:val="1767"/>
        </w:trPr>
        <w:tc>
          <w:tcPr>
            <w:tcW w:w="650" w:type="dxa"/>
            <w:vAlign w:val="center"/>
            <w:textDirection w:val="lrTb"/>
            <w:noWrap w:val="false"/>
          </w:tcPr>
          <w:p>
            <w:pPr>
              <w:pStyle w:val="741"/>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8</w:t>
            </w:r>
            <w:r/>
          </w:p>
        </w:tc>
        <w:tc>
          <w:tcPr>
            <w:gridSpan w:val="9"/>
            <w:tcW w:w="8692" w:type="dxa"/>
            <w:vAlign w:val="center"/>
            <w:textDirection w:val="lrTb"/>
            <w:noWrap w:val="false"/>
          </w:tcPr>
          <w:p>
            <w:pPr>
              <w:pStyle w:val="741"/>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主营范围</w:t>
            </w:r>
            <w:r/>
          </w:p>
          <w:p>
            <w:pPr>
              <w:pStyle w:val="741"/>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1、_____________________________________</w:t>
            </w:r>
            <w:r/>
          </w:p>
          <w:p>
            <w:pPr>
              <w:pStyle w:val="741"/>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2、_____________________________________</w:t>
            </w:r>
            <w:r/>
          </w:p>
          <w:p>
            <w:pPr>
              <w:pStyle w:val="741"/>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w:t>
            </w:r>
            <w:r>
              <w:rPr>
                <w:rFonts w:ascii="宋体" w:hAnsi="宋体" w:eastAsia="宋体"/>
                <w:b/>
                <w:bCs/>
                <w:color w:val="auto"/>
                <w:sz w:val="21"/>
                <w:szCs w:val="21"/>
                <w:highlight w:val="none"/>
              </w:rPr>
              <w:t xml:space="preserve">_____________________________________</w:t>
            </w:r>
            <w:r/>
          </w:p>
        </w:tc>
      </w:tr>
      <w:tr>
        <w:trPr>
          <w:jc w:val="center"/>
          <w:trHeight w:val="1548"/>
        </w:trPr>
        <w:tc>
          <w:tcPr>
            <w:tcW w:w="650" w:type="dxa"/>
            <w:vAlign w:val="center"/>
            <w:textDirection w:val="lrTb"/>
            <w:noWrap w:val="false"/>
          </w:tcPr>
          <w:p>
            <w:pPr>
              <w:pStyle w:val="741"/>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9</w:t>
            </w:r>
            <w:r/>
          </w:p>
        </w:tc>
        <w:tc>
          <w:tcPr>
            <w:gridSpan w:val="3"/>
            <w:tcW w:w="2445" w:type="dxa"/>
            <w:textDirection w:val="lrTb"/>
            <w:noWrap w:val="false"/>
          </w:tcPr>
          <w:p>
            <w:pPr>
              <w:pStyle w:val="741"/>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最近3年内在经营过程中受到何种奖励或处分</w:t>
            </w:r>
            <w:r/>
          </w:p>
        </w:tc>
        <w:tc>
          <w:tcPr>
            <w:gridSpan w:val="6"/>
            <w:tcW w:w="6247" w:type="dxa"/>
            <w:textDirection w:val="lrTb"/>
            <w:noWrap w:val="false"/>
          </w:tcPr>
          <w:p>
            <w:pPr>
              <w:pStyle w:val="741"/>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18"/>
        </w:trPr>
        <w:tc>
          <w:tcPr>
            <w:tcW w:w="650" w:type="dxa"/>
            <w:vAlign w:val="center"/>
            <w:textDirection w:val="lrTb"/>
            <w:noWrap w:val="false"/>
          </w:tcPr>
          <w:p>
            <w:pPr>
              <w:pStyle w:val="741"/>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10</w:t>
            </w:r>
            <w:r/>
          </w:p>
        </w:tc>
        <w:tc>
          <w:tcPr>
            <w:gridSpan w:val="3"/>
            <w:tcW w:w="2445" w:type="dxa"/>
            <w:textDirection w:val="lrTb"/>
            <w:noWrap w:val="false"/>
          </w:tcPr>
          <w:p>
            <w:pPr>
              <w:pStyle w:val="741"/>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最近3年内有无因售假、售劣或是其他原因被消费者投诉或起诉的情况及说明</w:t>
            </w:r>
            <w:r/>
          </w:p>
        </w:tc>
        <w:tc>
          <w:tcPr>
            <w:gridSpan w:val="6"/>
            <w:tcW w:w="6247" w:type="dxa"/>
            <w:textDirection w:val="lrTb"/>
            <w:noWrap w:val="false"/>
          </w:tcPr>
          <w:p>
            <w:pPr>
              <w:pStyle w:val="741"/>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1392"/>
        </w:trPr>
        <w:tc>
          <w:tcPr>
            <w:tcW w:w="650" w:type="dxa"/>
            <w:vAlign w:val="center"/>
            <w:textDirection w:val="lrTb"/>
            <w:noWrap w:val="false"/>
          </w:tcPr>
          <w:p>
            <w:pPr>
              <w:pStyle w:val="741"/>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11</w:t>
            </w:r>
            <w:r/>
          </w:p>
        </w:tc>
        <w:tc>
          <w:tcPr>
            <w:gridSpan w:val="9"/>
            <w:tcW w:w="8692" w:type="dxa"/>
            <w:vAlign w:val="center"/>
            <w:textDirection w:val="lrTb"/>
            <w:noWrap w:val="false"/>
          </w:tcPr>
          <w:p>
            <w:pPr>
              <w:pStyle w:val="741"/>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其他需要说明的情况</w:t>
            </w:r>
            <w:r/>
          </w:p>
        </w:tc>
      </w:tr>
    </w:tbl>
    <w:p>
      <w:pPr>
        <w:pStyle w:val="1137"/>
        <w:spacing w:line="360" w:lineRule="auto"/>
        <w:rPr>
          <w:rFonts w:hAnsi="宋体" w:eastAsia="宋体"/>
          <w:b/>
          <w:color w:val="auto"/>
          <w:sz w:val="21"/>
          <w:szCs w:val="21"/>
          <w:highlight w:val="none"/>
        </w:rPr>
      </w:pPr>
      <w:r>
        <w:rPr>
          <w:rFonts w:hAnsi="宋体" w:eastAsia="宋体"/>
          <w:b/>
          <w:color w:val="auto"/>
          <w:sz w:val="21"/>
          <w:szCs w:val="21"/>
          <w:highlight w:val="none"/>
        </w:rPr>
        <w:t xml:space="preserve">注：企业规模的企业划型标准请根据《中小企业划型标准规定》（工信部联企业〔2011〕300号）。</w:t>
      </w:r>
      <w:bookmarkEnd w:id="32"/>
      <w:r/>
      <w:r/>
    </w:p>
    <w:p>
      <w:pPr>
        <w:rPr>
          <w:color w:val="auto"/>
          <w:highlight w:val="none"/>
        </w:rPr>
      </w:pPr>
      <w:r/>
      <w:bookmarkStart w:id="33" w:name="_Ref507166820"/>
      <w:r/>
      <w:bookmarkStart w:id="34" w:name="_Toc519686651"/>
      <w:r/>
      <w:bookmarkStart w:id="35" w:name="_Ref15302737"/>
      <w:r/>
      <w:bookmarkStart w:id="36" w:name="_Ref376770270"/>
      <w:r/>
      <w:bookmarkStart w:id="37" w:name="_Toc500143977"/>
      <w:r/>
      <w:bookmarkStart w:id="38" w:name="_Ref477865930"/>
      <w:r/>
      <w:r/>
    </w:p>
    <w:p>
      <w:pPr>
        <w:pStyle w:val="729"/>
        <w:rPr>
          <w:rFonts w:ascii="宋体" w:hAnsi="宋体" w:eastAsia="宋体"/>
          <w:color w:val="auto"/>
          <w:sz w:val="24"/>
          <w:szCs w:val="24"/>
          <w:highlight w:val="none"/>
        </w:rPr>
      </w:pPr>
      <w:r/>
      <w:bookmarkStart w:id="39" w:name="_Toc166487076"/>
      <w:r/>
      <w:bookmarkStart w:id="40" w:name="_Toc166488926"/>
      <w:r/>
      <w:bookmarkStart w:id="41" w:name="_Toc98785117"/>
      <w:r/>
      <w:bookmarkStart w:id="42" w:name="_Ref33617519"/>
      <w:r/>
      <w:bookmarkStart w:id="43" w:name="_Toc130478802"/>
      <w:r>
        <w:rPr>
          <w:rFonts w:ascii="宋体" w:hAnsi="宋体" w:eastAsia="宋体"/>
          <w:color w:val="auto"/>
          <w:sz w:val="24"/>
          <w:szCs w:val="24"/>
          <w:highlight w:val="none"/>
        </w:rPr>
        <w:t xml:space="preserve">附件2：</w:t>
      </w:r>
      <w:bookmarkEnd w:id="33"/>
      <w:r/>
      <w:bookmarkEnd w:id="34"/>
      <w:r>
        <w:rPr>
          <w:rFonts w:ascii="宋体" w:hAnsi="宋体" w:eastAsia="宋体"/>
          <w:color w:val="auto"/>
          <w:sz w:val="24"/>
          <w:szCs w:val="24"/>
          <w:highlight w:val="none"/>
        </w:rPr>
        <w:t xml:space="preserve">响应</w:t>
      </w:r>
      <w:r>
        <w:rPr>
          <w:rFonts w:hint="eastAsia" w:ascii="宋体" w:hAnsi="宋体" w:eastAsia="宋体"/>
          <w:color w:val="auto"/>
          <w:sz w:val="24"/>
          <w:szCs w:val="24"/>
          <w:highlight w:val="none"/>
        </w:rPr>
        <w:t xml:space="preserve">承诺</w:t>
      </w:r>
      <w:r>
        <w:rPr>
          <w:rFonts w:ascii="宋体" w:hAnsi="宋体" w:eastAsia="宋体"/>
          <w:color w:val="auto"/>
          <w:sz w:val="24"/>
          <w:szCs w:val="24"/>
          <w:highlight w:val="none"/>
        </w:rPr>
        <w:t xml:space="preserve">函</w:t>
      </w:r>
      <w:bookmarkEnd w:id="35"/>
      <w:r/>
      <w:bookmarkEnd w:id="39"/>
      <w:r/>
      <w:bookmarkEnd w:id="40"/>
      <w:r/>
      <w:bookmarkEnd w:id="41"/>
      <w:r/>
      <w:bookmarkEnd w:id="42"/>
      <w:r/>
      <w:bookmarkEnd w:id="43"/>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响应承诺</w:t>
      </w:r>
      <w:r>
        <w:rPr>
          <w:rFonts w:ascii="宋体" w:hAnsi="宋体"/>
          <w:color w:val="auto"/>
          <w:szCs w:val="21"/>
          <w:highlight w:val="none"/>
        </w:rPr>
        <w:t xml:space="preserve">函</w:t>
      </w:r>
      <w:r/>
    </w:p>
    <w:p>
      <w:pPr>
        <w:spacing w:line="360" w:lineRule="auto"/>
        <w:rPr>
          <w:rFonts w:ascii="宋体" w:hAnsi="宋体"/>
          <w:color w:val="auto"/>
          <w:szCs w:val="21"/>
          <w:highlight w:val="none"/>
        </w:rPr>
      </w:pPr>
      <w:r>
        <w:rPr>
          <w:rFonts w:hint="eastAsia" w:ascii="宋体" w:hAnsi="宋体"/>
          <w:color w:val="auto"/>
          <w:szCs w:val="21"/>
          <w:highlight w:val="none"/>
        </w:rPr>
        <w:t xml:space="preserve">致：</w:t>
      </w:r>
      <w:r>
        <w:rPr>
          <w:rFonts w:hint="eastAsia"/>
          <w:iCs/>
          <w:color w:val="auto"/>
          <w:highlight w:val="none"/>
          <w:u w:val="single"/>
        </w:rPr>
        <w:t xml:space="preserve">（采购人名称）</w:t>
      </w:r>
      <w:r>
        <w:rPr>
          <w:rFonts w:hint="eastAsia"/>
          <w:iCs/>
          <w:color w:val="auto"/>
          <w:highlight w:val="none"/>
        </w:rPr>
        <w:t xml:space="preserve">、</w:t>
      </w:r>
      <w:r>
        <w:rPr>
          <w:rFonts w:ascii="宋体" w:hAnsi="宋体"/>
          <w:color w:val="auto"/>
          <w:szCs w:val="21"/>
          <w:highlight w:val="none"/>
        </w:rPr>
        <w:t xml:space="preserve">苏州宇恩项目咨询有限公司：</w:t>
      </w:r>
      <w:r/>
    </w:p>
    <w:p>
      <w:pPr>
        <w:ind w:firstLine="420"/>
        <w:spacing w:line="360" w:lineRule="auto"/>
        <w:rPr>
          <w:rFonts w:ascii="宋体" w:hAnsi="宋体"/>
          <w:color w:val="auto"/>
          <w:highlight w:val="none"/>
        </w:rPr>
      </w:pPr>
      <w:r>
        <w:rPr>
          <w:rFonts w:ascii="宋体" w:hAnsi="宋体"/>
          <w:color w:val="auto"/>
          <w:szCs w:val="21"/>
          <w:highlight w:val="none"/>
        </w:rPr>
        <w:t xml:space="preserve">经仔细阅读和研究</w:t>
      </w:r>
      <w:r>
        <w:rPr>
          <w:rFonts w:hint="eastAsia" w:ascii="宋体" w:hAnsi="宋体"/>
          <w:color w:val="auto"/>
          <w:szCs w:val="21"/>
          <w:highlight w:val="none"/>
        </w:rPr>
        <w:t xml:space="preserve">，</w:t>
      </w:r>
      <w:r>
        <w:rPr>
          <w:rFonts w:ascii="宋体" w:hAnsi="宋体"/>
          <w:color w:val="auto"/>
          <w:szCs w:val="21"/>
          <w:highlight w:val="none"/>
        </w:rPr>
        <w:t xml:space="preserve">我方</w:t>
      </w:r>
      <w:r>
        <w:rPr>
          <w:rFonts w:hint="eastAsia" w:ascii="宋体" w:hAnsi="宋体"/>
          <w:color w:val="auto"/>
          <w:highlight w:val="none"/>
        </w:rPr>
        <w:t xml:space="preserve">自愿参加_</w:t>
      </w:r>
      <w:r>
        <w:rPr>
          <w:rFonts w:hint="eastAsia"/>
          <w:iCs/>
          <w:color w:val="auto"/>
          <w:highlight w:val="none"/>
          <w:u w:val="single"/>
        </w:rPr>
        <w:t xml:space="preserve">（项目名称及项目编号）</w:t>
      </w:r>
      <w:r>
        <w:rPr>
          <w:rFonts w:hint="eastAsia" w:ascii="宋体" w:hAnsi="宋体"/>
          <w:color w:val="auto"/>
          <w:highlight w:val="none"/>
        </w:rPr>
        <w:t xml:space="preserve">的采购活动，并做出如下承诺：</w:t>
      </w:r>
      <w:r/>
    </w:p>
    <w:p>
      <w:pPr>
        <w:ind w:firstLine="420"/>
        <w:spacing w:line="360" w:lineRule="auto"/>
        <w:rPr>
          <w:rFonts w:ascii="宋体" w:hAnsi="宋体"/>
          <w:color w:val="auto"/>
          <w:highlight w:val="none"/>
        </w:rPr>
      </w:pPr>
      <w:r>
        <w:rPr>
          <w:rFonts w:ascii="宋体" w:hAnsi="宋体"/>
          <w:color w:val="auto"/>
          <w:highlight w:val="none"/>
        </w:rPr>
        <w:t xml:space="preserve">1</w:t>
      </w:r>
      <w:r>
        <w:rPr>
          <w:rFonts w:hint="eastAsia" w:ascii="宋体" w:hAnsi="宋体"/>
          <w:color w:val="auto"/>
          <w:highlight w:val="none"/>
        </w:rPr>
        <w:t xml:space="preserve">、我们愿意按照采购文件的一切要求，提供完成该项目的全部内容，我们的报价应包括所投设备及其备品、备件和专用工具费用、税费及包装、运至最终目的地的运输、保险、现场吊装及相关措施、检测验收、安装调试、技术支持与培训、售后服务与维保及相关劳务支出等工作所发生的全部费用以及谈判响应供应商企业利润、税金和政策性文件规定及合同包含的所有风险、责任等各项应有费用。</w:t>
      </w:r>
      <w:r/>
    </w:p>
    <w:p>
      <w:pPr>
        <w:ind w:firstLine="420"/>
        <w:spacing w:line="360" w:lineRule="auto"/>
        <w:rPr>
          <w:rFonts w:ascii="宋体" w:hAnsi="宋体"/>
          <w:color w:val="auto"/>
          <w:highlight w:val="none"/>
        </w:rPr>
      </w:pPr>
      <w:r>
        <w:rPr>
          <w:rFonts w:ascii="宋体" w:hAnsi="宋体"/>
          <w:color w:val="auto"/>
          <w:highlight w:val="none"/>
        </w:rPr>
        <w:t xml:space="preserve">2</w:t>
      </w:r>
      <w:r>
        <w:rPr>
          <w:rFonts w:hint="eastAsia" w:ascii="宋体" w:hAnsi="宋体"/>
          <w:color w:val="auto"/>
          <w:highlight w:val="none"/>
        </w:rPr>
        <w:t xml:space="preserve">、如果我们的谈判响应文件被接受，我们将严格履行采购文件中规定的每一项要求，按期、按质、按量履行合同的义务。</w:t>
      </w:r>
      <w:r/>
    </w:p>
    <w:p>
      <w:pPr>
        <w:ind w:firstLine="420"/>
        <w:spacing w:line="360" w:lineRule="auto"/>
        <w:rPr>
          <w:rFonts w:ascii="宋体" w:hAnsi="宋体"/>
          <w:color w:val="auto"/>
          <w:highlight w:val="none"/>
        </w:rPr>
      </w:pPr>
      <w:r>
        <w:rPr>
          <w:rFonts w:ascii="宋体" w:hAnsi="宋体"/>
          <w:color w:val="auto"/>
          <w:highlight w:val="none"/>
        </w:rPr>
        <w:t xml:space="preserve">3</w:t>
      </w:r>
      <w:r>
        <w:rPr>
          <w:rFonts w:hint="eastAsia" w:ascii="宋体" w:hAnsi="宋体"/>
          <w:color w:val="auto"/>
          <w:highlight w:val="none"/>
        </w:rPr>
        <w:t xml:space="preserve">、我们已</w:t>
      </w:r>
      <w:r>
        <w:rPr>
          <w:rFonts w:ascii="宋体" w:hAnsi="宋体"/>
          <w:color w:val="auto"/>
          <w:highlight w:val="none"/>
        </w:rPr>
        <w:t xml:space="preserve">详细审查全部</w:t>
      </w:r>
      <w:r>
        <w:rPr>
          <w:rFonts w:hint="eastAsia" w:ascii="宋体" w:hAnsi="宋体"/>
          <w:color w:val="auto"/>
          <w:highlight w:val="none"/>
        </w:rPr>
        <w:t xml:space="preserve">采购</w:t>
      </w:r>
      <w:r>
        <w:rPr>
          <w:rFonts w:ascii="宋体" w:hAnsi="宋体"/>
          <w:color w:val="auto"/>
          <w:highlight w:val="none"/>
        </w:rPr>
        <w:t xml:space="preserve">文件，包括</w:t>
      </w:r>
      <w:r>
        <w:rPr>
          <w:rFonts w:hint="eastAsia" w:ascii="宋体" w:hAnsi="宋体"/>
          <w:color w:val="auto"/>
          <w:highlight w:val="none"/>
        </w:rPr>
        <w:t xml:space="preserve">补充文件</w:t>
      </w:r>
      <w:r>
        <w:rPr>
          <w:rFonts w:ascii="宋体" w:hAnsi="宋体"/>
          <w:color w:val="auto"/>
          <w:highlight w:val="none"/>
        </w:rPr>
        <w:t xml:space="preserve">(如果有的话)。我们完全理解并同意放弃对这方面有不明及误解的权力。</w:t>
      </w:r>
      <w:r/>
    </w:p>
    <w:p>
      <w:pPr>
        <w:ind w:firstLine="420"/>
        <w:spacing w:line="360" w:lineRule="auto"/>
        <w:rPr>
          <w:rFonts w:hint="eastAsia" w:ascii="宋体" w:hAnsi="宋体" w:eastAsia="宋体"/>
          <w:color w:val="auto"/>
          <w:highlight w:val="none"/>
          <w:lang w:eastAsia="zh-CN"/>
        </w:rPr>
      </w:pPr>
      <w:r>
        <w:rPr>
          <w:rFonts w:hint="eastAsia" w:ascii="宋体" w:hAnsi="宋体"/>
          <w:color w:val="auto"/>
          <w:highlight w:val="none"/>
        </w:rPr>
        <w:t xml:space="preserve">4、我们响应招标文件中要求的投标有效期</w:t>
      </w:r>
      <w:r>
        <w:rPr>
          <w:rFonts w:hint="eastAsia" w:ascii="宋体" w:hAnsi="宋体"/>
          <w:color w:val="auto"/>
          <w:highlight w:val="none"/>
          <w:lang w:eastAsia="zh-CN"/>
        </w:rPr>
        <w:t xml:space="preserve">。</w:t>
      </w:r>
      <w:r/>
    </w:p>
    <w:p>
      <w:pPr>
        <w:ind w:firstLine="420"/>
        <w:spacing w:line="360" w:lineRule="auto"/>
        <w:rPr>
          <w:rFonts w:ascii="宋体" w:hAnsi="宋体"/>
          <w:color w:val="auto"/>
          <w:highlight w:val="none"/>
        </w:rPr>
      </w:pPr>
      <w:r>
        <w:rPr>
          <w:rFonts w:hint="eastAsia" w:ascii="宋体" w:hAnsi="宋体"/>
          <w:color w:val="auto"/>
          <w:highlight w:val="none"/>
        </w:rPr>
        <w:t xml:space="preserve">5、我们愿意提供谈判采购单位在采购文件中要求的所有资料。</w:t>
      </w:r>
      <w:r/>
    </w:p>
    <w:p>
      <w:pPr>
        <w:ind w:firstLine="420"/>
        <w:spacing w:line="360" w:lineRule="auto"/>
        <w:rPr>
          <w:rFonts w:ascii="宋体" w:hAnsi="宋体"/>
          <w:color w:val="auto"/>
          <w:highlight w:val="none"/>
        </w:rPr>
      </w:pPr>
      <w:r>
        <w:rPr>
          <w:rFonts w:hint="eastAsia" w:ascii="宋体" w:hAnsi="宋体"/>
          <w:color w:val="auto"/>
          <w:highlight w:val="none"/>
        </w:rPr>
        <w:t xml:space="preserve">6、我们认为你们有权决定成交单位，还认为你们有权接受或拒绝所有的谈判供应商。</w:t>
      </w:r>
      <w:r/>
    </w:p>
    <w:p>
      <w:pPr>
        <w:ind w:firstLine="420"/>
        <w:spacing w:line="360" w:lineRule="auto"/>
        <w:rPr>
          <w:rFonts w:ascii="宋体" w:hAnsi="宋体"/>
          <w:color w:val="auto"/>
          <w:highlight w:val="none"/>
        </w:rPr>
      </w:pPr>
      <w:r>
        <w:rPr>
          <w:rFonts w:hint="eastAsia" w:ascii="宋体" w:hAnsi="宋体"/>
          <w:color w:val="auto"/>
          <w:highlight w:val="none"/>
        </w:rPr>
        <w:t xml:space="preserve">7、我们愿意遵守采购文件中所列的收费标准。</w:t>
      </w:r>
      <w:r/>
    </w:p>
    <w:p>
      <w:pPr>
        <w:ind w:firstLine="420"/>
        <w:spacing w:line="360" w:lineRule="auto"/>
        <w:rPr>
          <w:rFonts w:ascii="宋体" w:hAnsi="宋体"/>
          <w:color w:val="auto"/>
          <w:highlight w:val="none"/>
        </w:rPr>
      </w:pPr>
      <w:r>
        <w:rPr>
          <w:rFonts w:hint="eastAsia" w:ascii="宋体" w:hAnsi="宋体"/>
          <w:color w:val="auto"/>
          <w:highlight w:val="none"/>
        </w:rPr>
        <w:t xml:space="preserve">8、我们承诺该谈判响应文件在谈判开始后的全过程中保持有效，不作任何更改和变动。</w:t>
      </w:r>
      <w:r/>
    </w:p>
    <w:p>
      <w:pPr>
        <w:ind w:firstLine="420"/>
        <w:spacing w:line="360" w:lineRule="auto"/>
        <w:rPr>
          <w:rFonts w:ascii="宋体" w:hAnsi="宋体"/>
          <w:color w:val="auto"/>
          <w:highlight w:val="none"/>
        </w:rPr>
      </w:pPr>
      <w:r>
        <w:rPr>
          <w:rFonts w:hint="eastAsia" w:ascii="宋体" w:hAnsi="宋体"/>
          <w:color w:val="auto"/>
          <w:highlight w:val="none"/>
        </w:rPr>
        <w:t xml:space="preserve">9、我们愿意按采购文件的规定交纳谈判保证金，并</w:t>
      </w:r>
      <w:r>
        <w:rPr>
          <w:rFonts w:ascii="宋体" w:hAnsi="宋体"/>
          <w:color w:val="auto"/>
          <w:highlight w:val="none"/>
        </w:rPr>
        <w:t xml:space="preserve">同意</w:t>
      </w:r>
      <w:r>
        <w:rPr>
          <w:rFonts w:hint="eastAsia" w:ascii="宋体" w:hAnsi="宋体"/>
          <w:color w:val="auto"/>
          <w:highlight w:val="none"/>
        </w:rPr>
        <w:t xml:space="preserve">谈判供应商</w:t>
      </w:r>
      <w:r>
        <w:rPr>
          <w:rFonts w:ascii="宋体" w:hAnsi="宋体"/>
          <w:color w:val="auto"/>
          <w:highlight w:val="none"/>
        </w:rPr>
        <w:t xml:space="preserve">须知中关于没收</w:t>
      </w:r>
      <w:r>
        <w:rPr>
          <w:rFonts w:hint="eastAsia" w:ascii="宋体" w:hAnsi="宋体"/>
          <w:color w:val="auto"/>
          <w:highlight w:val="none"/>
        </w:rPr>
        <w:t xml:space="preserve">谈判</w:t>
      </w:r>
      <w:r>
        <w:rPr>
          <w:rFonts w:ascii="宋体" w:hAnsi="宋体"/>
          <w:color w:val="auto"/>
          <w:highlight w:val="none"/>
        </w:rPr>
        <w:t xml:space="preserve">保证金的规定。</w:t>
      </w:r>
      <w:r/>
    </w:p>
    <w:p>
      <w:pPr>
        <w:ind w:firstLine="420"/>
        <w:spacing w:line="360" w:lineRule="auto"/>
        <w:rPr>
          <w:rFonts w:ascii="宋体" w:hAnsi="宋体"/>
          <w:color w:val="auto"/>
          <w:highlight w:val="none"/>
        </w:rPr>
      </w:pPr>
      <w:r>
        <w:rPr>
          <w:rFonts w:hint="eastAsia" w:ascii="宋体" w:hAnsi="宋体"/>
          <w:color w:val="auto"/>
          <w:highlight w:val="none"/>
        </w:rPr>
        <w:t xml:space="preserve">10、如果我们成交，我们愿意按采购文件的规定支付成交服务费，并提供一正一副书面投标文件供项目归档使用。</w:t>
      </w:r>
      <w:r/>
    </w:p>
    <w:p>
      <w:pPr>
        <w:ind w:firstLine="420"/>
        <w:spacing w:line="360" w:lineRule="auto"/>
        <w:rPr>
          <w:rFonts w:ascii="宋体" w:hAnsi="宋体"/>
          <w:color w:val="auto"/>
          <w:highlight w:val="none"/>
        </w:rPr>
      </w:pPr>
      <w:r>
        <w:rPr>
          <w:rFonts w:hint="eastAsia" w:ascii="宋体" w:hAnsi="宋体"/>
          <w:color w:val="auto"/>
          <w:highlight w:val="none"/>
        </w:rPr>
        <w:t xml:space="preserve">11、综合说明：</w:t>
      </w:r>
      <w:r/>
    </w:p>
    <w:p>
      <w:pPr>
        <w:ind w:firstLine="420"/>
        <w:spacing w:line="360" w:lineRule="auto"/>
        <w:rPr>
          <w:rFonts w:ascii="宋体" w:hAnsi="宋体"/>
          <w:color w:val="auto"/>
          <w:highlight w:val="none"/>
        </w:rPr>
      </w:pPr>
      <w:r>
        <w:rPr>
          <w:rFonts w:hint="eastAsia" w:ascii="宋体" w:hAnsi="宋体"/>
          <w:color w:val="auto"/>
          <w:highlight w:val="none"/>
        </w:rPr>
        <w:t xml:space="preserve">（</w:t>
      </w:r>
      <w:r>
        <w:rPr>
          <w:rFonts w:ascii="宋体" w:hAnsi="宋体"/>
          <w:color w:val="auto"/>
          <w:highlight w:val="none"/>
        </w:rPr>
        <w:t xml:space="preserve">1</w:t>
      </w:r>
      <w:r>
        <w:rPr>
          <w:rFonts w:hint="eastAsia" w:ascii="宋体" w:hAnsi="宋体"/>
          <w:color w:val="auto"/>
          <w:highlight w:val="none"/>
        </w:rPr>
        <w:t xml:space="preserve">）伴随服务及配合措施；</w:t>
      </w:r>
      <w:r/>
    </w:p>
    <w:p>
      <w:pPr>
        <w:ind w:firstLine="420"/>
        <w:spacing w:line="360" w:lineRule="auto"/>
        <w:rPr>
          <w:rFonts w:ascii="宋体" w:hAnsi="宋体"/>
          <w:color w:val="auto"/>
          <w:highlight w:val="none"/>
        </w:rPr>
      </w:pPr>
      <w:r>
        <w:rPr>
          <w:rFonts w:hint="eastAsia" w:ascii="宋体" w:hAnsi="宋体"/>
          <w:color w:val="auto"/>
          <w:highlight w:val="none"/>
        </w:rPr>
        <w:t xml:space="preserve">（</w:t>
      </w:r>
      <w:r>
        <w:rPr>
          <w:rFonts w:ascii="宋体" w:hAnsi="宋体"/>
          <w:color w:val="auto"/>
          <w:highlight w:val="none"/>
        </w:rPr>
        <w:t xml:space="preserve">2</w:t>
      </w:r>
      <w:r>
        <w:rPr>
          <w:rFonts w:hint="eastAsia" w:ascii="宋体" w:hAnsi="宋体"/>
          <w:color w:val="auto"/>
          <w:highlight w:val="none"/>
        </w:rPr>
        <w:t xml:space="preserve">）要求甲方提供的配合；</w:t>
      </w:r>
      <w:r/>
    </w:p>
    <w:p>
      <w:pPr>
        <w:ind w:firstLine="420"/>
        <w:spacing w:line="360" w:lineRule="auto"/>
        <w:rPr>
          <w:rFonts w:ascii="宋体" w:hAnsi="宋体"/>
          <w:color w:val="auto"/>
          <w:highlight w:val="none"/>
        </w:rPr>
      </w:pPr>
      <w:r>
        <w:rPr>
          <w:rFonts w:hint="eastAsia" w:ascii="宋体" w:hAnsi="宋体"/>
          <w:color w:val="auto"/>
          <w:highlight w:val="none"/>
        </w:rPr>
        <w:t xml:space="preserve">（</w:t>
      </w:r>
      <w:r>
        <w:rPr>
          <w:rFonts w:ascii="宋体" w:hAnsi="宋体"/>
          <w:color w:val="auto"/>
          <w:highlight w:val="none"/>
        </w:rPr>
        <w:t xml:space="preserve">3</w:t>
      </w:r>
      <w:r>
        <w:rPr>
          <w:rFonts w:hint="eastAsia" w:ascii="宋体" w:hAnsi="宋体"/>
          <w:color w:val="auto"/>
          <w:highlight w:val="none"/>
        </w:rPr>
        <w:t xml:space="preserve">）对采购文件有不同意见的偏离说明；</w:t>
      </w:r>
      <w:r/>
    </w:p>
    <w:p>
      <w:pPr>
        <w:ind w:firstLine="420"/>
        <w:spacing w:line="360" w:lineRule="auto"/>
        <w:rPr>
          <w:rFonts w:ascii="宋体" w:hAnsi="宋体"/>
          <w:color w:val="auto"/>
          <w:highlight w:val="none"/>
        </w:rPr>
      </w:pPr>
      <w:r>
        <w:rPr>
          <w:rFonts w:hint="eastAsia" w:ascii="宋体" w:hAnsi="宋体"/>
          <w:color w:val="auto"/>
          <w:highlight w:val="none"/>
        </w:rPr>
        <w:t xml:space="preserve">（</w:t>
      </w:r>
      <w:r>
        <w:rPr>
          <w:rFonts w:ascii="宋体" w:hAnsi="宋体"/>
          <w:color w:val="auto"/>
          <w:highlight w:val="none"/>
        </w:rPr>
        <w:t xml:space="preserve">4</w:t>
      </w:r>
      <w:r>
        <w:rPr>
          <w:rFonts w:hint="eastAsia" w:ascii="宋体" w:hAnsi="宋体"/>
          <w:color w:val="auto"/>
          <w:highlight w:val="none"/>
        </w:rPr>
        <w:t xml:space="preserve">）其它说明。</w:t>
      </w:r>
      <w:r/>
    </w:p>
    <w:p>
      <w:pPr>
        <w:ind w:firstLine="420"/>
        <w:spacing w:line="360" w:lineRule="auto"/>
        <w:rPr>
          <w:rFonts w:ascii="宋体" w:hAnsi="宋体"/>
          <w:color w:val="auto"/>
          <w:highlight w:val="none"/>
        </w:rPr>
      </w:pPr>
      <w:r>
        <w:rPr>
          <w:rFonts w:ascii="宋体" w:hAnsi="宋体"/>
          <w:color w:val="auto"/>
          <w:highlight w:val="none"/>
        </w:rPr>
        <w:t xml:space="preserve">12.</w:t>
      </w:r>
      <w:r>
        <w:rPr>
          <w:rFonts w:hint="eastAsia" w:ascii="宋体" w:hAnsi="宋体"/>
          <w:color w:val="auto"/>
          <w:highlight w:val="none"/>
        </w:rPr>
        <w:t xml:space="preserve"> 除不可抗力外，我单位如果发生以下行为，将在行为发生的10个工作日内，向贵方支付本采购文件公布的预算价的2%作为违约赔偿金。</w:t>
      </w:r>
      <w:r/>
    </w:p>
    <w:p>
      <w:pPr>
        <w:ind w:firstLine="420"/>
        <w:spacing w:line="360" w:lineRule="auto"/>
        <w:rPr>
          <w:rFonts w:ascii="宋体" w:hAnsi="宋体"/>
          <w:color w:val="auto"/>
          <w:highlight w:val="none"/>
        </w:rPr>
      </w:pPr>
      <w:r>
        <w:rPr>
          <w:rFonts w:hint="eastAsia" w:ascii="宋体" w:hAnsi="宋体"/>
          <w:color w:val="auto"/>
          <w:highlight w:val="none"/>
        </w:rPr>
        <w:t xml:space="preserve">（1）在采购文件规定的投标(响应)有效期内实质上修改或撤回投标；</w:t>
      </w:r>
      <w:r/>
    </w:p>
    <w:p>
      <w:pPr>
        <w:ind w:firstLine="420"/>
        <w:spacing w:line="360" w:lineRule="auto"/>
        <w:rPr>
          <w:rFonts w:ascii="宋体" w:hAnsi="宋体"/>
          <w:color w:val="auto"/>
          <w:highlight w:val="none"/>
        </w:rPr>
      </w:pPr>
      <w:r>
        <w:rPr>
          <w:rFonts w:hint="eastAsia" w:ascii="宋体" w:hAnsi="宋体"/>
          <w:color w:val="auto"/>
          <w:highlight w:val="none"/>
        </w:rPr>
        <w:t xml:space="preserve">（2）中标(成交)后不依法与采购人签订合同；</w:t>
      </w:r>
      <w:r/>
    </w:p>
    <w:p>
      <w:pPr>
        <w:ind w:firstLine="420"/>
        <w:spacing w:line="360" w:lineRule="auto"/>
        <w:rPr>
          <w:rFonts w:ascii="宋体" w:hAnsi="宋体"/>
          <w:color w:val="auto"/>
          <w:highlight w:val="none"/>
        </w:rPr>
      </w:pPr>
      <w:r>
        <w:rPr>
          <w:rFonts w:hint="eastAsia" w:ascii="宋体" w:hAnsi="宋体"/>
          <w:color w:val="auto"/>
          <w:highlight w:val="none"/>
        </w:rPr>
        <w:t xml:space="preserve">（3）在投标（响应）文件中提供虚假材料；</w:t>
      </w:r>
      <w:r/>
    </w:p>
    <w:p>
      <w:pPr>
        <w:ind w:firstLine="420"/>
        <w:spacing w:line="360" w:lineRule="auto"/>
        <w:rPr>
          <w:rFonts w:ascii="宋体" w:hAnsi="宋体"/>
          <w:color w:val="auto"/>
          <w:highlight w:val="none"/>
        </w:rPr>
      </w:pPr>
      <w:r>
        <w:rPr>
          <w:rFonts w:hint="eastAsia" w:ascii="宋体" w:hAnsi="宋体"/>
          <w:color w:val="auto"/>
          <w:highlight w:val="none"/>
        </w:rPr>
        <w:t xml:space="preserve">（4）</w:t>
      </w:r>
      <w:r>
        <w:rPr>
          <w:rFonts w:ascii="宋体" w:hAnsi="宋体"/>
          <w:color w:val="auto"/>
          <w:highlight w:val="none"/>
        </w:rPr>
        <w:t xml:space="preserve">恶意串通；</w:t>
      </w:r>
      <w:r/>
    </w:p>
    <w:p>
      <w:pPr>
        <w:ind w:firstLine="420"/>
        <w:spacing w:line="360" w:lineRule="auto"/>
        <w:rPr>
          <w:rFonts w:ascii="宋体" w:hAnsi="宋体"/>
          <w:color w:val="auto"/>
          <w:highlight w:val="none"/>
        </w:rPr>
      </w:pPr>
      <w:r>
        <w:rPr>
          <w:rFonts w:hint="eastAsia" w:ascii="宋体" w:hAnsi="宋体"/>
          <w:color w:val="auto"/>
          <w:highlight w:val="none"/>
        </w:rPr>
        <w:t xml:space="preserve">（5）</w:t>
      </w:r>
      <w:r>
        <w:rPr>
          <w:rFonts w:ascii="宋体" w:hAnsi="宋体"/>
          <w:color w:val="auto"/>
          <w:highlight w:val="none"/>
        </w:rPr>
        <w:t xml:space="preserve">其他违法违规情形。</w:t>
      </w:r>
      <w:r/>
    </w:p>
    <w:p>
      <w:pPr>
        <w:ind w:firstLine="420"/>
        <w:spacing w:line="360" w:lineRule="auto"/>
        <w:rPr>
          <w:rFonts w:ascii="宋体" w:hAnsi="宋体"/>
          <w:color w:val="auto"/>
          <w:highlight w:val="none"/>
        </w:rPr>
      </w:pPr>
      <w:r>
        <w:rPr>
          <w:rFonts w:ascii="宋体" w:hAnsi="宋体"/>
          <w:color w:val="auto"/>
          <w:szCs w:val="21"/>
          <w:highlight w:val="none"/>
        </w:rPr>
        <w:t xml:space="preserve">13</w:t>
      </w:r>
      <w:r>
        <w:rPr>
          <w:rFonts w:hint="eastAsia" w:ascii="宋体" w:hAnsi="宋体"/>
          <w:color w:val="auto"/>
          <w:szCs w:val="21"/>
          <w:highlight w:val="none"/>
        </w:rPr>
        <w:t xml:space="preserve">.</w:t>
      </w:r>
      <w:r>
        <w:rPr>
          <w:rFonts w:hint="eastAsia" w:ascii="宋体" w:hAnsi="宋体"/>
          <w:color w:val="auto"/>
          <w:highlight w:val="none"/>
        </w:rPr>
        <w:t xml:space="preserve">我方知晓上述行为的法律后果，并认可本承诺函作为采购人要求我方履行违约赔偿的依据。</w:t>
      </w:r>
      <w:r/>
    </w:p>
    <w:p>
      <w:pPr>
        <w:ind w:firstLine="5775"/>
        <w:jc w:val="right"/>
        <w:spacing w:line="360" w:lineRule="auto"/>
        <w:rPr>
          <w:rFonts w:ascii="宋体" w:hAnsi="宋体"/>
          <w:color w:val="auto"/>
          <w:szCs w:val="21"/>
          <w:highlight w:val="none"/>
        </w:rPr>
      </w:pPr>
      <w:r>
        <w:rPr>
          <w:rFonts w:hint="eastAsia" w:ascii="宋体" w:hAnsi="宋体"/>
          <w:color w:val="auto"/>
          <w:szCs w:val="21"/>
          <w:highlight w:val="none"/>
        </w:rPr>
        <w:t xml:space="preserve">供应商</w:t>
      </w:r>
      <w:r>
        <w:rPr>
          <w:rFonts w:ascii="宋体" w:hAnsi="宋体"/>
          <w:color w:val="auto"/>
          <w:szCs w:val="21"/>
          <w:highlight w:val="none"/>
        </w:rPr>
        <w:t xml:space="preserve">：（加盖</w:t>
      </w:r>
      <w:r>
        <w:rPr>
          <w:rFonts w:hint="eastAsia" w:ascii="宋体" w:hAnsi="宋体"/>
          <w:color w:val="auto"/>
          <w:szCs w:val="21"/>
          <w:highlight w:val="none"/>
        </w:rPr>
        <w:t xml:space="preserve">公章</w:t>
      </w:r>
      <w:r>
        <w:rPr>
          <w:rFonts w:ascii="宋体" w:hAnsi="宋体"/>
          <w:color w:val="auto"/>
          <w:szCs w:val="21"/>
          <w:highlight w:val="none"/>
        </w:rPr>
        <w:t xml:space="preserve">）</w:t>
      </w:r>
      <w:r/>
    </w:p>
    <w:p>
      <w:pPr>
        <w:ind w:firstLine="420"/>
        <w:jc w:val="right"/>
        <w:spacing w:line="360" w:lineRule="auto"/>
        <w:rPr>
          <w:rFonts w:ascii="宋体" w:hAnsi="宋体"/>
          <w:color w:val="auto"/>
          <w:szCs w:val="21"/>
          <w:highlight w:val="none"/>
        </w:rPr>
      </w:pPr>
      <w:r>
        <w:rPr>
          <w:rFonts w:ascii="宋体" w:hAnsi="宋体"/>
          <w:color w:val="auto"/>
          <w:szCs w:val="21"/>
          <w:highlight w:val="none"/>
        </w:rPr>
        <w:t xml:space="preserve">法定代表人或被授权人：（签字或盖章）</w:t>
      </w:r>
      <w:r/>
    </w:p>
    <w:p>
      <w:pPr>
        <w:ind w:firstLine="420"/>
        <w:jc w:val="right"/>
        <w:spacing w:line="360" w:lineRule="auto"/>
        <w:rPr>
          <w:rFonts w:ascii="宋体" w:hAnsi="宋体"/>
          <w:color w:val="auto"/>
          <w:szCs w:val="21"/>
          <w:highlight w:val="none"/>
        </w:rPr>
      </w:pPr>
      <w:r>
        <w:rPr>
          <w:rFonts w:hint="eastAsia" w:ascii="宋体" w:hAnsi="宋体"/>
          <w:color w:val="auto"/>
          <w:szCs w:val="21"/>
          <w:highlight w:val="none"/>
        </w:rPr>
        <w:t xml:space="preserve">  日期：    </w:t>
      </w:r>
      <w:r>
        <w:rPr>
          <w:rFonts w:ascii="宋体" w:hAnsi="宋体"/>
          <w:color w:val="auto"/>
          <w:szCs w:val="21"/>
          <w:highlight w:val="none"/>
        </w:rPr>
        <w:t xml:space="preserve">年</w:t>
      </w:r>
      <w:r>
        <w:rPr>
          <w:rFonts w:hint="eastAsia" w:ascii="宋体" w:hAnsi="宋体"/>
          <w:color w:val="auto"/>
          <w:szCs w:val="21"/>
          <w:highlight w:val="none"/>
        </w:rPr>
        <w:t xml:space="preserve">  </w:t>
      </w:r>
      <w:r>
        <w:rPr>
          <w:rFonts w:ascii="宋体" w:hAnsi="宋体"/>
          <w:color w:val="auto"/>
          <w:szCs w:val="21"/>
          <w:highlight w:val="none"/>
        </w:rPr>
        <w:t xml:space="preserve">月</w:t>
      </w:r>
      <w:r>
        <w:rPr>
          <w:rFonts w:hint="eastAsia" w:ascii="宋体" w:hAnsi="宋体"/>
          <w:color w:val="auto"/>
          <w:szCs w:val="21"/>
          <w:highlight w:val="none"/>
        </w:rPr>
        <w:t xml:space="preserve">  </w:t>
      </w:r>
      <w:r>
        <w:rPr>
          <w:rFonts w:ascii="宋体" w:hAnsi="宋体"/>
          <w:color w:val="auto"/>
          <w:szCs w:val="21"/>
          <w:highlight w:val="none"/>
        </w:rPr>
        <w:t xml:space="preserve">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rFonts w:ascii="宋体" w:hAnsi="宋体"/>
          <w:color w:val="auto"/>
          <w:highlight w:val="none"/>
        </w:rPr>
      </w:pPr>
      <w:r>
        <w:rPr>
          <w:rFonts w:ascii="宋体" w:hAnsi="宋体"/>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bookmarkEnd w:id="36"/>
      <w:r/>
      <w:bookmarkEnd w:id="37"/>
      <w:r/>
      <w:bookmarkEnd w:id="38"/>
      <w:r/>
      <w:r/>
    </w:p>
    <w:p>
      <w:pPr>
        <w:rPr>
          <w:color w:val="auto"/>
          <w:highlight w:val="none"/>
        </w:rPr>
      </w:pPr>
      <w:r>
        <w:rPr>
          <w:color w:val="auto"/>
          <w:highlight w:val="none"/>
        </w:rPr>
      </w:r>
      <w:r/>
    </w:p>
    <w:p>
      <w:pPr>
        <w:rPr>
          <w:color w:val="auto"/>
          <w:highlight w:val="none"/>
        </w:rPr>
      </w:pPr>
      <w:r>
        <w:rPr>
          <w:color w:val="auto"/>
          <w:highlight w:val="none"/>
        </w:rPr>
      </w:r>
      <w:r/>
    </w:p>
    <w:p>
      <w:pPr>
        <w:jc w:val="left"/>
        <w:widowControl/>
        <w:rPr>
          <w:rFonts w:ascii="宋体" w:hAnsi="宋体"/>
          <w:b/>
          <w:bCs/>
          <w:color w:val="auto"/>
          <w:sz w:val="24"/>
          <w:highlight w:val="none"/>
        </w:rPr>
      </w:pPr>
      <w:r/>
      <w:bookmarkStart w:id="44" w:name="_Toc98785119"/>
      <w:r/>
      <w:bookmarkStart w:id="45" w:name="_Ref33617527"/>
      <w:r/>
      <w:bookmarkStart w:id="46" w:name="_Toc130478803"/>
      <w:r>
        <w:rPr>
          <w:rFonts w:ascii="宋体" w:hAnsi="宋体"/>
          <w:color w:val="auto"/>
          <w:sz w:val="24"/>
          <w:highlight w:val="none"/>
        </w:rPr>
        <w:br w:type="page" w:clear="all"/>
      </w:r>
      <w:bookmarkEnd w:id="44"/>
      <w:r/>
      <w:bookmarkEnd w:id="45"/>
      <w:r/>
      <w:bookmarkEnd w:id="46"/>
      <w:r/>
      <w:r/>
    </w:p>
    <w:p>
      <w:pPr>
        <w:pStyle w:val="729"/>
        <w:rPr>
          <w:rFonts w:ascii="宋体" w:hAnsi="宋体" w:eastAsia="宋体"/>
          <w:color w:val="auto"/>
          <w:sz w:val="24"/>
          <w:szCs w:val="24"/>
          <w:highlight w:val="none"/>
        </w:rPr>
      </w:pPr>
      <w:r/>
      <w:bookmarkStart w:id="47" w:name="_Toc166487077"/>
      <w:r/>
      <w:bookmarkStart w:id="48" w:name="_Toc166488927"/>
      <w:r>
        <w:rPr>
          <w:rFonts w:ascii="宋体" w:hAnsi="宋体" w:eastAsia="宋体"/>
          <w:color w:val="auto"/>
          <w:sz w:val="24"/>
          <w:szCs w:val="24"/>
          <w:highlight w:val="none"/>
        </w:rPr>
        <w:t xml:space="preserve">附件</w:t>
      </w:r>
      <w:r>
        <w:rPr>
          <w:rFonts w:hint="eastAsia" w:ascii="宋体" w:hAnsi="宋体" w:eastAsia="宋体"/>
          <w:color w:val="auto"/>
          <w:sz w:val="24"/>
          <w:szCs w:val="24"/>
          <w:highlight w:val="none"/>
        </w:rPr>
        <w:t xml:space="preserve">3</w:t>
      </w:r>
      <w:r>
        <w:rPr>
          <w:rFonts w:ascii="宋体" w:hAnsi="宋体" w:eastAsia="宋体"/>
          <w:color w:val="auto"/>
          <w:sz w:val="24"/>
          <w:szCs w:val="24"/>
          <w:highlight w:val="none"/>
        </w:rPr>
        <w:t xml:space="preserve">：中小企业声明函</w:t>
      </w:r>
      <w:bookmarkEnd w:id="47"/>
      <w:r/>
      <w:bookmarkEnd w:id="48"/>
      <w:r/>
      <w:r/>
    </w:p>
    <w:p>
      <w:pPr>
        <w:ind w:firstLine="420"/>
        <w:jc w:val="both"/>
        <w:spacing w:line="360" w:lineRule="auto"/>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本公司（联合体）郑重声明，根据 《政府采购促进中小企业发展管理办法》 （财库[2020]46号）的规定，本公司（联合体）参加</w:t>
      </w:r>
      <w:r>
        <w:rPr>
          <w:rFonts w:hint="eastAsia" w:ascii="宋体" w:hAnsi="宋体" w:eastAsia="宋体" w:cs="Times New Roman"/>
          <w:i/>
          <w:iCs/>
          <w:color w:val="auto"/>
          <w:sz w:val="21"/>
          <w:szCs w:val="21"/>
          <w:highlight w:val="none"/>
          <w:u w:val="single"/>
        </w:rPr>
        <w:t xml:space="preserve">（单位名称）</w:t>
      </w:r>
      <w:r>
        <w:rPr>
          <w:rFonts w:hint="eastAsia" w:ascii="宋体" w:hAnsi="宋体" w:eastAsia="宋体" w:cs="Times New Roman"/>
          <w:color w:val="auto"/>
          <w:sz w:val="21"/>
          <w:szCs w:val="21"/>
          <w:highlight w:val="none"/>
        </w:rPr>
        <w:t xml:space="preserve">的</w:t>
      </w:r>
      <w:r>
        <w:rPr>
          <w:rFonts w:hint="eastAsia" w:ascii="宋体" w:hAnsi="宋体" w:eastAsia="宋体" w:cs="Times New Roman"/>
          <w:i/>
          <w:iCs/>
          <w:color w:val="auto"/>
          <w:sz w:val="21"/>
          <w:szCs w:val="21"/>
          <w:highlight w:val="none"/>
          <w:u w:val="single"/>
        </w:rPr>
        <w:t xml:space="preserve">（项目名称）</w:t>
      </w:r>
      <w:r>
        <w:rPr>
          <w:rFonts w:hint="eastAsia" w:ascii="宋体" w:hAnsi="宋体" w:eastAsia="宋体" w:cs="Times New Roman"/>
          <w:color w:val="auto"/>
          <w:sz w:val="21"/>
          <w:szCs w:val="21"/>
          <w:highlight w:val="none"/>
        </w:rPr>
        <w:t xml:space="preserve">采购活动，</w:t>
      </w:r>
      <w:r>
        <w:rPr>
          <w:rFonts w:hint="default" w:ascii="宋体" w:hAnsi="宋体" w:eastAsia="宋体" w:cs="Times New Roman"/>
          <w:color w:val="auto"/>
          <w:sz w:val="21"/>
          <w:szCs w:val="21"/>
          <w:highlight w:val="none"/>
        </w:rPr>
        <w:t xml:space="preserve">服务全部由符合政策要求的中小企业承接</w:t>
      </w:r>
      <w:r>
        <w:rPr>
          <w:rFonts w:hint="eastAsia" w:ascii="宋体" w:hAnsi="宋体" w:eastAsia="宋体" w:cs="Times New Roman"/>
          <w:color w:val="auto"/>
          <w:sz w:val="21"/>
          <w:szCs w:val="21"/>
          <w:highlight w:val="none"/>
        </w:rPr>
        <w:t xml:space="preserve">。相关企业（含联合体中的中小企业、签订分包意向协议的中小企业）的具体情况如下： </w:t>
      </w:r>
      <w:r/>
    </w:p>
    <w:p>
      <w:pPr>
        <w:ind w:firstLine="420"/>
        <w:spacing w:line="360" w:lineRule="auto"/>
        <w:rPr>
          <w:rFonts w:ascii="Times New Roman" w:hAnsi="Times New Roman" w:eastAsia="宋体" w:cs="Times New Roman"/>
          <w:color w:val="auto"/>
          <w:highlight w:val="none"/>
        </w:rPr>
      </w:pPr>
      <w:r>
        <w:rPr>
          <w:rFonts w:ascii="Times New Roman" w:hAnsi="Times New Roman" w:eastAsia="宋体" w:cs="Times New Roman"/>
          <w:color w:val="auto"/>
          <w:szCs w:val="21"/>
          <w:highlight w:val="none"/>
        </w:rPr>
        <w:t xml:space="preserve">1.</w:t>
      </w:r>
      <w:r>
        <w:rPr>
          <w:rFonts w:hint="eastAsia" w:ascii="Times New Roman" w:hAnsi="Times New Roman" w:eastAsia="宋体" w:cs="Times New Roman"/>
          <w:i/>
          <w:iCs/>
          <w:color w:val="auto"/>
          <w:highlight w:val="none"/>
          <w:u w:val="single"/>
        </w:rPr>
        <w:t xml:space="preserve">（标的名称）</w:t>
      </w:r>
      <w:r>
        <w:rPr>
          <w:rFonts w:hint="eastAsia" w:ascii="Times New Roman" w:hAnsi="Times New Roman" w:eastAsia="宋体" w:cs="Times New Roman"/>
          <w:color w:val="auto"/>
          <w:highlight w:val="none"/>
        </w:rPr>
        <w:t xml:space="preserve">，属于</w:t>
      </w:r>
      <w:r>
        <w:rPr>
          <w:rFonts w:hint="eastAsia" w:ascii="Times New Roman" w:hAnsi="Times New Roman" w:eastAsia="宋体" w:cs="Times New Roman"/>
          <w:i/>
          <w:iCs/>
          <w:color w:val="auto"/>
          <w:highlight w:val="none"/>
          <w:u w:val="single"/>
        </w:rPr>
        <w:t xml:space="preserve">（谈判文件中明确的所属行业）</w:t>
      </w:r>
      <w:r>
        <w:rPr>
          <w:rFonts w:hint="eastAsia" w:ascii="Times New Roman" w:hAnsi="Times New Roman" w:eastAsia="宋体" w:cs="Times New Roman"/>
          <w:color w:val="auto"/>
          <w:highlight w:val="none"/>
        </w:rPr>
        <w:t xml:space="preserve">；</w:t>
      </w:r>
      <w:r>
        <w:rPr>
          <w:rFonts w:ascii="宋体" w:hAnsi="宋体" w:eastAsia="宋体" w:cs="Times New Roman"/>
          <w:color w:val="auto"/>
          <w:highlight w:val="none"/>
        </w:rPr>
        <w:t xml:space="preserve">承建（承接）</w:t>
      </w:r>
      <w:r>
        <w:rPr>
          <w:rFonts w:hint="eastAsia" w:ascii="Times New Roman" w:hAnsi="Times New Roman" w:eastAsia="宋体" w:cs="Times New Roman"/>
          <w:color w:val="auto"/>
          <w:highlight w:val="none"/>
        </w:rPr>
        <w:t xml:space="preserve">为</w:t>
      </w:r>
      <w:r>
        <w:rPr>
          <w:rFonts w:hint="eastAsia" w:ascii="Times New Roman" w:hAnsi="Times New Roman" w:eastAsia="宋体" w:cs="Times New Roman"/>
          <w:i/>
          <w:iCs/>
          <w:color w:val="auto"/>
          <w:highlight w:val="none"/>
          <w:u w:val="single"/>
        </w:rPr>
        <w:t xml:space="preserve">（企业名称）</w:t>
      </w:r>
      <w:r>
        <w:rPr>
          <w:rFonts w:hint="eastAsia" w:ascii="Times New Roman" w:hAnsi="Times New Roman" w:eastAsia="宋体" w:cs="Times New Roman"/>
          <w:color w:val="auto"/>
          <w:highlight w:val="none"/>
        </w:rPr>
        <w:t xml:space="preserve">，从业人员</w:t>
      </w:r>
      <w:r>
        <w:rPr>
          <w:rFonts w:ascii="Times New Roman" w:hAnsi="Times New Roman" w:eastAsia="宋体" w:cs="Times New Roman"/>
          <w:color w:val="auto"/>
          <w:highlight w:val="none"/>
          <w:u w:val="single"/>
        </w:rPr>
        <w:t xml:space="preserve">   </w:t>
      </w:r>
      <w:r>
        <w:rPr>
          <w:rFonts w:hint="eastAsia" w:ascii="Times New Roman" w:hAnsi="Times New Roman" w:eastAsia="宋体" w:cs="Times New Roman"/>
          <w:color w:val="auto"/>
          <w:highlight w:val="none"/>
        </w:rPr>
        <w:t xml:space="preserve">人，营业收入为</w:t>
      </w:r>
      <w:r>
        <w:rPr>
          <w:rFonts w:ascii="Times New Roman" w:hAnsi="Times New Roman" w:eastAsia="宋体" w:cs="Times New Roman"/>
          <w:color w:val="auto"/>
          <w:highlight w:val="none"/>
          <w:u w:val="single"/>
        </w:rPr>
        <w:t xml:space="preserve">   </w:t>
      </w:r>
      <w:r>
        <w:rPr>
          <w:rFonts w:hint="eastAsia" w:ascii="Times New Roman" w:hAnsi="Times New Roman" w:eastAsia="宋体" w:cs="Times New Roman"/>
          <w:color w:val="auto"/>
          <w:highlight w:val="none"/>
        </w:rPr>
        <w:t xml:space="preserve">万元，资产总额为</w:t>
      </w:r>
      <w:r>
        <w:rPr>
          <w:rFonts w:ascii="Times New Roman" w:hAnsi="Times New Roman" w:eastAsia="宋体" w:cs="Times New Roman"/>
          <w:color w:val="auto"/>
          <w:highlight w:val="none"/>
          <w:u w:val="single"/>
        </w:rPr>
        <w:t xml:space="preserve">   </w:t>
      </w:r>
      <w:r>
        <w:rPr>
          <w:rFonts w:hint="eastAsia" w:ascii="Times New Roman" w:hAnsi="Times New Roman" w:eastAsia="宋体" w:cs="Times New Roman"/>
          <w:color w:val="auto"/>
          <w:highlight w:val="none"/>
        </w:rPr>
        <w:t xml:space="preserve">万元，属于</w:t>
      </w:r>
      <w:r>
        <w:rPr>
          <w:rFonts w:hint="eastAsia" w:ascii="Times New Roman" w:hAnsi="Times New Roman" w:eastAsia="宋体" w:cs="Times New Roman"/>
          <w:i/>
          <w:iCs/>
          <w:color w:val="auto"/>
          <w:highlight w:val="none"/>
          <w:u w:val="single"/>
        </w:rPr>
        <w:t xml:space="preserve">（中型企业、小</w:t>
      </w:r>
      <w:r>
        <w:rPr>
          <w:rFonts w:ascii="Times New Roman" w:hAnsi="Times New Roman" w:eastAsia="宋体" w:cs="Times New Roman"/>
          <w:i/>
          <w:iCs/>
          <w:color w:val="auto"/>
          <w:highlight w:val="none"/>
          <w:u w:val="single"/>
        </w:rPr>
        <w:t xml:space="preserve"> </w:t>
      </w:r>
      <w:r>
        <w:rPr>
          <w:rFonts w:hint="eastAsia" w:ascii="Times New Roman" w:hAnsi="Times New Roman" w:eastAsia="宋体" w:cs="Times New Roman"/>
          <w:i/>
          <w:iCs/>
          <w:color w:val="auto"/>
          <w:highlight w:val="none"/>
          <w:u w:val="single"/>
        </w:rPr>
        <w:t xml:space="preserve">型企业、微型企业）</w:t>
      </w:r>
      <w:r>
        <w:rPr>
          <w:rFonts w:hint="eastAsia" w:ascii="Times New Roman" w:hAnsi="Times New Roman" w:eastAsia="宋体" w:cs="Times New Roman"/>
          <w:color w:val="auto"/>
          <w:highlight w:val="none"/>
        </w:rPr>
        <w:t xml:space="preserve">；</w:t>
      </w:r>
      <w:r/>
    </w:p>
    <w:p>
      <w:pPr>
        <w:ind w:firstLine="420"/>
        <w:spacing w:line="360" w:lineRule="auto"/>
        <w:rPr>
          <w:rFonts w:ascii="Times New Roman" w:hAnsi="Times New Roman" w:eastAsia="宋体" w:cs="Times New Roman"/>
          <w:color w:val="auto"/>
          <w:highlight w:val="none"/>
        </w:rPr>
      </w:pPr>
      <w:r>
        <w:rPr>
          <w:rFonts w:ascii="Times New Roman" w:hAnsi="Times New Roman" w:eastAsia="宋体" w:cs="Times New Roman"/>
          <w:color w:val="auto"/>
          <w:szCs w:val="21"/>
          <w:highlight w:val="none"/>
        </w:rPr>
        <w:t xml:space="preserve">2.</w:t>
      </w:r>
      <w:r>
        <w:rPr>
          <w:rFonts w:ascii="Times New Roman" w:hAnsi="Times New Roman" w:eastAsia="宋体" w:cs="Times New Roman"/>
          <w:i/>
          <w:iCs/>
          <w:color w:val="auto"/>
          <w:highlight w:val="none"/>
          <w:u w:val="single"/>
        </w:rPr>
        <w:t xml:space="preserve"> </w:t>
      </w:r>
      <w:r>
        <w:rPr>
          <w:rFonts w:hint="eastAsia" w:ascii="Times New Roman" w:hAnsi="Times New Roman" w:eastAsia="宋体" w:cs="Times New Roman"/>
          <w:i/>
          <w:iCs/>
          <w:color w:val="auto"/>
          <w:highlight w:val="none"/>
          <w:u w:val="single"/>
        </w:rPr>
        <w:t xml:space="preserve">（标的名称）</w:t>
      </w:r>
      <w:r>
        <w:rPr>
          <w:rFonts w:hint="eastAsia" w:ascii="Times New Roman" w:hAnsi="Times New Roman" w:eastAsia="宋体" w:cs="Times New Roman"/>
          <w:color w:val="auto"/>
          <w:highlight w:val="none"/>
        </w:rPr>
        <w:t xml:space="preserve">，属于</w:t>
      </w:r>
      <w:r>
        <w:rPr>
          <w:rFonts w:hint="eastAsia" w:ascii="Times New Roman" w:hAnsi="Times New Roman" w:eastAsia="宋体" w:cs="Times New Roman"/>
          <w:i/>
          <w:iCs/>
          <w:color w:val="auto"/>
          <w:highlight w:val="none"/>
          <w:u w:val="single"/>
        </w:rPr>
        <w:t xml:space="preserve">（谈判文件中明确的所属行业）</w:t>
      </w:r>
      <w:r>
        <w:rPr>
          <w:rFonts w:hint="eastAsia" w:ascii="Times New Roman" w:hAnsi="Times New Roman" w:eastAsia="宋体" w:cs="Times New Roman"/>
          <w:color w:val="auto"/>
          <w:highlight w:val="none"/>
        </w:rPr>
        <w:t xml:space="preserve">；</w:t>
      </w:r>
      <w:r>
        <w:rPr>
          <w:rFonts w:ascii="宋体" w:hAnsi="宋体" w:eastAsia="宋体" w:cs="Times New Roman"/>
          <w:color w:val="auto"/>
          <w:highlight w:val="none"/>
        </w:rPr>
        <w:t xml:space="preserve">承建（承接）</w:t>
      </w:r>
      <w:r>
        <w:rPr>
          <w:rFonts w:hint="eastAsia" w:ascii="Times New Roman" w:hAnsi="Times New Roman" w:eastAsia="宋体" w:cs="Times New Roman"/>
          <w:color w:val="auto"/>
          <w:highlight w:val="none"/>
        </w:rPr>
        <w:t xml:space="preserve">为</w:t>
      </w:r>
      <w:r>
        <w:rPr>
          <w:rFonts w:hint="eastAsia" w:ascii="Times New Roman" w:hAnsi="Times New Roman" w:eastAsia="宋体" w:cs="Times New Roman"/>
          <w:i/>
          <w:iCs/>
          <w:color w:val="auto"/>
          <w:highlight w:val="none"/>
          <w:u w:val="single"/>
        </w:rPr>
        <w:t xml:space="preserve">（企业名称）</w:t>
      </w:r>
      <w:r>
        <w:rPr>
          <w:rFonts w:hint="eastAsia" w:ascii="Times New Roman" w:hAnsi="Times New Roman" w:eastAsia="宋体" w:cs="Times New Roman"/>
          <w:color w:val="auto"/>
          <w:highlight w:val="none"/>
        </w:rPr>
        <w:t xml:space="preserve">，从业人员</w:t>
      </w:r>
      <w:r>
        <w:rPr>
          <w:rFonts w:ascii="Times New Roman" w:hAnsi="Times New Roman" w:eastAsia="宋体" w:cs="Times New Roman"/>
          <w:color w:val="auto"/>
          <w:highlight w:val="none"/>
          <w:u w:val="single"/>
        </w:rPr>
        <w:t xml:space="preserve">   </w:t>
      </w:r>
      <w:r>
        <w:rPr>
          <w:rFonts w:hint="eastAsia" w:ascii="Times New Roman" w:hAnsi="Times New Roman" w:eastAsia="宋体" w:cs="Times New Roman"/>
          <w:color w:val="auto"/>
          <w:highlight w:val="none"/>
        </w:rPr>
        <w:t xml:space="preserve">人，营业收入为</w:t>
      </w:r>
      <w:r>
        <w:rPr>
          <w:rFonts w:ascii="Times New Roman" w:hAnsi="Times New Roman" w:eastAsia="宋体" w:cs="Times New Roman"/>
          <w:color w:val="auto"/>
          <w:highlight w:val="none"/>
          <w:u w:val="single"/>
        </w:rPr>
        <w:t xml:space="preserve">   </w:t>
      </w:r>
      <w:r>
        <w:rPr>
          <w:rFonts w:hint="eastAsia" w:ascii="Times New Roman" w:hAnsi="Times New Roman" w:eastAsia="宋体" w:cs="Times New Roman"/>
          <w:color w:val="auto"/>
          <w:highlight w:val="none"/>
        </w:rPr>
        <w:t xml:space="preserve">万元，资产总额为</w:t>
      </w:r>
      <w:r>
        <w:rPr>
          <w:rFonts w:ascii="Times New Roman" w:hAnsi="Times New Roman" w:eastAsia="宋体" w:cs="Times New Roman"/>
          <w:color w:val="auto"/>
          <w:highlight w:val="none"/>
          <w:u w:val="single"/>
        </w:rPr>
        <w:t xml:space="preserve">   </w:t>
      </w:r>
      <w:r>
        <w:rPr>
          <w:rFonts w:hint="eastAsia" w:ascii="Times New Roman" w:hAnsi="Times New Roman" w:eastAsia="宋体" w:cs="Times New Roman"/>
          <w:color w:val="auto"/>
          <w:highlight w:val="none"/>
        </w:rPr>
        <w:t xml:space="preserve">万元，属于</w:t>
      </w:r>
      <w:r>
        <w:rPr>
          <w:rFonts w:hint="eastAsia" w:ascii="Times New Roman" w:hAnsi="Times New Roman" w:eastAsia="宋体" w:cs="Times New Roman"/>
          <w:i/>
          <w:iCs/>
          <w:color w:val="auto"/>
          <w:highlight w:val="none"/>
          <w:u w:val="single"/>
        </w:rPr>
        <w:t xml:space="preserve">（中型企业、小</w:t>
      </w:r>
      <w:r>
        <w:rPr>
          <w:rFonts w:ascii="Times New Roman" w:hAnsi="Times New Roman" w:eastAsia="宋体" w:cs="Times New Roman"/>
          <w:i/>
          <w:iCs/>
          <w:color w:val="auto"/>
          <w:highlight w:val="none"/>
          <w:u w:val="single"/>
        </w:rPr>
        <w:t xml:space="preserve"> </w:t>
      </w:r>
      <w:r>
        <w:rPr>
          <w:rFonts w:hint="eastAsia" w:ascii="Times New Roman" w:hAnsi="Times New Roman" w:eastAsia="宋体" w:cs="Times New Roman"/>
          <w:i/>
          <w:iCs/>
          <w:color w:val="auto"/>
          <w:highlight w:val="none"/>
          <w:u w:val="single"/>
        </w:rPr>
        <w:t xml:space="preserve">型企业、微型企业）</w:t>
      </w:r>
      <w:r>
        <w:rPr>
          <w:rFonts w:hint="eastAsia" w:ascii="Times New Roman" w:hAnsi="Times New Roman" w:eastAsia="宋体" w:cs="Times New Roman"/>
          <w:color w:val="auto"/>
          <w:highlight w:val="none"/>
        </w:rPr>
        <w:t xml:space="preserve">；</w:t>
      </w:r>
      <w:r/>
    </w:p>
    <w:p>
      <w:pPr>
        <w:ind w:firstLine="420"/>
        <w:spacing w:line="360" w:lineRule="auto"/>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w:t>
      </w:r>
      <w:r/>
    </w:p>
    <w:p>
      <w:pPr>
        <w:ind w:firstLine="420"/>
        <w:jc w:val="both"/>
        <w:spacing w:line="360" w:lineRule="auto"/>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以上企业，不属于大企业的分支机构，不存在控股股东为大企业的情形，也不存在与大企业的负责人为同一人的情形。</w:t>
      </w:r>
      <w:r/>
    </w:p>
    <w:p>
      <w:pPr>
        <w:ind w:firstLine="420"/>
        <w:jc w:val="both"/>
        <w:spacing w:line="360" w:lineRule="auto"/>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本企业对上述声明内容的真实性负责。如有虚假，将依法承担相应责任。</w:t>
      </w:r>
      <w:r/>
    </w:p>
    <w:p>
      <w:pPr>
        <w:pStyle w:val="1137"/>
        <w:ind w:firstLine="422"/>
        <w:spacing w:line="360" w:lineRule="auto"/>
        <w:rPr>
          <w:rFonts w:hAnsi="宋体" w:eastAsia="宋体"/>
          <w:color w:val="auto"/>
          <w:sz w:val="21"/>
          <w:szCs w:val="21"/>
          <w:highlight w:val="none"/>
        </w:rPr>
      </w:pPr>
      <w:r>
        <w:rPr>
          <w:rFonts w:hAnsi="宋体" w:eastAsia="宋体"/>
          <w:b/>
          <w:color w:val="auto"/>
          <w:sz w:val="21"/>
          <w:szCs w:val="21"/>
          <w:highlight w:val="none"/>
        </w:rPr>
        <w:t xml:space="preserve">本项目所属行业为：</w:t>
      </w:r>
      <w:r>
        <w:rPr>
          <w:rFonts w:hint="eastAsia" w:hAnsi="宋体" w:eastAsia="宋体"/>
          <w:b/>
          <w:color w:val="auto"/>
          <w:sz w:val="21"/>
          <w:szCs w:val="21"/>
          <w:highlight w:val="none"/>
          <w:lang w:val="en-US" w:eastAsia="zh-CN"/>
        </w:rPr>
        <w:t xml:space="preserve">软件和信息技术服务业</w:t>
      </w:r>
      <w:r>
        <w:rPr>
          <w:rFonts w:hAnsi="宋体" w:eastAsia="宋体"/>
          <w:b/>
          <w:color w:val="auto"/>
          <w:sz w:val="21"/>
          <w:szCs w:val="21"/>
          <w:highlight w:val="none"/>
        </w:rPr>
        <w:t xml:space="preserve">。中小微企业划型标准请根据《中小企业划型标准规定》（工信部联企业〔2011〕300号）。</w:t>
      </w:r>
      <w:r/>
    </w:p>
    <w:p>
      <w:pPr>
        <w:pStyle w:val="1137"/>
        <w:ind w:firstLine="420"/>
        <w:spacing w:line="360" w:lineRule="auto"/>
        <w:rPr>
          <w:rFonts w:hAnsi="宋体" w:eastAsia="宋体"/>
          <w:color w:val="auto"/>
          <w:sz w:val="21"/>
          <w:szCs w:val="21"/>
          <w:highlight w:val="none"/>
        </w:rPr>
      </w:pPr>
      <w:r>
        <w:rPr>
          <w:rFonts w:hAnsi="宋体" w:eastAsia="宋体"/>
          <w:color w:val="auto"/>
          <w:sz w:val="21"/>
          <w:szCs w:val="21"/>
          <w:highlight w:val="none"/>
        </w:rPr>
        <w:t xml:space="preserve">注：从业人员、营业收入、资产总额填报上一年度数据，无上一年度数据的新成立企业可不填报。</w:t>
      </w:r>
      <w:r/>
    </w:p>
    <w:p>
      <w:pPr>
        <w:pStyle w:val="1137"/>
        <w:spacing w:line="360" w:lineRule="auto"/>
        <w:rPr>
          <w:rFonts w:hAnsi="宋体" w:eastAsia="宋体"/>
          <w:color w:val="auto"/>
          <w:sz w:val="21"/>
          <w:szCs w:val="21"/>
          <w:highlight w:val="none"/>
        </w:rPr>
      </w:pPr>
      <w:r>
        <w:rPr>
          <w:rFonts w:hAnsi="宋体" w:eastAsia="宋体"/>
          <w:color w:val="auto"/>
          <w:sz w:val="21"/>
          <w:szCs w:val="21"/>
          <w:highlight w:val="none"/>
        </w:rPr>
      </w:r>
      <w:r/>
    </w:p>
    <w:p>
      <w:pPr>
        <w:ind w:right="420"/>
        <w:jc w:val="right"/>
        <w:spacing w:line="360" w:lineRule="auto"/>
        <w:rPr>
          <w:rFonts w:ascii="宋体" w:hAnsi="宋体"/>
          <w:color w:val="auto"/>
          <w:highlight w:val="none"/>
        </w:rPr>
      </w:pPr>
      <w:r>
        <w:rPr>
          <w:rFonts w:hint="eastAsia" w:ascii="宋体" w:hAnsi="宋体"/>
          <w:color w:val="auto"/>
          <w:highlight w:val="none"/>
        </w:rPr>
        <w:t xml:space="preserve">供应商</w:t>
      </w:r>
      <w:r>
        <w:rPr>
          <w:rFonts w:ascii="宋体" w:hAnsi="宋体"/>
          <w:color w:val="auto"/>
          <w:highlight w:val="none"/>
        </w:rPr>
        <w:t xml:space="preserve">：（</w:t>
      </w:r>
      <w:r>
        <w:rPr>
          <w:rFonts w:hint="eastAsia" w:ascii="宋体" w:hAnsi="宋体"/>
          <w:color w:val="auto"/>
          <w:highlight w:val="none"/>
        </w:rPr>
        <w:t xml:space="preserve">公章</w:t>
      </w:r>
      <w:r>
        <w:rPr>
          <w:rFonts w:ascii="宋体" w:hAnsi="宋体"/>
          <w:color w:val="auto"/>
          <w:highlight w:val="none"/>
        </w:rPr>
        <w:t xml:space="preserve">）</w:t>
      </w:r>
      <w:r/>
    </w:p>
    <w:p>
      <w:pPr>
        <w:jc w:val="right"/>
        <w:spacing w:line="360" w:lineRule="auto"/>
        <w:rPr>
          <w:rFonts w:ascii="宋体" w:hAnsi="宋体"/>
          <w:color w:val="auto"/>
          <w:highlight w:val="none"/>
        </w:rPr>
      </w:pPr>
      <w:r>
        <w:rPr>
          <w:rFonts w:hint="eastAsia" w:ascii="宋体" w:hAnsi="宋体"/>
          <w:color w:val="auto"/>
          <w:highlight w:val="none"/>
        </w:rPr>
        <w:t xml:space="preserve">日期：    </w:t>
      </w:r>
      <w:r>
        <w:rPr>
          <w:rFonts w:ascii="宋体" w:hAnsi="宋体"/>
          <w:color w:val="auto"/>
          <w:highlight w:val="none"/>
        </w:rPr>
        <w:t xml:space="preserve">年</w:t>
      </w:r>
      <w:r>
        <w:rPr>
          <w:rFonts w:hint="eastAsia" w:ascii="宋体" w:hAnsi="宋体"/>
          <w:color w:val="auto"/>
          <w:highlight w:val="none"/>
        </w:rPr>
        <w:t xml:space="preserve">  </w:t>
      </w:r>
      <w:r>
        <w:rPr>
          <w:rFonts w:ascii="宋体" w:hAnsi="宋体"/>
          <w:color w:val="auto"/>
          <w:highlight w:val="none"/>
        </w:rPr>
        <w:t xml:space="preserve">月</w:t>
      </w:r>
      <w:r>
        <w:rPr>
          <w:rFonts w:hint="eastAsia" w:ascii="宋体" w:hAnsi="宋体"/>
          <w:color w:val="auto"/>
          <w:highlight w:val="none"/>
        </w:rPr>
        <w:t xml:space="preserve">  </w:t>
      </w:r>
      <w:r>
        <w:rPr>
          <w:rFonts w:ascii="宋体" w:hAnsi="宋体"/>
          <w:color w:val="auto"/>
          <w:highlight w:val="none"/>
        </w:rPr>
        <w:t xml:space="preserve">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widowControl/>
        <w:rPr>
          <w:rFonts w:ascii="宋体" w:hAnsi="宋体"/>
          <w:b/>
          <w:bCs/>
          <w:color w:val="auto"/>
          <w:sz w:val="24"/>
          <w:highlight w:val="none"/>
        </w:rPr>
      </w:pPr>
      <w:r/>
      <w:bookmarkStart w:id="49" w:name="_Toc98785120"/>
      <w:r/>
      <w:bookmarkStart w:id="50" w:name="_Toc130478804"/>
      <w:r/>
      <w:bookmarkStart w:id="51" w:name="_Ref33617531"/>
      <w:r>
        <w:rPr>
          <w:rFonts w:ascii="宋体" w:hAnsi="宋体"/>
          <w:color w:val="auto"/>
          <w:sz w:val="24"/>
          <w:highlight w:val="none"/>
        </w:rPr>
        <w:br w:type="page" w:clear="all"/>
      </w:r>
      <w:r/>
    </w:p>
    <w:p>
      <w:pPr>
        <w:pStyle w:val="729"/>
        <w:rPr>
          <w:rFonts w:ascii="宋体" w:hAnsi="宋体" w:eastAsia="宋体"/>
          <w:color w:val="auto"/>
          <w:sz w:val="24"/>
          <w:szCs w:val="24"/>
          <w:highlight w:val="none"/>
        </w:rPr>
      </w:pPr>
      <w:r/>
      <w:bookmarkStart w:id="52" w:name="_Toc166488928"/>
      <w:r/>
      <w:bookmarkStart w:id="53" w:name="_Toc166487078"/>
      <w:r>
        <w:rPr>
          <w:rFonts w:ascii="宋体" w:hAnsi="宋体" w:eastAsia="宋体"/>
          <w:color w:val="auto"/>
          <w:sz w:val="24"/>
          <w:szCs w:val="24"/>
          <w:highlight w:val="none"/>
        </w:rPr>
        <w:t xml:space="preserve">附件</w:t>
      </w:r>
      <w:r>
        <w:rPr>
          <w:rFonts w:hint="eastAsia" w:ascii="宋体" w:hAnsi="宋体" w:eastAsia="宋体"/>
          <w:color w:val="auto"/>
          <w:sz w:val="24"/>
          <w:szCs w:val="24"/>
          <w:highlight w:val="none"/>
        </w:rPr>
        <w:t xml:space="preserve">4</w:t>
      </w:r>
      <w:r>
        <w:rPr>
          <w:rFonts w:ascii="宋体" w:hAnsi="宋体" w:eastAsia="宋体"/>
          <w:color w:val="auto"/>
          <w:sz w:val="24"/>
          <w:szCs w:val="24"/>
          <w:highlight w:val="none"/>
        </w:rPr>
        <w:t xml:space="preserve">：残疾人福利性单位声明函</w:t>
      </w:r>
      <w:bookmarkEnd w:id="49"/>
      <w:r/>
      <w:bookmarkEnd w:id="50"/>
      <w:r/>
      <w:bookmarkEnd w:id="51"/>
      <w:r/>
      <w:bookmarkEnd w:id="52"/>
      <w:r/>
      <w:bookmarkEnd w:id="53"/>
      <w:r/>
      <w:r/>
    </w:p>
    <w:p>
      <w:pPr>
        <w:pStyle w:val="1135"/>
        <w:jc w:val="center"/>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残疾人福利性单位声明函</w:t>
      </w:r>
      <w:r/>
    </w:p>
    <w:p>
      <w:pPr>
        <w:pStyle w:val="1135"/>
        <w:ind w:firstLine="425"/>
        <w:jc w:val="left"/>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pStyle w:val="1135"/>
        <w:ind w:firstLine="425"/>
        <w:jc w:val="left"/>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本单位对上述声明的真实性负责。如有虚假，将依法承担相应责任。</w:t>
      </w:r>
      <w:r/>
    </w:p>
    <w:p>
      <w:pPr>
        <w:pStyle w:val="1133"/>
        <w:ind w:firstLine="425"/>
        <w:jc w:val="left"/>
        <w:spacing w:line="360" w:lineRule="auto"/>
        <w:rPr>
          <w:rFonts w:hAnsi="宋体" w:eastAsia="宋体"/>
          <w:color w:val="auto"/>
          <w:sz w:val="21"/>
          <w:szCs w:val="21"/>
          <w:highlight w:val="none"/>
        </w:rPr>
      </w:pPr>
      <w:r>
        <w:rPr>
          <w:rFonts w:hAnsi="宋体" w:eastAsia="宋体"/>
          <w:color w:val="auto"/>
          <w:sz w:val="21"/>
          <w:szCs w:val="21"/>
          <w:highlight w:val="none"/>
        </w:rPr>
      </w:r>
      <w:r/>
    </w:p>
    <w:p>
      <w:pPr>
        <w:jc w:val="right"/>
        <w:spacing w:line="360" w:lineRule="auto"/>
        <w:rPr>
          <w:color w:val="auto"/>
          <w:highlight w:val="none"/>
        </w:rPr>
      </w:pPr>
      <w:r>
        <w:rPr>
          <w:rFonts w:hint="eastAsia"/>
          <w:color w:val="auto"/>
          <w:highlight w:val="none"/>
        </w:rPr>
        <w:t xml:space="preserve">供应商</w:t>
      </w:r>
      <w:r>
        <w:rPr>
          <w:color w:val="auto"/>
          <w:highlight w:val="none"/>
        </w:rPr>
        <w:t xml:space="preserve">：（加盖</w:t>
      </w:r>
      <w:r>
        <w:rPr>
          <w:rFonts w:hint="eastAsia"/>
          <w:color w:val="auto"/>
          <w:highlight w:val="none"/>
        </w:rPr>
        <w:t xml:space="preserve">公章</w:t>
      </w:r>
      <w:r>
        <w:rPr>
          <w:color w:val="auto"/>
          <w:highlight w:val="none"/>
        </w:rPr>
        <w:t xml:space="preserve">）</w:t>
      </w:r>
      <w:r/>
    </w:p>
    <w:p>
      <w:pPr>
        <w:jc w:val="center"/>
        <w:spacing w:line="360" w:lineRule="auto"/>
        <w:rPr>
          <w:color w:val="auto"/>
          <w:highlight w:val="none"/>
        </w:rPr>
      </w:pPr>
      <w:r>
        <w:rPr>
          <w:rFonts w:hint="eastAsia"/>
          <w:color w:val="auto"/>
          <w:highlight w:val="none"/>
        </w:rPr>
        <w:t xml:space="preserve">                                                         日期：  </w:t>
      </w:r>
      <w:r>
        <w:rPr>
          <w:color w:val="auto"/>
          <w:highlight w:val="none"/>
        </w:rPr>
        <w:t xml:space="preserve">年</w:t>
      </w:r>
      <w:r>
        <w:rPr>
          <w:rFonts w:hint="eastAsia"/>
          <w:color w:val="auto"/>
          <w:highlight w:val="none"/>
        </w:rPr>
        <w:t xml:space="preserve">  </w:t>
      </w:r>
      <w:r>
        <w:rPr>
          <w:color w:val="auto"/>
          <w:highlight w:val="none"/>
        </w:rPr>
        <w:t xml:space="preserve">月</w:t>
      </w:r>
      <w:r>
        <w:rPr>
          <w:rFonts w:hint="eastAsia"/>
          <w:color w:val="auto"/>
          <w:highlight w:val="none"/>
        </w:rPr>
        <w:t xml:space="preserve">  </w:t>
      </w:r>
      <w:r>
        <w:rPr>
          <w:color w:val="auto"/>
          <w:highlight w:val="none"/>
        </w:rPr>
        <w:t xml:space="preserve">日</w:t>
      </w:r>
      <w:r/>
    </w:p>
    <w:p>
      <w:pPr>
        <w:jc w:val="right"/>
        <w:spacing w:line="360" w:lineRule="auto"/>
        <w:rPr>
          <w:color w:val="auto"/>
          <w:highlight w:val="none"/>
        </w:rPr>
      </w:pPr>
      <w:r>
        <w:rPr>
          <w:b/>
          <w:bCs/>
          <w:color w:val="auto"/>
          <w:szCs w:val="21"/>
          <w:highlight w:val="none"/>
        </w:rPr>
        <w:br w:type="page" w:clear="all"/>
      </w:r>
      <w:r/>
    </w:p>
    <w:p>
      <w:pPr>
        <w:pStyle w:val="729"/>
        <w:rPr>
          <w:rFonts w:ascii="宋体" w:hAnsi="宋体" w:eastAsia="宋体"/>
          <w:color w:val="auto"/>
          <w:sz w:val="24"/>
          <w:szCs w:val="24"/>
          <w:highlight w:val="none"/>
        </w:rPr>
      </w:pPr>
      <w:r/>
      <w:bookmarkStart w:id="54" w:name="_Toc130478805"/>
      <w:r/>
      <w:bookmarkStart w:id="55" w:name="_Ref33617535"/>
      <w:r/>
      <w:bookmarkStart w:id="56" w:name="_Toc166487079"/>
      <w:r/>
      <w:bookmarkStart w:id="57" w:name="_Toc98785121"/>
      <w:r/>
      <w:bookmarkStart w:id="58" w:name="_Toc166488929"/>
      <w:r>
        <w:rPr>
          <w:rFonts w:ascii="宋体" w:hAnsi="宋体" w:eastAsia="宋体"/>
          <w:color w:val="auto"/>
          <w:sz w:val="24"/>
          <w:szCs w:val="24"/>
          <w:highlight w:val="none"/>
        </w:rPr>
        <w:t xml:space="preserve">附件</w:t>
      </w:r>
      <w:r>
        <w:rPr>
          <w:rFonts w:hint="eastAsia" w:ascii="宋体" w:hAnsi="宋体" w:eastAsia="宋体"/>
          <w:color w:val="auto"/>
          <w:sz w:val="24"/>
          <w:szCs w:val="24"/>
          <w:highlight w:val="none"/>
        </w:rPr>
        <w:t xml:space="preserve">5</w:t>
      </w:r>
      <w:r>
        <w:rPr>
          <w:rFonts w:ascii="宋体" w:hAnsi="宋体" w:eastAsia="宋体"/>
          <w:color w:val="auto"/>
          <w:sz w:val="24"/>
          <w:szCs w:val="24"/>
          <w:highlight w:val="none"/>
        </w:rPr>
        <w:t xml:space="preserve">：法定代表人授权委托书:</w:t>
      </w:r>
      <w:bookmarkEnd w:id="54"/>
      <w:r/>
      <w:bookmarkEnd w:id="55"/>
      <w:r/>
      <w:bookmarkEnd w:id="56"/>
      <w:r/>
      <w:bookmarkEnd w:id="57"/>
      <w:r/>
      <w:bookmarkEnd w:id="58"/>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法定代表人授权委托书</w:t>
      </w:r>
      <w:r/>
    </w:p>
    <w:p>
      <w:pPr>
        <w:spacing w:line="360" w:lineRule="auto"/>
        <w:rPr>
          <w:rFonts w:ascii="宋体" w:hAnsi="宋体"/>
          <w:color w:val="auto"/>
          <w:szCs w:val="21"/>
          <w:highlight w:val="none"/>
        </w:rPr>
      </w:pPr>
      <w:r>
        <w:rPr>
          <w:rFonts w:hint="eastAsia" w:ascii="宋体" w:hAnsi="宋体"/>
          <w:color w:val="auto"/>
          <w:szCs w:val="21"/>
          <w:highlight w:val="none"/>
        </w:rPr>
        <w:t xml:space="preserve">苏州宇恩项目咨询有限公司：</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本授权委托书声明：我</w:t>
      </w:r>
      <w:r>
        <w:rPr>
          <w:rFonts w:hint="eastAsia" w:ascii="宋体" w:hAnsi="宋体"/>
          <w:color w:val="auto"/>
          <w:szCs w:val="21"/>
          <w:highlight w:val="none"/>
          <w:u w:val="single"/>
        </w:rPr>
        <w:t xml:space="preserve">（法定代表人姓名）</w:t>
      </w:r>
      <w:r>
        <w:rPr>
          <w:rFonts w:hint="eastAsia" w:ascii="宋体" w:hAnsi="宋体"/>
          <w:color w:val="auto"/>
          <w:szCs w:val="21"/>
          <w:highlight w:val="none"/>
        </w:rPr>
        <w:t xml:space="preserve">系</w:t>
      </w:r>
      <w:r>
        <w:rPr>
          <w:rFonts w:hint="eastAsia" w:ascii="宋体" w:hAnsi="宋体"/>
          <w:color w:val="auto"/>
          <w:szCs w:val="21"/>
          <w:highlight w:val="none"/>
          <w:u w:val="single"/>
        </w:rPr>
        <w:t xml:space="preserve">（公司名称）</w:t>
      </w:r>
      <w:r>
        <w:rPr>
          <w:rFonts w:hint="eastAsia" w:ascii="宋体" w:hAnsi="宋体"/>
          <w:color w:val="auto"/>
          <w:szCs w:val="21"/>
          <w:highlight w:val="none"/>
        </w:rPr>
        <w:t xml:space="preserve">的法定代表人，现授权委托</w:t>
      </w:r>
      <w:r>
        <w:rPr>
          <w:rFonts w:hint="eastAsia" w:ascii="宋体" w:hAnsi="宋体"/>
          <w:color w:val="auto"/>
          <w:szCs w:val="21"/>
          <w:highlight w:val="none"/>
          <w:u w:val="single"/>
        </w:rPr>
        <w:t xml:space="preserve">（代理人姓名）</w:t>
      </w:r>
      <w:r>
        <w:rPr>
          <w:rFonts w:hint="eastAsia" w:ascii="宋体" w:hAnsi="宋体"/>
          <w:color w:val="auto"/>
          <w:szCs w:val="21"/>
          <w:highlight w:val="none"/>
        </w:rPr>
        <w:t xml:space="preserve">代表我公司参加贵公司组织实施的项目编号为</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号的采购活动。代理人在开标、谈判、签约等过程中所签署的一切文件和处理与这有关的一切事务，我均予以承认。</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本授权委托书自投标开始至合同履行完毕止。</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代理人：                            职务：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身份证号码：                        联系电话：</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代理人签字：                       法定代表人签字：</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jc w:val="right"/>
        <w:spacing w:line="360" w:lineRule="auto"/>
        <w:rPr>
          <w:color w:val="auto"/>
          <w:highlight w:val="none"/>
        </w:rPr>
      </w:pPr>
      <w:r>
        <w:rPr>
          <w:rFonts w:hint="eastAsia"/>
          <w:color w:val="auto"/>
          <w:highlight w:val="none"/>
        </w:rPr>
        <w:t xml:space="preserve">供应商</w:t>
      </w:r>
      <w:r>
        <w:rPr>
          <w:color w:val="auto"/>
          <w:highlight w:val="none"/>
        </w:rPr>
        <w:t xml:space="preserve">：（加盖</w:t>
      </w:r>
      <w:r>
        <w:rPr>
          <w:rFonts w:hint="eastAsia"/>
          <w:color w:val="auto"/>
          <w:highlight w:val="none"/>
        </w:rPr>
        <w:t xml:space="preserve">公章</w:t>
      </w:r>
      <w:r>
        <w:rPr>
          <w:color w:val="auto"/>
          <w:highlight w:val="none"/>
        </w:rPr>
        <w:t xml:space="preserve">）</w:t>
      </w:r>
      <w:r/>
    </w:p>
    <w:p>
      <w:pPr>
        <w:jc w:val="center"/>
        <w:spacing w:line="360" w:lineRule="auto"/>
        <w:rPr>
          <w:color w:val="auto"/>
          <w:highlight w:val="none"/>
        </w:rPr>
      </w:pPr>
      <w:r>
        <w:rPr>
          <w:rFonts w:hint="eastAsia"/>
          <w:color w:val="auto"/>
          <w:highlight w:val="none"/>
        </w:rPr>
        <w:t xml:space="preserve">                                                        日期：  </w:t>
      </w:r>
      <w:r>
        <w:rPr>
          <w:color w:val="auto"/>
          <w:highlight w:val="none"/>
        </w:rPr>
        <w:t xml:space="preserve">年</w:t>
      </w:r>
      <w:r>
        <w:rPr>
          <w:rFonts w:hint="eastAsia"/>
          <w:color w:val="auto"/>
          <w:highlight w:val="none"/>
        </w:rPr>
        <w:t xml:space="preserve"> </w:t>
      </w:r>
      <w:r>
        <w:rPr>
          <w:color w:val="auto"/>
          <w:highlight w:val="none"/>
        </w:rPr>
        <w:t xml:space="preserve">月</w:t>
      </w:r>
      <w:r>
        <w:rPr>
          <w:rFonts w:hint="eastAsia"/>
          <w:color w:val="auto"/>
          <w:highlight w:val="none"/>
        </w:rPr>
        <w:t xml:space="preserve">  </w:t>
      </w:r>
      <w:r>
        <w:rPr>
          <w:color w:val="auto"/>
          <w:highlight w:val="none"/>
        </w:rPr>
        <w:t xml:space="preserve">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widowControl/>
        <w:rPr>
          <w:rFonts w:ascii="宋体" w:hAnsi="宋体"/>
          <w:b/>
          <w:bCs/>
          <w:color w:val="auto"/>
          <w:sz w:val="24"/>
          <w:highlight w:val="none"/>
        </w:rPr>
      </w:pPr>
      <w:r/>
      <w:bookmarkStart w:id="59" w:name="_Ref376770274"/>
      <w:r/>
      <w:bookmarkStart w:id="60" w:name="_Toc500143978"/>
      <w:r/>
      <w:bookmarkStart w:id="61" w:name="_Toc519686653"/>
      <w:r/>
      <w:bookmarkStart w:id="62" w:name="_Toc98785122"/>
      <w:r/>
      <w:bookmarkStart w:id="63" w:name="_Ref15302750"/>
      <w:r/>
      <w:bookmarkStart w:id="64" w:name="_Toc130478806"/>
      <w:r>
        <w:rPr>
          <w:rFonts w:ascii="宋体" w:hAnsi="宋体"/>
          <w:color w:val="auto"/>
          <w:sz w:val="24"/>
          <w:highlight w:val="none"/>
        </w:rPr>
        <w:br w:type="page" w:clear="all"/>
      </w:r>
      <w:r/>
    </w:p>
    <w:p>
      <w:pPr>
        <w:pStyle w:val="729"/>
        <w:rPr>
          <w:rFonts w:ascii="宋体" w:hAnsi="宋体" w:eastAsia="宋体"/>
          <w:color w:val="auto"/>
          <w:sz w:val="24"/>
          <w:szCs w:val="24"/>
          <w:highlight w:val="none"/>
        </w:rPr>
      </w:pPr>
      <w:r/>
      <w:bookmarkStart w:id="65" w:name="_Toc166487080"/>
      <w:r/>
      <w:bookmarkStart w:id="66" w:name="_Toc166488930"/>
      <w:r>
        <w:rPr>
          <w:rFonts w:ascii="宋体" w:hAnsi="宋体" w:eastAsia="宋体"/>
          <w:color w:val="auto"/>
          <w:sz w:val="24"/>
          <w:szCs w:val="24"/>
          <w:highlight w:val="none"/>
        </w:rPr>
        <w:t xml:space="preserve">附件</w:t>
      </w:r>
      <w:r>
        <w:rPr>
          <w:rFonts w:hint="eastAsia" w:ascii="宋体" w:hAnsi="宋体" w:eastAsia="宋体"/>
          <w:color w:val="auto"/>
          <w:sz w:val="24"/>
          <w:szCs w:val="24"/>
          <w:highlight w:val="none"/>
        </w:rPr>
        <w:t xml:space="preserve">6</w:t>
      </w:r>
      <w:r>
        <w:rPr>
          <w:rFonts w:ascii="宋体" w:hAnsi="宋体" w:eastAsia="宋体"/>
          <w:color w:val="auto"/>
          <w:sz w:val="24"/>
          <w:szCs w:val="24"/>
          <w:highlight w:val="none"/>
        </w:rPr>
        <w:t xml:space="preserve">：</w:t>
      </w:r>
      <w:bookmarkEnd w:id="59"/>
      <w:r/>
      <w:bookmarkEnd w:id="60"/>
      <w:r/>
      <w:bookmarkEnd w:id="61"/>
      <w:r>
        <w:rPr>
          <w:rFonts w:ascii="宋体" w:hAnsi="宋体" w:eastAsia="宋体"/>
          <w:color w:val="auto"/>
          <w:sz w:val="24"/>
          <w:szCs w:val="24"/>
          <w:highlight w:val="none"/>
        </w:rPr>
        <w:t xml:space="preserve">开标一览表</w:t>
      </w:r>
      <w:bookmarkEnd w:id="62"/>
      <w:r/>
      <w:bookmarkEnd w:id="63"/>
      <w:r/>
      <w:bookmarkEnd w:id="64"/>
      <w:r/>
      <w:bookmarkEnd w:id="65"/>
      <w:r/>
      <w:bookmarkEnd w:id="66"/>
      <w:r/>
      <w:r/>
    </w:p>
    <w:p>
      <w:pPr>
        <w:jc w:val="center"/>
        <w:rPr>
          <w:b/>
          <w:color w:val="auto"/>
          <w:highlight w:val="none"/>
        </w:rPr>
      </w:pPr>
      <w:r>
        <w:rPr>
          <w:b/>
          <w:color w:val="auto"/>
          <w:highlight w:val="none"/>
        </w:rPr>
      </w:r>
      <w:r/>
    </w:p>
    <w:p>
      <w:pPr>
        <w:jc w:val="center"/>
        <w:rPr>
          <w:b/>
          <w:color w:val="auto"/>
          <w:highlight w:val="none"/>
        </w:rPr>
      </w:pPr>
      <w:r/>
      <w:bookmarkStart w:id="67" w:name="_Toc500143979"/>
      <w:r/>
      <w:bookmarkStart w:id="68" w:name="_Toc519686654"/>
      <w:r/>
      <w:bookmarkStart w:id="69" w:name="_Ref477865934"/>
      <w:r/>
      <w:bookmarkStart w:id="70" w:name="_Ref15304724"/>
      <w:r>
        <w:rPr>
          <w:rFonts w:hint="eastAsia"/>
          <w:b/>
          <w:color w:val="auto"/>
          <w:highlight w:val="none"/>
        </w:rPr>
        <w:t xml:space="preserve">开标一览表</w:t>
      </w:r>
      <w:r/>
    </w:p>
    <w:p>
      <w:pPr>
        <w:jc w:val="center"/>
        <w:rPr>
          <w:b/>
          <w:color w:val="auto"/>
          <w:highlight w:val="none"/>
        </w:rPr>
      </w:pPr>
      <w:r>
        <w:rPr>
          <w:b/>
          <w:color w:val="auto"/>
          <w:highlight w:val="none"/>
        </w:rPr>
      </w:r>
      <w:r/>
    </w:p>
    <w:p>
      <w:pPr>
        <w:jc w:val="left"/>
        <w:keepLines w:val="0"/>
        <w:keepNext w:val="0"/>
        <w:spacing w:before="100" w:beforeAutospacing="1" w:after="100" w:afterAutospacing="1"/>
        <w:widowControl/>
        <w:rPr>
          <w:rFonts w:ascii="宋体" w:hAnsi="宋体" w:eastAsia="宋体" w:cs="宋体"/>
          <w:color w:val="auto"/>
          <w:sz w:val="24"/>
          <w:szCs w:val="24"/>
          <w:highlight w:val="none"/>
          <w:lang w:val="en-US" w:eastAsia="zh-CN" w:bidi="ar-SA"/>
        </w:rPr>
        <w:suppressLineNumbers w:val="0"/>
      </w:pPr>
      <w:r>
        <w:rPr>
          <w:rFonts w:ascii="宋体" w:hAnsi="宋体" w:eastAsia="宋体" w:cs="宋体"/>
          <w:color w:val="auto"/>
          <w:sz w:val="24"/>
          <w:szCs w:val="24"/>
          <w:highlight w:val="none"/>
          <w:lang w:val="en-US" w:eastAsia="zh-CN" w:bidi="ar-SA"/>
        </w:rPr>
        <w:t xml:space="preserve">投标人全称（加盖公章）：供应商名称 </w:t>
      </w:r>
      <w:r/>
    </w:p>
    <w:p>
      <w:pPr>
        <w:jc w:val="left"/>
        <w:keepLines w:val="0"/>
        <w:keepNext w:val="0"/>
        <w:spacing w:before="100" w:beforeAutospacing="1" w:after="100" w:afterAutospacing="1"/>
        <w:widowControl/>
        <w:rPr>
          <w:rFonts w:ascii="宋体" w:hAnsi="宋体" w:eastAsia="宋体" w:cs="宋体"/>
          <w:color w:val="auto"/>
          <w:sz w:val="24"/>
          <w:szCs w:val="24"/>
          <w:highlight w:val="none"/>
          <w:lang w:val="en-US" w:eastAsia="zh-CN" w:bidi="ar-SA"/>
        </w:rPr>
        <w:suppressLineNumbers w:val="0"/>
      </w:pPr>
      <w:r>
        <w:rPr>
          <w:rFonts w:ascii="宋体" w:hAnsi="宋体" w:eastAsia="宋体" w:cs="宋体"/>
          <w:color w:val="auto"/>
          <w:sz w:val="24"/>
          <w:szCs w:val="24"/>
          <w:highlight w:val="none"/>
          <w:lang w:val="en-US" w:eastAsia="zh-CN" w:bidi="ar-SA"/>
        </w:rPr>
        <w:t xml:space="preserve">项目编号：</w:t>
      </w:r>
      <w:r/>
    </w:p>
    <w:p>
      <w:pPr>
        <w:jc w:val="left"/>
        <w:keepLines w:val="0"/>
        <w:keepNext w:val="0"/>
        <w:spacing w:before="100" w:beforeAutospacing="1" w:after="100" w:afterAutospacing="1"/>
        <w:widowControl/>
        <w:rPr>
          <w:rFonts w:ascii="宋体" w:hAnsi="宋体" w:eastAsia="宋体" w:cs="宋体"/>
          <w:color w:val="auto"/>
          <w:sz w:val="24"/>
          <w:szCs w:val="24"/>
          <w:highlight w:val="none"/>
          <w:lang w:val="en-US" w:eastAsia="zh-CN" w:bidi="ar-SA"/>
        </w:rPr>
        <w:suppressLineNumbers w:val="0"/>
      </w:pPr>
      <w:r>
        <w:rPr>
          <w:rFonts w:ascii="宋体" w:hAnsi="宋体" w:eastAsia="宋体" w:cs="宋体"/>
          <w:color w:val="auto"/>
          <w:sz w:val="24"/>
          <w:szCs w:val="24"/>
          <w:highlight w:val="none"/>
          <w:lang w:val="en-US" w:eastAsia="zh-CN" w:bidi="ar-SA"/>
        </w:rPr>
        <w:t xml:space="preserve">分包号：  </w:t>
      </w:r>
      <w:r>
        <w:rPr>
          <w:rFonts w:hint="eastAsia" w:ascii="宋体" w:hAnsi="宋体" w:eastAsia="宋体" w:cs="宋体"/>
          <w:color w:val="auto"/>
          <w:sz w:val="24"/>
          <w:szCs w:val="24"/>
          <w:highlight w:val="none"/>
          <w:lang w:val="en-US" w:eastAsia="zh-CN" w:bidi="ar-SA"/>
        </w:rPr>
        <w:t xml:space="preserve">                       </w:t>
      </w:r>
      <w:r/>
    </w:p>
    <w:tbl>
      <w:tblPr>
        <w:tblStyle w:val="738"/>
        <w:tblW w:w="4972"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3445"/>
        <w:gridCol w:w="4850"/>
      </w:tblGrid>
      <w:tr>
        <w:trPr>
          <w:trHeight w:val="1020"/>
        </w:trPr>
        <w:tc>
          <w:tcPr>
            <w:shd w:val="clear" w:color="auto" w:fill="auto"/>
            <w:tcBorders>
              <w:top w:val="single" w:color="000000" w:sz="6" w:space="0"/>
              <w:left w:val="single" w:color="000000" w:sz="6" w:space="0"/>
              <w:bottom w:val="single" w:color="000000" w:sz="6" w:space="0"/>
              <w:right w:val="single" w:color="000000" w:sz="6" w:space="0"/>
            </w:tcBorders>
            <w:tcW w:w="2076" w:type="pct"/>
            <w:vAlign w:val="center"/>
            <w:textDirection w:val="lrTb"/>
            <w:noWrap w:val="false"/>
          </w:tcPr>
          <w:p>
            <w:pPr>
              <w:jc w:val="left"/>
              <w:keepLines w:val="0"/>
              <w:keepNext w:val="0"/>
              <w:widowControl/>
              <w:rPr>
                <w:rFonts w:hint="default" w:ascii="Times New Roman" w:hAnsi="Times New Roman" w:eastAsia="宋体" w:cs="Times New Roman"/>
                <w:color w:val="auto"/>
                <w:highlight w:val="none"/>
              </w:rPr>
              <w:suppressLineNumbers w:val="0"/>
            </w:pPr>
            <w:r>
              <w:rPr>
                <w:rFonts w:hint="default" w:ascii="宋体" w:hAnsi="宋体" w:eastAsia="宋体" w:cs="宋体"/>
                <w:color w:val="auto"/>
                <w:sz w:val="24"/>
                <w:szCs w:val="24"/>
                <w:highlight w:val="none"/>
                <w:lang w:val="en-US" w:eastAsia="zh-CN" w:bidi="ar"/>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923" w:type="pct"/>
            <w:vAlign w:val="center"/>
            <w:textDirection w:val="lrTb"/>
            <w:noWrap w:val="false"/>
          </w:tcPr>
          <w:p>
            <w:pPr>
              <w:jc w:val="left"/>
              <w:keepLines w:val="0"/>
              <w:keepNext w:val="0"/>
              <w:widowControl/>
              <w:rPr>
                <w:rFonts w:hint="default" w:ascii="Times New Roman" w:hAnsi="Times New Roman" w:eastAsia="宋体" w:cs="Times New Roman"/>
                <w:color w:val="auto"/>
                <w:highlight w:val="none"/>
              </w:rPr>
              <w:suppressLineNumbers w:val="0"/>
            </w:pPr>
            <w:r>
              <w:rPr>
                <w:rFonts w:hint="default" w:ascii="宋体" w:hAnsi="宋体" w:eastAsia="宋体" w:cs="宋体"/>
                <w:color w:val="auto"/>
                <w:sz w:val="24"/>
                <w:szCs w:val="24"/>
                <w:highlight w:val="none"/>
                <w:lang w:val="en-US" w:eastAsia="zh-CN" w:bidi="ar"/>
              </w:rPr>
              <w:t xml:space="preserve">投标优惠率</w:t>
            </w:r>
            <w:r/>
          </w:p>
        </w:tc>
      </w:tr>
      <w:tr>
        <w:trPr>
          <w:trHeight w:val="810"/>
        </w:trPr>
        <w:tc>
          <w:tcPr>
            <w:shd w:val="clear" w:color="auto" w:fill="auto"/>
            <w:tcBorders>
              <w:top w:val="single" w:color="000000" w:sz="6" w:space="0"/>
              <w:left w:val="single" w:color="000000" w:sz="6" w:space="0"/>
              <w:bottom w:val="single" w:color="000000" w:sz="6" w:space="0"/>
              <w:right w:val="single" w:color="000000" w:sz="6" w:space="0"/>
            </w:tcBorders>
            <w:tcW w:w="2076" w:type="pct"/>
            <w:vAlign w:val="center"/>
            <w:textDirection w:val="lrTb"/>
            <w:noWrap w:val="false"/>
          </w:tcPr>
          <w:p>
            <w:pPr>
              <w:jc w:val="left"/>
              <w:keepLines w:val="0"/>
              <w:keepNext w:val="0"/>
              <w:widowControl/>
              <w:rPr>
                <w:rFonts w:hint="default" w:ascii="Times New Roman" w:hAnsi="Times New Roman" w:eastAsia="宋体" w:cs="Times New Roman"/>
                <w:color w:val="auto"/>
                <w:highlight w:val="none"/>
              </w:rPr>
              <w:suppressLineNumbers w:val="0"/>
            </w:pPr>
            <w:r>
              <w:rPr>
                <w:rFonts w:hint="eastAsia" w:ascii="宋体" w:hAnsi="宋体"/>
                <w:color w:val="auto"/>
                <w:szCs w:val="21"/>
                <w:highlight w:val="none"/>
                <w:lang w:eastAsia="zh-CN"/>
              </w:rPr>
              <w:t xml:space="preserve">2026年度电子警察类交通设施维护项目</w:t>
            </w:r>
            <w:r/>
          </w:p>
        </w:tc>
        <w:tc>
          <w:tcPr>
            <w:shd w:val="clear" w:color="auto" w:fill="auto"/>
            <w:tcBorders>
              <w:top w:val="single" w:color="000000" w:sz="6" w:space="0"/>
              <w:left w:val="single" w:color="000000" w:sz="6" w:space="0"/>
              <w:bottom w:val="single" w:color="000000" w:sz="6" w:space="0"/>
              <w:right w:val="single" w:color="000000" w:sz="6" w:space="0"/>
            </w:tcBorders>
            <w:tcW w:w="2923" w:type="pct"/>
            <w:vAlign w:val="center"/>
            <w:textDirection w:val="lrTb"/>
            <w:noWrap w:val="false"/>
          </w:tcPr>
          <w:p>
            <w:pPr>
              <w:jc w:val="left"/>
              <w:keepLines w:val="0"/>
              <w:keepNext w:val="0"/>
              <w:widowControl/>
              <w:rPr>
                <w:rFonts w:hint="default" w:ascii="Times New Roman" w:hAnsi="Times New Roman" w:eastAsia="宋体" w:cs="Times New Roman"/>
                <w:color w:val="auto"/>
                <w:highlight w:val="none"/>
              </w:rPr>
              <w:suppressLineNumbers w:val="0"/>
            </w:pPr>
            <w:r>
              <w:rPr>
                <w:rFonts w:hint="default" w:ascii="宋体" w:hAnsi="宋体" w:eastAsia="宋体" w:cs="宋体"/>
                <w:color w:val="auto"/>
                <w:sz w:val="24"/>
                <w:szCs w:val="24"/>
                <w:highlight w:val="none"/>
                <w:lang w:val="en-US" w:eastAsia="zh-CN" w:bidi="ar"/>
              </w:rPr>
              <w:t xml:space="preserve">小写：</w:t>
            </w:r>
            <w:r>
              <w:rPr>
                <w:rFonts w:hint="eastAsia" w:ascii="宋体" w:hAnsi="宋体" w:eastAsia="宋体" w:cs="宋体"/>
                <w:color w:val="auto"/>
                <w:sz w:val="24"/>
                <w:szCs w:val="24"/>
                <w:highlight w:val="none"/>
                <w:u w:val="single"/>
                <w:lang w:val="en-US" w:eastAsia="zh-CN" w:bidi="ar"/>
              </w:rPr>
              <w:t xml:space="preserve">      </w:t>
            </w:r>
            <w:r>
              <w:rPr>
                <w:rFonts w:hint="default" w:ascii="宋体" w:hAnsi="宋体" w:eastAsia="宋体" w:cs="宋体"/>
                <w:color w:val="auto"/>
                <w:sz w:val="24"/>
                <w:szCs w:val="24"/>
                <w:highlight w:val="none"/>
                <w:u w:val="single"/>
                <w:lang w:val="en-US" w:eastAsia="zh-CN" w:bidi="ar"/>
              </w:rPr>
              <w:t xml:space="preserve"> </w:t>
            </w:r>
            <w:r>
              <w:rPr>
                <w:rFonts w:hint="default" w:ascii="宋体" w:hAnsi="宋体" w:eastAsia="宋体" w:cs="宋体"/>
                <w:color w:val="auto"/>
                <w:sz w:val="24"/>
                <w:szCs w:val="24"/>
                <w:highlight w:val="none"/>
                <w:lang w:val="en-US" w:eastAsia="zh-CN" w:bidi="ar"/>
              </w:rPr>
              <w:t xml:space="preserve">%</w:t>
            </w:r>
            <w:r/>
          </w:p>
        </w:tc>
      </w:tr>
    </w:tbl>
    <w:p>
      <w:pPr>
        <w:jc w:val="right"/>
        <w:keepLines w:val="0"/>
        <w:keepNext w:val="0"/>
        <w:spacing w:before="100" w:beforeAutospacing="1" w:after="100" w:afterAutospacing="1"/>
        <w:widowControl/>
        <w:rPr>
          <w:rFonts w:ascii="宋体" w:hAnsi="宋体" w:eastAsia="宋体" w:cs="宋体"/>
          <w:color w:val="auto"/>
          <w:sz w:val="24"/>
          <w:szCs w:val="24"/>
          <w:highlight w:val="none"/>
          <w:lang w:val="en-US" w:eastAsia="zh-CN" w:bidi="ar-SA"/>
        </w:rPr>
        <w:suppressLineNumbers w:val="0"/>
      </w:pPr>
      <w:r>
        <w:rPr>
          <w:rFonts w:ascii="宋体" w:hAnsi="宋体" w:eastAsia="宋体" w:cs="宋体"/>
          <w:color w:val="auto"/>
          <w:sz w:val="24"/>
          <w:szCs w:val="24"/>
          <w:highlight w:val="none"/>
          <w:lang w:val="en-US" w:eastAsia="zh-CN" w:bidi="ar-SA"/>
        </w:rPr>
        <w:t xml:space="preserve">日期：</w:t>
      </w:r>
      <w:r>
        <w:rPr>
          <w:rFonts w:hint="eastAsia" w:ascii="宋体" w:hAnsi="宋体" w:eastAsia="宋体" w:cs="宋体"/>
          <w:color w:val="auto"/>
          <w:sz w:val="24"/>
          <w:szCs w:val="24"/>
          <w:highlight w:val="none"/>
          <w:lang w:val="en-US" w:eastAsia="zh-CN" w:bidi="ar-SA"/>
        </w:rPr>
        <w:t xml:space="preserve">  </w:t>
      </w:r>
      <w:r>
        <w:rPr>
          <w:rFonts w:ascii="宋体" w:hAnsi="宋体" w:eastAsia="宋体" w:cs="宋体"/>
          <w:color w:val="auto"/>
          <w:sz w:val="24"/>
          <w:szCs w:val="24"/>
          <w:highlight w:val="none"/>
          <w:lang w:val="en-US" w:eastAsia="zh-CN" w:bidi="ar-SA"/>
        </w:rPr>
        <w:t xml:space="preserve">年 </w:t>
      </w:r>
      <w:r>
        <w:rPr>
          <w:rFonts w:hint="eastAsia" w:ascii="宋体" w:hAnsi="宋体" w:eastAsia="宋体" w:cs="宋体"/>
          <w:color w:val="auto"/>
          <w:sz w:val="24"/>
          <w:szCs w:val="24"/>
          <w:highlight w:val="none"/>
          <w:lang w:val="en-US" w:eastAsia="zh-CN" w:bidi="ar-SA"/>
        </w:rPr>
        <w:t xml:space="preserve">  </w:t>
      </w:r>
      <w:r>
        <w:rPr>
          <w:rFonts w:ascii="宋体" w:hAnsi="宋体" w:eastAsia="宋体" w:cs="宋体"/>
          <w:color w:val="auto"/>
          <w:sz w:val="24"/>
          <w:szCs w:val="24"/>
          <w:highlight w:val="none"/>
          <w:lang w:val="en-US" w:eastAsia="zh-CN" w:bidi="ar-SA"/>
        </w:rPr>
        <w:t xml:space="preserve">月 </w:t>
      </w:r>
      <w:r>
        <w:rPr>
          <w:rFonts w:hint="eastAsia" w:ascii="宋体" w:hAnsi="宋体" w:eastAsia="宋体" w:cs="宋体"/>
          <w:color w:val="auto"/>
          <w:sz w:val="24"/>
          <w:szCs w:val="24"/>
          <w:highlight w:val="none"/>
          <w:lang w:val="en-US" w:eastAsia="zh-CN" w:bidi="ar-SA"/>
        </w:rPr>
        <w:t xml:space="preserve">  </w:t>
      </w:r>
      <w:r>
        <w:rPr>
          <w:rFonts w:ascii="宋体" w:hAnsi="宋体" w:eastAsia="宋体" w:cs="宋体"/>
          <w:color w:val="auto"/>
          <w:sz w:val="24"/>
          <w:szCs w:val="24"/>
          <w:highlight w:val="none"/>
          <w:lang w:val="en-US" w:eastAsia="zh-CN" w:bidi="ar-SA"/>
        </w:rPr>
        <w:t xml:space="preserve"> 日</w:t>
      </w:r>
      <w:r/>
    </w:p>
    <w:p>
      <w:pPr>
        <w:jc w:val="left"/>
        <w:keepLines w:val="0"/>
        <w:keepNext w:val="0"/>
        <w:spacing w:before="100" w:beforeAutospacing="1" w:after="100" w:afterAutospacing="1"/>
        <w:widowControl/>
        <w:rPr>
          <w:rFonts w:ascii="宋体" w:hAnsi="宋体" w:eastAsia="宋体" w:cs="宋体"/>
          <w:b/>
          <w:bCs/>
          <w:color w:val="auto"/>
          <w:sz w:val="21"/>
          <w:szCs w:val="21"/>
          <w:highlight w:val="none"/>
          <w:lang w:val="en-US" w:eastAsia="zh-CN" w:bidi="ar-SA"/>
        </w:rPr>
        <w:suppressLineNumbers w:val="0"/>
      </w:pPr>
      <w:r>
        <w:rPr>
          <w:rFonts w:hint="eastAsia" w:ascii="宋体" w:hAnsi="宋体" w:eastAsia="宋体" w:cs="宋体"/>
          <w:b/>
          <w:bCs/>
          <w:color w:val="auto"/>
          <w:sz w:val="21"/>
          <w:szCs w:val="21"/>
          <w:highlight w:val="none"/>
          <w:lang w:val="en-US" w:eastAsia="zh-CN" w:bidi="ar-SA"/>
        </w:rPr>
        <w:t xml:space="preserve">注</w:t>
      </w:r>
      <w:r>
        <w:rPr>
          <w:rFonts w:ascii="宋体" w:hAnsi="宋体" w:eastAsia="宋体" w:cs="宋体"/>
          <w:b/>
          <w:bCs/>
          <w:color w:val="auto"/>
          <w:sz w:val="21"/>
          <w:szCs w:val="21"/>
          <w:highlight w:val="none"/>
          <w:lang w:val="en-US" w:eastAsia="zh-CN" w:bidi="ar-SA"/>
        </w:rPr>
        <w:t xml:space="preserve">：</w:t>
      </w:r>
      <w:r/>
    </w:p>
    <w:p>
      <w:pPr>
        <w:jc w:val="left"/>
        <w:keepLines w:val="0"/>
        <w:keepNext w:val="0"/>
        <w:spacing w:before="100" w:beforeAutospacing="1" w:after="100" w:afterAutospacing="1"/>
        <w:widowControl/>
        <w:rPr>
          <w:rFonts w:ascii="宋体" w:hAnsi="宋体" w:eastAsia="宋体" w:cs="宋体"/>
          <w:color w:val="auto"/>
          <w:sz w:val="21"/>
          <w:szCs w:val="21"/>
          <w:highlight w:val="none"/>
          <w:u w:val="none"/>
          <w:lang w:val="en-US" w:eastAsia="zh-CN" w:bidi="ar-SA"/>
        </w:rPr>
        <w:suppressLineNumbers w:val="0"/>
      </w:pPr>
      <w:r>
        <w:rPr>
          <w:rFonts w:ascii="Times New Roman" w:hAnsi="Times New Roman" w:eastAsia="宋体" w:cs="Times New Roman"/>
          <w:color w:val="auto"/>
          <w:sz w:val="21"/>
          <w:szCs w:val="21"/>
          <w:highlight w:val="none"/>
          <w:u w:val="none"/>
          <w:lang w:val="en-US" w:eastAsia="zh-CN" w:bidi="ar-SA"/>
        </w:rPr>
        <w:t xml:space="preserve">1、开标一览表必须加盖投标人公章（复印件无效）。</w:t>
      </w:r>
      <w:r/>
    </w:p>
    <w:p>
      <w:pPr>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2、本项目报价按“折扣”报价，折扣率等于优惠率（例如：供应商以九五折报价本项目的，投标优惠率中填取95即可，以九折报价本项目的，投标优惠率中填取90即可，中标后按招标文件中公布的拟定价*95%或90%（等以此类推）签订服务合同）。</w:t>
      </w:r>
      <w:r/>
    </w:p>
    <w:p>
      <w:pPr>
        <w:ind w:left="0" w:firstLine="0"/>
        <w:jc w:val="both"/>
        <w:rPr>
          <w:rFonts w:hint="eastAsia"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 xml:space="preserve">3、如有分包，投标人投任何一个包的标的，都需单独填写开标一览表。</w:t>
      </w:r>
      <w:r/>
    </w:p>
    <w:p>
      <w:pPr>
        <w:spacing w:line="360" w:lineRule="auto"/>
        <w:rPr>
          <w:rFonts w:hint="default" w:ascii="宋体" w:hAnsi="宋体" w:eastAsia="宋体" w:cs="Times New Roman"/>
          <w:color w:val="auto"/>
          <w:szCs w:val="21"/>
          <w:highlight w:val="none"/>
          <w:lang w:val="en-US" w:eastAsia="zh-CN"/>
        </w:rPr>
      </w:pPr>
      <w:r>
        <w:rPr>
          <w:rFonts w:hint="default" w:ascii="宋体" w:hAnsi="宋体" w:eastAsia="宋体" w:cs="Times New Roman"/>
          <w:color w:val="auto"/>
          <w:szCs w:val="21"/>
          <w:highlight w:val="none"/>
          <w:lang w:val="en-US" w:eastAsia="zh-CN"/>
        </w:rPr>
      </w:r>
      <w:r/>
    </w:p>
    <w:p>
      <w:pPr>
        <w:pStyle w:val="729"/>
        <w:rPr>
          <w:rFonts w:ascii="宋体" w:hAnsi="宋体" w:eastAsia="宋体"/>
          <w:color w:val="auto"/>
          <w:sz w:val="24"/>
          <w:szCs w:val="24"/>
          <w:highlight w:val="none"/>
        </w:rPr>
      </w:pPr>
      <w:r>
        <w:rPr>
          <w:rFonts w:ascii="宋体" w:hAnsi="宋体" w:eastAsia="宋体"/>
          <w:color w:val="auto"/>
          <w:sz w:val="24"/>
          <w:szCs w:val="24"/>
          <w:highlight w:val="none"/>
        </w:rPr>
        <w:br w:type="column"/>
      </w:r>
      <w:bookmarkStart w:id="71" w:name="_Toc166487081"/>
      <w:r/>
      <w:bookmarkStart w:id="72" w:name="_Toc166488931"/>
      <w:r/>
      <w:bookmarkStart w:id="73" w:name="_Toc98785123"/>
      <w:r/>
      <w:bookmarkStart w:id="74" w:name="_Toc130478807"/>
      <w:r>
        <w:rPr>
          <w:rFonts w:ascii="宋体" w:hAnsi="宋体" w:eastAsia="宋体"/>
          <w:color w:val="auto"/>
          <w:sz w:val="24"/>
          <w:szCs w:val="24"/>
          <w:highlight w:val="none"/>
        </w:rPr>
        <w:t xml:space="preserve">附件</w:t>
      </w:r>
      <w:r>
        <w:rPr>
          <w:rFonts w:hint="eastAsia" w:ascii="宋体" w:hAnsi="宋体" w:eastAsia="宋体"/>
          <w:color w:val="auto"/>
          <w:sz w:val="24"/>
          <w:szCs w:val="24"/>
          <w:highlight w:val="none"/>
        </w:rPr>
        <w:t xml:space="preserve">7</w:t>
      </w:r>
      <w:r>
        <w:rPr>
          <w:rFonts w:ascii="宋体" w:hAnsi="宋体" w:eastAsia="宋体"/>
          <w:color w:val="auto"/>
          <w:sz w:val="24"/>
          <w:szCs w:val="24"/>
          <w:highlight w:val="none"/>
        </w:rPr>
        <w:t xml:space="preserve">：</w:t>
      </w:r>
      <w:bookmarkEnd w:id="67"/>
      <w:r/>
      <w:bookmarkEnd w:id="68"/>
      <w:r/>
      <w:bookmarkEnd w:id="69"/>
      <w:r>
        <w:rPr>
          <w:rFonts w:ascii="宋体" w:hAnsi="宋体" w:eastAsia="宋体"/>
          <w:color w:val="auto"/>
          <w:sz w:val="24"/>
          <w:szCs w:val="24"/>
          <w:highlight w:val="none"/>
        </w:rPr>
        <w:t xml:space="preserve">报价分析表</w:t>
      </w:r>
      <w:bookmarkEnd w:id="70"/>
      <w:r/>
      <w:bookmarkEnd w:id="71"/>
      <w:r/>
      <w:bookmarkEnd w:id="72"/>
      <w:r/>
      <w:bookmarkEnd w:id="73"/>
      <w:r/>
      <w:bookmarkEnd w:id="74"/>
      <w:r/>
      <w:r/>
    </w:p>
    <w:p>
      <w:pPr>
        <w:pStyle w:val="1022"/>
        <w:spacing w:line="360" w:lineRule="auto"/>
        <w:rPr>
          <w:rFonts w:hAnsi="宋体" w:eastAsia="宋体"/>
          <w:b/>
          <w:color w:val="auto"/>
          <w:sz w:val="24"/>
          <w:highlight w:val="none"/>
        </w:rPr>
      </w:pPr>
      <w:r>
        <w:rPr>
          <w:rFonts w:hAnsi="宋体" w:eastAsia="宋体"/>
          <w:b/>
          <w:color w:val="auto"/>
          <w:sz w:val="24"/>
          <w:highlight w:val="none"/>
        </w:rPr>
      </w:r>
      <w:r/>
    </w:p>
    <w:p>
      <w:pPr>
        <w:pStyle w:val="1022"/>
        <w:jc w:val="center"/>
        <w:spacing w:line="360" w:lineRule="auto"/>
        <w:rPr>
          <w:rFonts w:hAnsi="宋体" w:eastAsia="宋体"/>
          <w:color w:val="auto"/>
          <w:sz w:val="24"/>
          <w:highlight w:val="none"/>
        </w:rPr>
      </w:pPr>
      <w:r>
        <w:rPr>
          <w:rFonts w:hAnsi="宋体" w:eastAsia="宋体"/>
          <w:color w:val="auto"/>
          <w:sz w:val="24"/>
          <w:highlight w:val="none"/>
          <w:u w:val="single"/>
        </w:rPr>
        <w:t xml:space="preserve">                    </w:t>
      </w:r>
      <w:r>
        <w:rPr>
          <w:rFonts w:hAnsi="宋体" w:eastAsia="宋体"/>
          <w:color w:val="auto"/>
          <w:sz w:val="24"/>
          <w:highlight w:val="none"/>
        </w:rPr>
        <w:t xml:space="preserve"> 项目投标报价表</w:t>
      </w:r>
      <w:r/>
    </w:p>
    <w:tbl>
      <w:tblPr>
        <w:tblStyle w:val="738"/>
        <w:tblW w:w="537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6"/>
        <w:gridCol w:w="1643"/>
        <w:gridCol w:w="1370"/>
        <w:gridCol w:w="1130"/>
        <w:gridCol w:w="1215"/>
        <w:gridCol w:w="1714"/>
        <w:gridCol w:w="1670"/>
      </w:tblGrid>
      <w:tr>
        <w:trPr>
          <w:cantSplit/>
        </w:trPr>
        <w:tc>
          <w:tcPr>
            <w:tcBorders>
              <w:top w:val="single" w:color="auto" w:sz="4" w:space="0"/>
              <w:left w:val="single" w:color="auto" w:sz="4" w:space="0"/>
              <w:bottom w:val="single" w:color="auto" w:sz="4" w:space="0"/>
              <w:right w:val="single" w:color="auto" w:sz="4" w:space="0"/>
            </w:tcBorders>
            <w:tcW w:w="232" w:type="pct"/>
            <w:vAlign w:val="top"/>
            <w:textDirection w:val="lrTb"/>
            <w:noWrap w:val="false"/>
          </w:tcPr>
          <w:p>
            <w:pPr>
              <w:jc w:val="center"/>
              <w:spacing w:line="5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896" w:type="pct"/>
            <w:vAlign w:val="center"/>
            <w:textDirection w:val="lrTb"/>
            <w:noWrap w:val="false"/>
          </w:tcPr>
          <w:p>
            <w:pPr>
              <w:jc w:val="center"/>
              <w:keepLines w:val="0"/>
              <w:keepNext w:val="0"/>
              <w:widowControl/>
              <w:rPr>
                <w:rFonts w:hint="eastAsia" w:ascii="宋体" w:hAnsi="宋体" w:eastAsia="宋体" w:cs="宋体"/>
                <w:bCs/>
                <w:color w:val="auto"/>
                <w:szCs w:val="21"/>
                <w:highlight w:val="none"/>
              </w:rPr>
              <w:suppressLineNumbers w:val="0"/>
            </w:pPr>
            <w:r>
              <w:rPr>
                <w:rFonts w:hint="eastAsia" w:ascii="宋体" w:hAnsi="宋体" w:cs="宋体"/>
                <w:b/>
                <w:bCs/>
                <w:i w:val="0"/>
                <w:iCs w:val="0"/>
                <w:color w:val="auto"/>
                <w:sz w:val="20"/>
                <w:szCs w:val="20"/>
                <w:highlight w:val="none"/>
                <w:u w:val="none"/>
                <w:lang w:val="en-US" w:eastAsia="zh-CN" w:bidi="ar"/>
              </w:rPr>
              <w:t xml:space="preserve">项目</w:t>
            </w:r>
            <w:r>
              <w:rPr>
                <w:rFonts w:hint="eastAsia" w:ascii="宋体" w:hAnsi="宋体" w:eastAsia="宋体" w:cs="宋体"/>
                <w:b/>
                <w:bCs/>
                <w:i w:val="0"/>
                <w:iCs w:val="0"/>
                <w:color w:val="auto"/>
                <w:sz w:val="20"/>
                <w:szCs w:val="20"/>
                <w:highlight w:val="none"/>
                <w:u w:val="none"/>
                <w:lang w:val="en-US" w:eastAsia="zh-CN" w:bidi="ar"/>
              </w:rPr>
              <w:t xml:space="preserve">名称</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keepLines w:val="0"/>
              <w:keepNext w:val="0"/>
              <w:widowControl/>
              <w:rPr>
                <w:rFonts w:hint="default"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cs="宋体"/>
                <w:b/>
                <w:bCs/>
                <w:i w:val="0"/>
                <w:iCs w:val="0"/>
                <w:color w:val="auto"/>
                <w:sz w:val="20"/>
                <w:szCs w:val="20"/>
                <w:highlight w:val="none"/>
                <w:u w:val="none"/>
                <w:lang w:val="en-US" w:eastAsia="zh-CN" w:bidi="ar"/>
              </w:rPr>
              <w:t xml:space="preserve">设备型号</w:t>
            </w:r>
            <w:r/>
          </w:p>
        </w:tc>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计量</w:t>
            </w:r>
            <w:r/>
          </w:p>
          <w:p>
            <w:pPr>
              <w:jc w:val="center"/>
              <w:keepLines w:val="0"/>
              <w:keepNext w:val="0"/>
              <w:widowControl/>
              <w:rPr>
                <w:rFonts w:hint="eastAsia" w:ascii="宋体" w:hAnsi="宋体" w:eastAsia="宋体" w:cs="宋体"/>
                <w:bCs/>
                <w:color w:val="auto"/>
                <w:szCs w:val="21"/>
                <w:highlight w:val="none"/>
                <w:lang w:eastAsia="zh-CN"/>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单位</w:t>
            </w:r>
            <w:r/>
          </w:p>
        </w:tc>
        <w:tc>
          <w:tcPr>
            <w:tcBorders>
              <w:top w:val="single" w:color="auto" w:sz="4" w:space="0"/>
              <w:left w:val="single" w:color="auto" w:sz="4" w:space="0"/>
              <w:bottom w:val="single" w:color="auto" w:sz="4" w:space="0"/>
              <w:right w:val="single" w:color="auto" w:sz="4" w:space="0"/>
            </w:tcBorders>
            <w:tcW w:w="662" w:type="pct"/>
            <w:vAlign w:val="center"/>
            <w:textDirection w:val="lrTb"/>
            <w:noWrap w:val="false"/>
          </w:tcPr>
          <w:p>
            <w:pPr>
              <w:jc w:val="center"/>
              <w:keepLines w:val="0"/>
              <w:keepNext w:val="0"/>
              <w:widowControl/>
              <w:rPr>
                <w:rFonts w:hint="default" w:ascii="宋体" w:hAnsi="宋体" w:eastAsia="宋体" w:cs="宋体"/>
                <w:bCs/>
                <w:color w:val="auto"/>
                <w:szCs w:val="21"/>
                <w:highlight w:val="none"/>
                <w:lang w:val="en-US" w:eastAsia="zh-CN"/>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工程量</w:t>
            </w:r>
            <w:r/>
          </w:p>
        </w:tc>
        <w:tc>
          <w:tcPr>
            <w:tcBorders>
              <w:top w:val="single" w:color="auto" w:sz="4" w:space="0"/>
              <w:left w:val="single" w:color="auto" w:sz="4" w:space="0"/>
              <w:bottom w:val="single" w:color="auto" w:sz="4" w:space="0"/>
              <w:right w:val="single" w:color="auto" w:sz="4" w:space="0"/>
            </w:tcBorders>
            <w:tcW w:w="934" w:type="pct"/>
            <w:vAlign w:val="center"/>
            <w:textDirection w:val="lrTb"/>
            <w:noWrap w:val="false"/>
          </w:tcPr>
          <w:p>
            <w:pPr>
              <w:jc w:val="center"/>
              <w:keepLines w:val="0"/>
              <w:keepNext w:val="0"/>
              <w:widowControl/>
              <w:rPr>
                <w:rFonts w:hint="eastAsia" w:ascii="宋体" w:hAnsi="宋体" w:eastAsia="宋体" w:cs="宋体"/>
                <w:bCs/>
                <w:color w:val="auto"/>
                <w:szCs w:val="21"/>
                <w:highlight w:val="none"/>
                <w:lang w:val="en-US" w:eastAsia="zh-CN"/>
              </w:rPr>
              <w:suppressLineNumbers w:val="0"/>
            </w:pPr>
            <w:r>
              <w:rPr>
                <w:rFonts w:hint="eastAsia" w:ascii="宋体" w:hAnsi="宋体" w:eastAsia="宋体" w:cs="宋体"/>
                <w:b/>
                <w:bCs/>
                <w:color w:val="auto"/>
                <w:szCs w:val="21"/>
                <w:highlight w:val="none"/>
              </w:rPr>
              <w:t xml:space="preserve">全费用综合单价（元）</w:t>
            </w:r>
            <w:r/>
          </w:p>
        </w:tc>
        <w:tc>
          <w:tcPr>
            <w:tcBorders>
              <w:top w:val="single" w:color="auto" w:sz="4" w:space="0"/>
              <w:left w:val="single" w:color="auto" w:sz="4" w:space="0"/>
              <w:bottom w:val="single" w:color="auto" w:sz="4" w:space="0"/>
              <w:right w:val="single" w:color="auto" w:sz="4" w:space="0"/>
            </w:tcBorders>
            <w:tcW w:w="910" w:type="pct"/>
            <w:vAlign w:val="center"/>
            <w:textDirection w:val="lrTb"/>
            <w:noWrap w:val="false"/>
          </w:tcPr>
          <w:p>
            <w:pPr>
              <w:jc w:val="center"/>
              <w:keepLines w:val="0"/>
              <w:keepNext w:val="0"/>
              <w:widowControl/>
              <w:rPr>
                <w:rFonts w:hint="default"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投标</w:t>
            </w:r>
            <w:r>
              <w:rPr>
                <w:rFonts w:hint="eastAsia" w:ascii="宋体" w:hAnsi="宋体" w:cs="宋体"/>
                <w:b/>
                <w:bCs/>
                <w:i w:val="0"/>
                <w:iCs w:val="0"/>
                <w:color w:val="auto"/>
                <w:sz w:val="20"/>
                <w:szCs w:val="20"/>
                <w:highlight w:val="none"/>
                <w:u w:val="none"/>
                <w:lang w:val="en-US" w:eastAsia="zh-CN" w:bidi="ar"/>
              </w:rPr>
              <w:t xml:space="preserve">报价</w:t>
            </w:r>
            <w:r>
              <w:rPr>
                <w:rFonts w:hint="eastAsia" w:ascii="宋体" w:hAnsi="宋体" w:eastAsia="宋体" w:cs="宋体"/>
                <w:b/>
                <w:bCs/>
                <w:i w:val="0"/>
                <w:iCs w:val="0"/>
                <w:color w:val="auto"/>
                <w:sz w:val="20"/>
                <w:szCs w:val="20"/>
                <w:highlight w:val="none"/>
                <w:u w:val="none"/>
                <w:lang w:val="en-US" w:eastAsia="zh-CN" w:bidi="ar"/>
              </w:rPr>
              <w:t xml:space="preserve">折扣</w:t>
            </w:r>
            <w:r>
              <w:rPr>
                <w:rFonts w:hint="eastAsia" w:ascii="宋体" w:hAnsi="宋体" w:cs="宋体"/>
                <w:b/>
                <w:bCs/>
                <w:i w:val="0"/>
                <w:iCs w:val="0"/>
                <w:color w:val="auto"/>
                <w:sz w:val="20"/>
                <w:szCs w:val="20"/>
                <w:highlight w:val="none"/>
                <w:u w:val="none"/>
                <w:lang w:val="en-US" w:eastAsia="zh-CN" w:bidi="ar"/>
              </w:rPr>
              <w:t xml:space="preserve">率</w:t>
            </w:r>
            <w:r/>
          </w:p>
          <w:p>
            <w:pPr>
              <w:jc w:val="center"/>
              <w:keepLines w:val="0"/>
              <w:keepNext w:val="0"/>
              <w:widowControl/>
              <w:rPr>
                <w:rFonts w:hint="eastAsia" w:ascii="宋体" w:hAnsi="宋体" w:eastAsia="宋体" w:cs="宋体"/>
                <w:bCs/>
                <w:color w:val="auto"/>
                <w:szCs w:val="21"/>
                <w:highlight w:val="none"/>
                <w:lang w:val="en-US" w:eastAsia="zh-CN"/>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（统一）</w:t>
            </w:r>
            <w:r/>
          </w:p>
        </w:tc>
      </w:tr>
      <w:tr>
        <w:trPr>
          <w:cantSplit/>
        </w:trPr>
        <w:tc>
          <w:tcPr>
            <w:tcBorders>
              <w:top w:val="single" w:color="auto" w:sz="4" w:space="0"/>
              <w:left w:val="single" w:color="auto" w:sz="4" w:space="0"/>
              <w:bottom w:val="single" w:color="auto" w:sz="4" w:space="0"/>
              <w:right w:val="single" w:color="auto" w:sz="4" w:space="0"/>
            </w:tcBorders>
            <w:tcW w:w="232" w:type="pct"/>
            <w:vAlign w:val="top"/>
            <w:textDirection w:val="lrTb"/>
            <w:noWrap w:val="false"/>
          </w:tcPr>
          <w:p>
            <w:pPr>
              <w:jc w:val="center"/>
              <w:spacing w:line="5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896" w:type="pct"/>
            <w:vAlign w:val="top"/>
            <w:textDirection w:val="lrTb"/>
            <w:noWrap w:val="false"/>
          </w:tcPr>
          <w:p>
            <w:pPr>
              <w:spacing w:line="5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747" w:type="pct"/>
            <w:vAlign w:val="top"/>
            <w:textDirection w:val="lrTb"/>
            <w:noWrap w:val="false"/>
          </w:tcPr>
          <w:p>
            <w:pPr>
              <w:spacing w:line="5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616" w:type="pct"/>
            <w:vAlign w:val="top"/>
            <w:textDirection w:val="lrTb"/>
            <w:noWrap w:val="false"/>
          </w:tcPr>
          <w:p>
            <w:pPr>
              <w:spacing w:line="5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662" w:type="pct"/>
            <w:vAlign w:val="top"/>
            <w:textDirection w:val="lrTb"/>
            <w:noWrap w:val="false"/>
          </w:tcPr>
          <w:p>
            <w:pPr>
              <w:spacing w:line="5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934" w:type="pct"/>
            <w:vAlign w:val="top"/>
            <w:textDirection w:val="lrTb"/>
            <w:noWrap w:val="false"/>
          </w:tcPr>
          <w:p>
            <w:pPr>
              <w:spacing w:line="5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910" w:type="pct"/>
            <w:vAlign w:val="top"/>
            <w:textDirection w:val="lrTb"/>
            <w:noWrap w:val="false"/>
          </w:tcPr>
          <w:p>
            <w:pPr>
              <w:spacing w:line="5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r>
      <w:tr>
        <w:trPr>
          <w:cantSplit/>
        </w:trPr>
        <w:tc>
          <w:tcPr>
            <w:tcBorders>
              <w:top w:val="single" w:color="auto" w:sz="4" w:space="0"/>
              <w:left w:val="single" w:color="auto" w:sz="4" w:space="0"/>
              <w:right w:val="single" w:color="auto" w:sz="4" w:space="0"/>
            </w:tcBorders>
            <w:tcW w:w="232" w:type="pct"/>
            <w:vAlign w:val="top"/>
            <w:textDirection w:val="lrTb"/>
            <w:noWrap w:val="false"/>
          </w:tcPr>
          <w:p>
            <w:pPr>
              <w:jc w:val="center"/>
              <w:spacing w:line="5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p>
        </w:tc>
        <w:tc>
          <w:tcPr>
            <w:tcBorders>
              <w:top w:val="single" w:color="auto" w:sz="4" w:space="0"/>
              <w:left w:val="single" w:color="auto" w:sz="4" w:space="0"/>
              <w:right w:val="single" w:color="auto" w:sz="4" w:space="0"/>
            </w:tcBorders>
            <w:tcW w:w="896" w:type="pct"/>
            <w:vAlign w:val="top"/>
            <w:textDirection w:val="lrTb"/>
            <w:noWrap w:val="false"/>
          </w:tcPr>
          <w:p>
            <w:pPr>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47" w:type="pct"/>
            <w:vAlign w:val="top"/>
            <w:textDirection w:val="lrTb"/>
            <w:noWrap w:val="false"/>
          </w:tcPr>
          <w:p>
            <w:pPr>
              <w:spacing w:line="5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616" w:type="pct"/>
            <w:vAlign w:val="top"/>
            <w:textDirection w:val="lrTb"/>
            <w:noWrap w:val="false"/>
          </w:tcPr>
          <w:p>
            <w:pPr>
              <w:spacing w:line="5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662" w:type="pct"/>
            <w:vAlign w:val="top"/>
            <w:textDirection w:val="lrTb"/>
            <w:noWrap w:val="false"/>
          </w:tcPr>
          <w:p>
            <w:pPr>
              <w:spacing w:line="5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934" w:type="pct"/>
            <w:vAlign w:val="top"/>
            <w:textDirection w:val="lrTb"/>
            <w:noWrap w:val="false"/>
          </w:tcPr>
          <w:p>
            <w:pPr>
              <w:spacing w:line="5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910" w:type="pct"/>
            <w:vAlign w:val="top"/>
            <w:textDirection w:val="lrTb"/>
            <w:noWrap w:val="false"/>
          </w:tcPr>
          <w:p>
            <w:pPr>
              <w:spacing w:line="5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r>
      <w:tr>
        <w:trPr>
          <w:cantSplit/>
        </w:trPr>
        <w:tc>
          <w:tcPr>
            <w:tcBorders>
              <w:top w:val="single" w:color="auto" w:sz="4" w:space="0"/>
              <w:left w:val="single" w:color="auto" w:sz="4" w:space="0"/>
              <w:right w:val="single" w:color="auto" w:sz="4" w:space="0"/>
            </w:tcBorders>
            <w:tcW w:w="232" w:type="pct"/>
            <w:vAlign w:val="top"/>
            <w:textDirection w:val="lrTb"/>
            <w:noWrap w:val="false"/>
          </w:tcPr>
          <w:p>
            <w:pPr>
              <w:jc w:val="center"/>
              <w:spacing w:line="5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w:t>
            </w:r>
            <w:r/>
          </w:p>
        </w:tc>
        <w:tc>
          <w:tcPr>
            <w:tcBorders>
              <w:top w:val="single" w:color="auto" w:sz="4" w:space="0"/>
              <w:left w:val="single" w:color="auto" w:sz="4" w:space="0"/>
              <w:right w:val="single" w:color="auto" w:sz="4" w:space="0"/>
            </w:tcBorders>
            <w:tcW w:w="896" w:type="pct"/>
            <w:vAlign w:val="top"/>
            <w:textDirection w:val="lrTb"/>
            <w:noWrap w:val="false"/>
          </w:tcPr>
          <w:p>
            <w:pPr>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47" w:type="pct"/>
            <w:vAlign w:val="top"/>
            <w:textDirection w:val="lrTb"/>
            <w:noWrap w:val="false"/>
          </w:tcPr>
          <w:p>
            <w:pPr>
              <w:spacing w:line="5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616" w:type="pct"/>
            <w:vAlign w:val="top"/>
            <w:textDirection w:val="lrTb"/>
            <w:noWrap w:val="false"/>
          </w:tcPr>
          <w:p>
            <w:pPr>
              <w:spacing w:line="5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662" w:type="pct"/>
            <w:vAlign w:val="top"/>
            <w:textDirection w:val="lrTb"/>
            <w:noWrap w:val="false"/>
          </w:tcPr>
          <w:p>
            <w:pPr>
              <w:spacing w:line="5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934" w:type="pct"/>
            <w:vAlign w:val="top"/>
            <w:textDirection w:val="lrTb"/>
            <w:noWrap w:val="false"/>
          </w:tcPr>
          <w:p>
            <w:pPr>
              <w:spacing w:line="5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910" w:type="pct"/>
            <w:vAlign w:val="top"/>
            <w:textDirection w:val="lrTb"/>
            <w:noWrap w:val="false"/>
          </w:tcPr>
          <w:p>
            <w:pPr>
              <w:spacing w:line="5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r>
      <w:tr>
        <w:trPr>
          <w:cantSplit/>
        </w:trPr>
        <w:tc>
          <w:tcPr>
            <w:tcBorders>
              <w:top w:val="single" w:color="auto" w:sz="4" w:space="0"/>
              <w:left w:val="single" w:color="auto" w:sz="4" w:space="0"/>
              <w:right w:val="single" w:color="auto" w:sz="4" w:space="0"/>
            </w:tcBorders>
            <w:tcW w:w="232" w:type="pct"/>
            <w:vAlign w:val="top"/>
            <w:textDirection w:val="lrTb"/>
            <w:noWrap w:val="false"/>
          </w:tcPr>
          <w:p>
            <w:pPr>
              <w:jc w:val="center"/>
              <w:spacing w:line="5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w:t>
            </w:r>
            <w:r/>
          </w:p>
        </w:tc>
        <w:tc>
          <w:tcPr>
            <w:tcBorders>
              <w:top w:val="single" w:color="auto" w:sz="4" w:space="0"/>
              <w:left w:val="single" w:color="auto" w:sz="4" w:space="0"/>
              <w:right w:val="single" w:color="auto" w:sz="4" w:space="0"/>
            </w:tcBorders>
            <w:tcW w:w="896" w:type="pct"/>
            <w:vAlign w:val="top"/>
            <w:textDirection w:val="lrTb"/>
            <w:noWrap w:val="false"/>
          </w:tcPr>
          <w:p>
            <w:pPr>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47" w:type="pct"/>
            <w:vAlign w:val="top"/>
            <w:textDirection w:val="lrTb"/>
            <w:noWrap w:val="false"/>
          </w:tcPr>
          <w:p>
            <w:pPr>
              <w:spacing w:line="5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616" w:type="pct"/>
            <w:vAlign w:val="top"/>
            <w:textDirection w:val="lrTb"/>
            <w:noWrap w:val="false"/>
          </w:tcPr>
          <w:p>
            <w:pPr>
              <w:spacing w:line="5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662" w:type="pct"/>
            <w:vAlign w:val="top"/>
            <w:textDirection w:val="lrTb"/>
            <w:noWrap w:val="false"/>
          </w:tcPr>
          <w:p>
            <w:pPr>
              <w:spacing w:line="5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934" w:type="pct"/>
            <w:vAlign w:val="top"/>
            <w:textDirection w:val="lrTb"/>
            <w:noWrap w:val="false"/>
          </w:tcPr>
          <w:p>
            <w:pPr>
              <w:spacing w:line="5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910" w:type="pct"/>
            <w:vAlign w:val="top"/>
            <w:textDirection w:val="lrTb"/>
            <w:noWrap w:val="false"/>
          </w:tcPr>
          <w:p>
            <w:pPr>
              <w:spacing w:line="5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r>
      <w:tr>
        <w:trPr>
          <w:cantSplit/>
        </w:trPr>
        <w:tc>
          <w:tcPr>
            <w:tcBorders>
              <w:top w:val="single" w:color="auto" w:sz="4" w:space="0"/>
              <w:left w:val="single" w:color="auto" w:sz="4" w:space="0"/>
              <w:bottom w:val="single" w:color="auto" w:sz="4" w:space="0"/>
              <w:right w:val="single" w:color="auto" w:sz="4" w:space="0"/>
            </w:tcBorders>
            <w:tcW w:w="232" w:type="pct"/>
            <w:vAlign w:val="top"/>
            <w:textDirection w:val="lrTb"/>
            <w:noWrap w:val="false"/>
          </w:tcPr>
          <w:p>
            <w:pPr>
              <w:jc w:val="center"/>
              <w:spacing w:line="5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896" w:type="pct"/>
            <w:vAlign w:val="top"/>
            <w:textDirection w:val="lrTb"/>
            <w:noWrap w:val="false"/>
          </w:tcPr>
          <w:p>
            <w:pPr>
              <w:spacing w:line="5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747" w:type="pct"/>
            <w:vAlign w:val="top"/>
            <w:textDirection w:val="lrTb"/>
            <w:noWrap w:val="false"/>
          </w:tcPr>
          <w:p>
            <w:pPr>
              <w:spacing w:line="5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616" w:type="pct"/>
            <w:vAlign w:val="top"/>
            <w:textDirection w:val="lrTb"/>
            <w:noWrap w:val="false"/>
          </w:tcPr>
          <w:p>
            <w:pPr>
              <w:spacing w:line="5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662" w:type="pct"/>
            <w:vAlign w:val="top"/>
            <w:textDirection w:val="lrTb"/>
            <w:noWrap w:val="false"/>
          </w:tcPr>
          <w:p>
            <w:pPr>
              <w:spacing w:line="5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934" w:type="pct"/>
            <w:vAlign w:val="top"/>
            <w:textDirection w:val="lrTb"/>
            <w:noWrap w:val="false"/>
          </w:tcPr>
          <w:p>
            <w:pPr>
              <w:spacing w:line="5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910" w:type="pct"/>
            <w:vAlign w:val="top"/>
            <w:textDirection w:val="lrTb"/>
            <w:noWrap w:val="false"/>
          </w:tcPr>
          <w:p>
            <w:pPr>
              <w:spacing w:line="5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r>
      <w:tr>
        <w:trPr>
          <w:cantSplit/>
        </w:trPr>
        <w:tc>
          <w:tcPr>
            <w:tcBorders>
              <w:top w:val="single" w:color="auto" w:sz="4" w:space="0"/>
              <w:left w:val="single" w:color="auto" w:sz="4" w:space="0"/>
              <w:bottom w:val="single" w:color="auto" w:sz="4" w:space="0"/>
              <w:right w:val="single" w:color="auto" w:sz="4" w:space="0"/>
            </w:tcBorders>
            <w:tcW w:w="232" w:type="pct"/>
            <w:vAlign w:val="top"/>
            <w:textDirection w:val="lrTb"/>
            <w:noWrap w:val="false"/>
          </w:tcPr>
          <w:p>
            <w:pPr>
              <w:jc w:val="center"/>
              <w:spacing w:line="5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896" w:type="pct"/>
            <w:vAlign w:val="top"/>
            <w:textDirection w:val="lrTb"/>
            <w:noWrap w:val="false"/>
          </w:tcPr>
          <w:p>
            <w:pPr>
              <w:spacing w:line="5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747" w:type="pct"/>
            <w:vAlign w:val="top"/>
            <w:textDirection w:val="lrTb"/>
            <w:noWrap w:val="false"/>
          </w:tcPr>
          <w:p>
            <w:pPr>
              <w:spacing w:line="5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616" w:type="pct"/>
            <w:vAlign w:val="top"/>
            <w:textDirection w:val="lrTb"/>
            <w:noWrap w:val="false"/>
          </w:tcPr>
          <w:p>
            <w:pPr>
              <w:spacing w:line="5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662" w:type="pct"/>
            <w:vAlign w:val="top"/>
            <w:textDirection w:val="lrTb"/>
            <w:noWrap w:val="false"/>
          </w:tcPr>
          <w:p>
            <w:pPr>
              <w:spacing w:line="5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934" w:type="pct"/>
            <w:vAlign w:val="top"/>
            <w:textDirection w:val="lrTb"/>
            <w:noWrap w:val="false"/>
          </w:tcPr>
          <w:p>
            <w:pPr>
              <w:spacing w:line="5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910" w:type="pct"/>
            <w:vAlign w:val="top"/>
            <w:textDirection w:val="lrTb"/>
            <w:noWrap w:val="false"/>
          </w:tcPr>
          <w:p>
            <w:pPr>
              <w:spacing w:line="5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r>
      <w:tr>
        <w:trPr>
          <w:cantSplit/>
        </w:trPr>
        <w:tc>
          <w:tcPr>
            <w:tcBorders>
              <w:top w:val="single" w:color="auto" w:sz="4" w:space="0"/>
              <w:left w:val="single" w:color="auto" w:sz="4" w:space="0"/>
              <w:bottom w:val="single" w:color="auto" w:sz="4" w:space="0"/>
              <w:right w:val="single" w:color="auto" w:sz="4" w:space="0"/>
            </w:tcBorders>
            <w:tcW w:w="232" w:type="pct"/>
            <w:vAlign w:val="top"/>
            <w:textDirection w:val="lrTb"/>
            <w:noWrap w:val="false"/>
          </w:tcPr>
          <w:p>
            <w:pPr>
              <w:jc w:val="center"/>
              <w:spacing w:line="5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896" w:type="pct"/>
            <w:vAlign w:val="top"/>
            <w:textDirection w:val="lrTb"/>
            <w:noWrap w:val="false"/>
          </w:tcPr>
          <w:p>
            <w:pPr>
              <w:spacing w:line="5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747" w:type="pct"/>
            <w:vAlign w:val="top"/>
            <w:textDirection w:val="lrTb"/>
            <w:noWrap w:val="false"/>
          </w:tcPr>
          <w:p>
            <w:pPr>
              <w:spacing w:line="5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616" w:type="pct"/>
            <w:vAlign w:val="top"/>
            <w:textDirection w:val="lrTb"/>
            <w:noWrap w:val="false"/>
          </w:tcPr>
          <w:p>
            <w:pPr>
              <w:spacing w:line="5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662" w:type="pct"/>
            <w:vAlign w:val="top"/>
            <w:textDirection w:val="lrTb"/>
            <w:noWrap w:val="false"/>
          </w:tcPr>
          <w:p>
            <w:pPr>
              <w:spacing w:line="5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934" w:type="pct"/>
            <w:vAlign w:val="top"/>
            <w:textDirection w:val="lrTb"/>
            <w:noWrap w:val="false"/>
          </w:tcPr>
          <w:p>
            <w:pPr>
              <w:spacing w:line="5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910" w:type="pct"/>
            <w:vAlign w:val="top"/>
            <w:textDirection w:val="lrTb"/>
            <w:noWrap w:val="false"/>
          </w:tcPr>
          <w:p>
            <w:pPr>
              <w:spacing w:line="5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r>
    </w:tbl>
    <w:p>
      <w:pP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w:t>
      </w:r>
      <w:r/>
    </w:p>
    <w:p>
      <w:pPr>
        <w:numPr>
          <w:ilvl w:val="0"/>
          <w:numId w:val="13"/>
        </w:numPr>
        <w:keepLines w:val="0"/>
        <w:keepNext w:val="0"/>
        <w:pageBreakBefore w:val="0"/>
        <w:spacing w:line="360" w:lineRule="auto"/>
        <w:widowControl w:val="off"/>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折扣率等于优惠率；</w:t>
      </w:r>
      <w:r/>
    </w:p>
    <w:p>
      <w:pPr>
        <w:keepLines w:val="0"/>
        <w:keepNext w:val="0"/>
        <w:pageBreakBefore w:val="0"/>
        <w:spacing w:line="360" w:lineRule="auto"/>
        <w:widowControl w:val="off"/>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2、本表中的报价为综合报价，包括完成该项工作所需的一切费用，应包括完成本项工作所需的</w:t>
      </w:r>
      <w:r>
        <w:rPr>
          <w:rFonts w:hint="default" w:ascii="宋体" w:hAnsi="宋体" w:eastAsia="宋体" w:cs="Times New Roman"/>
          <w:color w:val="auto"/>
          <w:szCs w:val="21"/>
          <w:highlight w:val="none"/>
        </w:rPr>
        <w:t xml:space="preserve">人工、材料、机械</w:t>
      </w:r>
      <w:r>
        <w:rPr>
          <w:rFonts w:hint="eastAsia" w:ascii="宋体" w:hAnsi="宋体" w:eastAsia="宋体" w:cs="Times New Roman"/>
          <w:color w:val="auto"/>
          <w:szCs w:val="21"/>
          <w:highlight w:val="none"/>
        </w:rPr>
        <w:t xml:space="preserve">（设备）</w:t>
      </w:r>
      <w:r>
        <w:rPr>
          <w:rFonts w:hint="default" w:ascii="宋体" w:hAnsi="宋体" w:eastAsia="宋体" w:cs="Times New Roman"/>
          <w:color w:val="auto"/>
          <w:szCs w:val="21"/>
          <w:highlight w:val="none"/>
        </w:rPr>
        <w:t xml:space="preserve">、管理、维护、售后服务</w:t>
      </w:r>
      <w:r>
        <w:rPr>
          <w:rFonts w:hint="eastAsia" w:ascii="宋体" w:hAnsi="宋体" w:eastAsia="宋体" w:cs="Times New Roman"/>
          <w:color w:val="auto"/>
          <w:szCs w:val="21"/>
          <w:highlight w:val="none"/>
        </w:rPr>
        <w:t xml:space="preserve">、</w:t>
      </w:r>
      <w:r>
        <w:rPr>
          <w:rFonts w:hint="default" w:ascii="宋体" w:hAnsi="宋体" w:eastAsia="宋体" w:cs="Times New Roman"/>
          <w:color w:val="auto"/>
          <w:szCs w:val="21"/>
          <w:highlight w:val="none"/>
        </w:rPr>
        <w:t xml:space="preserve">保险、利润、税金、政策性文件规定及合同包含的所有风险、责任等各项应有费用</w:t>
      </w:r>
      <w:r>
        <w:rPr>
          <w:rFonts w:hint="eastAsia" w:ascii="宋体" w:hAnsi="宋体" w:eastAsia="宋体" w:cs="Times New Roman"/>
          <w:color w:val="auto"/>
          <w:szCs w:val="21"/>
          <w:highlight w:val="none"/>
          <w:lang w:val="en-US" w:eastAsia="zh-CN"/>
        </w:rPr>
        <w:t xml:space="preserve">。 </w:t>
      </w:r>
      <w:r/>
    </w:p>
    <w:p>
      <w:pPr>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3、本项目最终根据最终确认的维护服务项目工程量，按折扣后的综合单</w:t>
      </w:r>
      <w:r>
        <w:rPr>
          <w:rFonts w:hint="eastAsia" w:ascii="宋体" w:hAnsi="宋体" w:cs="Times New Roman"/>
          <w:color w:val="auto"/>
          <w:szCs w:val="21"/>
          <w:highlight w:val="none"/>
          <w:lang w:val="en-US" w:eastAsia="zh-CN"/>
        </w:rPr>
        <w:t xml:space="preserve">价</w:t>
      </w:r>
      <w:r>
        <w:rPr>
          <w:rFonts w:hint="eastAsia" w:ascii="宋体" w:hAnsi="宋体" w:eastAsia="宋体" w:cs="Times New Roman"/>
          <w:color w:val="auto"/>
          <w:szCs w:val="21"/>
          <w:highlight w:val="none"/>
          <w:lang w:val="en-US" w:eastAsia="zh-CN"/>
        </w:rPr>
        <w:t xml:space="preserve">按实结算。</w:t>
      </w:r>
      <w:r/>
    </w:p>
    <w:p>
      <w:pPr>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4、投标报价总金额与开标一览表须保持一致。</w:t>
      </w:r>
      <w:r/>
    </w:p>
    <w:p>
      <w:pPr>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5、本表按采购包分别填报。</w:t>
      </w:r>
      <w:r/>
    </w:p>
    <w:p>
      <w:pPr>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t xml:space="preserve">投标人：（单位盖章）</w:t>
      </w:r>
      <w:r/>
    </w:p>
    <w:p>
      <w:pPr>
        <w:spacing w:line="360" w:lineRule="auto"/>
        <w:rPr>
          <w:rFonts w:ascii="宋体" w:hAnsi="宋体"/>
          <w:color w:val="auto"/>
          <w:szCs w:val="21"/>
          <w:highlight w:val="none"/>
        </w:rPr>
      </w:pPr>
      <w:r>
        <w:rPr>
          <w:rFonts w:ascii="宋体" w:hAnsi="宋体"/>
          <w:color w:val="auto"/>
          <w:szCs w:val="21"/>
          <w:highlight w:val="none"/>
        </w:rPr>
        <w:t xml:space="preserve">法人</w:t>
      </w:r>
      <w:r>
        <w:rPr>
          <w:rFonts w:hint="eastAsia" w:ascii="宋体" w:hAnsi="宋体"/>
          <w:color w:val="auto"/>
          <w:szCs w:val="21"/>
          <w:highlight w:val="none"/>
        </w:rPr>
        <w:t xml:space="preserve">/</w:t>
      </w:r>
      <w:r>
        <w:rPr>
          <w:rFonts w:ascii="宋体" w:hAnsi="宋体"/>
          <w:color w:val="auto"/>
          <w:szCs w:val="21"/>
          <w:highlight w:val="none"/>
        </w:rPr>
        <w:t xml:space="preserve">被授权人：（签字或盖章）</w:t>
      </w:r>
      <w:r/>
    </w:p>
    <w:p>
      <w:pPr>
        <w:rPr>
          <w:color w:val="auto"/>
          <w:highlight w:val="none"/>
        </w:rPr>
      </w:pPr>
      <w:r>
        <w:rPr>
          <w:color w:val="auto"/>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widowControl/>
        <w:rPr>
          <w:rFonts w:ascii="宋体" w:hAnsi="宋体"/>
          <w:b/>
          <w:bCs/>
          <w:color w:val="auto"/>
          <w:sz w:val="24"/>
          <w:highlight w:val="none"/>
        </w:rPr>
      </w:pPr>
      <w:r/>
      <w:bookmarkStart w:id="75" w:name="_Toc500143980"/>
      <w:r/>
      <w:bookmarkStart w:id="76" w:name="_Ref477865937"/>
      <w:r/>
      <w:bookmarkStart w:id="77" w:name="_Toc519686655"/>
      <w:r/>
      <w:bookmarkStart w:id="78" w:name="_Ref15304731"/>
      <w:r/>
      <w:bookmarkStart w:id="79" w:name="_Ref33617553"/>
      <w:r>
        <w:rPr>
          <w:rFonts w:ascii="宋体" w:hAnsi="宋体"/>
          <w:color w:val="auto"/>
          <w:sz w:val="24"/>
          <w:highlight w:val="none"/>
        </w:rPr>
        <w:br w:type="page" w:clear="all"/>
      </w:r>
      <w:r/>
    </w:p>
    <w:p>
      <w:pPr>
        <w:pStyle w:val="729"/>
        <w:rPr>
          <w:rFonts w:ascii="宋体" w:hAnsi="宋体" w:eastAsia="宋体"/>
          <w:color w:val="auto"/>
          <w:sz w:val="24"/>
          <w:szCs w:val="24"/>
          <w:highlight w:val="none"/>
        </w:rPr>
      </w:pPr>
      <w:r/>
      <w:bookmarkStart w:id="80" w:name="_Toc166487082"/>
      <w:r/>
      <w:bookmarkStart w:id="81" w:name="_Toc166488932"/>
      <w:r/>
      <w:bookmarkStart w:id="82" w:name="_Toc130478808"/>
      <w:r/>
      <w:bookmarkStart w:id="83" w:name="_Toc98785124"/>
      <w:r>
        <w:rPr>
          <w:rFonts w:hint="eastAsia" w:ascii="宋体" w:hAnsi="宋体" w:eastAsia="宋体"/>
          <w:color w:val="auto"/>
          <w:sz w:val="24"/>
          <w:szCs w:val="24"/>
          <w:highlight w:val="none"/>
        </w:rPr>
        <w:t xml:space="preserve">附件8</w:t>
      </w:r>
      <w:r>
        <w:rPr>
          <w:rFonts w:ascii="宋体" w:hAnsi="宋体" w:eastAsia="宋体"/>
          <w:color w:val="auto"/>
          <w:sz w:val="24"/>
          <w:szCs w:val="24"/>
          <w:highlight w:val="none"/>
        </w:rPr>
        <w:t xml:space="preserve">：</w:t>
      </w:r>
      <w:bookmarkEnd w:id="75"/>
      <w:r/>
      <w:bookmarkEnd w:id="76"/>
      <w:r/>
      <w:bookmarkEnd w:id="77"/>
      <w:r/>
      <w:bookmarkEnd w:id="78"/>
      <w:r>
        <w:rPr>
          <w:rFonts w:hint="eastAsia" w:ascii="宋体" w:hAnsi="宋体" w:eastAsia="宋体"/>
          <w:color w:val="auto"/>
          <w:sz w:val="24"/>
          <w:szCs w:val="24"/>
          <w:highlight w:val="none"/>
        </w:rPr>
        <w:t xml:space="preserve">相关业绩一览表</w:t>
      </w:r>
      <w:bookmarkEnd w:id="80"/>
      <w:r/>
      <w:bookmarkEnd w:id="81"/>
      <w:r/>
      <w:r/>
    </w:p>
    <w:p>
      <w:pPr>
        <w:pStyle w:val="1128"/>
        <w:jc w:val="center"/>
        <w:spacing w:line="360" w:lineRule="auto"/>
        <w:rPr>
          <w:rFonts w:hAnsi="宋体" w:eastAsia="宋体"/>
          <w:b/>
          <w:color w:val="auto"/>
          <w:sz w:val="24"/>
          <w:highlight w:val="none"/>
        </w:rPr>
      </w:pPr>
      <w:r>
        <w:rPr>
          <w:rFonts w:hint="eastAsia" w:hAnsi="宋体" w:eastAsia="宋体"/>
          <w:b/>
          <w:color w:val="auto"/>
          <w:sz w:val="24"/>
          <w:highlight w:val="none"/>
        </w:rPr>
        <w:t xml:space="preserve">相关业绩一览表</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服务单位名称：_________________________</w:t>
      </w:r>
      <w:r/>
    </w:p>
    <w:tbl>
      <w:tblPr>
        <w:tblStyle w:val="738"/>
        <w:tblW w:w="9069" w:type="dxa"/>
        <w:tblInd w:w="-352"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19"/>
        <w:gridCol w:w="1761"/>
        <w:gridCol w:w="1665"/>
        <w:gridCol w:w="1920"/>
        <w:gridCol w:w="1695"/>
        <w:gridCol w:w="1209"/>
      </w:tblGrid>
      <w:tr>
        <w:trPr>
          <w:cantSplit/>
          <w:trHeight w:val="740"/>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序号</w:t>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项目名称</w:t>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合同期</w:t>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服务内容</w:t>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合同金额</w:t>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备注</w:t>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2</w:t>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3</w:t>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4</w:t>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5</w:t>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tbRlV"/>
            <w:noWrap w:val="false"/>
          </w:tcPr>
          <w:p>
            <w:pPr>
              <w:ind w:left="113" w:right="113"/>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bl>
    <w:p>
      <w:pPr>
        <w:ind w:left="420" w:right="357" w:hanging="400"/>
        <w:spacing w:before="120" w:line="400" w:lineRule="exact"/>
        <w:rPr>
          <w:rFonts w:ascii="宋体" w:hAnsi="宋体"/>
          <w:b/>
          <w:bCs/>
          <w:color w:val="auto"/>
          <w:szCs w:val="21"/>
          <w:highlight w:val="none"/>
        </w:rPr>
      </w:pPr>
      <w:r>
        <w:rPr>
          <w:rFonts w:hint="eastAsia" w:ascii="宋体" w:hAnsi="宋体"/>
          <w:b/>
          <w:bCs/>
          <w:color w:val="auto"/>
          <w:szCs w:val="21"/>
          <w:highlight w:val="none"/>
        </w:rPr>
        <w:t xml:space="preserve">注：</w:t>
      </w:r>
      <w:r/>
    </w:p>
    <w:p>
      <w:pPr>
        <w:ind w:left="420" w:right="357" w:hanging="400"/>
        <w:spacing w:before="120" w:line="400" w:lineRule="exact"/>
        <w:rPr>
          <w:rFonts w:ascii="宋体" w:hAnsi="宋体"/>
          <w:color w:val="auto"/>
          <w:szCs w:val="21"/>
          <w:highlight w:val="none"/>
        </w:rPr>
      </w:pPr>
      <w:r>
        <w:rPr>
          <w:rFonts w:hint="eastAsia" w:ascii="宋体" w:hAnsi="宋体"/>
          <w:color w:val="auto"/>
          <w:szCs w:val="21"/>
          <w:highlight w:val="none"/>
        </w:rPr>
        <w:t xml:space="preserve">1）合同等证明材料复印件作为本表的附件须同时提供；</w:t>
      </w:r>
      <w:r/>
    </w:p>
    <w:p>
      <w:pPr>
        <w:ind w:left="420" w:right="357" w:hanging="400"/>
        <w:spacing w:before="120" w:line="400" w:lineRule="exact"/>
        <w:rPr>
          <w:rFonts w:ascii="宋体" w:hAnsi="宋体"/>
          <w:color w:val="auto"/>
          <w:szCs w:val="21"/>
          <w:highlight w:val="none"/>
        </w:rPr>
      </w:pPr>
      <w:r>
        <w:rPr>
          <w:rFonts w:hint="eastAsia" w:ascii="宋体" w:hAnsi="宋体"/>
          <w:color w:val="auto"/>
          <w:szCs w:val="21"/>
          <w:highlight w:val="none"/>
        </w:rPr>
        <w:t xml:space="preserve">2）以上格式仅供参考，投标单位可自行编辑类似项目业绩汇总表，表格内容需至少包</w:t>
      </w:r>
      <w:r/>
    </w:p>
    <w:p>
      <w:pPr>
        <w:ind w:right="357"/>
        <w:spacing w:before="120" w:line="400" w:lineRule="exact"/>
        <w:rPr>
          <w:rFonts w:ascii="宋体" w:hAnsi="宋体"/>
          <w:color w:val="auto"/>
          <w:szCs w:val="21"/>
          <w:highlight w:val="none"/>
        </w:rPr>
      </w:pPr>
      <w:r>
        <w:rPr>
          <w:rFonts w:hint="eastAsia" w:ascii="宋体" w:hAnsi="宋体"/>
          <w:color w:val="auto"/>
          <w:szCs w:val="21"/>
          <w:highlight w:val="none"/>
        </w:rPr>
        <w:t xml:space="preserve">含上表要求提供的内容。</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420"/>
        <w:keepLines w:val="0"/>
        <w:keepNext w:val="0"/>
        <w:pageBreakBefore w:val="0"/>
        <w:spacing w:line="360" w:lineRule="auto"/>
        <w:widowControl w:val="off"/>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投标人：（单位盖章）</w:t>
      </w:r>
      <w:r/>
    </w:p>
    <w:p>
      <w:pPr>
        <w:ind w:firstLine="420"/>
        <w:keepLines w:val="0"/>
        <w:keepNext w:val="0"/>
        <w:pageBreakBefore w:val="0"/>
        <w:spacing w:line="360" w:lineRule="auto"/>
        <w:widowControl w:val="off"/>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法人</w:t>
      </w:r>
      <w:r>
        <w:rPr>
          <w:rFonts w:hint="eastAsia" w:ascii="宋体" w:hAnsi="宋体" w:eastAsia="宋体" w:cs="Times New Roman"/>
          <w:color w:val="auto"/>
          <w:szCs w:val="21"/>
          <w:highlight w:val="none"/>
        </w:rPr>
        <w:t xml:space="preserve">/</w:t>
      </w:r>
      <w:r>
        <w:rPr>
          <w:rFonts w:ascii="宋体" w:hAnsi="宋体" w:eastAsia="宋体" w:cs="Times New Roman"/>
          <w:color w:val="auto"/>
          <w:szCs w:val="21"/>
          <w:highlight w:val="none"/>
        </w:rPr>
        <w:t xml:space="preserve">被授权人：（签字或盖章）</w:t>
      </w:r>
      <w:r/>
    </w:p>
    <w:p>
      <w:pPr>
        <w:ind w:firstLine="420"/>
        <w:keepLines w:val="0"/>
        <w:keepNext w:val="0"/>
        <w:pageBreakBefore w:val="0"/>
        <w:spacing w:line="360" w:lineRule="auto"/>
        <w:widowControl w:val="off"/>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729"/>
        <w:rPr>
          <w:rFonts w:hint="eastAsia" w:ascii="宋体" w:hAnsi="宋体" w:eastAsia="宋体" w:cs="Times New Roman"/>
          <w:color w:val="auto"/>
          <w:sz w:val="24"/>
          <w:szCs w:val="24"/>
          <w:highlight w:val="none"/>
        </w:rPr>
      </w:pPr>
      <w:r>
        <w:rPr>
          <w:rFonts w:ascii="宋体" w:hAnsi="宋体"/>
          <w:color w:val="auto"/>
          <w:sz w:val="24"/>
          <w:highlight w:val="none"/>
        </w:rPr>
        <w:br w:type="page" w:clear="all"/>
      </w:r>
      <w:bookmarkStart w:id="84" w:name="_Toc166487083"/>
      <w:r/>
      <w:bookmarkStart w:id="85" w:name="_Toc166488933"/>
      <w:r>
        <w:rPr>
          <w:rFonts w:hint="eastAsia" w:ascii="宋体" w:hAnsi="宋体" w:eastAsia="宋体" w:cs="Times New Roman"/>
          <w:color w:val="auto"/>
          <w:sz w:val="24"/>
          <w:szCs w:val="24"/>
          <w:highlight w:val="none"/>
        </w:rPr>
        <w:t xml:space="preserve">附件9：</w:t>
      </w:r>
      <w:bookmarkEnd w:id="84"/>
      <w:r/>
      <w:bookmarkEnd w:id="85"/>
      <w:r>
        <w:rPr>
          <w:rFonts w:hint="eastAsia" w:ascii="宋体" w:hAnsi="宋体" w:eastAsia="宋体" w:cs="Times New Roman"/>
          <w:color w:val="auto"/>
          <w:sz w:val="24"/>
          <w:szCs w:val="24"/>
          <w:highlight w:val="none"/>
          <w:lang w:val="en-US" w:eastAsia="zh-CN"/>
        </w:rPr>
        <w:t xml:space="preserve">拟投入人员及设备配置一览表</w:t>
      </w:r>
      <w:r/>
    </w:p>
    <w:p>
      <w:pPr>
        <w:pStyle w:val="1128"/>
        <w:jc w:val="center"/>
        <w:spacing w:line="360" w:lineRule="auto"/>
        <w:rPr>
          <w:rFonts w:hint="default" w:hAnsi="宋体" w:eastAsia="宋体"/>
          <w:b/>
          <w:color w:val="auto"/>
          <w:sz w:val="24"/>
          <w:highlight w:val="none"/>
          <w:lang w:val="en-US" w:eastAsia="zh-CN"/>
        </w:rPr>
      </w:pPr>
      <w:r>
        <w:rPr>
          <w:rFonts w:hint="eastAsia" w:hAnsi="宋体" w:eastAsia="宋体"/>
          <w:b/>
          <w:color w:val="auto"/>
          <w:sz w:val="24"/>
          <w:highlight w:val="none"/>
          <w:lang w:val="en-US" w:eastAsia="zh-CN"/>
        </w:rPr>
        <w:t xml:space="preserve">（一）拟投入人员一览表</w:t>
      </w:r>
      <w:r/>
    </w:p>
    <w:tbl>
      <w:tblPr>
        <w:tblStyle w:val="738"/>
        <w:tblpPr w:horzAnchor="page" w:tblpX="1742" w:vertAnchor="text" w:tblpY="219" w:leftFromText="180" w:topFromText="0" w:rightFromText="180" w:bottomFromText="0"/>
        <w:tblW w:w="8888"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95"/>
        <w:gridCol w:w="1378"/>
        <w:gridCol w:w="1140"/>
        <w:gridCol w:w="1005"/>
        <w:gridCol w:w="1485"/>
        <w:gridCol w:w="1530"/>
        <w:gridCol w:w="1455"/>
      </w:tblGrid>
      <w:tr>
        <w:trPr/>
        <w:tc>
          <w:tcPr>
            <w:tcBorders>
              <w:top w:val="single" w:color="auto" w:sz="6" w:space="0"/>
              <w:left w:val="single" w:color="auto" w:sz="6" w:space="0"/>
              <w:bottom w:val="single" w:color="auto" w:sz="6" w:space="0"/>
              <w:right w:val="single" w:color="auto" w:sz="6" w:space="0"/>
            </w:tcBorders>
            <w:tcW w:w="895" w:type="dxa"/>
            <w:vAlign w:val="center"/>
            <w:textDirection w:val="lrTb"/>
            <w:noWrap w:val="false"/>
          </w:tcPr>
          <w:p>
            <w:pPr>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序号</w:t>
            </w:r>
            <w:r/>
          </w:p>
        </w:tc>
        <w:tc>
          <w:tcPr>
            <w:tcBorders>
              <w:top w:val="single" w:color="auto" w:sz="6" w:space="0"/>
              <w:left w:val="single" w:color="auto" w:sz="6" w:space="0"/>
              <w:bottom w:val="single" w:color="auto" w:sz="6" w:space="0"/>
              <w:right w:val="single" w:color="auto" w:sz="4" w:space="0"/>
            </w:tcBorders>
            <w:tcW w:w="1378" w:type="dxa"/>
            <w:vAlign w:val="center"/>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姓名</w:t>
            </w:r>
            <w:r/>
          </w:p>
        </w:tc>
        <w:tc>
          <w:tcPr>
            <w:tcBorders>
              <w:top w:val="single" w:color="auto" w:sz="6" w:space="0"/>
              <w:left w:val="single" w:color="auto" w:sz="4" w:space="0"/>
              <w:bottom w:val="single" w:color="auto" w:sz="6" w:space="0"/>
              <w:right w:val="single" w:color="auto" w:sz="4" w:space="0"/>
            </w:tcBorders>
            <w:tcW w:w="1140" w:type="dxa"/>
            <w:vAlign w:val="center"/>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性别</w:t>
            </w:r>
            <w:r/>
          </w:p>
        </w:tc>
        <w:tc>
          <w:tcPr>
            <w:tcBorders>
              <w:top w:val="single" w:color="auto" w:sz="6" w:space="0"/>
              <w:left w:val="single" w:color="auto" w:sz="4" w:space="0"/>
              <w:bottom w:val="single" w:color="auto" w:sz="6" w:space="0"/>
              <w:right w:val="single" w:color="auto" w:sz="4" w:space="0"/>
            </w:tcBorders>
            <w:tcW w:w="1005" w:type="dxa"/>
            <w:vAlign w:val="center"/>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年龄</w:t>
            </w:r>
            <w:r/>
          </w:p>
        </w:tc>
        <w:tc>
          <w:tcPr>
            <w:tcBorders>
              <w:top w:val="single" w:color="auto" w:sz="6" w:space="0"/>
              <w:left w:val="single" w:color="auto" w:sz="4" w:space="0"/>
              <w:bottom w:val="single" w:color="auto" w:sz="6" w:space="0"/>
              <w:right w:val="single" w:color="auto" w:sz="6" w:space="0"/>
            </w:tcBorders>
            <w:tcW w:w="1485" w:type="dxa"/>
            <w:vAlign w:val="center"/>
            <w:textDirection w:val="lrTb"/>
            <w:noWrap w:val="false"/>
          </w:tcPr>
          <w:p>
            <w:pPr>
              <w:jc w:val="center"/>
              <w:spacing w:line="360" w:lineRule="auto"/>
              <w:rPr>
                <w:rFonts w:hint="eastAsia" w:ascii="宋体" w:hAnsi="宋体" w:eastAsia="宋体" w:cs="Times New Roman"/>
                <w:color w:val="auto"/>
                <w:szCs w:val="21"/>
                <w:highlight w:val="none"/>
                <w:lang w:eastAsia="zh-CN"/>
              </w:rPr>
            </w:pPr>
            <w:r>
              <w:rPr>
                <w:rFonts w:hint="eastAsia" w:ascii="宋体" w:hAnsi="宋体" w:cs="Times New Roman"/>
                <w:color w:val="auto"/>
                <w:szCs w:val="21"/>
                <w:highlight w:val="none"/>
                <w:lang w:val="en-US" w:eastAsia="zh-CN"/>
              </w:rPr>
              <w:t xml:space="preserve">证书</w:t>
            </w:r>
            <w:r/>
          </w:p>
        </w:tc>
        <w:tc>
          <w:tcPr>
            <w:tcBorders>
              <w:top w:val="single" w:color="auto" w:sz="6" w:space="0"/>
              <w:left w:val="single" w:color="auto" w:sz="6" w:space="0"/>
              <w:bottom w:val="single" w:color="auto" w:sz="4" w:space="0"/>
              <w:right w:val="single" w:color="auto" w:sz="4" w:space="0"/>
            </w:tcBorders>
            <w:tcW w:w="1530" w:type="dxa"/>
            <w:vAlign w:val="center"/>
            <w:textDirection w:val="lrTb"/>
            <w:noWrap w:val="false"/>
          </w:tcPr>
          <w:p>
            <w:pPr>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在本项目中</w:t>
            </w:r>
            <w:r/>
          </w:p>
          <w:p>
            <w:pPr>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担任的职务</w:t>
            </w:r>
            <w:r/>
          </w:p>
        </w:tc>
        <w:tc>
          <w:tcPr>
            <w:tcBorders>
              <w:top w:val="single" w:color="auto" w:sz="6" w:space="0"/>
              <w:left w:val="single" w:color="auto" w:sz="4" w:space="0"/>
              <w:bottom w:val="single" w:color="auto" w:sz="4" w:space="0"/>
              <w:right w:val="single" w:color="auto" w:sz="4" w:space="0"/>
            </w:tcBorders>
            <w:tcW w:w="1455" w:type="dxa"/>
            <w:vAlign w:val="center"/>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备注</w:t>
            </w:r>
            <w:r/>
          </w:p>
        </w:tc>
      </w:tr>
      <w:tr>
        <w:trPr>
          <w:trHeight w:val="438"/>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rHeight w:val="383"/>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4</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6</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7</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8</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9</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bl>
    <w:p>
      <w:pPr>
        <w:ind w:right="357"/>
        <w:spacing w:before="120" w:line="400" w:lineRule="exact"/>
        <w:rPr>
          <w:rFonts w:hint="eastAsia"/>
          <w:color w:val="auto"/>
          <w:szCs w:val="21"/>
          <w:highlight w:val="none"/>
        </w:rPr>
      </w:pPr>
      <w:r>
        <w:rPr>
          <w:rFonts w:hint="eastAsia"/>
          <w:color w:val="auto"/>
          <w:szCs w:val="21"/>
          <w:highlight w:val="none"/>
        </w:rPr>
        <w:t xml:space="preserve">注：</w:t>
      </w:r>
      <w:r/>
    </w:p>
    <w:p>
      <w:pPr>
        <w:ind w:right="357"/>
        <w:spacing w:before="120" w:line="400" w:lineRule="exact"/>
        <w:rPr>
          <w:rFonts w:hint="default" w:ascii="宋体" w:hAnsi="宋体" w:eastAsia="宋体" w:cs="Times New Roman"/>
          <w:b/>
          <w:bCs/>
          <w:color w:val="auto"/>
          <w:sz w:val="24"/>
          <w:szCs w:val="24"/>
          <w:highlight w:val="none"/>
        </w:rPr>
      </w:pPr>
      <w:r>
        <w:rPr>
          <w:rFonts w:hint="eastAsia"/>
          <w:color w:val="auto"/>
          <w:szCs w:val="21"/>
          <w:highlight w:val="none"/>
        </w:rPr>
        <w:t xml:space="preserve">以上格式仅供参考，投标单位可自行编辑人员配备表</w:t>
      </w:r>
      <w:r>
        <w:rPr>
          <w:rFonts w:hint="eastAsia" w:hAnsi="宋体"/>
          <w:color w:val="auto"/>
          <w:szCs w:val="21"/>
          <w:highlight w:val="none"/>
        </w:rPr>
        <w:t xml:space="preserve">，格式自拟，满足采购需求。</w:t>
      </w:r>
      <w:r/>
    </w:p>
    <w:p>
      <w:pPr>
        <w:jc w:val="center"/>
        <w:rPr>
          <w:rFonts w:hint="eastAsia" w:ascii="宋体" w:hAnsi="宋体" w:eastAsia="宋体" w:cs="Times New Roman"/>
          <w:b/>
          <w:bCs/>
          <w:color w:val="auto"/>
          <w:sz w:val="24"/>
          <w:szCs w:val="32"/>
          <w:highlight w:val="none"/>
        </w:rPr>
      </w:pPr>
      <w:r>
        <w:rPr>
          <w:rFonts w:hint="eastAsia" w:ascii="宋体" w:hAnsi="宋体" w:eastAsia="宋体" w:cs="Times New Roman"/>
          <w:b/>
          <w:bCs/>
          <w:color w:val="auto"/>
          <w:sz w:val="24"/>
          <w:szCs w:val="32"/>
          <w:highlight w:val="none"/>
        </w:rPr>
      </w:r>
      <w:r/>
    </w:p>
    <w:p>
      <w:pPr>
        <w:pStyle w:val="1128"/>
        <w:jc w:val="center"/>
        <w:spacing w:line="360" w:lineRule="auto"/>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lang w:eastAsia="zh-CN"/>
        </w:rPr>
        <w:t xml:space="preserve">（</w:t>
      </w:r>
      <w:r>
        <w:rPr>
          <w:rFonts w:hint="eastAsia" w:ascii="宋体" w:hAnsi="宋体" w:eastAsia="宋体" w:cs="Times New Roman"/>
          <w:b/>
          <w:color w:val="auto"/>
          <w:sz w:val="24"/>
          <w:highlight w:val="none"/>
          <w:lang w:val="en-US" w:eastAsia="zh-CN"/>
        </w:rPr>
        <w:t xml:space="preserve">二</w:t>
      </w:r>
      <w:r>
        <w:rPr>
          <w:rFonts w:hint="eastAsia" w:ascii="宋体" w:hAnsi="宋体" w:eastAsia="宋体" w:cs="Times New Roman"/>
          <w:b/>
          <w:color w:val="auto"/>
          <w:sz w:val="24"/>
          <w:highlight w:val="none"/>
          <w:lang w:eastAsia="zh-CN"/>
        </w:rPr>
        <w:t xml:space="preserve">）</w:t>
      </w:r>
      <w:r>
        <w:rPr>
          <w:rFonts w:hint="eastAsia" w:ascii="宋体" w:hAnsi="宋体" w:eastAsia="宋体" w:cs="Times New Roman"/>
          <w:b/>
          <w:color w:val="auto"/>
          <w:sz w:val="24"/>
          <w:highlight w:val="none"/>
        </w:rPr>
        <w:t xml:space="preserve">车辆配备表</w:t>
      </w:r>
      <w:r/>
    </w:p>
    <w:tbl>
      <w:tblPr>
        <w:tblStyle w:val="738"/>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16"/>
        <w:gridCol w:w="1809"/>
        <w:gridCol w:w="2195"/>
        <w:gridCol w:w="1272"/>
        <w:gridCol w:w="761"/>
        <w:gridCol w:w="761"/>
        <w:gridCol w:w="1830"/>
      </w:tblGrid>
      <w:tr>
        <w:trPr>
          <w:cantSplit/>
          <w:jc w:val="center"/>
          <w:trHeight w:val="1259"/>
        </w:trPr>
        <w:tc>
          <w:tcPr>
            <w:tcW w:w="716" w:type="dxa"/>
            <w:vAlign w:val="center"/>
            <w:textDirection w:val="lrTb"/>
            <w:noWrap w:val="false"/>
          </w:tcPr>
          <w:p>
            <w:pPr>
              <w:jc w:val="center"/>
              <w:widowControl w:val="off"/>
              <w:rPr>
                <w:rFonts w:hint="default" w:ascii="宋体" w:hAnsi="Courier New" w:eastAsia="宋体" w:cs="Times New Roman"/>
                <w:color w:val="auto"/>
                <w:sz w:val="21"/>
                <w:szCs w:val="21"/>
                <w:highlight w:val="none"/>
              </w:rPr>
            </w:pPr>
            <w:r>
              <w:rPr>
                <w:rFonts w:hint="eastAsia" w:ascii="宋体" w:hAnsi="Courier New" w:eastAsia="宋体" w:cs="Times New Roman"/>
                <w:color w:val="auto"/>
                <w:sz w:val="21"/>
                <w:szCs w:val="21"/>
                <w:highlight w:val="none"/>
              </w:rPr>
              <w:t xml:space="preserve">序号</w:t>
            </w:r>
            <w:r/>
          </w:p>
        </w:tc>
        <w:tc>
          <w:tcPr>
            <w:tcW w:w="1809" w:type="dxa"/>
            <w:vAlign w:val="center"/>
            <w:textDirection w:val="lrTb"/>
            <w:noWrap w:val="false"/>
          </w:tcPr>
          <w:p>
            <w:pPr>
              <w:jc w:val="center"/>
              <w:widowControl w:val="off"/>
              <w:rPr>
                <w:rFonts w:hint="default" w:ascii="宋体" w:hAnsi="Courier New" w:eastAsia="宋体" w:cs="Times New Roman"/>
                <w:color w:val="auto"/>
                <w:sz w:val="21"/>
                <w:szCs w:val="21"/>
                <w:highlight w:val="none"/>
              </w:rPr>
            </w:pPr>
            <w:r>
              <w:rPr>
                <w:rFonts w:hint="eastAsia" w:ascii="宋体" w:hAnsi="Courier New" w:eastAsia="宋体" w:cs="Times New Roman"/>
                <w:color w:val="auto"/>
                <w:sz w:val="21"/>
                <w:szCs w:val="21"/>
                <w:highlight w:val="none"/>
              </w:rPr>
              <w:t xml:space="preserve">名称</w:t>
            </w:r>
            <w:r/>
          </w:p>
        </w:tc>
        <w:tc>
          <w:tcPr>
            <w:tcBorders>
              <w:bottom w:val="single" w:color="auto" w:sz="4" w:space="0"/>
            </w:tcBorders>
            <w:tcW w:w="2195" w:type="dxa"/>
            <w:vAlign w:val="center"/>
            <w:textDirection w:val="lrTb"/>
            <w:noWrap w:val="false"/>
          </w:tcPr>
          <w:p>
            <w:pPr>
              <w:jc w:val="center"/>
              <w:widowControl w:val="off"/>
              <w:rPr>
                <w:rFonts w:hint="default" w:ascii="宋体" w:hAnsi="Courier New" w:eastAsia="宋体" w:cs="Times New Roman"/>
                <w:color w:val="auto"/>
                <w:sz w:val="21"/>
                <w:szCs w:val="21"/>
                <w:highlight w:val="none"/>
              </w:rPr>
            </w:pPr>
            <w:r>
              <w:rPr>
                <w:rFonts w:hint="eastAsia" w:ascii="宋体" w:hAnsi="Courier New" w:eastAsia="宋体" w:cs="Times New Roman"/>
                <w:color w:val="auto"/>
                <w:sz w:val="21"/>
                <w:szCs w:val="21"/>
                <w:highlight w:val="none"/>
              </w:rPr>
              <w:t xml:space="preserve">车牌号、型号、规格</w:t>
            </w:r>
            <w:r/>
          </w:p>
        </w:tc>
        <w:tc>
          <w:tcPr>
            <w:tcW w:w="1272" w:type="dxa"/>
            <w:vAlign w:val="center"/>
            <w:textDirection w:val="lrTb"/>
            <w:noWrap w:val="false"/>
          </w:tcPr>
          <w:p>
            <w:pPr>
              <w:jc w:val="center"/>
              <w:widowControl w:val="off"/>
              <w:rPr>
                <w:rFonts w:hint="default" w:ascii="宋体" w:hAnsi="Courier New" w:eastAsia="宋体" w:cs="Times New Roman"/>
                <w:color w:val="auto"/>
                <w:sz w:val="21"/>
                <w:szCs w:val="21"/>
                <w:highlight w:val="none"/>
              </w:rPr>
            </w:pPr>
            <w:r>
              <w:rPr>
                <w:rFonts w:hint="eastAsia" w:ascii="宋体" w:hAnsi="Courier New" w:eastAsia="宋体" w:cs="Times New Roman"/>
                <w:color w:val="auto"/>
                <w:sz w:val="21"/>
                <w:szCs w:val="21"/>
                <w:highlight w:val="none"/>
              </w:rPr>
              <w:t xml:space="preserve">购买日期/租赁日期</w:t>
            </w:r>
            <w:r/>
          </w:p>
        </w:tc>
        <w:tc>
          <w:tcPr>
            <w:tcBorders>
              <w:right w:val="single" w:color="auto" w:sz="4" w:space="0"/>
            </w:tcBorders>
            <w:tcW w:w="761" w:type="dxa"/>
            <w:vAlign w:val="center"/>
            <w:textDirection w:val="lrTb"/>
            <w:noWrap w:val="false"/>
          </w:tcPr>
          <w:p>
            <w:pPr>
              <w:jc w:val="center"/>
              <w:widowControl w:val="off"/>
              <w:rPr>
                <w:rFonts w:hint="default" w:ascii="宋体" w:hAnsi="Courier New" w:eastAsia="宋体" w:cs="Times New Roman"/>
                <w:color w:val="auto"/>
                <w:sz w:val="21"/>
                <w:szCs w:val="21"/>
                <w:highlight w:val="none"/>
              </w:rPr>
            </w:pPr>
            <w:r>
              <w:rPr>
                <w:rFonts w:hint="eastAsia" w:ascii="宋体" w:hAnsi="Courier New" w:eastAsia="宋体" w:cs="Times New Roman"/>
                <w:color w:val="auto"/>
                <w:sz w:val="21"/>
                <w:szCs w:val="21"/>
                <w:highlight w:val="none"/>
              </w:rPr>
              <w:t xml:space="preserve">单位</w:t>
            </w:r>
            <w:r/>
          </w:p>
        </w:tc>
        <w:tc>
          <w:tcPr>
            <w:tcBorders>
              <w:left w:val="single" w:color="auto" w:sz="4" w:space="0"/>
            </w:tcBorders>
            <w:tcW w:w="761" w:type="dxa"/>
            <w:vAlign w:val="center"/>
            <w:textDirection w:val="lrTb"/>
            <w:noWrap w:val="false"/>
          </w:tcPr>
          <w:p>
            <w:pPr>
              <w:jc w:val="center"/>
              <w:widowControl w:val="off"/>
              <w:rPr>
                <w:rFonts w:hint="default" w:ascii="宋体" w:hAnsi="Courier New" w:eastAsia="宋体" w:cs="Times New Roman"/>
                <w:color w:val="auto"/>
                <w:sz w:val="21"/>
                <w:szCs w:val="21"/>
                <w:highlight w:val="none"/>
              </w:rPr>
            </w:pPr>
            <w:r>
              <w:rPr>
                <w:rFonts w:hint="eastAsia" w:ascii="宋体" w:hAnsi="Courier New" w:eastAsia="宋体" w:cs="Times New Roman"/>
                <w:color w:val="auto"/>
                <w:sz w:val="21"/>
                <w:szCs w:val="21"/>
                <w:highlight w:val="none"/>
              </w:rPr>
              <w:t xml:space="preserve">数量</w:t>
            </w:r>
            <w:r/>
          </w:p>
        </w:tc>
        <w:tc>
          <w:tcPr>
            <w:tcW w:w="1830" w:type="dxa"/>
            <w:vAlign w:val="center"/>
            <w:textDirection w:val="lrTb"/>
            <w:noWrap w:val="false"/>
          </w:tcPr>
          <w:p>
            <w:pPr>
              <w:jc w:val="center"/>
              <w:widowControl w:val="off"/>
              <w:rPr>
                <w:rFonts w:hint="default" w:ascii="宋体" w:hAnsi="Courier New" w:eastAsia="宋体" w:cs="Times New Roman"/>
                <w:color w:val="auto"/>
                <w:sz w:val="21"/>
                <w:szCs w:val="21"/>
                <w:highlight w:val="none"/>
              </w:rPr>
            </w:pPr>
            <w:r>
              <w:rPr>
                <w:rFonts w:hint="default" w:ascii="宋体" w:hAnsi="Courier New" w:eastAsia="宋体" w:cs="Times New Roman"/>
                <w:color w:val="auto"/>
                <w:sz w:val="21"/>
                <w:szCs w:val="21"/>
                <w:highlight w:val="none"/>
              </w:rPr>
              <w:t xml:space="preserve">备注</w:t>
            </w:r>
            <w:r/>
          </w:p>
          <w:p>
            <w:pPr>
              <w:jc w:val="center"/>
              <w:widowControl w:val="off"/>
              <w:rPr>
                <w:rFonts w:hint="default" w:ascii="宋体" w:hAnsi="Courier New" w:eastAsia="宋体" w:cs="Times New Roman"/>
                <w:color w:val="auto"/>
                <w:sz w:val="21"/>
                <w:szCs w:val="21"/>
                <w:highlight w:val="none"/>
              </w:rPr>
            </w:pPr>
            <w:r>
              <w:rPr>
                <w:rFonts w:hint="eastAsia" w:ascii="宋体" w:hAnsi="Courier New" w:eastAsia="宋体" w:cs="Times New Roman"/>
                <w:color w:val="auto"/>
                <w:sz w:val="21"/>
                <w:szCs w:val="21"/>
                <w:highlight w:val="none"/>
              </w:rPr>
              <w:t xml:space="preserve">（填写“现自有”或“租赁”）</w:t>
            </w:r>
            <w:r/>
          </w:p>
        </w:tc>
      </w:tr>
      <w:tr>
        <w:trPr>
          <w:cantSplit/>
          <w:jc w:val="center"/>
          <w:trHeight w:val="420"/>
        </w:trPr>
        <w:tc>
          <w:tcPr>
            <w:tcW w:w="716" w:type="dxa"/>
            <w:textDirection w:val="lrTb"/>
            <w:noWrap w:val="false"/>
          </w:tcPr>
          <w:p>
            <w:pPr>
              <w:jc w:val="center"/>
              <w:widowControl w:val="off"/>
              <w:rPr>
                <w:rFonts w:hint="default" w:ascii="宋体" w:hAnsi="Courier New" w:eastAsia="宋体" w:cs="Times New Roman"/>
                <w:color w:val="auto"/>
                <w:sz w:val="21"/>
                <w:szCs w:val="21"/>
                <w:highlight w:val="none"/>
              </w:rPr>
            </w:pPr>
            <w:r>
              <w:rPr>
                <w:rFonts w:hint="eastAsia" w:ascii="宋体" w:hAnsi="Courier New" w:eastAsia="宋体" w:cs="Times New Roman"/>
                <w:color w:val="auto"/>
                <w:sz w:val="21"/>
                <w:szCs w:val="21"/>
                <w:highlight w:val="none"/>
              </w:rPr>
              <w:t xml:space="preserve">1</w:t>
            </w:r>
            <w:r/>
          </w:p>
        </w:tc>
        <w:tc>
          <w:tcPr>
            <w:tcW w:w="1809" w:type="dxa"/>
            <w:textDirection w:val="lrTb"/>
            <w:noWrap w:val="false"/>
          </w:tcPr>
          <w:p>
            <w:pPr>
              <w:jc w:val="center"/>
              <w:widowControl w:val="off"/>
              <w:rPr>
                <w:rFonts w:hint="default" w:ascii="宋体" w:hAnsi="Courier New" w:eastAsia="宋体" w:cs="Times New Roman"/>
                <w:color w:val="auto"/>
                <w:sz w:val="21"/>
                <w:szCs w:val="21"/>
                <w:highlight w:val="none"/>
              </w:rPr>
            </w:pPr>
            <w:r>
              <w:rPr>
                <w:rFonts w:hint="default" w:ascii="宋体" w:hAnsi="Courier New" w:eastAsia="宋体" w:cs="Times New Roman"/>
                <w:color w:val="auto"/>
                <w:sz w:val="21"/>
                <w:szCs w:val="21"/>
                <w:highlight w:val="none"/>
              </w:rPr>
            </w:r>
            <w:r/>
          </w:p>
        </w:tc>
        <w:tc>
          <w:tcPr>
            <w:tcBorders>
              <w:top w:val="single" w:color="auto" w:sz="4" w:space="0"/>
            </w:tcBorders>
            <w:tcW w:w="2195" w:type="dxa"/>
            <w:textDirection w:val="lrTb"/>
            <w:noWrap w:val="false"/>
          </w:tcPr>
          <w:p>
            <w:pPr>
              <w:jc w:val="center"/>
              <w:widowControl w:val="off"/>
              <w:rPr>
                <w:rFonts w:hint="default" w:ascii="宋体" w:hAnsi="Courier New" w:eastAsia="宋体" w:cs="Times New Roman"/>
                <w:color w:val="auto"/>
                <w:sz w:val="21"/>
                <w:szCs w:val="21"/>
                <w:highlight w:val="none"/>
              </w:rPr>
            </w:pPr>
            <w:r>
              <w:rPr>
                <w:rFonts w:hint="default" w:ascii="宋体" w:hAnsi="Courier New" w:eastAsia="宋体" w:cs="Times New Roman"/>
                <w:color w:val="auto"/>
                <w:sz w:val="21"/>
                <w:szCs w:val="21"/>
                <w:highlight w:val="none"/>
              </w:rPr>
            </w:r>
            <w:r/>
          </w:p>
        </w:tc>
        <w:tc>
          <w:tcPr>
            <w:tcW w:w="1272" w:type="dxa"/>
            <w:textDirection w:val="lrTb"/>
            <w:noWrap w:val="false"/>
          </w:tcPr>
          <w:p>
            <w:pPr>
              <w:jc w:val="center"/>
              <w:widowControl w:val="off"/>
              <w:rPr>
                <w:rFonts w:hint="default" w:ascii="宋体" w:hAnsi="Courier New" w:eastAsia="宋体" w:cs="Times New Roman"/>
                <w:color w:val="auto"/>
                <w:sz w:val="21"/>
                <w:szCs w:val="21"/>
                <w:highlight w:val="none"/>
              </w:rPr>
            </w:pPr>
            <w:r>
              <w:rPr>
                <w:rFonts w:hint="default" w:ascii="宋体" w:hAnsi="Courier New" w:eastAsia="宋体" w:cs="Times New Roman"/>
                <w:color w:val="auto"/>
                <w:sz w:val="21"/>
                <w:szCs w:val="21"/>
                <w:highlight w:val="none"/>
              </w:rPr>
            </w:r>
            <w:r/>
          </w:p>
        </w:tc>
        <w:tc>
          <w:tcPr>
            <w:tcBorders>
              <w:right w:val="single" w:color="auto" w:sz="4" w:space="0"/>
            </w:tcBorders>
            <w:tcW w:w="761" w:type="dxa"/>
            <w:textDirection w:val="lrTb"/>
            <w:noWrap w:val="false"/>
          </w:tcPr>
          <w:p>
            <w:pPr>
              <w:jc w:val="center"/>
              <w:widowControl w:val="off"/>
              <w:rPr>
                <w:rFonts w:hint="default" w:ascii="宋体" w:hAnsi="Courier New" w:eastAsia="宋体" w:cs="Times New Roman"/>
                <w:color w:val="auto"/>
                <w:sz w:val="21"/>
                <w:szCs w:val="21"/>
                <w:highlight w:val="none"/>
              </w:rPr>
            </w:pPr>
            <w:r>
              <w:rPr>
                <w:rFonts w:hint="default" w:ascii="宋体" w:hAnsi="Courier New" w:eastAsia="宋体" w:cs="Times New Roman"/>
                <w:color w:val="auto"/>
                <w:sz w:val="21"/>
                <w:szCs w:val="21"/>
                <w:highlight w:val="none"/>
              </w:rPr>
            </w:r>
            <w:r/>
          </w:p>
        </w:tc>
        <w:tc>
          <w:tcPr>
            <w:tcBorders>
              <w:left w:val="single" w:color="auto" w:sz="4" w:space="0"/>
            </w:tcBorders>
            <w:tcW w:w="761" w:type="dxa"/>
            <w:textDirection w:val="lrTb"/>
            <w:noWrap w:val="false"/>
          </w:tcPr>
          <w:p>
            <w:pPr>
              <w:jc w:val="center"/>
              <w:widowControl w:val="off"/>
              <w:rPr>
                <w:rFonts w:hint="default" w:ascii="宋体" w:hAnsi="Courier New" w:eastAsia="宋体" w:cs="Times New Roman"/>
                <w:color w:val="auto"/>
                <w:sz w:val="21"/>
                <w:szCs w:val="21"/>
                <w:highlight w:val="none"/>
              </w:rPr>
            </w:pPr>
            <w:r>
              <w:rPr>
                <w:rFonts w:hint="default" w:ascii="宋体" w:hAnsi="Courier New" w:eastAsia="宋体" w:cs="Times New Roman"/>
                <w:color w:val="auto"/>
                <w:sz w:val="21"/>
                <w:szCs w:val="21"/>
                <w:highlight w:val="none"/>
              </w:rPr>
            </w:r>
            <w:r/>
          </w:p>
        </w:tc>
        <w:tc>
          <w:tcPr>
            <w:tcW w:w="1830" w:type="dxa"/>
            <w:textDirection w:val="lrTb"/>
            <w:noWrap w:val="false"/>
          </w:tcPr>
          <w:p>
            <w:pPr>
              <w:jc w:val="center"/>
              <w:widowControl w:val="off"/>
              <w:rPr>
                <w:rFonts w:hint="default" w:ascii="宋体" w:hAnsi="Courier New" w:eastAsia="宋体" w:cs="Times New Roman"/>
                <w:color w:val="auto"/>
                <w:sz w:val="21"/>
                <w:szCs w:val="21"/>
                <w:highlight w:val="none"/>
              </w:rPr>
            </w:pPr>
            <w:r>
              <w:rPr>
                <w:rFonts w:hint="default" w:ascii="宋体" w:hAnsi="Courier New" w:eastAsia="宋体" w:cs="Times New Roman"/>
                <w:color w:val="auto"/>
                <w:sz w:val="21"/>
                <w:szCs w:val="21"/>
                <w:highlight w:val="none"/>
              </w:rPr>
            </w:r>
            <w:r/>
          </w:p>
        </w:tc>
      </w:tr>
      <w:tr>
        <w:trPr>
          <w:cantSplit/>
          <w:jc w:val="center"/>
          <w:trHeight w:val="420"/>
        </w:trPr>
        <w:tc>
          <w:tcPr>
            <w:tcW w:w="716" w:type="dxa"/>
            <w:textDirection w:val="lrTb"/>
            <w:noWrap w:val="false"/>
          </w:tcPr>
          <w:p>
            <w:pPr>
              <w:jc w:val="center"/>
              <w:widowControl w:val="off"/>
              <w:rPr>
                <w:rFonts w:hint="default" w:ascii="宋体" w:hAnsi="Courier New" w:eastAsia="宋体" w:cs="Times New Roman"/>
                <w:color w:val="auto"/>
                <w:sz w:val="21"/>
                <w:szCs w:val="21"/>
                <w:highlight w:val="none"/>
              </w:rPr>
            </w:pPr>
            <w:r>
              <w:rPr>
                <w:rFonts w:hint="eastAsia" w:ascii="宋体" w:hAnsi="Courier New" w:eastAsia="宋体" w:cs="Times New Roman"/>
                <w:color w:val="auto"/>
                <w:sz w:val="21"/>
                <w:szCs w:val="21"/>
                <w:highlight w:val="none"/>
              </w:rPr>
              <w:t xml:space="preserve">2</w:t>
            </w:r>
            <w:r/>
          </w:p>
        </w:tc>
        <w:tc>
          <w:tcPr>
            <w:tcW w:w="1809" w:type="dxa"/>
            <w:textDirection w:val="lrTb"/>
            <w:noWrap w:val="false"/>
          </w:tcPr>
          <w:p>
            <w:pPr>
              <w:jc w:val="center"/>
              <w:widowControl w:val="off"/>
              <w:rPr>
                <w:rFonts w:hint="default" w:ascii="宋体" w:hAnsi="Courier New" w:eastAsia="宋体" w:cs="Times New Roman"/>
                <w:color w:val="auto"/>
                <w:sz w:val="21"/>
                <w:szCs w:val="21"/>
                <w:highlight w:val="none"/>
              </w:rPr>
            </w:pPr>
            <w:r>
              <w:rPr>
                <w:rFonts w:hint="default" w:ascii="宋体" w:hAnsi="Courier New" w:eastAsia="宋体" w:cs="Times New Roman"/>
                <w:color w:val="auto"/>
                <w:sz w:val="21"/>
                <w:szCs w:val="21"/>
                <w:highlight w:val="none"/>
              </w:rPr>
            </w:r>
            <w:r/>
          </w:p>
        </w:tc>
        <w:tc>
          <w:tcPr>
            <w:tcW w:w="2195" w:type="dxa"/>
            <w:textDirection w:val="lrTb"/>
            <w:noWrap w:val="false"/>
          </w:tcPr>
          <w:p>
            <w:pPr>
              <w:jc w:val="center"/>
              <w:widowControl w:val="off"/>
              <w:rPr>
                <w:rFonts w:hint="default" w:ascii="宋体" w:hAnsi="Courier New" w:eastAsia="宋体" w:cs="Times New Roman"/>
                <w:color w:val="auto"/>
                <w:sz w:val="21"/>
                <w:szCs w:val="21"/>
                <w:highlight w:val="none"/>
              </w:rPr>
            </w:pPr>
            <w:r>
              <w:rPr>
                <w:rFonts w:hint="default" w:ascii="宋体" w:hAnsi="Courier New" w:eastAsia="宋体" w:cs="Times New Roman"/>
                <w:color w:val="auto"/>
                <w:sz w:val="21"/>
                <w:szCs w:val="21"/>
                <w:highlight w:val="none"/>
              </w:rPr>
            </w:r>
            <w:r/>
          </w:p>
        </w:tc>
        <w:tc>
          <w:tcPr>
            <w:tcW w:w="1272" w:type="dxa"/>
            <w:textDirection w:val="lrTb"/>
            <w:noWrap w:val="false"/>
          </w:tcPr>
          <w:p>
            <w:pPr>
              <w:jc w:val="center"/>
              <w:widowControl w:val="off"/>
              <w:rPr>
                <w:rFonts w:hint="default" w:ascii="宋体" w:hAnsi="Courier New" w:eastAsia="宋体" w:cs="Times New Roman"/>
                <w:color w:val="auto"/>
                <w:sz w:val="21"/>
                <w:szCs w:val="21"/>
                <w:highlight w:val="none"/>
              </w:rPr>
            </w:pPr>
            <w:r>
              <w:rPr>
                <w:rFonts w:hint="default" w:ascii="宋体" w:hAnsi="Courier New" w:eastAsia="宋体" w:cs="Times New Roman"/>
                <w:color w:val="auto"/>
                <w:sz w:val="21"/>
                <w:szCs w:val="21"/>
                <w:highlight w:val="none"/>
              </w:rPr>
            </w:r>
            <w:r/>
          </w:p>
        </w:tc>
        <w:tc>
          <w:tcPr>
            <w:tcBorders>
              <w:right w:val="single" w:color="auto" w:sz="4" w:space="0"/>
            </w:tcBorders>
            <w:tcW w:w="761" w:type="dxa"/>
            <w:textDirection w:val="lrTb"/>
            <w:noWrap w:val="false"/>
          </w:tcPr>
          <w:p>
            <w:pPr>
              <w:jc w:val="center"/>
              <w:widowControl w:val="off"/>
              <w:rPr>
                <w:rFonts w:hint="default" w:ascii="宋体" w:hAnsi="Courier New" w:eastAsia="宋体" w:cs="Times New Roman"/>
                <w:color w:val="auto"/>
                <w:sz w:val="21"/>
                <w:szCs w:val="21"/>
                <w:highlight w:val="none"/>
              </w:rPr>
            </w:pPr>
            <w:r>
              <w:rPr>
                <w:rFonts w:hint="default" w:ascii="宋体" w:hAnsi="Courier New" w:eastAsia="宋体" w:cs="Times New Roman"/>
                <w:color w:val="auto"/>
                <w:sz w:val="21"/>
                <w:szCs w:val="21"/>
                <w:highlight w:val="none"/>
              </w:rPr>
            </w:r>
            <w:r/>
          </w:p>
        </w:tc>
        <w:tc>
          <w:tcPr>
            <w:tcBorders>
              <w:left w:val="single" w:color="auto" w:sz="4" w:space="0"/>
            </w:tcBorders>
            <w:tcW w:w="761" w:type="dxa"/>
            <w:textDirection w:val="lrTb"/>
            <w:noWrap w:val="false"/>
          </w:tcPr>
          <w:p>
            <w:pPr>
              <w:jc w:val="center"/>
              <w:widowControl w:val="off"/>
              <w:rPr>
                <w:rFonts w:hint="default" w:ascii="宋体" w:hAnsi="Courier New" w:eastAsia="宋体" w:cs="Times New Roman"/>
                <w:color w:val="auto"/>
                <w:sz w:val="21"/>
                <w:szCs w:val="21"/>
                <w:highlight w:val="none"/>
              </w:rPr>
            </w:pPr>
            <w:r>
              <w:rPr>
                <w:rFonts w:hint="default" w:ascii="宋体" w:hAnsi="Courier New" w:eastAsia="宋体" w:cs="Times New Roman"/>
                <w:color w:val="auto"/>
                <w:sz w:val="21"/>
                <w:szCs w:val="21"/>
                <w:highlight w:val="none"/>
              </w:rPr>
            </w:r>
            <w:r/>
          </w:p>
        </w:tc>
        <w:tc>
          <w:tcPr>
            <w:tcW w:w="1830" w:type="dxa"/>
            <w:textDirection w:val="lrTb"/>
            <w:noWrap w:val="false"/>
          </w:tcPr>
          <w:p>
            <w:pPr>
              <w:jc w:val="center"/>
              <w:widowControl w:val="off"/>
              <w:rPr>
                <w:rFonts w:hint="default" w:ascii="宋体" w:hAnsi="Courier New" w:eastAsia="宋体" w:cs="Times New Roman"/>
                <w:color w:val="auto"/>
                <w:sz w:val="21"/>
                <w:szCs w:val="21"/>
                <w:highlight w:val="none"/>
              </w:rPr>
            </w:pPr>
            <w:r>
              <w:rPr>
                <w:rFonts w:hint="default" w:ascii="宋体" w:hAnsi="Courier New" w:eastAsia="宋体" w:cs="Times New Roman"/>
                <w:color w:val="auto"/>
                <w:sz w:val="21"/>
                <w:szCs w:val="21"/>
                <w:highlight w:val="none"/>
              </w:rPr>
            </w:r>
            <w:r/>
          </w:p>
        </w:tc>
      </w:tr>
      <w:tr>
        <w:trPr>
          <w:cantSplit/>
          <w:jc w:val="center"/>
          <w:trHeight w:val="420"/>
        </w:trPr>
        <w:tc>
          <w:tcPr>
            <w:tcW w:w="716" w:type="dxa"/>
            <w:textDirection w:val="lrTb"/>
            <w:noWrap w:val="false"/>
          </w:tcPr>
          <w:p>
            <w:pPr>
              <w:jc w:val="center"/>
              <w:widowControl w:val="off"/>
              <w:rPr>
                <w:rFonts w:hint="default" w:ascii="宋体" w:hAnsi="Courier New" w:eastAsia="宋体" w:cs="Times New Roman"/>
                <w:color w:val="auto"/>
                <w:sz w:val="21"/>
                <w:szCs w:val="21"/>
                <w:highlight w:val="none"/>
              </w:rPr>
            </w:pPr>
            <w:r>
              <w:rPr>
                <w:rFonts w:hint="eastAsia" w:ascii="宋体" w:hAnsi="Courier New" w:eastAsia="宋体" w:cs="Times New Roman"/>
                <w:color w:val="auto"/>
                <w:sz w:val="21"/>
                <w:szCs w:val="21"/>
                <w:highlight w:val="none"/>
              </w:rPr>
              <w:t xml:space="preserve">3</w:t>
            </w:r>
            <w:r/>
          </w:p>
        </w:tc>
        <w:tc>
          <w:tcPr>
            <w:tcW w:w="1809" w:type="dxa"/>
            <w:textDirection w:val="lrTb"/>
            <w:noWrap w:val="false"/>
          </w:tcPr>
          <w:p>
            <w:pPr>
              <w:jc w:val="center"/>
              <w:widowControl w:val="off"/>
              <w:rPr>
                <w:rFonts w:hint="default" w:ascii="宋体" w:hAnsi="Courier New" w:eastAsia="宋体" w:cs="Times New Roman"/>
                <w:color w:val="auto"/>
                <w:sz w:val="21"/>
                <w:szCs w:val="21"/>
                <w:highlight w:val="none"/>
              </w:rPr>
            </w:pPr>
            <w:r>
              <w:rPr>
                <w:rFonts w:hint="default" w:ascii="宋体" w:hAnsi="Courier New" w:eastAsia="宋体" w:cs="Times New Roman"/>
                <w:color w:val="auto"/>
                <w:sz w:val="21"/>
                <w:szCs w:val="21"/>
                <w:highlight w:val="none"/>
              </w:rPr>
            </w:r>
            <w:r/>
          </w:p>
        </w:tc>
        <w:tc>
          <w:tcPr>
            <w:tcW w:w="2195" w:type="dxa"/>
            <w:textDirection w:val="lrTb"/>
            <w:noWrap w:val="false"/>
          </w:tcPr>
          <w:p>
            <w:pPr>
              <w:jc w:val="center"/>
              <w:widowControl w:val="off"/>
              <w:rPr>
                <w:rFonts w:hint="default" w:ascii="宋体" w:hAnsi="Courier New" w:eastAsia="宋体" w:cs="Times New Roman"/>
                <w:color w:val="auto"/>
                <w:sz w:val="21"/>
                <w:szCs w:val="21"/>
                <w:highlight w:val="none"/>
              </w:rPr>
            </w:pPr>
            <w:r>
              <w:rPr>
                <w:rFonts w:hint="default" w:ascii="宋体" w:hAnsi="Courier New" w:eastAsia="宋体" w:cs="Times New Roman"/>
                <w:color w:val="auto"/>
                <w:sz w:val="21"/>
                <w:szCs w:val="21"/>
                <w:highlight w:val="none"/>
              </w:rPr>
            </w:r>
            <w:r/>
          </w:p>
        </w:tc>
        <w:tc>
          <w:tcPr>
            <w:tcW w:w="1272" w:type="dxa"/>
            <w:textDirection w:val="lrTb"/>
            <w:noWrap w:val="false"/>
          </w:tcPr>
          <w:p>
            <w:pPr>
              <w:jc w:val="center"/>
              <w:widowControl w:val="off"/>
              <w:rPr>
                <w:rFonts w:hint="default" w:ascii="宋体" w:hAnsi="Courier New" w:eastAsia="宋体" w:cs="Times New Roman"/>
                <w:color w:val="auto"/>
                <w:sz w:val="21"/>
                <w:szCs w:val="21"/>
                <w:highlight w:val="none"/>
              </w:rPr>
            </w:pPr>
            <w:r>
              <w:rPr>
                <w:rFonts w:hint="default" w:ascii="宋体" w:hAnsi="Courier New" w:eastAsia="宋体" w:cs="Times New Roman"/>
                <w:color w:val="auto"/>
                <w:sz w:val="21"/>
                <w:szCs w:val="21"/>
                <w:highlight w:val="none"/>
              </w:rPr>
            </w:r>
            <w:r/>
          </w:p>
        </w:tc>
        <w:tc>
          <w:tcPr>
            <w:tcBorders>
              <w:right w:val="single" w:color="auto" w:sz="4" w:space="0"/>
            </w:tcBorders>
            <w:tcW w:w="761" w:type="dxa"/>
            <w:textDirection w:val="lrTb"/>
            <w:noWrap w:val="false"/>
          </w:tcPr>
          <w:p>
            <w:pPr>
              <w:jc w:val="center"/>
              <w:widowControl w:val="off"/>
              <w:rPr>
                <w:rFonts w:hint="default" w:ascii="宋体" w:hAnsi="Courier New" w:eastAsia="宋体" w:cs="Times New Roman"/>
                <w:color w:val="auto"/>
                <w:sz w:val="21"/>
                <w:szCs w:val="21"/>
                <w:highlight w:val="none"/>
              </w:rPr>
            </w:pPr>
            <w:r>
              <w:rPr>
                <w:rFonts w:hint="default" w:ascii="宋体" w:hAnsi="Courier New" w:eastAsia="宋体" w:cs="Times New Roman"/>
                <w:color w:val="auto"/>
                <w:sz w:val="21"/>
                <w:szCs w:val="21"/>
                <w:highlight w:val="none"/>
              </w:rPr>
            </w:r>
            <w:r/>
          </w:p>
        </w:tc>
        <w:tc>
          <w:tcPr>
            <w:tcBorders>
              <w:left w:val="single" w:color="auto" w:sz="4" w:space="0"/>
            </w:tcBorders>
            <w:tcW w:w="761" w:type="dxa"/>
            <w:textDirection w:val="lrTb"/>
            <w:noWrap w:val="false"/>
          </w:tcPr>
          <w:p>
            <w:pPr>
              <w:jc w:val="center"/>
              <w:widowControl w:val="off"/>
              <w:rPr>
                <w:rFonts w:hint="default" w:ascii="宋体" w:hAnsi="Courier New" w:eastAsia="宋体" w:cs="Times New Roman"/>
                <w:color w:val="auto"/>
                <w:sz w:val="21"/>
                <w:szCs w:val="21"/>
                <w:highlight w:val="none"/>
              </w:rPr>
            </w:pPr>
            <w:r>
              <w:rPr>
                <w:rFonts w:hint="default" w:ascii="宋体" w:hAnsi="Courier New" w:eastAsia="宋体" w:cs="Times New Roman"/>
                <w:color w:val="auto"/>
                <w:sz w:val="21"/>
                <w:szCs w:val="21"/>
                <w:highlight w:val="none"/>
              </w:rPr>
            </w:r>
            <w:r/>
          </w:p>
        </w:tc>
        <w:tc>
          <w:tcPr>
            <w:tcW w:w="1830" w:type="dxa"/>
            <w:textDirection w:val="lrTb"/>
            <w:noWrap w:val="false"/>
          </w:tcPr>
          <w:p>
            <w:pPr>
              <w:jc w:val="center"/>
              <w:widowControl w:val="off"/>
              <w:rPr>
                <w:rFonts w:hint="default" w:ascii="宋体" w:hAnsi="Courier New" w:eastAsia="宋体" w:cs="Times New Roman"/>
                <w:color w:val="auto"/>
                <w:sz w:val="21"/>
                <w:szCs w:val="21"/>
                <w:highlight w:val="none"/>
              </w:rPr>
            </w:pPr>
            <w:r>
              <w:rPr>
                <w:rFonts w:hint="default" w:ascii="宋体" w:hAnsi="Courier New" w:eastAsia="宋体" w:cs="Times New Roman"/>
                <w:color w:val="auto"/>
                <w:sz w:val="21"/>
                <w:szCs w:val="21"/>
                <w:highlight w:val="none"/>
              </w:rPr>
            </w:r>
            <w:r/>
          </w:p>
        </w:tc>
      </w:tr>
      <w:tr>
        <w:trPr>
          <w:cantSplit/>
          <w:jc w:val="center"/>
          <w:trHeight w:val="420"/>
        </w:trPr>
        <w:tc>
          <w:tcPr>
            <w:tcW w:w="716" w:type="dxa"/>
            <w:textDirection w:val="lrTb"/>
            <w:noWrap w:val="false"/>
          </w:tcPr>
          <w:p>
            <w:pPr>
              <w:jc w:val="center"/>
              <w:widowControl w:val="off"/>
              <w:rPr>
                <w:rFonts w:hint="default" w:ascii="宋体" w:hAnsi="Courier New" w:eastAsia="宋体" w:cs="Times New Roman"/>
                <w:color w:val="auto"/>
                <w:sz w:val="21"/>
                <w:szCs w:val="21"/>
                <w:highlight w:val="none"/>
              </w:rPr>
            </w:pPr>
            <w:r>
              <w:rPr>
                <w:rFonts w:hint="eastAsia" w:ascii="宋体" w:hAnsi="Courier New" w:eastAsia="宋体" w:cs="Times New Roman"/>
                <w:color w:val="auto"/>
                <w:sz w:val="21"/>
                <w:szCs w:val="21"/>
                <w:highlight w:val="none"/>
              </w:rPr>
              <w:t xml:space="preserve">...</w:t>
            </w:r>
            <w:r/>
          </w:p>
        </w:tc>
        <w:tc>
          <w:tcPr>
            <w:tcW w:w="1809" w:type="dxa"/>
            <w:textDirection w:val="lrTb"/>
            <w:noWrap w:val="false"/>
          </w:tcPr>
          <w:p>
            <w:pPr>
              <w:jc w:val="center"/>
              <w:widowControl w:val="off"/>
              <w:rPr>
                <w:rFonts w:hint="default" w:ascii="宋体" w:hAnsi="Courier New" w:eastAsia="宋体" w:cs="Times New Roman"/>
                <w:color w:val="auto"/>
                <w:sz w:val="21"/>
                <w:szCs w:val="21"/>
                <w:highlight w:val="none"/>
              </w:rPr>
            </w:pPr>
            <w:r>
              <w:rPr>
                <w:rFonts w:hint="default" w:ascii="宋体" w:hAnsi="Courier New" w:eastAsia="宋体" w:cs="Times New Roman"/>
                <w:color w:val="auto"/>
                <w:sz w:val="21"/>
                <w:szCs w:val="21"/>
                <w:highlight w:val="none"/>
              </w:rPr>
            </w:r>
            <w:r/>
          </w:p>
        </w:tc>
        <w:tc>
          <w:tcPr>
            <w:tcW w:w="2195" w:type="dxa"/>
            <w:textDirection w:val="lrTb"/>
            <w:noWrap w:val="false"/>
          </w:tcPr>
          <w:p>
            <w:pPr>
              <w:jc w:val="center"/>
              <w:widowControl w:val="off"/>
              <w:rPr>
                <w:rFonts w:hint="default" w:ascii="宋体" w:hAnsi="Courier New" w:eastAsia="宋体" w:cs="Times New Roman"/>
                <w:color w:val="auto"/>
                <w:sz w:val="21"/>
                <w:szCs w:val="21"/>
                <w:highlight w:val="none"/>
              </w:rPr>
            </w:pPr>
            <w:r>
              <w:rPr>
                <w:rFonts w:hint="default" w:ascii="宋体" w:hAnsi="Courier New" w:eastAsia="宋体" w:cs="Times New Roman"/>
                <w:color w:val="auto"/>
                <w:sz w:val="21"/>
                <w:szCs w:val="21"/>
                <w:highlight w:val="none"/>
              </w:rPr>
            </w:r>
            <w:r/>
          </w:p>
        </w:tc>
        <w:tc>
          <w:tcPr>
            <w:tcW w:w="1272" w:type="dxa"/>
            <w:textDirection w:val="lrTb"/>
            <w:noWrap w:val="false"/>
          </w:tcPr>
          <w:p>
            <w:pPr>
              <w:jc w:val="center"/>
              <w:widowControl w:val="off"/>
              <w:rPr>
                <w:rFonts w:hint="default" w:ascii="宋体" w:hAnsi="Courier New" w:eastAsia="宋体" w:cs="Times New Roman"/>
                <w:color w:val="auto"/>
                <w:sz w:val="21"/>
                <w:szCs w:val="21"/>
                <w:highlight w:val="none"/>
              </w:rPr>
            </w:pPr>
            <w:r>
              <w:rPr>
                <w:rFonts w:hint="default" w:ascii="宋体" w:hAnsi="Courier New" w:eastAsia="宋体" w:cs="Times New Roman"/>
                <w:color w:val="auto"/>
                <w:sz w:val="21"/>
                <w:szCs w:val="21"/>
                <w:highlight w:val="none"/>
              </w:rPr>
            </w:r>
            <w:r/>
          </w:p>
        </w:tc>
        <w:tc>
          <w:tcPr>
            <w:tcBorders>
              <w:right w:val="single" w:color="auto" w:sz="4" w:space="0"/>
            </w:tcBorders>
            <w:tcW w:w="761" w:type="dxa"/>
            <w:textDirection w:val="lrTb"/>
            <w:noWrap w:val="false"/>
          </w:tcPr>
          <w:p>
            <w:pPr>
              <w:jc w:val="center"/>
              <w:widowControl w:val="off"/>
              <w:rPr>
                <w:rFonts w:hint="default" w:ascii="宋体" w:hAnsi="Courier New" w:eastAsia="宋体" w:cs="Times New Roman"/>
                <w:color w:val="auto"/>
                <w:sz w:val="21"/>
                <w:szCs w:val="21"/>
                <w:highlight w:val="none"/>
              </w:rPr>
            </w:pPr>
            <w:r>
              <w:rPr>
                <w:rFonts w:hint="default" w:ascii="宋体" w:hAnsi="Courier New" w:eastAsia="宋体" w:cs="Times New Roman"/>
                <w:color w:val="auto"/>
                <w:sz w:val="21"/>
                <w:szCs w:val="21"/>
                <w:highlight w:val="none"/>
              </w:rPr>
            </w:r>
            <w:r/>
          </w:p>
        </w:tc>
        <w:tc>
          <w:tcPr>
            <w:tcBorders>
              <w:left w:val="single" w:color="auto" w:sz="4" w:space="0"/>
            </w:tcBorders>
            <w:tcW w:w="761" w:type="dxa"/>
            <w:textDirection w:val="lrTb"/>
            <w:noWrap w:val="false"/>
          </w:tcPr>
          <w:p>
            <w:pPr>
              <w:jc w:val="center"/>
              <w:widowControl w:val="off"/>
              <w:rPr>
                <w:rFonts w:hint="default" w:ascii="宋体" w:hAnsi="Courier New" w:eastAsia="宋体" w:cs="Times New Roman"/>
                <w:color w:val="auto"/>
                <w:sz w:val="21"/>
                <w:szCs w:val="21"/>
                <w:highlight w:val="none"/>
              </w:rPr>
            </w:pPr>
            <w:r>
              <w:rPr>
                <w:rFonts w:hint="default" w:ascii="宋体" w:hAnsi="Courier New" w:eastAsia="宋体" w:cs="Times New Roman"/>
                <w:color w:val="auto"/>
                <w:sz w:val="21"/>
                <w:szCs w:val="21"/>
                <w:highlight w:val="none"/>
              </w:rPr>
            </w:r>
            <w:r/>
          </w:p>
        </w:tc>
        <w:tc>
          <w:tcPr>
            <w:tcW w:w="1830" w:type="dxa"/>
            <w:textDirection w:val="lrTb"/>
            <w:noWrap w:val="false"/>
          </w:tcPr>
          <w:p>
            <w:pPr>
              <w:jc w:val="center"/>
              <w:widowControl w:val="off"/>
              <w:rPr>
                <w:rFonts w:hint="default" w:ascii="宋体" w:hAnsi="Courier New" w:eastAsia="宋体" w:cs="Times New Roman"/>
                <w:color w:val="auto"/>
                <w:sz w:val="21"/>
                <w:szCs w:val="21"/>
                <w:highlight w:val="none"/>
              </w:rPr>
            </w:pPr>
            <w:r>
              <w:rPr>
                <w:rFonts w:hint="default" w:ascii="宋体" w:hAnsi="Courier New" w:eastAsia="宋体" w:cs="Times New Roman"/>
                <w:color w:val="auto"/>
                <w:sz w:val="21"/>
                <w:szCs w:val="21"/>
                <w:highlight w:val="none"/>
              </w:rPr>
            </w:r>
            <w:r/>
          </w:p>
        </w:tc>
      </w:tr>
    </w:tbl>
    <w:p>
      <w:pPr>
        <w:ind w:firstLine="420"/>
        <w:jc w:val="both"/>
        <w:rPr>
          <w:rFonts w:hint="default" w:ascii="宋体" w:hAnsi="Times New Roman" w:eastAsia="宋体" w:cs="Times New Roman"/>
          <w:color w:val="auto"/>
          <w:sz w:val="21"/>
          <w:highlight w:val="none"/>
        </w:rPr>
      </w:pPr>
      <w:r>
        <w:rPr>
          <w:rFonts w:hint="default" w:ascii="宋体" w:hAnsi="Times New Roman" w:eastAsia="宋体" w:cs="Times New Roman"/>
          <w:color w:val="auto"/>
          <w:sz w:val="21"/>
          <w:highlight w:val="none"/>
        </w:rPr>
      </w:r>
      <w:r/>
    </w:p>
    <w:p>
      <w:pPr>
        <w:jc w:val="both"/>
        <w:widowControl w:val="off"/>
        <w:rPr>
          <w:rFonts w:hint="default" w:ascii="宋体" w:hAnsi="Courier New" w:eastAsia="宋体" w:cs="Times New Roman"/>
          <w:color w:val="auto"/>
          <w:sz w:val="21"/>
          <w:szCs w:val="21"/>
          <w:highlight w:val="none"/>
        </w:rPr>
      </w:pPr>
      <w:r>
        <w:rPr>
          <w:rFonts w:hint="eastAsia" w:ascii="宋体" w:hAnsi="Courier New" w:eastAsia="宋体" w:cs="Times New Roman"/>
          <w:color w:val="auto"/>
          <w:sz w:val="21"/>
          <w:szCs w:val="21"/>
          <w:highlight w:val="none"/>
        </w:rPr>
        <w:t xml:space="preserve">备注：车辆如是租赁，租赁期需涵盖项目服务期。</w:t>
      </w:r>
      <w:r/>
    </w:p>
    <w:p>
      <w:pPr>
        <w:rPr>
          <w:rFonts w:ascii="宋体" w:hAnsi="宋体" w:eastAsia="宋体" w:cs="Times New Roman"/>
          <w:b/>
          <w:bCs/>
          <w:color w:val="auto"/>
          <w:sz w:val="32"/>
          <w:szCs w:val="32"/>
          <w:highlight w:val="none"/>
        </w:rPr>
      </w:pPr>
      <w:r>
        <w:rPr>
          <w:rFonts w:ascii="宋体" w:hAnsi="宋体" w:eastAsia="宋体" w:cs="Times New Roman"/>
          <w:b/>
          <w:bCs/>
          <w:color w:val="auto"/>
          <w:sz w:val="32"/>
          <w:szCs w:val="32"/>
          <w:highlight w:val="none"/>
        </w:rPr>
      </w:r>
      <w:r/>
    </w:p>
    <w:p>
      <w:pPr>
        <w:pStyle w:val="1161"/>
        <w:ind w:left="3400" w:firstLine="425"/>
        <w:spacing w:line="360" w:lineRule="auto"/>
        <w:rPr>
          <w:rFonts w:hAnsi="宋体" w:eastAsia="宋体"/>
          <w:color w:val="auto"/>
          <w:sz w:val="21"/>
          <w:szCs w:val="21"/>
          <w:highlight w:val="none"/>
        </w:rPr>
      </w:pPr>
      <w:r>
        <w:rPr>
          <w:rFonts w:hAnsi="宋体" w:eastAsia="宋体"/>
          <w:color w:val="auto"/>
          <w:sz w:val="21"/>
          <w:szCs w:val="21"/>
          <w:highlight w:val="none"/>
        </w:rPr>
        <w:t xml:space="preserve">投标人：（单位盖章）</w:t>
      </w:r>
      <w:r/>
    </w:p>
    <w:p>
      <w:pPr>
        <w:pStyle w:val="1161"/>
        <w:ind w:left="3400" w:firstLine="42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法人/被授权人：（签字或盖章）</w:t>
      </w:r>
      <w:r/>
    </w:p>
    <w:p>
      <w:pPr>
        <w:ind w:firstLine="4605"/>
        <w:jc w:val="both"/>
        <w:rPr>
          <w:rFonts w:hint="default" w:ascii="宋体" w:hAnsi="Times New Roman" w:eastAsia="宋体" w:cs="Times New Roman"/>
          <w:color w:val="auto"/>
          <w:sz w:val="21"/>
          <w:highlight w:val="none"/>
        </w:rPr>
      </w:pPr>
      <w:r>
        <w:rPr>
          <w:rFonts w:hint="default" w:ascii="宋体" w:hAnsi="宋体" w:eastAsia="宋体" w:cs="Times New Roman"/>
          <w:color w:val="auto"/>
          <w:sz w:val="21"/>
          <w:szCs w:val="21"/>
          <w:highlight w:val="none"/>
        </w:rPr>
        <w:t xml:space="preserve">年     月     日</w:t>
      </w:r>
      <w:r/>
    </w:p>
    <w:p>
      <w:pPr>
        <w:rPr>
          <w:color w:val="auto"/>
          <w:highlight w:val="none"/>
        </w:rPr>
      </w:pPr>
      <w:r>
        <w:rPr>
          <w:color w:val="auto"/>
          <w:highlight w:val="none"/>
        </w:rPr>
      </w:r>
      <w:r/>
    </w:p>
    <w:p>
      <w:pPr>
        <w:pStyle w:val="729"/>
        <w:rPr>
          <w:rFonts w:hint="eastAsia" w:ascii="宋体" w:hAnsi="宋体" w:eastAsia="宋体" w:cs="Times New Roman"/>
          <w:color w:val="auto"/>
          <w:sz w:val="24"/>
          <w:szCs w:val="24"/>
          <w:highlight w:val="none"/>
        </w:rPr>
      </w:pPr>
      <w:r/>
      <w:bookmarkStart w:id="86" w:name="_Toc166488935"/>
      <w:r/>
      <w:bookmarkStart w:id="87" w:name="_Toc166487085"/>
      <w:r>
        <w:rPr>
          <w:rFonts w:hint="eastAsia" w:ascii="宋体" w:hAnsi="宋体" w:eastAsia="宋体" w:cs="Times New Roman"/>
          <w:color w:val="auto"/>
          <w:sz w:val="24"/>
          <w:szCs w:val="24"/>
          <w:highlight w:val="none"/>
        </w:rPr>
        <w:t xml:space="preserve">附件1</w:t>
      </w:r>
      <w:r>
        <w:rPr>
          <w:rFonts w:hint="eastAsia" w:ascii="宋体" w:hAnsi="宋体" w:eastAsia="宋体" w:cs="Times New Roman"/>
          <w:color w:val="auto"/>
          <w:sz w:val="24"/>
          <w:szCs w:val="24"/>
          <w:highlight w:val="none"/>
          <w:lang w:val="en-US" w:eastAsia="zh-CN"/>
        </w:rPr>
        <w:t xml:space="preserve">0</w:t>
      </w:r>
      <w:r>
        <w:rPr>
          <w:rFonts w:hint="eastAsia" w:ascii="宋体" w:hAnsi="宋体" w:eastAsia="宋体" w:cs="Times New Roman"/>
          <w:color w:val="auto"/>
          <w:sz w:val="24"/>
          <w:szCs w:val="24"/>
          <w:highlight w:val="none"/>
        </w:rPr>
        <w:t xml:space="preserve">：偏离表（技术、商务）</w:t>
      </w:r>
      <w:bookmarkEnd w:id="79"/>
      <w:r/>
      <w:bookmarkEnd w:id="82"/>
      <w:r/>
      <w:bookmarkEnd w:id="83"/>
      <w:r/>
      <w:bookmarkEnd w:id="86"/>
      <w:r/>
      <w:bookmarkEnd w:id="87"/>
      <w:r/>
      <w:r/>
    </w:p>
    <w:p>
      <w:pPr>
        <w:jc w:val="center"/>
        <w:rPr>
          <w:color w:val="auto"/>
          <w:highlight w:val="none"/>
        </w:rPr>
      </w:pPr>
      <w:r>
        <w:rPr>
          <w:rFonts w:hint="eastAsia"/>
          <w:color w:val="auto"/>
          <w:highlight w:val="none"/>
        </w:rPr>
        <w:t xml:space="preserve">偏离表（技术）</w:t>
      </w:r>
      <w:r/>
    </w:p>
    <w:p>
      <w:pPr>
        <w:jc w:val="center"/>
        <w:rPr>
          <w:color w:val="auto"/>
          <w:highlight w:val="none"/>
        </w:rPr>
      </w:pPr>
      <w:r>
        <w:rPr>
          <w:color w:val="auto"/>
          <w:highlight w:val="none"/>
        </w:rPr>
      </w:r>
      <w:r/>
    </w:p>
    <w:tbl>
      <w:tblPr>
        <w:tblStyle w:val="7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89"/>
        <w:gridCol w:w="2138"/>
        <w:gridCol w:w="2139"/>
        <w:gridCol w:w="2262"/>
      </w:tblGrid>
      <w:tr>
        <w:trPr>
          <w:trHeight w:val="857"/>
        </w:trPr>
        <w:tc>
          <w:tcPr>
            <w:tcW w:w="1989" w:type="dxa"/>
            <w:textDirection w:val="lrTb"/>
            <w:noWrap w:val="false"/>
          </w:tcPr>
          <w:p>
            <w:pPr>
              <w:pStyle w:val="741"/>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项目</w:t>
            </w:r>
            <w:r/>
          </w:p>
        </w:tc>
        <w:tc>
          <w:tcPr>
            <w:tcW w:w="2138" w:type="dxa"/>
            <w:textDirection w:val="lrTb"/>
            <w:noWrap w:val="false"/>
          </w:tcPr>
          <w:p>
            <w:pPr>
              <w:pStyle w:val="741"/>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谈判要求</w:t>
            </w:r>
            <w:r/>
          </w:p>
        </w:tc>
        <w:tc>
          <w:tcPr>
            <w:tcW w:w="2139" w:type="dxa"/>
            <w:textDirection w:val="lrTb"/>
            <w:noWrap w:val="false"/>
          </w:tcPr>
          <w:p>
            <w:pPr>
              <w:pStyle w:val="741"/>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响应内容</w:t>
            </w:r>
            <w:r/>
          </w:p>
        </w:tc>
        <w:tc>
          <w:tcPr>
            <w:tcW w:w="2262" w:type="dxa"/>
            <w:textDirection w:val="lrTb"/>
            <w:noWrap w:val="false"/>
          </w:tcPr>
          <w:p>
            <w:pPr>
              <w:pStyle w:val="741"/>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偏离说明（正偏离、无偏离、负偏离）</w:t>
            </w:r>
            <w:r/>
          </w:p>
        </w:tc>
      </w:tr>
      <w:tr>
        <w:trPr/>
        <w:tc>
          <w:tcPr>
            <w:tcW w:w="1989" w:type="dxa"/>
            <w:textDirection w:val="lrTb"/>
            <w:noWrap w:val="false"/>
          </w:tcPr>
          <w:p>
            <w:pPr>
              <w:pStyle w:val="741"/>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服务内容</w:t>
            </w:r>
            <w:r/>
          </w:p>
        </w:tc>
        <w:tc>
          <w:tcPr>
            <w:tcW w:w="2138" w:type="dxa"/>
            <w:textDirection w:val="lrTb"/>
            <w:noWrap w:val="false"/>
          </w:tcPr>
          <w:p>
            <w:pPr>
              <w:pStyle w:val="74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74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74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989" w:type="dxa"/>
            <w:textDirection w:val="lrTb"/>
            <w:noWrap w:val="false"/>
          </w:tcPr>
          <w:p>
            <w:pPr>
              <w:pStyle w:val="741"/>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W w:w="2138" w:type="dxa"/>
            <w:textDirection w:val="lrTb"/>
            <w:noWrap w:val="false"/>
          </w:tcPr>
          <w:p>
            <w:pPr>
              <w:pStyle w:val="74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74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74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989" w:type="dxa"/>
            <w:textDirection w:val="lrTb"/>
            <w:noWrap w:val="false"/>
          </w:tcPr>
          <w:p>
            <w:pPr>
              <w:pStyle w:val="741"/>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W w:w="2138" w:type="dxa"/>
            <w:textDirection w:val="lrTb"/>
            <w:noWrap w:val="false"/>
          </w:tcPr>
          <w:p>
            <w:pPr>
              <w:pStyle w:val="74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74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74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989" w:type="dxa"/>
            <w:textDirection w:val="lrTb"/>
            <w:noWrap w:val="false"/>
          </w:tcPr>
          <w:p>
            <w:pPr>
              <w:pStyle w:val="741"/>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W w:w="2138" w:type="dxa"/>
            <w:textDirection w:val="lrTb"/>
            <w:noWrap w:val="false"/>
          </w:tcPr>
          <w:p>
            <w:pPr>
              <w:pStyle w:val="74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74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74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989" w:type="dxa"/>
            <w:textDirection w:val="lrTb"/>
            <w:noWrap w:val="false"/>
          </w:tcPr>
          <w:p>
            <w:pPr>
              <w:pStyle w:val="74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8" w:type="dxa"/>
            <w:textDirection w:val="lrTb"/>
            <w:noWrap w:val="false"/>
          </w:tcPr>
          <w:p>
            <w:pPr>
              <w:pStyle w:val="74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74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74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pStyle w:val="741"/>
        <w:ind w:right="105" w:firstLine="0"/>
        <w:jc w:val="right"/>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jc w:val="right"/>
        <w:spacing w:line="360" w:lineRule="auto"/>
        <w:rPr>
          <w:color w:val="auto"/>
          <w:highlight w:val="none"/>
        </w:rPr>
      </w:pPr>
      <w:r>
        <w:rPr>
          <w:rFonts w:hint="eastAsia"/>
          <w:color w:val="auto"/>
          <w:highlight w:val="none"/>
        </w:rPr>
        <w:t xml:space="preserve">供应商</w:t>
      </w:r>
      <w:r>
        <w:rPr>
          <w:color w:val="auto"/>
          <w:highlight w:val="none"/>
        </w:rPr>
        <w:t xml:space="preserve">：（加盖</w:t>
      </w:r>
      <w:r>
        <w:rPr>
          <w:rFonts w:hint="eastAsia"/>
          <w:color w:val="auto"/>
          <w:highlight w:val="none"/>
        </w:rPr>
        <w:t xml:space="preserve">公章</w:t>
      </w:r>
      <w:r>
        <w:rPr>
          <w:color w:val="auto"/>
          <w:highlight w:val="none"/>
        </w:rPr>
        <w:t xml:space="preserve">）</w:t>
      </w:r>
      <w:r/>
    </w:p>
    <w:p>
      <w:pPr>
        <w:pStyle w:val="1132"/>
        <w:ind w:left="-210" w:right="-210"/>
        <w:jc w:val="right"/>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法定代表人或代理人：（签字或盖章）</w:t>
      </w:r>
      <w:r/>
    </w:p>
    <w:p>
      <w:pPr>
        <w:pStyle w:val="1132"/>
        <w:ind w:left="-210" w:right="-210"/>
        <w:jc w:val="right"/>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日期：年月日</w:t>
      </w:r>
      <w:r/>
    </w:p>
    <w:p>
      <w:pPr>
        <w:pStyle w:val="1132"/>
        <w:ind w:left="-210" w:right="-210"/>
        <w:jc w:val="right"/>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jc w:val="center"/>
        <w:rPr>
          <w:color w:val="auto"/>
          <w:highlight w:val="none"/>
        </w:rPr>
      </w:pPr>
      <w:r>
        <w:rPr>
          <w:rFonts w:hint="eastAsia"/>
          <w:color w:val="auto"/>
          <w:highlight w:val="none"/>
        </w:rPr>
        <w:t xml:space="preserve">偏离表（商务）</w:t>
      </w:r>
      <w:r/>
    </w:p>
    <w:p>
      <w:pPr>
        <w:jc w:val="center"/>
        <w:rPr>
          <w:color w:val="auto"/>
          <w:highlight w:val="none"/>
        </w:rPr>
      </w:pPr>
      <w:r>
        <w:rPr>
          <w:color w:val="auto"/>
          <w:highlight w:val="none"/>
        </w:rPr>
      </w:r>
      <w:r/>
    </w:p>
    <w:tbl>
      <w:tblPr>
        <w:tblStyle w:val="7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89"/>
        <w:gridCol w:w="2138"/>
        <w:gridCol w:w="2139"/>
        <w:gridCol w:w="2262"/>
      </w:tblGrid>
      <w:tr>
        <w:trPr/>
        <w:tc>
          <w:tcPr>
            <w:tcW w:w="1989" w:type="dxa"/>
            <w:textDirection w:val="lrTb"/>
            <w:noWrap w:val="false"/>
          </w:tcPr>
          <w:p>
            <w:pPr>
              <w:pStyle w:val="741"/>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项目</w:t>
            </w:r>
            <w:r/>
          </w:p>
        </w:tc>
        <w:tc>
          <w:tcPr>
            <w:tcW w:w="2138" w:type="dxa"/>
            <w:textDirection w:val="lrTb"/>
            <w:noWrap w:val="false"/>
          </w:tcPr>
          <w:p>
            <w:pPr>
              <w:pStyle w:val="741"/>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谈判要求</w:t>
            </w:r>
            <w:r/>
          </w:p>
        </w:tc>
        <w:tc>
          <w:tcPr>
            <w:tcW w:w="2139" w:type="dxa"/>
            <w:textDirection w:val="lrTb"/>
            <w:noWrap w:val="false"/>
          </w:tcPr>
          <w:p>
            <w:pPr>
              <w:pStyle w:val="741"/>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响应内容</w:t>
            </w:r>
            <w:r/>
          </w:p>
        </w:tc>
        <w:tc>
          <w:tcPr>
            <w:tcW w:w="2262" w:type="dxa"/>
            <w:textDirection w:val="lrTb"/>
            <w:noWrap w:val="false"/>
          </w:tcPr>
          <w:p>
            <w:pPr>
              <w:pStyle w:val="741"/>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偏离说明（正偏离、无偏离、负偏离）</w:t>
            </w:r>
            <w:r/>
          </w:p>
        </w:tc>
      </w:tr>
      <w:tr>
        <w:trPr/>
        <w:tc>
          <w:tcPr>
            <w:tcW w:w="1989" w:type="dxa"/>
            <w:textDirection w:val="lrTb"/>
            <w:noWrap w:val="false"/>
          </w:tcPr>
          <w:p>
            <w:pPr>
              <w:pStyle w:val="741"/>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服务期</w:t>
            </w:r>
            <w:r/>
          </w:p>
        </w:tc>
        <w:tc>
          <w:tcPr>
            <w:tcW w:w="2138" w:type="dxa"/>
            <w:textDirection w:val="lrTb"/>
            <w:noWrap w:val="false"/>
          </w:tcPr>
          <w:p>
            <w:pPr>
              <w:pStyle w:val="74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74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74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989" w:type="dxa"/>
            <w:textDirection w:val="lrTb"/>
            <w:noWrap w:val="false"/>
          </w:tcPr>
          <w:p>
            <w:pPr>
              <w:pStyle w:val="741"/>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付款方式</w:t>
            </w:r>
            <w:r/>
          </w:p>
        </w:tc>
        <w:tc>
          <w:tcPr>
            <w:tcW w:w="2138" w:type="dxa"/>
            <w:textDirection w:val="lrTb"/>
            <w:noWrap w:val="false"/>
          </w:tcPr>
          <w:p>
            <w:pPr>
              <w:pStyle w:val="74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74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74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989" w:type="dxa"/>
            <w:textDirection w:val="lrTb"/>
            <w:noWrap w:val="false"/>
          </w:tcPr>
          <w:p>
            <w:pPr>
              <w:pStyle w:val="741"/>
              <w:ind w:firstLine="0"/>
              <w:spacing w:line="360" w:lineRule="auto"/>
              <w:tabs>
                <w:tab w:val="center" w:pos="886" w:leader="none"/>
              </w:tabs>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8" w:type="dxa"/>
            <w:textDirection w:val="lrTb"/>
            <w:noWrap w:val="false"/>
          </w:tcPr>
          <w:p>
            <w:pPr>
              <w:pStyle w:val="74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74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74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989" w:type="dxa"/>
            <w:textDirection w:val="lrTb"/>
            <w:noWrap w:val="false"/>
          </w:tcPr>
          <w:p>
            <w:pPr>
              <w:pStyle w:val="74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8" w:type="dxa"/>
            <w:textDirection w:val="lrTb"/>
            <w:noWrap w:val="false"/>
          </w:tcPr>
          <w:p>
            <w:pPr>
              <w:pStyle w:val="74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74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74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989" w:type="dxa"/>
            <w:textDirection w:val="lrTb"/>
            <w:noWrap w:val="false"/>
          </w:tcPr>
          <w:p>
            <w:pPr>
              <w:pStyle w:val="74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8" w:type="dxa"/>
            <w:textDirection w:val="lrTb"/>
            <w:noWrap w:val="false"/>
          </w:tcPr>
          <w:p>
            <w:pPr>
              <w:pStyle w:val="74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74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74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pStyle w:val="741"/>
        <w:ind w:right="105" w:firstLine="0"/>
        <w:jc w:val="right"/>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jc w:val="right"/>
        <w:spacing w:line="360" w:lineRule="auto"/>
        <w:rPr>
          <w:color w:val="auto"/>
          <w:highlight w:val="none"/>
        </w:rPr>
      </w:pPr>
      <w:r>
        <w:rPr>
          <w:rFonts w:hint="eastAsia"/>
          <w:color w:val="auto"/>
          <w:highlight w:val="none"/>
        </w:rPr>
        <w:t xml:space="preserve">供应商</w:t>
      </w:r>
      <w:r>
        <w:rPr>
          <w:color w:val="auto"/>
          <w:highlight w:val="none"/>
        </w:rPr>
        <w:t xml:space="preserve">：（加盖</w:t>
      </w:r>
      <w:r>
        <w:rPr>
          <w:rFonts w:hint="eastAsia"/>
          <w:color w:val="auto"/>
          <w:highlight w:val="none"/>
        </w:rPr>
        <w:t xml:space="preserve">公章</w:t>
      </w:r>
      <w:r>
        <w:rPr>
          <w:color w:val="auto"/>
          <w:highlight w:val="none"/>
        </w:rPr>
        <w:t xml:space="preserve">）</w:t>
      </w:r>
      <w:r/>
    </w:p>
    <w:p>
      <w:pPr>
        <w:pStyle w:val="1132"/>
        <w:ind w:left="-210" w:right="-210"/>
        <w:jc w:val="right"/>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法定代表人或代理人：（签字或盖章）</w:t>
      </w:r>
      <w:r/>
    </w:p>
    <w:p>
      <w:pPr>
        <w:pStyle w:val="1132"/>
        <w:ind w:left="-210" w:right="-210"/>
        <w:jc w:val="right"/>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日期：   年  月  日</w:t>
      </w:r>
      <w:r/>
    </w:p>
    <w:p>
      <w:pPr>
        <w:pStyle w:val="1132"/>
        <w:ind w:left="-210" w:right="-210"/>
        <w:jc w:val="right"/>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rPr>
          <w:color w:val="auto"/>
          <w:highlight w:val="none"/>
        </w:rPr>
      </w:pPr>
      <w:r>
        <w:rPr>
          <w:color w:val="auto"/>
          <w:highlight w:val="none"/>
        </w:rPr>
      </w:r>
      <w:r/>
    </w:p>
    <w:p>
      <w:pPr>
        <w:jc w:val="left"/>
        <w:widowControl/>
        <w:rPr>
          <w:rFonts w:ascii="宋体" w:hAnsi="宋体"/>
          <w:b/>
          <w:bCs/>
          <w:color w:val="auto"/>
          <w:sz w:val="24"/>
          <w:highlight w:val="none"/>
        </w:rPr>
      </w:pPr>
      <w:r>
        <w:rPr>
          <w:rFonts w:ascii="宋体" w:hAnsi="宋体"/>
          <w:color w:val="auto"/>
          <w:sz w:val="24"/>
          <w:highlight w:val="none"/>
        </w:rPr>
        <w:br w:type="page" w:clear="all"/>
      </w:r>
      <w:r/>
    </w:p>
    <w:p>
      <w:pPr>
        <w:pStyle w:val="729"/>
        <w:rPr>
          <w:rFonts w:ascii="宋体" w:hAnsi="宋体" w:eastAsia="宋体"/>
          <w:color w:val="auto"/>
          <w:sz w:val="24"/>
          <w:szCs w:val="24"/>
          <w:highlight w:val="none"/>
        </w:rPr>
      </w:pPr>
      <w:r/>
      <w:bookmarkStart w:id="88" w:name="_Toc166488936"/>
      <w:r/>
      <w:bookmarkStart w:id="89" w:name="_Toc166487086"/>
      <w:r>
        <w:rPr>
          <w:rFonts w:hint="eastAsia" w:ascii="宋体" w:hAnsi="宋体" w:eastAsia="宋体"/>
          <w:color w:val="auto"/>
          <w:sz w:val="24"/>
          <w:szCs w:val="24"/>
          <w:highlight w:val="none"/>
        </w:rPr>
        <w:t xml:space="preserve">附件1</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：资格证明声明函</w:t>
      </w:r>
      <w:bookmarkEnd w:id="88"/>
      <w:r/>
      <w:bookmarkEnd w:id="89"/>
      <w:r/>
      <w:r/>
    </w:p>
    <w:p>
      <w:pPr>
        <w:pStyle w:val="741"/>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关于资格文件的声明函</w:t>
      </w:r>
      <w:r/>
    </w:p>
    <w:p>
      <w:pPr>
        <w:pStyle w:val="741"/>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pStyle w:val="74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w:t>
      </w:r>
      <w:r/>
    </w:p>
    <w:p>
      <w:pPr>
        <w:pStyle w:val="741"/>
        <w:ind w:firstLine="66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本公司愿就由贵公司组织实施的编号为</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号的谈判采购活动进行响应。本公司所提交的谈判响应文件中所有关于谈判响应资格的文件、证明和陈述均是真实的、准确的。若与真实情况不符，本公司愿意承担由此而产生的一切后果。</w:t>
      </w:r>
      <w:r/>
    </w:p>
    <w:p>
      <w:pPr>
        <w:pStyle w:val="741"/>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pStyle w:val="741"/>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pStyle w:val="741"/>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供应商：（单位盖章）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法定代表人或代理人：（签字或盖章）</w:t>
      </w:r>
      <w:r/>
    </w:p>
    <w:p>
      <w:pPr>
        <w:ind w:firstLine="420"/>
        <w:rPr>
          <w:rFonts w:ascii="宋体" w:hAnsi="宋体" w:cs="宋体"/>
          <w:color w:val="auto"/>
          <w:szCs w:val="21"/>
          <w:highlight w:val="none"/>
        </w:rPr>
      </w:pPr>
      <w:r>
        <w:rPr>
          <w:rFonts w:hint="eastAsia" w:ascii="宋体" w:hAnsi="宋体" w:cs="宋体"/>
          <w:color w:val="auto"/>
          <w:szCs w:val="21"/>
          <w:highlight w:val="none"/>
          <w:lang w:val="zh-CN"/>
        </w:rPr>
        <w:t xml:space="preserve">日期：</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年</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月</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日        </w:t>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jc w:val="left"/>
        <w:widowControl/>
        <w:rPr>
          <w:rFonts w:ascii="宋体" w:hAnsi="宋体" w:cs="宋体"/>
          <w:b/>
          <w:bCs/>
          <w:color w:val="auto"/>
          <w:sz w:val="24"/>
          <w:highlight w:val="none"/>
        </w:rPr>
      </w:pPr>
      <w:r>
        <w:rPr>
          <w:rFonts w:ascii="宋体" w:hAnsi="宋体" w:cs="宋体"/>
          <w:color w:val="auto"/>
          <w:sz w:val="24"/>
          <w:highlight w:val="none"/>
          <w:lang w:val="zh-CN"/>
        </w:rPr>
        <w:br w:type="page" w:clear="all"/>
      </w:r>
      <w:r/>
    </w:p>
    <w:p>
      <w:pPr>
        <w:pStyle w:val="729"/>
        <w:rPr>
          <w:rFonts w:ascii="宋体" w:hAnsi="宋体" w:eastAsia="宋体"/>
          <w:color w:val="auto"/>
          <w:sz w:val="24"/>
          <w:szCs w:val="24"/>
          <w:highlight w:val="none"/>
        </w:rPr>
      </w:pPr>
      <w:r/>
      <w:bookmarkStart w:id="90" w:name="_Toc166487087"/>
      <w:r/>
      <w:bookmarkStart w:id="91" w:name="_Toc166488937"/>
      <w:r>
        <w:rPr>
          <w:rFonts w:hint="eastAsia" w:ascii="宋体" w:hAnsi="宋体" w:eastAsia="宋体" w:cs="宋体"/>
          <w:color w:val="auto"/>
          <w:sz w:val="24"/>
          <w:szCs w:val="24"/>
          <w:highlight w:val="none"/>
          <w:lang w:val="zh-CN"/>
        </w:rPr>
        <w:t xml:space="preserve">附件1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w:t>
      </w:r>
      <w:r>
        <w:rPr>
          <w:rFonts w:ascii="宋体" w:hAnsi="宋体" w:eastAsia="宋体"/>
          <w:color w:val="auto"/>
          <w:sz w:val="24"/>
          <w:szCs w:val="24"/>
          <w:highlight w:val="none"/>
        </w:rPr>
        <w:t xml:space="preserve">远程参与开标会议诚信承诺书</w:t>
      </w:r>
      <w:bookmarkEnd w:id="90"/>
      <w:r/>
      <w:bookmarkEnd w:id="91"/>
      <w:r/>
      <w:r/>
    </w:p>
    <w:p>
      <w:pPr>
        <w:pStyle w:val="741"/>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远程参与开标会议诚信承诺书</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致:</w:t>
      </w:r>
      <w:r>
        <w:rPr>
          <w:rFonts w:hint="eastAsia" w:ascii="宋体" w:hAnsi="宋体"/>
          <w:color w:val="auto"/>
          <w:szCs w:val="21"/>
          <w:highlight w:val="none"/>
        </w:rPr>
        <w:t xml:space="preserve"> </w:t>
      </w:r>
      <w:r>
        <w:rPr>
          <w:rFonts w:ascii="宋体" w:hAnsi="宋体"/>
          <w:color w:val="auto"/>
          <w:szCs w:val="21"/>
          <w:highlight w:val="none"/>
        </w:rPr>
        <w:t xml:space="preserve">(</w:t>
      </w:r>
      <w:r>
        <w:rPr>
          <w:rFonts w:hint="eastAsia" w:ascii="宋体" w:hAnsi="宋体"/>
          <w:color w:val="auto"/>
          <w:szCs w:val="21"/>
          <w:highlight w:val="none"/>
        </w:rPr>
        <w:t xml:space="preserve">采购</w:t>
      </w:r>
      <w:r>
        <w:rPr>
          <w:rFonts w:ascii="宋体" w:hAnsi="宋体"/>
          <w:color w:val="auto"/>
          <w:szCs w:val="21"/>
          <w:highlight w:val="none"/>
        </w:rPr>
        <w:t xml:space="preserve">人)</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我方郑重承诺:遵循公开、公平、公正和诚实守信的原则，参加本次远程开标会议，是我方真实意思的表达。</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一、不出借、买卖、伪造、涂改企业和从业人员的资质证书、营业执照、资格业绩、印章以及其他相关资信证明文件,严禁其他企业或个人以我公司的名义投标</w:t>
      </w:r>
      <w:r>
        <w:rPr>
          <w:rFonts w:hint="eastAsia" w:ascii="宋体" w:hAnsi="宋体"/>
          <w:color w:val="auto"/>
          <w:szCs w:val="21"/>
          <w:highlight w:val="none"/>
        </w:rPr>
        <w:t xml:space="preserve">（响应）</w:t>
      </w:r>
      <w:r>
        <w:rPr>
          <w:rFonts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二、严格遵守法律、法规和</w:t>
      </w:r>
      <w:r>
        <w:rPr>
          <w:rFonts w:hint="eastAsia" w:ascii="宋体" w:hAnsi="宋体"/>
          <w:color w:val="auto"/>
          <w:szCs w:val="21"/>
          <w:highlight w:val="none"/>
        </w:rPr>
        <w:t xml:space="preserve">采购</w:t>
      </w:r>
      <w:r>
        <w:rPr>
          <w:rFonts w:ascii="宋体" w:hAnsi="宋体"/>
          <w:color w:val="auto"/>
          <w:szCs w:val="21"/>
          <w:highlight w:val="none"/>
        </w:rPr>
        <w:t xml:space="preserve">文件规定的投标</w:t>
      </w:r>
      <w:r>
        <w:rPr>
          <w:rFonts w:hint="eastAsia" w:ascii="宋体" w:hAnsi="宋体"/>
          <w:color w:val="auto"/>
          <w:szCs w:val="21"/>
          <w:highlight w:val="none"/>
        </w:rPr>
        <w:t xml:space="preserve">（响应）</w:t>
      </w:r>
      <w:r>
        <w:rPr>
          <w:rFonts w:ascii="宋体" w:hAnsi="宋体"/>
          <w:color w:val="auto"/>
          <w:szCs w:val="21"/>
          <w:highlight w:val="none"/>
        </w:rPr>
        <w:t xml:space="preserve">程序。不隐瞒真实情况，不弄虚作假，不骗取投标</w:t>
      </w:r>
      <w:r>
        <w:rPr>
          <w:rFonts w:hint="eastAsia" w:ascii="宋体" w:hAnsi="宋体"/>
          <w:color w:val="auto"/>
          <w:szCs w:val="21"/>
          <w:highlight w:val="none"/>
        </w:rPr>
        <w:t xml:space="preserve">（响应）</w:t>
      </w:r>
      <w:r>
        <w:rPr>
          <w:rFonts w:ascii="宋体" w:hAnsi="宋体"/>
          <w:color w:val="auto"/>
          <w:szCs w:val="21"/>
          <w:highlight w:val="none"/>
        </w:rPr>
        <w:t xml:space="preserve">和中标</w:t>
      </w:r>
      <w:r>
        <w:rPr>
          <w:rFonts w:hint="eastAsia" w:ascii="宋体" w:hAnsi="宋体"/>
          <w:color w:val="auto"/>
          <w:szCs w:val="21"/>
          <w:highlight w:val="none"/>
        </w:rPr>
        <w:t xml:space="preserve">（成交）</w:t>
      </w:r>
      <w:r>
        <w:rPr>
          <w:rFonts w:ascii="宋体" w:hAnsi="宋体"/>
          <w:color w:val="auto"/>
          <w:szCs w:val="21"/>
          <w:highlight w:val="none"/>
        </w:rPr>
        <w:t xml:space="preserve">资格。</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三、坚决抵制和杜绝串标、围标、哄抬报价、贿赂、回扣等违法投标</w:t>
      </w:r>
      <w:r>
        <w:rPr>
          <w:rFonts w:hint="eastAsia" w:ascii="宋体" w:hAnsi="宋体"/>
          <w:color w:val="auto"/>
          <w:szCs w:val="21"/>
          <w:highlight w:val="none"/>
        </w:rPr>
        <w:t xml:space="preserve">（响应）</w:t>
      </w:r>
      <w:r>
        <w:rPr>
          <w:rFonts w:ascii="宋体" w:hAnsi="宋体"/>
          <w:color w:val="auto"/>
          <w:szCs w:val="21"/>
          <w:highlight w:val="none"/>
        </w:rPr>
        <w:t xml:space="preserve">和不正当竞争行为。</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四、依法经营，公平竞争，不采取违法、违规或不正当手段损害、侵犯同行企业的正当权益。</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五、遵守指令、不擅离职守。开标</w:t>
      </w:r>
      <w:r>
        <w:rPr>
          <w:rFonts w:hint="eastAsia" w:ascii="宋体" w:hAnsi="宋体"/>
          <w:color w:val="auto"/>
          <w:szCs w:val="21"/>
          <w:highlight w:val="none"/>
        </w:rPr>
        <w:t xml:space="preserve">评审</w:t>
      </w:r>
      <w:r>
        <w:rPr>
          <w:rFonts w:ascii="宋体" w:hAnsi="宋体"/>
          <w:color w:val="auto"/>
          <w:szCs w:val="21"/>
          <w:highlight w:val="none"/>
        </w:rPr>
        <w:t xml:space="preserve">过程中,我方将坚持全程参加开评标会议，积极响应</w:t>
      </w:r>
      <w:r>
        <w:rPr>
          <w:rFonts w:hint="eastAsia" w:ascii="宋体" w:hAnsi="宋体"/>
          <w:color w:val="auto"/>
          <w:szCs w:val="21"/>
          <w:highlight w:val="none"/>
        </w:rPr>
        <w:t xml:space="preserve">采购</w:t>
      </w:r>
      <w:r>
        <w:rPr>
          <w:rFonts w:ascii="宋体" w:hAnsi="宋体"/>
          <w:color w:val="auto"/>
          <w:szCs w:val="21"/>
          <w:highlight w:val="none"/>
        </w:rPr>
        <w:t xml:space="preserve">人的指令和操作要求，不擅离职守，始终保持通讯顺畅，因我方原因导致10分钟内无法与管理端建立起联系的，即视为放弃交互的权利，我方认可</w:t>
      </w:r>
      <w:r>
        <w:rPr>
          <w:rFonts w:hint="eastAsia" w:ascii="宋体" w:hAnsi="宋体"/>
          <w:color w:val="auto"/>
          <w:szCs w:val="21"/>
          <w:highlight w:val="none"/>
        </w:rPr>
        <w:t xml:space="preserve">采购</w:t>
      </w:r>
      <w:r>
        <w:rPr>
          <w:rFonts w:ascii="宋体" w:hAnsi="宋体"/>
          <w:color w:val="auto"/>
          <w:szCs w:val="21"/>
          <w:highlight w:val="none"/>
        </w:rPr>
        <w:t xml:space="preserve">人任意处置决定，接受包括终止投标</w:t>
      </w:r>
      <w:r>
        <w:rPr>
          <w:rFonts w:hint="eastAsia" w:ascii="宋体" w:hAnsi="宋体"/>
          <w:color w:val="auto"/>
          <w:szCs w:val="21"/>
          <w:highlight w:val="none"/>
        </w:rPr>
        <w:t xml:space="preserve">（响应）</w:t>
      </w:r>
      <w:r>
        <w:rPr>
          <w:rFonts w:ascii="宋体" w:hAnsi="宋体"/>
          <w:color w:val="auto"/>
          <w:szCs w:val="21"/>
          <w:highlight w:val="none"/>
        </w:rPr>
        <w:t xml:space="preserve">资格在内的任何处理结果。</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六、确保设施、设备工况良好。我方将负责提前检查电力供应、网络环境和远程开标会议有关设施、设备的稳定性和安全性，因我方原因导致无法完成投标</w:t>
      </w:r>
      <w:r>
        <w:rPr>
          <w:rFonts w:hint="eastAsia" w:ascii="宋体" w:hAnsi="宋体"/>
          <w:color w:val="auto"/>
          <w:szCs w:val="21"/>
          <w:highlight w:val="none"/>
        </w:rPr>
        <w:t xml:space="preserve">（响应）</w:t>
      </w:r>
      <w:r>
        <w:rPr>
          <w:rFonts w:ascii="宋体" w:hAnsi="宋体"/>
          <w:color w:val="auto"/>
          <w:szCs w:val="21"/>
          <w:highlight w:val="none"/>
        </w:rPr>
        <w:t xml:space="preserve">或者不能进行现场实时交互的，均由我方自行承担一切后果。</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七、不向</w:t>
      </w:r>
      <w:r>
        <w:rPr>
          <w:rFonts w:hint="eastAsia" w:ascii="宋体" w:hAnsi="宋体"/>
          <w:color w:val="auto"/>
          <w:szCs w:val="21"/>
          <w:highlight w:val="none"/>
        </w:rPr>
        <w:t xml:space="preserve">采购</w:t>
      </w:r>
      <w:r>
        <w:rPr>
          <w:rFonts w:ascii="宋体" w:hAnsi="宋体"/>
          <w:color w:val="auto"/>
          <w:szCs w:val="21"/>
          <w:highlight w:val="none"/>
        </w:rPr>
        <w:t xml:space="preserve">人或</w:t>
      </w:r>
      <w:r>
        <w:rPr>
          <w:rFonts w:hint="eastAsia" w:ascii="宋体" w:hAnsi="宋体"/>
          <w:color w:val="auto"/>
          <w:szCs w:val="21"/>
          <w:highlight w:val="none"/>
        </w:rPr>
        <w:t xml:space="preserve">评审专家</w:t>
      </w:r>
      <w:r>
        <w:rPr>
          <w:rFonts w:ascii="宋体" w:hAnsi="宋体"/>
          <w:color w:val="auto"/>
          <w:szCs w:val="21"/>
          <w:highlight w:val="none"/>
        </w:rPr>
        <w:t xml:space="preserve">或相关人员行贿，以牟取中标。</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八、我方将在法律、法规框架允许的范围内就有关评审过程中的事项向管理人员提出咨询或疑问</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九、</w:t>
      </w:r>
      <w:r>
        <w:rPr>
          <w:rFonts w:ascii="宋体" w:hAnsi="宋体"/>
          <w:color w:val="auto"/>
          <w:szCs w:val="21"/>
          <w:highlight w:val="none"/>
        </w:rPr>
        <w:t xml:space="preserve">我方若有违反承诺内容的行为，自愿接受取消投标</w:t>
      </w:r>
      <w:r>
        <w:rPr>
          <w:rFonts w:hint="eastAsia" w:ascii="宋体" w:hAnsi="宋体"/>
          <w:color w:val="auto"/>
          <w:szCs w:val="21"/>
          <w:highlight w:val="none"/>
        </w:rPr>
        <w:t xml:space="preserve">（响应）</w:t>
      </w:r>
      <w:r>
        <w:rPr>
          <w:rFonts w:ascii="宋体" w:hAnsi="宋体"/>
          <w:color w:val="auto"/>
          <w:szCs w:val="21"/>
          <w:highlight w:val="none"/>
        </w:rPr>
        <w:t xml:space="preserve">资格、将不良行为记录记入档案、没收投标</w:t>
      </w:r>
      <w:r>
        <w:rPr>
          <w:rFonts w:hint="eastAsia" w:ascii="宋体" w:hAnsi="宋体"/>
          <w:color w:val="auto"/>
          <w:szCs w:val="21"/>
          <w:highlight w:val="none"/>
        </w:rPr>
        <w:t xml:space="preserve">（响应）</w:t>
      </w:r>
      <w:r>
        <w:rPr>
          <w:rFonts w:ascii="宋体" w:hAnsi="宋体"/>
          <w:color w:val="auto"/>
          <w:szCs w:val="21"/>
          <w:highlight w:val="none"/>
        </w:rPr>
        <w:t xml:space="preserve">保证金等有关处理，并承担相应的法律责任。给</w:t>
      </w:r>
      <w:r>
        <w:rPr>
          <w:rFonts w:hint="eastAsia" w:ascii="宋体" w:hAnsi="宋体"/>
          <w:color w:val="auto"/>
          <w:szCs w:val="21"/>
          <w:highlight w:val="none"/>
        </w:rPr>
        <w:t xml:space="preserve">采购</w:t>
      </w:r>
      <w:r>
        <w:rPr>
          <w:rFonts w:ascii="宋体" w:hAnsi="宋体"/>
          <w:color w:val="auto"/>
          <w:szCs w:val="21"/>
          <w:highlight w:val="none"/>
        </w:rPr>
        <w:t xml:space="preserve">人造成损失的，依法承担赔偿责任。</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承诺单位(盖章):</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法定代表人</w:t>
      </w:r>
      <w:r>
        <w:rPr>
          <w:rFonts w:hint="eastAsia" w:ascii="宋体" w:hAnsi="宋体"/>
          <w:color w:val="auto"/>
          <w:szCs w:val="21"/>
          <w:highlight w:val="none"/>
        </w:rPr>
        <w:t xml:space="preserve">及</w:t>
      </w:r>
      <w:r>
        <w:rPr>
          <w:rFonts w:ascii="宋体" w:hAnsi="宋体"/>
          <w:color w:val="auto"/>
          <w:szCs w:val="21"/>
          <w:highlight w:val="none"/>
        </w:rPr>
        <w:t xml:space="preserve">授权委托人(签名):</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日期：    </w:t>
      </w:r>
      <w:r>
        <w:rPr>
          <w:rFonts w:ascii="宋体" w:hAnsi="宋体"/>
          <w:color w:val="auto"/>
          <w:szCs w:val="21"/>
          <w:highlight w:val="none"/>
        </w:rPr>
        <w:t xml:space="preserve">年</w:t>
      </w:r>
      <w:r>
        <w:rPr>
          <w:rFonts w:hint="eastAsia" w:ascii="宋体" w:hAnsi="宋体"/>
          <w:color w:val="auto"/>
          <w:szCs w:val="21"/>
          <w:highlight w:val="none"/>
        </w:rPr>
        <w:t xml:space="preserve">     </w:t>
      </w:r>
      <w:r>
        <w:rPr>
          <w:rFonts w:ascii="宋体" w:hAnsi="宋体"/>
          <w:color w:val="auto"/>
          <w:szCs w:val="21"/>
          <w:highlight w:val="none"/>
        </w:rPr>
        <w:t xml:space="preserve">月</w:t>
      </w:r>
      <w:r>
        <w:rPr>
          <w:rFonts w:hint="eastAsia" w:ascii="宋体" w:hAnsi="宋体"/>
          <w:color w:val="auto"/>
          <w:szCs w:val="21"/>
          <w:highlight w:val="none"/>
        </w:rPr>
        <w:t xml:space="preserve">     </w:t>
      </w:r>
      <w:r>
        <w:rPr>
          <w:rFonts w:ascii="宋体" w:hAnsi="宋体"/>
          <w:color w:val="auto"/>
          <w:szCs w:val="21"/>
          <w:highlight w:val="none"/>
        </w:rPr>
        <w:t xml:space="preserve">日</w:t>
      </w:r>
      <w:r/>
    </w:p>
    <w:sectPr>
      <w:footnotePr/>
      <w:endnotePr/>
      <w:type w:val="nextPage"/>
      <w:pgSz w:w="11906" w:h="16838" w:orient="portrait"/>
      <w:pgMar w:top="1440" w:right="1797" w:bottom="1440" w:left="179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a..DD..">
    <w:panose1 w:val="020B0503020202020204"/>
  </w:font>
  <w:font w:name="等线">
    <w:panose1 w:val="02010600030101010101"/>
  </w:font>
  <w:font w:name="Courier New">
    <w:panose1 w:val="02070309020205020404"/>
  </w:font>
  <w:font w:name="MS Mincho">
    <w:panose1 w:val="02020603050405090304"/>
  </w:font>
  <w:font w:name="方正仿宋简体">
    <w:panose1 w:val="020B0503020202020204"/>
  </w:font>
  <w:font w:name="Tahoma">
    <w:panose1 w:val="020B0604030504040204"/>
  </w:font>
  <w:font w:name="BankGothic Lt BT">
    <w:panose1 w:val="020B0503020202020204"/>
  </w:font>
  <w:font w:name="Cambria">
    <w:panose1 w:val="02040503050406030204"/>
  </w:font>
  <w:font w:name="ˎ̥">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创艺简仿宋">
    <w:panose1 w:val="020B0503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rPr>
        <w:rStyle w:val="786"/>
      </w:rPr>
      <w:framePr w:wrap="around" w:vAnchor="text" w:hAnchor="margin" w:xAlign="center" w:y="1"/>
    </w:pPr>
    <w:r>
      <w:rPr>
        <w:rStyle w:val="786"/>
      </w:rPr>
      <w:fldChar w:fldCharType="begin"/>
    </w:r>
    <w:r>
      <w:rPr>
        <w:rStyle w:val="786"/>
      </w:rPr>
      <w:instrText xml:space="preserve">PAGE  </w:instrText>
    </w:r>
    <w:r>
      <w:rPr>
        <w:rStyle w:val="786"/>
      </w:rPr>
      <w:fldChar w:fldCharType="end"/>
    </w:r>
    <w:r/>
  </w:p>
  <w:p>
    <w:pPr>
      <w:pStyle w:val="76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28944" cy="131433"/>
              <wp:effectExtent l="3175" t="3175" r="3175" b="3175"/>
              <wp:wrapNone/>
              <wp:docPr id="1" name="文本框 6"/>
              <wp:cNvGraphicFramePr/>
              <a:graphic xmlns:a="http://schemas.openxmlformats.org/drawingml/2006/main">
                <a:graphicData uri="http://schemas.microsoft.com/office/word/2010/wordprocessingShape">
                  <wps:wsp>
                    <wps:cNvPr id="0" name=""/>
                    <wps:cNvSpPr txBox="1"/>
                    <wps:spPr bwMode="auto">
                      <a:xfrm flipH="0" flipV="0">
                        <a:off x="0" y="0"/>
                        <a:ext cx="128944"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0.2pt;height:10.3pt;mso-wrap-distance-left:9.0pt;mso-wrap-distance-top:0.0pt;mso-wrap-distance-right:9.0pt;mso-wrap-distance-bottom:0.0pt;v-text-anchor:top;visibility:visible;" filled="f" stroked="f" strokeweight="0.50pt">
              <v:textbox inset="0,0,0,0">
                <w:txbxContent>
                  <w:p>
                    <w:pPr>
                      <w:pStyle w:val="76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jc w:val="both"/>
    </w:pPr>
    <w:r>
      <w:rPr>
        <w:rFonts w:hint="eastAsia"/>
        <w:lang w:eastAsia="zh-CN"/>
      </w:rPr>
      <w:tab/>
    </w:r>
    <w:r>
      <w:rPr>
        <w:rFonts w:hint="eastAsia"/>
        <w:lang w:eastAsia="zh-CN"/>
      </w:rPr>
      <w:t xml:space="preserve">JSZC-320583-SZYE-T2026-0012</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苏州宇恩</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29"/>
      <w:isLgl w:val="false"/>
      <w:suff w:val="tab"/>
      <w:lvlText w:val=""/>
      <w:lvlJc w:val="left"/>
      <w:pPr>
        <w:ind w:left="1409" w:hanging="724"/>
        <w:tabs>
          <w:tab w:val="left" w:pos="1409" w:leader="none"/>
        </w:tabs>
      </w:pPr>
      <w:rPr>
        <w:rFonts w:hint="default" w:ascii="Wingdings" w:hAnsi="Wingdings"/>
      </w:rPr>
    </w:lvl>
    <w:lvl w:ilvl="1">
      <w:start w:val="1"/>
      <w:numFmt w:val="lowerLetter"/>
      <w:isLgl w:val="false"/>
      <w:suff w:val="tab"/>
      <w:lvlText w:val="%2)"/>
      <w:lvlJc w:val="right"/>
      <w:pPr>
        <w:ind w:left="1474" w:hanging="340"/>
        <w:tabs>
          <w:tab w:val="left" w:pos="1474" w:leader="none"/>
        </w:tabs>
      </w:pPr>
      <w:rPr>
        <w:rFonts w:hint="eastAsia"/>
      </w:rPr>
    </w:lvl>
    <w:lvl w:ilvl="2">
      <w:start w:val="1"/>
      <w:numFmt w:val="decimal"/>
      <w:isLgl w:val="false"/>
      <w:suff w:val="tab"/>
      <w:lvlText w:val="%3、"/>
      <w:lvlJc w:val="left"/>
      <w:pPr>
        <w:ind w:left="2155" w:hanging="360"/>
        <w:tabs>
          <w:tab w:val="left" w:pos="2155" w:leader="none"/>
        </w:tabs>
      </w:pPr>
      <w:rPr>
        <w:rFonts w:hint="eastAsia"/>
      </w:rPr>
    </w:lvl>
    <w:lvl w:ilvl="3">
      <w:start w:val="1"/>
      <w:numFmt w:val="bullet"/>
      <w:isLgl w:val="false"/>
      <w:suff w:val="tab"/>
      <w:lvlText w:val=""/>
      <w:lvlJc w:val="left"/>
      <w:pPr>
        <w:ind w:left="2635" w:hanging="420"/>
        <w:tabs>
          <w:tab w:val="left" w:pos="2635" w:leader="none"/>
        </w:tabs>
      </w:pPr>
      <w:rPr>
        <w:rFonts w:hint="default" w:ascii="Wingdings" w:hAnsi="Wingdings"/>
      </w:rPr>
    </w:lvl>
    <w:lvl w:ilvl="4">
      <w:start w:val="1"/>
      <w:numFmt w:val="bullet"/>
      <w:isLgl w:val="false"/>
      <w:suff w:val="tab"/>
      <w:lvlText w:val=""/>
      <w:lvlJc w:val="left"/>
      <w:pPr>
        <w:ind w:left="3055" w:hanging="420"/>
        <w:tabs>
          <w:tab w:val="left" w:pos="3055" w:leader="none"/>
        </w:tabs>
      </w:pPr>
      <w:rPr>
        <w:rFonts w:hint="default" w:ascii="Wingdings" w:hAnsi="Wingdings"/>
      </w:rPr>
    </w:lvl>
    <w:lvl w:ilvl="5">
      <w:start w:val="1"/>
      <w:numFmt w:val="bullet"/>
      <w:isLgl w:val="false"/>
      <w:suff w:val="tab"/>
      <w:lvlText w:val=""/>
      <w:lvlJc w:val="left"/>
      <w:pPr>
        <w:ind w:left="3475" w:hanging="420"/>
        <w:tabs>
          <w:tab w:val="left" w:pos="3475" w:leader="none"/>
        </w:tabs>
      </w:pPr>
      <w:rPr>
        <w:rFonts w:hint="default" w:ascii="Wingdings" w:hAnsi="Wingdings"/>
      </w:rPr>
    </w:lvl>
    <w:lvl w:ilvl="6">
      <w:start w:val="1"/>
      <w:numFmt w:val="bullet"/>
      <w:isLgl w:val="false"/>
      <w:suff w:val="tab"/>
      <w:lvlText w:val=""/>
      <w:lvlJc w:val="left"/>
      <w:pPr>
        <w:ind w:left="3895" w:hanging="420"/>
        <w:tabs>
          <w:tab w:val="left" w:pos="3895" w:leader="none"/>
        </w:tabs>
      </w:pPr>
      <w:rPr>
        <w:rFonts w:hint="default" w:ascii="Wingdings" w:hAnsi="Wingdings"/>
      </w:rPr>
    </w:lvl>
    <w:lvl w:ilvl="7">
      <w:start w:val="1"/>
      <w:numFmt w:val="bullet"/>
      <w:isLgl w:val="false"/>
      <w:suff w:val="tab"/>
      <w:lvlText w:val=""/>
      <w:lvlJc w:val="left"/>
      <w:pPr>
        <w:ind w:left="4315" w:hanging="420"/>
        <w:tabs>
          <w:tab w:val="left" w:pos="4315" w:leader="none"/>
        </w:tabs>
      </w:pPr>
      <w:rPr>
        <w:rFonts w:hint="default" w:ascii="Wingdings" w:hAnsi="Wingdings"/>
      </w:rPr>
    </w:lvl>
    <w:lvl w:ilvl="8">
      <w:start w:val="1"/>
      <w:numFmt w:val="bullet"/>
      <w:isLgl w:val="false"/>
      <w:suff w:val="tab"/>
      <w:lvlText w:val=""/>
      <w:lvlJc w:val="left"/>
      <w:pPr>
        <w:ind w:left="4735" w:hanging="420"/>
        <w:tabs>
          <w:tab w:val="left" w:pos="4735" w:leader="none"/>
        </w:tabs>
      </w:pPr>
      <w:rPr>
        <w:rFonts w:hint="default" w:ascii="Wingdings" w:hAnsi="Wingdings"/>
      </w:rPr>
    </w:lvl>
  </w:abstractNum>
  <w:abstractNum w:abstractNumId="2">
    <w:multiLevelType w:val="hybridMultilevel"/>
    <w:lvl w:ilvl="0">
      <w:start w:val="1"/>
      <w:numFmt w:val="japaneseCounting"/>
      <w:pStyle w:val="1015"/>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chineseCountingThousand"/>
      <w:pStyle w:val="995"/>
      <w:isLgl w:val="false"/>
      <w:suff w:val="tab"/>
      <w:lvlText w:val="第%1章"/>
      <w:lvlJc w:val="center"/>
      <w:pPr>
        <w:ind w:left="144" w:hanging="144"/>
        <w:tabs>
          <w:tab w:val="left" w:pos="720" w:leader="none"/>
        </w:tabs>
      </w:pPr>
      <w:rPr>
        <w:rFonts w:hint="eastAsia" w:eastAsia="黑体"/>
        <w:b w:val="0"/>
        <w:i w:val="0"/>
        <w:sz w:val="36"/>
        <w:szCs w:val="36"/>
      </w:rPr>
    </w:lvl>
    <w:lvl w:ilvl="1">
      <w:start w:val="1"/>
      <w:numFmt w:val="decimal"/>
      <w:pStyle w:val="996"/>
      <w:isLgl/>
      <w:suff w:val="tab"/>
      <w:lvlText w:val="%1.%2"/>
      <w:lvlJc w:val="left"/>
      <w:pPr>
        <w:ind w:left="315" w:firstLine="0"/>
        <w:tabs>
          <w:tab w:val="left" w:pos="315" w:leader="none"/>
        </w:tabs>
      </w:pPr>
      <w:rPr>
        <w:rFonts w:hint="default" w:ascii="Times New Roman" w:hAnsi="Times New Roman" w:eastAsia="宋体" w:cs="Times New Roman"/>
        <w:b w:val="0"/>
        <w:i w:val="0"/>
        <w:sz w:val="30"/>
        <w:szCs w:val="30"/>
      </w:rPr>
    </w:lvl>
    <w:lvl w:ilvl="2">
      <w:start w:val="1"/>
      <w:numFmt w:val="decimal"/>
      <w:pStyle w:val="998"/>
      <w:isLgl/>
      <w:suff w:val="tab"/>
      <w:lvlText w:val="%1.%2.%3"/>
      <w:lvlJc w:val="left"/>
      <w:pPr>
        <w:ind w:left="720" w:hanging="720"/>
        <w:tabs>
          <w:tab w:val="left" w:pos="720" w:leader="none"/>
        </w:tabs>
      </w:pPr>
      <w:rPr>
        <w:rFonts w:hint="default" w:ascii="Times New Roman" w:hAnsi="Times New Roman" w:eastAsia="宋体" w:cs="Times New Roman"/>
        <w:b w:val="0"/>
        <w:i w:val="0"/>
        <w:sz w:val="28"/>
        <w:szCs w:val="28"/>
      </w:rPr>
    </w:lvl>
    <w:lvl w:ilvl="3">
      <w:start w:val="1"/>
      <w:numFmt w:val="decimal"/>
      <w:isLgl/>
      <w:suff w:val="tab"/>
      <w:lvlText w:val="%4."/>
      <w:lvlJc w:val="left"/>
      <w:pPr>
        <w:ind w:left="0" w:firstLine="0"/>
        <w:tabs>
          <w:tab w:val="left" w:pos="360" w:leader="none"/>
        </w:tabs>
      </w:pPr>
      <w:rPr>
        <w:rFonts w:hint="eastAsia" w:ascii="黑体" w:eastAsia="黑体"/>
        <w:b w:val="0"/>
        <w:i w:val="0"/>
        <w:sz w:val="24"/>
        <w:szCs w:val="24"/>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89"/>
      <w:isLgl w:val="false"/>
      <w:suff w:val="tab"/>
      <w:lvlText w:val="%1．"/>
      <w:lvlJc w:val="left"/>
      <w:pPr>
        <w:ind w:left="720" w:hanging="720"/>
        <w:tabs>
          <w:tab w:val="left" w:pos="720" w:leader="none"/>
        </w:tabs>
      </w:pPr>
      <w:rPr>
        <w:rFonts w:hint="eastAsia"/>
      </w:rPr>
    </w:lvl>
    <w:lvl w:ilvl="1">
      <w:start w:val="1"/>
      <w:numFmt w:val="lowerLetter"/>
      <w:pStyle w:val="1118"/>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732"/>
      <w:isLgl w:val="false"/>
      <w:suff w:val="tab"/>
      <w:lvlText w:val="%5)"/>
      <w:lvlJc w:val="left"/>
      <w:pPr>
        <w:ind w:left="2100" w:hanging="420"/>
        <w:tabs>
          <w:tab w:val="left" w:pos="2100" w:leader="none"/>
        </w:tabs>
      </w:pPr>
    </w:lvl>
    <w:lvl w:ilvl="5">
      <w:start w:val="1"/>
      <w:numFmt w:val="lowerRoman"/>
      <w:pStyle w:val="733"/>
      <w:isLgl w:val="false"/>
      <w:suff w:val="tab"/>
      <w:lvlText w:val="%6."/>
      <w:lvlJc w:val="right"/>
      <w:pPr>
        <w:ind w:left="2520" w:hanging="420"/>
        <w:tabs>
          <w:tab w:val="left" w:pos="2520" w:leader="none"/>
        </w:tabs>
      </w:pPr>
    </w:lvl>
    <w:lvl w:ilvl="6">
      <w:start w:val="1"/>
      <w:numFmt w:val="decimal"/>
      <w:pStyle w:val="734"/>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bullet"/>
      <w:pStyle w:val="1114"/>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7">
    <w:multiLevelType w:val="hybridMultilevel"/>
    <w:lvl w:ilvl="0">
      <w:start w:val="1"/>
      <w:numFmt w:val="japaneseCounting"/>
      <w:pStyle w:val="1078"/>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bullet"/>
      <w:pStyle w:val="1112"/>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002"/>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2">
    <w:multiLevelType w:val="hybridMultilevel"/>
    <w:lvl w:ilvl="0">
      <w:start w:val="1"/>
      <w:numFmt w:val="bullet"/>
      <w:pStyle w:val="1113"/>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num w:numId="1">
    <w:abstractNumId w:val="5"/>
  </w:num>
  <w:num w:numId="2">
    <w:abstractNumId w:val="3"/>
  </w:num>
  <w:num w:numId="3">
    <w:abstractNumId w:val="11"/>
  </w:num>
  <w:num w:numId="4">
    <w:abstractNumId w:val="2"/>
  </w:num>
  <w:num w:numId="5">
    <w:abstractNumId w:val="1"/>
  </w:num>
  <w:num w:numId="6">
    <w:abstractNumId w:val="7"/>
  </w:num>
  <w:num w:numId="7">
    <w:abstractNumId w:val="8"/>
  </w:num>
  <w:num w:numId="8">
    <w:abstractNumId w:val="12"/>
  </w:num>
  <w:num w:numId="9">
    <w:abstractNumId w:val="6"/>
  </w:num>
  <w:num w:numId="10">
    <w:abstractNumId w:val="0"/>
  </w:num>
  <w:num w:numId="11">
    <w:abstractNumId w:val="9"/>
  </w:num>
  <w:num w:numId="12">
    <w:abstractNumId w:val="1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7" w:default="1">
    <w:name w:val="Normal"/>
    <w:next w:val="73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8">
    <w:name w:val="Heading 1"/>
    <w:basedOn w:val="727"/>
    <w:next w:val="727"/>
    <w:link w:val="960"/>
    <w:uiPriority w:val="0"/>
    <w:qFormat/>
    <w:pPr>
      <w:keepLines/>
      <w:keepNext/>
      <w:spacing w:before="340" w:after="330" w:line="578" w:lineRule="auto"/>
      <w:outlineLvl w:val="0"/>
    </w:pPr>
    <w:rPr>
      <w:rFonts w:ascii="Calibri" w:hAnsi="Calibri"/>
      <w:b/>
      <w:bCs/>
      <w:sz w:val="44"/>
      <w:szCs w:val="44"/>
    </w:rPr>
  </w:style>
  <w:style w:type="paragraph" w:styleId="729">
    <w:name w:val="Heading 2"/>
    <w:basedOn w:val="727"/>
    <w:next w:val="727"/>
    <w:link w:val="961"/>
    <w:uiPriority w:val="0"/>
    <w:qFormat/>
    <w:pPr>
      <w:keepLines/>
      <w:keepNext/>
      <w:spacing w:before="260" w:after="260" w:line="416" w:lineRule="auto"/>
      <w:outlineLvl w:val="1"/>
    </w:pPr>
    <w:rPr>
      <w:rFonts w:ascii="Arial" w:hAnsi="Arial" w:eastAsia="黑体"/>
      <w:b/>
      <w:bCs/>
      <w:sz w:val="32"/>
      <w:szCs w:val="32"/>
    </w:rPr>
  </w:style>
  <w:style w:type="paragraph" w:styleId="730">
    <w:name w:val="Heading 3"/>
    <w:basedOn w:val="727"/>
    <w:next w:val="727"/>
    <w:link w:val="962"/>
    <w:uiPriority w:val="0"/>
    <w:qFormat/>
    <w:pPr>
      <w:keepLines/>
      <w:keepNext/>
      <w:spacing w:before="260" w:after="260" w:line="416" w:lineRule="auto"/>
      <w:outlineLvl w:val="2"/>
    </w:pPr>
    <w:rPr>
      <w:rFonts w:ascii="Calibri" w:hAnsi="Calibri"/>
      <w:b/>
      <w:bCs/>
      <w:sz w:val="32"/>
      <w:szCs w:val="32"/>
    </w:rPr>
  </w:style>
  <w:style w:type="paragraph" w:styleId="731">
    <w:name w:val="Heading 4"/>
    <w:basedOn w:val="727"/>
    <w:next w:val="727"/>
    <w:link w:val="963"/>
    <w:uiPriority w:val="0"/>
    <w:qFormat/>
    <w:pPr>
      <w:keepLines/>
      <w:keepNext/>
      <w:spacing w:before="280" w:after="290" w:line="374" w:lineRule="auto"/>
      <w:outlineLvl w:val="3"/>
    </w:pPr>
    <w:rPr>
      <w:rFonts w:ascii="Arial" w:hAnsi="Arial" w:eastAsia="黑体"/>
      <w:b/>
      <w:sz w:val="28"/>
      <w:szCs w:val="20"/>
    </w:rPr>
  </w:style>
  <w:style w:type="paragraph" w:styleId="732">
    <w:name w:val="Heading 5"/>
    <w:basedOn w:val="727"/>
    <w:next w:val="727"/>
    <w:link w:val="964"/>
    <w:uiPriority w:val="0"/>
    <w:qFormat/>
    <w:pPr>
      <w:numPr>
        <w:ilvl w:val="4"/>
        <w:numId w:val="1"/>
      </w:numPr>
      <w:jc w:val="left"/>
      <w:keepLines/>
      <w:keepNext/>
      <w:spacing w:before="280" w:after="290" w:line="372" w:lineRule="auto"/>
      <w:widowControl/>
      <w:tabs>
        <w:tab w:val="left" w:pos="1800" w:leader="none"/>
        <w:tab w:val="left" w:pos="2520" w:leader="none"/>
      </w:tabs>
      <w:outlineLvl w:val="4"/>
    </w:pPr>
    <w:rPr>
      <w:rFonts w:ascii="Calibri" w:hAnsi="Calibri"/>
      <w:b/>
      <w:sz w:val="24"/>
      <w:szCs w:val="20"/>
    </w:rPr>
  </w:style>
  <w:style w:type="paragraph" w:styleId="733">
    <w:name w:val="Heading 6"/>
    <w:basedOn w:val="727"/>
    <w:next w:val="727"/>
    <w:link w:val="965"/>
    <w:uiPriority w:val="0"/>
    <w:qFormat/>
    <w:pPr>
      <w:numPr>
        <w:ilvl w:val="5"/>
        <w:numId w:val="1"/>
      </w:numPr>
      <w:jc w:val="left"/>
      <w:keepLines/>
      <w:keepNext/>
      <w:spacing w:before="240" w:after="64" w:line="317" w:lineRule="auto"/>
      <w:widowControl/>
      <w:tabs>
        <w:tab w:val="left" w:pos="2160" w:leader="none"/>
        <w:tab w:val="left" w:pos="2940" w:leader="none"/>
      </w:tabs>
      <w:outlineLvl w:val="5"/>
    </w:pPr>
    <w:rPr>
      <w:rFonts w:ascii="Calibri" w:hAnsi="Calibri"/>
      <w:b/>
      <w:sz w:val="24"/>
      <w:szCs w:val="20"/>
    </w:rPr>
  </w:style>
  <w:style w:type="paragraph" w:styleId="734">
    <w:name w:val="Heading 7"/>
    <w:basedOn w:val="727"/>
    <w:next w:val="727"/>
    <w:link w:val="966"/>
    <w:uiPriority w:val="0"/>
    <w:qFormat/>
    <w:pPr>
      <w:numPr>
        <w:ilvl w:val="6"/>
        <w:numId w:val="1"/>
      </w:numPr>
      <w:jc w:val="left"/>
      <w:keepLines/>
      <w:keepNext/>
      <w:spacing w:before="240" w:after="64" w:line="317" w:lineRule="auto"/>
      <w:widowControl/>
      <w:tabs>
        <w:tab w:val="left" w:pos="2520" w:leader="none"/>
        <w:tab w:val="left" w:pos="3360" w:leader="none"/>
      </w:tabs>
      <w:outlineLvl w:val="6"/>
    </w:pPr>
    <w:rPr>
      <w:rFonts w:ascii="Calibri" w:hAnsi="Calibri"/>
      <w:b/>
      <w:sz w:val="24"/>
      <w:szCs w:val="20"/>
    </w:rPr>
  </w:style>
  <w:style w:type="paragraph" w:styleId="735">
    <w:name w:val="Heading 8"/>
    <w:basedOn w:val="727"/>
    <w:next w:val="727"/>
    <w:link w:val="967"/>
    <w:uiPriority w:val="0"/>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736">
    <w:name w:val="Heading 9"/>
    <w:basedOn w:val="727"/>
    <w:next w:val="727"/>
    <w:link w:val="968"/>
    <w:uiPriority w:val="0"/>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737" w:default="1">
    <w:name w:val="Default Paragraph Font"/>
    <w:uiPriority w:val="1"/>
    <w:semiHidden/>
    <w:unhideWhenUsed/>
    <w:qFormat/>
  </w:style>
  <w:style w:type="table" w:styleId="738" w:default="1">
    <w:name w:val="Normal Table"/>
    <w:uiPriority w:val="99"/>
    <w:semiHidden/>
    <w:unhideWhenUsed/>
    <w:qFormat/>
    <w:tblPr>
      <w:tblCellMar>
        <w:left w:w="108" w:type="dxa"/>
        <w:top w:w="0" w:type="dxa"/>
        <w:right w:w="108" w:type="dxa"/>
        <w:bottom w:w="0" w:type="dxa"/>
      </w:tblCellMar>
    </w:tblPr>
  </w:style>
  <w:style w:type="paragraph" w:styleId="739" w:customStyle="1">
    <w:name w:val="段"/>
    <w:next w:val="727"/>
    <w:uiPriority w:val="0"/>
    <w:qFormat/>
    <w:pPr>
      <w:ind w:firstLine="200"/>
      <w:jc w:val="both"/>
    </w:pPr>
    <w:rPr>
      <w:rFonts w:hint="default" w:ascii="宋体" w:hAnsi="Times New Roman" w:eastAsia="宋体" w:cs="Times New Roman"/>
      <w:sz w:val="21"/>
      <w:lang w:val="en-US" w:eastAsia="zh-CN" w:bidi="ar-SA"/>
    </w:rPr>
  </w:style>
  <w:style w:type="paragraph" w:styleId="740">
    <w:name w:val="toc 7"/>
    <w:basedOn w:val="727"/>
    <w:next w:val="727"/>
    <w:uiPriority w:val="0"/>
    <w:qFormat/>
    <w:pPr>
      <w:ind w:left="1440"/>
      <w:jc w:val="left"/>
      <w:spacing w:line="360" w:lineRule="auto"/>
    </w:pPr>
    <w:rPr>
      <w:rFonts w:ascii="Calibri" w:hAnsi="Calibri" w:cs="Calibri"/>
      <w:sz w:val="18"/>
      <w:szCs w:val="18"/>
    </w:rPr>
  </w:style>
  <w:style w:type="paragraph" w:styleId="741">
    <w:name w:val="Normal Indent"/>
    <w:basedOn w:val="727"/>
    <w:link w:val="969"/>
    <w:uiPriority w:val="0"/>
    <w:qFormat/>
    <w:pPr>
      <w:ind w:firstLine="420"/>
      <w:jc w:val="left"/>
    </w:pPr>
    <w:rPr>
      <w:rFonts w:ascii="Calibri" w:hAnsi="Calibri" w:eastAsia="楷体_GB2312"/>
      <w:sz w:val="24"/>
      <w:szCs w:val="20"/>
    </w:rPr>
  </w:style>
  <w:style w:type="paragraph" w:styleId="742">
    <w:name w:val="Caption"/>
    <w:basedOn w:val="727"/>
    <w:next w:val="727"/>
    <w:uiPriority w:val="0"/>
    <w:qFormat/>
    <w:pPr>
      <w:ind w:left="640" w:hanging="640"/>
      <w:jc w:val="center"/>
    </w:pPr>
    <w:rPr>
      <w:rFonts w:ascii="BankGothic Lt BT" w:hAnsi="BankGothic Lt BT" w:cs="Arial"/>
      <w:sz w:val="32"/>
    </w:rPr>
  </w:style>
  <w:style w:type="paragraph" w:styleId="743">
    <w:name w:val="Document Map"/>
    <w:basedOn w:val="727"/>
    <w:uiPriority w:val="0"/>
    <w:semiHidden/>
    <w:qFormat/>
    <w:pPr>
      <w:shd w:val="clear" w:color="auto" w:fill="000080"/>
    </w:pPr>
    <w:rPr>
      <w:szCs w:val="20"/>
    </w:rPr>
  </w:style>
  <w:style w:type="paragraph" w:styleId="744">
    <w:name w:val="annotation text"/>
    <w:basedOn w:val="727"/>
    <w:link w:val="1136"/>
    <w:uiPriority w:val="0"/>
    <w:semiHidden/>
    <w:unhideWhenUsed/>
    <w:qFormat/>
    <w:pPr>
      <w:jc w:val="left"/>
    </w:pPr>
  </w:style>
  <w:style w:type="paragraph" w:styleId="745">
    <w:name w:val="Salutation"/>
    <w:basedOn w:val="727"/>
    <w:next w:val="727"/>
    <w:uiPriority w:val="0"/>
    <w:qFormat/>
    <w:rPr>
      <w:rFonts w:ascii="宋体" w:hAnsi="宋体"/>
      <w:spacing w:val="20"/>
      <w:sz w:val="24"/>
      <w:szCs w:val="22"/>
      <w:lang w:eastAsia="en-US" w:bidi="en-US"/>
    </w:rPr>
  </w:style>
  <w:style w:type="paragraph" w:styleId="746">
    <w:name w:val="Body Text 3"/>
    <w:basedOn w:val="727"/>
    <w:uiPriority w:val="0"/>
    <w:qFormat/>
    <w:pPr>
      <w:ind w:firstLine="250"/>
      <w:spacing w:after="120" w:line="300" w:lineRule="auto"/>
    </w:pPr>
    <w:rPr>
      <w:sz w:val="16"/>
      <w:szCs w:val="16"/>
    </w:rPr>
  </w:style>
  <w:style w:type="paragraph" w:styleId="747">
    <w:name w:val="Closing"/>
    <w:basedOn w:val="727"/>
    <w:uiPriority w:val="0"/>
    <w:qFormat/>
    <w:pPr>
      <w:ind w:left="100"/>
    </w:pPr>
    <w:rPr>
      <w:rFonts w:ascii="宋体" w:hAnsi="宋体"/>
      <w:spacing w:val="20"/>
      <w:sz w:val="24"/>
      <w:szCs w:val="22"/>
      <w:lang w:eastAsia="en-US" w:bidi="en-US"/>
    </w:rPr>
  </w:style>
  <w:style w:type="paragraph" w:styleId="748">
    <w:name w:val="Body Text"/>
    <w:basedOn w:val="727"/>
    <w:link w:val="970"/>
    <w:uiPriority w:val="0"/>
    <w:qFormat/>
    <w:pPr>
      <w:tabs>
        <w:tab w:val="left" w:pos="5250" w:leader="none"/>
      </w:tabs>
    </w:pPr>
    <w:rPr>
      <w:rFonts w:ascii="Calibri" w:hAnsi="Calibri"/>
      <w:sz w:val="28"/>
    </w:rPr>
  </w:style>
  <w:style w:type="paragraph" w:styleId="749">
    <w:name w:val="Body Text Indent"/>
    <w:basedOn w:val="727"/>
    <w:link w:val="971"/>
    <w:uiPriority w:val="0"/>
    <w:qFormat/>
    <w:pPr>
      <w:ind w:left="570"/>
      <w:spacing w:line="520" w:lineRule="exact"/>
    </w:pPr>
    <w:rPr>
      <w:rFonts w:ascii="方正仿宋简体" w:hAnsi="创艺简仿宋" w:eastAsia="方正仿宋简体"/>
      <w:sz w:val="24"/>
      <w:szCs w:val="20"/>
    </w:rPr>
  </w:style>
  <w:style w:type="paragraph" w:styleId="750">
    <w:name w:val="List 2"/>
    <w:basedOn w:val="727"/>
    <w:uiPriority w:val="0"/>
    <w:qFormat/>
    <w:pPr>
      <w:ind w:left="100" w:hanging="200"/>
    </w:pPr>
    <w:rPr>
      <w:lang w:eastAsia="en-US" w:bidi="en-US"/>
    </w:rPr>
  </w:style>
  <w:style w:type="paragraph" w:styleId="751">
    <w:name w:val="Block Text"/>
    <w:basedOn w:val="727"/>
    <w:uiPriority w:val="0"/>
    <w:qFormat/>
    <w:pPr>
      <w:ind w:left="113" w:right="113"/>
      <w:jc w:val="center"/>
    </w:pPr>
    <w:rPr>
      <w:rFonts w:ascii="仿宋_GB2312" w:eastAsia="仿宋_GB2312"/>
      <w:b/>
      <w:szCs w:val="20"/>
    </w:rPr>
  </w:style>
  <w:style w:type="paragraph" w:styleId="752">
    <w:name w:val="List Bullet 2"/>
    <w:basedOn w:val="727"/>
    <w:uiPriority w:val="0"/>
    <w:qFormat/>
    <w:pPr>
      <w:ind w:left="780" w:hanging="360"/>
      <w:tabs>
        <w:tab w:val="left" w:pos="780" w:leader="none"/>
      </w:tabs>
      <w:outlineLvl w:val="0"/>
    </w:pPr>
    <w:rPr>
      <w:color w:val="0000ff"/>
      <w:sz w:val="24"/>
      <w:szCs w:val="20"/>
    </w:rPr>
  </w:style>
  <w:style w:type="paragraph" w:styleId="753">
    <w:name w:val="toc 5"/>
    <w:basedOn w:val="727"/>
    <w:next w:val="727"/>
    <w:uiPriority w:val="0"/>
    <w:qFormat/>
    <w:pPr>
      <w:ind w:left="960"/>
      <w:jc w:val="left"/>
      <w:spacing w:line="360" w:lineRule="auto"/>
    </w:pPr>
    <w:rPr>
      <w:rFonts w:ascii="Calibri" w:hAnsi="Calibri" w:cs="Calibri"/>
      <w:sz w:val="18"/>
      <w:szCs w:val="18"/>
    </w:rPr>
  </w:style>
  <w:style w:type="paragraph" w:styleId="754">
    <w:name w:val="toc 3"/>
    <w:basedOn w:val="727"/>
    <w:next w:val="727"/>
    <w:uiPriority w:val="39"/>
    <w:qFormat/>
    <w:pPr>
      <w:ind w:left="840"/>
    </w:pPr>
  </w:style>
  <w:style w:type="paragraph" w:styleId="755">
    <w:name w:val="Plain Text"/>
    <w:basedOn w:val="727"/>
    <w:link w:val="972"/>
    <w:uiPriority w:val="0"/>
    <w:qFormat/>
    <w:rPr>
      <w:rFonts w:ascii="宋体" w:hAnsi="Courier New" w:eastAsia="楷体_GB2312"/>
      <w:sz w:val="28"/>
      <w:szCs w:val="20"/>
    </w:rPr>
  </w:style>
  <w:style w:type="paragraph" w:styleId="756">
    <w:name w:val="toc 8"/>
    <w:basedOn w:val="727"/>
    <w:next w:val="727"/>
    <w:uiPriority w:val="0"/>
    <w:qFormat/>
    <w:pPr>
      <w:ind w:left="1680"/>
      <w:jc w:val="left"/>
      <w:spacing w:line="360" w:lineRule="auto"/>
    </w:pPr>
    <w:rPr>
      <w:rFonts w:ascii="Calibri" w:hAnsi="Calibri" w:cs="Calibri"/>
      <w:sz w:val="18"/>
      <w:szCs w:val="18"/>
    </w:rPr>
  </w:style>
  <w:style w:type="paragraph" w:styleId="757">
    <w:name w:val="Date"/>
    <w:basedOn w:val="727"/>
    <w:next w:val="727"/>
    <w:link w:val="973"/>
    <w:uiPriority w:val="0"/>
    <w:qFormat/>
    <w:pPr>
      <w:ind w:left="100"/>
    </w:pPr>
    <w:rPr>
      <w:rFonts w:ascii="Calibri" w:hAnsi="Calibri"/>
      <w:sz w:val="28"/>
    </w:rPr>
  </w:style>
  <w:style w:type="paragraph" w:styleId="758">
    <w:name w:val="Body Text Indent 2"/>
    <w:basedOn w:val="727"/>
    <w:uiPriority w:val="0"/>
    <w:qFormat/>
    <w:pPr>
      <w:ind w:firstLine="570"/>
      <w:spacing w:line="520" w:lineRule="exact"/>
    </w:pPr>
    <w:rPr>
      <w:rFonts w:ascii="方正仿宋简体" w:hAnsi="创艺简仿宋" w:eastAsia="方正仿宋简体"/>
      <w:bCs/>
      <w:sz w:val="24"/>
      <w:szCs w:val="20"/>
    </w:rPr>
  </w:style>
  <w:style w:type="paragraph" w:styleId="759">
    <w:name w:val="endnote text"/>
    <w:basedOn w:val="727"/>
    <w:link w:val="958"/>
    <w:uiPriority w:val="99"/>
    <w:semiHidden/>
    <w:unhideWhenUsed/>
    <w:qFormat/>
    <w:rPr>
      <w:sz w:val="20"/>
    </w:rPr>
  </w:style>
  <w:style w:type="paragraph" w:styleId="760">
    <w:name w:val="Balloon Text"/>
    <w:basedOn w:val="727"/>
    <w:uiPriority w:val="0"/>
    <w:semiHidden/>
    <w:qFormat/>
    <w:rPr>
      <w:sz w:val="18"/>
      <w:szCs w:val="18"/>
    </w:rPr>
  </w:style>
  <w:style w:type="paragraph" w:styleId="761">
    <w:name w:val="Footer"/>
    <w:basedOn w:val="727"/>
    <w:link w:val="831"/>
    <w:uiPriority w:val="0"/>
    <w:qFormat/>
    <w:pPr>
      <w:jc w:val="left"/>
      <w:tabs>
        <w:tab w:val="center" w:pos="4153" w:leader="none"/>
        <w:tab w:val="right" w:pos="8306" w:leader="none"/>
      </w:tabs>
    </w:pPr>
    <w:rPr>
      <w:sz w:val="18"/>
      <w:szCs w:val="18"/>
    </w:rPr>
  </w:style>
  <w:style w:type="paragraph" w:styleId="762">
    <w:name w:val="Header"/>
    <w:basedOn w:val="727"/>
    <w:link w:val="974"/>
    <w:uiPriority w:val="0"/>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763">
    <w:name w:val="toc 1"/>
    <w:basedOn w:val="727"/>
    <w:next w:val="727"/>
    <w:uiPriority w:val="39"/>
    <w:qFormat/>
    <w:rPr>
      <w:sz w:val="30"/>
    </w:rPr>
  </w:style>
  <w:style w:type="paragraph" w:styleId="764">
    <w:name w:val="toc 4"/>
    <w:basedOn w:val="727"/>
    <w:next w:val="727"/>
    <w:uiPriority w:val="0"/>
    <w:qFormat/>
    <w:pPr>
      <w:ind w:left="720"/>
      <w:jc w:val="left"/>
      <w:spacing w:line="360" w:lineRule="auto"/>
    </w:pPr>
    <w:rPr>
      <w:rFonts w:ascii="Calibri" w:hAnsi="Calibri" w:cs="Calibri"/>
      <w:sz w:val="18"/>
      <w:szCs w:val="18"/>
    </w:rPr>
  </w:style>
  <w:style w:type="paragraph" w:styleId="765">
    <w:name w:val="index heading"/>
    <w:basedOn w:val="727"/>
    <w:next w:val="766"/>
    <w:uiPriority w:val="0"/>
    <w:semiHidden/>
    <w:qFormat/>
    <w:pPr>
      <w:jc w:val="left"/>
      <w:spacing w:after="200" w:line="276" w:lineRule="auto"/>
      <w:widowControl/>
    </w:pPr>
    <w:rPr>
      <w:rFonts w:ascii="Arial" w:hAnsi="Arial" w:cs="Arial"/>
      <w:b/>
      <w:bCs/>
      <w:sz w:val="22"/>
      <w:szCs w:val="22"/>
      <w:lang w:eastAsia="en-US" w:bidi="en-US"/>
    </w:rPr>
  </w:style>
  <w:style w:type="paragraph" w:styleId="766">
    <w:name w:val="index 1"/>
    <w:basedOn w:val="727"/>
    <w:next w:val="727"/>
    <w:uiPriority w:val="0"/>
    <w:qFormat/>
    <w:rPr>
      <w:b/>
      <w:bCs/>
    </w:rPr>
  </w:style>
  <w:style w:type="paragraph" w:styleId="767">
    <w:name w:val="Subtitle"/>
    <w:basedOn w:val="727"/>
    <w:next w:val="727"/>
    <w:link w:val="975"/>
    <w:uiPriority w:val="0"/>
    <w:qFormat/>
    <w:pPr>
      <w:jc w:val="left"/>
      <w:spacing w:after="200" w:line="276" w:lineRule="auto"/>
      <w:widowControl/>
    </w:pPr>
    <w:rPr>
      <w:rFonts w:ascii="Calibri" w:hAnsi="Calibri"/>
    </w:rPr>
  </w:style>
  <w:style w:type="paragraph" w:styleId="768">
    <w:name w:val="List"/>
    <w:basedOn w:val="727"/>
    <w:uiPriority w:val="0"/>
    <w:qFormat/>
    <w:pPr>
      <w:ind w:left="420" w:hanging="420"/>
    </w:pPr>
    <w:rPr>
      <w:szCs w:val="20"/>
    </w:rPr>
  </w:style>
  <w:style w:type="paragraph" w:styleId="769">
    <w:name w:val="footnote text"/>
    <w:basedOn w:val="727"/>
    <w:link w:val="957"/>
    <w:uiPriority w:val="99"/>
    <w:semiHidden/>
    <w:unhideWhenUsed/>
    <w:qFormat/>
    <w:pPr>
      <w:spacing w:after="40"/>
    </w:pPr>
    <w:rPr>
      <w:sz w:val="18"/>
    </w:rPr>
  </w:style>
  <w:style w:type="paragraph" w:styleId="770">
    <w:name w:val="toc 6"/>
    <w:basedOn w:val="727"/>
    <w:next w:val="727"/>
    <w:uiPriority w:val="0"/>
    <w:qFormat/>
    <w:pPr>
      <w:ind w:left="2100"/>
    </w:pPr>
  </w:style>
  <w:style w:type="paragraph" w:styleId="771">
    <w:name w:val="Body Text Indent 3"/>
    <w:basedOn w:val="727"/>
    <w:uiPriority w:val="0"/>
    <w:qFormat/>
    <w:pPr>
      <w:ind w:left="659"/>
      <w:spacing w:line="360" w:lineRule="auto"/>
    </w:pPr>
    <w:rPr>
      <w:rFonts w:ascii="宋体" w:hAnsi="宋体"/>
      <w:sz w:val="24"/>
    </w:rPr>
  </w:style>
  <w:style w:type="paragraph" w:styleId="772">
    <w:name w:val="table of figures"/>
    <w:basedOn w:val="727"/>
    <w:next w:val="727"/>
    <w:uiPriority w:val="99"/>
    <w:unhideWhenUsed/>
    <w:qFormat/>
  </w:style>
  <w:style w:type="paragraph" w:styleId="773">
    <w:name w:val="toc 2"/>
    <w:basedOn w:val="727"/>
    <w:next w:val="727"/>
    <w:uiPriority w:val="39"/>
    <w:qFormat/>
    <w:pPr>
      <w:ind w:left="420"/>
    </w:pPr>
  </w:style>
  <w:style w:type="paragraph" w:styleId="774">
    <w:name w:val="toc 9"/>
    <w:basedOn w:val="727"/>
    <w:next w:val="727"/>
    <w:uiPriority w:val="0"/>
    <w:qFormat/>
    <w:pPr>
      <w:ind w:left="1920"/>
      <w:jc w:val="left"/>
      <w:spacing w:line="360" w:lineRule="auto"/>
    </w:pPr>
    <w:rPr>
      <w:rFonts w:ascii="Calibri" w:hAnsi="Calibri" w:cs="Calibri"/>
      <w:sz w:val="18"/>
      <w:szCs w:val="18"/>
    </w:rPr>
  </w:style>
  <w:style w:type="paragraph" w:styleId="775">
    <w:name w:val="Body Text 2"/>
    <w:basedOn w:val="727"/>
    <w:uiPriority w:val="0"/>
    <w:qFormat/>
    <w:pPr>
      <w:spacing w:after="120" w:line="480" w:lineRule="auto"/>
    </w:pPr>
  </w:style>
  <w:style w:type="paragraph" w:styleId="776">
    <w:name w:val="List Continue 2"/>
    <w:basedOn w:val="727"/>
    <w:uiPriority w:val="0"/>
    <w:qFormat/>
    <w:pPr>
      <w:ind w:left="840"/>
      <w:spacing w:after="120"/>
    </w:pPr>
    <w:rPr>
      <w:lang w:eastAsia="en-US" w:bidi="en-US"/>
    </w:rPr>
  </w:style>
  <w:style w:type="paragraph" w:styleId="777">
    <w:name w:val="Normal (Web)"/>
    <w:basedOn w:val="727"/>
    <w:uiPriority w:val="0"/>
    <w:semiHidden/>
    <w:unhideWhenUsed/>
    <w:qFormat/>
    <w:pPr>
      <w:jc w:val="left"/>
      <w:spacing w:before="100" w:beforeAutospacing="1" w:after="100" w:afterAutospacing="1"/>
      <w:widowControl/>
    </w:pPr>
    <w:rPr>
      <w:rFonts w:ascii="宋体" w:hAnsi="宋体" w:cs="宋体"/>
      <w:sz w:val="24"/>
    </w:rPr>
  </w:style>
  <w:style w:type="paragraph" w:styleId="778">
    <w:name w:val="Title"/>
    <w:basedOn w:val="727"/>
    <w:next w:val="727"/>
    <w:link w:val="825"/>
    <w:uiPriority w:val="0"/>
    <w:qFormat/>
    <w:pPr>
      <w:contextualSpacing/>
      <w:jc w:val="left"/>
      <w:spacing w:after="300"/>
      <w:widowControl/>
    </w:pPr>
    <w:rPr>
      <w:rFonts w:ascii="Cambria" w:hAnsi="Cambria"/>
      <w:smallCaps/>
      <w:sz w:val="52"/>
      <w:szCs w:val="52"/>
      <w:lang w:eastAsia="en-US" w:bidi="en-US"/>
    </w:rPr>
  </w:style>
  <w:style w:type="paragraph" w:styleId="779">
    <w:name w:val="annotation subject"/>
    <w:basedOn w:val="744"/>
    <w:next w:val="744"/>
    <w:link w:val="1139"/>
    <w:uiPriority w:val="0"/>
    <w:semiHidden/>
    <w:unhideWhenUsed/>
    <w:qFormat/>
    <w:rPr>
      <w:b/>
      <w:bCs/>
    </w:rPr>
  </w:style>
  <w:style w:type="paragraph" w:styleId="780">
    <w:name w:val="Body Text First Indent"/>
    <w:next w:val="781"/>
    <w:link w:val="976"/>
    <w:uiPriority w:val="0"/>
    <w:semiHidden/>
    <w:unhideWhenUsed/>
    <w:qFormat/>
    <w:pPr>
      <w:ind w:firstLine="420"/>
      <w:spacing w:before="200" w:after="120" w:line="276" w:lineRule="auto"/>
    </w:pPr>
    <w:rPr>
      <w:rFonts w:hint="default" w:ascii="Cambria" w:hAnsi="Cambria" w:eastAsia="宋体" w:cs="Times New Roman"/>
      <w:sz w:val="21"/>
      <w:szCs w:val="24"/>
      <w:lang w:val="en-US" w:eastAsia="zh-CN" w:bidi="ar-SA"/>
    </w:rPr>
  </w:style>
  <w:style w:type="paragraph" w:styleId="781" w:customStyle="1">
    <w:name w:val="样式 正文首行缩进 + 首行缩进:  1 字符"/>
    <w:basedOn w:val="727"/>
    <w:next w:val="762"/>
    <w:uiPriority w:val="0"/>
    <w:qFormat/>
    <w:pPr>
      <w:ind w:firstLine="200"/>
      <w:jc w:val="left"/>
      <w:spacing w:after="40" w:line="276" w:lineRule="auto"/>
      <w:widowControl/>
    </w:pPr>
    <w:rPr>
      <w:rFonts w:ascii="Cambria" w:hAnsi="Cambria"/>
      <w:sz w:val="22"/>
      <w:szCs w:val="20"/>
      <w:lang w:eastAsia="en-US" w:bidi="en-US"/>
    </w:rPr>
  </w:style>
  <w:style w:type="table" w:styleId="782">
    <w:name w:val="Table Grid"/>
    <w:basedOn w:val="738"/>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83">
    <w:name w:val="Table Theme"/>
    <w:basedOn w:val="73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4">
    <w:name w:val="Strong"/>
    <w:uiPriority w:val="22"/>
    <w:qFormat/>
    <w:rPr>
      <w:b/>
      <w:bCs/>
    </w:rPr>
  </w:style>
  <w:style w:type="character" w:styleId="785">
    <w:name w:val="endnote reference"/>
    <w:basedOn w:val="737"/>
    <w:uiPriority w:val="99"/>
    <w:semiHidden/>
    <w:unhideWhenUsed/>
    <w:qFormat/>
    <w:rPr>
      <w:vertAlign w:val="superscript"/>
    </w:rPr>
  </w:style>
  <w:style w:type="character" w:styleId="786">
    <w:name w:val="page number"/>
    <w:basedOn w:val="737"/>
    <w:uiPriority w:val="0"/>
    <w:qFormat/>
  </w:style>
  <w:style w:type="character" w:styleId="787">
    <w:name w:val="FollowedHyperlink"/>
    <w:uiPriority w:val="99"/>
    <w:qFormat/>
    <w:rPr>
      <w:color w:val="800080"/>
      <w:u w:val="single"/>
    </w:rPr>
  </w:style>
  <w:style w:type="character" w:styleId="788">
    <w:name w:val="Emphasis"/>
    <w:basedOn w:val="737"/>
    <w:uiPriority w:val="0"/>
    <w:qFormat/>
  </w:style>
  <w:style w:type="character" w:styleId="789">
    <w:name w:val="Hyperlink"/>
    <w:uiPriority w:val="99"/>
    <w:qFormat/>
    <w:rPr>
      <w:color w:val="0000ff"/>
      <w:u w:val="single"/>
    </w:rPr>
  </w:style>
  <w:style w:type="character" w:styleId="790">
    <w:name w:val="annotation reference"/>
    <w:basedOn w:val="737"/>
    <w:uiPriority w:val="0"/>
    <w:semiHidden/>
    <w:unhideWhenUsed/>
    <w:qFormat/>
    <w:rPr>
      <w:sz w:val="21"/>
      <w:szCs w:val="21"/>
    </w:rPr>
  </w:style>
  <w:style w:type="character" w:styleId="791">
    <w:name w:val="footnote reference"/>
    <w:basedOn w:val="737"/>
    <w:uiPriority w:val="99"/>
    <w:unhideWhenUsed/>
    <w:qFormat/>
    <w:rPr>
      <w:vertAlign w:val="superscript"/>
    </w:rPr>
  </w:style>
  <w:style w:type="table" w:styleId="792" w:customStyle="1">
    <w:name w:val="Plain Table 1"/>
    <w:basedOn w:val="73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2"/>
    <w:basedOn w:val="73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3"/>
    <w:basedOn w:val="73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Plain Table 4"/>
    <w:basedOn w:val="73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Plain Table 5"/>
    <w:basedOn w:val="73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Grid Table 1 Light"/>
    <w:basedOn w:val="73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8" w:customStyle="1">
    <w:name w:val="Grid Table 2"/>
    <w:basedOn w:val="73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9" w:customStyle="1">
    <w:name w:val="Grid Table 3"/>
    <w:basedOn w:val="73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4"/>
    <w:basedOn w:val="73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customStyle="1">
    <w:name w:val="Grid Table 5 Dark"/>
    <w:basedOn w:val="73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2" w:customStyle="1">
    <w:name w:val="Grid Table 6 Colorful"/>
    <w:basedOn w:val="73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3" w:customStyle="1">
    <w:name w:val="Grid Table 7 Colorful"/>
    <w:basedOn w:val="73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4" w:customStyle="1">
    <w:name w:val="List Table 1 Light"/>
    <w:basedOn w:val="73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customStyle="1">
    <w:name w:val="List Table 2"/>
    <w:basedOn w:val="73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6" w:customStyle="1">
    <w:name w:val="List Table 3"/>
    <w:basedOn w:val="73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4"/>
    <w:basedOn w:val="73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5 Dark"/>
    <w:basedOn w:val="73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6 Colorful"/>
    <w:basedOn w:val="73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0" w:customStyle="1">
    <w:name w:val="List Table 7 Colorful"/>
    <w:basedOn w:val="73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1" w:customStyle="1">
    <w:name w:val="TOC Heading"/>
    <w:uiPriority w:val="39"/>
    <w:unhideWhenUsed/>
    <w:qFormat/>
    <w:rPr>
      <w:rFonts w:hint="default" w:ascii="Times New Roman" w:hAnsi="Times New Roman" w:eastAsia="宋体" w:cs="Times New Roman"/>
    </w:rPr>
  </w:style>
  <w:style w:type="character" w:styleId="812" w:customStyle="1">
    <w:name w:val="Title Char"/>
    <w:basedOn w:val="737"/>
    <w:uiPriority w:val="10"/>
    <w:qFormat/>
    <w:rPr>
      <w:sz w:val="48"/>
      <w:szCs w:val="48"/>
    </w:rPr>
  </w:style>
  <w:style w:type="character" w:styleId="813" w:customStyle="1">
    <w:name w:val="Caption Char"/>
    <w:uiPriority w:val="99"/>
    <w:qFormat/>
  </w:style>
  <w:style w:type="character" w:styleId="814" w:customStyle="1">
    <w:name w:val="Footnote Text Char"/>
    <w:uiPriority w:val="99"/>
    <w:qFormat/>
    <w:rPr>
      <w:sz w:val="18"/>
    </w:rPr>
  </w:style>
  <w:style w:type="character" w:styleId="815" w:customStyle="1">
    <w:name w:val="Endnote Text Char"/>
    <w:uiPriority w:val="99"/>
    <w:qFormat/>
    <w:rPr>
      <w:sz w:val="20"/>
    </w:rPr>
  </w:style>
  <w:style w:type="paragraph" w:styleId="816" w:customStyle="1">
    <w:name w:val="TOC 标题1"/>
    <w:uiPriority w:val="39"/>
    <w:unhideWhenUsed/>
    <w:qFormat/>
    <w:rPr>
      <w:rFonts w:hint="default" w:ascii="Calibri" w:hAnsi="Calibri" w:eastAsia="宋体" w:cs="Times New Roman"/>
      <w:lang w:val="en-US" w:eastAsia="zh-CN" w:bidi="ar-SA"/>
    </w:rPr>
  </w:style>
  <w:style w:type="character" w:styleId="817" w:customStyle="1">
    <w:name w:val="Heading 1 Char"/>
    <w:basedOn w:val="737"/>
    <w:uiPriority w:val="9"/>
    <w:qFormat/>
    <w:rPr>
      <w:rFonts w:ascii="Arial" w:hAnsi="Arial" w:eastAsia="Arial" w:cs="Arial"/>
      <w:sz w:val="40"/>
      <w:szCs w:val="40"/>
    </w:rPr>
  </w:style>
  <w:style w:type="character" w:styleId="818" w:customStyle="1">
    <w:name w:val="Heading 2 Char"/>
    <w:basedOn w:val="737"/>
    <w:uiPriority w:val="9"/>
    <w:qFormat/>
    <w:rPr>
      <w:rFonts w:ascii="Arial" w:hAnsi="Arial" w:eastAsia="Arial" w:cs="Arial"/>
      <w:sz w:val="34"/>
    </w:rPr>
  </w:style>
  <w:style w:type="character" w:styleId="819" w:customStyle="1">
    <w:name w:val="Heading 4 Char"/>
    <w:basedOn w:val="737"/>
    <w:uiPriority w:val="9"/>
    <w:qFormat/>
    <w:rPr>
      <w:rFonts w:ascii="Arial" w:hAnsi="Arial" w:eastAsia="Arial" w:cs="Arial"/>
      <w:b/>
      <w:bCs/>
      <w:sz w:val="26"/>
      <w:szCs w:val="26"/>
    </w:rPr>
  </w:style>
  <w:style w:type="character" w:styleId="820" w:customStyle="1">
    <w:name w:val="Heading 5 Char"/>
    <w:basedOn w:val="737"/>
    <w:uiPriority w:val="9"/>
    <w:qFormat/>
    <w:rPr>
      <w:rFonts w:ascii="Arial" w:hAnsi="Arial" w:eastAsia="Arial" w:cs="Arial"/>
      <w:b/>
      <w:bCs/>
      <w:sz w:val="24"/>
      <w:szCs w:val="24"/>
    </w:rPr>
  </w:style>
  <w:style w:type="character" w:styleId="821" w:customStyle="1">
    <w:name w:val="Heading 6 Char"/>
    <w:basedOn w:val="737"/>
    <w:uiPriority w:val="9"/>
    <w:qFormat/>
    <w:rPr>
      <w:rFonts w:ascii="Arial" w:hAnsi="Arial" w:eastAsia="Arial" w:cs="Arial"/>
      <w:b/>
      <w:bCs/>
      <w:sz w:val="22"/>
      <w:szCs w:val="22"/>
    </w:rPr>
  </w:style>
  <w:style w:type="character" w:styleId="822" w:customStyle="1">
    <w:name w:val="Heading 7 Char"/>
    <w:basedOn w:val="737"/>
    <w:uiPriority w:val="9"/>
    <w:qFormat/>
    <w:rPr>
      <w:rFonts w:ascii="Arial" w:hAnsi="Arial" w:eastAsia="Arial" w:cs="Arial"/>
      <w:b/>
      <w:bCs/>
      <w:i/>
      <w:iCs/>
      <w:sz w:val="22"/>
      <w:szCs w:val="22"/>
    </w:rPr>
  </w:style>
  <w:style w:type="character" w:styleId="823" w:customStyle="1">
    <w:name w:val="Heading 8 Char"/>
    <w:basedOn w:val="737"/>
    <w:uiPriority w:val="9"/>
    <w:qFormat/>
    <w:rPr>
      <w:rFonts w:ascii="Arial" w:hAnsi="Arial" w:eastAsia="Arial" w:cs="Arial"/>
      <w:i/>
      <w:iCs/>
      <w:sz w:val="22"/>
      <w:szCs w:val="22"/>
    </w:rPr>
  </w:style>
  <w:style w:type="character" w:styleId="824" w:customStyle="1">
    <w:name w:val="Heading 9 Char"/>
    <w:basedOn w:val="737"/>
    <w:uiPriority w:val="9"/>
    <w:qFormat/>
    <w:rPr>
      <w:rFonts w:ascii="Arial" w:hAnsi="Arial" w:eastAsia="Arial" w:cs="Arial"/>
      <w:i/>
      <w:iCs/>
      <w:sz w:val="21"/>
      <w:szCs w:val="21"/>
    </w:rPr>
  </w:style>
  <w:style w:type="character" w:styleId="825" w:customStyle="1">
    <w:name w:val="标题 字符"/>
    <w:basedOn w:val="737"/>
    <w:link w:val="778"/>
    <w:uiPriority w:val="10"/>
    <w:qFormat/>
    <w:rPr>
      <w:sz w:val="48"/>
      <w:szCs w:val="48"/>
    </w:rPr>
  </w:style>
  <w:style w:type="character" w:styleId="826" w:customStyle="1">
    <w:name w:val="Subtitle Char"/>
    <w:basedOn w:val="737"/>
    <w:uiPriority w:val="11"/>
    <w:qFormat/>
    <w:rPr>
      <w:sz w:val="24"/>
      <w:szCs w:val="24"/>
    </w:rPr>
  </w:style>
  <w:style w:type="character" w:styleId="827" w:customStyle="1">
    <w:name w:val="Quote Char"/>
    <w:uiPriority w:val="29"/>
    <w:qFormat/>
    <w:rPr>
      <w:i/>
    </w:rPr>
  </w:style>
  <w:style w:type="character" w:styleId="828" w:customStyle="1">
    <w:name w:val="Intense Quote Char"/>
    <w:uiPriority w:val="30"/>
    <w:qFormat/>
    <w:rPr>
      <w:i/>
    </w:rPr>
  </w:style>
  <w:style w:type="character" w:styleId="829" w:customStyle="1">
    <w:name w:val="Header Char"/>
    <w:basedOn w:val="737"/>
    <w:uiPriority w:val="99"/>
    <w:qFormat/>
  </w:style>
  <w:style w:type="character" w:styleId="830" w:customStyle="1">
    <w:name w:val="Footer Char"/>
    <w:basedOn w:val="737"/>
    <w:uiPriority w:val="99"/>
    <w:qFormat/>
  </w:style>
  <w:style w:type="character" w:styleId="831" w:customStyle="1">
    <w:name w:val="页脚 字符"/>
    <w:link w:val="761"/>
    <w:uiPriority w:val="99"/>
    <w:qFormat/>
  </w:style>
  <w:style w:type="table" w:styleId="832" w:customStyle="1">
    <w:name w:val="Table Grid Light"/>
    <w:basedOn w:val="73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33" w:customStyle="1">
    <w:name w:val="无格式表格 11"/>
    <w:basedOn w:val="73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无格式表格 21"/>
    <w:basedOn w:val="73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无格式表格 31"/>
    <w:basedOn w:val="73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customStyle="1">
    <w:name w:val="无格式表格 41"/>
    <w:basedOn w:val="73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customStyle="1">
    <w:name w:val="无格式表格 51"/>
    <w:basedOn w:val="73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8" w:customStyle="1">
    <w:name w:val="网格表 1 浅色1"/>
    <w:basedOn w:val="73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1"/>
    <w:basedOn w:val="73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2"/>
    <w:basedOn w:val="73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3"/>
    <w:basedOn w:val="73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4"/>
    <w:basedOn w:val="73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5"/>
    <w:basedOn w:val="73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6"/>
    <w:basedOn w:val="73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5" w:customStyle="1">
    <w:name w:val="网格表 21"/>
    <w:basedOn w:val="73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6" w:customStyle="1">
    <w:name w:val="Grid Table 2 - Accent 1"/>
    <w:basedOn w:val="73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47" w:customStyle="1">
    <w:name w:val="Grid Table 2 - Accent 2"/>
    <w:basedOn w:val="73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48" w:customStyle="1">
    <w:name w:val="Grid Table 2 - Accent 3"/>
    <w:basedOn w:val="73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9" w:customStyle="1">
    <w:name w:val="Grid Table 2 - Accent 4"/>
    <w:basedOn w:val="73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50" w:customStyle="1">
    <w:name w:val="Grid Table 2 - Accent 5"/>
    <w:basedOn w:val="73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51" w:customStyle="1">
    <w:name w:val="Grid Table 2 - Accent 6"/>
    <w:basedOn w:val="73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2" w:customStyle="1">
    <w:name w:val="网格表 31"/>
    <w:basedOn w:val="73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1"/>
    <w:basedOn w:val="73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2"/>
    <w:basedOn w:val="73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3"/>
    <w:basedOn w:val="73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4"/>
    <w:basedOn w:val="73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5"/>
    <w:basedOn w:val="73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6"/>
    <w:basedOn w:val="73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网格表 41"/>
    <w:basedOn w:val="73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customStyle="1">
    <w:name w:val="Grid Table 4 - Accent 1"/>
    <w:basedOn w:val="738"/>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61" w:customStyle="1">
    <w:name w:val="Grid Table 4 - Accent 2"/>
    <w:basedOn w:val="73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62" w:customStyle="1">
    <w:name w:val="Grid Table 4 - Accent 3"/>
    <w:basedOn w:val="73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3" w:customStyle="1">
    <w:name w:val="Grid Table 4 - Accent 4"/>
    <w:basedOn w:val="73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64" w:customStyle="1">
    <w:name w:val="Grid Table 4 - Accent 5"/>
    <w:basedOn w:val="738"/>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65" w:customStyle="1">
    <w:name w:val="Grid Table 4 - Accent 6"/>
    <w:basedOn w:val="73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6" w:customStyle="1">
    <w:name w:val="网格表 5 深色1"/>
    <w:basedOn w:val="73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7" w:customStyle="1">
    <w:name w:val="Grid Table 5 Dark- Accent 1"/>
    <w:basedOn w:val="73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68" w:customStyle="1">
    <w:name w:val="Grid Table 5 Dark - Accent 2"/>
    <w:basedOn w:val="73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9" w:customStyle="1">
    <w:name w:val="Grid Table 5 Dark - Accent 3"/>
    <w:basedOn w:val="73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70" w:customStyle="1">
    <w:name w:val="Grid Table 5 Dark- Accent 4"/>
    <w:basedOn w:val="73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1" w:customStyle="1">
    <w:name w:val="Grid Table 5 Dark - Accent 5"/>
    <w:basedOn w:val="73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72" w:customStyle="1">
    <w:name w:val="Grid Table 5 Dark - Accent 6"/>
    <w:basedOn w:val="73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3" w:customStyle="1">
    <w:name w:val="网格表 6 彩色1"/>
    <w:basedOn w:val="73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4" w:customStyle="1">
    <w:name w:val="Grid Table 6 Colorful - Accent 1"/>
    <w:basedOn w:val="738"/>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75" w:customStyle="1">
    <w:name w:val="Grid Table 6 Colorful - Accent 2"/>
    <w:basedOn w:val="73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76" w:customStyle="1">
    <w:name w:val="Grid Table 6 Colorful - Accent 3"/>
    <w:basedOn w:val="73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77" w:customStyle="1">
    <w:name w:val="Grid Table 6 Colorful - Accent 4"/>
    <w:basedOn w:val="73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8" w:customStyle="1">
    <w:name w:val="Grid Table 6 Colorful - Accent 5"/>
    <w:basedOn w:val="738"/>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9" w:customStyle="1">
    <w:name w:val="Grid Table 6 Colorful - Accent 6"/>
    <w:basedOn w:val="73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0" w:customStyle="1">
    <w:name w:val="网格表 7 彩色1"/>
    <w:basedOn w:val="73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Grid Table 7 Colorful - Accent 1"/>
    <w:basedOn w:val="738"/>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82" w:customStyle="1">
    <w:name w:val="Grid Table 7 Colorful - Accent 2"/>
    <w:basedOn w:val="73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3" w:customStyle="1">
    <w:name w:val="Grid Table 7 Colorful - Accent 3"/>
    <w:basedOn w:val="73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4" w:customStyle="1">
    <w:name w:val="Grid Table 7 Colorful - Accent 4"/>
    <w:basedOn w:val="73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5" w:customStyle="1">
    <w:name w:val="Grid Table 7 Colorful - Accent 5"/>
    <w:basedOn w:val="738"/>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86" w:customStyle="1">
    <w:name w:val="Grid Table 7 Colorful - Accent 6"/>
    <w:basedOn w:val="73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7" w:customStyle="1">
    <w:name w:val="清单表 1 浅色1"/>
    <w:basedOn w:val="73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customStyle="1">
    <w:name w:val="List Table 1 Light - Accent 1"/>
    <w:basedOn w:val="738"/>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89" w:customStyle="1">
    <w:name w:val="List Table 1 Light - Accent 2"/>
    <w:basedOn w:val="738"/>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90" w:customStyle="1">
    <w:name w:val="List Table 1 Light - Accent 3"/>
    <w:basedOn w:val="738"/>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91" w:customStyle="1">
    <w:name w:val="List Table 1 Light - Accent 4"/>
    <w:basedOn w:val="738"/>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92" w:customStyle="1">
    <w:name w:val="List Table 1 Light - Accent 5"/>
    <w:basedOn w:val="738"/>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93" w:customStyle="1">
    <w:name w:val="List Table 1 Light - Accent 6"/>
    <w:basedOn w:val="738"/>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4" w:customStyle="1">
    <w:name w:val="清单表 21"/>
    <w:basedOn w:val="73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5" w:customStyle="1">
    <w:name w:val="List Table 2 - Accent 1"/>
    <w:basedOn w:val="738"/>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96" w:customStyle="1">
    <w:name w:val="List Table 2 - Accent 2"/>
    <w:basedOn w:val="73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7" w:customStyle="1">
    <w:name w:val="List Table 2 - Accent 3"/>
    <w:basedOn w:val="73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8" w:customStyle="1">
    <w:name w:val="List Table 2 - Accent 4"/>
    <w:basedOn w:val="73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99" w:customStyle="1">
    <w:name w:val="List Table 2 - Accent 5"/>
    <w:basedOn w:val="738"/>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00" w:customStyle="1">
    <w:name w:val="List Table 2 - Accent 6"/>
    <w:basedOn w:val="73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01" w:customStyle="1">
    <w:name w:val="清单表 31"/>
    <w:basedOn w:val="73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3 - Accent 1"/>
    <w:basedOn w:val="738"/>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3" w:customStyle="1">
    <w:name w:val="List Table 3 - Accent 2"/>
    <w:basedOn w:val="73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04" w:customStyle="1">
    <w:name w:val="List Table 3 - Accent 3"/>
    <w:basedOn w:val="73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5" w:customStyle="1">
    <w:name w:val="List Table 3 - Accent 4"/>
    <w:basedOn w:val="73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06" w:customStyle="1">
    <w:name w:val="List Table 3 - Accent 5"/>
    <w:basedOn w:val="738"/>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07" w:customStyle="1">
    <w:name w:val="List Table 3 - Accent 6"/>
    <w:basedOn w:val="73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8" w:customStyle="1">
    <w:name w:val="清单表 41"/>
    <w:basedOn w:val="73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4 - Accent 1"/>
    <w:basedOn w:val="738"/>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0" w:customStyle="1">
    <w:name w:val="List Table 4 - Accent 2"/>
    <w:basedOn w:val="73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11" w:customStyle="1">
    <w:name w:val="List Table 4 - Accent 3"/>
    <w:basedOn w:val="73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12" w:customStyle="1">
    <w:name w:val="List Table 4 - Accent 4"/>
    <w:basedOn w:val="73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13" w:customStyle="1">
    <w:name w:val="List Table 4 - Accent 5"/>
    <w:basedOn w:val="738"/>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14" w:customStyle="1">
    <w:name w:val="List Table 4 - Accent 6"/>
    <w:basedOn w:val="73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5" w:customStyle="1">
    <w:name w:val="清单表 5 深色1"/>
    <w:basedOn w:val="73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1"/>
    <w:basedOn w:val="738"/>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2"/>
    <w:basedOn w:val="73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3"/>
    <w:basedOn w:val="73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4"/>
    <w:basedOn w:val="73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5"/>
    <w:basedOn w:val="738"/>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6"/>
    <w:basedOn w:val="73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清单表 6 彩色1"/>
    <w:basedOn w:val="73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3" w:customStyle="1">
    <w:name w:val="List Table 6 Colorful - Accent 1"/>
    <w:basedOn w:val="738"/>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24" w:customStyle="1">
    <w:name w:val="List Table 6 Colorful - Accent 2"/>
    <w:basedOn w:val="738"/>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25" w:customStyle="1">
    <w:name w:val="List Table 6 Colorful - Accent 3"/>
    <w:basedOn w:val="738"/>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26" w:customStyle="1">
    <w:name w:val="List Table 6 Colorful - Accent 4"/>
    <w:basedOn w:val="738"/>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27" w:customStyle="1">
    <w:name w:val="List Table 6 Colorful - Accent 5"/>
    <w:basedOn w:val="738"/>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28" w:customStyle="1">
    <w:name w:val="List Table 6 Colorful - Accent 6"/>
    <w:basedOn w:val="738"/>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29" w:customStyle="1">
    <w:name w:val="清单表 7 彩色1"/>
    <w:basedOn w:val="73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0" w:customStyle="1">
    <w:name w:val="List Table 7 Colorful - Accent 1"/>
    <w:basedOn w:val="738"/>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31" w:customStyle="1">
    <w:name w:val="List Table 7 Colorful - Accent 2"/>
    <w:basedOn w:val="738"/>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2" w:customStyle="1">
    <w:name w:val="List Table 7 Colorful - Accent 3"/>
    <w:basedOn w:val="738"/>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33" w:customStyle="1">
    <w:name w:val="List Table 7 Colorful - Accent 4"/>
    <w:basedOn w:val="738"/>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4" w:customStyle="1">
    <w:name w:val="List Table 7 Colorful - Accent 5"/>
    <w:basedOn w:val="738"/>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35" w:customStyle="1">
    <w:name w:val="List Table 7 Colorful - Accent 6"/>
    <w:basedOn w:val="738"/>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36" w:customStyle="1">
    <w:name w:val="Lined - Accent"/>
    <w:basedOn w:val="73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Lined - Accent 1"/>
    <w:basedOn w:val="73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8" w:customStyle="1">
    <w:name w:val="Lined - Accent 2"/>
    <w:basedOn w:val="73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9" w:customStyle="1">
    <w:name w:val="Lined - Accent 3"/>
    <w:basedOn w:val="73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0" w:customStyle="1">
    <w:name w:val="Lined - Accent 4"/>
    <w:basedOn w:val="73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1" w:customStyle="1">
    <w:name w:val="Lined - Accent 5"/>
    <w:basedOn w:val="73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2" w:customStyle="1">
    <w:name w:val="Lined - Accent 6"/>
    <w:basedOn w:val="73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3" w:customStyle="1">
    <w:name w:val="Bordered &amp; Lined - Accent"/>
    <w:basedOn w:val="73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Bordered &amp; Lined - Accent 1"/>
    <w:basedOn w:val="738"/>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45" w:customStyle="1">
    <w:name w:val="Bordered &amp; Lined - Accent 2"/>
    <w:basedOn w:val="73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6" w:customStyle="1">
    <w:name w:val="Bordered &amp; Lined - Accent 3"/>
    <w:basedOn w:val="73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7" w:customStyle="1">
    <w:name w:val="Bordered &amp; Lined - Accent 4"/>
    <w:basedOn w:val="73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8" w:customStyle="1">
    <w:name w:val="Bordered &amp; Lined - Accent 5"/>
    <w:basedOn w:val="738"/>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9" w:customStyle="1">
    <w:name w:val="Bordered &amp; Lined - Accent 6"/>
    <w:basedOn w:val="73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0" w:customStyle="1">
    <w:name w:val="Bordered"/>
    <w:basedOn w:val="73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1" w:customStyle="1">
    <w:name w:val="Bordered - Accent 1"/>
    <w:basedOn w:val="73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52" w:customStyle="1">
    <w:name w:val="Bordered - Accent 2"/>
    <w:basedOn w:val="73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53" w:customStyle="1">
    <w:name w:val="Bordered - Accent 3"/>
    <w:basedOn w:val="73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54" w:customStyle="1">
    <w:name w:val="Bordered - Accent 4"/>
    <w:basedOn w:val="73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55" w:customStyle="1">
    <w:name w:val="Bordered - Accent 5"/>
    <w:basedOn w:val="73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56" w:customStyle="1">
    <w:name w:val="Bordered - Accent 6"/>
    <w:basedOn w:val="73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7" w:customStyle="1">
    <w:name w:val="脚注文本 字符"/>
    <w:link w:val="769"/>
    <w:uiPriority w:val="99"/>
    <w:qFormat/>
    <w:rPr>
      <w:sz w:val="18"/>
    </w:rPr>
  </w:style>
  <w:style w:type="character" w:styleId="958" w:customStyle="1">
    <w:name w:val="尾注文本 字符"/>
    <w:link w:val="759"/>
    <w:uiPriority w:val="99"/>
    <w:qFormat/>
    <w:rPr>
      <w:sz w:val="20"/>
    </w:rPr>
  </w:style>
  <w:style w:type="paragraph" w:styleId="959" w:customStyle="1">
    <w:name w:val="TOC 标题111"/>
    <w:uiPriority w:val="39"/>
    <w:unhideWhenUsed/>
    <w:qFormat/>
    <w:rPr>
      <w:rFonts w:hint="default" w:ascii="Calibri" w:hAnsi="Calibri" w:eastAsia="宋体" w:cs="Times New Roman"/>
      <w:lang w:val="en-US" w:eastAsia="zh-CN" w:bidi="ar-SA"/>
    </w:rPr>
  </w:style>
  <w:style w:type="character" w:styleId="960" w:customStyle="1">
    <w:name w:val="标题 1 字符"/>
    <w:link w:val="728"/>
    <w:uiPriority w:val="0"/>
    <w:qFormat/>
    <w:rPr>
      <w:rFonts w:ascii="Calibri" w:hAnsi="Calibri" w:eastAsia="宋体"/>
      <w:b/>
      <w:bCs/>
      <w:sz w:val="44"/>
      <w:szCs w:val="44"/>
      <w:lang w:val="en-US" w:eastAsia="zh-CN" w:bidi="ar-SA"/>
    </w:rPr>
  </w:style>
  <w:style w:type="character" w:styleId="961" w:customStyle="1">
    <w:name w:val="标题 2 字符1"/>
    <w:link w:val="729"/>
    <w:uiPriority w:val="0"/>
    <w:qFormat/>
    <w:rPr>
      <w:rFonts w:ascii="Arial" w:hAnsi="Arial" w:eastAsia="黑体"/>
      <w:b/>
      <w:bCs/>
      <w:sz w:val="32"/>
      <w:szCs w:val="32"/>
      <w:lang w:val="en-US" w:eastAsia="zh-CN" w:bidi="ar-SA"/>
    </w:rPr>
  </w:style>
  <w:style w:type="character" w:styleId="962" w:customStyle="1">
    <w:name w:val="标题 3 字符"/>
    <w:link w:val="730"/>
    <w:uiPriority w:val="0"/>
    <w:qFormat/>
    <w:rPr>
      <w:rFonts w:eastAsia="宋体"/>
      <w:b/>
      <w:bCs/>
      <w:sz w:val="32"/>
      <w:szCs w:val="32"/>
      <w:lang w:val="en-US" w:eastAsia="zh-CN" w:bidi="ar-SA"/>
    </w:rPr>
  </w:style>
  <w:style w:type="character" w:styleId="963" w:customStyle="1">
    <w:name w:val="标题 4 字符"/>
    <w:link w:val="731"/>
    <w:uiPriority w:val="0"/>
    <w:qFormat/>
    <w:rPr>
      <w:rFonts w:ascii="Arial" w:hAnsi="Arial" w:eastAsia="黑体"/>
      <w:b/>
      <w:sz w:val="28"/>
      <w:lang w:val="en-US" w:eastAsia="zh-CN" w:bidi="ar-SA"/>
    </w:rPr>
  </w:style>
  <w:style w:type="character" w:styleId="964" w:customStyle="1">
    <w:name w:val="标题 5 字符"/>
    <w:link w:val="732"/>
    <w:uiPriority w:val="0"/>
    <w:qFormat/>
    <w:rPr>
      <w:rFonts w:eastAsia="宋体"/>
      <w:b/>
      <w:sz w:val="24"/>
      <w:lang w:val="en-US" w:eastAsia="zh-CN" w:bidi="ar-SA"/>
    </w:rPr>
  </w:style>
  <w:style w:type="character" w:styleId="965" w:customStyle="1">
    <w:name w:val="标题 6 字符"/>
    <w:link w:val="733"/>
    <w:uiPriority w:val="0"/>
    <w:qFormat/>
    <w:rPr>
      <w:rFonts w:eastAsia="宋体"/>
      <w:b/>
      <w:sz w:val="24"/>
      <w:lang w:val="en-US" w:eastAsia="zh-CN" w:bidi="ar-SA"/>
    </w:rPr>
  </w:style>
  <w:style w:type="character" w:styleId="966" w:customStyle="1">
    <w:name w:val="标题 7 字符"/>
    <w:link w:val="734"/>
    <w:uiPriority w:val="0"/>
    <w:qFormat/>
    <w:rPr>
      <w:rFonts w:eastAsia="宋体"/>
      <w:b/>
      <w:sz w:val="24"/>
      <w:lang w:val="en-US" w:eastAsia="zh-CN" w:bidi="ar-SA"/>
    </w:rPr>
  </w:style>
  <w:style w:type="character" w:styleId="967" w:customStyle="1">
    <w:name w:val="标题 8 字符"/>
    <w:link w:val="735"/>
    <w:uiPriority w:val="0"/>
    <w:qFormat/>
    <w:rPr>
      <w:rFonts w:ascii="Arial" w:hAnsi="Arial" w:eastAsia="黑体"/>
      <w:sz w:val="24"/>
      <w:szCs w:val="24"/>
      <w:lang w:val="en-US" w:eastAsia="zh-CN" w:bidi="ar-SA"/>
    </w:rPr>
  </w:style>
  <w:style w:type="character" w:styleId="968" w:customStyle="1">
    <w:name w:val="标题 9 字符"/>
    <w:link w:val="736"/>
    <w:uiPriority w:val="0"/>
    <w:qFormat/>
    <w:rPr>
      <w:rFonts w:ascii="Arial" w:hAnsi="Arial" w:eastAsia="黑体"/>
      <w:sz w:val="21"/>
      <w:szCs w:val="21"/>
      <w:lang w:val="en-US" w:eastAsia="zh-CN" w:bidi="ar-SA"/>
    </w:rPr>
  </w:style>
  <w:style w:type="character" w:styleId="969" w:customStyle="1">
    <w:name w:val="正文缩进 字符1"/>
    <w:link w:val="741"/>
    <w:uiPriority w:val="0"/>
    <w:qFormat/>
    <w:rPr>
      <w:rFonts w:eastAsia="楷体_GB2312"/>
      <w:sz w:val="24"/>
      <w:lang w:val="en-US" w:eastAsia="zh-CN" w:bidi="ar-SA"/>
    </w:rPr>
  </w:style>
  <w:style w:type="character" w:styleId="970" w:customStyle="1">
    <w:name w:val="正文文本 字符"/>
    <w:link w:val="748"/>
    <w:uiPriority w:val="0"/>
    <w:semiHidden/>
    <w:qFormat/>
    <w:rPr>
      <w:rFonts w:eastAsia="宋体"/>
      <w:sz w:val="28"/>
      <w:szCs w:val="24"/>
      <w:lang w:val="en-US" w:eastAsia="zh-CN" w:bidi="ar-SA"/>
    </w:rPr>
  </w:style>
  <w:style w:type="character" w:styleId="971" w:customStyle="1">
    <w:name w:val="正文文本缩进 字符"/>
    <w:link w:val="749"/>
    <w:uiPriority w:val="0"/>
    <w:qFormat/>
    <w:rPr>
      <w:rFonts w:ascii="方正仿宋简体" w:hAnsi="创艺简仿宋" w:eastAsia="方正仿宋简体"/>
      <w:sz w:val="24"/>
    </w:rPr>
  </w:style>
  <w:style w:type="character" w:styleId="972" w:customStyle="1">
    <w:name w:val="纯文本 字符"/>
    <w:link w:val="755"/>
    <w:uiPriority w:val="0"/>
    <w:qFormat/>
    <w:rPr>
      <w:rFonts w:ascii="宋体" w:hAnsi="Courier New" w:eastAsia="楷体_GB2312"/>
      <w:sz w:val="28"/>
      <w:lang w:val="en-US" w:eastAsia="zh-CN" w:bidi="ar-SA"/>
    </w:rPr>
  </w:style>
  <w:style w:type="character" w:styleId="973" w:customStyle="1">
    <w:name w:val="日期 字符"/>
    <w:link w:val="757"/>
    <w:uiPriority w:val="0"/>
    <w:qFormat/>
    <w:rPr>
      <w:sz w:val="28"/>
      <w:szCs w:val="24"/>
    </w:rPr>
  </w:style>
  <w:style w:type="character" w:styleId="974" w:customStyle="1">
    <w:name w:val="页眉 字符"/>
    <w:link w:val="762"/>
    <w:uiPriority w:val="0"/>
    <w:semiHidden/>
    <w:qFormat/>
    <w:rPr>
      <w:rFonts w:eastAsia="宋体"/>
      <w:sz w:val="18"/>
      <w:szCs w:val="18"/>
      <w:lang w:val="en-US" w:eastAsia="zh-CN" w:bidi="ar-SA"/>
    </w:rPr>
  </w:style>
  <w:style w:type="character" w:styleId="975" w:customStyle="1">
    <w:name w:val="副标题 字符"/>
    <w:link w:val="767"/>
    <w:uiPriority w:val="0"/>
    <w:qFormat/>
    <w:rPr>
      <w:rFonts w:eastAsia="宋体"/>
      <w:sz w:val="21"/>
      <w:szCs w:val="24"/>
      <w:lang w:val="en-US" w:eastAsia="zh-CN" w:bidi="ar-SA"/>
    </w:rPr>
  </w:style>
  <w:style w:type="character" w:styleId="976" w:customStyle="1">
    <w:name w:val="正文文本首行缩进 字符"/>
    <w:link w:val="780"/>
    <w:uiPriority w:val="0"/>
    <w:semiHidden/>
    <w:qFormat/>
    <w:rPr>
      <w:rFonts w:ascii="Cambria" w:hAnsi="Cambria"/>
      <w:sz w:val="21"/>
      <w:szCs w:val="24"/>
      <w:lang w:val="en-US" w:eastAsia="zh-CN" w:bidi="ar-SA"/>
    </w:rPr>
  </w:style>
  <w:style w:type="table" w:styleId="977" w:customStyle="1">
    <w:name w:val="浅色网格 - 强调文字颜色 61"/>
    <w:basedOn w:val="738"/>
    <w:uiPriority w:val="0"/>
    <w:qFormat/>
    <w:rPr>
      <w:rFonts w:ascii="Cambria" w:hAnsi="Cambria"/>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band1Horz">
      <w:tcPr>
        <w:shd w:val="clear" w:color="auto" w:fill="fde4d0"/>
        <w:tcBorders>
          <w:top w:val="single" w:color="F79646" w:sz="8" w:space="0"/>
          <w:left w:val="single" w:color="F79646" w:sz="8" w:space="0"/>
          <w:bottom w:val="single" w:color="F79646" w:sz="8" w:space="0"/>
          <w:right w:val="single" w:color="F79646" w:sz="8" w:space="0"/>
          <w:insideV w:val="single" w:color="000000" w:sz="8" w:space="0"/>
        </w:tcBorders>
      </w:tcPr>
    </w:tblStylePr>
    <w:tblStylePr w:type="band1Vert">
      <w:tcPr>
        <w:shd w:val="clear" w:color="auto" w:fill="fde4d0"/>
        <w:tcBorders>
          <w:top w:val="single" w:color="F79646" w:sz="8" w:space="0"/>
          <w:left w:val="single" w:color="F79646" w:sz="8" w:space="0"/>
          <w:bottom w:val="single" w:color="F79646" w:sz="8" w:space="0"/>
          <w:right w:val="single" w:color="F79646" w:sz="8" w:space="0"/>
        </w:tcBorders>
      </w:tcPr>
    </w:tblStylePr>
    <w:tblStylePr w:type="band2Horz">
      <w:tcPr>
        <w:tcBorders>
          <w:top w:val="single" w:color="F79646" w:sz="8" w:space="0"/>
          <w:left w:val="single" w:color="F79646" w:sz="8" w:space="0"/>
          <w:bottom w:val="single" w:color="F79646" w:sz="8" w:space="0"/>
          <w:right w:val="single" w:color="F79646"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F79646" w:sz="8" w:space="0"/>
          <w:left w:val="single" w:color="F79646" w:sz="8" w:space="0"/>
          <w:bottom w:val="single" w:color="F79646" w:sz="18" w:space="0"/>
          <w:right w:val="single" w:color="F79646"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lastRow">
      <w:rPr>
        <w:rFonts w:ascii="等线" w:hAnsi="等线" w:eastAsia="宋体" w:cs="Times New Roman"/>
        <w:b/>
        <w:bCs/>
      </w:rPr>
      <w:pPr>
        <w:spacing w:before="0" w:after="0" w:line="240" w:lineRule="auto"/>
      </w:pPr>
      <w:tcPr>
        <w:tcBorders>
          <w:top w:val="single" w:color="F79646" w:sz="6" w:space="0"/>
          <w:left w:val="single" w:color="F79646" w:sz="8" w:space="0"/>
          <w:bottom w:val="single" w:color="F79646" w:sz="8" w:space="0"/>
          <w:right w:val="single" w:color="F79646" w:sz="8" w:space="0"/>
          <w:insideH w:val="none" w:color="000000" w:sz="4" w:space="0"/>
          <w:insideV w:val="single" w:color="000000" w:sz="8" w:space="0"/>
        </w:tcBorders>
      </w:tcPr>
    </w:tblStylePr>
  </w:style>
  <w:style w:type="table" w:styleId="978" w:customStyle="1">
    <w:name w:val="彩色底纹 - 强调文字颜色 51"/>
    <w:basedOn w:val="738"/>
    <w:uiPriority w:val="0"/>
    <w:qFormat/>
    <w:rPr>
      <w:rFonts w:ascii="Cambria" w:hAnsi="Cambria"/>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band1Horz">
      <w:tcPr>
        <w:shd w:val="clear" w:color="auto" w:fill="a5d5e2"/>
      </w:tcPr>
    </w:tblStylePr>
    <w:tblStylePr w:type="band1Vert">
      <w:tcPr>
        <w:shd w:val="clear" w:color="auto" w:fill="b6dde8"/>
      </w:tcPr>
    </w:tblStylePr>
    <w:tblStylePr w:type="firstCol">
      <w:rPr>
        <w:color w:val="ffffff"/>
      </w:rPr>
      <w:tcPr>
        <w:shd w:val="clear" w:color="auto" w:fill="276a7c"/>
        <w:tcBorders>
          <w:top w:val="none" w:color="000000" w:sz="4" w:space="0"/>
          <w:left w:val="none" w:color="000000" w:sz="4" w:space="0"/>
          <w:bottom w:val="none" w:color="000000" w:sz="4" w:space="0"/>
          <w:right w:val="none" w:color="000000" w:sz="4" w:space="0"/>
          <w:insideH w:val="single" w:color="000000" w:sz="4" w:space="0"/>
          <w:insideV w:val="none" w:color="000000" w:sz="4" w:space="0"/>
        </w:tcBorders>
      </w:tcPr>
    </w:tblStylePr>
    <w:tblStylePr w:type="firstRow">
      <w:rPr>
        <w:b/>
        <w:bCs/>
      </w:rPr>
      <w:tcPr>
        <w:shd w:val="clear" w:color="auto" w:fill="ffffff"/>
        <w:tcBorders>
          <w:top w:val="none" w:color="000000" w:sz="4" w:space="0"/>
          <w:left w:val="none" w:color="000000" w:sz="4" w:space="0"/>
          <w:bottom w:val="single" w:color="F79646" w:sz="24" w:space="0"/>
          <w:right w:val="none" w:color="000000" w:sz="4" w:space="0"/>
          <w:insideH w:val="none" w:color="000000" w:sz="4" w:space="0"/>
          <w:insideV w:val="none" w:color="000000" w:sz="4" w:space="0"/>
        </w:tcBorders>
      </w:tcPr>
    </w:tblStylePr>
    <w:tblStylePr w:type="lastCol">
      <w:rPr>
        <w:color w:val="ffffff"/>
      </w:rPr>
      <w:tcPr>
        <w:shd w:val="clear" w:color="auto" w:fill="276a7c"/>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rPr>
      <w:tcPr>
        <w:shd w:val="clear" w:color="auto" w:fill="276a7c"/>
        <w:tcBorders>
          <w:top w:val="single" w:color="FFFFFF" w:sz="6" w:space="0"/>
        </w:tcBorders>
      </w:tcPr>
    </w:tblStylePr>
    <w:tblStylePr w:type="nwCell">
      <w:rPr>
        <w:color w:val="000000"/>
      </w:rPr>
    </w:tblStylePr>
    <w:tblStylePr w:type="neCell">
      <w:rPr>
        <w:color w:val="000000"/>
      </w:rPr>
    </w:tblStylePr>
  </w:style>
  <w:style w:type="table" w:styleId="979" w:customStyle="1">
    <w:name w:val="彩色列表 - 强调文字颜色 41"/>
    <w:basedOn w:val="738"/>
    <w:uiPriority w:val="0"/>
    <w:qFormat/>
    <w:rPr>
      <w:rFonts w:ascii="Cambria" w:hAnsi="Cambria"/>
      <w:color w:val="000000"/>
    </w:rPr>
    <w:tblPr/>
    <w:tcPr>
      <w:shd w:val="clear" w:color="auto" w:fill="f2eff6"/>
    </w:tcPr>
    <w:tblStylePr w:type="band1Horz">
      <w:tcPr>
        <w:shd w:val="clear" w:color="auto" w:fill="e5dfec"/>
      </w:tcPr>
    </w:tblStylePr>
    <w:tblStylePr w:type="band1Vert">
      <w:tcPr>
        <w:shd w:val="clear" w:color="auto" w:fill="dfd8e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tcPr>
        <w:shd w:val="clear" w:color="auto" w:fill="7e9c40"/>
        <w:tcBorders>
          <w:bottom w:val="single" w:color="FFFFFF" w:sz="12" w:space="0"/>
        </w:tcBorders>
      </w:tcPr>
    </w:tblStylePr>
    <w:tblStylePr w:type="lastCol">
      <w:rPr>
        <w:b/>
        <w:bCs/>
      </w:rPr>
    </w:tblStylePr>
    <w:tblStylePr w:type="lastRow">
      <w:rPr>
        <w:b/>
        <w:bCs/>
        <w:color w:val="7e9c40"/>
      </w:rPr>
      <w:tcPr>
        <w:shd w:val="clear" w:color="auto" w:fill="ffffff"/>
        <w:tcBorders>
          <w:top w:val="single" w:color="000000" w:sz="12" w:space="0"/>
        </w:tcBorders>
      </w:tcPr>
    </w:tblStylePr>
  </w:style>
  <w:style w:type="paragraph" w:styleId="980" w:customStyle="1">
    <w:name w:val="pa-0"/>
    <w:basedOn w:val="727"/>
    <w:uiPriority w:val="0"/>
    <w:qFormat/>
    <w:pPr>
      <w:jc w:val="center"/>
      <w:spacing w:line="320" w:lineRule="atLeast"/>
      <w:widowControl/>
    </w:pPr>
    <w:rPr>
      <w:rFonts w:ascii="宋体" w:hAnsi="宋体" w:cs="宋体"/>
      <w:sz w:val="24"/>
    </w:rPr>
  </w:style>
  <w:style w:type="paragraph" w:styleId="981" w:customStyle="1">
    <w:name w:val="pa-1"/>
    <w:basedOn w:val="727"/>
    <w:uiPriority w:val="0"/>
    <w:qFormat/>
    <w:pPr>
      <w:ind w:firstLine="540"/>
      <w:spacing w:line="360" w:lineRule="atLeast"/>
      <w:widowControl/>
    </w:pPr>
    <w:rPr>
      <w:rFonts w:ascii="宋体" w:hAnsi="宋体" w:cs="宋体"/>
      <w:sz w:val="24"/>
    </w:rPr>
  </w:style>
  <w:style w:type="paragraph" w:styleId="982" w:customStyle="1">
    <w:name w:val="pa-2"/>
    <w:basedOn w:val="727"/>
    <w:uiPriority w:val="0"/>
    <w:qFormat/>
    <w:pPr>
      <w:ind w:firstLine="480"/>
      <w:spacing w:line="280" w:lineRule="atLeast"/>
      <w:widowControl/>
    </w:pPr>
    <w:rPr>
      <w:rFonts w:ascii="宋体" w:hAnsi="宋体" w:cs="宋体"/>
      <w:sz w:val="24"/>
    </w:rPr>
  </w:style>
  <w:style w:type="paragraph" w:styleId="983" w:customStyle="1">
    <w:name w:val="pa-3"/>
    <w:basedOn w:val="727"/>
    <w:uiPriority w:val="0"/>
    <w:qFormat/>
    <w:pPr>
      <w:ind w:firstLine="480"/>
      <w:spacing w:line="360" w:lineRule="atLeast"/>
      <w:widowControl/>
    </w:pPr>
    <w:rPr>
      <w:rFonts w:ascii="宋体" w:hAnsi="宋体" w:cs="宋体"/>
      <w:sz w:val="24"/>
    </w:rPr>
  </w:style>
  <w:style w:type="paragraph" w:styleId="984" w:customStyle="1">
    <w:name w:val="pa-4"/>
    <w:basedOn w:val="727"/>
    <w:uiPriority w:val="0"/>
    <w:qFormat/>
    <w:pPr>
      <w:spacing w:line="360" w:lineRule="atLeast"/>
      <w:widowControl/>
    </w:pPr>
    <w:rPr>
      <w:rFonts w:ascii="宋体" w:hAnsi="宋体" w:cs="宋体"/>
      <w:sz w:val="24"/>
    </w:rPr>
  </w:style>
  <w:style w:type="paragraph" w:styleId="985" w:customStyle="1">
    <w:name w:val="pa-5"/>
    <w:basedOn w:val="727"/>
    <w:uiPriority w:val="0"/>
    <w:qFormat/>
    <w:pPr>
      <w:spacing w:line="280" w:lineRule="atLeast"/>
      <w:widowControl/>
    </w:pPr>
    <w:rPr>
      <w:rFonts w:ascii="宋体" w:hAnsi="宋体" w:cs="宋体"/>
      <w:sz w:val="24"/>
    </w:rPr>
  </w:style>
  <w:style w:type="character" w:styleId="986" w:customStyle="1">
    <w:name w:val="ca-01"/>
    <w:uiPriority w:val="0"/>
    <w:qFormat/>
    <w:rPr>
      <w:rFonts w:hint="eastAsia" w:ascii="黑体" w:eastAsia="黑体"/>
      <w:sz w:val="28"/>
      <w:szCs w:val="28"/>
    </w:rPr>
  </w:style>
  <w:style w:type="character" w:styleId="987" w:customStyle="1">
    <w:name w:val="ca-11"/>
    <w:uiPriority w:val="0"/>
    <w:qFormat/>
    <w:rPr>
      <w:rFonts w:hint="eastAsia" w:ascii="宋体" w:hAnsi="宋体" w:eastAsia="宋体"/>
      <w:sz w:val="24"/>
      <w:szCs w:val="24"/>
    </w:rPr>
  </w:style>
  <w:style w:type="character" w:styleId="988" w:customStyle="1">
    <w:name w:val="ca-21"/>
    <w:uiPriority w:val="0"/>
    <w:qFormat/>
    <w:rPr>
      <w:rFonts w:hint="eastAsia" w:ascii="宋体" w:hAnsi="宋体" w:eastAsia="宋体"/>
      <w:b/>
      <w:bCs/>
      <w:color w:val="000000"/>
      <w:spacing w:val="-20"/>
      <w:sz w:val="24"/>
      <w:szCs w:val="24"/>
    </w:rPr>
  </w:style>
  <w:style w:type="paragraph" w:styleId="989" w:customStyle="1">
    <w:name w:val="Char"/>
    <w:basedOn w:val="727"/>
    <w:uiPriority w:val="0"/>
    <w:qFormat/>
    <w:pPr>
      <w:numPr>
        <w:ilvl w:val="0"/>
        <w:numId w:val="1"/>
      </w:numPr>
    </w:pPr>
    <w:rPr>
      <w:sz w:val="24"/>
    </w:rPr>
  </w:style>
  <w:style w:type="paragraph" w:styleId="990" w:customStyle="1">
    <w:name w:val="Char2"/>
    <w:basedOn w:val="727"/>
    <w:uiPriority w:val="0"/>
    <w:qFormat/>
    <w:rPr>
      <w:rFonts w:ascii="Tahoma" w:hAnsi="Tahoma"/>
      <w:sz w:val="24"/>
      <w:szCs w:val="20"/>
    </w:rPr>
  </w:style>
  <w:style w:type="character" w:styleId="991" w:customStyle="1">
    <w:name w:val="正文（首行缩进两字） Char1"/>
    <w:uiPriority w:val="0"/>
    <w:qFormat/>
    <w:rPr>
      <w:rFonts w:eastAsia="宋体"/>
      <w:sz w:val="21"/>
      <w:szCs w:val="24"/>
      <w:lang w:val="en-US" w:eastAsia="zh-CN" w:bidi="ar-SA"/>
    </w:rPr>
  </w:style>
  <w:style w:type="paragraph" w:styleId="992" w:customStyle="1">
    <w:name w:val="Char Char"/>
    <w:basedOn w:val="727"/>
    <w:uiPriority w:val="0"/>
    <w:qFormat/>
    <w:rPr>
      <w:rFonts w:ascii="Tahoma" w:hAnsi="Tahoma"/>
      <w:sz w:val="24"/>
      <w:szCs w:val="20"/>
    </w:rPr>
  </w:style>
  <w:style w:type="paragraph" w:styleId="993" w:customStyle="1">
    <w:name w:val="默认段落字体 Para Char Char Char Char"/>
    <w:basedOn w:val="727"/>
    <w:uiPriority w:val="0"/>
    <w:qFormat/>
  </w:style>
  <w:style w:type="paragraph" w:styleId="994" w:customStyle="1">
    <w:name w:val="默认段落字体 Para Char Char"/>
    <w:basedOn w:val="727"/>
    <w:uiPriority w:val="0"/>
    <w:qFormat/>
  </w:style>
  <w:style w:type="paragraph" w:styleId="995" w:customStyle="1">
    <w:name w:val="金保标题1"/>
    <w:basedOn w:val="728"/>
    <w:next w:val="727"/>
    <w:uiPriority w:val="0"/>
    <w:qFormat/>
    <w:pPr>
      <w:numPr>
        <w:ilvl w:val="0"/>
        <w:numId w:val="2"/>
      </w:numPr>
      <w:jc w:val="center"/>
      <w:pageBreakBefore/>
      <w:spacing w:line="240" w:lineRule="auto"/>
    </w:pPr>
    <w:rPr>
      <w:rFonts w:ascii="黑体" w:hAnsi="Tahoma" w:eastAsia="黑体"/>
      <w:sz w:val="32"/>
      <w:szCs w:val="32"/>
    </w:rPr>
  </w:style>
  <w:style w:type="paragraph" w:styleId="996" w:customStyle="1">
    <w:name w:val="标题2"/>
    <w:basedOn w:val="729"/>
    <w:next w:val="727"/>
    <w:link w:val="997"/>
    <w:uiPriority w:val="0"/>
    <w:qFormat/>
    <w:pPr>
      <w:numPr>
        <w:ilvl w:val="1"/>
        <w:numId w:val="2"/>
      </w:numPr>
      <w:jc w:val="left"/>
      <w:spacing w:line="415" w:lineRule="auto"/>
    </w:pPr>
    <w:rPr>
      <w:rFonts w:ascii="Calibri" w:hAnsi="Calibri"/>
      <w:b w:val="0"/>
      <w:sz w:val="30"/>
      <w:szCs w:val="30"/>
    </w:rPr>
  </w:style>
  <w:style w:type="character" w:styleId="997" w:customStyle="1">
    <w:name w:val="标题2 Char"/>
    <w:link w:val="996"/>
    <w:uiPriority w:val="0"/>
    <w:qFormat/>
    <w:rPr>
      <w:rFonts w:eastAsia="黑体"/>
      <w:bCs/>
      <w:sz w:val="30"/>
      <w:szCs w:val="30"/>
      <w:lang w:val="en-US" w:eastAsia="zh-CN" w:bidi="ar-SA"/>
    </w:rPr>
  </w:style>
  <w:style w:type="paragraph" w:styleId="998" w:customStyle="1">
    <w:name w:val="金保标题3"/>
    <w:basedOn w:val="730"/>
    <w:next w:val="727"/>
    <w:uiPriority w:val="0"/>
    <w:qFormat/>
    <w:pPr>
      <w:numPr>
        <w:ilvl w:val="2"/>
        <w:numId w:val="2"/>
      </w:numPr>
      <w:spacing w:line="480" w:lineRule="auto"/>
      <w:tabs>
        <w:tab w:val="left" w:pos="900" w:leader="none"/>
      </w:tabs>
    </w:pPr>
    <w:rPr>
      <w:rFonts w:ascii="黑体" w:hAnsi="黑体" w:eastAsia="黑体" w:cs="Arial"/>
      <w:b w:val="0"/>
      <w:color w:val="000000"/>
      <w:sz w:val="28"/>
      <w:szCs w:val="28"/>
    </w:rPr>
  </w:style>
  <w:style w:type="paragraph" w:styleId="999" w:customStyle="1">
    <w:name w:val="标准正文格式"/>
    <w:basedOn w:val="727"/>
    <w:link w:val="1000"/>
    <w:uiPriority w:val="0"/>
    <w:qFormat/>
    <w:pPr>
      <w:ind w:firstLine="200"/>
      <w:spacing w:before="60" w:after="120" w:line="360" w:lineRule="auto"/>
      <w:widowControl/>
    </w:pPr>
    <w:rPr>
      <w:rFonts w:ascii="Calibri" w:hAnsi="Calibri" w:eastAsia="仿宋_GB2312"/>
      <w:bCs/>
      <w:sz w:val="28"/>
      <w:szCs w:val="20"/>
    </w:rPr>
  </w:style>
  <w:style w:type="character" w:styleId="1000" w:customStyle="1">
    <w:name w:val="标准正文格式 Char"/>
    <w:link w:val="999"/>
    <w:uiPriority w:val="0"/>
    <w:qFormat/>
    <w:rPr>
      <w:rFonts w:eastAsia="仿宋_GB2312"/>
      <w:bCs/>
      <w:sz w:val="28"/>
      <w:lang w:val="en-US" w:eastAsia="zh-CN" w:bidi="ar-SA"/>
    </w:rPr>
  </w:style>
  <w:style w:type="paragraph" w:styleId="1001">
    <w:name w:val="List Paragraph"/>
    <w:basedOn w:val="727"/>
    <w:uiPriority w:val="34"/>
    <w:qFormat/>
    <w:pPr>
      <w:ind w:firstLine="420"/>
    </w:pPr>
    <w:rPr>
      <w:rFonts w:ascii="Calibri" w:hAnsi="Calibri"/>
      <w:szCs w:val="20"/>
    </w:rPr>
  </w:style>
  <w:style w:type="paragraph" w:styleId="1002" w:customStyle="1">
    <w:name w:val="样式 标题 1第一章：标题 1µÚÒ»ÕÂ£º±êÌâ 1合同标题H1标书1h1Section HeadingH..."/>
    <w:basedOn w:val="728"/>
    <w:uiPriority w:val="0"/>
    <w:qFormat/>
    <w:pPr>
      <w:numPr>
        <w:ilvl w:val="0"/>
        <w:numId w:val="3"/>
      </w:numPr>
      <w:jc w:val="left"/>
      <w:pageBreakBefore/>
      <w:spacing w:after="120" w:line="360" w:lineRule="auto"/>
      <w:pBdr>
        <w:top w:val="single" w:color="auto" w:sz="18" w:space="1"/>
      </w:pBdr>
    </w:pPr>
    <w:rPr>
      <w:rFonts w:ascii="Times New Roman" w:hAnsi="Times New Roman"/>
      <w:szCs w:val="20"/>
    </w:rPr>
  </w:style>
  <w:style w:type="paragraph" w:styleId="1003" w:customStyle="1">
    <w:name w:val="标准正文1"/>
    <w:basedOn w:val="727"/>
    <w:link w:val="1004"/>
    <w:uiPriority w:val="0"/>
    <w:qFormat/>
    <w:pPr>
      <w:ind w:firstLine="420"/>
      <w:spacing w:line="288" w:lineRule="auto"/>
    </w:pPr>
    <w:rPr>
      <w:rFonts w:ascii="Calibri" w:hAnsi="Calibri" w:cs="宋体"/>
      <w:szCs w:val="20"/>
    </w:rPr>
  </w:style>
  <w:style w:type="character" w:styleId="1004" w:customStyle="1">
    <w:name w:val="标准正文1 Char"/>
    <w:link w:val="1003"/>
    <w:uiPriority w:val="0"/>
    <w:qFormat/>
    <w:rPr>
      <w:rFonts w:eastAsia="宋体" w:cs="宋体"/>
      <w:sz w:val="21"/>
      <w:lang w:val="en-US" w:eastAsia="zh-CN" w:bidi="ar-SA"/>
    </w:rPr>
  </w:style>
  <w:style w:type="paragraph" w:styleId="1005" w:customStyle="1">
    <w:name w:val="样式 标题 2h22nd levelheading 2H2Title2H21Heading 2 HiddenHe...1"/>
    <w:basedOn w:val="729"/>
    <w:uiPriority w:val="0"/>
    <w:qFormat/>
    <w:pPr>
      <w:ind w:left="576" w:hanging="576"/>
      <w:jc w:val="left"/>
      <w:spacing w:before="0" w:after="0" w:line="360" w:lineRule="auto"/>
      <w:widowControl/>
      <w:tabs>
        <w:tab w:val="left" w:pos="576" w:leader="none"/>
      </w:tabs>
    </w:pPr>
    <w:rPr>
      <w:rFonts w:ascii="黑体" w:hAnsi="宋体" w:cs="宋体"/>
      <w:szCs w:val="20"/>
    </w:rPr>
  </w:style>
  <w:style w:type="paragraph" w:styleId="1006" w:customStyle="1">
    <w:name w:val="样式 标题 3heading 3H3h33rd levelHeading 3 - oldl3CTLevel 3 ..."/>
    <w:basedOn w:val="730"/>
    <w:uiPriority w:val="0"/>
    <w:qFormat/>
    <w:pPr>
      <w:ind w:left="720" w:hanging="720"/>
      <w:jc w:val="left"/>
      <w:spacing w:before="0" w:after="0" w:line="360" w:lineRule="auto"/>
      <w:widowControl/>
      <w:tabs>
        <w:tab w:val="left" w:pos="720" w:leader="none"/>
      </w:tabs>
    </w:pPr>
    <w:rPr>
      <w:rFonts w:ascii="宋体" w:hAnsi="宋体" w:cs="宋体"/>
      <w:sz w:val="28"/>
      <w:szCs w:val="20"/>
    </w:rPr>
  </w:style>
  <w:style w:type="paragraph" w:styleId="1007" w:customStyle="1">
    <w:name w:val="Char Char Char Char Char Char Char Char Char Char Char Char Char Char Char Char"/>
    <w:basedOn w:val="727"/>
    <w:uiPriority w:val="0"/>
    <w:qFormat/>
    <w:rPr>
      <w:rFonts w:ascii="Tahoma" w:hAnsi="Tahoma" w:eastAsia="仿宋_GB2312"/>
      <w:color w:val="000000"/>
      <w:sz w:val="24"/>
      <w:szCs w:val="20"/>
    </w:rPr>
  </w:style>
  <w:style w:type="character" w:styleId="1008" w:customStyle="1">
    <w:name w:val="grame"/>
    <w:basedOn w:val="737"/>
    <w:uiPriority w:val="0"/>
    <w:qFormat/>
  </w:style>
  <w:style w:type="character" w:styleId="1009" w:customStyle="1">
    <w:name w:val="p101"/>
    <w:uiPriority w:val="0"/>
    <w:qFormat/>
    <w:rPr>
      <w:rFonts w:hint="default"/>
      <w:sz w:val="20"/>
      <w:u w:val="none"/>
    </w:rPr>
  </w:style>
  <w:style w:type="paragraph" w:styleId="1010" w:customStyle="1">
    <w:name w:val="textfontgray"/>
    <w:basedOn w:val="727"/>
    <w:uiPriority w:val="0"/>
    <w:qFormat/>
    <w:pPr>
      <w:jc w:val="left"/>
      <w:spacing w:before="100" w:beforeAutospacing="1" w:after="100" w:afterAutospacing="1" w:line="432" w:lineRule="auto"/>
      <w:widowControl/>
    </w:pPr>
    <w:rPr>
      <w:color w:val="999999"/>
      <w:sz w:val="18"/>
      <w:szCs w:val="20"/>
    </w:rPr>
  </w:style>
  <w:style w:type="paragraph" w:styleId="1011" w:customStyle="1">
    <w:name w:val="dashed"/>
    <w:basedOn w:val="727"/>
    <w:uiPriority w:val="0"/>
    <w:qFormat/>
    <w:pPr>
      <w:jc w:val="left"/>
      <w:spacing w:before="100" w:beforeAutospacing="1" w:after="100" w:afterAutospacing="1"/>
      <w:widowControl/>
      <w:pBdr>
        <w:top w:val="single" w:color="999999" w:sz="6" w:space="0"/>
        <w:left w:val="single" w:color="999999" w:sz="6" w:space="0"/>
        <w:bottom w:val="single" w:color="999999" w:sz="6" w:space="0"/>
        <w:right w:val="single" w:color="999999" w:sz="6" w:space="0"/>
      </w:pBdr>
    </w:pPr>
    <w:rPr>
      <w:rFonts w:ascii="Arial Unicode MS" w:hAnsi="Arial Unicode MS"/>
      <w:color w:val="000000"/>
      <w:sz w:val="24"/>
      <w:szCs w:val="20"/>
    </w:rPr>
  </w:style>
  <w:style w:type="paragraph" w:styleId="1012" w:customStyle="1">
    <w:name w:val="salefont9"/>
    <w:basedOn w:val="727"/>
    <w:uiPriority w:val="0"/>
    <w:qFormat/>
    <w:pPr>
      <w:jc w:val="left"/>
      <w:spacing w:before="100" w:beforeAutospacing="1" w:after="100" w:afterAutospacing="1" w:line="384" w:lineRule="auto"/>
      <w:widowControl/>
    </w:pPr>
    <w:rPr>
      <w:color w:val="ff3300"/>
      <w:sz w:val="18"/>
      <w:szCs w:val="20"/>
    </w:rPr>
  </w:style>
  <w:style w:type="paragraph" w:styleId="1013" w:customStyle="1">
    <w:name w:val="flType"/>
    <w:basedOn w:val="727"/>
    <w:uiPriority w:val="0"/>
    <w:qFormat/>
    <w:pPr>
      <w:jc w:val="center"/>
      <w:spacing w:after="284" w:line="113" w:lineRule="atLeast"/>
    </w:pPr>
    <w:rPr>
      <w:sz w:val="24"/>
      <w:szCs w:val="20"/>
    </w:rPr>
  </w:style>
  <w:style w:type="paragraph" w:styleId="1014" w:customStyle="1">
    <w:name w:val="Char1"/>
    <w:basedOn w:val="743"/>
    <w:uiPriority w:val="0"/>
    <w:qFormat/>
    <w:rPr>
      <w:rFonts w:ascii="Tahoma" w:hAnsi="Tahoma"/>
      <w:sz w:val="24"/>
    </w:rPr>
  </w:style>
  <w:style w:type="paragraph" w:styleId="1015" w:customStyle="1">
    <w:name w:val="序号正文"/>
    <w:basedOn w:val="727"/>
    <w:uiPriority w:val="0"/>
    <w:qFormat/>
    <w:pPr>
      <w:numPr>
        <w:ilvl w:val="0"/>
        <w:numId w:val="4"/>
      </w:numPr>
      <w:ind w:left="0" w:firstLine="0"/>
      <w:spacing w:before="156" w:after="156" w:line="300" w:lineRule="auto"/>
      <w:tabs>
        <w:tab w:val="left" w:pos="360" w:leader="none"/>
        <w:tab w:val="left" w:pos="425" w:leader="none"/>
      </w:tabs>
    </w:pPr>
    <w:rPr>
      <w:sz w:val="24"/>
      <w:szCs w:val="20"/>
    </w:rPr>
  </w:style>
  <w:style w:type="paragraph" w:styleId="1016" w:customStyle="1">
    <w:name w:val="p10"/>
    <w:basedOn w:val="727"/>
    <w:uiPriority w:val="0"/>
    <w:qFormat/>
    <w:pPr>
      <w:jc w:val="left"/>
      <w:spacing w:before="100" w:beforeAutospacing="1" w:after="100" w:afterAutospacing="1" w:line="432" w:lineRule="auto"/>
      <w:widowControl/>
    </w:pPr>
    <w:rPr>
      <w:color w:val="000000"/>
      <w:sz w:val="20"/>
      <w:szCs w:val="20"/>
    </w:rPr>
  </w:style>
  <w:style w:type="paragraph" w:styleId="1017" w:customStyle="1">
    <w:name w:val="headfont9"/>
    <w:basedOn w:val="727"/>
    <w:uiPriority w:val="0"/>
    <w:qFormat/>
    <w:pPr>
      <w:jc w:val="left"/>
      <w:spacing w:before="100" w:beforeAutospacing="1" w:after="100" w:afterAutospacing="1"/>
      <w:widowControl/>
    </w:pPr>
    <w:rPr>
      <w:color w:val="ffffff"/>
      <w:sz w:val="18"/>
      <w:szCs w:val="20"/>
    </w:rPr>
  </w:style>
  <w:style w:type="paragraph" w:styleId="1018" w:customStyle="1">
    <w:name w:val="textfont12"/>
    <w:basedOn w:val="727"/>
    <w:uiPriority w:val="0"/>
    <w:qFormat/>
    <w:pPr>
      <w:jc w:val="left"/>
      <w:spacing w:before="100" w:beforeAutospacing="1" w:after="100" w:afterAutospacing="1"/>
      <w:widowControl/>
    </w:pPr>
    <w:rPr>
      <w:b/>
      <w:color w:val="000000"/>
      <w:sz w:val="24"/>
      <w:szCs w:val="20"/>
    </w:rPr>
  </w:style>
  <w:style w:type="paragraph" w:styleId="1019" w:customStyle="1">
    <w:name w:val="表1"/>
    <w:basedOn w:val="727"/>
    <w:uiPriority w:val="0"/>
    <w:qFormat/>
    <w:pPr>
      <w:jc w:val="center"/>
    </w:pPr>
    <w:rPr>
      <w:spacing w:val="20"/>
      <w:szCs w:val="20"/>
    </w:rPr>
  </w:style>
  <w:style w:type="paragraph" w:styleId="1020" w:customStyle="1">
    <w:name w:val="p9"/>
    <w:basedOn w:val="727"/>
    <w:uiPriority w:val="0"/>
    <w:qFormat/>
    <w:pPr>
      <w:jc w:val="left"/>
      <w:spacing w:before="100" w:beforeAutospacing="1" w:after="100" w:afterAutospacing="1"/>
      <w:widowControl/>
    </w:pPr>
    <w:rPr>
      <w:color w:val="000000"/>
      <w:sz w:val="18"/>
      <w:szCs w:val="20"/>
    </w:rPr>
  </w:style>
  <w:style w:type="paragraph" w:styleId="1021" w:customStyle="1">
    <w:name w:val="profont"/>
    <w:basedOn w:val="727"/>
    <w:uiPriority w:val="0"/>
    <w:qFormat/>
    <w:pPr>
      <w:jc w:val="left"/>
      <w:spacing w:before="100" w:beforeAutospacing="1" w:after="100" w:afterAutospacing="1"/>
      <w:widowControl/>
    </w:pPr>
    <w:rPr>
      <w:rFonts w:ascii="Verdana" w:hAnsi="Verdana"/>
      <w:b/>
      <w:color w:val="333333"/>
      <w:sz w:val="24"/>
      <w:szCs w:val="20"/>
    </w:rPr>
  </w:style>
  <w:style w:type="paragraph" w:styleId="1022" w:customStyle="1">
    <w:name w:val="纯文本1"/>
    <w:basedOn w:val="727"/>
    <w:link w:val="1023"/>
    <w:uiPriority w:val="0"/>
    <w:qFormat/>
    <w:rPr>
      <w:rFonts w:ascii="宋体" w:hAnsi="Courier New" w:eastAsia="楷体_GB2312"/>
      <w:sz w:val="28"/>
      <w:szCs w:val="20"/>
    </w:rPr>
  </w:style>
  <w:style w:type="character" w:styleId="1023" w:customStyle="1">
    <w:name w:val="Plain Text Char"/>
    <w:link w:val="1022"/>
    <w:uiPriority w:val="0"/>
    <w:qFormat/>
    <w:rPr>
      <w:rFonts w:ascii="宋体" w:hAnsi="Courier New" w:eastAsia="楷体_GB2312"/>
      <w:sz w:val="28"/>
    </w:rPr>
  </w:style>
  <w:style w:type="paragraph" w:styleId="1024" w:customStyle="1">
    <w:name w:val="font0"/>
    <w:basedOn w:val="727"/>
    <w:uiPriority w:val="0"/>
    <w:qFormat/>
    <w:pPr>
      <w:jc w:val="left"/>
      <w:spacing w:before="100" w:beforeAutospacing="1" w:after="100" w:afterAutospacing="1"/>
      <w:widowControl/>
    </w:pPr>
    <w:rPr>
      <w:rFonts w:hint="eastAsia" w:ascii="宋体" w:hAnsi="宋体"/>
      <w:sz w:val="24"/>
      <w:szCs w:val="20"/>
    </w:rPr>
  </w:style>
  <w:style w:type="paragraph" w:styleId="1025" w:customStyle="1">
    <w:name w:val="input"/>
    <w:basedOn w:val="727"/>
    <w:uiPriority w:val="0"/>
    <w:qFormat/>
    <w:pPr>
      <w:jc w:val="left"/>
      <w:spacing w:before="100" w:beforeAutospacing="1" w:after="100" w:afterAutospacing="1"/>
      <w:widowControl/>
      <w:pBdr>
        <w:top w:val="single" w:color="666666" w:sz="6" w:space="0"/>
        <w:left w:val="single" w:color="666666" w:sz="6" w:space="0"/>
        <w:bottom w:val="single" w:color="CCCCCC" w:sz="6" w:space="0"/>
        <w:right w:val="single" w:color="CCCCCC" w:sz="6" w:space="0"/>
      </w:pBdr>
    </w:pPr>
    <w:rPr>
      <w:color w:val="000000"/>
      <w:sz w:val="18"/>
      <w:szCs w:val="20"/>
    </w:rPr>
  </w:style>
  <w:style w:type="paragraph" w:styleId="1026" w:customStyle="1">
    <w:name w:val="小标题"/>
    <w:basedOn w:val="727"/>
    <w:uiPriority w:val="0"/>
    <w:qFormat/>
    <w:rPr>
      <w:rFonts w:ascii="宋体" w:hAnsi="宋体"/>
      <w:b/>
      <w:sz w:val="24"/>
      <w:szCs w:val="20"/>
    </w:rPr>
  </w:style>
  <w:style w:type="paragraph" w:styleId="1027" w:customStyle="1">
    <w:name w:val="样式 Arial 小四 行距: 1.5 倍行距"/>
    <w:basedOn w:val="727"/>
    <w:uiPriority w:val="0"/>
    <w:qFormat/>
    <w:pPr>
      <w:ind w:firstLine="480"/>
      <w:spacing w:line="360" w:lineRule="auto"/>
    </w:pPr>
    <w:rPr>
      <w:rFonts w:ascii="Arial" w:hAnsi="Arial"/>
      <w:sz w:val="24"/>
      <w:szCs w:val="20"/>
    </w:rPr>
  </w:style>
  <w:style w:type="paragraph" w:styleId="1028" w:customStyle="1">
    <w:name w:val="条例"/>
    <w:basedOn w:val="727"/>
    <w:uiPriority w:val="0"/>
    <w:qFormat/>
    <w:pPr>
      <w:ind w:left="2" w:right="210" w:firstLine="2"/>
      <w:keepLines/>
      <w:spacing w:line="320" w:lineRule="exact"/>
      <w:widowControl/>
    </w:pPr>
    <w:rPr>
      <w:rFonts w:ascii="宋体" w:hAnsi="宋体"/>
      <w:sz w:val="24"/>
      <w:szCs w:val="20"/>
    </w:rPr>
  </w:style>
  <w:style w:type="paragraph" w:styleId="1029" w:customStyle="1">
    <w:name w:val="符号列表"/>
    <w:basedOn w:val="727"/>
    <w:uiPriority w:val="0"/>
    <w:qFormat/>
    <w:pPr>
      <w:numPr>
        <w:ilvl w:val="0"/>
        <w:numId w:val="5"/>
      </w:numPr>
      <w:spacing w:line="440" w:lineRule="exact"/>
    </w:pPr>
    <w:rPr>
      <w:sz w:val="24"/>
      <w:szCs w:val="20"/>
    </w:rPr>
  </w:style>
  <w:style w:type="paragraph" w:styleId="1030" w:customStyle="1">
    <w:name w:val="font5"/>
    <w:basedOn w:val="727"/>
    <w:uiPriority w:val="0"/>
    <w:qFormat/>
    <w:pPr>
      <w:jc w:val="left"/>
      <w:spacing w:before="100" w:beforeAutospacing="1" w:after="100" w:afterAutospacing="1"/>
      <w:widowControl/>
    </w:pPr>
    <w:rPr>
      <w:rFonts w:ascii="宋体" w:hAnsi="宋体" w:cs="宋体"/>
      <w:sz w:val="18"/>
      <w:szCs w:val="18"/>
    </w:rPr>
  </w:style>
  <w:style w:type="paragraph" w:styleId="1031" w:customStyle="1">
    <w:name w:val="xl23"/>
    <w:basedOn w:val="727"/>
    <w:uiPriority w:val="0"/>
    <w:qFormat/>
    <w:pPr>
      <w:jc w:val="center"/>
      <w:spacing w:before="100" w:beforeAutospacing="1" w:after="100" w:afterAutospacing="1"/>
      <w:widowControl/>
    </w:pPr>
    <w:rPr>
      <w:rFonts w:ascii="宋体" w:hAnsi="宋体" w:cs="宋体"/>
      <w:sz w:val="24"/>
    </w:rPr>
  </w:style>
  <w:style w:type="paragraph" w:styleId="1032" w:customStyle="1">
    <w:name w:val="xl24"/>
    <w:basedOn w:val="7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33" w:customStyle="1">
    <w:name w:val="xl25"/>
    <w:basedOn w:val="7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34" w:customStyle="1">
    <w:name w:val="xl26"/>
    <w:basedOn w:val="7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35" w:customStyle="1">
    <w:name w:val="xl27"/>
    <w:basedOn w:val="7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36" w:customStyle="1">
    <w:name w:val="xl28"/>
    <w:basedOn w:val="7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037" w:customStyle="1">
    <w:name w:val="xl29"/>
    <w:basedOn w:val="7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38" w:customStyle="1">
    <w:name w:val="xl30"/>
    <w:basedOn w:val="7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39" w:customStyle="1">
    <w:name w:val="xl31"/>
    <w:basedOn w:val="7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40" w:customStyle="1">
    <w:name w:val="xl32"/>
    <w:basedOn w:val="72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041" w:customStyle="1">
    <w:name w:val="xl33"/>
    <w:basedOn w:val="727"/>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042" w:customStyle="1">
    <w:name w:val="xl34"/>
    <w:basedOn w:val="72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043" w:customStyle="1">
    <w:name w:val="xl35"/>
    <w:basedOn w:val="72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18"/>
      <w:szCs w:val="18"/>
    </w:rPr>
  </w:style>
  <w:style w:type="paragraph" w:styleId="1044" w:customStyle="1">
    <w:name w:val="xl36"/>
    <w:basedOn w:val="727"/>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18"/>
      <w:szCs w:val="18"/>
    </w:rPr>
  </w:style>
  <w:style w:type="paragraph" w:styleId="1045" w:customStyle="1">
    <w:name w:val="xl37"/>
    <w:basedOn w:val="72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18"/>
      <w:szCs w:val="18"/>
    </w:rPr>
  </w:style>
  <w:style w:type="paragraph" w:styleId="1046" w:customStyle="1">
    <w:name w:val="xl38"/>
    <w:basedOn w:val="727"/>
    <w:uiPriority w:val="0"/>
    <w:qFormat/>
    <w:pPr>
      <w:jc w:val="center"/>
      <w:spacing w:before="100" w:beforeAutospacing="1" w:after="100" w:afterAutospacing="1"/>
      <w:widowControl/>
    </w:pPr>
    <w:rPr>
      <w:rFonts w:ascii="宋体" w:hAnsi="宋体" w:cs="宋体"/>
      <w:b/>
      <w:bCs/>
      <w:sz w:val="32"/>
      <w:szCs w:val="32"/>
    </w:rPr>
  </w:style>
  <w:style w:type="paragraph" w:styleId="1047" w:customStyle="1">
    <w:name w:val="xl39"/>
    <w:basedOn w:val="72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1048" w:customStyle="1">
    <w:name w:val="xl40"/>
    <w:basedOn w:val="72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rPr>
  </w:style>
  <w:style w:type="character" w:styleId="1049" w:customStyle="1">
    <w:name w:val="style31"/>
    <w:uiPriority w:val="0"/>
    <w:qFormat/>
    <w:rPr>
      <w:sz w:val="23"/>
      <w:szCs w:val="23"/>
    </w:rPr>
  </w:style>
  <w:style w:type="character" w:styleId="1050" w:customStyle="1">
    <w:name w:val="headertext"/>
    <w:basedOn w:val="737"/>
    <w:uiPriority w:val="0"/>
    <w:qFormat/>
  </w:style>
  <w:style w:type="character" w:styleId="1051" w:customStyle="1">
    <w:name w:val="style5"/>
    <w:basedOn w:val="737"/>
    <w:uiPriority w:val="0"/>
    <w:qFormat/>
  </w:style>
  <w:style w:type="character" w:styleId="1052" w:customStyle="1">
    <w:name w:val="style3"/>
    <w:basedOn w:val="737"/>
    <w:uiPriority w:val="0"/>
    <w:qFormat/>
  </w:style>
  <w:style w:type="character" w:styleId="1053" w:customStyle="1">
    <w:name w:val="font1"/>
    <w:uiPriority w:val="0"/>
    <w:qFormat/>
    <w:rPr>
      <w:color w:val="0066cc"/>
      <w:sz w:val="18"/>
      <w:szCs w:val="18"/>
      <w:u w:val="none"/>
    </w:rPr>
  </w:style>
  <w:style w:type="character" w:styleId="1054" w:customStyle="1">
    <w:name w:val="txt1"/>
    <w:uiPriority w:val="0"/>
    <w:qFormat/>
    <w:rPr>
      <w:rFonts w:hint="default"/>
      <w:sz w:val="18"/>
      <w:szCs w:val="18"/>
    </w:rPr>
  </w:style>
  <w:style w:type="character" w:styleId="1055" w:customStyle="1">
    <w:name w:val="font-121"/>
    <w:uiPriority w:val="0"/>
    <w:qFormat/>
    <w:rPr>
      <w:color w:val="666666"/>
      <w:sz w:val="24"/>
      <w:szCs w:val="24"/>
      <w:u w:val="none"/>
    </w:rPr>
  </w:style>
  <w:style w:type="character" w:styleId="1056" w:customStyle="1">
    <w:name w:val="style41"/>
    <w:uiPriority w:val="0"/>
    <w:qFormat/>
    <w:rPr>
      <w:color w:val="f49304"/>
    </w:rPr>
  </w:style>
  <w:style w:type="character" w:styleId="1057" w:customStyle="1">
    <w:name w:val="正文缩进 Char"/>
    <w:uiPriority w:val="0"/>
    <w:qFormat/>
    <w:rPr>
      <w:rFonts w:eastAsia="宋体"/>
      <w:sz w:val="24"/>
      <w:lang w:val="en-US" w:eastAsia="zh-CN" w:bidi="ar-SA"/>
    </w:rPr>
  </w:style>
  <w:style w:type="character" w:styleId="1058" w:customStyle="1">
    <w:name w:val="text1"/>
    <w:uiPriority w:val="0"/>
    <w:qFormat/>
    <w:rPr>
      <w:rFonts w:hint="default" w:ascii="ˎ̥" w:hAnsi="ˎ̥"/>
      <w:color w:val="000000"/>
      <w:sz w:val="18"/>
      <w:szCs w:val="18"/>
      <w:u w:val="none"/>
    </w:rPr>
  </w:style>
  <w:style w:type="character" w:styleId="1059" w:customStyle="1">
    <w:name w:val="style61"/>
    <w:uiPriority w:val="0"/>
    <w:qFormat/>
    <w:rPr>
      <w:b/>
      <w:bCs/>
      <w:color w:val="f49304"/>
    </w:rPr>
  </w:style>
  <w:style w:type="character" w:styleId="1060" w:customStyle="1">
    <w:name w:val="headerboxgreen"/>
    <w:basedOn w:val="737"/>
    <w:uiPriority w:val="0"/>
    <w:qFormat/>
  </w:style>
  <w:style w:type="character" w:styleId="1061" w:customStyle="1">
    <w:name w:val="textnorm_chn1"/>
    <w:uiPriority w:val="0"/>
    <w:qFormat/>
    <w:rPr>
      <w:rFonts w:hint="default" w:ascii="Arial" w:hAnsi="Arial" w:cs="Arial"/>
      <w:color w:val="21254a"/>
      <w:sz w:val="22"/>
      <w:szCs w:val="22"/>
    </w:rPr>
  </w:style>
  <w:style w:type="character" w:styleId="1062" w:customStyle="1">
    <w:name w:val="marklong"/>
    <w:basedOn w:val="737"/>
    <w:uiPriority w:val="0"/>
    <w:qFormat/>
  </w:style>
  <w:style w:type="character" w:styleId="1063" w:customStyle="1">
    <w:name w:val="style51"/>
    <w:uiPriority w:val="0"/>
    <w:qFormat/>
    <w:rPr>
      <w:color w:val="ffffff"/>
    </w:rPr>
  </w:style>
  <w:style w:type="character" w:styleId="1064" w:customStyle="1">
    <w:name w:val="Char Char4"/>
    <w:uiPriority w:val="0"/>
    <w:qFormat/>
    <w:rPr>
      <w:rFonts w:eastAsia="宋体"/>
      <w:b/>
      <w:bCs/>
      <w:sz w:val="44"/>
      <w:szCs w:val="44"/>
      <w:lang w:val="en-US" w:eastAsia="zh-CN" w:bidi="ar-SA"/>
    </w:rPr>
  </w:style>
  <w:style w:type="character" w:styleId="1065" w:customStyle="1">
    <w:name w:val="H2 Char"/>
    <w:uiPriority w:val="0"/>
    <w:qFormat/>
    <w:rPr>
      <w:rFonts w:ascii="Arial" w:hAnsi="Arial" w:eastAsia="黑体"/>
      <w:b/>
      <w:bCs/>
      <w:sz w:val="32"/>
      <w:szCs w:val="32"/>
    </w:rPr>
  </w:style>
  <w:style w:type="character" w:styleId="1066" w:customStyle="1">
    <w:name w:val="style35"/>
    <w:basedOn w:val="737"/>
    <w:uiPriority w:val="0"/>
    <w:qFormat/>
  </w:style>
  <w:style w:type="character" w:styleId="1067" w:customStyle="1">
    <w:name w:val="black1"/>
    <w:uiPriority w:val="0"/>
    <w:qFormat/>
    <w:rPr>
      <w:b/>
      <w:bCs/>
      <w:color w:val="000000"/>
      <w:sz w:val="19"/>
      <w:szCs w:val="19"/>
    </w:rPr>
  </w:style>
  <w:style w:type="paragraph" w:styleId="1068" w:customStyle="1">
    <w:name w:val="样式 标题 2 + 宋体 小四"/>
    <w:basedOn w:val="729"/>
    <w:next w:val="751"/>
    <w:uiPriority w:val="0"/>
    <w:qFormat/>
    <w:pPr>
      <w:spacing w:line="415" w:lineRule="auto"/>
    </w:pPr>
    <w:rPr>
      <w:rFonts w:ascii="宋体" w:hAnsi="宋体" w:eastAsia="宋体"/>
      <w:sz w:val="24"/>
    </w:rPr>
  </w:style>
  <w:style w:type="paragraph" w:styleId="1069" w:customStyle="1">
    <w:name w:val="CM20"/>
    <w:basedOn w:val="727"/>
    <w:next w:val="727"/>
    <w:uiPriority w:val="0"/>
    <w:qFormat/>
    <w:pPr>
      <w:jc w:val="left"/>
      <w:spacing w:after="115"/>
    </w:pPr>
    <w:rPr>
      <w:rFonts w:ascii=".a..DD.." w:eastAsia=".a..DD.."/>
      <w:sz w:val="24"/>
    </w:rPr>
  </w:style>
  <w:style w:type="paragraph" w:styleId="1070" w:customStyle="1">
    <w:name w:val="标准"/>
    <w:basedOn w:val="727"/>
    <w:uiPriority w:val="0"/>
    <w:qFormat/>
    <w:pPr>
      <w:spacing w:line="240" w:lineRule="atLeast"/>
    </w:pPr>
    <w:rPr>
      <w:rFonts w:eastAsia="楷体_GB2312"/>
      <w:sz w:val="24"/>
      <w:szCs w:val="20"/>
    </w:rPr>
  </w:style>
  <w:style w:type="paragraph" w:styleId="1071" w:customStyle="1">
    <w:name w:val="CM3"/>
    <w:basedOn w:val="1072"/>
    <w:next w:val="1072"/>
    <w:uiPriority w:val="0"/>
    <w:qFormat/>
    <w:pPr>
      <w:spacing w:line="626" w:lineRule="atLeast"/>
    </w:pPr>
    <w:rPr>
      <w:color w:val="auto"/>
    </w:rPr>
  </w:style>
  <w:style w:type="paragraph" w:styleId="1072" w:customStyle="1">
    <w:name w:val="Default"/>
    <w:uiPriority w:val="0"/>
    <w:qFormat/>
    <w:pPr>
      <w:widowControl w:val="off"/>
    </w:pPr>
    <w:rPr>
      <w:rFonts w:hint="default" w:ascii=".a..DD.." w:hAnsi="Times New Roman" w:eastAsia=".a..DD.." w:cs="Times New Roman"/>
      <w:color w:val="000000"/>
      <w:sz w:val="24"/>
      <w:szCs w:val="24"/>
      <w:lang w:val="en-US" w:eastAsia="zh-CN" w:bidi="ar-SA"/>
    </w:rPr>
  </w:style>
  <w:style w:type="paragraph" w:styleId="1073" w:customStyle="1">
    <w:name w:val="Char21"/>
    <w:basedOn w:val="727"/>
    <w:uiPriority w:val="0"/>
    <w:qFormat/>
    <w:rPr>
      <w:rFonts w:ascii="Tahoma" w:hAnsi="Tahoma"/>
      <w:sz w:val="24"/>
      <w:szCs w:val="20"/>
    </w:rPr>
  </w:style>
  <w:style w:type="paragraph" w:styleId="1074" w:customStyle="1">
    <w:name w:val="6"/>
    <w:basedOn w:val="727"/>
    <w:next w:val="748"/>
    <w:uiPriority w:val="0"/>
    <w:qFormat/>
    <w:pPr>
      <w:spacing w:after="120"/>
    </w:pPr>
  </w:style>
  <w:style w:type="paragraph" w:styleId="1075" w:customStyle="1">
    <w:name w:val="标题 61"/>
    <w:basedOn w:val="727"/>
    <w:uiPriority w:val="0"/>
    <w:qFormat/>
    <w:pPr>
      <w:jc w:val="left"/>
      <w:widowControl/>
      <w:outlineLvl w:val="6"/>
    </w:pPr>
    <w:rPr>
      <w:rFonts w:ascii="宋体" w:hAnsi="宋体" w:cs="宋体"/>
      <w:color w:val="00569b"/>
      <w:szCs w:val="21"/>
    </w:rPr>
  </w:style>
  <w:style w:type="paragraph" w:styleId="1076" w:customStyle="1">
    <w:name w:val="项符&gt;"/>
    <w:basedOn w:val="727"/>
    <w:uiPriority w:val="0"/>
    <w:qFormat/>
    <w:pPr>
      <w:ind w:left="720" w:hanging="720"/>
      <w:spacing w:line="360" w:lineRule="auto"/>
      <w:tabs>
        <w:tab w:val="left" w:pos="420" w:leader="none"/>
        <w:tab w:val="left" w:pos="720" w:leader="none"/>
      </w:tabs>
    </w:pPr>
    <w:rPr>
      <w:rFonts w:ascii="宋体" w:hAnsi="宋体"/>
      <w:sz w:val="24"/>
      <w:szCs w:val="30"/>
    </w:rPr>
  </w:style>
  <w:style w:type="paragraph" w:styleId="1077" w:customStyle="1">
    <w:name w:val="样式1"/>
    <w:basedOn w:val="728"/>
    <w:uiPriority w:val="0"/>
    <w:qFormat/>
    <w:pPr>
      <w:ind w:left="720" w:hanging="720"/>
      <w:jc w:val="center"/>
      <w:spacing w:line="576" w:lineRule="auto"/>
      <w:tabs>
        <w:tab w:val="left" w:pos="720" w:leader="none"/>
        <w:tab w:val="left" w:pos="840" w:leader="none"/>
      </w:tabs>
    </w:pPr>
    <w:rPr>
      <w:rFonts w:ascii="Times New Roman" w:hAnsi="Times New Roman"/>
      <w:sz w:val="28"/>
    </w:rPr>
  </w:style>
  <w:style w:type="paragraph" w:styleId="1078" w:customStyle="1">
    <w:name w:val="样式2"/>
    <w:basedOn w:val="729"/>
    <w:uiPriority w:val="0"/>
    <w:qFormat/>
    <w:pPr>
      <w:numPr>
        <w:ilvl w:val="0"/>
        <w:numId w:val="6"/>
      </w:numPr>
      <w:spacing w:line="415" w:lineRule="auto"/>
      <w:tabs>
        <w:tab w:val="left" w:pos="840" w:leader="none"/>
      </w:tabs>
    </w:pPr>
    <w:rPr>
      <w:rFonts w:eastAsia="宋体"/>
      <w:sz w:val="24"/>
    </w:rPr>
  </w:style>
  <w:style w:type="paragraph" w:styleId="1079" w:customStyle="1">
    <w:name w:val="CM2"/>
    <w:basedOn w:val="1072"/>
    <w:next w:val="1072"/>
    <w:uiPriority w:val="0"/>
    <w:qFormat/>
    <w:pPr>
      <w:spacing w:line="623" w:lineRule="atLeast"/>
    </w:pPr>
    <w:rPr>
      <w:color w:val="auto"/>
    </w:rPr>
  </w:style>
  <w:style w:type="paragraph" w:styleId="1080" w:customStyle="1">
    <w:name w:val="样式 Verdana 首行缩进:  0.74 厘米"/>
    <w:basedOn w:val="727"/>
    <w:uiPriority w:val="0"/>
    <w:qFormat/>
    <w:pPr>
      <w:ind w:firstLine="420"/>
      <w:spacing w:line="360" w:lineRule="auto"/>
    </w:pPr>
    <w:rPr>
      <w:rFonts w:ascii="Verdana" w:hAnsi="Verdana" w:cs="宋体"/>
      <w:sz w:val="24"/>
      <w:szCs w:val="20"/>
    </w:rPr>
  </w:style>
  <w:style w:type="paragraph" w:styleId="1081" w:customStyle="1">
    <w:name w:val="样式 正文（首行缩进两字） + 首行缩进:  2 字符"/>
    <w:basedOn w:val="741"/>
    <w:uiPriority w:val="0"/>
    <w:qFormat/>
    <w:pPr>
      <w:ind w:firstLine="200"/>
      <w:jc w:val="both"/>
    </w:pPr>
    <w:rPr>
      <w:rFonts w:eastAsia="宋体"/>
      <w:sz w:val="21"/>
      <w:szCs w:val="24"/>
    </w:rPr>
  </w:style>
  <w:style w:type="paragraph" w:styleId="1082" w:customStyle="1">
    <w:name w:val="样式3"/>
    <w:basedOn w:val="1078"/>
    <w:next w:val="1078"/>
    <w:uiPriority w:val="0"/>
    <w:qFormat/>
  </w:style>
  <w:style w:type="paragraph" w:styleId="1083" w:customStyle="1">
    <w:name w:val="Char Char Char Char"/>
    <w:basedOn w:val="727"/>
    <w:uiPriority w:val="0"/>
    <w:qFormat/>
  </w:style>
  <w:style w:type="paragraph" w:styleId="1084" w:customStyle="1">
    <w:name w:val="Definition Term"/>
    <w:basedOn w:val="727"/>
    <w:next w:val="727"/>
    <w:uiPriority w:val="0"/>
    <w:qFormat/>
    <w:pPr>
      <w:jc w:val="left"/>
      <w:widowControl/>
    </w:pPr>
    <w:rPr>
      <w:sz w:val="20"/>
      <w:lang w:eastAsia="en-US"/>
    </w:rPr>
  </w:style>
  <w:style w:type="paragraph" w:styleId="1085" w:customStyle="1">
    <w:name w:val="7"/>
    <w:basedOn w:val="727"/>
    <w:next w:val="755"/>
    <w:uiPriority w:val="0"/>
    <w:qFormat/>
    <w:rPr>
      <w:rFonts w:ascii="宋体" w:hAnsi="Courier New"/>
      <w:sz w:val="24"/>
      <w:szCs w:val="20"/>
    </w:rPr>
  </w:style>
  <w:style w:type="paragraph" w:styleId="1086" w:customStyle="1">
    <w:name w:val="Char3"/>
    <w:basedOn w:val="727"/>
    <w:uiPriority w:val="0"/>
    <w:qFormat/>
    <w:pPr>
      <w:ind w:left="-284"/>
      <w:jc w:val="left"/>
      <w:spacing w:after="160" w:line="240" w:lineRule="exact"/>
      <w:widowControl/>
      <w:tabs>
        <w:tab w:val="left" w:pos="76" w:leader="none"/>
      </w:tabs>
    </w:pPr>
    <w:rPr>
      <w:rFonts w:ascii="Verdana" w:hAnsi="Verdana" w:eastAsia="MS Mincho" w:cs="Verdana"/>
      <w:sz w:val="20"/>
      <w:szCs w:val="20"/>
      <w:lang w:eastAsia="en-US" w:bidi="kn-IN"/>
    </w:rPr>
  </w:style>
  <w:style w:type="paragraph" w:styleId="1087" w:customStyle="1">
    <w:name w:val="-"/>
    <w:basedOn w:val="727"/>
    <w:uiPriority w:val="0"/>
    <w:qFormat/>
    <w:pPr>
      <w:ind w:left="720" w:hanging="720"/>
      <w:spacing w:line="360" w:lineRule="auto"/>
      <w:tabs>
        <w:tab w:val="left" w:pos="720" w:leader="none"/>
        <w:tab w:val="left" w:pos="840" w:leader="none"/>
      </w:tabs>
    </w:pPr>
    <w:rPr>
      <w:rFonts w:ascii="Arial" w:hAnsi="Arial" w:cs="Arial"/>
      <w:b/>
      <w:bCs/>
      <w:sz w:val="24"/>
      <w:szCs w:val="32"/>
    </w:rPr>
  </w:style>
  <w:style w:type="paragraph" w:styleId="1088" w:customStyle="1">
    <w:name w:val="style8801"/>
    <w:basedOn w:val="727"/>
    <w:uiPriority w:val="0"/>
    <w:qFormat/>
    <w:pPr>
      <w:jc w:val="left"/>
      <w:spacing w:before="100" w:beforeAutospacing="1" w:after="100" w:afterAutospacing="1"/>
      <w:widowControl/>
    </w:pPr>
    <w:rPr>
      <w:rFonts w:ascii="宋体" w:hAnsi="宋体" w:cs="宋体"/>
      <w:color w:val="000000"/>
      <w:sz w:val="24"/>
    </w:rPr>
  </w:style>
  <w:style w:type="paragraph" w:styleId="1089" w:customStyle="1">
    <w:name w:val="biaoge1"/>
    <w:basedOn w:val="727"/>
    <w:uiPriority w:val="0"/>
    <w:qFormat/>
    <w:pPr>
      <w:jc w:val="left"/>
      <w:spacing w:before="100" w:beforeAutospacing="1" w:after="100" w:afterAutospacing="1" w:line="375" w:lineRule="atLeast"/>
      <w:widowControl/>
    </w:pPr>
    <w:rPr>
      <w:rFonts w:ascii="宋体" w:hAnsi="宋体" w:cs="宋体"/>
      <w:color w:val="000000"/>
      <w:sz w:val="20"/>
      <w:szCs w:val="20"/>
    </w:rPr>
  </w:style>
  <w:style w:type="character" w:styleId="1090" w:customStyle="1">
    <w:name w:val="info4"/>
    <w:uiPriority w:val="0"/>
    <w:qFormat/>
  </w:style>
  <w:style w:type="paragraph" w:styleId="1091">
    <w:name w:val="No Spacing"/>
    <w:basedOn w:val="727"/>
    <w:link w:val="1092"/>
    <w:uiPriority w:val="0"/>
    <w:qFormat/>
    <w:pPr>
      <w:jc w:val="left"/>
      <w:widowControl/>
    </w:pPr>
    <w:rPr>
      <w:rFonts w:ascii="Cambria" w:hAnsi="Cambria"/>
      <w:sz w:val="22"/>
      <w:szCs w:val="22"/>
      <w:lang w:eastAsia="en-US" w:bidi="en-US"/>
    </w:rPr>
  </w:style>
  <w:style w:type="character" w:styleId="1092" w:customStyle="1">
    <w:name w:val="无间隔 字符"/>
    <w:link w:val="1091"/>
    <w:uiPriority w:val="0"/>
    <w:qFormat/>
    <w:rPr>
      <w:rFonts w:ascii="Cambria" w:hAnsi="Cambria" w:eastAsia="宋体"/>
      <w:sz w:val="22"/>
      <w:szCs w:val="22"/>
      <w:lang w:val="en-US" w:eastAsia="en-US" w:bidi="en-US"/>
    </w:rPr>
  </w:style>
  <w:style w:type="paragraph" w:styleId="1093">
    <w:name w:val="Quote"/>
    <w:basedOn w:val="727"/>
    <w:next w:val="727"/>
    <w:link w:val="1094"/>
    <w:uiPriority w:val="0"/>
    <w:qFormat/>
    <w:pPr>
      <w:jc w:val="left"/>
      <w:spacing w:after="200" w:line="276" w:lineRule="auto"/>
      <w:widowControl/>
    </w:pPr>
    <w:rPr>
      <w:rFonts w:ascii="Cambria" w:hAnsi="Cambria"/>
      <w:i/>
      <w:iCs/>
      <w:sz w:val="22"/>
      <w:szCs w:val="22"/>
      <w:lang w:eastAsia="en-US" w:bidi="en-US"/>
    </w:rPr>
  </w:style>
  <w:style w:type="character" w:styleId="1094" w:customStyle="1">
    <w:name w:val="引用 字符"/>
    <w:link w:val="1093"/>
    <w:uiPriority w:val="0"/>
    <w:qFormat/>
    <w:rPr>
      <w:rFonts w:ascii="Cambria" w:hAnsi="Cambria" w:eastAsia="宋体"/>
      <w:i/>
      <w:iCs/>
      <w:sz w:val="22"/>
      <w:szCs w:val="22"/>
      <w:lang w:val="en-US" w:eastAsia="en-US" w:bidi="en-US"/>
    </w:rPr>
  </w:style>
  <w:style w:type="paragraph" w:styleId="1095">
    <w:name w:val="Intense Quote"/>
    <w:basedOn w:val="727"/>
    <w:next w:val="727"/>
    <w:link w:val="1096"/>
    <w:uiPriority w:val="0"/>
    <w:qFormat/>
    <w:pPr>
      <w:ind w:left="1152" w:right="1152"/>
      <w:spacing w:before="240" w:after="240" w:line="300" w:lineRule="auto"/>
      <w:widowControl/>
      <w:pBdr>
        <w:top w:val="single" w:color="auto" w:sz="4" w:space="10"/>
        <w:bottom w:val="single" w:color="auto" w:sz="4" w:space="10"/>
      </w:pBdr>
    </w:pPr>
    <w:rPr>
      <w:rFonts w:ascii="Cambria" w:hAnsi="Cambria"/>
      <w:i/>
      <w:iCs/>
      <w:sz w:val="22"/>
      <w:szCs w:val="22"/>
      <w:lang w:eastAsia="en-US" w:bidi="en-US"/>
    </w:rPr>
  </w:style>
  <w:style w:type="character" w:styleId="1096" w:customStyle="1">
    <w:name w:val="明显引用 字符"/>
    <w:link w:val="1095"/>
    <w:uiPriority w:val="0"/>
    <w:qFormat/>
    <w:rPr>
      <w:rFonts w:ascii="Cambria" w:hAnsi="Cambria" w:eastAsia="宋体"/>
      <w:i/>
      <w:iCs/>
      <w:sz w:val="22"/>
      <w:szCs w:val="22"/>
      <w:lang w:val="en-US" w:eastAsia="en-US" w:bidi="en-US"/>
    </w:rPr>
  </w:style>
  <w:style w:type="paragraph" w:styleId="1097" w:customStyle="1">
    <w:name w:val="TOC 标题11"/>
    <w:basedOn w:val="728"/>
    <w:next w:val="727"/>
    <w:uiPriority w:val="39"/>
    <w:qFormat/>
    <w:pPr>
      <w:contextualSpacing/>
      <w:jc w:val="left"/>
      <w:keepLines w:val="0"/>
      <w:keepNext w:val="0"/>
      <w:spacing w:before="480" w:after="0" w:line="276" w:lineRule="auto"/>
      <w:widowControl/>
      <w:outlineLvl w:val="9"/>
    </w:pPr>
    <w:rPr>
      <w:rFonts w:ascii="Cambria" w:hAnsi="Cambria"/>
      <w:b w:val="0"/>
      <w:bCs w:val="0"/>
      <w:smallCaps/>
      <w:spacing w:val="5"/>
      <w:sz w:val="36"/>
      <w:szCs w:val="36"/>
      <w:lang w:eastAsia="en-US" w:bidi="en-US"/>
    </w:rPr>
  </w:style>
  <w:style w:type="table" w:styleId="1098" w:customStyle="1">
    <w:name w:val="浅色列表 - 强调文字颜色 11"/>
    <w:basedOn w:val="738"/>
    <w:uiPriority w:val="0"/>
    <w:qFormat/>
    <w:rPr>
      <w:rFonts w:ascii="Cambria" w:hAnsi="Cambria"/>
    </w:rPr>
    <w:tblPr>
      <w:tblBorders>
        <w:top w:val="single" w:color="4F81BD" w:sz="8" w:space="0"/>
        <w:left w:val="single" w:color="4F81BD" w:sz="8" w:space="0"/>
        <w:bottom w:val="single" w:color="4F81BD" w:sz="8" w:space="0"/>
        <w:right w:val="single" w:color="4F81BD" w:sz="8" w:space="0"/>
      </w:tblBorders>
    </w:tblPr>
    <w:tblStylePr w:type="band1Horz">
      <w:tcPr>
        <w:tcBorders>
          <w:top w:val="single" w:color="4F81BD" w:sz="8" w:space="0"/>
          <w:left w:val="single" w:color="4F81BD" w:sz="8" w:space="0"/>
          <w:bottom w:val="single" w:color="4F81BD" w:sz="8" w:space="0"/>
          <w:right w:val="single" w:color="4F81BD" w:sz="8" w:space="0"/>
        </w:tcBorders>
      </w:tcPr>
    </w:tblStylePr>
    <w:tblStylePr w:type="band1Vert">
      <w:tcPr>
        <w:tcBorders>
          <w:top w:val="single" w:color="4F81BD" w:sz="8" w:space="0"/>
          <w:left w:val="single" w:color="4F81BD" w:sz="8" w:space="0"/>
          <w:bottom w:val="single" w:color="4F81BD" w:sz="8" w:space="0"/>
          <w:right w:val="single" w:color="4F81BD" w:sz="8" w:space="0"/>
        </w:tcBorders>
      </w:tcPr>
    </w:tblStylePr>
    <w:tblStylePr w:type="firstCol">
      <w:rPr>
        <w:b/>
        <w:bCs/>
      </w:rPr>
    </w:tblStylePr>
    <w:tblStylePr w:type="firstRow">
      <w:rPr>
        <w:b/>
        <w:bCs/>
        <w:color w:val="ffffff"/>
      </w:rPr>
      <w:pPr>
        <w:spacing w:before="0" w:after="0" w:line="240" w:lineRule="auto"/>
      </w:pPr>
      <w:tcPr>
        <w:shd w:val="clear" w:color="auto" w:fill="4f81bd"/>
      </w:tcPr>
    </w:tblStylePr>
    <w:tblStylePr w:type="lastCol">
      <w:rPr>
        <w:b/>
        <w:bCs/>
      </w:rPr>
    </w:tblStylePr>
    <w:tblStylePr w:type="lastRow">
      <w:rPr>
        <w:b/>
        <w:bCs/>
      </w:rPr>
      <w:pPr>
        <w:spacing w:before="0" w:after="0" w:line="240" w:lineRule="auto"/>
      </w:pPr>
      <w:tcPr>
        <w:tcBorders>
          <w:top w:val="single" w:color="4F81BD" w:sz="6" w:space="0"/>
          <w:left w:val="single" w:color="4F81BD" w:sz="8" w:space="0"/>
          <w:bottom w:val="single" w:color="4F81BD" w:sz="8" w:space="0"/>
          <w:right w:val="single" w:color="4F81BD" w:sz="8" w:space="0"/>
        </w:tcBorders>
      </w:tcPr>
    </w:tblStylePr>
  </w:style>
  <w:style w:type="table" w:styleId="1099" w:customStyle="1">
    <w:name w:val="浅色网格 - 强调文字颜色 11"/>
    <w:basedOn w:val="738"/>
    <w:uiPriority w:val="0"/>
    <w:qFormat/>
    <w:rPr>
      <w:rFonts w:ascii="Cambria" w:hAnsi="Cambria"/>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band1Horz">
      <w:tcPr>
        <w:shd w:val="clear" w:color="auto" w:fill="d3dfee"/>
        <w:tcBorders>
          <w:top w:val="single" w:color="4F81BD" w:sz="8" w:space="0"/>
          <w:left w:val="single" w:color="4F81BD" w:sz="8" w:space="0"/>
          <w:bottom w:val="single" w:color="4F81BD" w:sz="8" w:space="0"/>
          <w:right w:val="single" w:color="4F81BD" w:sz="8" w:space="0"/>
          <w:insideV w:val="single" w:color="000000" w:sz="8" w:space="0"/>
        </w:tcBorders>
      </w:tcPr>
    </w:tblStylePr>
    <w:tblStylePr w:type="band1Vert">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2Horz">
      <w:tcPr>
        <w:tcBorders>
          <w:top w:val="single" w:color="4F81BD" w:sz="8" w:space="0"/>
          <w:left w:val="single" w:color="4F81BD" w:sz="8" w:space="0"/>
          <w:bottom w:val="single" w:color="4F81BD" w:sz="8" w:space="0"/>
          <w:right w:val="single" w:color="4F81BD"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4F81BD" w:sz="8" w:space="0"/>
          <w:left w:val="single" w:color="4F81BD" w:sz="8" w:space="0"/>
          <w:bottom w:val="single" w:color="4F81BD" w:sz="18" w:space="0"/>
          <w:right w:val="single" w:color="4F81BD"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4F81BD" w:sz="8" w:space="0"/>
          <w:left w:val="single" w:color="4F81BD" w:sz="8" w:space="0"/>
          <w:bottom w:val="single" w:color="4F81BD" w:sz="8" w:space="0"/>
          <w:right w:val="single" w:color="4F81BD" w:sz="8" w:space="0"/>
        </w:tcBorders>
      </w:tcPr>
    </w:tblStylePr>
    <w:tblStylePr w:type="lastRow">
      <w:rPr>
        <w:rFonts w:ascii="等线" w:hAnsi="等线" w:eastAsia="宋体" w:cs="Times New Roman"/>
        <w:b/>
        <w:bCs/>
      </w:rPr>
      <w:pPr>
        <w:spacing w:before="0" w:after="0" w:line="240" w:lineRule="auto"/>
      </w:pPr>
      <w:tcPr>
        <w:tcBorders>
          <w:top w:val="single" w:color="4F81BD" w:sz="6" w:space="0"/>
          <w:left w:val="single" w:color="4F81BD" w:sz="8" w:space="0"/>
          <w:bottom w:val="single" w:color="4F81BD" w:sz="8" w:space="0"/>
          <w:right w:val="single" w:color="4F81BD" w:sz="8" w:space="0"/>
          <w:insideH w:val="none" w:color="000000" w:sz="4" w:space="0"/>
          <w:insideV w:val="single" w:color="000000" w:sz="8" w:space="0"/>
        </w:tcBorders>
      </w:tcPr>
    </w:tblStylePr>
  </w:style>
  <w:style w:type="paragraph" w:styleId="1100" w:customStyle="1">
    <w:name w:val="navtext"/>
    <w:basedOn w:val="727"/>
    <w:uiPriority w:val="0"/>
    <w:qFormat/>
    <w:pPr>
      <w:spacing w:before="100" w:beforeAutospacing="1" w:after="100" w:afterAutospacing="1"/>
      <w:widowControl/>
    </w:pPr>
    <w:rPr>
      <w:rFonts w:ascii="Arial" w:hAnsi="Arial" w:cs="Arial"/>
      <w:color w:val="333333"/>
      <w:sz w:val="18"/>
      <w:szCs w:val="18"/>
      <w:lang w:eastAsia="en-US" w:bidi="en-US"/>
    </w:rPr>
  </w:style>
  <w:style w:type="paragraph" w:styleId="1101" w:customStyle="1">
    <w:name w:val="锐丰正文 Char"/>
    <w:basedOn w:val="727"/>
    <w:link w:val="1102"/>
    <w:uiPriority w:val="0"/>
    <w:qFormat/>
    <w:pPr>
      <w:ind w:firstLine="200"/>
      <w:spacing w:line="520" w:lineRule="exact"/>
    </w:pPr>
    <w:rPr>
      <w:rFonts w:ascii="Calibri" w:hAnsi="Calibri" w:eastAsia="楷体_GB2312"/>
      <w:sz w:val="28"/>
      <w:lang w:eastAsia="en-US" w:bidi="en-US"/>
    </w:rPr>
  </w:style>
  <w:style w:type="character" w:styleId="1102" w:customStyle="1">
    <w:name w:val="锐丰正文 Char Char"/>
    <w:link w:val="1101"/>
    <w:uiPriority w:val="0"/>
    <w:qFormat/>
    <w:rPr>
      <w:rFonts w:eastAsia="楷体_GB2312"/>
      <w:sz w:val="28"/>
      <w:szCs w:val="24"/>
      <w:lang w:val="en-US" w:eastAsia="en-US" w:bidi="en-US"/>
    </w:rPr>
  </w:style>
  <w:style w:type="paragraph" w:styleId="1103" w:customStyle="1">
    <w:name w:val="锐丰图片"/>
    <w:link w:val="1104"/>
    <w:uiPriority w:val="0"/>
    <w:qFormat/>
    <w:pPr>
      <w:jc w:val="center"/>
      <w:spacing w:after="200" w:line="276" w:lineRule="auto"/>
    </w:pPr>
    <w:rPr>
      <w:rFonts w:hint="default" w:ascii="Calibri" w:hAnsi="Calibri" w:eastAsia="楷体_GB2312" w:cs="Times New Roman"/>
      <w:color w:val="0000ff"/>
      <w:sz w:val="28"/>
      <w:szCs w:val="28"/>
      <w:lang w:val="en-US" w:eastAsia="zh-CN" w:bidi="ar-SA"/>
    </w:rPr>
  </w:style>
  <w:style w:type="character" w:styleId="1104" w:customStyle="1">
    <w:name w:val="锐丰图片 Char"/>
    <w:link w:val="1103"/>
    <w:uiPriority w:val="0"/>
    <w:qFormat/>
    <w:rPr>
      <w:rFonts w:eastAsia="楷体_GB2312"/>
      <w:color w:val="0000ff"/>
      <w:sz w:val="28"/>
      <w:szCs w:val="28"/>
      <w:lang w:val="en-US" w:eastAsia="zh-CN" w:bidi="ar-SA"/>
    </w:rPr>
  </w:style>
  <w:style w:type="paragraph" w:styleId="1105" w:customStyle="1">
    <w:name w:val="锐丰图片 Char Char"/>
    <w:link w:val="1106"/>
    <w:uiPriority w:val="0"/>
    <w:qFormat/>
    <w:pPr>
      <w:jc w:val="center"/>
      <w:spacing w:after="200" w:line="276" w:lineRule="auto"/>
    </w:pPr>
    <w:rPr>
      <w:rFonts w:hint="default" w:ascii="Calibri" w:hAnsi="Calibri" w:eastAsia="楷体_GB2312" w:cs="Times New Roman"/>
      <w:color w:val="0000ff"/>
      <w:sz w:val="28"/>
      <w:szCs w:val="28"/>
      <w:lang w:val="en-US" w:eastAsia="zh-CN" w:bidi="ar-SA"/>
    </w:rPr>
  </w:style>
  <w:style w:type="character" w:styleId="1106" w:customStyle="1">
    <w:name w:val="锐丰图片 Char Char Char"/>
    <w:link w:val="1105"/>
    <w:uiPriority w:val="0"/>
    <w:qFormat/>
    <w:rPr>
      <w:rFonts w:eastAsia="楷体_GB2312"/>
      <w:color w:val="0000ff"/>
      <w:sz w:val="28"/>
      <w:szCs w:val="28"/>
      <w:lang w:val="en-US" w:eastAsia="zh-CN" w:bidi="ar-SA"/>
    </w:rPr>
  </w:style>
  <w:style w:type="paragraph" w:styleId="1107" w:customStyle="1">
    <w:name w:val="样式 样式 标题 4 + 楷体_GB2312 非加粗 段前: 0 磅 段后: 0 磅 + 段前: 0.5 行"/>
    <w:basedOn w:val="727"/>
    <w:uiPriority w:val="0"/>
    <w:qFormat/>
    <w:pPr>
      <w:keepLines/>
      <w:keepNext/>
      <w:spacing w:line="377" w:lineRule="auto"/>
      <w:outlineLvl w:val="3"/>
    </w:pPr>
    <w:rPr>
      <w:rFonts w:ascii="楷体_GB2312" w:hAnsi="Arial" w:eastAsia="楷体_GB2312" w:cs="宋体"/>
      <w:b/>
      <w:bCs/>
      <w:sz w:val="28"/>
      <w:szCs w:val="22"/>
      <w:lang w:eastAsia="en-US" w:bidi="en-US"/>
    </w:rPr>
  </w:style>
  <w:style w:type="paragraph" w:styleId="1108" w:customStyle="1">
    <w:name w:val="锐丰表格"/>
    <w:basedOn w:val="727"/>
    <w:uiPriority w:val="0"/>
    <w:qFormat/>
    <w:pPr>
      <w:jc w:val="left"/>
    </w:pPr>
    <w:rPr>
      <w:rFonts w:ascii="Arial" w:hAnsi="Arial" w:cs="Arial"/>
      <w:sz w:val="24"/>
      <w:lang w:eastAsia="en-US" w:bidi="en-US"/>
    </w:rPr>
  </w:style>
  <w:style w:type="paragraph" w:styleId="1109" w:customStyle="1">
    <w:name w:val="bodytext"/>
    <w:basedOn w:val="727"/>
    <w:uiPriority w:val="0"/>
    <w:qFormat/>
    <w:pPr>
      <w:spacing w:before="100" w:beforeAutospacing="1" w:after="100" w:afterAutospacing="1"/>
      <w:widowControl/>
    </w:pPr>
    <w:rPr>
      <w:rFonts w:ascii="Arial" w:hAnsi="Arial" w:cs="Arial"/>
      <w:color w:val="000033"/>
      <w:sz w:val="16"/>
      <w:szCs w:val="16"/>
      <w:lang w:eastAsia="en-US" w:bidi="en-US"/>
    </w:rPr>
  </w:style>
  <w:style w:type="paragraph" w:styleId="1110" w:customStyle="1">
    <w:name w:val="样式 (中文) 楷体_GB2312 四号 左 行距: 固定值 28 磅"/>
    <w:basedOn w:val="727"/>
    <w:uiPriority w:val="0"/>
    <w:qFormat/>
    <w:pPr>
      <w:ind w:firstLine="200"/>
      <w:jc w:val="left"/>
      <w:spacing w:line="560" w:lineRule="exact"/>
    </w:pPr>
    <w:rPr>
      <w:rFonts w:eastAsia="楷体_GB2312" w:cs="宋体"/>
      <w:sz w:val="28"/>
      <w:szCs w:val="22"/>
      <w:lang w:eastAsia="en-US" w:bidi="en-US"/>
    </w:rPr>
  </w:style>
  <w:style w:type="paragraph" w:styleId="1111" w:customStyle="1">
    <w:name w:val="锐丰正文"/>
    <w:basedOn w:val="727"/>
    <w:uiPriority w:val="0"/>
    <w:qFormat/>
    <w:pPr>
      <w:ind w:firstLine="200"/>
      <w:spacing w:line="520" w:lineRule="exact"/>
    </w:pPr>
    <w:rPr>
      <w:rFonts w:eastAsia="楷体_GB2312"/>
      <w:sz w:val="28"/>
      <w:lang w:eastAsia="en-US" w:bidi="en-US"/>
    </w:rPr>
  </w:style>
  <w:style w:type="paragraph" w:styleId="1112" w:customStyle="1">
    <w:name w:val="锐丰编号3"/>
    <w:basedOn w:val="1111"/>
    <w:uiPriority w:val="0"/>
    <w:qFormat/>
    <w:pPr>
      <w:numPr>
        <w:ilvl w:val="0"/>
        <w:numId w:val="7"/>
      </w:numPr>
      <w:ind w:firstLine="0"/>
    </w:pPr>
    <w:rPr>
      <w:szCs w:val="20"/>
    </w:rPr>
  </w:style>
  <w:style w:type="paragraph" w:styleId="1113" w:customStyle="1">
    <w:name w:val="锐丰编号二"/>
    <w:basedOn w:val="1111"/>
    <w:uiPriority w:val="0"/>
    <w:qFormat/>
    <w:pPr>
      <w:numPr>
        <w:ilvl w:val="0"/>
        <w:numId w:val="8"/>
      </w:numPr>
      <w:ind w:firstLine="0"/>
    </w:pPr>
    <w:rPr>
      <w:szCs w:val="20"/>
    </w:rPr>
  </w:style>
  <w:style w:type="paragraph" w:styleId="1114" w:customStyle="1">
    <w:name w:val="样式 宋体 小三 行距: 1.5 倍行距1"/>
    <w:basedOn w:val="748"/>
    <w:uiPriority w:val="0"/>
    <w:qFormat/>
    <w:pPr>
      <w:numPr>
        <w:ilvl w:val="0"/>
        <w:numId w:val="9"/>
      </w:numPr>
      <w:ind w:left="601" w:hanging="201"/>
      <w:tabs>
        <w:tab w:val="left" w:pos="600" w:leader="none"/>
        <w:tab w:val="clear" w:pos="980" w:leader="none"/>
        <w:tab w:val="clear" w:pos="5250" w:leader="none"/>
      </w:tabs>
    </w:pPr>
    <w:rPr>
      <w:rFonts w:cs="宋体"/>
      <w:sz w:val="30"/>
      <w:szCs w:val="20"/>
    </w:rPr>
  </w:style>
  <w:style w:type="character" w:styleId="1115" w:customStyle="1">
    <w:name w:val="bigtitle1"/>
    <w:uiPriority w:val="0"/>
    <w:qFormat/>
    <w:rPr>
      <w:rFonts w:hint="default" w:ascii="Arial" w:hAnsi="Arial" w:cs="Arial"/>
      <w:color w:val="263470"/>
      <w:sz w:val="48"/>
      <w:szCs w:val="48"/>
    </w:rPr>
  </w:style>
  <w:style w:type="character" w:styleId="1116" w:customStyle="1">
    <w:name w:val="product_nav_bg1"/>
    <w:basedOn w:val="737"/>
    <w:uiPriority w:val="0"/>
    <w:qFormat/>
  </w:style>
  <w:style w:type="paragraph" w:styleId="1117" w:customStyle="1">
    <w:name w:val="标题 3 + 宋体"/>
    <w:basedOn w:val="729"/>
    <w:uiPriority w:val="0"/>
    <w:qFormat/>
    <w:pPr>
      <w:keepLines w:val="0"/>
      <w:spacing w:before="0" w:after="0" w:line="360" w:lineRule="auto"/>
    </w:pPr>
    <w:rPr>
      <w:rFonts w:ascii="宋体" w:hAnsi="宋体" w:eastAsia="宋体"/>
      <w:caps/>
      <w:smallCaps/>
      <w:color w:val="000000"/>
      <w:sz w:val="21"/>
      <w:szCs w:val="21"/>
      <w:lang w:bidi="en-US"/>
    </w:rPr>
  </w:style>
  <w:style w:type="paragraph" w:styleId="1118" w:customStyle="1">
    <w:name w:val="样式 样式 标题 2H2Heading 2 HiddenHeading 2 CCBS部分标题h2Underrubrik1... ..."/>
    <w:basedOn w:val="727"/>
    <w:uiPriority w:val="0"/>
    <w:qFormat/>
    <w:pPr>
      <w:numPr>
        <w:ilvl w:val="1"/>
        <w:numId w:val="1"/>
      </w:numPr>
      <w:contextualSpacing/>
      <w:jc w:val="left"/>
      <w:keepLines/>
      <w:keepNext/>
      <w:spacing w:beforeAutospacing="1" w:after="100" w:afterAutospacing="1"/>
      <w:widowControl/>
      <w:outlineLvl w:val="1"/>
    </w:pPr>
    <w:rPr>
      <w:rFonts w:ascii="宋体" w:hAnsi="宋体" w:eastAsia="黑体" w:cs="宋体"/>
      <w:bCs/>
      <w:sz w:val="28"/>
      <w:szCs w:val="21"/>
    </w:rPr>
  </w:style>
  <w:style w:type="paragraph" w:styleId="1119" w:customStyle="1">
    <w:name w:val="列出段落1"/>
    <w:basedOn w:val="727"/>
    <w:uiPriority w:val="0"/>
    <w:qFormat/>
    <w:pPr>
      <w:ind w:firstLine="420"/>
    </w:pPr>
    <w:rPr>
      <w:sz w:val="28"/>
    </w:rPr>
  </w:style>
  <w:style w:type="character" w:styleId="1120" w:customStyle="1">
    <w:name w:val="Heading 3 Char"/>
    <w:uiPriority w:val="0"/>
    <w:qFormat/>
    <w:rPr>
      <w:rFonts w:eastAsia="黑体" w:cs="Times New Roman"/>
      <w:b/>
      <w:bCs/>
      <w:sz w:val="32"/>
      <w:szCs w:val="32"/>
    </w:rPr>
  </w:style>
  <w:style w:type="character" w:styleId="1121" w:customStyle="1">
    <w:name w:val="short_text"/>
    <w:basedOn w:val="737"/>
    <w:uiPriority w:val="0"/>
    <w:qFormat/>
  </w:style>
  <w:style w:type="character" w:styleId="1122" w:customStyle="1">
    <w:name w:val="普通文字 Char1"/>
    <w:uiPriority w:val="0"/>
    <w:qFormat/>
    <w:rPr>
      <w:rFonts w:ascii="宋体" w:hAnsi="Courier New" w:eastAsia="楷体_GB2312"/>
      <w:sz w:val="28"/>
      <w:lang w:val="en-US" w:eastAsia="zh-CN" w:bidi="ar-SA"/>
    </w:rPr>
  </w:style>
  <w:style w:type="paragraph" w:styleId="1123" w:customStyle="1">
    <w:name w:val="样式 仿宋_GB2312 四号 黑色 行距: 1.5 倍行距1"/>
    <w:basedOn w:val="727"/>
    <w:uiPriority w:val="0"/>
    <w:qFormat/>
    <w:pPr>
      <w:spacing w:line="360" w:lineRule="auto"/>
    </w:pPr>
    <w:rPr>
      <w:rFonts w:ascii="仿宋_GB2312" w:hAnsi="宋体" w:eastAsia="仿宋_GB2312"/>
      <w:color w:val="000000"/>
      <w:sz w:val="24"/>
      <w:szCs w:val="20"/>
    </w:rPr>
  </w:style>
  <w:style w:type="character" w:styleId="1124" w:customStyle="1">
    <w:name w:val="正文缩进 Char Char Char Char Char Char Char Char Char Char Char Char Char Char Char Char Char Char Char Char Char Char Char Char Char Char Char Char Char"/>
    <w:uiPriority w:val="0"/>
    <w:qFormat/>
    <w:rPr>
      <w:rFonts w:eastAsia="楷体_GB2312"/>
      <w:sz w:val="24"/>
      <w:lang w:val="en-US" w:eastAsia="zh-CN" w:bidi="ar-SA"/>
    </w:rPr>
  </w:style>
  <w:style w:type="paragraph" w:styleId="1125" w:customStyle="1">
    <w:name w:val="纯文本3"/>
    <w:basedOn w:val="727"/>
    <w:uiPriority w:val="0"/>
    <w:qFormat/>
    <w:rPr>
      <w:rFonts w:hint="eastAsia" w:ascii="宋体" w:hAnsi="Courier New" w:eastAsia="楷体_GB2312"/>
      <w:sz w:val="28"/>
      <w:szCs w:val="20"/>
    </w:rPr>
  </w:style>
  <w:style w:type="paragraph" w:styleId="1126" w:customStyle="1">
    <w:name w:val="p0"/>
    <w:basedOn w:val="727"/>
    <w:uiPriority w:val="0"/>
    <w:qFormat/>
    <w:pPr>
      <w:jc w:val="left"/>
      <w:spacing w:before="100" w:beforeAutospacing="1" w:after="100" w:afterAutospacing="1"/>
      <w:widowControl/>
    </w:pPr>
    <w:rPr>
      <w:rFonts w:ascii="宋体" w:hAnsi="宋体" w:cs="宋体"/>
      <w:sz w:val="24"/>
    </w:rPr>
  </w:style>
  <w:style w:type="paragraph" w:styleId="1127" w:customStyle="1">
    <w:name w:val="p15"/>
    <w:basedOn w:val="727"/>
    <w:uiPriority w:val="0"/>
    <w:qFormat/>
    <w:pPr>
      <w:widowControl/>
    </w:pPr>
    <w:rPr>
      <w:rFonts w:ascii="宋体" w:hAnsi="宋体" w:cs="宋体"/>
      <w:sz w:val="28"/>
      <w:szCs w:val="28"/>
    </w:rPr>
  </w:style>
  <w:style w:type="paragraph" w:styleId="1128" w:customStyle="1">
    <w:name w:val="纯文本11"/>
    <w:basedOn w:val="727"/>
    <w:link w:val="1129"/>
    <w:uiPriority w:val="0"/>
    <w:qFormat/>
    <w:rPr>
      <w:rFonts w:ascii="宋体" w:hAnsi="Courier New" w:eastAsia="楷体_GB2312"/>
      <w:sz w:val="28"/>
      <w:szCs w:val="20"/>
    </w:rPr>
  </w:style>
  <w:style w:type="character" w:styleId="1129" w:customStyle="1">
    <w:name w:val="Plain Text Char Char"/>
    <w:link w:val="1128"/>
    <w:uiPriority w:val="0"/>
    <w:qFormat/>
    <w:rPr>
      <w:rFonts w:ascii="宋体" w:hAnsi="Courier New" w:eastAsia="楷体_GB2312"/>
      <w:sz w:val="28"/>
    </w:rPr>
  </w:style>
  <w:style w:type="paragraph" w:styleId="1130" w:customStyle="1">
    <w:name w:val="列出段落4"/>
    <w:basedOn w:val="727"/>
    <w:uiPriority w:val="34"/>
    <w:qFormat/>
    <w:pPr>
      <w:ind w:firstLine="420"/>
      <w:jc w:val="left"/>
      <w:spacing w:after="200"/>
      <w:widowControl/>
    </w:pPr>
    <w:rPr>
      <w:rFonts w:ascii="Tahoma" w:hAnsi="Tahoma" w:eastAsia="微软雅黑"/>
      <w:sz w:val="22"/>
      <w:szCs w:val="22"/>
    </w:rPr>
  </w:style>
  <w:style w:type="character" w:styleId="1131" w:customStyle="1">
    <w:name w:val="正文缩进 字符"/>
    <w:uiPriority w:val="0"/>
    <w:qFormat/>
    <w:rPr>
      <w:rFonts w:eastAsia="楷体_GB2312"/>
      <w:sz w:val="24"/>
      <w:lang w:val="en-US" w:eastAsia="zh-CN" w:bidi="ar-SA"/>
    </w:rPr>
  </w:style>
  <w:style w:type="paragraph" w:styleId="1132" w:customStyle="1">
    <w:name w:val="纯文本2"/>
    <w:basedOn w:val="727"/>
    <w:uiPriority w:val="0"/>
    <w:qFormat/>
    <w:rPr>
      <w:rFonts w:hint="eastAsia" w:ascii="宋体" w:hAnsi="Courier New" w:eastAsia="楷体_GB2312"/>
      <w:sz w:val="28"/>
      <w:szCs w:val="20"/>
    </w:rPr>
  </w:style>
  <w:style w:type="paragraph" w:styleId="1133" w:customStyle="1">
    <w:name w:val="纯文本4"/>
    <w:basedOn w:val="727"/>
    <w:uiPriority w:val="0"/>
    <w:qFormat/>
    <w:rPr>
      <w:rFonts w:ascii="宋体" w:hAnsi="Courier New" w:eastAsia="楷体_GB2312"/>
      <w:sz w:val="28"/>
      <w:szCs w:val="20"/>
    </w:rPr>
  </w:style>
  <w:style w:type="character" w:styleId="1134" w:customStyle="1">
    <w:name w:val="标题 2 字符"/>
    <w:uiPriority w:val="9"/>
    <w:qFormat/>
    <w:rPr>
      <w:rFonts w:ascii="Arial" w:hAnsi="Arial" w:eastAsia="黑体"/>
      <w:b/>
      <w:bCs/>
      <w:sz w:val="32"/>
      <w:szCs w:val="32"/>
    </w:rPr>
  </w:style>
  <w:style w:type="paragraph" w:styleId="1135" w:customStyle="1">
    <w:name w:val="纯文本41"/>
    <w:basedOn w:val="727"/>
    <w:uiPriority w:val="0"/>
    <w:qFormat/>
    <w:rPr>
      <w:rFonts w:ascii="宋体" w:hAnsi="Courier New" w:eastAsia="楷体_GB2312"/>
      <w:sz w:val="28"/>
      <w:szCs w:val="20"/>
    </w:rPr>
  </w:style>
  <w:style w:type="character" w:styleId="1136" w:customStyle="1">
    <w:name w:val="批注文字 字符"/>
    <w:basedOn w:val="737"/>
    <w:link w:val="744"/>
    <w:uiPriority w:val="0"/>
    <w:semiHidden/>
    <w:qFormat/>
    <w:rPr>
      <w:rFonts w:ascii="Times New Roman" w:hAnsi="Times New Roman"/>
      <w:sz w:val="21"/>
      <w:szCs w:val="24"/>
    </w:rPr>
  </w:style>
  <w:style w:type="paragraph" w:styleId="1137" w:customStyle="1">
    <w:name w:val="纯文本12"/>
    <w:basedOn w:val="727"/>
    <w:uiPriority w:val="0"/>
    <w:qFormat/>
    <w:rPr>
      <w:rFonts w:ascii="宋体" w:hAnsi="Courier New" w:eastAsia="楷体_GB2312"/>
      <w:sz w:val="28"/>
      <w:szCs w:val="20"/>
    </w:rPr>
  </w:style>
  <w:style w:type="character" w:styleId="1138" w:customStyle="1">
    <w:name w:val="正文文本缩进 Char1"/>
    <w:uiPriority w:val="0"/>
    <w:qFormat/>
    <w:rPr>
      <w:rFonts w:ascii="方正仿宋简体" w:hAnsi="创艺简仿宋" w:eastAsia="方正仿宋简体"/>
      <w:sz w:val="24"/>
    </w:rPr>
  </w:style>
  <w:style w:type="character" w:styleId="1139" w:customStyle="1">
    <w:name w:val="批注主题 字符"/>
    <w:basedOn w:val="1136"/>
    <w:link w:val="779"/>
    <w:uiPriority w:val="0"/>
    <w:semiHidden/>
    <w:qFormat/>
    <w:rPr>
      <w:rFonts w:ascii="Times New Roman" w:hAnsi="Times New Roman"/>
      <w:b/>
      <w:bCs/>
      <w:sz w:val="21"/>
      <w:szCs w:val="24"/>
    </w:rPr>
  </w:style>
  <w:style w:type="paragraph" w:styleId="1140" w:customStyle="1">
    <w:name w:val="*正文"/>
    <w:basedOn w:val="727"/>
    <w:uiPriority w:val="0"/>
    <w:qFormat/>
    <w:pPr>
      <w:ind w:firstLine="480"/>
      <w:spacing w:line="360" w:lineRule="auto"/>
    </w:pPr>
    <w:rPr>
      <w:rFonts w:ascii="Arial" w:hAnsi="Arial" w:cs="宋体"/>
      <w:sz w:val="28"/>
      <w:szCs w:val="21"/>
    </w:rPr>
  </w:style>
  <w:style w:type="paragraph" w:styleId="1141" w:customStyle="1">
    <w:name w:val="msonormal"/>
    <w:basedOn w:val="727"/>
    <w:uiPriority w:val="0"/>
    <w:qFormat/>
    <w:pPr>
      <w:jc w:val="left"/>
      <w:spacing w:before="100" w:beforeAutospacing="1" w:after="100" w:afterAutospacing="1"/>
      <w:widowControl/>
    </w:pPr>
    <w:rPr>
      <w:rFonts w:ascii="宋体" w:hAnsi="宋体" w:cs="宋体"/>
      <w:sz w:val="24"/>
    </w:rPr>
  </w:style>
  <w:style w:type="paragraph" w:styleId="1142" w:customStyle="1">
    <w:name w:val="font6"/>
    <w:basedOn w:val="727"/>
    <w:uiPriority w:val="0"/>
    <w:qFormat/>
    <w:pPr>
      <w:jc w:val="left"/>
      <w:spacing w:before="100" w:beforeAutospacing="1" w:after="100" w:afterAutospacing="1"/>
      <w:widowControl/>
    </w:pPr>
    <w:rPr>
      <w:rFonts w:ascii="Calibri" w:hAnsi="Calibri" w:cs="Calibri"/>
      <w:color w:val="000000"/>
      <w:szCs w:val="21"/>
    </w:rPr>
  </w:style>
  <w:style w:type="paragraph" w:styleId="1143" w:customStyle="1">
    <w:name w:val="font7"/>
    <w:basedOn w:val="727"/>
    <w:uiPriority w:val="0"/>
    <w:qFormat/>
    <w:pPr>
      <w:jc w:val="left"/>
      <w:spacing w:before="100" w:beforeAutospacing="1" w:after="100" w:afterAutospacing="1"/>
      <w:widowControl/>
    </w:pPr>
    <w:rPr>
      <w:rFonts w:ascii="宋体" w:hAnsi="宋体" w:cs="宋体"/>
      <w:color w:val="000000"/>
      <w:szCs w:val="21"/>
    </w:rPr>
  </w:style>
  <w:style w:type="paragraph" w:styleId="1144" w:customStyle="1">
    <w:name w:val="font8"/>
    <w:basedOn w:val="727"/>
    <w:uiPriority w:val="0"/>
    <w:qFormat/>
    <w:pPr>
      <w:jc w:val="left"/>
      <w:spacing w:before="100" w:beforeAutospacing="1" w:after="100" w:afterAutospacing="1"/>
      <w:widowControl/>
    </w:pPr>
    <w:rPr>
      <w:rFonts w:ascii="Calibri" w:hAnsi="Calibri" w:cs="Calibri"/>
      <w:color w:val="000000"/>
      <w:szCs w:val="21"/>
    </w:rPr>
  </w:style>
  <w:style w:type="paragraph" w:styleId="1145" w:customStyle="1">
    <w:name w:val="font9"/>
    <w:basedOn w:val="727"/>
    <w:uiPriority w:val="0"/>
    <w:qFormat/>
    <w:pPr>
      <w:jc w:val="left"/>
      <w:spacing w:before="100" w:beforeAutospacing="1" w:after="100" w:afterAutospacing="1"/>
      <w:widowControl/>
    </w:pPr>
    <w:rPr>
      <w:rFonts w:ascii="Calibri" w:hAnsi="Calibri" w:cs="Calibri"/>
      <w:color w:val="333333"/>
      <w:szCs w:val="21"/>
    </w:rPr>
  </w:style>
  <w:style w:type="paragraph" w:styleId="1146" w:customStyle="1">
    <w:name w:val="font10"/>
    <w:basedOn w:val="727"/>
    <w:uiPriority w:val="0"/>
    <w:qFormat/>
    <w:pPr>
      <w:jc w:val="left"/>
      <w:spacing w:before="100" w:beforeAutospacing="1" w:after="100" w:afterAutospacing="1"/>
      <w:widowControl/>
    </w:pPr>
    <w:rPr>
      <w:rFonts w:ascii="宋体" w:hAnsi="宋体" w:cs="宋体"/>
      <w:color w:val="333333"/>
      <w:szCs w:val="21"/>
    </w:rPr>
  </w:style>
  <w:style w:type="paragraph" w:styleId="1147" w:customStyle="1">
    <w:name w:val="xl65"/>
    <w:basedOn w:val="727"/>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color w:val="000000"/>
      <w:szCs w:val="21"/>
    </w:rPr>
  </w:style>
  <w:style w:type="paragraph" w:styleId="1148" w:customStyle="1">
    <w:name w:val="xl66"/>
    <w:basedOn w:val="727"/>
    <w:uiPriority w:val="0"/>
    <w:qFormat/>
    <w:pPr>
      <w:jc w:val="center"/>
      <w:spacing w:before="100" w:beforeAutospacing="1" w:after="100" w:afterAutospacing="1"/>
      <w:widowControl/>
      <w:pBdr>
        <w:top w:val="single" w:color="auto" w:sz="8" w:space="0"/>
        <w:bottom w:val="single" w:color="auto" w:sz="8" w:space="0"/>
        <w:right w:val="single" w:color="auto" w:sz="8" w:space="0"/>
      </w:pBdr>
    </w:pPr>
    <w:rPr>
      <w:rFonts w:ascii="宋体" w:hAnsi="宋体" w:cs="宋体"/>
      <w:color w:val="000000"/>
      <w:szCs w:val="21"/>
    </w:rPr>
  </w:style>
  <w:style w:type="paragraph" w:styleId="1149" w:customStyle="1">
    <w:name w:val="xl67"/>
    <w:basedOn w:val="727"/>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Calibri" w:hAnsi="Calibri" w:cs="Calibri"/>
      <w:szCs w:val="21"/>
    </w:rPr>
  </w:style>
  <w:style w:type="paragraph" w:styleId="1150" w:customStyle="1">
    <w:name w:val="xl68"/>
    <w:basedOn w:val="727"/>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151" w:customStyle="1">
    <w:name w:val="xl69"/>
    <w:basedOn w:val="727"/>
    <w:uiPriority w:val="0"/>
    <w:qFormat/>
    <w:pPr>
      <w:jc w:val="center"/>
      <w:spacing w:before="100" w:beforeAutospacing="1" w:after="100" w:afterAutospacing="1"/>
      <w:widowControl/>
      <w:pBdr>
        <w:bottom w:val="single" w:color="auto" w:sz="8" w:space="0"/>
        <w:right w:val="single" w:color="auto" w:sz="8" w:space="0"/>
      </w:pBdr>
    </w:pPr>
    <w:rPr>
      <w:rFonts w:ascii="Calibri" w:hAnsi="Calibri" w:cs="Calibri"/>
      <w:szCs w:val="21"/>
    </w:rPr>
  </w:style>
  <w:style w:type="paragraph" w:styleId="1152" w:customStyle="1">
    <w:name w:val="xl70"/>
    <w:basedOn w:val="7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53" w:customStyle="1">
    <w:name w:val="xl71"/>
    <w:basedOn w:val="727"/>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color w:val="000000"/>
      <w:szCs w:val="21"/>
    </w:rPr>
  </w:style>
  <w:style w:type="paragraph" w:styleId="1154" w:customStyle="1">
    <w:name w:val="xl72"/>
    <w:basedOn w:val="727"/>
    <w:uiPriority w:val="0"/>
    <w:qFormat/>
    <w:pPr>
      <w:jc w:val="center"/>
      <w:spacing w:before="100" w:beforeAutospacing="1" w:after="100" w:afterAutospacing="1"/>
      <w:widowControl/>
      <w:pBdr>
        <w:bottom w:val="single" w:color="auto" w:sz="8" w:space="0"/>
        <w:right w:val="single" w:color="auto" w:sz="8" w:space="0"/>
      </w:pBdr>
    </w:pPr>
    <w:rPr>
      <w:rFonts w:ascii="Calibri" w:hAnsi="Calibri" w:cs="Calibri"/>
      <w:color w:val="000000"/>
      <w:szCs w:val="21"/>
    </w:rPr>
  </w:style>
  <w:style w:type="paragraph" w:styleId="1155" w:customStyle="1">
    <w:name w:val="xl73"/>
    <w:basedOn w:val="727"/>
    <w:uiPriority w:val="0"/>
    <w:qFormat/>
    <w:pPr>
      <w:jc w:val="center"/>
      <w:spacing w:before="100" w:beforeAutospacing="1" w:after="100" w:afterAutospacing="1"/>
      <w:widowControl/>
      <w:pBdr>
        <w:bottom w:val="single" w:color="auto" w:sz="8" w:space="0"/>
        <w:right w:val="single" w:color="auto" w:sz="8" w:space="0"/>
      </w:pBdr>
    </w:pPr>
    <w:rPr>
      <w:rFonts w:ascii="Calibri" w:hAnsi="Calibri" w:cs="Calibri"/>
      <w:color w:val="333333"/>
      <w:szCs w:val="21"/>
    </w:rPr>
  </w:style>
  <w:style w:type="paragraph" w:styleId="1156" w:customStyle="1">
    <w:name w:val="xl74"/>
    <w:basedOn w:val="727"/>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color w:val="333333"/>
      <w:szCs w:val="21"/>
    </w:rPr>
  </w:style>
  <w:style w:type="paragraph" w:styleId="1157" w:customStyle="1">
    <w:name w:val="Plain Text11"/>
    <w:basedOn w:val="727"/>
    <w:uiPriority w:val="0"/>
    <w:qFormat/>
    <w:rPr>
      <w:rFonts w:ascii="宋体" w:hAnsi="Courier New" w:eastAsia="楷体_GB2312"/>
      <w:sz w:val="28"/>
      <w:szCs w:val="20"/>
    </w:rPr>
  </w:style>
  <w:style w:type="paragraph" w:styleId="1158" w:customStyle="1">
    <w:name w:val="列出段落3"/>
    <w:basedOn w:val="727"/>
    <w:uiPriority w:val="34"/>
    <w:qFormat/>
    <w:pPr>
      <w:ind w:firstLine="420"/>
    </w:pPr>
  </w:style>
  <w:style w:type="character" w:styleId="1159" w:customStyle="1">
    <w:name w:val="font31"/>
    <w:uiPriority w:val="0"/>
    <w:qFormat/>
    <w:rPr>
      <w:rFonts w:hint="eastAsia" w:ascii="宋体" w:hAnsi="宋体" w:eastAsia="宋体" w:cs="宋体"/>
      <w:color w:val="333333"/>
      <w:sz w:val="21"/>
      <w:szCs w:val="21"/>
      <w:u w:val="none"/>
    </w:rPr>
  </w:style>
  <w:style w:type="table" w:styleId="1160" w:customStyle="1">
    <w:name w:val="Table Normal"/>
    <w:uiPriority w:val="0"/>
    <w:semiHidden/>
    <w:unhideWhenUsed/>
    <w:qFormat/>
    <w:tblPr>
      <w:tblCellMar>
        <w:left w:w="0" w:type="dxa"/>
        <w:top w:w="0" w:type="dxa"/>
        <w:right w:w="0" w:type="dxa"/>
        <w:bottom w:w="0" w:type="dxa"/>
      </w:tblCellMar>
    </w:tblPr>
  </w:style>
  <w:style w:type="paragraph" w:styleId="1161" w:customStyle="1">
    <w:name w:val="纯文本6"/>
    <w:uiPriority w:val="0"/>
    <w:qFormat/>
    <w:pPr>
      <w:jc w:val="both"/>
      <w:widowControl w:val="off"/>
    </w:pPr>
    <w:rPr>
      <w:rFonts w:hint="default" w:ascii="宋体" w:hAnsi="Courier New" w:eastAsia="楷体_GB2312" w:cs="Times New Roman"/>
      <w:sz w:val="28"/>
      <w:szCs w:val="20"/>
    </w:rPr>
  </w:style>
  <w:style w:type="numbering" w:styleId="11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emf"/><Relationship Id="rId15"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 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编号：SZYC2004-Y-21号</dc:title>
  <dc:creator>a</dc:creator>
  <cp:lastModifiedBy>经办</cp:lastModifiedBy>
  <cp:revision>9</cp:revision>
  <dcterms:created xsi:type="dcterms:W3CDTF">2025-02-26T16:05:00Z</dcterms:created>
  <dcterms:modified xsi:type="dcterms:W3CDTF">2026-04-17T08:16:30Z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8B01E27EE3574D0F83DAD69921F9FB2A_13</vt:lpwstr>
  </property>
  <property fmtid="{D5CDD505-2E9C-101B-9397-08002B2CF9AE}" pid="4" name="KSOTemplateDocerSaveRecord">
    <vt:lpwstr>eyJoZGlkIjoiMDVhMTM5MTc0OGI0ZjRlZWEyNjM4ODljYzMyNmFhNjIiLCJ1c2VySWQiOiI2ODgxMzEwNzgifQ==</vt:lpwstr>
  </property>
</Properties>
</file>