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jc w:val="center"/>
        <w:spacing w:line="480" w:lineRule="auto"/>
        <w:rPr>
          <w:rFonts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无锡市政府采购项目</w:t>
      </w:r>
      <w:r/>
    </w:p>
    <w:p>
      <w:pPr>
        <w:jc w:val="center"/>
        <w:spacing w:line="480" w:lineRule="auto"/>
        <w:rPr>
          <w:rFonts w:ascii="Arial" w:hAnsi="Arial"/>
          <w:b/>
          <w:bCs/>
          <w:color w:val="auto"/>
          <w:spacing w:val="20"/>
          <w:sz w:val="56"/>
          <w:szCs w:val="56"/>
          <w:highlight w:val="none"/>
        </w:rPr>
      </w:pPr>
      <w:r>
        <w:rPr>
          <w:rFonts w:hint="eastAsia" w:ascii="Arial" w:hAnsi="Arial"/>
          <w:b/>
          <w:bCs/>
          <w:color w:val="auto"/>
          <w:spacing w:val="20"/>
          <w:sz w:val="56"/>
          <w:szCs w:val="56"/>
          <w:highlight w:val="none"/>
        </w:rPr>
        <w:t xml:space="preserve">公开</w:t>
      </w:r>
      <w:r>
        <w:rPr>
          <w:rFonts w:ascii="Arial" w:hAnsi="Arial"/>
          <w:b/>
          <w:color w:val="auto"/>
          <w:sz w:val="22"/>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6"/>
          <w:szCs w:val="56"/>
          <w:highlight w:val="none"/>
        </w:rPr>
        <w:t xml:space="preserve">招标文件</w:t>
      </w:r>
      <w:r/>
    </w:p>
    <w:p>
      <w:pPr>
        <w:jc w:val="center"/>
        <w:spacing w:line="480" w:lineRule="auto"/>
        <w:rPr>
          <w:rFonts w:hint="eastAsia" w:ascii="Arial" w:hAnsi="Arial" w:eastAsia="宋体"/>
          <w:b/>
          <w:bCs/>
          <w:color w:val="auto"/>
          <w:sz w:val="32"/>
          <w:szCs w:val="24"/>
          <w:highlight w:val="none"/>
          <w:lang w:val="en-US" w:eastAsia="zh-CN"/>
        </w:rPr>
      </w:pPr>
      <w:r>
        <w:rPr>
          <w:rFonts w:hint="eastAsia" w:ascii="Arial" w:hAnsi="Arial"/>
          <w:b/>
          <w:bCs/>
          <w:color w:val="auto"/>
          <w:sz w:val="32"/>
          <w:szCs w:val="24"/>
          <w:highlight w:val="none"/>
        </w:rPr>
        <w:t xml:space="preserve">（全流程电子化）（暗标）</w:t>
      </w:r>
      <w:r/>
    </w:p>
    <w:p>
      <w:pPr>
        <w:spacing w:line="360" w:lineRule="auto"/>
        <w:rPr>
          <w:rFonts w:ascii="Arial" w:hAnsi="Arial"/>
          <w:b/>
          <w:bCs/>
          <w:color w:val="auto"/>
          <w:sz w:val="30"/>
          <w:highlight w:val="none"/>
        </w:rPr>
      </w:pPr>
      <w:r>
        <w:rPr>
          <w:rFonts w:ascii="Arial" w:hAnsi="Arial"/>
          <w:b/>
          <w:bCs/>
          <w:color w:val="auto"/>
          <w:sz w:val="30"/>
          <w:highlight w:val="none"/>
        </w:rPr>
      </w:r>
      <w:r/>
    </w:p>
    <w:p>
      <w:pPr>
        <w:pStyle w:val="811"/>
      </w:pPr>
      <w:r/>
      <w:r/>
    </w:p>
    <w:p>
      <w:r/>
      <w:r/>
    </w:p>
    <w:p>
      <w:pPr>
        <w:pStyle w:val="811"/>
      </w:p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000000" w:themeColor="text1"/>
          <w:sz w:val="30"/>
          <w:highlight w:val="none"/>
          <w14:textFill>
            <w14:solidFill>
              <w14:schemeClr w14:val="tx1"/>
            </w14:solidFill>
          </w14:textFill>
        </w:rPr>
      </w:pPr>
      <w:r>
        <w:rPr>
          <w:rFonts w:ascii="Arial" w:hAnsi="Arial"/>
          <w:b/>
          <w:bCs/>
          <w:color w:val="000000" w:themeColor="text1"/>
          <w:sz w:val="30"/>
          <w:highlight w:val="none"/>
          <w14:textFill>
            <w14:solidFill>
              <w14:schemeClr w14:val="tx1"/>
            </w14:solidFill>
          </w14:textFill>
        </w:rPr>
      </w:r>
      <w:r/>
    </w:p>
    <w:p>
      <w:pPr>
        <w:spacing w:line="480" w:lineRule="auto"/>
        <w:rPr>
          <w:rFonts w:hint="eastAsia" w:ascii="Arial" w:hAnsi="Arial" w:eastAsia="宋体"/>
          <w:bCs/>
          <w:color w:val="000000" w:themeColor="text1"/>
          <w:sz w:val="30"/>
          <w:szCs w:val="30"/>
          <w:highlight w:val="none"/>
          <w:lang w:eastAsia="zh-CN"/>
          <w14:textFill>
            <w14:solidFill>
              <w14:schemeClr w14:val="tx1"/>
            </w14:solidFill>
          </w14:textFill>
        </w:rPr>
      </w:pPr>
      <w:r>
        <w:rPr>
          <w:rFonts w:hint="eastAsia" w:ascii="Arial" w:hAnsi="Arial"/>
          <w:bCs/>
          <w:color w:val="000000" w:themeColor="text1"/>
          <w:sz w:val="30"/>
          <w:szCs w:val="30"/>
          <w:highlight w:val="none"/>
          <w14:textFill>
            <w14:solidFill>
              <w14:schemeClr w14:val="tx1"/>
            </w14:solidFill>
          </w14:textFill>
        </w:rPr>
        <w:t xml:space="preserve">采</w:t>
      </w:r>
      <w:r>
        <w:rPr>
          <w:rFonts w:hint="eastAsia" w:ascii="宋体" w:hAnsi="宋体" w:eastAsia="宋体" w:cs="宋体"/>
          <w:bCs/>
          <w:color w:val="000000" w:themeColor="text1"/>
          <w:sz w:val="30"/>
          <w:szCs w:val="30"/>
          <w:highlight w:val="none"/>
          <w14:textFill>
            <w14:solidFill>
              <w14:schemeClr w14:val="tx1"/>
            </w14:solidFill>
          </w14:textFill>
        </w:rPr>
        <w:t xml:space="preserve">购项目编号：</w:t>
      </w:r>
      <w:r>
        <w:rPr>
          <w:rFonts w:hint="eastAsia" w:ascii="宋体" w:hAnsi="宋体" w:eastAsia="宋体" w:cs="宋体"/>
          <w:bCs/>
          <w:color w:val="000000" w:themeColor="text1"/>
          <w:sz w:val="30"/>
          <w:szCs w:val="30"/>
          <w:highlight w:val="none"/>
          <w:lang w:eastAsia="zh-CN"/>
          <w14:textFill>
            <w14:solidFill>
              <w14:schemeClr w14:val="tx1"/>
            </w14:solidFill>
          </w14:textFill>
        </w:rPr>
        <w:t xml:space="preserve">JSZC-320292-WXJH-G2026-0004</w:t>
      </w:r>
      <w:r/>
    </w:p>
    <w:p>
      <w:pPr>
        <w:spacing w:line="480" w:lineRule="auto"/>
        <w:rPr>
          <w:rFonts w:hint="eastAsia" w:ascii="Arial" w:hAnsi="Arial" w:eastAsia="宋体"/>
          <w:bCs/>
          <w:color w:val="000000" w:themeColor="text1"/>
          <w:sz w:val="30"/>
          <w:szCs w:val="30"/>
          <w:highlight w:val="none"/>
          <w:lang w:eastAsia="zh-CN"/>
          <w14:textFill>
            <w14:solidFill>
              <w14:schemeClr w14:val="tx1"/>
            </w14:solidFill>
          </w14:textFill>
        </w:rPr>
      </w:pPr>
      <w:r>
        <w:rPr>
          <w:rFonts w:hint="eastAsia" w:ascii="Arial" w:hAnsi="Arial"/>
          <w:bCs/>
          <w:color w:val="000000" w:themeColor="text1"/>
          <w:sz w:val="30"/>
          <w:szCs w:val="30"/>
          <w:highlight w:val="none"/>
          <w14:textFill>
            <w14:solidFill>
              <w14:schemeClr w14:val="tx1"/>
            </w14:solidFill>
          </w14:textFill>
        </w:rPr>
        <w:t xml:space="preserve">采购项目名称：</w:t>
      </w:r>
      <w:r>
        <w:rPr>
          <w:rFonts w:hint="eastAsia" w:ascii="Arial" w:hAnsi="Arial" w:eastAsia="宋体"/>
          <w:bCs/>
          <w:color w:val="000000" w:themeColor="text1"/>
          <w:sz w:val="30"/>
          <w:szCs w:val="30"/>
          <w:highlight w:val="none"/>
          <w:lang w:eastAsia="zh-CN"/>
          <w14:textFill>
            <w14:solidFill>
              <w14:schemeClr w14:val="tx1"/>
            </w14:solidFill>
          </w14:textFill>
        </w:rPr>
        <w:t xml:space="preserve">市一中太湖新城分校实验室及专用教室仪器设备采购项目</w:t>
      </w:r>
      <w:r/>
    </w:p>
    <w:p>
      <w:pPr>
        <w:spacing w:line="480" w:lineRule="auto"/>
        <w:rPr>
          <w:rFonts w:ascii="宋体" w:hAnsi="宋体" w:eastAsia="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   购   人：</w:t>
      </w:r>
      <w:r>
        <w:rPr>
          <w:rFonts w:hint="eastAsia" w:ascii="宋体" w:hAnsi="宋体" w:eastAsia="宋体" w:cs="宋体"/>
          <w:bCs/>
          <w:color w:val="000000" w:themeColor="text1"/>
          <w:sz w:val="30"/>
          <w:szCs w:val="30"/>
          <w:highlight w:val="none"/>
          <w14:textFill>
            <w14:solidFill>
              <w14:schemeClr w14:val="tx1"/>
            </w14:solidFill>
          </w14:textFill>
        </w:rPr>
        <w:t xml:space="preserve">江苏无锡经济开发区发展中心、江苏无锡经济开发区教育局</w:t>
      </w:r>
      <w:r/>
    </w:p>
    <w:p>
      <w:pPr>
        <w:spacing w:line="480" w:lineRule="auto"/>
        <w:rPr>
          <w:rFonts w:ascii="Arial" w:hAnsi="Arial" w:eastAsia="宋体"/>
          <w:bCs/>
          <w:color w:val="000000" w:themeColor="text1"/>
          <w:sz w:val="30"/>
          <w:szCs w:val="30"/>
          <w:highlight w:val="none"/>
          <w14:textFill>
            <w14:solidFill>
              <w14:schemeClr w14:val="tx1"/>
            </w14:solidFill>
          </w14:textFill>
        </w:rPr>
      </w:pPr>
      <w:r>
        <w:rPr>
          <w:rFonts w:hint="eastAsia" w:ascii="Arial" w:hAnsi="Arial" w:eastAsia="宋体"/>
          <w:bCs/>
          <w:color w:val="000000" w:themeColor="text1"/>
          <w:sz w:val="30"/>
          <w:szCs w:val="30"/>
          <w:highlight w:val="none"/>
          <w14:textFill>
            <w14:solidFill>
              <w14:schemeClr w14:val="tx1"/>
            </w14:solidFill>
          </w14:textFill>
        </w:rPr>
        <w:t xml:space="preserve">采购代理机构：无锡市建汇建设工程咨询事务所有限公司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二〇二六年</w:t>
      </w:r>
      <w:r>
        <w:rPr>
          <w:rFonts w:hint="eastAsia" w:ascii="宋体" w:hAnsi="宋体" w:eastAsia="宋体" w:cs="宋体"/>
          <w:bCs/>
          <w:color w:val="auto"/>
          <w:sz w:val="44"/>
          <w:szCs w:val="44"/>
          <w:highlight w:val="none"/>
          <w:lang w:val="en-US" w:eastAsia="zh-CN"/>
        </w:rPr>
        <w:t xml:space="preserve">三</w:t>
      </w:r>
      <w:r>
        <w:rPr>
          <w:rFonts w:hint="eastAsia" w:ascii="宋体" w:hAnsi="宋体" w:eastAsia="宋体" w:cs="宋体"/>
          <w:bCs/>
          <w:color w:val="auto"/>
          <w:sz w:val="44"/>
          <w:szCs w:val="44"/>
          <w:highlight w:val="none"/>
        </w:rPr>
        <w:t xml:space="preserve">月</w:t>
      </w:r>
      <w:r/>
    </w:p>
    <w:p>
      <w:pPr>
        <w:spacing w:line="360" w:lineRule="auto"/>
        <w:rPr>
          <w:rStyle w:val="921"/>
          <w:rFonts w:ascii="Arial" w:hAnsi="Arial"/>
          <w:bCs/>
          <w:color w:val="auto"/>
          <w:sz w:val="48"/>
          <w:highlight w:val="none"/>
        </w:rPr>
      </w:pPr>
      <w:r>
        <w:rPr>
          <w:rFonts w:ascii="Arial" w:hAnsi="Arial"/>
          <w:bCs/>
          <w:color w:val="auto"/>
          <w:sz w:val="48"/>
          <w:highlight w:val="none"/>
        </w:rPr>
      </w:r>
      <w:r/>
    </w:p>
    <w:p>
      <w:pPr>
        <w:jc w:val="center"/>
        <w:spacing w:line="360" w:lineRule="auto"/>
        <w:rPr>
          <w:rStyle w:val="921"/>
          <w:rFonts w:ascii="Arial" w:hAnsi="Arial"/>
          <w:bCs/>
          <w:color w:val="auto"/>
          <w:sz w:val="48"/>
          <w:highlight w:val="none"/>
          <w:u w:val="none"/>
        </w:rPr>
        <w:sectPr>
          <w:headerReference w:type="even" r:id="rId9"/>
          <w:headerReference w:type="first" r:id="rId10"/>
          <w:footerReference w:type="default" r:id="rId13"/>
          <w:footerReference w:type="even" r:id="rId14"/>
          <w:footerReference w:type="first" r:id="rId15"/>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pStyle w:val="1233"/>
        <w:ind w:firstLine="0"/>
        <w:jc w:val="center"/>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9"/>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投标文件内容与格式</w:t>
      </w:r>
      <w:r/>
    </w:p>
    <w:p>
      <w:pPr>
        <w:rPr>
          <w:rFonts w:ascii="Arial" w:hAnsi="Arial"/>
          <w:b/>
          <w:bCs/>
          <w:color w:val="auto"/>
          <w:sz w:val="28"/>
          <w:szCs w:val="28"/>
          <w:highlight w:val="none"/>
        </w:rPr>
      </w:pPr>
      <w:r>
        <w:rPr>
          <w:rFonts w:ascii="Arial" w:hAnsi="Arial"/>
          <w:b/>
          <w:bCs/>
          <w:color w:val="auto"/>
          <w:sz w:val="28"/>
          <w:szCs w:val="28"/>
          <w:highlight w:val="none"/>
        </w:rPr>
      </w:r>
      <w:r/>
    </w:p>
    <w:p>
      <w:pP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ascii="Arial" w:hAnsi="Arial"/>
          <w:b/>
          <w:bCs/>
          <w:color w:val="auto"/>
          <w:sz w:val="28"/>
          <w:szCs w:val="28"/>
          <w:highlight w:val="none"/>
        </w:rPr>
        <w:outlineLvl w:val="0"/>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000000" w:themeColor="text1"/>
          <w:sz w:val="24"/>
          <w:szCs w:val="24"/>
          <w:highlight w:val="none"/>
          <w14:textFill>
            <w14:solidFill>
              <w14:schemeClr w14:val="tx1"/>
            </w14:solidFill>
          </w14:textFill>
        </w:rPr>
      </w:pPr>
      <w:r>
        <w:rPr>
          <w:rFonts w:hint="eastAsia" w:ascii="Arial" w:hAnsi="Arial" w:eastAsia="宋体"/>
          <w:bCs/>
          <w:color w:val="000000" w:themeColor="text1"/>
          <w:sz w:val="24"/>
          <w:szCs w:val="24"/>
          <w:highlight w:val="none"/>
          <w:u w:val="single"/>
          <w14:textFill>
            <w14:solidFill>
              <w14:schemeClr w14:val="tx1"/>
            </w14:solidFill>
          </w14:textFill>
        </w:rPr>
        <w:t xml:space="preserve">无锡市建汇建设工程咨询事务所有限公司</w:t>
      </w:r>
      <w:r>
        <w:rPr>
          <w:rFonts w:hint="eastAsia" w:ascii="Arial" w:hAnsi="Arial"/>
          <w:bCs/>
          <w:color w:val="000000" w:themeColor="text1"/>
          <w:sz w:val="24"/>
          <w:szCs w:val="24"/>
          <w:highlight w:val="none"/>
          <w14:textFill>
            <w14:solidFill>
              <w14:schemeClr w14:val="tx1"/>
            </w14:solidFill>
          </w14:textFill>
        </w:rPr>
        <w:t xml:space="preserve">受</w:t>
      </w:r>
      <w:r>
        <w:rPr>
          <w:rFonts w:hint="eastAsia" w:ascii="Arial" w:hAnsi="Arial" w:eastAsia="宋体"/>
          <w:bCs/>
          <w:color w:val="000000" w:themeColor="text1"/>
          <w:sz w:val="24"/>
          <w:szCs w:val="24"/>
          <w:highlight w:val="none"/>
          <w:u w:val="single"/>
          <w14:textFill>
            <w14:solidFill>
              <w14:schemeClr w14:val="tx1"/>
            </w14:solidFill>
          </w14:textFill>
        </w:rPr>
        <w:t xml:space="preserve">江苏无锡经济开发区发展中心、江苏无锡经济开发区教育局</w:t>
      </w:r>
      <w:r>
        <w:rPr>
          <w:rFonts w:hint="eastAsia" w:ascii="Arial" w:hAnsi="Arial"/>
          <w:bCs/>
          <w:color w:val="000000" w:themeColor="text1"/>
          <w:sz w:val="24"/>
          <w:szCs w:val="24"/>
          <w:highlight w:val="none"/>
          <w14:textFill>
            <w14:solidFill>
              <w14:schemeClr w14:val="tx1"/>
            </w14:solidFill>
          </w14:textFill>
        </w:rPr>
        <w:t xml:space="preserve">的委托，对</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市一中太湖新城分校实验室及专用教室仪器设备采购项目</w:t>
      </w:r>
      <w:r>
        <w:rPr>
          <w:rFonts w:hint="eastAsia" w:ascii="Arial" w:hAnsi="Arial"/>
          <w:bCs/>
          <w:color w:val="000000" w:themeColor="text1"/>
          <w:sz w:val="24"/>
          <w:szCs w:val="24"/>
          <w:highlight w:val="none"/>
          <w14:textFill>
            <w14:solidFill>
              <w14:schemeClr w14:val="tx1"/>
            </w14:solidFill>
          </w14:textFill>
        </w:rPr>
        <w:t xml:space="preserve">进行公开招标采购，欢迎符合相关条件的供应商参加投标。</w:t>
      </w:r>
      <w:r/>
    </w:p>
    <w:p>
      <w:pPr>
        <w:ind w:firstLine="480"/>
        <w:spacing w:line="360" w:lineRule="auto"/>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360" w:lineRule="auto"/>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市一中太湖新城分校实验室及专用教室仪器设备采购项目</w:t>
      </w:r>
      <w:r>
        <w:rPr>
          <w:rFonts w:hint="eastAsia" w:ascii="宋体" w:hAnsi="宋体"/>
          <w:color w:val="000000" w:themeColor="text1"/>
          <w:sz w:val="24"/>
          <w:szCs w:val="24"/>
          <w:highlight w:val="none"/>
          <w14:textFill>
            <w14:solidFill>
              <w14:schemeClr w14:val="tx1"/>
            </w14:solidFill>
          </w14:textFill>
        </w:rPr>
        <w:t xml:space="preserve">的潜</w:t>
      </w:r>
      <w:r>
        <w:rPr>
          <w:rFonts w:hint="eastAsia" w:ascii="宋体" w:hAnsi="宋体"/>
          <w:color w:val="auto"/>
          <w:sz w:val="24"/>
          <w:szCs w:val="24"/>
          <w:highlight w:val="none"/>
        </w:rPr>
        <w:t xml:space="preserve">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000000" w:themeColor="text1"/>
          <w:sz w:val="24"/>
          <w:szCs w:val="24"/>
          <w:highlight w:val="none"/>
          <w14:textFill>
            <w14:solidFill>
              <w14:schemeClr w14:val="tx1"/>
            </w14:solidFill>
          </w14:textFill>
        </w:rPr>
        <w:t xml:space="preserve">202</w:t>
      </w:r>
      <w:r>
        <w:rPr>
          <w:rFonts w:hint="eastAsia" w:ascii="宋体" w:hAnsi="宋体" w:eastAsia="宋体"/>
          <w:b/>
          <w:bCs/>
          <w:color w:val="000000" w:themeColor="text1"/>
          <w:sz w:val="24"/>
          <w:szCs w:val="24"/>
          <w:highlight w:val="none"/>
          <w14:textFill>
            <w14:solidFill>
              <w14:schemeClr w14:val="tx1"/>
            </w14:solidFill>
          </w14:textFill>
        </w:rPr>
        <w:t xml:space="preserve">6</w:t>
      </w:r>
      <w:r>
        <w:rPr>
          <w:rFonts w:hint="eastAsia" w:ascii="宋体" w:hAnsi="宋体"/>
          <w:b/>
          <w:bCs/>
          <w:color w:val="000000" w:themeColor="text1"/>
          <w:sz w:val="24"/>
          <w:szCs w:val="24"/>
          <w:highlight w:val="none"/>
          <w14:textFill>
            <w14:solidFill>
              <w14:schemeClr w14:val="tx1"/>
            </w14:solidFill>
          </w14:textFill>
        </w:rPr>
        <w:t xml:space="preserve">年</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b/>
          <w:bCs/>
          <w:color w:val="000000" w:themeColor="text1"/>
          <w:sz w:val="24"/>
          <w:szCs w:val="24"/>
          <w:highlight w:val="none"/>
          <w14:textFill>
            <w14:solidFill>
              <w14:schemeClr w14:val="tx1"/>
            </w14:solidFill>
          </w14:textFill>
        </w:rPr>
        <w:t xml:space="preserve">月</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   22</w:t>
      </w:r>
      <w:r>
        <w:rPr>
          <w:rFonts w:hint="eastAsia" w:ascii="宋体" w:hAnsi="宋体"/>
          <w:b/>
          <w:bCs/>
          <w:color w:val="000000" w:themeColor="text1"/>
          <w:sz w:val="24"/>
          <w:szCs w:val="24"/>
          <w:highlight w:val="none"/>
          <w14:textFill>
            <w14:solidFill>
              <w14:schemeClr w14:val="tx1"/>
            </w14:solidFill>
          </w14:textFill>
        </w:rPr>
        <w:t xml:space="preserve">日</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b/>
          <w:bCs/>
          <w:color w:val="000000" w:themeColor="text1"/>
          <w:sz w:val="24"/>
          <w:szCs w:val="24"/>
          <w:highlight w:val="none"/>
          <w14:textFill>
            <w14:solidFill>
              <w14:schemeClr w14:val="tx1"/>
            </w14:solidFill>
          </w14:textFill>
        </w:rPr>
        <w:t xml:space="preserve">点</w:t>
      </w:r>
      <w:r>
        <w:rPr>
          <w:rFonts w:hint="eastAsia" w:ascii="宋体" w:hAnsi="宋体" w:eastAsia="宋体"/>
          <w:b/>
          <w:bCs/>
          <w:color w:val="000000" w:themeColor="text1"/>
          <w:sz w:val="24"/>
          <w:szCs w:val="24"/>
          <w:highlight w:val="none"/>
          <w14:textFill>
            <w14:solidFill>
              <w14:schemeClr w14:val="tx1"/>
            </w14:solidFill>
          </w14:textFill>
        </w:rPr>
        <w:t xml:space="preserve">3</w:t>
      </w:r>
      <w:r>
        <w:rPr>
          <w:rFonts w:hint="eastAsia" w:ascii="宋体" w:hAnsi="宋体"/>
          <w:b/>
          <w:bCs/>
          <w:color w:val="000000" w:themeColor="text1"/>
          <w:sz w:val="24"/>
          <w:szCs w:val="24"/>
          <w:highlight w:val="none"/>
          <w14:textFill>
            <w14:solidFill>
              <w14:schemeClr w14:val="tx1"/>
            </w14:solidFill>
          </w14:textFill>
        </w:rPr>
        <w:t xml:space="preserve">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ind w:firstLine="241"/>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招标项目信息</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000000" w:themeColor="text1"/>
          <w:sz w:val="24"/>
          <w:szCs w:val="24"/>
          <w:highlight w:val="none"/>
          <w14:textFill>
            <w14:solidFill>
              <w14:schemeClr w14:val="tx1"/>
            </w14:solidFill>
          </w14:textFill>
        </w:rPr>
        <w:t xml:space="preserve">市一中太湖新城分校实验室及专用教室仪器设备采购项目</w:t>
      </w:r>
      <w:r/>
    </w:p>
    <w:p>
      <w:pPr>
        <w:ind w:firstLine="480"/>
        <w:jc w:val="left"/>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JSZC-320292-WXJH-G2026-0004</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3.项目预算金额：1960万元</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4.项目最高限价：19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45.5</w:t>
      </w:r>
      <w:r>
        <w:rPr>
          <w:rFonts w:hint="eastAsia" w:ascii="宋体" w:hAnsi="宋体" w:eastAsia="宋体" w:cs="宋体"/>
          <w:color w:val="000000" w:themeColor="text1"/>
          <w:sz w:val="24"/>
          <w:szCs w:val="24"/>
          <w:highlight w:val="none"/>
          <w14:textFill>
            <w14:solidFill>
              <w14:schemeClr w14:val="tx1"/>
            </w14:solidFill>
          </w14:textFill>
        </w:rPr>
        <w:t xml:space="preserve">万元，投标报价高于最高限价的作为无效投标处理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highlight w:val="none"/>
          <w14:textFill>
            <w14:solidFill>
              <w14:schemeClr w14:val="tx1"/>
            </w14:solidFill>
          </w14:textFill>
        </w:rPr>
        <w:t xml:space="preserve">无锡市一中太湖新城分校物理、生物、化学实验室及多功能室的仪器设备等（招标范围包括货物的供货、安装、调试、培训、验收、售后服务等内容，中标供应商在供货前需要对接学校对产品数量、尺寸等进行复核）</w:t>
      </w:r>
      <w:r>
        <w:rPr>
          <w:rFonts w:hint="eastAsia" w:ascii="宋体" w:hAnsi="宋体" w:eastAsia="宋体" w:cs="宋体"/>
          <w:color w:val="000000" w:themeColor="text1"/>
          <w:sz w:val="24"/>
          <w:highlight w:val="none"/>
          <w:lang w:eastAsia="zh-CN"/>
          <w14:textFill>
            <w14:solidFill>
              <w14:schemeClr w14:val="tx1"/>
            </w14:solidFill>
          </w14:textFill>
        </w:rPr>
        <w:t xml:space="preserve">。具体</w:t>
      </w:r>
      <w:r>
        <w:rPr>
          <w:rFonts w:hint="eastAsia" w:ascii="宋体" w:hAnsi="宋体" w:cs="宋体"/>
          <w:color w:val="000000" w:themeColor="text1"/>
          <w:sz w:val="24"/>
          <w:szCs w:val="24"/>
          <w:highlight w:val="none"/>
          <w14:textFill>
            <w14:solidFill>
              <w14:schemeClr w14:val="tx1"/>
            </w14:solidFill>
          </w14:textFill>
        </w:rPr>
        <w:t xml:space="preserve">详见采购文件第四章《采购需求》；</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交货期</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合同签订生效后80日历天内，完成供货、安装、调试，交付采购人使用</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质保期</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3年（自终验收双方签署终验收报告之日起开始计算，</w:t>
      </w:r>
      <w:r>
        <w:rPr>
          <w:rFonts w:hint="eastAsia" w:ascii="宋体" w:hAnsi="宋体"/>
          <w:bCs/>
          <w:color w:val="000000" w:themeColor="text1"/>
          <w:sz w:val="24"/>
          <w:lang w:val="zh-CN"/>
          <w14:textFill>
            <w14:solidFill>
              <w14:schemeClr w14:val="tx1"/>
            </w14:solidFill>
          </w14:textFill>
        </w:rPr>
        <w:t xml:space="preserve">质保期满后提供终身有偿维修服务</w:t>
      </w:r>
      <w:r>
        <w:rPr>
          <w:rFonts w:hint="eastAsia" w:ascii="宋体" w:hAnsi="宋体"/>
          <w:bC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质量要求：符合国家、地方及相关行业标准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b w:val="0"/>
          <w:bCs w:val="0"/>
        </w:rPr>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本项目标的所属行业：工业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根据《关于印发中小企业划型标准规定的通知》工信部联企业〔2011〕300号规定，工业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.本项目是否专门面向中小企业（或监狱企业或残疾人福利性单位）</w:t>
      </w:r>
      <w:r>
        <w:rPr>
          <w:rFonts w:hint="eastAsia" w:ascii="宋体" w:hAnsi="宋体" w:cs="宋体"/>
          <w:color w:val="000000" w:themeColor="text1"/>
          <w:sz w:val="24"/>
          <w:szCs w:val="24"/>
          <w:highlight w:val="none"/>
          <w14:textFill>
            <w14:solidFill>
              <w14:schemeClr w14:val="tx1"/>
            </w14:solidFill>
          </w14:textFill>
        </w:rPr>
        <w:t xml:space="preserve">：否</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本项目是否需要缴纳履约保证金：</w:t>
      </w:r>
      <w:r>
        <w:rPr>
          <w:rFonts w:hint="eastAsia" w:hAnsi="宋体" w:eastAsia="宋体" w:cs="宋体"/>
          <w:color w:val="auto"/>
          <w:sz w:val="24"/>
          <w:szCs w:val="24"/>
          <w:highlight w:val="none"/>
        </w:rPr>
        <w:t xml:space="preserve">否</w:t>
      </w:r>
      <w:r>
        <w:rPr>
          <w:rFonts w:hint="eastAsia" w:ascii="宋体" w:hAnsi="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资金来源</w:t>
      </w:r>
      <w:r>
        <w:rPr>
          <w:rFonts w:hint="eastAsia" w:ascii="宋体" w:hAnsi="宋体" w:cs="宋体"/>
          <w:color w:val="000000" w:themeColor="text1"/>
          <w:sz w:val="24"/>
          <w:highlight w:val="none"/>
          <w14:textFill>
            <w14:solidFill>
              <w14:schemeClr w14:val="tx1"/>
            </w14:solidFill>
          </w14:textFill>
        </w:rPr>
        <w:t xml:space="preserve">：</w:t>
      </w:r>
      <w:r>
        <w:rPr>
          <w:rFonts w:hint="eastAsia" w:hAnsi="宋体" w:eastAsia="宋体" w:cs="宋体"/>
          <w:color w:val="000000" w:themeColor="text1"/>
          <w:sz w:val="24"/>
          <w:szCs w:val="24"/>
          <w:highlight w:val="none"/>
          <w14:textFill>
            <w14:solidFill>
              <w14:schemeClr w14:val="tx1"/>
            </w14:solidFill>
          </w14:textFill>
        </w:rPr>
        <w:t xml:space="preserve">财政资金</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highlight w:val="none"/>
        </w:rPr>
      </w:pPr>
      <w:r>
        <w:rPr>
          <w:rFonts w:hint="eastAsia" w:ascii="宋体" w:hAnsi="宋体" w:eastAsia="宋体" w:cs="宋体"/>
          <w:color w:val="auto"/>
          <w:sz w:val="24"/>
          <w:szCs w:val="24"/>
          <w:highlight w:val="none"/>
        </w:rPr>
        <w:t xml:space="preserve">2.落实政府采购政策需满足的资格要求：本项目不专门面向中小微企业采购，执行价格扣除优惠政策，对小微企业报价给予10%的扣除。提供《中小企业声明函》(格式见附件)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监狱和戒毒企业视同小型、微型企业，提供由省级以上监狱管理局、戒毒管理局(含新疆生产建设兵团)出具的属于监狱企业的证明文件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残疾人福利性单位视同小型、微型企业，提供《残疾人福利性单位声明函》(格式见附件)</w:t>
      </w:r>
      <w:r>
        <w:rPr>
          <w:rFonts w:hint="eastAsia" w:ascii="宋体" w:hAnsi="宋体"/>
          <w:color w:val="auto"/>
          <w:sz w:val="24"/>
          <w:highlight w:val="none"/>
        </w:rPr>
        <w:t xml:space="preserve">；</w:t>
      </w:r>
      <w:r/>
    </w:p>
    <w:p>
      <w:pPr>
        <w:numPr>
          <w:ilvl w:val="0"/>
          <w:numId w:val="7"/>
        </w:numPr>
        <w:ind w:firstLine="480"/>
        <w:spacing w:line="360" w:lineRule="auto"/>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p>
    <w:p>
      <w:pPr>
        <w:numPr>
          <w:ilvl w:val="0"/>
          <w:numId w:val="0"/>
        </w:numPr>
        <w:ind w:firstLine="72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1）法定代表人授权委托人为本单位在职职工，投标人法定代表人授权代表</w:t>
      </w:r>
      <w:r>
        <w:rPr>
          <w:rFonts w:hint="eastAsia" w:ascii="宋体" w:hAnsi="宋体" w:eastAsia="宋体"/>
          <w:color w:val="000000" w:themeColor="text1"/>
          <w:sz w:val="24"/>
          <w:szCs w:val="24"/>
          <w:highlight w:val="none"/>
          <w:lang w:eastAsia="zh-CN"/>
          <w14:textFill>
            <w14:solidFill>
              <w14:schemeClr w14:val="tx1"/>
            </w14:solidFill>
          </w14:textFill>
        </w:rPr>
        <w:t xml:space="preserve">应具备</w:t>
      </w:r>
      <w:r>
        <w:rPr>
          <w:rFonts w:hint="eastAsia" w:ascii="宋体" w:hAnsi="宋体"/>
          <w:color w:val="000000" w:themeColor="text1"/>
          <w:sz w:val="24"/>
          <w:szCs w:val="24"/>
          <w:highlight w:val="none"/>
          <w14:textFill>
            <w14:solidFill>
              <w14:schemeClr w14:val="tx1"/>
            </w14:solidFill>
          </w14:textFill>
        </w:rPr>
        <w:t xml:space="preserve">与本企业签订的劳动合同，</w:t>
      </w:r>
      <w:r>
        <w:rPr>
          <w:rFonts w:hint="eastAsia" w:ascii="宋体" w:hAnsi="宋体" w:eastAsia="宋体"/>
          <w:color w:val="000000" w:themeColor="text1"/>
          <w:sz w:val="24"/>
          <w:szCs w:val="24"/>
          <w:highlight w:val="none"/>
          <w:lang w:eastAsia="zh-CN"/>
          <w14:textFill>
            <w14:solidFill>
              <w14:schemeClr w14:val="tx1"/>
            </w14:solidFill>
          </w14:textFill>
        </w:rPr>
        <w:t xml:space="preserve">以及</w:t>
      </w:r>
      <w:r>
        <w:rPr>
          <w:rFonts w:hint="eastAsia" w:ascii="宋体" w:hAnsi="宋体"/>
          <w:color w:val="000000" w:themeColor="text1"/>
          <w:sz w:val="24"/>
          <w:szCs w:val="24"/>
          <w:highlight w:val="none"/>
          <w14:textFill>
            <w14:solidFill>
              <w14:schemeClr w14:val="tx1"/>
            </w14:solidFill>
          </w14:textFill>
        </w:rPr>
        <w:t xml:space="preserve">《职工养老保险手册》（内附近一年中任意一个月份（不含投标当月）的缴费清单）或由社保机构出具本企业的近一年中任意一个月份（不含投标当月）的缴费证明扫描件（由相关主管部门出具，新成立公司除外、法定代表人亲自参加投标的除外）；</w:t>
      </w:r>
      <w:r/>
    </w:p>
    <w:p>
      <w:pPr>
        <w:numPr>
          <w:ilvl w:val="0"/>
          <w:numId w:val="0"/>
        </w:numPr>
        <w:ind w:firstLine="72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2）未被“信用中国”网站、中国政府采购网列入失信被执行人、重大税收违法案件当事人名单、政府采购严重失信行为记录名单。</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（三）获取采购文件的时间期限</w:t>
      </w:r>
      <w:r/>
    </w:p>
    <w:p>
      <w:pPr>
        <w:ind w:firstLine="54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1.时间：</w:t>
      </w:r>
      <w:bookmarkStart w:id="157" w:name="_GoBack"/>
      <w:r>
        <w:rPr>
          <w:rFonts w:hint="eastAsia" w:ascii="宋体" w:hAnsi="宋体" w:eastAsia="宋体" w:cs="宋体"/>
          <w:color w:val="000000" w:themeColor="text1"/>
          <w:sz w:val="24"/>
          <w:szCs w:val="24"/>
          <w:highlight w:val="none"/>
          <w14:textFill>
            <w14:solidFill>
              <w14:schemeClr w14:val="tx1"/>
            </w14:solidFill>
          </w14:textFill>
        </w:rPr>
        <w:t xml:space="preserve">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14:textFill>
            <w14:solidFill>
              <w14:schemeClr w14:val="tx1"/>
            </w14:solidFill>
          </w14:textFill>
        </w:rPr>
        <w:t xml:space="preserve">至202</w:t>
      </w:r>
      <w:bookmarkEnd w:id="157"/>
      <w:r>
        <w:rPr>
          <w:rFonts w:hint="eastAsia" w:ascii="宋体" w:hAnsi="宋体" w:eastAsia="宋体" w:cs="宋体"/>
          <w:color w:val="000000" w:themeColor="text1"/>
          <w:sz w:val="24"/>
          <w:szCs w:val="24"/>
          <w:highlight w:val="none"/>
          <w14:textFill>
            <w14:solidFill>
              <w14:schemeClr w14:val="tx1"/>
            </w14:solidFill>
          </w14:textFill>
        </w:rPr>
        <w:t xml:space="preserve">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14:textFill>
            <w14:solidFill>
              <w14:schemeClr w14:val="tx1"/>
            </w14:solidFill>
          </w14:textFill>
        </w:rPr>
        <w:t xml:space="preserve">23:59时止（法定假日除外）。</w:t>
      </w:r>
      <w:r/>
    </w:p>
    <w:p>
      <w:pPr>
        <w:ind w:firstLine="54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2.地点：</w:t>
      </w:r>
      <w:r>
        <w:rPr>
          <w:rFonts w:hint="eastAsia" w:ascii="宋体" w:hAnsi="宋体" w:eastAsia="宋体" w:cs="宋体"/>
          <w:color w:val="000000" w:themeColor="text1"/>
          <w:sz w:val="24"/>
          <w:szCs w:val="24"/>
          <w:highlight w:val="none"/>
          <w14:textFill>
            <w14:solidFill>
              <w14:schemeClr w14:val="tx1"/>
            </w14:solidFill>
          </w14:textFill>
        </w:rPr>
        <w:t xml:space="preserve">“江苏省政府采购（苏采云）平台”。</w:t>
      </w:r>
      <w:r/>
    </w:p>
    <w:p>
      <w:pPr>
        <w:ind w:firstLine="539"/>
        <w:keepLines w:val="0"/>
        <w:keepNext w:val="0"/>
        <w:pageBreakBefore w:val="0"/>
        <w:spacing w:line="360" w:lineRule="auto"/>
        <w:widowControl w:val="off"/>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3.方式</w:t>
      </w:r>
      <w:r>
        <w:rPr>
          <w:rFonts w:hint="eastAsia" w:ascii="宋体" w:hAnsi="宋体" w:eastAsia="宋体" w:cs="宋体"/>
          <w:bCs/>
          <w:color w:val="000000" w:themeColor="text1"/>
          <w:sz w:val="24"/>
          <w:szCs w:val="24"/>
          <w:highlight w:val="none"/>
          <w14:textFill>
            <w14:solidFill>
              <w14:schemeClr w14:val="tx1"/>
            </w14:solidFill>
          </w14:textFill>
        </w:rPr>
        <w:t xml:space="preserve">：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并在苏采云平台上传该加密的投标文件，对采购文件各项内容做出实质性响应，否则其投标文件无效。</w:t>
      </w:r>
      <w:r/>
    </w:p>
    <w:p>
      <w:pPr>
        <w:ind w:firstLine="54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4.售价：投标人应承担其编制投标文件以及递交投标文件所涉及的一切费用。无论投标结果如何，采购人对上述费用不负任何责任。</w:t>
      </w:r>
      <w:r/>
    </w:p>
    <w:p>
      <w:pPr>
        <w:pStyle w:val="811"/>
        <w:ind w:firstLine="480"/>
        <w:spacing w:line="360" w:lineRule="auto"/>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5.本项目不收取投标保证金。</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（四）现场踏勘、提疑（答疑）、澄清、修改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投标供应商要求澄清招标文件的截止时间：2026年</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日10:00时前，以书面文件和电子邮件形式发送给采购代理机构。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采购人对招标文件澄清、修改的时间：采购人或者采购代理机构在投标截止时间十五日前以书面文件或电子邮件形式发送给提疑供应商。如涉及澄清或者修改，在原招标公告媒体上发布。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）提交投标文件截止时间、开标时间和地点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auto"/>
          <w:sz w:val="24"/>
          <w:szCs w:val="24"/>
          <w:highlight w:val="none"/>
        </w:rPr>
        <w:t xml:space="preserve">1.网上投标截止时间</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2026年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5</w:t>
      </w:r>
      <w:r>
        <w:rPr>
          <w:rFonts w:hint="eastAsia" w:ascii="宋体" w:hAnsi="宋体" w:eastAsia="宋体" w:cs="宋体"/>
          <w:b/>
          <w:bCs/>
          <w:color w:val="000000" w:themeColor="text1"/>
          <w:sz w:val="24"/>
          <w:szCs w:val="24"/>
          <w:highlight w:val="none"/>
          <w14:textFill>
            <w14:solidFill>
              <w14:schemeClr w14:val="tx1"/>
            </w14:solidFill>
          </w14:textFill>
        </w:rPr>
        <w:t xml:space="preserve"> 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22 </w:t>
      </w:r>
      <w:r>
        <w:rPr>
          <w:rFonts w:hint="eastAsia" w:ascii="宋体" w:hAnsi="宋体" w:eastAsia="宋体" w:cs="宋体"/>
          <w:b/>
          <w:bCs/>
          <w:color w:val="000000" w:themeColor="text1"/>
          <w:sz w:val="24"/>
          <w:szCs w:val="24"/>
          <w:highlight w:val="none"/>
          <w14:textFill>
            <w14:solidFill>
              <w14:schemeClr w14:val="tx1"/>
            </w14:solidFill>
          </w14:textFill>
        </w:rPr>
        <w:t xml:space="preserve">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9 </w:t>
      </w:r>
      <w:r>
        <w:rPr>
          <w:rFonts w:hint="eastAsia" w:ascii="宋体" w:hAnsi="宋体" w:eastAsia="宋体" w:cs="宋体"/>
          <w:b/>
          <w:bCs/>
          <w:color w:val="000000" w:themeColor="text1"/>
          <w:sz w:val="24"/>
          <w:szCs w:val="24"/>
          <w:highlight w:val="none"/>
          <w14:textFill>
            <w14:solidFill>
              <w14:schemeClr w14:val="tx1"/>
            </w14:solidFill>
          </w14:textFill>
        </w:rPr>
        <w:t xml:space="preserve">点30分</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（北京时间），截止时间后上传的任何投标文件恕不接受。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.网上投标解密时间：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026年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 月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22 </w:t>
      </w:r>
      <w:r>
        <w:rPr>
          <w:rFonts w:hint="eastAsia" w:ascii="宋体" w:hAnsi="宋体" w:eastAsia="宋体" w:cs="宋体"/>
          <w:b/>
          <w:bCs/>
          <w:color w:val="000000" w:themeColor="text1"/>
          <w:sz w:val="24"/>
          <w:szCs w:val="24"/>
          <w:highlight w:val="none"/>
          <w14:textFill>
            <w14:solidFill>
              <w14:schemeClr w14:val="tx1"/>
            </w14:solidFill>
          </w14:textFill>
        </w:rPr>
        <w:t xml:space="preserve">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9 </w:t>
      </w:r>
      <w:r>
        <w:rPr>
          <w:rFonts w:hint="eastAsia" w:ascii="宋体" w:hAnsi="宋体" w:eastAsia="宋体" w:cs="宋体"/>
          <w:b/>
          <w:bCs/>
          <w:color w:val="000000" w:themeColor="text1"/>
          <w:sz w:val="24"/>
          <w:szCs w:val="24"/>
          <w:highlight w:val="none"/>
          <w14:textFill>
            <w14:solidFill>
              <w14:schemeClr w14:val="tx1"/>
            </w14:solidFill>
          </w14:textFill>
        </w:rPr>
        <w:t xml:space="preserve">点30分</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auto"/>
          <w:sz w:val="24"/>
          <w:szCs w:val="24"/>
          <w:highlight w:val="none"/>
        </w:rPr>
        <w:t xml:space="preserve">解密时限：开启解密后30分钟。</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.地点：</w:t>
      </w:r>
      <w:r>
        <w:rPr>
          <w:rFonts w:hint="eastAsia" w:ascii="宋体" w:hAnsi="宋体" w:eastAsia="宋体" w:cs="宋体"/>
          <w:color w:val="000000" w:themeColor="text1"/>
          <w:sz w:val="24"/>
          <w:szCs w:val="24"/>
          <w:highlight w:val="none"/>
          <w14:textFill>
            <w14:solidFill>
              <w14:schemeClr w14:val="tx1"/>
            </w14:solidFill>
          </w14:textFill>
        </w:rPr>
        <w:t xml:space="preserve">江苏省政府采购（苏采云）平台投标，线上不见面开标。</w:t>
      </w:r>
      <w:r/>
    </w:p>
    <w:p>
      <w:pPr>
        <w:pStyle w:val="811"/>
        <w:ind w:firstLine="482"/>
        <w:spacing w:line="36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特别提醒：</w:t>
      </w:r>
      <w:r/>
    </w:p>
    <w:p>
      <w:pPr>
        <w:pStyle w:val="811"/>
        <w:spacing w:line="36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pStyle w:val="811"/>
        <w:spacing w:line="36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2）若资格审查中或评审过程中，采购人/代理机构/评标委员会对投标文件存在疑问，投标人被授权代表须在接到在线询标函后15分钟内，在开标界面在线以澄清函回复并签章；若投标人被授权代表未在规定时间内按上述要求作出回复，则视为投标人默认资审结果或评审结果。</w:t>
      </w:r>
      <w:r/>
    </w:p>
    <w:p>
      <w:pPr>
        <w:pStyle w:val="993"/>
        <w:ind w:firstLine="452"/>
        <w:keepLines w:val="0"/>
        <w:keepNext w:val="0"/>
        <w:spacing w:before="0" w:after="0" w:line="360" w:lineRule="auto"/>
        <w:rPr>
          <w:rFonts w:ascii="宋体" w:hAnsi="宋体" w:cs="宋体"/>
          <w:bCs w:val="0"/>
          <w:color w:val="auto"/>
          <w:sz w:val="24"/>
          <w:szCs w:val="24"/>
          <w:highlight w:val="none"/>
          <w:lang w:eastAsia="zh-CN"/>
        </w:rPr>
        <w:outlineLvl w:val="9"/>
      </w:pPr>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六</w:t>
      </w:r>
      <w:r>
        <w:rPr>
          <w:rFonts w:hint="eastAsia" w:ascii="宋体" w:hAnsi="宋体" w:cs="宋体"/>
          <w:bCs w:val="0"/>
          <w:color w:val="auto"/>
          <w:sz w:val="24"/>
          <w:szCs w:val="24"/>
          <w:highlight w:val="none"/>
          <w:lang w:eastAsia="zh-CN"/>
        </w:rPr>
        <w:t xml:space="preserve">）公告期限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（招标公告及招标文件公告期限）自本公告发布之日起5个工作日。</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）评审时间和地点</w:t>
      </w:r>
      <w:r/>
    </w:p>
    <w:p>
      <w:pPr>
        <w:ind w:firstLine="480"/>
        <w:spacing w:line="360" w:lineRule="auto"/>
        <w:rPr>
          <w:rFonts w:hint="eastAsia" w:ascii="宋体" w:hAnsi="宋体" w:eastAsia="宋体" w:cs="宋体"/>
          <w:bCs/>
          <w:color w:val="auto"/>
          <w:sz w:val="24"/>
          <w:szCs w:val="24"/>
          <w:highlight w:val="yellow"/>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评审</w:t>
      </w:r>
      <w:r>
        <w:rPr>
          <w:rFonts w:hint="eastAsia" w:ascii="宋体" w:hAnsi="宋体" w:eastAsia="宋体" w:cs="宋体"/>
          <w:bCs/>
          <w:color w:val="auto"/>
          <w:sz w:val="24"/>
          <w:szCs w:val="24"/>
          <w:highlight w:val="none"/>
        </w:rPr>
        <w:t xml:space="preserve">时间</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2026年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
          <w:bCs/>
          <w:color w:val="000000" w:themeColor="text1"/>
          <w:sz w:val="24"/>
          <w:szCs w:val="24"/>
          <w:highlight w:val="none"/>
          <w14:textFill>
            <w14:solidFill>
              <w14:schemeClr w14:val="tx1"/>
            </w14:solidFill>
          </w14:textFill>
        </w:rPr>
        <w:t xml:space="preserve">日唱标结束后</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评审地点</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“江苏省政府采购（苏采云）平台”网上开标大厅</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确定中标单位时间</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评审结束后</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）其他补充事宜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本次采购采用江苏省政府采购（苏采云）平台进行招标投标活动，招标、投标、评标和中标结果发布全程电子化。</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本项目为线上不见面采购，投标人无需到开标现场及递交纸质文件。中标供应商在收到中标通知书后与采购人签订合同前，必须提供与系统中电子投标文件一致的纸质投标文件正本一份，副本二份。</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本次招标联系方式</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名称：无锡市建汇建设工程咨询事务所有限公司</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许嘉</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电话：0510-82729759、13665170769               </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地址：无锡市西新街8号建设发展大厦17楼</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邮箱：397365607@qq.com</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2.采购人：</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称：江苏无锡经济开发区发展中心、江苏无锡经济开发区教育局</w:t>
      </w:r>
      <w:r>
        <w:rPr>
          <w:rFonts w:hint="eastAsia" w:ascii="宋体" w:hAnsi="宋体" w:eastAsia="宋体" w:cs="宋体"/>
          <w:color w:val="000000" w:themeColor="text1"/>
          <w:sz w:val="24"/>
          <w:szCs w:val="24"/>
          <w:highlight w:val="none"/>
          <w14:textFill>
            <w14:solidFill>
              <w14:schemeClr w14:val="tx1"/>
            </w14:solidFill>
          </w14:textFill>
        </w:rPr>
        <w:tab/>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址：无锡市滨湖区太湖新城金融三街置业大厦宁波银行23楼、雪丰路96号（无锡市融成实验中学内）</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：江威</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联系方式：0510-80580159</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）其他</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（一）供应商“账号注册”及CA办理</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请有意参加本项目采购活动的供应商按以下流程进行操作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）点击“江苏省政府采购（苏采云）平台”</w:t>
      </w:r>
      <w:r>
        <w:rPr>
          <w:rFonts w:ascii="宋体" w:hAnsi="宋体"/>
          <w:bCs/>
          <w:color w:val="auto"/>
          <w:sz w:val="24"/>
          <w:highlight w:val="none"/>
        </w:rPr>
        <w:t xml:space="preserve">（以下简称</w:t>
      </w:r>
      <w:r>
        <w:rPr>
          <w:rFonts w:hint="eastAsia" w:ascii="宋体" w:hAnsi="宋体"/>
          <w:bCs/>
          <w:color w:val="auto"/>
          <w:sz w:val="24"/>
          <w:highlight w:val="none"/>
        </w:rPr>
        <w:t xml:space="preserve">“苏采云”系统</w:t>
      </w:r>
      <w:r>
        <w:rPr>
          <w:rFonts w:ascii="宋体" w:hAnsi="宋体"/>
          <w:bCs/>
          <w:color w:val="auto"/>
          <w:sz w:val="24"/>
          <w:highlight w:val="none"/>
        </w:rPr>
        <w:t xml:space="preserve">）</w:t>
      </w:r>
      <w:r>
        <w:rPr>
          <w:rFonts w:hint="eastAsia" w:ascii="宋体" w:hAnsi="宋体"/>
          <w:color w:val="auto"/>
          <w:sz w:val="24"/>
          <w:highlight w:val="none"/>
        </w:rPr>
        <w:t xml:space="preserve">选择供应商版块，点击“用户注册”按钮，进行账号注册，注册完成后需在</w:t>
      </w:r>
      <w:r>
        <w:rPr>
          <w:rFonts w:hint="eastAsia" w:ascii="宋体" w:hAnsi="宋体"/>
          <w:bCs/>
          <w:color w:val="auto"/>
          <w:sz w:val="24"/>
          <w:highlight w:val="none"/>
        </w:rPr>
        <w:t xml:space="preserve">系统</w:t>
      </w:r>
      <w:r>
        <w:rPr>
          <w:rFonts w:hint="eastAsia" w:ascii="宋体" w:hAnsi="宋体"/>
          <w:color w:val="auto"/>
          <w:sz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人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）CA驱动下载</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在</w:t>
      </w:r>
      <w:r>
        <w:rPr>
          <w:rFonts w:hint="eastAsia" w:ascii="宋体" w:hAnsi="宋体"/>
          <w:bCs/>
          <w:color w:val="auto"/>
          <w:sz w:val="24"/>
          <w:highlight w:val="none"/>
        </w:rPr>
        <w:t xml:space="preserve">“苏采云”系统账号登录</w:t>
      </w:r>
      <w:r>
        <w:rPr>
          <w:rFonts w:ascii="宋体" w:hAnsi="宋体"/>
          <w:color w:val="auto"/>
          <w:sz w:val="24"/>
          <w:highlight w:val="none"/>
        </w:rPr>
        <w:t xml:space="preserve">页面</w:t>
      </w:r>
      <w:r>
        <w:rPr>
          <w:rFonts w:hint="eastAsia" w:ascii="宋体" w:hAnsi="宋体"/>
          <w:color w:val="auto"/>
          <w:sz w:val="24"/>
          <w:highlight w:val="none"/>
        </w:rPr>
        <w:t xml:space="preserve">，</w:t>
      </w:r>
      <w:r>
        <w:rPr>
          <w:rFonts w:ascii="宋体" w:hAnsi="宋体"/>
          <w:color w:val="auto"/>
          <w:sz w:val="24"/>
          <w:highlight w:val="none"/>
        </w:rPr>
        <w:t xml:space="preserve">点击“驱动下载”链接中的“政务CA、方正签章控件驱动安装包及安装说明”可以直接下载驱动安装包</w:t>
      </w:r>
      <w:r>
        <w:rPr>
          <w:rFonts w:hint="eastAsia" w:ascii="宋体" w:hAnsi="宋体"/>
          <w:color w:val="auto"/>
          <w:sz w:val="24"/>
          <w:highlight w:val="none"/>
        </w:rPr>
        <w:t xml:space="preserve">，</w:t>
      </w:r>
      <w:r>
        <w:rPr>
          <w:rFonts w:ascii="宋体" w:hAnsi="宋体"/>
          <w:color w:val="auto"/>
          <w:sz w:val="24"/>
          <w:highlight w:val="none"/>
        </w:rPr>
        <w:t xml:space="preserve">安装包中附有驱动安装手册</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技术服务电话</w:t>
      </w:r>
      <w:r>
        <w:rPr>
          <w:rFonts w:hint="eastAsia" w:ascii="宋体" w:hAnsi="宋体"/>
          <w:color w:val="auto"/>
          <w:sz w:val="24"/>
          <w:highlight w:val="none"/>
        </w:rPr>
        <w:t xml:space="preserve">：0510-81827781</w:t>
      </w:r>
      <w:r>
        <w:rPr>
          <w:rFonts w:ascii="宋体" w:hAnsi="宋体"/>
          <w:color w:val="auto"/>
          <w:sz w:val="24"/>
          <w:highlight w:val="none"/>
        </w:rPr>
        <w:t xml:space="preserve">（服务时间</w:t>
      </w:r>
      <w:r>
        <w:rPr>
          <w:rFonts w:hint="eastAsia" w:ascii="宋体" w:hAnsi="宋体"/>
          <w:color w:val="auto"/>
          <w:sz w:val="24"/>
          <w:highlight w:val="none"/>
        </w:rPr>
        <w:t xml:space="preserve">：</w:t>
      </w:r>
      <w:r>
        <w:rPr>
          <w:rFonts w:ascii="宋体" w:hAnsi="宋体"/>
          <w:color w:val="auto"/>
          <w:sz w:val="24"/>
          <w:highlight w:val="none"/>
        </w:rPr>
        <w:t xml:space="preserve">工作日</w:t>
      </w:r>
      <w:r>
        <w:rPr>
          <w:rFonts w:hint="eastAsia" w:ascii="宋体" w:hAnsi="宋体"/>
          <w:color w:val="auto"/>
          <w:sz w:val="24"/>
          <w:highlight w:val="none"/>
        </w:rPr>
        <w:t xml:space="preserve"> 9:00-11:30,13:00-17:00</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完成</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账号注册</w:t>
      </w:r>
      <w:r>
        <w:rPr>
          <w:rFonts w:ascii="宋体" w:hAnsi="宋体"/>
          <w:color w:val="auto"/>
          <w:sz w:val="24"/>
          <w:highlight w:val="none"/>
        </w:rPr>
        <w:t xml:space="preserve">的供应商方可</w:t>
      </w:r>
      <w:r>
        <w:rPr>
          <w:rFonts w:hint="eastAsia" w:ascii="宋体" w:hAnsi="宋体"/>
          <w:color w:val="auto"/>
          <w:sz w:val="24"/>
          <w:highlight w:val="none"/>
        </w:rPr>
        <w:t xml:space="preserve">在</w:t>
      </w:r>
      <w:r>
        <w:rPr>
          <w:rFonts w:hint="eastAsia" w:ascii="宋体" w:hAnsi="宋体"/>
          <w:bCs/>
          <w:color w:val="auto"/>
          <w:sz w:val="24"/>
          <w:highlight w:val="none"/>
        </w:rPr>
        <w:t xml:space="preserve">“苏采云”系统</w:t>
      </w:r>
      <w:r>
        <w:rPr>
          <w:rFonts w:ascii="宋体" w:hAnsi="宋体"/>
          <w:color w:val="auto"/>
          <w:sz w:val="24"/>
          <w:highlight w:val="none"/>
        </w:rPr>
        <w:t xml:space="preserve">中进行CA绑定</w:t>
      </w:r>
      <w:r>
        <w:rPr>
          <w:rFonts w:hint="eastAsia" w:ascii="宋体" w:hAnsi="宋体"/>
          <w:color w:val="auto"/>
          <w:sz w:val="24"/>
          <w:highlight w:val="none"/>
        </w:rPr>
        <w:t xml:space="preserve">。</w:t>
      </w:r>
      <w:r>
        <w:rPr>
          <w:rFonts w:ascii="宋体" w:hAnsi="宋体"/>
          <w:color w:val="auto"/>
          <w:sz w:val="24"/>
          <w:highlight w:val="none"/>
        </w:rPr>
        <w:t xml:space="preserve">登录</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w:t>
      </w:r>
      <w:r>
        <w:rPr>
          <w:rFonts w:ascii="宋体" w:hAnsi="宋体"/>
          <w:color w:val="auto"/>
          <w:sz w:val="24"/>
          <w:highlight w:val="none"/>
        </w:rPr>
        <w:t xml:space="preserve">插入CA后</w:t>
      </w:r>
      <w:r>
        <w:rPr>
          <w:rFonts w:hint="eastAsia" w:ascii="宋体" w:hAnsi="宋体"/>
          <w:color w:val="auto"/>
          <w:sz w:val="24"/>
          <w:highlight w:val="none"/>
        </w:rPr>
        <w:t xml:space="preserve">，</w:t>
      </w:r>
      <w:r>
        <w:rPr>
          <w:rFonts w:ascii="宋体" w:hAnsi="宋体"/>
          <w:color w:val="auto"/>
          <w:sz w:val="24"/>
          <w:highlight w:val="none"/>
        </w:rPr>
        <w:t xml:space="preserve">点击【账号设置】——【绑定CA】</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供应商应按上述要求提供相关材料信息</w:t>
      </w:r>
      <w:r>
        <w:rPr>
          <w:rFonts w:hint="eastAsia" w:ascii="宋体" w:hAnsi="宋体"/>
          <w:color w:val="auto"/>
          <w:sz w:val="24"/>
          <w:highlight w:val="none"/>
        </w:rPr>
        <w:t xml:space="preserve">，</w:t>
      </w:r>
      <w:r>
        <w:rPr>
          <w:rFonts w:ascii="宋体" w:hAnsi="宋体"/>
          <w:color w:val="auto"/>
          <w:sz w:val="24"/>
          <w:highlight w:val="none"/>
        </w:rPr>
        <w:t xml:space="preserve">所提供的材料应均是真实的、准确的</w:t>
      </w:r>
      <w:r>
        <w:rPr>
          <w:rFonts w:hint="eastAsia" w:ascii="宋体" w:hAnsi="宋体"/>
          <w:color w:val="auto"/>
          <w:sz w:val="24"/>
          <w:highlight w:val="none"/>
        </w:rPr>
        <w:t xml:space="preserve">，</w:t>
      </w:r>
      <w:r>
        <w:rPr>
          <w:rFonts w:ascii="宋体" w:hAnsi="宋体"/>
          <w:color w:val="auto"/>
          <w:sz w:val="24"/>
          <w:highlight w:val="none"/>
        </w:rPr>
        <w:t xml:space="preserve">若有违背</w:t>
      </w:r>
      <w:r>
        <w:rPr>
          <w:rFonts w:hint="eastAsia" w:ascii="宋体" w:hAnsi="宋体"/>
          <w:color w:val="auto"/>
          <w:sz w:val="24"/>
          <w:highlight w:val="none"/>
        </w:rPr>
        <w:t xml:space="preserve">，</w:t>
      </w:r>
      <w:r>
        <w:rPr>
          <w:rFonts w:ascii="宋体" w:hAnsi="宋体"/>
          <w:color w:val="auto"/>
          <w:sz w:val="24"/>
          <w:highlight w:val="none"/>
        </w:rPr>
        <w:t xml:space="preserve">供应商自行承担由此而产生的一切后果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如供应商未按上述要求操作</w:t>
      </w:r>
      <w:r>
        <w:rPr>
          <w:rFonts w:hint="eastAsia" w:ascii="宋体" w:hAnsi="宋体"/>
          <w:color w:val="auto"/>
          <w:sz w:val="24"/>
          <w:highlight w:val="none"/>
        </w:rPr>
        <w:t xml:space="preserve">，</w:t>
      </w:r>
      <w:r>
        <w:rPr>
          <w:rFonts w:ascii="宋体" w:hAnsi="宋体"/>
          <w:color w:val="auto"/>
          <w:sz w:val="24"/>
          <w:highlight w:val="none"/>
        </w:rPr>
        <w:t xml:space="preserve">由此所产生的损失及风险由供应商自行承担</w:t>
      </w:r>
      <w:r>
        <w:rPr>
          <w:rFonts w:hint="eastAsia" w:ascii="宋体" w:hAnsi="宋体"/>
          <w:color w:val="auto"/>
          <w:sz w:val="24"/>
          <w:highlight w:val="none"/>
        </w:rPr>
        <w:t xml:space="preserve">。</w:t>
      </w:r>
      <w:r>
        <w:rPr>
          <w:rFonts w:ascii="宋体" w:hAnsi="宋体"/>
          <w:color w:val="auto"/>
          <w:sz w:val="24"/>
          <w:highlight w:val="none"/>
        </w:rPr>
        <w:t xml:space="preserve">具体操作步骤详见</w:t>
      </w:r>
      <w:r>
        <w:rPr>
          <w:rFonts w:hint="eastAsia" w:ascii="宋体" w:hAnsi="宋体"/>
          <w:color w:val="auto"/>
          <w:sz w:val="24"/>
          <w:highlight w:val="none"/>
        </w:rPr>
        <w:t xml:space="preserve">《“苏采云”系统供应商操作手册》</w:t>
      </w:r>
      <w:r>
        <w:rPr>
          <w:rFonts w:ascii="宋体" w:hAnsi="宋体"/>
          <w:color w:val="auto"/>
          <w:sz w:val="24"/>
          <w:highlight w:val="none"/>
        </w:rPr>
        <w:t xml:space="preserve">（以下简称</w:t>
      </w:r>
      <w:r>
        <w:rPr>
          <w:rFonts w:hint="eastAsia" w:ascii="宋体" w:hAnsi="宋体"/>
          <w:color w:val="auto"/>
          <w:sz w:val="24"/>
          <w:highlight w:val="none"/>
        </w:rPr>
        <w:t xml:space="preserve">《操作手册》</w:t>
      </w:r>
      <w:r>
        <w:rPr>
          <w:rFonts w:ascii="宋体" w:hAnsi="宋体"/>
          <w:color w:val="auto"/>
          <w:sz w:val="24"/>
          <w:highlight w:val="none"/>
        </w:rPr>
        <w:t xml:space="preserve">）</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（二）完成项目参与，获取采购文件</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供应商可在项目</w:t>
      </w:r>
      <w:r>
        <w:rPr>
          <w:rFonts w:hint="eastAsia" w:ascii="宋体" w:hAnsi="宋体"/>
          <w:color w:val="auto"/>
          <w:sz w:val="24"/>
          <w:highlight w:val="none"/>
        </w:rPr>
        <w:t xml:space="preserve">招标</w:t>
      </w:r>
      <w:r>
        <w:rPr>
          <w:rFonts w:ascii="宋体" w:hAnsi="宋体"/>
          <w:color w:val="auto"/>
          <w:sz w:val="24"/>
          <w:highlight w:val="none"/>
        </w:rPr>
        <w:t xml:space="preserve">公告附件中查看</w:t>
      </w:r>
      <w:r>
        <w:rPr>
          <w:rFonts w:hint="eastAsia" w:ascii="宋体" w:hAnsi="宋体"/>
          <w:color w:val="auto"/>
          <w:sz w:val="24"/>
          <w:highlight w:val="none"/>
        </w:rPr>
        <w:t xml:space="preserve">公开采购文件，</w:t>
      </w:r>
      <w:r>
        <w:rPr>
          <w:rFonts w:ascii="宋体" w:hAnsi="宋体"/>
          <w:color w:val="auto"/>
          <w:sz w:val="24"/>
          <w:highlight w:val="none"/>
        </w:rPr>
        <w:t xml:space="preserve">如确定参加本次</w:t>
      </w:r>
      <w:r>
        <w:rPr>
          <w:rFonts w:hint="eastAsia" w:ascii="宋体" w:hAnsi="宋体"/>
          <w:color w:val="auto"/>
          <w:sz w:val="24"/>
          <w:highlight w:val="none"/>
        </w:rPr>
        <w:t xml:space="preserve">采购</w:t>
      </w:r>
      <w:r>
        <w:rPr>
          <w:rFonts w:ascii="宋体" w:hAnsi="宋体"/>
          <w:color w:val="auto"/>
          <w:sz w:val="24"/>
          <w:highlight w:val="none"/>
        </w:rPr>
        <w:t xml:space="preserve">活动</w:t>
      </w:r>
      <w:r>
        <w:rPr>
          <w:rFonts w:hint="eastAsia" w:ascii="宋体" w:hAnsi="宋体"/>
          <w:color w:val="auto"/>
          <w:sz w:val="24"/>
          <w:highlight w:val="none"/>
        </w:rPr>
        <w:t xml:space="preserve">，</w:t>
      </w:r>
      <w:r>
        <w:rPr>
          <w:rFonts w:ascii="宋体" w:hAnsi="宋体"/>
          <w:color w:val="auto"/>
          <w:sz w:val="24"/>
          <w:highlight w:val="none"/>
        </w:rPr>
        <w:t xml:space="preserve">必须在</w:t>
      </w:r>
      <w:r>
        <w:rPr>
          <w:rFonts w:hint="eastAsia" w:ascii="宋体" w:hAnsi="宋体"/>
          <w:bCs/>
          <w:color w:val="auto"/>
          <w:sz w:val="24"/>
          <w:highlight w:val="none"/>
        </w:rPr>
        <w:t xml:space="preserve">采购文件提供期限</w:t>
      </w:r>
      <w:r>
        <w:rPr>
          <w:rFonts w:ascii="宋体" w:hAnsi="宋体"/>
          <w:color w:val="auto"/>
          <w:sz w:val="24"/>
          <w:highlight w:val="none"/>
        </w:rPr>
        <w:t xml:space="preserve">内</w:t>
      </w:r>
      <w:r>
        <w:rPr>
          <w:rFonts w:hint="eastAsia" w:ascii="宋体" w:hAnsi="宋体"/>
          <w:color w:val="auto"/>
          <w:sz w:val="24"/>
          <w:highlight w:val="none"/>
        </w:rPr>
        <w:t xml:space="preserve">从</w:t>
      </w:r>
      <w:r>
        <w:rPr>
          <w:rFonts w:hint="eastAsia" w:ascii="宋体" w:hAnsi="宋体"/>
          <w:bCs/>
          <w:color w:val="auto"/>
          <w:sz w:val="24"/>
          <w:highlight w:val="none"/>
        </w:rPr>
        <w:t xml:space="preserve">“苏采云”系统</w:t>
      </w:r>
      <w:r>
        <w:rPr>
          <w:rFonts w:ascii="宋体" w:hAnsi="宋体"/>
          <w:color w:val="auto"/>
          <w:sz w:val="24"/>
          <w:highlight w:val="none"/>
        </w:rPr>
        <w:t xml:space="preserve">中下载文件（“项目参与”——“</w:t>
      </w:r>
      <w:r>
        <w:rPr>
          <w:rFonts w:hint="eastAsia" w:ascii="宋体" w:hAnsi="宋体"/>
          <w:color w:val="auto"/>
          <w:sz w:val="24"/>
          <w:highlight w:val="none"/>
        </w:rPr>
        <w:t xml:space="preserve">采购项目参与</w:t>
      </w:r>
      <w:r>
        <w:rPr>
          <w:rFonts w:ascii="宋体" w:hAnsi="宋体"/>
          <w:color w:val="auto"/>
          <w:sz w:val="24"/>
          <w:highlight w:val="none"/>
        </w:rPr>
        <w:t xml:space="preserve">”找到需要获取</w:t>
      </w:r>
      <w:r>
        <w:rPr>
          <w:rFonts w:hint="eastAsia" w:ascii="宋体" w:hAnsi="宋体"/>
          <w:color w:val="auto"/>
          <w:sz w:val="24"/>
          <w:highlight w:val="none"/>
        </w:rPr>
        <w:t xml:space="preserve">采购文件</w:t>
      </w:r>
      <w:r>
        <w:rPr>
          <w:rFonts w:ascii="宋体" w:hAnsi="宋体"/>
          <w:color w:val="auto"/>
          <w:sz w:val="24"/>
          <w:highlight w:val="none"/>
        </w:rPr>
        <w:t xml:space="preserve">的项目</w:t>
      </w:r>
      <w:r>
        <w:rPr>
          <w:rFonts w:hint="eastAsia" w:ascii="宋体" w:hAnsi="宋体"/>
          <w:color w:val="auto"/>
          <w:sz w:val="24"/>
          <w:highlight w:val="none"/>
        </w:rPr>
        <w:t xml:space="preserve">，</w:t>
      </w:r>
      <w:r>
        <w:rPr>
          <w:rFonts w:ascii="宋体" w:hAnsi="宋体"/>
          <w:color w:val="auto"/>
          <w:sz w:val="24"/>
          <w:highlight w:val="none"/>
        </w:rPr>
        <w:t xml:space="preserve">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完成项目</w:t>
      </w:r>
      <w:r>
        <w:rPr>
          <w:rFonts w:hint="eastAsia" w:ascii="宋体" w:hAnsi="宋体"/>
          <w:color w:val="auto"/>
          <w:sz w:val="24"/>
          <w:highlight w:val="none"/>
        </w:rPr>
        <w:t xml:space="preserve">参与，将</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中</w:t>
      </w:r>
      <w:r>
        <w:rPr>
          <w:rFonts w:ascii="宋体" w:hAnsi="宋体"/>
          <w:color w:val="auto"/>
          <w:sz w:val="24"/>
          <w:highlight w:val="none"/>
        </w:rPr>
        <w:t xml:space="preserve">下载的</w:t>
      </w:r>
      <w:r>
        <w:rPr>
          <w:rFonts w:hint="eastAsia" w:ascii="宋体" w:hAnsi="宋体"/>
          <w:color w:val="auto"/>
          <w:sz w:val="24"/>
          <w:highlight w:val="none"/>
        </w:rPr>
        <w:t xml:space="preserve">采购文件（后缀名为“.kedt”）</w:t>
      </w:r>
      <w:r>
        <w:rPr>
          <w:rFonts w:ascii="宋体" w:hAnsi="宋体"/>
          <w:color w:val="auto"/>
          <w:sz w:val="24"/>
          <w:highlight w:val="none"/>
        </w:rPr>
        <w:t xml:space="preserve">导入到“政府采购客户端”</w:t>
      </w:r>
      <w:r>
        <w:rPr>
          <w:rFonts w:hint="eastAsia" w:ascii="宋体" w:hAnsi="宋体"/>
          <w:color w:val="auto"/>
          <w:sz w:val="24"/>
          <w:highlight w:val="none"/>
        </w:rPr>
        <w:t xml:space="preserve">，</w:t>
      </w:r>
      <w:r>
        <w:rPr>
          <w:rFonts w:ascii="宋体" w:hAnsi="宋体"/>
          <w:color w:val="auto"/>
          <w:sz w:val="24"/>
          <w:highlight w:val="none"/>
        </w:rPr>
        <w:t xml:space="preserve">离线按要求</w:t>
      </w:r>
      <w:r>
        <w:rPr>
          <w:rFonts w:hint="eastAsia" w:ascii="宋体" w:hAnsi="宋体"/>
          <w:color w:val="auto"/>
          <w:sz w:val="24"/>
          <w:highlight w:val="none"/>
        </w:rPr>
        <w:t xml:space="preserve">编制</w:t>
      </w:r>
      <w:r>
        <w:rPr>
          <w:rFonts w:ascii="宋体" w:hAnsi="宋体"/>
          <w:color w:val="auto"/>
          <w:sz w:val="24"/>
          <w:highlight w:val="none"/>
        </w:rPr>
        <w:t xml:space="preserve">并加密</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（使用“CA数字证书”），</w:t>
      </w:r>
      <w:r>
        <w:rPr>
          <w:rFonts w:ascii="宋体" w:hAnsi="宋体"/>
          <w:color w:val="auto"/>
          <w:sz w:val="24"/>
          <w:highlight w:val="none"/>
        </w:rPr>
        <w:t xml:space="preserve">导出加密的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（后缀名为zip，不得超过150M）并在</w:t>
      </w:r>
      <w:r>
        <w:rPr>
          <w:rFonts w:hint="eastAsia" w:ascii="宋体" w:hAnsi="宋体"/>
          <w:bCs/>
          <w:color w:val="auto"/>
          <w:sz w:val="24"/>
          <w:highlight w:val="none"/>
        </w:rPr>
        <w:t xml:space="preserve">“苏采云”系统</w:t>
      </w:r>
      <w:r>
        <w:rPr>
          <w:rFonts w:ascii="宋体" w:hAnsi="宋体"/>
          <w:color w:val="auto"/>
          <w:sz w:val="24"/>
          <w:highlight w:val="none"/>
        </w:rPr>
        <w:t xml:space="preserve">上传该加密的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w:t>
      </w:r>
      <w:r>
        <w:rPr>
          <w:rFonts w:ascii="宋体" w:hAnsi="宋体"/>
          <w:color w:val="auto"/>
          <w:sz w:val="24"/>
          <w:highlight w:val="none"/>
        </w:rPr>
        <w:t xml:space="preserve">对</w:t>
      </w:r>
      <w:r>
        <w:rPr>
          <w:rFonts w:hint="eastAsia" w:ascii="宋体" w:hAnsi="宋体"/>
          <w:color w:val="auto"/>
          <w:sz w:val="24"/>
          <w:highlight w:val="none"/>
        </w:rPr>
        <w:t xml:space="preserve">采购文件</w:t>
      </w:r>
      <w:r>
        <w:rPr>
          <w:rFonts w:ascii="宋体" w:hAnsi="宋体"/>
          <w:color w:val="auto"/>
          <w:sz w:val="24"/>
          <w:highlight w:val="none"/>
        </w:rPr>
        <w:t xml:space="preserve">各项内容做出实质性响应</w:t>
      </w:r>
      <w:r>
        <w:rPr>
          <w:rFonts w:hint="eastAsia" w:ascii="宋体" w:hAnsi="宋体"/>
          <w:color w:val="auto"/>
          <w:sz w:val="24"/>
          <w:highlight w:val="none"/>
        </w:rPr>
        <w:t xml:space="preserve">，</w:t>
      </w:r>
      <w:r>
        <w:rPr>
          <w:rFonts w:ascii="宋体" w:hAnsi="宋体"/>
          <w:color w:val="auto"/>
          <w:sz w:val="24"/>
          <w:highlight w:val="none"/>
        </w:rPr>
        <w:t xml:space="preserve">否则其</w:t>
      </w:r>
      <w:r>
        <w:rPr>
          <w:rFonts w:hint="eastAsia" w:ascii="宋体" w:hAnsi="宋体"/>
          <w:color w:val="auto"/>
          <w:sz w:val="24"/>
          <w:highlight w:val="none"/>
        </w:rPr>
        <w:t xml:space="preserve">投标</w:t>
      </w:r>
      <w:r>
        <w:rPr>
          <w:rFonts w:ascii="宋体" w:hAnsi="宋体"/>
          <w:color w:val="auto"/>
          <w:sz w:val="24"/>
          <w:highlight w:val="none"/>
        </w:rPr>
        <w:t xml:space="preserve">文件无效</w:t>
      </w:r>
      <w:r>
        <w:rPr>
          <w:rFonts w:hint="eastAsia" w:ascii="宋体" w:hAnsi="宋体"/>
          <w:color w:val="auto"/>
          <w:sz w:val="24"/>
          <w:highlight w:val="none"/>
        </w:rPr>
        <w:t xml:space="preserve">。</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（三）有关本次采购的事项若存在变动或修改，敬请及时关注</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无锡政府采购网</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江苏政府采购网</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发布的信息。</w:t>
      </w:r>
      <w:r/>
    </w:p>
    <w:p>
      <w:pPr>
        <w:ind w:firstLine="480"/>
        <w:spacing w:line="500" w:lineRule="exact"/>
        <w:tabs>
          <w:tab w:val="left" w:pos="900" w:leader="none"/>
        </w:tabs>
        <w:rPr>
          <w:rFonts w:ascii="宋体" w:hAnsi="宋体"/>
          <w:bCs/>
          <w:color w:val="auto"/>
          <w:sz w:val="24"/>
          <w:highlight w:val="none"/>
          <w:shd w:val="clear" w:color="ffffff" w:fill="d9d9d9"/>
        </w:rPr>
      </w:pPr>
      <w:r>
        <w:rPr>
          <w:rFonts w:hint="eastAsia" w:ascii="宋体" w:hAnsi="宋体"/>
          <w:bCs/>
          <w:color w:val="auto"/>
          <w:sz w:val="24"/>
          <w:highlight w:val="none"/>
        </w:rPr>
        <w:t xml:space="preserve">（四）本次采购不收取投标保证金。</w:t>
      </w:r>
      <w:r/>
    </w:p>
    <w:p>
      <w:pPr>
        <w:ind w:firstLine="480"/>
        <w:spacing w:line="500" w:lineRule="exact"/>
        <w:tabs>
          <w:tab w:val="left" w:pos="900" w:leader="none"/>
        </w:tabs>
        <w:rPr>
          <w:rFonts w:ascii="宋体" w:hAnsi="宋体"/>
          <w:b/>
          <w:color w:val="auto"/>
          <w:sz w:val="24"/>
          <w:highlight w:val="none"/>
        </w:rPr>
      </w:pPr>
      <w:r>
        <w:rPr>
          <w:rFonts w:hint="eastAsia" w:ascii="宋体" w:hAnsi="宋体"/>
          <w:bCs/>
          <w:color w:val="auto"/>
          <w:sz w:val="24"/>
          <w:highlight w:val="none"/>
        </w:rPr>
        <w:t xml:space="preserve">（五）纸质投标文件：</w:t>
      </w:r>
      <w:r>
        <w:rPr>
          <w:rFonts w:hint="eastAsia" w:ascii="宋体" w:hAnsi="宋体"/>
          <w:b/>
          <w:color w:val="auto"/>
          <w:sz w:val="24"/>
          <w:highlight w:val="none"/>
        </w:rPr>
        <w:t xml:space="preserve">本项目为线上不见面采购，投标人无需到开标现场及递交纸质文件。中标供应商在收到中标通知书后与采购人签订合同前，必须提供与系统中电子投标文件一致的纸质投标文件正本一份，副本二份。</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（六）本招标文件中涉及的盖章部分均可使用CA签章。</w:t>
      </w:r>
      <w:r/>
    </w:p>
    <w:p>
      <w:pPr>
        <w:ind w:firstLine="720"/>
        <w:spacing w:line="360" w:lineRule="auto"/>
        <w:rPr>
          <w:rFonts w:ascii="Arial" w:hAnsi="Arial" w:eastAsia="宋体"/>
          <w:color w:val="auto"/>
          <w:sz w:val="24"/>
          <w:szCs w:val="24"/>
          <w:highlight w:val="none"/>
        </w:rPr>
      </w:pPr>
      <w:r/>
      <w:bookmarkStart w:id="0" w:name="_Toc120614211"/>
      <w:r/>
      <w:r/>
    </w:p>
    <w:p>
      <w:pPr>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jc w:val="center"/>
        <w:spacing w:line="360" w:lineRule="auto"/>
        <w:widowControl/>
        <w:rPr>
          <w:rFonts w:ascii="宋体" w:hAnsi="宋体" w:eastAsia="宋体" w:cs="宋体"/>
          <w:b/>
          <w:bCs/>
          <w:color w:val="auto"/>
          <w:sz w:val="28"/>
          <w:szCs w:val="28"/>
          <w:highlight w:val="none"/>
        </w:rPr>
        <w:outlineLvl w:val="0"/>
      </w:pPr>
      <w:r>
        <w:rPr>
          <w:rFonts w:hint="eastAsia" w:ascii="宋体" w:hAnsi="宋体" w:eastAsia="宋体" w:cs="宋体"/>
          <w:color w:val="auto"/>
          <w:sz w:val="36"/>
          <w:szCs w:val="36"/>
          <w:highlight w:val="none"/>
        </w:rPr>
        <w:t xml:space="preserve">第二章  </w:t>
      </w:r>
      <w:bookmarkEnd w:id="0"/>
      <w:r/>
      <w:bookmarkStart w:id="1" w:name="_Toc20823274"/>
      <w:r/>
      <w:bookmarkStart w:id="2" w:name="_Toc16938518"/>
      <w:r/>
      <w:bookmarkStart w:id="3" w:name="_Toc513029202"/>
      <w:r/>
      <w:bookmarkStart w:id="4" w:name="_Toc120614213"/>
      <w:r>
        <w:rPr>
          <w:rFonts w:hint="eastAsia" w:ascii="宋体" w:hAnsi="宋体" w:eastAsia="宋体" w:cs="宋体"/>
          <w:color w:val="auto"/>
          <w:sz w:val="36"/>
          <w:szCs w:val="36"/>
          <w:highlight w:val="none"/>
        </w:rPr>
        <w:t xml:space="preserve">投标人须知</w:t>
      </w:r>
      <w:bookmarkEnd w:id="1"/>
      <w:r/>
      <w:bookmarkEnd w:id="2"/>
      <w:r/>
      <w:bookmarkEnd w:id="3"/>
      <w:r/>
      <w:bookmarkEnd w:id="4"/>
      <w:r/>
      <w:r/>
    </w:p>
    <w:p>
      <w:pPr>
        <w:pStyle w:val="993"/>
        <w:ind w:firstLine="452"/>
        <w:keepLines w:val="0"/>
        <w:keepNext w:val="0"/>
        <w:spacing w:before="0" w:after="0" w:line="360" w:lineRule="auto"/>
        <w:rPr>
          <w:rFonts w:ascii="宋体" w:hAnsi="宋体" w:cs="宋体"/>
          <w:color w:val="auto"/>
          <w:sz w:val="30"/>
          <w:szCs w:val="30"/>
          <w:highlight w:val="none"/>
          <w:lang w:eastAsia="zh-CN"/>
        </w:rPr>
      </w:pPr>
      <w:r/>
      <w:bookmarkStart w:id="5" w:name="_Toc16938519"/>
      <w:r/>
      <w:bookmarkStart w:id="6" w:name="_Toc120614214"/>
      <w:r/>
      <w:bookmarkStart w:id="7" w:name="_Toc513029203"/>
      <w:r/>
      <w:bookmarkStart w:id="8" w:name="_Toc20823275"/>
      <w:r>
        <w:rPr>
          <w:rFonts w:hint="eastAsia" w:ascii="宋体" w:hAnsi="宋体" w:cs="宋体"/>
          <w:color w:val="auto"/>
          <w:sz w:val="30"/>
          <w:szCs w:val="30"/>
          <w:highlight w:val="none"/>
          <w:lang w:eastAsia="zh-CN"/>
        </w:rPr>
        <w:t xml:space="preserve">一、总则</w:t>
      </w:r>
      <w:bookmarkEnd w:id="5"/>
      <w:r/>
      <w:bookmarkEnd w:id="6"/>
      <w:r/>
      <w:bookmarkEnd w:id="7"/>
      <w:r/>
      <w:bookmarkEnd w:id="8"/>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bookmarkStart w:id="9" w:name="_Hlt16619475"/>
      <w:r/>
      <w:bookmarkEnd w:id="9"/>
      <w:r/>
      <w:bookmarkStart w:id="10" w:name="_Toc20823276"/>
      <w:r/>
      <w:bookmarkStart w:id="11" w:name="_Toc16938520"/>
      <w:r/>
      <w:bookmarkStart w:id="12" w:name="_Toc513029204"/>
      <w:r>
        <w:rPr>
          <w:rFonts w:hint="eastAsia" w:ascii="宋体" w:hAnsi="宋体" w:eastAsia="宋体" w:cs="宋体"/>
          <w:bCs w:val="0"/>
          <w:color w:val="auto"/>
          <w:highlight w:val="none"/>
          <w:lang w:eastAsia="zh-CN"/>
        </w:rPr>
        <w:t xml:space="preserve">1.招标方式</w:t>
      </w:r>
      <w:bookmarkEnd w:id="10"/>
      <w:r/>
      <w:bookmarkEnd w:id="11"/>
      <w:r/>
      <w:bookmarkEnd w:id="12"/>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bookmarkStart w:id="13" w:name="_Toc16938521"/>
      <w:r/>
      <w:bookmarkStart w:id="14" w:name="_Toc20823277"/>
      <w:r/>
      <w:bookmarkStart w:id="15" w:name="_Toc513029205"/>
      <w:r>
        <w:rPr>
          <w:rFonts w:hint="eastAsia" w:ascii="宋体" w:hAnsi="宋体" w:eastAsia="宋体" w:cs="宋体"/>
          <w:bCs w:val="0"/>
          <w:color w:val="auto"/>
          <w:highlight w:val="none"/>
          <w:lang w:eastAsia="zh-CN"/>
        </w:rPr>
        <w:t xml:space="preserve">2.</w:t>
      </w:r>
      <w:bookmarkEnd w:id="13"/>
      <w:r/>
      <w:bookmarkEnd w:id="14"/>
      <w:r/>
      <w:bookmarkEnd w:id="15"/>
      <w:r>
        <w:rPr>
          <w:rFonts w:hint="eastAsia" w:ascii="宋体" w:hAnsi="宋体" w:eastAsia="宋体" w:cs="宋体"/>
          <w:bCs w:val="0"/>
          <w:color w:val="auto"/>
          <w:highlight w:val="none"/>
          <w:lang w:eastAsia="zh-CN"/>
        </w:rPr>
        <w:t xml:space="preserve">采购人、采购代理机构、投标人、联合体</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w:t>
      </w:r>
      <w:r>
        <w:rPr>
          <w:rFonts w:hint="eastAsia" w:ascii="宋体" w:hAnsi="宋体" w:eastAsia="宋体" w:cs="宋体"/>
          <w:color w:val="000000" w:themeColor="text1"/>
          <w:sz w:val="24"/>
          <w:szCs w:val="24"/>
          <w:highlight w:val="none"/>
          <w14:textFill>
            <w14:solidFill>
              <w14:schemeClr w14:val="tx1"/>
            </w14:solidFill>
          </w14:textFill>
        </w:rPr>
        <w:t xml:space="preserve">同项下的政府采购活动。若联合体中任一成员单位中途退出，则该联合体的投标无效。</w:t>
      </w:r>
      <w:r>
        <w:rPr>
          <w:rFonts w:hint="eastAsia" w:ascii="宋体" w:hAnsi="宋体" w:eastAsia="宋体" w:cs="宋体"/>
          <w:b/>
          <w:bCs/>
          <w:color w:val="000000" w:themeColor="text1"/>
          <w:sz w:val="24"/>
          <w:szCs w:val="24"/>
          <w:highlight w:val="none"/>
          <w14:textFill>
            <w14:solidFill>
              <w14:schemeClr w14:val="tx1"/>
            </w14:solidFill>
          </w14:textFill>
        </w:rPr>
        <w:t xml:space="preserve">本项目不接受联合投标</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162"/>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bookmarkStart w:id="16" w:name="_Toc16938522"/>
      <w:r/>
      <w:bookmarkStart w:id="17" w:name="_Toc513029206"/>
      <w:r/>
      <w:bookmarkStart w:id="18" w:name="_Toc20823278"/>
      <w:r>
        <w:rPr>
          <w:rFonts w:hint="eastAsia" w:ascii="宋体" w:hAnsi="宋体" w:eastAsia="宋体" w:cs="宋体"/>
          <w:bCs w:val="0"/>
          <w:color w:val="000000" w:themeColor="text1"/>
          <w:highlight w:val="none"/>
          <w:lang w:eastAsia="zh-CN"/>
          <w14:textFill>
            <w14:solidFill>
              <w14:schemeClr w14:val="tx1"/>
            </w14:solidFill>
          </w14:textFill>
        </w:rPr>
        <w:t xml:space="preserve">3.适用法律</w:t>
      </w:r>
      <w:bookmarkEnd w:id="16"/>
      <w:r/>
      <w:bookmarkEnd w:id="17"/>
      <w:r/>
      <w:bookmarkEnd w:id="18"/>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pStyle w:val="1162"/>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bookmarkStart w:id="19" w:name="_Toc20823279"/>
      <w:r/>
      <w:bookmarkStart w:id="20" w:name="_Toc513029207"/>
      <w:r/>
      <w:bookmarkStart w:id="21" w:name="_Toc16938523"/>
      <w:r/>
      <w:bookmarkStart w:id="22" w:name="_Toc462564067"/>
      <w:r>
        <w:rPr>
          <w:rFonts w:hint="eastAsia" w:ascii="宋体" w:hAnsi="宋体" w:eastAsia="宋体" w:cs="宋体"/>
          <w:bCs w:val="0"/>
          <w:color w:val="000000" w:themeColor="text1"/>
          <w:highlight w:val="none"/>
          <w:lang w:eastAsia="zh-CN"/>
          <w14:textFill>
            <w14:solidFill>
              <w14:schemeClr w14:val="tx1"/>
            </w14:solidFill>
          </w14:textFill>
        </w:rPr>
        <w:t xml:space="preserve">4.投标费用</w:t>
      </w:r>
      <w:bookmarkEnd w:id="19"/>
      <w:r/>
      <w:bookmarkEnd w:id="20"/>
      <w:r/>
      <w:bookmarkEnd w:id="21"/>
      <w:r/>
      <w:bookmarkEnd w:id="22"/>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4.1</w:t>
      </w:r>
      <w:r>
        <w:rPr>
          <w:rFonts w:hint="eastAsia" w:ascii="宋体" w:hAnsi="宋体" w:eastAsia="宋体" w:cs="宋体"/>
          <w:color w:val="000000" w:themeColor="text1"/>
          <w:sz w:val="24"/>
          <w:highlight w:val="none"/>
          <w14:textFill>
            <w14:solidFill>
              <w14:schemeClr w14:val="tx1"/>
            </w14:solidFill>
          </w14:textFill>
        </w:rPr>
        <w:t xml:space="preserve">投标人应自行承担所有与参加投标有关的费用，无论投标过程中的做法和结果如何，无锡市建汇建设工程咨询事务所有限公司在任何情况下均无义务和责任承担这些费用。</w:t>
      </w:r>
      <w:r/>
    </w:p>
    <w:p>
      <w:pPr>
        <w:ind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color w:val="auto"/>
          <w:sz w:val="24"/>
          <w:highlight w:val="none"/>
        </w:rPr>
        <w:t xml:space="preserve">.2</w:t>
      </w:r>
      <w:r>
        <w:rPr>
          <w:rFonts w:hint="eastAsia" w:ascii="宋体" w:hAnsi="宋体" w:eastAsia="宋体" w:cs="宋体"/>
          <w:bCs/>
          <w:color w:val="auto"/>
          <w:sz w:val="24"/>
          <w:highlight w:val="none"/>
        </w:rPr>
        <w:t xml:space="preserve">招标代理费由中标供应商支付</w:t>
      </w:r>
      <w:r>
        <w:rPr>
          <w:rFonts w:hint="eastAsia" w:ascii="宋体" w:hAnsi="宋体" w:eastAsia="宋体" w:cs="宋体"/>
          <w:bCs/>
          <w:color w:val="auto"/>
          <w:sz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按差额定率累进法，收费标准为：</w:t>
      </w:r>
      <w:r>
        <w:rPr>
          <w:rFonts w:hint="eastAsia" w:ascii="宋体" w:hAnsi="宋体" w:eastAsia="宋体" w:cs="宋体"/>
          <w:bCs/>
          <w:color w:val="auto"/>
          <w:sz w:val="24"/>
          <w:highlight w:val="none"/>
        </w:rPr>
        <w:t xml:space="preserve">以中标价为</w:t>
      </w:r>
      <w:r>
        <w:rPr>
          <w:rFonts w:hint="eastAsia" w:ascii="宋体" w:hAnsi="宋体" w:eastAsia="宋体" w:cs="宋体"/>
          <w:bCs/>
          <w:color w:val="auto"/>
          <w:sz w:val="24"/>
          <w:highlight w:val="none"/>
          <w:lang w:eastAsia="zh-CN"/>
        </w:rPr>
        <w:t xml:space="preserve">计算</w:t>
      </w:r>
      <w:r>
        <w:rPr>
          <w:rFonts w:hint="eastAsia" w:ascii="宋体" w:hAnsi="宋体" w:eastAsia="宋体" w:cs="宋体"/>
          <w:bCs/>
          <w:color w:val="auto"/>
          <w:sz w:val="24"/>
          <w:highlight w:val="none"/>
        </w:rPr>
        <w:t xml:space="preserve">基数</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已含增值税）</w:t>
      </w:r>
      <w:r>
        <w:rPr>
          <w:rFonts w:hint="eastAsia" w:ascii="宋体" w:hAnsi="宋体" w:eastAsia="宋体" w:cs="宋体"/>
          <w:bCs/>
          <w:color w:val="auto"/>
          <w:sz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中标金额100万元以下费率为中标金额的1.5%；中标金额100万—500万费率为中标金额的</w:t>
      </w:r>
      <w:r>
        <w:rPr>
          <w:rFonts w:hint="eastAsia" w:ascii="宋体" w:hAnsi="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bidi="ar-SA"/>
        </w:rPr>
        <w:t xml:space="preserve">%，500万—1000万费率为中标金额的</w:t>
      </w:r>
      <w:r>
        <w:rPr>
          <w:rFonts w:hint="eastAsia" w:ascii="宋体" w:hAnsi="宋体" w:cs="宋体"/>
          <w:color w:val="auto"/>
          <w:sz w:val="24"/>
          <w:szCs w:val="24"/>
          <w:highlight w:val="none"/>
          <w:lang w:val="en-US" w:eastAsia="zh-CN" w:bidi="ar-SA"/>
        </w:rPr>
        <w:t xml:space="preserve">0.8</w:t>
      </w:r>
      <w:r>
        <w:rPr>
          <w:rFonts w:hint="eastAsia" w:ascii="宋体" w:hAnsi="宋体" w:eastAsia="宋体" w:cs="宋体"/>
          <w:color w:val="auto"/>
          <w:sz w:val="24"/>
          <w:szCs w:val="24"/>
          <w:highlight w:val="none"/>
          <w:lang w:val="en-US" w:eastAsia="zh-CN" w:bidi="ar-SA"/>
        </w:rPr>
        <w:t xml:space="preserve">%；1000万—5000万费率为中标金额的</w:t>
      </w:r>
      <w:r>
        <w:rPr>
          <w:rFonts w:hint="eastAsia" w:ascii="宋体" w:hAnsi="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在此基础上打7折计取</w:t>
      </w:r>
      <w:r>
        <w:rPr>
          <w:rFonts w:hint="eastAsia" w:ascii="宋体" w:hAnsi="宋体" w:eastAsia="宋体" w:cs="宋体"/>
          <w:bCs/>
          <w:color w:val="auto"/>
          <w:sz w:val="24"/>
          <w:highlight w:val="none"/>
        </w:rPr>
        <w:t xml:space="preserve">，由中标供应商在领取中标通知书前一次性付清</w:t>
      </w:r>
      <w:r>
        <w:rPr>
          <w:rFonts w:hint="eastAsia" w:eastAsia="宋体"/>
          <w:color w:val="auto"/>
          <w:lang w:eastAsia="zh-CN"/>
        </w:rPr>
        <w:t xml:space="preserve">。</w:t>
      </w:r>
      <w:r/>
    </w:p>
    <w:p>
      <w:pPr>
        <w:pStyle w:val="1162"/>
        <w:ind w:firstLine="422"/>
        <w:keepLines w:val="0"/>
        <w:keepNext w:val="0"/>
        <w:spacing w:before="0" w:after="0" w:line="360" w:lineRule="auto"/>
        <w:rPr>
          <w:rFonts w:hint="default" w:ascii="宋体" w:hAnsi="宋体" w:eastAsia="宋体" w:cs="宋体"/>
          <w:bCs w:val="0"/>
          <w:color w:val="auto"/>
          <w:highlight w:val="none"/>
          <w:lang w:val="en-US" w:eastAsia="zh-CN"/>
        </w:rPr>
      </w:pPr>
      <w:r>
        <w:rPr>
          <w:rFonts w:hint="eastAsia" w:ascii="宋体" w:hAnsi="宋体" w:eastAsia="宋体" w:cs="宋体"/>
          <w:bCs w:val="0"/>
          <w:color w:val="auto"/>
          <w:highlight w:val="none"/>
          <w:lang w:eastAsia="zh-CN"/>
        </w:rPr>
        <w:t xml:space="preserve">5.招标文件的</w:t>
      </w:r>
      <w:r>
        <w:rPr>
          <w:rFonts w:hint="eastAsia" w:ascii="宋体" w:hAnsi="宋体" w:eastAsia="宋体" w:cs="宋体"/>
          <w:bCs w:val="0"/>
          <w:color w:val="auto"/>
          <w:highlight w:val="none"/>
          <w:lang w:val="en-US" w:eastAsia="zh-CN"/>
        </w:rPr>
        <w:t xml:space="preserve">约束力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993"/>
        <w:ind w:firstLine="452"/>
        <w:keepLines w:val="0"/>
        <w:keepNext w:val="0"/>
        <w:spacing w:before="0" w:after="0" w:line="360" w:lineRule="auto"/>
        <w:rPr>
          <w:rFonts w:ascii="宋体" w:hAnsi="宋体" w:cs="宋体"/>
          <w:color w:val="auto"/>
          <w:sz w:val="30"/>
          <w:szCs w:val="30"/>
          <w:highlight w:val="none"/>
          <w:lang w:eastAsia="zh-CN"/>
        </w:rPr>
      </w:pPr>
      <w:r/>
      <w:bookmarkStart w:id="23" w:name="_Toc513029209"/>
      <w:r/>
      <w:bookmarkStart w:id="24" w:name="_Toc16938525"/>
      <w:r/>
      <w:bookmarkStart w:id="25" w:name="_Toc120614215"/>
      <w:r/>
      <w:bookmarkStart w:id="26" w:name="_Toc20823281"/>
      <w:r>
        <w:rPr>
          <w:rFonts w:hint="eastAsia" w:ascii="宋体" w:hAnsi="宋体" w:cs="宋体"/>
          <w:color w:val="auto"/>
          <w:sz w:val="30"/>
          <w:szCs w:val="30"/>
          <w:highlight w:val="none"/>
          <w:lang w:eastAsia="zh-CN"/>
        </w:rPr>
        <w:t xml:space="preserve">二、招标文件</w:t>
      </w:r>
      <w:bookmarkEnd w:id="23"/>
      <w:r/>
      <w:bookmarkEnd w:id="24"/>
      <w:r/>
      <w:bookmarkEnd w:id="25"/>
      <w:r/>
      <w:bookmarkEnd w:id="26"/>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bookmarkStart w:id="27" w:name="_Toc20823282"/>
      <w:r/>
      <w:bookmarkStart w:id="28" w:name="_Toc513029210"/>
      <w:r/>
      <w:bookmarkStart w:id="29" w:name="_Toc16938526"/>
      <w:r>
        <w:rPr>
          <w:rFonts w:hint="eastAsia" w:ascii="宋体" w:hAnsi="宋体" w:eastAsia="宋体" w:cs="宋体"/>
          <w:bCs w:val="0"/>
          <w:color w:val="auto"/>
          <w:highlight w:val="none"/>
          <w:lang w:eastAsia="zh-CN"/>
        </w:rPr>
        <w:t xml:space="preserve">6.招标文件构成</w:t>
      </w:r>
      <w:bookmarkEnd w:id="27"/>
      <w:r/>
      <w:bookmarkEnd w:id="28"/>
      <w:r/>
      <w:bookmarkEnd w:id="29"/>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bookmarkStart w:id="30" w:name="_Toc513029211"/>
      <w:r/>
      <w:bookmarkStart w:id="31" w:name="_Toc16938527"/>
      <w:r/>
      <w:bookmarkStart w:id="32" w:name="_Toc462564070"/>
      <w:r/>
      <w:bookmarkStart w:id="33" w:name="_Toc20823283"/>
      <w:r>
        <w:rPr>
          <w:rFonts w:hint="eastAsia" w:ascii="宋体" w:hAnsi="宋体" w:eastAsia="宋体" w:cs="宋体"/>
          <w:bCs w:val="0"/>
          <w:color w:val="auto"/>
          <w:highlight w:val="none"/>
          <w:lang w:eastAsia="zh-CN"/>
        </w:rPr>
        <w:t xml:space="preserve">7.招标文件的澄清</w:t>
      </w:r>
      <w:bookmarkEnd w:id="30"/>
      <w:r/>
      <w:bookmarkEnd w:id="31"/>
      <w:r/>
      <w:bookmarkEnd w:id="32"/>
      <w:r/>
      <w:bookmarkEnd w:id="33"/>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bookmarkStart w:id="34" w:name="_Toc462564071"/>
      <w:r/>
      <w:bookmarkStart w:id="35" w:name="_Toc16938528"/>
      <w:r/>
      <w:bookmarkStart w:id="36" w:name="_Toc513029212"/>
      <w:r/>
      <w:bookmarkStart w:id="37" w:name="_Toc20823284"/>
      <w:r>
        <w:rPr>
          <w:rFonts w:hint="eastAsia" w:ascii="宋体" w:hAnsi="宋体" w:eastAsia="宋体" w:cs="宋体"/>
          <w:bCs w:val="0"/>
          <w:color w:val="auto"/>
          <w:highlight w:val="none"/>
          <w:lang w:eastAsia="zh-CN"/>
        </w:rPr>
        <w:t xml:space="preserve">8.招标文件的修改</w:t>
      </w:r>
      <w:bookmarkEnd w:id="34"/>
      <w:r/>
      <w:bookmarkEnd w:id="35"/>
      <w:r/>
      <w:bookmarkEnd w:id="36"/>
      <w:r/>
      <w:bookmarkEnd w:id="37"/>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93"/>
        <w:ind w:firstLine="452"/>
        <w:keepLines w:val="0"/>
        <w:keepNext w:val="0"/>
        <w:spacing w:before="0" w:after="0" w:line="360" w:lineRule="auto"/>
        <w:rPr>
          <w:rFonts w:ascii="宋体" w:hAnsi="宋体" w:cs="宋体"/>
          <w:color w:val="auto"/>
          <w:sz w:val="30"/>
          <w:szCs w:val="30"/>
          <w:highlight w:val="none"/>
          <w:lang w:eastAsia="zh-CN"/>
        </w:rPr>
      </w:pPr>
      <w:r/>
      <w:bookmarkStart w:id="38" w:name="_Toc20823285"/>
      <w:r/>
      <w:bookmarkStart w:id="39" w:name="_Toc16938529"/>
      <w:r/>
      <w:bookmarkStart w:id="40" w:name="_Toc513029213"/>
      <w:r/>
      <w:bookmarkStart w:id="41" w:name="_Toc120614216"/>
      <w:r/>
      <w:bookmarkStart w:id="42" w:name="_Toc462564072"/>
      <w:r>
        <w:rPr>
          <w:rFonts w:hint="eastAsia" w:ascii="宋体" w:hAnsi="宋体" w:cs="宋体"/>
          <w:color w:val="auto"/>
          <w:sz w:val="30"/>
          <w:szCs w:val="30"/>
          <w:highlight w:val="none"/>
          <w:lang w:eastAsia="zh-CN"/>
        </w:rPr>
        <w:t xml:space="preserve">三、投标文件的编制</w:t>
      </w:r>
      <w:bookmarkEnd w:id="38"/>
      <w:r/>
      <w:bookmarkEnd w:id="39"/>
      <w:r/>
      <w:bookmarkEnd w:id="40"/>
      <w:r/>
      <w:bookmarkEnd w:id="41"/>
      <w:r/>
      <w:bookmarkEnd w:id="42"/>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bookmarkStart w:id="43" w:name="_Toc16938530"/>
      <w:r/>
      <w:bookmarkStart w:id="44" w:name="_Toc513029214"/>
      <w:r/>
      <w:bookmarkStart w:id="45" w:name="_Toc20823286"/>
      <w:r/>
      <w:bookmarkStart w:id="46" w:name="_Toc462564073"/>
      <w:r>
        <w:rPr>
          <w:rFonts w:hint="eastAsia" w:ascii="宋体" w:hAnsi="宋体" w:eastAsia="宋体" w:cs="宋体"/>
          <w:bCs w:val="0"/>
          <w:color w:val="auto"/>
          <w:highlight w:val="none"/>
          <w:lang w:eastAsia="zh-CN"/>
        </w:rPr>
        <w:t xml:space="preserve">9.投标文件的语言及度量衡单位</w:t>
      </w:r>
      <w:bookmarkEnd w:id="43"/>
      <w:r/>
      <w:bookmarkEnd w:id="44"/>
      <w:r/>
      <w:bookmarkEnd w:id="45"/>
      <w:r/>
      <w:bookmarkEnd w:id="46"/>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bookmarkStart w:id="47" w:name="_Toc16938531"/>
      <w:r/>
      <w:bookmarkStart w:id="48" w:name="_Toc20823287"/>
      <w:r/>
      <w:bookmarkStart w:id="49" w:name="_Toc462564074"/>
      <w:r/>
      <w:bookmarkStart w:id="50" w:name="_Toc513029215"/>
      <w:r>
        <w:rPr>
          <w:rFonts w:hint="eastAsia" w:ascii="宋体" w:hAnsi="宋体" w:eastAsia="宋体" w:cs="宋体"/>
          <w:bCs w:val="0"/>
          <w:color w:val="auto"/>
          <w:highlight w:val="none"/>
          <w:lang w:eastAsia="zh-CN"/>
        </w:rPr>
        <w:t xml:space="preserve">10.投标文件构成</w:t>
      </w:r>
      <w:bookmarkEnd w:id="47"/>
      <w:r/>
      <w:bookmarkEnd w:id="48"/>
      <w:r/>
      <w:bookmarkEnd w:id="49"/>
      <w:r/>
      <w:bookmarkEnd w:id="50"/>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rPr>
        <w:t xml:space="preserve">10.1</w:t>
      </w:r>
      <w:r>
        <w:rPr>
          <w:rFonts w:hint="eastAsia" w:ascii="宋体" w:hAnsi="宋体" w:eastAsia="宋体" w:cs="宋体"/>
          <w:b/>
          <w:bCs/>
          <w:color w:val="000000" w:themeColor="text1"/>
          <w:sz w:val="24"/>
          <w:highlight w:val="none"/>
          <w14:textFill>
            <w14:solidFill>
              <w14:schemeClr w14:val="tx1"/>
            </w14:solidFill>
          </w14:textFill>
        </w:rPr>
        <w:t xml:space="preserve">投标文件包括：明标、暗标。明标部分为证明文件、投标函、报价部分，暗标为技术文件部分。（相应内容上传至投标客户端）</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1162"/>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明标部分：</w:t>
      </w:r>
      <w:r/>
    </w:p>
    <w:p>
      <w:pPr>
        <w:pStyle w:val="1162"/>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1.证明文件部分：</w:t>
      </w:r>
      <w:r/>
    </w:p>
    <w:p>
      <w:pPr>
        <w:pStyle w:val="1162"/>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第一部分：资格、资信证明文件</w:t>
      </w:r>
      <w:r/>
    </w:p>
    <w:p>
      <w:pPr>
        <w:pStyle w:val="1162"/>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第二部分：补充证明文件</w:t>
      </w:r>
      <w:r/>
    </w:p>
    <w:p>
      <w:pPr>
        <w:pStyle w:val="1162"/>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（1）投标偏离表（格式见附件）；</w:t>
      </w:r>
      <w:r/>
    </w:p>
    <w:p>
      <w:pPr>
        <w:pStyle w:val="1162"/>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（2）其他投标人认为有必要提供的证明资料（参考评分标准）。</w:t>
      </w:r>
      <w:r/>
    </w:p>
    <w:p>
      <w:pPr>
        <w:pStyle w:val="1162"/>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2．投标函部分（格式见附件）：</w:t>
      </w:r>
      <w:r/>
    </w:p>
    <w:p>
      <w:pPr>
        <w:pStyle w:val="1162"/>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（1）投标函；</w:t>
      </w:r>
      <w:r/>
    </w:p>
    <w:p>
      <w:pPr>
        <w:pStyle w:val="1162"/>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（2）投标函附录（开标一览表）；</w:t>
      </w:r>
      <w:r/>
    </w:p>
    <w:p>
      <w:pPr>
        <w:pStyle w:val="1162"/>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3.报价部分（格式见附件）：</w:t>
      </w:r>
      <w:r/>
    </w:p>
    <w:p>
      <w:pPr>
        <w:pStyle w:val="1162"/>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（1）分项报价表；</w:t>
      </w:r>
      <w:r/>
    </w:p>
    <w:p>
      <w:pPr>
        <w:pStyle w:val="1162"/>
        <w:ind w:firstLine="422"/>
        <w:keepLines w:val="0"/>
        <w:keepNext w:val="0"/>
        <w:spacing w:before="0" w:after="0"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（2）细目报价表；</w:t>
      </w:r>
      <w:r/>
    </w:p>
    <w:p>
      <w:pPr>
        <w:ind w:firstLine="480"/>
        <w:spacing w:line="360" w:lineRule="auto"/>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4.技术文件（暗标，内容参照评标办法）</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w:t>
      </w:r>
      <w:r>
        <w:rPr>
          <w:rFonts w:hint="eastAsia" w:ascii="宋体" w:hAnsi="宋体" w:eastAsia="宋体" w:cs="宋体"/>
          <w:b/>
          <w:bCs/>
          <w:color w:val="auto"/>
          <w:sz w:val="24"/>
          <w:highlight w:val="none"/>
        </w:rPr>
        <w:t xml:space="preserve">第六章《投标文件内容与格式》</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pStyle w:val="1162"/>
        <w:ind w:firstLine="422"/>
        <w:keepLines w:val="0"/>
        <w:keepNext w:val="0"/>
        <w:spacing w:before="0" w:after="0" w:line="360" w:lineRule="auto"/>
        <w:rPr>
          <w:rFonts w:hint="default" w:ascii="宋体" w:hAnsi="宋体" w:eastAsia="宋体" w:cs="宋体"/>
          <w:bCs w:val="0"/>
          <w:color w:val="000000" w:themeColor="text1"/>
          <w:highlight w:val="none"/>
          <w:lang w:val="en-US" w:eastAsia="zh-CN"/>
          <w14:textFill>
            <w14:solidFill>
              <w14:schemeClr w14:val="tx1"/>
            </w14:solidFill>
          </w14:textFill>
        </w:rPr>
      </w:pPr>
      <w:r/>
      <w:bookmarkStart w:id="51" w:name="_Hlt26670360"/>
      <w:r/>
      <w:bookmarkEnd w:id="51"/>
      <w:r/>
      <w:bookmarkStart w:id="52" w:name="_Hlt26668975"/>
      <w:r/>
      <w:bookmarkEnd w:id="52"/>
      <w:r/>
      <w:bookmarkStart w:id="53" w:name="_Hlt26954838"/>
      <w:r/>
      <w:bookmarkEnd w:id="53"/>
      <w:r/>
      <w:bookmarkStart w:id="54" w:name="_Toc49090509"/>
      <w:r/>
      <w:bookmarkStart w:id="55" w:name="_Toc49090507"/>
      <w:r/>
      <w:bookmarkStart w:id="56" w:name="_Toc513029216"/>
      <w:r/>
      <w:bookmarkStart w:id="57" w:name="_Toc14577357"/>
      <w:r/>
      <w:bookmarkStart w:id="58" w:name="_Toc513029219"/>
      <w:r/>
      <w:bookmarkStart w:id="59" w:name="_Toc14577354"/>
      <w:r>
        <w:rPr>
          <w:rFonts w:hint="eastAsia" w:ascii="宋体" w:hAnsi="宋体" w:eastAsia="宋体" w:cs="宋体"/>
          <w:bCs w:val="0"/>
          <w:color w:val="000000" w:themeColor="text1"/>
          <w:highlight w:val="none"/>
          <w:lang w:eastAsia="zh-CN"/>
          <w14:textFill>
            <w14:solidFill>
              <w14:schemeClr w14:val="tx1"/>
            </w14:solidFill>
          </w14:textFill>
        </w:rPr>
        <w:t xml:space="preserve">11.证明文件</w:t>
      </w:r>
      <w:bookmarkEnd w:id="54"/>
      <w:r/>
      <w:bookmarkEnd w:id="55"/>
      <w:r/>
      <w:bookmarkEnd w:id="56"/>
      <w:r/>
      <w:bookmarkEnd w:id="57"/>
      <w:r/>
      <w:bookmarkEnd w:id="58"/>
      <w:r/>
      <w:bookmarkEnd w:id="59"/>
      <w:r>
        <w:rPr>
          <w:rFonts w:hint="eastAsia" w:ascii="宋体" w:hAnsi="宋体" w:eastAsia="宋体" w:cs="宋体"/>
          <w:bCs w:val="0"/>
          <w:color w:val="000000" w:themeColor="text1"/>
          <w:highlight w:val="none"/>
          <w:lang w:val="en-US" w:eastAsia="zh-CN"/>
          <w14:textFill>
            <w14:solidFill>
              <w14:schemeClr w14:val="tx1"/>
            </w14:solidFill>
          </w14:textFill>
        </w:rPr>
        <w:t xml:space="preserve">部分</w:t>
      </w:r>
      <w:r/>
    </w:p>
    <w:p>
      <w:pPr>
        <w:ind w:firstLine="480"/>
        <w:spacing w:line="360" w:lineRule="auto"/>
        <w:rPr>
          <w:rFonts w:ascii="宋体" w:hAnsi="宋体" w:eastAsia="宋体" w:cs="宋体"/>
          <w:bCs/>
          <w:color w:val="000000" w:themeColor="text1"/>
          <w:sz w:val="24"/>
          <w:highlight w:val="none"/>
          <w14:textFill>
            <w14:solidFill>
              <w14:schemeClr w14:val="tx1"/>
            </w14:solidFill>
          </w14:textFill>
        </w:rPr>
      </w:pPr>
      <w:r/>
      <w:bookmarkStart w:id="60" w:name="_Toc14577355"/>
      <w:r/>
      <w:bookmarkStart w:id="61" w:name="_Toc49090508"/>
      <w:r>
        <w:rPr>
          <w:rFonts w:hint="eastAsia" w:ascii="宋体" w:hAnsi="宋体" w:eastAsia="宋体" w:cs="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11.1投标人应按照法律法规、规章和规范性文件以及招标文件要求提交证明文件，证明其投标标的符合招标文件的规定。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ind w:firstLine="480"/>
        <w:spacing w:line="360" w:lineRule="auto"/>
        <w:tabs>
          <w:tab w:val="left" w:pos="1035" w:leader="none"/>
        </w:tabs>
        <w:rPr>
          <w:rFonts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1162"/>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bookmarkStart w:id="62" w:name="_Toc49090510"/>
      <w:r/>
      <w:bookmarkStart w:id="63" w:name="_Toc14577359"/>
      <w:r>
        <w:rPr>
          <w:rFonts w:hint="eastAsia" w:ascii="宋体" w:hAnsi="宋体" w:eastAsia="宋体" w:cs="宋体"/>
          <w:bCs w:val="0"/>
          <w:color w:val="000000" w:themeColor="text1"/>
          <w:highlight w:val="none"/>
          <w:lang w:eastAsia="zh-CN"/>
          <w14:textFill>
            <w14:solidFill>
              <w14:schemeClr w14:val="tx1"/>
            </w14:solidFill>
          </w14:textFill>
        </w:rPr>
        <w:t xml:space="preserve">12.投标函</w:t>
      </w:r>
      <w:r>
        <w:rPr>
          <w:rFonts w:hint="eastAsia" w:ascii="宋体" w:hAnsi="宋体" w:eastAsia="宋体" w:cs="宋体"/>
          <w:bCs w:val="0"/>
          <w:color w:val="000000" w:themeColor="text1"/>
          <w:highlight w:val="none"/>
          <w:lang w:val="en-US" w:eastAsia="zh-CN"/>
          <w14:textFill>
            <w14:solidFill>
              <w14:schemeClr w14:val="tx1"/>
            </w14:solidFill>
          </w14:textFill>
        </w:rPr>
        <w:t xml:space="preserve">部分（格式见附件）</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12.1</w:t>
      </w:r>
      <w:r>
        <w:rPr>
          <w:rFonts w:hint="eastAsia" w:ascii="宋体" w:hAnsi="宋体" w:eastAsia="宋体" w:cs="宋体"/>
          <w:color w:val="000000" w:themeColor="text1"/>
          <w:sz w:val="24"/>
          <w:highlight w:val="none"/>
          <w14:textFill>
            <w14:solidFill>
              <w14:schemeClr w14:val="tx1"/>
            </w14:solidFill>
          </w14:textFill>
        </w:rPr>
        <w:t xml:space="preserve">投标人应按照招标文件中提供的格式完整、正确填写投标函、承诺书和开标一览表。</w:t>
      </w:r>
      <w:r/>
    </w:p>
    <w:p>
      <w:pPr>
        <w:ind w:firstLine="480"/>
        <w:spacing w:line="360" w:lineRule="auto"/>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12.2对于采用货币报价的项目，开标一览表中的投标总报价应与分项报价表的总额一致，如不一致，不作为无效投标处理，但评标时按开标一览表中的价格为准。</w:t>
      </w:r>
      <w:bookmarkEnd w:id="62"/>
      <w:r/>
      <w:bookmarkEnd w:id="63"/>
      <w:r/>
      <w:r/>
    </w:p>
    <w:p>
      <w:pPr>
        <w:pStyle w:val="1162"/>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13.</w:t>
      </w:r>
      <w:bookmarkEnd w:id="60"/>
      <w:r/>
      <w:bookmarkEnd w:id="61"/>
      <w:r>
        <w:rPr>
          <w:rFonts w:hint="eastAsia" w:ascii="宋体" w:hAnsi="宋体" w:eastAsia="宋体" w:cs="宋体"/>
          <w:bCs w:val="0"/>
          <w:color w:val="000000" w:themeColor="text1"/>
          <w:highlight w:val="none"/>
          <w:lang w:val="en-US" w:eastAsia="zh-CN"/>
          <w14:textFill>
            <w14:solidFill>
              <w14:schemeClr w14:val="tx1"/>
            </w14:solidFill>
          </w14:textFill>
        </w:rPr>
        <w:t xml:space="preserve">报价部分（格式见附件）</w:t>
      </w:r>
      <w:r/>
    </w:p>
    <w:p>
      <w:pPr>
        <w:ind w:firstLine="480"/>
        <w:spacing w:line="360" w:lineRule="auto"/>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13.1</w:t>
      </w:r>
      <w:r>
        <w:rPr>
          <w:rFonts w:hint="eastAsia" w:ascii="宋体" w:hAnsi="宋体" w:eastAsia="宋体" w:cs="宋体"/>
          <w:color w:val="000000" w:themeColor="text1"/>
          <w:sz w:val="24"/>
          <w:highlight w:val="none"/>
          <w14:textFill>
            <w14:solidFill>
              <w14:schemeClr w14:val="tx1"/>
            </w14:solidFill>
          </w14:textFill>
        </w:rPr>
        <w:t xml:space="preserve">投</w:t>
      </w:r>
      <w:bookmarkStart w:id="64" w:name="_Hlt26954840"/>
      <w:r/>
      <w:bookmarkEnd w:id="64"/>
      <w:r>
        <w:rPr>
          <w:rFonts w:hint="eastAsia" w:ascii="宋体" w:hAnsi="宋体" w:eastAsia="宋体" w:cs="宋体"/>
          <w:color w:val="000000" w:themeColor="text1"/>
          <w:sz w:val="24"/>
          <w:highlight w:val="none"/>
          <w14:textFill>
            <w14:solidFill>
              <w14:schemeClr w14:val="tx1"/>
            </w14:solidFill>
          </w14:textFill>
        </w:rPr>
        <w:t xml:space="preserve">标人应按照招标文件规定格式填报</w:t>
      </w:r>
      <w:bookmarkStart w:id="65" w:name="_Hlt26670399"/>
      <w:r/>
      <w:bookmarkEnd w:id="65"/>
      <w:r>
        <w:rPr>
          <w:rFonts w:hint="eastAsia" w:ascii="宋体" w:hAnsi="宋体" w:eastAsia="宋体" w:cs="宋体"/>
          <w:color w:val="000000" w:themeColor="text1"/>
          <w:sz w:val="24"/>
          <w:highlight w:val="none"/>
          <w14:textFill>
            <w14:solidFill>
              <w14:schemeClr w14:val="tx1"/>
            </w14:solidFill>
          </w14:textFill>
        </w:rPr>
        <w:t xml:space="preserve">报价表。</w:t>
      </w:r>
      <w:r/>
    </w:p>
    <w:p>
      <w:pPr>
        <w:ind w:firstLine="480"/>
        <w:spacing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w:t>
      </w:r>
      <w:r>
        <w:rPr>
          <w:rFonts w:hint="eastAsia" w:ascii="宋体" w:hAnsi="宋体" w:eastAsia="宋体" w:cs="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eastAsia="宋体" w:cs="宋体"/>
          <w:color w:val="000000" w:themeColor="text1"/>
          <w:sz w:val="24"/>
          <w:highlight w:val="none"/>
          <w14:textFill>
            <w14:solidFill>
              <w14:schemeClr w14:val="tx1"/>
            </w14:solidFill>
          </w14:textFill>
        </w:rPr>
        <w:t xml:space="preserve">招标文件中另有规定的按规定执行。</w:t>
      </w:r>
      <w:bookmarkStart w:id="66" w:name="_Hlt26954846"/>
      <w:r/>
      <w:bookmarkEnd w:id="66"/>
      <w:r/>
      <w:bookmarkStart w:id="67" w:name="_Hlt26954842"/>
      <w:r/>
      <w:bookmarkEnd w:id="67"/>
      <w:r/>
      <w:bookmarkStart w:id="68" w:name="_Hlt26670482"/>
      <w:r/>
      <w:bookmarkEnd w:id="68"/>
      <w:r/>
      <w:bookmarkStart w:id="69" w:name="_Hlt26954731"/>
      <w:r/>
      <w:bookmarkEnd w:id="69"/>
      <w:r/>
      <w:bookmarkStart w:id="70" w:name="_Hlt26954848"/>
      <w:r/>
      <w:bookmarkEnd w:id="70"/>
      <w:r/>
      <w:bookmarkStart w:id="71" w:name="_Hlt26668983"/>
      <w:r/>
      <w:bookmarkEnd w:id="71"/>
      <w:r/>
      <w:bookmarkStart w:id="72" w:name="_Hlt26670403"/>
      <w:r/>
      <w:bookmarkEnd w:id="72"/>
      <w:r/>
      <w:bookmarkStart w:id="73" w:name="_Hlt26670486"/>
      <w:r/>
      <w:bookmarkEnd w:id="73"/>
      <w:r/>
      <w:bookmarkStart w:id="74" w:name="_Hlt26954844"/>
      <w:r/>
      <w:bookmarkEnd w:id="74"/>
      <w:r/>
      <w:bookmarkStart w:id="75" w:name="_Hlt26670425"/>
      <w:r/>
      <w:bookmarkEnd w:id="75"/>
      <w:r/>
      <w:r/>
    </w:p>
    <w:p>
      <w:pPr>
        <w:pStyle w:val="1162"/>
        <w:ind w:firstLine="422"/>
        <w:keepLines w:val="0"/>
        <w:keepNext w:val="0"/>
        <w:spacing w:before="0" w:after="0" w:line="360" w:lineRule="auto"/>
        <w:rPr>
          <w:rFonts w:hint="default" w:ascii="宋体" w:hAnsi="宋体" w:eastAsia="宋体" w:cs="宋体"/>
          <w:b/>
          <w:bCs w:val="0"/>
          <w:color w:val="000000" w:themeColor="text1"/>
          <w:highlight w:val="none"/>
          <w:lang w:val="en-US" w:eastAsia="zh-CN"/>
          <w14:textFill>
            <w14:solidFill>
              <w14:schemeClr w14:val="tx1"/>
            </w14:solidFill>
          </w14:textFill>
        </w:rPr>
      </w:pPr>
      <w:r/>
      <w:bookmarkStart w:id="76" w:name="_Hlt26954850"/>
      <w:r/>
      <w:bookmarkEnd w:id="76"/>
      <w:r/>
      <w:bookmarkStart w:id="77" w:name="_Hlt26954734"/>
      <w:r/>
      <w:bookmarkEnd w:id="77"/>
      <w:r/>
      <w:bookmarkStart w:id="78" w:name="_Hlt26670489"/>
      <w:r/>
      <w:bookmarkEnd w:id="78"/>
      <w:r/>
      <w:bookmarkStart w:id="79" w:name="_Toc14577360"/>
      <w:r/>
      <w:bookmarkStart w:id="80" w:name="_Toc49090511"/>
      <w:r>
        <w:rPr>
          <w:rFonts w:hint="eastAsia" w:ascii="宋体" w:hAnsi="宋体" w:eastAsia="宋体" w:cs="宋体"/>
          <w:b/>
          <w:bCs w:val="0"/>
          <w:color w:val="000000" w:themeColor="text1"/>
          <w:highlight w:val="none"/>
          <w:lang w:eastAsia="zh-CN"/>
          <w14:textFill>
            <w14:solidFill>
              <w14:schemeClr w14:val="tx1"/>
            </w14:solidFill>
          </w14:textFill>
        </w:rPr>
        <w:t xml:space="preserve">1</w:t>
      </w:r>
      <w:r>
        <w:rPr>
          <w:rFonts w:hint="eastAsia" w:ascii="宋体" w:hAnsi="宋体" w:eastAsia="宋体" w:cs="宋体"/>
          <w:b/>
          <w:bCs w:val="0"/>
          <w:color w:val="000000" w:themeColor="text1"/>
          <w:highlight w:val="none"/>
          <w:lang w:val="en-US" w:eastAsia="zh-CN"/>
          <w14:textFill>
            <w14:solidFill>
              <w14:schemeClr w14:val="tx1"/>
            </w14:solidFill>
          </w14:textFill>
        </w:rPr>
        <w:t xml:space="preserve">4</w:t>
      </w:r>
      <w:r>
        <w:rPr>
          <w:rFonts w:hint="eastAsia" w:ascii="宋体" w:hAnsi="宋体" w:eastAsia="宋体" w:cs="宋体"/>
          <w:b/>
          <w:bCs w:val="0"/>
          <w:color w:val="000000" w:themeColor="text1"/>
          <w:highlight w:val="none"/>
          <w:lang w:eastAsia="zh-CN"/>
          <w14:textFill>
            <w14:solidFill>
              <w14:schemeClr w14:val="tx1"/>
            </w14:solidFill>
          </w14:textFill>
        </w:rPr>
        <w:t xml:space="preserve">.</w:t>
      </w:r>
      <w:bookmarkEnd w:id="79"/>
      <w:r/>
      <w:bookmarkEnd w:id="80"/>
      <w:r>
        <w:rPr>
          <w:rFonts w:hint="eastAsia" w:ascii="宋体" w:hAnsi="宋体" w:eastAsia="宋体" w:cs="宋体"/>
          <w:b/>
          <w:bCs w:val="0"/>
          <w:color w:val="000000" w:themeColor="text1"/>
          <w:highlight w:val="none"/>
          <w:lang w:val="en-US" w:eastAsia="zh-CN"/>
          <w14:textFill>
            <w14:solidFill>
              <w14:schemeClr w14:val="tx1"/>
            </w14:solidFill>
          </w14:textFill>
        </w:rPr>
        <w:t xml:space="preserve">技术文件部分（暗标，内容参照评标办法）</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14.1 排版要求：A4版面，黑色、四号宋体字，如有必要，可配以图片、表格辅助说明（图片内字体、色彩不作要求，表格中字体为宋体，字号不作限制），暗标文件中均不得体现投标人身份。技术部分无须设置页码，不得设置页眉页脚。</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不得有体现投标人身份的内容是指：</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①技术部分不得出现能够体现投标人身份、名称的相关描述、材料、文件等内容；</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②技术部分不得更改，不得在其中涂改、标注或做任何可以辨认投标人及所属人员身份的名称、印章、商标等标记；</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③技术部分应当版面整洁、字迹清楚、不许批注或进行水印等特殊设置，不得采用任何不符合常规、有别于其他投标人的特殊做法。文本部分不得出现底纹、阴影等标记；</w:t>
      </w:r>
      <w:r/>
    </w:p>
    <w:p>
      <w:pPr>
        <w:ind w:firstLine="48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④不得有其他体现投标人身份的内容。</w:t>
      </w:r>
      <w:r/>
    </w:p>
    <w:p>
      <w:pPr>
        <w:ind w:firstLine="480"/>
        <w:spacing w:line="360" w:lineRule="auto"/>
        <w:rPr>
          <w:rFonts w:hint="eastAsia" w:ascii="宋体" w:hAnsi="宋体" w:eastAsia="宋体" w:cs="宋体"/>
          <w:bCs/>
          <w:color w:val="000000" w:themeColor="text1"/>
          <w:sz w:val="24"/>
          <w:highlight w:val="none"/>
          <w:u w:val="single"/>
          <w:lang w:val="en-US" w:eastAsia="zh-CN"/>
          <w14:textFill>
            <w14:solidFill>
              <w14:schemeClr w14:val="tx1"/>
            </w14:solidFill>
          </w14:textFill>
        </w:rPr>
      </w:pPr>
      <w:r>
        <w:rPr>
          <w:rFonts w:hint="eastAsia" w:ascii="宋体" w:hAnsi="宋体" w:eastAsia="宋体" w:cs="宋体"/>
          <w:b/>
          <w:bCs w:val="0"/>
          <w:color w:val="000000" w:themeColor="text1"/>
          <w:sz w:val="24"/>
          <w:highlight w:val="none"/>
          <w:u w:val="single"/>
          <w:lang w:val="en-US" w:eastAsia="zh-CN"/>
          <w14:textFill>
            <w14:solidFill>
              <w14:schemeClr w14:val="tx1"/>
            </w14:solidFill>
          </w14:textFill>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w:t>
      </w:r>
      <w:r>
        <w:rPr>
          <w:rFonts w:hint="eastAsia" w:ascii="宋体" w:hAnsi="宋体" w:eastAsia="宋体" w:cs="宋体"/>
          <w:bCs w:val="0"/>
          <w:color w:val="auto"/>
          <w:highlight w:val="none"/>
          <w:lang w:val="en-US" w:eastAsia="zh-CN"/>
        </w:rPr>
        <w:t xml:space="preserve">5</w:t>
      </w:r>
      <w:r>
        <w:rPr>
          <w:rFonts w:hint="eastAsia" w:ascii="宋体" w:hAnsi="宋体" w:eastAsia="宋体" w:cs="宋体"/>
          <w:bCs w:val="0"/>
          <w:color w:val="auto"/>
          <w:highlight w:val="none"/>
          <w:lang w:eastAsia="zh-CN"/>
        </w:rPr>
        <w:t xml:space="preserve">.投标有效期</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w:t>
      </w:r>
      <w:r>
        <w:rPr>
          <w:rFonts w:hint="eastAsia" w:ascii="宋体" w:hAnsi="宋体" w:eastAsia="宋体" w:cs="宋体"/>
          <w:bCs w:val="0"/>
          <w:color w:val="auto"/>
          <w:highlight w:val="none"/>
          <w:lang w:val="en-US" w:eastAsia="zh-CN"/>
        </w:rPr>
        <w:t xml:space="preserve">6</w:t>
      </w:r>
      <w:r>
        <w:rPr>
          <w:rFonts w:hint="eastAsia" w:ascii="宋体" w:hAnsi="宋体" w:eastAsia="宋体" w:cs="宋体"/>
          <w:bCs w:val="0"/>
          <w:color w:val="auto"/>
          <w:highlight w:val="none"/>
          <w:lang w:eastAsia="zh-CN"/>
        </w:rPr>
        <w:t xml:space="preserve">.投标有效期的延长</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16.</w:t>
      </w:r>
      <w:r>
        <w:rPr>
          <w:rFonts w:hint="eastAsia" w:ascii="宋体" w:hAnsi="宋体" w:eastAsia="宋体" w:cs="宋体"/>
          <w:color w:val="auto"/>
          <w:sz w:val="24"/>
          <w:highlight w:val="none"/>
          <w:lang w:val="en-US" w:eastAsia="zh-CN"/>
        </w:rPr>
        <w:t xml:space="preserve">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993"/>
        <w:ind w:firstLine="452"/>
        <w:keepLines w:val="0"/>
        <w:keepNext w:val="0"/>
        <w:spacing w:before="0" w:after="0" w:line="360" w:lineRule="auto"/>
        <w:rPr>
          <w:rFonts w:ascii="宋体" w:hAnsi="宋体" w:cs="宋体"/>
          <w:color w:val="auto"/>
          <w:sz w:val="30"/>
          <w:szCs w:val="30"/>
          <w:highlight w:val="none"/>
          <w:lang w:eastAsia="zh-CN"/>
        </w:rPr>
      </w:pPr>
      <w:r/>
      <w:bookmarkStart w:id="81" w:name="_Hlt26954852"/>
      <w:r/>
      <w:bookmarkEnd w:id="81"/>
      <w:r/>
      <w:bookmarkStart w:id="82" w:name="_Hlt26954739"/>
      <w:r/>
      <w:bookmarkEnd w:id="82"/>
      <w:r/>
      <w:bookmarkStart w:id="83" w:name="_Toc120614217"/>
      <w:r/>
      <w:bookmarkStart w:id="84" w:name="_Toc20823296"/>
      <w:r/>
      <w:bookmarkStart w:id="85" w:name="_Toc513029224"/>
      <w:r/>
      <w:bookmarkStart w:id="86" w:name="_Toc16938540"/>
      <w:r>
        <w:rPr>
          <w:rFonts w:hint="eastAsia" w:ascii="宋体" w:hAnsi="宋体" w:cs="宋体"/>
          <w:color w:val="auto"/>
          <w:sz w:val="30"/>
          <w:szCs w:val="30"/>
          <w:highlight w:val="none"/>
          <w:lang w:eastAsia="zh-CN"/>
        </w:rPr>
        <w:t xml:space="preserve">四、投标文件的递交</w:t>
      </w:r>
      <w:bookmarkEnd w:id="83"/>
      <w:r/>
      <w:bookmarkEnd w:id="84"/>
      <w:r/>
      <w:bookmarkEnd w:id="85"/>
      <w:r/>
      <w:bookmarkEnd w:id="86"/>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bookmarkStart w:id="87" w:name="_Toc20823297"/>
      <w:r/>
      <w:bookmarkStart w:id="88" w:name="_Toc462564084"/>
      <w:r/>
      <w:bookmarkStart w:id="89" w:name="_Toc513029225"/>
      <w:r/>
      <w:bookmarkStart w:id="90" w:name="_Toc16938541"/>
      <w:r>
        <w:rPr>
          <w:rFonts w:hint="eastAsia" w:ascii="宋体" w:hAnsi="宋体" w:eastAsia="宋体" w:cs="宋体"/>
          <w:bCs w:val="0"/>
          <w:color w:val="auto"/>
          <w:highlight w:val="none"/>
          <w:lang w:eastAsia="zh-CN"/>
        </w:rPr>
        <w:t xml:space="preserve">17.投标文件</w:t>
      </w:r>
      <w:bookmarkEnd w:id="87"/>
      <w:r/>
      <w:bookmarkEnd w:id="88"/>
      <w:r/>
      <w:bookmarkEnd w:id="89"/>
      <w:r/>
      <w:bookmarkEnd w:id="90"/>
      <w:r>
        <w:rPr>
          <w:rFonts w:hint="eastAsia" w:ascii="宋体" w:hAnsi="宋体" w:eastAsia="宋体" w:cs="宋体"/>
          <w:bCs w:val="0"/>
          <w:color w:val="auto"/>
          <w:highlight w:val="none"/>
          <w:lang w:eastAsia="zh-CN"/>
        </w:rPr>
        <w:t xml:space="preserve">的递交</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1247"/>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投标人应当按照《操作手册》的规定，在投标截止时间前制作并上传电子投标文件。</w:t>
      </w:r>
      <w:bookmarkStart w:id="91" w:name="_Toc513029226"/>
      <w:r/>
      <w:bookmarkStart w:id="92" w:name="_Toc20823298"/>
      <w:r/>
      <w:bookmarkStart w:id="93" w:name="_Toc16938542"/>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18.投标截止</w:t>
      </w:r>
      <w:bookmarkEnd w:id="91"/>
      <w:r/>
      <w:bookmarkEnd w:id="92"/>
      <w:r/>
      <w:bookmarkEnd w:id="93"/>
      <w:r>
        <w:rPr>
          <w:rFonts w:hint="eastAsia" w:ascii="宋体" w:hAnsi="宋体" w:eastAsia="宋体" w:cs="宋体"/>
          <w:bCs w:val="0"/>
          <w:color w:val="auto"/>
          <w:highlight w:val="none"/>
          <w:lang w:eastAsia="zh-CN"/>
        </w:rPr>
        <w:t xml:space="preserve">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eastAsia="宋体" w:cs="宋体"/>
          <w:bCs/>
          <w:color w:val="auto"/>
          <w:sz w:val="24"/>
          <w:highlight w:val="none"/>
          <w:lang w:eastAsia="zh-CN"/>
        </w:rPr>
        <w:t xml:space="preserve">作</w:t>
      </w:r>
      <w:r>
        <w:rPr>
          <w:rFonts w:hint="eastAsia" w:ascii="宋体" w:hAnsi="宋体" w:eastAsia="宋体" w:cs="宋体"/>
          <w:bCs/>
          <w:color w:val="auto"/>
          <w:sz w:val="24"/>
          <w:highlight w:val="none"/>
        </w:rPr>
        <w:t xml:space="preserve">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bookmarkStart w:id="94" w:name="_Toc20823299"/>
      <w:r/>
      <w:bookmarkStart w:id="95" w:name="_Toc16938543"/>
      <w:r/>
      <w:bookmarkStart w:id="96" w:name="_Toc513029227"/>
      <w:r>
        <w:rPr>
          <w:rFonts w:hint="eastAsia" w:ascii="宋体" w:hAnsi="宋体" w:eastAsia="宋体" w:cs="宋体"/>
          <w:bCs w:val="0"/>
          <w:color w:val="auto"/>
          <w:highlight w:val="none"/>
          <w:lang w:eastAsia="zh-CN"/>
        </w:rPr>
        <w:t xml:space="preserve">19.投标文件</w:t>
      </w:r>
      <w:bookmarkEnd w:id="94"/>
      <w:r/>
      <w:bookmarkEnd w:id="95"/>
      <w:r/>
      <w:bookmarkEnd w:id="96"/>
      <w:r>
        <w:rPr>
          <w:rFonts w:hint="eastAsia" w:ascii="宋体" w:hAnsi="宋体" w:eastAsia="宋体" w:cs="宋体"/>
          <w:bCs w:val="0"/>
          <w:color w:val="auto"/>
          <w:highlight w:val="none"/>
          <w:lang w:eastAsia="zh-CN"/>
        </w:rPr>
        <w:t xml:space="preserve">的拒收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bookmarkStart w:id="97" w:name="_Toc16938544"/>
      <w:r/>
      <w:bookmarkStart w:id="98" w:name="_Toc513029228"/>
      <w:r/>
      <w:bookmarkStart w:id="99" w:name="_Toc20823300"/>
      <w:r>
        <w:rPr>
          <w:rFonts w:hint="eastAsia" w:ascii="宋体" w:hAnsi="宋体" w:eastAsia="宋体" w:cs="宋体"/>
          <w:bCs w:val="0"/>
          <w:color w:val="auto"/>
          <w:highlight w:val="none"/>
          <w:lang w:eastAsia="zh-CN"/>
        </w:rPr>
        <w:t xml:space="preserve">20.投标文件的撤回和修改</w:t>
      </w:r>
      <w:bookmarkEnd w:id="97"/>
      <w:r/>
      <w:bookmarkEnd w:id="98"/>
      <w:r/>
      <w:bookmarkEnd w:id="99"/>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20.1.2投标人撤回电子投标文件，则认为其不再参与本项目投标活动。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993"/>
        <w:ind w:firstLine="452"/>
        <w:keepLines w:val="0"/>
        <w:keepNext w:val="0"/>
        <w:spacing w:before="0" w:after="0" w:line="360" w:lineRule="auto"/>
        <w:rPr>
          <w:rFonts w:ascii="宋体" w:hAnsi="宋体" w:cs="宋体"/>
          <w:color w:val="auto"/>
          <w:sz w:val="30"/>
          <w:szCs w:val="30"/>
          <w:highlight w:val="none"/>
          <w:lang w:eastAsia="zh-CN"/>
        </w:rPr>
      </w:pPr>
      <w:r/>
      <w:bookmarkStart w:id="100" w:name="_Toc513029229"/>
      <w:r/>
      <w:bookmarkStart w:id="101" w:name="_Toc120614218"/>
      <w:r/>
      <w:bookmarkStart w:id="102" w:name="_Toc16938545"/>
      <w:r/>
      <w:bookmarkStart w:id="103" w:name="_Toc20823301"/>
      <w:r>
        <w:rPr>
          <w:rFonts w:hint="eastAsia" w:ascii="宋体" w:hAnsi="宋体" w:cs="宋体"/>
          <w:color w:val="auto"/>
          <w:sz w:val="30"/>
          <w:szCs w:val="30"/>
          <w:highlight w:val="none"/>
          <w:lang w:eastAsia="zh-CN"/>
        </w:rPr>
        <w:t xml:space="preserve">五、开标与评标</w:t>
      </w:r>
      <w:bookmarkEnd w:id="100"/>
      <w:r/>
      <w:bookmarkEnd w:id="101"/>
      <w:r/>
      <w:bookmarkEnd w:id="102"/>
      <w:r/>
      <w:bookmarkEnd w:id="103"/>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bookmarkStart w:id="104" w:name="_Toc513029230"/>
      <w:r/>
      <w:bookmarkStart w:id="105" w:name="_Toc16938546"/>
      <w:r/>
      <w:bookmarkStart w:id="106" w:name="_Toc20823302"/>
      <w:r>
        <w:rPr>
          <w:rFonts w:hint="eastAsia" w:ascii="宋体" w:hAnsi="宋体" w:eastAsia="宋体" w:cs="宋体"/>
          <w:bCs w:val="0"/>
          <w:color w:val="auto"/>
          <w:highlight w:val="none"/>
          <w:lang w:eastAsia="zh-CN"/>
        </w:rPr>
        <w:t xml:space="preserve">21.开标</w:t>
      </w:r>
      <w:bookmarkEnd w:id="104"/>
      <w:r/>
      <w:bookmarkEnd w:id="105"/>
      <w:r/>
      <w:bookmarkEnd w:id="10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。投标人应当按照《操作手册》的规定，参加开标活动和在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bookmarkStart w:id="107" w:name="_Toc513029231"/>
      <w:r/>
      <w:bookmarkStart w:id="108" w:name="_Toc20823303"/>
      <w:r/>
      <w:bookmarkStart w:id="109" w:name="_Toc16938547"/>
      <w:r>
        <w:rPr>
          <w:rFonts w:hint="eastAsia" w:ascii="宋体" w:hAnsi="宋体" w:eastAsia="宋体" w:cs="宋体"/>
          <w:bCs w:val="0"/>
          <w:color w:val="auto"/>
          <w:highlight w:val="none"/>
          <w:lang w:eastAsia="zh-CN"/>
        </w:rPr>
        <w:t xml:space="preserve">22.评标委员会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22.1开标后，采购代理机构将立即组织评标委员会（以下简称评委会）进行评标。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23.评标过程的保密与公正</w:t>
      </w:r>
      <w:bookmarkEnd w:id="107"/>
      <w:r/>
      <w:bookmarkEnd w:id="108"/>
      <w:r/>
      <w:bookmarkEnd w:id="109"/>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23.1凡</w:t>
      </w:r>
      <w:r>
        <w:rPr>
          <w:rFonts w:hint="eastAsia" w:ascii="宋体" w:hAnsi="宋体" w:eastAsia="宋体" w:cs="宋体"/>
          <w:bCs/>
          <w:color w:val="auto"/>
          <w:sz w:val="24"/>
          <w:highlight w:val="none"/>
        </w:rPr>
        <w:t xml:space="preserve">与审查、澄清、评价和比较投标的有关资料以及授标建议等，采购人、评委、采购代理机构均不得向投标人或与评标无关的其他人员透露。</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23.3采购代理机构和评标委员会不向未中标的投标人解释未中标原因，也不公布评标过程中的相关细节。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bookmarkStart w:id="110" w:name="_Toc513029232"/>
      <w:r/>
      <w:bookmarkStart w:id="111" w:name="_Toc16938548"/>
      <w:r/>
      <w:bookmarkStart w:id="112" w:name="_Toc20823304"/>
      <w:r>
        <w:rPr>
          <w:rFonts w:hint="eastAsia" w:ascii="宋体" w:hAnsi="宋体" w:eastAsia="宋体" w:cs="宋体"/>
          <w:bCs w:val="0"/>
          <w:color w:val="auto"/>
          <w:highlight w:val="none"/>
          <w:lang w:eastAsia="zh-CN"/>
        </w:rPr>
        <w:t xml:space="preserve">24.投标文件的澄清</w:t>
      </w:r>
      <w:bookmarkEnd w:id="110"/>
      <w:r/>
      <w:bookmarkEnd w:id="111"/>
      <w:r/>
      <w:bookmarkEnd w:id="11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24.3接到评委会澄清、说明和补正要求的投标人如未按规定及时作出澄清、说明和补正，其风险由投标人自行承担。</w:t>
      </w:r>
      <w:r/>
    </w:p>
    <w:p>
      <w:pPr>
        <w:pStyle w:val="1162"/>
        <w:ind w:firstLine="422"/>
        <w:keepLines w:val="0"/>
        <w:keepNext w:val="0"/>
        <w:spacing w:before="0" w:after="0" w:line="360" w:lineRule="auto"/>
        <w:rPr>
          <w:rFonts w:hint="default" w:ascii="宋体" w:hAnsi="宋体" w:eastAsia="宋体" w:cs="宋体"/>
          <w:bCs w:val="0"/>
          <w:color w:val="auto"/>
          <w:highlight w:val="none"/>
          <w:lang w:val="en-US" w:eastAsia="zh-CN"/>
        </w:rPr>
      </w:pPr>
      <w:r/>
      <w:bookmarkStart w:id="113" w:name="_Toc16938549"/>
      <w:r/>
      <w:bookmarkStart w:id="114" w:name="_Toc20823305"/>
      <w:r/>
      <w:bookmarkStart w:id="115" w:name="_Toc513029233"/>
      <w:r>
        <w:rPr>
          <w:rFonts w:hint="eastAsia" w:ascii="宋体" w:hAnsi="宋体" w:eastAsia="宋体" w:cs="宋体"/>
          <w:bCs w:val="0"/>
          <w:color w:val="auto"/>
          <w:highlight w:val="none"/>
          <w:lang w:eastAsia="zh-CN"/>
        </w:rPr>
        <w:t xml:space="preserve">25.</w:t>
      </w:r>
      <w:bookmarkEnd w:id="113"/>
      <w:r/>
      <w:bookmarkEnd w:id="114"/>
      <w:r/>
      <w:bookmarkEnd w:id="115"/>
      <w:r>
        <w:rPr>
          <w:rFonts w:hint="eastAsia" w:ascii="宋体" w:hAnsi="宋体" w:eastAsia="宋体" w:cs="宋体"/>
          <w:bCs w:val="0"/>
          <w:color w:val="auto"/>
          <w:highlight w:val="none"/>
          <w:lang w:val="en-US" w:eastAsia="zh-CN"/>
        </w:rPr>
        <w:t xml:space="preserve">投标文件初审</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初审分为资格性检查和符合性检查。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25.1.1资格审查：依据法律法规、委托代理协议和招标文件的规定，由采购代理机构对投标文件中的资格证明文件进行审查。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采购代理机构在进行资格审查的同时，将</w:t>
      </w:r>
      <w:r>
        <w:rPr>
          <w:rFonts w:hint="eastAsia" w:ascii="宋体" w:hAnsi="宋体" w:eastAsia="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失信被执行人、重大税收违法失信主体、政府采购严重违法失信行为记录名单，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360" w:lineRule="auto"/>
        <w:rPr>
          <w:rFonts w:ascii="宋体" w:hAnsi="宋体" w:eastAsia="宋体" w:cs="宋体"/>
          <w:color w:val="auto"/>
          <w:sz w:val="24"/>
          <w:highlight w:val="none"/>
        </w:rPr>
      </w:pPr>
      <w:r/>
      <w:bookmarkStart w:id="116" w:name="_Toc16938550"/>
      <w:r/>
      <w:bookmarkStart w:id="117" w:name="_Toc513029234"/>
      <w:r/>
      <w:bookmarkStart w:id="118" w:name="_Toc20823306"/>
      <w:r>
        <w:rPr>
          <w:rFonts w:hint="eastAsia" w:ascii="宋体" w:hAnsi="宋体" w:eastAsia="宋体" w:cs="宋体"/>
          <w:color w:val="auto"/>
          <w:sz w:val="24"/>
          <w:highlight w:val="none"/>
        </w:rPr>
        <w:t xml:space="preserve">25.6投标人在开、评标全过程中应保持通信畅通，及时登录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pStyle w:val="1162"/>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25.7评标委员会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pStyle w:val="1162"/>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评标委员会启动异常低价投标（响应）审查的情形和具体要求，包括：</w:t>
      </w:r>
      <w:r/>
    </w:p>
    <w:p>
      <w:pPr>
        <w:pStyle w:val="1162"/>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1）评审过程中出现下列情形之一的，评标委员会应当启动异常低价投标（响应）审查程序：</w:t>
      </w:r>
      <w:r/>
    </w:p>
    <w:p>
      <w:pPr>
        <w:pStyle w:val="1162"/>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①投标（响应）报价低于采购项目预算50%的，即投标（响应）报价＜采购项目预算×50%；</w:t>
      </w:r>
      <w:r/>
    </w:p>
    <w:p>
      <w:pPr>
        <w:pStyle w:val="1162"/>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②投标（响应）报价低于采购项目最高限价45%的，即投标（响应）报价＜采购项目最高限价×45%；</w:t>
      </w:r>
      <w:r/>
    </w:p>
    <w:p>
      <w:pPr>
        <w:pStyle w:val="1162"/>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③评标委员会认定的供应商报价过低、有可能影响产品质量或者不能诚信履约的其他情形。</w:t>
      </w:r>
      <w:r/>
    </w:p>
    <w:p>
      <w:pPr>
        <w:pStyle w:val="1162"/>
        <w:numPr>
          <w:ilvl w:val="0"/>
          <w:numId w:val="8"/>
        </w:numPr>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启动异常低价投标（响应）审查后，评标委员会应当要求相关供应商通过“苏采云”系统（或在评标现场）在给定的合理时间（1小时内）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left="0" w:firstLine="480"/>
        <w:spacing w:line="360" w:lineRule="auto"/>
        <w:rPr>
          <w:rFonts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2</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highlight w:val="none"/>
          <w14:textFill>
            <w14:solidFill>
              <w14:schemeClr w14:val="tx1"/>
            </w14:solidFill>
          </w14:textFill>
        </w:rPr>
        <w:t xml:space="preserve">评标委员会按招标文件中规定的评标方法和标准，对资格性检查和符合性检查合格的投标文件进行商务和技术评估，综合比较与评价。</w:t>
      </w:r>
      <w:r/>
    </w:p>
    <w:p>
      <w:pPr>
        <w:pStyle w:val="1162"/>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26</w:t>
      </w:r>
      <w:bookmarkEnd w:id="116"/>
      <w:r/>
      <w:bookmarkEnd w:id="117"/>
      <w:r/>
      <w:bookmarkEnd w:id="118"/>
      <w:r>
        <w:rPr>
          <w:rFonts w:hint="eastAsia" w:ascii="宋体" w:hAnsi="宋体" w:eastAsia="宋体" w:cs="宋体"/>
          <w:bCs w:val="0"/>
          <w:color w:val="000000" w:themeColor="text1"/>
          <w:highlight w:val="none"/>
          <w:lang w:eastAsia="zh-CN"/>
          <w14:textFill>
            <w14:solidFill>
              <w14:schemeClr w14:val="tx1"/>
            </w14:solidFill>
          </w14:textFill>
        </w:rPr>
        <w:t xml:space="preserve">.无效投标条款和废标条款</w:t>
      </w:r>
      <w:r/>
    </w:p>
    <w:p>
      <w:pPr>
        <w:ind w:left="479"/>
        <w:spacing w:line="360" w:lineRule="auto"/>
        <w:rPr>
          <w:rFonts w:ascii="宋体" w:hAnsi="宋体" w:eastAsia="宋体" w:cs="宋体"/>
          <w:bCs/>
          <w:color w:val="000000" w:themeColor="text1"/>
          <w:sz w:val="24"/>
          <w:highlight w:val="none"/>
          <w14:textFill>
            <w14:solidFill>
              <w14:schemeClr w14:val="tx1"/>
            </w14:solidFill>
          </w14:textFill>
        </w:rPr>
      </w:pPr>
      <w:r/>
      <w:bookmarkStart w:id="119" w:name="_Toc16938551"/>
      <w:r/>
      <w:bookmarkStart w:id="120" w:name="_Toc513029235"/>
      <w:r/>
      <w:bookmarkStart w:id="121" w:name="_Toc20823307"/>
      <w:r>
        <w:rPr>
          <w:rFonts w:hint="eastAsia" w:ascii="宋体" w:hAnsi="宋体" w:eastAsia="宋体" w:cs="宋体"/>
          <w:bCs/>
          <w:color w:val="000000" w:themeColor="text1"/>
          <w:sz w:val="24"/>
          <w:highlight w:val="none"/>
          <w14:textFill>
            <w14:solidFill>
              <w14:schemeClr w14:val="tx1"/>
            </w14:solidFill>
          </w14:textFill>
        </w:rPr>
        <w:t xml:space="preserve">26.1无效投标条款</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电子投标文件未按规定时间上传的，纸质投标文件（如有）未按规定的期限、地点送达的；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2未按《“苏采云”系统供应商操作手册》进行正确操作的；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3电子投标文件未按招标文件要求签章的；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4投标人未按招标文件要求解密电子投标文件的；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26.1.5</w:t>
      </w:r>
      <w:r>
        <w:rPr>
          <w:rFonts w:hint="eastAsia" w:ascii="宋体" w:hAnsi="宋体" w:eastAsia="宋体" w:cs="宋体"/>
          <w:color w:val="000000" w:themeColor="text1"/>
          <w:sz w:val="24"/>
          <w:szCs w:val="24"/>
          <w:highlight w:val="none"/>
          <w14:textFill>
            <w14:solidFill>
              <w14:schemeClr w14:val="tx1"/>
            </w14:solidFill>
          </w14:textFill>
        </w:rPr>
        <w:t xml:space="preserve">不具备招标文件中规定的资格要求的；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6报价超过招标文件中规定的预算金额或最高限价或最高单项限价的；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26.1.7</w:t>
      </w:r>
      <w:r>
        <w:rPr>
          <w:rFonts w:hint="eastAsia" w:ascii="宋体" w:hAnsi="宋体" w:eastAsia="宋体" w:cs="宋体"/>
          <w:color w:val="000000" w:themeColor="text1"/>
          <w:sz w:val="24"/>
          <w:szCs w:val="24"/>
          <w:highlight w:val="none"/>
          <w14:textFill>
            <w14:solidFill>
              <w14:schemeClr w14:val="tx1"/>
            </w14:solidFill>
          </w14:textFill>
        </w:rPr>
        <w:t xml:space="preserve">投标人的法定代表人授权代表无法定代表人授权委托书的；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8投标文件含有采购人不能接受的附加条件的；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9投标文件中有招标文件未允许提供的选择性内容的；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10恶意串通其他投标人，故意哄抬价格或压价的；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11提供虚假材料的（包括工商营业执照、财务报表、资格证明文件等）；</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12不具备招标文件中规定的资格要求或未按招标文件规定的要求提供资格、资信证明文件的或提供的资格、资信证明文件图片字迹模糊不清、无法辨认的；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13不同投标人投标文件中的项目相关人员出现同一人的；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14不同投标人聘请同一人为其投标提供技术或经济咨询服务的；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15不同投标人的单位负责人为同一人或者存在直接控股、管理关系的；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16不同投标人的投标文件异常一致或者投标报价呈规律性差异；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17投标文件商务标中同一方案有选择性报价且未声明以哪一个为准的；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18投标文件报价出现前后不一致，投标人拒不确认修正后的报价的；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19同一投标人提交两种（含两种）以上不同的投标报价的；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20评标委员会认为投标人的报价明显低于其他通过符合性审查的投标人的报价，有可能影响产品质量或者不能诚信履约的，未能在合理的时间内（自江苏省政府采购（苏采云）平台通知之时起一小时内）提交书面说明或相关证明材料以证明其报价合理性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21未通过初步资格性审查、投标文件资格性检查、投标文件符合性检查的；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22未提供技术文件的；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23列入失信被执行人、重大税收违法失信主体、政府采购严重违法失信行为记录名单及其他不符合《中华人民共和国政府采购法》第二十二条规定条件的；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24不同投标人的投标文件存在明显的相似性或一致性，特征显示由同一单位或者同一个人编制的；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25不同投标人投标文件内容存在非正常一致、项目组成员或者联系人员出现同一人、投标文件中错误（或异常）一致或雷同、电子文档信息一致或雷同的；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26不同投标人的委托代理人、项目负责人以及其他相关人员有在同一个单位缴纳社会保险的；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27同一投标文件中单位名称落款与公章不是同一单位的；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28不同投标人委托同一单位或者个人办理投标事宜的；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29投标文件内容不全或不符合法律法规和招标文件中规定的其他实质性要求的。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30不同投标人的投标文件由同一台电脑编制或者同一把数字证书加密锁加密或者同一台附属设备打印的；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31不同投标人的投标文件上传使用的MAC地址和IP地址一致的，其投标无效；</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32电子投标文件与招标文件要求格式不一致而无法导入计算机评标系统；</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b/>
          <w:bCs/>
          <w:color w:val="000000" w:themeColor="text1"/>
          <w:sz w:val="24"/>
          <w:szCs w:val="24"/>
          <w:highlight w:val="none"/>
          <w14:textFill>
            <w14:solidFill>
              <w14:schemeClr w14:val="tx1"/>
            </w14:solidFill>
          </w14:textFill>
        </w:rPr>
        <w:t xml:space="preserve">33电子投标文件中技术文件暗标部分有体现投标人身份的内容；</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b/>
          <w:bCs/>
          <w:color w:val="000000" w:themeColor="text1"/>
          <w:sz w:val="24"/>
          <w:szCs w:val="24"/>
          <w:highlight w:val="none"/>
          <w14:textFill>
            <w14:solidFill>
              <w14:schemeClr w14:val="tx1"/>
            </w14:solidFill>
          </w14:textFill>
        </w:rPr>
        <w:t xml:space="preserve">34评标委员会认为投标人的报价为异常低价，启动异常低价投标（响应）审查后，投标（响应）供应商在评标现场合理的时间（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1小时</w:t>
      </w:r>
      <w:r>
        <w:rPr>
          <w:rFonts w:hint="eastAsia" w:ascii="宋体" w:hAnsi="宋体" w:eastAsia="宋体" w:cs="宋体"/>
          <w:b/>
          <w:bCs/>
          <w:color w:val="000000" w:themeColor="text1"/>
          <w:sz w:val="24"/>
          <w:szCs w:val="24"/>
          <w:highlight w:val="none"/>
          <w14:textFill>
            <w14:solidFill>
              <w14:schemeClr w14:val="tx1"/>
            </w14:solidFill>
          </w14:textFill>
        </w:rPr>
        <w:t xml:space="preserve">）内，不提供书面说明、证明材料，或者提供的书面说明、证明材料不能证明其报价合理性的；</w:t>
      </w:r>
      <w:r/>
    </w:p>
    <w:p>
      <w:pPr>
        <w:ind w:firstLine="480"/>
        <w:spacing w:line="360" w:lineRule="auto"/>
        <w:rPr>
          <w:rFonts w:hint="eastAsia" w:ascii="宋体" w:hAnsi="宋体" w:eastAsia="宋体" w:cs="宋体"/>
          <w:bCs/>
          <w:color w:val="0000ff"/>
          <w:sz w:val="24"/>
          <w:szCs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26.1.</w:t>
      </w:r>
      <w:r>
        <w:rPr>
          <w:rFonts w:hint="eastAsia" w:ascii="宋体" w:hAnsi="宋体" w:eastAsia="宋体" w:cs="宋体"/>
          <w:color w:val="000000" w:themeColor="text1"/>
          <w:sz w:val="24"/>
          <w:szCs w:val="24"/>
          <w:highlight w:val="none"/>
          <w14:textFill>
            <w14:solidFill>
              <w14:schemeClr w14:val="tx1"/>
            </w14:solidFill>
          </w14:textFill>
        </w:rPr>
        <w:t xml:space="preserve">35其他法律法规及本招标文件规定的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属于</w:t>
      </w:r>
      <w:r>
        <w:rPr>
          <w:rFonts w:hint="eastAsia" w:ascii="宋体" w:hAnsi="宋体" w:eastAsia="宋体" w:cs="宋体"/>
          <w:color w:val="000000" w:themeColor="text1"/>
          <w:sz w:val="24"/>
          <w:szCs w:val="24"/>
          <w:highlight w:val="none"/>
          <w14:textFill>
            <w14:solidFill>
              <w14:schemeClr w14:val="tx1"/>
            </w14:solidFill>
          </w14:textFill>
        </w:rPr>
        <w:t xml:space="preserve">无效投标的情形。</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93"/>
        <w:ind w:firstLine="452"/>
        <w:keepLines w:val="0"/>
        <w:keepNext w:val="0"/>
        <w:spacing w:before="0" w:after="0" w:line="360" w:lineRule="auto"/>
        <w:rPr>
          <w:rFonts w:ascii="宋体" w:hAnsi="宋体" w:cs="宋体"/>
          <w:color w:val="auto"/>
          <w:sz w:val="30"/>
          <w:szCs w:val="30"/>
          <w:highlight w:val="none"/>
          <w:lang w:eastAsia="zh-CN"/>
        </w:rPr>
      </w:pPr>
      <w:r/>
      <w:bookmarkStart w:id="122" w:name="_Toc120614219"/>
      <w:r>
        <w:rPr>
          <w:rFonts w:hint="eastAsia" w:ascii="宋体" w:hAnsi="宋体" w:cs="宋体"/>
          <w:color w:val="auto"/>
          <w:sz w:val="30"/>
          <w:szCs w:val="30"/>
          <w:highlight w:val="none"/>
          <w:lang w:eastAsia="zh-CN"/>
        </w:rPr>
        <w:t xml:space="preserve">六、</w:t>
      </w:r>
      <w:bookmarkEnd w:id="119"/>
      <w:r/>
      <w:bookmarkEnd w:id="120"/>
      <w:r/>
      <w:bookmarkEnd w:id="121"/>
      <w:r>
        <w:rPr>
          <w:rFonts w:hint="eastAsia" w:ascii="宋体" w:hAnsi="宋体" w:cs="宋体"/>
          <w:color w:val="auto"/>
          <w:sz w:val="30"/>
          <w:szCs w:val="30"/>
          <w:highlight w:val="none"/>
          <w:lang w:eastAsia="zh-CN"/>
        </w:rPr>
        <w:t xml:space="preserve">定标</w:t>
      </w:r>
      <w:bookmarkEnd w:id="122"/>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bookmarkStart w:id="123" w:name="_Toc513029238"/>
      <w:r/>
      <w:bookmarkStart w:id="124" w:name="_Toc20823310"/>
      <w:r/>
      <w:bookmarkStart w:id="125" w:name="_Toc16938554"/>
      <w:r>
        <w:rPr>
          <w:rFonts w:hint="eastAsia" w:ascii="宋体" w:hAnsi="宋体" w:eastAsia="宋体" w:cs="宋体"/>
          <w:bCs w:val="0"/>
          <w:color w:val="auto"/>
          <w:highlight w:val="none"/>
          <w:lang w:eastAsia="zh-CN"/>
        </w:rPr>
        <w:t xml:space="preserve">27</w:t>
      </w:r>
      <w:bookmarkEnd w:id="123"/>
      <w:r>
        <w:rPr>
          <w:rFonts w:hint="eastAsia" w:ascii="宋体" w:hAnsi="宋体" w:eastAsia="宋体" w:cs="宋体"/>
          <w:bCs w:val="0"/>
          <w:color w:val="auto"/>
          <w:highlight w:val="none"/>
          <w:lang w:eastAsia="zh-CN"/>
        </w:rPr>
        <w:t xml:space="preserve">.确定</w:t>
      </w:r>
      <w:bookmarkEnd w:id="124"/>
      <w:r/>
      <w:bookmarkEnd w:id="125"/>
      <w:r>
        <w:rPr>
          <w:rFonts w:hint="eastAsia" w:ascii="宋体" w:hAnsi="宋体" w:eastAsia="宋体" w:cs="宋体"/>
          <w:bCs w:val="0"/>
          <w:color w:val="auto"/>
          <w:highlight w:val="none"/>
          <w:lang w:eastAsia="zh-CN"/>
        </w:rPr>
        <w:t xml:space="preserve">中标单位</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 xml:space="preserve">第五章规定</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27.4.2向采购人、采购代理机构行贿或者提供其他不正当利益的。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360" w:lineRule="auto"/>
        <w:rPr>
          <w:rFonts w:ascii="宋体" w:hAnsi="宋体" w:eastAsia="宋体" w:cs="宋体"/>
          <w:color w:val="auto"/>
          <w:sz w:val="24"/>
          <w:szCs w:val="24"/>
          <w:highlight w:val="none"/>
        </w:rPr>
      </w:pPr>
      <w:r/>
      <w:bookmarkStart w:id="126"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27.6中标供应商无正当理由放弃中标项目的处理</w:t>
      </w:r>
      <w:r/>
    </w:p>
    <w:p>
      <w:pPr>
        <w:pStyle w:val="830"/>
        <w:ind w:firstLine="480"/>
        <w:spacing w:before="0" w:beforeAutospacing="0" w:after="0" w:afterAutospacing="0" w:line="360" w:lineRule="auto"/>
        <w:rPr>
          <w:rFonts w:eastAsia="宋体" w:cs="宋体"/>
          <w:bCs/>
          <w:color w:val="auto"/>
          <w:highlight w:val="none"/>
        </w:rPr>
      </w:pPr>
      <w:r>
        <w:rPr>
          <w:rStyle w:val="835"/>
          <w:rFonts w:hint="eastAsia" w:eastAsia="宋体" w:cs="宋体"/>
          <w:b w:val="0"/>
          <w:bCs/>
          <w:color w:val="auto"/>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28.质疑处理</w:t>
      </w:r>
      <w:bookmarkEnd w:id="12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 xml:space="preserve">28.4条款</w:t>
      </w:r>
      <w:r>
        <w:rPr>
          <w:rFonts w:hint="eastAsia" w:ascii="宋体" w:hAnsi="宋体" w:eastAsia="宋体" w:cs="宋体"/>
          <w:color w:val="auto"/>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28.2.1对可以质疑的采购文件质疑的，为收到采购文件之日或者采购文件公告期限届满之日；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28.2.2对采购过程质疑的，为各采购程序环节结束之日；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28.2.3对中标或者成交结果质疑的，为中标或者成交结果公告期限届满之日。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ind w:firstLine="46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29.中标通知书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93"/>
        <w:ind w:firstLine="452"/>
        <w:keepLines w:val="0"/>
        <w:keepNext w:val="0"/>
        <w:spacing w:before="0" w:after="0" w:line="360" w:lineRule="auto"/>
        <w:rPr>
          <w:rFonts w:ascii="宋体" w:hAnsi="宋体" w:cs="宋体"/>
          <w:color w:val="auto"/>
          <w:sz w:val="30"/>
          <w:szCs w:val="30"/>
          <w:highlight w:val="none"/>
          <w:lang w:eastAsia="zh-CN"/>
        </w:rPr>
      </w:pPr>
      <w:r/>
      <w:bookmarkStart w:id="127" w:name="_Toc513029236"/>
      <w:r/>
      <w:bookmarkStart w:id="128" w:name="_Toc120614220"/>
      <w:r/>
      <w:bookmarkStart w:id="129" w:name="_Toc20823308"/>
      <w:r/>
      <w:bookmarkStart w:id="130" w:name="_Toc16938552"/>
      <w:r>
        <w:rPr>
          <w:rFonts w:hint="eastAsia" w:ascii="宋体" w:hAnsi="宋体" w:cs="宋体"/>
          <w:color w:val="auto"/>
          <w:sz w:val="30"/>
          <w:szCs w:val="30"/>
          <w:highlight w:val="none"/>
          <w:lang w:eastAsia="zh-CN"/>
        </w:rPr>
        <w:t xml:space="preserve">七、授予合同</w:t>
      </w:r>
      <w:bookmarkEnd w:id="127"/>
      <w:r/>
      <w:bookmarkEnd w:id="128"/>
      <w:r/>
      <w:bookmarkEnd w:id="129"/>
      <w:r/>
      <w:bookmarkEnd w:id="130"/>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bookmarkStart w:id="131" w:name="_Toc20823309"/>
      <w:r/>
      <w:bookmarkStart w:id="132" w:name="_Toc513029237"/>
      <w:r/>
      <w:bookmarkStart w:id="133" w:name="_Toc16938553"/>
      <w:r>
        <w:rPr>
          <w:rFonts w:hint="eastAsia" w:ascii="宋体" w:hAnsi="宋体" w:eastAsia="宋体" w:cs="宋体"/>
          <w:bCs w:val="0"/>
          <w:color w:val="auto"/>
          <w:highlight w:val="none"/>
          <w:lang w:eastAsia="zh-CN"/>
        </w:rPr>
        <w:t xml:space="preserve">30.签订合同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162"/>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31.服务（包含与服务相关的货物）的追加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r/>
      <w:bookmarkEnd w:id="132"/>
      <w:r/>
      <w:bookmarkEnd w:id="133"/>
      <w:r/>
      <w:r/>
    </w:p>
    <w:p>
      <w:pPr>
        <w:pStyle w:val="1162"/>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3</w:t>
      </w:r>
      <w:r>
        <w:rPr>
          <w:rFonts w:hint="eastAsia" w:ascii="宋体" w:hAnsi="宋体" w:eastAsia="宋体" w:cs="宋体"/>
          <w:bCs w:val="0"/>
          <w:color w:val="000000" w:themeColor="text1"/>
          <w:highlight w:val="none"/>
          <w:lang w:val="en-US" w:eastAsia="zh-CN"/>
          <w14:textFill>
            <w14:solidFill>
              <w14:schemeClr w14:val="tx1"/>
            </w14:solidFill>
          </w14:textFill>
        </w:rPr>
        <w:t xml:space="preserve">2</w:t>
      </w:r>
      <w:r>
        <w:rPr>
          <w:rFonts w:hint="eastAsia" w:ascii="宋体" w:hAnsi="宋体" w:eastAsia="宋体" w:cs="宋体"/>
          <w:bCs w:val="0"/>
          <w:color w:val="000000" w:themeColor="text1"/>
          <w:highlight w:val="none"/>
          <w:lang w:eastAsia="zh-CN"/>
          <w14:textFill>
            <w14:solidFill>
              <w14:schemeClr w14:val="tx1"/>
            </w14:solidFill>
          </w14:textFill>
        </w:rPr>
        <w:t xml:space="preserve">.政府采购信用担保（本项目无需缴纳履约保证金）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1.履约担保。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2.融资担保。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合同融资，是指参与政府采购的供应商，凭借中</w:t>
      </w:r>
      <w:r>
        <w:rPr>
          <w:rFonts w:hint="eastAsia" w:ascii="宋体" w:hAnsi="宋体" w:eastAsia="宋体" w:cs="宋体"/>
          <w:color w:val="000000" w:themeColor="text1"/>
          <w:sz w:val="24"/>
          <w:szCs w:val="24"/>
          <w:highlight w:val="none"/>
          <w14:textFill>
            <w14:solidFill>
              <w14:schemeClr w14:val="tx1"/>
            </w14:solidFill>
          </w14:textFill>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中标、成交供应商可根据自身情况，自行决定是否选择采用合同融资形式，在无锡政府采购网——政采贷专栏提供的银行名录内自主选择合作银行。无锡市政府采购合同融资政策告知函（详见附件）。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3.政府采购信用担保合作担保机构和信用融资合作银行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pStyle w:val="1162"/>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3</w:t>
      </w:r>
      <w:r>
        <w:rPr>
          <w:rFonts w:hint="eastAsia" w:ascii="宋体" w:hAnsi="宋体" w:eastAsia="宋体" w:cs="宋体"/>
          <w:bCs w:val="0"/>
          <w:color w:val="000000" w:themeColor="text1"/>
          <w:highlight w:val="none"/>
          <w:lang w:val="en-US" w:eastAsia="zh-CN"/>
          <w14:textFill>
            <w14:solidFill>
              <w14:schemeClr w14:val="tx1"/>
            </w14:solidFill>
          </w14:textFill>
        </w:rPr>
        <w:t xml:space="preserve">3</w:t>
      </w:r>
      <w:r>
        <w:rPr>
          <w:rFonts w:hint="eastAsia" w:ascii="宋体" w:hAnsi="宋体" w:eastAsia="宋体" w:cs="宋体"/>
          <w:bCs w:val="0"/>
          <w:color w:val="000000" w:themeColor="text1"/>
          <w:highlight w:val="none"/>
          <w:lang w:eastAsia="zh-CN"/>
          <w14:textFill>
            <w14:solidFill>
              <w14:schemeClr w14:val="tx1"/>
            </w14:solidFill>
          </w14:textFill>
        </w:rPr>
        <w:t xml:space="preserve">.</w:t>
      </w:r>
      <w:r>
        <w:rPr>
          <w:rFonts w:hint="eastAsia" w:ascii="宋体" w:hAnsi="宋体" w:eastAsia="宋体" w:cs="宋体"/>
          <w:bCs w:val="0"/>
          <w:color w:val="000000" w:themeColor="text1"/>
          <w:highlight w:val="none"/>
          <w:lang w:val="en-US" w:eastAsia="zh-CN"/>
          <w14:textFill>
            <w14:solidFill>
              <w14:schemeClr w14:val="tx1"/>
            </w14:solidFill>
          </w14:textFill>
        </w:rPr>
        <w:t xml:space="preserve">其他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.1招标文件的条款必须认真审阅，投标人应自行检查招标文件页数是否齐全。若有遗漏、重复或不清楚，需立刻通知招标人予以更正；凡属对条款的误解所造成的投标价格失误，由投标人负责。</w:t>
      </w:r>
      <w:r/>
    </w:p>
    <w:p>
      <w:pPr>
        <w:pStyle w:val="1162"/>
        <w:ind w:firstLine="422"/>
        <w:keepLines w:val="0"/>
        <w:keepNext w:val="0"/>
        <w:spacing w:before="0" w:after="0" w:line="360" w:lineRule="auto"/>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3</w:t>
      </w:r>
      <w:r>
        <w:rPr>
          <w:rFonts w:hint="eastAsia" w:ascii="宋体" w:hAnsi="宋体" w:eastAsia="宋体" w:cs="宋体"/>
          <w:bCs w:val="0"/>
          <w:color w:val="000000" w:themeColor="text1"/>
          <w:highlight w:val="none"/>
          <w:lang w:val="en-US" w:eastAsia="zh-CN"/>
          <w14:textFill>
            <w14:solidFill>
              <w14:schemeClr w14:val="tx1"/>
            </w14:solidFill>
          </w14:textFill>
        </w:rPr>
        <w:t xml:space="preserve">4</w:t>
      </w:r>
      <w:r>
        <w:rPr>
          <w:rFonts w:hint="eastAsia" w:ascii="宋体" w:hAnsi="宋体" w:eastAsia="宋体" w:cs="宋体"/>
          <w:bCs w:val="0"/>
          <w:color w:val="000000" w:themeColor="text1"/>
          <w:highlight w:val="none"/>
          <w:lang w:eastAsia="zh-CN"/>
          <w14:textFill>
            <w14:solidFill>
              <w14:schemeClr w14:val="tx1"/>
            </w14:solidFill>
          </w14:textFill>
        </w:rPr>
        <w:t xml:space="preserve">.其他政策要求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.11.本项目中如有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涉及</w:t>
      </w:r>
      <w:r>
        <w:rPr>
          <w:rFonts w:hint="eastAsia" w:ascii="宋体" w:hAnsi="宋体" w:eastAsia="宋体" w:cs="宋体"/>
          <w:color w:val="000000" w:themeColor="text1"/>
          <w:sz w:val="24"/>
          <w:szCs w:val="24"/>
          <w:highlight w:val="none"/>
          <w14:textFill>
            <w14:solidFill>
              <w14:schemeClr w14:val="tx1"/>
            </w14:solidFill>
          </w14:textFill>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2.根据财政部、发展改革委发布的《节能产品政府采购品目清单》,凡列入该清单的产品，供应商报价时必须选择具有国家认可认证机构颁发的、处于有效期内的节能产品认证证书的产品。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3.本国产品支持政策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国产品标准适用于货物，包括政府采购货物项目和服务项目中涉及的货物。政府采购活动涉及本国产品的，投标人应当出具《关于符合本国产品标准的声明函》。本国产品支持政策详见《国务院办公厅关于在政府采购中实施本国产品标准及相关政策的通知》（国办发〔2025〕34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4.本项目中如有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涉及</w:t>
      </w:r>
      <w:r>
        <w:rPr>
          <w:rFonts w:hint="eastAsia" w:ascii="宋体" w:hAnsi="宋体" w:eastAsia="宋体" w:cs="宋体"/>
          <w:color w:val="000000" w:themeColor="text1"/>
          <w:sz w:val="24"/>
          <w:szCs w:val="24"/>
          <w:highlight w:val="none"/>
          <w14:textFill>
            <w14:solidFill>
              <w14:schemeClr w14:val="tx1"/>
            </w14:solidFill>
          </w14:textFill>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p>
    <w:p>
      <w:r>
        <w:br w:type="page" w:clear="all"/>
      </w:r>
      <w:r/>
    </w:p>
    <w:p>
      <w:pPr>
        <w:pStyle w:val="1159"/>
        <w:numPr>
          <w:ilvl w:val="0"/>
          <w:numId w:val="9"/>
        </w:numPr>
        <w:ind w:firstLine="0"/>
        <w:jc w:val="center"/>
        <w:spacing w:line="360" w:lineRule="auto"/>
        <w:rPr>
          <w:rFonts w:ascii="宋体" w:hAnsi="宋体" w:cs="宋体"/>
          <w:b/>
          <w:color w:val="auto"/>
          <w:sz w:val="36"/>
          <w:szCs w:val="36"/>
          <w:highlight w:val="none"/>
          <w:lang w:eastAsia="zh-CN"/>
        </w:rPr>
        <w:outlineLvl w:val="0"/>
      </w:pPr>
      <w:r/>
      <w:bookmarkStart w:id="134" w:name="_Toc16938559"/>
      <w:r/>
      <w:bookmarkStart w:id="135" w:name="_Toc20823315"/>
      <w:r/>
      <w:bookmarkStart w:id="136" w:name="_Toc513029243"/>
      <w:r>
        <w:rPr>
          <w:rFonts w:hint="eastAsia" w:ascii="宋体" w:hAnsi="宋体" w:cs="宋体"/>
          <w:b/>
          <w:color w:val="auto"/>
          <w:sz w:val="36"/>
          <w:szCs w:val="36"/>
          <w:highlight w:val="none"/>
          <w:lang w:eastAsia="zh-CN"/>
        </w:rPr>
        <w:t xml:space="preserve"> 合同文本</w:t>
      </w:r>
      <w:bookmarkEnd w:id="134"/>
      <w:r/>
      <w:bookmarkEnd w:id="135"/>
      <w:r/>
      <w:bookmarkEnd w:id="136"/>
      <w:r/>
      <w:r/>
    </w:p>
    <w:p>
      <w:pPr>
        <w:pStyle w:val="832"/>
        <w:spacing w:after="0" w:line="360" w:lineRule="auto"/>
        <w:rPr>
          <w:rFonts w:ascii="宋体" w:hAnsi="宋体" w:cs="宋体"/>
          <w:color w:val="auto"/>
          <w:sz w:val="24"/>
          <w:szCs w:val="24"/>
          <w:highlight w:val="none"/>
        </w:rPr>
      </w:pPr>
      <w:r/>
      <w:bookmarkStart w:id="137" w:name="_Hlt16619350"/>
      <w:r/>
      <w:bookmarkStart w:id="138" w:name="_Toc20823346"/>
      <w:r/>
      <w:bookmarkStart w:id="139" w:name="_Toc16938590"/>
      <w:r/>
      <w:bookmarkStart w:id="140" w:name="_Toc120614244"/>
      <w:r>
        <w:rPr>
          <w:rFonts w:hint="eastAsia" w:ascii="宋体" w:hAnsi="宋体" w:cs="宋体"/>
          <w:color w:val="auto"/>
          <w:sz w:val="24"/>
          <w:szCs w:val="24"/>
          <w:highlight w:val="none"/>
        </w:rPr>
        <w:t xml:space="preserve">甲方（采购人）：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pStyle w:val="832"/>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乙方（中标方）：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pStyle w:val="832"/>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采购编号：</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采购内容：</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中标金额（大写）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pPr>
      <w:r>
        <w:rPr>
          <w:rFonts w:hint="eastAsia" w:ascii="宋体" w:hAnsi="宋体" w:eastAsia="宋体" w:cs="宋体"/>
          <w:bCs/>
          <w:color w:val="auto"/>
          <w:sz w:val="24"/>
          <w:szCs w:val="24"/>
          <w:highlight w:val="none"/>
          <w:lang w:val="en-US" w:eastAsia="zh-CN"/>
        </w:rPr>
        <w:t xml:space="preserve">采购数量</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质量和服务要求及验收标准：</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交货</w:t>
      </w:r>
      <w:r>
        <w:rPr>
          <w:rFonts w:hint="eastAsia" w:ascii="宋体" w:hAnsi="宋体" w:cs="宋体"/>
          <w:bCs/>
          <w:color w:val="auto"/>
          <w:sz w:val="24"/>
          <w:szCs w:val="24"/>
          <w:highlight w:val="none"/>
        </w:rPr>
        <w:t xml:space="preserve">期或完工期：</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交货</w:t>
      </w:r>
      <w:r>
        <w:rPr>
          <w:rFonts w:hint="eastAsia" w:ascii="宋体" w:hAnsi="宋体" w:cs="宋体"/>
          <w:bCs/>
          <w:color w:val="auto"/>
          <w:sz w:val="24"/>
          <w:szCs w:val="24"/>
          <w:highlight w:val="none"/>
        </w:rPr>
        <w:t xml:space="preserve">地点和方式：</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费用支付步骤和办法：</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售后服务：</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违约责任：</w:t>
      </w:r>
      <w:r>
        <w:rPr>
          <w:rFonts w:hint="eastAsia" w:ascii="宋体" w:hAnsi="宋体" w:cs="宋体"/>
          <w:bCs/>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cs="宋体"/>
          <w:color w:val="auto"/>
          <w:sz w:val="24"/>
          <w:szCs w:val="24"/>
          <w:highlight w:val="none"/>
        </w:rPr>
        <w:t xml:space="preserve">解决争议的方式：</w:t>
      </w:r>
      <w:r>
        <w:rPr>
          <w:rFonts w:hint="eastAsia" w:ascii="宋体" w:hAnsi="宋体" w:cs="宋体"/>
          <w:color w:val="auto"/>
          <w:sz w:val="24"/>
          <w:szCs w:val="24"/>
          <w:highlight w:val="none"/>
          <w:u w:val="single"/>
        </w:rPr>
        <w:t xml:space="preserve">                                                       </w:t>
      </w:r>
      <w:r/>
    </w:p>
    <w:p>
      <w:pPr>
        <w:numPr>
          <w:ilvl w:val="0"/>
          <w:numId w:val="10"/>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其他</w:t>
      </w:r>
      <w:r>
        <w:rPr>
          <w:rFonts w:hint="eastAsia" w:ascii="宋体" w:hAnsi="宋体" w:cs="宋体"/>
          <w:bCs/>
          <w:color w:val="auto"/>
          <w:sz w:val="24"/>
          <w:szCs w:val="24"/>
          <w:highlight w:val="none"/>
        </w:rPr>
        <w:t xml:space="preserve">事项：</w:t>
      </w:r>
      <w:r>
        <w:rPr>
          <w:rFonts w:hint="eastAsia" w:ascii="宋体" w:hAnsi="宋体" w:cs="宋体"/>
          <w:bCs/>
          <w:color w:val="auto"/>
          <w:sz w:val="24"/>
          <w:szCs w:val="24"/>
          <w:highlight w:val="none"/>
          <w:u w:val="single"/>
        </w:rPr>
        <w:t xml:space="preserve">                                                             </w:t>
      </w:r>
      <w:r/>
    </w:p>
    <w:p>
      <w:pPr>
        <w:pStyle w:val="832"/>
        <w:ind w:firstLine="48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十二、合同不可分割部分：</w:t>
      </w:r>
      <w:r/>
    </w:p>
    <w:p>
      <w:pPr>
        <w:pStyle w:val="832"/>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采购文件、投标文件、合同条款及中标通知书，乙方在投标、评标过程中所作其它有关承诺、声明、书面澄清等均为合同不可分割的部分，与主合同具有同等法律效力。</w:t>
      </w:r>
      <w:r/>
    </w:p>
    <w:p>
      <w:pPr>
        <w:pStyle w:val="832"/>
        <w:ind w:firstLine="480"/>
        <w:spacing w:after="0" w:line="360" w:lineRule="auto"/>
        <w:rPr>
          <w:rFonts w:ascii="宋体" w:hAnsi="宋体" w:cs="宋体"/>
          <w:color w:val="auto"/>
          <w:sz w:val="24"/>
          <w:szCs w:val="24"/>
          <w:highlight w:val="none"/>
        </w:rPr>
      </w:pPr>
      <w:r>
        <w:rPr>
          <w:rFonts w:hint="eastAsia" w:hAnsi="宋体" w:cs="宋体"/>
          <w:color w:val="auto"/>
          <w:sz w:val="24"/>
          <w:szCs w:val="24"/>
          <w:highlight w:val="none"/>
        </w:rPr>
        <w:t xml:space="preserve">十三、</w:t>
      </w:r>
      <w:r>
        <w:rPr>
          <w:rFonts w:hint="eastAsia" w:ascii="宋体" w:hAnsi="宋体" w:cs="宋体"/>
          <w:color w:val="auto"/>
          <w:sz w:val="24"/>
          <w:szCs w:val="24"/>
          <w:highlight w:val="none"/>
        </w:rPr>
        <w:t xml:space="preserve">合同备案：</w:t>
      </w:r>
      <w:r/>
    </w:p>
    <w:p>
      <w:pPr>
        <w:pStyle w:val="832"/>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合同一式</w:t>
      </w:r>
      <w:r>
        <w:rPr>
          <w:rFonts w:hint="eastAsia"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份，甲乙双方各执</w:t>
      </w:r>
      <w:r>
        <w:rPr>
          <w:rFonts w:hint="eastAsia" w:hAnsi="宋体" w:cs="宋体"/>
          <w:color w:val="auto"/>
          <w:sz w:val="24"/>
          <w:szCs w:val="24"/>
          <w:highlight w:val="none"/>
        </w:rPr>
        <w:t xml:space="preserve">两</w:t>
      </w:r>
      <w:r>
        <w:rPr>
          <w:rFonts w:hint="eastAsia" w:ascii="宋体" w:hAnsi="宋体" w:cs="宋体"/>
          <w:color w:val="auto"/>
          <w:sz w:val="24"/>
          <w:szCs w:val="24"/>
          <w:highlight w:val="none"/>
        </w:rPr>
        <w:t xml:space="preserve">份。</w:t>
      </w:r>
      <w:r/>
    </w:p>
    <w:p>
      <w:pPr>
        <w:pStyle w:val="832"/>
        <w:ind w:firstLine="480"/>
        <w:spacing w:after="0" w:line="360" w:lineRule="auto"/>
        <w:rPr>
          <w:rFonts w:ascii="宋体" w:hAnsi="宋体" w:cs="宋体"/>
          <w:color w:val="auto"/>
          <w:sz w:val="24"/>
          <w:szCs w:val="24"/>
          <w:highlight w:val="none"/>
        </w:rPr>
      </w:pPr>
      <w:r>
        <w:rPr>
          <w:rFonts w:hint="eastAsia" w:hAnsi="宋体" w:cs="宋体"/>
          <w:color w:val="auto"/>
          <w:sz w:val="24"/>
          <w:szCs w:val="24"/>
          <w:highlight w:val="none"/>
        </w:rPr>
        <w:t xml:space="preserve">十四、</w:t>
      </w:r>
      <w:r>
        <w:rPr>
          <w:rFonts w:hint="eastAsia" w:ascii="宋体" w:hAnsi="宋体" w:cs="宋体"/>
          <w:color w:val="auto"/>
          <w:sz w:val="24"/>
          <w:szCs w:val="24"/>
          <w:highlight w:val="none"/>
        </w:rPr>
        <w:t xml:space="preserve">合同生效：</w:t>
      </w:r>
      <w:r/>
    </w:p>
    <w:p>
      <w:pPr>
        <w:pStyle w:val="832"/>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本合同由甲乙双方签字、盖章后生效。</w:t>
      </w:r>
      <w:r/>
    </w:p>
    <w:tbl>
      <w:tblPr>
        <w:tblStyle w:val="83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17"/>
        <w:gridCol w:w="4571"/>
      </w:tblGrid>
      <w:tr>
        <w:trPr/>
        <w:tc>
          <w:tcPr>
            <w:tcW w:w="4717" w:type="dxa"/>
            <w:textDirection w:val="lrTb"/>
            <w:noWrap w:val="false"/>
          </w:tcPr>
          <w:p>
            <w:pPr>
              <w:pStyle w:val="832"/>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甲方（采购人）：（盖章） </w:t>
            </w:r>
            <w:r/>
          </w:p>
        </w:tc>
        <w:tc>
          <w:tcPr>
            <w:tcW w:w="4571" w:type="dxa"/>
            <w:textDirection w:val="lrTb"/>
            <w:noWrap w:val="false"/>
          </w:tcPr>
          <w:p>
            <w:pPr>
              <w:pStyle w:val="832"/>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乙方（中标方）：（盖章）</w:t>
            </w:r>
            <w:r/>
          </w:p>
        </w:tc>
      </w:tr>
      <w:tr>
        <w:trPr/>
        <w:tc>
          <w:tcPr>
            <w:tcW w:w="4717" w:type="dxa"/>
            <w:textDirection w:val="lrTb"/>
            <w:noWrap w:val="false"/>
          </w:tcPr>
          <w:p>
            <w:pPr>
              <w:pStyle w:val="832"/>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法定（授权）代表人：</w:t>
            </w:r>
            <w:r/>
          </w:p>
          <w:p>
            <w:pPr>
              <w:pStyle w:val="832"/>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（签字或盖章）</w:t>
            </w:r>
            <w:r/>
          </w:p>
        </w:tc>
        <w:tc>
          <w:tcPr>
            <w:tcW w:w="4571" w:type="dxa"/>
            <w:textDirection w:val="lrTb"/>
            <w:noWrap w:val="false"/>
          </w:tcPr>
          <w:p>
            <w:pPr>
              <w:pStyle w:val="832"/>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法定（授权）代表人：</w:t>
            </w:r>
            <w:r/>
          </w:p>
          <w:p>
            <w:pPr>
              <w:pStyle w:val="832"/>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（签字或盖章）</w:t>
            </w:r>
            <w:r/>
          </w:p>
        </w:tc>
      </w:tr>
      <w:tr>
        <w:trPr/>
        <w:tc>
          <w:tcPr>
            <w:tcW w:w="4717" w:type="dxa"/>
            <w:textDirection w:val="lrTb"/>
            <w:noWrap w:val="false"/>
          </w:tcPr>
          <w:p>
            <w:pPr>
              <w:pStyle w:val="832"/>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 </w:t>
            </w:r>
            <w:r/>
          </w:p>
        </w:tc>
        <w:tc>
          <w:tcPr>
            <w:tcW w:w="4571" w:type="dxa"/>
            <w:textDirection w:val="lrTb"/>
            <w:noWrap w:val="false"/>
          </w:tcPr>
          <w:p>
            <w:pPr>
              <w:pStyle w:val="832"/>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 </w:t>
            </w:r>
            <w:r/>
          </w:p>
        </w:tc>
      </w:tr>
      <w:tr>
        <w:trPr/>
        <w:tc>
          <w:tcPr>
            <w:tcW w:w="4717" w:type="dxa"/>
            <w:textDirection w:val="lrTb"/>
            <w:noWrap w:val="false"/>
          </w:tcPr>
          <w:p>
            <w:pPr>
              <w:pStyle w:val="832"/>
              <w:ind w:firstLine="0"/>
              <w:spacing w:after="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571" w:type="dxa"/>
            <w:textDirection w:val="lrTb"/>
            <w:noWrap w:val="false"/>
          </w:tcPr>
          <w:p>
            <w:pPr>
              <w:pStyle w:val="832"/>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乙方户名：                       </w:t>
            </w:r>
            <w:r/>
          </w:p>
          <w:p>
            <w:pPr>
              <w:pStyle w:val="832"/>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乙方开户银行：</w:t>
            </w:r>
            <w:r/>
          </w:p>
        </w:tc>
      </w:tr>
      <w:tr>
        <w:trPr/>
        <w:tc>
          <w:tcPr>
            <w:tcW w:w="4717" w:type="dxa"/>
            <w:textDirection w:val="lrTb"/>
            <w:noWrap w:val="false"/>
          </w:tcPr>
          <w:p>
            <w:pPr>
              <w:pStyle w:val="832"/>
              <w:spacing w:after="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571" w:type="dxa"/>
            <w:textDirection w:val="lrTb"/>
            <w:noWrap w:val="false"/>
          </w:tcPr>
          <w:p>
            <w:pPr>
              <w:pStyle w:val="832"/>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乙方账号：</w:t>
            </w:r>
            <w:r/>
          </w:p>
        </w:tc>
      </w:tr>
      <w:tr>
        <w:trPr/>
        <w:tc>
          <w:tcPr>
            <w:tcW w:w="4717" w:type="dxa"/>
            <w:textDirection w:val="lrTb"/>
            <w:noWrap w:val="false"/>
          </w:tcPr>
          <w:p>
            <w:pPr>
              <w:pStyle w:val="832"/>
              <w:ind w:left="0" w:firstLine="0"/>
              <w:spacing w:after="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见证方：</w:t>
            </w:r>
            <w:r>
              <w:rPr>
                <w:rFonts w:hint="eastAsia" w:ascii="宋体" w:hAnsi="宋体" w:cs="宋体"/>
                <w:color w:val="auto"/>
                <w:sz w:val="24"/>
                <w:szCs w:val="24"/>
                <w:highlight w:val="none"/>
              </w:rPr>
              <w:t xml:space="preserve">（盖章） </w:t>
            </w:r>
            <w:r/>
          </w:p>
        </w:tc>
        <w:tc>
          <w:tcPr>
            <w:tcW w:w="4571" w:type="dxa"/>
            <w:textDirection w:val="lrTb"/>
            <w:noWrap w:val="false"/>
          </w:tcPr>
          <w:p>
            <w:pPr>
              <w:pStyle w:val="832"/>
              <w:ind w:firstLine="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832"/>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832"/>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★备注：甲乙双方必须以本格式文本，按照合同条款拟订合同</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32"/>
        <w:ind w:firstLine="480"/>
        <w:jc w:val="center"/>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合同条款</w:t>
      </w:r>
      <w:r/>
    </w:p>
    <w:p>
      <w:pPr>
        <w:ind w:firstLine="480"/>
        <w:spacing w:after="0" w:line="360" w:lineRule="auto"/>
        <w:rPr>
          <w:rFonts w:hint="eastAsia" w:ascii="宋体" w:hAnsi="宋体"/>
          <w:bCs/>
          <w:color w:val="auto"/>
          <w:sz w:val="24"/>
        </w:rPr>
      </w:pPr>
      <w:r>
        <w:rPr>
          <w:rFonts w:hint="eastAsia" w:ascii="宋体" w:hAnsi="宋体"/>
          <w:bCs/>
          <w:color w:val="auto"/>
          <w:sz w:val="24"/>
        </w:rPr>
      </w:r>
      <w:r/>
    </w:p>
    <w:p>
      <w:pPr>
        <w:ind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根据</w:t>
      </w:r>
      <w:r>
        <w:rPr>
          <w:rFonts w:hint="eastAsia" w:ascii="宋体" w:hAnsi="宋体" w:eastAsia="宋体"/>
          <w:bCs/>
          <w:color w:val="000000" w:themeColor="text1"/>
          <w:sz w:val="24"/>
          <w:szCs w:val="20"/>
          <w:lang w:val="en-US" w:eastAsia="zh-CN"/>
          <w14:textFill>
            <w14:solidFill>
              <w14:schemeClr w14:val="tx1"/>
            </w14:solidFill>
          </w14:textFill>
        </w:rPr>
        <w:t xml:space="preserve">采购</w:t>
      </w:r>
      <w:r>
        <w:rPr>
          <w:rFonts w:hint="eastAsia" w:ascii="宋体" w:hAnsi="宋体"/>
          <w:bCs/>
          <w:color w:val="000000" w:themeColor="text1"/>
          <w:sz w:val="24"/>
          <w14:textFill>
            <w14:solidFill>
              <w14:schemeClr w14:val="tx1"/>
            </w14:solidFill>
          </w14:textFill>
        </w:rPr>
        <w:t xml:space="preserve">编号</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招标文件和该文件的中标通知书及供方投标文件，供需双方就此次</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项目相关问题，同意按下列条款规定执行。</w:t>
      </w:r>
      <w:r/>
    </w:p>
    <w:p>
      <w:pPr>
        <w:ind w:firstLine="480"/>
        <w:spacing w:after="0"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（一）合同内容：</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p>
    <w:p>
      <w:pPr>
        <w:ind w:firstLine="480"/>
        <w:spacing w:after="0"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（二）采购数量：</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p>
    <w:p>
      <w:pPr>
        <w:ind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（三）价格及支付：</w:t>
      </w:r>
      <w:r/>
    </w:p>
    <w:p>
      <w:pPr>
        <w:ind w:firstLine="480"/>
        <w:spacing w:after="0" w:line="360" w:lineRule="auto"/>
        <w:tabs>
          <w:tab w:val="left" w:pos="525"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1.按此次中标价格执行，合同总标的额为</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元（含税）。</w:t>
      </w:r>
      <w:r/>
    </w:p>
    <w:p>
      <w:pPr>
        <w:ind w:firstLine="480"/>
        <w:jc w:val="both"/>
        <w:spacing w:after="0" w:line="360" w:lineRule="auto"/>
        <w:widowControl w:val="off"/>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2.付款方式：合同签订生效后30日内，支付合同价款的30%；货到验收合格后办理移交手续，支付至合同价款的80%，项目审计结束支付至审定价的95%，余款于审计结束两年后付清</w:t>
      </w:r>
      <w:r>
        <w:rPr>
          <w:rFonts w:hint="eastAsia" w:ascii="宋体" w:hAnsi="宋体"/>
          <w:color w:val="000000" w:themeColor="text1"/>
          <w:sz w:val="24"/>
          <w:szCs w:val="24"/>
          <w14:textFill>
            <w14:solidFill>
              <w14:schemeClr w14:val="tx1"/>
            </w14:solidFill>
          </w14:textFill>
        </w:rPr>
        <w:t xml:space="preserve">。</w:t>
      </w:r>
      <w:r/>
    </w:p>
    <w:p>
      <w:pPr>
        <w:ind w:firstLine="480"/>
        <w:spacing w:after="0" w:line="360" w:lineRule="auto"/>
        <w:tabs>
          <w:tab w:val="left" w:pos="525"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3.供方应于每次需方付款前，开具对应等额的增值税发票，如因供方开票迟延造成需方付款迟延的，需方付款期限相应顺延。开票信息如下：</w:t>
      </w:r>
      <w:r/>
    </w:p>
    <w:p>
      <w:pPr>
        <w:ind w:firstLine="480"/>
        <w:spacing w:after="0" w:line="360" w:lineRule="auto"/>
        <w:tabs>
          <w:tab w:val="left" w:pos="525"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1）名称：江苏无锡经济开发区发展中心</w:t>
      </w:r>
      <w:r/>
    </w:p>
    <w:p>
      <w:pPr>
        <w:ind w:firstLine="480"/>
        <w:spacing w:after="0" w:line="360" w:lineRule="auto"/>
        <w:tabs>
          <w:tab w:val="left" w:pos="525"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2）统一社会信用代码/纳税人识别号:12320200MB15646684</w:t>
      </w:r>
      <w:r/>
    </w:p>
    <w:p>
      <w:pPr>
        <w:ind w:firstLine="480"/>
        <w:spacing w:after="0" w:line="360" w:lineRule="auto"/>
        <w:tabs>
          <w:tab w:val="left" w:pos="0" w:leader="none"/>
          <w:tab w:val="left" w:pos="136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（四）知识产权</w:t>
      </w:r>
      <w:r/>
    </w:p>
    <w:p>
      <w:pPr>
        <w:ind w:firstLine="480"/>
        <w:spacing w:after="0" w:line="360" w:lineRule="auto"/>
        <w:tabs>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9"/>
        </w:numPr>
        <w:ind w:left="0" w:firstLine="480"/>
        <w:spacing w:after="0" w:line="360" w:lineRule="auto"/>
        <w:tabs>
          <w:tab w:val="left" w:pos="73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质量要求与检验：</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1．供方应严格按照招标文件的有关规定和供方投标文件提供合格的货物及服务。</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3．货物的到货验收包括：数量、外观、质量、性能、随机备件、装箱单、质量证书等随机资料及包装完整无破损。</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供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货物和系统调试验收标准：按行业通行标准、厂方出厂标准、招标文件要求和供方投标文件的承诺，并不低于国家相关标准。</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6．</w:t>
      </w:r>
      <w:r>
        <w:rPr>
          <w:rFonts w:hint="eastAsia" w:ascii="宋体" w:hAnsi="宋体"/>
          <w:bCs/>
          <w:color w:val="000000" w:themeColor="text1"/>
          <w:sz w:val="24"/>
          <w14:textFill>
            <w14:solidFill>
              <w14:schemeClr w14:val="tx1"/>
            </w14:solidFill>
          </w14:textFill>
        </w:rPr>
        <w:t xml:space="preserve">货物运到需方指定地点并经需方验证签收后，由于需方保管不善造成的质量问题，供方应负责修理，但有关费用由需方承担。</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7．</w:t>
      </w:r>
      <w:r>
        <w:rPr>
          <w:rFonts w:hint="eastAsia" w:ascii="宋体" w:hAnsi="宋体"/>
          <w:bCs/>
          <w:color w:val="000000" w:themeColor="text1"/>
          <w:sz w:val="24"/>
          <w14:textFill>
            <w14:solidFill>
              <w14:schemeClr w14:val="tx1"/>
            </w14:solidFill>
          </w14:textFill>
        </w:rPr>
        <w:t xml:space="preserve">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after="0" w:line="360" w:lineRule="auto"/>
        <w:tabs>
          <w:tab w:val="left" w:pos="420" w:leader="none"/>
          <w:tab w:val="left" w:pos="105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8．</w:t>
      </w:r>
      <w:r>
        <w:rPr>
          <w:rFonts w:hint="eastAsia" w:ascii="宋体" w:hAnsi="宋体"/>
          <w:bCs/>
          <w:color w:val="000000" w:themeColor="text1"/>
          <w:sz w:val="24"/>
          <w14:textFill>
            <w14:solidFill>
              <w14:schemeClr w14:val="tx1"/>
            </w14:solidFill>
          </w14:textFill>
        </w:rPr>
        <w:t xml:space="preserve">需方不得擅自变更招投标文件约定的性能、指标等相关内容，如有变更应按《中华人民共和国政府采购法》、财政部《政府采购货物和服务招标投标管理办法》的相关程序执行。</w:t>
      </w:r>
      <w:r/>
    </w:p>
    <w:p>
      <w:pPr>
        <w:ind w:left="-2"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（六）</w:t>
      </w:r>
      <w:r>
        <w:rPr>
          <w:rFonts w:hint="eastAsia" w:ascii="宋体" w:hAnsi="宋体"/>
          <w:bCs/>
          <w:color w:val="000000" w:themeColor="text1"/>
          <w:sz w:val="24"/>
          <w14:textFill>
            <w14:solidFill>
              <w14:schemeClr w14:val="tx1"/>
            </w14:solidFill>
          </w14:textFill>
        </w:rPr>
        <w:t xml:space="preserve">交货条件：</w:t>
      </w:r>
      <w:r/>
    </w:p>
    <w:p>
      <w:pPr>
        <w:ind w:firstLine="480"/>
        <w:spacing w:after="0" w:line="360" w:lineRule="auto"/>
        <w:tabs>
          <w:tab w:val="left" w:pos="420"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．交货日期（或完工期）：</w:t>
      </w:r>
      <w:r>
        <w:rPr>
          <w:rFonts w:ascii="宋体" w:hAnsi="宋体"/>
          <w:bCs/>
          <w:color w:val="000000" w:themeColor="text1"/>
          <w:sz w:val="24"/>
          <w14:textFill>
            <w14:solidFill>
              <w14:schemeClr w14:val="tx1"/>
            </w14:solidFill>
          </w14:textFill>
        </w:rPr>
        <w:t xml:space="preserve"> </w:t>
      </w:r>
      <w:r/>
    </w:p>
    <w:p>
      <w:pPr>
        <w:ind w:firstLine="480"/>
        <w:spacing w:after="0" w:line="360" w:lineRule="auto"/>
        <w:tabs>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．供方在验收时应先用信函、传真、电子邮件等书面方式通知需方。</w:t>
      </w:r>
      <w:r/>
    </w:p>
    <w:p>
      <w:pPr>
        <w:ind w:firstLine="480"/>
        <w:spacing w:after="0" w:line="360" w:lineRule="auto"/>
        <w:tabs>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3. </w:t>
      </w:r>
      <w:r>
        <w:rPr>
          <w:rFonts w:hint="eastAsia" w:ascii="宋体" w:hAnsi="宋体"/>
          <w:bCs/>
          <w:color w:val="000000" w:themeColor="text1"/>
          <w:sz w:val="24"/>
          <w14:textFill>
            <w14:solidFill>
              <w14:schemeClr w14:val="tx1"/>
            </w14:solidFill>
          </w14:textFill>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after="0" w:line="360" w:lineRule="auto"/>
        <w:tabs>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4.</w:t>
      </w:r>
      <w:r>
        <w:rPr>
          <w:rFonts w:ascii="宋体" w:hAnsi="宋体"/>
          <w:bCs/>
          <w:color w:val="000000" w:themeColor="text1"/>
          <w:sz w:val="28"/>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货物交货时，所有货物必须带有货物质量检验合格证书、中文质保单、装箱单、中文货物安装使用说明书。</w:t>
      </w:r>
      <w:r>
        <w:rPr>
          <w:rFonts w:hint="eastAsia" w:ascii="宋体" w:hAnsi="宋体" w:eastAsia="宋体"/>
          <w:bCs/>
          <w:color w:val="000000" w:themeColor="text1"/>
          <w:sz w:val="24"/>
          <w:lang w:eastAsia="zh-CN"/>
          <w14:textFill>
            <w14:solidFill>
              <w14:schemeClr w14:val="tx1"/>
            </w14:solidFill>
          </w14:textFill>
        </w:rPr>
        <w:t xml:space="preserve">其他</w:t>
      </w:r>
      <w:r>
        <w:rPr>
          <w:rFonts w:hint="eastAsia" w:ascii="宋体" w:hAnsi="宋体"/>
          <w:bCs/>
          <w:color w:val="000000" w:themeColor="text1"/>
          <w:sz w:val="24"/>
          <w14:textFill>
            <w14:solidFill>
              <w14:schemeClr w14:val="tx1"/>
            </w14:solidFill>
          </w14:textFill>
        </w:rPr>
        <w:t xml:space="preserve">附件所有部件必须原包装。</w:t>
      </w:r>
      <w:r/>
    </w:p>
    <w:p>
      <w:pPr>
        <w:ind w:left="2" w:firstLine="480"/>
        <w:spacing w:after="0" w:line="360" w:lineRule="auto"/>
        <w:tabs>
          <w:tab w:val="left" w:pos="945" w:leader="none"/>
          <w:tab w:val="left" w:pos="115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 </w:t>
      </w:r>
      <w:r>
        <w:rPr>
          <w:rFonts w:hint="eastAsia" w:ascii="宋体" w:hAnsi="宋体"/>
          <w:bCs/>
          <w:color w:val="000000" w:themeColor="text1"/>
          <w:sz w:val="24"/>
          <w14:textFill>
            <w14:solidFill>
              <w14:schemeClr w14:val="tx1"/>
            </w14:solidFill>
          </w14:textFill>
        </w:rPr>
        <w:t xml:space="preserve">运输及到货地点：由供方负责办理运输并承担所有费用，直接送到需方指定地点，即：以合同书上的地点为准。</w:t>
      </w:r>
      <w:r>
        <w:rPr>
          <w:rFonts w:ascii="宋体" w:hAnsi="宋体"/>
          <w:bCs/>
          <w:color w:val="000000" w:themeColor="text1"/>
          <w:sz w:val="24"/>
          <w14:textFill>
            <w14:solidFill>
              <w14:schemeClr w14:val="tx1"/>
            </w14:solidFill>
          </w14:textFill>
        </w:rPr>
        <w:t xml:space="preserve">                    </w:t>
      </w:r>
      <w:r/>
    </w:p>
    <w:p>
      <w:pPr>
        <w:ind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（七）</w:t>
      </w:r>
      <w:r>
        <w:rPr>
          <w:rFonts w:hint="eastAsia" w:ascii="宋体" w:hAnsi="宋体"/>
          <w:bCs/>
          <w:color w:val="000000" w:themeColor="text1"/>
          <w:sz w:val="24"/>
          <w14:textFill>
            <w14:solidFill>
              <w14:schemeClr w14:val="tx1"/>
            </w14:solidFill>
          </w14:textFill>
        </w:rPr>
        <w:t xml:space="preserve">安装调试及售后服务：</w:t>
      </w:r>
      <w:r/>
    </w:p>
    <w:p>
      <w:pPr>
        <w:ind w:left="-100" w:firstLine="480"/>
        <w:spacing w:after="0" w:line="360" w:lineRule="auto"/>
        <w:tabs>
          <w:tab w:val="left" w:pos="525" w:leader="none"/>
          <w:tab w:val="left" w:pos="840" w:leader="none"/>
          <w:tab w:val="left" w:pos="94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供方负责本项目的安装和调试，并保证其提供的货物符合国家、行业、地方、招投标文件及合同规定的质量、性能和标准，并正确且安全地安装。</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供方提供的服务全部按照国家有关法律法规规章和“三包”规定以及按招标文件要求和供方投标文件中的承诺执行。</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3.</w:t>
      </w:r>
      <w:r>
        <w:rPr>
          <w:rFonts w:hint="eastAsia" w:ascii="宋体" w:hAnsi="宋体"/>
          <w:bCs/>
          <w:color w:val="000000" w:themeColor="text1"/>
          <w:sz w:val="24"/>
          <w14:textFill>
            <w14:solidFill>
              <w14:schemeClr w14:val="tx1"/>
            </w14:solidFill>
          </w14:textFill>
        </w:rPr>
        <w:t xml:space="preserve">质保期后的货物维护由双方协商再定。</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需方应向供方现场调试的技术人员及维修人员提供方便条件，有关费用由供方负责。</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需方如要求供方提供招标文件及供方投标文件以外的</w:t>
      </w:r>
      <w:r>
        <w:rPr>
          <w:rFonts w:hint="eastAsia" w:ascii="宋体" w:hAnsi="宋体" w:eastAsia="宋体"/>
          <w:bCs/>
          <w:color w:val="000000" w:themeColor="text1"/>
          <w:sz w:val="24"/>
          <w:lang w:eastAsia="zh-CN"/>
          <w14:textFill>
            <w14:solidFill>
              <w14:schemeClr w14:val="tx1"/>
            </w14:solidFill>
          </w14:textFill>
        </w:rPr>
        <w:t xml:space="preserve">其他</w:t>
      </w:r>
      <w:r>
        <w:rPr>
          <w:rFonts w:hint="eastAsia" w:ascii="宋体" w:hAnsi="宋体"/>
          <w:bCs/>
          <w:color w:val="000000" w:themeColor="text1"/>
          <w:sz w:val="24"/>
          <w14:textFill>
            <w14:solidFill>
              <w14:schemeClr w14:val="tx1"/>
            </w14:solidFill>
          </w14:textFill>
        </w:rPr>
        <w:t xml:space="preserve">服务，其费用另定。</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6.</w:t>
      </w:r>
      <w:r>
        <w:rPr>
          <w:rFonts w:hint="eastAsia" w:ascii="宋体" w:hAnsi="宋体"/>
          <w:bCs/>
          <w:color w:val="000000" w:themeColor="text1"/>
          <w:sz w:val="24"/>
          <w14:textFill>
            <w14:solidFill>
              <w14:schemeClr w14:val="tx1"/>
            </w14:solidFill>
          </w14:textFill>
        </w:rPr>
        <w:t xml:space="preserve">供方提供</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年免费质保服务质保期，并提供终身维修服务。质保期自货物安装调试完毕并经需方验收合格之日起开始计算。在质保期内，</w:t>
      </w:r>
      <w:r>
        <w:rPr>
          <w:rFonts w:ascii="宋体" w:hAnsi="宋体"/>
          <w:bCs/>
          <w:color w:val="000000" w:themeColor="text1"/>
          <w:sz w:val="24"/>
          <w14:textFill>
            <w14:solidFill>
              <w14:schemeClr w14:val="tx1"/>
            </w14:solidFill>
          </w14:textFill>
        </w:rPr>
        <w:t xml:space="preserve">用户方在使用设备的过程中遇到的技术问题、故障等，接到报修后</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14:textFill>
            <w14:solidFill>
              <w14:schemeClr w14:val="tx1"/>
            </w14:solidFill>
          </w14:textFill>
        </w:rPr>
        <w:t xml:space="preserve">小时内</w:t>
      </w:r>
      <w:r>
        <w:rPr>
          <w:rFonts w:hint="eastAsia" w:ascii="宋体" w:hAnsi="宋体"/>
          <w:bCs/>
          <w:color w:val="000000" w:themeColor="text1"/>
          <w:sz w:val="24"/>
          <w14:textFill>
            <w14:solidFill>
              <w14:schemeClr w14:val="tx1"/>
            </w14:solidFill>
          </w14:textFill>
        </w:rPr>
        <w:t xml:space="preserve">电话</w:t>
      </w:r>
      <w:r>
        <w:rPr>
          <w:rFonts w:ascii="宋体" w:hAnsi="宋体"/>
          <w:bCs/>
          <w:color w:val="000000" w:themeColor="text1"/>
          <w:sz w:val="24"/>
          <w14:textFill>
            <w14:solidFill>
              <w14:schemeClr w14:val="tx1"/>
            </w14:solidFill>
          </w14:textFill>
        </w:rPr>
        <w:t xml:space="preserve">响应，如需要</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小时内</w:t>
      </w:r>
      <w:r>
        <w:rPr>
          <w:rFonts w:ascii="宋体" w:hAnsi="宋体"/>
          <w:bCs/>
          <w:color w:val="000000" w:themeColor="text1"/>
          <w:sz w:val="24"/>
          <w14:textFill>
            <w14:solidFill>
              <w14:schemeClr w14:val="tx1"/>
            </w14:solidFill>
          </w14:textFill>
        </w:rPr>
        <w:t xml:space="preserve">上门</w:t>
      </w:r>
      <w:r>
        <w:rPr>
          <w:rFonts w:hint="eastAsia" w:ascii="宋体" w:hAnsi="宋体"/>
          <w:bCs/>
          <w:color w:val="000000" w:themeColor="text1"/>
          <w:sz w:val="24"/>
          <w14:textFill>
            <w14:solidFill>
              <w14:schemeClr w14:val="tx1"/>
            </w14:solidFill>
          </w14:textFill>
        </w:rPr>
        <w:t xml:space="preserve">，维修日程不超过</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个工作日。</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7.在质保期内，如非需方原因损坏或出现性能不</w:t>
      </w:r>
      <w:r>
        <w:rPr>
          <w:rFonts w:hint="eastAsia" w:ascii="宋体" w:hAnsi="宋体" w:eastAsia="宋体"/>
          <w:bCs/>
          <w:color w:val="000000" w:themeColor="text1"/>
          <w:sz w:val="24"/>
          <w:lang w:eastAsia="zh-CN"/>
          <w14:textFill>
            <w14:solidFill>
              <w14:schemeClr w14:val="tx1"/>
            </w14:solidFill>
          </w14:textFill>
        </w:rPr>
        <w:t xml:space="preserve">符合</w:t>
      </w:r>
      <w:r>
        <w:rPr>
          <w:rFonts w:hint="eastAsia" w:ascii="宋体" w:hAnsi="宋体"/>
          <w:bCs/>
          <w:color w:val="000000" w:themeColor="text1"/>
          <w:sz w:val="24"/>
          <w14:textFill>
            <w14:solidFill>
              <w14:schemeClr w14:val="tx1"/>
            </w14:solidFill>
          </w14:textFill>
        </w:rPr>
        <w:t xml:space="preserve">要求等质量问题时，需方可根据具体情况，有权要求供方负责在需方指定期限内修复、换货或退货，因修复、调换或退货而支付的实际费用由供方承担，并且供方还应承担给需方造成的所有损失。如需方要求供方在指定期限内修复的，但供方超过指定期限还未修复的，需方有权自行修复或委托第三方修复，所花费用全部由供方承担。对于修复或调换的产品，质量保证期限自修复完毕或调换之日起重新计算。</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8.</w:t>
      </w:r>
      <w:r>
        <w:rPr>
          <w:rFonts w:hint="eastAsia" w:ascii="宋体" w:hAnsi="宋体"/>
          <w:bCs/>
          <w:color w:val="000000" w:themeColor="text1"/>
          <w:sz w:val="24"/>
          <w14:textFill>
            <w14:solidFill>
              <w14:schemeClr w14:val="tx1"/>
            </w14:solidFill>
          </w14:textFill>
        </w:rPr>
        <w:t xml:space="preserve">供方对本合同履行过程中所知悉的需方全部文件、资料、信息等负有保密义务。未经需方书面同意，供方不得擅自披露、泄露、使用或用于本合同约定之外的目的。</w:t>
      </w:r>
      <w:r/>
    </w:p>
    <w:p>
      <w:pPr>
        <w:ind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（八）</w:t>
      </w:r>
      <w:r>
        <w:rPr>
          <w:rFonts w:hint="eastAsia" w:ascii="宋体" w:hAnsi="宋体"/>
          <w:bCs/>
          <w:color w:val="000000" w:themeColor="text1"/>
          <w:sz w:val="24"/>
          <w14:textFill>
            <w14:solidFill>
              <w14:schemeClr w14:val="tx1"/>
            </w14:solidFill>
          </w14:textFill>
        </w:rPr>
        <w:t xml:space="preserve">违约责任：</w:t>
      </w:r>
      <w:r/>
    </w:p>
    <w:p>
      <w:pPr>
        <w:ind w:firstLine="480"/>
        <w:spacing w:after="0" w:line="360" w:lineRule="auto"/>
        <w:tabs>
          <w:tab w:val="left" w:pos="0"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after="0" w:line="360" w:lineRule="auto"/>
        <w:tabs>
          <w:tab w:val="left" w:pos="0"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2．如供方逾期交货且未经需方同意延长交货时间，除不可抗力外，每逾期一日，供方应按照逾期交货金额的万分之五的标准累计计算向需方支付违约金。逾期超过</w:t>
      </w:r>
      <w:r>
        <w:rPr>
          <w:rFonts w:ascii="宋体" w:hAnsi="宋体"/>
          <w:bCs/>
          <w:color w:val="000000" w:themeColor="text1"/>
          <w:sz w:val="24"/>
          <w14:textFill>
            <w14:solidFill>
              <w14:schemeClr w14:val="tx1"/>
            </w14:solidFill>
          </w14:textFill>
        </w:rPr>
        <w:t xml:space="preserve">20</w:t>
      </w:r>
      <w:r>
        <w:rPr>
          <w:rFonts w:hint="eastAsia" w:ascii="宋体" w:hAnsi="宋体"/>
          <w:bCs/>
          <w:color w:val="000000" w:themeColor="text1"/>
          <w:sz w:val="24"/>
          <w14:textFill>
            <w14:solidFill>
              <w14:schemeClr w14:val="tx1"/>
            </w14:solidFill>
          </w14:textFill>
        </w:rPr>
        <w:t xml:space="preserve">个工作日的，需方有权依照法律程序解除合同，需方如已支付费用的，供方全部返还，且供方应按照合同总价的</w:t>
      </w:r>
      <w:r>
        <w:rPr>
          <w:rFonts w:ascii="宋体" w:hAnsi="宋体"/>
          <w:bCs/>
          <w:color w:val="000000" w:themeColor="text1"/>
          <w:sz w:val="24"/>
          <w14:textFill>
            <w14:solidFill>
              <w14:schemeClr w14:val="tx1"/>
            </w14:solidFill>
          </w14:textFill>
        </w:rPr>
        <w:t xml:space="preserve">30%</w:t>
      </w:r>
      <w:r>
        <w:rPr>
          <w:rFonts w:hint="eastAsia" w:ascii="宋体" w:hAnsi="宋体"/>
          <w:bCs/>
          <w:color w:val="000000" w:themeColor="text1"/>
          <w:sz w:val="24"/>
          <w14:textFill>
            <w14:solidFill>
              <w14:schemeClr w14:val="tx1"/>
            </w14:solidFill>
          </w14:textFill>
        </w:rPr>
        <w:t xml:space="preserve">向需方支付违约金，如给需方造成损失的，还应赔偿损失。</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3．供方如无不可抗力，又未履行招标文件、投标文件和合同条款的，一经查实，由供方赔偿由此给需方造成的损失，并按照合同总价的</w:t>
      </w:r>
      <w:r>
        <w:rPr>
          <w:rFonts w:ascii="宋体" w:hAnsi="宋体"/>
          <w:bCs/>
          <w:color w:val="000000" w:themeColor="text1"/>
          <w:sz w:val="24"/>
          <w14:textFill>
            <w14:solidFill>
              <w14:schemeClr w14:val="tx1"/>
            </w14:solidFill>
          </w14:textFill>
        </w:rPr>
        <w:t xml:space="preserve">30%</w:t>
      </w:r>
      <w:r>
        <w:rPr>
          <w:rFonts w:hint="eastAsia" w:ascii="宋体" w:hAnsi="宋体"/>
          <w:bCs/>
          <w:color w:val="000000" w:themeColor="text1"/>
          <w:sz w:val="24"/>
          <w14:textFill>
            <w14:solidFill>
              <w14:schemeClr w14:val="tx1"/>
            </w14:solidFill>
          </w14:textFill>
        </w:rPr>
        <w:t xml:space="preserve">向需方支付违约金，因招、投标产生的其他责任及后果按招标文件的相关要求及处理方式执行。</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由于供方提供货物质量、安装存在问题或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color w:val="000000" w:themeColor="text1"/>
          <w:sz w:val="24"/>
          <w14:textFill>
            <w14:solidFill>
              <w14:schemeClr w14:val="tx1"/>
            </w14:solidFill>
          </w14:textFill>
        </w:rPr>
        <w:t xml:space="preserve">20%</w:t>
      </w:r>
      <w:r>
        <w:rPr>
          <w:rFonts w:hint="eastAsia" w:ascii="宋体" w:hAnsi="宋体"/>
          <w:bCs/>
          <w:color w:val="000000" w:themeColor="text1"/>
          <w:sz w:val="24"/>
          <w14:textFill>
            <w14:solidFill>
              <w14:schemeClr w14:val="tx1"/>
            </w14:solidFill>
          </w14:textFill>
        </w:rPr>
        <w:t xml:space="preserve">向需方支付违约金，如给需方造成其他损失的，供方还应负责赔偿。</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5．质保期内，供方未能按约履行质保义务，每发生一次，应当向需方支付违约金，金额为质保实际发生金额的</w:t>
      </w: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倍。</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6．供方未能按约履行保密义务，应当向需方支付合同总价</w:t>
      </w:r>
      <w:r>
        <w:rPr>
          <w:rFonts w:ascii="宋体" w:hAnsi="宋体"/>
          <w:bCs/>
          <w:color w:val="000000" w:themeColor="text1"/>
          <w:sz w:val="24"/>
          <w14:textFill>
            <w14:solidFill>
              <w14:schemeClr w14:val="tx1"/>
            </w14:solidFill>
          </w14:textFill>
        </w:rPr>
        <w:t xml:space="preserve"> 1 %</w:t>
      </w:r>
      <w:r>
        <w:rPr>
          <w:rFonts w:hint="eastAsia" w:ascii="宋体" w:hAnsi="宋体"/>
          <w:bCs/>
          <w:color w:val="000000" w:themeColor="text1"/>
          <w:sz w:val="24"/>
          <w14:textFill>
            <w14:solidFill>
              <w14:schemeClr w14:val="tx1"/>
            </w14:solidFill>
          </w14:textFill>
        </w:rPr>
        <w:t xml:space="preserve">的违约金并赔偿由此给需方造成的全部损失。</w:t>
      </w:r>
      <w:r/>
    </w:p>
    <w:p>
      <w:pPr>
        <w:ind w:left="-2" w:firstLine="480"/>
        <w:spacing w:after="0"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（九）</w:t>
      </w:r>
      <w:r>
        <w:rPr>
          <w:rFonts w:hint="eastAsia" w:ascii="宋体" w:hAnsi="宋体"/>
          <w:bCs/>
          <w:color w:val="000000" w:themeColor="text1"/>
          <w:sz w:val="24"/>
          <w14:textFill>
            <w14:solidFill>
              <w14:schemeClr w14:val="tx1"/>
            </w14:solidFill>
          </w14:textFill>
        </w:rPr>
        <w:t xml:space="preserve">不可抗力：</w:t>
      </w:r>
      <w:r/>
    </w:p>
    <w:p>
      <w:pPr>
        <w:ind w:firstLine="480"/>
        <w:spacing w:after="0" w:line="360" w:lineRule="auto"/>
        <w:tabs>
          <w:tab w:val="left" w:pos="105" w:leader="none"/>
          <w:tab w:val="left" w:pos="945" w:leader="none"/>
          <w:tab w:val="left" w:pos="1320"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after="0" w:line="360" w:lineRule="auto"/>
        <w:tabs>
          <w:tab w:val="left" w:pos="105" w:leader="none"/>
          <w:tab w:val="left" w:pos="525" w:leader="none"/>
          <w:tab w:val="left" w:pos="94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招标文件及合同中所述之“不可抗力”系指不可预见、不可避免、不可克服的事件。</w:t>
      </w:r>
      <w:r/>
    </w:p>
    <w:p>
      <w:pPr>
        <w:ind w:left="-2" w:firstLine="480"/>
        <w:spacing w:after="0"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（十）合同生效及其它：</w:t>
      </w:r>
      <w:r/>
    </w:p>
    <w:p>
      <w:pPr>
        <w:ind w:firstLine="480"/>
        <w:spacing w:after="0" w:line="360" w:lineRule="auto"/>
        <w:tabs>
          <w:tab w:val="left" w:pos="0" w:leader="none"/>
          <w:tab w:val="left" w:pos="52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1．合同经供需双方代表签字并盖章后即生效。</w:t>
      </w:r>
      <w:r/>
    </w:p>
    <w:p>
      <w:pPr>
        <w:ind w:firstLine="480"/>
        <w:spacing w:after="0" w:line="360" w:lineRule="auto"/>
        <w:tabs>
          <w:tab w:val="left" w:pos="0" w:leader="none"/>
          <w:tab w:val="left" w:pos="525" w:leader="none"/>
          <w:tab w:val="left" w:pos="945" w:leader="none"/>
        </w:tabs>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合同签订后供需双方即直接产生权利与义务的关系，合同执行过程中出现的问题应按照合同约定、法律法规的规定办理。在合同履行过程中，双方如有争议，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14:textFill>
            <w14:solidFill>
              <w14:schemeClr w14:val="tx1"/>
            </w14:solidFill>
          </w14:textFill>
        </w:rPr>
        <w:t xml:space="preserve">由供需双方协商处理，若协商不成，</w:t>
      </w:r>
      <w:r>
        <w:rPr>
          <w:rFonts w:hint="eastAsia" w:ascii="宋体" w:hAnsi="宋体"/>
          <w:bCs/>
          <w:color w:val="000000" w:themeColor="text1"/>
          <w:sz w:val="24"/>
          <w14:textFill>
            <w14:solidFill>
              <w14:schemeClr w14:val="tx1"/>
            </w14:solidFill>
          </w14:textFill>
        </w:rPr>
        <w:t xml:space="preserve">可选择以下</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u w:val="single"/>
          <w14:textFill>
            <w14:solidFill>
              <w14:schemeClr w14:val="tx1"/>
            </w14:solidFill>
          </w14:textFill>
        </w:rPr>
        <w:t xml:space="preserve">（1）</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方式处理：</w:t>
      </w:r>
      <w:r/>
    </w:p>
    <w:p>
      <w:pPr>
        <w:ind w:left="521" w:firstLine="480"/>
        <w:spacing w:after="0" w:line="360" w:lineRule="auto"/>
        <w:tabs>
          <w:tab w:val="left" w:pos="525" w:leader="none"/>
          <w:tab w:val="left" w:pos="945" w:leader="none"/>
        </w:tabs>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向无锡仲裁委员会申请仲裁。</w:t>
      </w:r>
      <w:r/>
    </w:p>
    <w:p>
      <w:pPr>
        <w:ind w:left="521" w:firstLine="480"/>
        <w:spacing w:after="0" w:line="360" w:lineRule="auto"/>
        <w:tabs>
          <w:tab w:val="left" w:pos="525" w:leader="none"/>
          <w:tab w:val="left" w:pos="945" w:leader="none"/>
        </w:tabs>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）向需方所在地法院提起诉讼。</w:t>
      </w:r>
      <w:r/>
    </w:p>
    <w:p>
      <w:pPr>
        <w:ind w:firstLine="480"/>
        <w:spacing w:after="0" w:line="360" w:lineRule="auto"/>
        <w:tabs>
          <w:tab w:val="left" w:pos="0" w:leader="none"/>
          <w:tab w:val="left" w:pos="52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3．合同在执行过程中出现的未尽事宜，双方在不违背本合同和招标文件的原则下协商解决，协商结果以书面形式签订补充协议，且补充协议与本合同具有同等效力。</w:t>
      </w:r>
      <w:r/>
    </w:p>
    <w:p>
      <w:pPr>
        <w:ind w:firstLine="480"/>
        <w:spacing w:after="0" w:line="360" w:lineRule="auto"/>
        <w:tabs>
          <w:tab w:val="left" w:pos="0" w:leader="none"/>
          <w:tab w:val="left" w:pos="525" w:leader="none"/>
          <w:tab w:val="left" w:pos="945" w:leader="none"/>
        </w:tabs>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4．合同中未有约定的按照有关的法律法规以及国家行业标准或技术文件规定予以解决。</w:t>
      </w:r>
      <w:r/>
    </w:p>
    <w:p>
      <w:pPr>
        <w:ind w:firstLine="480"/>
        <w:spacing w:after="0" w:line="360" w:lineRule="auto"/>
        <w:tabs>
          <w:tab w:val="left" w:pos="0" w:leader="none"/>
          <w:tab w:val="left" w:pos="52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5．供需双方确认：对本合同条款及后果均已知悉，一致确认不存在欺诈、胁迫、乘人之危、重大误解、显失公平等任何可能导致合同无效或被撤销的情形。</w:t>
      </w:r>
      <w:r/>
    </w:p>
    <w:p>
      <w:pPr>
        <w:pStyle w:val="883"/>
        <w:ind w:left="267" w:right="369" w:firstLine="464"/>
        <w:jc w:val="center"/>
        <w:tabs>
          <w:tab w:val="left" w:pos="360" w:leader="none"/>
          <w:tab w:val="left" w:pos="720"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83"/>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3"/>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3"/>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3"/>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ind w:firstLine="560"/>
        <w:jc w:val="left"/>
        <w:spacing w:line="360" w:lineRule="auto"/>
        <w:rPr>
          <w:rFonts w:hint="eastAsia" w:ascii="宋体" w:hAnsi="宋体"/>
          <w:b/>
          <w:color w:val="000000" w:themeColor="text1"/>
          <w:sz w:val="28"/>
          <w:szCs w:val="28"/>
          <w:lang w:bidi="ar"/>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附件1</w:t>
      </w:r>
      <w:r/>
    </w:p>
    <w:p>
      <w:pPr>
        <w:ind w:firstLine="560"/>
        <w:jc w:val="center"/>
        <w:spacing w:line="360" w:lineRule="auto"/>
        <w:rPr>
          <w:rFonts w:ascii="宋体" w:hAnsi="宋体"/>
          <w:b/>
          <w:color w:val="000000" w:themeColor="text1"/>
          <w:sz w:val="28"/>
          <w:szCs w:val="28"/>
          <w:lang w:bidi="ar"/>
          <w14:textFill>
            <w14:solidFill>
              <w14:schemeClr w14:val="tx1"/>
            </w14:solidFill>
          </w14:textFill>
        </w:rPr>
      </w:pPr>
      <w:r>
        <w:rPr>
          <w:rFonts w:hint="eastAsia" w:ascii="宋体" w:hAnsi="宋体"/>
          <w:b/>
          <w:color w:val="000000" w:themeColor="text1"/>
          <w:sz w:val="28"/>
          <w:szCs w:val="28"/>
          <w:lang w:bidi="ar"/>
          <w14:textFill>
            <w14:solidFill>
              <w14:schemeClr w14:val="tx1"/>
            </w14:solidFill>
          </w14:textFill>
        </w:rPr>
        <w:t xml:space="preserve">货物清单及明细报价</w:t>
      </w:r>
      <w:r/>
    </w:p>
    <w:p>
      <w:pPr>
        <w:pStyle w:val="1201"/>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07"/>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785"/>
        <w:gridCol w:w="720"/>
        <w:gridCol w:w="1440"/>
        <w:gridCol w:w="720"/>
        <w:gridCol w:w="720"/>
        <w:gridCol w:w="720"/>
        <w:gridCol w:w="900"/>
        <w:gridCol w:w="1034"/>
      </w:tblGrid>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标的物名称</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144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型号、规格</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w:t>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2</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3</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4</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5</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hint="eastAsia" w:ascii="宋体" w:hAnsi="宋体" w:eastAsia="宋体"/>
                <w:color w:val="auto"/>
                <w:sz w:val="24"/>
                <w:szCs w:val="24"/>
                <w:lang w:eastAsia="zh-CN"/>
              </w:rPr>
            </w:pPr>
            <w:r>
              <w:rPr>
                <w:rFonts w:hint="eastAsia" w:ascii="宋体" w:hAnsi="宋体" w:eastAsia="宋体"/>
                <w:color w:val="auto"/>
                <w:sz w:val="24"/>
                <w:szCs w:val="24"/>
                <w:lang w:val="en-US" w:eastAsia="zh-CN"/>
              </w:rPr>
              <w:t xml:space="preserve">总价</w:t>
            </w:r>
            <w:r/>
          </w:p>
        </w:tc>
        <w:tc>
          <w:tcPr>
            <w:gridSpan w:val="8"/>
            <w:tcW w:w="8039" w:type="dxa"/>
            <w:vAlign w:val="center"/>
            <w:textDirection w:val="lrTb"/>
            <w:noWrap w:val="false"/>
          </w:tcPr>
          <w:p>
            <w:pPr>
              <w:spacing w:line="400" w:lineRule="exact"/>
              <w:rPr>
                <w:rFonts w:hint="default" w:ascii="宋体" w:hAnsi="宋体" w:eastAsia="宋体"/>
                <w:color w:val="auto"/>
                <w:sz w:val="24"/>
                <w:szCs w:val="24"/>
                <w:lang w:val="en-US" w:eastAsia="zh-CN"/>
              </w:rPr>
            </w:pPr>
            <w:r>
              <w:rPr>
                <w:rFonts w:hint="eastAsia" w:ascii="宋体" w:hAnsi="宋体"/>
                <w:color w:val="auto"/>
                <w:sz w:val="24"/>
                <w:szCs w:val="24"/>
              </w:rPr>
              <w:t xml:space="preserve">金额大写         元</w:t>
            </w:r>
            <w:r>
              <w:rPr>
                <w:rFonts w:hint="eastAsia" w:ascii="宋体" w:hAnsi="宋体" w:eastAsia="宋体"/>
                <w:color w:val="auto"/>
                <w:sz w:val="24"/>
                <w:szCs w:val="24"/>
                <w:lang w:val="en-US" w:eastAsia="zh-CN"/>
              </w:rPr>
              <w:t xml:space="preserve">             小写        元</w:t>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bCs/>
                <w:color w:val="auto"/>
                <w:sz w:val="24"/>
                <w:lang w:val="zh-CN"/>
              </w:rPr>
              <w:t xml:space="preserve">交货期</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bCs/>
                <w:color w:val="auto"/>
                <w:sz w:val="24"/>
                <w:lang w:val="zh-CN"/>
              </w:rPr>
              <w:t xml:space="preserve">质量标准</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bCs/>
                <w:color w:val="auto"/>
                <w:sz w:val="24"/>
                <w:lang w:val="zh-CN"/>
              </w:rPr>
            </w:pPr>
            <w:r>
              <w:rPr>
                <w:rFonts w:hint="eastAsia" w:ascii="宋体" w:hAnsi="宋体"/>
                <w:bCs/>
                <w:color w:val="auto"/>
                <w:sz w:val="24"/>
                <w:lang w:val="zh-CN"/>
              </w:rPr>
              <w:t xml:space="preserve">质保期</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bl>
    <w:p>
      <w:pPr>
        <w:ind w:firstLine="560"/>
        <w:spacing w:line="480" w:lineRule="auto"/>
        <w:rPr>
          <w:rFonts w:ascii="宋体" w:hAnsi="宋体"/>
          <w:color w:val="000000" w:themeColor="text1"/>
          <w:sz w:val="24"/>
          <w:szCs w:val="24"/>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br w:type="page" w:clear="all"/>
      </w:r>
      <w:r>
        <w:rPr>
          <w:rFonts w:hint="eastAsia" w:ascii="宋体" w:hAnsi="宋体"/>
          <w:color w:val="000000" w:themeColor="text1"/>
          <w:sz w:val="24"/>
          <w:szCs w:val="24"/>
          <w:lang w:bidi="ar"/>
          <w14:textFill>
            <w14:solidFill>
              <w14:schemeClr w14:val="tx1"/>
            </w14:solidFill>
          </w14:textFill>
        </w:rPr>
        <w:t xml:space="preserve">附件2</w:t>
      </w:r>
      <w:r/>
    </w:p>
    <w:p>
      <w:pPr>
        <w:ind w:firstLine="480"/>
        <w:jc w:val="center"/>
        <w:spacing w:line="48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商品包装政府采购需求标准（试行）</w:t>
      </w:r>
      <w:r/>
    </w:p>
    <w:p>
      <w:pPr>
        <w:ind w:firstLine="482"/>
        <w:spacing w:after="0"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一、适用范围</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本标准规定了商品使用的塑料、纸质、木质等包装材料的环保要求。</w:t>
      </w:r>
      <w:r/>
    </w:p>
    <w:p>
      <w:pPr>
        <w:ind w:firstLine="482"/>
        <w:spacing w:after="0"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二、商品包装环保要求</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1.商品包装层数不得超过3层，空隙率不大于40%；</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2.商品包装尽可能使用单一材质的包装材料，如因功能需求</w:t>
      </w:r>
      <w:r>
        <w:rPr>
          <w:rFonts w:hint="eastAsia" w:ascii="宋体" w:hAnsi="宋体"/>
          <w:color w:val="000000" w:themeColor="text1"/>
          <w:sz w:val="24"/>
          <w:szCs w:val="24"/>
          <w:lang w:eastAsia="zh-CN" w:bidi="ar"/>
          <w14:textFill>
            <w14:solidFill>
              <w14:schemeClr w14:val="tx1"/>
            </w14:solidFill>
          </w14:textFill>
        </w:rPr>
        <w:t xml:space="preserve">必须</w:t>
      </w:r>
      <w:r>
        <w:rPr>
          <w:rFonts w:hint="eastAsia" w:ascii="宋体" w:hAnsi="宋体"/>
          <w:color w:val="000000" w:themeColor="text1"/>
          <w:sz w:val="24"/>
          <w:szCs w:val="24"/>
          <w:lang w:bidi="ar"/>
          <w14:textFill>
            <w14:solidFill>
              <w14:schemeClr w14:val="tx1"/>
            </w14:solidFill>
          </w14:textFill>
        </w:rPr>
        <w:t xml:space="preserve">使用不同材质，不同材质间应便于分离；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3.商品包装中铅、汞、镉、六价铬的总含量应不大于100mg/kg；</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4.商品包装印刷使用的油墨中挥发性有机化合物（VOCs）含量应不大于5%（以重量计）；</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5.塑料材质商品包装上呈现的印刷颜色不得超过6色；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6.纸质商品包装应使用75%以上的可再生纤维原料生产；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7.木质商品包装的原料应来源于可持续性森林。</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三、检测方法</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1.商品包装中重金属（铅、汞、镉、六价铬）总量的检测按照GB/T10004-2008《包装用塑料复合膜、袋干法复合、挤出复合》规定的方法进行。</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2.商品包装印刷使用的油墨中挥发性有机化合物（VOCs）的检测按照GB/T 23986-2009《色漆和清漆挥发性有机化合物（VOC）含量的测定气相色谱法》规定的方法进行。</w:t>
      </w:r>
      <w:r/>
    </w:p>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br w:type="page" w:clear="all"/>
      </w:r>
      <w:r>
        <w:rPr>
          <w:rFonts w:hint="eastAsia" w:ascii="宋体" w:hAnsi="宋体"/>
          <w:color w:val="000000" w:themeColor="text1"/>
          <w:sz w:val="24"/>
          <w:szCs w:val="24"/>
          <w:lang w:bidi="ar"/>
          <w14:textFill>
            <w14:solidFill>
              <w14:schemeClr w14:val="tx1"/>
            </w14:solidFill>
          </w14:textFill>
        </w:rPr>
        <w:t xml:space="preserve">附件3</w:t>
      </w:r>
      <w:r/>
    </w:p>
    <w:p>
      <w:pPr>
        <w:jc w:val="cente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快递包装政府采购需求标准（试行）</w:t>
      </w:r>
      <w:r/>
    </w:p>
    <w:p>
      <w:pPr>
        <w:ind w:firstLine="482"/>
        <w:spacing w:after="0"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一、适用范围</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本标准中的快递包装主要指快递封装材料，包括封套、胶带、面单、包装袋/箱、填充物、集装袋、周转箱等。</w:t>
      </w:r>
      <w:r/>
    </w:p>
    <w:p>
      <w:pPr>
        <w:ind w:firstLine="482"/>
        <w:spacing w:after="0"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二、快递包装环保要求</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1.快递包装中重金属（铅、汞、镉、六价铬）总量应不大于100mg/kg；</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2.快递包装印刷使用的油墨中不应添加邻苯二甲酸酯，其挥发性有机化合物（VOCs）含量应不大于5%（以重量计）；</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3.快递包装中使用纸基材的包装材料，纸基材中的有机氯的含量应不大于150mg/kg；</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4.快递包装中使用塑料基材的包装材料不得使用邻苯二甲酸二异壬酯、邻苯二甲酸二正辛酯、邻苯二甲酸二（2-乙基）己酯、邻苯二甲酸二异癸酯、邻苯二甲酸丁基苄基酯、邻苯二甲酸二丁酯等作为增塑剂；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5.快递中使用的塑料包装袋不得使用聚氯乙烯作为原料，且原料应为单一材质制成，生物分解率大于60%；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6.快递中使用的充气类填充物不得使用聚氯乙烯作为原料，且原料为单一材质制成，生物分解率大于60%；</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7.快递中使用的集装袋应为单一材质制成，其重复使用次数应不小于80次；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8.快递中应使用幅宽不大于45mm的生物降解胶带；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9.快递包装中不得使用溶剂型胶粘剂；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10.快递应使用电子面单；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11.直接使用商品包装作为快递包装的商品，其商品包装满足《商品包装政府采购需求标准（试行）》即可；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12.快递包装产品质量和封装方式应符合相关国家或行业标准技术指标要求。</w:t>
      </w:r>
      <w:r/>
    </w:p>
    <w:p>
      <w:pPr>
        <w:ind w:firstLine="482"/>
        <w:spacing w:after="0"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bidi="ar"/>
          <w14:textFill>
            <w14:solidFill>
              <w14:schemeClr w14:val="tx1"/>
            </w14:solidFill>
          </w14:textFill>
        </w:rPr>
        <w:t xml:space="preserve">三、检测方法</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1.快递包装中重金属（铅、汞、镉、六价铬）总量的检测按照GB/T10004-2008《包装用塑料复合膜、袋干法复合、挤出复合》规定的方法进行。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2.快递包装印刷使用的油墨中挥发性有机化合物（VOCs）的检测按照GB/T 23986-2009《色漆和清漆挥发性有机化合物（VOC）含量的测定气相色谱法》规定的方法进行。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3.快递包装所使用的塑料包装的生物降解率的检测按照GB/T 20197-2006《降解塑料的定义、分类、标识和降解性能要求》规定的方法进行。 </w:t>
      </w:r>
      <w:r/>
    </w:p>
    <w:p>
      <w:pPr>
        <w:ind w:firstLine="480"/>
        <w:spacing w:after="0"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4.快递包装使用纸基材的包装材料中有机氯的检测按照GB/T22904-2008《纸浆、纸和纸板总氯和有机氯的检定》规定的方法进行。</w:t>
      </w:r>
      <w:r/>
    </w:p>
    <w:p>
      <w:pPr>
        <w:ind w:firstLine="480"/>
        <w:spacing w:after="0" w:line="360" w:lineRule="auto"/>
        <w:rPr>
          <w:rFonts w:ascii="宋体" w:hAnsi="宋体"/>
          <w:b/>
          <w:color w:val="000000" w:themeColor="text1"/>
          <w:sz w:val="28"/>
          <w:szCs w:val="28"/>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5.快递包装中使用的生物降解胶带的生物降解率的检测按照GB/T19277.1《受控堆肥条件下材料最终需氧生物分解能力的测定采用测定释放的二氧化碳的方法第1部分：通用方法》规定的方法进行。</w:t>
      </w:r>
      <w:r/>
    </w:p>
    <w:p>
      <w:pPr>
        <w:rPr>
          <w:rFonts w:ascii="宋体" w:hAnsi="宋体" w:eastAsia="宋体" w:cs="宋体"/>
          <w:b/>
          <w:color w:val="000000" w:themeColor="text1"/>
          <w:sz w:val="36"/>
          <w:szCs w:val="36"/>
          <w:highlight w:val="none"/>
          <w14:textFill>
            <w14:solidFill>
              <w14:schemeClr w14:val="tx1"/>
            </w14:solidFill>
          </w14:textFill>
        </w:rPr>
      </w:pPr>
      <w:r>
        <w:rPr>
          <w:rFonts w:ascii="宋体" w:hAnsi="宋体" w:eastAsia="宋体" w:cs="宋体"/>
          <w:b/>
          <w:color w:val="000000" w:themeColor="text1"/>
          <w:sz w:val="36"/>
          <w:szCs w:val="36"/>
          <w:highlight w:val="none"/>
          <w14:textFill>
            <w14:solidFill>
              <w14:schemeClr w14:val="tx1"/>
            </w14:solidFill>
          </w14:textFill>
        </w:rPr>
      </w:r>
      <w:r/>
    </w:p>
    <w:p>
      <w:pPr>
        <w:rPr>
          <w:rFonts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bookmarkEnd w:id="137"/>
      <w:r/>
      <w:bookmarkEnd w:id="138"/>
      <w:r/>
      <w:bookmarkEnd w:id="139"/>
      <w:r/>
      <w:bookmarkEnd w:id="140"/>
      <w:r/>
      <w:r/>
    </w:p>
    <w:p>
      <w:pPr>
        <w:ind w:firstLine="480"/>
        <w:jc w:val="center"/>
        <w:spacing w:line="360" w:lineRule="auto"/>
        <w:rPr>
          <w:rFonts w:ascii="宋体" w:hAnsi="宋体" w:eastAsia="宋体" w:cs="宋体"/>
          <w:b/>
          <w:color w:val="auto"/>
          <w:sz w:val="36"/>
          <w:szCs w:val="36"/>
          <w:highlight w:val="none"/>
        </w:rPr>
        <w:outlineLvl w:val="0"/>
      </w:pPr>
      <w:r/>
      <w:bookmarkStart w:id="141" w:name="_Toc49090575"/>
      <w:r/>
      <w:bookmarkStart w:id="142" w:name="_Toc26554093"/>
      <w:r/>
      <w:bookmarkStart w:id="143" w:name="_Toc120614281"/>
      <w:r>
        <w:rPr>
          <w:rFonts w:hint="eastAsia" w:ascii="宋体" w:hAnsi="宋体" w:eastAsia="宋体" w:cs="宋体"/>
          <w:b/>
          <w:color w:val="auto"/>
          <w:sz w:val="36"/>
          <w:szCs w:val="36"/>
          <w:highlight w:val="none"/>
        </w:rPr>
        <w:t xml:space="preserve">第四章 采购需求</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第一部分  项目需求</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一、项目</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概况</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1.项目名称：市一中太湖新城分校实验室及专用教室仪器设备采购项目</w:t>
      </w:r>
      <w:r/>
    </w:p>
    <w:p>
      <w:pPr>
        <w:ind w:firstLine="482"/>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2.采购人：江苏无锡经济开发区发展中心、江苏无锡经济开发区教育局</w:t>
      </w:r>
      <w:r/>
    </w:p>
    <w:p>
      <w:pPr>
        <w:ind w:firstLine="482"/>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3.项目预算：19</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60</w:t>
      </w:r>
      <w:r>
        <w:rPr>
          <w:rFonts w:hint="eastAsia" w:ascii="宋体" w:hAnsi="宋体"/>
          <w:color w:val="000000" w:themeColor="text1"/>
          <w:sz w:val="24"/>
          <w:szCs w:val="24"/>
          <w:highlight w:val="none"/>
          <w14:textFill>
            <w14:solidFill>
              <w14:schemeClr w14:val="tx1"/>
            </w14:solidFill>
          </w14:textFill>
        </w:rPr>
        <w:t xml:space="preserve">万元，最高限价：19</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45.5</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2"/>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无锡市一中太湖新城分校物理、生物、化学实验室及多功能室的仪器设备等（招标范围包括货物的供货、安装、调试、培训、验收、售后服务等内容，中标供应商在供货前需要对接学校对产品数量、尺寸等进行复核）。</w:t>
      </w:r>
      <w:r/>
    </w:p>
    <w:p>
      <w:pPr>
        <w:ind w:firstLine="482"/>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5.本标的核心产品：学生用数码生物显微镜、学生操作设备（采购清单打“★”项）。</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6.采购标的物：本项目为货物采购，其中货物采购标的及对应的中小企业划分标准所属行业为工业</w:t>
      </w:r>
      <w:r>
        <w:rPr>
          <w:rFonts w:hint="eastAsia" w:ascii="宋体" w:hAnsi="宋体" w:cs="宋体"/>
          <w:color w:val="000000" w:themeColor="text1"/>
          <w:sz w:val="24"/>
          <w:highlight w:val="none"/>
          <w14:textFill>
            <w14:solidFill>
              <w14:schemeClr w14:val="tx1"/>
            </w14:solidFill>
          </w14:textFill>
        </w:rPr>
        <w:t xml:space="preserve">。</w:t>
      </w:r>
      <w:r/>
    </w:p>
    <w:p>
      <w:pPr>
        <w:numPr>
          <w:ilvl w:val="0"/>
          <w:numId w:val="11"/>
        </w:numPr>
        <w:ind w:left="-62" w:firstLine="482"/>
        <w:spacing w:line="360" w:lineRule="auto"/>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采购清单及技术要求：详见附件一、无锡市一中太湖新城分校实验室仪器设备招标清单</w:t>
      </w:r>
      <w:r/>
    </w:p>
    <w:p>
      <w:pPr>
        <w:numPr>
          <w:ilvl w:val="0"/>
          <w:numId w:val="0"/>
        </w:numPr>
        <w:ind w:left="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注：1、投标人必须在满足招标文件要求的基础上进行报价，如有技术偏离请于投标偏离表中说明。（注：投标供应商应在投标偏离表中进行填报）。</w:t>
      </w:r>
      <w:r/>
    </w:p>
    <w:p>
      <w:pPr>
        <w:numPr>
          <w:ilvl w:val="0"/>
          <w:numId w:val="0"/>
        </w:numPr>
        <w:ind w:left="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2、如采用与上述要求不一致且主观认为高于上述要求的材质，则应当在投标文件中详细描述，且必须提供相关证明文件，或者相关的国家技术规范，但供应商应承担被评委判定为负偏离的风险。</w:t>
      </w:r>
      <w:r/>
    </w:p>
    <w:p>
      <w:pPr>
        <w:numPr>
          <w:ilvl w:val="0"/>
          <w:numId w:val="0"/>
        </w:numPr>
        <w:ind w:left="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3、凡配置清单中如有</w:t>
      </w:r>
      <w:r>
        <w:rPr>
          <w:rFonts w:hint="eastAsia" w:ascii="宋体" w:hAnsi="宋体" w:eastAsia="宋体" w:cs="宋体"/>
          <w:color w:val="000000" w:themeColor="text1"/>
          <w:sz w:val="24"/>
          <w:highlight w:val="none"/>
          <w:lang w:eastAsia="zh-CN"/>
          <w14:textFill>
            <w14:solidFill>
              <w14:schemeClr w14:val="tx1"/>
            </w14:solidFill>
          </w14:textFill>
        </w:rPr>
        <w:t xml:space="preserve">涉及</w:t>
      </w:r>
      <w:r>
        <w:rPr>
          <w:rFonts w:hint="eastAsia" w:ascii="宋体" w:hAnsi="宋体" w:eastAsia="宋体" w:cs="宋体"/>
          <w:color w:val="000000" w:themeColor="text1"/>
          <w:sz w:val="24"/>
          <w:highlight w:val="none"/>
          <w14:textFill>
            <w14:solidFill>
              <w14:schemeClr w14:val="tx1"/>
            </w14:solidFill>
          </w14:textFill>
        </w:rPr>
        <w:t xml:space="preserve">品牌及产地的部分均可用同档次或高于其品质的替代，并在明细表中明确。</w:t>
      </w:r>
      <w:r/>
    </w:p>
    <w:p>
      <w:pPr>
        <w:numPr>
          <w:ilvl w:val="0"/>
          <w:numId w:val="0"/>
        </w:numPr>
        <w:ind w:left="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4、本项目中所有产品均须符合国家环保等相关标准。</w:t>
      </w:r>
      <w:r/>
    </w:p>
    <w:p>
      <w:pPr>
        <w:numPr>
          <w:ilvl w:val="0"/>
          <w:numId w:val="0"/>
        </w:numPr>
        <w:ind w:left="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5、投标人可对现场进行勘查（不统一组织、因供应商不进行现场勘查造成辅材附件费用计算不准等的后果均由供应商负责）。</w:t>
      </w:r>
      <w:r/>
    </w:p>
    <w:p>
      <w:pPr>
        <w:numPr>
          <w:ilvl w:val="0"/>
          <w:numId w:val="0"/>
        </w:numPr>
        <w:ind w:left="0" w:firstLine="420"/>
        <w:spacing w:line="360" w:lineRule="auto"/>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6.本项目需要对化学通风实验室、生物显微镜观察室、创客中心和生态标本馆进行深化设计，设计内容详见附件二、深化设计内容。</w:t>
      </w:r>
      <w:r/>
    </w:p>
    <w:p>
      <w:pPr>
        <w:numPr>
          <w:ilvl w:val="0"/>
          <w:numId w:val="11"/>
        </w:numPr>
        <w:ind w:left="-62" w:firstLine="482"/>
        <w:spacing w:line="360" w:lineRule="auto"/>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 xml:space="preserve">服务要求：</w:t>
      </w:r>
      <w:r/>
    </w:p>
    <w:p>
      <w:pPr>
        <w:pStyle w:val="846"/>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1.质量要求：符合国家、地方及相关行业标准。货物的验收包括：数量、外观、质量、性能、质保单、包装和乙方承诺的其他指标；验收标准根据有关规定及技术要求，原则上以通过计量检定或校准合格为准。</w:t>
      </w:r>
      <w:r/>
    </w:p>
    <w:p>
      <w:pPr>
        <w:pStyle w:val="846"/>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2.交货期：合同签订生效后80日历天内，完成供货、安装、调试，交付采购人使用。</w:t>
      </w:r>
      <w:r/>
    </w:p>
    <w:p>
      <w:pPr>
        <w:pStyle w:val="846"/>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3.质保期：3年（自终验收双方签署终验收报告之日起开始计算，质保期满后提供</w:t>
      </w:r>
      <w:r>
        <w:rPr>
          <w:rFonts w:hint="eastAsia" w:ascii="宋体" w:hAnsi="宋体"/>
          <w:color w:val="000000" w:themeColor="text1"/>
          <w:sz w:val="24"/>
          <w:szCs w:val="24"/>
          <w:highlight w:val="none"/>
          <w:lang w:eastAsia="zh-CN"/>
          <w14:textFill>
            <w14:solidFill>
              <w14:schemeClr w14:val="tx1"/>
            </w14:solidFill>
          </w14:textFill>
        </w:rPr>
        <w:t xml:space="preserve">终身</w:t>
      </w:r>
      <w:r>
        <w:rPr>
          <w:rFonts w:hint="eastAsia" w:ascii="宋体" w:hAnsi="宋体" w:eastAsia="宋体"/>
          <w:color w:val="000000" w:themeColor="text1"/>
          <w:sz w:val="24"/>
          <w:szCs w:val="24"/>
          <w:highlight w:val="none"/>
          <w14:textFill>
            <w14:solidFill>
              <w14:schemeClr w14:val="tx1"/>
            </w14:solidFill>
          </w14:textFill>
        </w:rPr>
        <w:t xml:space="preserve">有偿维修服务）。</w:t>
      </w:r>
      <w:r/>
    </w:p>
    <w:p>
      <w:pPr>
        <w:pStyle w:val="846"/>
        <w:ind w:firstLine="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4.本项目实施地点：无锡市一中太湖新城分校</w:t>
      </w:r>
      <w:r/>
    </w:p>
    <w:p>
      <w:pPr>
        <w:pStyle w:val="846"/>
        <w:ind w:firstLine="480"/>
        <w:rPr>
          <w:rFonts w:ascii="宋体" w:hAnsi="宋体" w:cs="宋体"/>
          <w:color w:val="000000" w:themeColor="text1"/>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5.付款方式：合同签订生效后30日内，支付合同价款的30%；货到验收合格后办理移交手续，支付至合同价款的80%，项目审计结束支付至审定价的95%，余款于审计结束两年后付清。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第二部分  </w:t>
      </w: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有关说明</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1.投标总报价包括满足本项目要求的所有产品及其配件、包装、运输、安装调试及售后服务等从项目中标起到项目正式交付以及质保期内所发生的一切费用。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采购人成立验收小组，按照采购合同的约定对中标供应商的履约情况进行验收。验收时间以采购人政府采购履约验收通知单发出为准。验收时，采购人按照采购合同的约定对每一项技术、商务要求的履约情况进行确认。验收结束后，验收小组出具验收书，给出项目总体评价，验收双方共同签署并盖章，履约验收的各项资料存档备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采购人在项目验收时如发现中标供应商所供产品技术参数与投标文件不符，采购人有权拒收货、拒付款，并按提供虚假材料谋取中标处理，供货方须承担相应的法律责任。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3.危险化学品储存间设备安装及验收要求 </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（1）★投标人须负责危险化学品储存间相关设备的供货、安装、调试及点位设施布设，整体施工须严格遵循《无锡市中学危险化学品安全管理规范》。</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（2）项目竣工后，须通过招标人组织的专家组验收，并取得《验收合格意见书》，否则视为未完成交付。</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4.生态标本馆的标本要求</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供货时须提供标本制作厂家取得的标本来源</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合法的相关证明材料</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（2）生态标本馆建设包含：馆内功能布局图纸设计、展陈设备安装调试、管线铺设，生态场景环境施工（含布景、绿化、灯光等）。</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（3）设计图纸及效果图须提交学校审核，取得确认后方可进场施工，安装过程中因设计变更产生的费用由投标人自行承担。</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5.废水处理设备范围及要求</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（1）本次废水处理设备包含室内外设备的供货、就位、安装与调试，以及相关配套设施系统联动测试及运行。</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产品质量必须符合《中华人民共和国国家标准》及我国最新颁布的与之相关的技术规范与正宗合格产品标准，同时必须满足采购清单中所列全部规格、型号、具体配置、技术条件及功能要求和供方承诺的其他指标；产品质量出现问题，供方负责包退、包换、包修，其费用由供方负责。</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供货期间，采购人可随时委托具有资质的第三方专业检测机构进行全过程跟踪检测，检测内容包括但不限于原材料、半成品、成品等。检测标准以国家、行业标准、招标文件及投标承诺为依据。供应商须无条件配合采购人、检测单位完成跟踪检测工作，并由采购人委托的检测单位出具检测报告及验收报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检验</w:t>
      </w:r>
      <w:r>
        <w:rPr>
          <w:rFonts w:hint="eastAsia" w:ascii="宋体" w:hAnsi="宋体" w:eastAsia="宋体" w:cs="宋体"/>
          <w:bCs/>
          <w:color w:val="000000" w:themeColor="text1"/>
          <w:sz w:val="24"/>
          <w:szCs w:val="24"/>
          <w:highlight w:val="none"/>
          <w14:textFill>
            <w14:solidFill>
              <w14:schemeClr w14:val="tx1"/>
            </w14:solidFill>
          </w14:textFill>
        </w:rPr>
        <w:t xml:space="preserve">合格的，相关检测费用由采购人支付</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检测结果不合格</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，中标供应商须按要求整改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并承担所有检测费用（包含复检费用）</w:t>
      </w:r>
      <w:r>
        <w:rPr>
          <w:rFonts w:hint="eastAsia" w:ascii="宋体" w:hAnsi="宋体" w:eastAsia="宋体" w:cs="宋体"/>
          <w:bCs/>
          <w:color w:val="000000" w:themeColor="text1"/>
          <w:sz w:val="24"/>
          <w:szCs w:val="24"/>
          <w:highlight w:val="none"/>
          <w14:textFill>
            <w14:solidFill>
              <w14:schemeClr w14:val="tx1"/>
            </w14:solidFill>
          </w14:textFill>
        </w:rPr>
        <w:t xml:space="preserve">；若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复检</w:t>
      </w:r>
      <w:r>
        <w:rPr>
          <w:rFonts w:hint="eastAsia" w:ascii="宋体" w:hAnsi="宋体" w:eastAsia="宋体" w:cs="宋体"/>
          <w:bCs/>
          <w:color w:val="000000" w:themeColor="text1"/>
          <w:sz w:val="24"/>
          <w:szCs w:val="24"/>
          <w:highlight w:val="none"/>
          <w14:textFill>
            <w14:solidFill>
              <w14:schemeClr w14:val="tx1"/>
            </w14:solidFill>
          </w14:textFill>
        </w:rPr>
        <w:t xml:space="preserve">结果</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仍</w:t>
      </w:r>
      <w:r>
        <w:rPr>
          <w:rFonts w:hint="eastAsia" w:ascii="宋体" w:hAnsi="宋体" w:eastAsia="宋体" w:cs="宋体"/>
          <w:bCs/>
          <w:color w:val="000000" w:themeColor="text1"/>
          <w:sz w:val="24"/>
          <w:szCs w:val="24"/>
          <w:highlight w:val="none"/>
          <w14:textFill>
            <w14:solidFill>
              <w14:schemeClr w14:val="tx1"/>
            </w14:solidFill>
          </w14:textFill>
        </w:rPr>
        <w:t xml:space="preserve">没有达到中标单</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位在</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投标文件中承诺的技术要求，采购人有权因此而终止部分直至全部合同，由此而造成的后果和责任由供应商全部承担。</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中小企业（或监狱企业或残疾人福利性单位），其中小企业声明函或残疾人福利性单位声明函或监狱企业证明材料将随中标公告同时发布，接受社会监督。投标人提供的声明函或证明材料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Cs/>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.凡涉及招标文件的补充说明或修正，均以书面依据为准。</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36"/>
          <w:szCs w:val="36"/>
          <w:highlight w:val="none"/>
        </w:rPr>
        <w:outlineLvl w:val="0"/>
      </w:pPr>
      <w:r>
        <w:rPr>
          <w:rFonts w:hint="eastAsia" w:ascii="宋体" w:hAnsi="宋体" w:eastAsia="宋体" w:cs="宋体"/>
          <w:b/>
          <w:color w:val="auto"/>
          <w:sz w:val="36"/>
          <w:szCs w:val="36"/>
          <w:highlight w:val="none"/>
        </w:rPr>
        <w:t xml:space="preserve">第五章</w:t>
      </w:r>
      <w:r>
        <w:rPr>
          <w:rFonts w:hint="eastAsia" w:ascii="宋体" w:hAnsi="宋体" w:eastAsia="宋体" w:cs="宋体"/>
          <w:b/>
          <w:bCs/>
          <w:color w:val="auto"/>
          <w:sz w:val="36"/>
          <w:szCs w:val="36"/>
          <w:highlight w:val="none"/>
        </w:rPr>
        <w:t xml:space="preserve">评标方法与评标标准</w:t>
      </w:r>
      <w:r/>
    </w:p>
    <w:p>
      <w:pPr>
        <w:pStyle w:val="993"/>
        <w:ind w:firstLine="452"/>
        <w:keepLines w:val="0"/>
        <w:keepNext w:val="0"/>
        <w:spacing w:before="0" w:after="0" w:line="360" w:lineRule="auto"/>
        <w:rPr>
          <w:rFonts w:ascii="宋体" w:hAnsi="宋体" w:cs="宋体"/>
          <w:color w:val="auto"/>
          <w:sz w:val="30"/>
          <w:szCs w:val="30"/>
          <w:highlight w:val="none"/>
          <w:lang w:eastAsia="zh-CN"/>
        </w:rPr>
        <w:outlineLvl w:val="1"/>
      </w:pPr>
      <w:r>
        <w:rPr>
          <w:rFonts w:hint="eastAsia" w:ascii="宋体" w:hAnsi="宋体" w:cs="宋体"/>
          <w:color w:val="auto"/>
          <w:sz w:val="30"/>
          <w:szCs w:val="30"/>
          <w:highlight w:val="none"/>
          <w:lang w:eastAsia="zh-CN"/>
        </w:rPr>
        <w:t xml:space="preserve">第一部分评标方法</w:t>
      </w:r>
      <w:r/>
    </w:p>
    <w:p>
      <w:pPr>
        <w:pStyle w:val="1233"/>
        <w:spacing w:before="0" w:after="0"/>
        <w:rPr>
          <w:rFonts w:ascii="宋体" w:hAnsi="宋体" w:cs="宋体"/>
          <w:color w:val="auto"/>
          <w:highlight w:val="none"/>
        </w:rPr>
      </w:pPr>
      <w:r>
        <w:rPr>
          <w:rFonts w:hint="eastAsia" w:ascii="宋体" w:hAnsi="宋体" w:cs="宋体"/>
          <w:color w:val="auto"/>
          <w:highlight w:val="none"/>
        </w:rPr>
        <w:t xml:space="preserve">投标人通过初审的，方可进入比较与评价程序。</w:t>
      </w:r>
      <w:r/>
    </w:p>
    <w:p>
      <w:pPr>
        <w:pStyle w:val="1233"/>
        <w:spacing w:before="0" w:after="0"/>
        <w:rPr>
          <w:rFonts w:ascii="宋体" w:hAnsi="宋体" w:cs="宋体"/>
          <w:color w:val="auto"/>
          <w:highlight w:val="none"/>
        </w:rPr>
      </w:pPr>
      <w:r>
        <w:rPr>
          <w:rFonts w:hint="eastAsia" w:ascii="宋体" w:hAnsi="宋体" w:cs="宋体"/>
          <w:color w:val="auto"/>
          <w:highlight w:val="none"/>
        </w:rPr>
        <w:t xml:space="preserve">比较与评价采用综合评分法。</w:t>
      </w:r>
      <w:r/>
    </w:p>
    <w:p>
      <w:pPr>
        <w:pStyle w:val="1233"/>
        <w:spacing w:before="0" w:after="0"/>
        <w:rPr>
          <w:rStyle w:val="926"/>
          <w:rFonts w:ascii="宋体" w:hAnsi="宋体" w:eastAsia="宋体" w:cs="宋体"/>
          <w:color w:val="000000" w:themeColor="text1"/>
          <w:highlight w:val="none"/>
          <w14:textFill>
            <w14:solidFill>
              <w14:schemeClr w14:val="tx1"/>
            </w14:solidFill>
          </w14:textFill>
        </w:rPr>
      </w:pPr>
      <w:r>
        <w:rPr>
          <w:rFonts w:hint="eastAsia" w:ascii="宋体" w:hAnsi="宋体" w:cs="宋体"/>
          <w:bCs/>
          <w:color w:val="auto"/>
          <w:highlight w:val="none"/>
        </w:rPr>
        <w:t xml:space="preserve">评标委员会遵循公平、公正、择优原则，独立按照评标标准分别评定投标供应商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投标文件满足招标文件全部实质性要求，且按照评审因素的量化指标评审得分最高、排名第一的供应商为该采购包的中标供应商。</w:t>
      </w:r>
      <w:r>
        <w:rPr>
          <w:rFonts w:hint="eastAsia" w:ascii="宋体" w:hAnsi="宋体" w:cs="宋体"/>
          <w:bCs/>
          <w:color w:val="000000" w:themeColor="text1"/>
          <w:highlight w:val="none"/>
          <w14:textFill>
            <w14:solidFill>
              <w14:schemeClr w14:val="tx1"/>
            </w14:solidFill>
          </w14:textFill>
        </w:rPr>
        <w:t xml:space="preserve">未列入本评分细则的其他条件不作为评分内容。</w:t>
      </w:r>
      <w:r/>
    </w:p>
    <w:p>
      <w:pPr>
        <w:pStyle w:val="1233"/>
        <w:spacing w:before="0" w:after="0"/>
        <w:rPr>
          <w:rFonts w:ascii="宋体" w:hAnsi="宋体" w:cs="宋体"/>
          <w:color w:val="auto"/>
          <w:highlight w:val="none"/>
          <w:shd w:val="clear" w:color="ffffff" w:fill="d9d9d9"/>
        </w:rPr>
      </w:pPr>
      <w:r>
        <w:rPr>
          <w:rFonts w:hint="eastAsia" w:ascii="宋体" w:hAnsi="宋体" w:cs="宋体"/>
          <w:bCs/>
          <w:color w:val="000000" w:themeColor="text1"/>
          <w:highlight w:val="none"/>
          <w:lang w:val="en-US" w:eastAsia="zh-CN"/>
          <w14:textFill>
            <w14:solidFill>
              <w14:schemeClr w14:val="tx1"/>
            </w14:solidFill>
          </w14:textFill>
        </w:rPr>
        <w:t xml:space="preserve">核心产品</w:t>
      </w:r>
      <w:r>
        <w:rPr>
          <w:rFonts w:hint="eastAsia" w:ascii="宋体" w:hAnsi="宋体" w:cs="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招标文件未规定的采取随机抽取方式确定，其他同品牌投标人</w:t>
      </w:r>
      <w:r>
        <w:rPr>
          <w:rFonts w:hint="eastAsia" w:ascii="宋体" w:hAnsi="宋体" w:cs="宋体"/>
          <w:bCs/>
          <w:color w:val="auto"/>
          <w:highlight w:val="none"/>
        </w:rPr>
        <w:t xml:space="preserve">无评审排名资格。非单一产品采购项目，多家投标人提供的核心产品品牌相同的，同上处理。</w:t>
      </w:r>
      <w:r/>
    </w:p>
    <w:p>
      <w:pPr>
        <w:ind w:firstLine="600"/>
        <w:jc w:val="left"/>
        <w:spacing w:line="360" w:lineRule="auto"/>
        <w:widowControl/>
        <w:rPr>
          <w:rFonts w:ascii="宋体" w:hAnsi="宋体" w:eastAsia="宋体" w:cs="宋体"/>
          <w:b/>
          <w:color w:val="auto"/>
          <w:sz w:val="30"/>
          <w:szCs w:val="30"/>
          <w:highlight w:val="none"/>
        </w:rPr>
        <w:outlineLvl w:val="1"/>
      </w:pPr>
      <w:r>
        <w:rPr>
          <w:rFonts w:hint="eastAsia" w:ascii="宋体" w:hAnsi="宋体" w:eastAsia="宋体" w:cs="宋体"/>
          <w:b/>
          <w:color w:val="auto"/>
          <w:sz w:val="30"/>
          <w:szCs w:val="30"/>
          <w:highlight w:val="none"/>
        </w:rPr>
        <w:t xml:space="preserve">第二部分评标标准</w:t>
      </w:r>
      <w:r/>
    </w:p>
    <w:p>
      <w:pPr>
        <w:pStyle w:val="1233"/>
        <w:numPr>
          <w:ilvl w:val="0"/>
          <w:numId w:val="0"/>
        </w:numPr>
        <w:spacing w:before="0" w:after="0"/>
        <w:rPr>
          <w:rFonts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一、</w:t>
      </w:r>
      <w:r>
        <w:rPr>
          <w:rFonts w:hint="eastAsia" w:ascii="宋体" w:hAnsi="宋体" w:cs="宋体"/>
          <w:b/>
          <w:color w:val="auto"/>
          <w:sz w:val="28"/>
          <w:szCs w:val="28"/>
          <w:highlight w:val="none"/>
        </w:rPr>
        <w:t xml:space="preserve">评分标准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（一）评分项目及总分（总分100分）</w:t>
      </w:r>
      <w:r/>
    </w:p>
    <w:p>
      <w:pPr>
        <w:ind w:firstLine="56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明标部分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（1）投标报价                                      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（2）供应商综合实力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8.5</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（3）技术响应                                    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1.5</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（4）产品功能视频演示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（5）政策性因素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 2分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暗标部分</w:t>
      </w:r>
      <w:r/>
    </w:p>
    <w:p>
      <w:pPr>
        <w:numPr>
          <w:ilvl w:val="0"/>
          <w:numId w:val="0"/>
        </w:num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Arial" w:cs="宋体"/>
          <w:b/>
          <w:bCs/>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cs="宋体"/>
          <w:b/>
          <w:bCs/>
          <w:color w:val="000000" w:themeColor="text1"/>
          <w:sz w:val="24"/>
          <w:szCs w:val="24"/>
          <w:highlight w:val="none"/>
          <w14:textFill>
            <w14:solidFill>
              <w14:schemeClr w14:val="tx1"/>
            </w14:solidFill>
          </w14:textFill>
        </w:rPr>
        <w:t xml:space="preserve">技术方案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35</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numPr>
          <w:ilvl w:val="0"/>
          <w:numId w:val="0"/>
        </w:num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t xml:space="preserve">（二）各项目评分标准</w:t>
      </w:r>
      <w:r/>
    </w:p>
    <w:p>
      <w:pPr>
        <w:numPr>
          <w:ilvl w:val="0"/>
          <w:numId w:val="0"/>
        </w:numPr>
        <w:ind w:firstLine="482"/>
        <w:spacing w:line="360"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（1）投标报价（3</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highlight w:val="none"/>
          <w14:textFill>
            <w14:solidFill>
              <w14:schemeClr w14:val="tx1"/>
            </w14:solidFill>
          </w14:textFill>
        </w:rPr>
        <w:t xml:space="preserve">分）</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注：a.对于非专门面向小微企业的项目，对小微企业报价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 c.残疾人福利性单位参加政府采购活动视同小型、微型企业，享受评审价格扣除10%的政府采购优惠政策。参加报价的残疾人福利性单位，应当按照财政部民政部《中国残疾人联合会关于促进残疾人就业政府采购政策的通知》（财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color w:val="000000" w:themeColor="text1"/>
          <w:sz w:val="24"/>
          <w:szCs w:val="24"/>
          <w:highlight w:val="none"/>
          <w14:textFill>
            <w14:solidFill>
              <w14:schemeClr w14:val="tx1"/>
            </w14:solidFill>
          </w14:textFill>
        </w:rPr>
        <w:t xml:space="preserve">）的规定提供《残疾人福利性单位声明函》（格式见附件）。</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同一投标人，上述三项价格扣除优惠不得重复享受。</w:t>
      </w:r>
      <w:r/>
    </w:p>
    <w:p>
      <w:pPr>
        <w:numPr>
          <w:ilvl w:val="0"/>
          <w:numId w:val="0"/>
        </w:num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（2）供应商综合实力（</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8.5</w:t>
      </w:r>
      <w:r>
        <w:rPr>
          <w:rFonts w:hint="eastAsia" w:ascii="宋体" w:hAnsi="宋体" w:eastAsia="宋体" w:cs="宋体"/>
          <w:b/>
          <w:color w:val="000000" w:themeColor="text1"/>
          <w:sz w:val="24"/>
          <w:highlight w:val="none"/>
          <w14:textFill>
            <w14:solidFill>
              <w14:schemeClr w14:val="tx1"/>
            </w14:solidFill>
          </w14:textFill>
        </w:rPr>
        <w:t xml:space="preserve">分）</w:t>
      </w:r>
      <w:r/>
    </w:p>
    <w:p>
      <w:pPr>
        <w:ind w:firstLine="787"/>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业绩（2分）</w:t>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自2022年1月1日以来（以合同签订时间为准），投标人具有独立承接并完成类似实验室建设业绩的，每提供一份业绩得1分，最多得2分。提供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完整的</w:t>
      </w:r>
      <w:r>
        <w:rPr>
          <w:rFonts w:hint="eastAsia" w:ascii="宋体" w:hAnsi="宋体" w:eastAsia="宋体" w:cs="宋体"/>
          <w:color w:val="000000" w:themeColor="text1"/>
          <w:sz w:val="24"/>
          <w:szCs w:val="24"/>
          <w:highlight w:val="none"/>
          <w14:textFill>
            <w14:solidFill>
              <w14:schemeClr w14:val="tx1"/>
            </w14:solidFill>
          </w14:textFill>
        </w:rPr>
        <w:t xml:space="preserve">业绩合同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供货清单</w:t>
      </w:r>
      <w:r>
        <w:rPr>
          <w:rFonts w:hint="eastAsia" w:ascii="宋体" w:hAnsi="宋体" w:eastAsia="宋体" w:cs="宋体"/>
          <w:color w:val="000000" w:themeColor="text1"/>
          <w:sz w:val="24"/>
          <w:szCs w:val="24"/>
          <w:highlight w:val="none"/>
          <w14:textFill>
            <w14:solidFill>
              <w14:schemeClr w14:val="tx1"/>
            </w14:solidFill>
          </w14:textFill>
        </w:rPr>
        <w:t xml:space="preserve">原件扫描件上传系统并签章，不提供或提供不符合要求均不得分</w:t>
      </w:r>
      <w:r>
        <w:rPr>
          <w:rFonts w:hint="eastAsia" w:ascii="宋体"/>
          <w:color w:val="000000" w:themeColor="text1"/>
          <w:sz w:val="24"/>
          <w:highlight w:val="none"/>
          <w14:textFill>
            <w14:solidFill>
              <w14:schemeClr w14:val="tx1"/>
            </w14:solidFill>
          </w14:textFill>
        </w:rPr>
        <w:t xml:space="preserve">。</w:t>
      </w:r>
      <w:r/>
    </w:p>
    <w:p>
      <w:pPr>
        <w:ind w:firstLine="787"/>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企业资质</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投标人具有有效的五星级售后服务认证证书、质量管理体系认证证书（ISO9001）每提供一项的得1分，最高得2分；须提供相应有效证书扫描件并加盖投标人公章，否则不得分</w:t>
      </w:r>
      <w:r>
        <w:rPr>
          <w:rFonts w:hint="eastAsia" w:ascii="宋体"/>
          <w:color w:val="000000" w:themeColor="text1"/>
          <w:sz w:val="24"/>
          <w:highlight w:val="none"/>
          <w14:textFill>
            <w14:solidFill>
              <w14:schemeClr w14:val="tx1"/>
            </w14:solidFill>
          </w14:textFill>
        </w:rPr>
        <w:t xml:space="preserve">。</w:t>
      </w:r>
      <w:r/>
    </w:p>
    <w:p>
      <w:pPr>
        <w:ind w:firstLine="787"/>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4.5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投标人为本项目配备一名项目负责人，具有电工证书</w:t>
      </w:r>
      <w:r>
        <w:rPr>
          <w:rFonts w:hint="eastAsia" w:ascii="宋体" w:hAnsi="宋体" w:eastAsia="宋体" w:cs="宋体"/>
          <w:color w:val="000000" w:themeColor="text1"/>
          <w:sz w:val="24"/>
          <w:szCs w:val="24"/>
          <w:highlight w:val="none"/>
          <w14:textFill>
            <w14:solidFill>
              <w14:schemeClr w14:val="tx1"/>
            </w14:solidFill>
          </w14:textFill>
        </w:rPr>
        <w:t xml:space="preserve">得1分，最高得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投标人为本项目配备的项目组成员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14:textFill>
            <w14:solidFill>
              <w14:schemeClr w14:val="tx1"/>
            </w14:solidFill>
          </w14:textFill>
        </w:rPr>
        <w:t xml:space="preserve">中级注册安全工程师（其他安全）证书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信息系统项目管理师证书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信息系统分析师证书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人工智能（AI）应用工程师证书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人工智能训练师（中级）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4"/>
          <w:szCs w:val="24"/>
          <w:highlight w:val="none"/>
          <w14:textFill>
            <w14:solidFill>
              <w14:schemeClr w14:val="tx1"/>
            </w14:solidFill>
          </w14:textFill>
        </w:rPr>
        <w:t xml:space="preserve">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电子信息类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高级</w:t>
      </w:r>
      <w:r>
        <w:rPr>
          <w:rFonts w:hint="eastAsia" w:ascii="宋体" w:hAnsi="宋体" w:eastAsia="宋体" w:cs="宋体"/>
          <w:color w:val="000000" w:themeColor="text1"/>
          <w:sz w:val="24"/>
          <w:szCs w:val="24"/>
          <w:highlight w:val="none"/>
          <w14:textFill>
            <w14:solidFill>
              <w14:schemeClr w14:val="tx1"/>
            </w14:solidFill>
          </w14:textFill>
        </w:rPr>
        <w:t xml:space="preserve">工程师证书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智能化系统工程师（高级）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证书</w:t>
      </w:r>
      <w:r>
        <w:rPr>
          <w:rFonts w:hint="eastAsia" w:ascii="宋体" w:hAnsi="宋体" w:eastAsia="宋体" w:cs="宋体"/>
          <w:color w:val="000000" w:themeColor="text1"/>
          <w:sz w:val="24"/>
          <w:szCs w:val="24"/>
          <w:highlight w:val="none"/>
          <w14:textFill>
            <w14:solidFill>
              <w14:schemeClr w14:val="tx1"/>
            </w14:solidFill>
          </w14:textFill>
        </w:rPr>
        <w:t xml:space="preserve">，每提供1类证书得0.5分，最高得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注：①项目组成员一人多证的，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w:t>
      </w:r>
      <w:r>
        <w:rPr>
          <w:rFonts w:hint="eastAsia" w:ascii="宋体" w:hAnsi="宋体" w:eastAsia="宋体" w:cs="宋体"/>
          <w:color w:val="000000" w:themeColor="text1"/>
          <w:sz w:val="24"/>
          <w:szCs w:val="24"/>
          <w:highlight w:val="none"/>
          <w14:textFill>
            <w14:solidFill>
              <w14:schemeClr w14:val="tx1"/>
            </w14:solidFill>
          </w14:textFill>
        </w:rPr>
        <w:t xml:space="preserve">重复得分。</w:t>
      </w:r>
      <w:r>
        <w:rPr>
          <w:rFonts w:hint="eastAsia" w:ascii="宋体" w:hAnsi="宋体" w:eastAsia="宋体" w:cs="宋体"/>
          <w:color w:val="000000" w:themeColor="text1"/>
          <w:sz w:val="24"/>
          <w:szCs w:val="24"/>
          <w:highlight w:val="none"/>
          <w14:textFill>
            <w14:solidFill>
              <w14:schemeClr w14:val="tx1"/>
            </w14:solidFill>
          </w14:textFill>
        </w:rPr>
        <w:t xml:space="preserve">②提供相应证明材料及表格要求提供所填人员社保证明，提供投标人一年中为其缴纳社保的缴费证明（至少包含近一年中任意一个月份（不含投标当月）缴纳社保的证明。以上原件扫描件上传至电子标书中并加盖投标人电子公章，否则不得分</w:t>
      </w:r>
      <w:r>
        <w:rPr>
          <w:rFonts w:hint="eastAsia" w:ascii="宋体" w:hAnsi="宋体" w:cs="宋体"/>
          <w:bCs/>
          <w:color w:val="000000" w:themeColor="text1"/>
          <w:sz w:val="24"/>
          <w:szCs w:val="24"/>
          <w:highlight w:val="none"/>
          <w14:textFill>
            <w14:solidFill>
              <w14:schemeClr w14:val="tx1"/>
            </w14:solidFill>
          </w14:textFill>
        </w:rPr>
        <w:t xml:space="preserve">。</w:t>
      </w:r>
      <w:r/>
    </w:p>
    <w:p>
      <w:pPr>
        <w:pStyle w:val="811"/>
        <w:numPr>
          <w:ilvl w:val="0"/>
          <w:numId w:val="0"/>
        </w:numPr>
        <w:ind w:left="0" w:firstLine="422"/>
        <w:spacing w:line="360" w:lineRule="auto"/>
        <w:rPr>
          <w:color w:val="000000" w:themeColor="text1"/>
          <w:sz w:val="24"/>
          <w:szCs w:val="24"/>
          <w:highlight w:val="none"/>
          <w14:textFill>
            <w14:solidFill>
              <w14:schemeClr w14:val="tx1"/>
            </w14:solidFill>
          </w14:textFill>
        </w:rPr>
      </w:pPr>
      <w:r>
        <w:rPr>
          <w:rFonts w:hint="default" w:ascii="华文中宋" w:hAnsi="Times New Roman" w:eastAsia="华文中宋" w:cs="Times New Roman"/>
          <w:b/>
          <w:bCs w:val="0"/>
          <w:color w:val="000000" w:themeColor="text1"/>
          <w:sz w:val="24"/>
          <w:szCs w:val="24"/>
          <w:lang w:val="en-US" w:eastAsia="zh-CN" w:bidi="ar-SA"/>
          <w14:textFill>
            <w14:solidFill>
              <w14:schemeClr w14:val="tx1"/>
            </w14:solidFill>
          </w14:textFill>
        </w:rPr>
        <w:t xml:space="preserve">（3）</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技</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术响应</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11.5</w:t>
      </w:r>
      <w:r>
        <w:rPr>
          <w:rFonts w:hint="eastAsia" w:ascii="宋体" w:hAnsi="宋体" w:eastAsia="宋体" w:cs="宋体"/>
          <w:b/>
          <w:color w:val="000000" w:themeColor="text1"/>
          <w:sz w:val="24"/>
          <w:highlight w:val="none"/>
          <w14:textFill>
            <w14:solidFill>
              <w14:schemeClr w14:val="tx1"/>
            </w14:solidFill>
          </w14:textFill>
        </w:rPr>
        <w:t xml:space="preserve">分</w:t>
      </w:r>
      <w:r>
        <w:rPr>
          <w:rFonts w:hint="eastAsia" w:ascii="宋体" w:hAnsi="宋体" w:eastAsia="宋体" w:cs="宋体"/>
          <w:b/>
          <w:color w:val="000000" w:themeColor="text1"/>
          <w:sz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 </w:t>
      </w:r>
      <w:r/>
    </w:p>
    <w:p>
      <w:pPr>
        <w:ind w:left="0" w:firstLine="638"/>
        <w:spacing w:line="36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质保期</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11"/>
        <w:ind w:firstLine="480"/>
        <w:spacing w:line="360" w:lineRule="auto"/>
        <w:rPr>
          <w:rFonts w:hint="default" w:eastAsia="华文中宋"/>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投标人在满足招标文件的基础上（质保期3年），承诺质保期每延长一年加0.5</w:t>
      </w:r>
      <w:r>
        <w:rPr>
          <w:rFonts w:hint="eastAsia"/>
          <w:color w:val="000000" w:themeColor="text1"/>
          <w:sz w:val="24"/>
          <w:szCs w:val="24"/>
          <w:highlight w:val="none"/>
          <w14:textFill>
            <w14:solidFill>
              <w14:schemeClr w14:val="tx1"/>
            </w14:solidFill>
          </w14:textFill>
        </w:rPr>
        <w:t xml:space="preserve">分，最高得</w:t>
      </w:r>
      <w:r>
        <w:rPr>
          <w:rFonts w:hint="eastAsia"/>
          <w:color w:val="000000" w:themeColor="text1"/>
          <w:sz w:val="24"/>
          <w:szCs w:val="24"/>
          <w:highlight w:val="none"/>
          <w:lang w:val="en-US" w:eastAsia="zh-CN"/>
          <w14:textFill>
            <w14:solidFill>
              <w14:schemeClr w14:val="tx1"/>
            </w14:solidFill>
          </w14:textFill>
        </w:rPr>
        <w:t xml:space="preserve">2.5</w:t>
      </w:r>
      <w:r>
        <w:rPr>
          <w:rFonts w:hint="eastAsia"/>
          <w:color w:val="000000" w:themeColor="text1"/>
          <w:sz w:val="24"/>
          <w:szCs w:val="24"/>
          <w:highlight w:val="none"/>
          <w14:textFill>
            <w14:solidFill>
              <w14:schemeClr w14:val="tx1"/>
            </w14:solidFill>
          </w14:textFill>
        </w:rPr>
        <w:t xml:space="preserve">分</w:t>
      </w:r>
      <w:r>
        <w:rPr>
          <w:rFonts w:hint="eastAsia"/>
          <w:color w:val="000000" w:themeColor="text1"/>
          <w:sz w:val="24"/>
          <w:szCs w:val="24"/>
          <w:highlight w:val="none"/>
          <w14:textFill>
            <w14:solidFill>
              <w14:schemeClr w14:val="tx1"/>
            </w14:solidFill>
          </w14:textFill>
        </w:rPr>
        <w:t xml:space="preserve">。提供承诺书原件扫描件上传至电子标书中并加盖投标人电子公章，否则不得分。</w:t>
      </w:r>
      <w:r/>
    </w:p>
    <w:p>
      <w:pPr>
        <w:numPr>
          <w:ilvl w:val="0"/>
          <w:numId w:val="12"/>
        </w:numPr>
        <w:ind w:left="0" w:firstLine="6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软著及证书证明材料（2分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0" w:firstLine="638"/>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1、物理实验室、化学实验室的远程控制系统：提供实验室远程控制系统的计算机软件著作权登记证书原件扫描件得1分，不提供不得分。</w:t>
      </w:r>
      <w:r/>
    </w:p>
    <w:p>
      <w:pPr>
        <w:ind w:left="0" w:firstLine="638"/>
        <w:spacing w:line="360" w:lineRule="auto"/>
        <w:rPr>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、托盘天平（架盘天平）（高中物理教学仪器）：提供主管部门颁发的《计量器具型式批准证书》原件扫描件得1分，不提供不得分。</w:t>
      </w:r>
      <w:r/>
    </w:p>
    <w:p>
      <w:pPr>
        <w:numPr>
          <w:ilvl w:val="0"/>
          <w:numId w:val="12"/>
        </w:numPr>
        <w:ind w:left="0" w:firstLine="64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检测报告相关证明材料（7分）</w:t>
      </w:r>
      <w:r/>
    </w:p>
    <w:tbl>
      <w:tblPr>
        <w:tblStyle w:val="834"/>
        <w:tblW w:w="95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6"/>
        <w:gridCol w:w="2200"/>
        <w:gridCol w:w="5581"/>
      </w:tblGrid>
      <w:tr>
        <w:trPr>
          <w:trHeight w:val="3875"/>
        </w:trPr>
        <w:tc>
          <w:tcPr>
            <w:tcW w:w="1776" w:type="dxa"/>
            <w:vAlign w:val="center"/>
            <w:vMerge w:val="restart"/>
            <w:textDirection w:val="lrTb"/>
            <w:noWrap w:val="false"/>
          </w:tcPr>
          <w:p>
            <w:pPr>
              <w:jc w:val="center"/>
              <w:keepLines w:val="0"/>
              <w:keepNext w:val="0"/>
              <w:pageBreakBefore w:val="0"/>
              <w:spacing w:after="0"/>
              <w:widowControl/>
              <w:rPr>
                <w:rFonts w:hint="eastAsia" w:ascii="宋体" w:hAnsi="宋体"/>
                <w:color w:val="000000" w:themeColor="text1"/>
                <w:sz w:val="24"/>
                <w:szCs w:val="24"/>
                <w:lang w:val="en-US" w:eastAsia="zh-CN" w:bidi="ar"/>
                <w14:textFill>
                  <w14:solidFill>
                    <w14:schemeClr w14:val="tx1"/>
                  </w14:solidFill>
                </w14:textFill>
              </w:rPr>
            </w:pPr>
            <w:r>
              <w:rPr>
                <w:rFonts w:hint="eastAsia" w:ascii="宋体" w:hAnsi="宋体"/>
                <w:color w:val="000000" w:themeColor="text1"/>
                <w:sz w:val="24"/>
                <w:szCs w:val="24"/>
                <w:lang w:val="en-US" w:eastAsia="zh-CN" w:bidi="ar"/>
                <w14:textFill>
                  <w14:solidFill>
                    <w14:schemeClr w14:val="tx1"/>
                  </w14:solidFill>
                </w14:textFill>
              </w:rPr>
              <w:t xml:space="preserve">检测报告</w:t>
            </w:r>
            <w:r/>
          </w:p>
          <w:p>
            <w:pPr>
              <w:jc w:val="center"/>
              <w:keepLines w:val="0"/>
              <w:keepNext w:val="0"/>
              <w:pageBreakBefore w:val="0"/>
              <w:spacing w:after="0"/>
              <w:widowControl/>
              <w:rPr>
                <w:rFonts w:ascii="宋体" w:hAnsi="宋体"/>
                <w:color w:val="000000" w:themeColor="text1"/>
                <w:sz w:val="24"/>
                <w:szCs w:val="24"/>
                <w:lang w:bidi="ar"/>
                <w14:textFill>
                  <w14:solidFill>
                    <w14:schemeClr w14:val="tx1"/>
                  </w14:solidFill>
                </w14:textFill>
              </w:rPr>
            </w:pPr>
            <w:r>
              <w:rPr>
                <w:rFonts w:hint="eastAsia" w:ascii="宋体" w:hAnsi="宋体"/>
                <w:color w:val="000000" w:themeColor="text1"/>
                <w:sz w:val="24"/>
                <w:szCs w:val="24"/>
                <w:highlight w:val="none"/>
                <w:lang w:bidi="ar"/>
                <w14:textFill>
                  <w14:solidFill>
                    <w14:schemeClr w14:val="tx1"/>
                  </w14:solidFill>
                </w14:textFill>
              </w:rPr>
              <w:t xml:space="preserve">（</w:t>
            </w:r>
            <w:r>
              <w:rPr>
                <w:rFonts w:hint="eastAsia" w:ascii="宋体" w:hAnsi="宋体"/>
                <w:color w:val="000000" w:themeColor="text1"/>
                <w:sz w:val="24"/>
                <w:szCs w:val="24"/>
                <w:highlight w:val="none"/>
                <w:lang w:val="en-US" w:eastAsia="zh-CN" w:bidi="ar"/>
                <w14:textFill>
                  <w14:solidFill>
                    <w14:schemeClr w14:val="tx1"/>
                  </w14:solidFill>
                </w14:textFill>
              </w:rPr>
              <w:t xml:space="preserve">7</w:t>
            </w:r>
            <w:r>
              <w:rPr>
                <w:rFonts w:hint="eastAsia" w:ascii="宋体" w:hAnsi="宋体"/>
                <w:color w:val="000000" w:themeColor="text1"/>
                <w:sz w:val="24"/>
                <w:szCs w:val="24"/>
                <w:highlight w:val="none"/>
                <w:lang w:bidi="ar"/>
                <w14:textFill>
                  <w14:solidFill>
                    <w14:schemeClr w14:val="tx1"/>
                  </w14:solidFill>
                </w14:textFill>
              </w:rPr>
              <w:t xml:space="preserve">分）</w:t>
            </w:r>
            <w:r/>
          </w:p>
        </w:tc>
        <w:tc>
          <w:tcPr>
            <w:gridSpan w:val="2"/>
            <w:tcW w:w="7781" w:type="dxa"/>
            <w:vAlign w:val="center"/>
            <w:textDirection w:val="lrTb"/>
            <w:noWrap w:val="false"/>
          </w:tcPr>
          <w:p>
            <w:pPr>
              <w:keepLines w:val="0"/>
              <w:keepNext w:val="0"/>
              <w:pageBreakBefore w:val="0"/>
              <w:spacing w:after="0"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投标供应商提供符合国家CMA认证的第三方检测机构出具的检测报告原件扫描件放入投标文件，每提供一项得1分。</w:t>
            </w:r>
            <w:r/>
          </w:p>
          <w:p>
            <w:pPr>
              <w:keepLines w:val="0"/>
              <w:keepNext w:val="0"/>
              <w:pageBreakBefore w:val="0"/>
              <w:spacing w:after="0"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注：1、检测报告须带有CMA标识。投标文件中提供的检验报告材料必须清晰且完整含封底及封面，仅提供局部内容的检测报告视为无效；</w:t>
            </w:r>
            <w:r/>
          </w:p>
          <w:p>
            <w:pPr>
              <w:keepLines w:val="0"/>
              <w:keepNext w:val="0"/>
              <w:pageBreakBefore w:val="0"/>
              <w:spacing w:after="0" w:line="360" w:lineRule="auto"/>
              <w:widowControl/>
              <w:rPr>
                <w:rFonts w:ascii="宋体" w:hAnsi="宋体"/>
                <w:strike/>
                <w:color w:val="000000" w:themeColor="text1"/>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2、检测报告上的名称无需完全一致，但内容(功能)需相同，名称与评分要求不同时，应提供内容(功能)说明及包含的关键信息，须与本次采购内容相关，否则不予认可；</w:t>
            </w:r>
            <w:r/>
          </w:p>
          <w:p>
            <w:pPr>
              <w:keepLines w:val="0"/>
              <w:keepNext w:val="0"/>
              <w:pageBreakBefore w:val="0"/>
              <w:spacing w:after="0"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3、资料未提供、提供不全或不符合要求的均不得分。</w:t>
            </w:r>
            <w:r/>
          </w:p>
        </w:tc>
      </w:tr>
      <w:tr>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default"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1.实验凳主要基材</w:t>
            </w:r>
            <w:r>
              <w:rPr>
                <w:rFonts w:hint="eastAsia" w:ascii="宋体" w:hAnsi="宋体" w:cs="宋体"/>
                <w:color w:val="000000" w:themeColor="text1"/>
                <w:sz w:val="24"/>
                <w:szCs w:val="24"/>
                <w:lang w:eastAsia="zh-CN" w:bidi="ar"/>
                <w14:textFill>
                  <w14:solidFill>
                    <w14:schemeClr w14:val="tx1"/>
                  </w14:solidFill>
                </w14:textFill>
              </w:rPr>
              <w:t xml:space="preserve">：聚丙烯凳面塑料</w:t>
            </w:r>
            <w:r/>
          </w:p>
        </w:tc>
        <w:tc>
          <w:tcPr>
            <w:tcW w:w="5581" w:type="dxa"/>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GB/T 2408-2021 水平燃烧性能符合规定的HB级要求：移去引燃源后材料没有可见有焰燃烧或在引燃源移去后，试样出现连续的有焰燃烧，但火焰前端未超过100mm标线；垂直燃烧性能符合规定的V-0级要求（1分）</w:t>
            </w:r>
            <w:r/>
          </w:p>
        </w:tc>
      </w:tr>
      <w:tr>
        <w:trPr>
          <w:trHeight w:val="1566"/>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2</w:t>
            </w:r>
            <w:r>
              <w:rPr>
                <w:rFonts w:hint="eastAsia" w:ascii="宋体" w:hAnsi="宋体" w:eastAsia="宋体" w:cs="宋体"/>
                <w:color w:val="000000" w:themeColor="text1"/>
                <w:sz w:val="24"/>
                <w:szCs w:val="24"/>
                <w:lang w:bidi="ar"/>
                <w14:textFill>
                  <w14:solidFill>
                    <w14:schemeClr w14:val="tx1"/>
                  </w14:solidFill>
                </w14:textFill>
              </w:rPr>
              <w:t xml:space="preserve">.化学学生实验桌主要基材：铸铝件和铝合金型材</w:t>
            </w:r>
            <w:r/>
          </w:p>
        </w:tc>
        <w:tc>
          <w:tcPr>
            <w:tcW w:w="5581" w:type="dxa"/>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GB/T 10125-2021 人造气氛腐蚀试验 盐雾试验：≥</w:t>
            </w:r>
            <w:r>
              <w:rPr>
                <w:rFonts w:hint="eastAsia" w:ascii="宋体" w:hAnsi="宋体" w:cs="宋体"/>
                <w:color w:val="000000" w:themeColor="text1"/>
                <w:sz w:val="24"/>
                <w:szCs w:val="24"/>
                <w:lang w:val="en-US" w:eastAsia="zh-CN" w:bidi="ar"/>
                <w14:textFill>
                  <w14:solidFill>
                    <w14:schemeClr w14:val="tx1"/>
                  </w14:solidFill>
                </w14:textFill>
              </w:rPr>
              <w:t xml:space="preserve">24</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0</w:t>
            </w:r>
            <w:r>
              <w:rPr>
                <w:rFonts w:hint="eastAsia" w:ascii="宋体" w:hAnsi="宋体" w:eastAsia="宋体" w:cs="宋体"/>
                <w:color w:val="000000" w:themeColor="text1"/>
                <w:sz w:val="24"/>
                <w:szCs w:val="24"/>
                <w:highlight w:val="none"/>
                <w:lang w:bidi="ar"/>
                <w14:textFill>
                  <w14:solidFill>
                    <w14:schemeClr w14:val="tx1"/>
                  </w14:solidFill>
                </w14:textFill>
              </w:rPr>
              <w:t xml:space="preserve">h</w:t>
            </w:r>
            <w:r>
              <w:rPr>
                <w:rFonts w:hint="eastAsia" w:ascii="宋体" w:hAnsi="宋体" w:eastAsia="宋体" w:cs="宋体"/>
                <w:color w:val="000000" w:themeColor="text1"/>
                <w:sz w:val="24"/>
                <w:szCs w:val="24"/>
                <w:lang w:bidi="ar"/>
                <w14:textFill>
                  <w14:solidFill>
                    <w14:schemeClr w14:val="tx1"/>
                  </w14:solidFill>
                </w14:textFill>
              </w:rPr>
              <w:t xml:space="preserve">中性盐雾试验</w:t>
            </w:r>
            <w:r>
              <w:rPr>
                <w:rFonts w:hint="eastAsia" w:ascii="宋体" w:hAnsi="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GB/T 6461-2002</w:t>
            </w:r>
            <w:r>
              <w:rPr>
                <w:rFonts w:hint="eastAsia" w:ascii="宋体" w:hAnsi="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经腐蚀试验后的试样和试件的评级</w:t>
            </w:r>
            <w:r>
              <w:rPr>
                <w:rFonts w:hint="eastAsia" w:ascii="宋体" w:hAnsi="宋体" w:cs="宋体"/>
                <w:color w:val="000000" w:themeColor="text1"/>
                <w:sz w:val="24"/>
                <w:szCs w:val="24"/>
                <w:lang w:eastAsia="zh-CN" w:bidi="ar"/>
                <w14:textFill>
                  <w14:solidFill>
                    <w14:schemeClr w14:val="tx1"/>
                  </w14:solidFill>
                </w14:textFill>
              </w:rPr>
              <w:t xml:space="preserve">：</w:t>
            </w:r>
            <w:r>
              <w:rPr>
                <w:rFonts w:hint="eastAsia" w:ascii="宋体" w:hAnsi="宋体" w:cs="宋体"/>
                <w:color w:val="000000" w:themeColor="text1"/>
                <w:sz w:val="24"/>
                <w:szCs w:val="24"/>
                <w:lang w:val="en-US" w:eastAsia="zh-CN" w:bidi="ar"/>
                <w14:textFill>
                  <w14:solidFill>
                    <w14:schemeClr w14:val="tx1"/>
                  </w14:solidFill>
                </w14:textFill>
              </w:rPr>
              <w:t xml:space="preserve">评级为</w:t>
            </w:r>
            <w:r>
              <w:rPr>
                <w:rFonts w:hint="eastAsia" w:ascii="宋体" w:hAnsi="宋体" w:eastAsia="宋体" w:cs="宋体"/>
                <w:color w:val="000000" w:themeColor="text1"/>
                <w:sz w:val="24"/>
                <w:szCs w:val="24"/>
                <w:lang w:bidi="ar"/>
                <w14:textFill>
                  <w14:solidFill>
                    <w14:schemeClr w14:val="tx1"/>
                  </w14:solidFill>
                </w14:textFill>
              </w:rPr>
              <w:t xml:space="preserve">10级（1分）</w:t>
            </w:r>
            <w:r/>
          </w:p>
        </w:tc>
      </w:tr>
      <w:tr>
        <w:trPr>
          <w:trHeight w:val="90"/>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lang w:bidi="ar"/>
                <w14:textFill>
                  <w14:solidFill>
                    <w14:schemeClr w14:val="tx1"/>
                  </w14:solidFill>
                </w14:textFill>
              </w:rPr>
              <w:t xml:space="preserve">.实验台</w:t>
            </w:r>
            <w:r/>
          </w:p>
        </w:tc>
        <w:tc>
          <w:tcPr>
            <w:tcW w:w="5581" w:type="dxa"/>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GB/T 24820-2024（1）实验台高：立姿≤900mm（2）容足空间净高≥120mm（3）容足空间净深≥150mm（4）符合分缝要求（5）抽屉下垂度≤20mm、抽屉摆动度≤15mm（6）实验台力学性能-实验台耐久性：1）符合水平耐久性试验标准；2）符合垂直耐久性试验标准（7）实验台力学性能-独立式实验台稳定性：1）符合水平冲击稳定性试验标准；2）符合垂直加载稳定性试验标准；3）符合具有推拉构件的稳定性试验标准（1分）</w:t>
            </w:r>
            <w:r/>
          </w:p>
        </w:tc>
      </w:tr>
      <w:tr>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themeColor="text1"/>
                <w:sz w:val="24"/>
                <w:szCs w:val="24"/>
                <w:highlight w:val="cyan"/>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4</w:t>
            </w:r>
            <w:r>
              <w:rPr>
                <w:rFonts w:hint="eastAsia" w:ascii="宋体" w:hAnsi="宋体" w:eastAsia="宋体" w:cs="宋体"/>
                <w:color w:val="000000" w:themeColor="text1"/>
                <w:sz w:val="24"/>
                <w:szCs w:val="24"/>
                <w:highlight w:val="none"/>
                <w:lang w:bidi="ar"/>
                <w14:textFill>
                  <w14:solidFill>
                    <w14:schemeClr w14:val="tx1"/>
                  </w14:solidFill>
                </w14:textFill>
              </w:rPr>
              <w:t xml:space="preserve">.机器人竞赛套装</w:t>
            </w:r>
            <w:r>
              <w:rPr>
                <w:rFonts w:hint="eastAsia" w:ascii="宋体" w:hAnsi="宋体" w:eastAsia="宋体" w:cs="宋体"/>
                <w:color w:val="000000" w:themeColor="text1"/>
                <w:sz w:val="24"/>
                <w:szCs w:val="24"/>
                <w:lang w:bidi="ar"/>
                <w14:textFill>
                  <w14:solidFill>
                    <w14:schemeClr w14:val="tx1"/>
                  </w14:solidFill>
                </w14:textFill>
              </w:rPr>
              <w:t xml:space="preserve">主要基材</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铝合金车架</w:t>
            </w:r>
            <w:r/>
          </w:p>
        </w:tc>
        <w:tc>
          <w:tcPr>
            <w:tcW w:w="5581" w:type="dxa"/>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highlight w:val="cyan"/>
                <w:lang w:val="en-US"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GB/T 10125-2021 人造气氛腐蚀试验 盐雾试验：</w:t>
            </w:r>
            <w:r>
              <w:rPr>
                <w:rFonts w:hint="eastAsia" w:ascii="宋体" w:hAnsi="宋体" w:eastAsia="宋体" w:cs="宋体"/>
                <w:color w:val="000000" w:themeColor="text1"/>
                <w:sz w:val="24"/>
                <w:szCs w:val="24"/>
                <w:highlight w:val="white"/>
                <w:lang w:bidi="ar"/>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bidi="ar"/>
                <w14:textFill>
                  <w14:solidFill>
                    <w14:schemeClr w14:val="tx1"/>
                  </w14:solidFill>
                </w14:textFill>
              </w:rPr>
              <w:t xml:space="preserve">48</w:t>
            </w:r>
            <w:r>
              <w:rPr>
                <w:rFonts w:hint="eastAsia" w:ascii="宋体" w:hAnsi="宋体" w:eastAsia="宋体" w:cs="宋体"/>
                <w:color w:val="000000" w:themeColor="text1"/>
                <w:sz w:val="24"/>
                <w:szCs w:val="24"/>
                <w:highlight w:val="white"/>
                <w:lang w:bidi="ar"/>
                <w14:textFill>
                  <w14:solidFill>
                    <w14:schemeClr w14:val="tx1"/>
                  </w14:solidFill>
                </w14:textFill>
              </w:rPr>
              <w:t xml:space="preserve">h</w:t>
            </w:r>
            <w:r>
              <w:rPr>
                <w:rFonts w:hint="eastAsia" w:ascii="宋体" w:hAnsi="宋体" w:eastAsia="宋体" w:cs="宋体"/>
                <w:color w:val="000000" w:themeColor="text1"/>
                <w:sz w:val="24"/>
                <w:szCs w:val="24"/>
                <w:highlight w:val="white"/>
                <w:lang w:bidi="ar"/>
                <w14:textFill>
                  <w14:solidFill>
                    <w14:schemeClr w14:val="tx1"/>
                  </w14:solidFill>
                </w14:textFill>
              </w:rPr>
              <w:t xml:space="preserve">中性盐雾试验</w:t>
            </w:r>
            <w:r>
              <w:rPr>
                <w:rFonts w:hint="eastAsia" w:ascii="宋体" w:hAnsi="宋体" w:cs="宋体"/>
                <w:color w:val="000000" w:themeColor="text1"/>
                <w:sz w:val="24"/>
                <w:szCs w:val="24"/>
                <w:highlight w:val="whit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white"/>
                <w:lang w:bidi="ar"/>
                <w14:textFill>
                  <w14:solidFill>
                    <w14:schemeClr w14:val="tx1"/>
                  </w14:solidFill>
                </w14:textFill>
              </w:rPr>
              <w:t xml:space="preserve">经腐蚀试验后的试样和试件的评级</w:t>
            </w:r>
            <w:r>
              <w:rPr>
                <w:rFonts w:hint="eastAsia" w:ascii="宋体" w:hAnsi="宋体" w:cs="宋体"/>
                <w:color w:val="000000" w:themeColor="text1"/>
                <w:sz w:val="24"/>
                <w:szCs w:val="24"/>
                <w:highlight w:val="white"/>
                <w:lang w:eastAsia="zh-CN" w:bidi="ar"/>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bidi="ar"/>
                <w14:textFill>
                  <w14:solidFill>
                    <w14:schemeClr w14:val="tx1"/>
                  </w14:solidFill>
                </w14:textFill>
              </w:rPr>
              <w:t xml:space="preserve">评级为</w:t>
            </w:r>
            <w:r>
              <w:rPr>
                <w:rFonts w:hint="eastAsia" w:ascii="宋体" w:hAnsi="宋体" w:eastAsia="宋体" w:cs="宋体"/>
                <w:color w:val="000000" w:themeColor="text1"/>
                <w:sz w:val="24"/>
                <w:szCs w:val="24"/>
                <w:highlight w:val="white"/>
                <w:lang w:bidi="ar"/>
                <w14:textFill>
                  <w14:solidFill>
                    <w14:schemeClr w14:val="tx1"/>
                  </w14:solidFill>
                </w14:textFill>
              </w:rPr>
              <w:t xml:space="preserve">10级</w:t>
            </w:r>
            <w:r>
              <w:rPr>
                <w:rFonts w:hint="eastAsia" w:ascii="宋体" w:hAnsi="宋体" w:eastAsia="宋体" w:cs="宋体"/>
                <w:color w:val="000000" w:themeColor="text1"/>
                <w:sz w:val="24"/>
                <w:szCs w:val="24"/>
                <w:highlight w:val="white"/>
                <w:lang w:bidi="ar"/>
                <w14:textFill>
                  <w14:solidFill>
                    <w14:schemeClr w14:val="tx1"/>
                  </w14:solidFill>
                </w14:textFill>
              </w:rPr>
              <w:t xml:space="preserve">（1</w:t>
            </w:r>
            <w:r>
              <w:rPr>
                <w:rFonts w:hint="eastAsia" w:ascii="宋体" w:hAnsi="宋体" w:eastAsia="宋体" w:cs="宋体"/>
                <w:color w:val="000000" w:themeColor="text1"/>
                <w:sz w:val="24"/>
                <w:szCs w:val="24"/>
                <w:lang w:bidi="ar"/>
                <w14:textFill>
                  <w14:solidFill>
                    <w14:schemeClr w14:val="tx1"/>
                  </w14:solidFill>
                </w14:textFill>
              </w:rPr>
              <w:t xml:space="preserve">分）</w:t>
            </w:r>
            <w:r/>
          </w:p>
        </w:tc>
      </w:tr>
      <w:tr>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5</w:t>
            </w:r>
            <w:r>
              <w:rPr>
                <w:rFonts w:hint="eastAsia" w:ascii="宋体" w:hAnsi="宋体" w:eastAsia="宋体" w:cs="宋体"/>
                <w:color w:val="000000" w:themeColor="text1"/>
                <w:sz w:val="24"/>
                <w:szCs w:val="24"/>
                <w:highlight w:val="none"/>
                <w:lang w:bidi="ar"/>
                <w14:textFill>
                  <w14:solidFill>
                    <w14:schemeClr w14:val="tx1"/>
                  </w14:solidFill>
                </w14:textFill>
              </w:rPr>
              <w:t xml:space="preserve">.酶标仪</w:t>
            </w:r>
            <w:r/>
          </w:p>
        </w:tc>
        <w:tc>
          <w:tcPr>
            <w:tcW w:w="5581" w:type="dxa"/>
            <w:textDirection w:val="lrTb"/>
            <w:noWrap w:val="false"/>
          </w:tcPr>
          <w:p>
            <w:pPr>
              <w:keepLines w:val="0"/>
              <w:keepNext w:val="0"/>
              <w:pageBreakBefore w:val="0"/>
              <w:spacing w:after="0" w:line="440" w:lineRule="exact"/>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JJG 861-2007波长示值误差≤±3nm；波长重复性≤±</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1.5</w:t>
            </w:r>
            <w:r>
              <w:rPr>
                <w:rFonts w:hint="eastAsia" w:ascii="宋体" w:hAnsi="宋体" w:eastAsia="宋体" w:cs="宋体"/>
                <w:color w:val="000000" w:themeColor="text1"/>
                <w:sz w:val="24"/>
                <w:szCs w:val="24"/>
                <w:highlight w:val="none"/>
                <w:lang w:bidi="ar"/>
                <w14:textFill>
                  <w14:solidFill>
                    <w14:schemeClr w14:val="tx1"/>
                  </w14:solidFill>
                </w14:textFill>
              </w:rPr>
              <w:t xml:space="preserve">nm（1分）</w:t>
            </w:r>
            <w:r/>
          </w:p>
        </w:tc>
      </w:tr>
      <w:tr>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eastAsia="宋体" w:cs="宋体"/>
                <w:color w:val="000000" w:themeColor="text1"/>
                <w:sz w:val="24"/>
                <w:szCs w:val="24"/>
                <w:u w:val="non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u w:val="none"/>
                <w:lang w:bidi="ar"/>
                <w14:textFill>
                  <w14:solidFill>
                    <w14:schemeClr w14:val="tx1"/>
                  </w14:solidFill>
                </w14:textFill>
              </w:rPr>
              <w:t xml:space="preserve">.教师演示设备主要基材：高强度镀锌钢板</w:t>
            </w:r>
            <w:r/>
          </w:p>
        </w:tc>
        <w:tc>
          <w:tcPr>
            <w:tcW w:w="5581" w:type="dxa"/>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GB/T 10125-2021 人造气氛腐蚀试验 盐雾试验：≥</w:t>
            </w:r>
            <w:r>
              <w:rPr>
                <w:rFonts w:hint="eastAsia" w:ascii="宋体" w:hAnsi="宋体" w:cs="宋体"/>
                <w:color w:val="000000" w:themeColor="text1"/>
                <w:sz w:val="24"/>
                <w:szCs w:val="24"/>
                <w:lang w:val="en-US" w:eastAsia="zh-CN" w:bidi="ar"/>
                <w14:textFill>
                  <w14:solidFill>
                    <w14:schemeClr w14:val="tx1"/>
                  </w14:solidFill>
                </w14:textFill>
              </w:rPr>
              <w:t xml:space="preserve">24</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0</w:t>
            </w:r>
            <w:r>
              <w:rPr>
                <w:rFonts w:hint="eastAsia" w:ascii="宋体" w:hAnsi="宋体" w:eastAsia="宋体" w:cs="宋体"/>
                <w:color w:val="000000" w:themeColor="text1"/>
                <w:sz w:val="24"/>
                <w:szCs w:val="24"/>
                <w:highlight w:val="none"/>
                <w:lang w:bidi="ar"/>
                <w14:textFill>
                  <w14:solidFill>
                    <w14:schemeClr w14:val="tx1"/>
                  </w14:solidFill>
                </w14:textFill>
              </w:rPr>
              <w:t xml:space="preserve">h</w:t>
            </w:r>
            <w:r>
              <w:rPr>
                <w:rFonts w:hint="eastAsia" w:ascii="宋体" w:hAnsi="宋体" w:eastAsia="宋体" w:cs="宋体"/>
                <w:color w:val="000000" w:themeColor="text1"/>
                <w:sz w:val="24"/>
                <w:szCs w:val="24"/>
                <w:lang w:bidi="ar"/>
                <w14:textFill>
                  <w14:solidFill>
                    <w14:schemeClr w14:val="tx1"/>
                  </w14:solidFill>
                </w14:textFill>
              </w:rPr>
              <w:t xml:space="preserve">中性盐雾试验</w:t>
            </w:r>
            <w:r>
              <w:rPr>
                <w:rFonts w:hint="eastAsia" w:ascii="宋体" w:hAnsi="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GB/T 6461-2002</w:t>
            </w:r>
            <w:r>
              <w:rPr>
                <w:rFonts w:hint="eastAsia" w:ascii="宋体" w:hAnsi="宋体" w:cs="宋体"/>
                <w:color w:val="000000" w:themeColor="text1"/>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bidi="ar"/>
                <w14:textFill>
                  <w14:solidFill>
                    <w14:schemeClr w14:val="tx1"/>
                  </w14:solidFill>
                </w14:textFill>
              </w:rPr>
              <w:t xml:space="preserve">经腐蚀试验后的试样和试件的评级</w:t>
            </w:r>
            <w:r>
              <w:rPr>
                <w:rFonts w:hint="eastAsia" w:ascii="宋体" w:hAnsi="宋体" w:cs="宋体"/>
                <w:color w:val="000000" w:themeColor="text1"/>
                <w:sz w:val="24"/>
                <w:szCs w:val="24"/>
                <w:lang w:eastAsia="zh-CN" w:bidi="ar"/>
                <w14:textFill>
                  <w14:solidFill>
                    <w14:schemeClr w14:val="tx1"/>
                  </w14:solidFill>
                </w14:textFill>
              </w:rPr>
              <w:t xml:space="preserve">：</w:t>
            </w:r>
            <w:r>
              <w:rPr>
                <w:rFonts w:hint="eastAsia" w:ascii="宋体" w:hAnsi="宋体" w:cs="宋体"/>
                <w:color w:val="000000" w:themeColor="text1"/>
                <w:sz w:val="24"/>
                <w:szCs w:val="24"/>
                <w:lang w:val="en-US" w:eastAsia="zh-CN" w:bidi="ar"/>
                <w14:textFill>
                  <w14:solidFill>
                    <w14:schemeClr w14:val="tx1"/>
                  </w14:solidFill>
                </w14:textFill>
              </w:rPr>
              <w:t xml:space="preserve">评级为</w:t>
            </w:r>
            <w:r>
              <w:rPr>
                <w:rFonts w:hint="eastAsia" w:ascii="宋体" w:hAnsi="宋体" w:eastAsia="宋体" w:cs="宋体"/>
                <w:color w:val="000000" w:themeColor="text1"/>
                <w:sz w:val="24"/>
                <w:szCs w:val="24"/>
                <w:lang w:bidi="ar"/>
                <w14:textFill>
                  <w14:solidFill>
                    <w14:schemeClr w14:val="tx1"/>
                  </w14:solidFill>
                </w14:textFill>
              </w:rPr>
              <w:t xml:space="preserve">10级（1分）</w:t>
            </w:r>
            <w:r/>
          </w:p>
        </w:tc>
      </w:tr>
      <w:tr>
        <w:trPr/>
        <w:tc>
          <w:tcPr>
            <w:tcW w:w="1776" w:type="dxa"/>
            <w:vMerge w:val="continue"/>
            <w:textDirection w:val="lrTb"/>
            <w:noWrap w:val="false"/>
          </w:tcPr>
          <w:p>
            <w:pPr>
              <w:keepLines w:val="0"/>
              <w:keepNext w:val="0"/>
              <w:pageBreakBefore w:val="0"/>
              <w:spacing w:after="0" w:line="360" w:lineRule="auto"/>
              <w:widowControl/>
              <w:rPr>
                <w:rFonts w:ascii="宋体" w:hAnsi="宋体"/>
                <w:color w:val="000000" w:themeColor="text1"/>
                <w:sz w:val="24"/>
                <w:szCs w:val="24"/>
                <w:lang w:bidi="ar"/>
                <w14:textFill>
                  <w14:solidFill>
                    <w14:schemeClr w14:val="tx1"/>
                  </w14:solidFill>
                </w14:textFill>
              </w:rPr>
            </w:pPr>
            <w:r>
              <w:rPr>
                <w:rFonts w:ascii="宋体" w:hAnsi="宋体"/>
                <w:color w:val="000000" w:themeColor="text1"/>
                <w:sz w:val="24"/>
                <w:szCs w:val="24"/>
                <w:lang w:bidi="ar"/>
                <w14:textFill>
                  <w14:solidFill>
                    <w14:schemeClr w14:val="tx1"/>
                  </w14:solidFill>
                </w14:textFill>
              </w:rPr>
            </w:r>
            <w:r/>
          </w:p>
        </w:tc>
        <w:tc>
          <w:tcPr>
            <w:tcW w:w="2200"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7.学生用数码生物显微镜</w:t>
            </w:r>
            <w:r/>
          </w:p>
        </w:tc>
        <w:tc>
          <w:tcPr>
            <w:tcW w:w="5581" w:type="dxa"/>
            <w:textDirection w:val="lrTb"/>
            <w:noWrap w:val="false"/>
          </w:tcPr>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eastAsia="宋体" w:cs="宋体"/>
                <w:color w:val="000000" w:themeColor="text1"/>
                <w:sz w:val="24"/>
                <w:szCs w:val="24"/>
                <w:u w:val="none"/>
                <w:lang w:bidi="ar"/>
                <w14:textFill>
                  <w14:solidFill>
                    <w14:schemeClr w14:val="tx1"/>
                  </w14:solidFill>
                </w14:textFill>
              </w:rPr>
              <w:t xml:space="preserve">GB/T 2985-2008《生物显微镜》国家标准要求,</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eastAsia="宋体" w:cs="宋体"/>
                <w:color w:val="000000" w:themeColor="text1"/>
                <w:sz w:val="24"/>
                <w:szCs w:val="24"/>
                <w:u w:val="none"/>
                <w:lang w:bidi="ar"/>
                <w14:textFill>
                  <w14:solidFill>
                    <w14:schemeClr w14:val="tx1"/>
                  </w14:solidFill>
                </w14:textFill>
              </w:rPr>
              <w:t xml:space="preserve">检测内容满足:</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highlight w:val="yellow"/>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1</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4倍物镜成像（</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数值孔径</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0.20的显微镜</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成像</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清晰直径≥13.5mm、</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10倍物镜成像（数值孔径＞0.20~0.40的显微镜</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成像</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清晰直径≥13.5mm、</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40倍物镜成像（数值孔径＞0.40~0.80的显微镜</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成像</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清晰直径≥13.5mm、</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100倍物镜成像（数值孔径＞1.00的显微镜</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成像</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清晰直径≥10.0mm；</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2</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10倍物镜景深范围内像面</w:t>
            </w:r>
            <w:r>
              <w:rPr>
                <w:rFonts w:hint="eastAsia" w:ascii="宋体" w:hAnsi="宋体" w:cs="宋体"/>
                <w:color w:val="000000" w:themeColor="text1"/>
                <w:sz w:val="24"/>
                <w:szCs w:val="24"/>
                <w:u w:val="none"/>
                <w:lang w:val="en-US" w:eastAsia="zh-CN" w:bidi="ar"/>
                <w14:textFill>
                  <w14:solidFill>
                    <w14:schemeClr w14:val="tx1"/>
                  </w14:solidFill>
                </w14:textFill>
              </w:rPr>
              <w:t xml:space="preserve">中心位移</w:t>
            </w:r>
            <w:r>
              <w:rPr>
                <w:rFonts w:hint="eastAsia" w:ascii="宋体" w:hAnsi="宋体" w:eastAsia="宋体" w:cs="宋体"/>
                <w:color w:val="000000" w:themeColor="text1"/>
                <w:sz w:val="24"/>
                <w:szCs w:val="24"/>
                <w:u w:val="none"/>
                <w:lang w:bidi="ar"/>
                <w14:textFill>
                  <w14:solidFill>
                    <w14:schemeClr w14:val="tx1"/>
                  </w14:solidFill>
                </w14:textFill>
              </w:rPr>
              <w:t xml:space="preserve">≤0.1mm；</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3</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显微镜目镜放大</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率</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允差</w:t>
            </w:r>
            <w:r>
              <w:rPr>
                <w:rFonts w:hint="eastAsia" w:ascii="宋体" w:hAnsi="宋体" w:eastAsia="宋体" w:cs="宋体"/>
                <w:color w:val="000000" w:themeColor="text1"/>
                <w:sz w:val="24"/>
                <w:szCs w:val="24"/>
                <w:u w:val="none"/>
                <w:lang w:bidi="ar"/>
                <w14:textFill>
                  <w14:solidFill>
                    <w14:schemeClr w14:val="tx1"/>
                  </w14:solidFill>
                </w14:textFill>
              </w:rPr>
              <w:t xml:space="preserve">≤±5%；</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4</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显微镜物镜放大</w:t>
            </w:r>
            <w:r>
              <w:rPr>
                <w:rFonts w:hint="eastAsia" w:ascii="宋体" w:hAnsi="宋体" w:cs="宋体"/>
                <w:color w:val="000000" w:themeColor="text1"/>
                <w:sz w:val="24"/>
                <w:szCs w:val="24"/>
                <w:u w:val="none"/>
                <w:lang w:val="en-US" w:eastAsia="zh-CN" w:bidi="ar"/>
                <w14:textFill>
                  <w14:solidFill>
                    <w14:schemeClr w14:val="tx1"/>
                  </w14:solidFill>
                </w14:textFill>
              </w:rPr>
              <w:t xml:space="preserve">率</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允差</w:t>
            </w:r>
            <w:r>
              <w:rPr>
                <w:rFonts w:hint="eastAsia" w:ascii="宋体" w:hAnsi="宋体" w:eastAsia="宋体" w:cs="宋体"/>
                <w:color w:val="000000" w:themeColor="text1"/>
                <w:sz w:val="24"/>
                <w:szCs w:val="24"/>
                <w:u w:val="none"/>
                <w:lang w:bidi="ar"/>
                <w14:textFill>
                  <w14:solidFill>
                    <w14:schemeClr w14:val="tx1"/>
                  </w14:solidFill>
                </w14:textFill>
              </w:rPr>
              <w:t xml:space="preserve">≤±5%；</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5</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转换器稳定性≤0.025mm</w:t>
            </w:r>
            <w:r>
              <w:rPr>
                <w:rFonts w:hint="eastAsia" w:ascii="宋体" w:hAnsi="宋体" w:eastAsia="宋体" w:cs="宋体"/>
                <w:color w:val="000000" w:themeColor="text1"/>
                <w:sz w:val="24"/>
                <w:szCs w:val="24"/>
                <w:u w:val="none"/>
                <w:lang w:bidi="ar"/>
                <w14:textFill>
                  <w14:solidFill>
                    <w14:schemeClr w14:val="tx1"/>
                  </w14:solidFill>
                </w14:textFill>
              </w:rPr>
              <w:t xml:space="preserve">；</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6</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双目系统左右视场中心偏差：上下≤0.2mm，左右内侧≤0.4mm，双目系统左右光轴平行度：水平发散≤60</w:t>
            </w:r>
            <w:r>
              <w:rPr>
                <w:rFonts w:hint="default" w:ascii="宋体" w:hAnsi="宋体" w:cs="宋体"/>
                <w:color w:val="000000" w:themeColor="text1"/>
                <w:sz w:val="24"/>
                <w:szCs w:val="24"/>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，垂直交叉≤30</w:t>
            </w:r>
            <w:r>
              <w:rPr>
                <w:rFonts w:hint="default" w:ascii="宋体" w:hAnsi="宋体" w:cs="宋体"/>
                <w:color w:val="000000" w:themeColor="text1"/>
                <w:sz w:val="24"/>
                <w:szCs w:val="24"/>
                <w:u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7</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摄影摄像视场清晰范围≥45%，目镜观察与显示屏观察时图像齐焦不超过±0.05mm；</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u w:val="none"/>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8</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载物台侧向受5N水平方向作用力最大位移</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≤0.0</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mm</w:t>
            </w:r>
            <w:r>
              <w:rPr>
                <w:rFonts w:hint="eastAsia"/>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作用力撤去后，载物台应恢复到原位，相对于原位的偏移量</w:t>
            </w:r>
            <w:r>
              <w:rPr>
                <w:rFonts w:hint="eastAsia" w:ascii="宋体" w:hAnsi="宋体" w:eastAsia="宋体" w:cs="宋体"/>
                <w:color w:val="000000" w:themeColor="text1"/>
                <w:sz w:val="24"/>
                <w:szCs w:val="24"/>
                <w:highlight w:val="none"/>
                <w:u w:val="none"/>
                <w:lang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0.005mm</w:t>
            </w:r>
            <w:r>
              <w:rPr>
                <w:rFonts w:hint="eastAsia" w:ascii="宋体" w:hAnsi="宋体" w:eastAsia="宋体" w:cs="宋体"/>
                <w:color w:val="000000" w:themeColor="text1"/>
                <w:sz w:val="24"/>
                <w:szCs w:val="24"/>
                <w:u w:val="none"/>
                <w:lang w:bidi="ar"/>
                <w14:textFill>
                  <w14:solidFill>
                    <w14:schemeClr w14:val="tx1"/>
                  </w14:solidFill>
                </w14:textFill>
              </w:rPr>
              <w:t xml:space="preserve">；</w:t>
            </w:r>
            <w:r/>
          </w:p>
          <w:p>
            <w:pPr>
              <w:jc w:val="both"/>
              <w:keepLines w:val="0"/>
              <w:keepNext w:val="0"/>
              <w:pageBreakBefore w:val="0"/>
              <w:spacing w:after="0" w:line="440" w:lineRule="exac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9</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u w:val="none"/>
                <w:lang w:bidi="ar"/>
                <w14:textFill>
                  <w14:solidFill>
                    <w14:schemeClr w14:val="tx1"/>
                  </w14:solidFill>
                </w14:textFill>
              </w:rPr>
              <w:t xml:space="preserve">用机械使标本在5mmX5mm范围内移动时</w:t>
            </w:r>
            <w:r>
              <w:rPr>
                <w:rFonts w:hint="eastAsia" w:ascii="宋体" w:hAnsi="宋体" w:cs="宋体"/>
                <w:color w:val="000000" w:themeColor="text1"/>
                <w:sz w:val="24"/>
                <w:szCs w:val="24"/>
                <w:u w:val="none"/>
                <w:lang w:eastAsia="zh-CN" w:bidi="ar"/>
                <w14:textFill>
                  <w14:solidFill>
                    <w14:schemeClr w14:val="tx1"/>
                  </w14:solidFill>
                </w14:textFill>
              </w:rPr>
              <w:t xml:space="preserve">，</w:t>
            </w:r>
            <w:r>
              <w:rPr>
                <w:rFonts w:hint="eastAsia" w:ascii="宋体" w:hAnsi="宋体" w:cs="宋体"/>
                <w:color w:val="000000" w:themeColor="text1"/>
                <w:sz w:val="24"/>
                <w:szCs w:val="24"/>
                <w:u w:val="none"/>
                <w:lang w:val="en-US" w:eastAsia="zh-CN" w:bidi="ar"/>
                <w14:textFill>
                  <w14:solidFill>
                    <w14:schemeClr w14:val="tx1"/>
                  </w14:solidFill>
                </w14:textFill>
              </w:rPr>
              <w:t xml:space="preserve">重新调焦的调节</w:t>
            </w:r>
            <w:r>
              <w:rPr>
                <w:rFonts w:hint="eastAsia" w:ascii="宋体" w:hAnsi="宋体" w:eastAsia="宋体" w:cs="宋体"/>
                <w:color w:val="000000" w:themeColor="text1"/>
                <w:sz w:val="24"/>
                <w:szCs w:val="24"/>
                <w:u w:val="none"/>
                <w:lang w:bidi="ar"/>
                <w14:textFill>
                  <w14:solidFill>
                    <w14:schemeClr w14:val="tx1"/>
                  </w14:solidFill>
                </w14:textFill>
              </w:rPr>
              <w:t xml:space="preserve">量≤0.012mm。（1分）</w:t>
            </w:r>
            <w:r/>
          </w:p>
        </w:tc>
      </w:tr>
    </w:tbl>
    <w:p>
      <w:pPr>
        <w:ind w:firstLine="480"/>
        <w:keepLines w:val="0"/>
        <w:keepNext w:val="0"/>
        <w:pageBreakBefore w:val="0"/>
        <w:spacing w:after="0" w:line="460" w:lineRule="exact"/>
        <w:widowControl w:val="off"/>
        <w:rPr>
          <w:rFonts w:hint="default"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注：关于检测报告第三条“实验台”，基于等效原则确定，GB/T 24820-2024标准中引用的GB/T 10357.1-2013试验方法可采用现行有效且等效的GB/T 10357.1-2024试验方法执行，供应商提供证明产品符合GB/T 24820-2024标准的检测报告，GB/T 10357.1-2013试验方法和GB/T 10357.1-2024试验方法均予以认可（</w:t>
      </w:r>
      <w:r>
        <w:rPr>
          <w:rFonts w:hint="eastAsia" w:ascii="宋体" w:hAnsi="宋体" w:eastAsia="宋体" w:cs="Times New Roman"/>
          <w:color w:val="auto"/>
          <w:sz w:val="24"/>
          <w:highlight w:val="none"/>
          <w:lang w:val="en-US" w:eastAsia="zh-CN"/>
        </w:rPr>
        <w:t xml:space="preserve">凡招标文件内引用的标准如涉及到试验方法被替代的情形，均</w:t>
      </w:r>
      <w:r>
        <w:rPr>
          <w:rFonts w:hint="eastAsia" w:ascii="宋体" w:hAnsi="宋体" w:cs="Times New Roman"/>
          <w:color w:val="auto"/>
          <w:sz w:val="24"/>
          <w:highlight w:val="none"/>
          <w:lang w:val="en-US" w:eastAsia="zh-CN"/>
        </w:rPr>
        <w:t xml:space="preserve">同理）。</w:t>
      </w:r>
      <w:r/>
    </w:p>
    <w:p>
      <w:pPr>
        <w:numPr>
          <w:ilvl w:val="0"/>
          <w:numId w:val="0"/>
        </w:numPr>
        <w:ind w:firstLine="482"/>
        <w:keepLines w:val="0"/>
        <w:keepNext w:val="0"/>
        <w:pageBreakBefore w:val="0"/>
        <w:spacing w:line="460" w:lineRule="exact"/>
        <w:widowControl w:val="off"/>
        <w:rPr>
          <w:rFonts w:hint="eastAsia"/>
          <w:color w:val="auto"/>
          <w:sz w:val="24"/>
          <w:szCs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）产品功能视频演示（</w:t>
      </w:r>
      <w:r>
        <w:rPr>
          <w:rFonts w:hint="eastAsia" w:ascii="宋体" w:hAnsi="宋体" w:eastAsia="宋体" w:cs="宋体"/>
          <w:b/>
          <w:color w:val="auto"/>
          <w:sz w:val="24"/>
          <w:highlight w:val="none"/>
          <w:lang w:val="en-US" w:eastAsia="zh-CN"/>
        </w:rPr>
        <w:t xml:space="preserve">8</w:t>
      </w:r>
      <w:r>
        <w:rPr>
          <w:rFonts w:hint="eastAsia" w:ascii="宋体" w:hAnsi="宋体" w:eastAsia="宋体" w:cs="宋体"/>
          <w:b/>
          <w:color w:val="auto"/>
          <w:sz w:val="24"/>
          <w:highlight w:val="none"/>
        </w:rPr>
        <w:t xml:space="preserve">分）</w:t>
      </w:r>
      <w:r/>
    </w:p>
    <w:p>
      <w:pPr>
        <w:ind w:firstLine="480"/>
        <w:keepLines w:val="0"/>
        <w:keepNext w:val="0"/>
        <w:pageBreakBefore w:val="0"/>
        <w:spacing w:after="0" w:line="460" w:lineRule="exact"/>
        <w:widowControl w:val="off"/>
        <w:rPr>
          <w:rFonts w:hint="eastAsia" w:ascii="宋体" w:hAnsi="宋体" w:eastAsia="宋体" w:cs="Times New Roman"/>
          <w:color w:val="auto"/>
          <w:sz w:val="24"/>
          <w:lang w:eastAsia="zh-CN"/>
        </w:rPr>
      </w:pPr>
      <w:r>
        <w:rPr>
          <w:rFonts w:hint="eastAsia" w:ascii="宋体" w:hAnsi="宋体" w:cs="Times New Roman"/>
          <w:color w:val="auto"/>
          <w:sz w:val="24"/>
          <w:highlight w:val="none"/>
        </w:rPr>
        <w:t xml:space="preserve">投标人根据以下要求通过录制视频方式进行展示演示，评审专家根据演示效果</w:t>
      </w:r>
      <w:r>
        <w:rPr>
          <w:rFonts w:hint="eastAsia" w:ascii="宋体" w:hAnsi="宋体" w:eastAsia="宋体" w:cs="Times New Roman"/>
          <w:color w:val="auto"/>
          <w:sz w:val="24"/>
          <w:highlight w:val="none"/>
          <w:lang w:val="en-US" w:eastAsia="zh-CN"/>
        </w:rPr>
        <w:t xml:space="preserve">和功能点</w:t>
      </w:r>
      <w:r>
        <w:rPr>
          <w:rFonts w:hint="eastAsia" w:ascii="宋体" w:hAnsi="宋体" w:cs="Times New Roman"/>
          <w:color w:val="auto"/>
          <w:sz w:val="24"/>
          <w:highlight w:val="none"/>
        </w:rPr>
        <w:t xml:space="preserve">进行打分，本项最高得</w:t>
      </w:r>
      <w:r>
        <w:rPr>
          <w:rFonts w:hint="eastAsia" w:ascii="宋体" w:hAnsi="宋体" w:eastAsia="宋体" w:cs="Times New Roman"/>
          <w:color w:val="auto"/>
          <w:sz w:val="24"/>
          <w:highlight w:val="none"/>
          <w:lang w:val="en-US" w:eastAsia="zh-CN"/>
        </w:rPr>
        <w:t xml:space="preserve">8</w:t>
      </w:r>
      <w:r>
        <w:rPr>
          <w:rFonts w:hint="eastAsia" w:ascii="宋体" w:hAnsi="宋体" w:cs="Times New Roman"/>
          <w:color w:val="auto"/>
          <w:sz w:val="24"/>
          <w:highlight w:val="none"/>
        </w:rPr>
        <w:t xml:space="preserve">分，</w:t>
      </w:r>
      <w:r>
        <w:rPr>
          <w:rFonts w:hint="eastAsia" w:ascii="宋体" w:hAnsi="宋体" w:cs="Times New Roman"/>
          <w:color w:val="auto"/>
          <w:sz w:val="24"/>
        </w:rPr>
        <w:t xml:space="preserve">演示视频时长总计不超过15分钟。</w:t>
      </w:r>
      <w:r>
        <w:rPr>
          <w:rFonts w:hint="eastAsia" w:ascii="宋体" w:hAnsi="宋体" w:eastAsia="宋体" w:cs="Times New Roman"/>
          <w:color w:val="auto"/>
          <w:sz w:val="24"/>
          <w:lang w:eastAsia="zh-CN"/>
        </w:rPr>
        <w:t xml:space="preserve">（</w:t>
      </w:r>
      <w:r>
        <w:rPr>
          <w:rFonts w:hint="eastAsia" w:ascii="宋体" w:hAnsi="宋体" w:cs="Times New Roman"/>
          <w:color w:val="auto"/>
          <w:sz w:val="24"/>
        </w:rPr>
        <w:t xml:space="preserve">将视频文件压缩为zip文件上传，单个文件不得大于</w:t>
      </w:r>
      <w:r>
        <w:rPr>
          <w:rFonts w:hint="eastAsia" w:ascii="宋体" w:hAnsi="宋体" w:eastAsia="宋体" w:cs="Times New Roman"/>
          <w:color w:val="auto"/>
          <w:sz w:val="24"/>
          <w:lang w:val="en-US" w:eastAsia="zh-CN"/>
        </w:rPr>
        <w:t xml:space="preserve">10</w:t>
      </w:r>
      <w:r>
        <w:rPr>
          <w:rFonts w:hint="eastAsia" w:ascii="宋体" w:hAnsi="宋体" w:cs="Times New Roman"/>
          <w:color w:val="auto"/>
          <w:sz w:val="24"/>
        </w:rPr>
        <w:t xml:space="preserve">0M，总文件大小不得大于300M</w:t>
      </w:r>
      <w:r>
        <w:rPr>
          <w:rFonts w:hint="eastAsia" w:ascii="宋体" w:hAnsi="宋体" w:eastAsia="宋体" w:cs="Times New Roman"/>
          <w:color w:val="auto"/>
          <w:sz w:val="24"/>
          <w:lang w:eastAsia="zh-CN"/>
        </w:rPr>
        <w:t xml:space="preserve">）。</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rPr>
        <w:t xml:space="preserve">、录制的视频采用MP4格式（若视频为其他格式导致评审中不能正常播放的，责任自负）</w:t>
      </w:r>
      <w:r>
        <w:rPr>
          <w:rFonts w:hint="eastAsia" w:ascii="宋体" w:hAnsi="宋体" w:eastAsia="宋体" w:cs="Times New Roman"/>
          <w:color w:val="auto"/>
          <w:sz w:val="24"/>
          <w:lang w:eastAsia="zh-CN"/>
        </w:rPr>
        <w:t xml:space="preserve">。</w:t>
      </w:r>
      <w:r>
        <w:rPr>
          <w:rFonts w:hint="eastAsia" w:ascii="宋体" w:hAnsi="宋体" w:cs="Times New Roman"/>
          <w:color w:val="auto"/>
          <w:sz w:val="24"/>
        </w:rPr>
        <w:t xml:space="preserve">未提供演示或使用其他方式（如软件Demo、PPT 演示、图片原型或方案等）演示，此项不得分。</w:t>
      </w:r>
      <w:r/>
    </w:p>
    <w:p>
      <w:pPr>
        <w:ind w:firstLine="480"/>
        <w:keepLines w:val="0"/>
        <w:keepNext w:val="0"/>
        <w:pageBreakBefore w:val="0"/>
        <w:spacing w:after="0" w:line="460" w:lineRule="exact"/>
        <w:widowControl w:val="off"/>
        <w:rPr>
          <w:rFonts w:hint="eastAsia" w:ascii="宋体" w:hAnsi="宋体" w:cs="Times New Roman"/>
          <w:color w:val="auto"/>
          <w:sz w:val="24"/>
        </w:rPr>
      </w:pPr>
      <w:r>
        <w:rPr>
          <w:rFonts w:hint="eastAsia" w:ascii="宋体" w:hAnsi="宋体" w:eastAsia="宋体" w:cs="Times New Roman"/>
          <w:color w:val="auto"/>
          <w:sz w:val="24"/>
          <w:lang w:val="en-US" w:eastAsia="zh-CN"/>
        </w:rPr>
        <w:t xml:space="preserve">2</w:t>
      </w:r>
      <w:r>
        <w:rPr>
          <w:rFonts w:hint="eastAsia" w:ascii="宋体" w:hAnsi="宋体" w:cs="Times New Roman"/>
          <w:color w:val="auto"/>
          <w:sz w:val="24"/>
        </w:rPr>
        <w:t xml:space="preserve">、投标人每组视频录制时必须采用一镜到底的方式，不允许剪辑，否则不得分。</w:t>
      </w:r>
      <w:r/>
    </w:p>
    <w:p>
      <w:pPr>
        <w:ind w:firstLine="480"/>
        <w:keepLines w:val="0"/>
        <w:keepNext w:val="0"/>
        <w:pageBreakBefore w:val="0"/>
        <w:spacing w:after="0" w:line="460" w:lineRule="exact"/>
        <w:widowControl w:val="off"/>
        <w:rPr>
          <w:rFonts w:ascii="宋体" w:hAnsi="宋体" w:cs="Times New Roman"/>
          <w:b/>
          <w:bCs/>
          <w:color w:val="auto"/>
          <w:sz w:val="24"/>
          <w:highlight w:val="none"/>
        </w:rPr>
      </w:pPr>
      <w:r>
        <w:rPr>
          <w:rFonts w:hint="eastAsia" w:ascii="宋体" w:hAnsi="宋体" w:cs="Times New Roman"/>
          <w:b/>
          <w:bCs/>
          <w:color w:val="auto"/>
          <w:sz w:val="24"/>
        </w:rPr>
        <w:t xml:space="preserve">演示一：招标文件货物清单中“</w:t>
      </w:r>
      <w:r>
        <w:rPr>
          <w:rFonts w:hint="eastAsia" w:ascii="宋体" w:hAnsi="宋体" w:cs="Times New Roman"/>
          <w:b/>
          <w:bCs/>
          <w:color w:val="auto"/>
          <w:sz w:val="24"/>
          <w:highlight w:val="none"/>
        </w:rPr>
        <w:t xml:space="preserve">化学数字化仪器</w:t>
      </w:r>
      <w:r>
        <w:rPr>
          <w:rFonts w:hint="eastAsia" w:ascii="宋体" w:hAnsi="宋体" w:cs="Times New Roman"/>
          <w:b/>
          <w:bCs/>
          <w:color w:val="auto"/>
          <w:sz w:val="24"/>
        </w:rPr>
        <w:t xml:space="preserve">”——未知浓度溶液的浓度测量</w:t>
      </w:r>
      <w:r>
        <w:rPr>
          <w:rFonts w:hint="eastAsia" w:ascii="宋体" w:hAnsi="宋体" w:cs="Times New Roman"/>
          <w:b/>
          <w:bCs/>
          <w:color w:val="auto"/>
          <w:sz w:val="24"/>
          <w:highlight w:val="none"/>
        </w:rPr>
        <w:t xml:space="preserve">（</w:t>
      </w:r>
      <w:r>
        <w:rPr>
          <w:rFonts w:hint="eastAsia" w:ascii="宋体" w:hAnsi="宋体" w:cs="Times New Roman"/>
          <w:b/>
          <w:bCs/>
          <w:color w:val="auto"/>
          <w:sz w:val="24"/>
          <w:highlight w:val="none"/>
          <w:lang w:val="en-US" w:eastAsia="zh-CN"/>
        </w:rPr>
        <w:t xml:space="preserve">3</w:t>
      </w:r>
      <w:r>
        <w:rPr>
          <w:rFonts w:hint="eastAsia" w:ascii="宋体" w:hAnsi="宋体" w:cs="Times New Roman"/>
          <w:b/>
          <w:bCs/>
          <w:color w:val="auto"/>
          <w:sz w:val="24"/>
          <w:highlight w:val="none"/>
        </w:rPr>
        <w:t xml:space="preserve">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1.多通道并行液体吸光测试仪测量溶液的吸收波长，可输出8个波段(分别为405nm-425nm、435nm-455nm、470nm-490nm、505nm-525nm、545nm-565nm、580nm-600nm、620nm-640nm、670nm-690nm。)的测量数据</w:t>
      </w:r>
      <w:r>
        <w:rPr>
          <w:rFonts w:hint="eastAsia" w:ascii="宋体" w:hAnsi="宋体" w:cs="Times New Roman"/>
          <w:color w:val="auto"/>
          <w:sz w:val="24"/>
          <w:lang w:eastAsia="zh-CN"/>
        </w:rPr>
        <w:t xml:space="preserve">；</w:t>
      </w:r>
      <w:r>
        <w:rPr>
          <w:rFonts w:hint="eastAsia" w:ascii="宋体" w:hAnsi="宋体" w:cs="Times New Roman"/>
          <w:color w:val="auto"/>
          <w:sz w:val="24"/>
        </w:rPr>
        <w:t xml:space="preserve">无需外接采集器，移动端可无线搜索信号或者扫描二维码</w:t>
      </w:r>
      <w:r>
        <w:rPr>
          <w:rFonts w:hint="eastAsia" w:ascii="宋体" w:hAnsi="宋体" w:eastAsia="宋体" w:cs="Times New Roman"/>
          <w:b w:val="0"/>
          <w:bCs w:val="0"/>
          <w:color w:val="auto"/>
          <w:sz w:val="24"/>
          <w:highlight w:val="none"/>
          <w:lang w:eastAsia="zh-CN"/>
        </w:rPr>
        <w:t xml:space="preserve">等</w:t>
      </w:r>
      <w:r>
        <w:rPr>
          <w:rFonts w:hint="eastAsia" w:ascii="宋体" w:hAnsi="宋体" w:cs="Times New Roman"/>
          <w:color w:val="auto"/>
          <w:sz w:val="24"/>
        </w:rPr>
        <w:t xml:space="preserve">实现无线数据通讯</w:t>
      </w:r>
      <w:r>
        <w:rPr>
          <w:rFonts w:hint="eastAsia" w:ascii="宋体" w:hAnsi="宋体" w:cs="Times New Roman"/>
          <w:color w:val="auto"/>
          <w:sz w:val="24"/>
          <w:lang w:eastAsia="zh-CN"/>
        </w:rPr>
        <w:t xml:space="preserve">；</w:t>
      </w:r>
      <w:r>
        <w:rPr>
          <w:rFonts w:hint="eastAsia" w:ascii="宋体" w:hAnsi="宋体" w:cs="Times New Roman"/>
          <w:color w:val="auto"/>
          <w:sz w:val="24"/>
        </w:rPr>
        <w:t xml:space="preserve">也可通过数据通讯线直接连接计算机实现数据通讯</w:t>
      </w:r>
      <w:r>
        <w:rPr>
          <w:rFonts w:hint="eastAsia" w:ascii="宋体" w:hAnsi="宋体" w:cs="Times New Roman"/>
          <w:color w:val="auto"/>
          <w:sz w:val="24"/>
          <w:lang w:eastAsia="zh-CN"/>
        </w:rPr>
        <w:t xml:space="preserve">。</w:t>
      </w:r>
      <w:r>
        <w:rPr>
          <w:rFonts w:hint="eastAsia" w:ascii="宋体" w:hAnsi="宋体" w:cs="Times New Roman"/>
          <w:color w:val="auto"/>
          <w:sz w:val="24"/>
        </w:rPr>
        <w:t xml:space="preserve">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color w:val="000000" w:themeColor="text1"/>
          <w:sz w:val="24"/>
          <w14:textFill>
            <w14:solidFill>
              <w14:schemeClr w14:val="tx1"/>
            </w14:solidFill>
          </w14:textFill>
        </w:rPr>
      </w:pPr>
      <w:r>
        <w:rPr>
          <w:rFonts w:hint="eastAsia" w:ascii="宋体" w:hAnsi="宋体" w:cs="Times New Roman"/>
          <w:color w:val="000000" w:themeColor="text1"/>
          <w:sz w:val="24"/>
          <w14:textFill>
            <w14:solidFill>
              <w14:schemeClr w14:val="tx1"/>
            </w14:solidFill>
          </w14:textFill>
        </w:rPr>
        <w:t xml:space="preserve">2.主机含有4个比色皿卡槽，将装有不同浓度有色溶液的3个比色皿和装有待测液的1个比色皿，同时放入主机标有序号的4个比色皿卡槽中，关闭比色皿盖。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3.内置传动装置，通过软件选择并自动切换比色皿(手动切换无效)、自动测量3个标准溶液的吸光度数据并能画出标准曲线，点击待测溶液浓度，软件自动将待测液的吸光度和浓度自动测量并记录到表格，完成未知浓度溶液的浓度测量</w:t>
      </w:r>
      <w:r>
        <w:rPr>
          <w:rFonts w:hint="eastAsia" w:ascii="宋体" w:hAnsi="宋体" w:cs="Times New Roman"/>
          <w:color w:val="auto"/>
          <w:sz w:val="24"/>
          <w:lang w:eastAsia="zh-CN"/>
        </w:rPr>
        <w:t xml:space="preserve">。</w:t>
      </w:r>
      <w:r>
        <w:rPr>
          <w:rFonts w:hint="eastAsia" w:ascii="宋体" w:hAnsi="宋体" w:cs="Times New Roman"/>
          <w:color w:val="auto"/>
          <w:sz w:val="24"/>
        </w:rPr>
        <w:t xml:space="preserve">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b/>
          <w:bCs/>
          <w:color w:val="auto"/>
          <w:sz w:val="24"/>
        </w:rPr>
      </w:pPr>
      <w:r>
        <w:rPr>
          <w:rFonts w:hint="eastAsia" w:ascii="宋体" w:hAnsi="宋体" w:cs="Times New Roman"/>
          <w:b/>
          <w:bCs/>
          <w:color w:val="auto"/>
          <w:sz w:val="24"/>
        </w:rPr>
        <w:t xml:space="preserve">演示二：招标文件货物清单中“量子仪器”——演示磁共振成像分析实验（</w:t>
      </w:r>
      <w:r>
        <w:rPr>
          <w:rFonts w:hint="eastAsia" w:ascii="宋体" w:hAnsi="宋体" w:cs="Times New Roman"/>
          <w:b/>
          <w:bCs/>
          <w:color w:val="auto"/>
          <w:sz w:val="24"/>
          <w:lang w:val="en-US" w:eastAsia="zh-CN"/>
        </w:rPr>
        <w:t xml:space="preserve">2</w:t>
      </w:r>
      <w:r>
        <w:rPr>
          <w:rFonts w:hint="eastAsia" w:ascii="宋体" w:hAnsi="宋体" w:cs="Times New Roman"/>
          <w:b/>
          <w:bCs/>
          <w:color w:val="auto"/>
          <w:sz w:val="24"/>
        </w:rPr>
        <w:t xml:space="preserve">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1.演示磁共振实验仪成像软件:支持一键仪器自动校正，校正内容依次包括:中心频率校正、匀场、软脉冲校正</w:t>
      </w:r>
      <w:r>
        <w:rPr>
          <w:rFonts w:hint="eastAsia" w:ascii="宋体" w:hAnsi="宋体" w:eastAsia="宋体" w:cs="Times New Roman"/>
          <w:color w:val="auto"/>
          <w:sz w:val="24"/>
          <w:lang w:eastAsia="zh-CN"/>
        </w:rPr>
        <w:t xml:space="preserve">；</w:t>
      </w:r>
      <w:r>
        <w:rPr>
          <w:rFonts w:hint="eastAsia" w:ascii="宋体" w:hAnsi="宋体" w:cs="Times New Roman"/>
          <w:color w:val="auto"/>
          <w:sz w:val="24"/>
        </w:rPr>
        <w:t xml:space="preserve">点击校正后，软件可显示校正耗时</w:t>
      </w:r>
      <w:r>
        <w:rPr>
          <w:rFonts w:hint="eastAsia" w:ascii="宋体" w:hAnsi="宋体" w:cs="Times New Roman"/>
          <w:color w:val="auto"/>
          <w:sz w:val="24"/>
          <w:lang w:eastAsia="zh-CN"/>
        </w:rPr>
        <w:t xml:space="preserve">。</w:t>
      </w:r>
      <w:r>
        <w:rPr>
          <w:rFonts w:hint="eastAsia" w:ascii="宋体" w:hAnsi="宋体" w:cs="Times New Roman"/>
          <w:color w:val="auto"/>
          <w:sz w:val="24"/>
        </w:rPr>
        <w:t xml:space="preserve">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2.演示磁共振实验仪分析软件:软件具备弛豫信号反演功能，点击“反演”后进入反演界面，反演完成后可显示横向弛豫时间(T2)谱图。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b/>
          <w:bCs/>
          <w:color w:val="auto"/>
          <w:sz w:val="24"/>
        </w:rPr>
      </w:pPr>
      <w:r>
        <w:rPr>
          <w:rFonts w:hint="eastAsia" w:ascii="宋体" w:hAnsi="宋体" w:cs="Times New Roman"/>
          <w:b/>
          <w:bCs/>
          <w:color w:val="auto"/>
          <w:sz w:val="24"/>
        </w:rPr>
        <w:t xml:space="preserve">演示三：招标文件货物清单中“生物组培仪器”--演示植物组织培养实验中的无菌接种操作与培养环节（</w:t>
      </w:r>
      <w:r>
        <w:rPr>
          <w:rFonts w:hint="eastAsia" w:ascii="宋体" w:hAnsi="宋体" w:cs="Times New Roman"/>
          <w:b/>
          <w:bCs/>
          <w:color w:val="auto"/>
          <w:sz w:val="24"/>
          <w:lang w:val="en-US" w:eastAsia="zh-CN"/>
        </w:rPr>
        <w:t xml:space="preserve">3</w:t>
      </w:r>
      <w:r>
        <w:rPr>
          <w:rFonts w:hint="eastAsia" w:ascii="宋体" w:hAnsi="宋体" w:cs="Times New Roman"/>
          <w:b/>
          <w:bCs/>
          <w:color w:val="auto"/>
          <w:sz w:val="24"/>
        </w:rPr>
        <w:t xml:space="preserve">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1.演示可在远程控制端模块中查看已开通远程智能物联网管理的实验室和专用教室中的智能化设备数量与工作状态，工作状态包括电源开关状态、插座通断状态、照明开关状态，视频演示实验结果满足以上要求得1分，演示实验结果不满足以上要求或不提供视频演示不得分。</w:t>
      </w:r>
      <w:r/>
    </w:p>
    <w:p>
      <w:pPr>
        <w:ind w:firstLine="480"/>
        <w:keepLines w:val="0"/>
        <w:keepNext w:val="0"/>
        <w:pageBreakBefore w:val="0"/>
        <w:spacing w:after="0" w:line="460" w:lineRule="exact"/>
        <w:widowControl w:val="off"/>
        <w:rPr>
          <w:rFonts w:ascii="宋体" w:hAnsi="宋体" w:cs="Times New Roman"/>
          <w:color w:val="auto"/>
          <w:sz w:val="24"/>
        </w:rPr>
      </w:pPr>
      <w:r>
        <w:rPr>
          <w:rFonts w:hint="eastAsia" w:ascii="宋体" w:hAnsi="宋体" w:cs="Times New Roman"/>
          <w:color w:val="auto"/>
          <w:sz w:val="24"/>
        </w:rPr>
        <w:t xml:space="preserve">2.演示可在远程控制端信息显示界面直接对智能双人超净工作台进行灭菌预约计时、照明灯开关、风速调整操作，设备同步完成响应操作，视频演示实验结果满足以上要求得1分，演示实验结果不满足以上要求或不提供视频演示不得分。</w:t>
      </w:r>
      <w:r/>
    </w:p>
    <w:p>
      <w:pPr>
        <w:pStyle w:val="811"/>
        <w:numPr>
          <w:ilvl w:val="0"/>
          <w:numId w:val="0"/>
        </w:numPr>
        <w:ind w:left="0" w:firstLine="420"/>
        <w:keepLines w:val="0"/>
        <w:keepNext w:val="0"/>
        <w:pageBreakBefore w:val="0"/>
        <w:spacing w:line="460" w:lineRule="exact"/>
        <w:widowControl w:val="off"/>
        <w:rPr>
          <w:rFonts w:hint="eastAsia" w:ascii="宋体" w:hAnsi="宋体" w:eastAsia="华文中宋" w:cs="Times New Roman"/>
          <w:color w:val="auto"/>
          <w:sz w:val="24"/>
          <w:lang w:val="en-US" w:eastAsia="zh-CN"/>
        </w:rPr>
      </w:pPr>
      <w:r>
        <w:rPr>
          <w:rFonts w:hint="eastAsia" w:ascii="宋体" w:hAnsi="宋体" w:cs="Times New Roman"/>
          <w:color w:val="auto"/>
          <w:sz w:val="24"/>
        </w:rPr>
        <w:t xml:space="preserve">3.演示可在远程控制端直接操作光照强度调控、温度调控、时间周期设置，视频演示实验结果满足以上要求得1分，演示实验结果不满足以上要求或不提供视频演示不得分。</w:t>
      </w:r>
      <w:r/>
    </w:p>
    <w:p>
      <w:pPr>
        <w:pStyle w:val="811"/>
        <w:numPr>
          <w:ilvl w:val="0"/>
          <w:numId w:val="0"/>
        </w:numPr>
        <w:ind w:left="0" w:firstLine="422"/>
        <w:keepLines w:val="0"/>
        <w:keepNext w:val="0"/>
        <w:pageBreakBefore w:val="0"/>
        <w:spacing w:line="460" w:lineRule="exact"/>
        <w:widowControl w:val="off"/>
        <w:rPr>
          <w:color w:val="000000" w:themeColor="text1"/>
          <w:sz w:val="24"/>
          <w:szCs w:val="24"/>
          <w:highlight w:val="none"/>
          <w14:textFill>
            <w14:solidFill>
              <w14:schemeClr w14:val="tx1"/>
            </w14:solidFill>
          </w14:textFill>
        </w:rPr>
      </w:pPr>
      <w:r>
        <w:rPr>
          <w:rFonts w:hint="default" w:ascii="华文中宋" w:hAnsi="Times New Roman" w:eastAsia="华文中宋" w:cs="Times New Roman"/>
          <w:b/>
          <w:bCs w:val="0"/>
          <w:color w:val="000000" w:themeColor="text1"/>
          <w:sz w:val="24"/>
          <w:szCs w:val="24"/>
          <w:lang w:val="en-US" w:eastAsia="zh-CN" w:bidi="ar-SA"/>
          <w14:textFill>
            <w14:solidFill>
              <w14:schemeClr w14:val="tx1"/>
            </w14:solidFill>
          </w14:textFill>
        </w:rPr>
        <w:t xml:space="preserve">（</w:t>
      </w:r>
      <w:r>
        <w:rPr>
          <w:rFonts w:hint="eastAsia" w:cs="Times New Roman"/>
          <w:b/>
          <w:bCs w:val="0"/>
          <w:color w:val="000000" w:themeColor="text1"/>
          <w:sz w:val="24"/>
          <w:szCs w:val="24"/>
          <w:lang w:val="en-US" w:eastAsia="zh-CN" w:bidi="ar-SA"/>
          <w14:textFill>
            <w14:solidFill>
              <w14:schemeClr w14:val="tx1"/>
            </w14:solidFill>
          </w14:textFill>
        </w:rPr>
        <w:t xml:space="preserve">5</w:t>
      </w:r>
      <w:r>
        <w:rPr>
          <w:rFonts w:hint="default" w:ascii="华文中宋" w:hAnsi="Times New Roman" w:eastAsia="华文中宋" w:cs="Times New Roman"/>
          <w:b/>
          <w:bCs w:val="0"/>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政策性因素</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highlight w:val="none"/>
          <w14:textFill>
            <w14:solidFill>
              <w14:schemeClr w14:val="tx1"/>
            </w14:solidFill>
          </w14:textFill>
        </w:rPr>
        <w:t xml:space="preserve">分）</w:t>
      </w:r>
      <w:r>
        <w:rPr>
          <w:color w:val="000000" w:themeColor="text1"/>
          <w:sz w:val="24"/>
          <w:szCs w:val="24"/>
          <w:highlight w:val="none"/>
          <w14:textFill>
            <w14:solidFill>
              <w14:schemeClr w14:val="tx1"/>
            </w14:solidFill>
          </w14:textFill>
        </w:rPr>
        <w:t xml:space="preserve">  </w:t>
      </w:r>
      <w:r/>
    </w:p>
    <w:p>
      <w:pPr>
        <w:ind w:firstLine="480"/>
        <w:jc w:val="left"/>
        <w:keepLines w:val="0"/>
        <w:keepNext w:val="0"/>
        <w:pageBreakBefore w:val="0"/>
        <w:spacing w:line="460" w:lineRule="exact"/>
        <w:widowControl w:val="off"/>
        <w:rPr>
          <w:rFonts w:hint="default" w:hAnsi="Times New Roman" w:eastAsia="宋体"/>
          <w:color w:val="000000" w:themeColor="text1"/>
          <w:sz w:val="24"/>
          <w:szCs w:val="24"/>
          <w:highlight w:val="none"/>
          <w:lang w:val="en-US" w:eastAsia="zh-CN"/>
          <w14:textFill>
            <w14:solidFill>
              <w14:schemeClr w14:val="tx1"/>
            </w14:solidFill>
          </w14:textFill>
        </w:rPr>
        <w:outlineLvl w:val="9"/>
      </w:pPr>
      <w:r>
        <w:rPr>
          <w:rFonts w:hint="eastAsia" w:hAnsi="Times New Roman"/>
          <w:color w:val="000000" w:themeColor="text1"/>
          <w:sz w:val="24"/>
          <w:szCs w:val="24"/>
          <w:highlight w:val="none"/>
          <w14:textFill>
            <w14:solidFill>
              <w14:schemeClr w14:val="tx1"/>
            </w14:solidFill>
          </w14:textFill>
        </w:rPr>
        <w:t xml:space="preserve">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w:t>
      </w:r>
      <w:r>
        <w:rPr>
          <w:rFonts w:hint="eastAsia" w:ascii="宋体" w:hAnsi="宋体" w:eastAsia="宋体" w:cs="宋体"/>
          <w:color w:val="000000" w:themeColor="text1"/>
          <w:sz w:val="24"/>
          <w:szCs w:val="24"/>
          <w:highlight w:val="none"/>
          <w14:textFill>
            <w14:solidFill>
              <w14:schemeClr w14:val="tx1"/>
            </w14:solidFill>
          </w14:textFill>
        </w:rPr>
        <w:t xml:space="preserve">环境标志产品认证机构名录》）出具的、处于有效期之内的节能产品、环境标志产品认证证书的，落实政府优先采购政策，有1项，予以加1分，最多加2分。（节能产品、环</w:t>
      </w:r>
      <w:r>
        <w:rPr>
          <w:rFonts w:hint="eastAsia" w:hAnsi="Times New Roman"/>
          <w:color w:val="000000" w:themeColor="text1"/>
          <w:sz w:val="24"/>
          <w:szCs w:val="24"/>
          <w:highlight w:val="none"/>
          <w14:textFill>
            <w14:solidFill>
              <w14:schemeClr w14:val="tx1"/>
            </w14:solidFill>
          </w14:textFill>
        </w:rPr>
        <w:t xml:space="preserve">境标志产品认证证书为同一产品的，不重复加分；投标时提供证书扫描件传至投标文件中，否则不得分）。</w:t>
      </w:r>
      <w:r/>
    </w:p>
    <w:p>
      <w:pPr>
        <w:ind w:left="0" w:firstLine="420"/>
        <w:keepLines w:val="0"/>
        <w:keepNext w:val="0"/>
        <w:pageBreakBefore w:val="0"/>
        <w:spacing w:line="460" w:lineRule="exact"/>
        <w:widowControl w:val="off"/>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技术方案（暗标）</w:t>
      </w: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注:技术文件部分属于暗标，投标人在制作技术部分相关内容时不得有体现投标人身份的内容，否则投标无效。</w:t>
      </w:r>
      <w:r/>
    </w:p>
    <w:p>
      <w:pPr>
        <w:ind w:firstLine="480"/>
        <w:keepLines w:val="0"/>
        <w:keepNext w:val="0"/>
        <w:pageBreakBefore w:val="0"/>
        <w:spacing w:line="4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1）深化设计方案（包含但不限于平面布局图、水电通风图、效果图等，须满足安装施工要求，图纸要符合项目落地）（16分）</w:t>
      </w:r>
      <w:r/>
    </w:p>
    <w:p>
      <w:pPr>
        <w:ind w:firstLine="480"/>
        <w:keepLines w:val="0"/>
        <w:keepNext w:val="0"/>
        <w:pageBreakBefore w:val="0"/>
        <w:spacing w:line="46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投标人依据招标文件提供的图纸及采购清单（详见附件二、深化设计内容），对①化学通风实验室；②生物显微镜观察室；③创客中心；④生态标本馆四项内容分别进行针对性深化设计</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（1）每有一项内容详实、图纸齐全、需求贴合度高且动线合理的该条得4分；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（2）每有一项内容较为简单、可行、细节有待完善的该条得2分；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（3）每有一项内容粗糙、基本满足采购需求的该条得1分；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（4）每有一项内容未提供或提供不符合要求的不得分。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2）项目实施方案及措施（</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1、投标人需对①生产供货计划及到货验收；②安装进度计划及安装环境检查；③质量保障及应急保障；④项目组织架构及人员安排等四项内容分别进行阐述。</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（1）每有一项内容完整，科学合理，设计清晰详细，完全符合本项目需求的，得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（2）每有一项内容完整性一般，科学合理性一般，设计清晰详细程度一般，能够符合本项目需求的，得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（3）每有一项内容完整性、科学合理性、设计的清晰详细程度等只能基本满足要求的，得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（4）每有一项内容未进行阐述或者内容空泛、不具操作性的，得 0分。</w:t>
      </w:r>
      <w:r/>
    </w:p>
    <w:p>
      <w:pPr>
        <w:ind w:firstLine="480"/>
        <w:keepLines w:val="0"/>
        <w:keepNext w:val="0"/>
        <w:pageBreakBefore w:val="0"/>
        <w:spacing w:line="4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3）项目售后服务及培训方案（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1.售后服务方案（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投标人针对售后服务内容①响应时间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②故障处理流程等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两项内容分别</w:t>
      </w:r>
      <w:r>
        <w:rPr>
          <w:rFonts w:hint="eastAsia" w:ascii="宋体" w:hAnsi="宋体" w:eastAsia="宋体" w:cs="宋体"/>
          <w:color w:val="000000" w:themeColor="text1"/>
          <w:sz w:val="24"/>
          <w:szCs w:val="24"/>
          <w:highlight w:val="none"/>
          <w14:textFill>
            <w14:solidFill>
              <w14:schemeClr w14:val="tx1"/>
            </w14:solidFill>
          </w14:textFill>
        </w:rPr>
        <w:t xml:space="preserve">进行阐述。</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（1）每有一项内容全面、详细、切实可行，承诺优于招标文件基本要求的，得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（2）每有一项内容基本完整、可行，能满足招标文件要求的，得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（3）每有一项内容空泛、不具操作性或未进行阐述的，得 0分。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2.培训方</w:t>
      </w:r>
      <w:r>
        <w:rPr>
          <w:rFonts w:hint="eastAsia" w:ascii="宋体" w:hAnsi="宋体" w:eastAsia="宋体" w:cs="宋体"/>
          <w:color w:val="auto"/>
          <w:sz w:val="24"/>
          <w:szCs w:val="24"/>
          <w:highlight w:val="none"/>
        </w:rPr>
        <w:t xml:space="preserve">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投标人针对培训内容（如培训对象、课程、时长等）进行阐述。</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（1）方案内容全面、详细、针对性强，能确保用户有效掌握设备使用的，得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（2）方案内容基本完整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w:t>
      </w:r>
      <w:r>
        <w:rPr>
          <w:rFonts w:hint="eastAsia" w:ascii="宋体" w:hAnsi="宋体" w:eastAsia="宋体" w:cs="宋体"/>
          <w:color w:val="000000" w:themeColor="text1"/>
          <w:sz w:val="24"/>
          <w:szCs w:val="24"/>
          <w:highlight w:val="none"/>
          <w14:textFill>
            <w14:solidFill>
              <w14:schemeClr w14:val="tx1"/>
            </w14:solidFill>
          </w14:textFill>
        </w:rPr>
        <w:t xml:space="preserve">有一定针对性，能满足基本培训需求的，得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（3）方案内容空泛、不具体或未进行阐述的，得 0分。</w:t>
      </w:r>
      <w:r/>
    </w:p>
    <w:p>
      <w:pPr>
        <w:ind w:firstLine="480"/>
        <w:keepLines w:val="0"/>
        <w:keepNext w:val="0"/>
        <w:pageBreakBefore w:val="0"/>
        <w:spacing w:line="4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未列入本评分细则的其他条件不作为评分内容。</w:t>
      </w:r>
      <w:r/>
    </w:p>
    <w:p>
      <w:pPr>
        <w:ind w:firstLine="480"/>
        <w:keepLines w:val="0"/>
        <w:keepNext w:val="0"/>
        <w:pageBreakBefore w:val="0"/>
        <w:spacing w:line="460" w:lineRule="exact"/>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除技术文件编制粗糙、缺漏项较多或页数明显偏少的外，评委一般按照上述评分要求及项目实施方案实际内容酌情评分。技术方案评分取所有暗标专家的评分的平均值。</w:t>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属于</w:t>
      </w:r>
      <w:r>
        <w:rPr>
          <w:rFonts w:hint="eastAsia" w:ascii="宋体" w:hAnsi="宋体" w:eastAsia="宋体" w:cs="宋体"/>
          <w:color w:val="000000" w:themeColor="text1"/>
          <w:sz w:val="24"/>
          <w:szCs w:val="24"/>
          <w:highlight w:val="none"/>
          <w14:textFill>
            <w14:solidFill>
              <w14:schemeClr w14:val="tx1"/>
            </w14:solidFill>
          </w14:textFill>
        </w:rPr>
        <w:t xml:space="preserve">采购人。未列入本评分细则的其他条件不作为评分内容。</w:t>
      </w:r>
      <w:r/>
    </w:p>
    <w:p>
      <w:pPr>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br w:type="page" w:clear="all"/>
      </w:r>
      <w:r/>
    </w:p>
    <w:p>
      <w:pPr>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t xml:space="preserve">第六章  </w:t>
      </w:r>
      <w:bookmarkEnd w:id="141"/>
      <w:r/>
      <w:bookmarkEnd w:id="142"/>
      <w:r/>
      <w:bookmarkEnd w:id="143"/>
      <w:r>
        <w:rPr>
          <w:rFonts w:hint="eastAsia" w:ascii="宋体" w:hAnsi="宋体" w:eastAsia="宋体" w:cs="宋体"/>
          <w:bCs/>
          <w:color w:val="auto"/>
          <w:sz w:val="36"/>
          <w:szCs w:val="36"/>
          <w:highlight w:val="none"/>
        </w:rPr>
        <w:t xml:space="preserve">投标文件内容与格式</w:t>
      </w:r>
      <w:r/>
    </w:p>
    <w:p>
      <w:pPr>
        <w:pStyle w:val="1233"/>
        <w:ind w:firstLine="602"/>
        <w:spacing w:before="0" w:after="0"/>
        <w:rPr>
          <w:rFonts w:ascii="宋体" w:hAnsi="宋体" w:cs="宋体"/>
          <w:b/>
          <w:color w:val="auto"/>
          <w:sz w:val="30"/>
          <w:szCs w:val="30"/>
          <w:highlight w:val="none"/>
        </w:rPr>
        <w:outlineLvl w:val="1"/>
      </w:pPr>
      <w:r/>
      <w:bookmarkStart w:id="144" w:name="_Hlt26671244"/>
      <w:r/>
      <w:bookmarkEnd w:id="144"/>
      <w:r/>
      <w:bookmarkStart w:id="145" w:name="_Hlt26955039"/>
      <w:r/>
      <w:bookmarkEnd w:id="145"/>
      <w:r>
        <w:rPr>
          <w:rFonts w:hint="eastAsia" w:ascii="宋体" w:hAnsi="宋体" w:cs="宋体"/>
          <w:b/>
          <w:color w:val="auto"/>
          <w:sz w:val="30"/>
          <w:szCs w:val="30"/>
          <w:highlight w:val="none"/>
        </w:rPr>
        <w:t xml:space="preserve">第一部分投标文件内容</w:t>
      </w:r>
      <w:r/>
    </w:p>
    <w:p>
      <w:pPr>
        <w:pStyle w:val="1233"/>
        <w:numPr>
          <w:ilvl w:val="0"/>
          <w:numId w:val="0"/>
        </w:numPr>
        <w:ind w:firstLine="0"/>
        <w:spacing w:before="0" w:after="0"/>
        <w:rPr>
          <w:rFonts w:hint="eastAsia" w:ascii="宋体" w:hAnsi="宋体" w:eastAsia="宋体" w:cs="宋体"/>
          <w:b/>
          <w:color w:val="auto"/>
          <w:sz w:val="28"/>
          <w:szCs w:val="28"/>
          <w:highlight w:val="none"/>
          <w:lang w:val="en-US" w:eastAsia="zh-CN" w:bidi="ar-SA"/>
        </w:rPr>
        <w:outlineLvl w:val="2"/>
      </w:pPr>
      <w:r>
        <w:rPr>
          <w:rFonts w:hint="eastAsia" w:ascii="宋体" w:hAnsi="宋体" w:cs="宋体"/>
          <w:b/>
          <w:color w:val="auto"/>
          <w:sz w:val="28"/>
          <w:szCs w:val="28"/>
          <w:lang w:val="en-US" w:eastAsia="zh-CN" w:bidi="ar-SA"/>
        </w:rPr>
        <w:t xml:space="preserve">一、资格、资信</w:t>
      </w:r>
      <w:r>
        <w:rPr>
          <w:rFonts w:hint="eastAsia" w:ascii="宋体" w:hAnsi="宋体" w:eastAsia="宋体" w:cs="宋体"/>
          <w:b/>
          <w:color w:val="auto"/>
          <w:sz w:val="28"/>
          <w:szCs w:val="28"/>
          <w:highlight w:val="none"/>
          <w:lang w:val="en-US" w:eastAsia="zh-CN" w:bidi="ar-SA"/>
        </w:rPr>
        <w:t xml:space="preserve">证明文件</w:t>
      </w:r>
      <w:r/>
    </w:p>
    <w:tbl>
      <w:tblPr>
        <w:tblStyle w:val="80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672"/>
        </w:trPr>
        <w:tc>
          <w:tcPr>
            <w:tcW w:w="719" w:type="dxa"/>
            <w:vAlign w:val="center"/>
            <w:textDirection w:val="lrTb"/>
            <w:noWrap w:val="false"/>
          </w:tcPr>
          <w:p>
            <w:pPr>
              <w:pStyle w:val="1233"/>
              <w:ind w:firstLine="0"/>
              <w:jc w:val="center"/>
              <w:spacing w:before="0" w:after="0"/>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1233"/>
              <w:jc w:val="center"/>
              <w:spacing w:before="0" w:after="0"/>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2449" w:type="dxa"/>
            <w:vAlign w:val="center"/>
            <w:textDirection w:val="lrTb"/>
            <w:noWrap w:val="false"/>
          </w:tcPr>
          <w:p>
            <w:pPr>
              <w:pStyle w:val="1233"/>
              <w:ind w:firstLine="0"/>
              <w:jc w:val="center"/>
              <w:spacing w:before="0" w:after="0"/>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233"/>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1233"/>
              <w:ind w:firstLine="0"/>
              <w:jc w:val="both"/>
              <w:spacing w:before="0" w:after="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关于资格的声明函（格式见附件）</w:t>
            </w:r>
            <w:r>
              <w:rPr>
                <w:rFonts w:hint="eastAsia" w:ascii="宋体" w:hAnsi="宋体" w:cs="宋体"/>
                <w:color w:val="000000" w:themeColor="text1"/>
                <w:highlight w:val="none"/>
                <w:lang w:eastAsia="zh-CN"/>
                <w14:textFill>
                  <w14:solidFill>
                    <w14:schemeClr w14:val="tx1"/>
                  </w14:solidFill>
                </w14:textFill>
              </w:rPr>
              <w:t xml:space="preserve">。</w:t>
            </w:r>
            <w:r/>
          </w:p>
        </w:tc>
        <w:tc>
          <w:tcPr>
            <w:tcW w:w="2449" w:type="dxa"/>
            <w:vAlign w:val="center"/>
            <w:vMerge w:val="restart"/>
            <w:textDirection w:val="lrTb"/>
            <w:noWrap w:val="false"/>
          </w:tcPr>
          <w:p>
            <w:pPr>
              <w:pStyle w:val="1233"/>
              <w:ind w:firstLine="0"/>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33"/>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1233"/>
              <w:ind w:firstLine="0"/>
              <w:jc w:val="both"/>
              <w:spacing w:before="0" w:after="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具有独立承担民事责任能力的投标人营业执照或相关部门的登记证明文件原件扫描件并签章上传至投标系统（</w:t>
            </w:r>
            <w:r>
              <w:rPr>
                <w:rFonts w:hint="eastAsia" w:ascii="宋体" w:hAnsi="宋体" w:cs="宋体"/>
                <w:b/>
                <w:bCs/>
                <w:color w:val="000000" w:themeColor="text1"/>
                <w:highlight w:val="none"/>
                <w14:textFill>
                  <w14:solidFill>
                    <w14:schemeClr w14:val="tx1"/>
                  </w14:solidFill>
                </w14:textFill>
              </w:rPr>
              <w:t xml:space="preserve">投标人如是允许以分支机构身份参加投标的，提供投标人分支机构的营业执照扫描件；投标人如是自然人情形的，提供有效身份证扫描件</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w:t>
            </w:r>
            <w:r/>
          </w:p>
        </w:tc>
        <w:tc>
          <w:tcPr>
            <w:tcW w:w="2449" w:type="dxa"/>
            <w:vAlign w:val="center"/>
            <w:vMerge w:val="continue"/>
            <w:textDirection w:val="lrTb"/>
            <w:noWrap w:val="false"/>
          </w:tcPr>
          <w:p>
            <w:pPr>
              <w:pStyle w:val="1233"/>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233"/>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投标人法定代表人授权委托书的原件扫描件并签章上传至投标系统（</w:t>
            </w:r>
            <w:r>
              <w:rPr>
                <w:rFonts w:hint="eastAsia" w:ascii="宋体" w:hAnsi="宋体" w:eastAsia="宋体" w:cs="宋体"/>
                <w:b/>
                <w:bCs w:val="0"/>
                <w:color w:val="000000" w:themeColor="text1"/>
                <w:sz w:val="24"/>
                <w:highlight w:val="none"/>
                <w14:textFill>
                  <w14:solidFill>
                    <w14:schemeClr w14:val="tx1"/>
                  </w14:solidFill>
                </w14:textFill>
              </w:rPr>
              <w:t xml:space="preserve">法定代表人签署投标文件且亲自参与的必须提供《法定代表人亲自投标声明》，格式见附件</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tc>
        <w:tc>
          <w:tcPr>
            <w:tcW w:w="2449" w:type="dxa"/>
            <w:vAlign w:val="center"/>
            <w:vMerge w:val="continue"/>
            <w:textDirection w:val="lrTb"/>
            <w:noWrap w:val="false"/>
          </w:tcPr>
          <w:p>
            <w:pPr>
              <w:pStyle w:val="1233"/>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233"/>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1233"/>
              <w:ind w:firstLine="0"/>
              <w:jc w:val="both"/>
              <w:spacing w:before="0" w:after="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投标人法定代表人身份证原件扫描件并签章上传至投标系统（身份证应为正、反面）</w:t>
            </w:r>
            <w:r>
              <w:rPr>
                <w:rFonts w:hint="eastAsia" w:ascii="宋体" w:hAnsi="宋体" w:cs="宋体"/>
                <w:color w:val="000000" w:themeColor="text1"/>
                <w:highlight w:val="none"/>
                <w:lang w:eastAsia="zh-CN"/>
                <w14:textFill>
                  <w14:solidFill>
                    <w14:schemeClr w14:val="tx1"/>
                  </w14:solidFill>
                </w14:textFill>
              </w:rPr>
              <w:t xml:space="preserve">。</w:t>
            </w:r>
            <w:r/>
          </w:p>
        </w:tc>
        <w:tc>
          <w:tcPr>
            <w:tcW w:w="2449" w:type="dxa"/>
            <w:vAlign w:val="center"/>
            <w:vMerge w:val="continue"/>
            <w:textDirection w:val="lrTb"/>
            <w:noWrap w:val="false"/>
          </w:tcPr>
          <w:p>
            <w:pPr>
              <w:pStyle w:val="1233"/>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963"/>
        </w:trPr>
        <w:tc>
          <w:tcPr>
            <w:tcW w:w="719" w:type="dxa"/>
            <w:vAlign w:val="center"/>
            <w:textDirection w:val="lrTb"/>
            <w:noWrap w:val="false"/>
          </w:tcPr>
          <w:p>
            <w:pPr>
              <w:pStyle w:val="1233"/>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1233"/>
              <w:ind w:firstLine="0"/>
              <w:jc w:val="both"/>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投标人法定代表人授权代表身份证原件扫描件并签章上传至投标系统（身份证应为正、反面，法定代表人亲自参加投标的除外）。</w:t>
            </w:r>
            <w:r/>
          </w:p>
        </w:tc>
        <w:tc>
          <w:tcPr>
            <w:tcW w:w="2449" w:type="dxa"/>
            <w:vAlign w:val="center"/>
            <w:vMerge w:val="continue"/>
            <w:textDirection w:val="lrTb"/>
            <w:noWrap w:val="false"/>
          </w:tcPr>
          <w:p>
            <w:pPr>
              <w:pStyle w:val="1233"/>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1023"/>
        </w:trPr>
        <w:tc>
          <w:tcPr>
            <w:tcW w:w="719" w:type="dxa"/>
            <w:vAlign w:val="center"/>
            <w:textDirection w:val="lrTb"/>
            <w:noWrap w:val="false"/>
          </w:tcPr>
          <w:p>
            <w:pPr>
              <w:pStyle w:val="1233"/>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6104" w:type="dxa"/>
            <w:vAlign w:val="center"/>
            <w:textDirection w:val="lrTb"/>
            <w:noWrap w:val="false"/>
          </w:tcPr>
          <w:p>
            <w:pPr>
              <w:pStyle w:val="1233"/>
              <w:ind w:firstLine="0"/>
              <w:jc w:val="both"/>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法定代表人授权代表具备与本企业签订的劳动合同，及《职工养老保险手册》（内附近一年中任意一个月份（不含投标当月）的缴费清单）或由社保机构出具本企业的近一年中任意一个月份（不含投标当月）的缴费证明扫描件并签章上传至投标系统（由相关主管部门出具，新成立公司除外、法定代表人亲自参加投标的除外）。</w:t>
            </w:r>
            <w:r/>
          </w:p>
        </w:tc>
        <w:tc>
          <w:tcPr>
            <w:tcW w:w="2449" w:type="dxa"/>
            <w:vAlign w:val="center"/>
            <w:vMerge w:val="continue"/>
            <w:textDirection w:val="lrTb"/>
            <w:noWrap w:val="false"/>
          </w:tcPr>
          <w:p>
            <w:pPr>
              <w:pStyle w:val="1233"/>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705"/>
        </w:trPr>
        <w:tc>
          <w:tcPr>
            <w:tcW w:w="719" w:type="dxa"/>
            <w:vAlign w:val="center"/>
            <w:textDirection w:val="lrTb"/>
            <w:noWrap w:val="false"/>
          </w:tcPr>
          <w:p>
            <w:pPr>
              <w:pStyle w:val="1233"/>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6104" w:type="dxa"/>
            <w:vAlign w:val="center"/>
            <w:textDirection w:val="lrTb"/>
            <w:noWrap w:val="false"/>
          </w:tcPr>
          <w:p>
            <w:pPr>
              <w:pStyle w:val="1233"/>
              <w:ind w:firstLine="0"/>
              <w:jc w:val="both"/>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投标人近一年中任意一个月份（不含投标当月）的财务状况报告（资产负债表和利润表）或由会计师事务所出具的近两年中任意一年度的审计报告和所附已审财务报告原件扫描件并签章上传至投标系统。</w:t>
            </w:r>
            <w:r/>
          </w:p>
        </w:tc>
        <w:tc>
          <w:tcPr>
            <w:tcW w:w="2449" w:type="dxa"/>
            <w:vAlign w:val="center"/>
            <w:vMerge w:val="continue"/>
            <w:textDirection w:val="lrTb"/>
            <w:noWrap w:val="false"/>
          </w:tcPr>
          <w:p>
            <w:pPr>
              <w:pStyle w:val="1233"/>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07"/>
        </w:trPr>
        <w:tc>
          <w:tcPr>
            <w:tcW w:w="719" w:type="dxa"/>
            <w:vAlign w:val="center"/>
            <w:textDirection w:val="lrTb"/>
            <w:noWrap w:val="false"/>
          </w:tcPr>
          <w:p>
            <w:pPr>
              <w:pStyle w:val="1233"/>
              <w:ind w:firstLine="0"/>
              <w:jc w:val="center"/>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1233"/>
              <w:ind w:firstLine="0"/>
              <w:spacing w:before="0"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投标人近一年中任意一个月份（不含投标当月）的依法缴纳税收的相关材料（提供相关主管部门证明或银行代扣证明）原件扫描件并签章上传至投标系统。</w:t>
            </w:r>
            <w:r/>
          </w:p>
        </w:tc>
        <w:tc>
          <w:tcPr>
            <w:tcW w:w="2449" w:type="dxa"/>
            <w:vAlign w:val="center"/>
            <w:vMerge w:val="continue"/>
            <w:textDirection w:val="lrTb"/>
            <w:noWrap w:val="false"/>
          </w:tcPr>
          <w:p>
            <w:pPr>
              <w:pStyle w:val="1233"/>
              <w:ind w:firstLine="0"/>
              <w:spacing w:before="0" w:after="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233"/>
              <w:ind w:firstLine="0"/>
              <w:jc w:val="center"/>
              <w:spacing w:before="0" w:after="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tcW w:w="6104" w:type="dxa"/>
            <w:vAlign w:val="center"/>
            <w:textDirection w:val="lrTb"/>
            <w:noWrap w:val="false"/>
          </w:tcPr>
          <w:p>
            <w:pPr>
              <w:pStyle w:val="1233"/>
              <w:ind w:firstLine="0"/>
              <w:jc w:val="both"/>
              <w:spacing w:before="0" w:after="0"/>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投标人近一年中任意一个月份（不含投标当月）的依法缴纳社会保障资金的相关材料（提供相关主管部门证明或银行代扣证明）原件扫描件并签章上传至投标系统；</w:t>
            </w:r>
            <w:r/>
          </w:p>
        </w:tc>
        <w:tc>
          <w:tcPr>
            <w:tcW w:w="2449" w:type="dxa"/>
            <w:vAlign w:val="center"/>
            <w:vMerge w:val="continue"/>
            <w:textDirection w:val="lrTb"/>
            <w:noWrap w:val="false"/>
          </w:tcPr>
          <w:p>
            <w:pPr>
              <w:pStyle w:val="1233"/>
              <w:ind w:firstLine="0"/>
              <w:spacing w:before="0" w:after="0"/>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233"/>
              <w:ind w:firstLine="0"/>
              <w:jc w:val="center"/>
              <w:spacing w:before="0" w:after="0"/>
              <w:rPr>
                <w:rFonts w:hint="default"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10</w:t>
            </w:r>
            <w:r/>
          </w:p>
        </w:tc>
        <w:tc>
          <w:tcPr>
            <w:tcW w:w="6104" w:type="dxa"/>
            <w:vAlign w:val="center"/>
            <w:textDirection w:val="lrTb"/>
            <w:noWrap w:val="false"/>
          </w:tcPr>
          <w:p>
            <w:pPr>
              <w:pStyle w:val="1233"/>
              <w:ind w:firstLine="0"/>
              <w:jc w:val="both"/>
              <w:spacing w:before="0" w:after="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所投产品应为本国产品，提供《关于符合本国产品标准的声明函》扫描件并签章上传至投标系统（</w:t>
            </w:r>
            <w:r>
              <w:rPr>
                <w:rFonts w:hint="eastAsia" w:ascii="宋体" w:hAnsi="宋体" w:cs="宋体"/>
                <w:b/>
                <w:bCs w:val="0"/>
                <w:color w:val="000000" w:themeColor="text1"/>
                <w:highlight w:val="none"/>
                <w14:textFill>
                  <w14:solidFill>
                    <w14:schemeClr w14:val="tx1"/>
                  </w14:solidFill>
                </w14:textFill>
              </w:rPr>
              <w:t xml:space="preserve">格式见附件</w:t>
            </w:r>
            <w:r>
              <w:rPr>
                <w:rFonts w:hint="eastAsia" w:ascii="宋体" w:hAnsi="宋体" w:cs="宋体"/>
                <w:bCs/>
                <w:color w:val="000000" w:themeColor="text1"/>
                <w:highlight w:val="none"/>
                <w14:textFill>
                  <w14:solidFill>
                    <w14:schemeClr w14:val="tx1"/>
                  </w14:solidFill>
                </w14:textFill>
              </w:rPr>
              <w:t xml:space="preserve">）</w:t>
            </w:r>
            <w:r/>
          </w:p>
        </w:tc>
        <w:tc>
          <w:tcPr>
            <w:tcW w:w="2449" w:type="dxa"/>
            <w:vAlign w:val="center"/>
            <w:vMerge w:val="continue"/>
            <w:textDirection w:val="lrTb"/>
            <w:noWrap w:val="false"/>
          </w:tcPr>
          <w:p>
            <w:pPr>
              <w:pStyle w:val="1233"/>
              <w:ind w:firstLine="0"/>
              <w:spacing w:before="0" w:after="0"/>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233"/>
              <w:ind w:firstLine="0"/>
              <w:jc w:val="center"/>
              <w:spacing w:before="0" w:after="0"/>
              <w:rPr>
                <w:rFonts w:hint="default" w:ascii="宋体" w:hAnsi="宋体" w:cs="宋体"/>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11</w:t>
            </w:r>
            <w:r/>
          </w:p>
        </w:tc>
        <w:tc>
          <w:tcPr>
            <w:tcW w:w="6104" w:type="dxa"/>
            <w:vAlign w:val="center"/>
            <w:textDirection w:val="lrTb"/>
            <w:noWrap w:val="false"/>
          </w:tcPr>
          <w:p>
            <w:pPr>
              <w:pStyle w:val="1233"/>
              <w:ind w:firstLine="0"/>
              <w:jc w:val="both"/>
              <w:spacing w:before="0" w:after="0"/>
              <w:rPr>
                <w:rFonts w:hint="eastAsia" w:ascii="宋体" w:hAnsi="宋体" w:cs="宋体"/>
                <w:bCs/>
                <w:color w:val="000000" w:themeColor="text1"/>
                <w:highlight w:val="none"/>
                <w14:textFill>
                  <w14:solidFill>
                    <w14:schemeClr w14:val="tx1"/>
                  </w14:solidFill>
                </w14:textFill>
              </w:rPr>
            </w:pPr>
            <w:r>
              <w:rPr>
                <w:rFonts w:hint="eastAsia" w:ascii="宋体" w:hAnsi="宋体" w:cs="Times New Roman"/>
                <w:color w:val="000000" w:themeColor="text1"/>
                <w:sz w:val="24"/>
                <w:szCs w:val="20"/>
                <w14:textFill>
                  <w14:solidFill>
                    <w14:schemeClr w14:val="tx1"/>
                  </w14:solidFill>
                </w14:textFill>
              </w:rPr>
              <w:t xml:space="preserve">具备履行合同所必需的设备和专业技术能力的书面声明扫描件并签章上传至投标系统（</w:t>
            </w:r>
            <w:r>
              <w:rPr>
                <w:rFonts w:hint="eastAsia" w:ascii="宋体" w:hAnsi="宋体" w:cs="Times New Roman"/>
                <w:b/>
                <w:bCs/>
                <w:color w:val="000000" w:themeColor="text1"/>
                <w:sz w:val="24"/>
                <w:szCs w:val="20"/>
                <w14:textFill>
                  <w14:solidFill>
                    <w14:schemeClr w14:val="tx1"/>
                  </w14:solidFill>
                </w14:textFill>
              </w:rPr>
              <w:t xml:space="preserve">格式见附件</w:t>
            </w:r>
            <w:r>
              <w:rPr>
                <w:rFonts w:hint="eastAsia" w:ascii="宋体" w:hAnsi="宋体" w:cs="Times New Roman"/>
                <w:color w:val="000000" w:themeColor="text1"/>
                <w:sz w:val="24"/>
                <w:szCs w:val="20"/>
                <w14:textFill>
                  <w14:solidFill>
                    <w14:schemeClr w14:val="tx1"/>
                  </w14:solidFill>
                </w14:textFill>
              </w:rPr>
              <w:t xml:space="preserve">）</w:t>
            </w:r>
            <w:r/>
          </w:p>
        </w:tc>
        <w:tc>
          <w:tcPr>
            <w:tcW w:w="2449" w:type="dxa"/>
            <w:vAlign w:val="center"/>
            <w:vMerge w:val="continue"/>
            <w:textDirection w:val="lrTb"/>
            <w:noWrap w:val="false"/>
          </w:tcPr>
          <w:p>
            <w:pPr>
              <w:pStyle w:val="1233"/>
              <w:ind w:firstLine="0"/>
              <w:spacing w:before="0" w:after="0"/>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233"/>
              <w:ind w:firstLine="0"/>
              <w:jc w:val="center"/>
              <w:spacing w:before="0" w:after="0"/>
              <w:rPr>
                <w:rFonts w:hint="default" w:ascii="宋体" w:hAnsi="宋体" w:cs="宋体"/>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12</w:t>
            </w:r>
            <w:r/>
          </w:p>
        </w:tc>
        <w:tc>
          <w:tcPr>
            <w:tcW w:w="6104" w:type="dxa"/>
            <w:vAlign w:val="center"/>
            <w:textDirection w:val="lrTb"/>
            <w:noWrap w:val="false"/>
          </w:tcPr>
          <w:p>
            <w:pPr>
              <w:pStyle w:val="1233"/>
              <w:ind w:firstLine="0"/>
              <w:jc w:val="both"/>
              <w:spacing w:before="0" w:after="0"/>
              <w:rPr>
                <w:rFonts w:hint="eastAsia" w:ascii="宋体" w:hAnsi="宋体" w:cs="宋体"/>
                <w:bCs/>
                <w:color w:val="000000" w:themeColor="text1"/>
                <w:highlight w:val="none"/>
                <w14:textFill>
                  <w14:solidFill>
                    <w14:schemeClr w14:val="tx1"/>
                  </w14:solidFill>
                </w14:textFill>
              </w:rPr>
            </w:pPr>
            <w:r>
              <w:rPr>
                <w:rFonts w:hint="eastAsia" w:ascii="宋体" w:hAnsi="宋体" w:cs="Times New Roman"/>
                <w:color w:val="000000" w:themeColor="text1"/>
                <w:sz w:val="24"/>
                <w:szCs w:val="20"/>
                <w14:textFill>
                  <w14:solidFill>
                    <w14:schemeClr w14:val="tx1"/>
                  </w14:solidFill>
                </w14:textFill>
              </w:rPr>
              <w:t xml:space="preserve">参加采购活动前3年内(自公开招标文件发出之日起计算)在经营活动中没有重大违法记录的书面声明扫描件并签章上传至投标系统（</w:t>
            </w:r>
            <w:r>
              <w:rPr>
                <w:rFonts w:hint="eastAsia" w:ascii="宋体" w:hAnsi="宋体" w:cs="Times New Roman"/>
                <w:b/>
                <w:bCs/>
                <w:color w:val="000000" w:themeColor="text1"/>
                <w:sz w:val="24"/>
                <w:szCs w:val="20"/>
                <w14:textFill>
                  <w14:solidFill>
                    <w14:schemeClr w14:val="tx1"/>
                  </w14:solidFill>
                </w14:textFill>
              </w:rPr>
              <w:t xml:space="preserve">格式见附件</w:t>
            </w:r>
            <w:r>
              <w:rPr>
                <w:rFonts w:hint="eastAsia" w:ascii="宋体" w:hAnsi="宋体" w:cs="Times New Roman"/>
                <w:color w:val="000000" w:themeColor="text1"/>
                <w:sz w:val="24"/>
                <w:szCs w:val="20"/>
                <w14:textFill>
                  <w14:solidFill>
                    <w14:schemeClr w14:val="tx1"/>
                  </w14:solidFill>
                </w14:textFill>
              </w:rPr>
              <w:t xml:space="preserve">）</w:t>
            </w:r>
            <w:r/>
          </w:p>
        </w:tc>
        <w:tc>
          <w:tcPr>
            <w:tcW w:w="2449" w:type="dxa"/>
            <w:vAlign w:val="center"/>
            <w:vMerge w:val="continue"/>
            <w:textDirection w:val="lrTb"/>
            <w:noWrap w:val="false"/>
          </w:tcPr>
          <w:p>
            <w:pPr>
              <w:pStyle w:val="1233"/>
              <w:ind w:firstLine="0"/>
              <w:spacing w:before="0" w:after="0"/>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bl>
    <w:p>
      <w:p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w:t>
      </w:r>
      <w:r/>
    </w:p>
    <w:p>
      <w:pPr>
        <w:numPr>
          <w:ilvl w:val="0"/>
          <w:numId w:val="0"/>
        </w:num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上述证明文件中的资</w:t>
      </w:r>
      <w:r>
        <w:rPr>
          <w:rFonts w:hint="eastAsia" w:ascii="宋体" w:hAnsi="宋体" w:eastAsia="宋体" w:cs="宋体"/>
          <w:b/>
          <w:bCs/>
          <w:color w:val="000000" w:themeColor="text1"/>
          <w:sz w:val="24"/>
          <w:szCs w:val="24"/>
          <w:highlight w:val="none"/>
          <w14:textFill>
            <w14:solidFill>
              <w14:schemeClr w14:val="tx1"/>
            </w14:solidFill>
          </w14:textFill>
        </w:rPr>
        <w:t xml:space="preserve">格、资信证明文件必须全部提供，必须确保所有证明文件均为真实的、有效的且清晰的。如上述资格证明文件遇年检、换证，则必须提供法定年检、换证单位出具的有效证明扫描件。如上述资格证明文件第7、8、9三项遇有国家相关政策规定可不具备的（如依法享受缓缴、免缴税收、社会保障资金等），必须提供相关政策规定或相关单位出具的有效证明或情况说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numPr>
          <w:ilvl w:val="0"/>
          <w:numId w:val="0"/>
        </w:num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default" w:ascii="宋体" w:hAnsi="宋体" w:eastAsia="宋体" w:cs="宋体"/>
          <w:b/>
          <w:bCs/>
          <w:color w:val="000000" w:themeColor="text1"/>
          <w:sz w:val="24"/>
          <w:szCs w:val="24"/>
          <w:lang w:val="en-US" w:eastAsia="zh-CN" w:bidi="ar-SA"/>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left="0" w:firstLine="0"/>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w:t>
      </w:r>
      <w:r>
        <w:rPr>
          <w:rFonts w:hint="eastAsia" w:eastAsia="宋体"/>
          <w:b/>
          <w:color w:val="auto"/>
          <w:sz w:val="28"/>
          <w:szCs w:val="28"/>
          <w:highlight w:val="none"/>
          <w:lang w:val="en-US" w:eastAsia="zh-CN"/>
        </w:rPr>
        <w:t xml:space="preserve">符合性</w:t>
      </w:r>
      <w:r>
        <w:rPr>
          <w:rFonts w:hint="eastAsia"/>
          <w:b/>
          <w:color w:val="auto"/>
          <w:sz w:val="28"/>
          <w:szCs w:val="28"/>
          <w:highlight w:val="none"/>
        </w:rPr>
        <w:t xml:space="preserve">证明文件</w:t>
      </w:r>
      <w:r/>
    </w:p>
    <w:p>
      <w:pPr>
        <w:pStyle w:val="833"/>
        <w:rPr>
          <w:color w:val="auto"/>
          <w:highlight w:val="none"/>
        </w:rPr>
      </w:pPr>
      <w:r>
        <w:rPr>
          <w:color w:val="auto"/>
          <w:highlight w:val="none"/>
        </w:rPr>
      </w:r>
      <w:r/>
    </w:p>
    <w:tbl>
      <w:tblPr>
        <w:tblStyle w:val="8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33"/>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095" w:type="dxa"/>
            <w:vAlign w:val="center"/>
            <w:textDirection w:val="lrTb"/>
            <w:noWrap w:val="false"/>
          </w:tcPr>
          <w:p>
            <w:pPr>
              <w:pStyle w:val="1233"/>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1979" w:type="dxa"/>
            <w:vAlign w:val="center"/>
            <w:textDirection w:val="lrTb"/>
            <w:noWrap w:val="false"/>
          </w:tcPr>
          <w:p>
            <w:pPr>
              <w:pStyle w:val="1233"/>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1233"/>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095" w:type="dxa"/>
            <w:vAlign w:val="center"/>
            <w:textDirection w:val="lrTb"/>
            <w:noWrap w:val="false"/>
          </w:tcPr>
          <w:p>
            <w:pPr>
              <w:pStyle w:val="1233"/>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1233"/>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1233"/>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095" w:type="dxa"/>
            <w:vAlign w:val="center"/>
            <w:textDirection w:val="lrTb"/>
            <w:noWrap w:val="false"/>
          </w:tcPr>
          <w:p>
            <w:pPr>
              <w:pStyle w:val="1233"/>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1233"/>
              <w:ind w:firstLine="0"/>
              <w:jc w:val="center"/>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567"/>
        </w:trPr>
        <w:tc>
          <w:tcPr>
            <w:tcW w:w="823" w:type="dxa"/>
            <w:vAlign w:val="center"/>
            <w:textDirection w:val="lrTb"/>
            <w:noWrap w:val="false"/>
          </w:tcPr>
          <w:p>
            <w:pPr>
              <w:pStyle w:val="1233"/>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095" w:type="dxa"/>
            <w:vAlign w:val="center"/>
            <w:textDirection w:val="lrTb"/>
            <w:noWrap w:val="false"/>
          </w:tcPr>
          <w:p>
            <w:pPr>
              <w:pStyle w:val="1233"/>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1233"/>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1233"/>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095" w:type="dxa"/>
            <w:vAlign w:val="center"/>
            <w:textDirection w:val="lrTb"/>
            <w:noWrap w:val="false"/>
          </w:tcPr>
          <w:p>
            <w:pPr>
              <w:pStyle w:val="1233"/>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1233"/>
              <w:ind w:firstLine="0"/>
              <w:jc w:val="center"/>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567"/>
        </w:trPr>
        <w:tc>
          <w:tcPr>
            <w:tcW w:w="823" w:type="dxa"/>
            <w:vAlign w:val="center"/>
            <w:textDirection w:val="lrTb"/>
            <w:noWrap w:val="false"/>
          </w:tcPr>
          <w:p>
            <w:pPr>
              <w:pStyle w:val="1233"/>
              <w:ind w:firstLine="0"/>
              <w:jc w:val="center"/>
              <w:spacing w:before="0" w:after="0" w:line="24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5</w:t>
            </w:r>
            <w:r/>
          </w:p>
        </w:tc>
        <w:tc>
          <w:tcPr>
            <w:tcW w:w="6095" w:type="dxa"/>
            <w:vAlign w:val="center"/>
            <w:textDirection w:val="lrTb"/>
            <w:noWrap w:val="false"/>
          </w:tcPr>
          <w:p>
            <w:pPr>
              <w:pStyle w:val="1233"/>
              <w:ind w:firstLine="0"/>
              <w:jc w:val="both"/>
              <w:spacing w:before="0" w:after="0" w:line="24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细目报价表</w:t>
            </w:r>
            <w:r>
              <w:rPr>
                <w:rFonts w:hint="eastAsia" w:ascii="宋体" w:hAnsi="宋体" w:cs="宋体"/>
                <w:color w:val="000000" w:themeColor="text1"/>
                <w14:textFill>
                  <w14:solidFill>
                    <w14:schemeClr w14:val="tx1"/>
                  </w14:solidFill>
                </w14:textFill>
              </w:rPr>
              <w:t xml:space="preserve">（给定格式）</w:t>
            </w:r>
            <w:r/>
          </w:p>
        </w:tc>
        <w:tc>
          <w:tcPr>
            <w:tcW w:w="1979" w:type="dxa"/>
            <w:vAlign w:val="center"/>
            <w:vMerge w:val="continue"/>
            <w:textDirection w:val="lrTb"/>
            <w:noWrap w:val="false"/>
          </w:tcPr>
          <w:p>
            <w:pPr>
              <w:pStyle w:val="1233"/>
              <w:ind w:firstLine="0"/>
              <w:jc w:val="center"/>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567"/>
        </w:trPr>
        <w:tc>
          <w:tcPr>
            <w:tcW w:w="823" w:type="dxa"/>
            <w:vAlign w:val="center"/>
            <w:textDirection w:val="lrTb"/>
            <w:noWrap w:val="false"/>
          </w:tcPr>
          <w:p>
            <w:pPr>
              <w:pStyle w:val="1233"/>
              <w:ind w:firstLine="0"/>
              <w:jc w:val="center"/>
              <w:spacing w:before="0" w:after="0"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6</w:t>
            </w:r>
            <w:r/>
          </w:p>
        </w:tc>
        <w:tc>
          <w:tcPr>
            <w:tcW w:w="6095" w:type="dxa"/>
            <w:vAlign w:val="center"/>
            <w:textDirection w:val="lrTb"/>
            <w:noWrap w:val="false"/>
          </w:tcPr>
          <w:p>
            <w:pPr>
              <w:pStyle w:val="1233"/>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投标偏离表（给定格式）</w:t>
            </w:r>
            <w:r/>
          </w:p>
        </w:tc>
        <w:tc>
          <w:tcPr>
            <w:tcW w:w="1979" w:type="dxa"/>
            <w:vAlign w:val="center"/>
            <w:vMerge w:val="restart"/>
            <w:textDirection w:val="lrTb"/>
            <w:noWrap w:val="false"/>
          </w:tcPr>
          <w:p>
            <w:pPr>
              <w:pStyle w:val="1233"/>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1233"/>
              <w:ind w:firstLine="0"/>
              <w:jc w:val="center"/>
              <w:spacing w:before="0" w:after="0"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7</w:t>
            </w:r>
            <w:r/>
          </w:p>
        </w:tc>
        <w:tc>
          <w:tcPr>
            <w:tcW w:w="6095" w:type="dxa"/>
            <w:vAlign w:val="center"/>
            <w:textDirection w:val="lrTb"/>
            <w:noWrap w:val="false"/>
          </w:tcPr>
          <w:p>
            <w:pPr>
              <w:pStyle w:val="1233"/>
              <w:ind w:firstLine="0"/>
              <w:jc w:val="both"/>
              <w:spacing w:before="0" w:after="0"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《采购需求》中要求提供的证明材料</w:t>
            </w:r>
            <w:r>
              <w:rPr>
                <w:rFonts w:hint="eastAsia" w:ascii="宋体" w:hAnsi="宋体" w:cs="宋体"/>
                <w:color w:val="000000" w:themeColor="text1"/>
                <w:lang w:eastAsia="zh-CN"/>
                <w14:textFill>
                  <w14:solidFill>
                    <w14:schemeClr w14:val="tx1"/>
                  </w14:solidFill>
                </w14:textFill>
              </w:rPr>
              <w:t xml:space="preserve">（</w:t>
            </w:r>
            <w:r>
              <w:rPr>
                <w:rFonts w:hint="eastAsia" w:ascii="宋体" w:hAnsi="宋体" w:cs="宋体"/>
                <w:color w:val="000000" w:themeColor="text1"/>
                <w:lang w:val="en-US" w:eastAsia="zh-CN"/>
                <w14:textFill>
                  <w14:solidFill>
                    <w14:schemeClr w14:val="tx1"/>
                  </w14:solidFill>
                </w14:textFill>
              </w:rPr>
              <w:t xml:space="preserve">如有</w:t>
            </w:r>
            <w:r>
              <w:rPr>
                <w:rFonts w:hint="eastAsia" w:ascii="宋体" w:hAnsi="宋体" w:cs="宋体"/>
                <w:color w:val="000000" w:themeColor="text1"/>
                <w:lang w:eastAsia="zh-CN"/>
                <w14:textFill>
                  <w14:solidFill>
                    <w14:schemeClr w14:val="tx1"/>
                  </w14:solidFill>
                </w14:textFill>
              </w:rPr>
              <w:t xml:space="preserve">）</w:t>
            </w:r>
            <w:r/>
          </w:p>
        </w:tc>
        <w:tc>
          <w:tcPr>
            <w:tcW w:w="1979" w:type="dxa"/>
            <w:vAlign w:val="center"/>
            <w:vMerge w:val="continue"/>
            <w:textDirection w:val="lrTb"/>
            <w:noWrap w:val="false"/>
          </w:tcPr>
          <w:p>
            <w:pPr>
              <w:pStyle w:val="1233"/>
              <w:ind w:firstLine="0"/>
              <w:jc w:val="center"/>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ind w:firstLine="480"/>
        <w:spacing w:line="500" w:lineRule="exact"/>
        <w:rPr>
          <w:rFonts w:hint="eastAsia" w:ascii="宋体" w:hAnsi="宋体" w:cs="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（1）上述符合性证明文件第1～</w:t>
      </w:r>
      <w:r>
        <w:rPr>
          <w:rFonts w:hint="eastAsia" w:ascii="宋体" w:hAnsi="宋体" w:eastAsia="宋体"/>
          <w:color w:val="000000" w:themeColor="text1"/>
          <w:sz w:val="24"/>
          <w:szCs w:val="24"/>
          <w:lang w:val="en-US" w:eastAsia="zh-CN"/>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项必须按要求全部提供（有给定格式的，必须</w:t>
      </w:r>
      <w:r>
        <w:rPr>
          <w:rFonts w:hint="eastAsia" w:ascii="宋体" w:hAnsi="宋体" w:cs="Times New Roman"/>
          <w:color w:val="000000" w:themeColor="text1"/>
          <w:sz w:val="24"/>
          <w:szCs w:val="24"/>
          <w14:textFill>
            <w14:solidFill>
              <w14:schemeClr w14:val="tx1"/>
            </w14:solidFill>
          </w14:textFill>
        </w:rPr>
        <w:t xml:space="preserve">按给定格式的要求正确填报并提供，相应格式见</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第六章</w:t>
      </w:r>
      <w:r>
        <w:rPr>
          <w:rFonts w:hint="eastAsia" w:ascii="宋体" w:hAnsi="宋体" w:cs="Times New Roman"/>
          <w:color w:val="000000" w:themeColor="text1"/>
          <w:sz w:val="24"/>
          <w:szCs w:val="24"/>
          <w14:textFill>
            <w14:solidFill>
              <w14:schemeClr w14:val="tx1"/>
            </w14:solidFill>
          </w14:textFill>
        </w:rPr>
        <w:t xml:space="preserve">），否则投标文件无效。</w:t>
      </w:r>
      <w:r/>
    </w:p>
    <w:p>
      <w:pPr>
        <w:ind w:firstLine="480"/>
        <w:spacing w:line="500" w:lineRule="exact"/>
        <w:rPr>
          <w:rFonts w:hint="default"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 xml:space="preserve">（2）上述符合性证明文件第</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7</w:t>
      </w:r>
      <w:r>
        <w:rPr>
          <w:rFonts w:hint="eastAsia" w:ascii="宋体" w:hAnsi="宋体" w:cs="Times New Roman"/>
          <w:color w:val="000000" w:themeColor="text1"/>
          <w:sz w:val="24"/>
          <w:szCs w:val="24"/>
          <w14:textFill>
            <w14:solidFill>
              <w14:schemeClr w14:val="tx1"/>
            </w14:solidFill>
          </w14:textFill>
        </w:rPr>
        <w:t xml:space="preserve">项，《采购需求》中如有要求提供证明材料的，须按要求提供，否则投标文件无效</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spacing w:line="360" w:lineRule="auto"/>
        <w:rPr>
          <w:rFonts w:ascii="宋体" w:hAnsi="宋体" w:eastAsia="宋体" w:cs="宋体"/>
          <w:b/>
          <w:color w:val="auto"/>
          <w:sz w:val="30"/>
          <w:szCs w:val="30"/>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pStyle w:val="1233"/>
        <w:ind w:firstLine="0"/>
        <w:spacing w:before="0" w:after="0"/>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封面格式（参考格式）：</w:t>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ascii="宋体" w:hAnsi="宋体" w:eastAsia="宋体" w:cs="宋体"/>
          <w:bCs/>
          <w:color w:val="auto"/>
          <w:sz w:val="28"/>
          <w:highlight w:val="none"/>
        </w:rPr>
      </w:pPr>
      <w:r>
        <w:rPr>
          <w:rFonts w:ascii="宋体" w:hAnsi="宋体" w:eastAsia="宋体" w:cs="宋体"/>
          <w:bCs/>
          <w:color w:val="auto"/>
          <w:sz w:val="28"/>
          <w:highlight w:val="none"/>
        </w:rPr>
      </w:r>
      <w:r/>
    </w:p>
    <w:p>
      <w:pPr>
        <w:ind w:firstLine="2715"/>
        <w:spacing w:line="360" w:lineRule="auto"/>
        <w:rPr>
          <w:rFonts w:ascii="宋体" w:hAnsi="宋体" w:eastAsia="宋体" w:cs="宋体"/>
          <w:bCs/>
          <w:color w:val="auto"/>
          <w:sz w:val="28"/>
          <w:szCs w:val="28"/>
          <w:highlight w:val="none"/>
        </w:rPr>
      </w:pPr>
      <w:r/>
      <w:bookmarkStart w:id="146" w:name="_Hlk165208193"/>
      <w:r>
        <w:rPr>
          <w:rFonts w:hint="eastAsia" w:ascii="宋体" w:hAnsi="宋体" w:eastAsia="宋体" w:cs="宋体"/>
          <w:bCs/>
          <w:color w:val="auto"/>
          <w:sz w:val="28"/>
          <w:szCs w:val="28"/>
          <w:highlight w:val="none"/>
        </w:rPr>
        <w:t xml:space="preserve">采购项目编号：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r/>
    </w:p>
    <w:p>
      <w:pPr>
        <w:jc w:val="center"/>
        <w:spacing w:line="360" w:lineRule="auto"/>
        <w:rPr>
          <w:rFonts w:ascii="宋体" w:hAnsi="宋体" w:eastAsia="宋体" w:cs="宋体"/>
          <w:bCs/>
          <w:color w:val="auto"/>
          <w:sz w:val="40"/>
          <w:szCs w:val="40"/>
          <w:highlight w:val="none"/>
        </w:rPr>
        <w:outlineLvl w:val="9"/>
      </w:pPr>
      <w:r>
        <w:rPr>
          <w:rFonts w:ascii="宋体" w:hAnsi="宋体" w:eastAsia="宋体" w:cs="宋体"/>
          <w:bCs/>
          <w:color w:val="auto"/>
          <w:sz w:val="40"/>
          <w:szCs w:val="40"/>
          <w:highlight w:val="none"/>
        </w:rPr>
      </w:r>
      <w:r/>
    </w:p>
    <w:p>
      <w:pPr>
        <w:jc w:val="center"/>
        <w:spacing w:line="360" w:lineRule="auto"/>
        <w:rPr>
          <w:rFonts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lang w:val="en-US" w:eastAsia="zh-CN"/>
        </w:rPr>
        <w:t xml:space="preserve">2026</w:t>
      </w:r>
      <w:r>
        <w:rPr>
          <w:rFonts w:hint="eastAsia" w:ascii="宋体" w:hAnsi="宋体" w:eastAsia="宋体" w:cs="宋体"/>
          <w:bCs/>
          <w:color w:val="auto"/>
          <w:sz w:val="28"/>
          <w:szCs w:val="28"/>
          <w:highlight w:val="none"/>
        </w:rPr>
        <w:t xml:space="preserve">年   月</w:t>
      </w:r>
      <w:bookmarkEnd w:id="146"/>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、投标函（给定格式）：</w:t>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致无锡市建汇建设工程咨询事务所有限公司：</w:t>
      </w:r>
      <w:r/>
    </w:p>
    <w:p>
      <w:pPr>
        <w:ind w:firstLine="480"/>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3"/>
        </w:numPr>
        <w:ind w:left="-105" w:firstLine="525"/>
        <w:spacing w:line="312"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我方愿意按照招标文件的一切要求，提供本项目的投标，投标优惠率见《开标一览表》。</w:t>
      </w:r>
      <w:r/>
    </w:p>
    <w:p>
      <w:pPr>
        <w:numPr>
          <w:ilvl w:val="0"/>
          <w:numId w:val="13"/>
        </w:numPr>
        <w:ind w:left="-105"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227"/>
          <w:bCs/>
          <w:color w:val="auto"/>
          <w:highlight w:val="none"/>
        </w:rPr>
      </w:pPr>
      <w:r>
        <w:rPr>
          <w:rFonts w:hint="eastAsia" w:ascii="宋体" w:hAnsi="宋体" w:eastAsia="宋体" w:cs="宋体"/>
          <w:bCs/>
          <w:color w:val="auto"/>
          <w:sz w:val="24"/>
          <w:szCs w:val="24"/>
          <w:highlight w:val="none"/>
        </w:rPr>
        <w:t xml:space="preserve">我方愿意提供无锡市建汇建设工程咨询事务所有限公司在招标文件中要求的文件、资料。</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我方同意按照招标文件中的规定，从规定的开标日期起遵循本投标文件，并在规定的投标有效期期满之前均具有约束力。</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电话：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；传真：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；邮编：</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通讯地址：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投标人名称（盖章）：</w:t>
      </w:r>
      <w:r/>
    </w:p>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、承诺书（给定格式）：</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承诺书</w:t>
      </w:r>
      <w:r>
        <w:rPr>
          <w:rFonts w:hint="eastAsia" w:ascii="宋体" w:hAnsi="宋体" w:eastAsia="宋体" w:cs="宋体"/>
          <w:bCs/>
          <w:color w:val="auto"/>
          <w:sz w:val="28"/>
          <w:szCs w:val="28"/>
          <w:highlight w:val="none"/>
          <w:lang w:val="en-US" w:eastAsia="zh-CN"/>
        </w:rPr>
        <w:t xml:space="preserve">一</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针对本项目</w:t>
      </w:r>
      <w:r>
        <w:rPr>
          <w:rFonts w:hint="eastAsia" w:ascii="宋体" w:hAnsi="宋体" w:eastAsia="宋体" w:cs="宋体"/>
          <w:bCs/>
          <w:color w:val="auto"/>
          <w:sz w:val="24"/>
          <w:szCs w:val="24"/>
          <w:highlight w:val="none"/>
        </w:rPr>
        <w:t xml:space="preserve">编号</w:t>
      </w:r>
      <w:r>
        <w:rPr>
          <w:rFonts w:hint="eastAsia" w:ascii="宋体" w:hAnsi="宋体" w:eastAsia="宋体" w:cs="宋体"/>
          <w:color w:val="auto"/>
          <w:sz w:val="24"/>
          <w:szCs w:val="24"/>
          <w:highlight w:val="none"/>
        </w:rPr>
        <w:t xml:space="preserve">在此承诺：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2.本次投标没有借用别人资质，递交的投标文件内容真实、准确，没有使用虚假资质或虚假资料；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3.在投标过程中不串通投标、围标、哄抬报价，或不计成本、低价抢标等行为。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4.不使用贿赂等不正当手段。</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6.我方本次投标提供的所有材料均为真实、有效，无虚假内容。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7.实事求是回答招标人提出的相关问题。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_____________________（投标供应商名称）将履行诚信承诺的义务，承诺如果出现上述任何一种情况后，招标人都有权取消我们的投标资格，无论中标或进场与否。</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
          <w:color w:val="auto"/>
          <w:sz w:val="28"/>
          <w:szCs w:val="28"/>
          <w:highlight w:val="none"/>
        </w:rPr>
        <w:br w:type="page" w:clear="all"/>
      </w:r>
      <w:r>
        <w:rPr>
          <w:rFonts w:hint="eastAsia" w:ascii="宋体" w:hAnsi="宋体" w:eastAsia="宋体" w:cs="宋体"/>
          <w:bCs/>
          <w:color w:val="auto"/>
          <w:sz w:val="28"/>
          <w:szCs w:val="28"/>
          <w:highlight w:val="none"/>
        </w:rPr>
        <w:t xml:space="preserve">承诺书</w:t>
      </w:r>
      <w:r>
        <w:rPr>
          <w:rFonts w:hint="eastAsia" w:ascii="宋体" w:hAnsi="宋体" w:eastAsia="宋体" w:cs="宋体"/>
          <w:bCs/>
          <w:color w:val="auto"/>
          <w:sz w:val="28"/>
          <w:szCs w:val="28"/>
          <w:highlight w:val="none"/>
          <w:lang w:val="en-US" w:eastAsia="zh-CN"/>
        </w:rPr>
        <w:t xml:space="preserve">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（投标供应商名称）在此承诺：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14.我单位承诺未参与本项目的采购需求、技术指标、商务指标等内容的设定，不存在对其他投标供应商不公平的行为。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址：__________________，邮政编码：__________________</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电 话：__________________，传 真：</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投标供应商（盖章）：</w:t>
      </w:r>
      <w:r/>
    </w:p>
    <w:p>
      <w:pPr>
        <w:ind w:firstLine="3703"/>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jc w:val="center"/>
        <w:rPr>
          <w:rFonts w:hint="eastAsia" w:ascii="宋体" w:hAnsi="宋体" w:eastAsia="宋体" w:cs="宋体"/>
          <w:b w:val="0"/>
          <w:bCs/>
          <w:color w:val="auto"/>
          <w:sz w:val="28"/>
          <w:szCs w:val="28"/>
          <w:highlight w:val="none"/>
        </w:rPr>
      </w:pP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期：</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、开标一览表（给定格式）：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黑体" w:eastAsia="黑体"/>
          <w:bCs/>
          <w:color w:val="auto"/>
          <w:sz w:val="28"/>
          <w:szCs w:val="28"/>
        </w:rPr>
      </w:pPr>
      <w:r>
        <w:rPr>
          <w:rFonts w:hint="eastAsia" w:ascii="黑体" w:hAnsi="Times New Roman" w:eastAsia="黑体" w:cs="黑体"/>
          <w:color w:val="auto"/>
          <w:sz w:val="28"/>
          <w:szCs w:val="28"/>
        </w:rPr>
        <w:t xml:space="preserve">开标一览表</w:t>
      </w:r>
      <w:r/>
    </w:p>
    <w:p>
      <w:pPr>
        <w:spacing w:after="0" w:line="360" w:lineRule="auto"/>
        <w:rPr>
          <w:rFonts w:ascii="黑体" w:eastAsia="黑体"/>
          <w:bCs/>
          <w:color w:val="auto"/>
          <w:sz w:val="24"/>
          <w:szCs w:val="24"/>
        </w:rPr>
      </w:pPr>
      <w:r>
        <w:rPr>
          <w:rFonts w:hint="eastAsia" w:ascii="黑体" w:eastAsia="黑体"/>
          <w:bCs/>
          <w:color w:val="auto"/>
          <w:sz w:val="24"/>
          <w:szCs w:val="24"/>
        </w:rPr>
        <w:t xml:space="preserve">政府采购编号：</w:t>
      </w:r>
      <w:r/>
    </w:p>
    <w:tbl>
      <w:tblPr>
        <w:tblStyle w:val="807"/>
        <w:tblW w:w="919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98"/>
        <w:gridCol w:w="3795"/>
      </w:tblGrid>
      <w:tr>
        <w:trPr>
          <w:cantSplit/>
          <w:trHeight w:val="567"/>
        </w:trPr>
        <w:tc>
          <w:tcPr>
            <w:tcW w:w="539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79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投标总报价（小写）</w:t>
            </w:r>
            <w:r/>
          </w:p>
        </w:tc>
      </w:tr>
      <w:tr>
        <w:trPr>
          <w:cantSplit/>
          <w:trHeight w:val="1630"/>
        </w:trPr>
        <w:tc>
          <w:tcPr>
            <w:tcW w:w="5398" w:type="dxa"/>
            <w:vAlign w:val="center"/>
            <w:textDirection w:val="lrTb"/>
            <w:noWrap w:val="false"/>
          </w:tcPr>
          <w:p>
            <w:pPr>
              <w:pStyle w:val="980"/>
              <w:jc w:val="center"/>
              <w:spacing w:line="400" w:lineRule="exact"/>
              <w:rPr>
                <w:rFonts w:hAnsi="宋体"/>
                <w:bCs/>
                <w:color w:val="auto"/>
                <w:szCs w:val="24"/>
              </w:rPr>
            </w:pPr>
            <w:r>
              <w:rPr>
                <w:rFonts w:hAnsi="宋体"/>
                <w:bCs/>
                <w:color w:val="auto"/>
                <w:szCs w:val="24"/>
              </w:rPr>
            </w:r>
            <w:r/>
          </w:p>
        </w:tc>
        <w:tc>
          <w:tcPr>
            <w:tcW w:w="3795" w:type="dxa"/>
            <w:vAlign w:val="center"/>
            <w:textDirection w:val="lrTb"/>
            <w:noWrap w:val="false"/>
          </w:tcPr>
          <w:p>
            <w:pPr>
              <w:pStyle w:val="980"/>
              <w:rPr>
                <w:rFonts w:hAnsi="宋体"/>
                <w:b/>
                <w:color w:val="auto"/>
                <w:szCs w:val="24"/>
              </w:rPr>
            </w:pPr>
            <w:r>
              <w:rPr>
                <w:rFonts w:hAnsi="宋体"/>
                <w:b/>
                <w:color w:val="auto"/>
                <w:szCs w:val="24"/>
              </w:rPr>
            </w:r>
            <w:r/>
          </w:p>
        </w:tc>
      </w:tr>
      <w:tr>
        <w:trPr>
          <w:cantSplit/>
          <w:trHeight w:val="780"/>
        </w:trPr>
        <w:tc>
          <w:tcPr>
            <w:gridSpan w:val="2"/>
            <w:tcW w:w="9193" w:type="dxa"/>
            <w:vAlign w:val="center"/>
            <w:textDirection w:val="lrTb"/>
            <w:noWrap w:val="false"/>
          </w:tcPr>
          <w:p>
            <w:pPr>
              <w:rPr>
                <w:rFonts w:ascii="宋体"/>
                <w:bCs/>
                <w:color w:val="auto"/>
                <w:sz w:val="24"/>
                <w:szCs w:val="24"/>
              </w:rPr>
            </w:pPr>
            <w:r>
              <w:rPr>
                <w:rFonts w:hint="eastAsia" w:ascii="黑体" w:eastAsia="黑体"/>
                <w:color w:val="auto"/>
                <w:sz w:val="24"/>
              </w:rPr>
              <w:t xml:space="preserve">投标总报价（大写）</w:t>
            </w:r>
            <w:r>
              <w:rPr>
                <w:rFonts w:hint="eastAsia" w:ascii="宋体" w:hAnsi="宋体"/>
                <w:bCs/>
                <w:color w:val="auto"/>
                <w:sz w:val="24"/>
                <w:szCs w:val="24"/>
              </w:rPr>
              <w:t xml:space="preserve">：　　　</w:t>
            </w:r>
            <w:r/>
          </w:p>
        </w:tc>
      </w:tr>
    </w:tbl>
    <w:p>
      <w:pPr>
        <w:spacing w:line="400" w:lineRule="exact"/>
        <w:rPr>
          <w:rFonts w:ascii="黑体" w:eastAsia="黑体"/>
          <w:bCs/>
          <w:color w:val="auto"/>
          <w:sz w:val="24"/>
          <w:szCs w:val="24"/>
        </w:rPr>
      </w:pPr>
      <w:r>
        <w:rPr>
          <w:rFonts w:hint="eastAsia" w:ascii="黑体" w:eastAsia="黑体"/>
          <w:bCs/>
          <w:color w:val="auto"/>
          <w:sz w:val="24"/>
          <w:szCs w:val="24"/>
        </w:rPr>
        <w:t xml:space="preserve">投标人名称（盖章）：</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b/>
          <w:color w:val="auto"/>
          <w:sz w:val="24"/>
          <w:szCs w:val="24"/>
          <w:highlight w:val="none"/>
          <w:lang w:eastAsia="zh-CN"/>
        </w:rPr>
        <w:t xml:space="preserve">。</w:t>
      </w:r>
      <w:r/>
    </w:p>
    <w:p>
      <w:pPr>
        <w:rPr>
          <w:b/>
          <w:color w:val="auto"/>
          <w:sz w:val="24"/>
          <w:szCs w:val="24"/>
          <w:highlight w:val="none"/>
        </w:rPr>
      </w:pPr>
      <w:r>
        <w:rPr>
          <w:b/>
          <w:color w:val="auto"/>
          <w:sz w:val="24"/>
          <w:szCs w:val="24"/>
          <w:highlight w:val="none"/>
        </w:rPr>
      </w:r>
      <w:r/>
    </w:p>
    <w:p>
      <w:pPr>
        <w:rPr>
          <w:b/>
          <w:color w:val="auto"/>
          <w:sz w:val="24"/>
          <w:szCs w:val="24"/>
          <w:highlight w:val="none"/>
        </w:rPr>
      </w:pPr>
      <w:r>
        <w:rPr>
          <w:rFonts w:hint="eastAsia"/>
          <w:b/>
          <w:color w:val="auto"/>
          <w:sz w:val="24"/>
          <w:szCs w:val="24"/>
          <w:highlight w:val="none"/>
        </w:rPr>
        <w:br w:type="page" w:clear="all"/>
      </w:r>
      <w:r/>
    </w:p>
    <w:p>
      <w:pPr>
        <w:ind w:left="0" w:firstLine="0"/>
        <w:spacing w:line="360" w:lineRule="auto"/>
        <w:rPr>
          <w:rFonts w:ascii="Times New Roman" w:eastAsia="宋体"/>
          <w:b/>
          <w:color w:val="auto"/>
          <w:sz w:val="28"/>
          <w:szCs w:val="28"/>
          <w:highlight w:val="none"/>
        </w:rPr>
        <w:outlineLvl w:val="2"/>
      </w:pPr>
      <w:r>
        <w:rPr>
          <w:rFonts w:hint="eastAsia" w:eastAsia="宋体"/>
          <w:b/>
          <w:color w:val="auto"/>
          <w:sz w:val="28"/>
          <w:szCs w:val="28"/>
          <w:highlight w:val="none"/>
          <w:lang w:val="en-US" w:eastAsia="zh-CN"/>
        </w:rPr>
        <w:t xml:space="preserve">四</w:t>
      </w:r>
      <w:r>
        <w:rPr>
          <w:rFonts w:hint="eastAsia"/>
          <w:b/>
          <w:color w:val="auto"/>
          <w:sz w:val="28"/>
          <w:szCs w:val="28"/>
          <w:highlight w:val="none"/>
        </w:rPr>
        <w:t xml:space="preserve">、分项</w:t>
      </w:r>
      <w:r>
        <w:rPr>
          <w:b/>
          <w:color w:val="auto"/>
          <w:sz w:val="28"/>
          <w:szCs w:val="28"/>
          <w:highlight w:val="none"/>
        </w:rPr>
        <w:t xml:space="preserve">报价表</w:t>
      </w:r>
      <w:r>
        <w:rPr>
          <w:rFonts w:hint="eastAsia"/>
          <w:b/>
          <w:color w:val="auto"/>
          <w:sz w:val="28"/>
          <w:szCs w:val="28"/>
          <w:highlight w:val="none"/>
        </w:rPr>
        <w:t xml:space="preserve">（给定格式）：</w:t>
      </w:r>
      <w:r/>
    </w:p>
    <w:p>
      <w:pPr>
        <w:jc w:val="center"/>
        <w:spacing w:line="360" w:lineRule="auto"/>
        <w:rPr>
          <w:rFonts w:ascii="黑体" w:eastAsia="黑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807"/>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785"/>
        <w:gridCol w:w="720"/>
        <w:gridCol w:w="1440"/>
        <w:gridCol w:w="720"/>
        <w:gridCol w:w="720"/>
        <w:gridCol w:w="720"/>
        <w:gridCol w:w="900"/>
        <w:gridCol w:w="1034"/>
      </w:tblGrid>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标的物名称</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144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型号、规格</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w:t>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2</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3</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4</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5</w:t>
            </w:r>
            <w:r/>
          </w:p>
        </w:tc>
        <w:tc>
          <w:tcPr>
            <w:tcW w:w="1785"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44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72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900"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最终报价</w:t>
            </w:r>
            <w:r/>
          </w:p>
        </w:tc>
        <w:tc>
          <w:tcPr>
            <w:gridSpan w:val="8"/>
            <w:tcW w:w="8039" w:type="dxa"/>
            <w:vAlign w:val="center"/>
            <w:textDirection w:val="lrTb"/>
            <w:noWrap w:val="false"/>
          </w:tcPr>
          <w:p>
            <w:pPr>
              <w:spacing w:line="400" w:lineRule="exact"/>
              <w:rPr>
                <w:rFonts w:ascii="宋体" w:hAnsi="宋体"/>
                <w:color w:val="auto"/>
                <w:sz w:val="24"/>
                <w:szCs w:val="24"/>
              </w:rPr>
            </w:pPr>
            <w:r>
              <w:rPr>
                <w:rFonts w:hint="eastAsia" w:ascii="宋体" w:hAnsi="宋体"/>
                <w:color w:val="auto"/>
                <w:sz w:val="24"/>
                <w:szCs w:val="24"/>
              </w:rPr>
              <w:t xml:space="preserve">金额大写         元</w:t>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bCs/>
                <w:color w:val="auto"/>
                <w:sz w:val="24"/>
                <w:lang w:val="zh-CN"/>
              </w:rPr>
              <w:t xml:space="preserve">交货期</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bCs/>
                <w:color w:val="auto"/>
                <w:sz w:val="24"/>
                <w:lang w:val="zh-CN"/>
              </w:rPr>
              <w:t xml:space="preserve">质量标准</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r>
        <w:trPr>
          <w:jc w:val="center"/>
          <w:trHeight w:val="567"/>
        </w:trPr>
        <w:tc>
          <w:tcPr>
            <w:tcW w:w="1311" w:type="dxa"/>
            <w:vAlign w:val="center"/>
            <w:textDirection w:val="lrTb"/>
            <w:noWrap w:val="false"/>
          </w:tcPr>
          <w:p>
            <w:pPr>
              <w:jc w:val="center"/>
              <w:spacing w:line="400" w:lineRule="exact"/>
              <w:rPr>
                <w:rFonts w:ascii="宋体" w:hAnsi="宋体"/>
                <w:bCs/>
                <w:color w:val="auto"/>
                <w:sz w:val="24"/>
                <w:lang w:val="zh-CN"/>
              </w:rPr>
            </w:pPr>
            <w:r>
              <w:rPr>
                <w:rFonts w:hint="eastAsia" w:ascii="宋体" w:hAnsi="宋体"/>
                <w:bCs/>
                <w:color w:val="auto"/>
                <w:sz w:val="24"/>
                <w:lang w:val="zh-CN"/>
              </w:rPr>
              <w:t xml:space="preserve">质保期</w:t>
            </w:r>
            <w:r/>
          </w:p>
        </w:tc>
        <w:tc>
          <w:tcPr>
            <w:gridSpan w:val="8"/>
            <w:tcW w:w="8039" w:type="dxa"/>
            <w:vAlign w:val="center"/>
            <w:textDirection w:val="lrTb"/>
            <w:noWrap w:val="false"/>
          </w:tcPr>
          <w:p>
            <w:pPr>
              <w:spacing w:line="400" w:lineRule="exact"/>
              <w:rPr>
                <w:rFonts w:ascii="宋体" w:hAnsi="宋体"/>
                <w:color w:val="auto"/>
                <w:sz w:val="24"/>
                <w:szCs w:val="24"/>
              </w:rPr>
            </w:pPr>
            <w:r>
              <w:rPr>
                <w:rFonts w:ascii="宋体" w:hAnsi="宋体"/>
                <w:color w:val="auto"/>
                <w:sz w:val="24"/>
                <w:szCs w:val="24"/>
              </w:rPr>
            </w:r>
            <w:r/>
          </w:p>
        </w:tc>
      </w:tr>
    </w:tbl>
    <w:p>
      <w:pPr>
        <w:ind w:firstLine="360"/>
        <w:spacing w:line="400" w:lineRule="exact"/>
        <w:rPr>
          <w:rFonts w:ascii="宋体" w:hAnsi="宋体"/>
          <w:color w:val="auto"/>
          <w:sz w:val="24"/>
          <w:szCs w:val="24"/>
        </w:rPr>
      </w:pPr>
      <w:r>
        <w:rPr>
          <w:rFonts w:hint="eastAsia" w:ascii="宋体" w:hAnsi="宋体"/>
          <w:color w:val="auto"/>
          <w:sz w:val="24"/>
          <w:szCs w:val="24"/>
        </w:rPr>
        <w:t xml:space="preserve">注：投标人可根据本单位实际情况具体细化本表格，但表格已列内容需全部体现，表格不够可自行延长。</w:t>
      </w:r>
      <w:r/>
    </w:p>
    <w:p>
      <w:pPr>
        <w:ind w:firstLine="360"/>
        <w:spacing w:line="400" w:lineRule="exact"/>
        <w:rPr>
          <w:rFonts w:ascii="宋体" w:hAnsi="宋体"/>
          <w:color w:val="auto"/>
          <w:sz w:val="24"/>
          <w:szCs w:val="24"/>
        </w:rPr>
      </w:pPr>
      <w:r>
        <w:rPr>
          <w:rFonts w:ascii="宋体" w:hAnsi="宋体"/>
          <w:color w:val="auto"/>
          <w:sz w:val="24"/>
          <w:szCs w:val="24"/>
        </w:rPr>
      </w:r>
      <w:r/>
    </w:p>
    <w:p>
      <w:pPr>
        <w:ind w:firstLine="360"/>
        <w:jc w:val="right"/>
        <w:spacing w:line="480" w:lineRule="auto"/>
        <w:rPr>
          <w:rFonts w:ascii="宋体" w:hAnsi="宋体"/>
          <w:color w:val="auto"/>
          <w:sz w:val="24"/>
          <w:szCs w:val="24"/>
        </w:rPr>
      </w:pPr>
      <w:r>
        <w:rPr>
          <w:rFonts w:hint="eastAsia" w:ascii="宋体" w:hAnsi="宋体"/>
          <w:color w:val="auto"/>
          <w:sz w:val="24"/>
          <w:szCs w:val="24"/>
        </w:rPr>
        <w:t xml:space="preserve">投标人：（单位盖章）</w:t>
      </w:r>
      <w:r/>
    </w:p>
    <w:p>
      <w:pPr>
        <w:ind w:firstLine="360"/>
        <w:jc w:val="right"/>
        <w:spacing w:line="480" w:lineRule="auto"/>
        <w:rPr>
          <w:rFonts w:ascii="宋体" w:hAnsi="宋体"/>
          <w:color w:val="auto"/>
          <w:sz w:val="24"/>
          <w:szCs w:val="24"/>
        </w:rPr>
      </w:pPr>
      <w:r>
        <w:rPr>
          <w:rFonts w:hint="eastAsia" w:ascii="宋体" w:hAnsi="宋体"/>
          <w:color w:val="auto"/>
          <w:sz w:val="24"/>
          <w:szCs w:val="24"/>
        </w:rPr>
        <w:t xml:space="preserve">法定代表人或代理人：（签字或盖章）  </w:t>
      </w:r>
      <w:r/>
    </w:p>
    <w:p>
      <w:pPr>
        <w:ind w:firstLine="360"/>
        <w:jc w:val="right"/>
        <w:spacing w:line="480" w:lineRule="auto"/>
        <w:rPr>
          <w:rFonts w:hint="eastAsia" w:ascii="宋体" w:hAnsi="宋体"/>
          <w:color w:val="auto"/>
          <w:sz w:val="24"/>
          <w:szCs w:val="24"/>
        </w:rPr>
      </w:pPr>
      <w:r>
        <w:rPr>
          <w:rFonts w:hint="eastAsia" w:ascii="宋体" w:hAnsi="宋体"/>
          <w:color w:val="auto"/>
          <w:sz w:val="24"/>
          <w:szCs w:val="24"/>
        </w:rPr>
        <w:t xml:space="preserve">日期：        年    月    日</w:t>
      </w:r>
      <w:r/>
    </w:p>
    <w:p>
      <w:pPr>
        <w:rPr>
          <w:rFonts w:hint="eastAsia" w:ascii="宋体" w:hAnsi="宋体"/>
          <w:color w:val="auto"/>
          <w:sz w:val="24"/>
          <w:szCs w:val="24"/>
        </w:rPr>
      </w:pPr>
      <w:r>
        <w:rPr>
          <w:rFonts w:hint="eastAsia" w:ascii="宋体" w:hAnsi="宋体"/>
          <w:color w:val="auto"/>
          <w:sz w:val="24"/>
          <w:szCs w:val="24"/>
        </w:rPr>
        <w:br w:type="page" w:clear="all"/>
      </w:r>
      <w:r/>
    </w:p>
    <w:p>
      <w:pPr>
        <w:ind w:left="0" w:firstLine="0"/>
        <w:spacing w:line="360" w:lineRule="auto"/>
        <w:rPr>
          <w:rFonts w:ascii="Times New Roman" w:eastAsia="宋体"/>
          <w:b/>
          <w:color w:val="auto"/>
          <w:sz w:val="28"/>
          <w:szCs w:val="28"/>
          <w:highlight w:val="none"/>
        </w:rPr>
        <w:outlineLvl w:val="2"/>
      </w:pPr>
      <w:r>
        <w:rPr>
          <w:rFonts w:hint="eastAsia" w:eastAsia="宋体"/>
          <w:b/>
          <w:color w:val="auto"/>
          <w:sz w:val="28"/>
          <w:szCs w:val="28"/>
          <w:highlight w:val="none"/>
          <w:lang w:val="en-US" w:eastAsia="zh-CN"/>
        </w:rPr>
        <w:t xml:space="preserve">五</w:t>
      </w:r>
      <w:r>
        <w:rPr>
          <w:rFonts w:hint="eastAsia"/>
          <w:b/>
          <w:color w:val="auto"/>
          <w:sz w:val="28"/>
          <w:szCs w:val="28"/>
          <w:highlight w:val="none"/>
        </w:rPr>
        <w:t xml:space="preserve">、</w:t>
      </w:r>
      <w:r>
        <w:rPr>
          <w:rFonts w:hint="eastAsia" w:eastAsia="宋体"/>
          <w:b/>
          <w:color w:val="auto"/>
          <w:sz w:val="28"/>
          <w:szCs w:val="28"/>
          <w:highlight w:val="none"/>
          <w:lang w:val="en-US" w:eastAsia="zh-CN"/>
        </w:rPr>
        <w:t xml:space="preserve">细目</w:t>
      </w:r>
      <w:r>
        <w:rPr>
          <w:b/>
          <w:color w:val="auto"/>
          <w:sz w:val="28"/>
          <w:szCs w:val="28"/>
          <w:highlight w:val="none"/>
        </w:rPr>
        <w:t xml:space="preserve">报价表</w:t>
      </w:r>
      <w:r>
        <w:rPr>
          <w:rFonts w:hint="eastAsia"/>
          <w:b/>
          <w:color w:val="auto"/>
          <w:sz w:val="28"/>
          <w:szCs w:val="28"/>
          <w:highlight w:val="none"/>
        </w:rPr>
        <w:t xml:space="preserve">（给定格式）：</w:t>
      </w:r>
      <w:r/>
    </w:p>
    <w:p>
      <w:pPr>
        <w:jc w:val="center"/>
        <w:spacing w:after="0" w:line="360" w:lineRule="auto"/>
        <w:widowControl w:val="off"/>
        <w:rPr>
          <w:rFonts w:ascii="黑体" w:hAnsi="Times New Roman" w:eastAsia="黑体" w:cs="黑体"/>
          <w:color w:val="auto"/>
          <w:sz w:val="28"/>
          <w:szCs w:val="28"/>
        </w:rPr>
      </w:pPr>
      <w:r/>
      <w:bookmarkStart w:id="147" w:name="_Toc6467"/>
      <w:r>
        <w:rPr>
          <w:rFonts w:hint="eastAsia" w:ascii="黑体" w:hAnsi="Times New Roman" w:eastAsia="黑体" w:cs="黑体"/>
          <w:color w:val="auto"/>
          <w:sz w:val="28"/>
          <w:szCs w:val="28"/>
        </w:rPr>
        <w:t xml:space="preserve">细目报价表</w:t>
      </w:r>
      <w:r/>
    </w:p>
    <w:p>
      <w:pPr>
        <w:spacing w:line="400" w:lineRule="exact"/>
        <w:rPr>
          <w:rFonts w:ascii="宋体" w:hAnsi="宋体"/>
          <w:bCs/>
          <w:color w:val="auto"/>
          <w:sz w:val="28"/>
          <w:szCs w:val="28"/>
        </w:rPr>
      </w:pPr>
      <w:r>
        <w:rPr>
          <w:rFonts w:hint="eastAsia" w:ascii="宋体" w:hAnsi="宋体"/>
          <w:bCs/>
          <w:color w:val="auto"/>
          <w:sz w:val="24"/>
          <w:szCs w:val="24"/>
        </w:rPr>
        <w:t xml:space="preserve">投标人名称（盖章）：                                政府采购编号：</w:t>
      </w:r>
      <w:r/>
    </w:p>
    <w:tbl>
      <w:tblPr>
        <w:tblStyle w:val="807"/>
        <w:tblpPr w:horzAnchor="page" w:tblpX="995" w:vertAnchor="text" w:tblpY="406" w:leftFromText="180" w:topFromText="0" w:rightFromText="180" w:bottomFromText="0"/>
        <w:tblW w:w="102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1"/>
        <w:gridCol w:w="1263"/>
        <w:gridCol w:w="1198"/>
        <w:gridCol w:w="1791"/>
        <w:gridCol w:w="1376"/>
        <w:gridCol w:w="605"/>
        <w:gridCol w:w="600"/>
        <w:gridCol w:w="934"/>
        <w:gridCol w:w="816"/>
        <w:gridCol w:w="1084"/>
      </w:tblGrid>
      <w:tr>
        <w:trPr>
          <w:cantSplit/>
          <w:trHeight w:val="495"/>
        </w:trPr>
        <w:tc>
          <w:tcPr>
            <w:tcMar>
              <w:left w:w="15" w:type="dxa"/>
              <w:top w:w="15" w:type="dxa"/>
              <w:right w:w="15" w:type="dxa"/>
              <w:bottom w:w="0" w:type="dxa"/>
            </w:tcMar>
            <w:tcW w:w="541" w:type="dxa"/>
            <w:vAlign w:val="center"/>
            <w:textDirection w:val="lrTb"/>
            <w:noWrap/>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序号</w:t>
            </w:r>
            <w:r/>
          </w:p>
        </w:tc>
        <w:tc>
          <w:tcPr>
            <w:tcMar>
              <w:left w:w="15" w:type="dxa"/>
              <w:top w:w="15" w:type="dxa"/>
              <w:right w:w="15" w:type="dxa"/>
              <w:bottom w:w="0" w:type="dxa"/>
            </w:tcMar>
            <w:tcW w:w="1263" w:type="dxa"/>
            <w:vAlign w:val="center"/>
            <w:textDirection w:val="lrTb"/>
            <w:noWrap/>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名称</w:t>
            </w:r>
            <w:r/>
          </w:p>
        </w:tc>
        <w:tc>
          <w:tcPr>
            <w:tcMar>
              <w:left w:w="15" w:type="dxa"/>
              <w:top w:w="15" w:type="dxa"/>
              <w:right w:w="15" w:type="dxa"/>
              <w:bottom w:w="0" w:type="dxa"/>
            </w:tcMar>
            <w:tcW w:w="1198" w:type="dxa"/>
            <w:vAlign w:val="center"/>
            <w:textDirection w:val="lrTb"/>
            <w:noWrap/>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品牌型号</w:t>
            </w:r>
            <w:r/>
          </w:p>
        </w:tc>
        <w:tc>
          <w:tcPr>
            <w:tcMar>
              <w:left w:w="15" w:type="dxa"/>
              <w:top w:w="15" w:type="dxa"/>
              <w:right w:w="15" w:type="dxa"/>
              <w:bottom w:w="0" w:type="dxa"/>
            </w:tcMar>
            <w:tcW w:w="1791" w:type="dxa"/>
            <w:vAlign w:val="center"/>
            <w:textDirection w:val="lrTb"/>
            <w:noWrap/>
          </w:tcPr>
          <w:p>
            <w:pPr>
              <w:jc w:val="center"/>
              <w:spacing w:after="0" w:line="460" w:lineRule="exact"/>
              <w:rPr>
                <w:rFonts w:ascii="宋体" w:hAnsi="宋体" w:cs="Times New Roman"/>
                <w:color w:val="auto"/>
                <w:sz w:val="21"/>
                <w:szCs w:val="21"/>
              </w:rPr>
            </w:pPr>
            <w:r>
              <w:rPr>
                <w:rFonts w:hint="eastAsia" w:ascii="宋体" w:hAnsi="宋体"/>
                <w:color w:val="auto"/>
                <w:sz w:val="21"/>
                <w:szCs w:val="21"/>
              </w:rPr>
              <w:t xml:space="preserve">性能指标</w:t>
            </w:r>
            <w:r/>
          </w:p>
        </w:tc>
        <w:tc>
          <w:tcPr>
            <w:tcMar>
              <w:left w:w="15" w:type="dxa"/>
              <w:top w:w="15" w:type="dxa"/>
              <w:right w:w="15" w:type="dxa"/>
              <w:bottom w:w="0" w:type="dxa"/>
            </w:tcMar>
            <w:tcW w:w="1376" w:type="dxa"/>
            <w:vAlign w:val="center"/>
            <w:textDirection w:val="lrTb"/>
            <w:noWrap w:val="false"/>
          </w:tcPr>
          <w:p>
            <w:pPr>
              <w:jc w:val="center"/>
              <w:spacing w:after="0" w:line="400" w:lineRule="exact"/>
              <w:rPr>
                <w:rFonts w:ascii="宋体" w:hAnsi="宋体" w:cs="Times New Roman"/>
                <w:color w:val="auto"/>
                <w:sz w:val="21"/>
                <w:szCs w:val="21"/>
              </w:rPr>
            </w:pPr>
            <w:r>
              <w:rPr>
                <w:rFonts w:hint="eastAsia" w:ascii="宋体" w:hAnsi="宋体" w:cs="Times New Roman"/>
                <w:color w:val="auto"/>
                <w:sz w:val="21"/>
                <w:szCs w:val="21"/>
              </w:rPr>
              <w:t xml:space="preserve">是否为本国产品（是/否）</w:t>
            </w:r>
            <w:r/>
          </w:p>
        </w:tc>
        <w:tc>
          <w:tcPr>
            <w:tcMar>
              <w:left w:w="15" w:type="dxa"/>
              <w:top w:w="15" w:type="dxa"/>
              <w:right w:w="15" w:type="dxa"/>
              <w:bottom w:w="0" w:type="dxa"/>
            </w:tcMar>
            <w:tcW w:w="605" w:type="dxa"/>
            <w:vAlign w:val="center"/>
            <w:textDirection w:val="lrTb"/>
            <w:noWrap w:val="false"/>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数量</w:t>
            </w:r>
            <w:r/>
          </w:p>
        </w:tc>
        <w:tc>
          <w:tcPr>
            <w:tcMar>
              <w:left w:w="15" w:type="dxa"/>
              <w:top w:w="15" w:type="dxa"/>
              <w:right w:w="15" w:type="dxa"/>
              <w:bottom w:w="0" w:type="dxa"/>
            </w:tcMar>
            <w:tcW w:w="600" w:type="dxa"/>
            <w:vAlign w:val="center"/>
            <w:textDirection w:val="lrTb"/>
            <w:noWrap/>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产地</w:t>
            </w:r>
            <w:r/>
          </w:p>
        </w:tc>
        <w:tc>
          <w:tcPr>
            <w:tcW w:w="934" w:type="dxa"/>
            <w:vAlign w:val="center"/>
            <w:textDirection w:val="lrTb"/>
            <w:noWrap w:val="false"/>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免费质保期</w:t>
            </w:r>
            <w:r/>
          </w:p>
        </w:tc>
        <w:tc>
          <w:tcPr>
            <w:tcW w:w="816" w:type="dxa"/>
            <w:vAlign w:val="center"/>
            <w:textDirection w:val="lrTb"/>
            <w:noWrap w:val="false"/>
          </w:tcPr>
          <w:p>
            <w:pPr>
              <w:jc w:val="center"/>
              <w:spacing w:after="0" w:line="460" w:lineRule="exact"/>
              <w:rPr>
                <w:rFonts w:hint="eastAsia" w:ascii="宋体" w:hAnsi="宋体" w:eastAsia="宋体"/>
                <w:color w:val="auto"/>
                <w:sz w:val="21"/>
                <w:szCs w:val="21"/>
                <w:lang w:eastAsia="zh-CN"/>
              </w:rPr>
            </w:pPr>
            <w:r>
              <w:rPr>
                <w:rFonts w:hint="eastAsia" w:ascii="宋体" w:hAnsi="宋体"/>
                <w:color w:val="auto"/>
                <w:sz w:val="21"/>
                <w:szCs w:val="21"/>
              </w:rPr>
              <w:t xml:space="preserve">单报价</w:t>
            </w:r>
            <w:r>
              <w:rPr>
                <w:rFonts w:hint="eastAsia" w:ascii="宋体" w:hAnsi="宋体" w:eastAsia="宋体"/>
                <w:color w:val="auto"/>
                <w:sz w:val="21"/>
                <w:szCs w:val="21"/>
                <w:lang w:eastAsia="zh-CN"/>
              </w:rPr>
              <w:t xml:space="preserve">（</w:t>
            </w:r>
            <w:r>
              <w:rPr>
                <w:rFonts w:hint="eastAsia" w:ascii="宋体" w:hAnsi="宋体" w:eastAsia="宋体"/>
                <w:color w:val="auto"/>
                <w:sz w:val="21"/>
                <w:szCs w:val="21"/>
                <w:lang w:val="en-US" w:eastAsia="zh-CN"/>
              </w:rPr>
              <w:t xml:space="preserve">元</w:t>
            </w:r>
            <w:r>
              <w:rPr>
                <w:rFonts w:hint="eastAsia" w:ascii="宋体" w:hAnsi="宋体" w:eastAsia="宋体"/>
                <w:color w:val="auto"/>
                <w:sz w:val="21"/>
                <w:szCs w:val="21"/>
                <w:lang w:eastAsia="zh-CN"/>
              </w:rPr>
              <w:t xml:space="preserve">）</w:t>
            </w:r>
            <w:r/>
          </w:p>
        </w:tc>
        <w:tc>
          <w:tcPr>
            <w:tcW w:w="1084" w:type="dxa"/>
            <w:vAlign w:val="center"/>
            <w:textDirection w:val="lrTb"/>
            <w:noWrap w:val="false"/>
          </w:tcPr>
          <w:p>
            <w:pPr>
              <w:jc w:val="center"/>
              <w:spacing w:after="0" w:line="460" w:lineRule="exact"/>
              <w:rPr>
                <w:rFonts w:ascii="宋体" w:hAnsi="宋体"/>
                <w:color w:val="auto"/>
                <w:sz w:val="21"/>
                <w:szCs w:val="21"/>
              </w:rPr>
            </w:pPr>
            <w:r>
              <w:rPr>
                <w:rFonts w:hint="eastAsia" w:ascii="宋体" w:hAnsi="宋体"/>
                <w:color w:val="auto"/>
                <w:sz w:val="21"/>
                <w:szCs w:val="21"/>
              </w:rPr>
              <w:t xml:space="preserve">分项总报价</w:t>
            </w:r>
            <w:r>
              <w:rPr>
                <w:rFonts w:hint="eastAsia" w:ascii="宋体" w:hAnsi="宋体" w:eastAsia="宋体"/>
                <w:color w:val="auto"/>
                <w:sz w:val="21"/>
                <w:szCs w:val="21"/>
                <w:lang w:eastAsia="zh-CN"/>
              </w:rPr>
              <w:t xml:space="preserve">（</w:t>
            </w:r>
            <w:r>
              <w:rPr>
                <w:rFonts w:hint="eastAsia" w:ascii="宋体" w:hAnsi="宋体" w:eastAsia="宋体"/>
                <w:color w:val="auto"/>
                <w:sz w:val="21"/>
                <w:szCs w:val="21"/>
                <w:lang w:val="en-US" w:eastAsia="zh-CN"/>
              </w:rPr>
              <w:t xml:space="preserve">元</w:t>
            </w:r>
            <w:r>
              <w:rPr>
                <w:rFonts w:hint="eastAsia" w:ascii="宋体" w:hAnsi="宋体" w:eastAsia="宋体"/>
                <w:color w:val="auto"/>
                <w:sz w:val="21"/>
                <w:szCs w:val="21"/>
                <w:lang w:eastAsia="zh-CN"/>
              </w:rPr>
              <w:t xml:space="preserve">）</w:t>
            </w:r>
            <w:r/>
          </w:p>
        </w:tc>
      </w:tr>
      <w:tr>
        <w:trPr>
          <w:cantSplit/>
          <w:trHeight w:val="592"/>
        </w:trPr>
        <w:tc>
          <w:tcPr>
            <w:tcMar>
              <w:left w:w="15" w:type="dxa"/>
              <w:top w:w="15" w:type="dxa"/>
              <w:right w:w="15" w:type="dxa"/>
              <w:bottom w:w="0" w:type="dxa"/>
            </w:tcMar>
            <w:tcW w:w="541" w:type="dxa"/>
            <w:vAlign w:val="center"/>
            <w:textDirection w:val="lrTb"/>
            <w:noWrap/>
          </w:tcPr>
          <w:p>
            <w:pPr>
              <w:pStyle w:val="1203"/>
              <w:spacing w:before="5"/>
              <w:tabs>
                <w:tab w:val="clear" w:pos="4153" w:leader="none"/>
                <w:tab w:val="clear" w:pos="8306" w:leader="none"/>
              </w:tabs>
              <w:rPr>
                <w:rFonts w:ascii="宋体" w:hAnsi="宋体"/>
                <w:color w:val="auto"/>
                <w:sz w:val="21"/>
                <w:szCs w:val="21"/>
              </w:rPr>
              <w:pBdr>
                <w:bottom w:val="none" w:color="000000" w:sz="0" w:space="0"/>
              </w:pBdr>
            </w:pPr>
            <w:r>
              <w:rPr>
                <w:rFonts w:ascii="宋体" w:hAnsi="宋体"/>
                <w:color w:val="auto"/>
                <w:sz w:val="21"/>
                <w:szCs w:val="21"/>
              </w:rPr>
            </w:r>
            <w:r/>
          </w:p>
        </w:tc>
        <w:tc>
          <w:tcPr>
            <w:tcMar>
              <w:left w:w="15" w:type="dxa"/>
              <w:top w:w="15" w:type="dxa"/>
              <w:right w:w="15" w:type="dxa"/>
              <w:bottom w:w="0" w:type="dxa"/>
            </w:tcMar>
            <w:tcW w:w="1263" w:type="dxa"/>
            <w:vAlign w:val="center"/>
            <w:textDirection w:val="lrTb"/>
            <w:noWrap/>
          </w:tcPr>
          <w:p>
            <w:pPr>
              <w:pStyle w:val="1203"/>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198" w:type="dxa"/>
            <w:vAlign w:val="center"/>
            <w:textDirection w:val="lrTb"/>
            <w:noWrap w:val="false"/>
          </w:tcPr>
          <w:p>
            <w:pPr>
              <w:pStyle w:val="1203"/>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791" w:type="dxa"/>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1376"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5"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0" w:type="dxa"/>
            <w:vAlign w:val="center"/>
            <w:textDirection w:val="lrTb"/>
            <w:noWrap/>
          </w:tcPr>
          <w:p>
            <w:pPr>
              <w:jc w:val="center"/>
              <w:rPr>
                <w:rFonts w:ascii="宋体" w:hAnsi="宋体"/>
                <w:b/>
                <w:bCs/>
                <w:color w:val="auto"/>
                <w:sz w:val="21"/>
                <w:szCs w:val="21"/>
              </w:rPr>
            </w:pPr>
            <w:r>
              <w:rPr>
                <w:rFonts w:hint="eastAsia" w:ascii="宋体" w:hAnsi="宋体"/>
                <w:b/>
                <w:bCs/>
                <w:color w:val="auto"/>
                <w:sz w:val="21"/>
                <w:szCs w:val="21"/>
              </w:rPr>
              <w:t xml:space="preserve">　</w:t>
            </w:r>
            <w:r/>
          </w:p>
        </w:tc>
        <w:tc>
          <w:tcPr>
            <w:tcW w:w="934" w:type="dxa"/>
            <w:vAlign w:val="center"/>
            <w:textDirection w:val="lrTb"/>
            <w:noWrap w:val="false"/>
          </w:tcPr>
          <w:p>
            <w:pPr>
              <w:jc w:val="center"/>
              <w:rPr>
                <w:rFonts w:ascii="宋体" w:hAnsi="宋体"/>
                <w:b/>
                <w:bCs/>
                <w:color w:val="auto"/>
                <w:sz w:val="21"/>
                <w:szCs w:val="21"/>
              </w:rPr>
            </w:pPr>
            <w:r>
              <w:rPr>
                <w:rFonts w:hint="eastAsia" w:ascii="宋体" w:hAnsi="宋体"/>
                <w:b/>
                <w:bCs/>
                <w:color w:val="auto"/>
                <w:sz w:val="21"/>
                <w:szCs w:val="21"/>
              </w:rPr>
              <w:t xml:space="preserve">　</w:t>
            </w:r>
            <w:r/>
          </w:p>
        </w:tc>
        <w:tc>
          <w:tcPr>
            <w:tcW w:w="816"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108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r>
      <w:tr>
        <w:trPr>
          <w:cantSplit/>
          <w:trHeight w:val="592"/>
        </w:trPr>
        <w:tc>
          <w:tcPr>
            <w:tcMar>
              <w:left w:w="15" w:type="dxa"/>
              <w:top w:w="15" w:type="dxa"/>
              <w:right w:w="15" w:type="dxa"/>
              <w:bottom w:w="0" w:type="dxa"/>
            </w:tcMar>
            <w:tcW w:w="541" w:type="dxa"/>
            <w:vAlign w:val="center"/>
            <w:textDirection w:val="lrTb"/>
            <w:noWrap/>
          </w:tcPr>
          <w:p>
            <w:pPr>
              <w:pStyle w:val="1203"/>
              <w:spacing w:before="5"/>
              <w:tabs>
                <w:tab w:val="clear" w:pos="4153" w:leader="none"/>
                <w:tab w:val="clear" w:pos="8306" w:leader="none"/>
              </w:tabs>
              <w:rPr>
                <w:rFonts w:ascii="宋体" w:hAnsi="宋体"/>
                <w:color w:val="auto"/>
                <w:sz w:val="21"/>
                <w:szCs w:val="21"/>
              </w:rPr>
              <w:pBdr>
                <w:bottom w:val="none" w:color="000000" w:sz="0" w:space="0"/>
              </w:pBdr>
            </w:pPr>
            <w:r>
              <w:rPr>
                <w:rFonts w:ascii="宋体" w:hAnsi="宋体"/>
                <w:color w:val="auto"/>
                <w:sz w:val="21"/>
                <w:szCs w:val="21"/>
              </w:rPr>
            </w:r>
            <w:r/>
          </w:p>
        </w:tc>
        <w:tc>
          <w:tcPr>
            <w:tcMar>
              <w:left w:w="15" w:type="dxa"/>
              <w:top w:w="15" w:type="dxa"/>
              <w:right w:w="15" w:type="dxa"/>
              <w:bottom w:w="0" w:type="dxa"/>
            </w:tcMar>
            <w:tcW w:w="1263" w:type="dxa"/>
            <w:vAlign w:val="center"/>
            <w:textDirection w:val="lrTb"/>
            <w:noWrap/>
          </w:tcPr>
          <w:p>
            <w:pPr>
              <w:pStyle w:val="1203"/>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198" w:type="dxa"/>
            <w:vAlign w:val="center"/>
            <w:textDirection w:val="lrTb"/>
            <w:noWrap w:val="false"/>
          </w:tcPr>
          <w:p>
            <w:pPr>
              <w:pStyle w:val="1203"/>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791" w:type="dxa"/>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1376"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5"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0" w:type="dxa"/>
            <w:vAlign w:val="center"/>
            <w:textDirection w:val="lrTb"/>
            <w:noWrap/>
          </w:tcPr>
          <w:p>
            <w:pPr>
              <w:jc w:val="center"/>
              <w:rPr>
                <w:rFonts w:ascii="宋体" w:hAnsi="宋体"/>
                <w:b/>
                <w:bCs/>
                <w:color w:val="auto"/>
                <w:sz w:val="21"/>
                <w:szCs w:val="21"/>
              </w:rPr>
            </w:pPr>
            <w:r>
              <w:rPr>
                <w:rFonts w:ascii="宋体" w:hAnsi="宋体"/>
                <w:b/>
                <w:bCs/>
                <w:color w:val="auto"/>
                <w:sz w:val="21"/>
                <w:szCs w:val="21"/>
              </w:rPr>
            </w:r>
            <w:r/>
          </w:p>
        </w:tc>
        <w:tc>
          <w:tcPr>
            <w:tcW w:w="93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816"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108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r>
      <w:tr>
        <w:trPr>
          <w:cantSplit/>
          <w:trHeight w:val="592"/>
        </w:trPr>
        <w:tc>
          <w:tcPr>
            <w:tcMar>
              <w:left w:w="15" w:type="dxa"/>
              <w:top w:w="15" w:type="dxa"/>
              <w:right w:w="15" w:type="dxa"/>
              <w:bottom w:w="0" w:type="dxa"/>
            </w:tcMar>
            <w:tcW w:w="541" w:type="dxa"/>
            <w:vAlign w:val="center"/>
            <w:textDirection w:val="lrTb"/>
            <w:noWrap/>
          </w:tcPr>
          <w:p>
            <w:pPr>
              <w:pStyle w:val="1203"/>
              <w:spacing w:before="5"/>
              <w:tabs>
                <w:tab w:val="clear" w:pos="4153" w:leader="none"/>
                <w:tab w:val="clear" w:pos="8306" w:leader="none"/>
              </w:tabs>
              <w:rPr>
                <w:rFonts w:ascii="宋体" w:hAnsi="宋体"/>
                <w:color w:val="auto"/>
                <w:sz w:val="21"/>
                <w:szCs w:val="21"/>
              </w:rPr>
              <w:pBdr>
                <w:bottom w:val="none" w:color="000000" w:sz="0" w:space="0"/>
              </w:pBdr>
            </w:pPr>
            <w:r>
              <w:rPr>
                <w:rFonts w:ascii="宋体" w:hAnsi="宋体"/>
                <w:color w:val="auto"/>
                <w:sz w:val="21"/>
                <w:szCs w:val="21"/>
              </w:rPr>
            </w:r>
            <w:r/>
          </w:p>
        </w:tc>
        <w:tc>
          <w:tcPr>
            <w:tcMar>
              <w:left w:w="15" w:type="dxa"/>
              <w:top w:w="15" w:type="dxa"/>
              <w:right w:w="15" w:type="dxa"/>
              <w:bottom w:w="0" w:type="dxa"/>
            </w:tcMar>
            <w:tcW w:w="1263" w:type="dxa"/>
            <w:vAlign w:val="center"/>
            <w:textDirection w:val="lrTb"/>
            <w:noWrap/>
          </w:tcPr>
          <w:p>
            <w:pPr>
              <w:pStyle w:val="1203"/>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198" w:type="dxa"/>
            <w:vAlign w:val="center"/>
            <w:textDirection w:val="lrTb"/>
            <w:noWrap w:val="false"/>
          </w:tcPr>
          <w:p>
            <w:pPr>
              <w:pStyle w:val="1203"/>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791" w:type="dxa"/>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1376"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5"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0" w:type="dxa"/>
            <w:vAlign w:val="center"/>
            <w:textDirection w:val="lrTb"/>
            <w:noWrap/>
          </w:tcPr>
          <w:p>
            <w:pPr>
              <w:jc w:val="center"/>
              <w:rPr>
                <w:rFonts w:ascii="宋体" w:hAnsi="宋体"/>
                <w:b/>
                <w:bCs/>
                <w:color w:val="auto"/>
                <w:sz w:val="21"/>
                <w:szCs w:val="21"/>
              </w:rPr>
            </w:pPr>
            <w:r>
              <w:rPr>
                <w:rFonts w:ascii="宋体" w:hAnsi="宋体"/>
                <w:b/>
                <w:bCs/>
                <w:color w:val="auto"/>
                <w:sz w:val="21"/>
                <w:szCs w:val="21"/>
              </w:rPr>
            </w:r>
            <w:r/>
          </w:p>
        </w:tc>
        <w:tc>
          <w:tcPr>
            <w:tcW w:w="93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816"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108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r>
      <w:tr>
        <w:trPr>
          <w:cantSplit/>
          <w:trHeight w:val="544"/>
        </w:trPr>
        <w:tc>
          <w:tcPr>
            <w:tcMar>
              <w:left w:w="15" w:type="dxa"/>
              <w:top w:w="15" w:type="dxa"/>
              <w:right w:w="15" w:type="dxa"/>
              <w:bottom w:w="0" w:type="dxa"/>
            </w:tcMar>
            <w:tcW w:w="541" w:type="dxa"/>
            <w:vAlign w:val="center"/>
            <w:textDirection w:val="lrTb"/>
            <w:noWrap/>
          </w:tcPr>
          <w:p>
            <w:pPr>
              <w:jc w:val="center"/>
              <w:rPr>
                <w:rFonts w:ascii="宋体" w:hAnsi="宋体"/>
                <w:color w:val="auto"/>
                <w:sz w:val="21"/>
                <w:szCs w:val="21"/>
              </w:rPr>
            </w:pPr>
            <w:r>
              <w:rPr>
                <w:rFonts w:ascii="宋体" w:hAnsi="宋体"/>
                <w:color w:val="auto"/>
                <w:sz w:val="21"/>
                <w:szCs w:val="21"/>
              </w:rPr>
            </w:r>
            <w:r/>
          </w:p>
        </w:tc>
        <w:tc>
          <w:tcPr>
            <w:tcMar>
              <w:left w:w="15" w:type="dxa"/>
              <w:top w:w="15" w:type="dxa"/>
              <w:right w:w="15" w:type="dxa"/>
              <w:bottom w:w="0" w:type="dxa"/>
            </w:tcMar>
            <w:tcW w:w="1263" w:type="dxa"/>
            <w:vAlign w:val="center"/>
            <w:textDirection w:val="lrTb"/>
            <w:noWrap/>
          </w:tcPr>
          <w:p>
            <w:pPr>
              <w:jc w:val="center"/>
              <w:rPr>
                <w:rFonts w:ascii="宋体" w:hAnsi="宋体"/>
                <w:color w:val="auto"/>
                <w:sz w:val="21"/>
                <w:szCs w:val="21"/>
              </w:rPr>
            </w:pPr>
            <w:r>
              <w:rPr>
                <w:rFonts w:ascii="宋体" w:hAnsi="宋体"/>
                <w:color w:val="auto"/>
                <w:sz w:val="21"/>
                <w:szCs w:val="21"/>
              </w:rPr>
            </w:r>
            <w:r/>
          </w:p>
        </w:tc>
        <w:tc>
          <w:tcPr>
            <w:tcMar>
              <w:left w:w="15" w:type="dxa"/>
              <w:top w:w="15" w:type="dxa"/>
              <w:right w:w="15" w:type="dxa"/>
              <w:bottom w:w="0" w:type="dxa"/>
            </w:tcMar>
            <w:tcW w:w="1198" w:type="dxa"/>
            <w:vAlign w:val="center"/>
            <w:textDirection w:val="lrTb"/>
            <w:noWrap w:val="false"/>
          </w:tcPr>
          <w:p>
            <w:pPr>
              <w:pStyle w:val="1203"/>
              <w:tabs>
                <w:tab w:val="clear" w:pos="4153" w:leader="none"/>
                <w:tab w:val="clear" w:pos="8306" w:leader="none"/>
              </w:tabs>
              <w:rPr>
                <w:rFonts w:ascii="宋体" w:hAnsi="宋体"/>
                <w:bCs/>
                <w:color w:val="auto"/>
                <w:sz w:val="21"/>
                <w:szCs w:val="21"/>
              </w:rPr>
              <w:pBdr>
                <w:bottom w:val="none" w:color="000000" w:sz="0" w:space="0"/>
              </w:pBdr>
            </w:pPr>
            <w:r>
              <w:rPr>
                <w:rFonts w:ascii="宋体" w:hAnsi="宋体"/>
                <w:bCs/>
                <w:color w:val="auto"/>
                <w:sz w:val="21"/>
                <w:szCs w:val="21"/>
              </w:rPr>
            </w:r>
            <w:r/>
          </w:p>
        </w:tc>
        <w:tc>
          <w:tcPr>
            <w:tcMar>
              <w:left w:w="15" w:type="dxa"/>
              <w:top w:w="15" w:type="dxa"/>
              <w:right w:w="15" w:type="dxa"/>
              <w:bottom w:w="0" w:type="dxa"/>
            </w:tcMar>
            <w:tcW w:w="1791"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1376"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5" w:type="dxa"/>
            <w:vAlign w:val="center"/>
            <w:textDirection w:val="lrTb"/>
            <w:noWrap w:val="false"/>
          </w:tcPr>
          <w:p>
            <w:pPr>
              <w:jc w:val="center"/>
              <w:rPr>
                <w:rFonts w:ascii="宋体" w:hAnsi="宋体"/>
                <w:bCs/>
                <w:color w:val="auto"/>
                <w:sz w:val="21"/>
                <w:szCs w:val="21"/>
              </w:rPr>
            </w:pPr>
            <w:r>
              <w:rPr>
                <w:rFonts w:ascii="宋体" w:hAnsi="宋体"/>
                <w:bCs/>
                <w:color w:val="auto"/>
                <w:sz w:val="21"/>
                <w:szCs w:val="21"/>
              </w:rPr>
            </w:r>
            <w:r/>
          </w:p>
        </w:tc>
        <w:tc>
          <w:tcPr>
            <w:tcMar>
              <w:left w:w="15" w:type="dxa"/>
              <w:top w:w="15" w:type="dxa"/>
              <w:right w:w="15" w:type="dxa"/>
              <w:bottom w:w="0" w:type="dxa"/>
            </w:tcMar>
            <w:tcW w:w="600" w:type="dxa"/>
            <w:vAlign w:val="center"/>
            <w:textDirection w:val="lrTb"/>
            <w:noWrap/>
          </w:tcPr>
          <w:p>
            <w:pPr>
              <w:jc w:val="center"/>
              <w:rPr>
                <w:rFonts w:ascii="宋体" w:hAnsi="宋体"/>
                <w:b/>
                <w:bCs/>
                <w:color w:val="auto"/>
                <w:sz w:val="21"/>
                <w:szCs w:val="21"/>
              </w:rPr>
            </w:pPr>
            <w:r>
              <w:rPr>
                <w:rFonts w:hint="eastAsia" w:ascii="宋体" w:hAnsi="宋体"/>
                <w:b/>
                <w:bCs/>
                <w:color w:val="auto"/>
                <w:sz w:val="21"/>
                <w:szCs w:val="21"/>
              </w:rPr>
              <w:t xml:space="preserve">　</w:t>
            </w:r>
            <w:r/>
          </w:p>
        </w:tc>
        <w:tc>
          <w:tcPr>
            <w:tcW w:w="934" w:type="dxa"/>
            <w:vAlign w:val="center"/>
            <w:textDirection w:val="lrTb"/>
            <w:noWrap w:val="false"/>
          </w:tcPr>
          <w:p>
            <w:pPr>
              <w:jc w:val="center"/>
              <w:rPr>
                <w:rFonts w:ascii="宋体" w:hAnsi="宋体"/>
                <w:b/>
                <w:bCs/>
                <w:color w:val="auto"/>
                <w:sz w:val="21"/>
                <w:szCs w:val="21"/>
              </w:rPr>
            </w:pPr>
            <w:r>
              <w:rPr>
                <w:rFonts w:hint="eastAsia" w:ascii="宋体" w:hAnsi="宋体"/>
                <w:b/>
                <w:bCs/>
                <w:color w:val="auto"/>
                <w:sz w:val="21"/>
                <w:szCs w:val="21"/>
              </w:rPr>
              <w:t xml:space="preserve">　</w:t>
            </w:r>
            <w:r/>
          </w:p>
        </w:tc>
        <w:tc>
          <w:tcPr>
            <w:tcW w:w="816"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c>
          <w:tcPr>
            <w:tcW w:w="1084" w:type="dxa"/>
            <w:vAlign w:val="center"/>
            <w:textDirection w:val="lrTb"/>
            <w:noWrap w:val="false"/>
          </w:tcPr>
          <w:p>
            <w:pPr>
              <w:jc w:val="center"/>
              <w:rPr>
                <w:rFonts w:ascii="宋体" w:hAnsi="宋体"/>
                <w:b/>
                <w:bCs/>
                <w:color w:val="auto"/>
                <w:sz w:val="21"/>
                <w:szCs w:val="21"/>
              </w:rPr>
            </w:pPr>
            <w:r>
              <w:rPr>
                <w:rFonts w:ascii="宋体" w:hAnsi="宋体"/>
                <w:b/>
                <w:bCs/>
                <w:color w:val="auto"/>
                <w:sz w:val="21"/>
                <w:szCs w:val="21"/>
              </w:rPr>
            </w:r>
            <w:r/>
          </w:p>
        </w:tc>
      </w:tr>
      <w:tr>
        <w:trPr>
          <w:cantSplit/>
          <w:trHeight w:val="283"/>
        </w:trPr>
        <w:tc>
          <w:tcPr>
            <w:gridSpan w:val="10"/>
            <w:tcMar>
              <w:left w:w="15" w:type="dxa"/>
              <w:top w:w="15" w:type="dxa"/>
              <w:right w:w="15" w:type="dxa"/>
              <w:bottom w:w="0" w:type="dxa"/>
            </w:tcMar>
            <w:tcW w:w="10208" w:type="dxa"/>
            <w:vAlign w:val="center"/>
            <w:textDirection w:val="lrTb"/>
            <w:noWrap/>
          </w:tcPr>
          <w:p>
            <w:pPr>
              <w:rPr>
                <w:rFonts w:ascii="宋体" w:hAnsi="宋体"/>
                <w:bCs/>
                <w:color w:val="auto"/>
                <w:sz w:val="21"/>
                <w:szCs w:val="21"/>
              </w:rPr>
            </w:pPr>
            <w:r>
              <w:rPr>
                <w:rFonts w:hint="eastAsia"/>
                <w:b/>
                <w:bCs/>
                <w:color w:val="auto"/>
                <w:sz w:val="21"/>
                <w:szCs w:val="21"/>
              </w:rPr>
              <w:t xml:space="preserve">总报价：大写                                              小写</w:t>
            </w:r>
            <w:r/>
          </w:p>
        </w:tc>
      </w:tr>
      <w:tr>
        <w:trPr>
          <w:cantSplit/>
          <w:trHeight w:val="727"/>
        </w:trPr>
        <w:tc>
          <w:tcPr>
            <w:gridSpan w:val="3"/>
            <w:tcMar>
              <w:left w:w="15" w:type="dxa"/>
              <w:top w:w="15" w:type="dxa"/>
              <w:right w:w="15" w:type="dxa"/>
              <w:bottom w:w="0" w:type="dxa"/>
            </w:tcMar>
            <w:tcW w:w="3002" w:type="dxa"/>
            <w:vAlign w:val="center"/>
            <w:textDirection w:val="lrTb"/>
            <w:noWrap/>
          </w:tcPr>
          <w:p>
            <w:pPr>
              <w:jc w:val="both"/>
              <w:rPr>
                <w:rFonts w:ascii="宋体" w:hAnsi="宋体"/>
                <w:b/>
                <w:bCs/>
                <w:color w:val="auto"/>
                <w:sz w:val="21"/>
                <w:szCs w:val="21"/>
              </w:rPr>
            </w:pPr>
            <w:r>
              <w:rPr>
                <w:rFonts w:hint="eastAsia"/>
                <w:b/>
                <w:bCs/>
                <w:color w:val="auto"/>
                <w:sz w:val="21"/>
                <w:szCs w:val="21"/>
              </w:rPr>
              <w:t xml:space="preserve">其中属于小、微型企业产品的价格合计（小写）：</w:t>
            </w:r>
            <w:r/>
          </w:p>
        </w:tc>
        <w:tc>
          <w:tcPr>
            <w:gridSpan w:val="7"/>
            <w:tcMar>
              <w:left w:w="15" w:type="dxa"/>
              <w:top w:w="15" w:type="dxa"/>
              <w:right w:w="15" w:type="dxa"/>
              <w:bottom w:w="0" w:type="dxa"/>
            </w:tcMar>
            <w:tcW w:w="7206" w:type="dxa"/>
            <w:vAlign w:val="center"/>
            <w:textDirection w:val="lrTb"/>
            <w:noWrap w:val="false"/>
          </w:tcPr>
          <w:p>
            <w:pPr>
              <w:rPr>
                <w:rFonts w:ascii="宋体" w:hAnsi="宋体"/>
                <w:b/>
                <w:bCs/>
                <w:color w:val="auto"/>
                <w:sz w:val="21"/>
                <w:szCs w:val="21"/>
              </w:rPr>
            </w:pPr>
            <w:r>
              <w:rPr>
                <w:rFonts w:ascii="宋体" w:hAnsi="宋体"/>
                <w:b/>
                <w:bCs/>
                <w:color w:val="auto"/>
                <w:sz w:val="21"/>
                <w:szCs w:val="21"/>
              </w:rPr>
            </w:r>
            <w:r/>
          </w:p>
        </w:tc>
      </w:tr>
      <w:tr>
        <w:trPr>
          <w:cantSplit/>
          <w:trHeight w:val="727"/>
        </w:trPr>
        <w:tc>
          <w:tcPr>
            <w:gridSpan w:val="3"/>
            <w:tcMar>
              <w:left w:w="15" w:type="dxa"/>
              <w:top w:w="15" w:type="dxa"/>
              <w:right w:w="15" w:type="dxa"/>
              <w:bottom w:w="0" w:type="dxa"/>
            </w:tcMar>
            <w:tcW w:w="3002" w:type="dxa"/>
            <w:vAlign w:val="center"/>
            <w:textDirection w:val="lrTb"/>
            <w:noWrap/>
          </w:tcPr>
          <w:p>
            <w:pPr>
              <w:jc w:val="both"/>
              <w:rPr>
                <w:rFonts w:ascii="宋体" w:hAnsi="宋体"/>
                <w:b/>
                <w:bCs/>
                <w:color w:val="auto"/>
                <w:sz w:val="21"/>
                <w:szCs w:val="21"/>
              </w:rPr>
            </w:pPr>
            <w:r>
              <w:rPr>
                <w:rFonts w:hint="eastAsia"/>
                <w:b/>
                <w:bCs/>
                <w:color w:val="auto"/>
                <w:sz w:val="21"/>
                <w:szCs w:val="21"/>
              </w:rPr>
              <w:t xml:space="preserve">其中属于监狱企业产品的价格合计（小写）：</w:t>
            </w:r>
            <w:r/>
          </w:p>
        </w:tc>
        <w:tc>
          <w:tcPr>
            <w:gridSpan w:val="7"/>
            <w:tcMar>
              <w:left w:w="15" w:type="dxa"/>
              <w:top w:w="15" w:type="dxa"/>
              <w:right w:w="15" w:type="dxa"/>
              <w:bottom w:w="0" w:type="dxa"/>
            </w:tcMar>
            <w:tcW w:w="7206" w:type="dxa"/>
            <w:vAlign w:val="center"/>
            <w:textDirection w:val="lrTb"/>
            <w:noWrap w:val="false"/>
          </w:tcPr>
          <w:p>
            <w:pPr>
              <w:rPr>
                <w:rFonts w:ascii="宋体" w:hAnsi="宋体"/>
                <w:b/>
                <w:bCs/>
                <w:color w:val="auto"/>
                <w:sz w:val="21"/>
                <w:szCs w:val="21"/>
              </w:rPr>
            </w:pPr>
            <w:r>
              <w:rPr>
                <w:rFonts w:ascii="宋体" w:hAnsi="宋体"/>
                <w:b/>
                <w:bCs/>
                <w:color w:val="auto"/>
                <w:sz w:val="21"/>
                <w:szCs w:val="21"/>
              </w:rPr>
            </w:r>
            <w:r/>
          </w:p>
        </w:tc>
      </w:tr>
      <w:tr>
        <w:trPr>
          <w:cantSplit/>
          <w:trHeight w:val="727"/>
        </w:trPr>
        <w:tc>
          <w:tcPr>
            <w:gridSpan w:val="3"/>
            <w:tcMar>
              <w:left w:w="15" w:type="dxa"/>
              <w:top w:w="15" w:type="dxa"/>
              <w:right w:w="15" w:type="dxa"/>
              <w:bottom w:w="0" w:type="dxa"/>
            </w:tcMar>
            <w:tcW w:w="3002" w:type="dxa"/>
            <w:vAlign w:val="center"/>
            <w:textDirection w:val="lrTb"/>
            <w:noWrap/>
          </w:tcPr>
          <w:p>
            <w:pPr>
              <w:jc w:val="both"/>
              <w:rPr>
                <w:rFonts w:ascii="宋体" w:hAnsi="宋体"/>
                <w:b/>
                <w:bCs/>
                <w:color w:val="auto"/>
                <w:sz w:val="21"/>
                <w:szCs w:val="21"/>
              </w:rPr>
            </w:pPr>
            <w:r>
              <w:rPr>
                <w:rFonts w:hint="eastAsia"/>
                <w:b/>
                <w:bCs/>
                <w:color w:val="auto"/>
                <w:sz w:val="21"/>
                <w:szCs w:val="21"/>
              </w:rPr>
              <w:t xml:space="preserve">其中属</w:t>
            </w:r>
            <w:r>
              <w:rPr>
                <w:rFonts w:hint="eastAsia" w:hAnsi="宋体"/>
                <w:b/>
                <w:bCs/>
                <w:color w:val="auto"/>
                <w:sz w:val="21"/>
                <w:szCs w:val="21"/>
              </w:rPr>
              <w:t xml:space="preserve">于残疾人福利性单位产品的</w:t>
            </w:r>
            <w:r>
              <w:rPr>
                <w:rFonts w:hint="eastAsia"/>
                <w:b/>
                <w:bCs/>
                <w:color w:val="auto"/>
                <w:sz w:val="21"/>
                <w:szCs w:val="21"/>
              </w:rPr>
              <w:t xml:space="preserve">价格合计（小写）：</w:t>
            </w:r>
            <w:r/>
          </w:p>
        </w:tc>
        <w:tc>
          <w:tcPr>
            <w:gridSpan w:val="7"/>
            <w:tcMar>
              <w:left w:w="15" w:type="dxa"/>
              <w:top w:w="15" w:type="dxa"/>
              <w:right w:w="15" w:type="dxa"/>
              <w:bottom w:w="0" w:type="dxa"/>
            </w:tcMar>
            <w:tcW w:w="7206" w:type="dxa"/>
            <w:vAlign w:val="center"/>
            <w:textDirection w:val="lrTb"/>
            <w:noWrap w:val="false"/>
          </w:tcPr>
          <w:p>
            <w:pPr>
              <w:rPr>
                <w:rFonts w:ascii="宋体" w:hAnsi="宋体"/>
                <w:b/>
                <w:bCs/>
                <w:color w:val="auto"/>
                <w:sz w:val="21"/>
                <w:szCs w:val="21"/>
              </w:rPr>
            </w:pPr>
            <w:r>
              <w:rPr>
                <w:rFonts w:ascii="宋体" w:hAnsi="宋体"/>
                <w:b/>
                <w:bCs/>
                <w:color w:val="auto"/>
                <w:sz w:val="21"/>
                <w:szCs w:val="21"/>
              </w:rPr>
            </w:r>
            <w:r/>
          </w:p>
        </w:tc>
      </w:tr>
      <w:tr>
        <w:trPr>
          <w:cantSplit/>
          <w:trHeight w:val="924"/>
        </w:trPr>
        <w:tc>
          <w:tcPr>
            <w:tcW w:w="541" w:type="dxa"/>
            <w:vAlign w:val="center"/>
            <w:vMerge w:val="restart"/>
            <w:textDirection w:val="lrTb"/>
            <w:noWrap w:val="false"/>
          </w:tcPr>
          <w:p>
            <w:pPr>
              <w:pStyle w:val="1214"/>
              <w:ind w:firstLine="119"/>
              <w:jc w:val="both"/>
              <w:spacing w:after="0" w:line="400" w:lineRule="exact"/>
              <w:tabs>
                <w:tab w:val="left" w:pos="54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服</w:t>
            </w:r>
            <w:r/>
          </w:p>
          <w:p>
            <w:pPr>
              <w:pStyle w:val="1214"/>
              <w:ind w:firstLine="119"/>
              <w:jc w:val="both"/>
              <w:spacing w:after="0" w:line="400" w:lineRule="exact"/>
              <w:tabs>
                <w:tab w:val="left" w:pos="54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务</w:t>
            </w:r>
            <w:r/>
          </w:p>
          <w:p>
            <w:pPr>
              <w:pStyle w:val="1214"/>
              <w:ind w:firstLine="119"/>
              <w:jc w:val="both"/>
              <w:spacing w:after="0" w:line="400" w:lineRule="exact"/>
              <w:tabs>
                <w:tab w:val="left" w:pos="54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承</w:t>
            </w:r>
            <w:r/>
          </w:p>
          <w:p>
            <w:pPr>
              <w:pStyle w:val="1214"/>
              <w:ind w:firstLine="119"/>
              <w:jc w:val="both"/>
              <w:spacing w:after="0" w:line="400" w:lineRule="exact"/>
              <w:tabs>
                <w:tab w:val="left" w:pos="540" w:leader="none"/>
              </w:tabs>
              <w:rPr>
                <w:rFonts w:ascii="宋体" w:hAnsi="宋体"/>
                <w:bCs/>
                <w:color w:val="auto"/>
                <w:sz w:val="21"/>
                <w:szCs w:val="21"/>
              </w:rPr>
            </w:pPr>
            <w:r>
              <w:rPr>
                <w:rFonts w:hint="eastAsia" w:ascii="宋体" w:hAnsi="宋体" w:eastAsia="宋体" w:cs="宋体"/>
                <w:b/>
                <w:bCs/>
                <w:color w:val="auto"/>
                <w:sz w:val="21"/>
                <w:szCs w:val="21"/>
              </w:rPr>
              <w:t xml:space="preserve">诺</w:t>
            </w:r>
            <w:r/>
          </w:p>
        </w:tc>
        <w:tc>
          <w:tcPr>
            <w:gridSpan w:val="9"/>
            <w:tcW w:w="9667" w:type="dxa"/>
            <w:vAlign w:val="center"/>
            <w:textDirection w:val="lrTb"/>
            <w:noWrap w:val="false"/>
          </w:tcPr>
          <w:p>
            <w:pPr>
              <w:jc w:val="both"/>
              <w:spacing w:after="0" w:line="240" w:lineRule="auto"/>
              <w:widowControl w:val="off"/>
              <w:rPr>
                <w:rFonts w:ascii="宋体" w:hAnsi="宋体"/>
                <w:bCs/>
                <w:color w:val="auto"/>
                <w:sz w:val="21"/>
                <w:szCs w:val="21"/>
              </w:rPr>
            </w:pPr>
            <w:r>
              <w:rPr>
                <w:rFonts w:hint="eastAsia" w:ascii="宋体" w:hAnsi="宋体"/>
                <w:bCs/>
                <w:color w:val="auto"/>
                <w:sz w:val="21"/>
                <w:szCs w:val="21"/>
              </w:rPr>
              <w:t xml:space="preserve">1.质量 2.安装 3.“三包”（包修、包退、包换）4.其他承诺</w:t>
            </w:r>
            <w:r/>
          </w:p>
          <w:p>
            <w:pPr>
              <w:jc w:val="both"/>
              <w:spacing w:after="0" w:line="240" w:lineRule="auto"/>
              <w:widowControl w:val="off"/>
              <w:rPr>
                <w:rFonts w:ascii="宋体" w:hAnsi="宋体"/>
                <w:bCs/>
                <w:color w:val="auto"/>
                <w:sz w:val="21"/>
                <w:szCs w:val="21"/>
              </w:rPr>
            </w:pPr>
            <w:r>
              <w:rPr>
                <w:rFonts w:hint="eastAsia" w:ascii="宋体" w:hAnsi="宋体"/>
                <w:bCs/>
                <w:color w:val="auto"/>
                <w:sz w:val="21"/>
                <w:szCs w:val="21"/>
              </w:rPr>
              <w:t xml:space="preserve">（以上是主要承诺，供投标人参考，投标人应在满足招标文件要求的基础上，根据自己单位的情况作出具体承诺）</w:t>
            </w:r>
            <w:r/>
          </w:p>
        </w:tc>
      </w:tr>
      <w:tr>
        <w:trPr>
          <w:cantSplit/>
          <w:trHeight w:val="952"/>
        </w:trPr>
        <w:tc>
          <w:tcPr>
            <w:tcW w:w="541" w:type="dxa"/>
            <w:vAlign w:val="center"/>
            <w:vMerge w:val="continue"/>
            <w:textDirection w:val="lrTb"/>
            <w:noWrap w:val="false"/>
          </w:tcPr>
          <w:p>
            <w:pPr>
              <w:pStyle w:val="1214"/>
              <w:spacing w:line="400" w:lineRule="exact"/>
              <w:tabs>
                <w:tab w:val="left" w:pos="540" w:leader="none"/>
              </w:tabs>
              <w:rPr>
                <w:rFonts w:ascii="宋体" w:hAnsi="宋体"/>
                <w:bCs/>
                <w:color w:val="auto"/>
                <w:sz w:val="21"/>
                <w:szCs w:val="21"/>
              </w:rPr>
            </w:pPr>
            <w:r>
              <w:rPr>
                <w:rFonts w:ascii="宋体" w:hAnsi="宋体"/>
                <w:bCs/>
                <w:color w:val="auto"/>
                <w:sz w:val="21"/>
                <w:szCs w:val="21"/>
              </w:rPr>
            </w:r>
            <w:r/>
          </w:p>
        </w:tc>
        <w:tc>
          <w:tcPr>
            <w:gridSpan w:val="9"/>
            <w:tcW w:w="9667" w:type="dxa"/>
            <w:vAlign w:val="center"/>
            <w:textDirection w:val="lrTb"/>
            <w:noWrap w:val="false"/>
          </w:tcPr>
          <w:p>
            <w:pPr>
              <w:rPr>
                <w:rFonts w:ascii="宋体" w:hAnsi="宋体"/>
                <w:bCs/>
                <w:color w:val="auto"/>
                <w:sz w:val="21"/>
                <w:szCs w:val="21"/>
              </w:rPr>
            </w:pPr>
            <w:r>
              <w:rPr>
                <w:rFonts w:ascii="宋体" w:hAnsi="宋体"/>
                <w:bCs/>
                <w:color w:val="auto"/>
                <w:sz w:val="21"/>
                <w:szCs w:val="21"/>
              </w:rPr>
            </w:r>
            <w:r/>
          </w:p>
        </w:tc>
      </w:tr>
    </w:tbl>
    <w:p>
      <w:pPr>
        <w:jc w:val="both"/>
        <w:spacing w:before="5" w:after="0" w:line="560" w:lineRule="atLeast"/>
        <w:widowControl w:val="off"/>
        <w:rPr>
          <w:rFonts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jc w:val="both"/>
        <w:spacing w:before="5" w:after="0" w:line="560" w:lineRule="atLeast"/>
        <w:widowControl w:val="off"/>
        <w:rPr>
          <w:rFonts w:ascii="宋体" w:hAnsi="宋体"/>
          <w:b/>
          <w:bCs/>
          <w:color w:val="auto"/>
          <w:sz w:val="24"/>
          <w:szCs w:val="24"/>
          <w:lang w:val="zh-CN"/>
        </w:rPr>
      </w:pPr>
      <w:r>
        <w:rPr>
          <w:rFonts w:hint="eastAsia" w:ascii="宋体" w:hAnsi="宋体"/>
          <w:b/>
          <w:bCs/>
          <w:color w:val="auto"/>
          <w:sz w:val="24"/>
          <w:szCs w:val="24"/>
        </w:rPr>
        <w:t xml:space="preserve">注：</w:t>
      </w:r>
      <w:bookmarkEnd w:id="147"/>
      <w:r/>
      <w:r/>
    </w:p>
    <w:p>
      <w:pPr>
        <w:ind w:firstLine="420"/>
        <w:jc w:val="both"/>
        <w:spacing w:after="0" w:line="400" w:lineRule="exact"/>
        <w:widowControl w:val="off"/>
        <w:rPr>
          <w:rFonts w:ascii="宋体" w:hAnsi="宋体" w:cs="Times New Roman"/>
          <w:bCs/>
          <w:color w:val="auto"/>
          <w:sz w:val="21"/>
          <w:szCs w:val="21"/>
        </w:rPr>
      </w:pPr>
      <w:r/>
      <w:bookmarkStart w:id="148" w:name="_Toc30305"/>
      <w:r>
        <w:rPr>
          <w:rFonts w:hint="eastAsia" w:ascii="宋体" w:hAnsi="宋体" w:cs="Times New Roman"/>
          <w:bCs/>
          <w:color w:val="auto"/>
          <w:sz w:val="21"/>
          <w:szCs w:val="21"/>
        </w:rPr>
        <w:t xml:space="preserve">（1）</w:t>
      </w:r>
      <w:bookmarkEnd w:id="148"/>
      <w:r/>
      <w:bookmarkStart w:id="149" w:name="_Toc26165"/>
      <w:r>
        <w:rPr>
          <w:rFonts w:hint="eastAsia" w:ascii="宋体" w:hAnsi="宋体" w:cs="Times New Roman"/>
          <w:bCs/>
          <w:color w:val="auto"/>
          <w:sz w:val="21"/>
          <w:szCs w:val="21"/>
        </w:rPr>
        <w:t xml:space="preserve">供应商应当根据“采购需求”的内容在上表中详细填写；</w:t>
      </w:r>
      <w:bookmarkEnd w:id="149"/>
      <w:r/>
      <w:r/>
    </w:p>
    <w:p>
      <w:pPr>
        <w:ind w:firstLine="420"/>
        <w:jc w:val="both"/>
        <w:spacing w:after="0" w:line="400" w:lineRule="exact"/>
        <w:widowControl w:val="off"/>
        <w:rPr>
          <w:rFonts w:ascii="宋体" w:hAnsi="宋体" w:cs="Times New Roman"/>
          <w:bCs/>
          <w:color w:val="auto"/>
          <w:sz w:val="21"/>
          <w:szCs w:val="21"/>
        </w:rPr>
      </w:pPr>
      <w:r/>
      <w:bookmarkStart w:id="150" w:name="_Toc26657"/>
      <w:r>
        <w:rPr>
          <w:rFonts w:hint="eastAsia" w:ascii="宋体" w:hAnsi="宋体" w:cs="Times New Roman"/>
          <w:bCs/>
          <w:color w:val="auto"/>
          <w:sz w:val="21"/>
          <w:szCs w:val="21"/>
        </w:rPr>
        <w:t xml:space="preserve">（2）表格不够可自行延长。</w:t>
      </w:r>
      <w:bookmarkEnd w:id="150"/>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bookmarkStart w:id="151" w:name="_Toc120614284"/>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、投标偏离表（给定格式）：</w:t>
      </w:r>
      <w:r/>
    </w:p>
    <w:p>
      <w:pPr>
        <w:jc w:val="center"/>
        <w:spacing w:line="360" w:lineRule="auto"/>
        <w:rPr>
          <w:rFonts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投标偏离表</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807"/>
        <w:tblW w:w="9365" w:type="dxa"/>
        <w:jc w:val="center"/>
        <w:tblLayout w:type="fixed"/>
        <w:tblCellMar>
          <w:left w:w="15" w:type="dxa"/>
          <w:top w:w="15" w:type="dxa"/>
          <w:right w:w="15" w:type="dxa"/>
          <w:bottom w:w="0" w:type="dxa"/>
        </w:tblCellMar>
        <w:tblLook w:val="04A0" w:firstRow="1" w:lastRow="0" w:firstColumn="1" w:lastColumn="0" w:noHBand="0" w:noVBand="1"/>
      </w:tblPr>
      <w:tblGrid>
        <w:gridCol w:w="1199"/>
        <w:gridCol w:w="1742"/>
        <w:gridCol w:w="2042"/>
        <w:gridCol w:w="1759"/>
        <w:gridCol w:w="2623"/>
      </w:tblGrid>
      <w:tr>
        <w:trPr>
          <w:cantSplit/>
          <w:jc w:val="center"/>
          <w:trHeight w:val="9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99" w:type="dxa"/>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投标货物名称</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招标技术要求</w:t>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投标货物技术指标描述</w:t>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选择项（正偏离、负偏离或符合）</w:t>
            </w:r>
            <w:r/>
          </w:p>
        </w:tc>
      </w:tr>
      <w:tr>
        <w:trPr>
          <w:cantSplit/>
          <w:jc w:val="center"/>
          <w:trHeight w:val="5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99" w:type="dxa"/>
            <w:vAlign w:val="center"/>
            <w:textDirection w:val="lrTb"/>
            <w:noWrap/>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注：（1）本表不得删除；</w:t>
      </w:r>
      <w:r/>
    </w:p>
    <w:p>
      <w:pPr>
        <w:ind w:firstLine="480"/>
        <w:spacing w:line="400" w:lineRule="exact"/>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（2）如无任何偏离，请于本表 “偏离说明”中注明“无偏离”；</w:t>
      </w:r>
      <w:r/>
    </w:p>
    <w:p>
      <w:pPr>
        <w:spacing w:line="400" w:lineRule="exact"/>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（3）如有任何偏离项，请于本表中列明偏离内容，如需要可自行延长，其余无偏离内容</w:t>
      </w:r>
      <w:r>
        <w:rPr>
          <w:rFonts w:hint="eastAsia" w:ascii="宋体" w:hAnsi="宋体" w:eastAsia="宋体" w:cs="宋体"/>
          <w:bCs/>
          <w:color w:val="auto"/>
          <w:sz w:val="24"/>
          <w:szCs w:val="24"/>
          <w:highlight w:val="none"/>
          <w:lang w:eastAsia="zh-CN"/>
        </w:rPr>
        <w:t xml:space="preserve">无需</w:t>
      </w:r>
      <w:r>
        <w:rPr>
          <w:rFonts w:hint="eastAsia" w:ascii="宋体" w:hAnsi="宋体" w:eastAsia="宋体" w:cs="宋体"/>
          <w:bCs/>
          <w:color w:val="auto"/>
          <w:sz w:val="24"/>
          <w:szCs w:val="24"/>
          <w:highlight w:val="none"/>
        </w:rPr>
        <w:t xml:space="preserve">赘述。</w:t>
      </w:r>
      <w:bookmarkEnd w:id="151"/>
      <w:r/>
      <w:bookmarkStart w:id="152" w:name="_格式2__法定代表人授权书"/>
      <w:r/>
      <w:bookmarkEnd w:id="152"/>
      <w:r/>
      <w:bookmarkStart w:id="153" w:name="_Hlt26671374"/>
      <w:r/>
      <w:bookmarkEnd w:id="153"/>
      <w:r/>
      <w:bookmarkStart w:id="154" w:name="_Hlt26955066"/>
      <w:r/>
      <w:bookmarkEnd w:id="154"/>
      <w:r/>
      <w:bookmarkStart w:id="155" w:name="_Hlt26609389"/>
      <w:r/>
      <w:bookmarkEnd w:id="155"/>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、授权委托书（给定格式）：</w:t>
      </w:r>
      <w:r/>
    </w:p>
    <w:p>
      <w:pPr>
        <w:jc w:val="center"/>
        <w:rPr>
          <w:rFonts w:ascii="宋体" w:hAnsi="宋体" w:cs="宋体"/>
          <w:bCs/>
          <w:color w:val="auto"/>
          <w:sz w:val="24"/>
          <w:highlight w:val="none"/>
          <w:shd w:val="clear" w:color="ffffff" w:fill="d9d9d9"/>
        </w:rPr>
        <w:outlineLvl w:val="9"/>
      </w:pPr>
      <w:r>
        <w:rPr>
          <w:rFonts w:hint="eastAsia" w:ascii="宋体" w:hAnsi="宋体" w:cs="宋体"/>
          <w:bCs/>
          <w:color w:val="auto"/>
          <w:sz w:val="28"/>
          <w:szCs w:val="28"/>
          <w:highlight w:val="none"/>
        </w:rPr>
        <w:t xml:space="preserve">授权委托书</w:t>
      </w:r>
      <w:r/>
    </w:p>
    <w:p>
      <w:pPr>
        <w:pStyle w:val="1232"/>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我公司（单位、联合体）针对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232"/>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被授权人的姓名：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；性别：</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；年龄：</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；职务：</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pStyle w:val="1232"/>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被授权人的身份证号码：</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；联系方式：</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pStyle w:val="1232"/>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232"/>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232"/>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特此授权委托。</w:t>
      </w:r>
      <w:r/>
    </w:p>
    <w:p>
      <w:pPr>
        <w:pStyle w:val="1232"/>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授权日期：</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                投标人名称（盖章）：</w:t>
      </w:r>
      <w:r/>
    </w:p>
    <w:p>
      <w:pPr>
        <w:pStyle w:val="1232"/>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法定代表人签字或盖章：</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被授权人签字或盖章：</w:t>
      </w:r>
      <w:r>
        <w:rPr>
          <w:rFonts w:hint="eastAsia" w:ascii="宋体" w:hAnsi="宋体" w:cs="宋体"/>
          <w:bCs/>
          <w:color w:val="auto"/>
          <w:sz w:val="24"/>
          <w:szCs w:val="24"/>
          <w:highlight w:val="none"/>
          <w:u w:val="single"/>
        </w:rPr>
        <w:t xml:space="preserve">        </w:t>
      </w:r>
      <w:r/>
    </w:p>
    <w:p>
      <w:pPr>
        <w:pStyle w:val="123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（被授权人身份证原件扫描件附后）</w:t>
      </w:r>
      <w:r/>
    </w:p>
    <w:p>
      <w:pPr>
        <w:pStyle w:val="1232"/>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说明：</w:t>
      </w:r>
      <w:r/>
    </w:p>
    <w:p>
      <w:pPr>
        <w:pStyle w:val="1232"/>
        <w:numPr>
          <w:ilvl w:val="0"/>
          <w:numId w:val="14"/>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若投标人为事业单位或其他组织或分支机构，则法定代表人处的签字人可为单位负责人。</w:t>
      </w:r>
      <w:r/>
    </w:p>
    <w:p>
      <w:pPr>
        <w:pStyle w:val="1232"/>
        <w:numPr>
          <w:ilvl w:val="0"/>
          <w:numId w:val="14"/>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当被授权人为法定代表人（或上述情况的单位负责人）时，只需在法定代表人处签字或盖章即可。</w:t>
      </w:r>
      <w:r/>
    </w:p>
    <w:p>
      <w:pPr>
        <w:pStyle w:val="1232"/>
        <w:numPr>
          <w:ilvl w:val="0"/>
          <w:numId w:val="14"/>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供应商为自然人情形的，可不提供本《授权委托书》。</w:t>
      </w:r>
      <w:r/>
    </w:p>
    <w:p>
      <w:pPr>
        <w:jc w:val="left"/>
        <w:spacing w:line="360" w:lineRule="auto"/>
        <w:rPr>
          <w:rFonts w:ascii="黑体" w:eastAsia="黑体"/>
          <w:bCs/>
          <w:color w:val="auto"/>
          <w:sz w:val="28"/>
          <w:szCs w:val="28"/>
          <w:highlight w:val="none"/>
        </w:rPr>
        <w:outlineLvl w:val="9"/>
      </w:pPr>
      <w:r>
        <w:rPr>
          <w:rFonts w:hint="eastAsia" w:ascii="宋体" w:hAnsi="宋体" w:cs="宋体"/>
          <w:bCs/>
          <w:color w:val="auto"/>
          <w:sz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jc w:val="center"/>
        <w:rPr>
          <w:rFonts w:hint="eastAsia"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法定代表人亲自投标声明（如需）</w:t>
      </w:r>
      <w:r/>
    </w:p>
    <w:p>
      <w:pPr>
        <w:rPr>
          <w:color w:val="auto"/>
        </w:rPr>
      </w:pPr>
      <w:r>
        <w:rPr>
          <w:color w:val="auto"/>
        </w:rPr>
      </w:r>
      <w:r/>
    </w:p>
    <w:p>
      <w:pPr>
        <w:ind w:left="1470" w:right="1470"/>
        <w:spacing w:after="120"/>
        <w:rPr>
          <w:color w:val="auto"/>
        </w:rPr>
      </w:pPr>
      <w:r>
        <w:rPr>
          <w:color w:val="auto"/>
        </w:rPr>
      </w:r>
      <w:r/>
    </w:p>
    <w:p>
      <w:pPr>
        <w:spacing w:line="480" w:lineRule="auto"/>
        <w:rPr>
          <w:rFonts w:ascii="宋体" w:hAnsi="宋体"/>
          <w:bCs/>
          <w:color w:val="auto"/>
          <w:sz w:val="24"/>
          <w:szCs w:val="20"/>
        </w:rPr>
      </w:pPr>
      <w:r>
        <w:rPr>
          <w:rFonts w:hint="eastAsia" w:ascii="宋体" w:hAnsi="宋体"/>
          <w:bCs/>
          <w:color w:val="auto"/>
          <w:sz w:val="24"/>
          <w:szCs w:val="20"/>
        </w:rPr>
        <w:t xml:space="preserve">无锡市建汇建设工程咨询事务所有限公司：</w:t>
      </w:r>
      <w:r/>
    </w:p>
    <w:p>
      <w:pPr>
        <w:ind w:firstLine="480"/>
        <w:spacing w:after="0" w:line="480" w:lineRule="auto"/>
        <w:rPr>
          <w:rFonts w:ascii="宋体" w:hAnsi="宋体"/>
          <w:bCs/>
          <w:color w:val="auto"/>
          <w:sz w:val="24"/>
          <w:szCs w:val="24"/>
          <w:u w:val="single"/>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系中华人民共和国合法企业。法定地址：</w:t>
      </w:r>
      <w:r>
        <w:rPr>
          <w:rFonts w:hint="eastAsia" w:ascii="宋体" w:hAnsi="宋体"/>
          <w:bCs/>
          <w:color w:val="auto"/>
          <w:sz w:val="24"/>
          <w:szCs w:val="24"/>
          <w:u w:val="single"/>
        </w:rPr>
        <w:t xml:space="preserve">　　　　　</w:t>
      </w:r>
      <w:r/>
    </w:p>
    <w:p>
      <w:pPr>
        <w:spacing w:after="0" w:line="480" w:lineRule="auto"/>
        <w:rPr>
          <w:rFonts w:ascii="宋体" w:hAnsi="宋体"/>
          <w:bCs/>
          <w:color w:val="auto"/>
          <w:sz w:val="24"/>
          <w:szCs w:val="24"/>
        </w:rPr>
      </w:pPr>
      <w:r>
        <w:rPr>
          <w:rFonts w:hint="eastAsia" w:ascii="宋体" w:hAnsi="宋体"/>
          <w:bCs/>
          <w:color w:val="auto"/>
          <w:sz w:val="24"/>
          <w:szCs w:val="24"/>
          <w:u w:val="single"/>
        </w:rPr>
        <w:t xml:space="preserve">　　　　             </w:t>
      </w:r>
      <w:r>
        <w:rPr>
          <w:rFonts w:hint="eastAsia" w:ascii="宋体" w:hAnsi="宋体"/>
          <w:bCs/>
          <w:color w:val="auto"/>
          <w:sz w:val="24"/>
          <w:szCs w:val="24"/>
        </w:rPr>
        <w:t xml:space="preserve">。本项目（</w:t>
      </w:r>
      <w:r>
        <w:rPr>
          <w:rFonts w:hint="eastAsia" w:ascii="宋体" w:hAnsi="宋体"/>
          <w:b/>
          <w:color w:val="auto"/>
          <w:sz w:val="24"/>
          <w:szCs w:val="24"/>
        </w:rPr>
        <w:t xml:space="preserve">JSZC-320292-WXJH-G2026-0004</w:t>
      </w:r>
      <w:r>
        <w:rPr>
          <w:rFonts w:hint="eastAsia" w:ascii="宋体" w:hAnsi="宋体"/>
          <w:bCs/>
          <w:color w:val="auto"/>
          <w:sz w:val="24"/>
          <w:szCs w:val="24"/>
        </w:rPr>
        <w:t xml:space="preserve">）由我单位法定代表人亲自参加投标、评标、签约等具体工作，并签署全部有关的文件、协议及合同。</w:t>
      </w:r>
      <w:r/>
    </w:p>
    <w:p>
      <w:pPr>
        <w:ind w:left="1470" w:right="1470"/>
        <w:spacing w:after="120"/>
        <w:rPr>
          <w:color w:val="auto"/>
        </w:rPr>
      </w:pPr>
      <w:r>
        <w:rPr>
          <w:color w:val="auto"/>
        </w:rPr>
      </w:r>
      <w:r/>
    </w:p>
    <w:p>
      <w:pPr>
        <w:ind w:firstLine="480"/>
        <w:spacing w:line="400" w:lineRule="exact"/>
        <w:rPr>
          <w:rFonts w:ascii="宋体" w:hAnsi="宋体"/>
          <w:bCs/>
          <w:color w:val="auto"/>
          <w:sz w:val="24"/>
        </w:rPr>
      </w:pPr>
      <w:r>
        <w:rPr>
          <w:rFonts w:hint="eastAsia" w:ascii="宋体" w:hAnsi="宋体"/>
          <w:bCs/>
          <w:color w:val="auto"/>
          <w:sz w:val="24"/>
        </w:rPr>
        <w:t xml:space="preserve">法定代表人情况：</w:t>
      </w:r>
      <w:r/>
    </w:p>
    <w:p>
      <w:pPr>
        <w:ind w:firstLine="525"/>
        <w:spacing w:after="0" w:line="360" w:lineRule="auto"/>
        <w:rPr>
          <w:rFonts w:ascii="宋体" w:hAnsi="宋体"/>
          <w:bCs/>
          <w:color w:val="auto"/>
          <w:sz w:val="24"/>
          <w:szCs w:val="24"/>
        </w:rPr>
      </w:pPr>
      <w:r>
        <w:rPr>
          <w:rFonts w:hint="eastAsia" w:ascii="宋体" w:hAnsi="宋体"/>
          <w:bCs/>
          <w:color w:val="auto"/>
          <w:sz w:val="24"/>
          <w:szCs w:val="24"/>
        </w:rPr>
        <w:t xml:space="preserve">姓名：                        性别：       </w:t>
      </w:r>
      <w:r/>
    </w:p>
    <w:p>
      <w:pPr>
        <w:ind w:firstLine="525"/>
        <w:spacing w:after="0" w:line="360" w:lineRule="auto"/>
        <w:rPr>
          <w:rFonts w:ascii="宋体" w:hAnsi="宋体"/>
          <w:bCs/>
          <w:color w:val="auto"/>
          <w:sz w:val="24"/>
          <w:szCs w:val="24"/>
        </w:rPr>
      </w:pPr>
      <w:r>
        <w:rPr>
          <w:rFonts w:hint="eastAsia" w:ascii="宋体" w:hAnsi="宋体"/>
          <w:bCs/>
          <w:color w:val="auto"/>
          <w:sz w:val="24"/>
          <w:szCs w:val="24"/>
        </w:rPr>
        <w:t xml:space="preserve">身份证件号码：                电话：</w:t>
      </w:r>
      <w:r/>
    </w:p>
    <w:p>
      <w:pPr>
        <w:ind w:firstLine="480"/>
        <w:spacing w:line="400" w:lineRule="exact"/>
        <w:rPr>
          <w:rFonts w:ascii="宋体" w:hAnsi="宋体"/>
          <w:bCs/>
          <w:color w:val="auto"/>
          <w:sz w:val="24"/>
        </w:rPr>
      </w:pPr>
      <w:r>
        <w:rPr>
          <w:rFonts w:hint="eastAsia" w:ascii="宋体" w:hAnsi="宋体"/>
          <w:bCs/>
          <w:color w:val="auto"/>
          <w:sz w:val="24"/>
        </w:rPr>
        <w:t xml:space="preserve">通讯地址：</w:t>
      </w:r>
      <w:r/>
    </w:p>
    <w:p>
      <w:pPr>
        <w:ind w:left="1470" w:right="1470"/>
        <w:spacing w:after="120"/>
        <w:rPr>
          <w:color w:val="auto"/>
        </w:rPr>
      </w:pPr>
      <w:r>
        <w:rPr>
          <w:color w:val="auto"/>
        </w:rPr>
      </w:r>
      <w:r/>
    </w:p>
    <w:p>
      <w:pPr>
        <w:ind w:left="1470" w:right="1470"/>
        <w:spacing w:after="120"/>
        <w:rPr>
          <w:color w:val="auto"/>
        </w:rPr>
      </w:pPr>
      <w:r>
        <w:rPr>
          <w:color w:val="auto"/>
        </w:rPr>
      </w:r>
      <w:r/>
    </w:p>
    <w:p>
      <w:pPr>
        <w:ind w:right="480" w:firstLine="3480"/>
        <w:spacing w:line="400" w:lineRule="exact"/>
        <w:rPr>
          <w:rFonts w:ascii="宋体" w:hAnsi="宋体"/>
          <w:bCs/>
          <w:color w:val="auto"/>
          <w:sz w:val="24"/>
        </w:rPr>
      </w:pPr>
      <w:r>
        <w:rPr>
          <w:rFonts w:hint="eastAsia" w:ascii="宋体" w:hAnsi="宋体"/>
          <w:bCs/>
          <w:color w:val="auto"/>
          <w:sz w:val="24"/>
        </w:rPr>
        <w:t xml:space="preserve">单位名称（盖章）：</w:t>
      </w:r>
      <w:r/>
    </w:p>
    <w:p>
      <w:pPr>
        <w:ind w:right="480" w:firstLine="2520"/>
        <w:spacing w:line="400" w:lineRule="exact"/>
        <w:rPr>
          <w:rFonts w:ascii="宋体" w:hAnsi="宋体"/>
          <w:bCs/>
          <w:color w:val="auto"/>
          <w:sz w:val="24"/>
        </w:rPr>
      </w:pPr>
      <w:r>
        <w:rPr>
          <w:rFonts w:hint="eastAsia" w:ascii="宋体" w:hAnsi="宋体"/>
          <w:bCs/>
          <w:color w:val="auto"/>
          <w:sz w:val="24"/>
        </w:rPr>
        <w:t xml:space="preserve">法定代表人（签名或盖章）：</w:t>
      </w:r>
      <w:r/>
    </w:p>
    <w:p>
      <w:pPr>
        <w:pStyle w:val="1232"/>
        <w:ind w:firstLine="2383"/>
        <w:jc w:val="left"/>
        <w:keepLines w:val="0"/>
        <w:keepNext w:val="0"/>
        <w:pageBreakBefore w:val="0"/>
        <w:spacing w:line="400" w:lineRule="exact"/>
        <w:widowControl w:val="off"/>
        <w:rPr>
          <w:rFonts w:hint="eastAsia" w:ascii="宋体" w:hAnsi="宋体" w:eastAsia="Arial" w:cs="Times New Roman"/>
          <w:bCs/>
          <w:color w:val="auto"/>
          <w:sz w:val="24"/>
          <w:szCs w:val="22"/>
          <w:lang w:val="en-US" w:eastAsia="zh-CN" w:bidi="ar-SA"/>
        </w:rPr>
      </w:pPr>
      <w:r>
        <w:rPr>
          <w:rFonts w:hint="eastAsia" w:ascii="宋体" w:hAnsi="宋体" w:eastAsia="Arial" w:cs="Times New Roman"/>
          <w:bCs/>
          <w:color w:val="auto"/>
          <w:sz w:val="24"/>
          <w:szCs w:val="22"/>
          <w:lang w:val="en-US" w:eastAsia="zh-CN" w:bidi="ar-SA"/>
        </w:rPr>
        <w:t xml:space="preserve">（法定代表人身份证原件扫描件附后）</w:t>
      </w:r>
      <w:r/>
    </w:p>
    <w:p>
      <w:pPr>
        <w:pStyle w:val="1232"/>
        <w:ind w:firstLine="0"/>
        <w:rPr>
          <w:rFonts w:ascii="宋体" w:hAnsi="宋体" w:cs="宋体"/>
          <w:b/>
          <w:color w:val="auto"/>
          <w:szCs w:val="28"/>
          <w:highlight w:val="none"/>
        </w:rPr>
        <w:outlineLvl w:val="2"/>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lang w:val="en-US" w:eastAsia="zh-CN"/>
        </w:rPr>
        <w:t xml:space="preserve">八</w:t>
      </w:r>
      <w:r>
        <w:rPr>
          <w:rFonts w:hint="eastAsia" w:ascii="宋体" w:hAnsi="宋体" w:cs="宋体"/>
          <w:b/>
          <w:color w:val="auto"/>
          <w:szCs w:val="28"/>
          <w:highlight w:val="none"/>
        </w:rPr>
        <w:t xml:space="preserve">、资格声明函（给定格式）：</w:t>
      </w:r>
      <w:r/>
    </w:p>
    <w:p>
      <w:pPr>
        <w:jc w:val="center"/>
        <w:rPr>
          <w:rFonts w:ascii="宋体" w:hAnsi="宋体" w:eastAsia="宋体" w:cs="宋体"/>
          <w:bCs/>
          <w:color w:val="auto"/>
          <w:sz w:val="28"/>
          <w:szCs w:val="28"/>
          <w:highlight w:val="none"/>
        </w:rPr>
        <w:outlineLvl w:val="9"/>
      </w:pPr>
      <w:r/>
      <w:bookmarkStart w:id="156" w:name="报价方关于资格的声明函（格式）"/>
      <w:r/>
      <w:bookmarkEnd w:id="156"/>
      <w:r>
        <w:rPr>
          <w:rFonts w:hint="eastAsia" w:ascii="宋体" w:hAnsi="宋体" w:eastAsia="宋体" w:cs="宋体"/>
          <w:bCs/>
          <w:color w:val="auto"/>
          <w:sz w:val="28"/>
          <w:szCs w:val="28"/>
          <w:highlight w:val="none"/>
        </w:rPr>
        <w:t xml:space="preserve">资格声明函</w:t>
      </w:r>
      <w:r/>
    </w:p>
    <w:p>
      <w:pPr>
        <w:jc w:val="cente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无锡市建汇建设工程咨询事务所有限公司：</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我公司（单位、联合体）针对本次项目进行投标，并作如下声明</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left"/>
        <w:spacing w:line="360" w:lineRule="auto"/>
        <w:rPr>
          <w:rFonts w:ascii="宋体" w:hAnsi="宋体" w:eastAsia="宋体" w:cs="宋体"/>
          <w:bCs/>
          <w:color w:val="auto"/>
          <w:highlight w:val="none"/>
        </w:rPr>
      </w:pPr>
      <w:r>
        <w:rPr>
          <w:rFonts w:hint="eastAsia" w:ascii="宋体" w:hAnsi="宋体" w:eastAsia="宋体" w:cs="宋体"/>
          <w:color w:val="auto"/>
          <w:sz w:val="24"/>
          <w:highlight w:val="none"/>
        </w:rPr>
        <w:t xml:space="preserve">日期： </w:t>
      </w:r>
      <w:r/>
    </w:p>
    <w:p>
      <w:pPr>
        <w:spacing w:line="360" w:lineRule="auto"/>
        <w:rPr>
          <w:rFonts w:ascii="宋体" w:hAnsi="宋体" w:eastAsia="宋体" w:cs="宋体"/>
          <w:bCs/>
          <w:color w:val="auto"/>
          <w:highlight w:val="none"/>
        </w:rPr>
        <w:outlineLvl w:val="9"/>
      </w:pPr>
      <w:r>
        <w:rPr>
          <w:rFonts w:ascii="宋体" w:hAnsi="宋体" w:eastAsia="宋体" w:cs="宋体"/>
          <w:bCs/>
          <w:color w:val="auto"/>
          <w:highlight w:val="none"/>
        </w:rPr>
      </w:r>
      <w:r/>
    </w:p>
    <w:p>
      <w:pPr>
        <w:spacing w:line="360" w:lineRule="auto"/>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p>
    <w:p>
      <w:pPr>
        <w:rPr>
          <w:rFonts w:ascii="宋体" w:hAnsi="宋体" w:eastAsia="宋体" w:cs="宋体"/>
          <w:b/>
          <w:color w:val="auto"/>
          <w:sz w:val="28"/>
          <w:szCs w:val="28"/>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中小企业声明函（给定格式）： </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中小企业声明函</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本公司（联合体）郑重声明，根据《政府采购促进中小企业发展管理办法》(财库〔2020〕46号)的规定，本公司（联合体）参加无锡市建汇建设工程咨询事务所有限公司组织的</w:t>
      </w:r>
      <w:r>
        <w:rPr>
          <w:rFonts w:hint="eastAsia" w:ascii="宋体" w:hAnsi="宋体"/>
          <w:sz w:val="24"/>
          <w:szCs w:val="24"/>
          <w:u w:val="single"/>
        </w:rPr>
        <w:t xml:space="preserve">（单位名称）</w:t>
      </w:r>
      <w:r>
        <w:rPr>
          <w:rFonts w:hint="eastAsia" w:ascii="宋体" w:hAnsi="宋体" w:eastAsia="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采购编号为</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（项目名称）      </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keepLines w:val="0"/>
        <w:keepNext w:val="0"/>
        <w:pageBreakBefore w:val="0"/>
        <w:spacing w:line="360" w:lineRule="auto"/>
        <w:widowControl w:val="off"/>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keepLines w:val="0"/>
        <w:keepNext w:val="0"/>
        <w:pageBreakBefore w:val="0"/>
        <w:spacing w:line="360" w:lineRule="auto"/>
        <w:widowControl w:val="off"/>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本企业对上述声明内容的真实性负责。如有虚假，将依法承担相应责任</w:t>
      </w:r>
      <w:r>
        <w:rPr>
          <w:rFonts w:hint="eastAsia" w:ascii="宋体" w:hAnsi="宋体" w:eastAsia="宋体"/>
          <w:sz w:val="24"/>
          <w:szCs w:val="24"/>
          <w:lang w:eastAsia="zh-CN"/>
        </w:rPr>
        <w:t xml:space="preserve">。</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jc w:val="right"/>
        <w:spacing w:line="400" w:lineRule="exact"/>
        <w:rPr>
          <w:rFonts w:hint="eastAsia" w:ascii="宋体" w:hAnsi="宋体"/>
          <w:sz w:val="24"/>
          <w:szCs w:val="24"/>
        </w:rPr>
      </w:pPr>
      <w:r>
        <w:rPr>
          <w:rFonts w:hint="eastAsia" w:ascii="宋体" w:hAnsi="宋体"/>
          <w:sz w:val="24"/>
          <w:szCs w:val="24"/>
        </w:rPr>
        <w:t xml:space="preserve">日  期：</w:t>
      </w:r>
      <w:r/>
    </w:p>
    <w:p>
      <w:pPr>
        <w:ind w:firstLine="420"/>
        <w:spacing w:line="360" w:lineRule="auto"/>
        <w:rPr>
          <w:rFonts w:hint="eastAsia"/>
          <w:color w:val="auto"/>
          <w:highlight w:val="none"/>
        </w:rPr>
      </w:pPr>
      <w:r>
        <w:rPr>
          <w:rFonts w:hint="eastAsia"/>
          <w:color w:val="auto"/>
          <w:highlight w:val="none"/>
        </w:rPr>
      </w:r>
      <w:r/>
    </w:p>
    <w:p>
      <w:pPr>
        <w:ind w:firstLine="420"/>
        <w:spacing w:line="360" w:lineRule="auto"/>
        <w:rPr>
          <w:rFonts w:hint="eastAsia"/>
          <w:color w:val="auto"/>
          <w:highlight w:val="none"/>
        </w:rPr>
      </w:pPr>
      <w:r>
        <w:rPr>
          <w:rFonts w:hint="eastAsia"/>
          <w:color w:val="auto"/>
          <w:highlight w:val="none"/>
        </w:rPr>
        <w:t xml:space="preserve">注：1.从业人员、营业收入、资产总额填报2024年度或2025年度数据，无2025年度数据的新成立企业可不填报。</w:t>
      </w:r>
      <w:r/>
    </w:p>
    <w:p>
      <w:pPr>
        <w:ind w:firstLine="420"/>
        <w:spacing w:line="360" w:lineRule="auto"/>
        <w:rPr>
          <w:rFonts w:hint="eastAsia"/>
          <w:color w:val="auto"/>
          <w:highlight w:val="none"/>
        </w:rPr>
      </w:pPr>
      <w:r>
        <w:rPr>
          <w:rFonts w:hint="eastAsia"/>
          <w:color w:val="auto"/>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20"/>
        <w:spacing w:line="360" w:lineRule="auto"/>
        <w:rPr>
          <w:rFonts w:hint="eastAsia"/>
          <w:color w:val="auto"/>
          <w:highlight w:val="none"/>
        </w:rPr>
      </w:pPr>
      <w:r>
        <w:rPr>
          <w:rFonts w:hint="eastAsia"/>
          <w:color w:val="auto"/>
          <w:highlight w:val="none"/>
        </w:rPr>
        <w:t xml:space="preserve">3.供应商应对照《工业和信息化部、国家统计局、国家发展和改革委员会、</w:t>
      </w:r>
      <w:r/>
    </w:p>
    <w:p>
      <w:pPr>
        <w:ind w:firstLine="420"/>
        <w:spacing w:line="360" w:lineRule="auto"/>
        <w:rPr>
          <w:rFonts w:hint="eastAsia"/>
          <w:color w:val="auto"/>
          <w:highlight w:val="none"/>
        </w:rPr>
      </w:pPr>
      <w:r>
        <w:rPr>
          <w:rFonts w:hint="eastAsia"/>
          <w:color w:val="auto"/>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firstLine="420"/>
        <w:spacing w:line="360" w:lineRule="auto"/>
        <w:rPr>
          <w:rFonts w:hint="eastAsia" w:eastAsia="宋体"/>
          <w:color w:val="auto"/>
          <w:highlight w:val="none"/>
        </w:rPr>
      </w:pPr>
      <w:r>
        <w:rPr>
          <w:rFonts w:hint="eastAsia"/>
          <w:color w:val="auto"/>
          <w:highlight w:val="none"/>
        </w:rPr>
        <w:t xml:space="preserve">在政府采购活动中，供应商提供的货物符合下列情形的，享受本办法规定的中小企业扶持政策：货物由中小企业制造，即货物由中小企业生产且使用该中小企业商号或者注册商标。（即本项目采购标的物共计60项（详见第四章采购需求“第一部分项目技术要求”、“一、采购标的清单”），每一采购标的均应由中小企业制造。）</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rPr>
        <w:t xml:space="preserve">、残疾人福利性单位声明函（给定格式）：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left="0" w:firstLine="0"/>
        <w:spacing w:line="400" w:lineRule="exact"/>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十一、项目人员配置表（格式）</w:t>
      </w:r>
      <w:r/>
    </w:p>
    <w:p>
      <w:pPr>
        <w:jc w:val="center"/>
        <w:spacing w:line="360" w:lineRule="auto"/>
        <w:rPr>
          <w:rFonts w:ascii="宋体" w:hAnsi="宋体" w:eastAsia="宋体" w:cs="宋体"/>
          <w:bCs/>
          <w:color w:val="auto"/>
          <w:sz w:val="24"/>
          <w:szCs w:val="24"/>
          <w:highlight w:val="none"/>
        </w:rPr>
        <w:outlineLvl w:val="9"/>
      </w:pPr>
      <w:r>
        <w:rPr>
          <w:rFonts w:hint="eastAsia" w:ascii="宋体" w:hAnsi="宋体" w:eastAsia="宋体" w:cs="宋体"/>
          <w:bCs/>
          <w:color w:val="auto"/>
          <w:sz w:val="28"/>
          <w:szCs w:val="28"/>
          <w:highlight w:val="none"/>
        </w:rPr>
        <w:t xml:space="preserve">拟派项目人员配置表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807"/>
        <w:tblW w:w="101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2773"/>
      </w:tblGrid>
      <w:tr>
        <w:trPr>
          <w:trHeight w:val="865"/>
        </w:trPr>
        <w:tc>
          <w:tcPr>
            <w:tcW w:w="596"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097"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762"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2134"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人员证书名称或职称</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专业</w:t>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7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注：本表对应项目人员配置情况，表格不够可自行延长。</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br w:type="page" w:clear="all"/>
      </w:r>
      <w:r/>
    </w:p>
    <w:p>
      <w:pPr>
        <w:ind w:left="0" w:firstLine="0"/>
        <w:spacing w:line="400" w:lineRule="exact"/>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、关于符合本国产品标准的声明函（格式）</w:t>
      </w:r>
      <w:r/>
    </w:p>
    <w:p>
      <w:pPr>
        <w:jc w:val="center"/>
        <w:spacing w:line="360" w:lineRule="auto"/>
        <w:rPr>
          <w:rFonts w:hint="eastAsia" w:ascii="黑体" w:hAnsi="Times New Roman" w:eastAsia="黑体" w:cs="黑体"/>
          <w:color w:val="auto"/>
          <w:sz w:val="28"/>
          <w:szCs w:val="28"/>
        </w:rPr>
      </w:pPr>
      <w:r>
        <w:rPr>
          <w:rFonts w:hint="eastAsia" w:ascii="黑体" w:hAnsi="Times New Roman" w:eastAsia="黑体" w:cs="黑体"/>
          <w:color w:val="auto"/>
          <w:sz w:val="28"/>
          <w:szCs w:val="28"/>
        </w:rPr>
      </w:r>
      <w:r/>
    </w:p>
    <w:p>
      <w:pPr>
        <w:jc w:val="center"/>
        <w:spacing w:line="360" w:lineRule="auto"/>
        <w:rPr>
          <w:rFonts w:ascii="黑体" w:hAnsi="Times New Roman" w:eastAsia="黑体" w:cs="黑体"/>
          <w:color w:val="auto"/>
          <w:sz w:val="28"/>
          <w:szCs w:val="28"/>
        </w:rPr>
      </w:pPr>
      <w:r>
        <w:rPr>
          <w:rFonts w:hint="eastAsia" w:ascii="黑体" w:hAnsi="Times New Roman" w:eastAsia="黑体" w:cs="黑体"/>
          <w:color w:val="auto"/>
          <w:sz w:val="28"/>
          <w:szCs w:val="28"/>
        </w:rPr>
        <w:t xml:space="preserve">关于符合本国产品标准的声明函</w:t>
      </w:r>
      <w:r/>
    </w:p>
    <w:p>
      <w:pPr>
        <w:ind w:firstLine="560"/>
        <w:spacing w:line="480" w:lineRule="auto"/>
        <w:rPr>
          <w:rFonts w:ascii="宋体" w:hAnsi="宋体"/>
          <w:bCs/>
          <w:color w:val="auto"/>
          <w:sz w:val="24"/>
          <w:szCs w:val="24"/>
        </w:rPr>
      </w:pPr>
      <w:r>
        <w:rPr>
          <w:rFonts w:hint="eastAsia" w:ascii="宋体" w:hAnsi="宋体"/>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480" w:lineRule="auto"/>
        <w:rPr>
          <w:rFonts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u w:val="single"/>
        </w:rPr>
        <w:t xml:space="preserve">（产品名称1）</w:t>
      </w:r>
      <w:r>
        <w:rPr>
          <w:rFonts w:hint="eastAsia" w:ascii="宋体" w:hAnsi="宋体"/>
          <w:b/>
          <w:color w:val="auto"/>
          <w:sz w:val="24"/>
          <w:szCs w:val="24"/>
          <w:u w:val="single"/>
          <w:vertAlign w:val="superscript"/>
        </w:rPr>
        <w:t xml:space="preserve">1</w:t>
      </w:r>
      <w:r>
        <w:rPr>
          <w:rFonts w:hint="eastAsia" w:ascii="宋体" w:hAnsi="宋体"/>
          <w:bCs/>
          <w:color w:val="auto"/>
          <w:sz w:val="24"/>
          <w:szCs w:val="24"/>
        </w:rPr>
        <w:t xml:space="preserve">，生产厂为</w:t>
      </w:r>
      <w:r>
        <w:rPr>
          <w:rFonts w:hint="eastAsia" w:ascii="宋体" w:hAnsi="宋体"/>
          <w:bCs/>
          <w:color w:val="auto"/>
          <w:sz w:val="24"/>
          <w:szCs w:val="24"/>
          <w:u w:val="single"/>
        </w:rPr>
        <w:t xml:space="preserve">（厂名）</w:t>
      </w:r>
      <w:r>
        <w:rPr>
          <w:rFonts w:hint="eastAsia" w:ascii="宋体" w:hAnsi="宋体"/>
          <w:b/>
          <w:color w:val="auto"/>
          <w:sz w:val="24"/>
          <w:szCs w:val="24"/>
          <w:u w:val="single"/>
          <w:vertAlign w:val="superscript"/>
        </w:rPr>
        <w:t xml:space="preserve">2</w:t>
      </w:r>
      <w:r>
        <w:rPr>
          <w:rFonts w:hint="eastAsia" w:ascii="宋体" w:hAnsi="宋体"/>
          <w:bCs/>
          <w:color w:val="auto"/>
          <w:sz w:val="24"/>
          <w:szCs w:val="24"/>
        </w:rPr>
        <w:t xml:space="preserve">，厂址为</w:t>
      </w:r>
      <w:r>
        <w:rPr>
          <w:rFonts w:hint="eastAsia" w:ascii="宋体" w:hAnsi="宋体"/>
          <w:bCs/>
          <w:color w:val="auto"/>
          <w:sz w:val="24"/>
          <w:szCs w:val="24"/>
          <w:u w:val="single"/>
        </w:rPr>
        <w:t xml:space="preserve">（生产厂址）</w:t>
      </w:r>
      <w:r>
        <w:rPr>
          <w:rFonts w:hint="eastAsia" w:ascii="宋体" w:hAnsi="宋体"/>
          <w:bCs/>
          <w:color w:val="auto"/>
          <w:sz w:val="24"/>
          <w:szCs w:val="24"/>
        </w:rPr>
        <w:t xml:space="preserve">。</w:t>
      </w:r>
      <w:r>
        <w:rPr>
          <w:rFonts w:hint="eastAsia" w:ascii="宋体" w:hAnsi="宋体"/>
          <w:bCs/>
          <w:color w:val="auto"/>
          <w:sz w:val="24"/>
          <w:szCs w:val="24"/>
          <w:u w:val="single"/>
        </w:rPr>
        <w:t xml:space="preserve">（产品名称1）</w:t>
      </w:r>
      <w:r>
        <w:rPr>
          <w:rFonts w:hint="eastAsia" w:ascii="宋体" w:hAnsi="宋体"/>
          <w:bCs/>
          <w:color w:val="auto"/>
          <w:sz w:val="24"/>
          <w:szCs w:val="24"/>
        </w:rPr>
        <w:t xml:space="preserve">的中国境内生产的组件成本占比≥</w:t>
      </w:r>
      <w:r>
        <w:rPr>
          <w:rFonts w:hint="eastAsia" w:ascii="宋体" w:hAnsi="宋体"/>
          <w:bCs/>
          <w:color w:val="auto"/>
          <w:sz w:val="24"/>
          <w:szCs w:val="24"/>
          <w:u w:val="single"/>
        </w:rPr>
        <w:t xml:space="preserve">（规定比例）</w:t>
      </w:r>
      <w:r>
        <w:rPr>
          <w:rFonts w:hint="eastAsia" w:ascii="宋体" w:hAnsi="宋体"/>
          <w:b/>
          <w:color w:val="auto"/>
          <w:sz w:val="24"/>
          <w:szCs w:val="24"/>
          <w:u w:val="single"/>
          <w:vertAlign w:val="superscript"/>
        </w:rPr>
        <w:t xml:space="preserve">3</w:t>
      </w:r>
      <w:r>
        <w:rPr>
          <w:rFonts w:hint="eastAsia" w:ascii="宋体" w:hAnsi="宋体"/>
          <w:bCs/>
          <w:color w:val="auto"/>
          <w:sz w:val="24"/>
          <w:szCs w:val="24"/>
        </w:rPr>
        <w:t xml:space="preserve">。</w:t>
      </w:r>
      <w:r>
        <w:rPr>
          <w:rFonts w:hint="eastAsia" w:ascii="宋体" w:hAnsi="宋体"/>
          <w:bCs/>
          <w:color w:val="auto"/>
          <w:sz w:val="24"/>
          <w:szCs w:val="24"/>
          <w:u w:val="single"/>
        </w:rPr>
        <w:t xml:space="preserve">（产品名称1）</w:t>
      </w:r>
      <w:r>
        <w:rPr>
          <w:rFonts w:hint="eastAsia" w:ascii="宋体" w:hAnsi="宋体"/>
          <w:bCs/>
          <w:color w:val="auto"/>
          <w:sz w:val="24"/>
          <w:szCs w:val="24"/>
        </w:rPr>
        <w:t xml:space="preserve">的</w:t>
      </w:r>
      <w:r>
        <w:rPr>
          <w:rFonts w:hint="eastAsia" w:ascii="宋体" w:hAnsi="宋体"/>
          <w:bCs/>
          <w:color w:val="auto"/>
          <w:sz w:val="24"/>
          <w:szCs w:val="24"/>
          <w:u w:val="single"/>
        </w:rPr>
        <w:t xml:space="preserve">（关键组件）</w:t>
      </w:r>
      <w:r>
        <w:rPr>
          <w:rFonts w:hint="eastAsia" w:ascii="宋体" w:hAnsi="宋体"/>
          <w:b/>
          <w:color w:val="auto"/>
          <w:sz w:val="24"/>
          <w:szCs w:val="24"/>
          <w:u w:val="single"/>
          <w:vertAlign w:val="superscript"/>
        </w:rPr>
        <w:t xml:space="preserve">4</w:t>
      </w:r>
      <w:r>
        <w:rPr>
          <w:rFonts w:hint="eastAsia" w:ascii="宋体" w:hAnsi="宋体"/>
          <w:bCs/>
          <w:color w:val="auto"/>
          <w:sz w:val="24"/>
          <w:szCs w:val="24"/>
        </w:rPr>
        <w:t xml:space="preserve">在中国境内生产。</w:t>
      </w:r>
      <w:r>
        <w:rPr>
          <w:rFonts w:hint="eastAsia" w:ascii="宋体" w:hAnsi="宋体"/>
          <w:bCs/>
          <w:color w:val="auto"/>
          <w:sz w:val="24"/>
          <w:szCs w:val="24"/>
          <w:u w:val="single"/>
        </w:rPr>
        <w:t xml:space="preserve">（产品名称1）</w:t>
      </w:r>
      <w:r>
        <w:rPr>
          <w:rFonts w:hint="eastAsia" w:ascii="宋体" w:hAnsi="宋体"/>
          <w:bCs/>
          <w:color w:val="auto"/>
          <w:sz w:val="24"/>
          <w:szCs w:val="24"/>
        </w:rPr>
        <w:t xml:space="preserve">的</w:t>
      </w:r>
      <w:r>
        <w:rPr>
          <w:rFonts w:hint="eastAsia" w:ascii="宋体" w:hAnsi="宋体"/>
          <w:bCs/>
          <w:color w:val="auto"/>
          <w:sz w:val="24"/>
          <w:szCs w:val="24"/>
          <w:u w:val="single"/>
        </w:rPr>
        <w:t xml:space="preserve">（关键工序）</w:t>
      </w:r>
      <w:r>
        <w:rPr>
          <w:rFonts w:hint="eastAsia" w:ascii="宋体" w:hAnsi="宋体"/>
          <w:b/>
          <w:color w:val="auto"/>
          <w:sz w:val="24"/>
          <w:szCs w:val="24"/>
          <w:u w:val="single"/>
          <w:vertAlign w:val="superscript"/>
        </w:rPr>
        <w:t xml:space="preserve">5</w:t>
      </w:r>
      <w:r>
        <w:rPr>
          <w:rFonts w:hint="eastAsia" w:ascii="宋体" w:hAnsi="宋体"/>
          <w:bCs/>
          <w:color w:val="auto"/>
          <w:sz w:val="24"/>
          <w:szCs w:val="24"/>
        </w:rPr>
        <w:t xml:space="preserve">在中国境内完成。</w:t>
      </w:r>
      <w:r/>
    </w:p>
    <w:p>
      <w:pPr>
        <w:ind w:firstLine="560"/>
        <w:spacing w:line="480" w:lineRule="auto"/>
        <w:rPr>
          <w:rFonts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u w:val="single"/>
        </w:rPr>
        <w:t xml:space="preserve">（产品名称2）</w:t>
      </w:r>
      <w:r>
        <w:rPr>
          <w:rFonts w:hint="eastAsia" w:ascii="宋体" w:hAnsi="宋体"/>
          <w:bCs/>
          <w:color w:val="auto"/>
          <w:sz w:val="24"/>
          <w:szCs w:val="24"/>
        </w:rPr>
        <w:t xml:space="preserve">，生产厂为</w:t>
      </w:r>
      <w:r>
        <w:rPr>
          <w:rFonts w:hint="eastAsia" w:ascii="宋体" w:hAnsi="宋体"/>
          <w:bCs/>
          <w:color w:val="auto"/>
          <w:sz w:val="24"/>
          <w:szCs w:val="24"/>
          <w:u w:val="single"/>
        </w:rPr>
        <w:t xml:space="preserve">（厂名）</w:t>
      </w:r>
      <w:r>
        <w:rPr>
          <w:rFonts w:hint="eastAsia" w:ascii="宋体" w:hAnsi="宋体"/>
          <w:bCs/>
          <w:color w:val="auto"/>
          <w:sz w:val="24"/>
          <w:szCs w:val="24"/>
        </w:rPr>
        <w:t xml:space="preserve">，厂址为</w:t>
      </w:r>
      <w:r>
        <w:rPr>
          <w:rFonts w:hint="eastAsia" w:ascii="宋体" w:hAnsi="宋体"/>
          <w:bCs/>
          <w:color w:val="auto"/>
          <w:sz w:val="24"/>
          <w:szCs w:val="24"/>
          <w:u w:val="single"/>
        </w:rPr>
        <w:t xml:space="preserve">（生产厂址）</w:t>
      </w:r>
      <w:r>
        <w:rPr>
          <w:rFonts w:hint="eastAsia" w:ascii="宋体" w:hAnsi="宋体"/>
          <w:bCs/>
          <w:color w:val="auto"/>
          <w:sz w:val="24"/>
          <w:szCs w:val="24"/>
        </w:rPr>
        <w:t xml:space="preserve">。</w:t>
      </w:r>
      <w:r>
        <w:rPr>
          <w:rFonts w:hint="eastAsia" w:ascii="宋体" w:hAnsi="宋体"/>
          <w:bCs/>
          <w:color w:val="auto"/>
          <w:sz w:val="24"/>
          <w:szCs w:val="24"/>
          <w:u w:val="single"/>
        </w:rPr>
        <w:t xml:space="preserve">（产品名称2）</w:t>
      </w:r>
      <w:r>
        <w:rPr>
          <w:rFonts w:hint="eastAsia" w:ascii="宋体" w:hAnsi="宋体"/>
          <w:bCs/>
          <w:color w:val="auto"/>
          <w:sz w:val="24"/>
          <w:szCs w:val="24"/>
        </w:rPr>
        <w:t xml:space="preserve">的中国境内生产的组件成本占比≥</w:t>
      </w:r>
      <w:r>
        <w:rPr>
          <w:rFonts w:hint="eastAsia" w:ascii="宋体" w:hAnsi="宋体"/>
          <w:bCs/>
          <w:color w:val="auto"/>
          <w:sz w:val="24"/>
          <w:szCs w:val="24"/>
          <w:u w:val="single"/>
        </w:rPr>
        <w:t xml:space="preserve">（规定比例）</w:t>
      </w:r>
      <w:r>
        <w:rPr>
          <w:rFonts w:hint="eastAsia" w:ascii="宋体" w:hAnsi="宋体"/>
          <w:bCs/>
          <w:color w:val="auto"/>
          <w:sz w:val="24"/>
          <w:szCs w:val="24"/>
        </w:rPr>
        <w:t xml:space="preserve">。</w:t>
      </w:r>
      <w:r>
        <w:rPr>
          <w:rFonts w:hint="eastAsia" w:ascii="宋体" w:hAnsi="宋体"/>
          <w:bCs/>
          <w:color w:val="auto"/>
          <w:sz w:val="24"/>
          <w:szCs w:val="24"/>
          <w:u w:val="single"/>
        </w:rPr>
        <w:t xml:space="preserve">（产品名称2）</w:t>
      </w:r>
      <w:r>
        <w:rPr>
          <w:rFonts w:hint="eastAsia" w:ascii="宋体" w:hAnsi="宋体"/>
          <w:bCs/>
          <w:color w:val="auto"/>
          <w:sz w:val="24"/>
          <w:szCs w:val="24"/>
        </w:rPr>
        <w:t xml:space="preserve">的</w:t>
      </w:r>
      <w:r>
        <w:rPr>
          <w:rFonts w:hint="eastAsia" w:ascii="宋体" w:hAnsi="宋体"/>
          <w:bCs/>
          <w:color w:val="auto"/>
          <w:sz w:val="24"/>
          <w:szCs w:val="24"/>
          <w:u w:val="single"/>
        </w:rPr>
        <w:t xml:space="preserve">（关键组件）</w:t>
      </w:r>
      <w:r>
        <w:rPr>
          <w:rFonts w:hint="eastAsia" w:ascii="宋体" w:hAnsi="宋体"/>
          <w:bCs/>
          <w:color w:val="auto"/>
          <w:sz w:val="24"/>
          <w:szCs w:val="24"/>
        </w:rPr>
        <w:t xml:space="preserve">在中国境内生产。</w:t>
      </w:r>
      <w:r>
        <w:rPr>
          <w:rFonts w:hint="eastAsia" w:ascii="宋体" w:hAnsi="宋体"/>
          <w:bCs/>
          <w:color w:val="auto"/>
          <w:sz w:val="24"/>
          <w:szCs w:val="24"/>
          <w:u w:val="single"/>
        </w:rPr>
        <w:t xml:space="preserve">（产品名称2）</w:t>
      </w:r>
      <w:r>
        <w:rPr>
          <w:rFonts w:hint="eastAsia" w:ascii="宋体" w:hAnsi="宋体"/>
          <w:bCs/>
          <w:color w:val="auto"/>
          <w:sz w:val="24"/>
          <w:szCs w:val="24"/>
        </w:rPr>
        <w:t xml:space="preserve">的</w:t>
      </w:r>
      <w:r>
        <w:rPr>
          <w:rFonts w:hint="eastAsia" w:ascii="宋体" w:hAnsi="宋体"/>
          <w:bCs/>
          <w:color w:val="auto"/>
          <w:sz w:val="24"/>
          <w:szCs w:val="24"/>
          <w:u w:val="single"/>
        </w:rPr>
        <w:t xml:space="preserve">（关键工序）</w:t>
      </w:r>
      <w:r>
        <w:rPr>
          <w:rFonts w:hint="eastAsia" w:ascii="宋体" w:hAnsi="宋体"/>
          <w:bCs/>
          <w:color w:val="auto"/>
          <w:sz w:val="24"/>
          <w:szCs w:val="24"/>
        </w:rPr>
        <w:t xml:space="preserve">在中国境内完成。</w:t>
      </w:r>
      <w:r/>
    </w:p>
    <w:p>
      <w:pPr>
        <w:ind w:firstLine="560"/>
        <w:spacing w:line="360" w:lineRule="auto"/>
        <w:rPr>
          <w:rFonts w:ascii="宋体" w:hAnsi="宋体"/>
          <w:bCs/>
          <w:color w:val="auto"/>
          <w:sz w:val="24"/>
          <w:szCs w:val="24"/>
        </w:rPr>
      </w:pPr>
      <w:r>
        <w:rPr>
          <w:rFonts w:hint="eastAsia" w:ascii="宋体" w:hAnsi="宋体"/>
          <w:bCs/>
          <w:color w:val="auto"/>
          <w:sz w:val="24"/>
          <w:szCs w:val="24"/>
        </w:rPr>
        <w:t xml:space="preserve">……</w:t>
      </w:r>
      <w:r/>
    </w:p>
    <w:p>
      <w:pPr>
        <w:ind w:firstLine="560"/>
        <w:spacing w:line="360" w:lineRule="auto"/>
        <w:rPr>
          <w:rFonts w:ascii="宋体" w:hAnsi="宋体"/>
          <w:bCs/>
          <w:color w:val="auto"/>
          <w:sz w:val="24"/>
          <w:szCs w:val="24"/>
        </w:rPr>
      </w:pPr>
      <w:r>
        <w:rPr>
          <w:rFonts w:hint="eastAsia" w:ascii="宋体" w:hAnsi="宋体"/>
          <w:bCs/>
          <w:color w:val="auto"/>
          <w:sz w:val="24"/>
          <w:szCs w:val="24"/>
        </w:rPr>
        <w:t xml:space="preserve">本公司（单位）对上述声明内容的真实性负责。如有虚假，愿承担相应法律责任。</w:t>
      </w:r>
      <w:r/>
    </w:p>
    <w:p>
      <w:pPr>
        <w:ind w:firstLine="4800"/>
        <w:spacing w:after="0" w:line="360" w:lineRule="auto"/>
        <w:rPr>
          <w:rFonts w:ascii="宋体" w:hAnsi="宋体"/>
          <w:bCs/>
          <w:color w:val="auto"/>
          <w:sz w:val="24"/>
          <w:szCs w:val="24"/>
        </w:rPr>
      </w:pPr>
      <w:r>
        <w:rPr>
          <w:rFonts w:hint="eastAsia" w:ascii="宋体" w:hAnsi="宋体"/>
          <w:bCs/>
          <w:color w:val="auto"/>
          <w:sz w:val="24"/>
          <w:szCs w:val="24"/>
        </w:rPr>
        <w:t xml:space="preserve">公司（单位）名称（盖章）：      </w:t>
      </w:r>
      <w:r/>
    </w:p>
    <w:p>
      <w:pPr>
        <w:ind w:firstLine="4800"/>
        <w:spacing w:after="0" w:line="360" w:lineRule="auto"/>
        <w:rPr>
          <w:rFonts w:ascii="宋体" w:hAnsi="宋体"/>
          <w:bCs/>
          <w:color w:val="auto"/>
          <w:sz w:val="24"/>
          <w:szCs w:val="24"/>
        </w:rPr>
      </w:pPr>
      <w:r>
        <w:rPr>
          <w:rFonts w:hint="eastAsia" w:ascii="宋体" w:hAnsi="宋体"/>
          <w:bCs/>
          <w:color w:val="auto"/>
          <w:sz w:val="24"/>
          <w:szCs w:val="24"/>
        </w:rPr>
        <w:t xml:space="preserve">日期：　　　　　年　　月　日    </w:t>
      </w:r>
      <w:r/>
    </w:p>
    <w:p>
      <w:pPr>
        <w:ind w:firstLine="560"/>
        <w:spacing w:line="360" w:lineRule="auto"/>
        <w:rPr>
          <w:rFonts w:ascii="宋体" w:hAnsi="宋体"/>
          <w:bCs/>
          <w:color w:val="auto"/>
          <w:sz w:val="24"/>
          <w:szCs w:val="24"/>
        </w:rPr>
      </w:pPr>
      <w:r>
        <w:rPr>
          <w:rFonts w:ascii="宋体" w:hAnsi="宋体"/>
          <w:bCs/>
          <w:color w:val="auto"/>
          <w:sz w:val="24"/>
          <w:szCs w:val="24"/>
        </w:rPr>
      </w:r>
      <w:r/>
    </w:p>
    <w:p>
      <w:pPr>
        <w:ind w:firstLine="560"/>
        <w:spacing w:line="360" w:lineRule="auto"/>
        <w:rPr>
          <w:rFonts w:ascii="宋体" w:hAnsi="宋体"/>
          <w:bCs/>
          <w:color w:val="auto"/>
          <w:sz w:val="24"/>
          <w:szCs w:val="24"/>
        </w:rPr>
      </w:pPr>
      <w:r>
        <w:rPr>
          <w:rFonts w:hint="eastAsia" w:ascii="宋体" w:hAnsi="宋体"/>
          <w:bCs/>
          <w:color w:val="auto"/>
          <w:sz w:val="24"/>
          <w:szCs w:val="24"/>
        </w:rPr>
        <w:t xml:space="preserve">_____________________________</w:t>
      </w:r>
      <w:r/>
    </w:p>
    <w:p>
      <w:pPr>
        <w:pStyle w:val="830"/>
        <w:ind w:firstLine="420"/>
        <w:spacing w:before="30" w:beforeAutospacing="0" w:after="30" w:afterAutospacing="0" w:line="240" w:lineRule="auto"/>
        <w:shd w:val="clear" w:color="auto" w:fill="ffffff"/>
        <w:rPr>
          <w:rFonts w:ascii="楷体" w:hAnsi="楷体" w:eastAsia="楷体" w:cs="楷体"/>
          <w:color w:val="auto"/>
          <w:shd w:val="clear" w:color="auto" w:fill="ffffff"/>
        </w:rPr>
      </w:pPr>
      <w:r>
        <w:rPr>
          <w:rFonts w:hint="eastAsia" w:ascii="楷体" w:hAnsi="楷体" w:eastAsia="楷体" w:cs="楷体"/>
          <w:color w:val="auto"/>
          <w:shd w:val="clear" w:color="auto" w:fill="ffffff"/>
        </w:rPr>
        <w:t xml:space="preserve">1.产品如有型号，请在“产品名称”栏一并填写。</w:t>
      </w:r>
      <w:r/>
    </w:p>
    <w:p>
      <w:pPr>
        <w:pStyle w:val="830"/>
        <w:ind w:firstLine="420"/>
        <w:spacing w:before="30" w:beforeAutospacing="0" w:after="30" w:afterAutospacing="0" w:line="240" w:lineRule="auto"/>
        <w:shd w:val="clear" w:color="auto" w:fill="ffffff"/>
        <w:rPr>
          <w:rFonts w:ascii="楷体" w:hAnsi="楷体" w:eastAsia="楷体" w:cs="楷体"/>
          <w:color w:val="auto"/>
          <w:shd w:val="clear" w:color="auto" w:fill="ffffff"/>
        </w:rPr>
      </w:pPr>
      <w:r>
        <w:rPr>
          <w:rFonts w:hint="eastAsia" w:ascii="楷体" w:hAnsi="楷体" w:eastAsia="楷体" w:cs="楷体"/>
          <w:color w:val="auto"/>
          <w:shd w:val="clear" w:color="auto" w:fill="ffffff"/>
        </w:rPr>
        <w:t xml:space="preserve">2.生产厂名与厂址应与生产厂营业执照载明的相关信息保持一致。</w:t>
      </w:r>
      <w:r/>
    </w:p>
    <w:p>
      <w:pPr>
        <w:pStyle w:val="830"/>
        <w:ind w:firstLine="420"/>
        <w:spacing w:before="30" w:beforeAutospacing="0" w:after="30" w:afterAutospacing="0" w:line="240" w:lineRule="auto"/>
        <w:shd w:val="clear" w:color="auto" w:fill="ffffff"/>
        <w:rPr>
          <w:rFonts w:ascii="楷体" w:hAnsi="楷体" w:eastAsia="楷体" w:cs="楷体"/>
          <w:color w:val="auto"/>
          <w:shd w:val="clear" w:color="auto" w:fill="ffffff"/>
        </w:rPr>
      </w:pPr>
      <w:r>
        <w:rPr>
          <w:rFonts w:hint="eastAsia" w:ascii="楷体" w:hAnsi="楷体" w:eastAsia="楷体" w:cs="楷体"/>
          <w:color w:val="auto"/>
          <w:shd w:val="clear" w:color="auto" w:fill="ffffff"/>
        </w:rPr>
        <w:t xml:space="preserve">3.该产品的中国境内生产的组件成本占比相关要求实施前，“规定比例”栏可不填，下同。</w:t>
      </w:r>
      <w:r/>
    </w:p>
    <w:p>
      <w:pPr>
        <w:pStyle w:val="830"/>
        <w:ind w:firstLine="420"/>
        <w:spacing w:before="30" w:beforeAutospacing="0" w:after="30" w:afterAutospacing="0" w:line="240" w:lineRule="auto"/>
        <w:shd w:val="clear" w:color="auto" w:fill="ffffff"/>
        <w:rPr>
          <w:rFonts w:ascii="楷体" w:hAnsi="楷体" w:eastAsia="楷体" w:cs="楷体"/>
          <w:color w:val="auto"/>
          <w:shd w:val="clear" w:color="auto" w:fill="ffffff"/>
        </w:rPr>
      </w:pPr>
      <w:r>
        <w:rPr>
          <w:rFonts w:hint="eastAsia" w:ascii="楷体" w:hAnsi="楷体" w:eastAsia="楷体" w:cs="楷体"/>
          <w:color w:val="auto"/>
          <w:shd w:val="clear" w:color="auto" w:fill="ffffff"/>
        </w:rPr>
        <w:t xml:space="preserve">4.该产品的关键组件要求实施前，“关键组件”栏可不填，下同。</w:t>
      </w:r>
      <w:r/>
    </w:p>
    <w:p>
      <w:pPr>
        <w:pStyle w:val="830"/>
        <w:ind w:firstLine="420"/>
        <w:spacing w:before="30" w:beforeAutospacing="0" w:after="30" w:afterAutospacing="0" w:line="240" w:lineRule="auto"/>
        <w:shd w:val="clear" w:color="auto" w:fill="ffffff"/>
        <w:rPr>
          <w:rFonts w:ascii="楷体" w:hAnsi="楷体" w:eastAsia="楷体" w:cs="楷体"/>
          <w:color w:val="auto"/>
          <w:shd w:val="clear" w:color="auto" w:fill="ffffff"/>
        </w:rPr>
      </w:pPr>
      <w:r>
        <w:rPr>
          <w:rFonts w:hint="eastAsia" w:ascii="楷体" w:hAnsi="楷体" w:eastAsia="楷体" w:cs="楷体"/>
          <w:color w:val="auto"/>
          <w:shd w:val="clear" w:color="auto" w:fill="ffffff"/>
        </w:rPr>
        <w:t xml:space="preserve">5.该产品的关键工序要求实施前，“关键工序”栏可不填，下同。</w:t>
      </w:r>
      <w:r/>
    </w:p>
    <w:p>
      <w:r>
        <w:br w:type="page" w:clear="all"/>
      </w:r>
      <w:r/>
    </w:p>
    <w:p>
      <w:pPr>
        <w:ind w:left="0" w:firstLine="0"/>
        <w:spacing w:line="400" w:lineRule="exact"/>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、具备履行合同所必需的设备和专业技术能力的书面声明（格式）</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我单位郑重声明：我单位具备履行本项采购合同所必需的设备和专业技术能力，为履行本项采购合同我单位具备如下主要设备和主要专业技术能力：</w:t>
      </w:r>
      <w:r/>
    </w:p>
    <w:p>
      <w:pPr>
        <w:ind w:firstLine="480"/>
        <w:spacing w:line="580" w:lineRule="exact"/>
        <w:rPr>
          <w:rFonts w:ascii="宋体" w:hAnsi="宋体"/>
          <w:bCs/>
          <w:color w:val="auto"/>
          <w:sz w:val="24"/>
          <w:szCs w:val="24"/>
          <w:u w:val="single"/>
        </w:rPr>
      </w:pPr>
      <w:r>
        <w:rPr>
          <w:rFonts w:hint="eastAsia" w:ascii="宋体" w:hAnsi="宋体"/>
          <w:bCs/>
          <w:color w:val="auto"/>
          <w:sz w:val="24"/>
          <w:szCs w:val="24"/>
        </w:rPr>
        <w:t xml:space="preserve">主要设备有：</w:t>
      </w:r>
      <w:r>
        <w:rPr>
          <w:rFonts w:hint="eastAsia" w:ascii="宋体" w:hAnsi="宋体"/>
          <w:bCs/>
          <w:color w:val="auto"/>
          <w:sz w:val="24"/>
          <w:szCs w:val="24"/>
          <w:u w:val="single"/>
        </w:rPr>
        <w:t xml:space="preserve">           </w:t>
      </w:r>
      <w:r>
        <w:rPr>
          <w:rFonts w:hint="eastAsia" w:ascii="宋体" w:hAnsi="宋体"/>
          <w:bCs/>
          <w:color w:val="auto"/>
          <w:sz w:val="24"/>
          <w:szCs w:val="24"/>
        </w:rPr>
        <w:t xml:space="preserve">。</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主要专业技术能力有：</w:t>
      </w:r>
      <w:r>
        <w:rPr>
          <w:rFonts w:hint="eastAsia" w:ascii="宋体" w:hAnsi="宋体"/>
          <w:bCs/>
          <w:color w:val="auto"/>
          <w:sz w:val="24"/>
          <w:szCs w:val="24"/>
          <w:u w:val="single"/>
        </w:rPr>
        <w:t xml:space="preserve">             </w:t>
      </w:r>
      <w:r>
        <w:rPr>
          <w:rFonts w:hint="eastAsia" w:ascii="宋体" w:hAnsi="宋体"/>
          <w:bCs/>
          <w:color w:val="auto"/>
          <w:sz w:val="24"/>
          <w:szCs w:val="24"/>
        </w:rPr>
        <w:t xml:space="preserve">。</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                                    投标人名称（盖章）：</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                                    日  期：</w:t>
      </w:r>
      <w:r/>
    </w:p>
    <w:p>
      <w:pPr>
        <w:rPr>
          <w:rFonts w:ascii="黑体" w:hAnsi="黑体" w:eastAsia="黑体" w:cs="黑体"/>
          <w:bCs/>
          <w:color w:val="auto"/>
          <w:sz w:val="28"/>
          <w:szCs w:val="28"/>
        </w:rPr>
        <w:sectPr>
          <w:headerReference w:type="default" r:id="rId11"/>
          <w:footerReference w:type="default" r:id="rId16"/>
          <w:footnotePr/>
          <w:endnotePr/>
          <w:type w:val="nextPage"/>
          <w:pgSz w:w="11906" w:h="16838" w:orient="portrait"/>
          <w:pgMar w:top="1440" w:right="1440" w:bottom="1440" w:left="1287" w:header="850" w:footer="992" w:gutter="0"/>
          <w:cols w:num="1" w:sep="0" w:space="1701" w:equalWidth="1"/>
          <w:docGrid w:linePitch="360"/>
        </w:sectPr>
        <w:outlineLvl w:val="1"/>
      </w:pPr>
      <w:r>
        <w:rPr>
          <w:rFonts w:ascii="黑体" w:hAnsi="黑体" w:eastAsia="黑体" w:cs="黑体"/>
          <w:bCs/>
          <w:color w:val="auto"/>
          <w:sz w:val="28"/>
          <w:szCs w:val="28"/>
        </w:rPr>
      </w:r>
      <w:r/>
    </w:p>
    <w:p>
      <w:pPr>
        <w:ind w:left="0" w:firstLine="0"/>
        <w:spacing w:line="400" w:lineRule="exact"/>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、参加采购活动前3年内(自公开招标文件发出之日起计算)在经营活动中没有重大违法记录的书面声明（格式）</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                                    投标人名称（盖章）：</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                                    日  期：</w:t>
      </w:r>
      <w:r/>
    </w:p>
    <w:p>
      <w:pPr>
        <w:rPr>
          <w:rFonts w:ascii="黑体" w:hAnsi="黑体" w:eastAsia="黑体" w:cs="黑体"/>
          <w:bCs/>
          <w:color w:val="auto"/>
          <w:sz w:val="28"/>
          <w:szCs w:val="28"/>
        </w:rPr>
        <w:sectPr>
          <w:headerReference w:type="default" r:id="rId12"/>
          <w:footerReference w:type="default" r:id="rId17"/>
          <w:footnotePr/>
          <w:endnotePr/>
          <w:type w:val="nextPage"/>
          <w:pgSz w:w="11906" w:h="16838" w:orient="portrait"/>
          <w:pgMar w:top="1440" w:right="1440" w:bottom="1440" w:left="1287" w:header="850" w:footer="992" w:gutter="0"/>
          <w:cols w:num="1" w:sep="0" w:space="1701" w:equalWidth="1"/>
          <w:docGrid w:linePitch="360"/>
        </w:sectPr>
        <w:outlineLvl w:val="1"/>
      </w:pPr>
      <w:r>
        <w:rPr>
          <w:rFonts w:ascii="黑体" w:hAnsi="黑体" w:eastAsia="黑体" w:cs="黑体"/>
          <w:bCs/>
          <w:color w:val="auto"/>
          <w:sz w:val="28"/>
          <w:szCs w:val="28"/>
        </w:rPr>
      </w:r>
      <w:r/>
    </w:p>
    <w:p>
      <w:pPr>
        <w:ind w:left="0" w:firstLine="0"/>
        <w:spacing w:line="400" w:lineRule="exact"/>
        <w:rPr>
          <w:rFonts w:hint="eastAsia" w:ascii="黑体" w:eastAsia="黑体"/>
          <w:bCs/>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、暗标（技术服务方案）</w:t>
      </w:r>
      <w:r/>
    </w:p>
    <w:p>
      <w:pPr>
        <w:jc w:val="center"/>
        <w:spacing w:after="200" w:line="360" w:lineRule="auto"/>
        <w:widowControl/>
        <w:rPr>
          <w:rFonts w:hint="eastAsia" w:ascii="黑体" w:eastAsia="黑体" w:cs="宋体"/>
          <w:bCs/>
          <w:color w:val="auto"/>
          <w:sz w:val="28"/>
          <w:szCs w:val="28"/>
          <w:highlight w:val="none"/>
        </w:rPr>
      </w:pPr>
      <w:r>
        <w:rPr>
          <w:rFonts w:hint="eastAsia" w:ascii="黑体" w:eastAsia="黑体" w:cs="宋体"/>
          <w:bCs/>
          <w:color w:val="auto"/>
          <w:sz w:val="28"/>
          <w:szCs w:val="28"/>
          <w:highlight w:val="none"/>
        </w:rPr>
        <w:t xml:space="preserve">技术方案</w:t>
      </w:r>
      <w:r/>
    </w:p>
    <w:p>
      <w:pPr>
        <w:pStyle w:val="984"/>
        <w:numPr>
          <w:ilvl w:val="0"/>
          <w:numId w:val="0"/>
        </w:numPr>
        <w:rPr>
          <w:rFonts w:hint="eastAsia" w:ascii="宋体" w:hAnsi="宋体" w:eastAsia="宋体" w:cs="宋体"/>
          <w:b/>
          <w:color w:val="auto"/>
          <w:sz w:val="24"/>
          <w:szCs w:val="21"/>
          <w:highlight w:val="none"/>
          <w:u w:val="single"/>
        </w:rPr>
      </w:pPr>
      <w:r>
        <w:rPr>
          <w:rFonts w:hint="eastAsia"/>
          <w:b w:val="0"/>
          <w:bCs/>
          <w:color w:val="auto"/>
          <w:sz w:val="24"/>
          <w:highlight w:val="none"/>
        </w:rPr>
        <w:t xml:space="preserve">投标供应商应按评分点编制完整的服务方案，</w:t>
      </w:r>
      <w:r>
        <w:rPr>
          <w:b w:val="0"/>
          <w:bCs/>
          <w:color w:val="auto"/>
          <w:sz w:val="24"/>
          <w:highlight w:val="none"/>
        </w:rPr>
        <w:t xml:space="preserve">以便评审。</w:t>
      </w:r>
      <w:r/>
    </w:p>
    <w:p>
      <w:pPr>
        <w:ind w:left="0" w:right="0" w:firstLine="482"/>
        <w:jc w:val="left"/>
        <w:keepLines w:val="0"/>
        <w:keepNext w:val="0"/>
        <w:pageBreakBefore w:val="0"/>
        <w:spacing w:after="200" w:line="360" w:lineRule="auto"/>
        <w:widowControl w:val="off"/>
        <w:tabs>
          <w:tab w:val="left" w:pos="525" w:leader="none"/>
          <w:tab w:val="left" w:pos="945" w:leader="none"/>
        </w:tabs>
        <w:rPr>
          <w:rFonts w:hint="eastAsia" w:ascii="宋体" w:hAnsi="宋体"/>
          <w:b/>
          <w:color w:val="auto"/>
          <w:sz w:val="24"/>
          <w:szCs w:val="21"/>
          <w:highlight w:val="none"/>
          <w:lang w:val="en-US" w:eastAsia="zh-CN"/>
        </w:rPr>
      </w:pPr>
      <w:r>
        <w:rPr>
          <w:rFonts w:hint="eastAsia" w:ascii="宋体" w:hAnsi="宋体" w:eastAsia="宋体" w:cs="宋体"/>
          <w:b/>
          <w:color w:val="auto"/>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left="0" w:right="0" w:firstLine="482"/>
        <w:jc w:val="left"/>
        <w:keepLines w:val="0"/>
        <w:keepNext w:val="0"/>
        <w:pageBreakBefore w:val="0"/>
        <w:spacing w:after="200" w:line="360" w:lineRule="auto"/>
        <w:widowControl w:val="off"/>
        <w:tabs>
          <w:tab w:val="left" w:pos="525" w:leader="none"/>
          <w:tab w:val="left" w:pos="945" w:leader="none"/>
        </w:tabs>
        <w:rPr>
          <w:rFonts w:hint="eastAsia" w:ascii="宋体" w:hAnsi="宋体" w:eastAsia="宋体" w:cs="宋体"/>
          <w:b/>
          <w:color w:val="auto"/>
          <w:sz w:val="24"/>
          <w:szCs w:val="21"/>
          <w:highlight w:val="none"/>
          <w:lang w:val="en-US" w:eastAsia="zh-CN"/>
        </w:rPr>
      </w:pPr>
      <w:r>
        <w:rPr>
          <w:rFonts w:hint="eastAsia" w:ascii="宋体" w:hAnsi="宋体" w:eastAsia="宋体" w:cs="宋体"/>
          <w:b/>
          <w:color w:val="auto"/>
          <w:sz w:val="24"/>
          <w:szCs w:val="21"/>
          <w:highlight w:val="none"/>
          <w:lang w:val="en-US" w:eastAsia="zh-CN"/>
        </w:rPr>
        <w:t xml:space="preserve">排版要求：A4版面，黑色、四号宋体字，如有必要，可配以图片、表格辅助说明（图片内字体、色彩不作要求，表格中字体为宋体，字号不作限制），暗标文件中均不得体现投标人身份。技术部分无须设置页码，不得设置页眉页脚。</w:t>
      </w:r>
      <w:r/>
    </w:p>
    <w:p>
      <w:pPr>
        <w:ind w:firstLine="482"/>
        <w:jc w:val="left"/>
        <w:spacing w:after="20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不得有体现投标人身份的内容是指：</w:t>
      </w:r>
      <w:r/>
    </w:p>
    <w:p>
      <w:pPr>
        <w:ind w:firstLine="482"/>
        <w:jc w:val="left"/>
        <w:spacing w:after="20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①技术部分不得出现能够体现投标人身份、名称的相关描述、材料、文件等内容；</w:t>
      </w:r>
      <w:r/>
    </w:p>
    <w:p>
      <w:pPr>
        <w:ind w:firstLine="482"/>
        <w:jc w:val="left"/>
        <w:spacing w:after="20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②技术部分不得更改，不得在其中涂改、标注或做任何可以辨认投标人及所属人员身份的名称、印章、商标等标记；</w:t>
      </w:r>
      <w:r/>
    </w:p>
    <w:p>
      <w:pPr>
        <w:ind w:firstLine="482"/>
        <w:jc w:val="left"/>
        <w:spacing w:after="20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③技术部分应当版面整洁、字迹清楚、不许批注或进行底纹、阴影、水印等特殊设置，不得采用任何不符合常规、有别于其他投标人的特殊做法；文本部分不得出现底纹、阴影等标记；</w:t>
      </w:r>
      <w:r/>
    </w:p>
    <w:p>
      <w:pPr>
        <w:ind w:firstLine="482"/>
        <w:jc w:val="left"/>
        <w:spacing w:after="200" w:line="360" w:lineRule="auto"/>
        <w:widowControl/>
        <w:rPr>
          <w:rFonts w:hint="eastAsia" w:ascii="宋体" w:hAnsi="宋体" w:eastAsia="宋体" w:cs="宋体"/>
          <w:b/>
          <w:color w:val="auto"/>
          <w:sz w:val="24"/>
          <w:szCs w:val="21"/>
          <w:highlight w:val="none"/>
          <w:lang w:val="en-US" w:eastAsia="zh-CN"/>
        </w:rPr>
      </w:pPr>
      <w:r>
        <w:rPr>
          <w:rFonts w:hint="eastAsia" w:ascii="宋体" w:hAnsi="宋体" w:eastAsia="宋体" w:cs="宋体"/>
          <w:b/>
          <w:color w:val="auto"/>
          <w:sz w:val="24"/>
          <w:szCs w:val="21"/>
          <w:highlight w:val="none"/>
        </w:rPr>
        <w:t xml:space="preserve">④不得有其他体现投标人身份的内容。</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sectPr>
      <w:footerReference w:type="default" r:id="rId18"/>
      <w:footnotePr/>
      <w:endnotePr/>
      <w:type w:val="nextPage"/>
      <w:pgSz w:w="11906" w:h="16838" w:orient="portrait"/>
      <w:pgMar w:top="1417" w:right="1417" w:bottom="1417" w:left="1417"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ymbol">
    <w:panose1 w:val="05050102010706020507"/>
  </w:font>
  <w:font w:name="Wingdings">
    <w:panose1 w:val="05000000000000000000"/>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20"/>
      </w:rPr>
      <w:framePr w:wrap="around" w:vAnchor="text" w:hAnchor="margin" w:xAlign="center" w:y="1"/>
    </w:pPr>
    <w:r>
      <w:rPr>
        <w:rStyle w:val="920"/>
      </w:rPr>
      <w:fldChar w:fldCharType="begin"/>
    </w:r>
    <w:r>
      <w:rPr>
        <w:rStyle w:val="920"/>
      </w:rPr>
      <w:instrText xml:space="preserve">PAGE  </w:instrText>
    </w:r>
    <w:r>
      <w:rPr>
        <w:rStyle w:val="920"/>
      </w:rPr>
      <w:fldChar w:fldCharType="separate"/>
    </w:r>
    <w:r>
      <w:rPr>
        <w:rStyle w:val="920"/>
      </w:rPr>
      <w:t xml:space="preserve">1</w:t>
    </w:r>
    <w:r>
      <w:rPr>
        <w:rStyle w:val="920"/>
      </w:rPr>
      <w:fldChar w:fldCharType="end"/>
    </w:r>
    <w:r/>
  </w:p>
  <w:p>
    <w:pPr>
      <w:pStyle w:val="88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pPr>
    <w:r>
      <w:fldChar w:fldCharType="begin"/>
    </w:r>
    <w:r>
      <w:instrText xml:space="preserve">PAGE \* MERGEFORMAT</w:instrText>
    </w:r>
    <w:r>
      <w:fldChar w:fldCharType="separate"/>
    </w:r>
    <w:r>
      <w:t xml:space="preserve">1</w:t>
    </w:r>
    <w:r>
      <w:fldChar w:fldCharType="end"/>
    </w:r>
    <w:r/>
  </w:p>
  <w:p>
    <w:pPr>
      <w:pStyle w:val="81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pPr>
    <w:r>
      <w:fldChar w:fldCharType="begin"/>
    </w:r>
    <w:r>
      <w:instrText xml:space="preserve">PAGE \* MERGEFORMAT</w:instrText>
    </w:r>
    <w:r>
      <w:fldChar w:fldCharType="separate"/>
    </w:r>
    <w:r>
      <w:t xml:space="preserve">1</w:t>
    </w:r>
    <w:r>
      <w:fldChar w:fldCharType="end"/>
    </w:r>
    <w:r/>
  </w:p>
  <w:p>
    <w:pPr>
      <w:pStyle w:val="81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pPr>
    <w:r>
      <w:fldChar w:fldCharType="begin"/>
    </w:r>
    <w:r>
      <w:instrText xml:space="preserve">PAGE \* MERGEFORMAT</w:instrText>
    </w:r>
    <w:r>
      <w:fldChar w:fldCharType="separate"/>
    </w:r>
    <w:r>
      <w:t xml:space="preserve">1</w:t>
    </w:r>
    <w:r>
      <w:fldChar w:fldCharType="end"/>
    </w:r>
    <w:r/>
  </w:p>
  <w:p>
    <w:pPr>
      <w:pStyle w:val="8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both"/>
      <w:rPr>
        <w:rFonts w:eastAsia="华文新魏"/>
        <w:sz w:val="21"/>
      </w:rPr>
      <w:pBdr>
        <w:bottom w:val="none" w:color="000000" w:sz="0" w:space="1"/>
      </w:pBdr>
    </w:pPr>
    <w:r>
      <w:rPr>
        <w:rFonts w:hint="eastAsia" w:eastAsia="华文新魏"/>
        <w:sz w:val="21"/>
      </w:rPr>
      <w:t xml:space="preserve">  </w:t>
    </w:r>
    <w:r>
      <w:rPr>
        <w:rFonts w:hint="eastAsia"/>
      </w:rPr>
      <w:t xml:space="preserve">          </w:t>
    </w:r>
    <w:r>
      <w:rPr>
        <w:rFonts w:hint="eastAsia" w:eastAsia="华文新魏"/>
        <w:sz w:val="21"/>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both"/>
      <w:rPr>
        <w:rFonts w:eastAsia="华文新魏"/>
        <w:sz w:val="21"/>
      </w:rPr>
      <w:pBdr>
        <w:bottom w:val="none" w:color="000000" w:sz="0" w:space="1"/>
      </w:pBdr>
    </w:pPr>
    <w:r>
      <w:rPr>
        <w:rFonts w:hint="eastAsia" w:eastAsia="华文新魏"/>
        <w:sz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240"/>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2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4">
    <w:multiLevelType w:val="hybridMultilevel"/>
    <w:lvl w:ilvl="0">
      <w:start w:val="1"/>
      <w:numFmt w:val="japaneseCounting"/>
      <w:pStyle w:val="984"/>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1"/>
      <w:numFmt w:val="upperLetter"/>
      <w:pStyle w:val="84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ind w:left="-62"/>
      </w:pPr>
      <w:rPr>
        <w:rFonts w:hint="eastAsia"/>
      </w:rPr>
    </w:lvl>
    <w:lvl w:ilvl="1">
      <w:start w:val="1"/>
      <w:numFmt w:val="bullet"/>
      <w:isLgl w:val="false"/>
      <w:suff w:val="tab"/>
      <w:lvlText w:val="o"/>
      <w:lvlJc w:val="left"/>
      <w:pPr>
        <w:ind w:left="1378" w:hanging="360"/>
      </w:pPr>
      <w:rPr>
        <w:rFonts w:hint="default" w:ascii="Courier New" w:hAnsi="Courier New" w:eastAsia="Courier New" w:cs="Courier New"/>
      </w:rPr>
    </w:lvl>
    <w:lvl w:ilvl="2">
      <w:start w:val="1"/>
      <w:numFmt w:val="bullet"/>
      <w:isLgl w:val="false"/>
      <w:suff w:val="tab"/>
      <w:lvlText w:val="§"/>
      <w:lvlJc w:val="left"/>
      <w:pPr>
        <w:ind w:left="2098" w:hanging="360"/>
      </w:pPr>
      <w:rPr>
        <w:rFonts w:hint="default" w:ascii="Wingdings" w:hAnsi="Wingdings" w:eastAsia="Wingdings" w:cs="Wingdings"/>
      </w:rPr>
    </w:lvl>
    <w:lvl w:ilvl="3">
      <w:start w:val="1"/>
      <w:numFmt w:val="bullet"/>
      <w:isLgl w:val="false"/>
      <w:suff w:val="tab"/>
      <w:lvlText w:val="·"/>
      <w:lvlJc w:val="left"/>
      <w:pPr>
        <w:ind w:left="2818" w:hanging="360"/>
      </w:pPr>
      <w:rPr>
        <w:rFonts w:hint="default" w:ascii="Symbol" w:hAnsi="Symbol" w:eastAsia="Symbol" w:cs="Symbol"/>
      </w:rPr>
    </w:lvl>
    <w:lvl w:ilvl="4">
      <w:start w:val="1"/>
      <w:numFmt w:val="bullet"/>
      <w:isLgl w:val="false"/>
      <w:suff w:val="tab"/>
      <w:lvlText w:val="o"/>
      <w:lvlJc w:val="left"/>
      <w:pPr>
        <w:ind w:left="3538" w:hanging="360"/>
      </w:pPr>
      <w:rPr>
        <w:rFonts w:hint="default" w:ascii="Courier New" w:hAnsi="Courier New" w:eastAsia="Courier New" w:cs="Courier New"/>
      </w:rPr>
    </w:lvl>
    <w:lvl w:ilvl="5">
      <w:start w:val="1"/>
      <w:numFmt w:val="bullet"/>
      <w:isLgl w:val="false"/>
      <w:suff w:val="tab"/>
      <w:lvlText w:val="§"/>
      <w:lvlJc w:val="left"/>
      <w:pPr>
        <w:ind w:left="4258" w:hanging="360"/>
      </w:pPr>
      <w:rPr>
        <w:rFonts w:hint="default" w:ascii="Wingdings" w:hAnsi="Wingdings" w:eastAsia="Wingdings" w:cs="Wingdings"/>
      </w:rPr>
    </w:lvl>
    <w:lvl w:ilvl="6">
      <w:start w:val="1"/>
      <w:numFmt w:val="bullet"/>
      <w:isLgl w:val="false"/>
      <w:suff w:val="tab"/>
      <w:lvlText w:val="·"/>
      <w:lvlJc w:val="left"/>
      <w:pPr>
        <w:ind w:left="4978" w:hanging="360"/>
      </w:pPr>
      <w:rPr>
        <w:rFonts w:hint="default" w:ascii="Symbol" w:hAnsi="Symbol" w:eastAsia="Symbol" w:cs="Symbol"/>
      </w:rPr>
    </w:lvl>
    <w:lvl w:ilvl="7">
      <w:start w:val="1"/>
      <w:numFmt w:val="bullet"/>
      <w:isLgl w:val="false"/>
      <w:suff w:val="tab"/>
      <w:lvlText w:val="o"/>
      <w:lvlJc w:val="left"/>
      <w:pPr>
        <w:ind w:left="5698" w:hanging="360"/>
      </w:pPr>
      <w:rPr>
        <w:rFonts w:hint="default" w:ascii="Courier New" w:hAnsi="Courier New" w:eastAsia="Courier New" w:cs="Courier New"/>
      </w:rPr>
    </w:lvl>
    <w:lvl w:ilvl="8">
      <w:start w:val="1"/>
      <w:numFmt w:val="bullet"/>
      <w:isLgl w:val="false"/>
      <w:suff w:val="tab"/>
      <w:lvlText w:val="§"/>
      <w:lvlJc w:val="left"/>
      <w:pPr>
        <w:ind w:left="6418"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66"/>
      <w:isLgl w:val="false"/>
      <w:suff w:val="nothing"/>
      <w:lvlText w:val=""/>
      <w:lvlJc w:val="left"/>
      <w:pPr>
        <w:ind w:left="0" w:firstLine="0"/>
      </w:pPr>
      <w:rPr>
        <w:rFonts w:hint="eastAsia"/>
      </w:rPr>
    </w:lvl>
    <w:lvl w:ilvl="6">
      <w:start w:val="1"/>
      <w:numFmt w:val="decimal"/>
      <w:pStyle w:val="1168"/>
      <w:isLgl w:val="false"/>
      <w:suff w:val="nothing"/>
      <w:lvlText w:val=""/>
      <w:lvlJc w:val="left"/>
      <w:pPr>
        <w:ind w:left="0" w:firstLine="0"/>
      </w:pPr>
      <w:rPr>
        <w:rFonts w:hint="eastAsia"/>
      </w:rPr>
    </w:lvl>
    <w:lvl w:ilvl="7">
      <w:start w:val="1"/>
      <w:numFmt w:val="decimal"/>
      <w:pStyle w:val="1170"/>
      <w:isLgl w:val="false"/>
      <w:suff w:val="nothing"/>
      <w:lvlText w:val=""/>
      <w:lvlJc w:val="left"/>
      <w:pPr>
        <w:ind w:left="0" w:firstLine="0"/>
      </w:pPr>
      <w:rPr>
        <w:rFonts w:hint="eastAsia"/>
      </w:rPr>
    </w:lvl>
    <w:lvl w:ilvl="8">
      <w:start w:val="1"/>
      <w:numFmt w:val="decimal"/>
      <w:pStyle w:val="1172"/>
      <w:isLgl w:val="false"/>
      <w:suff w:val="nothing"/>
      <w:lvlText w:val=""/>
      <w:lvlJc w:val="left"/>
      <w:pPr>
        <w:ind w:left="0" w:firstLine="0"/>
      </w:pPr>
      <w:rPr>
        <w:rFonts w:hint="eastAsia"/>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uiPriority w:val="0"/>
    <w:qFormat/>
    <w:pPr>
      <w:jc w:val="both"/>
      <w:widowControl w:val="off"/>
    </w:pPr>
    <w:rPr>
      <w:rFonts w:hint="default" w:ascii="Calibri" w:hAnsi="Calibri" w:eastAsia="Arial" w:cs="Times New Roman"/>
      <w:sz w:val="21"/>
      <w:szCs w:val="22"/>
      <w:lang w:val="en-US" w:eastAsia="zh-CN" w:bidi="ar-SA"/>
    </w:rPr>
  </w:style>
  <w:style w:type="paragraph" w:styleId="797">
    <w:name w:val="Heading 1"/>
    <w:basedOn w:val="796"/>
    <w:next w:val="796"/>
    <w:uiPriority w:val="9"/>
    <w:qFormat/>
    <w:pPr>
      <w:keepLines/>
      <w:keepNext/>
      <w:spacing w:before="480" w:after="200"/>
      <w:outlineLvl w:val="0"/>
    </w:pPr>
    <w:rPr>
      <w:rFonts w:ascii="Arial" w:hAnsi="Arial" w:cs="Arial"/>
      <w:sz w:val="40"/>
      <w:szCs w:val="40"/>
    </w:rPr>
  </w:style>
  <w:style w:type="paragraph" w:styleId="798">
    <w:name w:val="Heading 2"/>
    <w:basedOn w:val="796"/>
    <w:next w:val="796"/>
    <w:uiPriority w:val="9"/>
    <w:unhideWhenUsed/>
    <w:qFormat/>
    <w:pPr>
      <w:keepLines/>
      <w:keepNext/>
      <w:spacing w:before="360" w:after="200"/>
      <w:outlineLvl w:val="1"/>
    </w:pPr>
    <w:rPr>
      <w:rFonts w:ascii="Arial" w:hAnsi="Arial" w:cs="Arial"/>
      <w:sz w:val="34"/>
    </w:rPr>
  </w:style>
  <w:style w:type="paragraph" w:styleId="799">
    <w:name w:val="Heading 3"/>
    <w:basedOn w:val="796"/>
    <w:next w:val="796"/>
    <w:uiPriority w:val="9"/>
    <w:unhideWhenUsed/>
    <w:qFormat/>
    <w:pPr>
      <w:keepLines/>
      <w:keepNext/>
      <w:spacing w:before="320" w:after="200"/>
      <w:outlineLvl w:val="2"/>
    </w:pPr>
    <w:rPr>
      <w:rFonts w:ascii="Arial" w:hAnsi="Arial" w:cs="Arial"/>
      <w:sz w:val="30"/>
      <w:szCs w:val="30"/>
    </w:rPr>
  </w:style>
  <w:style w:type="paragraph" w:styleId="800">
    <w:name w:val="Heading 4"/>
    <w:basedOn w:val="796"/>
    <w:next w:val="796"/>
    <w:uiPriority w:val="9"/>
    <w:unhideWhenUsed/>
    <w:qFormat/>
    <w:pPr>
      <w:keepLines/>
      <w:keepNext/>
      <w:spacing w:before="320" w:after="200"/>
      <w:outlineLvl w:val="3"/>
    </w:pPr>
    <w:rPr>
      <w:rFonts w:ascii="Arial" w:hAnsi="Arial" w:cs="Arial"/>
      <w:b/>
      <w:bCs/>
      <w:sz w:val="26"/>
      <w:szCs w:val="26"/>
    </w:rPr>
  </w:style>
  <w:style w:type="paragraph" w:styleId="801">
    <w:name w:val="Heading 5"/>
    <w:basedOn w:val="796"/>
    <w:next w:val="796"/>
    <w:uiPriority w:val="9"/>
    <w:unhideWhenUsed/>
    <w:qFormat/>
    <w:pPr>
      <w:keepLines/>
      <w:keepNext/>
      <w:spacing w:before="320" w:after="200"/>
      <w:outlineLvl w:val="4"/>
    </w:pPr>
    <w:rPr>
      <w:rFonts w:ascii="Arial" w:hAnsi="Arial" w:cs="Arial"/>
      <w:b/>
      <w:bCs/>
      <w:sz w:val="24"/>
      <w:szCs w:val="24"/>
    </w:rPr>
  </w:style>
  <w:style w:type="paragraph" w:styleId="802">
    <w:name w:val="Heading 6"/>
    <w:basedOn w:val="796"/>
    <w:next w:val="796"/>
    <w:uiPriority w:val="9"/>
    <w:unhideWhenUsed/>
    <w:qFormat/>
    <w:pPr>
      <w:keepLines/>
      <w:keepNext/>
      <w:spacing w:before="320" w:after="200"/>
      <w:outlineLvl w:val="5"/>
    </w:pPr>
    <w:rPr>
      <w:rFonts w:ascii="Arial" w:hAnsi="Arial" w:cs="Arial"/>
      <w:b/>
      <w:bCs/>
      <w:sz w:val="22"/>
    </w:rPr>
  </w:style>
  <w:style w:type="paragraph" w:styleId="803">
    <w:name w:val="Heading 7"/>
    <w:basedOn w:val="796"/>
    <w:next w:val="796"/>
    <w:uiPriority w:val="9"/>
    <w:unhideWhenUsed/>
    <w:qFormat/>
    <w:pPr>
      <w:keepLines/>
      <w:keepNext/>
      <w:spacing w:before="320" w:after="200"/>
      <w:outlineLvl w:val="6"/>
    </w:pPr>
    <w:rPr>
      <w:rFonts w:ascii="Arial" w:hAnsi="Arial" w:cs="Arial"/>
      <w:b/>
      <w:bCs/>
      <w:i/>
      <w:iCs/>
      <w:sz w:val="22"/>
    </w:rPr>
  </w:style>
  <w:style w:type="paragraph" w:styleId="804">
    <w:name w:val="Heading 8"/>
    <w:basedOn w:val="796"/>
    <w:next w:val="796"/>
    <w:uiPriority w:val="9"/>
    <w:unhideWhenUsed/>
    <w:qFormat/>
    <w:pPr>
      <w:keepLines/>
      <w:keepNext/>
      <w:spacing w:before="320" w:after="200"/>
      <w:outlineLvl w:val="7"/>
    </w:pPr>
    <w:rPr>
      <w:rFonts w:ascii="Arial" w:hAnsi="Arial" w:cs="Arial"/>
      <w:i/>
      <w:iCs/>
      <w:sz w:val="22"/>
    </w:rPr>
  </w:style>
  <w:style w:type="paragraph" w:styleId="805">
    <w:name w:val="Heading 9"/>
    <w:basedOn w:val="796"/>
    <w:next w:val="796"/>
    <w:uiPriority w:val="9"/>
    <w:unhideWhenUsed/>
    <w:qFormat/>
    <w:pPr>
      <w:keepLines/>
      <w:keepNext/>
      <w:spacing w:before="320" w:after="200"/>
      <w:outlineLvl w:val="8"/>
    </w:pPr>
    <w:rPr>
      <w:rFonts w:ascii="Arial" w:hAnsi="Arial" w:cs="Arial"/>
      <w:i/>
      <w:iCs/>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toc 7"/>
    <w:basedOn w:val="796"/>
    <w:next w:val="796"/>
    <w:uiPriority w:val="39"/>
    <w:unhideWhenUsed/>
    <w:qFormat/>
    <w:pPr>
      <w:ind w:left="1701"/>
      <w:spacing w:after="57"/>
    </w:pPr>
  </w:style>
  <w:style w:type="paragraph" w:styleId="809">
    <w:name w:val="Caption"/>
    <w:basedOn w:val="796"/>
    <w:next w:val="7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0">
    <w:name w:val="annotation text"/>
    <w:basedOn w:val="796"/>
    <w:uiPriority w:val="99"/>
    <w:semiHidden/>
    <w:unhideWhenUsed/>
    <w:qFormat/>
    <w:pPr>
      <w:jc w:val="left"/>
    </w:pPr>
  </w:style>
  <w:style w:type="paragraph" w:styleId="811">
    <w:name w:val="Body Text"/>
    <w:basedOn w:val="796"/>
    <w:next w:val="796"/>
    <w:uiPriority w:val="99"/>
    <w:qFormat/>
    <w:rPr>
      <w:rFonts w:ascii="华文中宋" w:hAnsi="Times New Roman" w:eastAsia="华文中宋"/>
      <w:bCs/>
      <w:sz w:val="28"/>
      <w:szCs w:val="20"/>
    </w:rPr>
  </w:style>
  <w:style w:type="paragraph" w:styleId="812">
    <w:name w:val="Body Text Indent"/>
    <w:basedOn w:val="796"/>
    <w:next w:val="813"/>
    <w:uiPriority w:val="99"/>
    <w:qFormat/>
    <w:pPr>
      <w:ind w:firstLine="576"/>
    </w:pPr>
    <w:rPr>
      <w:rFonts w:ascii="Times New Roman" w:hAnsi="Times New Roman" w:eastAsia="宋体"/>
      <w:b/>
      <w:sz w:val="30"/>
      <w:szCs w:val="20"/>
    </w:rPr>
  </w:style>
  <w:style w:type="paragraph" w:styleId="813">
    <w:name w:val="envelope return"/>
    <w:basedOn w:val="796"/>
    <w:uiPriority w:val="99"/>
    <w:unhideWhenUsed/>
    <w:qFormat/>
    <w:rPr>
      <w:rFonts w:ascii="Arial" w:hAnsi="Arial"/>
    </w:rPr>
  </w:style>
  <w:style w:type="paragraph" w:styleId="814">
    <w:name w:val="toc 5"/>
    <w:basedOn w:val="796"/>
    <w:next w:val="796"/>
    <w:uiPriority w:val="39"/>
    <w:unhideWhenUsed/>
    <w:qFormat/>
    <w:pPr>
      <w:ind w:left="1134"/>
      <w:spacing w:after="57"/>
    </w:pPr>
  </w:style>
  <w:style w:type="paragraph" w:styleId="815">
    <w:name w:val="toc 3"/>
    <w:basedOn w:val="796"/>
    <w:next w:val="796"/>
    <w:uiPriority w:val="39"/>
    <w:unhideWhenUsed/>
    <w:qFormat/>
    <w:pPr>
      <w:ind w:left="567"/>
      <w:spacing w:after="57"/>
    </w:pPr>
  </w:style>
  <w:style w:type="paragraph" w:styleId="816">
    <w:name w:val="toc 8"/>
    <w:basedOn w:val="796"/>
    <w:next w:val="796"/>
    <w:uiPriority w:val="39"/>
    <w:unhideWhenUsed/>
    <w:qFormat/>
    <w:pPr>
      <w:ind w:left="1984"/>
      <w:spacing w:after="57"/>
    </w:pPr>
  </w:style>
  <w:style w:type="paragraph" w:styleId="817">
    <w:name w:val="endnote text"/>
    <w:basedOn w:val="796"/>
    <w:uiPriority w:val="99"/>
    <w:semiHidden/>
    <w:unhideWhenUsed/>
    <w:qFormat/>
    <w:rPr>
      <w:sz w:val="20"/>
    </w:rPr>
  </w:style>
  <w:style w:type="paragraph" w:styleId="818">
    <w:name w:val="Balloon Text"/>
    <w:basedOn w:val="796"/>
    <w:link w:val="1268"/>
    <w:uiPriority w:val="99"/>
    <w:semiHidden/>
    <w:unhideWhenUsed/>
    <w:qFormat/>
    <w:rPr>
      <w:sz w:val="18"/>
      <w:szCs w:val="18"/>
    </w:rPr>
  </w:style>
  <w:style w:type="paragraph" w:styleId="819">
    <w:name w:val="Footer"/>
    <w:basedOn w:val="796"/>
    <w:uiPriority w:val="99"/>
    <w:unhideWhenUsed/>
    <w:qFormat/>
    <w:pPr>
      <w:tabs>
        <w:tab w:val="center" w:pos="7143" w:leader="none"/>
        <w:tab w:val="right" w:pos="14287" w:leader="none"/>
      </w:tabs>
    </w:pPr>
  </w:style>
  <w:style w:type="paragraph" w:styleId="820">
    <w:name w:val="Header"/>
    <w:basedOn w:val="796"/>
    <w:uiPriority w:val="99"/>
    <w:unhideWhenUsed/>
    <w:qFormat/>
    <w:pPr>
      <w:tabs>
        <w:tab w:val="center" w:pos="7143" w:leader="none"/>
        <w:tab w:val="right" w:pos="14287" w:leader="none"/>
      </w:tabs>
    </w:pPr>
  </w:style>
  <w:style w:type="paragraph" w:styleId="821">
    <w:name w:val="toc 1"/>
    <w:basedOn w:val="796"/>
    <w:next w:val="796"/>
    <w:uiPriority w:val="39"/>
    <w:unhideWhenUsed/>
    <w:qFormat/>
    <w:pPr>
      <w:spacing w:after="57"/>
    </w:pPr>
  </w:style>
  <w:style w:type="paragraph" w:styleId="822">
    <w:name w:val="toc 4"/>
    <w:basedOn w:val="796"/>
    <w:next w:val="796"/>
    <w:uiPriority w:val="39"/>
    <w:unhideWhenUsed/>
    <w:qFormat/>
    <w:pPr>
      <w:ind w:left="850"/>
      <w:spacing w:after="57"/>
    </w:pPr>
  </w:style>
  <w:style w:type="paragraph" w:styleId="823">
    <w:name w:val="Subtitle"/>
    <w:basedOn w:val="796"/>
    <w:next w:val="796"/>
    <w:uiPriority w:val="11"/>
    <w:qFormat/>
    <w:pPr>
      <w:spacing w:before="200" w:after="200"/>
    </w:pPr>
    <w:rPr>
      <w:sz w:val="24"/>
      <w:szCs w:val="24"/>
    </w:rPr>
  </w:style>
  <w:style w:type="paragraph" w:styleId="824">
    <w:name w:val="List"/>
    <w:basedOn w:val="796"/>
    <w:uiPriority w:val="0"/>
    <w:qFormat/>
    <w:pPr>
      <w:ind w:left="360" w:hanging="360"/>
      <w:spacing w:after="20" w:line="288" w:lineRule="auto"/>
      <w:tabs>
        <w:tab w:val="left" w:pos="360" w:leader="none"/>
      </w:tabs>
    </w:pPr>
    <w:rPr>
      <w:szCs w:val="20"/>
      <w:lang w:val="en-GB"/>
    </w:rPr>
  </w:style>
  <w:style w:type="paragraph" w:styleId="825">
    <w:name w:val="footnote text"/>
    <w:basedOn w:val="796"/>
    <w:uiPriority w:val="99"/>
    <w:semiHidden/>
    <w:unhideWhenUsed/>
    <w:qFormat/>
    <w:pPr>
      <w:spacing w:after="40"/>
    </w:pPr>
    <w:rPr>
      <w:sz w:val="18"/>
    </w:rPr>
  </w:style>
  <w:style w:type="paragraph" w:styleId="826">
    <w:name w:val="toc 6"/>
    <w:basedOn w:val="796"/>
    <w:next w:val="796"/>
    <w:uiPriority w:val="39"/>
    <w:unhideWhenUsed/>
    <w:qFormat/>
    <w:pPr>
      <w:ind w:left="1417"/>
      <w:spacing w:after="57"/>
    </w:pPr>
  </w:style>
  <w:style w:type="paragraph" w:styleId="827">
    <w:name w:val="table of figures"/>
    <w:basedOn w:val="796"/>
    <w:next w:val="796"/>
    <w:uiPriority w:val="99"/>
    <w:unhideWhenUsed/>
    <w:qFormat/>
  </w:style>
  <w:style w:type="paragraph" w:styleId="828">
    <w:name w:val="toc 2"/>
    <w:basedOn w:val="796"/>
    <w:next w:val="796"/>
    <w:uiPriority w:val="39"/>
    <w:unhideWhenUsed/>
    <w:qFormat/>
    <w:pPr>
      <w:ind w:left="283"/>
      <w:spacing w:after="57"/>
    </w:pPr>
  </w:style>
  <w:style w:type="paragraph" w:styleId="829">
    <w:name w:val="toc 9"/>
    <w:basedOn w:val="796"/>
    <w:next w:val="796"/>
    <w:uiPriority w:val="39"/>
    <w:unhideWhenUsed/>
    <w:qFormat/>
    <w:pPr>
      <w:ind w:left="2268"/>
      <w:spacing w:after="57"/>
    </w:pPr>
  </w:style>
  <w:style w:type="paragraph" w:styleId="830">
    <w:name w:val="Normal (Web)"/>
    <w:basedOn w:val="796"/>
    <w:uiPriority w:val="0"/>
    <w:qFormat/>
    <w:pPr>
      <w:ind w:firstLine="420"/>
      <w:jc w:val="left"/>
      <w:spacing w:before="100" w:beforeAutospacing="1" w:after="100" w:afterAutospacing="1" w:line="288" w:lineRule="auto"/>
      <w:widowControl/>
    </w:pPr>
    <w:rPr>
      <w:rFonts w:ascii="宋体" w:hAnsi="宋体"/>
      <w:sz w:val="24"/>
    </w:rPr>
  </w:style>
  <w:style w:type="paragraph" w:styleId="831">
    <w:name w:val="Title"/>
    <w:basedOn w:val="796"/>
    <w:next w:val="796"/>
    <w:uiPriority w:val="10"/>
    <w:qFormat/>
    <w:pPr>
      <w:contextualSpacing/>
      <w:spacing w:before="300" w:after="200"/>
    </w:pPr>
    <w:rPr>
      <w:sz w:val="48"/>
      <w:szCs w:val="48"/>
    </w:rPr>
  </w:style>
  <w:style w:type="paragraph" w:styleId="832">
    <w:name w:val="Body Text First Indent"/>
    <w:basedOn w:val="811"/>
    <w:uiPriority w:val="99"/>
    <w:unhideWhenUsed/>
    <w:qFormat/>
    <w:pPr>
      <w:ind w:firstLine="420"/>
      <w:spacing w:after="120"/>
    </w:pPr>
    <w:rPr>
      <w:rFonts w:ascii="Calibri" w:hAnsi="Calibri" w:eastAsia="宋体"/>
      <w:sz w:val="21"/>
      <w:szCs w:val="22"/>
    </w:rPr>
  </w:style>
  <w:style w:type="paragraph" w:styleId="833">
    <w:name w:val="Body Text First Indent 2"/>
    <w:basedOn w:val="812"/>
    <w:next w:val="796"/>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8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Strong"/>
    <w:basedOn w:val="806"/>
    <w:uiPriority w:val="22"/>
    <w:qFormat/>
    <w:rPr>
      <w:b/>
    </w:rPr>
  </w:style>
  <w:style w:type="character" w:styleId="836">
    <w:name w:val="endnote reference"/>
    <w:uiPriority w:val="99"/>
    <w:semiHidden/>
    <w:unhideWhenUsed/>
    <w:qFormat/>
    <w:rPr>
      <w:vertAlign w:val="superscript"/>
    </w:rPr>
  </w:style>
  <w:style w:type="character" w:styleId="837">
    <w:name w:val="Emphasis"/>
    <w:uiPriority w:val="0"/>
    <w:qFormat/>
    <w:rPr>
      <w:rFonts w:ascii="Times New Roman" w:hAnsi="Times New Roman" w:eastAsia="宋体" w:cs="Times New Roman"/>
      <w:i/>
    </w:rPr>
  </w:style>
  <w:style w:type="character" w:styleId="838">
    <w:name w:val="Hyperlink"/>
    <w:basedOn w:val="806"/>
    <w:uiPriority w:val="99"/>
    <w:unhideWhenUsed/>
    <w:qFormat/>
    <w:rPr>
      <w:color w:val="0000ff" w:themeColor="hyperlink"/>
      <w:u w:val="single"/>
      <w14:textFill>
        <w14:solidFill>
          <w14:schemeClr w14:val="hlink"/>
        </w14:solidFill>
      </w14:textFill>
    </w:rPr>
  </w:style>
  <w:style w:type="character" w:styleId="839">
    <w:name w:val="annotation reference"/>
    <w:basedOn w:val="806"/>
    <w:uiPriority w:val="99"/>
    <w:semiHidden/>
    <w:unhideWhenUsed/>
    <w:qFormat/>
    <w:rPr>
      <w:sz w:val="21"/>
      <w:szCs w:val="21"/>
    </w:rPr>
  </w:style>
  <w:style w:type="character" w:styleId="840">
    <w:name w:val="footnote reference"/>
    <w:uiPriority w:val="99"/>
    <w:unhideWhenUsed/>
    <w:qFormat/>
    <w:rPr>
      <w:vertAlign w:val="superscript"/>
    </w:rPr>
  </w:style>
  <w:style w:type="paragraph" w:styleId="841" w:customStyle="1">
    <w:name w:val="TOC Heading"/>
    <w:uiPriority w:val="39"/>
    <w:unhideWhenUsed/>
    <w:qFormat/>
    <w:rPr>
      <w:rFonts w:hint="default" w:ascii="Times New Roman" w:hAnsi="Times New Roman" w:eastAsia="宋体" w:cs="Times New Roman"/>
    </w:rPr>
  </w:style>
  <w:style w:type="paragraph" w:styleId="842" w:customStyle="1">
    <w:name w:val="标题 111"/>
    <w:basedOn w:val="796"/>
    <w:next w:val="796"/>
    <w:link w:val="855"/>
    <w:uiPriority w:val="9"/>
    <w:qFormat/>
    <w:pPr>
      <w:jc w:val="center"/>
      <w:keepNext/>
      <w:outlineLvl w:val="0"/>
    </w:pPr>
    <w:rPr>
      <w:rFonts w:ascii="楷体_GB2312" w:hAnsi="Times New Roman" w:eastAsia="楷体_GB2312"/>
      <w:b/>
      <w:sz w:val="28"/>
      <w:szCs w:val="20"/>
    </w:rPr>
  </w:style>
  <w:style w:type="paragraph" w:styleId="843" w:customStyle="1">
    <w:name w:val="标题 211"/>
    <w:basedOn w:val="796"/>
    <w:next w:val="796"/>
    <w:link w:val="856"/>
    <w:uiPriority w:val="9"/>
    <w:qFormat/>
    <w:pPr>
      <w:jc w:val="center"/>
      <w:keepNext/>
      <w:outlineLvl w:val="1"/>
    </w:pPr>
    <w:rPr>
      <w:rFonts w:ascii="楷体_GB2312" w:hAnsi="Times New Roman" w:eastAsia="楷体_GB2312"/>
      <w:b/>
      <w:bCs/>
      <w:sz w:val="18"/>
      <w:szCs w:val="20"/>
    </w:rPr>
  </w:style>
  <w:style w:type="paragraph" w:styleId="844" w:customStyle="1">
    <w:name w:val="标题 311"/>
    <w:basedOn w:val="845"/>
    <w:next w:val="796"/>
    <w:link w:val="858"/>
    <w:uiPriority w:val="9"/>
    <w:qFormat/>
    <w:pPr>
      <w:jc w:val="left"/>
      <w:keepNext/>
    </w:pPr>
    <w:rPr>
      <w:rFonts w:ascii="Arial" w:hAnsi="Arial" w:eastAsia="Arial"/>
      <w:bCs/>
      <w:sz w:val="24"/>
      <w:szCs w:val="24"/>
      <w:lang w:eastAsia="zh-CN"/>
    </w:rPr>
  </w:style>
  <w:style w:type="paragraph" w:styleId="845" w:customStyle="1">
    <w:name w:val="Cn Heading3"/>
    <w:basedOn w:val="846"/>
    <w:uiPriority w:val="0"/>
    <w:qFormat/>
    <w:pPr>
      <w:ind w:firstLine="0"/>
      <w:spacing w:line="480" w:lineRule="auto"/>
      <w:outlineLvl w:val="2"/>
    </w:pPr>
    <w:rPr>
      <w:rFonts w:ascii="微软雅黑" w:hAnsi="微软雅黑" w:eastAsia="微软雅黑"/>
      <w:b/>
      <w:sz w:val="28"/>
      <w:szCs w:val="28"/>
      <w:lang w:eastAsia="ja-JP"/>
    </w:rPr>
  </w:style>
  <w:style w:type="paragraph" w:styleId="846" w:customStyle="1">
    <w:name w:val="列出段落1"/>
    <w:basedOn w:val="796"/>
    <w:link w:val="857"/>
    <w:uiPriority w:val="0"/>
    <w:qFormat/>
    <w:pPr>
      <w:ind w:firstLine="420"/>
      <w:spacing w:before="120" w:after="120" w:line="360" w:lineRule="auto"/>
    </w:pPr>
    <w:rPr>
      <w:rFonts w:eastAsia="宋体"/>
      <w:sz w:val="24"/>
    </w:rPr>
  </w:style>
  <w:style w:type="paragraph" w:styleId="847" w:customStyle="1">
    <w:name w:val="标题 411"/>
    <w:basedOn w:val="796"/>
    <w:next w:val="796"/>
    <w:link w:val="859"/>
    <w:uiPriority w:val="9"/>
    <w:qFormat/>
    <w:pPr>
      <w:keepNext/>
      <w:outlineLvl w:val="3"/>
    </w:pPr>
    <w:rPr>
      <w:rFonts w:ascii="Times New Roman" w:hAnsi="Times New Roman" w:eastAsia="楷体_GB2312"/>
      <w:b/>
      <w:bCs/>
      <w:sz w:val="15"/>
      <w:szCs w:val="20"/>
    </w:rPr>
  </w:style>
  <w:style w:type="paragraph" w:styleId="848" w:customStyle="1">
    <w:name w:val="标题 511"/>
    <w:basedOn w:val="796"/>
    <w:next w:val="796"/>
    <w:link w:val="860"/>
    <w:uiPriority w:val="9"/>
    <w:qFormat/>
    <w:pPr>
      <w:numPr>
        <w:ilvl w:val="0"/>
        <w:numId w:val="1"/>
      </w:numPr>
      <w:keepNext/>
      <w:outlineLvl w:val="4"/>
    </w:pPr>
    <w:rPr>
      <w:rFonts w:ascii="楷体_GB2312" w:hAnsi="Times New Roman" w:eastAsia="楷体_GB2312"/>
      <w:bCs/>
      <w:sz w:val="28"/>
      <w:szCs w:val="20"/>
    </w:rPr>
  </w:style>
  <w:style w:type="paragraph" w:styleId="849" w:customStyle="1">
    <w:name w:val="标题 611"/>
    <w:basedOn w:val="796"/>
    <w:next w:val="796"/>
    <w:link w:val="861"/>
    <w:uiPriority w:val="9"/>
    <w:qFormat/>
    <w:pPr>
      <w:keepLines/>
      <w:keepNext/>
      <w:spacing w:before="320" w:after="200"/>
      <w:outlineLvl w:val="5"/>
    </w:pPr>
    <w:rPr>
      <w:rFonts w:ascii="Arial" w:hAnsi="Arial" w:cs="Arial"/>
      <w:b/>
      <w:bCs/>
      <w:sz w:val="22"/>
    </w:rPr>
  </w:style>
  <w:style w:type="paragraph" w:styleId="850" w:customStyle="1">
    <w:name w:val="标题 711"/>
    <w:basedOn w:val="796"/>
    <w:next w:val="796"/>
    <w:link w:val="862"/>
    <w:uiPriority w:val="9"/>
    <w:qFormat/>
    <w:pPr>
      <w:keepLines/>
      <w:keepNext/>
      <w:spacing w:before="320" w:after="200"/>
      <w:outlineLvl w:val="6"/>
    </w:pPr>
    <w:rPr>
      <w:rFonts w:ascii="Arial" w:hAnsi="Arial" w:cs="Arial"/>
      <w:b/>
      <w:bCs/>
      <w:i/>
      <w:iCs/>
      <w:sz w:val="22"/>
    </w:rPr>
  </w:style>
  <w:style w:type="paragraph" w:styleId="851" w:customStyle="1">
    <w:name w:val="标题 811"/>
    <w:basedOn w:val="796"/>
    <w:next w:val="796"/>
    <w:link w:val="863"/>
    <w:uiPriority w:val="9"/>
    <w:qFormat/>
    <w:pPr>
      <w:keepLines/>
      <w:keepNext/>
      <w:spacing w:before="320" w:after="200"/>
      <w:outlineLvl w:val="7"/>
    </w:pPr>
    <w:rPr>
      <w:rFonts w:ascii="Arial" w:hAnsi="Arial" w:cs="Arial"/>
      <w:i/>
      <w:iCs/>
      <w:sz w:val="22"/>
    </w:rPr>
  </w:style>
  <w:style w:type="paragraph" w:styleId="852" w:customStyle="1">
    <w:name w:val="标题 911"/>
    <w:basedOn w:val="796"/>
    <w:next w:val="796"/>
    <w:link w:val="864"/>
    <w:uiPriority w:val="9"/>
    <w:qFormat/>
    <w:pPr>
      <w:keepLines/>
      <w:keepNext/>
      <w:spacing w:before="320" w:after="200"/>
      <w:outlineLvl w:val="8"/>
    </w:pPr>
    <w:rPr>
      <w:rFonts w:ascii="Arial" w:hAnsi="Arial" w:cs="Arial"/>
      <w:i/>
      <w:iCs/>
      <w:szCs w:val="21"/>
    </w:rPr>
  </w:style>
  <w:style w:type="character" w:styleId="853" w:customStyle="1">
    <w:name w:val="默认段落字体11"/>
    <w:uiPriority w:val="1"/>
    <w:unhideWhenUsed/>
    <w:qFormat/>
  </w:style>
  <w:style w:type="table" w:styleId="854" w:customStyle="1">
    <w:name w:val="普通表格11"/>
    <w:uiPriority w:val="99"/>
    <w:unhideWhenUsed/>
    <w:qFormat/>
    <w:tblPr>
      <w:tblCellMar>
        <w:left w:w="0" w:type="dxa"/>
        <w:top w:w="0" w:type="dxa"/>
        <w:right w:w="0" w:type="dxa"/>
        <w:bottom w:w="0" w:type="dxa"/>
      </w:tblCellMar>
    </w:tblPr>
  </w:style>
  <w:style w:type="character" w:styleId="855" w:customStyle="1">
    <w:name w:val="标题 1 Char1"/>
    <w:basedOn w:val="853"/>
    <w:link w:val="842"/>
    <w:uiPriority w:val="9"/>
    <w:qFormat/>
    <w:rPr>
      <w:rFonts w:ascii="楷体_GB2312" w:hAnsi="Times New Roman" w:eastAsia="楷体_GB2312" w:cs="Times New Roman"/>
      <w:b/>
      <w:sz w:val="28"/>
      <w:szCs w:val="20"/>
    </w:rPr>
  </w:style>
  <w:style w:type="character" w:styleId="856" w:customStyle="1">
    <w:name w:val="标题 2 Char1"/>
    <w:basedOn w:val="853"/>
    <w:link w:val="843"/>
    <w:uiPriority w:val="9"/>
    <w:qFormat/>
    <w:rPr>
      <w:rFonts w:ascii="楷体_GB2312" w:hAnsi="Times New Roman" w:eastAsia="楷体_GB2312" w:cs="Times New Roman"/>
      <w:b/>
      <w:bCs/>
      <w:sz w:val="18"/>
      <w:szCs w:val="20"/>
    </w:rPr>
  </w:style>
  <w:style w:type="character" w:styleId="857" w:customStyle="1">
    <w:name w:val="列出段落 Char"/>
    <w:link w:val="846"/>
    <w:uiPriority w:val="0"/>
    <w:qFormat/>
    <w:rPr>
      <w:rFonts w:ascii="Calibri" w:hAnsi="Calibri" w:eastAsia="宋体" w:cs="Times New Roman"/>
      <w:sz w:val="24"/>
      <w:szCs w:val="22"/>
    </w:rPr>
  </w:style>
  <w:style w:type="character" w:styleId="858" w:customStyle="1">
    <w:name w:val="标题 3 Char1"/>
    <w:basedOn w:val="853"/>
    <w:link w:val="844"/>
    <w:uiPriority w:val="9"/>
    <w:qFormat/>
    <w:rPr>
      <w:rFonts w:ascii="Arial" w:hAnsi="Arial"/>
      <w:b/>
      <w:bCs/>
      <w:sz w:val="24"/>
      <w:szCs w:val="24"/>
    </w:rPr>
  </w:style>
  <w:style w:type="character" w:styleId="859" w:customStyle="1">
    <w:name w:val="标题 4 Char1"/>
    <w:basedOn w:val="853"/>
    <w:link w:val="847"/>
    <w:uiPriority w:val="9"/>
    <w:qFormat/>
    <w:rPr>
      <w:rFonts w:ascii="Times New Roman" w:hAnsi="Times New Roman" w:eastAsia="楷体_GB2312" w:cs="Times New Roman"/>
      <w:b/>
      <w:bCs/>
      <w:sz w:val="15"/>
    </w:rPr>
  </w:style>
  <w:style w:type="character" w:styleId="860" w:customStyle="1">
    <w:name w:val="标题 5 Char1"/>
    <w:basedOn w:val="853"/>
    <w:link w:val="848"/>
    <w:uiPriority w:val="9"/>
    <w:qFormat/>
    <w:rPr>
      <w:rFonts w:ascii="楷体_GB2312" w:hAnsi="Times New Roman" w:eastAsia="楷体_GB2312" w:cs="Times New Roman"/>
      <w:bCs/>
      <w:sz w:val="28"/>
    </w:rPr>
  </w:style>
  <w:style w:type="character" w:styleId="861" w:customStyle="1">
    <w:name w:val="标题 6 Char1"/>
    <w:basedOn w:val="853"/>
    <w:link w:val="849"/>
    <w:uiPriority w:val="9"/>
    <w:qFormat/>
    <w:rPr>
      <w:rFonts w:ascii="Arial" w:hAnsi="Arial" w:eastAsia="Arial" w:cs="Arial"/>
      <w:b/>
      <w:bCs/>
      <w:sz w:val="22"/>
      <w:szCs w:val="22"/>
    </w:rPr>
  </w:style>
  <w:style w:type="character" w:styleId="862" w:customStyle="1">
    <w:name w:val="标题 7 Char1"/>
    <w:basedOn w:val="853"/>
    <w:link w:val="850"/>
    <w:uiPriority w:val="9"/>
    <w:qFormat/>
    <w:rPr>
      <w:rFonts w:ascii="Arial" w:hAnsi="Arial" w:eastAsia="Arial" w:cs="Arial"/>
      <w:b/>
      <w:bCs/>
      <w:i/>
      <w:iCs/>
      <w:sz w:val="22"/>
      <w:szCs w:val="22"/>
    </w:rPr>
  </w:style>
  <w:style w:type="character" w:styleId="863" w:customStyle="1">
    <w:name w:val="标题 8 Char1"/>
    <w:basedOn w:val="853"/>
    <w:link w:val="851"/>
    <w:uiPriority w:val="9"/>
    <w:qFormat/>
    <w:rPr>
      <w:rFonts w:ascii="Arial" w:hAnsi="Arial" w:eastAsia="Arial" w:cs="Arial"/>
      <w:i/>
      <w:iCs/>
      <w:sz w:val="22"/>
      <w:szCs w:val="22"/>
    </w:rPr>
  </w:style>
  <w:style w:type="character" w:styleId="864" w:customStyle="1">
    <w:name w:val="标题 9 Char1"/>
    <w:basedOn w:val="853"/>
    <w:link w:val="852"/>
    <w:uiPriority w:val="9"/>
    <w:qFormat/>
    <w:rPr>
      <w:rFonts w:ascii="Arial" w:hAnsi="Arial" w:eastAsia="Arial" w:cs="Arial"/>
      <w:i/>
      <w:iCs/>
      <w:sz w:val="21"/>
      <w:szCs w:val="21"/>
    </w:rPr>
  </w:style>
  <w:style w:type="paragraph" w:styleId="865" w:customStyle="1">
    <w:name w:val="目录 7111"/>
    <w:basedOn w:val="796"/>
    <w:next w:val="796"/>
    <w:uiPriority w:val="39"/>
    <w:unhideWhenUsed/>
    <w:qFormat/>
    <w:pPr>
      <w:ind w:left="1701"/>
      <w:spacing w:after="57"/>
    </w:pPr>
    <w:rPr>
      <w:rFonts w:ascii="Times New Roman" w:hAnsi="Times New Roman" w:eastAsia="宋体"/>
      <w:szCs w:val="21"/>
    </w:rPr>
  </w:style>
  <w:style w:type="paragraph" w:styleId="866" w:customStyle="1">
    <w:name w:val="正文缩进11"/>
    <w:basedOn w:val="796"/>
    <w:uiPriority w:val="99"/>
    <w:qFormat/>
    <w:pPr>
      <w:ind w:firstLine="420"/>
    </w:pPr>
    <w:rPr>
      <w:rFonts w:ascii="Times New Roman" w:hAnsi="Times New Roman" w:eastAsia="宋体"/>
      <w:szCs w:val="20"/>
    </w:rPr>
  </w:style>
  <w:style w:type="paragraph" w:styleId="867" w:customStyle="1">
    <w:name w:val="题注1"/>
    <w:basedOn w:val="796"/>
    <w:next w:val="796"/>
    <w:uiPriority w:val="35"/>
    <w:qFormat/>
    <w:pPr>
      <w:spacing w:line="276" w:lineRule="auto"/>
    </w:pPr>
    <w:rPr>
      <w:rFonts w:ascii="Times New Roman" w:hAnsi="Times New Roman" w:eastAsia="宋体"/>
      <w:b/>
      <w:bCs/>
      <w:color w:val="4f81bd"/>
      <w:sz w:val="18"/>
      <w:szCs w:val="18"/>
    </w:rPr>
  </w:style>
  <w:style w:type="paragraph" w:styleId="868" w:customStyle="1">
    <w:name w:val="文档结构图11"/>
    <w:basedOn w:val="796"/>
    <w:link w:val="869"/>
    <w:uiPriority w:val="99"/>
    <w:semiHidden/>
    <w:qFormat/>
    <w:pPr>
      <w:shd w:val="clear" w:color="auto" w:fill="000080"/>
    </w:pPr>
    <w:rPr>
      <w:rFonts w:ascii="Times New Roman" w:hAnsi="Times New Roman" w:eastAsia="宋体"/>
      <w:sz w:val="20"/>
      <w:szCs w:val="20"/>
    </w:rPr>
  </w:style>
  <w:style w:type="character" w:styleId="869" w:customStyle="1">
    <w:name w:val="文档结构图 Char1"/>
    <w:basedOn w:val="853"/>
    <w:link w:val="868"/>
    <w:uiPriority w:val="99"/>
    <w:semiHidden/>
    <w:qFormat/>
    <w:rPr>
      <w:rFonts w:ascii="Times New Roman" w:hAnsi="Times New Roman" w:eastAsia="宋体" w:cs="Times New Roman"/>
      <w:sz w:val="20"/>
      <w:szCs w:val="20"/>
      <w:shd w:val="clear" w:color="auto" w:fill="000080"/>
    </w:rPr>
  </w:style>
  <w:style w:type="paragraph" w:styleId="870" w:customStyle="1">
    <w:name w:val="批注文字11"/>
    <w:basedOn w:val="796"/>
    <w:link w:val="871"/>
    <w:uiPriority w:val="99"/>
    <w:unhideWhenUsed/>
    <w:qFormat/>
    <w:pPr>
      <w:jc w:val="left"/>
    </w:pPr>
  </w:style>
  <w:style w:type="character" w:styleId="871" w:customStyle="1">
    <w:name w:val="批注文字 Char1"/>
    <w:basedOn w:val="853"/>
    <w:link w:val="870"/>
    <w:uiPriority w:val="99"/>
    <w:semiHidden/>
    <w:qFormat/>
  </w:style>
  <w:style w:type="paragraph" w:styleId="872" w:customStyle="1">
    <w:name w:val="正文文本11"/>
    <w:basedOn w:val="796"/>
    <w:link w:val="873"/>
    <w:uiPriority w:val="99"/>
    <w:qFormat/>
    <w:rPr>
      <w:rFonts w:ascii="华文中宋" w:hAnsi="Times New Roman" w:eastAsia="华文中宋"/>
      <w:bCs/>
      <w:sz w:val="28"/>
      <w:szCs w:val="20"/>
    </w:rPr>
  </w:style>
  <w:style w:type="character" w:styleId="873" w:customStyle="1">
    <w:name w:val="正文文本 Char1"/>
    <w:basedOn w:val="853"/>
    <w:link w:val="872"/>
    <w:uiPriority w:val="99"/>
    <w:qFormat/>
    <w:rPr>
      <w:rFonts w:ascii="华文中宋" w:hAnsi="Times New Roman" w:eastAsia="华文中宋" w:cs="Times New Roman"/>
      <w:bCs/>
      <w:sz w:val="28"/>
      <w:szCs w:val="20"/>
    </w:rPr>
  </w:style>
  <w:style w:type="paragraph" w:styleId="874" w:customStyle="1">
    <w:name w:val="正文文本缩进11"/>
    <w:basedOn w:val="796"/>
    <w:link w:val="875"/>
    <w:uiPriority w:val="99"/>
    <w:qFormat/>
    <w:pPr>
      <w:ind w:firstLine="576"/>
    </w:pPr>
    <w:rPr>
      <w:rFonts w:ascii="Times New Roman" w:hAnsi="Times New Roman" w:eastAsia="宋体"/>
      <w:b/>
      <w:sz w:val="30"/>
      <w:szCs w:val="20"/>
    </w:rPr>
  </w:style>
  <w:style w:type="character" w:styleId="875" w:customStyle="1">
    <w:name w:val="正文文本缩进 Char1"/>
    <w:basedOn w:val="853"/>
    <w:link w:val="874"/>
    <w:uiPriority w:val="99"/>
    <w:qFormat/>
    <w:rPr>
      <w:rFonts w:ascii="Times New Roman" w:hAnsi="Times New Roman" w:eastAsia="宋体" w:cs="Times New Roman"/>
      <w:b/>
      <w:sz w:val="30"/>
      <w:szCs w:val="20"/>
    </w:rPr>
  </w:style>
  <w:style w:type="paragraph" w:styleId="876" w:customStyle="1">
    <w:name w:val="索引 41"/>
    <w:basedOn w:val="796"/>
    <w:next w:val="796"/>
    <w:uiPriority w:val="99"/>
    <w:qFormat/>
    <w:pPr>
      <w:ind w:left="600"/>
    </w:pPr>
    <w:rPr>
      <w:szCs w:val="24"/>
    </w:rPr>
  </w:style>
  <w:style w:type="paragraph" w:styleId="877" w:customStyle="1">
    <w:name w:val="目录 5111"/>
    <w:basedOn w:val="796"/>
    <w:next w:val="796"/>
    <w:uiPriority w:val="39"/>
    <w:unhideWhenUsed/>
    <w:qFormat/>
    <w:pPr>
      <w:ind w:left="1134"/>
      <w:spacing w:after="57"/>
    </w:pPr>
    <w:rPr>
      <w:rFonts w:ascii="Times New Roman" w:hAnsi="Times New Roman" w:eastAsia="宋体"/>
      <w:szCs w:val="21"/>
    </w:rPr>
  </w:style>
  <w:style w:type="paragraph" w:styleId="878" w:customStyle="1">
    <w:name w:val="目录 3111"/>
    <w:basedOn w:val="796"/>
    <w:next w:val="796"/>
    <w:uiPriority w:val="39"/>
    <w:unhideWhenUsed/>
    <w:qFormat/>
    <w:pPr>
      <w:ind w:left="567"/>
      <w:spacing w:after="57"/>
    </w:pPr>
    <w:rPr>
      <w:rFonts w:ascii="Times New Roman" w:hAnsi="Times New Roman" w:eastAsia="宋体"/>
      <w:szCs w:val="21"/>
    </w:rPr>
  </w:style>
  <w:style w:type="paragraph" w:styleId="879" w:customStyle="1">
    <w:name w:val="纯文本11"/>
    <w:basedOn w:val="796"/>
    <w:uiPriority w:val="0"/>
    <w:qFormat/>
    <w:rPr>
      <w:rFonts w:ascii="黑体"/>
      <w:szCs w:val="21"/>
    </w:rPr>
  </w:style>
  <w:style w:type="paragraph" w:styleId="880" w:customStyle="1">
    <w:name w:val="目录 8111"/>
    <w:basedOn w:val="796"/>
    <w:next w:val="796"/>
    <w:uiPriority w:val="39"/>
    <w:unhideWhenUsed/>
    <w:qFormat/>
    <w:pPr>
      <w:ind w:left="1984"/>
      <w:spacing w:after="57"/>
    </w:pPr>
    <w:rPr>
      <w:rFonts w:ascii="Times New Roman" w:hAnsi="Times New Roman" w:eastAsia="宋体"/>
      <w:szCs w:val="21"/>
    </w:rPr>
  </w:style>
  <w:style w:type="paragraph" w:styleId="881" w:customStyle="1">
    <w:name w:val="日期11"/>
    <w:basedOn w:val="796"/>
    <w:next w:val="796"/>
    <w:link w:val="882"/>
    <w:uiPriority w:val="99"/>
    <w:qFormat/>
    <w:rPr>
      <w:rFonts w:ascii="Times New Roman" w:hAnsi="Times New Roman" w:eastAsia="黑体"/>
      <w:b/>
      <w:sz w:val="36"/>
      <w:szCs w:val="20"/>
    </w:rPr>
  </w:style>
  <w:style w:type="character" w:styleId="882" w:customStyle="1">
    <w:name w:val="日期 Char1"/>
    <w:basedOn w:val="853"/>
    <w:link w:val="881"/>
    <w:uiPriority w:val="99"/>
    <w:qFormat/>
    <w:rPr>
      <w:rFonts w:ascii="Times New Roman" w:hAnsi="Times New Roman" w:eastAsia="黑体" w:cs="Times New Roman"/>
      <w:b/>
      <w:sz w:val="36"/>
      <w:szCs w:val="20"/>
    </w:rPr>
  </w:style>
  <w:style w:type="paragraph" w:styleId="883" w:customStyle="1">
    <w:name w:val="正文文本缩进 211"/>
    <w:basedOn w:val="796"/>
    <w:link w:val="884"/>
    <w:uiPriority w:val="99"/>
    <w:qFormat/>
    <w:pPr>
      <w:ind w:left="900"/>
    </w:pPr>
    <w:rPr>
      <w:rFonts w:ascii="楷体_GB2312" w:hAnsi="Times New Roman" w:eastAsia="楷体_GB2312"/>
      <w:b/>
      <w:sz w:val="28"/>
      <w:szCs w:val="20"/>
    </w:rPr>
  </w:style>
  <w:style w:type="character" w:styleId="884" w:customStyle="1">
    <w:name w:val="正文文本缩进 2 Char1"/>
    <w:basedOn w:val="853"/>
    <w:link w:val="883"/>
    <w:uiPriority w:val="99"/>
    <w:qFormat/>
    <w:rPr>
      <w:rFonts w:ascii="楷体_GB2312" w:hAnsi="Times New Roman" w:eastAsia="楷体_GB2312" w:cs="Times New Roman"/>
      <w:b/>
      <w:sz w:val="28"/>
      <w:szCs w:val="20"/>
    </w:rPr>
  </w:style>
  <w:style w:type="paragraph" w:styleId="885" w:customStyle="1">
    <w:name w:val="尾注文本1"/>
    <w:basedOn w:val="796"/>
    <w:link w:val="886"/>
    <w:uiPriority w:val="99"/>
    <w:unhideWhenUsed/>
    <w:qFormat/>
    <w:rPr>
      <w:rFonts w:ascii="Times New Roman" w:hAnsi="Times New Roman" w:eastAsia="宋体"/>
      <w:sz w:val="20"/>
      <w:szCs w:val="21"/>
    </w:rPr>
  </w:style>
  <w:style w:type="character" w:styleId="886" w:customStyle="1">
    <w:name w:val="尾注文本 Char"/>
    <w:basedOn w:val="853"/>
    <w:link w:val="885"/>
    <w:uiPriority w:val="99"/>
    <w:qFormat/>
    <w:rPr>
      <w:rFonts w:ascii="Times New Roman" w:hAnsi="Times New Roman" w:eastAsia="宋体" w:cs="Times New Roman"/>
      <w:szCs w:val="21"/>
    </w:rPr>
  </w:style>
  <w:style w:type="paragraph" w:styleId="887" w:customStyle="1">
    <w:name w:val="批注框文本11"/>
    <w:basedOn w:val="796"/>
    <w:link w:val="888"/>
    <w:uiPriority w:val="99"/>
    <w:unhideWhenUsed/>
    <w:qFormat/>
    <w:rPr>
      <w:rFonts w:ascii="Times New Roman" w:hAnsi="Times New Roman" w:eastAsia="宋体"/>
      <w:sz w:val="18"/>
      <w:szCs w:val="18"/>
    </w:rPr>
  </w:style>
  <w:style w:type="character" w:styleId="888" w:customStyle="1">
    <w:name w:val="批注框文本 Char1"/>
    <w:basedOn w:val="853"/>
    <w:link w:val="887"/>
    <w:uiPriority w:val="99"/>
    <w:semiHidden/>
    <w:qFormat/>
    <w:rPr>
      <w:rFonts w:ascii="Times New Roman" w:hAnsi="Times New Roman" w:eastAsia="宋体" w:cs="Times New Roman"/>
      <w:sz w:val="18"/>
      <w:szCs w:val="18"/>
    </w:rPr>
  </w:style>
  <w:style w:type="paragraph" w:styleId="889" w:customStyle="1">
    <w:name w:val="页脚11"/>
    <w:basedOn w:val="796"/>
    <w:next w:val="890"/>
    <w:link w:val="891"/>
    <w:uiPriority w:val="99"/>
    <w:qFormat/>
    <w:pPr>
      <w:jc w:val="left"/>
      <w:tabs>
        <w:tab w:val="center" w:pos="4153" w:leader="none"/>
        <w:tab w:val="right" w:pos="8306" w:leader="none"/>
      </w:tabs>
    </w:pPr>
    <w:rPr>
      <w:rFonts w:ascii="Times New Roman" w:hAnsi="Times New Roman" w:eastAsia="宋体"/>
      <w:sz w:val="18"/>
      <w:szCs w:val="20"/>
    </w:rPr>
  </w:style>
  <w:style w:type="paragraph" w:styleId="890" w:customStyle="1">
    <w:name w:val="明显引用1"/>
    <w:next w:val="796"/>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891" w:customStyle="1">
    <w:name w:val="页脚 Char1"/>
    <w:basedOn w:val="853"/>
    <w:link w:val="889"/>
    <w:uiPriority w:val="99"/>
    <w:qFormat/>
    <w:rPr>
      <w:rFonts w:ascii="Times New Roman" w:hAnsi="Times New Roman" w:eastAsia="宋体" w:cs="Times New Roman"/>
      <w:sz w:val="18"/>
      <w:szCs w:val="20"/>
    </w:rPr>
  </w:style>
  <w:style w:type="paragraph" w:styleId="892" w:customStyle="1">
    <w:name w:val="页眉11"/>
    <w:basedOn w:val="796"/>
    <w:link w:val="893"/>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93" w:customStyle="1">
    <w:name w:val="页眉 Char1"/>
    <w:basedOn w:val="853"/>
    <w:link w:val="892"/>
    <w:uiPriority w:val="99"/>
    <w:qFormat/>
    <w:rPr>
      <w:rFonts w:ascii="Times New Roman" w:hAnsi="Times New Roman" w:eastAsia="宋体" w:cs="Times New Roman"/>
      <w:sz w:val="18"/>
      <w:szCs w:val="20"/>
    </w:rPr>
  </w:style>
  <w:style w:type="paragraph" w:styleId="894" w:customStyle="1">
    <w:name w:val="目录 1112"/>
    <w:basedOn w:val="796"/>
    <w:next w:val="796"/>
    <w:uiPriority w:val="39"/>
    <w:unhideWhenUsed/>
    <w:qFormat/>
    <w:pPr>
      <w:spacing w:after="57"/>
    </w:pPr>
    <w:rPr>
      <w:rFonts w:ascii="Times New Roman" w:hAnsi="Times New Roman" w:eastAsia="宋体"/>
      <w:szCs w:val="21"/>
    </w:rPr>
  </w:style>
  <w:style w:type="paragraph" w:styleId="895" w:customStyle="1">
    <w:name w:val="目录 4111"/>
    <w:basedOn w:val="796"/>
    <w:next w:val="796"/>
    <w:uiPriority w:val="39"/>
    <w:unhideWhenUsed/>
    <w:qFormat/>
    <w:pPr>
      <w:ind w:left="850"/>
      <w:spacing w:after="57"/>
    </w:pPr>
    <w:rPr>
      <w:rFonts w:ascii="Times New Roman" w:hAnsi="Times New Roman" w:eastAsia="宋体"/>
      <w:szCs w:val="21"/>
    </w:rPr>
  </w:style>
  <w:style w:type="paragraph" w:styleId="896" w:customStyle="1">
    <w:name w:val="副标题1"/>
    <w:basedOn w:val="796"/>
    <w:next w:val="796"/>
    <w:link w:val="897"/>
    <w:uiPriority w:val="11"/>
    <w:qFormat/>
    <w:pPr>
      <w:ind w:firstLine="471"/>
      <w:jc w:val="center"/>
      <w:spacing w:before="240" w:after="60" w:line="312" w:lineRule="atLeast"/>
      <w:outlineLvl w:val="1"/>
    </w:pPr>
    <w:rPr>
      <w:rFonts w:ascii="Arial" w:hAnsi="Arial"/>
      <w:b/>
      <w:bCs/>
      <w:sz w:val="32"/>
      <w:szCs w:val="32"/>
    </w:rPr>
  </w:style>
  <w:style w:type="character" w:styleId="897" w:customStyle="1">
    <w:name w:val="副标题 Char"/>
    <w:link w:val="896"/>
    <w:uiPriority w:val="11"/>
    <w:qFormat/>
    <w:rPr>
      <w:rFonts w:ascii="Arial" w:hAnsi="Arial"/>
      <w:b/>
      <w:bCs/>
      <w:sz w:val="32"/>
      <w:szCs w:val="32"/>
    </w:rPr>
  </w:style>
  <w:style w:type="paragraph" w:styleId="898" w:customStyle="1">
    <w:name w:val="列表11"/>
    <w:basedOn w:val="796"/>
    <w:uiPriority w:val="0"/>
    <w:qFormat/>
    <w:pPr>
      <w:ind w:firstLine="480"/>
      <w:spacing w:after="20" w:line="360" w:lineRule="auto"/>
      <w:tabs>
        <w:tab w:val="left" w:pos="420" w:leader="none"/>
      </w:tabs>
    </w:pPr>
    <w:rPr>
      <w:rFonts w:ascii="宋体" w:hAnsi="宋体" w:eastAsia="宋体" w:cs="宋体"/>
      <w:sz w:val="24"/>
      <w:szCs w:val="24"/>
    </w:rPr>
  </w:style>
  <w:style w:type="paragraph" w:styleId="899" w:customStyle="1">
    <w:name w:val="脚注文本1"/>
    <w:basedOn w:val="796"/>
    <w:link w:val="900"/>
    <w:uiPriority w:val="99"/>
    <w:unhideWhenUsed/>
    <w:qFormat/>
    <w:pPr>
      <w:spacing w:after="40"/>
    </w:pPr>
    <w:rPr>
      <w:rFonts w:ascii="Times New Roman" w:hAnsi="Times New Roman" w:eastAsia="宋体"/>
      <w:sz w:val="18"/>
      <w:szCs w:val="21"/>
    </w:rPr>
  </w:style>
  <w:style w:type="character" w:styleId="900" w:customStyle="1">
    <w:name w:val="脚注文本 Char"/>
    <w:basedOn w:val="853"/>
    <w:link w:val="899"/>
    <w:uiPriority w:val="99"/>
    <w:qFormat/>
    <w:rPr>
      <w:rFonts w:ascii="Times New Roman" w:hAnsi="Times New Roman" w:eastAsia="宋体" w:cs="Times New Roman"/>
      <w:sz w:val="18"/>
      <w:szCs w:val="21"/>
    </w:rPr>
  </w:style>
  <w:style w:type="paragraph" w:styleId="901" w:customStyle="1">
    <w:name w:val="目录 6111"/>
    <w:basedOn w:val="796"/>
    <w:next w:val="796"/>
    <w:uiPriority w:val="39"/>
    <w:unhideWhenUsed/>
    <w:qFormat/>
    <w:pPr>
      <w:ind w:left="1417"/>
      <w:spacing w:after="57"/>
    </w:pPr>
    <w:rPr>
      <w:rFonts w:ascii="Times New Roman" w:hAnsi="Times New Roman" w:eastAsia="宋体"/>
      <w:szCs w:val="21"/>
    </w:rPr>
  </w:style>
  <w:style w:type="paragraph" w:styleId="902" w:customStyle="1">
    <w:name w:val="正文文本缩进 311"/>
    <w:basedOn w:val="796"/>
    <w:link w:val="903"/>
    <w:uiPriority w:val="99"/>
    <w:qFormat/>
    <w:pPr>
      <w:ind w:left="359" w:firstLine="359"/>
    </w:pPr>
    <w:rPr>
      <w:rFonts w:ascii="Times New Roman" w:hAnsi="Times New Roman" w:eastAsia="宋体"/>
      <w:sz w:val="20"/>
      <w:szCs w:val="20"/>
    </w:rPr>
  </w:style>
  <w:style w:type="character" w:styleId="903" w:customStyle="1">
    <w:name w:val="正文文本缩进 3 Char1"/>
    <w:basedOn w:val="853"/>
    <w:link w:val="902"/>
    <w:uiPriority w:val="99"/>
    <w:qFormat/>
    <w:rPr>
      <w:rFonts w:ascii="Times New Roman" w:hAnsi="Times New Roman" w:eastAsia="宋体" w:cs="Times New Roman"/>
      <w:sz w:val="20"/>
      <w:szCs w:val="20"/>
    </w:rPr>
  </w:style>
  <w:style w:type="paragraph" w:styleId="904" w:customStyle="1">
    <w:name w:val="图表目录11"/>
    <w:basedOn w:val="796"/>
    <w:next w:val="796"/>
    <w:uiPriority w:val="99"/>
    <w:unhideWhenUsed/>
    <w:qFormat/>
    <w:rPr>
      <w:rFonts w:ascii="Times New Roman" w:hAnsi="Times New Roman" w:eastAsia="宋体"/>
      <w:szCs w:val="21"/>
    </w:rPr>
  </w:style>
  <w:style w:type="paragraph" w:styleId="905" w:customStyle="1">
    <w:name w:val="目录 2111"/>
    <w:basedOn w:val="796"/>
    <w:next w:val="796"/>
    <w:uiPriority w:val="39"/>
    <w:unhideWhenUsed/>
    <w:qFormat/>
    <w:pPr>
      <w:ind w:left="283"/>
      <w:spacing w:after="57"/>
    </w:pPr>
    <w:rPr>
      <w:rFonts w:ascii="Times New Roman" w:hAnsi="Times New Roman" w:eastAsia="宋体"/>
      <w:szCs w:val="21"/>
    </w:rPr>
  </w:style>
  <w:style w:type="paragraph" w:styleId="906" w:customStyle="1">
    <w:name w:val="目录 9111"/>
    <w:basedOn w:val="796"/>
    <w:next w:val="796"/>
    <w:uiPriority w:val="39"/>
    <w:unhideWhenUsed/>
    <w:qFormat/>
    <w:pPr>
      <w:ind w:left="2268"/>
      <w:spacing w:after="57"/>
    </w:pPr>
    <w:rPr>
      <w:rFonts w:ascii="Times New Roman" w:hAnsi="Times New Roman" w:eastAsia="宋体"/>
      <w:szCs w:val="21"/>
    </w:rPr>
  </w:style>
  <w:style w:type="paragraph" w:styleId="907" w:customStyle="1">
    <w:name w:val="正文文本 211"/>
    <w:basedOn w:val="796"/>
    <w:link w:val="908"/>
    <w:uiPriority w:val="99"/>
    <w:qFormat/>
    <w:pPr>
      <w:spacing w:after="120" w:line="480" w:lineRule="auto"/>
    </w:pPr>
    <w:rPr>
      <w:rFonts w:ascii="Times New Roman" w:hAnsi="Times New Roman" w:eastAsia="宋体"/>
      <w:sz w:val="20"/>
      <w:szCs w:val="20"/>
    </w:rPr>
  </w:style>
  <w:style w:type="character" w:styleId="908" w:customStyle="1">
    <w:name w:val="正文文本 2 Char1"/>
    <w:basedOn w:val="853"/>
    <w:link w:val="907"/>
    <w:uiPriority w:val="99"/>
    <w:qFormat/>
    <w:rPr>
      <w:rFonts w:ascii="Times New Roman" w:hAnsi="Times New Roman" w:eastAsia="宋体" w:cs="Times New Roman"/>
      <w:sz w:val="20"/>
      <w:szCs w:val="20"/>
    </w:rPr>
  </w:style>
  <w:style w:type="paragraph" w:styleId="909" w:customStyle="1">
    <w:name w:val="普通(网站)11"/>
    <w:basedOn w:val="79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10" w:customStyle="1">
    <w:name w:val="标题11"/>
    <w:basedOn w:val="796"/>
    <w:next w:val="796"/>
    <w:link w:val="911"/>
    <w:uiPriority w:val="10"/>
    <w:qFormat/>
    <w:pPr>
      <w:contextualSpacing/>
      <w:spacing w:before="300" w:after="200"/>
    </w:pPr>
    <w:rPr>
      <w:rFonts w:ascii="Times New Roman" w:hAnsi="Times New Roman" w:eastAsia="宋体"/>
      <w:sz w:val="48"/>
      <w:szCs w:val="48"/>
    </w:rPr>
  </w:style>
  <w:style w:type="character" w:styleId="911" w:customStyle="1">
    <w:name w:val="标题 Char"/>
    <w:basedOn w:val="853"/>
    <w:link w:val="910"/>
    <w:uiPriority w:val="10"/>
    <w:qFormat/>
    <w:rPr>
      <w:rFonts w:ascii="Times New Roman" w:hAnsi="Times New Roman" w:eastAsia="宋体" w:cs="Times New Roman"/>
      <w:sz w:val="48"/>
      <w:szCs w:val="48"/>
    </w:rPr>
  </w:style>
  <w:style w:type="paragraph" w:styleId="912" w:customStyle="1">
    <w:name w:val="批注主题11"/>
    <w:basedOn w:val="870"/>
    <w:next w:val="870"/>
    <w:link w:val="913"/>
    <w:uiPriority w:val="99"/>
    <w:unhideWhenUsed/>
    <w:qFormat/>
    <w:rPr>
      <w:b/>
      <w:bCs/>
    </w:rPr>
  </w:style>
  <w:style w:type="character" w:styleId="913" w:customStyle="1">
    <w:name w:val="批注主题 Char1"/>
    <w:basedOn w:val="871"/>
    <w:link w:val="912"/>
    <w:uiPriority w:val="99"/>
    <w:semiHidden/>
    <w:qFormat/>
    <w:rPr>
      <w:b/>
      <w:bCs/>
    </w:rPr>
  </w:style>
  <w:style w:type="paragraph" w:styleId="914" w:customStyle="1">
    <w:name w:val="正文首行缩进11"/>
    <w:basedOn w:val="872"/>
    <w:uiPriority w:val="99"/>
    <w:unhideWhenUsed/>
    <w:qFormat/>
    <w:pPr>
      <w:ind w:firstLine="420"/>
      <w:spacing w:after="120"/>
    </w:pPr>
    <w:rPr>
      <w:rFonts w:ascii="Calibri" w:hAnsi="Calibri" w:eastAsia="宋体"/>
      <w:sz w:val="21"/>
      <w:szCs w:val="22"/>
    </w:rPr>
  </w:style>
  <w:style w:type="paragraph" w:styleId="915" w:customStyle="1">
    <w:name w:val="正文首行缩进 211"/>
    <w:basedOn w:val="874"/>
    <w:next w:val="796"/>
    <w:link w:val="916"/>
    <w:uiPriority w:val="99"/>
    <w:unhideWhenUsed/>
    <w:qFormat/>
    <w:pPr>
      <w:ind w:left="420" w:firstLine="420"/>
      <w:spacing w:after="120"/>
    </w:pPr>
    <w:rPr>
      <w:rFonts w:ascii="Calibri" w:hAnsi="Calibri" w:eastAsia="Arial"/>
      <w:b w:val="0"/>
      <w:sz w:val="21"/>
      <w:szCs w:val="22"/>
    </w:rPr>
  </w:style>
  <w:style w:type="character" w:styleId="916" w:customStyle="1">
    <w:name w:val="正文首行缩进 2 Char1"/>
    <w:basedOn w:val="875"/>
    <w:link w:val="915"/>
    <w:uiPriority w:val="99"/>
    <w:semiHidden/>
    <w:qFormat/>
    <w:rPr>
      <w:rFonts w:ascii="Times New Roman" w:hAnsi="Times New Roman" w:eastAsia="宋体" w:cs="Times New Roman"/>
      <w:b w:val="0"/>
      <w:sz w:val="21"/>
      <w:szCs w:val="22"/>
    </w:rPr>
  </w:style>
  <w:style w:type="table" w:styleId="917" w:customStyle="1">
    <w:name w:val="网格型11"/>
    <w:basedOn w:val="854"/>
    <w:uiPriority w:val="59"/>
    <w:qFormat/>
    <w:rPr>
      <w:rFonts w:eastAsia="Times New Roman"/>
    </w:rPr>
    <w:tblPr>
      <w:tblCellMar>
        <w:left w:w="0" w:type="dxa"/>
        <w:top w:w="0" w:type="dxa"/>
        <w:right w:w="0" w:type="dxa"/>
        <w:bottom w:w="0" w:type="dxa"/>
      </w:tblCellMar>
    </w:tblPr>
  </w:style>
  <w:style w:type="character" w:styleId="918" w:customStyle="1">
    <w:name w:val="要点11"/>
    <w:uiPriority w:val="99"/>
    <w:qFormat/>
    <w:rPr>
      <w:rFonts w:cs="Times New Roman"/>
      <w:b/>
      <w:bCs/>
    </w:rPr>
  </w:style>
  <w:style w:type="character" w:styleId="919" w:customStyle="1">
    <w:name w:val="尾注引用1"/>
    <w:uiPriority w:val="99"/>
    <w:unhideWhenUsed/>
    <w:qFormat/>
    <w:rPr>
      <w:vertAlign w:val="superscript"/>
    </w:rPr>
  </w:style>
  <w:style w:type="character" w:styleId="920" w:customStyle="1">
    <w:name w:val="页码11"/>
    <w:uiPriority w:val="99"/>
    <w:qFormat/>
    <w:rPr>
      <w:rFonts w:cs="Times New Roman"/>
    </w:rPr>
  </w:style>
  <w:style w:type="character" w:styleId="921" w:customStyle="1">
    <w:name w:val="已访问的超链接11"/>
    <w:uiPriority w:val="99"/>
    <w:unhideWhenUsed/>
    <w:qFormat/>
    <w:rPr>
      <w:color w:val="800080"/>
      <w:u w:val="single"/>
    </w:rPr>
  </w:style>
  <w:style w:type="character" w:styleId="922" w:customStyle="1">
    <w:name w:val="HTML 打字机11"/>
    <w:uiPriority w:val="99"/>
    <w:qFormat/>
    <w:rPr>
      <w:rFonts w:ascii="宋体" w:hAnsi="宋体" w:eastAsia="宋体" w:cs="宋体"/>
      <w:sz w:val="24"/>
      <w:szCs w:val="24"/>
    </w:rPr>
  </w:style>
  <w:style w:type="character" w:styleId="923" w:customStyle="1">
    <w:name w:val="超链接11"/>
    <w:uiPriority w:val="99"/>
    <w:qFormat/>
    <w:rPr>
      <w:rFonts w:cs="Times New Roman"/>
      <w:color w:val="000000"/>
      <w:u w:val="none"/>
    </w:rPr>
  </w:style>
  <w:style w:type="character" w:styleId="924" w:customStyle="1">
    <w:name w:val="批注引用11"/>
    <w:basedOn w:val="853"/>
    <w:uiPriority w:val="0"/>
    <w:unhideWhenUsed/>
    <w:qFormat/>
    <w:rPr>
      <w:sz w:val="21"/>
      <w:szCs w:val="21"/>
    </w:rPr>
  </w:style>
  <w:style w:type="character" w:styleId="925" w:customStyle="1">
    <w:name w:val="脚注引用1"/>
    <w:uiPriority w:val="99"/>
    <w:unhideWhenUsed/>
    <w:qFormat/>
    <w:rPr>
      <w:vertAlign w:val="superscript"/>
    </w:rPr>
  </w:style>
  <w:style w:type="character" w:styleId="926" w:customStyle="1">
    <w:name w:val="批注引用1"/>
    <w:uiPriority w:val="0"/>
    <w:semiHidden/>
    <w:qFormat/>
    <w:rPr>
      <w:rFonts w:ascii="Calibri" w:hAnsi="Calibri" w:eastAsia="Arial" w:cs="Times New Roman"/>
      <w:sz w:val="21"/>
      <w:szCs w:val="22"/>
    </w:rPr>
  </w:style>
  <w:style w:type="paragraph" w:styleId="927" w:customStyle="1">
    <w:name w:val="段"/>
    <w:next w:val="796"/>
    <w:uiPriority w:val="0"/>
    <w:qFormat/>
    <w:pPr>
      <w:ind w:firstLine="200"/>
      <w:jc w:val="both"/>
    </w:pPr>
    <w:rPr>
      <w:rFonts w:hint="default" w:ascii="宋体" w:hAnsi="Times New Roman" w:eastAsia="宋体" w:cs="Times New Roman"/>
      <w:sz w:val="21"/>
      <w:lang w:val="en-US" w:eastAsia="zh-CN" w:bidi="ar-SA"/>
    </w:rPr>
  </w:style>
  <w:style w:type="paragraph" w:styleId="928" w:customStyle="1">
    <w:name w:val="TOC 标题1"/>
    <w:uiPriority w:val="39"/>
    <w:unhideWhenUsed/>
    <w:qFormat/>
    <w:rPr>
      <w:rFonts w:hint="default" w:ascii="Calibri" w:hAnsi="Calibri" w:eastAsia="Arial" w:cs="Times New Roman"/>
      <w:lang w:val="en-US" w:eastAsia="zh-CN" w:bidi="ar-SA"/>
    </w:rPr>
  </w:style>
  <w:style w:type="paragraph" w:styleId="929" w:customStyle="1">
    <w:name w:val="font5"/>
    <w:basedOn w:val="796"/>
    <w:uiPriority w:val="0"/>
    <w:qFormat/>
    <w:pPr>
      <w:jc w:val="left"/>
      <w:spacing w:before="100" w:beforeAutospacing="1" w:after="100" w:afterAutospacing="1"/>
      <w:widowControl/>
    </w:pPr>
    <w:rPr>
      <w:rFonts w:ascii="宋体" w:hAnsi="宋体" w:eastAsia="宋体"/>
      <w:sz w:val="18"/>
      <w:szCs w:val="18"/>
    </w:rPr>
  </w:style>
  <w:style w:type="paragraph" w:styleId="930" w:customStyle="1">
    <w:name w:val="font6"/>
    <w:basedOn w:val="796"/>
    <w:uiPriority w:val="0"/>
    <w:qFormat/>
    <w:pPr>
      <w:jc w:val="left"/>
      <w:spacing w:before="100" w:beforeAutospacing="1" w:after="100" w:afterAutospacing="1"/>
      <w:widowControl/>
    </w:pPr>
    <w:rPr>
      <w:rFonts w:ascii="宋体" w:hAnsi="宋体" w:eastAsia="宋体"/>
      <w:b/>
      <w:bCs/>
      <w:sz w:val="20"/>
      <w:szCs w:val="20"/>
    </w:rPr>
  </w:style>
  <w:style w:type="paragraph" w:styleId="931" w:customStyle="1">
    <w:name w:val="font7"/>
    <w:basedOn w:val="796"/>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32" w:customStyle="1">
    <w:name w:val="font8"/>
    <w:basedOn w:val="796"/>
    <w:uiPriority w:val="99"/>
    <w:qFormat/>
    <w:pPr>
      <w:jc w:val="left"/>
      <w:spacing w:before="100" w:beforeAutospacing="1" w:after="100" w:afterAutospacing="1"/>
      <w:widowControl/>
    </w:pPr>
    <w:rPr>
      <w:rFonts w:ascii="宋体" w:hAnsi="宋体" w:eastAsia="宋体"/>
      <w:b/>
      <w:bCs/>
      <w:i/>
      <w:iCs/>
      <w:sz w:val="20"/>
      <w:szCs w:val="20"/>
    </w:rPr>
  </w:style>
  <w:style w:type="paragraph" w:styleId="933" w:customStyle="1">
    <w:name w:val="font9"/>
    <w:basedOn w:val="796"/>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934" w:customStyle="1">
    <w:name w:val="xl24"/>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5" w:customStyle="1">
    <w:name w:val="xl25"/>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6" w:customStyle="1">
    <w:name w:val="xl26"/>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7" w:customStyle="1">
    <w:name w:val="xl27"/>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8" w:customStyle="1">
    <w:name w:val="xl28"/>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9" w:customStyle="1">
    <w:name w:val="xl29"/>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40" w:customStyle="1">
    <w:name w:val="xl30"/>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41" w:customStyle="1">
    <w:name w:val="xl31"/>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42" w:customStyle="1">
    <w:name w:val="xl32"/>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43" w:customStyle="1">
    <w:name w:val="xl33"/>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4" w:customStyle="1">
    <w:name w:val="xl34"/>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45" w:customStyle="1">
    <w:name w:val="xl35"/>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46" w:customStyle="1">
    <w:name w:val="xl36"/>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7" w:customStyle="1">
    <w:name w:val="xl37"/>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48" w:customStyle="1">
    <w:name w:val="xl38"/>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9" w:customStyle="1">
    <w:name w:val="xl39"/>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50" w:customStyle="1">
    <w:name w:val="xl40"/>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51" w:customStyle="1">
    <w:name w:val="xl41"/>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52" w:customStyle="1">
    <w:name w:val="xl42"/>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53" w:customStyle="1">
    <w:name w:val="xl43"/>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54" w:customStyle="1">
    <w:name w:val="xl44"/>
    <w:basedOn w:val="79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55" w:customStyle="1">
    <w:name w:val="xl45"/>
    <w:basedOn w:val="79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56" w:customStyle="1">
    <w:name w:val="xl46"/>
    <w:basedOn w:val="79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57" w:customStyle="1">
    <w:name w:val="xl47"/>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58" w:customStyle="1">
    <w:name w:val="xl48"/>
    <w:basedOn w:val="79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59" w:customStyle="1">
    <w:name w:val="xl49"/>
    <w:basedOn w:val="79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60" w:customStyle="1">
    <w:name w:val="xl50"/>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61" w:customStyle="1">
    <w:name w:val="xl51"/>
    <w:basedOn w:val="79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62" w:customStyle="1">
    <w:name w:val="xl52"/>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63" w:customStyle="1">
    <w:name w:val="xl53"/>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4" w:customStyle="1">
    <w:name w:val="xl54"/>
    <w:basedOn w:val="79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65" w:customStyle="1">
    <w:name w:val="xl55"/>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66" w:customStyle="1">
    <w:name w:val="xl56"/>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67" w:customStyle="1">
    <w:name w:val="xl57"/>
    <w:basedOn w:val="79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68" w:customStyle="1">
    <w:name w:val="xl58"/>
    <w:basedOn w:val="79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69" w:customStyle="1">
    <w:name w:val="xl59"/>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70" w:customStyle="1">
    <w:name w:val="xl60"/>
    <w:basedOn w:val="79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71" w:customStyle="1">
    <w:name w:val="xl61"/>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72" w:customStyle="1">
    <w:name w:val="xl62"/>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73" w:customStyle="1">
    <w:name w:val="xl63"/>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74" w:customStyle="1">
    <w:name w:val="font10"/>
    <w:basedOn w:val="796"/>
    <w:uiPriority w:val="99"/>
    <w:qFormat/>
    <w:pPr>
      <w:jc w:val="left"/>
      <w:spacing w:before="100" w:beforeAutospacing="1" w:after="100" w:afterAutospacing="1"/>
      <w:widowControl/>
    </w:pPr>
    <w:rPr>
      <w:rFonts w:ascii="楷体_GB2312" w:hAnsi="宋体" w:eastAsia="楷体_GB2312"/>
      <w:b/>
      <w:bCs/>
      <w:sz w:val="18"/>
      <w:szCs w:val="18"/>
    </w:rPr>
  </w:style>
  <w:style w:type="paragraph" w:styleId="975" w:customStyle="1">
    <w:name w:val="font11"/>
    <w:basedOn w:val="796"/>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76" w:customStyle="1">
    <w:name w:val="font12"/>
    <w:basedOn w:val="796"/>
    <w:uiPriority w:val="99"/>
    <w:qFormat/>
    <w:pPr>
      <w:jc w:val="left"/>
      <w:spacing w:before="100" w:beforeAutospacing="1" w:after="100" w:afterAutospacing="1"/>
      <w:widowControl/>
    </w:pPr>
    <w:rPr>
      <w:rFonts w:ascii="宋体" w:hAnsi="宋体" w:eastAsia="宋体"/>
      <w:sz w:val="36"/>
      <w:szCs w:val="36"/>
    </w:rPr>
  </w:style>
  <w:style w:type="paragraph" w:styleId="977" w:customStyle="1">
    <w:name w:val="font13"/>
    <w:basedOn w:val="796"/>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78" w:customStyle="1">
    <w:name w:val="font14"/>
    <w:basedOn w:val="796"/>
    <w:uiPriority w:val="99"/>
    <w:qFormat/>
    <w:pPr>
      <w:jc w:val="left"/>
      <w:spacing w:before="100" w:beforeAutospacing="1" w:after="100" w:afterAutospacing="1"/>
      <w:widowControl/>
    </w:pPr>
    <w:rPr>
      <w:rFonts w:ascii="Times New Roman" w:hAnsi="Times New Roman" w:eastAsia="宋体"/>
      <w:sz w:val="36"/>
      <w:szCs w:val="36"/>
    </w:rPr>
  </w:style>
  <w:style w:type="character" w:styleId="979" w:customStyle="1">
    <w:name w:val="case31"/>
    <w:uiPriority w:val="99"/>
    <w:qFormat/>
    <w:rPr>
      <w:rFonts w:cs="Times New Roman"/>
      <w:spacing w:val="390"/>
      <w:sz w:val="21"/>
      <w:szCs w:val="21"/>
    </w:rPr>
  </w:style>
  <w:style w:type="paragraph" w:styleId="980" w:customStyle="1">
    <w:name w:val="普通文字"/>
    <w:basedOn w:val="796"/>
    <w:next w:val="796"/>
    <w:uiPriority w:val="99"/>
    <w:qFormat/>
    <w:rPr>
      <w:rFonts w:ascii="宋体" w:hAnsi="Times New Roman" w:eastAsia="宋体"/>
      <w:sz w:val="24"/>
      <w:szCs w:val="20"/>
    </w:rPr>
  </w:style>
  <w:style w:type="paragraph" w:styleId="981" w:customStyle="1">
    <w:name w:val="默认段落字体 Para Char"/>
    <w:basedOn w:val="796"/>
    <w:uiPriority w:val="99"/>
    <w:qFormat/>
    <w:pPr>
      <w:ind w:left="552" w:hanging="420"/>
      <w:tabs>
        <w:tab w:val="left" w:pos="552" w:leader="none"/>
      </w:tabs>
    </w:pPr>
    <w:rPr>
      <w:rFonts w:ascii="Times New Roman" w:hAnsi="Times New Roman" w:eastAsia="宋体"/>
      <w:sz w:val="24"/>
      <w:szCs w:val="24"/>
    </w:rPr>
  </w:style>
  <w:style w:type="paragraph" w:styleId="982" w:customStyle="1">
    <w:name w:val="Char Char Char Char"/>
    <w:basedOn w:val="868"/>
    <w:uiPriority w:val="0"/>
    <w:qFormat/>
    <w:pPr>
      <w:spacing w:line="360" w:lineRule="auto"/>
    </w:pPr>
    <w:rPr>
      <w:rFonts w:ascii="Tahoma" w:hAnsi="Tahoma"/>
      <w:sz w:val="24"/>
      <w:szCs w:val="24"/>
    </w:rPr>
  </w:style>
  <w:style w:type="paragraph" w:styleId="983" w:customStyle="1">
    <w:name w:val="Char Char1 Char Char Char Char"/>
    <w:basedOn w:val="868"/>
    <w:uiPriority w:val="99"/>
    <w:qFormat/>
    <w:pPr>
      <w:ind w:left="357"/>
      <w:jc w:val="left"/>
      <w:spacing w:line="436" w:lineRule="exact"/>
      <w:outlineLvl w:val="3"/>
    </w:pPr>
    <w:rPr>
      <w:rFonts w:ascii="Tahoma" w:hAnsi="Tahoma"/>
      <w:b/>
      <w:sz w:val="24"/>
      <w:szCs w:val="24"/>
    </w:rPr>
  </w:style>
  <w:style w:type="paragraph" w:styleId="984">
    <w:name w:val="List Paragraph"/>
    <w:basedOn w:val="796"/>
    <w:uiPriority w:val="34"/>
    <w:qFormat/>
    <w:pPr>
      <w:numPr>
        <w:ilvl w:val="0"/>
        <w:numId w:val="2"/>
      </w:numPr>
      <w:spacing w:line="360" w:lineRule="auto"/>
    </w:pPr>
    <w:rPr>
      <w:rFonts w:ascii="Arial" w:hAnsi="Arial" w:eastAsia="宋体" w:cs="宋体"/>
      <w:b/>
      <w:sz w:val="24"/>
      <w:szCs w:val="20"/>
    </w:rPr>
  </w:style>
  <w:style w:type="paragraph" w:styleId="985" w:customStyle="1">
    <w:name w:val="修订1"/>
    <w:uiPriority w:val="99"/>
    <w:semiHidden/>
    <w:qFormat/>
    <w:rPr>
      <w:rFonts w:hint="default" w:ascii="Times New Roman" w:hAnsi="Times New Roman" w:eastAsia="宋体" w:cs="Times New Roman"/>
      <w:sz w:val="21"/>
      <w:lang w:val="en-US" w:eastAsia="zh-CN" w:bidi="ar-SA"/>
    </w:rPr>
  </w:style>
  <w:style w:type="paragraph" w:styleId="986" w:customStyle="1">
    <w:name w:val="列表段落1"/>
    <w:basedOn w:val="796"/>
    <w:uiPriority w:val="34"/>
    <w:qFormat/>
    <w:pPr>
      <w:ind w:firstLine="420"/>
    </w:pPr>
  </w:style>
  <w:style w:type="paragraph" w:styleId="987" w:customStyle="1">
    <w:name w:val="样式 小四 段前: 5 磅 段后: 5 磅 首行缩进:  2 字符"/>
    <w:basedOn w:val="796"/>
    <w:uiPriority w:val="0"/>
    <w:qFormat/>
    <w:pPr>
      <w:spacing w:line="360" w:lineRule="auto"/>
    </w:pPr>
    <w:rPr>
      <w:rFonts w:ascii="宋体" w:hAnsi="宋体"/>
      <w:szCs w:val="21"/>
    </w:rPr>
  </w:style>
  <w:style w:type="table" w:styleId="988" w:customStyle="1">
    <w:name w:val="网格型1"/>
    <w:basedOn w:val="854"/>
    <w:uiPriority w:val="59"/>
    <w:qFormat/>
    <w:tblPr>
      <w:tblCellMar>
        <w:left w:w="0" w:type="dxa"/>
        <w:top w:w="0" w:type="dxa"/>
        <w:right w:w="0" w:type="dxa"/>
        <w:bottom w:w="0" w:type="dxa"/>
      </w:tblCellMar>
    </w:tblPr>
  </w:style>
  <w:style w:type="table" w:styleId="989" w:customStyle="1">
    <w:name w:val="网格型2"/>
    <w:basedOn w:val="854"/>
    <w:uiPriority w:val="39"/>
    <w:qFormat/>
    <w:tblPr>
      <w:tblCellMar>
        <w:left w:w="0" w:type="dxa"/>
        <w:top w:w="0" w:type="dxa"/>
        <w:right w:w="0" w:type="dxa"/>
        <w:bottom w:w="0" w:type="dxa"/>
      </w:tblCellMar>
    </w:tblPr>
  </w:style>
  <w:style w:type="table" w:styleId="990" w:customStyle="1">
    <w:name w:val="网格型3"/>
    <w:basedOn w:val="854"/>
    <w:uiPriority w:val="39"/>
    <w:qFormat/>
    <w:tblPr>
      <w:tblCellMar>
        <w:left w:w="0" w:type="dxa"/>
        <w:top w:w="0" w:type="dxa"/>
        <w:right w:w="0" w:type="dxa"/>
        <w:bottom w:w="0" w:type="dxa"/>
      </w:tblCellMar>
    </w:tblPr>
  </w:style>
  <w:style w:type="table" w:styleId="991" w:customStyle="1">
    <w:name w:val="网格型4"/>
    <w:basedOn w:val="854"/>
    <w:uiPriority w:val="39"/>
    <w:qFormat/>
    <w:tblPr>
      <w:tblCellMar>
        <w:left w:w="0" w:type="dxa"/>
        <w:top w:w="0" w:type="dxa"/>
        <w:right w:w="0" w:type="dxa"/>
        <w:bottom w:w="0" w:type="dxa"/>
      </w:tblCellMar>
    </w:tblPr>
  </w:style>
  <w:style w:type="paragraph" w:styleId="992" w:customStyle="1">
    <w:name w:val="List Paragraph1"/>
    <w:basedOn w:val="796"/>
    <w:uiPriority w:val="0"/>
    <w:qFormat/>
    <w:pPr>
      <w:ind w:firstLine="420"/>
    </w:pPr>
    <w:rPr>
      <w:szCs w:val="21"/>
    </w:rPr>
  </w:style>
  <w:style w:type="paragraph" w:styleId="993" w:customStyle="1">
    <w:name w:val="标题 31"/>
    <w:basedOn w:val="796"/>
    <w:next w:val="796"/>
    <w:link w:val="994"/>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94" w:customStyle="1">
    <w:name w:val="标题 3 Char"/>
    <w:link w:val="993"/>
    <w:uiPriority w:val="0"/>
    <w:qFormat/>
    <w:rPr>
      <w:rFonts w:ascii="Times New Roman" w:hAnsi="Times New Roman" w:eastAsia="宋体" w:cs="Times New Roman"/>
      <w:b/>
      <w:bCs/>
      <w:sz w:val="32"/>
      <w:szCs w:val="32"/>
      <w:lang w:eastAsia="en-US"/>
    </w:rPr>
  </w:style>
  <w:style w:type="character" w:styleId="995" w:customStyle="1">
    <w:name w:val="Heading 1 Char"/>
    <w:uiPriority w:val="9"/>
    <w:qFormat/>
    <w:rPr>
      <w:rFonts w:ascii="Arial" w:hAnsi="Arial" w:eastAsia="Arial" w:cs="Arial"/>
      <w:sz w:val="40"/>
      <w:szCs w:val="40"/>
    </w:rPr>
  </w:style>
  <w:style w:type="character" w:styleId="996" w:customStyle="1">
    <w:name w:val="Heading 2 Char"/>
    <w:uiPriority w:val="9"/>
    <w:qFormat/>
    <w:rPr>
      <w:rFonts w:ascii="Arial" w:hAnsi="Arial" w:eastAsia="Arial" w:cs="Arial"/>
      <w:sz w:val="34"/>
    </w:rPr>
  </w:style>
  <w:style w:type="character" w:styleId="997" w:customStyle="1">
    <w:name w:val="Heading 3 Char"/>
    <w:uiPriority w:val="9"/>
    <w:qFormat/>
    <w:rPr>
      <w:rFonts w:ascii="Arial" w:hAnsi="Arial" w:eastAsia="Arial" w:cs="Arial"/>
      <w:sz w:val="30"/>
      <w:szCs w:val="30"/>
    </w:rPr>
  </w:style>
  <w:style w:type="character" w:styleId="998" w:customStyle="1">
    <w:name w:val="Heading 4 Char"/>
    <w:uiPriority w:val="9"/>
    <w:qFormat/>
    <w:rPr>
      <w:rFonts w:ascii="Arial" w:hAnsi="Arial" w:eastAsia="Arial" w:cs="Arial"/>
      <w:b/>
      <w:bCs/>
      <w:sz w:val="26"/>
      <w:szCs w:val="26"/>
    </w:rPr>
  </w:style>
  <w:style w:type="character" w:styleId="999" w:customStyle="1">
    <w:name w:val="Heading 5 Char"/>
    <w:uiPriority w:val="9"/>
    <w:qFormat/>
    <w:rPr>
      <w:rFonts w:ascii="Arial" w:hAnsi="Arial" w:eastAsia="Arial" w:cs="Arial"/>
      <w:b/>
      <w:bCs/>
      <w:sz w:val="24"/>
      <w:szCs w:val="24"/>
    </w:rPr>
  </w:style>
  <w:style w:type="character" w:styleId="1000" w:customStyle="1">
    <w:name w:val="Heading 6 Char"/>
    <w:uiPriority w:val="9"/>
    <w:qFormat/>
    <w:rPr>
      <w:rFonts w:ascii="Arial" w:hAnsi="Arial" w:eastAsia="Arial" w:cs="Arial"/>
      <w:b/>
      <w:bCs/>
      <w:sz w:val="22"/>
      <w:szCs w:val="22"/>
    </w:rPr>
  </w:style>
  <w:style w:type="character" w:styleId="1001" w:customStyle="1">
    <w:name w:val="Heading 7 Char"/>
    <w:uiPriority w:val="9"/>
    <w:qFormat/>
    <w:rPr>
      <w:rFonts w:ascii="Arial" w:hAnsi="Arial" w:eastAsia="Arial" w:cs="Arial"/>
      <w:b/>
      <w:bCs/>
      <w:i/>
      <w:iCs/>
      <w:sz w:val="22"/>
      <w:szCs w:val="22"/>
    </w:rPr>
  </w:style>
  <w:style w:type="character" w:styleId="1002" w:customStyle="1">
    <w:name w:val="Heading 8 Char"/>
    <w:uiPriority w:val="9"/>
    <w:qFormat/>
    <w:rPr>
      <w:rFonts w:ascii="Arial" w:hAnsi="Arial" w:eastAsia="Arial" w:cs="Arial"/>
      <w:i/>
      <w:iCs/>
      <w:sz w:val="22"/>
      <w:szCs w:val="22"/>
    </w:rPr>
  </w:style>
  <w:style w:type="character" w:styleId="1003" w:customStyle="1">
    <w:name w:val="Heading 9 Char"/>
    <w:uiPriority w:val="9"/>
    <w:qFormat/>
    <w:rPr>
      <w:rFonts w:ascii="Arial" w:hAnsi="Arial" w:eastAsia="Arial" w:cs="Arial"/>
      <w:i/>
      <w:iCs/>
      <w:sz w:val="21"/>
      <w:szCs w:val="21"/>
    </w:rPr>
  </w:style>
  <w:style w:type="paragraph" w:styleId="1004">
    <w:name w:val="No Spacing"/>
    <w:uiPriority w:val="1"/>
    <w:qFormat/>
    <w:rPr>
      <w:rFonts w:hint="default" w:ascii="Calibri" w:hAnsi="Calibri" w:eastAsia="宋体" w:cs="Times New Roman"/>
      <w:lang w:val="en-US" w:eastAsia="zh-CN" w:bidi="ar-SA"/>
    </w:rPr>
  </w:style>
  <w:style w:type="character" w:styleId="1005" w:customStyle="1">
    <w:name w:val="Title Char"/>
    <w:uiPriority w:val="10"/>
    <w:qFormat/>
    <w:rPr>
      <w:sz w:val="48"/>
      <w:szCs w:val="48"/>
    </w:rPr>
  </w:style>
  <w:style w:type="character" w:styleId="1006" w:customStyle="1">
    <w:name w:val="Subtitle Char"/>
    <w:uiPriority w:val="11"/>
    <w:qFormat/>
    <w:rPr>
      <w:sz w:val="24"/>
      <w:szCs w:val="24"/>
    </w:rPr>
  </w:style>
  <w:style w:type="paragraph" w:styleId="1007">
    <w:name w:val="Quote"/>
    <w:basedOn w:val="796"/>
    <w:next w:val="796"/>
    <w:link w:val="1008"/>
    <w:uiPriority w:val="29"/>
    <w:qFormat/>
    <w:pPr>
      <w:ind w:left="720" w:right="720"/>
    </w:pPr>
    <w:rPr>
      <w:rFonts w:ascii="Times New Roman" w:hAnsi="Times New Roman" w:eastAsia="宋体"/>
      <w:i/>
      <w:szCs w:val="21"/>
    </w:rPr>
  </w:style>
  <w:style w:type="character" w:styleId="1008" w:customStyle="1">
    <w:name w:val="引用 Char"/>
    <w:basedOn w:val="853"/>
    <w:link w:val="1007"/>
    <w:uiPriority w:val="29"/>
    <w:qFormat/>
    <w:rPr>
      <w:rFonts w:ascii="Times New Roman" w:hAnsi="Times New Roman" w:eastAsia="宋体" w:cs="Times New Roman"/>
      <w:i/>
      <w:sz w:val="21"/>
      <w:szCs w:val="21"/>
    </w:rPr>
  </w:style>
  <w:style w:type="character" w:styleId="1009" w:customStyle="1">
    <w:name w:val="Quote Char"/>
    <w:uiPriority w:val="29"/>
    <w:qFormat/>
    <w:rPr>
      <w:i/>
    </w:rPr>
  </w:style>
  <w:style w:type="paragraph" w:styleId="1010">
    <w:name w:val="Intense Quote"/>
    <w:basedOn w:val="796"/>
    <w:next w:val="796"/>
    <w:link w:val="10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1011" w:customStyle="1">
    <w:name w:val="明显引用 Char"/>
    <w:basedOn w:val="853"/>
    <w:link w:val="1010"/>
    <w:uiPriority w:val="30"/>
    <w:qFormat/>
    <w:rPr>
      <w:rFonts w:ascii="Times New Roman" w:hAnsi="Times New Roman" w:eastAsia="宋体" w:cs="Times New Roman"/>
      <w:i/>
      <w:sz w:val="21"/>
      <w:szCs w:val="21"/>
      <w:shd w:val="clear" w:color="auto" w:fill="f2f2f2"/>
    </w:rPr>
  </w:style>
  <w:style w:type="character" w:styleId="1012" w:customStyle="1">
    <w:name w:val="Intense Quote Char"/>
    <w:uiPriority w:val="30"/>
    <w:qFormat/>
    <w:rPr>
      <w:i/>
    </w:rPr>
  </w:style>
  <w:style w:type="character" w:styleId="1013" w:customStyle="1">
    <w:name w:val="Header Char"/>
    <w:uiPriority w:val="99"/>
    <w:qFormat/>
  </w:style>
  <w:style w:type="character" w:styleId="1014" w:customStyle="1">
    <w:name w:val="Footer Char"/>
    <w:uiPriority w:val="99"/>
    <w:qFormat/>
  </w:style>
  <w:style w:type="character" w:styleId="1015" w:customStyle="1">
    <w:name w:val="Caption Char"/>
    <w:uiPriority w:val="99"/>
    <w:qFormat/>
  </w:style>
  <w:style w:type="character" w:styleId="1016" w:customStyle="1">
    <w:name w:val="Footnote Text Char"/>
    <w:uiPriority w:val="99"/>
    <w:qFormat/>
    <w:rPr>
      <w:sz w:val="18"/>
    </w:rPr>
  </w:style>
  <w:style w:type="character" w:styleId="1017" w:customStyle="1">
    <w:name w:val="Endnote Text Char"/>
    <w:uiPriority w:val="99"/>
    <w:qFormat/>
    <w:rPr>
      <w:sz w:val="20"/>
    </w:rPr>
  </w:style>
  <w:style w:type="paragraph" w:styleId="1018" w:customStyle="1">
    <w:name w:val="目录 71"/>
    <w:basedOn w:val="796"/>
    <w:next w:val="796"/>
    <w:uiPriority w:val="39"/>
    <w:unhideWhenUsed/>
    <w:qFormat/>
    <w:pPr>
      <w:ind w:left="1701"/>
      <w:spacing w:after="57"/>
    </w:pPr>
    <w:rPr>
      <w:rFonts w:ascii="Times New Roman" w:hAnsi="Times New Roman" w:eastAsia="宋体"/>
      <w:szCs w:val="21"/>
    </w:rPr>
  </w:style>
  <w:style w:type="paragraph" w:styleId="1019" w:customStyle="1">
    <w:name w:val="目录 51"/>
    <w:basedOn w:val="796"/>
    <w:next w:val="796"/>
    <w:uiPriority w:val="39"/>
    <w:unhideWhenUsed/>
    <w:qFormat/>
    <w:pPr>
      <w:ind w:left="1134"/>
      <w:spacing w:after="57"/>
    </w:pPr>
    <w:rPr>
      <w:rFonts w:ascii="Times New Roman" w:hAnsi="Times New Roman" w:eastAsia="宋体"/>
      <w:szCs w:val="21"/>
    </w:rPr>
  </w:style>
  <w:style w:type="paragraph" w:styleId="1020" w:customStyle="1">
    <w:name w:val="目录 31"/>
    <w:basedOn w:val="796"/>
    <w:next w:val="796"/>
    <w:uiPriority w:val="39"/>
    <w:unhideWhenUsed/>
    <w:qFormat/>
    <w:pPr>
      <w:ind w:left="567"/>
      <w:spacing w:after="57"/>
    </w:pPr>
    <w:rPr>
      <w:rFonts w:ascii="Times New Roman" w:hAnsi="Times New Roman" w:eastAsia="宋体"/>
      <w:szCs w:val="21"/>
    </w:rPr>
  </w:style>
  <w:style w:type="paragraph" w:styleId="1021" w:customStyle="1">
    <w:name w:val="目录 81"/>
    <w:basedOn w:val="796"/>
    <w:next w:val="796"/>
    <w:uiPriority w:val="39"/>
    <w:unhideWhenUsed/>
    <w:qFormat/>
    <w:pPr>
      <w:ind w:left="1984"/>
      <w:spacing w:after="57"/>
    </w:pPr>
    <w:rPr>
      <w:rFonts w:ascii="Times New Roman" w:hAnsi="Times New Roman" w:eastAsia="宋体"/>
      <w:szCs w:val="21"/>
    </w:rPr>
  </w:style>
  <w:style w:type="character" w:styleId="1022" w:customStyle="1">
    <w:name w:val="页脚 字符1"/>
    <w:uiPriority w:val="99"/>
    <w:qFormat/>
  </w:style>
  <w:style w:type="paragraph" w:styleId="1023" w:customStyle="1">
    <w:name w:val="目录 11"/>
    <w:basedOn w:val="796"/>
    <w:next w:val="796"/>
    <w:uiPriority w:val="39"/>
    <w:unhideWhenUsed/>
    <w:qFormat/>
    <w:pPr>
      <w:spacing w:after="57"/>
    </w:pPr>
    <w:rPr>
      <w:rFonts w:ascii="Times New Roman" w:hAnsi="Times New Roman" w:eastAsia="宋体"/>
      <w:szCs w:val="21"/>
    </w:rPr>
  </w:style>
  <w:style w:type="paragraph" w:styleId="1024" w:customStyle="1">
    <w:name w:val="目录 41"/>
    <w:basedOn w:val="796"/>
    <w:next w:val="796"/>
    <w:uiPriority w:val="39"/>
    <w:unhideWhenUsed/>
    <w:qFormat/>
    <w:pPr>
      <w:ind w:left="850"/>
      <w:spacing w:after="57"/>
    </w:pPr>
    <w:rPr>
      <w:rFonts w:ascii="Times New Roman" w:hAnsi="Times New Roman" w:eastAsia="宋体"/>
      <w:szCs w:val="21"/>
    </w:rPr>
  </w:style>
  <w:style w:type="paragraph" w:styleId="1025" w:customStyle="1">
    <w:name w:val="目录 61"/>
    <w:basedOn w:val="796"/>
    <w:next w:val="796"/>
    <w:uiPriority w:val="39"/>
    <w:unhideWhenUsed/>
    <w:qFormat/>
    <w:pPr>
      <w:ind w:left="1417"/>
      <w:spacing w:after="57"/>
    </w:pPr>
    <w:rPr>
      <w:rFonts w:ascii="Times New Roman" w:hAnsi="Times New Roman" w:eastAsia="宋体"/>
      <w:szCs w:val="21"/>
    </w:rPr>
  </w:style>
  <w:style w:type="paragraph" w:styleId="1026" w:customStyle="1">
    <w:name w:val="目录 21"/>
    <w:basedOn w:val="796"/>
    <w:next w:val="796"/>
    <w:uiPriority w:val="39"/>
    <w:unhideWhenUsed/>
    <w:qFormat/>
    <w:pPr>
      <w:ind w:left="283"/>
      <w:spacing w:after="57"/>
    </w:pPr>
    <w:rPr>
      <w:rFonts w:ascii="Times New Roman" w:hAnsi="Times New Roman" w:eastAsia="宋体"/>
      <w:szCs w:val="21"/>
    </w:rPr>
  </w:style>
  <w:style w:type="paragraph" w:styleId="1027" w:customStyle="1">
    <w:name w:val="目录 91"/>
    <w:basedOn w:val="796"/>
    <w:next w:val="796"/>
    <w:uiPriority w:val="39"/>
    <w:unhideWhenUsed/>
    <w:qFormat/>
    <w:pPr>
      <w:ind w:left="2268"/>
      <w:spacing w:after="57"/>
    </w:pPr>
    <w:rPr>
      <w:rFonts w:ascii="Times New Roman" w:hAnsi="Times New Roman" w:eastAsia="宋体"/>
      <w:szCs w:val="21"/>
    </w:rPr>
  </w:style>
  <w:style w:type="character" w:styleId="1028" w:customStyle="1">
    <w:name w:val="font5 Char"/>
    <w:uiPriority w:val="0"/>
    <w:qFormat/>
    <w:rPr>
      <w:rFonts w:ascii="宋体" w:hAnsi="宋体" w:eastAsia="宋体"/>
      <w:sz w:val="28"/>
      <w:szCs w:val="28"/>
      <w:lang w:val="en-US" w:eastAsia="zh-CN" w:bidi="ar-SA"/>
    </w:rPr>
  </w:style>
  <w:style w:type="paragraph" w:styleId="1029" w:customStyle="1">
    <w:name w:val="列出段落2"/>
    <w:basedOn w:val="796"/>
    <w:uiPriority w:val="34"/>
    <w:qFormat/>
    <w:pPr>
      <w:contextualSpacing/>
      <w:ind w:left="720"/>
    </w:pPr>
    <w:rPr>
      <w:rFonts w:ascii="Times New Roman" w:hAnsi="Times New Roman" w:eastAsia="宋体"/>
      <w:szCs w:val="21"/>
    </w:rPr>
  </w:style>
  <w:style w:type="table" w:styleId="1030" w:customStyle="1">
    <w:name w:val="Table Grid Light"/>
    <w:uiPriority w:val="59"/>
    <w:qFormat/>
    <w:rPr>
      <w:rFonts w:ascii="Calibri" w:hAnsi="Calibri"/>
    </w:rPr>
    <w:tblPr>
      <w:tblCellMar>
        <w:left w:w="0" w:type="dxa"/>
        <w:top w:w="0" w:type="dxa"/>
        <w:right w:w="0" w:type="dxa"/>
        <w:bottom w:w="0" w:type="dxa"/>
      </w:tblCellMar>
    </w:tblPr>
  </w:style>
  <w:style w:type="table" w:styleId="1031" w:customStyle="1">
    <w:name w:val="Plain Table 1"/>
    <w:uiPriority w:val="59"/>
    <w:qFormat/>
    <w:rPr>
      <w:rFonts w:ascii="Calibri" w:hAnsi="Calibri"/>
    </w:rPr>
    <w:tblPr>
      <w:tblCellMar>
        <w:left w:w="0" w:type="dxa"/>
        <w:top w:w="0" w:type="dxa"/>
        <w:right w:w="0" w:type="dxa"/>
        <w:bottom w:w="0" w:type="dxa"/>
      </w:tblCellMar>
    </w:tblPr>
  </w:style>
  <w:style w:type="table" w:styleId="1032" w:customStyle="1">
    <w:name w:val="Plain Table 2"/>
    <w:uiPriority w:val="59"/>
    <w:qFormat/>
    <w:rPr>
      <w:rFonts w:ascii="Calibri" w:hAnsi="Calibri"/>
    </w:rPr>
    <w:tblPr>
      <w:tblCellMar>
        <w:left w:w="0" w:type="dxa"/>
        <w:top w:w="0" w:type="dxa"/>
        <w:right w:w="0" w:type="dxa"/>
        <w:bottom w:w="0" w:type="dxa"/>
      </w:tblCellMar>
    </w:tblPr>
  </w:style>
  <w:style w:type="table" w:styleId="1033" w:customStyle="1">
    <w:name w:val="Plain Table 3"/>
    <w:uiPriority w:val="99"/>
    <w:qFormat/>
    <w:rPr>
      <w:rFonts w:ascii="Calibri" w:hAnsi="Calibri"/>
    </w:rPr>
    <w:tblPr>
      <w:tblCellMar>
        <w:left w:w="0" w:type="dxa"/>
        <w:top w:w="0" w:type="dxa"/>
        <w:right w:w="0" w:type="dxa"/>
        <w:bottom w:w="0" w:type="dxa"/>
      </w:tblCellMar>
    </w:tblPr>
  </w:style>
  <w:style w:type="table" w:styleId="1034" w:customStyle="1">
    <w:name w:val="Plain Table 4"/>
    <w:uiPriority w:val="99"/>
    <w:qFormat/>
    <w:rPr>
      <w:rFonts w:ascii="Calibri" w:hAnsi="Calibri"/>
    </w:rPr>
    <w:tblPr>
      <w:tblCellMar>
        <w:left w:w="0" w:type="dxa"/>
        <w:top w:w="0" w:type="dxa"/>
        <w:right w:w="0" w:type="dxa"/>
        <w:bottom w:w="0" w:type="dxa"/>
      </w:tblCellMar>
    </w:tblPr>
  </w:style>
  <w:style w:type="table" w:styleId="1035" w:customStyle="1">
    <w:name w:val="Plain Table 5"/>
    <w:uiPriority w:val="99"/>
    <w:qFormat/>
    <w:rPr>
      <w:rFonts w:ascii="Calibri" w:hAnsi="Calibri"/>
    </w:rPr>
    <w:tblPr>
      <w:tblCellMar>
        <w:left w:w="0" w:type="dxa"/>
        <w:top w:w="0" w:type="dxa"/>
        <w:right w:w="0" w:type="dxa"/>
        <w:bottom w:w="0" w:type="dxa"/>
      </w:tblCellMar>
    </w:tblPr>
  </w:style>
  <w:style w:type="table" w:styleId="1036" w:customStyle="1">
    <w:name w:val="Grid Table 1 Light"/>
    <w:uiPriority w:val="99"/>
    <w:qFormat/>
    <w:rPr>
      <w:rFonts w:ascii="Calibri" w:hAnsi="Calibri"/>
    </w:rPr>
    <w:tblPr>
      <w:tblCellMar>
        <w:left w:w="0" w:type="dxa"/>
        <w:top w:w="0" w:type="dxa"/>
        <w:right w:w="0" w:type="dxa"/>
        <w:bottom w:w="0" w:type="dxa"/>
      </w:tblCellMar>
    </w:tblPr>
  </w:style>
  <w:style w:type="table" w:styleId="1037" w:customStyle="1">
    <w:name w:val="Grid Table 1 Light - Accent 1"/>
    <w:uiPriority w:val="99"/>
    <w:qFormat/>
    <w:rPr>
      <w:rFonts w:ascii="Calibri" w:hAnsi="Calibri"/>
    </w:rPr>
    <w:tblPr>
      <w:tblCellMar>
        <w:left w:w="0" w:type="dxa"/>
        <w:top w:w="0" w:type="dxa"/>
        <w:right w:w="0" w:type="dxa"/>
        <w:bottom w:w="0" w:type="dxa"/>
      </w:tblCellMar>
    </w:tblPr>
  </w:style>
  <w:style w:type="table" w:styleId="1038" w:customStyle="1">
    <w:name w:val="Grid Table 1 Light - Accent 2"/>
    <w:uiPriority w:val="99"/>
    <w:qFormat/>
    <w:rPr>
      <w:rFonts w:ascii="Calibri" w:hAnsi="Calibri"/>
    </w:rPr>
    <w:tblPr>
      <w:tblCellMar>
        <w:left w:w="0" w:type="dxa"/>
        <w:top w:w="0" w:type="dxa"/>
        <w:right w:w="0" w:type="dxa"/>
        <w:bottom w:w="0" w:type="dxa"/>
      </w:tblCellMar>
    </w:tblPr>
  </w:style>
  <w:style w:type="table" w:styleId="1039" w:customStyle="1">
    <w:name w:val="Grid Table 1 Light - Accent 3"/>
    <w:uiPriority w:val="99"/>
    <w:qFormat/>
    <w:rPr>
      <w:rFonts w:ascii="Calibri" w:hAnsi="Calibri"/>
    </w:rPr>
    <w:tblPr>
      <w:tblCellMar>
        <w:left w:w="0" w:type="dxa"/>
        <w:top w:w="0" w:type="dxa"/>
        <w:right w:w="0" w:type="dxa"/>
        <w:bottom w:w="0" w:type="dxa"/>
      </w:tblCellMar>
    </w:tblPr>
  </w:style>
  <w:style w:type="table" w:styleId="1040" w:customStyle="1">
    <w:name w:val="Grid Table 1 Light - Accent 4"/>
    <w:uiPriority w:val="99"/>
    <w:qFormat/>
    <w:rPr>
      <w:rFonts w:ascii="Calibri" w:hAnsi="Calibri"/>
    </w:rPr>
    <w:tblPr>
      <w:tblCellMar>
        <w:left w:w="0" w:type="dxa"/>
        <w:top w:w="0" w:type="dxa"/>
        <w:right w:w="0" w:type="dxa"/>
        <w:bottom w:w="0" w:type="dxa"/>
      </w:tblCellMar>
    </w:tblPr>
  </w:style>
  <w:style w:type="table" w:styleId="1041" w:customStyle="1">
    <w:name w:val="Grid Table 1 Light - Accent 5"/>
    <w:uiPriority w:val="99"/>
    <w:qFormat/>
    <w:rPr>
      <w:rFonts w:ascii="Calibri" w:hAnsi="Calibri"/>
    </w:rPr>
    <w:tblPr>
      <w:tblCellMar>
        <w:left w:w="0" w:type="dxa"/>
        <w:top w:w="0" w:type="dxa"/>
        <w:right w:w="0" w:type="dxa"/>
        <w:bottom w:w="0" w:type="dxa"/>
      </w:tblCellMar>
    </w:tblPr>
  </w:style>
  <w:style w:type="table" w:styleId="1042" w:customStyle="1">
    <w:name w:val="Grid Table 1 Light - Accent 6"/>
    <w:uiPriority w:val="99"/>
    <w:qFormat/>
    <w:rPr>
      <w:rFonts w:ascii="Calibri" w:hAnsi="Calibri"/>
    </w:rPr>
    <w:tblPr>
      <w:tblCellMar>
        <w:left w:w="0" w:type="dxa"/>
        <w:top w:w="0" w:type="dxa"/>
        <w:right w:w="0" w:type="dxa"/>
        <w:bottom w:w="0" w:type="dxa"/>
      </w:tblCellMar>
    </w:tblPr>
  </w:style>
  <w:style w:type="table" w:styleId="1043" w:customStyle="1">
    <w:name w:val="Grid Table 2"/>
    <w:uiPriority w:val="99"/>
    <w:qFormat/>
    <w:rPr>
      <w:rFonts w:ascii="Calibri" w:hAnsi="Calibri"/>
    </w:rPr>
    <w:tblPr>
      <w:tblCellMar>
        <w:left w:w="0" w:type="dxa"/>
        <w:top w:w="0" w:type="dxa"/>
        <w:right w:w="0" w:type="dxa"/>
        <w:bottom w:w="0" w:type="dxa"/>
      </w:tblCellMar>
    </w:tblPr>
  </w:style>
  <w:style w:type="table" w:styleId="1044" w:customStyle="1">
    <w:name w:val="Grid Table 2 - Accent 1"/>
    <w:uiPriority w:val="99"/>
    <w:qFormat/>
    <w:rPr>
      <w:rFonts w:ascii="Calibri" w:hAnsi="Calibri"/>
    </w:rPr>
    <w:tblPr>
      <w:tblCellMar>
        <w:left w:w="0" w:type="dxa"/>
        <w:top w:w="0" w:type="dxa"/>
        <w:right w:w="0" w:type="dxa"/>
        <w:bottom w:w="0" w:type="dxa"/>
      </w:tblCellMar>
    </w:tblPr>
  </w:style>
  <w:style w:type="table" w:styleId="1045" w:customStyle="1">
    <w:name w:val="Grid Table 2 - Accent 2"/>
    <w:uiPriority w:val="99"/>
    <w:qFormat/>
    <w:rPr>
      <w:rFonts w:ascii="Calibri" w:hAnsi="Calibri"/>
    </w:rPr>
    <w:tblPr>
      <w:tblCellMar>
        <w:left w:w="0" w:type="dxa"/>
        <w:top w:w="0" w:type="dxa"/>
        <w:right w:w="0" w:type="dxa"/>
        <w:bottom w:w="0" w:type="dxa"/>
      </w:tblCellMar>
    </w:tblPr>
  </w:style>
  <w:style w:type="table" w:styleId="1046" w:customStyle="1">
    <w:name w:val="Grid Table 2 - Accent 3"/>
    <w:uiPriority w:val="99"/>
    <w:qFormat/>
    <w:rPr>
      <w:rFonts w:ascii="Calibri" w:hAnsi="Calibri"/>
    </w:rPr>
    <w:tblPr>
      <w:tblCellMar>
        <w:left w:w="0" w:type="dxa"/>
        <w:top w:w="0" w:type="dxa"/>
        <w:right w:w="0" w:type="dxa"/>
        <w:bottom w:w="0" w:type="dxa"/>
      </w:tblCellMar>
    </w:tblPr>
  </w:style>
  <w:style w:type="table" w:styleId="1047" w:customStyle="1">
    <w:name w:val="Grid Table 2 - Accent 4"/>
    <w:uiPriority w:val="99"/>
    <w:qFormat/>
    <w:rPr>
      <w:rFonts w:ascii="Calibri" w:hAnsi="Calibri"/>
    </w:rPr>
    <w:tblPr>
      <w:tblCellMar>
        <w:left w:w="0" w:type="dxa"/>
        <w:top w:w="0" w:type="dxa"/>
        <w:right w:w="0" w:type="dxa"/>
        <w:bottom w:w="0" w:type="dxa"/>
      </w:tblCellMar>
    </w:tblPr>
  </w:style>
  <w:style w:type="table" w:styleId="1048" w:customStyle="1">
    <w:name w:val="Grid Table 2 - Accent 5"/>
    <w:uiPriority w:val="99"/>
    <w:qFormat/>
    <w:rPr>
      <w:rFonts w:ascii="Calibri" w:hAnsi="Calibri"/>
    </w:rPr>
    <w:tblPr>
      <w:tblCellMar>
        <w:left w:w="0" w:type="dxa"/>
        <w:top w:w="0" w:type="dxa"/>
        <w:right w:w="0" w:type="dxa"/>
        <w:bottom w:w="0" w:type="dxa"/>
      </w:tblCellMar>
    </w:tblPr>
  </w:style>
  <w:style w:type="table" w:styleId="1049" w:customStyle="1">
    <w:name w:val="Grid Table 2 - Accent 6"/>
    <w:uiPriority w:val="99"/>
    <w:qFormat/>
    <w:rPr>
      <w:rFonts w:ascii="Calibri" w:hAnsi="Calibri"/>
    </w:rPr>
    <w:tblPr>
      <w:tblCellMar>
        <w:left w:w="0" w:type="dxa"/>
        <w:top w:w="0" w:type="dxa"/>
        <w:right w:w="0" w:type="dxa"/>
        <w:bottom w:w="0" w:type="dxa"/>
      </w:tblCellMar>
    </w:tblPr>
  </w:style>
  <w:style w:type="table" w:styleId="1050" w:customStyle="1">
    <w:name w:val="Grid Table 3"/>
    <w:uiPriority w:val="99"/>
    <w:qFormat/>
    <w:rPr>
      <w:rFonts w:ascii="Calibri" w:hAnsi="Calibri"/>
    </w:rPr>
    <w:tblPr>
      <w:tblCellMar>
        <w:left w:w="0" w:type="dxa"/>
        <w:top w:w="0" w:type="dxa"/>
        <w:right w:w="0" w:type="dxa"/>
        <w:bottom w:w="0" w:type="dxa"/>
      </w:tblCellMar>
    </w:tblPr>
  </w:style>
  <w:style w:type="table" w:styleId="1051" w:customStyle="1">
    <w:name w:val="Grid Table 3 - Accent 1"/>
    <w:uiPriority w:val="99"/>
    <w:qFormat/>
    <w:rPr>
      <w:rFonts w:ascii="Calibri" w:hAnsi="Calibri"/>
    </w:rPr>
    <w:tblPr>
      <w:tblCellMar>
        <w:left w:w="0" w:type="dxa"/>
        <w:top w:w="0" w:type="dxa"/>
        <w:right w:w="0" w:type="dxa"/>
        <w:bottom w:w="0" w:type="dxa"/>
      </w:tblCellMar>
    </w:tblPr>
  </w:style>
  <w:style w:type="table" w:styleId="1052" w:customStyle="1">
    <w:name w:val="Grid Table 3 - Accent 2"/>
    <w:uiPriority w:val="99"/>
    <w:qFormat/>
    <w:rPr>
      <w:rFonts w:ascii="Calibri" w:hAnsi="Calibri"/>
    </w:rPr>
    <w:tblPr>
      <w:tblCellMar>
        <w:left w:w="0" w:type="dxa"/>
        <w:top w:w="0" w:type="dxa"/>
        <w:right w:w="0" w:type="dxa"/>
        <w:bottom w:w="0" w:type="dxa"/>
      </w:tblCellMar>
    </w:tblPr>
  </w:style>
  <w:style w:type="table" w:styleId="1053" w:customStyle="1">
    <w:name w:val="Grid Table 3 - Accent 3"/>
    <w:uiPriority w:val="99"/>
    <w:qFormat/>
    <w:rPr>
      <w:rFonts w:ascii="Calibri" w:hAnsi="Calibri"/>
    </w:rPr>
    <w:tblPr>
      <w:tblCellMar>
        <w:left w:w="0" w:type="dxa"/>
        <w:top w:w="0" w:type="dxa"/>
        <w:right w:w="0" w:type="dxa"/>
        <w:bottom w:w="0" w:type="dxa"/>
      </w:tblCellMar>
    </w:tblPr>
  </w:style>
  <w:style w:type="table" w:styleId="1054" w:customStyle="1">
    <w:name w:val="Grid Table 3 - Accent 4"/>
    <w:uiPriority w:val="99"/>
    <w:qFormat/>
    <w:rPr>
      <w:rFonts w:ascii="Calibri" w:hAnsi="Calibri"/>
    </w:rPr>
    <w:tblPr>
      <w:tblCellMar>
        <w:left w:w="0" w:type="dxa"/>
        <w:top w:w="0" w:type="dxa"/>
        <w:right w:w="0" w:type="dxa"/>
        <w:bottom w:w="0" w:type="dxa"/>
      </w:tblCellMar>
    </w:tblPr>
  </w:style>
  <w:style w:type="table" w:styleId="1055" w:customStyle="1">
    <w:name w:val="Grid Table 3 - Accent 5"/>
    <w:uiPriority w:val="99"/>
    <w:qFormat/>
    <w:rPr>
      <w:rFonts w:ascii="Calibri" w:hAnsi="Calibri"/>
    </w:rPr>
    <w:tblPr>
      <w:tblCellMar>
        <w:left w:w="0" w:type="dxa"/>
        <w:top w:w="0" w:type="dxa"/>
        <w:right w:w="0" w:type="dxa"/>
        <w:bottom w:w="0" w:type="dxa"/>
      </w:tblCellMar>
    </w:tblPr>
  </w:style>
  <w:style w:type="table" w:styleId="1056" w:customStyle="1">
    <w:name w:val="Grid Table 3 - Accent 6"/>
    <w:uiPriority w:val="99"/>
    <w:qFormat/>
    <w:rPr>
      <w:rFonts w:ascii="Calibri" w:hAnsi="Calibri"/>
    </w:rPr>
    <w:tblPr>
      <w:tblCellMar>
        <w:left w:w="0" w:type="dxa"/>
        <w:top w:w="0" w:type="dxa"/>
        <w:right w:w="0" w:type="dxa"/>
        <w:bottom w:w="0" w:type="dxa"/>
      </w:tblCellMar>
    </w:tblPr>
  </w:style>
  <w:style w:type="table" w:styleId="1057" w:customStyle="1">
    <w:name w:val="Grid Table 4"/>
    <w:uiPriority w:val="59"/>
    <w:qFormat/>
    <w:rPr>
      <w:rFonts w:ascii="Calibri" w:hAnsi="Calibri"/>
    </w:rPr>
    <w:tblPr>
      <w:tblCellMar>
        <w:left w:w="0" w:type="dxa"/>
        <w:top w:w="0" w:type="dxa"/>
        <w:right w:w="0" w:type="dxa"/>
        <w:bottom w:w="0" w:type="dxa"/>
      </w:tblCellMar>
    </w:tblPr>
  </w:style>
  <w:style w:type="table" w:styleId="1058" w:customStyle="1">
    <w:name w:val="Grid Table 4 - Accent 1"/>
    <w:uiPriority w:val="59"/>
    <w:qFormat/>
    <w:rPr>
      <w:rFonts w:ascii="Calibri" w:hAnsi="Calibri"/>
    </w:rPr>
    <w:tblPr>
      <w:tblCellMar>
        <w:left w:w="0" w:type="dxa"/>
        <w:top w:w="0" w:type="dxa"/>
        <w:right w:w="0" w:type="dxa"/>
        <w:bottom w:w="0" w:type="dxa"/>
      </w:tblCellMar>
    </w:tblPr>
  </w:style>
  <w:style w:type="table" w:styleId="1059" w:customStyle="1">
    <w:name w:val="Grid Table 4 - Accent 2"/>
    <w:uiPriority w:val="59"/>
    <w:qFormat/>
    <w:rPr>
      <w:rFonts w:ascii="Calibri" w:hAnsi="Calibri"/>
    </w:rPr>
    <w:tblPr>
      <w:tblCellMar>
        <w:left w:w="0" w:type="dxa"/>
        <w:top w:w="0" w:type="dxa"/>
        <w:right w:w="0" w:type="dxa"/>
        <w:bottom w:w="0" w:type="dxa"/>
      </w:tblCellMar>
    </w:tblPr>
  </w:style>
  <w:style w:type="table" w:styleId="1060" w:customStyle="1">
    <w:name w:val="Grid Table 4 - Accent 3"/>
    <w:uiPriority w:val="59"/>
    <w:qFormat/>
    <w:rPr>
      <w:rFonts w:ascii="Calibri" w:hAnsi="Calibri"/>
    </w:rPr>
    <w:tblPr>
      <w:tblCellMar>
        <w:left w:w="0" w:type="dxa"/>
        <w:top w:w="0" w:type="dxa"/>
        <w:right w:w="0" w:type="dxa"/>
        <w:bottom w:w="0" w:type="dxa"/>
      </w:tblCellMar>
    </w:tblPr>
  </w:style>
  <w:style w:type="table" w:styleId="1061" w:customStyle="1">
    <w:name w:val="Grid Table 4 - Accent 4"/>
    <w:uiPriority w:val="59"/>
    <w:qFormat/>
    <w:rPr>
      <w:rFonts w:ascii="Calibri" w:hAnsi="Calibri"/>
    </w:rPr>
    <w:tblPr>
      <w:tblCellMar>
        <w:left w:w="0" w:type="dxa"/>
        <w:top w:w="0" w:type="dxa"/>
        <w:right w:w="0" w:type="dxa"/>
        <w:bottom w:w="0" w:type="dxa"/>
      </w:tblCellMar>
    </w:tblPr>
  </w:style>
  <w:style w:type="table" w:styleId="1062" w:customStyle="1">
    <w:name w:val="Grid Table 4 - Accent 5"/>
    <w:uiPriority w:val="59"/>
    <w:qFormat/>
    <w:rPr>
      <w:rFonts w:ascii="Calibri" w:hAnsi="Calibri"/>
    </w:rPr>
    <w:tblPr>
      <w:tblCellMar>
        <w:left w:w="0" w:type="dxa"/>
        <w:top w:w="0" w:type="dxa"/>
        <w:right w:w="0" w:type="dxa"/>
        <w:bottom w:w="0" w:type="dxa"/>
      </w:tblCellMar>
    </w:tblPr>
  </w:style>
  <w:style w:type="table" w:styleId="1063" w:customStyle="1">
    <w:name w:val="Grid Table 4 - Accent 6"/>
    <w:uiPriority w:val="59"/>
    <w:qFormat/>
    <w:rPr>
      <w:rFonts w:ascii="Calibri" w:hAnsi="Calibri"/>
    </w:rPr>
    <w:tblPr>
      <w:tblCellMar>
        <w:left w:w="0" w:type="dxa"/>
        <w:top w:w="0" w:type="dxa"/>
        <w:right w:w="0" w:type="dxa"/>
        <w:bottom w:w="0" w:type="dxa"/>
      </w:tblCellMar>
    </w:tblPr>
  </w:style>
  <w:style w:type="table" w:styleId="1064" w:customStyle="1">
    <w:name w:val="Grid Table 5 Dark"/>
    <w:uiPriority w:val="99"/>
    <w:qFormat/>
    <w:rPr>
      <w:rFonts w:ascii="Calibri" w:hAnsi="Calibri"/>
    </w:rPr>
    <w:tblPr>
      <w:tblCellMar>
        <w:left w:w="0" w:type="dxa"/>
        <w:top w:w="0" w:type="dxa"/>
        <w:right w:w="0" w:type="dxa"/>
        <w:bottom w:w="0" w:type="dxa"/>
      </w:tblCellMar>
    </w:tblPr>
  </w:style>
  <w:style w:type="table" w:styleId="1065" w:customStyle="1">
    <w:name w:val="Grid Table 5 Dark- Accent 1"/>
    <w:uiPriority w:val="99"/>
    <w:qFormat/>
    <w:rPr>
      <w:rFonts w:ascii="Calibri" w:hAnsi="Calibri"/>
    </w:rPr>
    <w:tblPr>
      <w:tblCellMar>
        <w:left w:w="0" w:type="dxa"/>
        <w:top w:w="0" w:type="dxa"/>
        <w:right w:w="0" w:type="dxa"/>
        <w:bottom w:w="0" w:type="dxa"/>
      </w:tblCellMar>
    </w:tblPr>
  </w:style>
  <w:style w:type="table" w:styleId="1066" w:customStyle="1">
    <w:name w:val="Grid Table 5 Dark - Accent 2"/>
    <w:uiPriority w:val="99"/>
    <w:qFormat/>
    <w:rPr>
      <w:rFonts w:ascii="Calibri" w:hAnsi="Calibri"/>
    </w:rPr>
    <w:tblPr>
      <w:tblCellMar>
        <w:left w:w="0" w:type="dxa"/>
        <w:top w:w="0" w:type="dxa"/>
        <w:right w:w="0" w:type="dxa"/>
        <w:bottom w:w="0" w:type="dxa"/>
      </w:tblCellMar>
    </w:tblPr>
  </w:style>
  <w:style w:type="table" w:styleId="1067" w:customStyle="1">
    <w:name w:val="Grid Table 5 Dark - Accent 3"/>
    <w:uiPriority w:val="99"/>
    <w:qFormat/>
    <w:rPr>
      <w:rFonts w:ascii="Calibri" w:hAnsi="Calibri"/>
    </w:rPr>
    <w:tblPr>
      <w:tblCellMar>
        <w:left w:w="0" w:type="dxa"/>
        <w:top w:w="0" w:type="dxa"/>
        <w:right w:w="0" w:type="dxa"/>
        <w:bottom w:w="0" w:type="dxa"/>
      </w:tblCellMar>
    </w:tblPr>
  </w:style>
  <w:style w:type="table" w:styleId="1068" w:customStyle="1">
    <w:name w:val="Grid Table 5 Dark- Accent 4"/>
    <w:uiPriority w:val="99"/>
    <w:qFormat/>
    <w:rPr>
      <w:rFonts w:ascii="Calibri" w:hAnsi="Calibri"/>
    </w:rPr>
    <w:tblPr>
      <w:tblCellMar>
        <w:left w:w="0" w:type="dxa"/>
        <w:top w:w="0" w:type="dxa"/>
        <w:right w:w="0" w:type="dxa"/>
        <w:bottom w:w="0" w:type="dxa"/>
      </w:tblCellMar>
    </w:tblPr>
  </w:style>
  <w:style w:type="table" w:styleId="1069" w:customStyle="1">
    <w:name w:val="Grid Table 5 Dark - Accent 5"/>
    <w:uiPriority w:val="99"/>
    <w:qFormat/>
    <w:rPr>
      <w:rFonts w:ascii="Calibri" w:hAnsi="Calibri"/>
    </w:rPr>
    <w:tblPr>
      <w:tblCellMar>
        <w:left w:w="0" w:type="dxa"/>
        <w:top w:w="0" w:type="dxa"/>
        <w:right w:w="0" w:type="dxa"/>
        <w:bottom w:w="0" w:type="dxa"/>
      </w:tblCellMar>
    </w:tblPr>
  </w:style>
  <w:style w:type="table" w:styleId="1070" w:customStyle="1">
    <w:name w:val="Grid Table 5 Dark - Accent 6"/>
    <w:uiPriority w:val="99"/>
    <w:qFormat/>
    <w:rPr>
      <w:rFonts w:ascii="Calibri" w:hAnsi="Calibri"/>
    </w:rPr>
    <w:tblPr>
      <w:tblCellMar>
        <w:left w:w="0" w:type="dxa"/>
        <w:top w:w="0" w:type="dxa"/>
        <w:right w:w="0" w:type="dxa"/>
        <w:bottom w:w="0" w:type="dxa"/>
      </w:tblCellMar>
    </w:tblPr>
  </w:style>
  <w:style w:type="table" w:styleId="1071" w:customStyle="1">
    <w:name w:val="Grid Table 6 Colorful"/>
    <w:uiPriority w:val="99"/>
    <w:qFormat/>
    <w:rPr>
      <w:rFonts w:ascii="Calibri" w:hAnsi="Calibri"/>
    </w:rPr>
    <w:tblPr>
      <w:tblCellMar>
        <w:left w:w="0" w:type="dxa"/>
        <w:top w:w="0" w:type="dxa"/>
        <w:right w:w="0" w:type="dxa"/>
        <w:bottom w:w="0" w:type="dxa"/>
      </w:tblCellMar>
    </w:tblPr>
  </w:style>
  <w:style w:type="table" w:styleId="1072"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73"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74"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75"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76"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77"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78" w:customStyle="1">
    <w:name w:val="Grid Table 7 Colorful"/>
    <w:uiPriority w:val="99"/>
    <w:qFormat/>
    <w:rPr>
      <w:rFonts w:ascii="Calibri" w:hAnsi="Calibri"/>
    </w:rPr>
    <w:tblPr>
      <w:tblCellMar>
        <w:left w:w="0" w:type="dxa"/>
        <w:top w:w="0" w:type="dxa"/>
        <w:right w:w="0" w:type="dxa"/>
        <w:bottom w:w="0" w:type="dxa"/>
      </w:tblCellMar>
    </w:tblPr>
  </w:style>
  <w:style w:type="table" w:styleId="1079"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80"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81"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82"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83"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84"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85" w:customStyle="1">
    <w:name w:val="List Table 1 Light"/>
    <w:uiPriority w:val="99"/>
    <w:qFormat/>
    <w:rPr>
      <w:rFonts w:ascii="Calibri" w:hAnsi="Calibri"/>
    </w:rPr>
    <w:tblPr>
      <w:tblCellMar>
        <w:left w:w="0" w:type="dxa"/>
        <w:top w:w="0" w:type="dxa"/>
        <w:right w:w="0" w:type="dxa"/>
        <w:bottom w:w="0" w:type="dxa"/>
      </w:tblCellMar>
    </w:tblPr>
  </w:style>
  <w:style w:type="table" w:styleId="1086" w:customStyle="1">
    <w:name w:val="List Table 1 Light - Accent 1"/>
    <w:uiPriority w:val="99"/>
    <w:qFormat/>
    <w:rPr>
      <w:rFonts w:ascii="Calibri" w:hAnsi="Calibri"/>
    </w:rPr>
    <w:tblPr>
      <w:tblCellMar>
        <w:left w:w="0" w:type="dxa"/>
        <w:top w:w="0" w:type="dxa"/>
        <w:right w:w="0" w:type="dxa"/>
        <w:bottom w:w="0" w:type="dxa"/>
      </w:tblCellMar>
    </w:tblPr>
  </w:style>
  <w:style w:type="table" w:styleId="1087" w:customStyle="1">
    <w:name w:val="List Table 1 Light - Accent 2"/>
    <w:uiPriority w:val="99"/>
    <w:qFormat/>
    <w:rPr>
      <w:rFonts w:ascii="Calibri" w:hAnsi="Calibri"/>
    </w:rPr>
    <w:tblPr>
      <w:tblCellMar>
        <w:left w:w="0" w:type="dxa"/>
        <w:top w:w="0" w:type="dxa"/>
        <w:right w:w="0" w:type="dxa"/>
        <w:bottom w:w="0" w:type="dxa"/>
      </w:tblCellMar>
    </w:tblPr>
  </w:style>
  <w:style w:type="table" w:styleId="1088" w:customStyle="1">
    <w:name w:val="List Table 1 Light - Accent 3"/>
    <w:uiPriority w:val="99"/>
    <w:qFormat/>
    <w:rPr>
      <w:rFonts w:ascii="Calibri" w:hAnsi="Calibri"/>
    </w:rPr>
    <w:tblPr>
      <w:tblCellMar>
        <w:left w:w="0" w:type="dxa"/>
        <w:top w:w="0" w:type="dxa"/>
        <w:right w:w="0" w:type="dxa"/>
        <w:bottom w:w="0" w:type="dxa"/>
      </w:tblCellMar>
    </w:tblPr>
  </w:style>
  <w:style w:type="table" w:styleId="1089" w:customStyle="1">
    <w:name w:val="List Table 1 Light - Accent 4"/>
    <w:uiPriority w:val="99"/>
    <w:qFormat/>
    <w:rPr>
      <w:rFonts w:ascii="Calibri" w:hAnsi="Calibri"/>
    </w:rPr>
    <w:tblPr>
      <w:tblCellMar>
        <w:left w:w="0" w:type="dxa"/>
        <w:top w:w="0" w:type="dxa"/>
        <w:right w:w="0" w:type="dxa"/>
        <w:bottom w:w="0" w:type="dxa"/>
      </w:tblCellMar>
    </w:tblPr>
  </w:style>
  <w:style w:type="table" w:styleId="1090" w:customStyle="1">
    <w:name w:val="List Table 1 Light - Accent 5"/>
    <w:uiPriority w:val="99"/>
    <w:qFormat/>
    <w:rPr>
      <w:rFonts w:ascii="Calibri" w:hAnsi="Calibri"/>
    </w:rPr>
    <w:tblPr>
      <w:tblCellMar>
        <w:left w:w="0" w:type="dxa"/>
        <w:top w:w="0" w:type="dxa"/>
        <w:right w:w="0" w:type="dxa"/>
        <w:bottom w:w="0" w:type="dxa"/>
      </w:tblCellMar>
    </w:tblPr>
  </w:style>
  <w:style w:type="table" w:styleId="1091" w:customStyle="1">
    <w:name w:val="List Table 1 Light - Accent 6"/>
    <w:uiPriority w:val="99"/>
    <w:qFormat/>
    <w:rPr>
      <w:rFonts w:ascii="Calibri" w:hAnsi="Calibri"/>
    </w:rPr>
    <w:tblPr>
      <w:tblCellMar>
        <w:left w:w="0" w:type="dxa"/>
        <w:top w:w="0" w:type="dxa"/>
        <w:right w:w="0" w:type="dxa"/>
        <w:bottom w:w="0" w:type="dxa"/>
      </w:tblCellMar>
    </w:tblPr>
  </w:style>
  <w:style w:type="table" w:styleId="1092" w:customStyle="1">
    <w:name w:val="List Table 2"/>
    <w:uiPriority w:val="99"/>
    <w:qFormat/>
    <w:rPr>
      <w:rFonts w:ascii="Calibri" w:hAnsi="Calibri"/>
    </w:rPr>
    <w:tblPr>
      <w:tblCellMar>
        <w:left w:w="0" w:type="dxa"/>
        <w:top w:w="0" w:type="dxa"/>
        <w:right w:w="0" w:type="dxa"/>
        <w:bottom w:w="0" w:type="dxa"/>
      </w:tblCellMar>
    </w:tblPr>
  </w:style>
  <w:style w:type="table" w:styleId="1093" w:customStyle="1">
    <w:name w:val="List Table 2 - Accent 1"/>
    <w:uiPriority w:val="99"/>
    <w:qFormat/>
    <w:rPr>
      <w:rFonts w:ascii="Calibri" w:hAnsi="Calibri"/>
    </w:rPr>
    <w:tblPr>
      <w:tblCellMar>
        <w:left w:w="0" w:type="dxa"/>
        <w:top w:w="0" w:type="dxa"/>
        <w:right w:w="0" w:type="dxa"/>
        <w:bottom w:w="0" w:type="dxa"/>
      </w:tblCellMar>
    </w:tblPr>
  </w:style>
  <w:style w:type="table" w:styleId="1094" w:customStyle="1">
    <w:name w:val="List Table 2 - Accent 2"/>
    <w:uiPriority w:val="99"/>
    <w:qFormat/>
    <w:rPr>
      <w:rFonts w:ascii="Calibri" w:hAnsi="Calibri"/>
    </w:rPr>
    <w:tblPr>
      <w:tblCellMar>
        <w:left w:w="0" w:type="dxa"/>
        <w:top w:w="0" w:type="dxa"/>
        <w:right w:w="0" w:type="dxa"/>
        <w:bottom w:w="0" w:type="dxa"/>
      </w:tblCellMar>
    </w:tblPr>
  </w:style>
  <w:style w:type="table" w:styleId="1095" w:customStyle="1">
    <w:name w:val="List Table 2 - Accent 3"/>
    <w:uiPriority w:val="99"/>
    <w:qFormat/>
    <w:rPr>
      <w:rFonts w:ascii="Calibri" w:hAnsi="Calibri"/>
    </w:rPr>
    <w:tblPr>
      <w:tblCellMar>
        <w:left w:w="0" w:type="dxa"/>
        <w:top w:w="0" w:type="dxa"/>
        <w:right w:w="0" w:type="dxa"/>
        <w:bottom w:w="0" w:type="dxa"/>
      </w:tblCellMar>
    </w:tblPr>
  </w:style>
  <w:style w:type="table" w:styleId="1096" w:customStyle="1">
    <w:name w:val="List Table 2 - Accent 4"/>
    <w:uiPriority w:val="99"/>
    <w:qFormat/>
    <w:rPr>
      <w:rFonts w:ascii="Calibri" w:hAnsi="Calibri"/>
    </w:rPr>
    <w:tblPr>
      <w:tblCellMar>
        <w:left w:w="0" w:type="dxa"/>
        <w:top w:w="0" w:type="dxa"/>
        <w:right w:w="0" w:type="dxa"/>
        <w:bottom w:w="0" w:type="dxa"/>
      </w:tblCellMar>
    </w:tblPr>
  </w:style>
  <w:style w:type="table" w:styleId="1097" w:customStyle="1">
    <w:name w:val="List Table 2 - Accent 5"/>
    <w:uiPriority w:val="99"/>
    <w:qFormat/>
    <w:rPr>
      <w:rFonts w:ascii="Calibri" w:hAnsi="Calibri"/>
    </w:rPr>
    <w:tblPr>
      <w:tblCellMar>
        <w:left w:w="0" w:type="dxa"/>
        <w:top w:w="0" w:type="dxa"/>
        <w:right w:w="0" w:type="dxa"/>
        <w:bottom w:w="0" w:type="dxa"/>
      </w:tblCellMar>
    </w:tblPr>
  </w:style>
  <w:style w:type="table" w:styleId="1098" w:customStyle="1">
    <w:name w:val="List Table 2 - Accent 6"/>
    <w:uiPriority w:val="99"/>
    <w:qFormat/>
    <w:rPr>
      <w:rFonts w:ascii="Calibri" w:hAnsi="Calibri"/>
    </w:rPr>
    <w:tblPr>
      <w:tblCellMar>
        <w:left w:w="0" w:type="dxa"/>
        <w:top w:w="0" w:type="dxa"/>
        <w:right w:w="0" w:type="dxa"/>
        <w:bottom w:w="0" w:type="dxa"/>
      </w:tblCellMar>
    </w:tblPr>
  </w:style>
  <w:style w:type="table" w:styleId="1099" w:customStyle="1">
    <w:name w:val="List Table 3"/>
    <w:uiPriority w:val="99"/>
    <w:qFormat/>
    <w:rPr>
      <w:rFonts w:ascii="Calibri" w:hAnsi="Calibri"/>
    </w:rPr>
    <w:tblPr>
      <w:tblCellMar>
        <w:left w:w="0" w:type="dxa"/>
        <w:top w:w="0" w:type="dxa"/>
        <w:right w:w="0" w:type="dxa"/>
        <w:bottom w:w="0" w:type="dxa"/>
      </w:tblCellMar>
    </w:tblPr>
  </w:style>
  <w:style w:type="table" w:styleId="1100" w:customStyle="1">
    <w:name w:val="List Table 3 - Accent 1"/>
    <w:uiPriority w:val="99"/>
    <w:qFormat/>
    <w:rPr>
      <w:rFonts w:ascii="Calibri" w:hAnsi="Calibri"/>
    </w:rPr>
    <w:tblPr>
      <w:tblCellMar>
        <w:left w:w="0" w:type="dxa"/>
        <w:top w:w="0" w:type="dxa"/>
        <w:right w:w="0" w:type="dxa"/>
        <w:bottom w:w="0" w:type="dxa"/>
      </w:tblCellMar>
    </w:tblPr>
  </w:style>
  <w:style w:type="table" w:styleId="1101" w:customStyle="1">
    <w:name w:val="List Table 3 - Accent 2"/>
    <w:uiPriority w:val="99"/>
    <w:qFormat/>
    <w:rPr>
      <w:rFonts w:ascii="Calibri" w:hAnsi="Calibri"/>
    </w:rPr>
    <w:tblPr>
      <w:tblCellMar>
        <w:left w:w="0" w:type="dxa"/>
        <w:top w:w="0" w:type="dxa"/>
        <w:right w:w="0" w:type="dxa"/>
        <w:bottom w:w="0" w:type="dxa"/>
      </w:tblCellMar>
    </w:tblPr>
  </w:style>
  <w:style w:type="table" w:styleId="1102" w:customStyle="1">
    <w:name w:val="List Table 3 - Accent 3"/>
    <w:uiPriority w:val="99"/>
    <w:qFormat/>
    <w:rPr>
      <w:rFonts w:ascii="Calibri" w:hAnsi="Calibri"/>
    </w:rPr>
    <w:tblPr>
      <w:tblCellMar>
        <w:left w:w="0" w:type="dxa"/>
        <w:top w:w="0" w:type="dxa"/>
        <w:right w:w="0" w:type="dxa"/>
        <w:bottom w:w="0" w:type="dxa"/>
      </w:tblCellMar>
    </w:tblPr>
  </w:style>
  <w:style w:type="table" w:styleId="1103" w:customStyle="1">
    <w:name w:val="List Table 3 - Accent 4"/>
    <w:uiPriority w:val="99"/>
    <w:qFormat/>
    <w:rPr>
      <w:rFonts w:ascii="Calibri" w:hAnsi="Calibri"/>
    </w:rPr>
    <w:tblPr>
      <w:tblCellMar>
        <w:left w:w="0" w:type="dxa"/>
        <w:top w:w="0" w:type="dxa"/>
        <w:right w:w="0" w:type="dxa"/>
        <w:bottom w:w="0" w:type="dxa"/>
      </w:tblCellMar>
    </w:tblPr>
  </w:style>
  <w:style w:type="table" w:styleId="1104" w:customStyle="1">
    <w:name w:val="List Table 3 - Accent 5"/>
    <w:uiPriority w:val="99"/>
    <w:qFormat/>
    <w:rPr>
      <w:rFonts w:ascii="Calibri" w:hAnsi="Calibri"/>
    </w:rPr>
    <w:tblPr>
      <w:tblCellMar>
        <w:left w:w="0" w:type="dxa"/>
        <w:top w:w="0" w:type="dxa"/>
        <w:right w:w="0" w:type="dxa"/>
        <w:bottom w:w="0" w:type="dxa"/>
      </w:tblCellMar>
    </w:tblPr>
  </w:style>
  <w:style w:type="table" w:styleId="1105" w:customStyle="1">
    <w:name w:val="List Table 3 - Accent 6"/>
    <w:uiPriority w:val="99"/>
    <w:qFormat/>
    <w:rPr>
      <w:rFonts w:ascii="Calibri" w:hAnsi="Calibri"/>
    </w:rPr>
    <w:tblPr>
      <w:tblCellMar>
        <w:left w:w="0" w:type="dxa"/>
        <w:top w:w="0" w:type="dxa"/>
        <w:right w:w="0" w:type="dxa"/>
        <w:bottom w:w="0" w:type="dxa"/>
      </w:tblCellMar>
    </w:tblPr>
  </w:style>
  <w:style w:type="table" w:styleId="1106" w:customStyle="1">
    <w:name w:val="List Table 4"/>
    <w:uiPriority w:val="99"/>
    <w:qFormat/>
    <w:rPr>
      <w:rFonts w:ascii="Calibri" w:hAnsi="Calibri"/>
    </w:rPr>
    <w:tblPr>
      <w:tblCellMar>
        <w:left w:w="0" w:type="dxa"/>
        <w:top w:w="0" w:type="dxa"/>
        <w:right w:w="0" w:type="dxa"/>
        <w:bottom w:w="0" w:type="dxa"/>
      </w:tblCellMar>
    </w:tblPr>
  </w:style>
  <w:style w:type="table" w:styleId="1107" w:customStyle="1">
    <w:name w:val="List Table 4 - Accent 1"/>
    <w:uiPriority w:val="99"/>
    <w:qFormat/>
    <w:rPr>
      <w:rFonts w:ascii="Calibri" w:hAnsi="Calibri"/>
    </w:rPr>
    <w:tblPr>
      <w:tblCellMar>
        <w:left w:w="0" w:type="dxa"/>
        <w:top w:w="0" w:type="dxa"/>
        <w:right w:w="0" w:type="dxa"/>
        <w:bottom w:w="0" w:type="dxa"/>
      </w:tblCellMar>
    </w:tblPr>
  </w:style>
  <w:style w:type="table" w:styleId="1108" w:customStyle="1">
    <w:name w:val="List Table 4 - Accent 2"/>
    <w:uiPriority w:val="99"/>
    <w:qFormat/>
    <w:rPr>
      <w:rFonts w:ascii="Calibri" w:hAnsi="Calibri"/>
    </w:rPr>
    <w:tblPr>
      <w:tblCellMar>
        <w:left w:w="0" w:type="dxa"/>
        <w:top w:w="0" w:type="dxa"/>
        <w:right w:w="0" w:type="dxa"/>
        <w:bottom w:w="0" w:type="dxa"/>
      </w:tblCellMar>
    </w:tblPr>
  </w:style>
  <w:style w:type="table" w:styleId="1109" w:customStyle="1">
    <w:name w:val="List Table 4 - Accent 3"/>
    <w:uiPriority w:val="99"/>
    <w:qFormat/>
    <w:rPr>
      <w:rFonts w:ascii="Calibri" w:hAnsi="Calibri"/>
    </w:rPr>
    <w:tblPr>
      <w:tblCellMar>
        <w:left w:w="0" w:type="dxa"/>
        <w:top w:w="0" w:type="dxa"/>
        <w:right w:w="0" w:type="dxa"/>
        <w:bottom w:w="0" w:type="dxa"/>
      </w:tblCellMar>
    </w:tblPr>
  </w:style>
  <w:style w:type="table" w:styleId="1110" w:customStyle="1">
    <w:name w:val="List Table 4 - Accent 4"/>
    <w:uiPriority w:val="99"/>
    <w:qFormat/>
    <w:rPr>
      <w:rFonts w:ascii="Calibri" w:hAnsi="Calibri"/>
    </w:rPr>
    <w:tblPr>
      <w:tblCellMar>
        <w:left w:w="0" w:type="dxa"/>
        <w:top w:w="0" w:type="dxa"/>
        <w:right w:w="0" w:type="dxa"/>
        <w:bottom w:w="0" w:type="dxa"/>
      </w:tblCellMar>
    </w:tblPr>
  </w:style>
  <w:style w:type="table" w:styleId="1111" w:customStyle="1">
    <w:name w:val="List Table 4 - Accent 5"/>
    <w:uiPriority w:val="99"/>
    <w:qFormat/>
    <w:rPr>
      <w:rFonts w:ascii="Calibri" w:hAnsi="Calibri"/>
    </w:rPr>
    <w:tblPr>
      <w:tblCellMar>
        <w:left w:w="0" w:type="dxa"/>
        <w:top w:w="0" w:type="dxa"/>
        <w:right w:w="0" w:type="dxa"/>
        <w:bottom w:w="0" w:type="dxa"/>
      </w:tblCellMar>
    </w:tblPr>
  </w:style>
  <w:style w:type="table" w:styleId="1112" w:customStyle="1">
    <w:name w:val="List Table 4 - Accent 6"/>
    <w:uiPriority w:val="99"/>
    <w:qFormat/>
    <w:rPr>
      <w:rFonts w:ascii="Calibri" w:hAnsi="Calibri"/>
    </w:rPr>
    <w:tblPr>
      <w:tblCellMar>
        <w:left w:w="0" w:type="dxa"/>
        <w:top w:w="0" w:type="dxa"/>
        <w:right w:w="0" w:type="dxa"/>
        <w:bottom w:w="0" w:type="dxa"/>
      </w:tblCellMar>
    </w:tblPr>
  </w:style>
  <w:style w:type="table" w:styleId="1113" w:customStyle="1">
    <w:name w:val="List Table 5 Dark"/>
    <w:uiPriority w:val="99"/>
    <w:qFormat/>
    <w:rPr>
      <w:rFonts w:ascii="Calibri" w:hAnsi="Calibri"/>
    </w:rPr>
    <w:tblPr>
      <w:tblCellMar>
        <w:left w:w="0" w:type="dxa"/>
        <w:top w:w="0" w:type="dxa"/>
        <w:right w:w="0" w:type="dxa"/>
        <w:bottom w:w="0" w:type="dxa"/>
      </w:tblCellMar>
    </w:tblPr>
  </w:style>
  <w:style w:type="table" w:styleId="1114" w:customStyle="1">
    <w:name w:val="List Table 5 Dark - Accent 1"/>
    <w:uiPriority w:val="99"/>
    <w:qFormat/>
    <w:rPr>
      <w:rFonts w:ascii="Calibri" w:hAnsi="Calibri"/>
    </w:rPr>
    <w:tblPr>
      <w:tblCellMar>
        <w:left w:w="0" w:type="dxa"/>
        <w:top w:w="0" w:type="dxa"/>
        <w:right w:w="0" w:type="dxa"/>
        <w:bottom w:w="0" w:type="dxa"/>
      </w:tblCellMar>
    </w:tblPr>
  </w:style>
  <w:style w:type="table" w:styleId="1115" w:customStyle="1">
    <w:name w:val="List Table 5 Dark - Accent 2"/>
    <w:uiPriority w:val="99"/>
    <w:qFormat/>
    <w:rPr>
      <w:rFonts w:ascii="Calibri" w:hAnsi="Calibri"/>
    </w:rPr>
    <w:tblPr>
      <w:tblCellMar>
        <w:left w:w="0" w:type="dxa"/>
        <w:top w:w="0" w:type="dxa"/>
        <w:right w:w="0" w:type="dxa"/>
        <w:bottom w:w="0" w:type="dxa"/>
      </w:tblCellMar>
    </w:tblPr>
  </w:style>
  <w:style w:type="table" w:styleId="1116" w:customStyle="1">
    <w:name w:val="List Table 5 Dark - Accent 3"/>
    <w:uiPriority w:val="99"/>
    <w:qFormat/>
    <w:rPr>
      <w:rFonts w:ascii="Calibri" w:hAnsi="Calibri"/>
    </w:rPr>
    <w:tblPr>
      <w:tblCellMar>
        <w:left w:w="0" w:type="dxa"/>
        <w:top w:w="0" w:type="dxa"/>
        <w:right w:w="0" w:type="dxa"/>
        <w:bottom w:w="0" w:type="dxa"/>
      </w:tblCellMar>
    </w:tblPr>
  </w:style>
  <w:style w:type="table" w:styleId="1117" w:customStyle="1">
    <w:name w:val="List Table 5 Dark - Accent 4"/>
    <w:uiPriority w:val="99"/>
    <w:qFormat/>
    <w:rPr>
      <w:rFonts w:ascii="Calibri" w:hAnsi="Calibri"/>
    </w:rPr>
    <w:tblPr>
      <w:tblCellMar>
        <w:left w:w="0" w:type="dxa"/>
        <w:top w:w="0" w:type="dxa"/>
        <w:right w:w="0" w:type="dxa"/>
        <w:bottom w:w="0" w:type="dxa"/>
      </w:tblCellMar>
    </w:tblPr>
  </w:style>
  <w:style w:type="table" w:styleId="1118" w:customStyle="1">
    <w:name w:val="List Table 5 Dark - Accent 5"/>
    <w:uiPriority w:val="99"/>
    <w:qFormat/>
    <w:rPr>
      <w:rFonts w:ascii="Calibri" w:hAnsi="Calibri"/>
    </w:rPr>
    <w:tblPr>
      <w:tblCellMar>
        <w:left w:w="0" w:type="dxa"/>
        <w:top w:w="0" w:type="dxa"/>
        <w:right w:w="0" w:type="dxa"/>
        <w:bottom w:w="0" w:type="dxa"/>
      </w:tblCellMar>
    </w:tblPr>
  </w:style>
  <w:style w:type="table" w:styleId="1119" w:customStyle="1">
    <w:name w:val="List Table 5 Dark - Accent 6"/>
    <w:uiPriority w:val="99"/>
    <w:qFormat/>
    <w:rPr>
      <w:rFonts w:ascii="Calibri" w:hAnsi="Calibri"/>
    </w:rPr>
    <w:tblPr>
      <w:tblCellMar>
        <w:left w:w="0" w:type="dxa"/>
        <w:top w:w="0" w:type="dxa"/>
        <w:right w:w="0" w:type="dxa"/>
        <w:bottom w:w="0" w:type="dxa"/>
      </w:tblCellMar>
    </w:tblPr>
  </w:style>
  <w:style w:type="table" w:styleId="1120" w:customStyle="1">
    <w:name w:val="List Table 6 Colorful"/>
    <w:uiPriority w:val="99"/>
    <w:qFormat/>
    <w:rPr>
      <w:rFonts w:ascii="Calibri" w:hAnsi="Calibri"/>
    </w:rPr>
    <w:tblPr>
      <w:tblCellMar>
        <w:left w:w="0" w:type="dxa"/>
        <w:top w:w="0" w:type="dxa"/>
        <w:right w:w="0" w:type="dxa"/>
        <w:bottom w:w="0" w:type="dxa"/>
      </w:tblCellMar>
    </w:tblPr>
  </w:style>
  <w:style w:type="table" w:styleId="1121"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122"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123"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124"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125"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126"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127" w:customStyle="1">
    <w:name w:val="List Table 7 Colorful"/>
    <w:uiPriority w:val="99"/>
    <w:qFormat/>
    <w:rPr>
      <w:rFonts w:ascii="Calibri" w:hAnsi="Calibri"/>
    </w:rPr>
    <w:tblPr>
      <w:tblCellMar>
        <w:left w:w="0" w:type="dxa"/>
        <w:top w:w="0" w:type="dxa"/>
        <w:right w:w="0" w:type="dxa"/>
        <w:bottom w:w="0" w:type="dxa"/>
      </w:tblCellMar>
    </w:tblPr>
  </w:style>
  <w:style w:type="table" w:styleId="1128"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29"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30"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31"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32"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33"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34"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35"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36"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37"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38"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39"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40"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41"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42"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43"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44"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45"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46"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47"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48" w:customStyle="1">
    <w:name w:val="Bordered"/>
    <w:uiPriority w:val="99"/>
    <w:qFormat/>
    <w:rPr>
      <w:rFonts w:ascii="Calibri" w:hAnsi="Calibri"/>
    </w:rPr>
    <w:tblPr>
      <w:tblCellMar>
        <w:left w:w="0" w:type="dxa"/>
        <w:top w:w="0" w:type="dxa"/>
        <w:right w:w="0" w:type="dxa"/>
        <w:bottom w:w="0" w:type="dxa"/>
      </w:tblCellMar>
    </w:tblPr>
  </w:style>
  <w:style w:type="table" w:styleId="1149" w:customStyle="1">
    <w:name w:val="Bordered - Accent 1"/>
    <w:uiPriority w:val="99"/>
    <w:qFormat/>
    <w:rPr>
      <w:rFonts w:ascii="Calibri" w:hAnsi="Calibri"/>
    </w:rPr>
    <w:tblPr>
      <w:tblCellMar>
        <w:left w:w="0" w:type="dxa"/>
        <w:top w:w="0" w:type="dxa"/>
        <w:right w:w="0" w:type="dxa"/>
        <w:bottom w:w="0" w:type="dxa"/>
      </w:tblCellMar>
    </w:tblPr>
  </w:style>
  <w:style w:type="table" w:styleId="1150" w:customStyle="1">
    <w:name w:val="Bordered - Accent 2"/>
    <w:uiPriority w:val="99"/>
    <w:qFormat/>
    <w:rPr>
      <w:rFonts w:ascii="Calibri" w:hAnsi="Calibri"/>
    </w:rPr>
    <w:tblPr>
      <w:tblCellMar>
        <w:left w:w="0" w:type="dxa"/>
        <w:top w:w="0" w:type="dxa"/>
        <w:right w:w="0" w:type="dxa"/>
        <w:bottom w:w="0" w:type="dxa"/>
      </w:tblCellMar>
    </w:tblPr>
  </w:style>
  <w:style w:type="table" w:styleId="1151" w:customStyle="1">
    <w:name w:val="Bordered - Accent 3"/>
    <w:uiPriority w:val="99"/>
    <w:qFormat/>
    <w:rPr>
      <w:rFonts w:ascii="Calibri" w:hAnsi="Calibri"/>
    </w:rPr>
    <w:tblPr>
      <w:tblCellMar>
        <w:left w:w="0" w:type="dxa"/>
        <w:top w:w="0" w:type="dxa"/>
        <w:right w:w="0" w:type="dxa"/>
        <w:bottom w:w="0" w:type="dxa"/>
      </w:tblCellMar>
    </w:tblPr>
  </w:style>
  <w:style w:type="table" w:styleId="1152" w:customStyle="1">
    <w:name w:val="Bordered - Accent 4"/>
    <w:uiPriority w:val="99"/>
    <w:qFormat/>
    <w:rPr>
      <w:rFonts w:ascii="Calibri" w:hAnsi="Calibri"/>
    </w:rPr>
    <w:tblPr>
      <w:tblCellMar>
        <w:left w:w="0" w:type="dxa"/>
        <w:top w:w="0" w:type="dxa"/>
        <w:right w:w="0" w:type="dxa"/>
        <w:bottom w:w="0" w:type="dxa"/>
      </w:tblCellMar>
    </w:tblPr>
  </w:style>
  <w:style w:type="table" w:styleId="1153" w:customStyle="1">
    <w:name w:val="Bordered - Accent 5"/>
    <w:uiPriority w:val="99"/>
    <w:qFormat/>
    <w:rPr>
      <w:rFonts w:ascii="Calibri" w:hAnsi="Calibri"/>
    </w:rPr>
    <w:tblPr>
      <w:tblCellMar>
        <w:left w:w="0" w:type="dxa"/>
        <w:top w:w="0" w:type="dxa"/>
        <w:right w:w="0" w:type="dxa"/>
        <w:bottom w:w="0" w:type="dxa"/>
      </w:tblCellMar>
    </w:tblPr>
  </w:style>
  <w:style w:type="table" w:styleId="1154" w:customStyle="1">
    <w:name w:val="Bordered - Accent 6"/>
    <w:uiPriority w:val="99"/>
    <w:qFormat/>
    <w:rPr>
      <w:rFonts w:ascii="Calibri" w:hAnsi="Calibri"/>
    </w:rPr>
    <w:tblPr>
      <w:tblCellMar>
        <w:left w:w="0" w:type="dxa"/>
        <w:top w:w="0" w:type="dxa"/>
        <w:right w:w="0" w:type="dxa"/>
        <w:bottom w:w="0" w:type="dxa"/>
      </w:tblCellMar>
    </w:tblPr>
  </w:style>
  <w:style w:type="paragraph" w:styleId="1155" w:customStyle="1">
    <w:name w:val="TOC 标题11"/>
    <w:uiPriority w:val="39"/>
    <w:unhideWhenUsed/>
    <w:qFormat/>
    <w:rPr>
      <w:rFonts w:hint="default" w:ascii="Calibri" w:hAnsi="Calibri" w:eastAsia="宋体" w:cs="Times New Roman"/>
      <w:lang w:val="en-US" w:eastAsia="zh-CN" w:bidi="ar-SA"/>
    </w:rPr>
  </w:style>
  <w:style w:type="paragraph" w:styleId="1156" w:customStyle="1">
    <w:name w:val="标题 11"/>
    <w:basedOn w:val="796"/>
    <w:next w:val="796"/>
    <w:link w:val="1157"/>
    <w:uiPriority w:val="0"/>
    <w:qFormat/>
    <w:pPr>
      <w:jc w:val="center"/>
      <w:keepNext/>
      <w:outlineLvl w:val="0"/>
    </w:pPr>
    <w:rPr>
      <w:rFonts w:ascii="楷体_GB2312" w:hAnsi="Times New Roman" w:eastAsia="楷体_GB2312"/>
      <w:sz w:val="28"/>
      <w:szCs w:val="28"/>
      <w:lang w:eastAsia="en-US"/>
    </w:rPr>
  </w:style>
  <w:style w:type="character" w:styleId="1157" w:customStyle="1">
    <w:name w:val="标题 1 Char"/>
    <w:link w:val="1156"/>
    <w:uiPriority w:val="0"/>
    <w:qFormat/>
    <w:rPr>
      <w:rFonts w:ascii="楷体_GB2312" w:hAnsi="Times New Roman" w:eastAsia="楷体_GB2312" w:cs="Times New Roman"/>
      <w:sz w:val="28"/>
      <w:szCs w:val="28"/>
      <w:lang w:eastAsia="en-US"/>
    </w:rPr>
  </w:style>
  <w:style w:type="paragraph" w:styleId="1158" w:customStyle="1">
    <w:name w:val="标题 21"/>
    <w:basedOn w:val="796"/>
    <w:next w:val="1159"/>
    <w:link w:val="1160"/>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59" w:customStyle="1">
    <w:name w:val="正文缩进1"/>
    <w:basedOn w:val="796"/>
    <w:link w:val="1161"/>
    <w:uiPriority w:val="0"/>
    <w:qFormat/>
    <w:pPr>
      <w:ind w:firstLine="420"/>
    </w:pPr>
    <w:rPr>
      <w:rFonts w:ascii="Times New Roman" w:hAnsi="Times New Roman" w:eastAsia="宋体"/>
      <w:sz w:val="20"/>
      <w:szCs w:val="21"/>
      <w:lang w:eastAsia="en-US"/>
    </w:rPr>
  </w:style>
  <w:style w:type="character" w:styleId="1160" w:customStyle="1">
    <w:name w:val="标题 2 Char"/>
    <w:link w:val="1158"/>
    <w:uiPriority w:val="0"/>
    <w:qFormat/>
    <w:rPr>
      <w:rFonts w:ascii="Arial" w:hAnsi="Arial" w:eastAsia="幼圆" w:cs="Times New Roman"/>
      <w:b/>
      <w:bCs/>
      <w:sz w:val="44"/>
      <w:szCs w:val="44"/>
      <w:lang w:eastAsia="en-US"/>
    </w:rPr>
  </w:style>
  <w:style w:type="character" w:styleId="1161" w:customStyle="1">
    <w:name w:val="正文缩进 Char"/>
    <w:link w:val="1159"/>
    <w:uiPriority w:val="0"/>
    <w:qFormat/>
    <w:rPr>
      <w:rFonts w:ascii="Times New Roman" w:hAnsi="Times New Roman" w:eastAsia="宋体" w:cs="Times New Roman"/>
      <w:szCs w:val="21"/>
      <w:lang w:eastAsia="en-US"/>
    </w:rPr>
  </w:style>
  <w:style w:type="paragraph" w:styleId="1162" w:customStyle="1">
    <w:name w:val="标题 41"/>
    <w:basedOn w:val="796"/>
    <w:next w:val="1159"/>
    <w:link w:val="1163"/>
    <w:uiPriority w:val="0"/>
    <w:qFormat/>
    <w:pPr>
      <w:keepLines/>
      <w:keepNext/>
      <w:spacing w:before="280" w:after="290" w:line="376" w:lineRule="auto"/>
      <w:outlineLvl w:val="3"/>
    </w:pPr>
    <w:rPr>
      <w:rFonts w:ascii="Arial" w:hAnsi="Arial" w:eastAsia="黑体"/>
      <w:b/>
      <w:bCs/>
      <w:sz w:val="28"/>
      <w:szCs w:val="28"/>
      <w:lang w:eastAsia="en-US"/>
    </w:rPr>
  </w:style>
  <w:style w:type="character" w:styleId="1163" w:customStyle="1">
    <w:name w:val="标题 4 Char"/>
    <w:link w:val="1162"/>
    <w:uiPriority w:val="0"/>
    <w:qFormat/>
    <w:rPr>
      <w:rFonts w:ascii="Arial" w:hAnsi="Arial" w:eastAsia="黑体" w:cs="Times New Roman"/>
      <w:b/>
      <w:bCs/>
      <w:sz w:val="28"/>
      <w:szCs w:val="28"/>
      <w:lang w:eastAsia="en-US"/>
    </w:rPr>
  </w:style>
  <w:style w:type="paragraph" w:styleId="1164" w:customStyle="1">
    <w:name w:val="标题 51"/>
    <w:basedOn w:val="796"/>
    <w:next w:val="1159"/>
    <w:link w:val="1165"/>
    <w:uiPriority w:val="0"/>
    <w:qFormat/>
    <w:pPr>
      <w:keepNext/>
      <w:outlineLvl w:val="4"/>
    </w:pPr>
    <w:rPr>
      <w:rFonts w:ascii="宋体" w:hAnsi="Times New Roman" w:eastAsia="宋体"/>
      <w:color w:val="000000"/>
      <w:sz w:val="28"/>
      <w:szCs w:val="28"/>
      <w:lang w:eastAsia="en-US"/>
    </w:rPr>
  </w:style>
  <w:style w:type="character" w:styleId="1165" w:customStyle="1">
    <w:name w:val="标题 5 Char"/>
    <w:link w:val="1164"/>
    <w:uiPriority w:val="0"/>
    <w:qFormat/>
    <w:rPr>
      <w:rFonts w:ascii="宋体" w:hAnsi="Times New Roman" w:eastAsia="宋体" w:cs="Times New Roman"/>
      <w:color w:val="000000"/>
      <w:sz w:val="28"/>
      <w:szCs w:val="28"/>
      <w:lang w:eastAsia="en-US"/>
    </w:rPr>
  </w:style>
  <w:style w:type="paragraph" w:styleId="1166" w:customStyle="1">
    <w:name w:val="标题 61"/>
    <w:basedOn w:val="796"/>
    <w:next w:val="796"/>
    <w:link w:val="1167"/>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67" w:customStyle="1">
    <w:name w:val="标题 6 Char"/>
    <w:link w:val="1166"/>
    <w:uiPriority w:val="0"/>
    <w:qFormat/>
    <w:rPr>
      <w:rFonts w:ascii="Arial" w:hAnsi="Arial" w:eastAsia="黑体" w:cs="Times New Roman"/>
      <w:b/>
      <w:bCs/>
      <w:sz w:val="24"/>
      <w:szCs w:val="24"/>
      <w:lang w:eastAsia="en-US"/>
    </w:rPr>
  </w:style>
  <w:style w:type="paragraph" w:styleId="1168" w:customStyle="1">
    <w:name w:val="标题 71"/>
    <w:basedOn w:val="796"/>
    <w:next w:val="796"/>
    <w:link w:val="1169"/>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69" w:customStyle="1">
    <w:name w:val="标题 7 Char"/>
    <w:link w:val="1168"/>
    <w:uiPriority w:val="0"/>
    <w:qFormat/>
    <w:rPr>
      <w:rFonts w:ascii="Times New Roman" w:hAnsi="Times New Roman" w:eastAsia="宋体" w:cs="Times New Roman"/>
      <w:b/>
      <w:bCs/>
      <w:sz w:val="24"/>
      <w:szCs w:val="24"/>
      <w:lang w:eastAsia="en-US"/>
    </w:rPr>
  </w:style>
  <w:style w:type="paragraph" w:styleId="1170" w:customStyle="1">
    <w:name w:val="标题 81"/>
    <w:basedOn w:val="796"/>
    <w:next w:val="796"/>
    <w:link w:val="1171"/>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71" w:customStyle="1">
    <w:name w:val="标题 8 Char"/>
    <w:link w:val="1170"/>
    <w:uiPriority w:val="0"/>
    <w:qFormat/>
    <w:rPr>
      <w:rFonts w:ascii="Arial" w:hAnsi="Arial" w:eastAsia="黑体" w:cs="Times New Roman"/>
      <w:sz w:val="24"/>
      <w:szCs w:val="24"/>
      <w:lang w:eastAsia="en-US"/>
    </w:rPr>
  </w:style>
  <w:style w:type="paragraph" w:styleId="1172" w:customStyle="1">
    <w:name w:val="标题 91"/>
    <w:basedOn w:val="796"/>
    <w:next w:val="796"/>
    <w:link w:val="1173"/>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73" w:customStyle="1">
    <w:name w:val="标题 9 Char"/>
    <w:link w:val="1172"/>
    <w:uiPriority w:val="0"/>
    <w:qFormat/>
    <w:rPr>
      <w:rFonts w:ascii="Arial" w:hAnsi="Arial" w:eastAsia="黑体" w:cs="Times New Roman"/>
      <w:szCs w:val="21"/>
      <w:lang w:eastAsia="en-US"/>
    </w:rPr>
  </w:style>
  <w:style w:type="character" w:styleId="1174" w:customStyle="1">
    <w:name w:val="默认段落字体1"/>
    <w:uiPriority w:val="1"/>
    <w:unhideWhenUsed/>
    <w:qFormat/>
  </w:style>
  <w:style w:type="table" w:styleId="1175"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76" w:customStyle="1">
    <w:name w:val="列表 31"/>
    <w:basedOn w:val="796"/>
    <w:uiPriority w:val="0"/>
    <w:qFormat/>
    <w:pPr>
      <w:ind w:left="100" w:hanging="200"/>
    </w:pPr>
    <w:rPr>
      <w:rFonts w:ascii="Times New Roman" w:hAnsi="Times New Roman" w:eastAsia="宋体"/>
      <w:szCs w:val="21"/>
    </w:rPr>
  </w:style>
  <w:style w:type="paragraph" w:styleId="1177" w:customStyle="1">
    <w:name w:val="目录 711"/>
    <w:basedOn w:val="796"/>
    <w:next w:val="796"/>
    <w:uiPriority w:val="0"/>
    <w:semiHidden/>
    <w:qFormat/>
    <w:pPr>
      <w:ind w:left="1260"/>
      <w:jc w:val="left"/>
    </w:pPr>
    <w:rPr>
      <w:rFonts w:ascii="Times New Roman" w:hAnsi="Times New Roman" w:eastAsia="宋体"/>
      <w:szCs w:val="21"/>
    </w:rPr>
  </w:style>
  <w:style w:type="paragraph" w:styleId="1178" w:customStyle="1">
    <w:name w:val="文档结构图1"/>
    <w:basedOn w:val="796"/>
    <w:link w:val="1179"/>
    <w:uiPriority w:val="0"/>
    <w:semiHidden/>
    <w:qFormat/>
    <w:pPr>
      <w:shd w:val="clear" w:color="auto" w:fill="000080"/>
    </w:pPr>
    <w:rPr>
      <w:rFonts w:ascii="Times New Roman" w:hAnsi="Times New Roman" w:eastAsia="宋体"/>
      <w:sz w:val="20"/>
      <w:szCs w:val="21"/>
      <w:lang w:eastAsia="en-US"/>
    </w:rPr>
  </w:style>
  <w:style w:type="character" w:styleId="1179" w:customStyle="1">
    <w:name w:val="文档结构图 Char"/>
    <w:link w:val="1178"/>
    <w:uiPriority w:val="0"/>
    <w:semiHidden/>
    <w:qFormat/>
    <w:rPr>
      <w:rFonts w:ascii="Times New Roman" w:hAnsi="Times New Roman" w:eastAsia="宋体" w:cs="Times New Roman"/>
      <w:szCs w:val="21"/>
      <w:shd w:val="clear" w:color="auto" w:fill="000080"/>
      <w:lang w:eastAsia="en-US"/>
    </w:rPr>
  </w:style>
  <w:style w:type="paragraph" w:styleId="1180" w:customStyle="1">
    <w:name w:val="批注文字1"/>
    <w:basedOn w:val="796"/>
    <w:link w:val="1181"/>
    <w:uiPriority w:val="0"/>
    <w:semiHidden/>
    <w:qFormat/>
    <w:pPr>
      <w:jc w:val="left"/>
    </w:pPr>
    <w:rPr>
      <w:rFonts w:ascii="Times New Roman" w:hAnsi="Times New Roman" w:eastAsia="宋体"/>
      <w:sz w:val="20"/>
      <w:szCs w:val="21"/>
      <w:lang w:eastAsia="en-US"/>
    </w:rPr>
  </w:style>
  <w:style w:type="character" w:styleId="1181" w:customStyle="1">
    <w:name w:val="批注文字 Char"/>
    <w:link w:val="1180"/>
    <w:uiPriority w:val="0"/>
    <w:semiHidden/>
    <w:qFormat/>
    <w:rPr>
      <w:rFonts w:ascii="Times New Roman" w:hAnsi="Times New Roman" w:eastAsia="宋体" w:cs="Times New Roman"/>
      <w:szCs w:val="21"/>
      <w:lang w:eastAsia="en-US"/>
    </w:rPr>
  </w:style>
  <w:style w:type="paragraph" w:styleId="1182" w:customStyle="1">
    <w:name w:val="正文文本 31"/>
    <w:basedOn w:val="796"/>
    <w:link w:val="1183"/>
    <w:uiPriority w:val="0"/>
    <w:qFormat/>
    <w:rPr>
      <w:rFonts w:ascii="仿宋_GB2312" w:hAnsi="Arial" w:eastAsia="仿宋_GB2312"/>
      <w:sz w:val="32"/>
      <w:szCs w:val="32"/>
      <w:lang w:eastAsia="en-US"/>
    </w:rPr>
  </w:style>
  <w:style w:type="character" w:styleId="1183" w:customStyle="1">
    <w:name w:val="正文文本 3 Char"/>
    <w:link w:val="1182"/>
    <w:uiPriority w:val="0"/>
    <w:qFormat/>
    <w:rPr>
      <w:rFonts w:ascii="仿宋_GB2312" w:hAnsi="Arial" w:eastAsia="仿宋_GB2312" w:cs="Times New Roman"/>
      <w:sz w:val="32"/>
      <w:szCs w:val="32"/>
      <w:lang w:eastAsia="en-US"/>
    </w:rPr>
  </w:style>
  <w:style w:type="paragraph" w:styleId="1184" w:customStyle="1">
    <w:name w:val="正文文本1"/>
    <w:basedOn w:val="796"/>
    <w:link w:val="1185"/>
    <w:uiPriority w:val="0"/>
    <w:qFormat/>
    <w:rPr>
      <w:rFonts w:ascii="楷体_GB2312" w:hAnsi="Arial" w:eastAsia="楷体_GB2312"/>
      <w:sz w:val="28"/>
      <w:szCs w:val="28"/>
      <w:lang w:eastAsia="en-US"/>
    </w:rPr>
  </w:style>
  <w:style w:type="character" w:styleId="1185" w:customStyle="1">
    <w:name w:val="正文文本 Char"/>
    <w:link w:val="1184"/>
    <w:uiPriority w:val="0"/>
    <w:qFormat/>
    <w:rPr>
      <w:rFonts w:ascii="楷体_GB2312" w:hAnsi="Arial" w:eastAsia="楷体_GB2312" w:cs="Times New Roman"/>
      <w:sz w:val="28"/>
      <w:szCs w:val="28"/>
      <w:lang w:eastAsia="en-US"/>
    </w:rPr>
  </w:style>
  <w:style w:type="paragraph" w:styleId="1186" w:customStyle="1">
    <w:name w:val="正文文本缩进1"/>
    <w:basedOn w:val="796"/>
    <w:next w:val="1187"/>
    <w:link w:val="1188"/>
    <w:uiPriority w:val="0"/>
    <w:qFormat/>
    <w:pPr>
      <w:ind w:firstLine="645"/>
    </w:pPr>
    <w:rPr>
      <w:rFonts w:ascii="楷体_GB2312" w:hAnsi="Times New Roman" w:eastAsia="楷体_GB2312"/>
      <w:sz w:val="32"/>
      <w:szCs w:val="32"/>
      <w:lang w:eastAsia="en-US"/>
    </w:rPr>
  </w:style>
  <w:style w:type="paragraph" w:styleId="1187" w:customStyle="1">
    <w:name w:val="寄信人地址1"/>
    <w:basedOn w:val="796"/>
    <w:uiPriority w:val="99"/>
    <w:unhideWhenUsed/>
    <w:qFormat/>
    <w:rPr>
      <w:rFonts w:ascii="Arial" w:hAnsi="Arial"/>
    </w:rPr>
  </w:style>
  <w:style w:type="character" w:styleId="1188" w:customStyle="1">
    <w:name w:val="正文文本缩进 Char"/>
    <w:link w:val="1186"/>
    <w:uiPriority w:val="0"/>
    <w:qFormat/>
    <w:rPr>
      <w:rFonts w:ascii="楷体_GB2312" w:hAnsi="Times New Roman" w:eastAsia="楷体_GB2312" w:cs="Times New Roman"/>
      <w:sz w:val="32"/>
      <w:szCs w:val="32"/>
      <w:lang w:eastAsia="en-US"/>
    </w:rPr>
  </w:style>
  <w:style w:type="paragraph" w:styleId="1189" w:customStyle="1">
    <w:name w:val="列表 21"/>
    <w:basedOn w:val="796"/>
    <w:uiPriority w:val="0"/>
    <w:qFormat/>
    <w:pPr>
      <w:ind w:left="100" w:hanging="200"/>
    </w:pPr>
    <w:rPr>
      <w:rFonts w:ascii="Times New Roman" w:hAnsi="Times New Roman" w:eastAsia="宋体"/>
      <w:szCs w:val="21"/>
    </w:rPr>
  </w:style>
  <w:style w:type="paragraph" w:styleId="1190" w:customStyle="1">
    <w:name w:val="目录 511"/>
    <w:basedOn w:val="796"/>
    <w:next w:val="796"/>
    <w:uiPriority w:val="0"/>
    <w:semiHidden/>
    <w:qFormat/>
    <w:pPr>
      <w:ind w:left="840"/>
      <w:jc w:val="left"/>
    </w:pPr>
    <w:rPr>
      <w:rFonts w:ascii="Times New Roman" w:hAnsi="Times New Roman" w:eastAsia="宋体"/>
      <w:szCs w:val="21"/>
    </w:rPr>
  </w:style>
  <w:style w:type="paragraph" w:styleId="1191" w:customStyle="1">
    <w:name w:val="目录 311"/>
    <w:basedOn w:val="796"/>
    <w:next w:val="796"/>
    <w:uiPriority w:val="0"/>
    <w:semiHidden/>
    <w:qFormat/>
    <w:pPr>
      <w:ind w:left="420"/>
      <w:jc w:val="left"/>
    </w:pPr>
    <w:rPr>
      <w:rFonts w:ascii="Times New Roman" w:hAnsi="Times New Roman" w:eastAsia="宋体"/>
      <w:i/>
      <w:iCs/>
      <w:szCs w:val="24"/>
    </w:rPr>
  </w:style>
  <w:style w:type="paragraph" w:styleId="1192" w:customStyle="1">
    <w:name w:val="纯文本1"/>
    <w:basedOn w:val="796"/>
    <w:link w:val="1193"/>
    <w:uiPriority w:val="0"/>
    <w:qFormat/>
    <w:rPr>
      <w:rFonts w:ascii="宋体" w:hAnsi="Courier New" w:eastAsia="宋体"/>
      <w:sz w:val="20"/>
      <w:szCs w:val="21"/>
      <w:lang w:eastAsia="en-US"/>
    </w:rPr>
  </w:style>
  <w:style w:type="character" w:styleId="1193" w:customStyle="1">
    <w:name w:val="纯文本 Char"/>
    <w:link w:val="1192"/>
    <w:uiPriority w:val="0"/>
    <w:qFormat/>
    <w:rPr>
      <w:rFonts w:ascii="宋体" w:hAnsi="Courier New" w:eastAsia="宋体" w:cs="Times New Roman"/>
      <w:szCs w:val="21"/>
      <w:lang w:eastAsia="en-US"/>
    </w:rPr>
  </w:style>
  <w:style w:type="paragraph" w:styleId="1194" w:customStyle="1">
    <w:name w:val="目录 811"/>
    <w:basedOn w:val="796"/>
    <w:next w:val="796"/>
    <w:uiPriority w:val="0"/>
    <w:semiHidden/>
    <w:qFormat/>
    <w:pPr>
      <w:ind w:left="1470"/>
      <w:jc w:val="left"/>
    </w:pPr>
    <w:rPr>
      <w:rFonts w:ascii="Times New Roman" w:hAnsi="Times New Roman" w:eastAsia="宋体"/>
      <w:szCs w:val="21"/>
    </w:rPr>
  </w:style>
  <w:style w:type="paragraph" w:styleId="1195" w:customStyle="1">
    <w:name w:val="日期1"/>
    <w:basedOn w:val="796"/>
    <w:next w:val="796"/>
    <w:link w:val="1196"/>
    <w:uiPriority w:val="0"/>
    <w:qFormat/>
    <w:rPr>
      <w:rFonts w:ascii="Times New Roman" w:hAnsi="Times New Roman" w:eastAsia="宋体"/>
      <w:sz w:val="24"/>
      <w:szCs w:val="24"/>
      <w:lang w:eastAsia="en-US"/>
    </w:rPr>
  </w:style>
  <w:style w:type="character" w:styleId="1196" w:customStyle="1">
    <w:name w:val="日期 Char"/>
    <w:link w:val="1195"/>
    <w:uiPriority w:val="0"/>
    <w:qFormat/>
    <w:rPr>
      <w:rFonts w:ascii="Times New Roman" w:hAnsi="Times New Roman" w:eastAsia="宋体" w:cs="Times New Roman"/>
      <w:sz w:val="24"/>
      <w:szCs w:val="24"/>
      <w:lang w:eastAsia="en-US"/>
    </w:rPr>
  </w:style>
  <w:style w:type="paragraph" w:styleId="1197" w:customStyle="1">
    <w:name w:val="正文文本缩进 21"/>
    <w:basedOn w:val="796"/>
    <w:link w:val="1198"/>
    <w:uiPriority w:val="0"/>
    <w:qFormat/>
    <w:pPr>
      <w:ind w:left="630" w:firstLine="645"/>
    </w:pPr>
    <w:rPr>
      <w:rFonts w:ascii="Arial" w:hAnsi="Arial" w:eastAsia="仿宋_GB2312"/>
      <w:sz w:val="32"/>
      <w:szCs w:val="32"/>
      <w:lang w:eastAsia="en-US"/>
    </w:rPr>
  </w:style>
  <w:style w:type="character" w:styleId="1198" w:customStyle="1">
    <w:name w:val="正文文本缩进 2 Char"/>
    <w:link w:val="1197"/>
    <w:uiPriority w:val="0"/>
    <w:qFormat/>
    <w:rPr>
      <w:rFonts w:ascii="Arial" w:hAnsi="Arial" w:eastAsia="仿宋_GB2312" w:cs="Times New Roman"/>
      <w:sz w:val="32"/>
      <w:szCs w:val="32"/>
      <w:lang w:eastAsia="en-US"/>
    </w:rPr>
  </w:style>
  <w:style w:type="paragraph" w:styleId="1199" w:customStyle="1">
    <w:name w:val="批注框文本1"/>
    <w:basedOn w:val="796"/>
    <w:link w:val="1200"/>
    <w:uiPriority w:val="0"/>
    <w:semiHidden/>
    <w:qFormat/>
    <w:rPr>
      <w:rFonts w:ascii="Times New Roman" w:hAnsi="Times New Roman" w:eastAsia="宋体"/>
      <w:sz w:val="18"/>
      <w:szCs w:val="18"/>
      <w:lang w:eastAsia="en-US"/>
    </w:rPr>
  </w:style>
  <w:style w:type="character" w:styleId="1200" w:customStyle="1">
    <w:name w:val="批注框文本 Char"/>
    <w:link w:val="1199"/>
    <w:uiPriority w:val="0"/>
    <w:semiHidden/>
    <w:qFormat/>
    <w:rPr>
      <w:rFonts w:ascii="Times New Roman" w:hAnsi="Times New Roman" w:eastAsia="宋体" w:cs="Times New Roman"/>
      <w:sz w:val="18"/>
      <w:szCs w:val="18"/>
      <w:lang w:eastAsia="en-US"/>
    </w:rPr>
  </w:style>
  <w:style w:type="paragraph" w:styleId="1201" w:customStyle="1">
    <w:name w:val="页脚1"/>
    <w:basedOn w:val="796"/>
    <w:link w:val="1202"/>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202" w:customStyle="1">
    <w:name w:val="页脚 Char"/>
    <w:link w:val="1201"/>
    <w:uiPriority w:val="0"/>
    <w:qFormat/>
    <w:rPr>
      <w:rFonts w:ascii="Times New Roman" w:hAnsi="Times New Roman" w:eastAsia="宋体" w:cs="Times New Roman"/>
      <w:sz w:val="18"/>
      <w:szCs w:val="18"/>
      <w:lang w:eastAsia="en-US"/>
    </w:rPr>
  </w:style>
  <w:style w:type="paragraph" w:styleId="1203" w:customStyle="1">
    <w:name w:val="页眉1"/>
    <w:basedOn w:val="796"/>
    <w:link w:val="1204"/>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204" w:customStyle="1">
    <w:name w:val="页眉 Char"/>
    <w:link w:val="1203"/>
    <w:uiPriority w:val="99"/>
    <w:qFormat/>
    <w:rPr>
      <w:rFonts w:ascii="Times New Roman" w:hAnsi="Times New Roman" w:eastAsia="宋体" w:cs="Times New Roman"/>
      <w:sz w:val="18"/>
      <w:szCs w:val="18"/>
      <w:lang w:eastAsia="en-US"/>
    </w:rPr>
  </w:style>
  <w:style w:type="paragraph" w:styleId="1205" w:customStyle="1">
    <w:name w:val="目录 1111"/>
    <w:basedOn w:val="796"/>
    <w:next w:val="796"/>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206" w:customStyle="1">
    <w:name w:val="目录 411"/>
    <w:basedOn w:val="796"/>
    <w:next w:val="796"/>
    <w:uiPriority w:val="0"/>
    <w:semiHidden/>
    <w:qFormat/>
    <w:pPr>
      <w:ind w:left="630"/>
      <w:jc w:val="left"/>
    </w:pPr>
    <w:rPr>
      <w:rFonts w:ascii="Times New Roman" w:hAnsi="Times New Roman" w:eastAsia="宋体"/>
      <w:szCs w:val="21"/>
    </w:rPr>
  </w:style>
  <w:style w:type="paragraph" w:styleId="1207" w:customStyle="1">
    <w:name w:val="列表1"/>
    <w:basedOn w:val="796"/>
    <w:uiPriority w:val="0"/>
    <w:qFormat/>
    <w:pPr>
      <w:ind w:left="200" w:hanging="200"/>
    </w:pPr>
    <w:rPr>
      <w:rFonts w:ascii="Times New Roman" w:hAnsi="Times New Roman" w:eastAsia="宋体"/>
      <w:szCs w:val="21"/>
    </w:rPr>
  </w:style>
  <w:style w:type="paragraph" w:styleId="1208" w:customStyle="1">
    <w:name w:val="目录 611"/>
    <w:basedOn w:val="796"/>
    <w:next w:val="796"/>
    <w:uiPriority w:val="0"/>
    <w:semiHidden/>
    <w:qFormat/>
    <w:pPr>
      <w:ind w:left="1050"/>
      <w:jc w:val="left"/>
    </w:pPr>
    <w:rPr>
      <w:rFonts w:ascii="Times New Roman" w:hAnsi="Times New Roman" w:eastAsia="宋体"/>
      <w:szCs w:val="21"/>
    </w:rPr>
  </w:style>
  <w:style w:type="paragraph" w:styleId="1209" w:customStyle="1">
    <w:name w:val="正文文本缩进 31"/>
    <w:basedOn w:val="796"/>
    <w:link w:val="1210"/>
    <w:uiPriority w:val="0"/>
    <w:qFormat/>
    <w:pPr>
      <w:ind w:left="645" w:firstLine="645"/>
    </w:pPr>
    <w:rPr>
      <w:rFonts w:ascii="Arial" w:hAnsi="Arial" w:eastAsia="仿宋_GB2312"/>
      <w:color w:val="ffff00"/>
      <w:sz w:val="32"/>
      <w:szCs w:val="32"/>
      <w:lang w:eastAsia="en-US"/>
    </w:rPr>
  </w:style>
  <w:style w:type="character" w:styleId="1210" w:customStyle="1">
    <w:name w:val="正文文本缩进 3 Char"/>
    <w:link w:val="1209"/>
    <w:uiPriority w:val="0"/>
    <w:qFormat/>
    <w:rPr>
      <w:rFonts w:ascii="Arial" w:hAnsi="Arial" w:eastAsia="仿宋_GB2312" w:cs="Times New Roman"/>
      <w:color w:val="ffff00"/>
      <w:sz w:val="32"/>
      <w:szCs w:val="32"/>
      <w:lang w:eastAsia="en-US"/>
    </w:rPr>
  </w:style>
  <w:style w:type="paragraph" w:styleId="1211" w:customStyle="1">
    <w:name w:val="图表目录1"/>
    <w:basedOn w:val="796"/>
    <w:next w:val="796"/>
    <w:uiPriority w:val="0"/>
    <w:semiHidden/>
    <w:qFormat/>
    <w:pPr>
      <w:ind w:left="840" w:hanging="420"/>
    </w:pPr>
    <w:rPr>
      <w:rFonts w:ascii="Times New Roman" w:hAnsi="Times New Roman" w:eastAsia="宋体"/>
      <w:szCs w:val="21"/>
    </w:rPr>
  </w:style>
  <w:style w:type="paragraph" w:styleId="1212" w:customStyle="1">
    <w:name w:val="目录 211"/>
    <w:basedOn w:val="796"/>
    <w:next w:val="796"/>
    <w:uiPriority w:val="0"/>
    <w:semiHidden/>
    <w:qFormat/>
    <w:pPr>
      <w:ind w:left="210"/>
      <w:jc w:val="left"/>
    </w:pPr>
    <w:rPr>
      <w:rFonts w:ascii="Times New Roman" w:hAnsi="Times New Roman" w:eastAsia="宋体"/>
      <w:smallCaps/>
      <w:szCs w:val="24"/>
    </w:rPr>
  </w:style>
  <w:style w:type="paragraph" w:styleId="1213" w:customStyle="1">
    <w:name w:val="目录 911"/>
    <w:basedOn w:val="796"/>
    <w:next w:val="796"/>
    <w:uiPriority w:val="0"/>
    <w:semiHidden/>
    <w:qFormat/>
    <w:pPr>
      <w:ind w:left="1680"/>
      <w:jc w:val="left"/>
    </w:pPr>
    <w:rPr>
      <w:rFonts w:ascii="Times New Roman" w:hAnsi="Times New Roman" w:eastAsia="宋体"/>
      <w:szCs w:val="21"/>
    </w:rPr>
  </w:style>
  <w:style w:type="paragraph" w:styleId="1214" w:customStyle="1">
    <w:name w:val="正文文本 21"/>
    <w:basedOn w:val="796"/>
    <w:link w:val="1215"/>
    <w:uiPriority w:val="0"/>
    <w:qFormat/>
    <w:pPr>
      <w:jc w:val="center"/>
      <w:widowControl/>
    </w:pPr>
    <w:rPr>
      <w:rFonts w:ascii="楷体_GB2312" w:hAnsi="Times New Roman" w:eastAsia="楷体_GB2312"/>
      <w:sz w:val="28"/>
      <w:szCs w:val="28"/>
      <w:lang w:eastAsia="en-US"/>
    </w:rPr>
  </w:style>
  <w:style w:type="character" w:styleId="1215" w:customStyle="1">
    <w:name w:val="正文文本 2 Char"/>
    <w:link w:val="1214"/>
    <w:uiPriority w:val="0"/>
    <w:qFormat/>
    <w:rPr>
      <w:rFonts w:ascii="楷体_GB2312" w:hAnsi="Times New Roman" w:eastAsia="楷体_GB2312" w:cs="Times New Roman"/>
      <w:sz w:val="28"/>
      <w:szCs w:val="28"/>
      <w:lang w:eastAsia="en-US"/>
    </w:rPr>
  </w:style>
  <w:style w:type="paragraph" w:styleId="1216" w:customStyle="1">
    <w:name w:val="普通(网站)1"/>
    <w:basedOn w:val="796"/>
    <w:uiPriority w:val="99"/>
    <w:qFormat/>
    <w:pPr>
      <w:jc w:val="left"/>
      <w:spacing w:before="100" w:beforeAutospacing="1" w:after="100" w:afterAutospacing="1"/>
      <w:widowControl/>
    </w:pPr>
    <w:rPr>
      <w:rFonts w:ascii="宋体" w:hAnsi="宋体" w:eastAsia="宋体" w:cs="宋体"/>
      <w:sz w:val="24"/>
      <w:szCs w:val="24"/>
    </w:rPr>
  </w:style>
  <w:style w:type="paragraph" w:styleId="1217" w:customStyle="1">
    <w:name w:val="索引 11"/>
    <w:basedOn w:val="796"/>
    <w:next w:val="796"/>
    <w:uiPriority w:val="0"/>
    <w:semiHidden/>
    <w:qFormat/>
    <w:pPr>
      <w:spacing w:line="240" w:lineRule="atLeast"/>
    </w:pPr>
    <w:rPr>
      <w:rFonts w:ascii="Times New Roman" w:hAnsi="Times New Roman" w:eastAsia="宋体"/>
      <w:b/>
      <w:bCs/>
      <w:szCs w:val="21"/>
    </w:rPr>
  </w:style>
  <w:style w:type="paragraph" w:styleId="1218" w:customStyle="1">
    <w:name w:val="批注主题1"/>
    <w:basedOn w:val="1180"/>
    <w:next w:val="1180"/>
    <w:link w:val="1219"/>
    <w:uiPriority w:val="0"/>
    <w:semiHidden/>
    <w:qFormat/>
    <w:rPr>
      <w:b/>
      <w:bCs/>
    </w:rPr>
  </w:style>
  <w:style w:type="character" w:styleId="1219" w:customStyle="1">
    <w:name w:val="批注主题 Char"/>
    <w:link w:val="1218"/>
    <w:uiPriority w:val="0"/>
    <w:semiHidden/>
    <w:qFormat/>
    <w:rPr>
      <w:rFonts w:ascii="Times New Roman" w:hAnsi="Times New Roman" w:eastAsia="宋体" w:cs="Times New Roman"/>
      <w:b/>
      <w:bCs/>
      <w:szCs w:val="21"/>
      <w:lang w:eastAsia="en-US"/>
    </w:rPr>
  </w:style>
  <w:style w:type="paragraph" w:styleId="1220" w:customStyle="1">
    <w:name w:val="正文首行缩进1"/>
    <w:basedOn w:val="796"/>
    <w:link w:val="1221"/>
    <w:uiPriority w:val="0"/>
    <w:qFormat/>
    <w:pPr>
      <w:ind w:firstLine="200"/>
      <w:spacing w:line="360" w:lineRule="auto"/>
    </w:pPr>
    <w:rPr>
      <w:rFonts w:ascii="仿宋_GB2312" w:hAnsi="Times New Roman" w:eastAsia="仿宋_GB2312"/>
      <w:sz w:val="30"/>
      <w:szCs w:val="30"/>
      <w:lang w:eastAsia="en-US"/>
    </w:rPr>
  </w:style>
  <w:style w:type="character" w:styleId="1221" w:customStyle="1">
    <w:name w:val="正文首行缩进 Char"/>
    <w:link w:val="1220"/>
    <w:uiPriority w:val="0"/>
    <w:qFormat/>
    <w:rPr>
      <w:rFonts w:ascii="仿宋_GB2312" w:hAnsi="Times New Roman" w:eastAsia="仿宋_GB2312" w:cs="Times New Roman"/>
      <w:sz w:val="30"/>
      <w:szCs w:val="30"/>
      <w:lang w:eastAsia="en-US"/>
    </w:rPr>
  </w:style>
  <w:style w:type="paragraph" w:styleId="1222" w:customStyle="1">
    <w:name w:val="正文首行缩进 21"/>
    <w:basedOn w:val="1186"/>
    <w:next w:val="796"/>
    <w:link w:val="1223"/>
    <w:uiPriority w:val="0"/>
    <w:qFormat/>
    <w:pPr>
      <w:ind w:firstLine="420"/>
      <w:spacing w:line="360" w:lineRule="auto"/>
    </w:pPr>
    <w:rPr>
      <w:rFonts w:ascii="宋体" w:hAnsi="宋体" w:eastAsia="宋体"/>
      <w:szCs w:val="20"/>
    </w:rPr>
  </w:style>
  <w:style w:type="character" w:styleId="1223" w:customStyle="1">
    <w:name w:val="正文首行缩进 2 Char"/>
    <w:link w:val="1222"/>
    <w:uiPriority w:val="0"/>
    <w:qFormat/>
    <w:rPr>
      <w:rFonts w:ascii="宋体" w:hAnsi="宋体" w:eastAsia="宋体" w:cs="Times New Roman"/>
      <w:sz w:val="32"/>
      <w:lang w:eastAsia="en-US"/>
    </w:rPr>
  </w:style>
  <w:style w:type="character" w:styleId="1224" w:customStyle="1">
    <w:name w:val="要点1"/>
    <w:uiPriority w:val="0"/>
    <w:qFormat/>
    <w:rPr>
      <w:b/>
      <w:bCs/>
    </w:rPr>
  </w:style>
  <w:style w:type="character" w:styleId="1225" w:customStyle="1">
    <w:name w:val="页码1"/>
    <w:uiPriority w:val="0"/>
    <w:qFormat/>
  </w:style>
  <w:style w:type="character" w:styleId="1226" w:customStyle="1">
    <w:name w:val="已访问的超链接1"/>
    <w:uiPriority w:val="0"/>
    <w:qFormat/>
    <w:rPr>
      <w:color w:val="800080"/>
      <w:u w:val="single"/>
    </w:rPr>
  </w:style>
  <w:style w:type="character" w:styleId="1227" w:customStyle="1">
    <w:name w:val="HTML 打字机1"/>
    <w:uiPriority w:val="99"/>
    <w:qFormat/>
    <w:rPr>
      <w:rFonts w:ascii="宋体" w:hAnsi="宋体" w:eastAsia="宋体" w:cs="宋体"/>
      <w:sz w:val="24"/>
      <w:szCs w:val="24"/>
    </w:rPr>
  </w:style>
  <w:style w:type="character" w:styleId="1228" w:customStyle="1">
    <w:name w:val="超链接1"/>
    <w:uiPriority w:val="0"/>
    <w:qFormat/>
    <w:rPr>
      <w:color w:val="0000ff"/>
      <w:u w:val="single"/>
    </w:rPr>
  </w:style>
  <w:style w:type="character" w:styleId="1229" w:customStyle="1">
    <w:name w:val="二级目录 Char"/>
    <w:link w:val="1230"/>
    <w:uiPriority w:val="0"/>
    <w:qFormat/>
    <w:rPr>
      <w:b/>
      <w:sz w:val="30"/>
      <w:szCs w:val="28"/>
    </w:rPr>
  </w:style>
  <w:style w:type="paragraph" w:styleId="1230" w:customStyle="1">
    <w:name w:val="二级目录"/>
    <w:next w:val="796"/>
    <w:link w:val="1229"/>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231" w:customStyle="1">
    <w:name w:val="Body Text(ch)"/>
    <w:basedOn w:val="796"/>
    <w:next w:val="1184"/>
    <w:uiPriority w:val="0"/>
    <w:qFormat/>
    <w:pPr>
      <w:spacing w:after="120"/>
    </w:pPr>
    <w:rPr>
      <w:rFonts w:ascii="宋体" w:hAnsi="Arial" w:eastAsia="宋体"/>
      <w:bCs/>
      <w:iCs/>
      <w:szCs w:val="24"/>
    </w:rPr>
  </w:style>
  <w:style w:type="paragraph" w:styleId="1232" w:customStyle="1">
    <w:name w:val="Char"/>
    <w:basedOn w:val="796"/>
    <w:uiPriority w:val="0"/>
    <w:qFormat/>
    <w:pPr>
      <w:ind w:firstLine="200"/>
      <w:tabs>
        <w:tab w:val="left" w:pos="360" w:leader="none"/>
      </w:tabs>
    </w:pPr>
    <w:rPr>
      <w:rFonts w:ascii="Times New Roman" w:hAnsi="Times New Roman" w:eastAsia="宋体"/>
      <w:sz w:val="28"/>
      <w:szCs w:val="30"/>
    </w:rPr>
  </w:style>
  <w:style w:type="paragraph" w:styleId="1233" w:customStyle="1">
    <w:name w:val="普通正文"/>
    <w:basedOn w:val="796"/>
    <w:uiPriority w:val="0"/>
    <w:qFormat/>
    <w:pPr>
      <w:ind w:firstLine="480"/>
      <w:jc w:val="left"/>
      <w:spacing w:before="120" w:after="120" w:line="360" w:lineRule="auto"/>
    </w:pPr>
    <w:rPr>
      <w:rFonts w:ascii="Arial" w:hAnsi="Arial" w:eastAsia="宋体"/>
      <w:sz w:val="24"/>
      <w:szCs w:val="24"/>
    </w:rPr>
  </w:style>
  <w:style w:type="paragraph" w:styleId="1234" w:customStyle="1">
    <w:name w:val="table_lines"/>
    <w:basedOn w:val="796"/>
    <w:uiPriority w:val="0"/>
    <w:qFormat/>
    <w:pPr>
      <w:jc w:val="left"/>
      <w:widowControl/>
    </w:pPr>
    <w:rPr>
      <w:rFonts w:ascii="Times New Roman" w:hAnsi="Times New Roman" w:eastAsia="宋体"/>
      <w:sz w:val="20"/>
      <w:szCs w:val="20"/>
      <w:lang w:val="de-DE" w:eastAsia="de-DE"/>
    </w:rPr>
  </w:style>
  <w:style w:type="paragraph" w:styleId="123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36" w:customStyle="1">
    <w:name w:val="列出段落21"/>
    <w:basedOn w:val="796"/>
    <w:uiPriority w:val="99"/>
    <w:qFormat/>
    <w:pPr>
      <w:contextualSpacing/>
      <w:ind w:left="720"/>
      <w:jc w:val="left"/>
      <w:widowControl/>
    </w:pPr>
    <w:rPr>
      <w:rFonts w:eastAsia="宋体"/>
      <w:sz w:val="24"/>
      <w:szCs w:val="24"/>
      <w:lang w:eastAsia="en-US" w:bidi="en-US"/>
    </w:rPr>
  </w:style>
  <w:style w:type="paragraph" w:styleId="1237" w:customStyle="1">
    <w:name w:val="4"/>
    <w:basedOn w:val="796"/>
    <w:next w:val="1209"/>
    <w:uiPriority w:val="0"/>
    <w:qFormat/>
    <w:pPr>
      <w:ind w:firstLine="420"/>
      <w:spacing w:line="360" w:lineRule="auto"/>
    </w:pPr>
    <w:rPr>
      <w:rFonts w:ascii="Times New Roman" w:hAnsi="Times New Roman" w:eastAsia="宋体"/>
      <w:color w:val="ff0000"/>
      <w:sz w:val="24"/>
      <w:szCs w:val="24"/>
    </w:rPr>
  </w:style>
  <w:style w:type="paragraph" w:styleId="1238" w:customStyle="1">
    <w:name w:val="普通 (Web)"/>
    <w:basedOn w:val="796"/>
    <w:uiPriority w:val="0"/>
    <w:qFormat/>
    <w:pPr>
      <w:jc w:val="left"/>
      <w:spacing w:before="100" w:beforeAutospacing="1" w:after="100" w:afterAutospacing="1"/>
      <w:widowControl/>
    </w:pPr>
    <w:rPr>
      <w:rFonts w:ascii="宋体" w:hAnsi="宋体" w:eastAsia="宋体"/>
      <w:sz w:val="24"/>
      <w:szCs w:val="24"/>
    </w:rPr>
  </w:style>
  <w:style w:type="paragraph" w:styleId="1239" w:customStyle="1">
    <w:name w:val="Char Char Char Char Char Char Char Char Char Char"/>
    <w:basedOn w:val="796"/>
    <w:uiPriority w:val="0"/>
    <w:qFormat/>
    <w:pPr>
      <w:spacing w:line="360" w:lineRule="auto"/>
    </w:pPr>
    <w:rPr>
      <w:rFonts w:ascii="Times New Roman" w:hAnsi="Times New Roman" w:eastAsia="宋体"/>
      <w:sz w:val="24"/>
      <w:szCs w:val="20"/>
    </w:rPr>
  </w:style>
  <w:style w:type="paragraph" w:styleId="1240" w:customStyle="1">
    <w:name w:val="样式1"/>
    <w:basedOn w:val="796"/>
    <w:uiPriority w:val="0"/>
    <w:qFormat/>
    <w:pPr>
      <w:numPr>
        <w:ilvl w:val="0"/>
        <w:numId w:val="5"/>
      </w:numPr>
      <w:tabs>
        <w:tab w:val="left" w:pos="709" w:leader="none"/>
      </w:tabs>
    </w:pPr>
    <w:rPr>
      <w:rFonts w:ascii="宋体" w:hAnsi="宋体" w:eastAsia="宋体"/>
      <w:szCs w:val="21"/>
    </w:rPr>
  </w:style>
  <w:style w:type="paragraph" w:styleId="1241" w:customStyle="1">
    <w:name w:val="图标"/>
    <w:basedOn w:val="796"/>
    <w:next w:val="79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2" w:customStyle="1">
    <w:name w:val="标题3"/>
    <w:basedOn w:val="796"/>
    <w:next w:val="796"/>
    <w:uiPriority w:val="0"/>
    <w:qFormat/>
    <w:pPr>
      <w:ind w:firstLine="624"/>
      <w:spacing w:line="590" w:lineRule="atLeast"/>
    </w:pPr>
    <w:rPr>
      <w:rFonts w:ascii="方正黑体_GBK" w:hAnsi="Times New Roman" w:eastAsia="方正黑体_GBK"/>
      <w:sz w:val="32"/>
      <w:szCs w:val="32"/>
    </w:rPr>
  </w:style>
  <w:style w:type="paragraph" w:styleId="1243" w:customStyle="1">
    <w:name w:val="Char Char Char Char Char Char Char Char"/>
    <w:basedOn w:val="796"/>
    <w:uiPriority w:val="0"/>
    <w:qFormat/>
    <w:pPr>
      <w:jc w:val="left"/>
      <w:spacing w:after="160" w:line="240" w:lineRule="exact"/>
      <w:widowControl/>
    </w:pPr>
    <w:rPr>
      <w:rFonts w:ascii="Verdana" w:hAnsi="Verdana" w:eastAsia="宋体"/>
      <w:sz w:val="20"/>
      <w:szCs w:val="20"/>
      <w:lang w:eastAsia="en-US"/>
    </w:rPr>
  </w:style>
  <w:style w:type="paragraph" w:styleId="1244" w:customStyle="1">
    <w:name w:val="table_1stline"/>
    <w:basedOn w:val="796"/>
    <w:uiPriority w:val="0"/>
    <w:qFormat/>
    <w:pPr>
      <w:jc w:val="left"/>
      <w:spacing w:before="120"/>
      <w:widowControl/>
    </w:pPr>
    <w:rPr>
      <w:rFonts w:ascii="Times New Roman" w:hAnsi="Times New Roman" w:eastAsia="宋体"/>
      <w:bCs/>
      <w:sz w:val="20"/>
      <w:szCs w:val="20"/>
      <w:lang w:val="de-DE" w:eastAsia="de-DE"/>
    </w:rPr>
  </w:style>
  <w:style w:type="paragraph" w:styleId="1245" w:customStyle="1">
    <w:name w:val="标题1"/>
    <w:basedOn w:val="796"/>
    <w:next w:val="79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46"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4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48" w:customStyle="1">
    <w:name w:val="目录 111"/>
    <w:basedOn w:val="796"/>
    <w:next w:val="796"/>
    <w:uiPriority w:val="39"/>
    <w:unhideWhenUsed/>
    <w:qFormat/>
    <w:pPr>
      <w:jc w:val="left"/>
      <w:spacing w:after="100" w:line="259" w:lineRule="auto"/>
      <w:widowControl/>
    </w:pPr>
    <w:rPr>
      <w:rFonts w:eastAsia="宋体"/>
      <w:sz w:val="22"/>
    </w:rPr>
  </w:style>
  <w:style w:type="table" w:styleId="1249" w:customStyle="1">
    <w:name w:val="网格型5"/>
    <w:basedOn w:val="854"/>
    <w:uiPriority w:val="0"/>
    <w:qFormat/>
    <w:pPr>
      <w:jc w:val="both"/>
      <w:widowControl w:val="off"/>
    </w:pPr>
    <w:tblPr>
      <w:tblCellMar>
        <w:left w:w="0" w:type="dxa"/>
        <w:top w:w="0" w:type="dxa"/>
        <w:right w:w="0" w:type="dxa"/>
        <w:bottom w:w="0" w:type="dxa"/>
      </w:tblCellMar>
    </w:tblPr>
  </w:style>
  <w:style w:type="paragraph" w:styleId="1250" w:customStyle="1">
    <w:name w:val="a0"/>
    <w:basedOn w:val="796"/>
    <w:uiPriority w:val="0"/>
    <w:qFormat/>
    <w:pPr>
      <w:jc w:val="left"/>
      <w:spacing w:before="100" w:beforeAutospacing="1" w:after="100" w:afterAutospacing="1"/>
      <w:widowControl/>
    </w:pPr>
    <w:rPr>
      <w:rFonts w:ascii="宋体" w:hAnsi="宋体" w:cs="宋体"/>
    </w:rPr>
  </w:style>
  <w:style w:type="character" w:styleId="1251" w:customStyle="1">
    <w:name w:val="NormalCharacter1"/>
    <w:uiPriority w:val="0"/>
    <w:qFormat/>
  </w:style>
  <w:style w:type="paragraph" w:styleId="1252" w:customStyle="1">
    <w:name w:val="_Style 1"/>
    <w:basedOn w:val="796"/>
    <w:uiPriority w:val="34"/>
    <w:qFormat/>
    <w:pPr>
      <w:ind w:firstLine="420"/>
    </w:pPr>
  </w:style>
  <w:style w:type="paragraph" w:styleId="1253" w:customStyle="1">
    <w:name w:val="UserStyle_0"/>
    <w:basedOn w:val="796"/>
    <w:uiPriority w:val="0"/>
    <w:qFormat/>
    <w:pPr>
      <w:ind w:left="420" w:firstLine="420"/>
      <w:spacing w:after="120"/>
      <w:widowControl/>
    </w:pPr>
    <w:rPr>
      <w:rFonts w:ascii="Times New Roman" w:hAnsi="Times New Roman"/>
      <w:szCs w:val="20"/>
    </w:rPr>
  </w:style>
  <w:style w:type="paragraph" w:styleId="1254" w:customStyle="1">
    <w:name w:val="UserStyle_87"/>
    <w:basedOn w:val="796"/>
    <w:uiPriority w:val="0"/>
    <w:qFormat/>
    <w:pPr>
      <w:ind w:firstLine="420"/>
      <w:widowControl/>
    </w:pPr>
  </w:style>
  <w:style w:type="character" w:styleId="1255" w:customStyle="1">
    <w:name w:val="UserStyle_88"/>
    <w:uiPriority w:val="0"/>
    <w:qFormat/>
  </w:style>
  <w:style w:type="paragraph" w:styleId="1256" w:customStyle="1">
    <w:name w:val="BodyText1I21"/>
    <w:basedOn w:val="796"/>
    <w:uiPriority w:val="0"/>
    <w:qFormat/>
    <w:pPr>
      <w:ind w:left="420" w:firstLine="420"/>
      <w:spacing w:after="120"/>
    </w:pPr>
    <w:rPr>
      <w:rFonts w:ascii="Times New Roman" w:hAnsi="Times New Roman"/>
      <w:szCs w:val="20"/>
    </w:rPr>
  </w:style>
  <w:style w:type="paragraph" w:styleId="1257" w:customStyle="1">
    <w:name w:val="Table Text"/>
    <w:basedOn w:val="796"/>
    <w:uiPriority w:val="0"/>
    <w:semiHidden/>
    <w:qFormat/>
    <w:rPr>
      <w:rFonts w:ascii="宋体" w:hAnsi="宋体" w:eastAsia="宋体" w:cs="宋体"/>
      <w:sz w:val="24"/>
      <w:szCs w:val="24"/>
      <w:lang w:eastAsia="en-US"/>
    </w:rPr>
  </w:style>
  <w:style w:type="character" w:styleId="1258" w:customStyle="1">
    <w:name w:val="font91"/>
    <w:basedOn w:val="806"/>
    <w:uiPriority w:val="0"/>
    <w:qFormat/>
    <w:rPr>
      <w:rFonts w:hint="eastAsia" w:ascii="宋体" w:hAnsi="宋体" w:eastAsia="宋体" w:cs="宋体"/>
      <w:color w:val="000000"/>
      <w:sz w:val="20"/>
      <w:szCs w:val="20"/>
      <w:u w:val="none"/>
    </w:rPr>
  </w:style>
  <w:style w:type="character" w:styleId="1259" w:customStyle="1">
    <w:name w:val="font41"/>
    <w:basedOn w:val="806"/>
    <w:uiPriority w:val="0"/>
    <w:qFormat/>
    <w:rPr>
      <w:rFonts w:hint="eastAsia" w:ascii="宋体" w:hAnsi="宋体" w:eastAsia="宋体" w:cs="宋体"/>
      <w:color w:val="000000"/>
      <w:sz w:val="20"/>
      <w:szCs w:val="20"/>
      <w:u w:val="none"/>
    </w:rPr>
  </w:style>
  <w:style w:type="character" w:styleId="1260" w:customStyle="1">
    <w:name w:val="font51"/>
    <w:basedOn w:val="806"/>
    <w:uiPriority w:val="0"/>
    <w:qFormat/>
    <w:rPr>
      <w:rFonts w:hint="default" w:ascii="仿宋_GB2312" w:eastAsia="仿宋_GB2312" w:cs="仿宋_GB2312"/>
      <w:color w:val="000000"/>
      <w:sz w:val="20"/>
      <w:szCs w:val="20"/>
      <w:u w:val="none"/>
    </w:rPr>
  </w:style>
  <w:style w:type="character" w:styleId="1261" w:customStyle="1">
    <w:name w:val="font141"/>
    <w:basedOn w:val="806"/>
    <w:uiPriority w:val="0"/>
    <w:qFormat/>
    <w:rPr>
      <w:rFonts w:hint="default" w:ascii="仿宋_GB2312" w:eastAsia="仿宋_GB2312" w:cs="仿宋_GB2312"/>
      <w:b/>
      <w:bCs/>
      <w:color w:val="000000"/>
      <w:sz w:val="20"/>
      <w:szCs w:val="20"/>
      <w:u w:val="none"/>
    </w:rPr>
  </w:style>
  <w:style w:type="character" w:styleId="1262" w:customStyle="1">
    <w:name w:val="font01"/>
    <w:basedOn w:val="806"/>
    <w:uiPriority w:val="0"/>
    <w:qFormat/>
    <w:rPr>
      <w:rFonts w:hint="eastAsia" w:ascii="宋体" w:hAnsi="宋体" w:eastAsia="宋体" w:cs="宋体"/>
      <w:color w:val="000000"/>
      <w:sz w:val="22"/>
      <w:szCs w:val="22"/>
      <w:u w:val="none"/>
    </w:rPr>
  </w:style>
  <w:style w:type="character" w:styleId="1263" w:customStyle="1">
    <w:name w:val="font61"/>
    <w:basedOn w:val="806"/>
    <w:uiPriority w:val="0"/>
    <w:qFormat/>
    <w:rPr>
      <w:rFonts w:hint="default" w:ascii="仿宋_GB2312" w:eastAsia="仿宋_GB2312" w:cs="仿宋_GB2312"/>
      <w:color w:val="000000"/>
      <w:sz w:val="20"/>
      <w:szCs w:val="20"/>
      <w:u w:val="none"/>
    </w:rPr>
  </w:style>
  <w:style w:type="character" w:styleId="1264" w:customStyle="1">
    <w:name w:val="font151"/>
    <w:basedOn w:val="806"/>
    <w:uiPriority w:val="0"/>
    <w:qFormat/>
    <w:rPr>
      <w:rFonts w:ascii="Arial" w:hAnsi="Arial" w:cs="Arial"/>
      <w:color w:val="000000"/>
      <w:sz w:val="20"/>
      <w:szCs w:val="20"/>
      <w:u w:val="none"/>
    </w:rPr>
  </w:style>
  <w:style w:type="character" w:styleId="1265" w:customStyle="1">
    <w:name w:val="font31"/>
    <w:basedOn w:val="806"/>
    <w:uiPriority w:val="0"/>
    <w:qFormat/>
    <w:rPr>
      <w:rFonts w:hint="eastAsia" w:ascii="仿宋" w:hAnsi="仿宋" w:eastAsia="仿宋" w:cs="仿宋"/>
      <w:color w:val="000000"/>
      <w:sz w:val="16"/>
      <w:szCs w:val="16"/>
      <w:u w:val="none"/>
    </w:rPr>
  </w:style>
  <w:style w:type="character" w:styleId="1266" w:customStyle="1">
    <w:name w:val="font101"/>
    <w:basedOn w:val="806"/>
    <w:uiPriority w:val="0"/>
    <w:qFormat/>
    <w:rPr>
      <w:rFonts w:hint="eastAsia" w:ascii="宋体" w:hAnsi="宋体" w:eastAsia="宋体" w:cs="宋体"/>
      <w:color w:val="000000"/>
      <w:sz w:val="18"/>
      <w:szCs w:val="18"/>
      <w:u w:val="none"/>
      <w:vertAlign w:val="subscript"/>
    </w:rPr>
  </w:style>
  <w:style w:type="character" w:styleId="1267" w:customStyle="1">
    <w:name w:val="font71"/>
    <w:basedOn w:val="806"/>
    <w:uiPriority w:val="0"/>
    <w:qFormat/>
    <w:rPr>
      <w:rFonts w:hint="eastAsia" w:ascii="宋体" w:hAnsi="宋体" w:eastAsia="宋体" w:cs="宋体"/>
      <w:color w:val="000000"/>
      <w:sz w:val="18"/>
      <w:szCs w:val="18"/>
      <w:u w:val="none"/>
    </w:rPr>
  </w:style>
  <w:style w:type="character" w:styleId="1268" w:customStyle="1">
    <w:name w:val="批注框文本 Char2"/>
    <w:basedOn w:val="806"/>
    <w:link w:val="818"/>
    <w:uiPriority w:val="99"/>
    <w:semiHidden/>
    <w:qFormat/>
    <w:rPr>
      <w:rFonts w:ascii="Calibri" w:hAnsi="Calibri" w:eastAsia="Arial"/>
      <w:sz w:val="18"/>
      <w:szCs w:val="18"/>
    </w:rPr>
  </w:style>
  <w:style w:type="numbering" w:styleId="12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db3feda1-e1bf-44bf-8c7a-3bfaa8225a71</errorID>
      <errorWord>(</errorWord>
      <group>L1_Format</group>
      <groupName>格式问题</groupName>
      <ability>L2_HalfPunc</ability>
      <abilityName>全半角检查</abilityName>
      <candidateList>
        <item>（</item>
      </candidateList>
      <explain>文本全半角错误。</explain>
      <paraID>6FA5AF52</paraID>
      <start>73</start>
      <end>74</end>
      <status>unmodified</status>
      <modifiedWord/>
      <trackRevisions>false</trackRevisions>
    </reviewItem>
    <reviewItem>
      <errorID>cb2eb2f9-078e-44d8-af82-fd366b24835a</errorID>
      <errorWord>(</errorWord>
      <group>L1_Format</group>
      <groupName>格式问题</groupName>
      <ability>L2_HalfPunc</ability>
      <abilityName>全半角检查</abilityName>
      <candidateList>
        <item>（</item>
      </candidateList>
      <explain>文本全半角错误。</explain>
      <paraID>6FA5AF52</paraID>
      <start>116</start>
      <end>117</end>
      <status>unmodified</status>
      <modifiedWord/>
      <trackRevisions>false</trackRevisions>
    </reviewItem>
    <reviewItem>
      <errorID>3004a21f-0fe9-4e3b-a287-a3aeb2a5173c</errorID>
      <errorWord>(</errorWord>
      <group>L1_Format</group>
      <groupName>格式问题</groupName>
      <ability>L2_HalfPunc</ability>
      <abilityName>全半角检查</abilityName>
      <candidateList>
        <item>（</item>
      </candidateList>
      <explain>文本全半角错误。</explain>
      <paraID>6FA5AF52</paraID>
      <start>175</start>
      <end>176</end>
      <status>unmodified</status>
      <modifiedWord/>
      <trackRevisions>false</trackRevisions>
    </reviewItem>
    <reviewItem>
      <errorID>f29e3f09-309b-4ef9-bb41-f8d0b0e6f6a6</errorID>
      <errorWord>-</errorWord>
      <group>L1_Format</group>
      <groupName>格式问题</groupName>
      <ability>L2_HalfPunc</ability>
      <abilityName>全半角检查</abilityName>
      <candidateList>
        <item>－</item>
      </candidateList>
      <explain>文本全半角错误。</explain>
      <paraID>71D92E79</paraID>
      <start>78</start>
      <end>79</end>
      <status>unmodified</status>
      <modifiedWord/>
      <trackRevisions>false</trackRevisions>
    </reviewItem>
    <reviewItem>
      <errorID>1f43da30-9086-4e37-8ee2-3743bda0656e</errorID>
      <errorWord>-</errorWord>
      <group>L1_Format</group>
      <groupName>格式问题</groupName>
      <ability>L2_HalfPunc</ability>
      <abilityName>全半角检查</abilityName>
      <candidateList>
        <item>－</item>
      </candidateList>
      <explain>文本全半角错误。</explain>
      <paraID>71D92E79</paraID>
      <start>108</start>
      <end>109</end>
      <status>unmodified</status>
      <modifiedWord/>
      <trackRevisions>false</trackRevisions>
    </reviewItem>
    <reviewItem>
      <errorID>3e4f5a47-96c3-4554-92cb-7ecabf9d0bc1</errorID>
      <errorWord>-</errorWord>
      <group>L1_Format</group>
      <groupName>格式问题</groupName>
      <ability>L2_HalfPunc</ability>
      <abilityName>全半角检查</abilityName>
      <candidateList>
        <item>－</item>
      </candidateList>
      <explain>文本全半角错误。</explain>
      <paraID>71D92E79</paraID>
      <start>115</start>
      <end>116</end>
      <status>unmodified</status>
      <modifiedWord/>
      <trackRevisions>false</trackRevisions>
    </reviewItem>
    <reviewItem>
      <errorID>4589c55b-4b01-4e1a-be56-cd820bbd9ebc</errorID>
      <errorWord>“.</errorWord>
      <group>L1_Punc</group>
      <groupName>标点问题</groupName>
      <ability>L2_Punc</ability>
      <abilityName>标点符号检查</abilityName>
      <candidateList>
        <item>“</item>
      </candidateList>
      <explain/>
      <paraID>71D92E79</paraID>
      <start>149</start>
      <end>151</end>
      <status>unmodified</status>
      <modifiedWord/>
      <trackRevisions>false</trackRevisions>
    </reviewItem>
    <reviewItem>
      <errorID>8f00c0a7-f533-4926-a6e9-dab4fa4daa38</errorID>
      <errorWord>“.</errorWord>
      <group>L1_Punc</group>
      <groupName>标点问题</groupName>
      <ability>L2_Punc</ability>
      <abilityName>标点符号检查</abilityName>
      <candidateList>
        <item>“</item>
      </candidateList>
      <explain/>
      <paraID>2FAC3EAD</paraID>
      <start>145</start>
      <end>147</end>
      <status>unmodified</status>
      <modifiedWord/>
      <trackRevisions>false</trackRevisions>
    </reviewItem>
    <reviewItem>
      <errorID>51a0663c-cce6-442a-80ac-caf255e849c5</errorID>
      <errorWord>100万以下</errorWord>
      <group>L1_Word</group>
      <groupName>字词问题</groupName>
      <ability>L2_Typo</ability>
      <abilityName>字词错误</abilityName>
      <candidateList>
        <item>100万元以下</item>
      </candidateList>
      <explain/>
      <paraID> C28C9D6</paraID>
      <start>36</start>
      <end>43</end>
      <status>modified</status>
      <modifiedWord>100万元以下</modifiedWord>
      <trackRevisions>false</trackRevisions>
    </reviewItem>
    <reviewItem>
      <errorID>eb4f06ca-ac38-49b5-8a03-061bea98db14</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C28C9D6</paraID>
      <start>60</start>
      <end>69</end>
      <status>modified</status>
      <modifiedWord>100万—500万</modifiedWord>
      <trackRevisions>false</trackRevisions>
    </reviewItem>
    <reviewItem>
      <errorID>fe1253a8-749f-41ee-9829-bfb832c2dc70</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C28C9D6</paraID>
      <start>82</start>
      <end>92</end>
      <status>modified</status>
      <modifiedWord>500万—1000万</modifiedWord>
      <trackRevisions>false</trackRevisions>
    </reviewItem>
    <reviewItem>
      <errorID>0379b9fe-798f-4275-a0fc-761250b88690</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C28C9D6</paraID>
      <start>105</start>
      <end>116</end>
      <status>modified</status>
      <modifiedWord>1000万—5000万</modifiedWord>
      <trackRevisions>false</trackRevisions>
    </reviewItem>
    <reviewItem>
      <errorID>da5444b8-e9da-4bf3-8864-82396d845c5c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480F9C11</paraID>
      <start>0</start>
      <end>2</end>
      <status>unmodified</status>
      <modifiedWord/>
      <trackRevisions>false</trackRevisions>
    </reviewItem>
    <reviewItem>
      <errorID>82fe14c1-11fe-4704-9434-15bcb53dec05</errorID>
      <errorWord>）</errorWord>
      <group>L1_Punc</group>
      <groupName>标点问题</groupName>
      <ability>L2_Punc</ability>
      <abilityName>标点符号检查</abilityName>
      <candidateList/>
      <explain>同一形式括号套用。</explain>
      <paraID>28C57E11</paraID>
      <start>82</start>
      <end>83</end>
      <status>unmodified</status>
      <modifiedWord/>
      <trackRevisions>false</trackRevisions>
    </reviewItem>
    <reviewItem>
      <errorID>8d32a82d-9c9e-4cbf-9292-0d43134ec380</errorID>
      <errorWord>,</errorWord>
      <group>L1_Format</group>
      <groupName>格式问题</groupName>
      <ability>L2_HalfPunc</ability>
      <abilityName>全半角检查</abilityName>
      <candidateList>
        <item>，</item>
      </candidateList>
      <explain>文本全半角错误。</explain>
      <paraID> E8B96AE</paraID>
      <start>30</start>
      <end>31</end>
      <status>unmodified</status>
      <modifiedWord/>
      <trackRevisions>false</trackRevisions>
    </reviewItem>
    <reviewItem>
      <errorID>9de216b0-cc99-432c-8125-fcb474c9cef9</errorID>
      <errorWord>:</errorWord>
      <group>L1_Format</group>
      <groupName>格式问题</groupName>
      <ability>L2_HalfPunc</ability>
      <abilityName>全半角检查</abilityName>
      <candidateList>
        <item>：</item>
      </candidateList>
      <explain>文本全半角错误。</explain>
      <paraID>4F83FACF</paraID>
      <start>17</start>
      <end>18</end>
      <status>unmodified</status>
      <modifiedWord/>
      <trackRevisions>false</trackRevisions>
    </reviewItem>
    <reviewItem>
      <errorID>b88b7ca7-aec8-4071-922b-5155918381ab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1FBA3726</paraID>
      <start>0</start>
      <end>2</end>
      <status>unmodified</status>
      <modifiedWord/>
      <trackRevisions>false</trackRevisions>
    </reviewItem>
    <reviewItem>
      <errorID>10404058-17c1-4702-95ac-493339be5530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53B75EC5</paraID>
      <start>0</start>
      <end>2</end>
      <status>unmodified</status>
      <modifiedWord/>
      <trackRevisions>false</trackRevisions>
    </reviewItem>
    <reviewItem>
      <errorID>098c3973-6d9e-439a-9dd2-6cd2829626bc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77D7B7FD</paraID>
      <start>0</start>
      <end>2</end>
      <status>unmodified</status>
      <modifiedWord/>
      <trackRevisions>false</trackRevisions>
    </reviewItem>
    <reviewItem>
      <errorID>56623e69-7e33-4c5c-848b-2bf593cfa775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5B0BA97F</paraID>
      <start>0</start>
      <end>2</end>
      <status>unmodified</status>
      <modifiedWord/>
      <trackRevisions>false</trackRevisions>
    </reviewItem>
    <reviewItem>
      <errorID>77575abb-567c-401a-9666-e2aa6a0f744f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627C1665</paraID>
      <start>0</start>
      <end>2</end>
      <status>unmodified</status>
      <modifiedWord/>
      <trackRevisions>false</trackRevisions>
    </reviewItem>
    <reviewItem>
      <errorID>41471ce8-6a73-454c-98bc-1ecae0d19755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16A76E3E</paraID>
      <start>0</start>
      <end>2</end>
      <status>unmodified</status>
      <modifiedWord/>
      <trackRevisions>false</trackRevisions>
    </reviewItem>
    <reviewItem>
      <errorID>77031fe7-8528-43cd-bebb-771ef20e2bb1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7E876F7</paraID>
      <start>0</start>
      <end>2</end>
      <status>unmodified</status>
      <modifiedWord/>
      <trackRevisions>false</trackRevisions>
    </reviewItem>
    <reviewItem>
      <errorID>ed49be0c-ff54-4d9d-bf9d-528a971c3a24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5DEAECBC</paraID>
      <start>0</start>
      <end>2</end>
      <status>unmodified</status>
      <modifiedWord/>
      <trackRevisions>false</trackRevisions>
    </reviewItem>
    <reviewItem>
      <errorID>9acf9f43-2380-43ca-a316-b3efe34eb4d0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437A77B7</paraID>
      <start>0</start>
      <end>2</end>
      <status>unmodified</status>
      <modifiedWord/>
      <trackRevisions>false</trackRevisions>
    </reviewItem>
    <reviewItem>
      <errorID>39c9a9ab-c764-4554-9804-63fbcdda84db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46C77AD</paraID>
      <start>0</start>
      <end>2</end>
      <status>unmodified</status>
      <modifiedWord/>
      <trackRevisions>false</trackRevisions>
    </reviewItem>
    <reviewItem>
      <errorID>6830be53-ee85-4fc7-9168-299f66cafb32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67241F4B</paraID>
      <start>0</start>
      <end>2</end>
      <status>unmodified</status>
      <modifiedWord/>
      <trackRevisions>false</trackRevisions>
    </reviewItem>
    <reviewItem>
      <errorID>92baa98a-1a1e-4283-a331-fa0f146051d6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5393AA23</paraID>
      <start>0</start>
      <end>2</end>
      <status>unmodified</status>
      <modifiedWord/>
      <trackRevisions>false</trackRevisions>
    </reviewItem>
    <reviewItem>
      <errorID>377cd82a-f580-4b64-80fc-16f8df6fa108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5AF7B709</paraID>
      <start>0</start>
      <end>2</end>
      <status>unmodified</status>
      <modifiedWord/>
      <trackRevisions>false</trackRevisions>
    </reviewItem>
    <reviewItem>
      <errorID>126e7a0b-041b-42c9-b1d0-02d6d3fd1927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3D121C77</paraID>
      <start>0</start>
      <end>2</end>
      <status>unmodified</status>
      <modifiedWord/>
      <trackRevisions>false</trackRevisions>
    </reviewItem>
    <reviewItem>
      <errorID>e6fc0521-8948-46cf-9004-f31a9c7dadc1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9D101B2</paraID>
      <start>0</start>
      <end>2</end>
      <status>unmodified</status>
      <modifiedWord/>
      <trackRevisions>false</trackRevisions>
    </reviewItem>
    <reviewItem>
      <errorID>8deb0948-970a-44ab-b268-25db7edadc8d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588C80F0</paraID>
      <start>0</start>
      <end>2</end>
      <status>unmodified</status>
      <modifiedWord/>
      <trackRevisions>false</trackRevisions>
    </reviewItem>
    <reviewItem>
      <errorID>63c0e526-c2ef-4171-a552-9867841a1527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1697C9B</paraID>
      <start>0</start>
      <end>2</end>
      <status>unmodified</status>
      <modifiedWord/>
      <trackRevisions>false</trackRevisions>
    </reviewItem>
    <reviewItem>
      <errorID>c190594f-3374-482d-952d-f696c38fd795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37B8336D</paraID>
      <start>0</start>
      <end>2</end>
      <status>unmodified</status>
      <modifiedWord/>
      <trackRevisions>false</trackRevisions>
    </reviewItem>
    <reviewItem>
      <errorID>01b325b9-b193-4020-8930-483dee6e5ecf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87F80B1</paraID>
      <start>0</start>
      <end>2</end>
      <status>unmodified</status>
      <modifiedWord/>
      <trackRevisions>false</trackRevisions>
    </reviewItem>
    <reviewItem>
      <errorID>d1a8a663-22e4-4610-b9b1-706baa33c41e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78FC8BD4</paraID>
      <start>0</start>
      <end>2</end>
      <status>unmodified</status>
      <modifiedWord/>
      <trackRevisions>false</trackRevisions>
    </reviewItem>
    <reviewItem>
      <errorID>dd7255cf-1c78-40e9-8394-e33ac1daf87a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263AC873</paraID>
      <start>0</start>
      <end>2</end>
      <status>unmodified</status>
      <modifiedWord/>
      <trackRevisions>false</trackRevisions>
    </reviewItem>
    <reviewItem>
      <errorID>c582a7d7-436a-4033-8c49-8f6e2233f782</errorID>
      <errorWord>-</errorWord>
      <group>L1_Format</group>
      <groupName>格式问题</groupName>
      <ability>L2_HalfPunc</ability>
      <abilityName>全半角检查</abilityName>
      <candidateList>
        <item>－</item>
      </candidateList>
      <explain>文本全半角错误。</explain>
      <paraID>12EE9BA4</paraID>
      <start>50</start>
      <end>51</end>
      <status>unmodified</status>
      <modifiedWord/>
      <trackRevisions>false</trackRevisions>
    </reviewItem>
    <reviewItem>
      <errorID>e32acb79-2482-4e83-854f-19e04158a911</errorID>
      <errorWord>胶粘剂</errorWord>
      <group>L1_Word</group>
      <groupName>字词问题</groupName>
      <ability>L2_Typo</ability>
      <abilityName>字词错误</abilityName>
      <candidateList>
        <item>胶黏剂</item>
      </candidateList>
      <explain/>
      <paraID>1545042F</paraID>
      <start>14</start>
      <end>17</end>
      <status>unmodified</status>
      <modifiedWord/>
      <trackRevisions>false</trackRevisions>
    </reviewItem>
    <reviewItem>
      <errorID>587eb7c5-0dcf-4b0d-9fec-472634865773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4F28B7B4</paraID>
      <start>0</start>
      <end>2</end>
      <status>unmodified</status>
      <modifiedWord/>
      <trackRevisions>false</trackRevisions>
    </reviewItem>
    <reviewItem>
      <errorID>01a1c9a0-9905-4b26-856d-3fab85f107a8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7B161BF</paraID>
      <start>0</start>
      <end>2</end>
      <status>unmodified</status>
      <modifiedWord/>
      <trackRevisions>false</trackRevisions>
    </reviewItem>
    <reviewItem>
      <errorID>e5f9921f-b59b-4f98-90db-d28ca7b4e3c6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35182D4D</paraID>
      <start>0</start>
      <end>2</end>
      <status>unmodified</status>
      <modifiedWord/>
      <trackRevisions>false</trackRevisions>
    </reviewItem>
    <reviewItem>
      <errorID>af85c145-b85e-4fdd-9095-9a81e778fda6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355BC13C</paraID>
      <start>0</start>
      <end>2</end>
      <status>unmodified</status>
      <modifiedWord/>
      <trackRevisions>false</trackRevisions>
    </reviewItem>
    <reviewItem>
      <errorID>54d17124-121b-447a-a6f2-25420803a5fd</errorID>
      <errorWord>位</errorWord>
      <group>L1_Word</group>
      <groupName>字词问题</groupName>
      <ability>L2_Typo</ability>
      <abilityName>字词错误</abilityName>
      <candidateList>
        <item>位在</item>
      </candidateList>
      <explain/>
      <paraID> 7CF7B9E</paraID>
      <start>164</start>
      <end>166</end>
      <status>modified</status>
      <modifiedWord>位在</modifiedWord>
      <trackRevisions>false</trackRevisions>
    </reviewItem>
    <reviewItem>
      <errorID>85c49a8f-f9b9-4128-8ade-ce24148cc500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F73AFBC</paraID>
      <start>0</start>
      <end>2</end>
      <status>unmodified</status>
      <modifiedWord/>
      <trackRevisions>false</trackRevisions>
    </reviewItem>
    <reviewItem>
      <errorID>9e6ac7ff-bbf4-409d-a204-434dcea946d4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29867BDC</paraID>
      <start>0</start>
      <end>2</end>
      <status>unmodified</status>
      <modifiedWord/>
      <trackRevisions>false</trackRevisions>
    </reviewItem>
    <reviewItem>
      <errorID>6b9eecff-0b9d-4103-a762-df4afd6290ec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2BCF5BC6</paraID>
      <start>0</start>
      <end>2</end>
      <status>unmodified</status>
      <modifiedWord/>
      <trackRevisions>false</trackRevisions>
    </reviewItem>
    <reviewItem>
      <errorID>4f7cf3b9-15d3-4d3a-b1a9-0fd7745e2783</errorID>
      <errorWord>(</errorWord>
      <group>L1_Format</group>
      <groupName>格式问题</groupName>
      <ability>L2_HalfPunc</ability>
      <abilityName>全半角检查</abilityName>
      <candidateList>
        <item>（</item>
      </candidateList>
      <explain>文本全半角错误。</explain>
      <paraID>2BCF5BC6</paraID>
      <start>20</start>
      <end>21</end>
      <status>unmodified</status>
      <modifiedWord/>
      <trackRevisions>false</trackRevisions>
    </reviewItem>
    <reviewItem>
      <errorID>47dc6197-64a3-44d1-9db0-9e89ad82b496</errorID>
      <errorWord>(</errorWord>
      <group>L1_Format</group>
      <groupName>格式问题</groupName>
      <ability>L2_HalfPunc</ability>
      <abilityName>全半角检查</abilityName>
      <candidateList>
        <item>（</item>
      </candidateList>
      <explain>文本全半角错误。</explain>
      <paraID>2BCF5BC6</paraID>
      <start>44</start>
      <end>45</end>
      <status>unmodified</status>
      <modifiedWord/>
      <trackRevisions>false</trackRevisions>
    </reviewItem>
    <reviewItem>
      <errorID>6d390f21-7cad-47af-91a6-3907cf4625b8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2F246985</paraID>
      <start>0</start>
      <end>2</end>
      <status>unmodified</status>
      <modifiedWord/>
      <trackRevisions>false</trackRevisions>
    </reviewItem>
    <reviewItem>
      <errorID>02d9affa-dfa4-40e2-bb1a-fee931a8c301</errorID>
      <errorWord>-</errorWord>
      <group>L1_Format</group>
      <groupName>格式问题</groupName>
      <ability>L2_HalfPunc</ability>
      <abilityName>全半角检查</abilityName>
      <candidateList>
        <item>－</item>
      </candidateList>
      <explain>文本全半角错误。</explain>
      <paraID>419DCDDE</paraID>
      <start>104</start>
      <end>105</end>
      <status>unmodified</status>
      <modifiedWord/>
      <trackRevisions>false</trackRevisions>
    </reviewItem>
    <reviewItem>
      <errorID>ffe3edcd-fe37-4d31-9009-98c28813eeb5</errorID>
      <errorWord>-</errorWord>
      <group>L1_Format</group>
      <groupName>格式问题</groupName>
      <ability>L2_HalfPunc</ability>
      <abilityName>全半角检查</abilityName>
      <candidateList>
        <item>－</item>
      </candidateList>
      <explain>文本全半角错误。</explain>
      <paraID>419DCDDE</paraID>
      <start>149</start>
      <end>150</end>
      <status>unmodified</status>
      <modifiedWord/>
      <trackRevisions>false</trackRevisions>
    </reviewItem>
    <reviewItem>
      <errorID>d41f7322-4776-49a8-b9b4-bbc36a7371dc</errorID>
      <errorWord>:</errorWord>
      <group>L1_Format</group>
      <groupName>格式问题</groupName>
      <ability>L2_HalfPunc</ability>
      <abilityName>全半角检查</abilityName>
      <candidateList>
        <item>：</item>
      </candidateList>
      <explain>文本全半角错误。</explain>
      <paraID>7562C272</paraID>
      <start>13</start>
      <end>14</end>
      <status>unmodified</status>
      <modifiedWord/>
      <trackRevisions>false</trackRevisions>
    </reviewItem>
    <reviewItem>
      <errorID>41fa542f-52f6-40f4-9b0b-3cfd22c864a4</errorID>
      <errorWord>,</errorWord>
      <group>L1_Format</group>
      <groupName>格式问题</groupName>
      <ability>L2_HalfPunc</ability>
      <abilityName>全半角检查</abilityName>
      <candidateList>
        <item>，</item>
      </candidateList>
      <explain>文本全半角错误。</explain>
      <paraID> F3EB8B8</paraID>
      <start>27</start>
      <end>28</end>
      <status>unmodified</status>
      <modifiedWord/>
      <trackRevisions>false</trackRevisions>
    </reviewItem>
    <reviewItem>
      <errorID>70b68ca9-3df1-4a43-b6e2-fd2b0579cc88</errorID>
      <errorWord>:</errorWord>
      <group>L1_Format</group>
      <groupName>格式问题</groupName>
      <ability>L2_HalfPunc</ability>
      <abilityName>全半角检查</abilityName>
      <candidateList>
        <item>：</item>
      </candidateList>
      <explain>文本全半角错误。</explain>
      <paraID>4150140A</paraID>
      <start>6</start>
      <end>7</end>
      <status>unmodified</status>
      <modifiedWord/>
      <trackRevisions>false</trackRevisions>
    </reviewItem>
    <reviewItem>
      <errorID>85fcc57b-134c-4559-a4cc-68ad62750c3b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458CAF14</paraID>
      <start>55</start>
      <end>56</end>
      <status>unmodified</status>
      <modifiedWord/>
      <trackRevisions>false</trackRevisions>
    </reviewItem>
    <reviewItem>
      <errorID>c0e83b40-45e7-4517-b419-b4bf4d489e3f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458CAF14</paraID>
      <start>64</start>
      <end>65</end>
      <status>unmodified</status>
      <modifiedWord/>
      <trackRevisions>false</trackRevisions>
    </reviewItem>
    <reviewItem>
      <errorID>d9903e26-3640-46a9-80b3-17f6f9b81254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56D71F8D</paraID>
      <start>0</start>
      <end>2</end>
      <status>ignored</status>
      <modifiedWord/>
      <trackRevisions>false</trackRevisions>
    </reviewItem>
    <reviewItem>
      <errorID>95da111e-4583-4cf8-8945-50f4912ee9ba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36A28E27</paraID>
      <start>0</start>
      <end>2</end>
      <status>unmodified</status>
      <modifiedWord/>
      <trackRevisions>false</trackRevisions>
    </reviewItem>
    <reviewItem>
      <errorID>a867d6f7-4b3b-4da8-bbf1-772392ce41bc</errorID>
      <errorWord>(</errorWord>
      <group>L1_Format</group>
      <groupName>格式问题</groupName>
      <ability>L2_HalfPunc</ability>
      <abilityName>全半角检查</abilityName>
      <candidateList>
        <item>（</item>
      </candidateList>
      <explain>文本全半角错误。</explain>
      <paraID>6F667162</paraID>
      <start>31</start>
      <end>32</end>
      <status>unmodified</status>
      <modifiedWord/>
      <trackRevisions>false</trackRevisions>
    </reviewItem>
    <reviewItem>
      <errorID>76046af0-e15c-4e7f-87be-88da8a9900d7</errorID>
      <errorWord>(</errorWord>
      <group>L1_Format</group>
      <groupName>格式问题</groupName>
      <ability>L2_HalfPunc</ability>
      <abilityName>全半角检查</abilityName>
      <candidateList>
        <item>（</item>
      </candidateList>
      <explain>文本全半角错误。</explain>
      <paraID>3D104A03</paraID>
      <start>23</start>
      <end>24</end>
      <status>unmodified</status>
      <modifiedWord/>
      <trackRevisions>false</trackRevisions>
    </reviewItem>
    <reviewItem>
      <errorID>587b4763-07b2-42e6-aacd-a31c3379a98c</errorID>
      <errorWord>:</errorWord>
      <group>L1_Format</group>
      <groupName>格式问题</groupName>
      <ability>L2_HalfPunc</ability>
      <abilityName>全半角检查</abilityName>
      <candidateList>
        <item>：</item>
      </candidateList>
      <explain>文本全半角错误。</explain>
      <paraID>7FA4B32C</paraID>
      <start>14</start>
      <end>15</end>
      <status>unmodified</status>
      <modifiedWord/>
      <trackRevisions>false</trackRevisions>
    </reviewItem>
    <reviewItem>
      <errorID>12be2869-4e19-4c3e-8b0c-9cd15e1b2a01</errorID>
      <errorWord>:</errorWord>
      <group>L1_Format</group>
      <groupName>格式问题</groupName>
      <ability>L2_HalfPunc</ability>
      <abilityName>全半角检查</abilityName>
      <candidateList>
        <item>：</item>
      </candidateList>
      <explain>文本全半角错误。</explain>
      <paraID>7FA4B32C</paraID>
      <start>34</start>
      <end>35</end>
      <status>unmodified</status>
      <modifiedWord/>
      <trackRevisions>false</trackRevisions>
    </reviewItem>
    <reviewItem>
      <errorID>1b67d7d6-3b2e-4fcf-bf89-a563c1237682</errorID>
      <errorWord>:</errorWord>
      <group>L1_Format</group>
      <groupName>格式问题</groupName>
      <ability>L2_HalfPunc</ability>
      <abilityName>全半角检查</abilityName>
      <candidateList>
        <item>：</item>
      </candidateList>
      <explain>文本全半角错误。</explain>
      <paraID>23AFF016</paraID>
      <start>14</start>
      <end>15</end>
      <status>unmodified</status>
      <modifiedWord/>
      <trackRevisions>false</trackRevisions>
    </reviewItem>
    <reviewItem>
      <errorID>3918ce7c-42a4-4b5d-bcfb-a17118359935</errorID>
      <errorWord>(</errorWord>
      <group>L1_Format</group>
      <groupName>格式问题</groupName>
      <ability>L2_HalfPunc</ability>
      <abilityName>全半角检查</abilityName>
      <candidateList>
        <item>（</item>
      </candidateList>
      <explain>文本全半角错误。</explain>
      <paraID>23AFF016</paraID>
      <start>56</start>
      <end>57</end>
      <status>unmodified</status>
      <modifiedWord/>
      <trackRevisions>false</trackRevisions>
    </reviewItem>
    <reviewItem>
      <errorID>b538f368-4a01-4203-ba99-88e92b447446</errorID>
      <errorWord>-</errorWord>
      <group>L1_Format</group>
      <groupName>格式问题</groupName>
      <ability>L2_HalfPunc</ability>
      <abilityName>全半角检查</abilityName>
      <candidateList>
        <item>－</item>
      </candidateList>
      <explain>文本全半角错误。</explain>
      <paraID>4670E546</paraID>
      <start>21</start>
      <end>22</end>
      <status>unmodified</status>
      <modifiedWord/>
      <trackRevisions>false</trackRevisions>
    </reviewItem>
    <reviewItem>
      <errorID>5026f109-d1b1-402e-b1be-c7263683fdbd</errorID>
      <errorWord>-</errorWord>
      <group>L1_Format</group>
      <groupName>格式问题</groupName>
      <ability>L2_HalfPunc</ability>
      <abilityName>全半角检查</abilityName>
      <candidateList>
        <item>－</item>
      </candidateList>
      <explain>文本全半角错误。</explain>
      <paraID>4670E546</paraID>
      <start>22</start>
      <end>23</end>
      <status>unmodified</status>
      <modifiedWord/>
      <trackRevisions>false</trackRevisions>
    </reviewItem>
    <reviewItem>
      <errorID>62547ede-2b76-48ed-8fba-57e9c87e5288</errorID>
      <errorWord>:</errorWord>
      <group>L1_Format</group>
      <groupName>格式问题</groupName>
      <ability>L2_HalfPunc</ability>
      <abilityName>全半角检查</abilityName>
      <candidateList>
        <item>：</item>
      </candidateList>
      <explain>文本全半角错误。</explain>
      <paraID>38C62A1D</paraID>
      <start>1</start>
      <end>2</end>
      <status>unmodified</status>
      <modifiedWord/>
      <trackRevisions>false</trackRevisions>
    </reviewItem>
    <reviewItem>
      <errorID>83392651-d74b-4082-8020-2fa30129e95f</errorID>
      <errorWord>详实</errorWord>
      <group>L1_Word</group>
      <groupName>字词问题</groupName>
      <ability>L2_Typo</ability>
      <abilityName>字词错误</abilityName>
      <candidateList>
        <item>翔实</item>
      </candidateList>
      <explain/>
      <paraID>547ADA18</paraID>
      <start>9</start>
      <end>11</end>
      <status>ignored</status>
      <modifiedWord/>
      <trackRevisions>false</trackRevisions>
    </reviewItem>
    <reviewItem>
      <errorID>ed7ab63f-053d-4111-8806-5fcffc8f3a73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38544E3C</paraID>
      <start>0</start>
      <end>2</end>
      <status>unmodified</status>
      <modifiedWord/>
      <trackRevisions>false</trackRevisions>
    </reviewItem>
    <reviewItem>
      <errorID>86d513c1-2b39-499f-b6f9-e93448b9af4c</errorID>
      <errorWord>如是</errorWord>
      <group>L1_Word</group>
      <groupName>字词问题</groupName>
      <ability>L2_Typo</ability>
      <abilityName>字词错误</abilityName>
      <candidateList>
        <item>如</item>
      </candidateList>
      <explain/>
      <paraID>380BA532</paraID>
      <start>51</start>
      <end>53</end>
      <status>ignored</status>
      <modifiedWord/>
      <trackRevisions>false</trackRevisions>
    </reviewItem>
    <reviewItem>
      <errorID>0c39974a-fd07-41a1-a363-1c210b706322</errorID>
      <errorWord>）</errorWord>
      <group>L1_Punc</group>
      <groupName>标点问题</groupName>
      <ability>L2_Punc</ability>
      <abilityName>标点符号检查</abilityName>
      <candidateList/>
      <explain>同一形式括号套用。</explain>
      <paraID> E61831C</paraID>
      <start>57</start>
      <end>58</end>
      <status>unmodified</status>
      <modifiedWord/>
      <trackRevisions>false</trackRevisions>
    </reviewItem>
    <reviewItem>
      <errorID>f97c097a-6f35-458a-a83b-9bdafc8187a2</errorID>
      <errorWord>(</errorWord>
      <group>L1_Format</group>
      <groupName>格式问题</groupName>
      <ability>L2_HalfPunc</ability>
      <abilityName>全半角检查</abilityName>
      <candidateList>
        <item>（</item>
      </candidateList>
      <explain>文本全半角错误。</explain>
      <paraID>43C86612</paraID>
      <start>10</start>
      <end>11</end>
      <status>unmodified</status>
      <modifiedWord/>
      <trackRevisions>false</trackRevisions>
    </reviewItem>
    <reviewItem>
      <errorID>e1261847-8902-4fb5-86ae-74539761b287</errorID>
      <errorWord>(</errorWord>
      <group>L1_Format</group>
      <groupName>格式问题</groupName>
      <ability>L2_HalfPunc</ability>
      <abilityName>全半角检查</abilityName>
      <candidateList>
        <item>（</item>
      </candidateList>
      <explain>文本全半角错误。</explain>
      <paraID>58F86AF7</paraID>
      <start>33</start>
      <end>34</end>
      <status>unmodified</status>
      <modifiedWord/>
      <trackRevisions>false</trackRevisions>
    </reviewItem>
    <reviewItem>
      <errorID>75d241f0-f6f1-41b1-92bd-17dc012381ce</errorID>
      <errorWord>(</errorWord>
      <group>L1_Format</group>
      <groupName>格式问题</groupName>
      <ability>L2_HalfPunc</ability>
      <abilityName>全半角检查</abilityName>
      <candidateList>
        <item>（</item>
      </candidateList>
      <explain>文本全半角错误。</explain>
      <paraID>5915346F</paraID>
      <start>21</start>
      <end>22</end>
      <status>unmodified</status>
      <modifiedWord/>
      <trackRevisions>false</trackRevisions>
    </reviewItem>
    <reviewItem>
      <errorID>298f4a7c-3670-4e1e-8c4f-efd18471f61d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6E01FC18</paraID>
      <start>115</start>
      <end>118</end>
      <status>unmodified</status>
      <modifiedWord/>
      <trackRevisions>false</trackRevisions>
    </reviewItem>
    <reviewItem>
      <errorID>2756d511-313e-4d54-8f8f-d2e447d129b7</errorID>
      <errorWord>）</errorWord>
      <group>L1_Punc</group>
      <groupName>标点问题</groupName>
      <ability>L2_Punc</ability>
      <abilityName>标点符号检查</abilityName>
      <candidateList/>
      <explain>同一形式括号套用。</explain>
      <paraID>6E01FC18</paraID>
      <start>127</start>
      <end>128</end>
      <status>unmodified</status>
      <modifiedWord/>
      <trackRevisions>false</trackRevisions>
    </reviewItem>
    <reviewItem>
      <errorID>5bb0db56-d37c-4960-8e95-3ced86f7308e</errorID>
      <errorWord>(</errorWord>
      <group>L1_Format</group>
      <groupName>格式问题</groupName>
      <ability>L2_HalfPunc</ability>
      <abilityName>全半角检查</abilityName>
      <candidateList>
        <item>（</item>
      </candidateList>
      <explain>文本全半角错误。</explain>
      <paraID>40E425AC</paraID>
      <start>13</start>
      <end>14</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00B23C2-A0DF-40B1-B194-5EA4BCA86755}"/>
</file>

<file path=customXml/itemProps2.xml><?xml version="1.0" encoding="utf-8"?>
<ds:datastoreItem xmlns:ds="http://schemas.openxmlformats.org/officeDocument/2006/customXml" ds:itemID="{85D49E58-55F3-44D9-A781-D2A4093791C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丁娅屏</cp:lastModifiedBy>
  <cp:revision>31</cp:revision>
  <dcterms:created xsi:type="dcterms:W3CDTF">2024-04-28T03:01:00Z</dcterms:created>
  <dcterms:modified xsi:type="dcterms:W3CDTF">2026-04-30T08:06:25Z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eyJoZGlkIjoiZjZlZmI4OTdjM2RjYzBlMWY0MGNjZTA4OGI0ZTgxOGYiLCJ1c2VySWQiOiIxOTc0Mzc3MzEifQ==</vt:lpwstr>
  </property>
  <property fmtid="{D5CDD505-2E9C-101B-9397-08002B2CF9AE}" pid="3" name="KSOProductBuildVer">
    <vt:lpwstr>2052-12.1.0.25865</vt:lpwstr>
  </property>
  <property fmtid="{D5CDD505-2E9C-101B-9397-08002B2CF9AE}" pid="4" name="ICV">
    <vt:lpwstr>984D826CDE0E49F49FFA97EFAC1204D5_13</vt:lpwstr>
  </property>
</Properties>
</file>