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74A0D5">
      <w:pPr>
        <w:jc w:val="center"/>
        <w:rPr>
          <w:rFonts w:hint="eastAsia" w:ascii="宋体" w:hAnsi="宋体" w:eastAsia="宋体" w:cs="宋体"/>
          <w:b/>
          <w:spacing w:val="20"/>
          <w:sz w:val="44"/>
          <w:highlight w:val="none"/>
        </w:rPr>
      </w:pPr>
    </w:p>
    <w:p w14:paraId="571DA0DC">
      <w:pPr>
        <w:jc w:val="center"/>
        <w:rPr>
          <w:rFonts w:hint="eastAsia" w:ascii="宋体" w:hAnsi="宋体" w:eastAsia="宋体" w:cs="宋体"/>
          <w:b/>
          <w:spacing w:val="20"/>
          <w:sz w:val="44"/>
          <w:highlight w:val="none"/>
          <w:lang w:eastAsia="zh-CN"/>
        </w:rPr>
      </w:pPr>
      <w:r>
        <w:rPr>
          <w:rFonts w:hint="eastAsia" w:ascii="宋体" w:hAnsi="宋体" w:eastAsia="宋体" w:cs="宋体"/>
          <w:b/>
          <w:spacing w:val="20"/>
          <w:sz w:val="44"/>
          <w:highlight w:val="none"/>
          <w:lang w:eastAsia="zh-CN"/>
        </w:rPr>
        <w:t>启东市王海、南海、通海、</w:t>
      </w:r>
      <w:r>
        <w:rPr>
          <w:rFonts w:hint="eastAsia" w:ascii="宋体" w:hAnsi="宋体" w:cs="宋体"/>
          <w:b/>
          <w:spacing w:val="20"/>
          <w:sz w:val="44"/>
          <w:highlight w:val="none"/>
          <w:lang w:eastAsia="zh-CN"/>
        </w:rPr>
        <w:t>S255(S221)</w:t>
      </w:r>
      <w:r>
        <w:rPr>
          <w:rFonts w:hint="eastAsia" w:ascii="宋体" w:hAnsi="宋体" w:eastAsia="宋体" w:cs="宋体"/>
          <w:b/>
          <w:spacing w:val="20"/>
          <w:sz w:val="44"/>
          <w:highlight w:val="none"/>
          <w:lang w:eastAsia="zh-CN"/>
        </w:rPr>
        <w:t>、S336线（城东三角地块）等绿化养护项目</w:t>
      </w:r>
    </w:p>
    <w:p w14:paraId="68719C6B">
      <w:pPr>
        <w:jc w:val="center"/>
        <w:rPr>
          <w:rFonts w:hint="eastAsia" w:ascii="宋体" w:hAnsi="宋体" w:eastAsia="宋体" w:cs="宋体"/>
          <w:b/>
          <w:spacing w:val="20"/>
          <w:sz w:val="44"/>
          <w:highlight w:val="none"/>
        </w:rPr>
      </w:pPr>
    </w:p>
    <w:p w14:paraId="17464F38">
      <w:pPr>
        <w:pStyle w:val="190"/>
        <w:rPr>
          <w:rFonts w:hint="eastAsia" w:ascii="宋体" w:hAnsi="宋体" w:eastAsia="宋体" w:cs="宋体"/>
          <w:highlight w:val="none"/>
        </w:rPr>
      </w:pPr>
    </w:p>
    <w:p w14:paraId="36DFED2B">
      <w:pPr>
        <w:jc w:val="center"/>
        <w:rPr>
          <w:rFonts w:hint="eastAsia" w:ascii="宋体" w:hAnsi="宋体" w:eastAsia="宋体" w:cs="宋体"/>
          <w:b/>
          <w:sz w:val="100"/>
          <w:szCs w:val="100"/>
          <w:highlight w:val="none"/>
        </w:rPr>
      </w:pPr>
      <w:r>
        <w:rPr>
          <w:rFonts w:hint="eastAsia" w:ascii="宋体" w:hAnsi="宋体" w:eastAsia="宋体" w:cs="宋体"/>
          <w:b/>
          <w:sz w:val="100"/>
          <w:szCs w:val="100"/>
          <w:highlight w:val="none"/>
        </w:rPr>
        <w:t>政府采购谈判文件</w:t>
      </w:r>
    </w:p>
    <w:p w14:paraId="21AEB325">
      <w:pPr>
        <w:keepNext/>
        <w:spacing w:line="500" w:lineRule="exact"/>
        <w:jc w:val="center"/>
        <w:outlineLvl w:val="5"/>
        <w:rPr>
          <w:rFonts w:hint="eastAsia" w:ascii="宋体" w:hAnsi="宋体" w:eastAsia="宋体" w:cs="宋体"/>
          <w:b/>
          <w:sz w:val="44"/>
          <w:szCs w:val="20"/>
          <w:highlight w:val="none"/>
        </w:rPr>
      </w:pPr>
    </w:p>
    <w:p w14:paraId="0AAF51C4">
      <w:pPr>
        <w:keepNext/>
        <w:spacing w:line="500" w:lineRule="exact"/>
        <w:jc w:val="center"/>
        <w:outlineLvl w:val="5"/>
        <w:rPr>
          <w:rFonts w:hint="eastAsia" w:ascii="宋体" w:hAnsi="宋体" w:eastAsia="宋体" w:cs="宋体"/>
          <w:b/>
          <w:sz w:val="44"/>
          <w:szCs w:val="20"/>
          <w:highlight w:val="none"/>
        </w:rPr>
      </w:pPr>
    </w:p>
    <w:p w14:paraId="479F2C48">
      <w:pPr>
        <w:keepNext/>
        <w:spacing w:line="500" w:lineRule="exact"/>
        <w:jc w:val="center"/>
        <w:outlineLvl w:val="5"/>
        <w:rPr>
          <w:rFonts w:hint="eastAsia" w:ascii="宋体" w:hAnsi="宋体" w:eastAsia="宋体" w:cs="宋体"/>
          <w:b/>
          <w:sz w:val="36"/>
          <w:szCs w:val="36"/>
          <w:highlight w:val="none"/>
        </w:rPr>
      </w:pPr>
      <w:r>
        <w:rPr>
          <w:rFonts w:hint="eastAsia" w:ascii="宋体" w:hAnsi="宋体" w:eastAsia="宋体" w:cs="宋体"/>
          <w:b/>
          <w:sz w:val="36"/>
          <w:szCs w:val="36"/>
          <w:highlight w:val="none"/>
        </w:rPr>
        <w:t>项目编号：JSZC-320681-SRZC-T2026-0006</w:t>
      </w:r>
    </w:p>
    <w:p w14:paraId="1FA11CFB">
      <w:pPr>
        <w:spacing w:line="500" w:lineRule="exact"/>
        <w:jc w:val="center"/>
        <w:rPr>
          <w:rFonts w:hint="eastAsia" w:ascii="宋体" w:hAnsi="宋体" w:eastAsia="宋体" w:cs="宋体"/>
          <w:b/>
          <w:sz w:val="36"/>
          <w:highlight w:val="none"/>
        </w:rPr>
      </w:pPr>
    </w:p>
    <w:p w14:paraId="3F0C52F5">
      <w:pPr>
        <w:spacing w:line="500" w:lineRule="exact"/>
        <w:jc w:val="center"/>
        <w:rPr>
          <w:rFonts w:hint="eastAsia" w:ascii="宋体" w:hAnsi="宋体" w:eastAsia="宋体" w:cs="宋体"/>
          <w:b/>
          <w:sz w:val="36"/>
          <w:highlight w:val="none"/>
        </w:rPr>
      </w:pPr>
    </w:p>
    <w:p w14:paraId="0B52B736">
      <w:pPr>
        <w:spacing w:line="500" w:lineRule="exact"/>
        <w:jc w:val="center"/>
        <w:rPr>
          <w:rFonts w:hint="eastAsia" w:ascii="宋体" w:hAnsi="宋体" w:eastAsia="宋体" w:cs="宋体"/>
          <w:b/>
          <w:sz w:val="36"/>
          <w:highlight w:val="none"/>
        </w:rPr>
      </w:pPr>
    </w:p>
    <w:p w14:paraId="05DC0857">
      <w:pPr>
        <w:spacing w:line="500" w:lineRule="exact"/>
        <w:rPr>
          <w:rFonts w:hint="eastAsia" w:ascii="宋体" w:hAnsi="宋体" w:eastAsia="宋体" w:cs="宋体"/>
          <w:highlight w:val="none"/>
        </w:rPr>
      </w:pPr>
    </w:p>
    <w:p w14:paraId="2B8C7CC9">
      <w:pPr>
        <w:spacing w:line="500" w:lineRule="exact"/>
        <w:jc w:val="center"/>
        <w:rPr>
          <w:rFonts w:hint="eastAsia" w:ascii="宋体" w:hAnsi="宋体" w:eastAsia="宋体" w:cs="宋体"/>
          <w:sz w:val="32"/>
          <w:highlight w:val="none"/>
        </w:rPr>
      </w:pPr>
    </w:p>
    <w:p w14:paraId="256202E9">
      <w:pPr>
        <w:spacing w:line="500" w:lineRule="exact"/>
        <w:jc w:val="center"/>
        <w:rPr>
          <w:rFonts w:hint="eastAsia" w:ascii="宋体" w:hAnsi="宋体" w:eastAsia="宋体" w:cs="宋体"/>
          <w:sz w:val="32"/>
          <w:highlight w:val="none"/>
        </w:rPr>
      </w:pPr>
    </w:p>
    <w:p w14:paraId="208E7A8E">
      <w:pPr>
        <w:spacing w:line="500" w:lineRule="exact"/>
        <w:jc w:val="center"/>
        <w:rPr>
          <w:rFonts w:hint="eastAsia" w:ascii="宋体" w:hAnsi="宋体" w:eastAsia="宋体" w:cs="宋体"/>
          <w:sz w:val="32"/>
          <w:highlight w:val="none"/>
        </w:rPr>
      </w:pPr>
    </w:p>
    <w:p w14:paraId="316EC68D">
      <w:pPr>
        <w:spacing w:line="500" w:lineRule="exact"/>
        <w:jc w:val="center"/>
        <w:rPr>
          <w:rFonts w:hint="eastAsia" w:ascii="宋体" w:hAnsi="宋体" w:eastAsia="宋体" w:cs="宋体"/>
          <w:sz w:val="32"/>
          <w:highlight w:val="none"/>
        </w:rPr>
      </w:pPr>
    </w:p>
    <w:p w14:paraId="00092C68">
      <w:pPr>
        <w:spacing w:line="500" w:lineRule="exact"/>
        <w:jc w:val="center"/>
        <w:rPr>
          <w:rFonts w:hint="eastAsia" w:ascii="宋体" w:hAnsi="宋体" w:eastAsia="宋体" w:cs="宋体"/>
          <w:sz w:val="32"/>
          <w:highlight w:val="none"/>
        </w:rPr>
      </w:pPr>
    </w:p>
    <w:p w14:paraId="70D181AF">
      <w:pPr>
        <w:keepNext w:val="0"/>
        <w:keepLines w:val="0"/>
        <w:pageBreakBefore w:val="0"/>
        <w:widowControl/>
        <w:kinsoku/>
        <w:wordWrap/>
        <w:overflowPunct/>
        <w:topLinePunct w:val="0"/>
        <w:autoSpaceDE/>
        <w:autoSpaceDN/>
        <w:bidi w:val="0"/>
        <w:adjustRightInd/>
        <w:snapToGrid/>
        <w:spacing w:line="360" w:lineRule="auto"/>
        <w:ind w:firstLine="1200" w:firstLineChars="0"/>
        <w:jc w:val="left"/>
        <w:textAlignment w:val="auto"/>
        <w:rPr>
          <w:rFonts w:hint="eastAsia" w:ascii="宋体" w:hAnsi="宋体" w:eastAsia="宋体" w:cs="宋体"/>
          <w:i w:val="0"/>
          <w:iCs w:val="0"/>
          <w:caps w:val="0"/>
          <w:color w:val="auto"/>
          <w:spacing w:val="0"/>
          <w:sz w:val="30"/>
          <w:szCs w:val="30"/>
          <w:highlight w:val="none"/>
          <w:shd w:val="clear"/>
          <w:lang w:eastAsia="zh-CN"/>
        </w:rPr>
      </w:pPr>
      <w:r>
        <w:rPr>
          <w:rFonts w:hint="eastAsia" w:ascii="宋体" w:hAnsi="宋体" w:eastAsia="宋体" w:cs="宋体"/>
          <w:color w:val="auto"/>
          <w:sz w:val="30"/>
          <w:szCs w:val="30"/>
          <w:highlight w:val="none"/>
        </w:rPr>
        <w:t>采购人：</w:t>
      </w:r>
      <w:r>
        <w:rPr>
          <w:rFonts w:hint="eastAsia" w:ascii="宋体" w:hAnsi="宋体" w:eastAsia="宋体" w:cs="宋体"/>
          <w:i w:val="0"/>
          <w:iCs w:val="0"/>
          <w:caps w:val="0"/>
          <w:color w:val="auto"/>
          <w:spacing w:val="0"/>
          <w:sz w:val="30"/>
          <w:szCs w:val="30"/>
          <w:highlight w:val="none"/>
          <w:shd w:val="clear"/>
          <w:lang w:eastAsia="zh-CN"/>
        </w:rPr>
        <w:t>启东市交通事业发展中心</w:t>
      </w:r>
    </w:p>
    <w:p w14:paraId="34C2AD30">
      <w:pPr>
        <w:spacing w:line="360" w:lineRule="auto"/>
        <w:ind w:firstLine="1200"/>
        <w:jc w:val="lef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采购代理机构：江苏睿致诚工程咨询有限公司</w:t>
      </w:r>
    </w:p>
    <w:p w14:paraId="06957FDD">
      <w:pPr>
        <w:ind w:firstLine="1200" w:firstLineChars="400"/>
        <w:jc w:val="left"/>
        <w:rPr>
          <w:rFonts w:hint="eastAsia" w:ascii="宋体" w:hAnsi="宋体" w:eastAsia="宋体" w:cs="宋体"/>
          <w:sz w:val="32"/>
          <w:szCs w:val="32"/>
          <w:highlight w:val="none"/>
        </w:rPr>
      </w:pPr>
      <w:r>
        <w:rPr>
          <w:rFonts w:hint="eastAsia" w:ascii="宋体" w:hAnsi="宋体" w:eastAsia="宋体" w:cs="宋体"/>
          <w:color w:val="auto"/>
          <w:sz w:val="30"/>
          <w:szCs w:val="30"/>
          <w:highlight w:val="none"/>
        </w:rPr>
        <w:t>日期：202</w:t>
      </w:r>
      <w:r>
        <w:rPr>
          <w:rFonts w:hint="eastAsia" w:ascii="宋体" w:hAnsi="宋体" w:eastAsia="宋体" w:cs="宋体"/>
          <w:color w:val="auto"/>
          <w:sz w:val="30"/>
          <w:szCs w:val="30"/>
          <w:highlight w:val="none"/>
          <w:lang w:val="en-US" w:eastAsia="zh-CN"/>
        </w:rPr>
        <w:t>6</w:t>
      </w:r>
      <w:r>
        <w:rPr>
          <w:rFonts w:hint="eastAsia" w:ascii="宋体" w:hAnsi="宋体" w:eastAsia="宋体" w:cs="宋体"/>
          <w:color w:val="auto"/>
          <w:sz w:val="30"/>
          <w:szCs w:val="30"/>
          <w:highlight w:val="none"/>
        </w:rPr>
        <w:t>年</w:t>
      </w:r>
      <w:r>
        <w:rPr>
          <w:rFonts w:hint="eastAsia" w:ascii="宋体" w:hAnsi="宋体" w:cs="宋体"/>
          <w:color w:val="auto"/>
          <w:sz w:val="30"/>
          <w:szCs w:val="30"/>
          <w:highlight w:val="none"/>
          <w:lang w:val="en-US" w:eastAsia="zh-CN"/>
        </w:rPr>
        <w:t>4</w:t>
      </w:r>
      <w:r>
        <w:rPr>
          <w:rFonts w:hint="eastAsia" w:ascii="宋体" w:hAnsi="宋体" w:eastAsia="宋体" w:cs="宋体"/>
          <w:color w:val="auto"/>
          <w:sz w:val="30"/>
          <w:szCs w:val="30"/>
          <w:highlight w:val="none"/>
        </w:rPr>
        <w:t>月</w:t>
      </w:r>
    </w:p>
    <w:p w14:paraId="6D20213C">
      <w:pPr>
        <w:rPr>
          <w:rFonts w:hint="eastAsia" w:ascii="宋体" w:hAnsi="宋体" w:eastAsia="宋体" w:cs="宋体"/>
          <w:sz w:val="44"/>
          <w:szCs w:val="44"/>
          <w:highlight w:val="none"/>
          <w:lang w:val="zh-CN"/>
        </w:rPr>
      </w:pPr>
      <w:r>
        <w:rPr>
          <w:rFonts w:hint="eastAsia" w:ascii="宋体" w:hAnsi="宋体" w:eastAsia="宋体" w:cs="宋体"/>
          <w:sz w:val="44"/>
          <w:szCs w:val="44"/>
          <w:highlight w:val="none"/>
          <w:lang w:val="zh-CN"/>
        </w:rPr>
        <w:br w:type="page"/>
      </w:r>
    </w:p>
    <w:p w14:paraId="0CC2314B">
      <w:pPr>
        <w:spacing w:line="360" w:lineRule="auto"/>
        <w:jc w:val="center"/>
        <w:outlineLvl w:val="0"/>
        <w:rPr>
          <w:rFonts w:hint="eastAsia" w:ascii="宋体" w:hAnsi="宋体" w:eastAsia="宋体" w:cs="宋体"/>
          <w:sz w:val="44"/>
          <w:szCs w:val="44"/>
          <w:highlight w:val="none"/>
          <w:lang w:val="zh-CN"/>
        </w:rPr>
      </w:pPr>
      <w:r>
        <w:rPr>
          <w:rFonts w:hint="eastAsia" w:ascii="宋体" w:hAnsi="宋体" w:eastAsia="宋体" w:cs="宋体"/>
          <w:sz w:val="44"/>
          <w:szCs w:val="44"/>
          <w:highlight w:val="none"/>
          <w:lang w:val="zh-CN"/>
        </w:rPr>
        <w:t>目 录</w:t>
      </w:r>
    </w:p>
    <w:p w14:paraId="43A98C25">
      <w:pPr>
        <w:spacing w:line="360" w:lineRule="auto"/>
        <w:ind w:firstLine="556"/>
        <w:rPr>
          <w:rFonts w:hint="eastAsia" w:ascii="宋体" w:hAnsi="宋体" w:eastAsia="宋体" w:cs="宋体"/>
          <w:sz w:val="32"/>
          <w:szCs w:val="32"/>
          <w:highlight w:val="none"/>
        </w:rPr>
      </w:pPr>
    </w:p>
    <w:p w14:paraId="571BC4DC">
      <w:pPr>
        <w:spacing w:line="360" w:lineRule="auto"/>
        <w:ind w:firstLine="556"/>
        <w:rPr>
          <w:rFonts w:hint="eastAsia" w:ascii="宋体" w:hAnsi="宋体" w:eastAsia="宋体" w:cs="宋体"/>
          <w:sz w:val="32"/>
          <w:szCs w:val="32"/>
          <w:highlight w:val="none"/>
        </w:rPr>
      </w:pPr>
    </w:p>
    <w:p w14:paraId="3D542E1F">
      <w:pPr>
        <w:spacing w:line="360" w:lineRule="auto"/>
        <w:ind w:firstLine="556"/>
        <w:rPr>
          <w:rFonts w:hint="eastAsia" w:ascii="宋体" w:hAnsi="宋体" w:eastAsia="宋体" w:cs="宋体"/>
          <w:sz w:val="32"/>
          <w:szCs w:val="32"/>
          <w:highlight w:val="none"/>
        </w:rPr>
      </w:pPr>
      <w:r>
        <w:rPr>
          <w:rFonts w:hint="eastAsia" w:ascii="宋体" w:hAnsi="宋体" w:eastAsia="宋体" w:cs="宋体"/>
          <w:sz w:val="32"/>
          <w:szCs w:val="32"/>
          <w:highlight w:val="none"/>
        </w:rPr>
        <w:t>第一部分  竞争性谈判公告</w:t>
      </w:r>
    </w:p>
    <w:p w14:paraId="6B058762">
      <w:pPr>
        <w:spacing w:line="360" w:lineRule="auto"/>
        <w:ind w:firstLine="556"/>
        <w:rPr>
          <w:rFonts w:hint="eastAsia" w:ascii="宋体" w:hAnsi="宋体" w:eastAsia="宋体" w:cs="宋体"/>
          <w:sz w:val="32"/>
          <w:szCs w:val="32"/>
          <w:highlight w:val="none"/>
        </w:rPr>
      </w:pPr>
      <w:r>
        <w:rPr>
          <w:rFonts w:hint="eastAsia" w:ascii="宋体" w:hAnsi="宋体" w:eastAsia="宋体" w:cs="宋体"/>
          <w:sz w:val="32"/>
          <w:szCs w:val="32"/>
          <w:highlight w:val="none"/>
        </w:rPr>
        <w:t>第二部分  谈判须知</w:t>
      </w:r>
    </w:p>
    <w:p w14:paraId="7EC275F4">
      <w:pPr>
        <w:spacing w:line="360" w:lineRule="auto"/>
        <w:ind w:firstLine="537"/>
        <w:rPr>
          <w:rFonts w:hint="eastAsia" w:ascii="宋体" w:hAnsi="宋体" w:eastAsia="宋体" w:cs="宋体"/>
          <w:sz w:val="32"/>
          <w:szCs w:val="32"/>
          <w:highlight w:val="none"/>
        </w:rPr>
      </w:pPr>
      <w:r>
        <w:rPr>
          <w:rFonts w:hint="eastAsia" w:ascii="宋体" w:hAnsi="宋体" w:eastAsia="宋体" w:cs="宋体"/>
          <w:sz w:val="32"/>
          <w:szCs w:val="32"/>
          <w:highlight w:val="none"/>
        </w:rPr>
        <w:t>第三部分  项目需求</w:t>
      </w:r>
    </w:p>
    <w:p w14:paraId="49BCF197">
      <w:pPr>
        <w:spacing w:line="360" w:lineRule="auto"/>
        <w:ind w:firstLine="537"/>
        <w:rPr>
          <w:rFonts w:hint="eastAsia" w:ascii="宋体" w:hAnsi="宋体" w:eastAsia="宋体" w:cs="宋体"/>
          <w:sz w:val="32"/>
          <w:szCs w:val="32"/>
          <w:highlight w:val="none"/>
        </w:rPr>
      </w:pPr>
      <w:r>
        <w:rPr>
          <w:rFonts w:hint="eastAsia" w:ascii="宋体" w:hAnsi="宋体" w:eastAsia="宋体" w:cs="宋体"/>
          <w:sz w:val="32"/>
          <w:szCs w:val="32"/>
          <w:highlight w:val="none"/>
        </w:rPr>
        <w:t>第四部分  评审方法和评审标准</w:t>
      </w:r>
    </w:p>
    <w:p w14:paraId="25AF5E4A">
      <w:pPr>
        <w:spacing w:line="360" w:lineRule="auto"/>
        <w:ind w:firstLine="556"/>
        <w:rPr>
          <w:rFonts w:hint="eastAsia" w:ascii="宋体" w:hAnsi="宋体" w:eastAsia="宋体" w:cs="宋体"/>
          <w:sz w:val="32"/>
          <w:szCs w:val="32"/>
          <w:highlight w:val="none"/>
        </w:rPr>
      </w:pPr>
      <w:r>
        <w:rPr>
          <w:rFonts w:hint="eastAsia" w:ascii="宋体" w:hAnsi="宋体" w:eastAsia="宋体" w:cs="宋体"/>
          <w:sz w:val="32"/>
          <w:szCs w:val="32"/>
          <w:highlight w:val="none"/>
        </w:rPr>
        <w:t>第五部分  响应文件格式</w:t>
      </w:r>
    </w:p>
    <w:p w14:paraId="784553E0">
      <w:pPr>
        <w:tabs>
          <w:tab w:val="left" w:pos="7740"/>
        </w:tabs>
        <w:spacing w:line="500" w:lineRule="exact"/>
        <w:rPr>
          <w:rFonts w:hint="eastAsia" w:ascii="宋体" w:hAnsi="宋体" w:eastAsia="宋体" w:cs="宋体"/>
          <w:bCs/>
          <w:sz w:val="32"/>
          <w:szCs w:val="32"/>
          <w:highlight w:val="none"/>
        </w:rPr>
      </w:pPr>
    </w:p>
    <w:p w14:paraId="6B3B2194">
      <w:pPr>
        <w:tabs>
          <w:tab w:val="left" w:pos="7740"/>
        </w:tabs>
        <w:spacing w:line="500" w:lineRule="exact"/>
        <w:rPr>
          <w:rFonts w:hint="eastAsia" w:ascii="宋体" w:hAnsi="宋体" w:eastAsia="宋体" w:cs="宋体"/>
          <w:bCs/>
          <w:sz w:val="32"/>
          <w:szCs w:val="32"/>
          <w:highlight w:val="none"/>
        </w:rPr>
      </w:pPr>
    </w:p>
    <w:p w14:paraId="5D5DBC6D">
      <w:pPr>
        <w:spacing w:line="500" w:lineRule="exact"/>
        <w:jc w:val="center"/>
        <w:rPr>
          <w:rFonts w:hint="eastAsia" w:ascii="宋体" w:hAnsi="宋体" w:eastAsia="宋体" w:cs="宋体"/>
          <w:b/>
          <w:bCs/>
          <w:sz w:val="36"/>
          <w:szCs w:val="36"/>
          <w:highlight w:val="none"/>
          <w:lang w:val="zh-CN"/>
        </w:rPr>
      </w:pPr>
    </w:p>
    <w:p w14:paraId="56643867">
      <w:pPr>
        <w:spacing w:line="500" w:lineRule="exact"/>
        <w:rPr>
          <w:rFonts w:hint="eastAsia" w:ascii="宋体" w:hAnsi="宋体" w:eastAsia="宋体" w:cs="宋体"/>
          <w:b/>
          <w:bCs/>
          <w:sz w:val="36"/>
          <w:szCs w:val="36"/>
          <w:highlight w:val="none"/>
          <w:lang w:val="zh-CN"/>
        </w:rPr>
      </w:pPr>
    </w:p>
    <w:p w14:paraId="75E67112">
      <w:pPr>
        <w:spacing w:line="500" w:lineRule="exact"/>
        <w:jc w:val="center"/>
        <w:rPr>
          <w:rFonts w:hint="eastAsia" w:ascii="宋体" w:hAnsi="宋体" w:eastAsia="宋体" w:cs="宋体"/>
          <w:b/>
          <w:bCs/>
          <w:sz w:val="36"/>
          <w:szCs w:val="36"/>
          <w:highlight w:val="none"/>
          <w:lang w:val="zh-CN"/>
        </w:rPr>
      </w:pPr>
    </w:p>
    <w:p w14:paraId="5D11719C">
      <w:pPr>
        <w:spacing w:line="500" w:lineRule="exact"/>
        <w:jc w:val="center"/>
        <w:rPr>
          <w:rFonts w:hint="eastAsia" w:ascii="宋体" w:hAnsi="宋体" w:eastAsia="宋体" w:cs="宋体"/>
          <w:b/>
          <w:bCs/>
          <w:sz w:val="36"/>
          <w:szCs w:val="36"/>
          <w:highlight w:val="none"/>
          <w:lang w:val="zh-CN"/>
        </w:rPr>
      </w:pPr>
    </w:p>
    <w:p w14:paraId="6E3A0D14">
      <w:pPr>
        <w:spacing w:line="500" w:lineRule="exact"/>
        <w:jc w:val="center"/>
        <w:rPr>
          <w:rFonts w:hint="eastAsia" w:ascii="宋体" w:hAnsi="宋体" w:eastAsia="宋体" w:cs="宋体"/>
          <w:b/>
          <w:bCs/>
          <w:sz w:val="36"/>
          <w:szCs w:val="36"/>
          <w:highlight w:val="none"/>
          <w:lang w:val="zh-CN"/>
        </w:rPr>
      </w:pPr>
    </w:p>
    <w:p w14:paraId="6C0A3111">
      <w:pPr>
        <w:spacing w:line="500" w:lineRule="exact"/>
        <w:jc w:val="center"/>
        <w:rPr>
          <w:rFonts w:hint="eastAsia" w:ascii="宋体" w:hAnsi="宋体" w:eastAsia="宋体" w:cs="宋体"/>
          <w:b/>
          <w:bCs/>
          <w:sz w:val="36"/>
          <w:szCs w:val="36"/>
          <w:highlight w:val="none"/>
          <w:lang w:val="zh-CN"/>
        </w:rPr>
      </w:pPr>
    </w:p>
    <w:p w14:paraId="7F21479D">
      <w:pPr>
        <w:spacing w:line="500" w:lineRule="exact"/>
        <w:jc w:val="center"/>
        <w:rPr>
          <w:rFonts w:hint="eastAsia" w:ascii="宋体" w:hAnsi="宋体" w:eastAsia="宋体" w:cs="宋体"/>
          <w:b/>
          <w:bCs/>
          <w:sz w:val="36"/>
          <w:szCs w:val="36"/>
          <w:highlight w:val="none"/>
          <w:lang w:val="zh-CN"/>
        </w:rPr>
      </w:pPr>
    </w:p>
    <w:p w14:paraId="477268E7">
      <w:pPr>
        <w:spacing w:line="500" w:lineRule="exact"/>
        <w:jc w:val="center"/>
        <w:rPr>
          <w:rFonts w:hint="eastAsia" w:ascii="宋体" w:hAnsi="宋体" w:eastAsia="宋体" w:cs="宋体"/>
          <w:b/>
          <w:bCs/>
          <w:sz w:val="36"/>
          <w:szCs w:val="36"/>
          <w:highlight w:val="none"/>
          <w:lang w:val="zh-CN"/>
        </w:rPr>
      </w:pPr>
    </w:p>
    <w:p w14:paraId="332CDB70">
      <w:pPr>
        <w:spacing w:line="500" w:lineRule="exact"/>
        <w:jc w:val="center"/>
        <w:rPr>
          <w:rFonts w:hint="eastAsia" w:ascii="宋体" w:hAnsi="宋体" w:eastAsia="宋体" w:cs="宋体"/>
          <w:b/>
          <w:bCs/>
          <w:sz w:val="36"/>
          <w:szCs w:val="36"/>
          <w:highlight w:val="none"/>
          <w:lang w:val="zh-CN"/>
        </w:rPr>
      </w:pPr>
    </w:p>
    <w:p w14:paraId="69F674EB">
      <w:pPr>
        <w:spacing w:line="500" w:lineRule="exact"/>
        <w:jc w:val="center"/>
        <w:rPr>
          <w:rFonts w:hint="eastAsia" w:ascii="宋体" w:hAnsi="宋体" w:eastAsia="宋体" w:cs="宋体"/>
          <w:b/>
          <w:bCs/>
          <w:sz w:val="36"/>
          <w:szCs w:val="36"/>
          <w:highlight w:val="none"/>
          <w:lang w:val="zh-CN"/>
        </w:rPr>
      </w:pPr>
    </w:p>
    <w:p w14:paraId="7F23B1D1">
      <w:pPr>
        <w:spacing w:line="500" w:lineRule="exact"/>
        <w:jc w:val="center"/>
        <w:rPr>
          <w:rFonts w:hint="eastAsia" w:ascii="宋体" w:hAnsi="宋体" w:eastAsia="宋体" w:cs="宋体"/>
          <w:b/>
          <w:bCs/>
          <w:sz w:val="36"/>
          <w:szCs w:val="36"/>
          <w:highlight w:val="none"/>
          <w:lang w:val="zh-CN"/>
        </w:rPr>
      </w:pPr>
    </w:p>
    <w:p w14:paraId="7CEF9B48">
      <w:pPr>
        <w:spacing w:line="500" w:lineRule="exact"/>
        <w:jc w:val="center"/>
        <w:rPr>
          <w:rFonts w:hint="eastAsia" w:ascii="宋体" w:hAnsi="宋体" w:eastAsia="宋体" w:cs="宋体"/>
          <w:b/>
          <w:bCs/>
          <w:sz w:val="36"/>
          <w:szCs w:val="36"/>
          <w:highlight w:val="none"/>
          <w:lang w:val="zh-CN"/>
        </w:rPr>
      </w:pPr>
    </w:p>
    <w:p w14:paraId="75D3DD5D">
      <w:pPr>
        <w:spacing w:line="500" w:lineRule="exact"/>
        <w:rPr>
          <w:rFonts w:hint="eastAsia" w:ascii="宋体" w:hAnsi="宋体" w:eastAsia="宋体" w:cs="宋体"/>
          <w:b/>
          <w:bCs/>
          <w:sz w:val="36"/>
          <w:szCs w:val="36"/>
          <w:highlight w:val="none"/>
          <w:lang w:val="zh-CN"/>
        </w:rPr>
      </w:pPr>
    </w:p>
    <w:p w14:paraId="7CDB46F6">
      <w:pPr>
        <w:spacing w:line="500" w:lineRule="exact"/>
        <w:jc w:val="center"/>
        <w:outlineLvl w:val="0"/>
        <w:rPr>
          <w:rFonts w:hint="eastAsia" w:ascii="宋体" w:hAnsi="宋体" w:eastAsia="宋体" w:cs="宋体"/>
          <w:sz w:val="36"/>
          <w:szCs w:val="36"/>
          <w:highlight w:val="none"/>
        </w:rPr>
      </w:pPr>
    </w:p>
    <w:p w14:paraId="3B32F7F4">
      <w:pPr>
        <w:spacing w:line="500" w:lineRule="exact"/>
        <w:jc w:val="center"/>
        <w:outlineLvl w:val="0"/>
        <w:rPr>
          <w:rFonts w:hint="eastAsia" w:ascii="宋体" w:hAnsi="宋体" w:eastAsia="宋体" w:cs="宋体"/>
          <w:sz w:val="36"/>
          <w:szCs w:val="36"/>
          <w:highlight w:val="none"/>
          <w:lang w:val="zh-CN"/>
        </w:rPr>
      </w:pPr>
    </w:p>
    <w:p w14:paraId="4970C1CF">
      <w:pPr>
        <w:spacing w:line="500" w:lineRule="exact"/>
        <w:jc w:val="center"/>
        <w:outlineLvl w:val="0"/>
        <w:rPr>
          <w:rFonts w:hint="eastAsia" w:ascii="宋体" w:hAnsi="宋体" w:eastAsia="宋体" w:cs="宋体"/>
          <w:sz w:val="36"/>
          <w:szCs w:val="36"/>
          <w:highlight w:val="none"/>
          <w:lang w:val="zh-CN"/>
        </w:rPr>
      </w:pPr>
      <w:r>
        <w:rPr>
          <w:rFonts w:hint="eastAsia" w:ascii="宋体" w:hAnsi="宋体" w:eastAsia="宋体" w:cs="宋体"/>
          <w:sz w:val="36"/>
          <w:szCs w:val="36"/>
          <w:highlight w:val="none"/>
          <w:lang w:val="zh-CN"/>
        </w:rPr>
        <w:t>第一部分  竞争性谈判公告</w:t>
      </w:r>
    </w:p>
    <w:p w14:paraId="64904ACA">
      <w:pPr>
        <w:keepNext w:val="0"/>
        <w:keepLines w:val="0"/>
        <w:pageBreakBefore w:val="0"/>
        <w:widowControl w:val="0"/>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受[启东市交通事业发展中心]的委托，</w:t>
      </w:r>
      <w:r>
        <w:rPr>
          <w:rFonts w:hint="eastAsia" w:ascii="宋体" w:hAnsi="宋体" w:cs="宋体"/>
          <w:sz w:val="28"/>
          <w:szCs w:val="28"/>
          <w:highlight w:val="none"/>
          <w:lang w:val="en-US" w:eastAsia="zh-CN"/>
        </w:rPr>
        <w:t>江苏睿致诚工程咨询有限公司</w:t>
      </w:r>
      <w:r>
        <w:rPr>
          <w:rFonts w:hint="eastAsia" w:ascii="宋体" w:hAnsi="宋体" w:eastAsia="宋体" w:cs="宋体"/>
          <w:sz w:val="28"/>
          <w:szCs w:val="28"/>
          <w:highlight w:val="none"/>
        </w:rPr>
        <w:t>就[</w:t>
      </w:r>
      <w:r>
        <w:rPr>
          <w:rFonts w:hint="eastAsia" w:ascii="宋体" w:hAnsi="宋体" w:eastAsia="宋体" w:cs="宋体"/>
          <w:sz w:val="28"/>
          <w:szCs w:val="28"/>
          <w:highlight w:val="none"/>
          <w:lang w:eastAsia="zh-CN"/>
        </w:rPr>
        <w:t>启东市王海、南海、通海、</w:t>
      </w:r>
      <w:r>
        <w:rPr>
          <w:rFonts w:hint="eastAsia" w:ascii="宋体" w:hAnsi="宋体" w:cs="宋体"/>
          <w:sz w:val="28"/>
          <w:szCs w:val="28"/>
          <w:highlight w:val="none"/>
          <w:lang w:eastAsia="zh-CN"/>
        </w:rPr>
        <w:t>S255(S221)</w:t>
      </w:r>
      <w:r>
        <w:rPr>
          <w:rFonts w:hint="eastAsia" w:ascii="宋体" w:hAnsi="宋体" w:eastAsia="宋体" w:cs="宋体"/>
          <w:sz w:val="28"/>
          <w:szCs w:val="28"/>
          <w:highlight w:val="none"/>
          <w:lang w:eastAsia="zh-CN"/>
        </w:rPr>
        <w:t>、S336线（城东三角地块）等绿化养护项目</w:t>
      </w:r>
      <w:r>
        <w:rPr>
          <w:rFonts w:hint="eastAsia" w:ascii="宋体" w:hAnsi="宋体" w:eastAsia="宋体" w:cs="宋体"/>
          <w:sz w:val="28"/>
          <w:szCs w:val="28"/>
          <w:highlight w:val="none"/>
        </w:rPr>
        <w:t>](项目编号:</w:t>
      </w:r>
      <w:r>
        <w:rPr>
          <w:rFonts w:hint="eastAsia" w:ascii="宋体" w:hAnsi="宋体" w:cs="宋体"/>
          <w:sz w:val="28"/>
          <w:szCs w:val="28"/>
          <w:highlight w:val="none"/>
          <w:lang w:val="en-US" w:eastAsia="zh-CN"/>
        </w:rPr>
        <w:t>JSZC-320681-SRZC-T2026-0006</w:t>
      </w:r>
      <w:r>
        <w:rPr>
          <w:rFonts w:hint="eastAsia" w:ascii="宋体" w:hAnsi="宋体" w:eastAsia="宋体" w:cs="宋体"/>
          <w:sz w:val="28"/>
          <w:szCs w:val="28"/>
          <w:highlight w:val="none"/>
        </w:rPr>
        <w:t>)进行竞争性谈判采购，欢迎符合条件的供应商参加谈判。</w:t>
      </w:r>
    </w:p>
    <w:p w14:paraId="43AA3C9E">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项目概况</w:t>
      </w:r>
    </w:p>
    <w:p w14:paraId="6831D089">
      <w:pPr>
        <w:pBdr>
          <w:top w:val="single" w:color="000000" w:sz="4" w:space="1"/>
          <w:left w:val="single" w:color="000000" w:sz="4" w:space="1"/>
          <w:bottom w:val="single" w:color="000000" w:sz="4" w:space="1"/>
          <w:right w:val="single" w:color="000000" w:sz="4" w:space="4"/>
        </w:pBd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w:t>
      </w:r>
      <w:r>
        <w:rPr>
          <w:rFonts w:hint="eastAsia" w:ascii="宋体" w:hAnsi="宋体" w:eastAsia="宋体" w:cs="宋体"/>
          <w:sz w:val="28"/>
          <w:szCs w:val="28"/>
          <w:highlight w:val="none"/>
          <w:lang w:eastAsia="zh-CN"/>
        </w:rPr>
        <w:t>启东市王海、南海、通海、</w:t>
      </w:r>
      <w:r>
        <w:rPr>
          <w:rFonts w:hint="eastAsia" w:ascii="宋体" w:hAnsi="宋体" w:cs="宋体"/>
          <w:sz w:val="28"/>
          <w:szCs w:val="28"/>
          <w:highlight w:val="none"/>
          <w:lang w:eastAsia="zh-CN"/>
        </w:rPr>
        <w:t>S255(S221)</w:t>
      </w:r>
      <w:r>
        <w:rPr>
          <w:rFonts w:hint="eastAsia" w:ascii="宋体" w:hAnsi="宋体" w:eastAsia="宋体" w:cs="宋体"/>
          <w:sz w:val="28"/>
          <w:szCs w:val="28"/>
          <w:highlight w:val="none"/>
          <w:lang w:eastAsia="zh-CN"/>
        </w:rPr>
        <w:t>、S336线（城东三角地块）等绿化养护项目</w:t>
      </w:r>
      <w:r>
        <w:rPr>
          <w:rFonts w:hint="eastAsia" w:ascii="宋体" w:hAnsi="宋体" w:eastAsia="宋体" w:cs="宋体"/>
          <w:sz w:val="28"/>
          <w:szCs w:val="28"/>
          <w:highlight w:val="none"/>
        </w:rPr>
        <w:t>]的潜在供应商应在江苏政府采购网获取采购文件，并于</w:t>
      </w:r>
      <w:r>
        <w:rPr>
          <w:rFonts w:hint="eastAsia" w:ascii="宋体" w:hAnsi="宋体" w:eastAsia="宋体" w:cs="宋体"/>
          <w:sz w:val="28"/>
          <w:szCs w:val="28"/>
          <w:highlight w:val="none"/>
          <w:lang w:val="en-US" w:eastAsia="zh-CN"/>
        </w:rPr>
        <w:t>2026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28</w:t>
      </w:r>
      <w:r>
        <w:rPr>
          <w:rFonts w:hint="eastAsia" w:ascii="宋体" w:hAnsi="宋体" w:eastAsia="宋体" w:cs="宋体"/>
          <w:sz w:val="28"/>
          <w:szCs w:val="28"/>
          <w:highlight w:val="none"/>
        </w:rPr>
        <w:t>日9点</w:t>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0分（北京时间）前提交响应文件。</w:t>
      </w:r>
    </w:p>
    <w:p w14:paraId="5D5F1EA8">
      <w:pPr>
        <w:widowControl/>
        <w:shd w:val="clear" w:color="auto" w:fill="FFFFFF"/>
        <w:spacing w:line="500" w:lineRule="exact"/>
        <w:ind w:firstLine="578"/>
        <w:rPr>
          <w:rFonts w:hint="eastAsia" w:ascii="宋体" w:hAnsi="宋体" w:eastAsia="宋体" w:cs="宋体"/>
          <w:b/>
          <w:spacing w:val="7"/>
          <w:sz w:val="28"/>
          <w:szCs w:val="28"/>
          <w:highlight w:val="none"/>
        </w:rPr>
      </w:pPr>
      <w:r>
        <w:rPr>
          <w:rFonts w:hint="eastAsia" w:ascii="宋体" w:hAnsi="宋体" w:eastAsia="宋体" w:cs="宋体"/>
          <w:b/>
          <w:spacing w:val="7"/>
          <w:sz w:val="28"/>
          <w:szCs w:val="28"/>
          <w:highlight w:val="none"/>
        </w:rPr>
        <w:t>一、项目基本情况</w:t>
      </w:r>
    </w:p>
    <w:p w14:paraId="640EED5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项目编号：JSZC-320681-SRZC-T2026-0006</w:t>
      </w:r>
    </w:p>
    <w:p w14:paraId="09FDA66C">
      <w:pPr>
        <w:spacing w:line="500" w:lineRule="exact"/>
        <w:ind w:firstLine="560"/>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项目名称：</w:t>
      </w:r>
      <w:r>
        <w:rPr>
          <w:rFonts w:hint="eastAsia" w:ascii="宋体" w:hAnsi="宋体" w:eastAsia="宋体" w:cs="宋体"/>
          <w:sz w:val="28"/>
          <w:szCs w:val="28"/>
          <w:highlight w:val="none"/>
          <w:lang w:eastAsia="zh-CN"/>
        </w:rPr>
        <w:t>启东市王海、南海、通海、</w:t>
      </w:r>
      <w:r>
        <w:rPr>
          <w:rFonts w:hint="eastAsia" w:ascii="宋体" w:hAnsi="宋体" w:cs="宋体"/>
          <w:sz w:val="28"/>
          <w:szCs w:val="28"/>
          <w:highlight w:val="none"/>
          <w:lang w:eastAsia="zh-CN"/>
        </w:rPr>
        <w:t>S255(S221)</w:t>
      </w:r>
      <w:r>
        <w:rPr>
          <w:rFonts w:hint="eastAsia" w:ascii="宋体" w:hAnsi="宋体" w:eastAsia="宋体" w:cs="宋体"/>
          <w:sz w:val="28"/>
          <w:szCs w:val="28"/>
          <w:highlight w:val="none"/>
          <w:lang w:eastAsia="zh-CN"/>
        </w:rPr>
        <w:t>、S336线（城东三角地块）等绿化养护项目</w:t>
      </w:r>
    </w:p>
    <w:p w14:paraId="4CDA12E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项目类型：服务</w:t>
      </w:r>
    </w:p>
    <w:p w14:paraId="71BFF11B">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所属行业：</w:t>
      </w:r>
      <w:r>
        <w:rPr>
          <w:rFonts w:hint="eastAsia" w:ascii="宋体" w:hAnsi="宋体" w:eastAsia="宋体" w:cs="宋体"/>
          <w:sz w:val="28"/>
          <w:szCs w:val="28"/>
          <w:highlight w:val="none"/>
          <w:lang w:val="en-US" w:eastAsia="zh-CN"/>
        </w:rPr>
        <w:t>其他未列明行业</w:t>
      </w:r>
    </w:p>
    <w:p w14:paraId="4A359B4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预算金额：</w:t>
      </w:r>
      <w:r>
        <w:rPr>
          <w:rFonts w:hint="eastAsia" w:ascii="宋体" w:hAnsi="宋体" w:cs="宋体"/>
          <w:sz w:val="28"/>
          <w:szCs w:val="28"/>
          <w:highlight w:val="none"/>
          <w:lang w:val="en-US" w:eastAsia="zh-CN"/>
        </w:rPr>
        <w:t>295</w:t>
      </w:r>
      <w:r>
        <w:rPr>
          <w:rFonts w:hint="eastAsia" w:ascii="宋体" w:hAnsi="宋体" w:eastAsia="宋体" w:cs="宋体"/>
          <w:sz w:val="28"/>
          <w:szCs w:val="28"/>
          <w:highlight w:val="none"/>
        </w:rPr>
        <w:t>万元</w:t>
      </w:r>
    </w:p>
    <w:p w14:paraId="5A3B7B7D">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最高限价：</w:t>
      </w:r>
      <w:r>
        <w:rPr>
          <w:rFonts w:hint="eastAsia" w:ascii="宋体" w:hAnsi="宋体" w:cs="宋体"/>
          <w:sz w:val="28"/>
          <w:szCs w:val="28"/>
          <w:highlight w:val="none"/>
          <w:lang w:val="en-US" w:eastAsia="zh-CN"/>
        </w:rPr>
        <w:t>295</w:t>
      </w:r>
      <w:r>
        <w:rPr>
          <w:rFonts w:hint="eastAsia" w:ascii="宋体" w:hAnsi="宋体" w:eastAsia="宋体" w:cs="宋体"/>
          <w:sz w:val="28"/>
          <w:szCs w:val="28"/>
          <w:highlight w:val="none"/>
          <w:lang w:val="en-US" w:eastAsia="zh-CN"/>
        </w:rPr>
        <w:t>万元，投标报价超过最高限价的视为无效。</w:t>
      </w:r>
    </w:p>
    <w:p w14:paraId="5A2BE2E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采购需求：详见谈判文件，请仔细研究。</w:t>
      </w:r>
    </w:p>
    <w:p w14:paraId="148890B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合同履行期限：详见谈判文件第三部分项目需求。</w:t>
      </w:r>
    </w:p>
    <w:p w14:paraId="49518F2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本项目是否接受联合体响应：否。</w:t>
      </w:r>
    </w:p>
    <w:p w14:paraId="62E661D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本项目是否接受分包：否。</w:t>
      </w:r>
    </w:p>
    <w:p w14:paraId="27A13EBD">
      <w:pPr>
        <w:spacing w:line="50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二、供应商的资格要求：</w:t>
      </w:r>
    </w:p>
    <w:p w14:paraId="038B0CB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1.满足《中华人民共和国政府采购法》第二十二条规定。</w:t>
      </w:r>
    </w:p>
    <w:p w14:paraId="372E7F7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落实政府采购政策需满足的资格要求：本项目属于专门面向中小企业采购的项目（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p>
    <w:p w14:paraId="148398B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3.本项目的特定资格要求：</w:t>
      </w:r>
    </w:p>
    <w:p w14:paraId="6578F4D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p>
    <w:p w14:paraId="50D287E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（2）供应商具有有效的营业执照；</w:t>
      </w:r>
    </w:p>
    <w:p w14:paraId="7EDA9CA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（3）自2023年1月1日以来（以交/竣/完工时间为准或移交单时间为准），供应商承担过绿化工程施工（承包范围内须含绿化养护）或承担过绿化工程纯养护业绩。</w:t>
      </w:r>
    </w:p>
    <w:p w14:paraId="4057001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（4）拟派项目经理要求：具有①园林绿化或园林绿化相关专业中级及以上职称②园林绿化施工管理 5 年以上工作经历③拟派项目负责人业绩：自2023年1月1日以来（以交/竣/完工时间为准或移交单时间为准），担任过绿化工程施工（承包范围内须含绿化养护）或担任过绿化工程纯养护业绩的项目负责人④供应商所在地社保机构出具的由供应商为拟派项目经理缴纳的本竞争性谈判公告发布之日前三个月内任意一个月的养老保险缴费证明。（必须体现该人姓名，由当地社保机构出具，并加盖印章。如已实行网上直接打印的地区，可提供网上彩打材料，但必须注明查询网址及查询方式）。</w:t>
      </w:r>
      <w:bookmarkStart w:id="85" w:name="_GoBack"/>
      <w:bookmarkEnd w:id="85"/>
    </w:p>
    <w:p w14:paraId="1C4EEFCE">
      <w:pPr>
        <w:spacing w:line="500" w:lineRule="exact"/>
        <w:ind w:firstLine="56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①园林及相关专业：包括园林（含园林规划设计、园林植物、风景园林、园林绿化等）、园艺、城市规划、景观、植物（含植保、森保等）、风景旅游、环境艺术等专业。②工作经历按实际从事专业管理工作时间起算，以园林绿化及相关专业学历证书颁发时间或其最早参与园林绿化工程施工现场管理的工程竣工资料确定。③业绩证明须同时提供中标通知书（或成交通知书或直接发包登记表，下同）、施工合同、工程交/竣/完工验收证明或移交单三项证明材料，交/竣/完工验收证明或移交单须同时有建设单位、施工单位（养护单位）的盖章。</w:t>
      </w:r>
    </w:p>
    <w:p w14:paraId="20CE017E">
      <w:pPr>
        <w:spacing w:line="50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三、获取采购文件</w:t>
      </w:r>
    </w:p>
    <w:p w14:paraId="29EF08C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时间：自本公告发布之日起至</w:t>
      </w:r>
      <w:r>
        <w:rPr>
          <w:rFonts w:hint="eastAsia" w:ascii="宋体" w:hAnsi="宋体" w:eastAsia="宋体" w:cs="宋体"/>
          <w:sz w:val="28"/>
          <w:szCs w:val="28"/>
          <w:highlight w:val="none"/>
          <w:lang w:val="en-US" w:eastAsia="zh-CN"/>
        </w:rPr>
        <w:t>2026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28</w:t>
      </w:r>
      <w:r>
        <w:rPr>
          <w:rFonts w:hint="eastAsia" w:ascii="宋体" w:hAnsi="宋体" w:eastAsia="宋体" w:cs="宋体"/>
          <w:sz w:val="28"/>
          <w:szCs w:val="28"/>
          <w:highlight w:val="none"/>
        </w:rPr>
        <w:t>日9点</w:t>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0分（北京时间）</w:t>
      </w:r>
    </w:p>
    <w:p w14:paraId="1665FDE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地点：江苏政府采购网（网上注册登记成功后系统内免费下载）</w:t>
      </w:r>
    </w:p>
    <w:p w14:paraId="0BAD8B9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方式：本项目采用网上注册登记方式。</w:t>
      </w:r>
    </w:p>
    <w:p w14:paraId="6F08996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潜在供应商访问电子招标响应交易平台的网络地址和方法：</w:t>
      </w:r>
    </w:p>
    <w:p w14:paraId="1C14279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p>
    <w:p w14:paraId="152982E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潜在供应商访问“苏采云”系统的网络地址和方法：“苏采云”系统的网址：http://jszfcg.jsczt.cn/。</w:t>
      </w:r>
    </w:p>
    <w:p w14:paraId="31E1CDF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“CA数字证书”的获取：</w:t>
      </w:r>
    </w:p>
    <w:p w14:paraId="37B99E1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p>
    <w:p w14:paraId="0CD47E1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采购文件（后缀名为“.kedt”）、供应商操作指南及政府采购客户端工具可通过“苏采云”系统--已报名项目--报名详情页面内相应链接进行下载。</w:t>
      </w:r>
    </w:p>
    <w:p w14:paraId="38B93EC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招标代理机构（采购代理机构）将数据电文形式的采购文件加载至“苏采云”系统，供潜在供应商下载或者查阅。</w:t>
      </w:r>
    </w:p>
    <w:p w14:paraId="1483498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请潜在响应单位提前安装相应的控件（详见《江苏省政府采购管理交易系统（苏采云）供应商操作指南》）并使用谷歌浏览器登录“苏采云”系统参与不见面开评标。</w:t>
      </w:r>
    </w:p>
    <w:p w14:paraId="28276FBE">
      <w:pPr>
        <w:spacing w:line="50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注：如潜在供应商未按上述要求操作，将自行承担所产生的风险。</w:t>
      </w:r>
    </w:p>
    <w:p w14:paraId="5E3D7B82">
      <w:pPr>
        <w:spacing w:line="50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四、提交响应文件截止时间、谈判时间和地点</w:t>
      </w:r>
    </w:p>
    <w:p w14:paraId="274FD51A">
      <w:pPr>
        <w:spacing w:line="500" w:lineRule="exact"/>
        <w:ind w:firstLine="560"/>
        <w:rPr>
          <w:rFonts w:hint="eastAsia" w:ascii="宋体" w:hAnsi="宋体" w:eastAsia="宋体" w:cs="宋体"/>
          <w:i/>
          <w:sz w:val="28"/>
          <w:szCs w:val="28"/>
          <w:highlight w:val="none"/>
          <w:u w:val="single"/>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2026</w:t>
      </w:r>
      <w:r>
        <w:rPr>
          <w:rFonts w:hint="eastAsia" w:ascii="宋体" w:hAnsi="宋体" w:eastAsia="宋体" w:cs="宋体"/>
          <w:sz w:val="28"/>
          <w:szCs w:val="28"/>
          <w:highlight w:val="none"/>
        </w:rPr>
        <w:t>年</w:t>
      </w:r>
      <w:r>
        <w:rPr>
          <w:rFonts w:hint="eastAsia" w:ascii="宋体" w:hAnsi="宋体" w:cs="宋体"/>
          <w:sz w:val="28"/>
          <w:szCs w:val="28"/>
          <w:highlight w:val="none"/>
          <w:lang w:val="en-US" w:eastAsia="zh-CN"/>
        </w:rPr>
        <w:t>4</w:t>
      </w:r>
      <w:r>
        <w:rPr>
          <w:rFonts w:hint="eastAsia" w:ascii="宋体" w:hAnsi="宋体" w:eastAsia="宋体" w:cs="宋体"/>
          <w:sz w:val="28"/>
          <w:szCs w:val="28"/>
          <w:highlight w:val="none"/>
        </w:rPr>
        <w:t>月</w:t>
      </w:r>
      <w:r>
        <w:rPr>
          <w:rFonts w:hint="eastAsia" w:ascii="宋体" w:hAnsi="宋体" w:cs="宋体"/>
          <w:sz w:val="28"/>
          <w:szCs w:val="28"/>
          <w:highlight w:val="none"/>
          <w:lang w:val="en-US" w:eastAsia="zh-CN"/>
        </w:rPr>
        <w:t>28</w:t>
      </w:r>
      <w:r>
        <w:rPr>
          <w:rFonts w:hint="eastAsia" w:ascii="宋体" w:hAnsi="宋体" w:eastAsia="宋体" w:cs="宋体"/>
          <w:sz w:val="28"/>
          <w:szCs w:val="28"/>
          <w:highlight w:val="none"/>
        </w:rPr>
        <w:t>日9点</w:t>
      </w:r>
      <w:r>
        <w:rPr>
          <w:rFonts w:hint="eastAsia" w:ascii="宋体" w:hAnsi="宋体" w:cs="宋体"/>
          <w:sz w:val="28"/>
          <w:szCs w:val="28"/>
          <w:highlight w:val="none"/>
          <w:lang w:val="en-US" w:eastAsia="zh-CN"/>
        </w:rPr>
        <w:t>3</w:t>
      </w:r>
      <w:r>
        <w:rPr>
          <w:rFonts w:hint="eastAsia" w:ascii="宋体" w:hAnsi="宋体" w:eastAsia="宋体" w:cs="宋体"/>
          <w:sz w:val="28"/>
          <w:szCs w:val="28"/>
          <w:highlight w:val="none"/>
        </w:rPr>
        <w:t>0分（北京时间）</w:t>
      </w:r>
    </w:p>
    <w:p w14:paraId="08F5FCF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逾时，交易系统将拒绝接受上传响应文件电子文档。</w:t>
      </w:r>
    </w:p>
    <w:p w14:paraId="7E44A717">
      <w:pPr>
        <w:spacing w:line="500" w:lineRule="exact"/>
        <w:ind w:firstLine="562"/>
        <w:rPr>
          <w:rFonts w:hint="eastAsia" w:ascii="宋体" w:hAnsi="宋体" w:eastAsia="宋体" w:cs="宋体"/>
          <w:sz w:val="28"/>
          <w:szCs w:val="28"/>
          <w:highlight w:val="none"/>
        </w:rPr>
      </w:pPr>
      <w:r>
        <w:rPr>
          <w:rFonts w:hint="eastAsia" w:ascii="宋体" w:hAnsi="宋体" w:eastAsia="宋体" w:cs="宋体"/>
          <w:b/>
          <w:sz w:val="28"/>
          <w:szCs w:val="28"/>
          <w:highlight w:val="none"/>
        </w:rPr>
        <w:t>注：各供应商请关注开标大厅交流区，在开标结束后，请勿离开开标大厅，待评审进行到价格环节，竞谈小组或项目发起方（代理单位）在“苏采云”系统中发出最后报价指令，各供应商须在“苏采云”系统显示的截止时间内完成系统最后报价。</w:t>
      </w:r>
    </w:p>
    <w:p w14:paraId="06A8695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rPr>
        <w:t>线上开标地点：“苏采云”系统（网址：http://jszfcg.jsczt.cn/）“开标大厅”。</w:t>
      </w:r>
    </w:p>
    <w:p w14:paraId="3A3C12C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76BBB548">
      <w:pPr>
        <w:spacing w:line="50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五、公告期限</w:t>
      </w:r>
    </w:p>
    <w:p w14:paraId="5CD45CB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自本公告发布之日起3个工作日。</w:t>
      </w:r>
    </w:p>
    <w:p w14:paraId="72BA3F6E">
      <w:pPr>
        <w:spacing w:line="500" w:lineRule="exact"/>
        <w:ind w:firstLine="562"/>
        <w:rPr>
          <w:rFonts w:hint="eastAsia" w:ascii="宋体" w:hAnsi="宋体" w:eastAsia="宋体" w:cs="宋体"/>
          <w:b/>
          <w:sz w:val="28"/>
          <w:szCs w:val="28"/>
          <w:highlight w:val="none"/>
        </w:rPr>
      </w:pPr>
      <w:r>
        <w:rPr>
          <w:rFonts w:hint="eastAsia" w:ascii="宋体" w:hAnsi="宋体" w:eastAsia="宋体" w:cs="宋体"/>
          <w:b/>
          <w:sz w:val="28"/>
          <w:szCs w:val="28"/>
          <w:highlight w:val="none"/>
        </w:rPr>
        <w:t>六、其他补充事宜</w:t>
      </w:r>
    </w:p>
    <w:p w14:paraId="5F3C591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rPr>
        <w:t>响应保证金：免收</w:t>
      </w:r>
    </w:p>
    <w:p w14:paraId="6B655BE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rPr>
        <w:t>项目谈判活动模式：不见面远程谈判模式，供应商在各自地点通过“苏采云”系统参加谈判。</w:t>
      </w:r>
    </w:p>
    <w:p w14:paraId="6AE4F07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rPr>
        <w:t>项目演示、样品、答辩等：无。</w:t>
      </w:r>
    </w:p>
    <w:p w14:paraId="5B71B81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对项目需求部分（供应商资格要求、项目需求、商务技术评分标准）的询问、质疑请向采购人提出，由采购人负责答复；对项目谈判文件其他部分的询问请向谈判文件制作人或项目谈判经办人提出；对在“电子交易平台”操作阶段的询问请向交易系统软件维护人员提出。</w:t>
      </w:r>
    </w:p>
    <w:p w14:paraId="58C1A39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rPr>
        <w:t>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14:paraId="6EF72CB9">
      <w:pPr>
        <w:widowControl/>
        <w:shd w:val="clear" w:color="auto" w:fill="FFFFFF"/>
        <w:spacing w:line="500" w:lineRule="exact"/>
        <w:ind w:firstLine="575"/>
        <w:rPr>
          <w:rFonts w:hint="eastAsia" w:ascii="宋体" w:hAnsi="宋体" w:eastAsia="宋体" w:cs="宋体"/>
          <w:b/>
          <w:spacing w:val="7"/>
          <w:sz w:val="28"/>
          <w:szCs w:val="28"/>
          <w:highlight w:val="none"/>
        </w:rPr>
      </w:pPr>
      <w:r>
        <w:rPr>
          <w:rFonts w:hint="eastAsia" w:ascii="宋体" w:hAnsi="宋体" w:eastAsia="宋体" w:cs="宋体"/>
          <w:b/>
          <w:spacing w:val="7"/>
          <w:sz w:val="28"/>
          <w:szCs w:val="28"/>
          <w:highlight w:val="none"/>
        </w:rPr>
        <w:t>七、凡对本次采购提出询问，请按以下方式联系。</w:t>
      </w:r>
    </w:p>
    <w:p w14:paraId="6C1DB06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采购人信息</w:t>
      </w:r>
    </w:p>
    <w:p w14:paraId="5F2ACFC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名  称：启东市交通事业发展中心</w:t>
      </w:r>
    </w:p>
    <w:p w14:paraId="2F171092">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地  址：</w:t>
      </w:r>
      <w:r>
        <w:rPr>
          <w:rFonts w:hint="eastAsia" w:ascii="宋体" w:hAnsi="宋体" w:eastAsia="宋体" w:cs="宋体"/>
          <w:sz w:val="28"/>
          <w:szCs w:val="28"/>
          <w:highlight w:val="none"/>
          <w:lang w:val="en-US" w:eastAsia="zh-CN"/>
        </w:rPr>
        <w:t>启东市金桥路199号</w:t>
      </w:r>
    </w:p>
    <w:p w14:paraId="25120EEB">
      <w:pPr>
        <w:spacing w:line="500" w:lineRule="exact"/>
        <w:ind w:firstLine="56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联系人：倪女士</w:t>
      </w:r>
    </w:p>
    <w:p w14:paraId="0CE2FC11">
      <w:pPr>
        <w:spacing w:line="500" w:lineRule="exact"/>
        <w:ind w:firstLine="56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rPr>
        <w:t>联系方式：0513-833</w:t>
      </w:r>
      <w:r>
        <w:rPr>
          <w:rFonts w:hint="eastAsia" w:ascii="宋体" w:hAnsi="宋体" w:cs="宋体"/>
          <w:sz w:val="28"/>
          <w:szCs w:val="28"/>
          <w:highlight w:val="none"/>
          <w:lang w:val="en-US" w:eastAsia="zh-CN"/>
        </w:rPr>
        <w:t>12502</w:t>
      </w:r>
    </w:p>
    <w:p w14:paraId="7E23011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采购代理机构</w:t>
      </w:r>
    </w:p>
    <w:p w14:paraId="7B85005A">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名  称：</w:t>
      </w:r>
      <w:r>
        <w:rPr>
          <w:rFonts w:hint="eastAsia" w:ascii="宋体" w:hAnsi="宋体" w:eastAsia="宋体" w:cs="宋体"/>
          <w:sz w:val="28"/>
          <w:szCs w:val="28"/>
          <w:highlight w:val="none"/>
          <w:lang w:val="en-US" w:eastAsia="zh-CN"/>
        </w:rPr>
        <w:t>江苏睿致诚工程咨询有限公司</w:t>
      </w:r>
    </w:p>
    <w:p w14:paraId="3A7F571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地  址：南京市江宁区江南路697号金轮星际中心A1栋7楼</w:t>
      </w:r>
    </w:p>
    <w:p w14:paraId="5D79D64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联 系 人：</w:t>
      </w:r>
      <w:r>
        <w:rPr>
          <w:rFonts w:hint="eastAsia" w:ascii="宋体" w:hAnsi="宋体" w:eastAsia="宋体" w:cs="宋体"/>
          <w:sz w:val="28"/>
          <w:szCs w:val="28"/>
          <w:highlight w:val="none"/>
          <w:lang w:val="en-US" w:eastAsia="zh-CN"/>
        </w:rPr>
        <w:t>尹建</w:t>
      </w:r>
      <w:r>
        <w:rPr>
          <w:rFonts w:hint="eastAsia" w:ascii="宋体" w:hAnsi="宋体" w:eastAsia="宋体" w:cs="宋体"/>
          <w:sz w:val="28"/>
          <w:szCs w:val="28"/>
          <w:highlight w:val="none"/>
        </w:rPr>
        <w:t>、陈小龙</w:t>
      </w:r>
    </w:p>
    <w:p w14:paraId="677278E7">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rPr>
        <w:t>联系方式：</w:t>
      </w:r>
      <w:r>
        <w:rPr>
          <w:rFonts w:hint="eastAsia" w:ascii="宋体" w:hAnsi="宋体" w:eastAsia="宋体" w:cs="宋体"/>
          <w:sz w:val="28"/>
          <w:szCs w:val="28"/>
          <w:highlight w:val="none"/>
          <w:lang w:val="en-US" w:eastAsia="zh-CN"/>
        </w:rPr>
        <w:t>18906275357</w:t>
      </w:r>
      <w:r>
        <w:rPr>
          <w:rFonts w:hint="eastAsia" w:ascii="宋体" w:hAnsi="宋体" w:eastAsia="宋体" w:cs="宋体"/>
          <w:sz w:val="28"/>
          <w:szCs w:val="28"/>
          <w:highlight w:val="none"/>
        </w:rPr>
        <w:t>（</w:t>
      </w:r>
      <w:r>
        <w:rPr>
          <w:rFonts w:hint="eastAsia" w:ascii="宋体" w:hAnsi="宋体" w:eastAsia="宋体" w:cs="宋体"/>
          <w:sz w:val="28"/>
          <w:szCs w:val="28"/>
          <w:highlight w:val="none"/>
          <w:lang w:val="en-US" w:eastAsia="zh-CN"/>
        </w:rPr>
        <w:t>尹建</w:t>
      </w:r>
      <w:r>
        <w:rPr>
          <w:rFonts w:hint="eastAsia" w:ascii="宋体" w:hAnsi="宋体" w:eastAsia="宋体" w:cs="宋体"/>
          <w:sz w:val="28"/>
          <w:szCs w:val="28"/>
          <w:highlight w:val="none"/>
        </w:rPr>
        <w:t>）、18932207883（陈小龙）</w:t>
      </w:r>
    </w:p>
    <w:p w14:paraId="00EC635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en-US" w:eastAsia="zh-CN"/>
        </w:rPr>
        <w:t>.</w:t>
      </w:r>
      <w:r>
        <w:rPr>
          <w:rFonts w:hint="eastAsia" w:ascii="宋体" w:hAnsi="宋体" w:eastAsia="宋体" w:cs="宋体"/>
          <w:sz w:val="28"/>
          <w:szCs w:val="28"/>
          <w:highlight w:val="none"/>
        </w:rPr>
        <w:t>项目联系方式</w:t>
      </w:r>
    </w:p>
    <w:p w14:paraId="6219C76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交易系统软件维护人员：0519-86722801、0519-86722806</w:t>
      </w:r>
    </w:p>
    <w:p w14:paraId="08D6DAA1">
      <w:pPr>
        <w:spacing w:line="500" w:lineRule="exact"/>
        <w:rPr>
          <w:rFonts w:hint="eastAsia" w:ascii="宋体" w:hAnsi="宋体" w:eastAsia="宋体" w:cs="宋体"/>
          <w:bCs/>
          <w:sz w:val="28"/>
          <w:szCs w:val="28"/>
          <w:highlight w:val="none"/>
        </w:rPr>
      </w:pPr>
    </w:p>
    <w:p w14:paraId="13CCA427">
      <w:pPr>
        <w:spacing w:line="500" w:lineRule="exact"/>
        <w:rPr>
          <w:rFonts w:hint="eastAsia" w:ascii="宋体" w:hAnsi="宋体" w:eastAsia="宋体" w:cs="宋体"/>
          <w:bCs/>
          <w:sz w:val="28"/>
          <w:szCs w:val="28"/>
          <w:highlight w:val="none"/>
        </w:rPr>
      </w:pPr>
    </w:p>
    <w:p w14:paraId="7E1BA67A">
      <w:pPr>
        <w:spacing w:line="500" w:lineRule="exact"/>
        <w:jc w:val="center"/>
        <w:outlineLvl w:val="0"/>
        <w:rPr>
          <w:rFonts w:hint="eastAsia" w:ascii="宋体" w:hAnsi="宋体" w:eastAsia="宋体" w:cs="宋体"/>
          <w:bCs/>
          <w:sz w:val="36"/>
          <w:szCs w:val="36"/>
          <w:highlight w:val="none"/>
        </w:rPr>
      </w:pPr>
      <w:bookmarkStart w:id="0" w:name="_Toc513029203"/>
      <w:bookmarkStart w:id="1" w:name="_Toc16938519"/>
      <w:bookmarkStart w:id="2" w:name="_Toc20823275"/>
      <w:bookmarkStart w:id="3" w:name="_Toc120614214"/>
      <w:r>
        <w:rPr>
          <w:rFonts w:hint="eastAsia" w:ascii="宋体" w:hAnsi="宋体" w:eastAsia="宋体" w:cs="宋体"/>
          <w:bCs/>
          <w:sz w:val="36"/>
          <w:szCs w:val="36"/>
          <w:highlight w:val="none"/>
        </w:rPr>
        <w:t>第二部分  谈判须知</w:t>
      </w:r>
    </w:p>
    <w:p w14:paraId="69417221">
      <w:pPr>
        <w:spacing w:line="500" w:lineRule="exact"/>
        <w:ind w:firstLine="560"/>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一、</w:t>
      </w:r>
      <w:r>
        <w:rPr>
          <w:rFonts w:hint="eastAsia" w:ascii="宋体" w:hAnsi="宋体" w:eastAsia="宋体" w:cs="宋体"/>
          <w:b/>
          <w:bCs/>
          <w:sz w:val="28"/>
          <w:szCs w:val="28"/>
          <w:highlight w:val="none"/>
        </w:rPr>
        <w:t>总则</w:t>
      </w:r>
      <w:bookmarkEnd w:id="0"/>
      <w:bookmarkEnd w:id="1"/>
      <w:bookmarkEnd w:id="2"/>
      <w:bookmarkEnd w:id="3"/>
    </w:p>
    <w:p w14:paraId="29B02053">
      <w:pPr>
        <w:spacing w:line="500" w:lineRule="exact"/>
        <w:ind w:firstLine="560"/>
        <w:rPr>
          <w:rFonts w:hint="eastAsia" w:ascii="宋体" w:hAnsi="宋体" w:eastAsia="宋体" w:cs="宋体"/>
          <w:sz w:val="28"/>
          <w:szCs w:val="28"/>
          <w:highlight w:val="none"/>
        </w:rPr>
      </w:pPr>
      <w:bookmarkStart w:id="4" w:name="_Hlt16619475"/>
      <w:bookmarkEnd w:id="4"/>
      <w:bookmarkStart w:id="5" w:name="_Toc458694821"/>
      <w:bookmarkStart w:id="6" w:name="_Toc16938520"/>
      <w:bookmarkStart w:id="7" w:name="_Toc20823276"/>
      <w:bookmarkStart w:id="8" w:name="_Toc513029204"/>
      <w:r>
        <w:rPr>
          <w:rFonts w:hint="eastAsia" w:ascii="宋体" w:hAnsi="宋体" w:eastAsia="宋体" w:cs="宋体"/>
          <w:sz w:val="28"/>
          <w:szCs w:val="28"/>
          <w:highlight w:val="none"/>
        </w:rPr>
        <w:t>1</w:t>
      </w:r>
      <w:bookmarkEnd w:id="5"/>
      <w:r>
        <w:rPr>
          <w:rFonts w:hint="eastAsia" w:ascii="宋体" w:hAnsi="宋体" w:eastAsia="宋体" w:cs="宋体"/>
          <w:sz w:val="28"/>
          <w:szCs w:val="28"/>
          <w:highlight w:val="none"/>
        </w:rPr>
        <w:t>.采购方式</w:t>
      </w:r>
      <w:bookmarkEnd w:id="6"/>
      <w:bookmarkEnd w:id="7"/>
      <w:bookmarkEnd w:id="8"/>
    </w:p>
    <w:p w14:paraId="27CB0C9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1.1本次采取竞争性谈判方式，本谈判文件仅适用于谈判公告中所述项目。</w:t>
      </w:r>
    </w:p>
    <w:p w14:paraId="2E4920BC">
      <w:pPr>
        <w:spacing w:line="500" w:lineRule="exact"/>
        <w:ind w:firstLine="560"/>
        <w:rPr>
          <w:rFonts w:hint="eastAsia" w:ascii="宋体" w:hAnsi="宋体" w:eastAsia="宋体" w:cs="宋体"/>
          <w:sz w:val="28"/>
          <w:szCs w:val="28"/>
          <w:highlight w:val="none"/>
        </w:rPr>
      </w:pPr>
      <w:bookmarkStart w:id="9" w:name="_Toc16938521"/>
      <w:bookmarkStart w:id="10" w:name="_Toc20823277"/>
      <w:bookmarkStart w:id="11" w:name="_Toc513029205"/>
      <w:r>
        <w:rPr>
          <w:rFonts w:hint="eastAsia" w:ascii="宋体" w:hAnsi="宋体" w:eastAsia="宋体" w:cs="宋体"/>
          <w:sz w:val="28"/>
          <w:szCs w:val="28"/>
          <w:highlight w:val="none"/>
        </w:rPr>
        <w:t>2.合格的</w:t>
      </w:r>
      <w:bookmarkEnd w:id="9"/>
      <w:bookmarkEnd w:id="10"/>
      <w:bookmarkEnd w:id="11"/>
      <w:r>
        <w:rPr>
          <w:rFonts w:hint="eastAsia" w:ascii="宋体" w:hAnsi="宋体" w:eastAsia="宋体" w:cs="宋体"/>
          <w:sz w:val="28"/>
          <w:szCs w:val="28"/>
          <w:highlight w:val="none"/>
        </w:rPr>
        <w:t>谈判供应商</w:t>
      </w:r>
    </w:p>
    <w:p w14:paraId="0E92BE6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2.1满足谈判公告中供应商的资格要求的规定。</w:t>
      </w:r>
    </w:p>
    <w:p w14:paraId="3B0DA0A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2.2满足本谈判文件实质性条款的规定。</w:t>
      </w:r>
    </w:p>
    <w:p w14:paraId="4A91F596">
      <w:pPr>
        <w:spacing w:line="500" w:lineRule="exact"/>
        <w:ind w:firstLine="560"/>
        <w:rPr>
          <w:rFonts w:hint="eastAsia" w:ascii="宋体" w:hAnsi="宋体" w:eastAsia="宋体" w:cs="宋体"/>
          <w:sz w:val="28"/>
          <w:szCs w:val="28"/>
          <w:highlight w:val="none"/>
        </w:rPr>
      </w:pPr>
      <w:bookmarkStart w:id="12" w:name="_Toc16938522"/>
      <w:bookmarkStart w:id="13" w:name="_Toc20823278"/>
      <w:bookmarkStart w:id="14" w:name="_Toc513029206"/>
      <w:r>
        <w:rPr>
          <w:rFonts w:hint="eastAsia" w:ascii="宋体" w:hAnsi="宋体" w:eastAsia="宋体" w:cs="宋体"/>
          <w:sz w:val="28"/>
          <w:szCs w:val="28"/>
          <w:highlight w:val="none"/>
        </w:rPr>
        <w:t>3.适用法律</w:t>
      </w:r>
      <w:bookmarkEnd w:id="12"/>
      <w:bookmarkEnd w:id="13"/>
      <w:bookmarkEnd w:id="14"/>
    </w:p>
    <w:p w14:paraId="28D4C8F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3.1本次采购及由此产生的合同受中华人民共和国有关的法律法规制约和保护。</w:t>
      </w:r>
    </w:p>
    <w:p w14:paraId="2E6F07EF">
      <w:pPr>
        <w:spacing w:line="500" w:lineRule="exact"/>
        <w:ind w:firstLine="560"/>
        <w:rPr>
          <w:rFonts w:hint="eastAsia" w:ascii="宋体" w:hAnsi="宋体" w:eastAsia="宋体" w:cs="宋体"/>
          <w:sz w:val="28"/>
          <w:szCs w:val="28"/>
          <w:highlight w:val="none"/>
        </w:rPr>
      </w:pPr>
      <w:bookmarkStart w:id="15" w:name="_Toc16938523"/>
      <w:bookmarkStart w:id="16" w:name="_Toc513029207"/>
      <w:bookmarkStart w:id="17" w:name="_Toc20823279"/>
      <w:bookmarkStart w:id="18" w:name="_Toc462564067"/>
      <w:r>
        <w:rPr>
          <w:rFonts w:hint="eastAsia" w:ascii="宋体" w:hAnsi="宋体" w:eastAsia="宋体" w:cs="宋体"/>
          <w:sz w:val="28"/>
          <w:szCs w:val="28"/>
          <w:highlight w:val="none"/>
        </w:rPr>
        <w:t>4.谈判费用</w:t>
      </w:r>
      <w:bookmarkEnd w:id="15"/>
      <w:bookmarkEnd w:id="16"/>
      <w:bookmarkEnd w:id="17"/>
      <w:bookmarkEnd w:id="18"/>
    </w:p>
    <w:p w14:paraId="2259F6E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4.1参加谈判的供应商应自行承担所有与参加谈判有关的费用，无论谈判过程中的做法和结果如何，</w:t>
      </w:r>
      <w:r>
        <w:rPr>
          <w:rFonts w:hint="eastAsia" w:ascii="宋体" w:hAnsi="宋体" w:eastAsia="宋体" w:cs="宋体"/>
          <w:sz w:val="28"/>
          <w:szCs w:val="28"/>
          <w:highlight w:val="none"/>
          <w:lang w:val="en-US" w:eastAsia="zh-CN"/>
        </w:rPr>
        <w:t>采购人</w:t>
      </w:r>
      <w:r>
        <w:rPr>
          <w:rFonts w:hint="eastAsia" w:ascii="宋体" w:hAnsi="宋体" w:eastAsia="宋体" w:cs="宋体"/>
          <w:sz w:val="28"/>
          <w:szCs w:val="28"/>
          <w:highlight w:val="none"/>
        </w:rPr>
        <w:t>在任何情况下均无义务和责任承担这些费用。</w:t>
      </w:r>
    </w:p>
    <w:p w14:paraId="3709242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4.2本次谈判采购人不收取标书工本费与成交服务费。</w:t>
      </w:r>
    </w:p>
    <w:p w14:paraId="7DBEC9E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5.谈判文件的约束力</w:t>
      </w:r>
    </w:p>
    <w:p w14:paraId="00AD5EB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5.1供应商一旦参加本项目采购活动，即被认为接受了本谈判文件的规定和约束。</w:t>
      </w:r>
    </w:p>
    <w:p w14:paraId="561C466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6.谈判文件的解释</w:t>
      </w:r>
    </w:p>
    <w:p w14:paraId="1758AD1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6.1谈判文件需求部分（供应商资格要求、项目需求、商务技术评分标准）由采购人解释</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其他部分由采购代理机构解释</w:t>
      </w:r>
      <w:r>
        <w:rPr>
          <w:rFonts w:hint="eastAsia" w:ascii="宋体" w:hAnsi="宋体" w:eastAsia="宋体" w:cs="宋体"/>
          <w:sz w:val="28"/>
          <w:szCs w:val="28"/>
          <w:highlight w:val="none"/>
        </w:rPr>
        <w:t>。</w:t>
      </w:r>
    </w:p>
    <w:p w14:paraId="6147AEAD">
      <w:pPr>
        <w:spacing w:line="500" w:lineRule="exact"/>
        <w:ind w:firstLine="560"/>
        <w:rPr>
          <w:rFonts w:hint="eastAsia" w:ascii="宋体" w:hAnsi="宋体" w:eastAsia="宋体" w:cs="宋体"/>
          <w:b/>
          <w:bCs/>
          <w:sz w:val="28"/>
          <w:szCs w:val="28"/>
          <w:highlight w:val="none"/>
        </w:rPr>
      </w:pPr>
      <w:bookmarkStart w:id="19" w:name="_Toc16938525"/>
      <w:bookmarkStart w:id="20" w:name="_Toc20823281"/>
      <w:bookmarkStart w:id="21" w:name="_Toc513029209"/>
      <w:bookmarkStart w:id="22" w:name="_Toc120614215"/>
      <w:r>
        <w:rPr>
          <w:rFonts w:hint="eastAsia" w:ascii="宋体" w:hAnsi="宋体" w:eastAsia="宋体" w:cs="宋体"/>
          <w:b/>
          <w:bCs/>
          <w:sz w:val="28"/>
          <w:szCs w:val="28"/>
          <w:highlight w:val="none"/>
          <w:lang w:val="en-US" w:eastAsia="zh-CN"/>
        </w:rPr>
        <w:t>二、</w:t>
      </w:r>
      <w:r>
        <w:rPr>
          <w:rFonts w:hint="eastAsia" w:ascii="宋体" w:hAnsi="宋体" w:eastAsia="宋体" w:cs="宋体"/>
          <w:b/>
          <w:bCs/>
          <w:sz w:val="28"/>
          <w:szCs w:val="28"/>
          <w:highlight w:val="none"/>
        </w:rPr>
        <w:t>谈判文件</w:t>
      </w:r>
      <w:bookmarkEnd w:id="19"/>
      <w:bookmarkEnd w:id="20"/>
      <w:bookmarkEnd w:id="21"/>
      <w:bookmarkEnd w:id="22"/>
    </w:p>
    <w:p w14:paraId="4DC9D1D6">
      <w:pPr>
        <w:spacing w:line="500" w:lineRule="exact"/>
        <w:ind w:firstLine="560"/>
        <w:rPr>
          <w:rFonts w:hint="eastAsia" w:ascii="宋体" w:hAnsi="宋体" w:eastAsia="宋体" w:cs="宋体"/>
          <w:sz w:val="28"/>
          <w:szCs w:val="28"/>
          <w:highlight w:val="none"/>
        </w:rPr>
      </w:pPr>
      <w:bookmarkStart w:id="23" w:name="_Toc16938526"/>
      <w:bookmarkStart w:id="24" w:name="_Toc513029210"/>
      <w:bookmarkStart w:id="25" w:name="_Toc20823282"/>
      <w:r>
        <w:rPr>
          <w:rFonts w:hint="eastAsia" w:ascii="宋体" w:hAnsi="宋体" w:eastAsia="宋体" w:cs="宋体"/>
          <w:sz w:val="28"/>
          <w:szCs w:val="28"/>
          <w:highlight w:val="none"/>
        </w:rPr>
        <w:t>1.谈判文件构成</w:t>
      </w:r>
      <w:bookmarkEnd w:id="23"/>
      <w:bookmarkEnd w:id="24"/>
      <w:bookmarkEnd w:id="25"/>
    </w:p>
    <w:p w14:paraId="7679D73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1.1谈判文件由以下部分组成：</w:t>
      </w:r>
    </w:p>
    <w:p w14:paraId="0E3ED3B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（1）采购邀请</w:t>
      </w:r>
    </w:p>
    <w:p w14:paraId="2D9EC92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（2）谈判须知</w:t>
      </w:r>
    </w:p>
    <w:p w14:paraId="75AB835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（3）项目需求</w:t>
      </w:r>
    </w:p>
    <w:p w14:paraId="1E5801E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（4）评审方法和评审标准</w:t>
      </w:r>
    </w:p>
    <w:p w14:paraId="42EBF4B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（5）响应文件格式</w:t>
      </w:r>
    </w:p>
    <w:p w14:paraId="4BE77B0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（6）附件</w:t>
      </w:r>
    </w:p>
    <w:p w14:paraId="178F745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请仔细检查谈判文件是否齐全，如有缺漏请立即与</w:t>
      </w:r>
      <w:r>
        <w:rPr>
          <w:rFonts w:hint="eastAsia" w:ascii="宋体" w:hAnsi="宋体" w:eastAsia="宋体" w:cs="宋体"/>
          <w:sz w:val="28"/>
          <w:szCs w:val="28"/>
          <w:highlight w:val="none"/>
          <w:lang w:eastAsia="zh-CN"/>
        </w:rPr>
        <w:t>采购</w:t>
      </w:r>
      <w:r>
        <w:rPr>
          <w:rFonts w:hint="eastAsia" w:ascii="宋体" w:hAnsi="宋体" w:eastAsia="宋体" w:cs="宋体"/>
          <w:sz w:val="28"/>
          <w:szCs w:val="28"/>
          <w:highlight w:val="none"/>
          <w:lang w:val="en-US" w:eastAsia="zh-CN"/>
        </w:rPr>
        <w:t>代理机构</w:t>
      </w:r>
      <w:r>
        <w:rPr>
          <w:rFonts w:hint="eastAsia" w:ascii="宋体" w:hAnsi="宋体" w:eastAsia="宋体" w:cs="宋体"/>
          <w:sz w:val="28"/>
          <w:szCs w:val="28"/>
          <w:highlight w:val="none"/>
        </w:rPr>
        <w:t>联系解决。</w:t>
      </w:r>
    </w:p>
    <w:p w14:paraId="142DEE0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p>
    <w:p w14:paraId="79CF084C">
      <w:pPr>
        <w:spacing w:line="500" w:lineRule="exact"/>
        <w:ind w:firstLine="560"/>
        <w:rPr>
          <w:rFonts w:hint="eastAsia" w:ascii="宋体" w:hAnsi="宋体" w:eastAsia="宋体" w:cs="宋体"/>
          <w:sz w:val="28"/>
          <w:szCs w:val="28"/>
          <w:highlight w:val="none"/>
        </w:rPr>
      </w:pPr>
      <w:bookmarkStart w:id="26" w:name="_Toc20823283"/>
      <w:bookmarkStart w:id="27" w:name="_Toc513029211"/>
      <w:bookmarkStart w:id="28" w:name="_Toc16938527"/>
      <w:bookmarkStart w:id="29" w:name="_Toc462564070"/>
      <w:r>
        <w:rPr>
          <w:rFonts w:hint="eastAsia" w:ascii="宋体" w:hAnsi="宋体" w:eastAsia="宋体" w:cs="宋体"/>
          <w:sz w:val="28"/>
          <w:szCs w:val="28"/>
          <w:highlight w:val="none"/>
        </w:rPr>
        <w:t>2.谈判文件的澄清</w:t>
      </w:r>
      <w:bookmarkEnd w:id="26"/>
      <w:bookmarkEnd w:id="27"/>
      <w:bookmarkEnd w:id="28"/>
      <w:bookmarkEnd w:id="29"/>
    </w:p>
    <w:p w14:paraId="75C5FCE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2.1任何要求对谈判文件进行澄清的供应商，应在提交首次谈判响应文件截止时间3个工作日前按谈判公告中的通讯地址，以书面形式通知采购人。采购人有权对发出的谈判文件进行必要的澄清或修改。</w:t>
      </w:r>
    </w:p>
    <w:p w14:paraId="470AA18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2.2采购人视情组织答疑会</w:t>
      </w:r>
    </w:p>
    <w:p w14:paraId="325A84A4">
      <w:pPr>
        <w:spacing w:line="500" w:lineRule="exact"/>
        <w:ind w:firstLine="560"/>
        <w:rPr>
          <w:rFonts w:hint="eastAsia" w:ascii="宋体" w:hAnsi="宋体" w:eastAsia="宋体" w:cs="宋体"/>
          <w:sz w:val="28"/>
          <w:szCs w:val="28"/>
          <w:highlight w:val="none"/>
        </w:rPr>
      </w:pPr>
      <w:bookmarkStart w:id="30" w:name="_Toc20823284"/>
      <w:bookmarkStart w:id="31" w:name="_Toc16938528"/>
      <w:bookmarkStart w:id="32" w:name="_Toc462564071"/>
      <w:bookmarkStart w:id="33" w:name="_Toc513029212"/>
      <w:r>
        <w:rPr>
          <w:rFonts w:hint="eastAsia" w:ascii="宋体" w:hAnsi="宋体" w:eastAsia="宋体" w:cs="宋体"/>
          <w:sz w:val="28"/>
          <w:szCs w:val="28"/>
          <w:highlight w:val="none"/>
        </w:rPr>
        <w:t>3.谈判文件的修改</w:t>
      </w:r>
      <w:bookmarkEnd w:id="30"/>
      <w:bookmarkEnd w:id="31"/>
      <w:bookmarkEnd w:id="32"/>
      <w:bookmarkEnd w:id="33"/>
    </w:p>
    <w:p w14:paraId="516FAB6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3.1在谈判响应文件提交截止时间前，</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可以对谈判文件进行修改。</w:t>
      </w:r>
    </w:p>
    <w:p w14:paraId="0D6B56F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3.2</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有权按照法定的要求推迟响应文件提交截止日期和谈判日期。</w:t>
      </w:r>
    </w:p>
    <w:p w14:paraId="091984B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3.3谈判文件的修改将在江苏政府采购网公布，补充文件将作为谈判文件的组成部分，并对供应商具有约束力。</w:t>
      </w:r>
    </w:p>
    <w:p w14:paraId="7C4348C0">
      <w:pPr>
        <w:spacing w:line="500" w:lineRule="exact"/>
        <w:ind w:firstLine="560"/>
        <w:rPr>
          <w:rFonts w:hint="eastAsia" w:ascii="宋体" w:hAnsi="宋体" w:eastAsia="宋体" w:cs="宋体"/>
          <w:b/>
          <w:bCs/>
          <w:sz w:val="28"/>
          <w:szCs w:val="28"/>
          <w:highlight w:val="none"/>
        </w:rPr>
      </w:pPr>
      <w:bookmarkStart w:id="34" w:name="_Toc513029213"/>
      <w:bookmarkStart w:id="35" w:name="_Toc120614216"/>
      <w:bookmarkStart w:id="36" w:name="_Toc20823285"/>
      <w:bookmarkStart w:id="37" w:name="_Toc16938529"/>
      <w:bookmarkStart w:id="38" w:name="_Toc462564072"/>
      <w:r>
        <w:rPr>
          <w:rFonts w:hint="eastAsia" w:ascii="宋体" w:hAnsi="宋体" w:eastAsia="宋体" w:cs="宋体"/>
          <w:b/>
          <w:bCs/>
          <w:sz w:val="28"/>
          <w:szCs w:val="28"/>
          <w:highlight w:val="none"/>
          <w:lang w:val="en-US" w:eastAsia="zh-CN"/>
        </w:rPr>
        <w:t>三、</w:t>
      </w:r>
      <w:r>
        <w:rPr>
          <w:rFonts w:hint="eastAsia" w:ascii="宋体" w:hAnsi="宋体" w:eastAsia="宋体" w:cs="宋体"/>
          <w:b/>
          <w:bCs/>
          <w:sz w:val="28"/>
          <w:szCs w:val="28"/>
          <w:highlight w:val="none"/>
        </w:rPr>
        <w:t>响应文件的编制</w:t>
      </w:r>
      <w:bookmarkEnd w:id="34"/>
      <w:bookmarkEnd w:id="35"/>
      <w:bookmarkEnd w:id="36"/>
      <w:bookmarkEnd w:id="37"/>
      <w:bookmarkEnd w:id="38"/>
    </w:p>
    <w:p w14:paraId="17725701">
      <w:pPr>
        <w:spacing w:line="500" w:lineRule="exact"/>
        <w:ind w:firstLine="560"/>
        <w:rPr>
          <w:rFonts w:hint="eastAsia" w:ascii="宋体" w:hAnsi="宋体" w:eastAsia="宋体" w:cs="宋体"/>
          <w:sz w:val="28"/>
          <w:szCs w:val="28"/>
          <w:highlight w:val="none"/>
        </w:rPr>
      </w:pPr>
      <w:bookmarkStart w:id="39" w:name="_Toc513029214"/>
      <w:bookmarkStart w:id="40" w:name="_Toc16938530"/>
      <w:bookmarkStart w:id="41" w:name="_Toc462564073"/>
      <w:bookmarkStart w:id="42" w:name="_Toc20823286"/>
      <w:r>
        <w:rPr>
          <w:rFonts w:hint="eastAsia" w:ascii="宋体" w:hAnsi="宋体" w:eastAsia="宋体" w:cs="宋体"/>
          <w:sz w:val="28"/>
          <w:szCs w:val="28"/>
          <w:highlight w:val="none"/>
        </w:rPr>
        <w:t>1.响应文件的语言及度量衡单位</w:t>
      </w:r>
      <w:bookmarkEnd w:id="39"/>
      <w:bookmarkEnd w:id="40"/>
      <w:bookmarkEnd w:id="41"/>
      <w:bookmarkEnd w:id="42"/>
    </w:p>
    <w:p w14:paraId="3C83DFB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1.1供应商提交的响应文件以及供应商与</w:t>
      </w:r>
      <w:r>
        <w:rPr>
          <w:rFonts w:hint="eastAsia" w:ascii="宋体" w:hAnsi="宋体" w:eastAsia="宋体" w:cs="宋体"/>
          <w:sz w:val="28"/>
          <w:szCs w:val="28"/>
          <w:highlight w:val="none"/>
          <w:lang w:val="en-US" w:eastAsia="zh-CN"/>
        </w:rPr>
        <w:t>采购代理机构及</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就有关谈判的所有来往通知、函件和文件均应使用简体中文。</w:t>
      </w:r>
    </w:p>
    <w:p w14:paraId="05DF3B0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1.2除技术性能另有规定外，响应文件所使用的度量衡单位，均须采用国家法定计量单位。</w:t>
      </w:r>
    </w:p>
    <w:p w14:paraId="50B112C9">
      <w:pPr>
        <w:spacing w:line="500" w:lineRule="exact"/>
        <w:ind w:firstLine="560"/>
        <w:rPr>
          <w:rFonts w:hint="eastAsia" w:ascii="宋体" w:hAnsi="宋体" w:eastAsia="宋体" w:cs="宋体"/>
          <w:sz w:val="28"/>
          <w:szCs w:val="28"/>
          <w:highlight w:val="none"/>
        </w:rPr>
      </w:pPr>
      <w:bookmarkStart w:id="43" w:name="_Toc462564074"/>
      <w:bookmarkStart w:id="44" w:name="_Toc20823287"/>
      <w:bookmarkStart w:id="45" w:name="_Toc513029215"/>
      <w:bookmarkStart w:id="46" w:name="_Toc16938531"/>
      <w:r>
        <w:rPr>
          <w:rFonts w:hint="eastAsia" w:ascii="宋体" w:hAnsi="宋体" w:eastAsia="宋体" w:cs="宋体"/>
          <w:sz w:val="28"/>
          <w:szCs w:val="28"/>
          <w:highlight w:val="none"/>
        </w:rPr>
        <w:t>2.响应文件构成</w:t>
      </w:r>
      <w:bookmarkEnd w:id="43"/>
      <w:bookmarkEnd w:id="44"/>
      <w:bookmarkEnd w:id="45"/>
      <w:bookmarkEnd w:id="46"/>
    </w:p>
    <w:p w14:paraId="263DAE7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2.1供应商编写的响应文件应包括资格证明文件、符合性证明文件、谈判响应函、谈判报价表、分项报价明细表、商务部分正负偏离表、技术部分正负偏离表、其他证明文件等部分。供应商按“第五部分 响应文件格式”及“苏采云系统”中电子投标(响应)文件格式目录要求</w:t>
      </w:r>
      <w:r>
        <w:rPr>
          <w:rFonts w:hint="eastAsia" w:ascii="宋体" w:hAnsi="宋体" w:eastAsia="宋体" w:cs="宋体"/>
          <w:sz w:val="28"/>
          <w:szCs w:val="28"/>
          <w:highlight w:val="none"/>
          <w:lang w:eastAsia="zh-CN"/>
        </w:rPr>
        <w:t>的</w:t>
      </w:r>
      <w:r>
        <w:rPr>
          <w:rFonts w:hint="eastAsia" w:ascii="宋体" w:hAnsi="宋体" w:eastAsia="宋体" w:cs="宋体"/>
          <w:sz w:val="28"/>
          <w:szCs w:val="28"/>
          <w:highlight w:val="none"/>
          <w:lang w:val="en-US" w:eastAsia="zh-CN"/>
        </w:rPr>
        <w:t>内容</w:t>
      </w:r>
      <w:r>
        <w:rPr>
          <w:rFonts w:hint="eastAsia" w:ascii="宋体" w:hAnsi="宋体" w:eastAsia="宋体" w:cs="宋体"/>
          <w:sz w:val="28"/>
          <w:szCs w:val="28"/>
          <w:highlight w:val="none"/>
        </w:rPr>
        <w:t>编写响应文件。</w:t>
      </w:r>
    </w:p>
    <w:p w14:paraId="42BB47F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2.2如标书制作工具中格式和内容与“江苏政府采购网”发布的谈判文件不一致，请以“江苏政府采购网”发布的谈判文件为准。</w:t>
      </w:r>
    </w:p>
    <w:p w14:paraId="4F9DE70D">
      <w:pPr>
        <w:spacing w:line="500" w:lineRule="exact"/>
        <w:ind w:firstLine="560"/>
        <w:rPr>
          <w:rFonts w:hint="eastAsia" w:ascii="宋体" w:hAnsi="宋体" w:eastAsia="宋体" w:cs="宋体"/>
          <w:sz w:val="28"/>
          <w:szCs w:val="28"/>
          <w:highlight w:val="none"/>
        </w:rPr>
      </w:pPr>
      <w:bookmarkStart w:id="47" w:name="_Hlt26670360"/>
      <w:bookmarkEnd w:id="47"/>
      <w:bookmarkStart w:id="48" w:name="_Hlt26954838"/>
      <w:bookmarkEnd w:id="48"/>
      <w:bookmarkStart w:id="49" w:name="_Hlt26668975"/>
      <w:bookmarkEnd w:id="49"/>
      <w:bookmarkStart w:id="50" w:name="_Toc14577360"/>
      <w:bookmarkStart w:id="51" w:name="_Toc49090511"/>
      <w:r>
        <w:rPr>
          <w:rFonts w:hint="eastAsia" w:ascii="宋体" w:hAnsi="宋体" w:eastAsia="宋体" w:cs="宋体"/>
          <w:sz w:val="28"/>
          <w:szCs w:val="28"/>
          <w:highlight w:val="none"/>
        </w:rPr>
        <w:t>3.</w:t>
      </w:r>
      <w:bookmarkEnd w:id="50"/>
      <w:bookmarkEnd w:id="51"/>
      <w:r>
        <w:rPr>
          <w:rFonts w:hint="eastAsia" w:ascii="宋体" w:hAnsi="宋体" w:eastAsia="宋体" w:cs="宋体"/>
          <w:sz w:val="28"/>
          <w:szCs w:val="28"/>
          <w:highlight w:val="none"/>
        </w:rPr>
        <w:t>谈判响应有效期</w:t>
      </w:r>
    </w:p>
    <w:p w14:paraId="71C25FD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3.1谈判响应有效期为</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规定的响应文件提交截止时间后</w:t>
      </w:r>
      <w:r>
        <w:rPr>
          <w:rFonts w:hint="eastAsia" w:ascii="宋体" w:hAnsi="宋体" w:eastAsia="宋体" w:cs="宋体"/>
          <w:b/>
          <w:bCs/>
          <w:sz w:val="28"/>
          <w:szCs w:val="28"/>
          <w:highlight w:val="none"/>
          <w:u w:val="single"/>
        </w:rPr>
        <w:t>六十（60）天</w:t>
      </w:r>
      <w:r>
        <w:rPr>
          <w:rFonts w:hint="eastAsia" w:ascii="宋体" w:hAnsi="宋体" w:eastAsia="宋体" w:cs="宋体"/>
          <w:sz w:val="28"/>
          <w:szCs w:val="28"/>
          <w:highlight w:val="none"/>
        </w:rPr>
        <w:t>。谈判响应有效期比规定短的将被视为非实质性响应而予以拒绝。</w:t>
      </w:r>
    </w:p>
    <w:p w14:paraId="5DE5884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4.谈判响应有效期的延长</w:t>
      </w:r>
    </w:p>
    <w:p w14:paraId="35C5D65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4.1在特殊情况下，</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于原谈判响应有效期满之前，可向谈判供应商提出延长谈判响应有效期的要求。这种要求与答复均应采用书面形式。供应商可以拒绝</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的这一要求而放弃谈判响应，同意延长谈判响应有效期的供应商既不能要求也不允许修改其响应文件。受谈判响应有效期约束的所有权利与义务均延长至新的有效期。</w:t>
      </w:r>
    </w:p>
    <w:p w14:paraId="4BD21384">
      <w:pPr>
        <w:spacing w:line="500" w:lineRule="exact"/>
        <w:ind w:firstLine="560"/>
        <w:rPr>
          <w:rFonts w:hint="eastAsia" w:ascii="宋体" w:hAnsi="宋体" w:eastAsia="宋体" w:cs="宋体"/>
          <w:b/>
          <w:bCs/>
          <w:sz w:val="28"/>
          <w:szCs w:val="28"/>
          <w:highlight w:val="none"/>
        </w:rPr>
      </w:pPr>
      <w:bookmarkStart w:id="52" w:name="_Hlt26954852"/>
      <w:bookmarkEnd w:id="52"/>
      <w:bookmarkStart w:id="53" w:name="_Hlt26954739"/>
      <w:bookmarkEnd w:id="53"/>
      <w:bookmarkStart w:id="54" w:name="_Toc16938540"/>
      <w:bookmarkStart w:id="55" w:name="_Toc20823296"/>
      <w:bookmarkStart w:id="56" w:name="_Toc120614217"/>
      <w:bookmarkStart w:id="57" w:name="_Toc513029224"/>
      <w:r>
        <w:rPr>
          <w:rFonts w:hint="eastAsia" w:ascii="宋体" w:hAnsi="宋体" w:eastAsia="宋体" w:cs="宋体"/>
          <w:b/>
          <w:bCs/>
          <w:sz w:val="28"/>
          <w:szCs w:val="28"/>
          <w:highlight w:val="none"/>
          <w:lang w:val="en-US" w:eastAsia="zh-CN"/>
        </w:rPr>
        <w:t>四、</w:t>
      </w:r>
      <w:r>
        <w:rPr>
          <w:rFonts w:hint="eastAsia" w:ascii="宋体" w:hAnsi="宋体" w:eastAsia="宋体" w:cs="宋体"/>
          <w:b/>
          <w:bCs/>
          <w:sz w:val="28"/>
          <w:szCs w:val="28"/>
          <w:highlight w:val="none"/>
        </w:rPr>
        <w:t>响应文件的</w:t>
      </w:r>
      <w:bookmarkEnd w:id="54"/>
      <w:bookmarkEnd w:id="55"/>
      <w:bookmarkEnd w:id="56"/>
      <w:bookmarkEnd w:id="57"/>
      <w:r>
        <w:rPr>
          <w:rFonts w:hint="eastAsia" w:ascii="宋体" w:hAnsi="宋体" w:eastAsia="宋体" w:cs="宋体"/>
          <w:b/>
          <w:bCs/>
          <w:sz w:val="28"/>
          <w:szCs w:val="28"/>
          <w:highlight w:val="none"/>
        </w:rPr>
        <w:t>提交</w:t>
      </w:r>
    </w:p>
    <w:p w14:paraId="144B61E8">
      <w:pPr>
        <w:spacing w:line="500" w:lineRule="exact"/>
        <w:ind w:firstLine="560"/>
        <w:rPr>
          <w:rFonts w:hint="eastAsia" w:ascii="宋体" w:hAnsi="宋体" w:eastAsia="宋体" w:cs="宋体"/>
          <w:sz w:val="28"/>
          <w:szCs w:val="28"/>
          <w:highlight w:val="none"/>
        </w:rPr>
      </w:pPr>
      <w:bookmarkStart w:id="58" w:name="_Toc462564084"/>
      <w:bookmarkStart w:id="59" w:name="_Toc16938541"/>
      <w:bookmarkStart w:id="60" w:name="_Toc513029225"/>
      <w:bookmarkStart w:id="61" w:name="_Toc20823297"/>
      <w:r>
        <w:rPr>
          <w:rFonts w:hint="eastAsia" w:ascii="宋体" w:hAnsi="宋体" w:eastAsia="宋体" w:cs="宋体"/>
          <w:sz w:val="28"/>
          <w:szCs w:val="28"/>
          <w:highlight w:val="none"/>
        </w:rPr>
        <w:t>1.响应文件</w:t>
      </w:r>
      <w:bookmarkEnd w:id="58"/>
      <w:bookmarkEnd w:id="59"/>
      <w:bookmarkEnd w:id="60"/>
      <w:bookmarkEnd w:id="61"/>
      <w:r>
        <w:rPr>
          <w:rFonts w:hint="eastAsia" w:ascii="宋体" w:hAnsi="宋体" w:eastAsia="宋体" w:cs="宋体"/>
          <w:sz w:val="28"/>
          <w:szCs w:val="28"/>
          <w:highlight w:val="none"/>
        </w:rPr>
        <w:t>的提交</w:t>
      </w:r>
    </w:p>
    <w:p w14:paraId="0E44D0D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1.1</w:t>
      </w:r>
      <w:bookmarkStart w:id="62" w:name="_Toc20823298"/>
      <w:bookmarkStart w:id="63" w:name="_Toc513029226"/>
      <w:bookmarkStart w:id="64" w:name="_Toc16938542"/>
      <w:r>
        <w:rPr>
          <w:rFonts w:hint="eastAsia" w:ascii="宋体" w:hAnsi="宋体" w:eastAsia="宋体" w:cs="宋体"/>
          <w:sz w:val="28"/>
          <w:szCs w:val="28"/>
          <w:highlight w:val="none"/>
        </w:rPr>
        <w:t>供应商应当按照江苏政府采购网—资料下载中《江苏省政府采购管理交易系统（苏采云）供应商操作指南》规定，在响应文件提交截止时间前按要求制作并上传电子响应文件。</w:t>
      </w:r>
    </w:p>
    <w:p w14:paraId="6B9F7BA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2.响应文件截止日期</w:t>
      </w:r>
      <w:bookmarkEnd w:id="62"/>
      <w:bookmarkEnd w:id="63"/>
      <w:bookmarkEnd w:id="64"/>
    </w:p>
    <w:p w14:paraId="62149F2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2.1供应商上传电子响应文件的时间不得迟于谈判公告中规定的响应文件提交截止时间。</w:t>
      </w:r>
    </w:p>
    <w:p w14:paraId="6EB0C03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供应商应充分考虑到网络环境、网络带宽、CA数字证书及电子签章故障等风险因素，如因供应商自身原因造成的电子响应文件上传不成功由供应商自行承担全部责任。</w:t>
      </w:r>
    </w:p>
    <w:p w14:paraId="7BDB410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可以按照规定，通过修改响应文件酌情延长响应文件提交截止日期，在此情况下，供应商的所有权利和义务以及供应商受制的截止日期均应以延长后新的截止日期为准。</w:t>
      </w:r>
    </w:p>
    <w:p w14:paraId="00A716F3">
      <w:pPr>
        <w:spacing w:line="500" w:lineRule="exact"/>
        <w:ind w:firstLine="560"/>
        <w:rPr>
          <w:rFonts w:hint="eastAsia" w:ascii="宋体" w:hAnsi="宋体" w:eastAsia="宋体" w:cs="宋体"/>
          <w:sz w:val="28"/>
          <w:szCs w:val="28"/>
          <w:highlight w:val="none"/>
        </w:rPr>
      </w:pPr>
      <w:bookmarkStart w:id="65" w:name="_Toc513029227"/>
      <w:bookmarkStart w:id="66" w:name="_Toc20823299"/>
      <w:bookmarkStart w:id="67" w:name="_Toc16938543"/>
      <w:r>
        <w:rPr>
          <w:rFonts w:hint="eastAsia" w:ascii="宋体" w:hAnsi="宋体" w:eastAsia="宋体" w:cs="宋体"/>
          <w:sz w:val="28"/>
          <w:szCs w:val="28"/>
          <w:highlight w:val="none"/>
        </w:rPr>
        <w:t>3.响应文件</w:t>
      </w:r>
      <w:bookmarkEnd w:id="65"/>
      <w:bookmarkEnd w:id="66"/>
      <w:bookmarkEnd w:id="67"/>
      <w:r>
        <w:rPr>
          <w:rFonts w:hint="eastAsia" w:ascii="宋体" w:hAnsi="宋体" w:eastAsia="宋体" w:cs="宋体"/>
          <w:sz w:val="28"/>
          <w:szCs w:val="28"/>
          <w:highlight w:val="none"/>
        </w:rPr>
        <w:t>的拒收</w:t>
      </w:r>
    </w:p>
    <w:p w14:paraId="20D0A0E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3.1</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拒绝接收在其规定的响应文件提交截止时间后上传的任何响应文件。</w:t>
      </w:r>
    </w:p>
    <w:p w14:paraId="3E216954">
      <w:pPr>
        <w:spacing w:line="500" w:lineRule="exact"/>
        <w:ind w:firstLine="560"/>
        <w:rPr>
          <w:rFonts w:hint="eastAsia" w:ascii="宋体" w:hAnsi="宋体" w:eastAsia="宋体" w:cs="宋体"/>
          <w:sz w:val="28"/>
          <w:szCs w:val="28"/>
          <w:highlight w:val="none"/>
        </w:rPr>
      </w:pPr>
      <w:bookmarkStart w:id="68" w:name="_Toc16938544"/>
      <w:bookmarkStart w:id="69" w:name="_Toc513029228"/>
      <w:bookmarkStart w:id="70" w:name="_Toc20823300"/>
      <w:r>
        <w:rPr>
          <w:rFonts w:hint="eastAsia" w:ascii="宋体" w:hAnsi="宋体" w:eastAsia="宋体" w:cs="宋体"/>
          <w:sz w:val="28"/>
          <w:szCs w:val="28"/>
          <w:highlight w:val="none"/>
        </w:rPr>
        <w:t>4.响应文件的撤回和修改</w:t>
      </w:r>
      <w:bookmarkEnd w:id="68"/>
      <w:bookmarkEnd w:id="69"/>
      <w:bookmarkEnd w:id="70"/>
    </w:p>
    <w:p w14:paraId="6A0E13B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4.1响应文件的撤回</w:t>
      </w:r>
    </w:p>
    <w:p w14:paraId="22BCB51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4.1.1电子响应文件的撤回</w:t>
      </w:r>
    </w:p>
    <w:p w14:paraId="0186A08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供应商可在响应文件提交截止时间前，撤回其电子响应文件，具体操作方法见《江苏省政府采购管理交易系统（苏采云）供应商操作指南》。</w:t>
      </w:r>
    </w:p>
    <w:p w14:paraId="41B4C5C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4.1.2供应商撤回电子响应文件，则认为其不再参与本项目谈判活动。</w:t>
      </w:r>
    </w:p>
    <w:p w14:paraId="7F9354D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4.2响应文件的修改</w:t>
      </w:r>
    </w:p>
    <w:p w14:paraId="67C5460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供应商可在响应文件提交截止时间前，对其电子响应文件进行修改，具体操作方法见《江苏省政府采购管理交易系统（苏采云）供应商操作指南》。</w:t>
      </w:r>
    </w:p>
    <w:p w14:paraId="6C1BAC0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4.3在响应文件提交截止时间之后，供应商不得对其电子响应文件作任何修改。</w:t>
      </w:r>
    </w:p>
    <w:p w14:paraId="4DA81F0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4.4在响应文件截止时间至响应文件中规定的谈判响应有效期满之间的这段时间内，供应商不得撤回其响应文件。</w:t>
      </w:r>
    </w:p>
    <w:p w14:paraId="38F26AAC">
      <w:pPr>
        <w:spacing w:line="500" w:lineRule="exact"/>
        <w:ind w:firstLine="560"/>
        <w:rPr>
          <w:rFonts w:hint="eastAsia" w:ascii="宋体" w:hAnsi="宋体" w:eastAsia="宋体" w:cs="宋体"/>
          <w:b/>
          <w:bCs/>
          <w:sz w:val="28"/>
          <w:szCs w:val="28"/>
          <w:highlight w:val="none"/>
        </w:rPr>
      </w:pPr>
      <w:bookmarkStart w:id="71" w:name="_Toc16938546"/>
      <w:bookmarkStart w:id="72" w:name="_Toc20823302"/>
      <w:bookmarkStart w:id="73" w:name="_Toc513029230"/>
      <w:r>
        <w:rPr>
          <w:rFonts w:hint="eastAsia" w:ascii="宋体" w:hAnsi="宋体" w:eastAsia="宋体" w:cs="宋体"/>
          <w:b/>
          <w:bCs/>
          <w:sz w:val="28"/>
          <w:szCs w:val="28"/>
          <w:highlight w:val="none"/>
          <w:lang w:val="en-US" w:eastAsia="zh-CN"/>
        </w:rPr>
        <w:t>五、</w:t>
      </w:r>
      <w:r>
        <w:rPr>
          <w:rFonts w:hint="eastAsia" w:ascii="宋体" w:hAnsi="宋体" w:eastAsia="宋体" w:cs="宋体"/>
          <w:b/>
          <w:bCs/>
          <w:sz w:val="28"/>
          <w:szCs w:val="28"/>
          <w:highlight w:val="none"/>
        </w:rPr>
        <w:t>谈判与评审</w:t>
      </w:r>
    </w:p>
    <w:p w14:paraId="2ADEAAD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1.谈判仪式</w:t>
      </w:r>
    </w:p>
    <w:p w14:paraId="5C75467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1.1</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将在谈判公告中规定的时间和地点组织谈判开始仪式。</w:t>
      </w:r>
    </w:p>
    <w:p w14:paraId="4DBF2BE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1.2谈判活动的文件解密工作由</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组织，在“苏采云”系统中进行谈判。</w:t>
      </w:r>
    </w:p>
    <w:p w14:paraId="2B60CE6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1.3供应商在谈判过程中涉及到的谈判文件解密等工作，按照《江苏省政府采购管理交易系统（苏采云）供应商操作指南》执行。</w:t>
      </w:r>
    </w:p>
    <w:p w14:paraId="0806454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2.竞争性谈判小组</w:t>
      </w:r>
    </w:p>
    <w:p w14:paraId="41D9C5B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2.1谈判开始仪式结束后，</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将组织竞争性谈判小组进行评审。</w:t>
      </w:r>
    </w:p>
    <w:p w14:paraId="4BD0D92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2.2竞争性谈判小组</w:t>
      </w:r>
      <w:r>
        <w:rPr>
          <w:rFonts w:hint="eastAsia" w:ascii="宋体" w:hAnsi="宋体" w:eastAsia="宋体" w:cs="宋体"/>
          <w:strike w:val="0"/>
          <w:dstrike w:val="0"/>
          <w:sz w:val="28"/>
          <w:szCs w:val="28"/>
          <w:highlight w:val="none"/>
        </w:rPr>
        <w:t>由采购人代表和评审专家共</w:t>
      </w:r>
      <w:r>
        <w:rPr>
          <w:rFonts w:hint="eastAsia" w:ascii="宋体" w:hAnsi="宋体" w:eastAsia="宋体" w:cs="宋体"/>
          <w:sz w:val="28"/>
          <w:szCs w:val="28"/>
          <w:highlight w:val="none"/>
        </w:rPr>
        <w:t>3人</w:t>
      </w:r>
      <w:r>
        <w:rPr>
          <w:rFonts w:hint="eastAsia" w:ascii="宋体" w:hAnsi="宋体" w:cs="宋体"/>
          <w:sz w:val="28"/>
          <w:szCs w:val="28"/>
          <w:highlight w:val="none"/>
          <w:lang w:eastAsia="zh-CN"/>
        </w:rPr>
        <w:t>及</w:t>
      </w:r>
      <w:r>
        <w:rPr>
          <w:rFonts w:hint="eastAsia" w:ascii="宋体" w:hAnsi="宋体" w:eastAsia="宋体" w:cs="宋体"/>
          <w:sz w:val="28"/>
          <w:szCs w:val="28"/>
          <w:highlight w:val="none"/>
        </w:rPr>
        <w:t>以上单数组成，其中评审专家人数不得少于竞争性谈判小组成员总数的2/3。采购人不得以评审专家身份参加本部门或本单位采购项目的评审。</w:t>
      </w:r>
      <w:r>
        <w:rPr>
          <w:rFonts w:hint="eastAsia" w:ascii="宋体" w:hAnsi="宋体" w:eastAsia="宋体" w:cs="宋体"/>
          <w:sz w:val="28"/>
          <w:szCs w:val="28"/>
          <w:highlight w:val="none"/>
          <w:lang w:val="en-US" w:eastAsia="zh-CN"/>
        </w:rPr>
        <w:t>采购代理机构</w:t>
      </w:r>
      <w:r>
        <w:rPr>
          <w:rFonts w:hint="eastAsia" w:ascii="宋体" w:hAnsi="宋体" w:eastAsia="宋体" w:cs="宋体"/>
          <w:sz w:val="28"/>
          <w:szCs w:val="28"/>
          <w:highlight w:val="none"/>
        </w:rPr>
        <w:t>人员不得参加本机构代理的采购项目的评审。</w:t>
      </w:r>
    </w:p>
    <w:p w14:paraId="56D7648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2.3达到公开招标限额标准的货物或者服务采购项目，竞争性谈判小组应当由5人以上单数组成。</w:t>
      </w:r>
    </w:p>
    <w:p w14:paraId="2EE3B1B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2.4采用竞争性谈判的政府采购项目，评审专家应当从政府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14:paraId="135B77B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2.5谈判小组独立工作，负责评审所有响应文件并确定成交候选人。</w:t>
      </w:r>
    </w:p>
    <w:p w14:paraId="133641E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3.谈判评审过程的保密与公正</w:t>
      </w:r>
    </w:p>
    <w:p w14:paraId="4169555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3.1谈判小组、采购人</w:t>
      </w:r>
      <w:r>
        <w:rPr>
          <w:rFonts w:hint="eastAsia" w:ascii="宋体" w:hAnsi="宋体" w:eastAsia="宋体" w:cs="宋体"/>
          <w:sz w:val="28"/>
          <w:szCs w:val="28"/>
          <w:highlight w:val="none"/>
          <w:lang w:val="en-US" w:eastAsia="zh-CN"/>
        </w:rPr>
        <w:t>和采购代理机构工作人员</w:t>
      </w:r>
      <w:r>
        <w:rPr>
          <w:rFonts w:hint="eastAsia" w:ascii="宋体" w:hAnsi="宋体" w:eastAsia="宋体" w:cs="宋体"/>
          <w:sz w:val="28"/>
          <w:szCs w:val="28"/>
          <w:highlight w:val="none"/>
        </w:rPr>
        <w:t>、相关监督人员等与评审工作有关的人员，对评审情况以及在评审过程中获悉的国家秘密、商业秘密负有保密责任。</w:t>
      </w:r>
    </w:p>
    <w:p w14:paraId="0820672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3.2在谈判评审过程中，谈判供应商不得以任何行为影响谈判评审过程，否则其响应文件将被作为无效响应文件。</w:t>
      </w:r>
    </w:p>
    <w:p w14:paraId="5C3DC6D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3.3谈判小组成员应当按照客观、公正、审慎的原则，根据谈判文件规定的评审程序、评审方法和评审标准进行独立评审。未实质性响应谈判文件的响应文件按无效响应处理，谈判小组应当告知提交响应文件的供应商。</w:t>
      </w:r>
    </w:p>
    <w:p w14:paraId="5CD5689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3.4评审开始后，直至向成交供应商授予合同时止，凡是与审查、澄清、评价和比较响应的有关资料以及授标建议等，采购人、谈判小组</w:t>
      </w:r>
      <w:r>
        <w:rPr>
          <w:rFonts w:hint="eastAsia" w:ascii="宋体" w:hAnsi="宋体" w:eastAsia="宋体" w:cs="宋体"/>
          <w:sz w:val="28"/>
          <w:szCs w:val="28"/>
          <w:highlight w:val="none"/>
          <w:lang w:eastAsia="zh-CN"/>
        </w:rPr>
        <w:t>、</w:t>
      </w:r>
      <w:r>
        <w:rPr>
          <w:rFonts w:hint="eastAsia" w:ascii="宋体" w:hAnsi="宋体" w:eastAsia="宋体" w:cs="宋体"/>
          <w:sz w:val="28"/>
          <w:szCs w:val="28"/>
          <w:highlight w:val="none"/>
          <w:lang w:val="en-US" w:eastAsia="zh-CN"/>
        </w:rPr>
        <w:t>采购代理机构工作人员</w:t>
      </w:r>
      <w:r>
        <w:rPr>
          <w:rFonts w:hint="eastAsia" w:ascii="宋体" w:hAnsi="宋体" w:eastAsia="宋体" w:cs="宋体"/>
          <w:sz w:val="28"/>
          <w:szCs w:val="28"/>
          <w:highlight w:val="none"/>
        </w:rPr>
        <w:t>均不得向供应商或与评审无关的其他人员透露。</w:t>
      </w:r>
    </w:p>
    <w:p w14:paraId="7A25FEB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3.5在评审期间，</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将设专门人员与供应商联系。</w:t>
      </w:r>
    </w:p>
    <w:p w14:paraId="6B5DDFF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3.6</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和评审小组不向未成交的供应商解释未成交原因，也不公布评审过程中的相关细节。</w:t>
      </w:r>
    </w:p>
    <w:p w14:paraId="5CFEEBC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4.评审过程的澄清</w:t>
      </w:r>
    </w:p>
    <w:p w14:paraId="2D8378B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4.1评审期间，为有助于对响应文件的审查、评价和比较，谈判小组有权以电子函件形式要求响应人对其响应文件进行澄清，但并非对每个供应商都作澄清要求。</w:t>
      </w:r>
    </w:p>
    <w:p w14:paraId="098B380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4.2接到谈判小组澄清要求的供应商应派人按谈判小组规定的时间和格式在“苏采云”系统中做出澄清，澄清的内容作为响应文件的补充部分，但实质性的内容不得做任何更改。具体操作方式见《江苏省政府采购管理交易系统（苏采云）供应商操作指南》。</w:t>
      </w:r>
    </w:p>
    <w:p w14:paraId="2DDE5BA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4.3接到谈判小组澄清要求的供应商如未按规定做出澄清，其风险由供应商自行承担。</w:t>
      </w:r>
    </w:p>
    <w:p w14:paraId="7526FD1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5.对响应文件的初审</w:t>
      </w:r>
    </w:p>
    <w:p w14:paraId="33DB43B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5.1响应文件初审分为资格性审查和符合性审查。</w:t>
      </w:r>
    </w:p>
    <w:p w14:paraId="230D75B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5.1.1资格性审查：依据法律法规和谈判文件的规定，由谈判小组对响应文件中的资格审查证明材料进行审查，以确定供应商是否具备参加谈判的资格。</w:t>
      </w:r>
    </w:p>
    <w:p w14:paraId="3AF3A7F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谈判小组在进行资格性审查的同时，将在“信用中国”网站查询供应商的信用记录，以确定供应商是否具备参加谈判的资格，查询结果留存并归档。</w:t>
      </w:r>
    </w:p>
    <w:p w14:paraId="5CFA04C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5.1.2符合性审查：依据谈判文件的规定，由谈判小组从响应文件的有效性、完整性和对谈判文件的响应程度进行审查，以确定是否对谈判文件的实质性要求作出响应。</w:t>
      </w:r>
    </w:p>
    <w:p w14:paraId="0850ECF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5.1.3未通过资格审查或符合性审查的响应供应商，</w:t>
      </w:r>
      <w:r>
        <w:rPr>
          <w:rFonts w:hint="eastAsia" w:ascii="宋体" w:hAnsi="宋体" w:eastAsia="宋体" w:cs="宋体"/>
          <w:sz w:val="28"/>
          <w:szCs w:val="28"/>
          <w:highlight w:val="none"/>
          <w:lang w:eastAsia="zh-CN"/>
        </w:rPr>
        <w:t>采购代理机构</w:t>
      </w:r>
      <w:r>
        <w:rPr>
          <w:rFonts w:hint="eastAsia" w:ascii="宋体" w:hAnsi="宋体" w:eastAsia="宋体" w:cs="宋体"/>
          <w:sz w:val="28"/>
          <w:szCs w:val="28"/>
          <w:highlight w:val="none"/>
        </w:rPr>
        <w:t>将告知未通过资格审查或符合性审查的原因，评审结束后，</w:t>
      </w:r>
      <w:r>
        <w:rPr>
          <w:rFonts w:hint="eastAsia" w:ascii="宋体" w:hAnsi="宋体" w:eastAsia="宋体" w:cs="宋体"/>
          <w:sz w:val="28"/>
          <w:szCs w:val="28"/>
          <w:highlight w:val="none"/>
          <w:lang w:eastAsia="zh-CN"/>
        </w:rPr>
        <w:t>采购代理机构</w:t>
      </w:r>
      <w:r>
        <w:rPr>
          <w:rFonts w:hint="eastAsia" w:ascii="宋体" w:hAnsi="宋体" w:eastAsia="宋体" w:cs="宋体"/>
          <w:sz w:val="28"/>
          <w:szCs w:val="28"/>
          <w:highlight w:val="none"/>
        </w:rPr>
        <w:t>将不再告知未通过资格审查或符合性审查的原因。</w:t>
      </w:r>
    </w:p>
    <w:p w14:paraId="7EF42F3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5.2在正式谈判之前，谈判小组将首先审查每份响应文件是否实质性响应了谈判文件的要求。实质性响应的响应文件应该是与谈判文件要求的全部条款、条件和规格相符，没有重大负偏离或保留。</w:t>
      </w:r>
    </w:p>
    <w:p w14:paraId="1917CD0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所谓重大负偏离或保留是指与谈判文件规定的实质性要求存在负偏离，或者在实质上与谈判文件不一致，而且限制了合同中买方和见证方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p>
    <w:p w14:paraId="648D488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5.3如果响应文件实质上没有响应谈判文件的要求，谈判小组将予以拒绝，供应商不得通过修改或撤销不合要求的偏离或保留而使其响应文件成为实质性响应的文件。</w:t>
      </w:r>
    </w:p>
    <w:p w14:paraId="13092B7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5.4谈判小组将对确定为实质性响应的文件进行进一步审核，看其是否有计算上或累加上的算术错误，修正错误的原则如下：</w:t>
      </w:r>
    </w:p>
    <w:p w14:paraId="0739608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（1）响应文件中谈判报价表内容与响应文件中相应内容不一致的，以谈判报价表为准。</w:t>
      </w:r>
    </w:p>
    <w:p w14:paraId="10A1AEC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（2）大写金额和小写金额不一致的，以大写金额为准。</w:t>
      </w:r>
    </w:p>
    <w:p w14:paraId="3F13D25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（3）单价金额小数点或者百分比有明显错位的，以谈判报价表的总价为准，并修改单价。</w:t>
      </w:r>
    </w:p>
    <w:p w14:paraId="6A5705D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（4）总价金额与按单价汇总金额不一致的，以单价金额计算结果为准。</w:t>
      </w:r>
    </w:p>
    <w:p w14:paraId="4EED8DB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同时出现两种以上错误的，按照前款规定的顺序修正。</w:t>
      </w:r>
    </w:p>
    <w:p w14:paraId="0BEC3A7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5.5谈判小组将按上述修正错误的方法调整响应文件中的报价，并通过“苏采云”系统告知供应商，调整后的价格应对供应商具有约束力。如果供应商不接受修正后的价格，则其谈判活动将被拒绝。</w:t>
      </w:r>
    </w:p>
    <w:p w14:paraId="48F5286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5.6谈判小组将允许修正响应文件中不构成重大偏离的、微小的、非正规的、不一致的或不规则的地方，但这些修改不能影响任何供应商相应的名次排列。</w:t>
      </w:r>
    </w:p>
    <w:p w14:paraId="433C26B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5.7提供相同品牌相同型号产品的不同供应商参加同一合同项下谈判的，以其中通过资格审查、符合性审查且报价最低的参加谈判；报价相同的，由谈判小组按照随机抽取的方式确定一个参加谈判的供应商。</w:t>
      </w:r>
    </w:p>
    <w:p w14:paraId="02D3B1B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非单一产品采购项目，谈判文件中将载明其中的核心产品。多家供应商提供的核心产品品牌相同的，按前款规定处理。</w:t>
      </w:r>
    </w:p>
    <w:p w14:paraId="5DAF082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5.8供应商在评审全过程中应保持通讯畅通，并安排专人与</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及谈判小组联系。</w:t>
      </w:r>
    </w:p>
    <w:p w14:paraId="11C8D82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6.被认定为未实质性响应谈判文件的响应文件的情形。</w:t>
      </w:r>
    </w:p>
    <w:p w14:paraId="1C94ADA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6.1出现下列情形之一的，作无效响应处理。</w:t>
      </w:r>
      <w:r>
        <w:rPr>
          <w:rFonts w:hint="eastAsia" w:ascii="宋体" w:hAnsi="宋体" w:eastAsia="宋体" w:cs="宋体"/>
          <w:sz w:val="28"/>
          <w:szCs w:val="28"/>
          <w:highlight w:val="none"/>
        </w:rPr>
        <w:tab/>
      </w:r>
      <w:r>
        <w:rPr>
          <w:rFonts w:hint="eastAsia" w:ascii="宋体" w:hAnsi="宋体" w:eastAsia="宋体" w:cs="宋体"/>
          <w:sz w:val="28"/>
          <w:szCs w:val="28"/>
          <w:highlight w:val="none"/>
        </w:rPr>
        <w:tab/>
      </w:r>
    </w:p>
    <w:p w14:paraId="38B542A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6.1.1供应商在“苏采云”系统规定的时间内未成功解密电子响应文件的。</w:t>
      </w:r>
    </w:p>
    <w:p w14:paraId="092118B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6.1.2未完整上传响应文件电子文档的,或上传的文件打不开的。</w:t>
      </w:r>
    </w:p>
    <w:p w14:paraId="37FDC85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6.1.3同一供应商提交两个（含两个）以上不同的响应报价的。</w:t>
      </w:r>
    </w:p>
    <w:p w14:paraId="554EB46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6.1.4不具备谈判文件中规定的资格要求的。</w:t>
      </w:r>
    </w:p>
    <w:p w14:paraId="1341002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6.1.5响应报价超过了采购预算或最高限价的。</w:t>
      </w:r>
    </w:p>
    <w:p w14:paraId="5CF50D5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6.1.6未通过符合性检查的。</w:t>
      </w:r>
    </w:p>
    <w:p w14:paraId="2D76592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6.1.7不符合法律、法规和谈判文件中规定的其他实质性要求的。</w:t>
      </w:r>
    </w:p>
    <w:p w14:paraId="22FAA21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6.1.8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14:paraId="500A9C9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6.1.9响应文件含有采购人不能接受的附加条件的。</w:t>
      </w:r>
    </w:p>
    <w:p w14:paraId="66B319D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6.1.10异常低价投标（响应）审查的情形和具体要求：</w:t>
      </w:r>
    </w:p>
    <w:p w14:paraId="0C22DDB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（一）评审过程中出现下列情形之一的，谈判小组应当启动异常低价投标（响应）审查程序：</w:t>
      </w:r>
    </w:p>
    <w:p w14:paraId="618A6C2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投标（响应）报价低于全部通过符合性审查供应商投标（响应）报价平均值50%的，即投标（响应）报价&lt;全部通过符合性审查供应商投标（响应）报价平均值×50%；</w:t>
      </w:r>
    </w:p>
    <w:p w14:paraId="6B82CF2C">
      <w:pPr>
        <w:spacing w:line="500" w:lineRule="exact"/>
        <w:ind w:firstLine="56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w:t>
      </w:r>
      <w:r>
        <w:rPr>
          <w:rFonts w:hint="eastAsia" w:ascii="宋体" w:hAnsi="宋体" w:eastAsia="宋体" w:cs="宋体"/>
          <w:sz w:val="28"/>
          <w:szCs w:val="28"/>
          <w:highlight w:val="none"/>
        </w:rPr>
        <w:t>投标（响应）报价低于通过符合性审查的次低报价供应商投标（响应）报价50%的，即投标（响应）报价&lt;通过符合性审查的次低报价供应商投标（响应）报价×50%；</w:t>
      </w:r>
    </w:p>
    <w:p w14:paraId="3A53BAD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3.</w:t>
      </w:r>
      <w:r>
        <w:rPr>
          <w:rFonts w:hint="eastAsia" w:ascii="宋体" w:hAnsi="宋体" w:eastAsia="宋体" w:cs="宋体"/>
          <w:sz w:val="28"/>
          <w:szCs w:val="28"/>
          <w:highlight w:val="none"/>
        </w:rPr>
        <w:t>投标（响应）报价低于采购项目最高限价</w:t>
      </w:r>
      <w:r>
        <w:rPr>
          <w:rFonts w:hint="eastAsia" w:ascii="宋体" w:hAnsi="宋体" w:cs="宋体"/>
          <w:sz w:val="28"/>
          <w:szCs w:val="28"/>
          <w:highlight w:val="none"/>
          <w:lang w:val="en-US" w:eastAsia="zh-CN"/>
        </w:rPr>
        <w:t>65</w:t>
      </w:r>
      <w:r>
        <w:rPr>
          <w:rFonts w:hint="eastAsia" w:ascii="宋体" w:hAnsi="宋体" w:eastAsia="宋体" w:cs="宋体"/>
          <w:sz w:val="28"/>
          <w:szCs w:val="28"/>
          <w:highlight w:val="none"/>
        </w:rPr>
        <w:t>%的，即投标（响应）报价&lt;采购项目最高限价×</w:t>
      </w:r>
      <w:r>
        <w:rPr>
          <w:rFonts w:hint="eastAsia" w:ascii="宋体" w:hAnsi="宋体" w:cs="宋体"/>
          <w:sz w:val="28"/>
          <w:szCs w:val="28"/>
          <w:highlight w:val="none"/>
          <w:lang w:val="en-US" w:eastAsia="zh-CN"/>
        </w:rPr>
        <w:t>65</w:t>
      </w:r>
      <w:r>
        <w:rPr>
          <w:rFonts w:hint="eastAsia" w:ascii="宋体" w:hAnsi="宋体" w:eastAsia="宋体" w:cs="宋体"/>
          <w:sz w:val="28"/>
          <w:szCs w:val="28"/>
          <w:highlight w:val="none"/>
        </w:rPr>
        <w:t>%；</w:t>
      </w:r>
    </w:p>
    <w:p w14:paraId="3FE378E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4.</w:t>
      </w:r>
      <w:r>
        <w:rPr>
          <w:rFonts w:hint="eastAsia" w:ascii="宋体" w:hAnsi="宋体" w:eastAsia="宋体" w:cs="宋体"/>
          <w:sz w:val="28"/>
          <w:szCs w:val="28"/>
          <w:highlight w:val="none"/>
        </w:rPr>
        <w:t>谈判小组基于专业判断，认为供应商报价过低，有可能影响产品质量或者不能诚信履约的其他情形。</w:t>
      </w:r>
    </w:p>
    <w:p w14:paraId="3A0AB56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（二）启动异常低价投标（响应）审查后，属于前述第1 项至第4 项情形的，谈判小组应当要求相关供应商通过“苏采云”系统在</w:t>
      </w:r>
      <w:r>
        <w:rPr>
          <w:rFonts w:hint="eastAsia" w:ascii="宋体" w:hAnsi="宋体" w:cs="宋体"/>
          <w:sz w:val="28"/>
          <w:szCs w:val="28"/>
          <w:highlight w:val="none"/>
          <w:lang w:val="en-US" w:eastAsia="zh-CN"/>
        </w:rPr>
        <w:t>30分钟</w:t>
      </w:r>
      <w:r>
        <w:rPr>
          <w:rFonts w:hint="eastAsia" w:ascii="宋体" w:hAnsi="宋体" w:eastAsia="宋体" w:cs="宋体"/>
          <w:sz w:val="28"/>
          <w:szCs w:val="28"/>
          <w:highlight w:val="none"/>
        </w:rPr>
        <w:t>内对投标（响应）价格作出解释，提供项目具体成本测算等与报价合理性相关的书面说明及必要的证明材料，包括但不限于原材料成本、人工成本、制造费用等</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其中，属于第3 项情形，供应商已随投标（响应）文件一并提交相关书面说明及必要的证明材料的，在评审时可不再重复提交。</w:t>
      </w:r>
    </w:p>
    <w:p w14:paraId="32DA84D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谈判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谈判小组应当将其作为无效投标（响应）处理。</w:t>
      </w:r>
    </w:p>
    <w:p w14:paraId="3950DBF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采购人、采购代理机构应当为谈判小组在评审现场及时获取同类项目中标（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3C80C5B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异常低价投标（响应）审查的启动原因、审查意见和审查结果应当在评审报告中记录，并随供应商提供的相关书面说明及证明材料，以及谈判小组有关互联网浏览、查询历史一并归档。</w:t>
      </w:r>
    </w:p>
    <w:p w14:paraId="289F86A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6.1.11本项目采购产品被财政部、国家发展和改革委员会、生态环境部等列入“节能产品品目清单”、“环境标志产品品目清单”强制采购范围，而供应商所响应产品不在强制采购范围内的。（所响应产品如属于政府强制采购节能产品品目清单范围内，响应文件中必须提供国家确定的认证机构出具的、处于有效期之内的该节能产品认证证书扫描件）。</w:t>
      </w:r>
    </w:p>
    <w:p w14:paraId="5C76159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6.1.12响应文件未按照响应文件要求加盖电子签章。</w:t>
      </w:r>
    </w:p>
    <w:p w14:paraId="791C52B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6.1.13不同供应商的响应文件经系统查询Mac地址、标书制作工具客户端标识码一致的。（符合本条款不同的供应商不得参加本项目的后续采购事项，并移送政府采购监管部门进行处理。）</w:t>
      </w:r>
    </w:p>
    <w:p w14:paraId="6DF09DF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6.1.14其他法律、法规及本谈判文件规定的属无效响应的情形。</w:t>
      </w:r>
    </w:p>
    <w:p w14:paraId="3D0732B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6.2出现下列情形之一的，谈判失败。</w:t>
      </w:r>
    </w:p>
    <w:p w14:paraId="323DF00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6.2.1符合条件的供应商或者对谈判文件作实质响应的供应商不足3家的，符合《政府采购非招标采购方式管理暂行办法》第二十七条第二款规定情形：技术复杂或者性质特殊，不能确定详细规格或者具体要求的，提交最后报价的供应商可以为2家。</w:t>
      </w:r>
    </w:p>
    <w:p w14:paraId="3BD4E5B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6.2.2出现影响采购公正的违法违规行为的；</w:t>
      </w:r>
    </w:p>
    <w:p w14:paraId="2E689DE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6.2.3因重大变故，采购任务取消的。</w:t>
      </w:r>
    </w:p>
    <w:p w14:paraId="67732A6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6.2.4谈判小组认定谈判文件存在歧义、重大缺陷导致评审工作无法进行。</w:t>
      </w:r>
    </w:p>
    <w:p w14:paraId="6BAC1170">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6.2.5因“苏采云”系统系统故障原因造成谈判不成功的。</w:t>
      </w:r>
    </w:p>
    <w:p w14:paraId="174E38C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6.3响应文件提交截止时间结束后参加谈判的供应商不足三家的处理：</w:t>
      </w:r>
    </w:p>
    <w:p w14:paraId="6C0D0789">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6.3.1如出现响应文件提交截止时间结束后参加谈判的供应商或者在评审期间对谈判文件做出实质响应的供应商不足三家情况，按政府采购相关规定执行。</w:t>
      </w:r>
    </w:p>
    <w:bookmarkEnd w:id="71"/>
    <w:bookmarkEnd w:id="72"/>
    <w:bookmarkEnd w:id="73"/>
    <w:p w14:paraId="6A82521E">
      <w:pPr>
        <w:spacing w:line="500" w:lineRule="exact"/>
        <w:ind w:firstLine="560"/>
        <w:rPr>
          <w:rFonts w:hint="eastAsia" w:ascii="宋体" w:hAnsi="宋体" w:eastAsia="宋体" w:cs="宋体"/>
          <w:sz w:val="28"/>
          <w:szCs w:val="28"/>
          <w:highlight w:val="none"/>
        </w:rPr>
      </w:pPr>
      <w:bookmarkStart w:id="74" w:name="_Toc120614219"/>
      <w:r>
        <w:rPr>
          <w:rFonts w:hint="eastAsia" w:ascii="宋体" w:hAnsi="宋体" w:eastAsia="宋体" w:cs="宋体"/>
          <w:sz w:val="28"/>
          <w:szCs w:val="28"/>
          <w:highlight w:val="none"/>
        </w:rPr>
        <w:t>（六）</w:t>
      </w:r>
      <w:bookmarkEnd w:id="74"/>
      <w:r>
        <w:rPr>
          <w:rFonts w:hint="eastAsia" w:ascii="宋体" w:hAnsi="宋体" w:eastAsia="宋体" w:cs="宋体"/>
          <w:sz w:val="28"/>
          <w:szCs w:val="28"/>
          <w:highlight w:val="none"/>
        </w:rPr>
        <w:t>成交</w:t>
      </w:r>
    </w:p>
    <w:p w14:paraId="7A20E27A">
      <w:pPr>
        <w:spacing w:line="500" w:lineRule="exact"/>
        <w:ind w:firstLine="560"/>
        <w:rPr>
          <w:rFonts w:hint="eastAsia" w:ascii="宋体" w:hAnsi="宋体" w:eastAsia="宋体" w:cs="宋体"/>
          <w:sz w:val="28"/>
          <w:szCs w:val="28"/>
          <w:highlight w:val="none"/>
        </w:rPr>
      </w:pPr>
      <w:bookmarkStart w:id="75" w:name="_Toc20823310"/>
      <w:bookmarkStart w:id="76" w:name="_Toc16938554"/>
      <w:r>
        <w:rPr>
          <w:rFonts w:hint="eastAsia" w:ascii="宋体" w:hAnsi="宋体" w:eastAsia="宋体" w:cs="宋体"/>
          <w:sz w:val="28"/>
          <w:szCs w:val="28"/>
          <w:highlight w:val="none"/>
        </w:rPr>
        <w:t>1.确定</w:t>
      </w:r>
      <w:bookmarkEnd w:id="75"/>
      <w:bookmarkEnd w:id="76"/>
      <w:r>
        <w:rPr>
          <w:rFonts w:hint="eastAsia" w:ascii="宋体" w:hAnsi="宋体" w:eastAsia="宋体" w:cs="宋体"/>
          <w:sz w:val="28"/>
          <w:szCs w:val="28"/>
          <w:highlight w:val="none"/>
        </w:rPr>
        <w:t>成交单位</w:t>
      </w:r>
    </w:p>
    <w:p w14:paraId="20CB268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1.1成交候选供应商的选取原则和数量见谈判文件第四部分规定。</w:t>
      </w:r>
    </w:p>
    <w:p w14:paraId="78AF59A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1.2采购人从评审报告提出的成交候选供应商中，根据质量和服务均能满足采购文件实质性响应要求且最后报价最低的原则确定成交供应商。</w:t>
      </w:r>
    </w:p>
    <w:p w14:paraId="2C83AEA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1.3</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将在江苏政府采购网发布成交结果公告，公告期限为1个工作日。</w:t>
      </w:r>
    </w:p>
    <w:p w14:paraId="1C50683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1.4若有充分证据证明，成交供应商出现下列情况之一的，一经查实，将被取消成交资格：</w:t>
      </w:r>
    </w:p>
    <w:p w14:paraId="75A65C8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1.4.1提供虚假材料谋取成交的。</w:t>
      </w:r>
    </w:p>
    <w:p w14:paraId="7BFFAD7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1.4.2向</w:t>
      </w:r>
      <w:r>
        <w:rPr>
          <w:rFonts w:hint="eastAsia" w:ascii="宋体" w:hAnsi="宋体" w:eastAsia="宋体" w:cs="宋体"/>
          <w:sz w:val="28"/>
          <w:szCs w:val="28"/>
          <w:highlight w:val="none"/>
          <w:lang w:eastAsia="zh-CN"/>
        </w:rPr>
        <w:t>采购人</w:t>
      </w:r>
      <w:r>
        <w:rPr>
          <w:rFonts w:hint="eastAsia" w:ascii="宋体" w:hAnsi="宋体" w:cs="宋体"/>
          <w:sz w:val="28"/>
          <w:szCs w:val="28"/>
          <w:highlight w:val="none"/>
          <w:lang w:eastAsia="zh-CN"/>
        </w:rPr>
        <w:t>、</w:t>
      </w:r>
      <w:r>
        <w:rPr>
          <w:rFonts w:hint="eastAsia" w:ascii="宋体" w:hAnsi="宋体" w:cs="宋体"/>
          <w:sz w:val="28"/>
          <w:szCs w:val="28"/>
          <w:highlight w:val="none"/>
          <w:lang w:val="en-US" w:eastAsia="zh-CN"/>
        </w:rPr>
        <w:t>采购代理机构</w:t>
      </w:r>
      <w:r>
        <w:rPr>
          <w:rFonts w:hint="eastAsia" w:ascii="宋体" w:hAnsi="宋体" w:eastAsia="宋体" w:cs="宋体"/>
          <w:sz w:val="28"/>
          <w:szCs w:val="28"/>
          <w:highlight w:val="none"/>
        </w:rPr>
        <w:t>行贿或者评审专家提供其他不正当利益的。</w:t>
      </w:r>
    </w:p>
    <w:p w14:paraId="3024D7E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1.4.3恶意竞争，最终总报价明显低于其自身合理成本且又无法提供证明的。</w:t>
      </w:r>
    </w:p>
    <w:p w14:paraId="432F1FC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1.4.4属于本文件规定的无效条件，但在评审过程中又未被谈判小组会发现的。</w:t>
      </w:r>
    </w:p>
    <w:p w14:paraId="333DB36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1.4.5与采购人或者其他供应商恶意串通的。</w:t>
      </w:r>
    </w:p>
    <w:p w14:paraId="7B82181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1.4.6采取不正当手段诋毁、排挤其他供应商的。</w:t>
      </w:r>
    </w:p>
    <w:p w14:paraId="42FC0D23">
      <w:pPr>
        <w:spacing w:line="500" w:lineRule="exact"/>
        <w:ind w:firstLine="560"/>
        <w:rPr>
          <w:rFonts w:hint="eastAsia" w:ascii="宋体" w:hAnsi="宋体" w:eastAsia="宋体" w:cs="宋体"/>
          <w:sz w:val="28"/>
          <w:szCs w:val="28"/>
          <w:highlight w:val="none"/>
        </w:rPr>
      </w:pPr>
      <w:bookmarkStart w:id="77" w:name="_Toc200451960"/>
      <w:r>
        <w:rPr>
          <w:rFonts w:hint="eastAsia" w:ascii="宋体" w:hAnsi="宋体" w:eastAsia="宋体" w:cs="宋体"/>
          <w:sz w:val="28"/>
          <w:szCs w:val="28"/>
          <w:highlight w:val="none"/>
        </w:rPr>
        <w:t>1.5.有下列情形之一的，视为供应商串通参与谈判，响应无效：</w:t>
      </w:r>
    </w:p>
    <w:p w14:paraId="7A60995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1.5.1不同供应商的响应文件由同一单位或者个人编制；</w:t>
      </w:r>
    </w:p>
    <w:p w14:paraId="2D83437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1.5.2不同供应商委托同一单位或者个人办理谈判事宜；</w:t>
      </w:r>
    </w:p>
    <w:p w14:paraId="19FEE03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1.5.3不同供应商的响应文件载明的项目管理成员或者联系人员为同一人；</w:t>
      </w:r>
    </w:p>
    <w:p w14:paraId="29593C4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1.5.4不同供应商的响应文件异常一致或者响应报价呈规律性差异。</w:t>
      </w:r>
    </w:p>
    <w:p w14:paraId="1111FCC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2.质疑处理</w:t>
      </w:r>
      <w:bookmarkEnd w:id="77"/>
    </w:p>
    <w:p w14:paraId="59C7008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2.1提出质疑的供应商应当是参与所质疑项目采购活动的供应商。潜在供应商依法获取其可质疑的谈判文件的，可以对谈判文件提出质疑。</w:t>
      </w:r>
    </w:p>
    <w:p w14:paraId="0BF8EDFA">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2.2供应商认为谈判文件、采购过程和采购结果使自己的权益受到损害的，可以在知道或应知其权益受到损害之日起7个工作日内，以书面形式向采购人提出质疑。上述应知其权益受到损害之日，是指：</w:t>
      </w:r>
    </w:p>
    <w:p w14:paraId="2D594D7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2.2.1对可以质疑的谈判文件提出质疑的，为收到谈判文件之日或者谈判文件公告期限届满之日；</w:t>
      </w:r>
    </w:p>
    <w:p w14:paraId="4BCC474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2.2.2对采购过程提出质疑的，为各采购程序环节结束之日；</w:t>
      </w:r>
    </w:p>
    <w:p w14:paraId="1960704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2.2.3对成交结果提出质疑的，为成交结果公告期限届满之日。</w:t>
      </w:r>
    </w:p>
    <w:p w14:paraId="3A523EE2">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供应商应当在法定质疑期内一次性提出针对同一采购程序环节的质疑。</w:t>
      </w:r>
    </w:p>
    <w:p w14:paraId="3052D0B1">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2.3质疑函必须按照本谈判文件中《质疑函范本》要求的格式和内容进行填写。供应商如组成联合体参加谈判，则《质疑函范本》中要求签字、盖章、加盖公章之处，联合体各方均须按要求签字、盖章、加盖公章。</w:t>
      </w:r>
    </w:p>
    <w:p w14:paraId="0EE6642D">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2.4对采购方式、谈判文件中项目需求、供应商资格条件、评审方法和评审标准、资格审查结果等应当由采购人答复的质疑，请向采购人提出，由采购人负责答复。供应商对其他事项的质疑，请向</w:t>
      </w:r>
      <w:r>
        <w:rPr>
          <w:rFonts w:hint="eastAsia" w:ascii="宋体" w:hAnsi="宋体" w:eastAsia="宋体" w:cs="宋体"/>
          <w:sz w:val="28"/>
          <w:szCs w:val="28"/>
          <w:highlight w:val="none"/>
          <w:lang w:eastAsia="zh-CN"/>
        </w:rPr>
        <w:t>采购代理机构</w:t>
      </w:r>
      <w:r>
        <w:rPr>
          <w:rFonts w:hint="eastAsia" w:ascii="宋体" w:hAnsi="宋体" w:eastAsia="宋体" w:cs="宋体"/>
          <w:sz w:val="28"/>
          <w:szCs w:val="28"/>
          <w:highlight w:val="none"/>
        </w:rPr>
        <w:t>提出，由</w:t>
      </w:r>
      <w:r>
        <w:rPr>
          <w:rFonts w:hint="eastAsia" w:ascii="宋体" w:hAnsi="宋体" w:eastAsia="宋体" w:cs="宋体"/>
          <w:sz w:val="28"/>
          <w:szCs w:val="28"/>
          <w:highlight w:val="none"/>
          <w:lang w:eastAsia="zh-CN"/>
        </w:rPr>
        <w:t>采购代理机构</w:t>
      </w:r>
      <w:r>
        <w:rPr>
          <w:rFonts w:hint="eastAsia" w:ascii="宋体" w:hAnsi="宋体" w:eastAsia="宋体" w:cs="宋体"/>
          <w:sz w:val="28"/>
          <w:szCs w:val="28"/>
          <w:highlight w:val="none"/>
        </w:rPr>
        <w:t>负责答复。</w:t>
      </w:r>
    </w:p>
    <w:p w14:paraId="7E542C3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供应商于法定期限内提起质疑，向采购人以书面形式提交质疑函。</w:t>
      </w:r>
    </w:p>
    <w:p w14:paraId="1CE2B06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采购人质疑接收人及联系方式，见谈判文件第一部分。</w:t>
      </w:r>
    </w:p>
    <w:p w14:paraId="21EBD27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2.5以下情形的质疑不予受理</w:t>
      </w:r>
    </w:p>
    <w:p w14:paraId="193AB42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2.5.1内容不符合《政府采购质疑和投诉办法》第十二条规定的质疑。</w:t>
      </w:r>
    </w:p>
    <w:p w14:paraId="4695FAA7">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2.5.2超出政府采购法定期限的质疑。</w:t>
      </w:r>
    </w:p>
    <w:p w14:paraId="56F7A03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2.5.3未参加谈判活动的供应商或在谈判活动中自身权益未受到损害的供应商所提出的质疑。</w:t>
      </w:r>
    </w:p>
    <w:p w14:paraId="1936F488">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2.5.4供应商组成联合体参加谈判，联合体中任何一方或多方未按要求签字、盖章、加盖公章的质疑。</w:t>
      </w:r>
    </w:p>
    <w:p w14:paraId="576BA39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2.6供应商提出书面质疑必须有理、有据，不得捏造事实、提供虚假材料进行恶意质疑。否则，一经查实，</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有权依据政府采购的有关规定，报请政府采购监管部门对该供应商进行相应的行政处罚和记录该供应商的失信信息。</w:t>
      </w:r>
    </w:p>
    <w:p w14:paraId="0F54CC5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3．成交通知书</w:t>
      </w:r>
    </w:p>
    <w:p w14:paraId="7F01663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3.l成交结果确定后，</w:t>
      </w:r>
      <w:r>
        <w:rPr>
          <w:rFonts w:hint="eastAsia" w:ascii="宋体" w:hAnsi="宋体" w:eastAsia="宋体" w:cs="宋体"/>
          <w:sz w:val="28"/>
          <w:szCs w:val="28"/>
          <w:highlight w:val="none"/>
          <w:lang w:eastAsia="zh-CN"/>
        </w:rPr>
        <w:t>采购人</w:t>
      </w:r>
      <w:r>
        <w:rPr>
          <w:rFonts w:hint="eastAsia" w:ascii="宋体" w:hAnsi="宋体" w:eastAsia="宋体" w:cs="宋体"/>
          <w:sz w:val="28"/>
          <w:szCs w:val="28"/>
          <w:highlight w:val="none"/>
        </w:rPr>
        <w:t>将向成交供应商发出成交通知书（详见谈判文件第四部分）。</w:t>
      </w:r>
    </w:p>
    <w:p w14:paraId="1C6C3A0B">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3.2成交通知书将是合同的一个组成部分。对采购人和成交供应商均具有法律效力。成交通知书发出后，采购人改变成交结果的，或者成交供应商放弃谈判项目的，应当依法承担法律责任。</w:t>
      </w:r>
    </w:p>
    <w:p w14:paraId="481B702E">
      <w:pPr>
        <w:spacing w:line="500" w:lineRule="exact"/>
        <w:ind w:firstLine="560"/>
        <w:rPr>
          <w:rFonts w:hint="eastAsia" w:ascii="宋体" w:hAnsi="宋体" w:eastAsia="宋体" w:cs="宋体"/>
          <w:sz w:val="28"/>
          <w:szCs w:val="28"/>
          <w:highlight w:val="none"/>
        </w:rPr>
      </w:pPr>
      <w:bookmarkStart w:id="78" w:name="_Toc120614220"/>
      <w:bookmarkStart w:id="79" w:name="_Toc16938552"/>
      <w:bookmarkStart w:id="80" w:name="_Toc20823308"/>
      <w:bookmarkStart w:id="81" w:name="_Toc513029236"/>
      <w:r>
        <w:rPr>
          <w:rFonts w:hint="eastAsia" w:ascii="宋体" w:hAnsi="宋体" w:eastAsia="宋体" w:cs="宋体"/>
          <w:sz w:val="28"/>
          <w:szCs w:val="28"/>
          <w:highlight w:val="none"/>
        </w:rPr>
        <w:t>（七）授予合同</w:t>
      </w:r>
      <w:bookmarkEnd w:id="78"/>
    </w:p>
    <w:bookmarkEnd w:id="79"/>
    <w:bookmarkEnd w:id="80"/>
    <w:bookmarkEnd w:id="81"/>
    <w:p w14:paraId="399EB4C6">
      <w:pPr>
        <w:spacing w:line="500" w:lineRule="exact"/>
        <w:ind w:firstLine="560"/>
        <w:rPr>
          <w:rFonts w:hint="eastAsia" w:ascii="宋体" w:hAnsi="宋体" w:eastAsia="宋体" w:cs="宋体"/>
          <w:sz w:val="28"/>
          <w:szCs w:val="28"/>
          <w:highlight w:val="none"/>
        </w:rPr>
      </w:pPr>
      <w:bookmarkStart w:id="82" w:name="_Toc20823309"/>
      <w:bookmarkStart w:id="83" w:name="_Toc513029237"/>
      <w:bookmarkStart w:id="84" w:name="_Toc16938553"/>
      <w:r>
        <w:rPr>
          <w:rFonts w:hint="eastAsia" w:ascii="宋体" w:hAnsi="宋体" w:eastAsia="宋体" w:cs="宋体"/>
          <w:sz w:val="28"/>
          <w:szCs w:val="28"/>
          <w:highlight w:val="none"/>
        </w:rPr>
        <w:t>1.签订合同</w:t>
      </w:r>
    </w:p>
    <w:p w14:paraId="0C6C061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1.l成交供应商应当在成交通知书发出之日起三十日内，按照谈判文件确定的事项与采购人签订政府采购合同。</w:t>
      </w:r>
    </w:p>
    <w:p w14:paraId="76A0056C">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1.2谈判文件、成交供应商的响应文件及谈判过程中有关澄清、承诺文件均应作为合同附件。</w:t>
      </w:r>
    </w:p>
    <w:p w14:paraId="5F327D8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p>
    <w:p w14:paraId="11328CC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2.货物和服务的追加、减少和添购。</w:t>
      </w:r>
    </w:p>
    <w:p w14:paraId="5437A375">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2.1政府采购合同履行中，采购人需追加与合同标的相同的货物和服务的，在不改变合同其他条款的前提下，可以与成交供应商协商签订补充合同，但所有补充合同的采购金额不超过原合同金额10%。</w:t>
      </w:r>
    </w:p>
    <w:p w14:paraId="22692BFF">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2.2采购结束后，采购人若由于各种客观原因，必须对采购项目所牵涉的货物和服务进行适当的减少时，在双方协商一致的前提下，可以按照采购时的价格水平做相应的调减，并据此签订补充合同。</w:t>
      </w:r>
    </w:p>
    <w:bookmarkEnd w:id="82"/>
    <w:bookmarkEnd w:id="83"/>
    <w:bookmarkEnd w:id="84"/>
    <w:p w14:paraId="563B8E56">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3.合同信用融资扶持政策</w:t>
      </w:r>
    </w:p>
    <w:p w14:paraId="5B6D1784">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根据《关于转发江苏省财政厅、中国人民银行南京分行〈关于深入推进政府采购线上合同信用融资工作的通知〉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p>
    <w:p w14:paraId="41620A11">
      <w:pPr>
        <w:spacing w:line="500" w:lineRule="exact"/>
        <w:jc w:val="center"/>
        <w:outlineLvl w:val="0"/>
        <w:rPr>
          <w:rFonts w:hint="eastAsia" w:ascii="宋体" w:hAnsi="宋体" w:eastAsia="宋体" w:cs="宋体"/>
          <w:b/>
          <w:sz w:val="36"/>
          <w:szCs w:val="36"/>
          <w:highlight w:val="none"/>
        </w:rPr>
      </w:pPr>
    </w:p>
    <w:p w14:paraId="7884735B">
      <w:pPr>
        <w:spacing w:line="500" w:lineRule="exact"/>
        <w:jc w:val="center"/>
        <w:outlineLvl w:val="0"/>
        <w:rPr>
          <w:rFonts w:hint="eastAsia" w:ascii="宋体" w:hAnsi="宋体" w:eastAsia="宋体" w:cs="宋体"/>
          <w:b/>
          <w:sz w:val="36"/>
          <w:szCs w:val="36"/>
          <w:highlight w:val="none"/>
        </w:rPr>
      </w:pPr>
    </w:p>
    <w:p w14:paraId="4DC123AF">
      <w:pPr>
        <w:spacing w:line="500" w:lineRule="exact"/>
        <w:jc w:val="center"/>
        <w:outlineLvl w:val="0"/>
        <w:rPr>
          <w:rFonts w:hint="eastAsia" w:ascii="宋体" w:hAnsi="宋体" w:eastAsia="宋体" w:cs="宋体"/>
          <w:b/>
          <w:sz w:val="36"/>
          <w:szCs w:val="36"/>
          <w:highlight w:val="none"/>
        </w:rPr>
      </w:pPr>
    </w:p>
    <w:p w14:paraId="1F597562">
      <w:pPr>
        <w:spacing w:line="500" w:lineRule="exact"/>
        <w:jc w:val="center"/>
        <w:outlineLvl w:val="0"/>
        <w:rPr>
          <w:rFonts w:hint="eastAsia" w:ascii="宋体" w:hAnsi="宋体" w:eastAsia="宋体" w:cs="宋体"/>
          <w:b/>
          <w:sz w:val="36"/>
          <w:szCs w:val="36"/>
          <w:highlight w:val="none"/>
        </w:rPr>
      </w:pPr>
    </w:p>
    <w:p w14:paraId="59A8422C">
      <w:pPr>
        <w:rPr>
          <w:rFonts w:hint="eastAsia" w:ascii="宋体" w:hAnsi="宋体" w:eastAsia="宋体" w:cs="宋体"/>
          <w:bCs/>
          <w:sz w:val="36"/>
          <w:szCs w:val="36"/>
          <w:highlight w:val="none"/>
        </w:rPr>
      </w:pPr>
      <w:r>
        <w:rPr>
          <w:rFonts w:hint="eastAsia" w:ascii="宋体" w:hAnsi="宋体" w:eastAsia="宋体" w:cs="宋体"/>
          <w:bCs/>
          <w:sz w:val="36"/>
          <w:szCs w:val="36"/>
          <w:highlight w:val="none"/>
        </w:rPr>
        <w:br w:type="page"/>
      </w:r>
    </w:p>
    <w:p w14:paraId="572A7A20">
      <w:pPr>
        <w:spacing w:line="500" w:lineRule="exact"/>
        <w:jc w:val="center"/>
        <w:outlineLvl w:val="0"/>
        <w:rPr>
          <w:rFonts w:hint="eastAsia" w:ascii="宋体" w:hAnsi="宋体" w:eastAsia="宋体" w:cs="宋体"/>
          <w:bCs/>
          <w:sz w:val="36"/>
          <w:szCs w:val="36"/>
          <w:highlight w:val="none"/>
        </w:rPr>
      </w:pPr>
      <w:r>
        <w:rPr>
          <w:rFonts w:hint="eastAsia" w:ascii="宋体" w:hAnsi="宋体" w:eastAsia="宋体" w:cs="宋体"/>
          <w:bCs/>
          <w:sz w:val="36"/>
          <w:szCs w:val="36"/>
          <w:highlight w:val="none"/>
        </w:rPr>
        <w:t>第三部分  项目需求</w:t>
      </w:r>
    </w:p>
    <w:p w14:paraId="3C6F3732">
      <w:pPr>
        <w:spacing w:line="500" w:lineRule="exact"/>
        <w:ind w:firstLine="56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14:paraId="721E1823">
      <w:pPr>
        <w:spacing w:line="500" w:lineRule="exact"/>
        <w:ind w:firstLine="56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供应商不能简单照搬照抄谈判文件项目需求说明中的技术、商务要求，必须作实事求是的响应。如供应商提供的货物和服务同采购人提出的项目需求说明中的技术、商务要求不同的，必须在《商务部分正负偏离表》和《技术部分正负偏离表》上明示。</w:t>
      </w:r>
    </w:p>
    <w:p w14:paraId="43F186FB">
      <w:pPr>
        <w:spacing w:line="500" w:lineRule="exact"/>
        <w:ind w:firstLine="562"/>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项目需求内容</w:t>
      </w:r>
    </w:p>
    <w:p w14:paraId="41886EAB">
      <w:pPr>
        <w:numPr>
          <w:ilvl w:val="0"/>
          <w:numId w:val="0"/>
        </w:numPr>
        <w:spacing w:line="500" w:lineRule="exact"/>
        <w:ind w:firstLine="562" w:firstLineChars="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bidi="ar-SA"/>
        </w:rPr>
        <w:t>1.</w:t>
      </w:r>
      <w:r>
        <w:rPr>
          <w:rFonts w:hint="eastAsia" w:ascii="宋体" w:hAnsi="宋体" w:eastAsia="宋体" w:cs="宋体"/>
          <w:b/>
          <w:bCs/>
          <w:sz w:val="28"/>
          <w:szCs w:val="28"/>
          <w:highlight w:val="none"/>
          <w:lang w:val="en-US" w:eastAsia="zh-CN"/>
        </w:rPr>
        <w:t>项目服务内容：</w:t>
      </w:r>
      <w:r>
        <w:rPr>
          <w:rFonts w:hint="eastAsia" w:ascii="宋体" w:hAnsi="宋体" w:eastAsia="宋体" w:cs="宋体"/>
          <w:sz w:val="28"/>
          <w:szCs w:val="28"/>
          <w:highlight w:val="none"/>
          <w:lang w:val="en-US" w:eastAsia="zh-CN"/>
        </w:rPr>
        <w:t>本项目为</w:t>
      </w:r>
      <w:r>
        <w:rPr>
          <w:rFonts w:hint="eastAsia" w:ascii="宋体" w:hAnsi="宋体" w:eastAsia="宋体" w:cs="宋体"/>
          <w:snapToGrid w:val="0"/>
          <w:color w:val="000000"/>
          <w:kern w:val="0"/>
          <w:sz w:val="28"/>
          <w:szCs w:val="28"/>
          <w:highlight w:val="none"/>
          <w:lang w:val="en-US" w:eastAsia="zh-CN"/>
        </w:rPr>
        <w:t>启东市王海、南海、通海、</w:t>
      </w:r>
      <w:r>
        <w:rPr>
          <w:rFonts w:hint="eastAsia" w:ascii="宋体" w:hAnsi="宋体" w:cs="宋体"/>
          <w:snapToGrid w:val="0"/>
          <w:color w:val="000000"/>
          <w:kern w:val="0"/>
          <w:sz w:val="28"/>
          <w:szCs w:val="28"/>
          <w:highlight w:val="none"/>
          <w:lang w:val="en-US" w:eastAsia="zh-CN"/>
        </w:rPr>
        <w:t>S255(S221)</w:t>
      </w:r>
      <w:r>
        <w:rPr>
          <w:rFonts w:hint="eastAsia" w:ascii="宋体" w:hAnsi="宋体" w:eastAsia="宋体" w:cs="宋体"/>
          <w:snapToGrid w:val="0"/>
          <w:color w:val="000000"/>
          <w:kern w:val="0"/>
          <w:sz w:val="28"/>
          <w:szCs w:val="28"/>
          <w:highlight w:val="none"/>
          <w:lang w:val="en-US" w:eastAsia="zh-CN"/>
        </w:rPr>
        <w:t>、S336线（城东三角地块）等绿化养护项目（详见附件清单），主要包括王海、南海、</w:t>
      </w:r>
      <w:r>
        <w:rPr>
          <w:rFonts w:hint="eastAsia" w:ascii="宋体" w:hAnsi="宋体" w:cs="宋体"/>
          <w:snapToGrid w:val="0"/>
          <w:color w:val="000000"/>
          <w:kern w:val="0"/>
          <w:sz w:val="28"/>
          <w:szCs w:val="28"/>
          <w:highlight w:val="none"/>
          <w:lang w:val="en-US" w:eastAsia="zh-CN"/>
        </w:rPr>
        <w:t>S255(S221)</w:t>
      </w:r>
      <w:r>
        <w:rPr>
          <w:rFonts w:hint="eastAsia" w:ascii="宋体" w:hAnsi="宋体" w:eastAsia="宋体" w:cs="宋体"/>
          <w:snapToGrid w:val="0"/>
          <w:color w:val="000000"/>
          <w:kern w:val="0"/>
          <w:sz w:val="28"/>
          <w:szCs w:val="28"/>
          <w:highlight w:val="none"/>
          <w:lang w:val="en-US" w:eastAsia="zh-CN"/>
        </w:rPr>
        <w:t>、通海大道、S336线（城东三角地块）等的绿化带内所有植物的正常除草、修剪、切边、补植、整形、病虫害防治、排水、扶正浇水、施肥、树木涂白、支撑整理加固、日常保洁(含绿地上枯枝枯叶、修剪剩余垃圾等)、工单处理等</w:t>
      </w:r>
      <w:r>
        <w:rPr>
          <w:rFonts w:hint="eastAsia" w:ascii="宋体" w:hAnsi="宋体" w:eastAsia="宋体" w:cs="宋体"/>
          <w:sz w:val="28"/>
          <w:szCs w:val="28"/>
          <w:highlight w:val="none"/>
          <w:lang w:val="en-US" w:eastAsia="zh-CN"/>
        </w:rPr>
        <w:t>。</w:t>
      </w:r>
    </w:p>
    <w:p w14:paraId="05C5FA70">
      <w:pPr>
        <w:spacing w:line="48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b/>
          <w:bCs/>
          <w:sz w:val="28"/>
          <w:szCs w:val="28"/>
          <w:highlight w:val="none"/>
          <w:lang w:val="en-US" w:eastAsia="zh-CN"/>
        </w:rPr>
        <w:t>2.质量要求：</w:t>
      </w:r>
      <w:r>
        <w:rPr>
          <w:rFonts w:hint="eastAsia" w:ascii="宋体" w:hAnsi="宋体" w:eastAsia="宋体" w:cs="宋体"/>
          <w:snapToGrid w:val="0"/>
          <w:color w:val="000000"/>
          <w:kern w:val="0"/>
          <w:sz w:val="28"/>
          <w:szCs w:val="28"/>
          <w:highlight w:val="none"/>
          <w:lang w:val="en-US" w:eastAsia="zh-CN"/>
        </w:rPr>
        <w:t>满足江苏省城市园林绿化养护管理三级标准，达到启东市干线公路绿化养护考核管理办法及启东市公路绿化工程施工、验收管理办法的标准</w:t>
      </w:r>
      <w:r>
        <w:rPr>
          <w:rFonts w:hint="eastAsia" w:ascii="宋体" w:hAnsi="宋体" w:eastAsia="宋体" w:cs="宋体"/>
          <w:sz w:val="28"/>
          <w:szCs w:val="28"/>
          <w:highlight w:val="none"/>
          <w:lang w:val="en-US" w:eastAsia="zh-CN"/>
        </w:rPr>
        <w:t>。</w:t>
      </w:r>
    </w:p>
    <w:p w14:paraId="19DDE892">
      <w:pPr>
        <w:spacing w:line="480" w:lineRule="exact"/>
        <w:ind w:firstLine="560"/>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rPr>
        <w:t>3.服务周期：</w:t>
      </w:r>
      <w:r>
        <w:rPr>
          <w:rFonts w:hint="eastAsia" w:ascii="宋体" w:hAnsi="宋体" w:eastAsia="宋体" w:cs="宋体"/>
          <w:sz w:val="28"/>
          <w:szCs w:val="28"/>
          <w:highlight w:val="none"/>
          <w:lang w:val="en-US" w:eastAsia="zh-CN"/>
        </w:rPr>
        <w:t>一年，养护开始时间为三方移交确认后以</w:t>
      </w:r>
      <w:r>
        <w:rPr>
          <w:rFonts w:hint="eastAsia" w:ascii="宋体" w:hAnsi="宋体" w:cs="宋体"/>
          <w:sz w:val="28"/>
          <w:szCs w:val="28"/>
          <w:highlight w:val="none"/>
          <w:lang w:val="en-US" w:eastAsia="zh-CN"/>
        </w:rPr>
        <w:t>采购</w:t>
      </w:r>
      <w:r>
        <w:rPr>
          <w:rFonts w:hint="eastAsia" w:ascii="宋体" w:hAnsi="宋体" w:eastAsia="宋体" w:cs="宋体"/>
          <w:sz w:val="28"/>
          <w:szCs w:val="28"/>
          <w:highlight w:val="none"/>
          <w:lang w:val="en-US" w:eastAsia="zh-CN"/>
        </w:rPr>
        <w:t>人通知为准。</w:t>
      </w:r>
    </w:p>
    <w:p w14:paraId="0B12F9B1">
      <w:pPr>
        <w:spacing w:line="500" w:lineRule="exact"/>
        <w:ind w:firstLine="562"/>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4.</w:t>
      </w:r>
      <w:r>
        <w:rPr>
          <w:rFonts w:hint="eastAsia" w:ascii="宋体" w:hAnsi="宋体" w:eastAsia="宋体" w:cs="宋体"/>
          <w:b/>
          <w:bCs/>
          <w:sz w:val="28"/>
          <w:szCs w:val="28"/>
          <w:highlight w:val="none"/>
        </w:rPr>
        <w:t>采购标的的其他技术、服务等要求</w:t>
      </w:r>
    </w:p>
    <w:p w14:paraId="53BF971E">
      <w:pPr>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p>
    <w:p w14:paraId="62989537">
      <w:pPr>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品目清单见《关于印发环境标志产品政府采购品目清单的通知》（财库〔2019〕18号）、《关于印发节能产品政府采购品目清单的通知》（财库〔2019〕19号）。</w:t>
      </w:r>
    </w:p>
    <w:p w14:paraId="0DAE99F3">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需求标准见《商品包装政府采购需求标准（试行）》《快递包装政府采购需求标准（试行）》（财办库〔2020〕123号）、《绿色数据中心政府采购需求标准（试行）》（财库〔2023〕7号）。</w:t>
      </w:r>
    </w:p>
    <w:p w14:paraId="13A073EE">
      <w:pPr>
        <w:spacing w:line="500" w:lineRule="exact"/>
        <w:ind w:firstLine="562"/>
        <w:rPr>
          <w:rFonts w:hint="eastAsia" w:ascii="宋体" w:hAnsi="宋体" w:eastAsia="宋体" w:cs="宋体"/>
          <w:sz w:val="28"/>
          <w:szCs w:val="28"/>
          <w:highlight w:val="none"/>
          <w:u w:val="none"/>
        </w:rPr>
      </w:pPr>
      <w:r>
        <w:rPr>
          <w:rFonts w:hint="eastAsia" w:ascii="宋体" w:hAnsi="宋体" w:eastAsia="宋体" w:cs="宋体"/>
          <w:b/>
          <w:bCs/>
          <w:sz w:val="28"/>
          <w:szCs w:val="28"/>
          <w:highlight w:val="none"/>
          <w:lang w:val="en-US" w:eastAsia="zh-CN"/>
        </w:rPr>
        <w:t>5.</w:t>
      </w:r>
      <w:r>
        <w:rPr>
          <w:rFonts w:hint="eastAsia" w:ascii="宋体" w:hAnsi="宋体" w:eastAsia="宋体" w:cs="宋体"/>
          <w:b/>
          <w:bCs/>
          <w:sz w:val="28"/>
          <w:szCs w:val="28"/>
          <w:highlight w:val="none"/>
        </w:rPr>
        <w:t>付款方式：</w:t>
      </w:r>
      <w:r>
        <w:rPr>
          <w:rFonts w:hint="eastAsia" w:ascii="宋体" w:hAnsi="宋体" w:eastAsia="宋体" w:cs="宋体"/>
          <w:sz w:val="28"/>
          <w:szCs w:val="28"/>
          <w:highlight w:val="none"/>
          <w:u w:val="none"/>
        </w:rPr>
        <w:t>服务期满并经</w:t>
      </w:r>
      <w:r>
        <w:rPr>
          <w:rFonts w:hint="eastAsia" w:ascii="宋体" w:hAnsi="宋体" w:cs="宋体"/>
          <w:sz w:val="28"/>
          <w:szCs w:val="28"/>
          <w:highlight w:val="none"/>
          <w:u w:val="none"/>
          <w:lang w:eastAsia="zh-CN"/>
        </w:rPr>
        <w:t>业主</w:t>
      </w:r>
      <w:r>
        <w:rPr>
          <w:rFonts w:hint="eastAsia" w:ascii="宋体" w:hAnsi="宋体" w:eastAsia="宋体" w:cs="宋体"/>
          <w:sz w:val="28"/>
          <w:szCs w:val="28"/>
          <w:highlight w:val="none"/>
          <w:u w:val="none"/>
        </w:rPr>
        <w:t>验收合格后付至结算价的80%，余款待审计结束后付清。</w:t>
      </w:r>
    </w:p>
    <w:p w14:paraId="79A71313">
      <w:pPr>
        <w:spacing w:line="500" w:lineRule="exact"/>
        <w:ind w:firstLine="562"/>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6.</w:t>
      </w:r>
      <w:r>
        <w:rPr>
          <w:rFonts w:hint="eastAsia" w:ascii="宋体" w:hAnsi="宋体" w:eastAsia="宋体" w:cs="宋体"/>
          <w:b/>
          <w:bCs/>
          <w:sz w:val="28"/>
          <w:szCs w:val="28"/>
          <w:highlight w:val="none"/>
        </w:rPr>
        <w:t>履约保证金：</w:t>
      </w:r>
    </w:p>
    <w:p w14:paraId="0DAA854F">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①本项目成交后的履约保证金为项目成交价的10%，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p>
    <w:p w14:paraId="7809A9DE">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②成交供应商全部履约合同义务，经采购单位验收合格无质量、进度等问题的，采购人在验收合格后一次性退还履约保证金，采购人若逾期退还履约保证金的，按照逾期部分的每日0.05%支付违约金。</w:t>
      </w:r>
    </w:p>
    <w:p w14:paraId="01E9F494">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③发生以下情况的，履约保证金不予退还或部分退还：</w:t>
      </w:r>
    </w:p>
    <w:p w14:paraId="67543CAF">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a.签订合同后，成交供应商不履行合同义务的，采购单位有权全额扣除履约保证金，全额不予退还，同时采购单位亦有权终止合同，成交供应商还须承担相应的法律赔偿责任。</w:t>
      </w:r>
    </w:p>
    <w:p w14:paraId="68CD4B4F">
      <w:pPr>
        <w:spacing w:line="500" w:lineRule="exact"/>
        <w:ind w:firstLine="56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b.成交供应商在履约过程中发生违约行为，给采购单位造成损失的，采购单位有权在成交供应商缴纳的履约保证金中予以扣款，以弥补采购单位经济损失，不足的部分成交供应商另外补齐。</w:t>
      </w:r>
    </w:p>
    <w:p w14:paraId="4BE54CF0">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④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p>
    <w:p w14:paraId="3FE45D3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sz w:val="28"/>
          <w:szCs w:val="28"/>
          <w:highlight w:val="none"/>
          <w:lang w:val="en-US" w:eastAsia="zh-CN"/>
        </w:rPr>
      </w:pPr>
      <w:r>
        <w:rPr>
          <w:rFonts w:hint="eastAsia" w:ascii="宋体" w:hAnsi="宋体" w:cs="宋体"/>
          <w:b/>
          <w:bCs/>
          <w:sz w:val="28"/>
          <w:szCs w:val="28"/>
          <w:highlight w:val="none"/>
          <w:lang w:val="en-US" w:eastAsia="zh-CN"/>
        </w:rPr>
        <w:t>7.</w:t>
      </w:r>
      <w:r>
        <w:rPr>
          <w:rFonts w:hint="eastAsia" w:ascii="宋体" w:hAnsi="宋体" w:eastAsia="宋体" w:cs="宋体"/>
          <w:b/>
          <w:bCs/>
          <w:sz w:val="28"/>
          <w:szCs w:val="28"/>
          <w:highlight w:val="none"/>
          <w:lang w:val="en-US" w:eastAsia="zh-CN"/>
        </w:rPr>
        <w:t>报价要求：</w:t>
      </w:r>
      <w:r>
        <w:rPr>
          <w:rFonts w:hint="eastAsia" w:ascii="宋体" w:hAnsi="宋体" w:eastAsia="宋体" w:cs="宋体"/>
          <w:sz w:val="28"/>
          <w:szCs w:val="28"/>
          <w:highlight w:val="none"/>
          <w:lang w:val="en-US" w:eastAsia="zh-CN"/>
        </w:rPr>
        <w:t>报价包括但不限于实施和完成本项目所需的劳务、材料、机械、质检（自检）、补植、缺陷修复、养护费、管理、保险、税费、利润等费用以及</w:t>
      </w:r>
      <w:r>
        <w:rPr>
          <w:rFonts w:hint="eastAsia" w:ascii="宋体" w:hAnsi="宋体" w:cs="宋体"/>
          <w:sz w:val="28"/>
          <w:szCs w:val="28"/>
          <w:highlight w:val="none"/>
          <w:lang w:val="en-US" w:eastAsia="zh-CN"/>
        </w:rPr>
        <w:t>供应商</w:t>
      </w:r>
      <w:r>
        <w:rPr>
          <w:rFonts w:hint="eastAsia" w:ascii="宋体" w:hAnsi="宋体" w:eastAsia="宋体" w:cs="宋体"/>
          <w:sz w:val="28"/>
          <w:szCs w:val="28"/>
          <w:highlight w:val="none"/>
          <w:lang w:val="en-US" w:eastAsia="zh-CN"/>
        </w:rPr>
        <w:t>认为需要的其它费用等一切费用。在合同履行期间，合同价不随国家政策或法规、标准及市场因素的变化而进行调整。</w:t>
      </w:r>
    </w:p>
    <w:p w14:paraId="57A89291">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sz w:val="28"/>
          <w:szCs w:val="28"/>
          <w:highlight w:val="none"/>
          <w:lang w:val="en-US" w:eastAsia="zh-CN"/>
        </w:rPr>
      </w:pPr>
      <w:r>
        <w:rPr>
          <w:rFonts w:hint="eastAsia" w:ascii="宋体" w:hAnsi="宋体" w:cs="宋体"/>
          <w:b/>
          <w:bCs/>
          <w:sz w:val="28"/>
          <w:szCs w:val="28"/>
          <w:highlight w:val="none"/>
          <w:lang w:val="en-US" w:eastAsia="zh-CN"/>
        </w:rPr>
        <w:t>8.其他：</w:t>
      </w:r>
      <w:r>
        <w:rPr>
          <w:rFonts w:hint="eastAsia" w:ascii="宋体" w:hAnsi="宋体" w:eastAsia="宋体" w:cs="宋体"/>
          <w:b/>
          <w:bCs/>
          <w:color w:val="auto"/>
          <w:sz w:val="28"/>
          <w:szCs w:val="28"/>
          <w:highlight w:val="none"/>
          <w:u w:val="none"/>
          <w:lang w:val="en-US" w:eastAsia="zh-CN"/>
        </w:rPr>
        <w:t>根据整体景观效果及现状情况，对养护工程量清单中的苗木作适当的更换或补植（包括但不限于倒伏、品相差苗木及空缺地段，于2026年12月31日前完成），苗木更换或补植费18万元，更换或补植方案在签订合同后15日内报采购人审核（更换或补植苗木品种及规格与启东建设工程造价信息一致），按采购人同意的方案予以实施。工程量按实计量（超过18万元部分采购人不予认可），结算价格参照施工同期启东建设工程造价信息，下浮率为20%。</w:t>
      </w:r>
    </w:p>
    <w:p w14:paraId="153F3982">
      <w:pPr>
        <w:spacing w:line="500" w:lineRule="exact"/>
        <w:ind w:firstLine="562"/>
        <w:rPr>
          <w:rFonts w:hint="eastAsia" w:ascii="宋体" w:hAnsi="宋体" w:eastAsia="宋体" w:cs="宋体"/>
          <w:bCs/>
          <w:sz w:val="36"/>
          <w:szCs w:val="36"/>
          <w:highlight w:val="none"/>
        </w:rPr>
      </w:pPr>
      <w:r>
        <w:rPr>
          <w:rFonts w:hint="eastAsia" w:ascii="宋体" w:hAnsi="宋体" w:cs="宋体"/>
          <w:b/>
          <w:sz w:val="28"/>
          <w:szCs w:val="28"/>
          <w:highlight w:val="none"/>
          <w:lang w:val="en-US" w:eastAsia="zh-CN"/>
        </w:rPr>
        <w:t>9</w:t>
      </w:r>
      <w:r>
        <w:rPr>
          <w:rFonts w:hint="eastAsia" w:ascii="宋体" w:hAnsi="宋体" w:eastAsia="宋体" w:cs="宋体"/>
          <w:b/>
          <w:sz w:val="28"/>
          <w:szCs w:val="28"/>
          <w:highlight w:val="none"/>
          <w:lang w:val="en-US" w:eastAsia="zh-CN"/>
        </w:rPr>
        <w:t>.</w:t>
      </w:r>
      <w:r>
        <w:rPr>
          <w:rFonts w:hint="eastAsia" w:ascii="宋体" w:hAnsi="宋体" w:eastAsia="宋体" w:cs="宋体"/>
          <w:b/>
          <w:sz w:val="28"/>
          <w:szCs w:val="28"/>
          <w:highlight w:val="none"/>
        </w:rPr>
        <w:t>合同条款</w:t>
      </w:r>
    </w:p>
    <w:p w14:paraId="3C160115">
      <w:pPr>
        <w:spacing w:line="500" w:lineRule="exac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委托方（甲方）: </w:t>
      </w:r>
      <w:r>
        <w:rPr>
          <w:rFonts w:hint="eastAsia" w:ascii="宋体" w:hAnsi="宋体" w:eastAsia="宋体" w:cs="宋体"/>
          <w:sz w:val="28"/>
          <w:szCs w:val="28"/>
          <w:highlight w:val="none"/>
          <w:u w:val="single"/>
          <w:lang w:val="en-US" w:eastAsia="zh-CN"/>
        </w:rPr>
        <w:t xml:space="preserve">启东市交通事业发展中心 </w:t>
      </w:r>
      <w:r>
        <w:rPr>
          <w:rFonts w:hint="eastAsia" w:ascii="宋体" w:hAnsi="宋体" w:eastAsia="宋体" w:cs="宋体"/>
          <w:sz w:val="28"/>
          <w:szCs w:val="28"/>
          <w:highlight w:val="none"/>
          <w:lang w:val="en-US" w:eastAsia="zh-CN"/>
        </w:rPr>
        <w:t xml:space="preserve">               </w:t>
      </w:r>
    </w:p>
    <w:p w14:paraId="2ECF7D18">
      <w:pPr>
        <w:spacing w:line="500" w:lineRule="exact"/>
        <w:rPr>
          <w:rFonts w:hint="eastAsia" w:ascii="宋体" w:hAnsi="宋体" w:eastAsia="宋体" w:cs="宋体"/>
          <w:sz w:val="28"/>
          <w:szCs w:val="28"/>
          <w:highlight w:val="none"/>
          <w:u w:val="single"/>
          <w:lang w:val="en-US" w:eastAsia="zh-CN"/>
        </w:rPr>
      </w:pPr>
      <w:r>
        <w:rPr>
          <w:rFonts w:hint="eastAsia" w:ascii="宋体" w:hAnsi="宋体" w:eastAsia="宋体" w:cs="宋体"/>
          <w:sz w:val="28"/>
          <w:szCs w:val="28"/>
          <w:highlight w:val="none"/>
          <w:lang w:val="en-US" w:eastAsia="zh-CN"/>
        </w:rPr>
        <w:t xml:space="preserve">受托方（乙方）:  </w:t>
      </w:r>
      <w:r>
        <w:rPr>
          <w:rFonts w:hint="eastAsia" w:ascii="宋体" w:hAnsi="宋体" w:eastAsia="宋体" w:cs="宋体"/>
          <w:sz w:val="28"/>
          <w:szCs w:val="28"/>
          <w:highlight w:val="none"/>
          <w:u w:val="single"/>
          <w:lang w:val="en-US" w:eastAsia="zh-CN"/>
        </w:rPr>
        <w:t xml:space="preserve">                     </w:t>
      </w:r>
    </w:p>
    <w:p w14:paraId="0C80F85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甲方委托乙方就启东市王海、南海、通海、</w:t>
      </w:r>
      <w:r>
        <w:rPr>
          <w:rFonts w:hint="eastAsia" w:ascii="宋体" w:hAnsi="宋体" w:cs="宋体"/>
          <w:sz w:val="28"/>
          <w:szCs w:val="28"/>
          <w:highlight w:val="none"/>
          <w:lang w:val="en-US" w:eastAsia="zh-CN"/>
        </w:rPr>
        <w:t>S255(S221)</w:t>
      </w:r>
      <w:r>
        <w:rPr>
          <w:rFonts w:hint="eastAsia" w:ascii="宋体" w:hAnsi="宋体" w:eastAsia="宋体" w:cs="宋体"/>
          <w:sz w:val="28"/>
          <w:szCs w:val="28"/>
          <w:highlight w:val="none"/>
          <w:lang w:val="en-US" w:eastAsia="zh-CN"/>
        </w:rPr>
        <w:t>、S336线（城东三角地块）等绿化养护项目事宜。经双方协商一致，现就本次服务订立如下合同：</w:t>
      </w:r>
    </w:p>
    <w:p w14:paraId="29EB571E">
      <w:pPr>
        <w:keepNext w:val="0"/>
        <w:keepLines w:val="0"/>
        <w:pageBreakBefore w:val="0"/>
        <w:widowControl w:val="0"/>
        <w:spacing w:line="500" w:lineRule="exact"/>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第一条   合同签订</w:t>
      </w:r>
    </w:p>
    <w:p w14:paraId="3F57CB3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1、《中华人民共和国民法典》</w:t>
      </w:r>
    </w:p>
    <w:p w14:paraId="13707FD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2、中标（成交）通知书；</w:t>
      </w:r>
    </w:p>
    <w:p w14:paraId="2899137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3、竞争性谈判文件；</w:t>
      </w:r>
    </w:p>
    <w:p w14:paraId="3697A00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4、投标文件及其附件。</w:t>
      </w:r>
    </w:p>
    <w:p w14:paraId="081345EC">
      <w:pPr>
        <w:keepNext w:val="0"/>
        <w:keepLines w:val="0"/>
        <w:pageBreakBefore w:val="0"/>
        <w:widowControl w:val="0"/>
        <w:spacing w:line="500" w:lineRule="exact"/>
        <w:rPr>
          <w:rFonts w:hint="eastAsia" w:ascii="宋体" w:hAnsi="宋体" w:eastAsia="宋体" w:cs="宋体"/>
          <w:b/>
          <w:bCs w:val="0"/>
          <w:sz w:val="28"/>
          <w:szCs w:val="28"/>
          <w:highlight w:val="none"/>
          <w:lang w:val="en-US" w:eastAsia="zh-CN"/>
        </w:rPr>
      </w:pPr>
      <w:r>
        <w:rPr>
          <w:rFonts w:hint="eastAsia" w:ascii="宋体" w:hAnsi="宋体" w:eastAsia="宋体" w:cs="宋体"/>
          <w:b/>
          <w:bCs w:val="0"/>
          <w:sz w:val="28"/>
          <w:szCs w:val="28"/>
          <w:highlight w:val="none"/>
          <w:lang w:val="en-US" w:eastAsia="zh-CN"/>
        </w:rPr>
        <w:t>第二条  项目概况及范围</w:t>
      </w:r>
    </w:p>
    <w:p w14:paraId="26DC75D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1.项目服务内容：本项目为</w:t>
      </w:r>
      <w:r>
        <w:rPr>
          <w:rFonts w:hint="eastAsia" w:ascii="宋体" w:hAnsi="宋体" w:eastAsia="宋体" w:cs="宋体"/>
          <w:snapToGrid w:val="0"/>
          <w:color w:val="000000"/>
          <w:kern w:val="0"/>
          <w:sz w:val="28"/>
          <w:szCs w:val="28"/>
          <w:highlight w:val="none"/>
          <w:lang w:val="en-US" w:eastAsia="zh-CN"/>
        </w:rPr>
        <w:t>启东市王海、南海、通海、</w:t>
      </w:r>
      <w:r>
        <w:rPr>
          <w:rFonts w:hint="eastAsia" w:ascii="宋体" w:hAnsi="宋体" w:cs="宋体"/>
          <w:snapToGrid w:val="0"/>
          <w:color w:val="000000"/>
          <w:kern w:val="0"/>
          <w:sz w:val="28"/>
          <w:szCs w:val="28"/>
          <w:highlight w:val="none"/>
          <w:lang w:val="en-US" w:eastAsia="zh-CN"/>
        </w:rPr>
        <w:t>S255(S221)</w:t>
      </w:r>
      <w:r>
        <w:rPr>
          <w:rFonts w:hint="eastAsia" w:ascii="宋体" w:hAnsi="宋体" w:eastAsia="宋体" w:cs="宋体"/>
          <w:snapToGrid w:val="0"/>
          <w:color w:val="000000"/>
          <w:kern w:val="0"/>
          <w:sz w:val="28"/>
          <w:szCs w:val="28"/>
          <w:highlight w:val="none"/>
          <w:lang w:val="en-US" w:eastAsia="zh-CN"/>
        </w:rPr>
        <w:t>、S336线（城东三角地块）等绿化养护项目（详见附件清单），主要包括王海、南海、</w:t>
      </w:r>
      <w:r>
        <w:rPr>
          <w:rFonts w:hint="eastAsia" w:ascii="宋体" w:hAnsi="宋体" w:cs="宋体"/>
          <w:snapToGrid w:val="0"/>
          <w:color w:val="000000"/>
          <w:kern w:val="0"/>
          <w:sz w:val="28"/>
          <w:szCs w:val="28"/>
          <w:highlight w:val="none"/>
          <w:lang w:val="en-US" w:eastAsia="zh-CN"/>
        </w:rPr>
        <w:t>S255(S221)</w:t>
      </w:r>
      <w:r>
        <w:rPr>
          <w:rFonts w:hint="eastAsia" w:ascii="宋体" w:hAnsi="宋体" w:eastAsia="宋体" w:cs="宋体"/>
          <w:snapToGrid w:val="0"/>
          <w:color w:val="000000"/>
          <w:kern w:val="0"/>
          <w:sz w:val="28"/>
          <w:szCs w:val="28"/>
          <w:highlight w:val="none"/>
          <w:lang w:val="en-US" w:eastAsia="zh-CN"/>
        </w:rPr>
        <w:t>、通海大道、S336线（城东三角地块）等的绿化带内所有植物的正常除草、修剪、切边、补植、整形、病虫害防治、排水、扶正浇水、施肥、树木涂白、支撑整理加固、日常保洁(含绿地上枯枝枯叶、修剪剩余垃圾等)、工单处理等</w:t>
      </w:r>
      <w:r>
        <w:rPr>
          <w:rFonts w:hint="eastAsia" w:ascii="宋体" w:hAnsi="宋体" w:eastAsia="宋体" w:cs="宋体"/>
          <w:sz w:val="28"/>
          <w:szCs w:val="28"/>
          <w:highlight w:val="none"/>
          <w:lang w:val="en-US" w:eastAsia="zh-CN"/>
        </w:rPr>
        <w:t>。</w:t>
      </w:r>
    </w:p>
    <w:p w14:paraId="53E0FA89">
      <w:pPr>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2.质量要求：</w:t>
      </w:r>
      <w:r>
        <w:rPr>
          <w:rFonts w:hint="eastAsia" w:ascii="宋体" w:hAnsi="宋体" w:eastAsia="宋体" w:cs="宋体"/>
          <w:snapToGrid w:val="0"/>
          <w:color w:val="000000"/>
          <w:kern w:val="0"/>
          <w:sz w:val="28"/>
          <w:szCs w:val="28"/>
          <w:highlight w:val="none"/>
          <w:lang w:val="en-US" w:eastAsia="zh-CN"/>
        </w:rPr>
        <w:t>满足江苏省城市园林绿化养护管理三级标准，达到启东市干线公路绿化养护考核管理办法及启东市公路绿化工程施工、验收管理办法的标准</w:t>
      </w:r>
      <w:r>
        <w:rPr>
          <w:rFonts w:hint="eastAsia" w:ascii="宋体" w:hAnsi="宋体" w:eastAsia="宋体" w:cs="宋体"/>
          <w:sz w:val="28"/>
          <w:szCs w:val="28"/>
          <w:highlight w:val="none"/>
          <w:lang w:val="en-US" w:eastAsia="zh-CN"/>
        </w:rPr>
        <w:t>。</w:t>
      </w:r>
    </w:p>
    <w:p w14:paraId="5FF8518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3.服务周期：一年，养护开始时间为三方移交确认后以甲方通知为准。</w:t>
      </w:r>
    </w:p>
    <w:p w14:paraId="54935559">
      <w:pPr>
        <w:keepNext w:val="0"/>
        <w:keepLines w:val="0"/>
        <w:pageBreakBefore w:val="0"/>
        <w:widowControl w:val="0"/>
        <w:spacing w:line="500" w:lineRule="exact"/>
        <w:rPr>
          <w:rFonts w:hint="eastAsia" w:ascii="宋体" w:hAnsi="宋体" w:eastAsia="宋体" w:cs="宋体"/>
          <w:b/>
          <w:bCs w:val="0"/>
          <w:color w:val="000000"/>
          <w:spacing w:val="-4"/>
          <w:sz w:val="28"/>
          <w:szCs w:val="28"/>
          <w:highlight w:val="none"/>
          <w:lang w:val="en-US" w:eastAsia="zh-CN" w:bidi="ar-SA"/>
        </w:rPr>
      </w:pPr>
      <w:r>
        <w:rPr>
          <w:rFonts w:hint="eastAsia" w:ascii="宋体" w:hAnsi="宋体" w:eastAsia="宋体" w:cs="宋体"/>
          <w:b/>
          <w:bCs w:val="0"/>
          <w:color w:val="000000"/>
          <w:spacing w:val="-4"/>
          <w:sz w:val="28"/>
          <w:szCs w:val="28"/>
          <w:highlight w:val="none"/>
          <w:lang w:val="en-US" w:eastAsia="zh-CN" w:bidi="ar-SA"/>
        </w:rPr>
        <w:t>第三条  养护标准</w:t>
      </w:r>
    </w:p>
    <w:p w14:paraId="359337C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1、除草：绿地范围内基本无杂草、枯草，无火灾隐患（草坪覆盖率&gt;90%），苗木无人为损害。</w:t>
      </w:r>
    </w:p>
    <w:p w14:paraId="7316E74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2、修剪：绿地内无明显枯死枝、病虫枝、坏枝、断枝</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lang w:val="en-US" w:eastAsia="zh-CN"/>
        </w:rPr>
        <w:t>球类植物修剪有型；色带、灌木类修剪高度一致，层次分明，高矮有序；草坪生长控制在10厘米以内，无裸露地面，无成片枯黄。修剪下来的枝叶及时进行统一清理，禁止堆放在绿化带内及周边区域。</w:t>
      </w:r>
    </w:p>
    <w:p w14:paraId="2013B8B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3、病虫害防治：树木、草坪基本无黄叶、焦叶、卷叶及昆虫咬食的痕迹；树干生长正常，无蛀干昆虫危害，无药害。</w:t>
      </w:r>
    </w:p>
    <w:p w14:paraId="04BDBF3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4、水分管理：土壤保持适宜苗木生长的湿度，无旱、涝引发的死苗现象。</w:t>
      </w:r>
    </w:p>
    <w:p w14:paraId="6683372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5、施肥：肥料种类为复合肥；施肥用量50千克/亩.次。复合肥N.P.K含量≥25%。</w:t>
      </w:r>
    </w:p>
    <w:p w14:paraId="251CAC5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6、刷白：乔木刷白，涂白剂配方为，石灰10份、食盐1份、硫磺粉1份、水40份，调匀使用，高度为地面向上1米。</w:t>
      </w:r>
    </w:p>
    <w:p w14:paraId="1107B30E">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7、补植：及时挖除绿地内的死苗，由于养护单位养护不到位造成的死苗一律由养护单位按原品种、原规格、原密度补栽到位，费用不计。</w:t>
      </w:r>
    </w:p>
    <w:p w14:paraId="05E0455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8、乔灌木阴影覆盖区域内，应确保无杂草滋生。</w:t>
      </w:r>
    </w:p>
    <w:p w14:paraId="747FE356">
      <w:pPr>
        <w:keepNext w:val="0"/>
        <w:keepLines w:val="0"/>
        <w:pageBreakBefore w:val="0"/>
        <w:widowControl w:val="0"/>
        <w:spacing w:line="500" w:lineRule="exact"/>
        <w:rPr>
          <w:rFonts w:hint="eastAsia" w:ascii="宋体" w:hAnsi="宋体" w:eastAsia="宋体" w:cs="宋体"/>
          <w:b/>
          <w:bCs w:val="0"/>
          <w:color w:val="000000"/>
          <w:spacing w:val="-4"/>
          <w:sz w:val="28"/>
          <w:szCs w:val="28"/>
          <w:highlight w:val="none"/>
          <w:lang w:val="en-US" w:eastAsia="zh-CN" w:bidi="ar-SA"/>
        </w:rPr>
      </w:pPr>
      <w:r>
        <w:rPr>
          <w:rFonts w:hint="eastAsia" w:ascii="宋体" w:hAnsi="宋体" w:eastAsia="宋体" w:cs="宋体"/>
          <w:b/>
          <w:bCs w:val="0"/>
          <w:color w:val="000000"/>
          <w:spacing w:val="-4"/>
          <w:sz w:val="28"/>
          <w:szCs w:val="28"/>
          <w:highlight w:val="none"/>
          <w:lang w:val="en-US" w:eastAsia="zh-CN" w:bidi="ar-SA"/>
        </w:rPr>
        <w:t>第四条  养护频率</w:t>
      </w:r>
    </w:p>
    <w:p w14:paraId="7EAF538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1、除草：每年10次。</w:t>
      </w:r>
    </w:p>
    <w:p w14:paraId="4791BA4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2、修剪：每年8次。</w:t>
      </w:r>
    </w:p>
    <w:p w14:paraId="26FDEA8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3、病虫害防治及水分管理：每日巡查，日常防治。</w:t>
      </w:r>
    </w:p>
    <w:p w14:paraId="026C9DF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4、施肥：每年2次。</w:t>
      </w:r>
    </w:p>
    <w:p w14:paraId="7BD338E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5、刷白：每年1次。</w:t>
      </w:r>
    </w:p>
    <w:p w14:paraId="0235B93A">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6、补植：每年2次。</w:t>
      </w:r>
    </w:p>
    <w:p w14:paraId="75232F0F">
      <w:pPr>
        <w:keepNext w:val="0"/>
        <w:keepLines w:val="0"/>
        <w:pageBreakBefore w:val="0"/>
        <w:widowControl w:val="0"/>
        <w:spacing w:line="500" w:lineRule="exact"/>
        <w:rPr>
          <w:rFonts w:hint="eastAsia" w:ascii="宋体" w:hAnsi="宋体" w:eastAsia="宋体" w:cs="宋体"/>
          <w:b/>
          <w:bCs w:val="0"/>
          <w:color w:val="000000"/>
          <w:spacing w:val="-4"/>
          <w:sz w:val="28"/>
          <w:szCs w:val="28"/>
          <w:highlight w:val="none"/>
          <w:lang w:val="en-US" w:eastAsia="zh-CN" w:bidi="ar-SA"/>
        </w:rPr>
      </w:pPr>
      <w:r>
        <w:rPr>
          <w:rFonts w:hint="eastAsia" w:ascii="宋体" w:hAnsi="宋体" w:eastAsia="宋体" w:cs="宋体"/>
          <w:b/>
          <w:bCs w:val="0"/>
          <w:color w:val="000000"/>
          <w:spacing w:val="-4"/>
          <w:sz w:val="28"/>
          <w:szCs w:val="28"/>
          <w:highlight w:val="none"/>
          <w:lang w:val="en-US" w:eastAsia="zh-CN" w:bidi="ar-SA"/>
        </w:rPr>
        <w:t>第五条  养护要求</w:t>
      </w:r>
    </w:p>
    <w:p w14:paraId="5C901CA3">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1、养护质量标准达到启东市干线公路绿化养护考核管理办法的规定，并符合以下要求：</w:t>
      </w:r>
    </w:p>
    <w:p w14:paraId="6CD21C7A">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（1）在干旱季节，应及时浇水，浇水量和次数根据植物正常生长需要确定。日常养护中要保证苗木花草正常生长所需要的水分。绿化养护的水源由乙方自行解决。</w:t>
      </w:r>
    </w:p>
    <w:p w14:paraId="2917F58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（2）加强雨后绿化带的检查，遇有积水时，乙方应针对积水原因采取措施，排除绿地范围内的积水。</w:t>
      </w:r>
    </w:p>
    <w:p w14:paraId="68A8F83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（3）应及时扶正台风造成倒伏的苗木并根据苗木的生长及时调整支撑的松紧及位置。</w:t>
      </w:r>
    </w:p>
    <w:p w14:paraId="46BEF32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（4）及时完善和修复乔木的支撑。</w:t>
      </w:r>
    </w:p>
    <w:p w14:paraId="6090C3C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（5）如遇极端恶劣天气：台风</w:t>
      </w:r>
      <w:r>
        <w:rPr>
          <w:rFonts w:hint="eastAsia" w:ascii="宋体" w:hAnsi="宋体" w:cs="宋体"/>
          <w:sz w:val="28"/>
          <w:szCs w:val="28"/>
          <w:highlight w:val="none"/>
          <w:lang w:val="en-US" w:eastAsia="zh-CN"/>
        </w:rPr>
        <w:t>（橙色预警及以上）</w:t>
      </w:r>
      <w:r>
        <w:rPr>
          <w:rFonts w:hint="eastAsia" w:ascii="宋体" w:hAnsi="宋体" w:eastAsia="宋体" w:cs="宋体"/>
          <w:sz w:val="28"/>
          <w:szCs w:val="28"/>
          <w:highlight w:val="none"/>
          <w:lang w:val="en-US" w:eastAsia="zh-CN"/>
        </w:rPr>
        <w:t>或强降雨且无处排水等情况造成的苗木死亡，养护单位根据实际情况申报，经监理及业主单位核实后进行签证。根据植物的生长习性，因上木枝叶生长旺盛造成地被幽闭的情况，养护单位根据实际情况申报，经监理及业主单位核实后进行签证。</w:t>
      </w:r>
    </w:p>
    <w:p w14:paraId="1039CA0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2、在绿化养护期内，如有苗木未成活的，乙方应进行调换补植，如乙方未进行调换补植的，甲方有权按照现场苗木规格的信息指导价及种植费用扣除相应死苗价格。</w:t>
      </w:r>
    </w:p>
    <w:p w14:paraId="73981A4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3、每年每种苗木的自然死亡率≦2%。</w:t>
      </w:r>
    </w:p>
    <w:p w14:paraId="3AC506A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4、乙方在本</w:t>
      </w:r>
      <w:r>
        <w:rPr>
          <w:rFonts w:hint="eastAsia" w:ascii="宋体" w:hAnsi="宋体" w:cs="宋体"/>
          <w:sz w:val="28"/>
          <w:szCs w:val="28"/>
          <w:highlight w:val="none"/>
          <w:lang w:val="en-US" w:eastAsia="zh-CN"/>
        </w:rPr>
        <w:t>项目</w:t>
      </w:r>
      <w:r>
        <w:rPr>
          <w:rFonts w:hint="eastAsia" w:ascii="宋体" w:hAnsi="宋体" w:eastAsia="宋体" w:cs="宋体"/>
          <w:sz w:val="28"/>
          <w:szCs w:val="28"/>
          <w:highlight w:val="none"/>
          <w:lang w:val="en-US" w:eastAsia="zh-CN"/>
        </w:rPr>
        <w:t>绿化养护期间，不履行养护责任的，甲方有权直接指定启东市范围内有资质的园林绿化施工或养护</w:t>
      </w:r>
      <w:r>
        <w:rPr>
          <w:rFonts w:hint="eastAsia" w:ascii="宋体" w:hAnsi="宋体" w:cs="宋体"/>
          <w:sz w:val="28"/>
          <w:szCs w:val="28"/>
          <w:highlight w:val="none"/>
          <w:lang w:val="en-US" w:eastAsia="zh-CN"/>
        </w:rPr>
        <w:t>单位</w:t>
      </w:r>
      <w:r>
        <w:rPr>
          <w:rFonts w:hint="eastAsia" w:ascii="宋体" w:hAnsi="宋体" w:eastAsia="宋体" w:cs="宋体"/>
          <w:sz w:val="28"/>
          <w:szCs w:val="28"/>
          <w:highlight w:val="none"/>
          <w:lang w:val="en-US" w:eastAsia="zh-CN"/>
        </w:rPr>
        <w:t>养护，所发生的养护费按实从乙方的合同价款中划拨。</w:t>
      </w:r>
    </w:p>
    <w:p w14:paraId="5E6AB30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5、经甲方及有关部门不定期检查，每年有三次达不到标准，甲方有权终止合同。未付的合同款不予支付，给甲方造成的损失等价赔偿。</w:t>
      </w:r>
    </w:p>
    <w:p w14:paraId="68909AB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6、养护结束前60天乙方现场清点苗木数量并提交养护决算资料3套。经</w:t>
      </w:r>
      <w:r>
        <w:rPr>
          <w:rFonts w:hint="eastAsia" w:ascii="宋体" w:hAnsi="宋体" w:cs="宋体"/>
          <w:sz w:val="28"/>
          <w:szCs w:val="28"/>
          <w:highlight w:val="none"/>
          <w:lang w:val="en-US" w:eastAsia="zh-CN"/>
        </w:rPr>
        <w:t>监理、业主</w:t>
      </w:r>
      <w:r>
        <w:rPr>
          <w:rFonts w:hint="eastAsia" w:ascii="宋体" w:hAnsi="宋体" w:eastAsia="宋体" w:cs="宋体"/>
          <w:sz w:val="28"/>
          <w:szCs w:val="28"/>
          <w:highlight w:val="none"/>
          <w:lang w:val="en-US" w:eastAsia="zh-CN"/>
        </w:rPr>
        <w:t>核批后作为付款依据。</w:t>
      </w:r>
    </w:p>
    <w:p w14:paraId="66E95F7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7、养护承包期结束时，乙方在养护内累积所有养护记录和资料（包括台帐、账册）按档案要求装订成册全部交给甲方（一式三份）。</w:t>
      </w:r>
    </w:p>
    <w:p w14:paraId="597E8FE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8、乙方竣工决算资料上报时间为合同工期结束前60天，养护交接资料乙方会同新养护单位共同完成，上报时间为新养护单位养护</w:t>
      </w:r>
      <w:r>
        <w:rPr>
          <w:rFonts w:hint="eastAsia" w:ascii="宋体" w:hAnsi="宋体" w:cs="宋体"/>
          <w:sz w:val="28"/>
          <w:szCs w:val="28"/>
          <w:highlight w:val="none"/>
          <w:lang w:val="en-US" w:eastAsia="zh-CN"/>
        </w:rPr>
        <w:t>中标</w:t>
      </w:r>
      <w:r>
        <w:rPr>
          <w:rFonts w:hint="eastAsia" w:ascii="宋体" w:hAnsi="宋体" w:eastAsia="宋体" w:cs="宋体"/>
          <w:sz w:val="28"/>
          <w:szCs w:val="28"/>
          <w:highlight w:val="none"/>
          <w:lang w:val="en-US" w:eastAsia="zh-CN"/>
        </w:rPr>
        <w:t>后21天内，决算资料及养护交接资料必须经甲方确认无差错，逾期未提交完整正确详实资料的，按2000元/天处罚。逾期造成养护接管单位不按时接管等后果，甲方有权确认乙方违约，报市公共资源交易管理中心记不良信誉一次。</w:t>
      </w:r>
    </w:p>
    <w:p w14:paraId="0E60601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乙方巡查不到位或巡查到位但制止不力，致使绿化破坏，损失由乙方自行承担；未按相关规定办理绿化损毁审批手续，擅自与有关单位和个人进行私下交易增设道口或绿化带用作其他用途的，扣除当月养护费。</w:t>
      </w:r>
    </w:p>
    <w:p w14:paraId="766698A3">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甲方召开会议，或通知到养护现场处理有关问题，有项目负责人或项目总工未经请假同意，无故缺席的、迟到的或请人代为参加的，按2000元/次罚款。无故缺席一年内累计超过三次的，记该单位不良信誉记录。</w:t>
      </w:r>
    </w:p>
    <w:p w14:paraId="75DDC79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乙方严禁使用具有毁灭性、非选择性的除草剂，确需进行杂草防除的，须选用对目标杂草高效、对周边绿化植物及生态环境低风险的选择性药剂，并做好安全防护措施，一经发现或虽未现场发现但事后发现原绿化地段发黄确认系打除草剂所致的，按3000元/次处罚。</w:t>
      </w:r>
    </w:p>
    <w:p w14:paraId="1C8917E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12、养护考核中除草与保洁养护分项得分在80分（含)以下的，</w:t>
      </w:r>
      <w:r>
        <w:rPr>
          <w:rFonts w:hint="eastAsia" w:ascii="宋体" w:hAnsi="宋体" w:cs="宋体"/>
          <w:sz w:val="28"/>
          <w:szCs w:val="28"/>
          <w:highlight w:val="none"/>
          <w:lang w:val="en-US" w:eastAsia="zh-CN"/>
        </w:rPr>
        <w:t>一年内累计超过3次，</w:t>
      </w:r>
      <w:r>
        <w:rPr>
          <w:rFonts w:hint="eastAsia" w:ascii="宋体" w:hAnsi="宋体" w:eastAsia="宋体" w:cs="宋体"/>
          <w:sz w:val="28"/>
          <w:szCs w:val="28"/>
          <w:highlight w:val="none"/>
          <w:lang w:val="en-US" w:eastAsia="zh-CN"/>
        </w:rPr>
        <w:t>记该单位不良信誉记录。</w:t>
      </w:r>
    </w:p>
    <w:p w14:paraId="09A4E4DA">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13、乙方在</w:t>
      </w:r>
      <w:r>
        <w:rPr>
          <w:rFonts w:hint="eastAsia" w:ascii="宋体" w:hAnsi="宋体" w:cs="宋体"/>
          <w:sz w:val="28"/>
          <w:szCs w:val="28"/>
          <w:highlight w:val="none"/>
          <w:lang w:val="en-US" w:eastAsia="zh-CN"/>
        </w:rPr>
        <w:t>养护</w:t>
      </w:r>
      <w:r>
        <w:rPr>
          <w:rFonts w:hint="eastAsia" w:ascii="宋体" w:hAnsi="宋体" w:eastAsia="宋体" w:cs="宋体"/>
          <w:sz w:val="28"/>
          <w:szCs w:val="28"/>
          <w:highlight w:val="none"/>
          <w:lang w:val="en-US" w:eastAsia="zh-CN"/>
        </w:rPr>
        <w:t>中无正当理由拒不执行甲方的正当管理工作指令的，甲方有权对其进行经济处罚4000-6000元/次。一年内发生三次及以上的，报市公共资源交易管理中心记不良信誉一次。</w:t>
      </w:r>
    </w:p>
    <w:p w14:paraId="0011439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14、本项目绿化养护考核由甲方按《江苏省城市园林绿化养护技术规定》、《江苏省绿化养护等级标准》和《启东市干线公路绿化养护考核管理办法》考核，养护考核合格的，养护费按实支付；养护考核不合格的，当月养护费不予支付；一年内除草与保洁养护分项得分在80分</w:t>
      </w:r>
      <w:r>
        <w:rPr>
          <w:rFonts w:hint="eastAsia" w:ascii="宋体" w:hAnsi="宋体" w:cs="宋体"/>
          <w:sz w:val="28"/>
          <w:szCs w:val="28"/>
          <w:highlight w:val="none"/>
          <w:lang w:val="en-US" w:eastAsia="zh-CN"/>
        </w:rPr>
        <w:t>（含）</w:t>
      </w:r>
      <w:r>
        <w:rPr>
          <w:rFonts w:hint="eastAsia" w:ascii="宋体" w:hAnsi="宋体" w:eastAsia="宋体" w:cs="宋体"/>
          <w:sz w:val="28"/>
          <w:szCs w:val="28"/>
          <w:highlight w:val="none"/>
          <w:lang w:val="en-US" w:eastAsia="zh-CN"/>
        </w:rPr>
        <w:t>以下的且累计超过3次的，甲方有权取消其养护资格，并另行直接指定启东市范围内有资质的园林绿化施工或养护</w:t>
      </w:r>
      <w:r>
        <w:rPr>
          <w:rFonts w:hint="eastAsia" w:ascii="宋体" w:hAnsi="宋体" w:cs="宋体"/>
          <w:sz w:val="28"/>
          <w:szCs w:val="28"/>
          <w:highlight w:val="none"/>
          <w:lang w:val="en-US" w:eastAsia="zh-CN"/>
        </w:rPr>
        <w:t>单位</w:t>
      </w:r>
      <w:r>
        <w:rPr>
          <w:rFonts w:hint="eastAsia" w:ascii="宋体" w:hAnsi="宋体" w:eastAsia="宋体" w:cs="宋体"/>
          <w:sz w:val="28"/>
          <w:szCs w:val="28"/>
          <w:highlight w:val="none"/>
          <w:lang w:val="en-US" w:eastAsia="zh-CN"/>
        </w:rPr>
        <w:t>养护，报市公共资源交易管理中心记不良信誉一次。对市政府有关部门或者发包人布置重大活动安排，如不积极执行或因日常维护不到位，造成一定影响的，每次罚3000元，甲方将另行组织实施，所发生的费用从乙方的合同价款中按实扣除。</w:t>
      </w:r>
    </w:p>
    <w:p w14:paraId="785C7BD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15、本项目</w:t>
      </w:r>
      <w:r>
        <w:rPr>
          <w:rFonts w:hint="eastAsia" w:ascii="宋体" w:hAnsi="宋体" w:cs="宋体"/>
          <w:sz w:val="28"/>
          <w:szCs w:val="28"/>
          <w:highlight w:val="none"/>
          <w:lang w:val="en-US" w:eastAsia="zh-CN"/>
        </w:rPr>
        <w:t>采购</w:t>
      </w:r>
      <w:r>
        <w:rPr>
          <w:rFonts w:hint="eastAsia" w:ascii="宋体" w:hAnsi="宋体" w:eastAsia="宋体" w:cs="宋体"/>
          <w:sz w:val="28"/>
          <w:szCs w:val="28"/>
          <w:highlight w:val="none"/>
          <w:lang w:val="en-US" w:eastAsia="zh-CN"/>
        </w:rPr>
        <w:t>时的工程量清单中所列工程数量是预计数量。仅作为投标报价的共同基础，不作为最终结算与支付依据，实际支付应按现场实际完成的工程量以及合同单价计算支付金额。</w:t>
      </w:r>
    </w:p>
    <w:p w14:paraId="6908366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16、施肥用量按50kg/亩·次实施。</w:t>
      </w:r>
    </w:p>
    <w:p w14:paraId="36B2C517">
      <w:pPr>
        <w:keepNext w:val="0"/>
        <w:keepLines w:val="0"/>
        <w:pageBreakBefore w:val="0"/>
        <w:widowControl w:val="0"/>
        <w:spacing w:line="500" w:lineRule="exact"/>
        <w:ind w:firstLine="560"/>
        <w:rPr>
          <w:rFonts w:hint="eastAsia" w:ascii="宋体" w:hAnsi="宋体" w:eastAsia="宋体" w:cs="宋体"/>
          <w:highlight w:val="none"/>
          <w:lang w:val="en-US" w:eastAsia="zh-CN"/>
        </w:rPr>
      </w:pPr>
      <w:r>
        <w:rPr>
          <w:rFonts w:hint="eastAsia" w:ascii="宋体" w:hAnsi="宋体" w:eastAsia="宋体" w:cs="宋体"/>
          <w:sz w:val="28"/>
          <w:szCs w:val="28"/>
          <w:highlight w:val="none"/>
          <w:lang w:val="en-US" w:eastAsia="zh-CN"/>
        </w:rPr>
        <w:t>17、每年养护期结束前45天，乙方及时报验资料，甲方在支付证书收到后14天内核批。</w:t>
      </w:r>
    </w:p>
    <w:p w14:paraId="15A81DC2">
      <w:pPr>
        <w:keepNext w:val="0"/>
        <w:keepLines w:val="0"/>
        <w:pageBreakBefore w:val="0"/>
        <w:widowControl w:val="0"/>
        <w:spacing w:line="500" w:lineRule="exact"/>
        <w:rPr>
          <w:rFonts w:hint="eastAsia" w:ascii="宋体" w:hAnsi="宋体" w:eastAsia="宋体" w:cs="宋体"/>
          <w:b w:val="0"/>
          <w:bCs/>
          <w:sz w:val="28"/>
          <w:szCs w:val="28"/>
          <w:highlight w:val="none"/>
          <w:lang w:val="en-US" w:eastAsia="zh-CN"/>
        </w:rPr>
      </w:pPr>
      <w:r>
        <w:rPr>
          <w:rFonts w:hint="eastAsia" w:ascii="宋体" w:hAnsi="宋体" w:eastAsia="宋体" w:cs="宋体"/>
          <w:b/>
          <w:bCs w:val="0"/>
          <w:color w:val="000000"/>
          <w:spacing w:val="-4"/>
          <w:sz w:val="28"/>
          <w:szCs w:val="28"/>
          <w:highlight w:val="none"/>
          <w:lang w:val="en-US" w:eastAsia="zh-CN" w:bidi="ar-SA"/>
        </w:rPr>
        <w:t>第六条  服务费用及支付方法</w:t>
      </w:r>
    </w:p>
    <w:p w14:paraId="01EFCA8E">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1.合同价</w:t>
      </w:r>
      <w:r>
        <w:rPr>
          <w:rFonts w:hint="eastAsia" w:ascii="宋体" w:hAnsi="宋体" w:eastAsia="宋体" w:cs="宋体"/>
          <w:sz w:val="28"/>
          <w:szCs w:val="28"/>
          <w:highlight w:val="none"/>
          <w:u w:val="single"/>
          <w:lang w:val="en-US" w:eastAsia="zh-CN"/>
        </w:rPr>
        <w:t>：            （</w:t>
      </w:r>
      <w:r>
        <w:rPr>
          <w:rFonts w:hint="eastAsia" w:ascii="宋体" w:hAnsi="宋体" w:cs="宋体"/>
          <w:sz w:val="28"/>
          <w:szCs w:val="28"/>
          <w:highlight w:val="none"/>
          <w:u w:val="single"/>
          <w:lang w:val="en-US" w:eastAsia="zh-CN"/>
        </w:rPr>
        <w:t>¥</w:t>
      </w:r>
      <w:r>
        <w:rPr>
          <w:rFonts w:hint="eastAsia" w:ascii="宋体" w:hAnsi="宋体" w:eastAsia="宋体" w:cs="宋体"/>
          <w:sz w:val="28"/>
          <w:szCs w:val="28"/>
          <w:highlight w:val="none"/>
          <w:u w:val="single"/>
          <w:lang w:val="en-US" w:eastAsia="zh-CN"/>
        </w:rPr>
        <w:t xml:space="preserve">      ）。</w:t>
      </w:r>
    </w:p>
    <w:p w14:paraId="0BDD271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合同价包括但不限于实施和完成本项目所需的劳务、材料、机械、质检（自检）、补植、缺陷修复、养护费、管理、保险、税费、利润等费用以及</w:t>
      </w:r>
      <w:r>
        <w:rPr>
          <w:rFonts w:hint="eastAsia" w:ascii="宋体" w:hAnsi="宋体" w:cs="宋体"/>
          <w:sz w:val="28"/>
          <w:szCs w:val="28"/>
          <w:highlight w:val="none"/>
          <w:lang w:val="en-US" w:eastAsia="zh-CN"/>
        </w:rPr>
        <w:t>乙方</w:t>
      </w:r>
      <w:r>
        <w:rPr>
          <w:rFonts w:hint="eastAsia" w:ascii="宋体" w:hAnsi="宋体" w:eastAsia="宋体" w:cs="宋体"/>
          <w:sz w:val="28"/>
          <w:szCs w:val="28"/>
          <w:highlight w:val="none"/>
          <w:lang w:val="en-US" w:eastAsia="zh-CN"/>
        </w:rPr>
        <w:t>认为需要的其它费用等一切费用。在合同履行期间，合同价不随国家政策或法规、标准及市场因素的变化而进行调整。</w:t>
      </w:r>
    </w:p>
    <w:p w14:paraId="1795139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2.付款方式：服务期满并经</w:t>
      </w:r>
      <w:r>
        <w:rPr>
          <w:rFonts w:hint="eastAsia" w:ascii="宋体" w:hAnsi="宋体" w:cs="宋体"/>
          <w:sz w:val="28"/>
          <w:szCs w:val="28"/>
          <w:highlight w:val="none"/>
          <w:lang w:val="en-US" w:eastAsia="zh-CN"/>
        </w:rPr>
        <w:t>业主</w:t>
      </w:r>
      <w:r>
        <w:rPr>
          <w:rFonts w:hint="eastAsia" w:ascii="宋体" w:hAnsi="宋体" w:eastAsia="宋体" w:cs="宋体"/>
          <w:sz w:val="28"/>
          <w:szCs w:val="28"/>
          <w:highlight w:val="none"/>
          <w:lang w:val="en-US" w:eastAsia="zh-CN"/>
        </w:rPr>
        <w:t>验收合格后付至结算价的80%，余款待审计结束后付清。</w:t>
      </w:r>
    </w:p>
    <w:p w14:paraId="42C3BFF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3.保证金：</w:t>
      </w:r>
    </w:p>
    <w:p w14:paraId="4B8666D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（1）投标保证金：本项目不收取投标保证金。</w:t>
      </w:r>
    </w:p>
    <w:p w14:paraId="7799DEB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（2）履约保证金：</w:t>
      </w:r>
    </w:p>
    <w:p w14:paraId="6C8801C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①本项目的履约保证金为项目成交价的10%（    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p>
    <w:p w14:paraId="19037A93">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②乙方全部履约合同义务，经甲方验收合格无质量、进度等问题的，甲方在验收合格后一次性退还履约保证金，采购人若逾期退还履约保证金的，按照逾期部分的每日0.05%支付违约金。</w:t>
      </w:r>
    </w:p>
    <w:p w14:paraId="3E1E809E">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③发生以下情况的，履约保证金不予退还或部分退还：</w:t>
      </w:r>
    </w:p>
    <w:p w14:paraId="3EE116C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a.签订合同后，乙方不履行合同义务的，甲方有权全额扣除履约保证金，全额不予退还，同时甲方亦有权终止合同，乙方还须承担相应的法律赔偿责任。</w:t>
      </w:r>
    </w:p>
    <w:p w14:paraId="6721AD3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b.乙方在履约过程中发生违约行为，给甲方造成损失的，甲方有权在乙方缴纳的履约保证金中予以扣款，以弥补采购甲方损失，不足的部分乙方另外补齐。</w:t>
      </w:r>
    </w:p>
    <w:p w14:paraId="13368C9C">
      <w:pPr>
        <w:keepNext w:val="0"/>
        <w:keepLines w:val="0"/>
        <w:pageBreakBefore w:val="0"/>
        <w:widowControl w:val="0"/>
        <w:spacing w:line="500" w:lineRule="exact"/>
        <w:rPr>
          <w:rFonts w:hint="eastAsia" w:ascii="宋体" w:hAnsi="宋体" w:eastAsia="宋体" w:cs="宋体"/>
          <w:b w:val="0"/>
          <w:bCs/>
          <w:sz w:val="28"/>
          <w:szCs w:val="28"/>
          <w:highlight w:val="none"/>
          <w:lang w:val="en-US" w:eastAsia="zh-CN"/>
        </w:rPr>
      </w:pPr>
      <w:r>
        <w:rPr>
          <w:rFonts w:hint="eastAsia" w:ascii="宋体" w:hAnsi="宋体" w:eastAsia="宋体" w:cs="宋体"/>
          <w:b/>
          <w:bCs w:val="0"/>
          <w:color w:val="000000"/>
          <w:spacing w:val="-4"/>
          <w:sz w:val="28"/>
          <w:szCs w:val="28"/>
          <w:highlight w:val="none"/>
          <w:lang w:val="en-US" w:eastAsia="zh-CN" w:bidi="ar-SA"/>
        </w:rPr>
        <w:t xml:space="preserve">第七条 </w:t>
      </w:r>
      <w:r>
        <w:rPr>
          <w:rFonts w:hint="eastAsia" w:ascii="宋体" w:hAnsi="宋体" w:eastAsia="宋体" w:cs="宋体"/>
          <w:b/>
          <w:bCs w:val="0"/>
          <w:sz w:val="28"/>
          <w:szCs w:val="28"/>
          <w:highlight w:val="none"/>
          <w:lang w:val="en-US" w:eastAsia="zh-CN"/>
        </w:rPr>
        <w:t xml:space="preserve"> 养护考核具体扣分明细处罚</w:t>
      </w:r>
    </w:p>
    <w:p w14:paraId="2EC55A0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乙方每月25日至月底向</w:t>
      </w:r>
      <w:r>
        <w:rPr>
          <w:rFonts w:hint="eastAsia" w:ascii="宋体" w:hAnsi="宋体" w:cs="宋体"/>
          <w:sz w:val="28"/>
          <w:szCs w:val="28"/>
          <w:highlight w:val="none"/>
          <w:lang w:val="en-US" w:eastAsia="zh-CN"/>
        </w:rPr>
        <w:t>监理、</w:t>
      </w:r>
      <w:r>
        <w:rPr>
          <w:rFonts w:hint="eastAsia" w:ascii="宋体" w:hAnsi="宋体" w:eastAsia="宋体" w:cs="宋体"/>
          <w:sz w:val="28"/>
          <w:szCs w:val="28"/>
          <w:highlight w:val="none"/>
          <w:lang w:val="en-US" w:eastAsia="zh-CN"/>
        </w:rPr>
        <w:t>甲方申报本月已完成的养护工作及下个月的养护计划，不申报或申报不完整的，每月每分项扣1分；每月25日前报本月已经完成的养护工作，不申报或申报不符合实际养护情况的，每月每分项扣1分；养护考核由启东市交通事业发展中心组织相关单位进行养护考核，考核采取分项百分制，即每个养护分项满分100分，评分结合日常巡查和定期检查进行，其中日常检查发现养护不到位的，经通知仍未整改到位的，每分项每次扣2分；逢上级领导视察对养护有特别要求的，必须在规定时间内完成特别要求的工作，未完成的，每个养护分项扣3-8分；定期检查时，要求项目经理或</w:t>
      </w:r>
      <w:r>
        <w:rPr>
          <w:rFonts w:hint="eastAsia" w:ascii="宋体" w:hAnsi="宋体" w:cs="宋体"/>
          <w:sz w:val="28"/>
          <w:szCs w:val="28"/>
          <w:highlight w:val="none"/>
          <w:lang w:val="en-US" w:eastAsia="zh-CN"/>
        </w:rPr>
        <w:t>单位</w:t>
      </w:r>
      <w:r>
        <w:rPr>
          <w:rFonts w:hint="eastAsia" w:ascii="宋体" w:hAnsi="宋体" w:eastAsia="宋体" w:cs="宋体"/>
          <w:sz w:val="28"/>
          <w:szCs w:val="28"/>
          <w:highlight w:val="none"/>
          <w:lang w:val="en-US" w:eastAsia="zh-CN"/>
        </w:rPr>
        <w:t>负责人必须到场，未到场的每分项扣2分；对于修剪养护分项全部要求侧边切边，侧边没有切边或切边不到位的扣修剪养护分项1-3分；对于施肥养护分项要求必须按施肥标准在规定时间内完成，在规定时间内没有完成的扣除所有施肥费用；对于刷白养护分项，刷白剂浓度不够的扣刷白养护分项5-11分；定期检查时发现病虫害、火灾、旱涝或其他人为因素等引发的死苗缺苗现象，每处扣所有养护分项各1分；定期检查时要求所有养护范围内沟边芦苇清除干净，未清除的扣2-6分；乙方在养护中未及时处置12345诉求，扣除当月各分项考核分1-5分定期检查按各养护分项完成百分比得分；综合得分在80分以上的为合格（得分在90分以上的不扣分），本次养护费按得分百分比（详见下表）支付；得分在80分（含）以下的为不合格，本次养护费不予支付。</w:t>
      </w:r>
    </w:p>
    <w:tbl>
      <w:tblPr>
        <w:tblStyle w:val="212"/>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3"/>
        <w:gridCol w:w="694"/>
        <w:gridCol w:w="694"/>
        <w:gridCol w:w="694"/>
        <w:gridCol w:w="694"/>
        <w:gridCol w:w="694"/>
        <w:gridCol w:w="694"/>
        <w:gridCol w:w="694"/>
        <w:gridCol w:w="694"/>
        <w:gridCol w:w="694"/>
        <w:gridCol w:w="694"/>
        <w:gridCol w:w="694"/>
        <w:gridCol w:w="696"/>
      </w:tblGrid>
      <w:tr w14:paraId="32F359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3" w:hRule="atLeast"/>
        </w:trPr>
        <w:tc>
          <w:tcPr>
            <w:tcW w:w="384" w:type="pct"/>
            <w:noWrap w:val="0"/>
            <w:vAlign w:val="center"/>
          </w:tcPr>
          <w:p w14:paraId="4FC6DDCB">
            <w:pPr>
              <w:spacing w:after="120" w:line="360" w:lineRule="auto"/>
              <w:jc w:val="left"/>
              <w:rPr>
                <w:rFonts w:hint="eastAsia" w:ascii="宋体" w:hAnsi="宋体" w:eastAsia="宋体" w:cs="宋体"/>
                <w:color w:val="000000"/>
                <w:highlight w:val="none"/>
                <w:vertAlign w:val="baseline"/>
                <w:lang w:eastAsia="zh-CN"/>
              </w:rPr>
            </w:pPr>
            <w:r>
              <w:rPr>
                <w:rFonts w:hint="eastAsia" w:ascii="宋体" w:hAnsi="宋体" w:eastAsia="宋体" w:cs="宋体"/>
                <w:color w:val="000000"/>
                <w:highlight w:val="none"/>
                <w:vertAlign w:val="baseline"/>
                <w:lang w:eastAsia="zh-CN"/>
              </w:rPr>
              <w:t>考核综合得分</w:t>
            </w:r>
          </w:p>
        </w:tc>
        <w:tc>
          <w:tcPr>
            <w:tcW w:w="384" w:type="pct"/>
            <w:noWrap w:val="0"/>
            <w:vAlign w:val="center"/>
          </w:tcPr>
          <w:p w14:paraId="029ADC56">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eastAsia="zh-CN"/>
              </w:rPr>
              <w:t>＞</w:t>
            </w:r>
            <w:r>
              <w:rPr>
                <w:rFonts w:hint="eastAsia" w:ascii="宋体" w:hAnsi="宋体" w:eastAsia="宋体" w:cs="宋体"/>
                <w:color w:val="000000"/>
                <w:highlight w:val="none"/>
                <w:vertAlign w:val="baseline"/>
                <w:lang w:val="en-US" w:eastAsia="zh-CN"/>
              </w:rPr>
              <w:t>90分</w:t>
            </w:r>
          </w:p>
        </w:tc>
        <w:tc>
          <w:tcPr>
            <w:tcW w:w="384" w:type="pct"/>
            <w:noWrap w:val="0"/>
            <w:vAlign w:val="center"/>
          </w:tcPr>
          <w:p w14:paraId="6F59B3C4">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90分</w:t>
            </w:r>
          </w:p>
        </w:tc>
        <w:tc>
          <w:tcPr>
            <w:tcW w:w="384" w:type="pct"/>
            <w:noWrap w:val="0"/>
            <w:vAlign w:val="center"/>
          </w:tcPr>
          <w:p w14:paraId="139DF0E6">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89分</w:t>
            </w:r>
          </w:p>
        </w:tc>
        <w:tc>
          <w:tcPr>
            <w:tcW w:w="384" w:type="pct"/>
            <w:noWrap w:val="0"/>
            <w:vAlign w:val="center"/>
          </w:tcPr>
          <w:p w14:paraId="0C7030AF">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88分</w:t>
            </w:r>
          </w:p>
        </w:tc>
        <w:tc>
          <w:tcPr>
            <w:tcW w:w="384" w:type="pct"/>
            <w:noWrap w:val="0"/>
            <w:vAlign w:val="center"/>
          </w:tcPr>
          <w:p w14:paraId="08575272">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87分</w:t>
            </w:r>
          </w:p>
        </w:tc>
        <w:tc>
          <w:tcPr>
            <w:tcW w:w="384" w:type="pct"/>
            <w:noWrap w:val="0"/>
            <w:vAlign w:val="center"/>
          </w:tcPr>
          <w:p w14:paraId="27588081">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86分</w:t>
            </w:r>
          </w:p>
        </w:tc>
        <w:tc>
          <w:tcPr>
            <w:tcW w:w="384" w:type="pct"/>
            <w:noWrap w:val="0"/>
            <w:vAlign w:val="center"/>
          </w:tcPr>
          <w:p w14:paraId="40149A45">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85分</w:t>
            </w:r>
          </w:p>
        </w:tc>
        <w:tc>
          <w:tcPr>
            <w:tcW w:w="384" w:type="pct"/>
            <w:noWrap w:val="0"/>
            <w:vAlign w:val="center"/>
          </w:tcPr>
          <w:p w14:paraId="6FA50437">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84分</w:t>
            </w:r>
          </w:p>
        </w:tc>
        <w:tc>
          <w:tcPr>
            <w:tcW w:w="384" w:type="pct"/>
            <w:noWrap w:val="0"/>
            <w:vAlign w:val="center"/>
          </w:tcPr>
          <w:p w14:paraId="56BF6BB7">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83分</w:t>
            </w:r>
          </w:p>
        </w:tc>
        <w:tc>
          <w:tcPr>
            <w:tcW w:w="384" w:type="pct"/>
            <w:noWrap w:val="0"/>
            <w:vAlign w:val="center"/>
          </w:tcPr>
          <w:p w14:paraId="3ED0F6A7">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82分</w:t>
            </w:r>
          </w:p>
        </w:tc>
        <w:tc>
          <w:tcPr>
            <w:tcW w:w="384" w:type="pct"/>
            <w:noWrap w:val="0"/>
            <w:vAlign w:val="center"/>
          </w:tcPr>
          <w:p w14:paraId="2EDAA441">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81分</w:t>
            </w:r>
          </w:p>
        </w:tc>
        <w:tc>
          <w:tcPr>
            <w:tcW w:w="385" w:type="pct"/>
            <w:noWrap w:val="0"/>
            <w:vAlign w:val="center"/>
          </w:tcPr>
          <w:p w14:paraId="69256B91">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≤80分</w:t>
            </w:r>
          </w:p>
        </w:tc>
      </w:tr>
      <w:tr w14:paraId="6D80A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trPr>
        <w:tc>
          <w:tcPr>
            <w:tcW w:w="384" w:type="pct"/>
            <w:noWrap w:val="0"/>
            <w:vAlign w:val="center"/>
          </w:tcPr>
          <w:p w14:paraId="2987433A">
            <w:pPr>
              <w:spacing w:after="120" w:line="360" w:lineRule="auto"/>
              <w:jc w:val="left"/>
              <w:rPr>
                <w:rFonts w:hint="eastAsia" w:ascii="宋体" w:hAnsi="宋体" w:eastAsia="宋体" w:cs="宋体"/>
                <w:color w:val="000000"/>
                <w:highlight w:val="none"/>
                <w:vertAlign w:val="baseline"/>
                <w:lang w:eastAsia="zh-CN"/>
              </w:rPr>
            </w:pPr>
            <w:r>
              <w:rPr>
                <w:rFonts w:hint="eastAsia" w:ascii="宋体" w:hAnsi="宋体" w:eastAsia="宋体" w:cs="宋体"/>
                <w:color w:val="000000"/>
                <w:highlight w:val="none"/>
                <w:vertAlign w:val="baseline"/>
                <w:lang w:eastAsia="zh-CN"/>
              </w:rPr>
              <w:t>扣费百分比</w:t>
            </w:r>
          </w:p>
        </w:tc>
        <w:tc>
          <w:tcPr>
            <w:tcW w:w="384" w:type="pct"/>
            <w:noWrap w:val="0"/>
            <w:vAlign w:val="center"/>
          </w:tcPr>
          <w:p w14:paraId="4177CFF5">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0%</w:t>
            </w:r>
          </w:p>
        </w:tc>
        <w:tc>
          <w:tcPr>
            <w:tcW w:w="384" w:type="pct"/>
            <w:noWrap w:val="0"/>
            <w:vAlign w:val="center"/>
          </w:tcPr>
          <w:p w14:paraId="2C636D2A">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1%</w:t>
            </w:r>
          </w:p>
        </w:tc>
        <w:tc>
          <w:tcPr>
            <w:tcW w:w="384" w:type="pct"/>
            <w:noWrap w:val="0"/>
            <w:vAlign w:val="center"/>
          </w:tcPr>
          <w:p w14:paraId="6DAE5C34">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2%</w:t>
            </w:r>
          </w:p>
        </w:tc>
        <w:tc>
          <w:tcPr>
            <w:tcW w:w="384" w:type="pct"/>
            <w:noWrap w:val="0"/>
            <w:vAlign w:val="center"/>
          </w:tcPr>
          <w:p w14:paraId="15285AE7">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3%</w:t>
            </w:r>
          </w:p>
        </w:tc>
        <w:tc>
          <w:tcPr>
            <w:tcW w:w="384" w:type="pct"/>
            <w:noWrap w:val="0"/>
            <w:vAlign w:val="center"/>
          </w:tcPr>
          <w:p w14:paraId="36A3C85F">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4%</w:t>
            </w:r>
          </w:p>
        </w:tc>
        <w:tc>
          <w:tcPr>
            <w:tcW w:w="384" w:type="pct"/>
            <w:noWrap w:val="0"/>
            <w:vAlign w:val="center"/>
          </w:tcPr>
          <w:p w14:paraId="1D0609EB">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5%</w:t>
            </w:r>
          </w:p>
        </w:tc>
        <w:tc>
          <w:tcPr>
            <w:tcW w:w="384" w:type="pct"/>
            <w:noWrap w:val="0"/>
            <w:vAlign w:val="center"/>
          </w:tcPr>
          <w:p w14:paraId="5256E792">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6%</w:t>
            </w:r>
          </w:p>
        </w:tc>
        <w:tc>
          <w:tcPr>
            <w:tcW w:w="384" w:type="pct"/>
            <w:noWrap w:val="0"/>
            <w:vAlign w:val="center"/>
          </w:tcPr>
          <w:p w14:paraId="17E61D34">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7%</w:t>
            </w:r>
          </w:p>
        </w:tc>
        <w:tc>
          <w:tcPr>
            <w:tcW w:w="384" w:type="pct"/>
            <w:noWrap w:val="0"/>
            <w:vAlign w:val="center"/>
          </w:tcPr>
          <w:p w14:paraId="32DDB3BF">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w:t>
            </w:r>
          </w:p>
        </w:tc>
        <w:tc>
          <w:tcPr>
            <w:tcW w:w="384" w:type="pct"/>
            <w:noWrap w:val="0"/>
            <w:vAlign w:val="center"/>
          </w:tcPr>
          <w:p w14:paraId="20A44C8D">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9%</w:t>
            </w:r>
          </w:p>
        </w:tc>
        <w:tc>
          <w:tcPr>
            <w:tcW w:w="384" w:type="pct"/>
            <w:noWrap w:val="0"/>
            <w:vAlign w:val="center"/>
          </w:tcPr>
          <w:p w14:paraId="489DAD90">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10%</w:t>
            </w:r>
          </w:p>
        </w:tc>
        <w:tc>
          <w:tcPr>
            <w:tcW w:w="385" w:type="pct"/>
            <w:noWrap w:val="0"/>
            <w:vAlign w:val="center"/>
          </w:tcPr>
          <w:p w14:paraId="0076994E">
            <w:pPr>
              <w:spacing w:after="120" w:line="360" w:lineRule="auto"/>
              <w:jc w:val="both"/>
              <w:rPr>
                <w:rFonts w:hint="eastAsia" w:ascii="宋体" w:hAnsi="宋体" w:eastAsia="宋体" w:cs="宋体"/>
                <w:color w:val="000000"/>
                <w:highlight w:val="none"/>
                <w:vertAlign w:val="baseline"/>
                <w:lang w:eastAsia="zh-CN"/>
              </w:rPr>
            </w:pPr>
            <w:r>
              <w:rPr>
                <w:rFonts w:hint="eastAsia" w:ascii="宋体" w:hAnsi="宋体" w:eastAsia="宋体" w:cs="宋体"/>
                <w:color w:val="000000"/>
                <w:highlight w:val="none"/>
                <w:vertAlign w:val="baseline"/>
                <w:lang w:eastAsia="zh-CN"/>
              </w:rPr>
              <w:t>不合格</w:t>
            </w:r>
          </w:p>
        </w:tc>
      </w:tr>
    </w:tbl>
    <w:p w14:paraId="331C5025">
      <w:pPr>
        <w:keepNext w:val="0"/>
        <w:keepLines w:val="0"/>
        <w:pageBreakBefore w:val="0"/>
        <w:widowControl w:val="0"/>
        <w:spacing w:line="500" w:lineRule="exact"/>
        <w:jc w:val="both"/>
        <w:rPr>
          <w:rFonts w:hint="eastAsia" w:ascii="宋体" w:hAnsi="宋体" w:eastAsia="宋体" w:cs="宋体"/>
          <w:b/>
          <w:bCs w:val="0"/>
          <w:color w:val="000000"/>
          <w:spacing w:val="-4"/>
          <w:sz w:val="28"/>
          <w:szCs w:val="28"/>
          <w:highlight w:val="none"/>
          <w:lang w:val="en-US" w:eastAsia="zh-CN" w:bidi="ar-SA"/>
        </w:rPr>
      </w:pPr>
      <w:r>
        <w:rPr>
          <w:rFonts w:hint="eastAsia" w:ascii="宋体" w:hAnsi="宋体" w:eastAsia="宋体" w:cs="宋体"/>
          <w:b/>
          <w:bCs w:val="0"/>
          <w:color w:val="000000"/>
          <w:spacing w:val="-4"/>
          <w:sz w:val="28"/>
          <w:szCs w:val="28"/>
          <w:highlight w:val="none"/>
          <w:lang w:val="en-US" w:eastAsia="zh-CN" w:bidi="ar-SA"/>
        </w:rPr>
        <w:t>第八条  治安保卫及环境保护</w:t>
      </w:r>
    </w:p>
    <w:p w14:paraId="3D699E3E">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1、治安保卫</w:t>
      </w:r>
    </w:p>
    <w:p w14:paraId="74A1DCD3">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在符合合同要求的范围内，乙方应对任何缺陷做必要的补救，均应以不使下述各方面遭受不必要的和不恰当的干扰为条件：</w:t>
      </w:r>
    </w:p>
    <w:p w14:paraId="78E14B34">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⑴公众的便利； </w:t>
      </w:r>
    </w:p>
    <w:p w14:paraId="0694C7D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⑵公用道路或私人道路以及通往属于甲方或他人财产的人行小道的进入使用和占用； </w:t>
      </w:r>
    </w:p>
    <w:p w14:paraId="2D6EE12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⑶河流、航道、铁路、城镇道路和其他公共交通运输线路等； </w:t>
      </w:r>
    </w:p>
    <w:p w14:paraId="2C615FF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⑷区中或地下的属于公共、团体或他人的管线和设施。</w:t>
      </w:r>
    </w:p>
    <w:p w14:paraId="4E3EEE2E">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⑸乙方应加强巡视，防止已建设施的被盗；如有被盗情况，乙方在无追索情况下自行承担损失，甲方不承担该类费用索赔。</w:t>
      </w:r>
    </w:p>
    <w:p w14:paraId="56EADA7A">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如果发生上述情况，并由此导致索赔、赔偿、诉讼费用及其它开支时，应由乙方承担一切责任及费用。</w:t>
      </w:r>
    </w:p>
    <w:p w14:paraId="64B8F95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2、环境保护</w:t>
      </w:r>
    </w:p>
    <w:p w14:paraId="1ECA4A0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 xml:space="preserve">乙方在工作时应对施工环保作充分考虑，施工期间需要做好包括扬尘防治等涉及环境保护的相关工作。 </w:t>
      </w:r>
    </w:p>
    <w:p w14:paraId="67372D84">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乙方在项目实施期间，应按照国家、江苏省、南通市及甲方的相关规定，按照节能、环保的要求进行施工，并制定相应的保障措施。</w:t>
      </w:r>
    </w:p>
    <w:p w14:paraId="2509D3EA">
      <w:pPr>
        <w:keepNext w:val="0"/>
        <w:keepLines w:val="0"/>
        <w:pageBreakBefore w:val="0"/>
        <w:widowControl w:val="0"/>
        <w:numPr>
          <w:ilvl w:val="0"/>
          <w:numId w:val="0"/>
        </w:numPr>
        <w:spacing w:line="500" w:lineRule="exact"/>
        <w:rPr>
          <w:rFonts w:hint="eastAsia" w:ascii="宋体" w:hAnsi="宋体" w:eastAsia="宋体" w:cs="宋体"/>
          <w:b/>
          <w:bCs/>
          <w:color w:val="auto"/>
          <w:sz w:val="28"/>
          <w:szCs w:val="28"/>
          <w:highlight w:val="none"/>
          <w:u w:val="none"/>
          <w:lang w:val="en-US" w:eastAsia="zh-CN"/>
        </w:rPr>
      </w:pPr>
      <w:r>
        <w:rPr>
          <w:rFonts w:hint="eastAsia" w:ascii="宋体" w:hAnsi="宋体" w:eastAsia="宋体" w:cs="宋体"/>
          <w:b/>
          <w:bCs/>
          <w:color w:val="auto"/>
          <w:sz w:val="28"/>
          <w:szCs w:val="28"/>
          <w:highlight w:val="none"/>
          <w:lang w:val="en-US" w:eastAsia="zh-CN" w:bidi="ar-SA"/>
        </w:rPr>
        <w:t>第九条</w:t>
      </w:r>
      <w:r>
        <w:rPr>
          <w:rFonts w:hint="eastAsia" w:ascii="宋体" w:hAnsi="宋体" w:cs="宋体"/>
          <w:b/>
          <w:bCs/>
          <w:color w:val="auto"/>
          <w:sz w:val="28"/>
          <w:szCs w:val="28"/>
          <w:highlight w:val="none"/>
          <w:lang w:val="en-US" w:eastAsia="zh-CN" w:bidi="ar-SA"/>
        </w:rPr>
        <w:t xml:space="preserve">  </w:t>
      </w:r>
      <w:r>
        <w:rPr>
          <w:rFonts w:hint="eastAsia" w:ascii="宋体" w:hAnsi="宋体" w:eastAsia="宋体" w:cs="宋体"/>
          <w:b/>
          <w:bCs/>
          <w:color w:val="auto"/>
          <w:sz w:val="28"/>
          <w:szCs w:val="28"/>
          <w:highlight w:val="none"/>
          <w:u w:val="none"/>
          <w:lang w:val="en-US" w:eastAsia="zh-CN"/>
        </w:rPr>
        <w:t>其他：</w:t>
      </w:r>
    </w:p>
    <w:p w14:paraId="32613DD5">
      <w:pPr>
        <w:keepNext w:val="0"/>
        <w:keepLines w:val="0"/>
        <w:pageBreakBefore w:val="0"/>
        <w:widowControl w:val="0"/>
        <w:numPr>
          <w:ilvl w:val="0"/>
          <w:numId w:val="0"/>
        </w:numPr>
        <w:spacing w:line="500" w:lineRule="exact"/>
        <w:ind w:firstLine="562" w:firstLineChars="200"/>
        <w:rPr>
          <w:rFonts w:hint="eastAsia" w:ascii="宋体" w:hAnsi="宋体" w:eastAsia="宋体" w:cs="宋体"/>
          <w:sz w:val="28"/>
          <w:szCs w:val="28"/>
          <w:highlight w:val="none"/>
          <w:lang w:val="en-US" w:eastAsia="zh-CN"/>
        </w:rPr>
      </w:pPr>
      <w:r>
        <w:rPr>
          <w:rFonts w:hint="eastAsia" w:ascii="宋体" w:hAnsi="宋体" w:eastAsia="宋体" w:cs="宋体"/>
          <w:b/>
          <w:bCs/>
          <w:color w:val="auto"/>
          <w:sz w:val="28"/>
          <w:szCs w:val="28"/>
          <w:highlight w:val="none"/>
          <w:u w:val="none"/>
          <w:lang w:val="en-US" w:eastAsia="zh-CN"/>
        </w:rPr>
        <w:t>根据整体景观效果及现状情况，对养护工程量清单中的苗木作适当的更换或补植（包括但不限于倒伏、品相差苗木及空缺地段，于2026年12月31日前完成），苗木更换或补植费18万元，更换或补植方案在签订合同后15日内报甲方审核（更换或补植苗木品种及规格与启东建设工程造价信息一致），按甲方同意的方案予以实施。工程量按实计量（超过18万元部分甲方不予认可），结算价格参照施工同期启东建设工程造价信息，下浮率为20%。</w:t>
      </w:r>
    </w:p>
    <w:p w14:paraId="115864E4">
      <w:pPr>
        <w:keepNext w:val="0"/>
        <w:keepLines w:val="0"/>
        <w:pageBreakBefore w:val="0"/>
        <w:widowControl w:val="0"/>
        <w:spacing w:line="500" w:lineRule="exact"/>
        <w:jc w:val="both"/>
        <w:rPr>
          <w:rFonts w:hint="eastAsia" w:ascii="宋体" w:hAnsi="宋体" w:eastAsia="宋体" w:cs="宋体"/>
          <w:b/>
          <w:bCs w:val="0"/>
          <w:color w:val="000000"/>
          <w:spacing w:val="-4"/>
          <w:sz w:val="28"/>
          <w:szCs w:val="28"/>
          <w:highlight w:val="none"/>
          <w:lang w:val="en-US" w:eastAsia="zh-CN" w:bidi="ar-SA"/>
        </w:rPr>
      </w:pPr>
      <w:r>
        <w:rPr>
          <w:rFonts w:hint="eastAsia" w:ascii="宋体" w:hAnsi="宋体" w:eastAsia="宋体" w:cs="宋体"/>
          <w:b/>
          <w:bCs w:val="0"/>
          <w:color w:val="000000"/>
          <w:spacing w:val="-4"/>
          <w:sz w:val="28"/>
          <w:szCs w:val="28"/>
          <w:highlight w:val="none"/>
          <w:lang w:val="en-US" w:eastAsia="zh-CN" w:bidi="ar-SA"/>
        </w:rPr>
        <w:t>第</w:t>
      </w:r>
      <w:r>
        <w:rPr>
          <w:rFonts w:hint="eastAsia" w:ascii="宋体" w:hAnsi="宋体" w:cs="宋体"/>
          <w:b/>
          <w:bCs w:val="0"/>
          <w:color w:val="000000"/>
          <w:spacing w:val="-4"/>
          <w:sz w:val="28"/>
          <w:szCs w:val="28"/>
          <w:highlight w:val="none"/>
          <w:lang w:val="en-US" w:eastAsia="zh-CN" w:bidi="ar-SA"/>
        </w:rPr>
        <w:t>十</w:t>
      </w:r>
      <w:r>
        <w:rPr>
          <w:rFonts w:hint="eastAsia" w:ascii="宋体" w:hAnsi="宋体" w:eastAsia="宋体" w:cs="宋体"/>
          <w:b/>
          <w:bCs w:val="0"/>
          <w:color w:val="000000"/>
          <w:spacing w:val="-4"/>
          <w:sz w:val="28"/>
          <w:szCs w:val="28"/>
          <w:highlight w:val="none"/>
          <w:lang w:val="en-US" w:eastAsia="zh-CN" w:bidi="ar-SA"/>
        </w:rPr>
        <w:t>条  违约、争议</w:t>
      </w:r>
    </w:p>
    <w:p w14:paraId="7703250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1、双方都必须严格遵守签订的合同条款、不得违约；</w:t>
      </w:r>
    </w:p>
    <w:p w14:paraId="709F030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2、由于一方违约造成的损失，由违约方承担，另一方要求违约方继续履行合同时，违约方承担上述违约责任后仍应继续履行合同；</w:t>
      </w:r>
    </w:p>
    <w:p w14:paraId="194E84D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3、双方对合同条款变更时必须另签补充合同条款，补充合同条款作为本代理合同的组成部分与主合同具有同等法律效力；</w:t>
      </w:r>
    </w:p>
    <w:p w14:paraId="1B15113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4、甲方与乙方在合同履行期间发生争议时，双方可以直接向项目所在地人民法院起诉。</w:t>
      </w:r>
    </w:p>
    <w:p w14:paraId="3A68C95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5、其他未尽事宜如有发生，双方友好协商。</w:t>
      </w:r>
    </w:p>
    <w:p w14:paraId="1D11003C">
      <w:pPr>
        <w:keepNext w:val="0"/>
        <w:keepLines w:val="0"/>
        <w:pageBreakBefore w:val="0"/>
        <w:widowControl w:val="0"/>
        <w:spacing w:line="500" w:lineRule="exact"/>
        <w:jc w:val="both"/>
        <w:rPr>
          <w:rFonts w:hint="eastAsia" w:ascii="宋体" w:hAnsi="宋体" w:eastAsia="宋体" w:cs="宋体"/>
          <w:b/>
          <w:bCs w:val="0"/>
          <w:color w:val="000000"/>
          <w:spacing w:val="-4"/>
          <w:sz w:val="28"/>
          <w:szCs w:val="28"/>
          <w:highlight w:val="none"/>
          <w:lang w:val="en-US" w:eastAsia="zh-CN" w:bidi="ar-SA"/>
        </w:rPr>
      </w:pPr>
      <w:r>
        <w:rPr>
          <w:rFonts w:hint="eastAsia" w:ascii="宋体" w:hAnsi="宋体" w:eastAsia="宋体" w:cs="宋体"/>
          <w:b/>
          <w:bCs w:val="0"/>
          <w:color w:val="000000"/>
          <w:spacing w:val="-4"/>
          <w:sz w:val="28"/>
          <w:szCs w:val="28"/>
          <w:highlight w:val="none"/>
          <w:lang w:val="en-US" w:eastAsia="zh-CN" w:bidi="ar-SA"/>
        </w:rPr>
        <w:t>第</w:t>
      </w:r>
      <w:r>
        <w:rPr>
          <w:rFonts w:hint="eastAsia" w:ascii="宋体" w:hAnsi="宋体" w:cs="宋体"/>
          <w:b/>
          <w:bCs w:val="0"/>
          <w:color w:val="000000"/>
          <w:spacing w:val="-4"/>
          <w:sz w:val="28"/>
          <w:szCs w:val="28"/>
          <w:highlight w:val="none"/>
          <w:lang w:val="en-US" w:eastAsia="zh-CN" w:bidi="ar-SA"/>
        </w:rPr>
        <w:t>十一</w:t>
      </w:r>
      <w:r>
        <w:rPr>
          <w:rFonts w:hint="eastAsia" w:ascii="宋体" w:hAnsi="宋体" w:eastAsia="宋体" w:cs="宋体"/>
          <w:b/>
          <w:bCs w:val="0"/>
          <w:color w:val="000000"/>
          <w:spacing w:val="-4"/>
          <w:sz w:val="28"/>
          <w:szCs w:val="28"/>
          <w:highlight w:val="none"/>
          <w:lang w:val="en-US" w:eastAsia="zh-CN" w:bidi="ar-SA"/>
        </w:rPr>
        <w:t>条   附则</w:t>
      </w:r>
    </w:p>
    <w:p w14:paraId="6847068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1、本合同正本一式柒份（甲乙双方各执叁份，财政局壹份），每份具有同等法律效力。</w:t>
      </w:r>
    </w:p>
    <w:p w14:paraId="3BB0E70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2、双方法定代表人或委托代理人签字并盖法人公章后生效。</w:t>
      </w:r>
    </w:p>
    <w:p w14:paraId="4B298095">
      <w:pPr>
        <w:keepNext w:val="0"/>
        <w:keepLines w:val="0"/>
        <w:pageBreakBefore w:val="0"/>
        <w:widowControl w:val="0"/>
        <w:spacing w:line="500" w:lineRule="exact"/>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第</w:t>
      </w:r>
      <w:r>
        <w:rPr>
          <w:rFonts w:hint="eastAsia" w:ascii="宋体" w:hAnsi="宋体" w:cs="宋体"/>
          <w:b/>
          <w:bCs/>
          <w:sz w:val="28"/>
          <w:szCs w:val="28"/>
          <w:highlight w:val="none"/>
          <w:lang w:val="en-US" w:eastAsia="zh-CN"/>
        </w:rPr>
        <w:t>十二</w:t>
      </w:r>
      <w:r>
        <w:rPr>
          <w:rFonts w:hint="eastAsia" w:ascii="宋体" w:hAnsi="宋体" w:eastAsia="宋体" w:cs="宋体"/>
          <w:b/>
          <w:bCs/>
          <w:sz w:val="28"/>
          <w:szCs w:val="28"/>
          <w:highlight w:val="none"/>
          <w:lang w:val="en-US" w:eastAsia="zh-CN"/>
        </w:rPr>
        <w:t>条   附件</w:t>
      </w:r>
    </w:p>
    <w:p w14:paraId="35B13AC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1、启东市干线公路绿化养护考核管理办法（2025</w:t>
      </w:r>
      <w:r>
        <w:rPr>
          <w:rFonts w:hint="eastAsia" w:ascii="宋体" w:hAnsi="宋体" w:cs="宋体"/>
          <w:sz w:val="28"/>
          <w:szCs w:val="28"/>
          <w:highlight w:val="none"/>
          <w:lang w:val="en-US" w:eastAsia="zh-CN"/>
        </w:rPr>
        <w:t>修正</w:t>
      </w:r>
      <w:r>
        <w:rPr>
          <w:rFonts w:hint="eastAsia" w:ascii="宋体" w:hAnsi="宋体" w:eastAsia="宋体" w:cs="宋体"/>
          <w:sz w:val="28"/>
          <w:szCs w:val="28"/>
          <w:highlight w:val="none"/>
          <w:lang w:val="en-US" w:eastAsia="zh-CN"/>
        </w:rPr>
        <w:t>版）</w:t>
      </w:r>
    </w:p>
    <w:p w14:paraId="1B811C8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2、启东市公路绿化工程施工、验收管理办法（试行）</w:t>
      </w:r>
    </w:p>
    <w:p w14:paraId="2D0ED79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3、江苏省城市园林绿化养护管理规范及分级标准（详见附件）</w:t>
      </w:r>
    </w:p>
    <w:tbl>
      <w:tblPr>
        <w:tblStyle w:val="30"/>
        <w:tblW w:w="8670" w:type="dxa"/>
        <w:tblInd w:w="-15" w:type="dxa"/>
        <w:tblLayout w:type="fixed"/>
        <w:tblCellMar>
          <w:top w:w="15" w:type="dxa"/>
          <w:left w:w="15" w:type="dxa"/>
          <w:bottom w:w="0" w:type="dxa"/>
          <w:right w:w="15" w:type="dxa"/>
        </w:tblCellMar>
      </w:tblPr>
      <w:tblGrid>
        <w:gridCol w:w="4537"/>
        <w:gridCol w:w="4133"/>
      </w:tblGrid>
      <w:tr w14:paraId="2C6CBFA7">
        <w:tblPrEx>
          <w:tblCellMar>
            <w:top w:w="15" w:type="dxa"/>
            <w:left w:w="15" w:type="dxa"/>
            <w:bottom w:w="0" w:type="dxa"/>
            <w:right w:w="15" w:type="dxa"/>
          </w:tblCellMar>
        </w:tblPrEx>
        <w:trPr>
          <w:trHeight w:val="481" w:hRule="atLeast"/>
        </w:trPr>
        <w:tc>
          <w:tcPr>
            <w:tcW w:w="4537" w:type="dxa"/>
            <w:tcBorders>
              <w:top w:val="nil"/>
              <w:left w:val="nil"/>
              <w:bottom w:val="nil"/>
              <w:right w:val="nil"/>
            </w:tcBorders>
            <w:noWrap w:val="0"/>
            <w:tcMar>
              <w:top w:w="15" w:type="dxa"/>
              <w:left w:w="15" w:type="dxa"/>
              <w:right w:w="15" w:type="dxa"/>
            </w:tcMar>
            <w:vAlign w:val="center"/>
          </w:tcPr>
          <w:p w14:paraId="3CB59A26">
            <w:pPr>
              <w:keepNext w:val="0"/>
              <w:keepLines w:val="0"/>
              <w:pageBreakBefore w:val="0"/>
              <w:widowControl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甲方（盖章）:</w:t>
            </w:r>
          </w:p>
        </w:tc>
        <w:tc>
          <w:tcPr>
            <w:tcW w:w="4133" w:type="dxa"/>
            <w:tcBorders>
              <w:top w:val="nil"/>
              <w:left w:val="nil"/>
              <w:bottom w:val="nil"/>
              <w:right w:val="nil"/>
            </w:tcBorders>
            <w:noWrap w:val="0"/>
            <w:tcMar>
              <w:top w:w="15" w:type="dxa"/>
              <w:left w:w="15" w:type="dxa"/>
              <w:right w:w="15" w:type="dxa"/>
            </w:tcMar>
            <w:vAlign w:val="center"/>
          </w:tcPr>
          <w:p w14:paraId="21253871">
            <w:pPr>
              <w:keepNext w:val="0"/>
              <w:keepLines w:val="0"/>
              <w:pageBreakBefore w:val="0"/>
              <w:widowControl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乙方（盖章）：</w:t>
            </w:r>
          </w:p>
        </w:tc>
      </w:tr>
      <w:tr w14:paraId="73EC0959">
        <w:tblPrEx>
          <w:tblCellMar>
            <w:top w:w="15" w:type="dxa"/>
            <w:left w:w="15" w:type="dxa"/>
            <w:bottom w:w="0" w:type="dxa"/>
            <w:right w:w="15" w:type="dxa"/>
          </w:tblCellMar>
        </w:tblPrEx>
        <w:trPr>
          <w:trHeight w:val="447" w:hRule="atLeast"/>
        </w:trPr>
        <w:tc>
          <w:tcPr>
            <w:tcW w:w="4537" w:type="dxa"/>
            <w:tcBorders>
              <w:top w:val="nil"/>
              <w:left w:val="nil"/>
              <w:bottom w:val="nil"/>
              <w:right w:val="nil"/>
            </w:tcBorders>
            <w:noWrap w:val="0"/>
            <w:tcMar>
              <w:top w:w="15" w:type="dxa"/>
              <w:left w:w="15" w:type="dxa"/>
              <w:right w:w="15" w:type="dxa"/>
            </w:tcMar>
            <w:vAlign w:val="center"/>
          </w:tcPr>
          <w:p w14:paraId="48878C65">
            <w:pPr>
              <w:keepNext w:val="0"/>
              <w:keepLines w:val="0"/>
              <w:pageBreakBefore w:val="0"/>
              <w:widowControl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w:t>
            </w:r>
          </w:p>
        </w:tc>
        <w:tc>
          <w:tcPr>
            <w:tcW w:w="4133" w:type="dxa"/>
            <w:tcBorders>
              <w:top w:val="nil"/>
              <w:left w:val="nil"/>
              <w:bottom w:val="nil"/>
              <w:right w:val="nil"/>
            </w:tcBorders>
            <w:noWrap w:val="0"/>
            <w:tcMar>
              <w:top w:w="15" w:type="dxa"/>
              <w:left w:w="15" w:type="dxa"/>
              <w:right w:w="15" w:type="dxa"/>
            </w:tcMar>
            <w:vAlign w:val="center"/>
          </w:tcPr>
          <w:p w14:paraId="6C929B1B">
            <w:pPr>
              <w:keepNext w:val="0"/>
              <w:keepLines w:val="0"/>
              <w:pageBreakBefore w:val="0"/>
              <w:widowControl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w:t>
            </w:r>
          </w:p>
        </w:tc>
      </w:tr>
      <w:tr w14:paraId="7D731D90">
        <w:tblPrEx>
          <w:tblCellMar>
            <w:top w:w="15" w:type="dxa"/>
            <w:left w:w="15" w:type="dxa"/>
            <w:bottom w:w="0" w:type="dxa"/>
            <w:right w:w="15" w:type="dxa"/>
          </w:tblCellMar>
        </w:tblPrEx>
        <w:trPr>
          <w:trHeight w:val="300" w:hRule="atLeast"/>
        </w:trPr>
        <w:tc>
          <w:tcPr>
            <w:tcW w:w="4537" w:type="dxa"/>
            <w:tcBorders>
              <w:top w:val="nil"/>
              <w:left w:val="nil"/>
              <w:bottom w:val="nil"/>
              <w:right w:val="nil"/>
            </w:tcBorders>
            <w:noWrap w:val="0"/>
            <w:tcMar>
              <w:top w:w="15" w:type="dxa"/>
              <w:left w:w="15" w:type="dxa"/>
              <w:right w:w="15" w:type="dxa"/>
            </w:tcMar>
            <w:vAlign w:val="center"/>
          </w:tcPr>
          <w:p w14:paraId="19460780">
            <w:pPr>
              <w:keepNext w:val="0"/>
              <w:keepLines w:val="0"/>
              <w:pageBreakBefore w:val="0"/>
              <w:widowControl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或</w:t>
            </w:r>
            <w:r>
              <w:rPr>
                <w:rFonts w:hint="eastAsia" w:ascii="宋体" w:hAnsi="宋体" w:eastAsia="宋体" w:cs="宋体"/>
                <w:color w:val="000000"/>
                <w:sz w:val="28"/>
                <w:szCs w:val="28"/>
                <w:highlight w:val="none"/>
              </w:rPr>
              <w:t>委托代理人：</w:t>
            </w:r>
          </w:p>
          <w:p w14:paraId="0619E9C8">
            <w:pPr>
              <w:keepNext w:val="0"/>
              <w:keepLines w:val="0"/>
              <w:pageBreakBefore w:val="0"/>
              <w:widowControl w:val="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eastAsia="zh-CN"/>
              </w:rPr>
              <w:t>开户银行：</w:t>
            </w:r>
          </w:p>
          <w:p w14:paraId="3C70917C">
            <w:pPr>
              <w:keepNext w:val="0"/>
              <w:keepLines w:val="0"/>
              <w:pageBreakBefore w:val="0"/>
              <w:widowControl w:val="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en-US" w:eastAsia="zh-CN"/>
              </w:rPr>
              <w:t>银行账号</w:t>
            </w:r>
            <w:r>
              <w:rPr>
                <w:rFonts w:hint="eastAsia" w:ascii="宋体" w:hAnsi="宋体" w:eastAsia="宋体" w:cs="宋体"/>
                <w:color w:val="000000"/>
                <w:sz w:val="28"/>
                <w:szCs w:val="28"/>
                <w:highlight w:val="none"/>
                <w:lang w:val="zh-CN" w:eastAsia="zh-CN"/>
              </w:rPr>
              <w:t>：</w:t>
            </w:r>
          </w:p>
          <w:p w14:paraId="670BF047">
            <w:pPr>
              <w:keepNext w:val="0"/>
              <w:keepLines w:val="0"/>
              <w:pageBreakBefore w:val="0"/>
              <w:widowControl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zh-CN" w:eastAsia="zh-CN"/>
              </w:rPr>
              <w:t>联系电话：</w:t>
            </w:r>
          </w:p>
        </w:tc>
        <w:tc>
          <w:tcPr>
            <w:tcW w:w="4133" w:type="dxa"/>
            <w:tcBorders>
              <w:top w:val="nil"/>
              <w:left w:val="nil"/>
              <w:bottom w:val="nil"/>
              <w:right w:val="nil"/>
            </w:tcBorders>
            <w:noWrap w:val="0"/>
            <w:tcMar>
              <w:top w:w="15" w:type="dxa"/>
              <w:left w:w="15" w:type="dxa"/>
              <w:right w:w="15" w:type="dxa"/>
            </w:tcMar>
            <w:vAlign w:val="center"/>
          </w:tcPr>
          <w:p w14:paraId="69E0814D">
            <w:pPr>
              <w:keepNext w:val="0"/>
              <w:keepLines w:val="0"/>
              <w:pageBreakBefore w:val="0"/>
              <w:widowControl w:val="0"/>
              <w:spacing w:line="5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lang w:val="en-US" w:eastAsia="zh-CN"/>
              </w:rPr>
              <w:t>或</w:t>
            </w:r>
            <w:r>
              <w:rPr>
                <w:rFonts w:hint="eastAsia" w:ascii="宋体" w:hAnsi="宋体" w:eastAsia="宋体" w:cs="宋体"/>
                <w:color w:val="000000"/>
                <w:sz w:val="28"/>
                <w:szCs w:val="28"/>
                <w:highlight w:val="none"/>
              </w:rPr>
              <w:t>委托代理人：</w:t>
            </w:r>
          </w:p>
          <w:p w14:paraId="697B0D44">
            <w:pPr>
              <w:keepNext w:val="0"/>
              <w:keepLines w:val="0"/>
              <w:pageBreakBefore w:val="0"/>
              <w:widowControl w:val="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zh-CN" w:eastAsia="zh-CN"/>
              </w:rPr>
              <w:t>开户银行：</w:t>
            </w:r>
          </w:p>
          <w:p w14:paraId="7DA1B7EF">
            <w:pPr>
              <w:keepNext w:val="0"/>
              <w:keepLines w:val="0"/>
              <w:pageBreakBefore w:val="0"/>
              <w:widowControl w:val="0"/>
              <w:spacing w:line="500" w:lineRule="exact"/>
              <w:rPr>
                <w:rFonts w:hint="eastAsia" w:ascii="宋体" w:hAnsi="宋体" w:eastAsia="宋体" w:cs="宋体"/>
                <w:color w:val="000000"/>
                <w:sz w:val="28"/>
                <w:szCs w:val="28"/>
                <w:highlight w:val="none"/>
                <w:lang w:val="zh-CN" w:eastAsia="zh-CN"/>
              </w:rPr>
            </w:pPr>
            <w:r>
              <w:rPr>
                <w:rFonts w:hint="eastAsia" w:ascii="宋体" w:hAnsi="宋体" w:eastAsia="宋体" w:cs="宋体"/>
                <w:color w:val="000000"/>
                <w:sz w:val="28"/>
                <w:szCs w:val="28"/>
                <w:highlight w:val="none"/>
                <w:lang w:val="en-US" w:eastAsia="zh-CN"/>
              </w:rPr>
              <w:t>银行账号</w:t>
            </w:r>
            <w:r>
              <w:rPr>
                <w:rFonts w:hint="eastAsia" w:ascii="宋体" w:hAnsi="宋体" w:eastAsia="宋体" w:cs="宋体"/>
                <w:color w:val="000000"/>
                <w:sz w:val="28"/>
                <w:szCs w:val="28"/>
                <w:highlight w:val="none"/>
                <w:lang w:val="zh-CN" w:eastAsia="zh-CN"/>
              </w:rPr>
              <w:t>：</w:t>
            </w:r>
          </w:p>
          <w:p w14:paraId="777972BA">
            <w:pPr>
              <w:keepNext w:val="0"/>
              <w:keepLines w:val="0"/>
              <w:pageBreakBefore w:val="0"/>
              <w:widowControl w:val="0"/>
              <w:spacing w:line="500" w:lineRule="exact"/>
              <w:rPr>
                <w:rFonts w:hint="eastAsia" w:ascii="宋体" w:hAnsi="宋体" w:eastAsia="宋体" w:cs="宋体"/>
                <w:highlight w:val="none"/>
              </w:rPr>
            </w:pPr>
            <w:r>
              <w:rPr>
                <w:rFonts w:hint="eastAsia" w:ascii="宋体" w:hAnsi="宋体" w:eastAsia="宋体" w:cs="宋体"/>
                <w:color w:val="000000"/>
                <w:sz w:val="28"/>
                <w:szCs w:val="28"/>
                <w:highlight w:val="none"/>
                <w:lang w:val="zh-CN" w:eastAsia="zh-CN"/>
              </w:rPr>
              <w:t>联系电话：</w:t>
            </w:r>
          </w:p>
        </w:tc>
      </w:tr>
    </w:tbl>
    <w:p w14:paraId="2C439075">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br w:type="page"/>
      </w:r>
    </w:p>
    <w:p w14:paraId="4DFD705A">
      <w:pPr>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附件</w:t>
      </w:r>
      <w:r>
        <w:rPr>
          <w:rFonts w:hint="eastAsia" w:ascii="宋体" w:hAnsi="宋体" w:eastAsia="宋体" w:cs="宋体"/>
          <w:color w:val="000000"/>
          <w:sz w:val="28"/>
          <w:szCs w:val="28"/>
          <w:highlight w:val="none"/>
          <w:lang w:val="en-US" w:eastAsia="zh-CN"/>
        </w:rPr>
        <w:t>1</w:t>
      </w:r>
      <w:r>
        <w:rPr>
          <w:rFonts w:hint="eastAsia" w:ascii="宋体" w:hAnsi="宋体" w:eastAsia="宋体" w:cs="宋体"/>
          <w:color w:val="000000"/>
          <w:sz w:val="28"/>
          <w:szCs w:val="28"/>
          <w:highlight w:val="none"/>
        </w:rPr>
        <w:t>：</w:t>
      </w:r>
    </w:p>
    <w:p w14:paraId="4094A860">
      <w:pPr>
        <w:spacing w:line="600" w:lineRule="exact"/>
        <w:jc w:val="center"/>
        <w:rPr>
          <w:rFonts w:hint="eastAsia" w:ascii="宋体" w:hAnsi="宋体" w:eastAsia="宋体" w:cs="宋体"/>
          <w:b/>
          <w:bCs w:val="0"/>
          <w:color w:val="000000"/>
          <w:sz w:val="36"/>
          <w:szCs w:val="36"/>
          <w:highlight w:val="none"/>
          <w:lang w:eastAsia="zh-CN"/>
        </w:rPr>
      </w:pPr>
      <w:r>
        <w:rPr>
          <w:rFonts w:hint="eastAsia" w:ascii="宋体" w:hAnsi="宋体" w:eastAsia="宋体" w:cs="宋体"/>
          <w:b/>
          <w:bCs w:val="0"/>
          <w:color w:val="000000"/>
          <w:sz w:val="36"/>
          <w:szCs w:val="36"/>
          <w:highlight w:val="none"/>
        </w:rPr>
        <w:t>启东市干线公路绿化养护考核管理办法</w:t>
      </w:r>
      <w:r>
        <w:rPr>
          <w:rFonts w:hint="eastAsia" w:ascii="宋体" w:hAnsi="宋体" w:eastAsia="宋体" w:cs="宋体"/>
          <w:b/>
          <w:bCs w:val="0"/>
          <w:color w:val="000000"/>
          <w:sz w:val="36"/>
          <w:szCs w:val="36"/>
          <w:highlight w:val="none"/>
          <w:lang w:eastAsia="zh-CN"/>
        </w:rPr>
        <w:t>（</w:t>
      </w:r>
      <w:r>
        <w:rPr>
          <w:rFonts w:hint="eastAsia" w:ascii="宋体" w:hAnsi="宋体" w:eastAsia="宋体" w:cs="宋体"/>
          <w:b/>
          <w:bCs w:val="0"/>
          <w:color w:val="000000"/>
          <w:sz w:val="36"/>
          <w:szCs w:val="36"/>
          <w:highlight w:val="none"/>
          <w:lang w:val="en-US" w:eastAsia="zh-CN"/>
        </w:rPr>
        <w:t>2025</w:t>
      </w:r>
      <w:r>
        <w:rPr>
          <w:rFonts w:hint="eastAsia" w:ascii="宋体" w:hAnsi="宋体" w:cs="宋体"/>
          <w:b/>
          <w:bCs w:val="0"/>
          <w:color w:val="000000"/>
          <w:sz w:val="36"/>
          <w:szCs w:val="36"/>
          <w:highlight w:val="none"/>
          <w:lang w:val="en-US" w:eastAsia="zh-CN"/>
        </w:rPr>
        <w:t>修正</w:t>
      </w:r>
      <w:r>
        <w:rPr>
          <w:rFonts w:hint="eastAsia" w:ascii="宋体" w:hAnsi="宋体" w:eastAsia="宋体" w:cs="宋体"/>
          <w:b/>
          <w:bCs w:val="0"/>
          <w:color w:val="000000"/>
          <w:sz w:val="36"/>
          <w:szCs w:val="36"/>
          <w:highlight w:val="none"/>
          <w:lang w:val="en-US" w:eastAsia="zh-CN"/>
        </w:rPr>
        <w:t>版</w:t>
      </w:r>
      <w:r>
        <w:rPr>
          <w:rFonts w:hint="eastAsia" w:ascii="宋体" w:hAnsi="宋体" w:eastAsia="宋体" w:cs="宋体"/>
          <w:b/>
          <w:bCs w:val="0"/>
          <w:color w:val="000000"/>
          <w:sz w:val="36"/>
          <w:szCs w:val="36"/>
          <w:highlight w:val="none"/>
          <w:lang w:eastAsia="zh-CN"/>
        </w:rPr>
        <w:t>）</w:t>
      </w:r>
    </w:p>
    <w:p w14:paraId="714014B4">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一、养护内容</w:t>
      </w:r>
    </w:p>
    <w:p w14:paraId="5C4B75F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绿化带内所有植物的正常除草、修剪、切边、整形、病虫害防治、排水、扶正浇水、施肥、树木涂白、支撑整理加固、日常保洁（含绿地上枯枝枯叶、修剪剩余垃圾等）、工单处理等。</w:t>
      </w:r>
    </w:p>
    <w:p w14:paraId="6296BA5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二、养护标准</w:t>
      </w:r>
    </w:p>
    <w:p w14:paraId="32A77A7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1、除草：绿地范围内基本无杂草、枯草，无火灾隐患（草坪覆盖率&gt;90%），苗木无人为损害。</w:t>
      </w:r>
    </w:p>
    <w:p w14:paraId="1068B2EA">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修剪：绿地内无明显枯死枝、病虫枝、坏枝、断枝；球类植物修剪有型；色带、灌木类修剪高度一致，层次分明，高矮有序；草坪生长控制在10厘米以内，无裸露地面，无成片枯黄。修剪下来的枝叶及时进行统一清理，禁止堆放在绿化带内及周边区域。</w:t>
      </w:r>
    </w:p>
    <w:p w14:paraId="4E5B8134">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3、病虫害防治：树木、草坪基本无黄叶、焦叶、卷叶及昆虫咬食的痕迹；树干生长正常，无蛀干昆虫危害，无药害。</w:t>
      </w:r>
    </w:p>
    <w:p w14:paraId="3AA1F1E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4、水分管理：土壤保持适宜苗木生长的湿度，无旱、涝引发的死苗现象。</w:t>
      </w:r>
    </w:p>
    <w:p w14:paraId="2549987A">
      <w:pPr>
        <w:keepNext w:val="0"/>
        <w:keepLines w:val="0"/>
        <w:pageBreakBefore w:val="0"/>
        <w:widowControl w:val="0"/>
        <w:spacing w:line="500" w:lineRule="exact"/>
        <w:ind w:firstLine="560"/>
        <w:jc w:val="left"/>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5、施肥：肥料种类为复合肥；施肥用量50千克/亩.次。复合肥N.P.K含量&gt;25%。</w:t>
      </w:r>
    </w:p>
    <w:p w14:paraId="67B0C7AC">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eastAsia="宋体" w:cs="宋体"/>
          <w:sz w:val="28"/>
          <w:szCs w:val="28"/>
          <w:highlight w:val="none"/>
          <w:lang w:val="en-US" w:eastAsia="zh-CN"/>
        </w:rPr>
        <w:t>6、刷白：乔木刷白，涂白剂配方为，石灰10份、食盐1份</w:t>
      </w:r>
      <w:r>
        <w:rPr>
          <w:rFonts w:hint="eastAsia" w:ascii="宋体" w:hAnsi="宋体" w:cs="宋体"/>
          <w:sz w:val="28"/>
          <w:szCs w:val="28"/>
          <w:highlight w:val="none"/>
          <w:lang w:val="en-US" w:eastAsia="zh-CN"/>
        </w:rPr>
        <w:t>、</w:t>
      </w:r>
      <w:r>
        <w:rPr>
          <w:rFonts w:hint="eastAsia" w:ascii="宋体" w:hAnsi="宋体" w:eastAsia="宋体" w:cs="宋体"/>
          <w:sz w:val="28"/>
          <w:szCs w:val="28"/>
          <w:highlight w:val="none"/>
        </w:rPr>
        <w:t>硫磺粉1份、水40份，调匀使用，高度为地面向上1米</w:t>
      </w:r>
      <w:r>
        <w:rPr>
          <w:rFonts w:hint="eastAsia" w:ascii="宋体" w:hAnsi="宋体" w:cs="宋体"/>
          <w:sz w:val="28"/>
          <w:szCs w:val="28"/>
          <w:highlight w:val="none"/>
          <w:lang w:val="en-US" w:eastAsia="zh-CN"/>
        </w:rPr>
        <w:t>。</w:t>
      </w:r>
    </w:p>
    <w:p w14:paraId="57B102F0">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7、补栽：及时挖除绿地内的死苗，由于养护单位养护不到位造成的死苗一律由养护单位按原品种、原规格、原密度补栽到位，费用不计。</w:t>
      </w:r>
    </w:p>
    <w:p w14:paraId="4C27E0E8">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8、乔灌木阴影覆盖区域内，应确保无杂草滋生。</w:t>
      </w:r>
    </w:p>
    <w:p w14:paraId="4578CF4D">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三、养护频率</w:t>
      </w:r>
    </w:p>
    <w:p w14:paraId="27D4B287">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1、除草：每年10次。</w:t>
      </w:r>
    </w:p>
    <w:p w14:paraId="4C500F95">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2、修剪：每年8次。</w:t>
      </w:r>
    </w:p>
    <w:p w14:paraId="688F6B91">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3、病虫害防治及水分管理：每日巡查，日常防治。</w:t>
      </w:r>
    </w:p>
    <w:p w14:paraId="79AB116D">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4、施肥：每年2次。</w:t>
      </w:r>
    </w:p>
    <w:p w14:paraId="209CA6C0">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5、刷白：每年1次。</w:t>
      </w:r>
    </w:p>
    <w:p w14:paraId="00339AB3">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6、补栽：每年2次。</w:t>
      </w:r>
    </w:p>
    <w:p w14:paraId="7C49727A">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四、养护费分摊比例</w:t>
      </w:r>
    </w:p>
    <w:p w14:paraId="46162246">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养护费分摊比例参照合同文件及公路绿化养护考核评分表中相关内容。</w:t>
      </w:r>
    </w:p>
    <w:p w14:paraId="6CF9B6C2">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五、养护要求：</w:t>
      </w:r>
    </w:p>
    <w:p w14:paraId="5049102A">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1、养护质量标准达到启东市干线公路绿化养护考核管理办法的规定，并符合以下要求：</w:t>
      </w:r>
    </w:p>
    <w:p w14:paraId="07D17288">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（1）在干旱季节，应及时浇水，浇水量和次数根据植物正常生长需要确定。日常养护中要保证苗木花草正常生长所需要的水分。绿化养护的水源由承包人自行解决。</w:t>
      </w:r>
    </w:p>
    <w:p w14:paraId="63A79CC4">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（2）加强雨后绿化带的检查，遇有积水时，承包人应针对积水原因采取措施，排除绿地范围内的积水。</w:t>
      </w:r>
    </w:p>
    <w:p w14:paraId="60E80527">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（3）应及时扶正台风造成倒伏的苗木并根据苗木的生长及时调整支撑的松紧及位置。</w:t>
      </w:r>
    </w:p>
    <w:p w14:paraId="0B1AD09B">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（4）及时完善和修复乔木的支撑。</w:t>
      </w:r>
    </w:p>
    <w:p w14:paraId="47D423C3">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5）如遇极端恶劣天气：台风（橙色预警及以上）或强降雨且无处排水等情况造成的苗木死亡，养护单位根据实际情况申报，经监理及业主单位核实后进行签证。根据植物的生长习性，因上木枝叶生长旺盛造成地被幽闭的情况，养护单位根据实际情况申报，经监理及业主单位核实后进行签证。</w:t>
      </w:r>
    </w:p>
    <w:p w14:paraId="0C80DC1C">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2、在绿化养护期内，如有苗木未成活的，承包人应进行调换补植，如承包人未进行调换补植的，发包人有权按照现场苗木规格的信息指导价及种植费用扣除相应死苗价格。</w:t>
      </w:r>
    </w:p>
    <w:p w14:paraId="3E580205">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3、每年每种苗木的自然死亡率</w:t>
      </w:r>
      <w:r>
        <w:rPr>
          <w:rFonts w:hint="eastAsia" w:ascii="宋体" w:hAnsi="宋体" w:eastAsia="宋体" w:cs="宋体"/>
          <w:sz w:val="28"/>
          <w:szCs w:val="28"/>
          <w:highlight w:val="none"/>
          <w:lang w:val="en-US" w:eastAsia="zh-CN"/>
        </w:rPr>
        <w:t>≦</w:t>
      </w:r>
      <w:r>
        <w:rPr>
          <w:rFonts w:hint="eastAsia" w:ascii="宋体" w:hAnsi="宋体" w:cs="宋体"/>
          <w:sz w:val="28"/>
          <w:szCs w:val="28"/>
          <w:highlight w:val="none"/>
          <w:lang w:val="en-US" w:eastAsia="zh-CN"/>
        </w:rPr>
        <w:t>2%。</w:t>
      </w:r>
    </w:p>
    <w:p w14:paraId="408625C2">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4、本项目中标单位（项目成交单位）在本工程（项目）绿化养护期间，不履行养护责任的，发包人有权直接指定启东市范围内有资质的园林绿化施工或养护单位养护，所发生的养护费按实从中标单位（成交单位）的合同价款中划拨。</w:t>
      </w:r>
    </w:p>
    <w:p w14:paraId="05F1DBD4">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5、经业主及有关部门不定期检查，每年有三次达不到标准，业主有权终止合同。未付的合同款不予支付，给业主造成的损失等价赔偿。</w:t>
      </w:r>
    </w:p>
    <w:p w14:paraId="48BFDFC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6、养护结束前60天</w:t>
      </w:r>
      <w:r>
        <w:rPr>
          <w:rFonts w:hint="eastAsia" w:ascii="宋体" w:hAnsi="宋体" w:cs="宋体"/>
          <w:sz w:val="28"/>
          <w:szCs w:val="28"/>
          <w:highlight w:val="none"/>
          <w:lang w:val="en-US" w:eastAsia="zh-CN"/>
        </w:rPr>
        <w:t>养护单位</w:t>
      </w:r>
      <w:r>
        <w:rPr>
          <w:rFonts w:hint="eastAsia" w:ascii="宋体" w:hAnsi="宋体" w:eastAsia="宋体" w:cs="宋体"/>
          <w:sz w:val="28"/>
          <w:szCs w:val="28"/>
          <w:highlight w:val="none"/>
          <w:lang w:val="en-US" w:eastAsia="zh-CN"/>
        </w:rPr>
        <w:t>现场清点苗木数量并提交养护决算资料3套。经</w:t>
      </w:r>
      <w:r>
        <w:rPr>
          <w:rFonts w:hint="eastAsia" w:ascii="宋体" w:hAnsi="宋体" w:cs="宋体"/>
          <w:sz w:val="28"/>
          <w:szCs w:val="28"/>
          <w:highlight w:val="none"/>
          <w:lang w:val="en-US" w:eastAsia="zh-CN"/>
        </w:rPr>
        <w:t>监理、业主</w:t>
      </w:r>
      <w:r>
        <w:rPr>
          <w:rFonts w:hint="eastAsia" w:ascii="宋体" w:hAnsi="宋体" w:eastAsia="宋体" w:cs="宋体"/>
          <w:sz w:val="28"/>
          <w:szCs w:val="28"/>
          <w:highlight w:val="none"/>
          <w:lang w:val="en-US" w:eastAsia="zh-CN"/>
        </w:rPr>
        <w:t>核批后作为付款依据。</w:t>
      </w:r>
    </w:p>
    <w:p w14:paraId="37BE6E6C">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7、养护承包期结束时，承包人在养护内累积所有养护记录和资料（包括台帐、账册）按档案要求装订成册全部交给业主（一式三份）。</w:t>
      </w:r>
    </w:p>
    <w:p w14:paraId="729831A1">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8、养护单位竣工决算资料上报时间为合同工期结束前60天，养护交接资料承包人会同新养护单位共同完成，上报时间为新养护单位养护中标后21天内，决算资料及养护交接资料必须经业主单位确认无差错，逾期未提交完整正确详实资料的，按2000元/天处罚。逾期造成养护接管单位不按时接管等后果，发包人有权确认养护单位违约，报市公共资源交易管理中心记不良信誉一次。</w:t>
      </w:r>
    </w:p>
    <w:p w14:paraId="7797E1B9">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9、养护单位巡查不到位或巡查到位但制止不力，致使绿化破坏，损失由养护单位自行承担；未按相关规定办理绿化损毁审批手续，擅自与有关单位和个人进行私下交易增设道口或绿化带用作其他用途的，扣除当月养护费。</w:t>
      </w:r>
    </w:p>
    <w:p w14:paraId="593F44C2">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10、业主单位召开会议，或通知到养护现场处理有关问题，有项目负责人或项目总工未经请假同意，无故缺席的、迟到的或请人代为参加的，按2000元/次罚款。无故缺席一年内累计超过三次的，记该单位不良信誉记录。</w:t>
      </w:r>
    </w:p>
    <w:p w14:paraId="72554B17">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11、养护单位严禁使用具有毁灭性、非选择性的除草剂，确需进行杂草防除的，须选用对目标杂草高效、对周边绿化植物及生态环境低风险的选择性药剂，并做好安全防护措施，一经发现或虽未现场发现但事后发现原绿化地段发黄确认系打除草剂所致的，按3000元/次处罚。</w:t>
      </w:r>
    </w:p>
    <w:p w14:paraId="38BC1F6F">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12、养护考核中除草与保洁养护分项得分在80分（含）以下的，一年内累计超过3次，记该单位不良信誉记录。</w:t>
      </w:r>
    </w:p>
    <w:p w14:paraId="4E682083">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13、承包人在养护中无正当理由拒不执行发包人的正当管理工作指令的，发包人有权对其进行经济处罚4000-6000元/次。一年内发生三次及以上的，报市公共资源交易管理中心记不良信誉一次。</w:t>
      </w:r>
    </w:p>
    <w:p w14:paraId="55957C5E">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14、本工程（项目）绿化养护考核由发包人按《江苏省城市园林绿化养护技术规定》、《江苏省绿化养护等级标准》和《启东市干线公路绿化养护考核管理办法》考核，养护考核合格的，养护费按实支付；养护考核不合格的，当月养护费不予支付，一年内除草与保洁养护分项得分在80分（含）以下的且累计超过3次的，发包人有权取消其养护资格，并另行直接指定启东市范围内有资质的园林绿化施工或养护单位养护，报市公共资源交易管理中心记不良信誉一次。对市政府有关部门或者发包人布置重大活动安排，如不积极执行或因日常维护不到位，造成一定影响的，每次罚3000元，发包人将另行组织实施，所发生的费用从承包人的合同价款中按实扣除。</w:t>
      </w:r>
    </w:p>
    <w:p w14:paraId="3C01AD5D">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15、本工程招标（项目采购）时的工程量清单中所列工程数量是预计数量。仅作为投标报价的共同基础，不作为最终结算与支付依据，实际支付应按现场实际完成的工程量以及合同单价计算支付金额。</w:t>
      </w:r>
    </w:p>
    <w:p w14:paraId="1EE6BFE7">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16、履约保证金在业主签发《交通绿化工程养护移交申请单》后一次性退还（不计利息）</w:t>
      </w:r>
    </w:p>
    <w:p w14:paraId="657B968E">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17、施肥用量按50kg/亩·次实施。</w:t>
      </w:r>
    </w:p>
    <w:p w14:paraId="0E80665D">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18、每年养护期结束前45天，养护单位及时报验资料，业主在支付证书收到后14天内核批。</w:t>
      </w:r>
    </w:p>
    <w:p w14:paraId="28095B5C">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六、养护考核具体扣分明细处罚</w:t>
      </w:r>
    </w:p>
    <w:p w14:paraId="74D1F40D">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r>
        <w:rPr>
          <w:rFonts w:hint="eastAsia" w:ascii="宋体" w:hAnsi="宋体" w:cs="宋体"/>
          <w:sz w:val="28"/>
          <w:szCs w:val="28"/>
          <w:highlight w:val="none"/>
          <w:lang w:val="en-US" w:eastAsia="zh-CN"/>
        </w:rPr>
        <w:t>施工、养护单位每月25日至月底向监理、业主申报本月已完成的养护工作及下个月的养护计划，不申报或申报不完整的，每月每分项扣1分；每月25日前报本月已经完成的养护工作，不申报或申报不符合实际养护情况的，每月每分项扣1分；养护考核由启东市交通事业发展中心组织相关单位进行养护考核，考核采取分项百分制，即每个养护分项满分100分，评分结合日常巡查和定期检查进行，其中日常检查发现养护不到位的，经通知仍未整改到位的，每分项每次扣2分；逢上级领导视察对养护有特别要求的，必须在规定时间内完成特别要求的工作，未完成的，每个养护分项扣3-8分；定期检查时，要求项目经理或单位负责人必须到场，未到场的每分项扣2分；对于修剪养护分项全部要求侧边切边，侧边没有切边或切边不到位的扣修剪养护分项1-3分；对于施肥养护分项要求必须按施肥标准在规定时间内完成，在规定时间内没有完成的扣除所有施肥费用；对于刷白养护分项，刷白剂浓度不够的扣刷白养护分项5-11分；定期检查时发现病虫害、火灾、旱涝或其他人为因素等引发的死苗缺苗现象，每处扣所有养护分项各1分；定期检查时要求所有养护范围内沟边芦苇清除干净，未清除的扣2-6分；承包人在养护中未及时处置12345诉求，扣除当月各分项考核分1-5分定期检查按各养护分项完成百分比得分；综合得分在80分以上的为合格（得分在90分以上的不扣分），本次养护费按得分百分比（详见下表）支付；得分在80分（含）以下的为不合格，本次养护费不予支付。</w:t>
      </w:r>
    </w:p>
    <w:p w14:paraId="52A778D7">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p>
    <w:tbl>
      <w:tblPr>
        <w:tblStyle w:val="30"/>
        <w:tblW w:w="4997"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93"/>
        <w:gridCol w:w="694"/>
        <w:gridCol w:w="694"/>
        <w:gridCol w:w="694"/>
        <w:gridCol w:w="694"/>
        <w:gridCol w:w="694"/>
        <w:gridCol w:w="694"/>
        <w:gridCol w:w="694"/>
        <w:gridCol w:w="694"/>
        <w:gridCol w:w="694"/>
        <w:gridCol w:w="694"/>
        <w:gridCol w:w="694"/>
        <w:gridCol w:w="696"/>
      </w:tblGrid>
      <w:tr w14:paraId="0D30F2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3" w:hRule="atLeast"/>
        </w:trPr>
        <w:tc>
          <w:tcPr>
            <w:tcW w:w="384" w:type="pct"/>
            <w:noWrap w:val="0"/>
            <w:vAlign w:val="center"/>
          </w:tcPr>
          <w:p w14:paraId="18321B2B">
            <w:pPr>
              <w:spacing w:after="120" w:line="360" w:lineRule="auto"/>
              <w:jc w:val="left"/>
              <w:rPr>
                <w:rFonts w:hint="eastAsia" w:ascii="宋体" w:hAnsi="宋体" w:eastAsia="宋体" w:cs="宋体"/>
                <w:color w:val="000000"/>
                <w:highlight w:val="none"/>
                <w:vertAlign w:val="baseline"/>
                <w:lang w:eastAsia="zh-CN"/>
              </w:rPr>
            </w:pPr>
            <w:r>
              <w:rPr>
                <w:rFonts w:hint="eastAsia" w:ascii="宋体" w:hAnsi="宋体" w:eastAsia="宋体" w:cs="宋体"/>
                <w:color w:val="000000"/>
                <w:highlight w:val="none"/>
                <w:vertAlign w:val="baseline"/>
                <w:lang w:eastAsia="zh-CN"/>
              </w:rPr>
              <w:t>考核综合得分</w:t>
            </w:r>
          </w:p>
        </w:tc>
        <w:tc>
          <w:tcPr>
            <w:tcW w:w="384" w:type="pct"/>
            <w:noWrap w:val="0"/>
            <w:vAlign w:val="center"/>
          </w:tcPr>
          <w:p w14:paraId="1A70ECE8">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eastAsia="zh-CN"/>
              </w:rPr>
              <w:t>＞</w:t>
            </w:r>
            <w:r>
              <w:rPr>
                <w:rFonts w:hint="eastAsia" w:ascii="宋体" w:hAnsi="宋体" w:eastAsia="宋体" w:cs="宋体"/>
                <w:color w:val="000000"/>
                <w:highlight w:val="none"/>
                <w:vertAlign w:val="baseline"/>
                <w:lang w:val="en-US" w:eastAsia="zh-CN"/>
              </w:rPr>
              <w:t>90分</w:t>
            </w:r>
          </w:p>
        </w:tc>
        <w:tc>
          <w:tcPr>
            <w:tcW w:w="384" w:type="pct"/>
            <w:noWrap w:val="0"/>
            <w:vAlign w:val="center"/>
          </w:tcPr>
          <w:p w14:paraId="299EA052">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90分</w:t>
            </w:r>
          </w:p>
        </w:tc>
        <w:tc>
          <w:tcPr>
            <w:tcW w:w="384" w:type="pct"/>
            <w:noWrap w:val="0"/>
            <w:vAlign w:val="center"/>
          </w:tcPr>
          <w:p w14:paraId="473B9932">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89分</w:t>
            </w:r>
          </w:p>
        </w:tc>
        <w:tc>
          <w:tcPr>
            <w:tcW w:w="384" w:type="pct"/>
            <w:noWrap w:val="0"/>
            <w:vAlign w:val="center"/>
          </w:tcPr>
          <w:p w14:paraId="52C6638C">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88分</w:t>
            </w:r>
          </w:p>
        </w:tc>
        <w:tc>
          <w:tcPr>
            <w:tcW w:w="384" w:type="pct"/>
            <w:noWrap w:val="0"/>
            <w:vAlign w:val="center"/>
          </w:tcPr>
          <w:p w14:paraId="0FFA69F6">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87分</w:t>
            </w:r>
          </w:p>
        </w:tc>
        <w:tc>
          <w:tcPr>
            <w:tcW w:w="384" w:type="pct"/>
            <w:noWrap w:val="0"/>
            <w:vAlign w:val="center"/>
          </w:tcPr>
          <w:p w14:paraId="1E2EC248">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86分</w:t>
            </w:r>
          </w:p>
        </w:tc>
        <w:tc>
          <w:tcPr>
            <w:tcW w:w="384" w:type="pct"/>
            <w:noWrap w:val="0"/>
            <w:vAlign w:val="center"/>
          </w:tcPr>
          <w:p w14:paraId="79F3D5E2">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85分</w:t>
            </w:r>
          </w:p>
        </w:tc>
        <w:tc>
          <w:tcPr>
            <w:tcW w:w="384" w:type="pct"/>
            <w:noWrap w:val="0"/>
            <w:vAlign w:val="center"/>
          </w:tcPr>
          <w:p w14:paraId="405929E6">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84分</w:t>
            </w:r>
          </w:p>
        </w:tc>
        <w:tc>
          <w:tcPr>
            <w:tcW w:w="384" w:type="pct"/>
            <w:noWrap w:val="0"/>
            <w:vAlign w:val="center"/>
          </w:tcPr>
          <w:p w14:paraId="719B8FFB">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83分</w:t>
            </w:r>
          </w:p>
        </w:tc>
        <w:tc>
          <w:tcPr>
            <w:tcW w:w="384" w:type="pct"/>
            <w:noWrap w:val="0"/>
            <w:vAlign w:val="center"/>
          </w:tcPr>
          <w:p w14:paraId="68CEE422">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82分</w:t>
            </w:r>
          </w:p>
        </w:tc>
        <w:tc>
          <w:tcPr>
            <w:tcW w:w="384" w:type="pct"/>
            <w:noWrap w:val="0"/>
            <w:vAlign w:val="center"/>
          </w:tcPr>
          <w:p w14:paraId="77640DE9">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81分</w:t>
            </w:r>
          </w:p>
        </w:tc>
        <w:tc>
          <w:tcPr>
            <w:tcW w:w="385" w:type="pct"/>
            <w:noWrap w:val="0"/>
            <w:vAlign w:val="center"/>
          </w:tcPr>
          <w:p w14:paraId="75441353">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≤80分</w:t>
            </w:r>
          </w:p>
        </w:tc>
      </w:tr>
      <w:tr w14:paraId="6A7A6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07" w:hRule="atLeast"/>
        </w:trPr>
        <w:tc>
          <w:tcPr>
            <w:tcW w:w="384" w:type="pct"/>
            <w:noWrap w:val="0"/>
            <w:vAlign w:val="center"/>
          </w:tcPr>
          <w:p w14:paraId="6BBDFC80">
            <w:pPr>
              <w:spacing w:after="120" w:line="360" w:lineRule="auto"/>
              <w:jc w:val="left"/>
              <w:rPr>
                <w:rFonts w:hint="eastAsia" w:ascii="宋体" w:hAnsi="宋体" w:eastAsia="宋体" w:cs="宋体"/>
                <w:color w:val="000000"/>
                <w:highlight w:val="none"/>
                <w:vertAlign w:val="baseline"/>
                <w:lang w:eastAsia="zh-CN"/>
              </w:rPr>
            </w:pPr>
            <w:r>
              <w:rPr>
                <w:rFonts w:hint="eastAsia" w:ascii="宋体" w:hAnsi="宋体" w:eastAsia="宋体" w:cs="宋体"/>
                <w:color w:val="000000"/>
                <w:highlight w:val="none"/>
                <w:vertAlign w:val="baseline"/>
                <w:lang w:eastAsia="zh-CN"/>
              </w:rPr>
              <w:t>扣费百分比</w:t>
            </w:r>
          </w:p>
        </w:tc>
        <w:tc>
          <w:tcPr>
            <w:tcW w:w="384" w:type="pct"/>
            <w:noWrap w:val="0"/>
            <w:vAlign w:val="center"/>
          </w:tcPr>
          <w:p w14:paraId="57ADACFA">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0%</w:t>
            </w:r>
          </w:p>
        </w:tc>
        <w:tc>
          <w:tcPr>
            <w:tcW w:w="384" w:type="pct"/>
            <w:noWrap w:val="0"/>
            <w:vAlign w:val="center"/>
          </w:tcPr>
          <w:p w14:paraId="0E614273">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1%</w:t>
            </w:r>
          </w:p>
        </w:tc>
        <w:tc>
          <w:tcPr>
            <w:tcW w:w="384" w:type="pct"/>
            <w:noWrap w:val="0"/>
            <w:vAlign w:val="center"/>
          </w:tcPr>
          <w:p w14:paraId="6E9356DE">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2%</w:t>
            </w:r>
          </w:p>
        </w:tc>
        <w:tc>
          <w:tcPr>
            <w:tcW w:w="384" w:type="pct"/>
            <w:noWrap w:val="0"/>
            <w:vAlign w:val="center"/>
          </w:tcPr>
          <w:p w14:paraId="7C4F0E94">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3%</w:t>
            </w:r>
          </w:p>
        </w:tc>
        <w:tc>
          <w:tcPr>
            <w:tcW w:w="384" w:type="pct"/>
            <w:noWrap w:val="0"/>
            <w:vAlign w:val="center"/>
          </w:tcPr>
          <w:p w14:paraId="770172AF">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4%</w:t>
            </w:r>
          </w:p>
        </w:tc>
        <w:tc>
          <w:tcPr>
            <w:tcW w:w="384" w:type="pct"/>
            <w:noWrap w:val="0"/>
            <w:vAlign w:val="center"/>
          </w:tcPr>
          <w:p w14:paraId="12275002">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5%</w:t>
            </w:r>
          </w:p>
        </w:tc>
        <w:tc>
          <w:tcPr>
            <w:tcW w:w="384" w:type="pct"/>
            <w:noWrap w:val="0"/>
            <w:vAlign w:val="center"/>
          </w:tcPr>
          <w:p w14:paraId="74D66BB5">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6%</w:t>
            </w:r>
          </w:p>
        </w:tc>
        <w:tc>
          <w:tcPr>
            <w:tcW w:w="384" w:type="pct"/>
            <w:noWrap w:val="0"/>
            <w:vAlign w:val="center"/>
          </w:tcPr>
          <w:p w14:paraId="04FFD295">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7%</w:t>
            </w:r>
          </w:p>
        </w:tc>
        <w:tc>
          <w:tcPr>
            <w:tcW w:w="384" w:type="pct"/>
            <w:noWrap w:val="0"/>
            <w:vAlign w:val="center"/>
          </w:tcPr>
          <w:p w14:paraId="617FC0F4">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8%</w:t>
            </w:r>
          </w:p>
        </w:tc>
        <w:tc>
          <w:tcPr>
            <w:tcW w:w="384" w:type="pct"/>
            <w:noWrap w:val="0"/>
            <w:vAlign w:val="center"/>
          </w:tcPr>
          <w:p w14:paraId="36AE4FD0">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9%</w:t>
            </w:r>
          </w:p>
        </w:tc>
        <w:tc>
          <w:tcPr>
            <w:tcW w:w="384" w:type="pct"/>
            <w:noWrap w:val="0"/>
            <w:vAlign w:val="center"/>
          </w:tcPr>
          <w:p w14:paraId="11827149">
            <w:pPr>
              <w:spacing w:after="120" w:line="360" w:lineRule="auto"/>
              <w:jc w:val="both"/>
              <w:rPr>
                <w:rFonts w:hint="eastAsia" w:ascii="宋体" w:hAnsi="宋体" w:eastAsia="宋体" w:cs="宋体"/>
                <w:color w:val="000000"/>
                <w:highlight w:val="none"/>
                <w:vertAlign w:val="baseline"/>
                <w:lang w:val="en-US" w:eastAsia="zh-CN"/>
              </w:rPr>
            </w:pPr>
            <w:r>
              <w:rPr>
                <w:rFonts w:hint="eastAsia" w:ascii="宋体" w:hAnsi="宋体" w:eastAsia="宋体" w:cs="宋体"/>
                <w:color w:val="000000"/>
                <w:highlight w:val="none"/>
                <w:vertAlign w:val="baseline"/>
                <w:lang w:val="en-US" w:eastAsia="zh-CN"/>
              </w:rPr>
              <w:t>10%</w:t>
            </w:r>
          </w:p>
        </w:tc>
        <w:tc>
          <w:tcPr>
            <w:tcW w:w="385" w:type="pct"/>
            <w:noWrap w:val="0"/>
            <w:vAlign w:val="center"/>
          </w:tcPr>
          <w:p w14:paraId="5B25B0CE">
            <w:pPr>
              <w:spacing w:after="120" w:line="360" w:lineRule="auto"/>
              <w:jc w:val="both"/>
              <w:rPr>
                <w:rFonts w:hint="eastAsia" w:ascii="宋体" w:hAnsi="宋体" w:eastAsia="宋体" w:cs="宋体"/>
                <w:color w:val="000000"/>
                <w:highlight w:val="none"/>
                <w:vertAlign w:val="baseline"/>
                <w:lang w:eastAsia="zh-CN"/>
              </w:rPr>
            </w:pPr>
            <w:r>
              <w:rPr>
                <w:rFonts w:hint="eastAsia" w:ascii="宋体" w:hAnsi="宋体" w:eastAsia="宋体" w:cs="宋体"/>
                <w:color w:val="000000"/>
                <w:highlight w:val="none"/>
                <w:vertAlign w:val="baseline"/>
                <w:lang w:eastAsia="zh-CN"/>
              </w:rPr>
              <w:t>不合格</w:t>
            </w:r>
          </w:p>
        </w:tc>
      </w:tr>
    </w:tbl>
    <w:p w14:paraId="5C4CEEC2">
      <w:pPr>
        <w:keepNext w:val="0"/>
        <w:keepLines w:val="0"/>
        <w:pageBreakBefore w:val="0"/>
        <w:widowControl w:val="0"/>
        <w:spacing w:line="500" w:lineRule="exact"/>
        <w:ind w:firstLine="560"/>
        <w:jc w:val="left"/>
        <w:rPr>
          <w:rFonts w:hint="eastAsia" w:ascii="宋体" w:hAnsi="宋体" w:cs="宋体"/>
          <w:sz w:val="28"/>
          <w:szCs w:val="28"/>
          <w:highlight w:val="none"/>
          <w:lang w:val="en-US" w:eastAsia="zh-CN"/>
        </w:rPr>
      </w:pPr>
    </w:p>
    <w:p w14:paraId="4744D9B4">
      <w:pPr>
        <w:spacing w:line="500" w:lineRule="exact"/>
        <w:ind w:firstLine="0" w:firstLineChars="0"/>
        <w:jc w:val="lef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r>
    </w:p>
    <w:tbl>
      <w:tblPr>
        <w:tblStyle w:val="212"/>
        <w:tblW w:w="8999" w:type="dxa"/>
        <w:tblInd w:w="-16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94"/>
        <w:gridCol w:w="1554"/>
        <w:gridCol w:w="1511"/>
        <w:gridCol w:w="1312"/>
        <w:gridCol w:w="1214"/>
        <w:gridCol w:w="1159"/>
        <w:gridCol w:w="855"/>
      </w:tblGrid>
      <w:tr w14:paraId="0D792F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000" w:type="dxa"/>
            <w:gridSpan w:val="7"/>
            <w:tcBorders>
              <w:top w:val="nil"/>
              <w:left w:val="nil"/>
              <w:bottom w:val="nil"/>
              <w:right w:val="nil"/>
            </w:tcBorders>
            <w:noWrap w:val="0"/>
            <w:vAlign w:val="center"/>
          </w:tcPr>
          <w:p w14:paraId="2DF4F381">
            <w:pPr>
              <w:widowControl/>
              <w:spacing w:line="480" w:lineRule="exact"/>
              <w:jc w:val="center"/>
              <w:rPr>
                <w:rFonts w:hint="eastAsia" w:ascii="宋体" w:hAnsi="宋体" w:eastAsia="宋体" w:cs="宋体"/>
                <w:b/>
                <w:sz w:val="24"/>
                <w:szCs w:val="24"/>
                <w:highlight w:val="none"/>
              </w:rPr>
            </w:pPr>
            <w:r>
              <w:rPr>
                <w:rFonts w:hint="eastAsia" w:ascii="宋体" w:hAnsi="宋体" w:eastAsia="宋体" w:cs="宋体"/>
                <w:b/>
                <w:sz w:val="30"/>
                <w:szCs w:val="30"/>
                <w:highlight w:val="none"/>
              </w:rPr>
              <w:t>干线公路绿化养护考核评分表</w:t>
            </w:r>
          </w:p>
        </w:tc>
      </w:tr>
      <w:tr w14:paraId="27FE3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9000" w:type="dxa"/>
            <w:gridSpan w:val="7"/>
            <w:tcBorders>
              <w:top w:val="nil"/>
              <w:left w:val="nil"/>
              <w:bottom w:val="single" w:color="000000" w:sz="4" w:space="0"/>
              <w:right w:val="nil"/>
            </w:tcBorders>
            <w:noWrap w:val="0"/>
            <w:vAlign w:val="center"/>
          </w:tcPr>
          <w:p w14:paraId="3C208DE8">
            <w:pPr>
              <w:widowControl/>
              <w:spacing w:line="480" w:lineRule="exact"/>
              <w:jc w:val="left"/>
              <w:rPr>
                <w:rFonts w:hint="eastAsia" w:ascii="宋体" w:hAnsi="宋体" w:eastAsia="宋体" w:cs="宋体"/>
                <w:szCs w:val="21"/>
                <w:highlight w:val="none"/>
              </w:rPr>
            </w:pPr>
            <w:r>
              <w:rPr>
                <w:rFonts w:hint="eastAsia" w:ascii="宋体" w:hAnsi="宋体" w:eastAsia="宋体" w:cs="宋体"/>
                <w:szCs w:val="21"/>
                <w:highlight w:val="none"/>
              </w:rPr>
              <w:t>标段名称：</w:t>
            </w:r>
          </w:p>
        </w:tc>
      </w:tr>
      <w:tr w14:paraId="1F710A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trPr>
        <w:tc>
          <w:tcPr>
            <w:tcW w:w="1395" w:type="dxa"/>
            <w:tcBorders>
              <w:top w:val="nil"/>
              <w:left w:val="single" w:color="000000" w:sz="4" w:space="0"/>
              <w:bottom w:val="single" w:color="000000" w:sz="4" w:space="0"/>
              <w:right w:val="single" w:color="000000" w:sz="4" w:space="0"/>
            </w:tcBorders>
            <w:noWrap w:val="0"/>
            <w:vAlign w:val="center"/>
          </w:tcPr>
          <w:p w14:paraId="54BCFA3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养护时间</w:t>
            </w:r>
          </w:p>
        </w:tc>
        <w:tc>
          <w:tcPr>
            <w:tcW w:w="1554" w:type="dxa"/>
            <w:tcBorders>
              <w:top w:val="nil"/>
              <w:left w:val="nil"/>
              <w:bottom w:val="single" w:color="000000" w:sz="4" w:space="0"/>
              <w:right w:val="single" w:color="000000" w:sz="4" w:space="0"/>
            </w:tcBorders>
            <w:noWrap w:val="0"/>
            <w:vAlign w:val="center"/>
          </w:tcPr>
          <w:p w14:paraId="490331B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养护分项</w:t>
            </w:r>
          </w:p>
        </w:tc>
        <w:tc>
          <w:tcPr>
            <w:tcW w:w="1511" w:type="dxa"/>
            <w:tcBorders>
              <w:top w:val="nil"/>
              <w:left w:val="nil"/>
              <w:bottom w:val="single" w:color="000000" w:sz="4" w:space="0"/>
              <w:right w:val="single" w:color="000000" w:sz="4" w:space="0"/>
            </w:tcBorders>
            <w:noWrap w:val="0"/>
            <w:vAlign w:val="center"/>
          </w:tcPr>
          <w:p w14:paraId="6765A63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占年度养护费比例（%）</w:t>
            </w:r>
          </w:p>
        </w:tc>
        <w:tc>
          <w:tcPr>
            <w:tcW w:w="1312" w:type="dxa"/>
            <w:tcBorders>
              <w:top w:val="nil"/>
              <w:left w:val="nil"/>
              <w:bottom w:val="single" w:color="000000" w:sz="4" w:space="0"/>
              <w:right w:val="single" w:color="000000" w:sz="4" w:space="0"/>
            </w:tcBorders>
            <w:noWrap w:val="0"/>
            <w:vAlign w:val="center"/>
          </w:tcPr>
          <w:p w14:paraId="4A15083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备注</w:t>
            </w:r>
          </w:p>
        </w:tc>
        <w:tc>
          <w:tcPr>
            <w:tcW w:w="1214" w:type="dxa"/>
            <w:tcBorders>
              <w:top w:val="nil"/>
              <w:left w:val="nil"/>
              <w:bottom w:val="single" w:color="000000" w:sz="4" w:space="0"/>
              <w:right w:val="single" w:color="000000" w:sz="4" w:space="0"/>
            </w:tcBorders>
            <w:noWrap w:val="0"/>
            <w:vAlign w:val="center"/>
          </w:tcPr>
          <w:p w14:paraId="2DB756E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应得分</w:t>
            </w:r>
          </w:p>
        </w:tc>
        <w:tc>
          <w:tcPr>
            <w:tcW w:w="1159" w:type="dxa"/>
            <w:tcBorders>
              <w:top w:val="nil"/>
              <w:left w:val="nil"/>
              <w:bottom w:val="single" w:color="000000" w:sz="4" w:space="0"/>
              <w:right w:val="single" w:color="000000" w:sz="4" w:space="0"/>
            </w:tcBorders>
            <w:noWrap w:val="0"/>
            <w:vAlign w:val="center"/>
          </w:tcPr>
          <w:p w14:paraId="0791E0D7">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实得分</w:t>
            </w:r>
          </w:p>
        </w:tc>
        <w:tc>
          <w:tcPr>
            <w:tcW w:w="855" w:type="dxa"/>
            <w:tcBorders>
              <w:top w:val="nil"/>
              <w:left w:val="nil"/>
              <w:bottom w:val="single" w:color="000000" w:sz="4" w:space="0"/>
              <w:right w:val="single" w:color="000000" w:sz="4" w:space="0"/>
            </w:tcBorders>
            <w:noWrap w:val="0"/>
            <w:vAlign w:val="center"/>
          </w:tcPr>
          <w:p w14:paraId="35DED24F">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总分</w:t>
            </w:r>
          </w:p>
        </w:tc>
      </w:tr>
      <w:tr w14:paraId="19B881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exact"/>
        </w:trPr>
        <w:tc>
          <w:tcPr>
            <w:tcW w:w="1395" w:type="dxa"/>
            <w:tcBorders>
              <w:top w:val="nil"/>
              <w:left w:val="single" w:color="000000" w:sz="4" w:space="0"/>
              <w:bottom w:val="single" w:color="000000" w:sz="4" w:space="0"/>
              <w:right w:val="single" w:color="000000" w:sz="4" w:space="0"/>
            </w:tcBorders>
            <w:noWrap w:val="0"/>
            <w:vAlign w:val="center"/>
          </w:tcPr>
          <w:p w14:paraId="5BD34403">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2月</w:t>
            </w:r>
          </w:p>
        </w:tc>
        <w:tc>
          <w:tcPr>
            <w:tcW w:w="1554" w:type="dxa"/>
            <w:tcBorders>
              <w:top w:val="nil"/>
              <w:left w:val="nil"/>
              <w:bottom w:val="single" w:color="000000" w:sz="4" w:space="0"/>
              <w:right w:val="single" w:color="000000" w:sz="4" w:space="0"/>
            </w:tcBorders>
            <w:noWrap w:val="0"/>
            <w:vAlign w:val="center"/>
          </w:tcPr>
          <w:p w14:paraId="3E44C556">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施肥</w:t>
            </w:r>
          </w:p>
        </w:tc>
        <w:tc>
          <w:tcPr>
            <w:tcW w:w="1511" w:type="dxa"/>
            <w:tcBorders>
              <w:top w:val="nil"/>
              <w:left w:val="nil"/>
              <w:bottom w:val="single" w:color="000000" w:sz="4" w:space="0"/>
              <w:right w:val="single" w:color="000000" w:sz="4" w:space="0"/>
            </w:tcBorders>
            <w:noWrap w:val="0"/>
            <w:vAlign w:val="center"/>
          </w:tcPr>
          <w:p w14:paraId="56B5DA0A">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32CB3F65">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萌芽前</w:t>
            </w:r>
          </w:p>
        </w:tc>
        <w:tc>
          <w:tcPr>
            <w:tcW w:w="1214" w:type="dxa"/>
            <w:tcBorders>
              <w:top w:val="nil"/>
              <w:left w:val="nil"/>
              <w:bottom w:val="single" w:color="000000" w:sz="4" w:space="0"/>
              <w:right w:val="single" w:color="000000" w:sz="4" w:space="0"/>
            </w:tcBorders>
            <w:noWrap w:val="0"/>
            <w:vAlign w:val="center"/>
          </w:tcPr>
          <w:p w14:paraId="2AF2A3F1">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3EF4257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tcBorders>
              <w:top w:val="nil"/>
              <w:left w:val="nil"/>
              <w:bottom w:val="single" w:color="000000" w:sz="4" w:space="0"/>
              <w:right w:val="single" w:color="000000" w:sz="4" w:space="0"/>
            </w:tcBorders>
            <w:noWrap w:val="0"/>
            <w:vAlign w:val="center"/>
          </w:tcPr>
          <w:p w14:paraId="77F71A00">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46539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restart"/>
            <w:tcBorders>
              <w:top w:val="nil"/>
              <w:left w:val="single" w:color="000000" w:sz="4" w:space="0"/>
              <w:bottom w:val="nil"/>
              <w:right w:val="single" w:color="000000" w:sz="4" w:space="0"/>
            </w:tcBorders>
            <w:noWrap w:val="0"/>
            <w:vAlign w:val="center"/>
          </w:tcPr>
          <w:p w14:paraId="3DEAAFD6">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3月</w:t>
            </w:r>
          </w:p>
        </w:tc>
        <w:tc>
          <w:tcPr>
            <w:tcW w:w="1554" w:type="dxa"/>
            <w:tcBorders>
              <w:top w:val="nil"/>
              <w:left w:val="nil"/>
              <w:bottom w:val="single" w:color="000000" w:sz="4" w:space="0"/>
              <w:right w:val="single" w:color="000000" w:sz="4" w:space="0"/>
            </w:tcBorders>
            <w:noWrap w:val="0"/>
            <w:vAlign w:val="center"/>
          </w:tcPr>
          <w:p w14:paraId="08971CD9">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2D37CA54">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2689BA50">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4631FD25">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057D59A0">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4E697FF4">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nil"/>
              <w:right w:val="single" w:color="000000" w:sz="4" w:space="0"/>
            </w:tcBorders>
            <w:noWrap w:val="0"/>
            <w:vAlign w:val="center"/>
          </w:tcPr>
          <w:p w14:paraId="1E5947A6">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17610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continue"/>
            <w:tcBorders>
              <w:top w:val="nil"/>
              <w:left w:val="single" w:color="000000" w:sz="4" w:space="0"/>
              <w:bottom w:val="nil"/>
              <w:right w:val="single" w:color="000000" w:sz="4" w:space="0"/>
            </w:tcBorders>
            <w:noWrap w:val="0"/>
            <w:vAlign w:val="center"/>
          </w:tcPr>
          <w:p w14:paraId="2BFD7272">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25423106">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补栽</w:t>
            </w:r>
          </w:p>
        </w:tc>
        <w:tc>
          <w:tcPr>
            <w:tcW w:w="1511" w:type="dxa"/>
            <w:tcBorders>
              <w:top w:val="nil"/>
              <w:left w:val="nil"/>
              <w:bottom w:val="single" w:color="000000" w:sz="4" w:space="0"/>
              <w:right w:val="single" w:color="000000" w:sz="4" w:space="0"/>
            </w:tcBorders>
            <w:noWrap w:val="0"/>
            <w:vAlign w:val="center"/>
          </w:tcPr>
          <w:p w14:paraId="64E07EDA">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312" w:type="dxa"/>
            <w:tcBorders>
              <w:top w:val="nil"/>
              <w:left w:val="nil"/>
              <w:bottom w:val="single" w:color="000000" w:sz="4" w:space="0"/>
              <w:right w:val="single" w:color="000000" w:sz="4" w:space="0"/>
            </w:tcBorders>
            <w:noWrap w:val="0"/>
            <w:vAlign w:val="center"/>
          </w:tcPr>
          <w:p w14:paraId="4FEE5265">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2EBC067D">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3221941E">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single" w:color="000000" w:sz="4" w:space="0"/>
              <w:bottom w:val="nil"/>
              <w:right w:val="single" w:color="000000" w:sz="4" w:space="0"/>
            </w:tcBorders>
            <w:noWrap w:val="0"/>
            <w:vAlign w:val="center"/>
          </w:tcPr>
          <w:p w14:paraId="59164425">
            <w:pPr>
              <w:widowControl/>
              <w:spacing w:line="240" w:lineRule="exact"/>
              <w:jc w:val="left"/>
              <w:rPr>
                <w:rFonts w:hint="eastAsia" w:ascii="宋体" w:hAnsi="宋体" w:eastAsia="宋体" w:cs="宋体"/>
                <w:szCs w:val="21"/>
                <w:highlight w:val="none"/>
              </w:rPr>
            </w:pPr>
          </w:p>
        </w:tc>
      </w:tr>
      <w:tr w14:paraId="6F032F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4564BFF9">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53E179AD">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693C2489">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2CF259FF">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68F36EDA">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6692EE9C">
            <w:pPr>
              <w:widowControl/>
              <w:spacing w:line="240" w:lineRule="exact"/>
              <w:jc w:val="center"/>
              <w:rPr>
                <w:rFonts w:hint="eastAsia" w:ascii="宋体" w:hAnsi="宋体" w:eastAsia="宋体" w:cs="宋体"/>
                <w:szCs w:val="21"/>
                <w:highlight w:val="none"/>
              </w:rPr>
            </w:pPr>
          </w:p>
        </w:tc>
        <w:tc>
          <w:tcPr>
            <w:tcW w:w="855" w:type="dxa"/>
            <w:vMerge w:val="continue"/>
            <w:tcBorders>
              <w:top w:val="nil"/>
              <w:left w:val="single" w:color="000000" w:sz="4" w:space="0"/>
              <w:bottom w:val="single" w:color="000000" w:sz="4" w:space="0"/>
              <w:right w:val="single" w:color="000000" w:sz="4" w:space="0"/>
            </w:tcBorders>
            <w:noWrap w:val="0"/>
            <w:vAlign w:val="center"/>
          </w:tcPr>
          <w:p w14:paraId="6B37D289">
            <w:pPr>
              <w:widowControl/>
              <w:spacing w:line="240" w:lineRule="exact"/>
              <w:jc w:val="left"/>
              <w:rPr>
                <w:rFonts w:hint="eastAsia" w:ascii="宋体" w:hAnsi="宋体" w:eastAsia="宋体" w:cs="宋体"/>
                <w:szCs w:val="21"/>
                <w:highlight w:val="none"/>
              </w:rPr>
            </w:pPr>
          </w:p>
        </w:tc>
      </w:tr>
      <w:tr w14:paraId="379C0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11" w:hRule="exact"/>
        </w:trPr>
        <w:tc>
          <w:tcPr>
            <w:tcW w:w="1395" w:type="dxa"/>
            <w:vMerge w:val="restart"/>
            <w:tcBorders>
              <w:top w:val="nil"/>
              <w:left w:val="single" w:color="000000" w:sz="4" w:space="0"/>
              <w:bottom w:val="single" w:color="000000" w:sz="4" w:space="0"/>
              <w:right w:val="single" w:color="000000" w:sz="4" w:space="0"/>
            </w:tcBorders>
            <w:noWrap w:val="0"/>
            <w:vAlign w:val="center"/>
          </w:tcPr>
          <w:p w14:paraId="2D48C1BB">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4月</w:t>
            </w:r>
          </w:p>
        </w:tc>
        <w:tc>
          <w:tcPr>
            <w:tcW w:w="1554" w:type="dxa"/>
            <w:tcBorders>
              <w:top w:val="nil"/>
              <w:left w:val="nil"/>
              <w:bottom w:val="single" w:color="000000" w:sz="4" w:space="0"/>
              <w:right w:val="single" w:color="000000" w:sz="4" w:space="0"/>
            </w:tcBorders>
            <w:noWrap w:val="0"/>
            <w:vAlign w:val="center"/>
          </w:tcPr>
          <w:p w14:paraId="7426D817">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0A7E66E6">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22651961">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20F24393">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18F90DE9">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1CF7D2E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single" w:color="000000" w:sz="4" w:space="0"/>
              <w:right w:val="single" w:color="000000" w:sz="4" w:space="0"/>
            </w:tcBorders>
            <w:noWrap w:val="0"/>
            <w:vAlign w:val="center"/>
          </w:tcPr>
          <w:p w14:paraId="1B4A83D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6B74F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0E99436B">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6607368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50A0E28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52F8A8F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50E258B1">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681A78D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single" w:color="000000" w:sz="4" w:space="0"/>
              <w:bottom w:val="single" w:color="000000" w:sz="4" w:space="0"/>
              <w:right w:val="single" w:color="000000" w:sz="4" w:space="0"/>
            </w:tcBorders>
            <w:noWrap w:val="0"/>
            <w:vAlign w:val="center"/>
          </w:tcPr>
          <w:p w14:paraId="54045770">
            <w:pPr>
              <w:widowControl/>
              <w:spacing w:line="240" w:lineRule="exact"/>
              <w:jc w:val="left"/>
              <w:rPr>
                <w:rFonts w:hint="eastAsia" w:ascii="宋体" w:hAnsi="宋体" w:eastAsia="宋体" w:cs="宋体"/>
                <w:szCs w:val="21"/>
                <w:highlight w:val="none"/>
              </w:rPr>
            </w:pPr>
          </w:p>
        </w:tc>
      </w:tr>
      <w:tr w14:paraId="79A968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89" w:hRule="exact"/>
        </w:trPr>
        <w:tc>
          <w:tcPr>
            <w:tcW w:w="1395" w:type="dxa"/>
            <w:vMerge w:val="restart"/>
            <w:tcBorders>
              <w:top w:val="nil"/>
              <w:left w:val="single" w:color="000000" w:sz="4" w:space="0"/>
              <w:bottom w:val="nil"/>
              <w:right w:val="single" w:color="000000" w:sz="4" w:space="0"/>
            </w:tcBorders>
            <w:noWrap w:val="0"/>
            <w:vAlign w:val="center"/>
          </w:tcPr>
          <w:p w14:paraId="34C86A1F">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5月</w:t>
            </w:r>
          </w:p>
        </w:tc>
        <w:tc>
          <w:tcPr>
            <w:tcW w:w="1554" w:type="dxa"/>
            <w:tcBorders>
              <w:top w:val="nil"/>
              <w:left w:val="nil"/>
              <w:bottom w:val="single" w:color="000000" w:sz="4" w:space="0"/>
              <w:right w:val="single" w:color="000000" w:sz="4" w:space="0"/>
            </w:tcBorders>
            <w:noWrap w:val="0"/>
            <w:vAlign w:val="center"/>
          </w:tcPr>
          <w:p w14:paraId="70040BF3">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17E3B6ED">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2EB58AC1">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78164C17">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7A911BBF">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37A22714">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single" w:color="000000" w:sz="4" w:space="0"/>
              <w:right w:val="single" w:color="000000" w:sz="4" w:space="0"/>
            </w:tcBorders>
            <w:noWrap w:val="0"/>
            <w:vAlign w:val="center"/>
          </w:tcPr>
          <w:p w14:paraId="037341D0">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71E4A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09"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1B557118">
            <w:pPr>
              <w:widowControl/>
              <w:spacing w:line="240" w:lineRule="exact"/>
              <w:jc w:val="center"/>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5A41EB5F">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4CD201B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2EEA07A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68E494C5">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79787D55">
            <w:pPr>
              <w:widowControl/>
              <w:spacing w:line="240" w:lineRule="exact"/>
              <w:jc w:val="center"/>
              <w:rPr>
                <w:rFonts w:hint="eastAsia" w:ascii="宋体" w:hAnsi="宋体" w:eastAsia="宋体" w:cs="宋体"/>
                <w:szCs w:val="21"/>
                <w:highlight w:val="none"/>
              </w:rPr>
            </w:pPr>
          </w:p>
        </w:tc>
        <w:tc>
          <w:tcPr>
            <w:tcW w:w="855" w:type="dxa"/>
            <w:vMerge w:val="continue"/>
            <w:tcBorders>
              <w:top w:val="nil"/>
              <w:left w:val="single" w:color="000000" w:sz="4" w:space="0"/>
              <w:bottom w:val="single" w:color="000000" w:sz="4" w:space="0"/>
              <w:right w:val="single" w:color="000000" w:sz="4" w:space="0"/>
            </w:tcBorders>
            <w:noWrap w:val="0"/>
            <w:vAlign w:val="center"/>
          </w:tcPr>
          <w:p w14:paraId="3A8F4325">
            <w:pPr>
              <w:widowControl/>
              <w:spacing w:line="240" w:lineRule="exact"/>
              <w:jc w:val="center"/>
              <w:rPr>
                <w:rFonts w:hint="eastAsia" w:ascii="宋体" w:hAnsi="宋体" w:eastAsia="宋体" w:cs="宋体"/>
                <w:szCs w:val="21"/>
                <w:highlight w:val="none"/>
              </w:rPr>
            </w:pPr>
          </w:p>
        </w:tc>
      </w:tr>
      <w:tr w14:paraId="49959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restart"/>
            <w:tcBorders>
              <w:top w:val="nil"/>
              <w:left w:val="single" w:color="000000" w:sz="4" w:space="0"/>
              <w:bottom w:val="single" w:color="000000" w:sz="4" w:space="0"/>
              <w:right w:val="single" w:color="000000" w:sz="4" w:space="0"/>
            </w:tcBorders>
            <w:noWrap w:val="0"/>
            <w:vAlign w:val="center"/>
          </w:tcPr>
          <w:p w14:paraId="38BAB561">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6月</w:t>
            </w:r>
          </w:p>
        </w:tc>
        <w:tc>
          <w:tcPr>
            <w:tcW w:w="1554" w:type="dxa"/>
            <w:tcBorders>
              <w:top w:val="nil"/>
              <w:left w:val="nil"/>
              <w:bottom w:val="single" w:color="000000" w:sz="4" w:space="0"/>
              <w:right w:val="single" w:color="000000" w:sz="4" w:space="0"/>
            </w:tcBorders>
            <w:noWrap w:val="0"/>
            <w:vAlign w:val="center"/>
          </w:tcPr>
          <w:p w14:paraId="10AEB478">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6CAD9948">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60AC2A9A">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0904B6AA">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0891D3EA">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78D6DD19">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single" w:color="000000" w:sz="4" w:space="0"/>
              <w:right w:val="single" w:color="000000" w:sz="4" w:space="0"/>
            </w:tcBorders>
            <w:noWrap w:val="0"/>
            <w:vAlign w:val="center"/>
          </w:tcPr>
          <w:p w14:paraId="4889AC4C">
            <w:pPr>
              <w:widowControl/>
              <w:spacing w:line="240" w:lineRule="exact"/>
              <w:jc w:val="left"/>
              <w:rPr>
                <w:rFonts w:hint="eastAsia" w:ascii="宋体" w:hAnsi="宋体" w:eastAsia="宋体" w:cs="宋体"/>
                <w:szCs w:val="21"/>
                <w:highlight w:val="none"/>
              </w:rPr>
            </w:pPr>
          </w:p>
        </w:tc>
      </w:tr>
      <w:tr w14:paraId="65838D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65FFE49D">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4D367309">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73D6D10A">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49C20195">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31330220">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33E09248">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single" w:color="000000" w:sz="4" w:space="0"/>
              <w:bottom w:val="single" w:color="000000" w:sz="4" w:space="0"/>
              <w:right w:val="single" w:color="000000" w:sz="4" w:space="0"/>
            </w:tcBorders>
            <w:noWrap w:val="0"/>
            <w:vAlign w:val="center"/>
          </w:tcPr>
          <w:p w14:paraId="79B2320F">
            <w:pPr>
              <w:widowControl/>
              <w:spacing w:line="240" w:lineRule="exact"/>
              <w:jc w:val="left"/>
              <w:rPr>
                <w:rFonts w:hint="eastAsia" w:ascii="宋体" w:hAnsi="宋体" w:eastAsia="宋体" w:cs="宋体"/>
                <w:szCs w:val="21"/>
                <w:highlight w:val="none"/>
              </w:rPr>
            </w:pPr>
          </w:p>
        </w:tc>
      </w:tr>
      <w:tr w14:paraId="306798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exact"/>
        </w:trPr>
        <w:tc>
          <w:tcPr>
            <w:tcW w:w="1395" w:type="dxa"/>
            <w:vMerge w:val="restart"/>
            <w:tcBorders>
              <w:top w:val="nil"/>
              <w:left w:val="single" w:color="000000" w:sz="4" w:space="0"/>
              <w:bottom w:val="nil"/>
              <w:right w:val="single" w:color="000000" w:sz="4" w:space="0"/>
            </w:tcBorders>
            <w:noWrap w:val="0"/>
            <w:vAlign w:val="center"/>
          </w:tcPr>
          <w:p w14:paraId="1D519B1F">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7月</w:t>
            </w:r>
          </w:p>
        </w:tc>
        <w:tc>
          <w:tcPr>
            <w:tcW w:w="1554" w:type="dxa"/>
            <w:tcBorders>
              <w:top w:val="nil"/>
              <w:left w:val="nil"/>
              <w:bottom w:val="single" w:color="000000" w:sz="4" w:space="0"/>
              <w:right w:val="single" w:color="000000" w:sz="4" w:space="0"/>
            </w:tcBorders>
            <w:noWrap w:val="0"/>
            <w:vAlign w:val="center"/>
          </w:tcPr>
          <w:p w14:paraId="4BB5D474">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3740C5A8">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2AED8E68">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15E23FAD">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5FC425CD">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2E6713E8">
            <w:pPr>
              <w:spacing w:line="240" w:lineRule="exact"/>
              <w:jc w:val="center"/>
              <w:rPr>
                <w:rFonts w:hint="eastAsia" w:ascii="宋体" w:hAnsi="宋体" w:eastAsia="宋体" w:cs="宋体"/>
                <w:szCs w:val="21"/>
                <w:highlight w:val="none"/>
              </w:rPr>
            </w:pPr>
          </w:p>
        </w:tc>
        <w:tc>
          <w:tcPr>
            <w:tcW w:w="855" w:type="dxa"/>
            <w:vMerge w:val="restart"/>
            <w:tcBorders>
              <w:top w:val="nil"/>
              <w:left w:val="nil"/>
              <w:bottom w:val="nil"/>
              <w:right w:val="single" w:color="000000" w:sz="4" w:space="0"/>
            </w:tcBorders>
            <w:noWrap w:val="0"/>
            <w:vAlign w:val="center"/>
          </w:tcPr>
          <w:p w14:paraId="41DEF040">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000A3B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09DDF648">
            <w:pPr>
              <w:widowControl/>
              <w:spacing w:line="240" w:lineRule="exact"/>
              <w:jc w:val="center"/>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4D2551AB">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6F083871">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372007DA">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0CB7DF5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16EFB668">
            <w:pPr>
              <w:spacing w:line="240" w:lineRule="exact"/>
              <w:rPr>
                <w:rFonts w:hint="eastAsia" w:ascii="宋体" w:hAnsi="宋体" w:eastAsia="宋体" w:cs="宋体"/>
                <w:szCs w:val="21"/>
                <w:highlight w:val="none"/>
              </w:rPr>
            </w:pPr>
          </w:p>
        </w:tc>
        <w:tc>
          <w:tcPr>
            <w:tcW w:w="855" w:type="dxa"/>
            <w:vMerge w:val="continue"/>
            <w:tcBorders>
              <w:top w:val="nil"/>
              <w:left w:val="nil"/>
              <w:bottom w:val="single" w:color="000000" w:sz="4" w:space="0"/>
              <w:right w:val="single" w:color="000000" w:sz="4" w:space="0"/>
            </w:tcBorders>
            <w:noWrap w:val="0"/>
            <w:vAlign w:val="center"/>
          </w:tcPr>
          <w:p w14:paraId="4FCCD416">
            <w:pPr>
              <w:widowControl/>
              <w:spacing w:line="240" w:lineRule="exact"/>
              <w:jc w:val="center"/>
              <w:rPr>
                <w:rFonts w:hint="eastAsia" w:ascii="宋体" w:hAnsi="宋体" w:eastAsia="宋体" w:cs="宋体"/>
                <w:szCs w:val="21"/>
                <w:highlight w:val="none"/>
              </w:rPr>
            </w:pPr>
          </w:p>
        </w:tc>
      </w:tr>
      <w:tr w14:paraId="53E46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restart"/>
            <w:tcBorders>
              <w:top w:val="nil"/>
              <w:left w:val="single" w:color="000000" w:sz="4" w:space="0"/>
              <w:bottom w:val="nil"/>
              <w:right w:val="single" w:color="000000" w:sz="4" w:space="0"/>
            </w:tcBorders>
            <w:noWrap w:val="0"/>
            <w:vAlign w:val="center"/>
          </w:tcPr>
          <w:p w14:paraId="4889A8F7">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8月</w:t>
            </w:r>
          </w:p>
        </w:tc>
        <w:tc>
          <w:tcPr>
            <w:tcW w:w="1554" w:type="dxa"/>
            <w:tcBorders>
              <w:top w:val="nil"/>
              <w:left w:val="nil"/>
              <w:bottom w:val="single" w:color="000000" w:sz="4" w:space="0"/>
              <w:right w:val="single" w:color="000000" w:sz="4" w:space="0"/>
            </w:tcBorders>
            <w:noWrap w:val="0"/>
            <w:vAlign w:val="center"/>
          </w:tcPr>
          <w:p w14:paraId="2B642BC3">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3322D757">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494DC0A2">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20D5CD6F">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79A9E494">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2A946B14">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nil"/>
              <w:right w:val="single" w:color="000000" w:sz="4" w:space="0"/>
            </w:tcBorders>
            <w:noWrap w:val="0"/>
            <w:vAlign w:val="center"/>
          </w:tcPr>
          <w:p w14:paraId="170D22B2">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p w14:paraId="569E2A4D">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51530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0686CF40">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02AA853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323D4D0B">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52D05AC6">
            <w:pPr>
              <w:widowControl/>
              <w:spacing w:line="240" w:lineRule="exact"/>
              <w:jc w:val="left"/>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03069EBF">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0BCD4615">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single" w:color="000000" w:sz="4" w:space="0"/>
              <w:bottom w:val="nil"/>
              <w:right w:val="single" w:color="000000" w:sz="4" w:space="0"/>
            </w:tcBorders>
            <w:noWrap w:val="0"/>
            <w:vAlign w:val="center"/>
          </w:tcPr>
          <w:p w14:paraId="10E1723E">
            <w:pPr>
              <w:spacing w:line="240" w:lineRule="exact"/>
              <w:jc w:val="center"/>
              <w:rPr>
                <w:rFonts w:hint="eastAsia" w:ascii="宋体" w:hAnsi="宋体" w:eastAsia="宋体" w:cs="宋体"/>
                <w:szCs w:val="21"/>
                <w:highlight w:val="none"/>
              </w:rPr>
            </w:pPr>
          </w:p>
        </w:tc>
      </w:tr>
      <w:tr w14:paraId="7D1EE7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exact"/>
        </w:trPr>
        <w:tc>
          <w:tcPr>
            <w:tcW w:w="1395" w:type="dxa"/>
            <w:vMerge w:val="restart"/>
            <w:tcBorders>
              <w:top w:val="nil"/>
              <w:left w:val="single" w:color="000000" w:sz="4" w:space="0"/>
              <w:bottom w:val="nil"/>
              <w:right w:val="single" w:color="000000" w:sz="4" w:space="0"/>
            </w:tcBorders>
            <w:noWrap w:val="0"/>
            <w:vAlign w:val="center"/>
          </w:tcPr>
          <w:p w14:paraId="7B01CF7C">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9月</w:t>
            </w:r>
          </w:p>
        </w:tc>
        <w:tc>
          <w:tcPr>
            <w:tcW w:w="1554" w:type="dxa"/>
            <w:tcBorders>
              <w:top w:val="nil"/>
              <w:left w:val="nil"/>
              <w:bottom w:val="single" w:color="000000" w:sz="4" w:space="0"/>
              <w:right w:val="single" w:color="000000" w:sz="4" w:space="0"/>
            </w:tcBorders>
            <w:noWrap w:val="0"/>
            <w:vAlign w:val="center"/>
          </w:tcPr>
          <w:p w14:paraId="34BE351E">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4F82A237">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5D930BF9">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312" w:type="dxa"/>
            <w:tcBorders>
              <w:top w:val="nil"/>
              <w:left w:val="nil"/>
              <w:bottom w:val="single" w:color="000000" w:sz="4" w:space="0"/>
              <w:right w:val="single" w:color="000000" w:sz="4" w:space="0"/>
            </w:tcBorders>
            <w:noWrap w:val="0"/>
            <w:vAlign w:val="center"/>
          </w:tcPr>
          <w:p w14:paraId="6A23E16B">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5545A401">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6E439D48">
            <w:pPr>
              <w:spacing w:line="240" w:lineRule="exact"/>
              <w:jc w:val="center"/>
              <w:rPr>
                <w:rFonts w:hint="eastAsia" w:ascii="宋体" w:hAnsi="宋体" w:eastAsia="宋体" w:cs="宋体"/>
                <w:szCs w:val="21"/>
                <w:highlight w:val="none"/>
              </w:rPr>
            </w:pPr>
          </w:p>
        </w:tc>
        <w:tc>
          <w:tcPr>
            <w:tcW w:w="855" w:type="dxa"/>
            <w:vMerge w:val="restart"/>
            <w:tcBorders>
              <w:top w:val="nil"/>
              <w:left w:val="nil"/>
              <w:bottom w:val="nil"/>
              <w:right w:val="single" w:color="000000" w:sz="4" w:space="0"/>
            </w:tcBorders>
            <w:noWrap w:val="0"/>
            <w:vAlign w:val="center"/>
          </w:tcPr>
          <w:p w14:paraId="65638648">
            <w:pPr>
              <w:widowControl/>
              <w:spacing w:line="240" w:lineRule="exact"/>
              <w:jc w:val="center"/>
              <w:rPr>
                <w:rFonts w:hint="eastAsia" w:ascii="宋体" w:hAnsi="宋体" w:eastAsia="宋体" w:cs="宋体"/>
                <w:szCs w:val="21"/>
                <w:highlight w:val="none"/>
              </w:rPr>
            </w:pPr>
          </w:p>
        </w:tc>
      </w:tr>
      <w:tr w14:paraId="475EB6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8" w:hRule="exact"/>
        </w:trPr>
        <w:tc>
          <w:tcPr>
            <w:tcW w:w="1395" w:type="dxa"/>
            <w:vMerge w:val="continue"/>
            <w:tcBorders>
              <w:top w:val="nil"/>
              <w:left w:val="single" w:color="000000" w:sz="4" w:space="0"/>
              <w:bottom w:val="nil"/>
              <w:right w:val="single" w:color="000000" w:sz="4" w:space="0"/>
            </w:tcBorders>
            <w:noWrap w:val="0"/>
            <w:vAlign w:val="center"/>
          </w:tcPr>
          <w:p w14:paraId="74F17526">
            <w:pPr>
              <w:widowControl/>
              <w:spacing w:line="240" w:lineRule="exact"/>
              <w:jc w:val="center"/>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458360FF">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438120C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3593444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7626D8A0">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42C4D712">
            <w:pPr>
              <w:spacing w:line="240" w:lineRule="exact"/>
              <w:rPr>
                <w:rFonts w:hint="eastAsia" w:ascii="宋体" w:hAnsi="宋体" w:eastAsia="宋体" w:cs="宋体"/>
                <w:szCs w:val="21"/>
                <w:highlight w:val="none"/>
              </w:rPr>
            </w:pPr>
          </w:p>
        </w:tc>
        <w:tc>
          <w:tcPr>
            <w:tcW w:w="855" w:type="dxa"/>
            <w:vMerge w:val="continue"/>
            <w:tcBorders>
              <w:top w:val="nil"/>
              <w:left w:val="nil"/>
              <w:bottom w:val="nil"/>
              <w:right w:val="single" w:color="000000" w:sz="4" w:space="0"/>
            </w:tcBorders>
            <w:noWrap w:val="0"/>
            <w:vAlign w:val="center"/>
          </w:tcPr>
          <w:p w14:paraId="259795B6">
            <w:pPr>
              <w:widowControl/>
              <w:spacing w:line="240" w:lineRule="exact"/>
              <w:jc w:val="center"/>
              <w:rPr>
                <w:rFonts w:hint="eastAsia" w:ascii="宋体" w:hAnsi="宋体" w:eastAsia="宋体" w:cs="宋体"/>
                <w:szCs w:val="21"/>
                <w:highlight w:val="none"/>
              </w:rPr>
            </w:pPr>
          </w:p>
        </w:tc>
      </w:tr>
      <w:tr w14:paraId="6CCE13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30"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2DA7CB2B">
            <w:pPr>
              <w:spacing w:line="240" w:lineRule="exact"/>
              <w:jc w:val="center"/>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0F6A7EC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施肥</w:t>
            </w:r>
          </w:p>
        </w:tc>
        <w:tc>
          <w:tcPr>
            <w:tcW w:w="1511" w:type="dxa"/>
            <w:tcBorders>
              <w:top w:val="nil"/>
              <w:left w:val="nil"/>
              <w:bottom w:val="single" w:color="000000" w:sz="4" w:space="0"/>
              <w:right w:val="single" w:color="000000" w:sz="4" w:space="0"/>
            </w:tcBorders>
            <w:noWrap w:val="0"/>
            <w:vAlign w:val="center"/>
          </w:tcPr>
          <w:p w14:paraId="72A7BDFF">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5B7BDA39">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上中旬</w:t>
            </w:r>
          </w:p>
        </w:tc>
        <w:tc>
          <w:tcPr>
            <w:tcW w:w="1214" w:type="dxa"/>
            <w:tcBorders>
              <w:top w:val="nil"/>
              <w:left w:val="nil"/>
              <w:bottom w:val="single" w:color="000000" w:sz="4" w:space="0"/>
              <w:right w:val="single" w:color="000000" w:sz="4" w:space="0"/>
            </w:tcBorders>
            <w:noWrap w:val="0"/>
            <w:vAlign w:val="center"/>
          </w:tcPr>
          <w:p w14:paraId="42D7B926">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06F9F38D">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nil"/>
              <w:bottom w:val="single" w:color="000000" w:sz="4" w:space="0"/>
              <w:right w:val="single" w:color="000000" w:sz="4" w:space="0"/>
            </w:tcBorders>
            <w:noWrap w:val="0"/>
            <w:vAlign w:val="center"/>
          </w:tcPr>
          <w:p w14:paraId="3F843A63">
            <w:pPr>
              <w:widowControl/>
              <w:spacing w:line="240" w:lineRule="exact"/>
              <w:jc w:val="center"/>
              <w:rPr>
                <w:rFonts w:hint="eastAsia" w:ascii="宋体" w:hAnsi="宋体" w:eastAsia="宋体" w:cs="宋体"/>
                <w:szCs w:val="21"/>
                <w:highlight w:val="none"/>
              </w:rPr>
            </w:pPr>
          </w:p>
        </w:tc>
      </w:tr>
      <w:tr w14:paraId="08D48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restart"/>
            <w:tcBorders>
              <w:top w:val="nil"/>
              <w:left w:val="single" w:color="000000" w:sz="4" w:space="0"/>
              <w:bottom w:val="single" w:color="000000" w:sz="4" w:space="0"/>
              <w:right w:val="single" w:color="000000" w:sz="4" w:space="0"/>
            </w:tcBorders>
            <w:noWrap w:val="0"/>
            <w:vAlign w:val="center"/>
          </w:tcPr>
          <w:p w14:paraId="44C4DE9E">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10月</w:t>
            </w:r>
          </w:p>
        </w:tc>
        <w:tc>
          <w:tcPr>
            <w:tcW w:w="1554" w:type="dxa"/>
            <w:tcBorders>
              <w:top w:val="nil"/>
              <w:left w:val="nil"/>
              <w:bottom w:val="single" w:color="000000" w:sz="4" w:space="0"/>
              <w:right w:val="single" w:color="000000" w:sz="4" w:space="0"/>
            </w:tcBorders>
            <w:noWrap w:val="0"/>
            <w:vAlign w:val="center"/>
          </w:tcPr>
          <w:p w14:paraId="28E9F3E2">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1E6D14C2">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47B26BEC">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0FDCE286">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18264D41">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5ECE87E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single" w:color="000000" w:sz="4" w:space="0"/>
              <w:right w:val="single" w:color="000000" w:sz="4" w:space="0"/>
            </w:tcBorders>
            <w:noWrap w:val="0"/>
            <w:vAlign w:val="center"/>
          </w:tcPr>
          <w:p w14:paraId="6AB9BEA9">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575760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3F5ED5E2">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2DFB463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修剪</w:t>
            </w:r>
          </w:p>
        </w:tc>
        <w:tc>
          <w:tcPr>
            <w:tcW w:w="1511" w:type="dxa"/>
            <w:tcBorders>
              <w:top w:val="nil"/>
              <w:left w:val="nil"/>
              <w:bottom w:val="single" w:color="000000" w:sz="4" w:space="0"/>
              <w:right w:val="single" w:color="000000" w:sz="4" w:space="0"/>
            </w:tcBorders>
            <w:noWrap w:val="0"/>
            <w:vAlign w:val="center"/>
          </w:tcPr>
          <w:p w14:paraId="6EAF9072">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2.25</w:t>
            </w:r>
          </w:p>
        </w:tc>
        <w:tc>
          <w:tcPr>
            <w:tcW w:w="1312" w:type="dxa"/>
            <w:tcBorders>
              <w:top w:val="nil"/>
              <w:left w:val="nil"/>
              <w:bottom w:val="single" w:color="000000" w:sz="4" w:space="0"/>
              <w:right w:val="single" w:color="000000" w:sz="4" w:space="0"/>
            </w:tcBorders>
            <w:noWrap w:val="0"/>
            <w:vAlign w:val="center"/>
          </w:tcPr>
          <w:p w14:paraId="64D3920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7FEBD39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1D7F8799">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single" w:color="000000" w:sz="4" w:space="0"/>
              <w:bottom w:val="single" w:color="000000" w:sz="4" w:space="0"/>
              <w:right w:val="single" w:color="000000" w:sz="4" w:space="0"/>
            </w:tcBorders>
            <w:noWrap w:val="0"/>
            <w:vAlign w:val="center"/>
          </w:tcPr>
          <w:p w14:paraId="3FEF71EB">
            <w:pPr>
              <w:widowControl/>
              <w:spacing w:line="240" w:lineRule="exact"/>
              <w:jc w:val="left"/>
              <w:rPr>
                <w:rFonts w:hint="eastAsia" w:ascii="宋体" w:hAnsi="宋体" w:eastAsia="宋体" w:cs="宋体"/>
                <w:szCs w:val="21"/>
                <w:highlight w:val="none"/>
              </w:rPr>
            </w:pPr>
          </w:p>
        </w:tc>
      </w:tr>
      <w:tr w14:paraId="08679E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restart"/>
            <w:tcBorders>
              <w:top w:val="nil"/>
              <w:left w:val="single" w:color="000000" w:sz="4" w:space="0"/>
              <w:bottom w:val="single" w:color="000000" w:sz="4" w:space="0"/>
              <w:right w:val="single" w:color="000000" w:sz="4" w:space="0"/>
            </w:tcBorders>
            <w:noWrap w:val="0"/>
            <w:vAlign w:val="center"/>
          </w:tcPr>
          <w:p w14:paraId="622234C5">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11月</w:t>
            </w:r>
          </w:p>
        </w:tc>
        <w:tc>
          <w:tcPr>
            <w:tcW w:w="1554" w:type="dxa"/>
            <w:tcBorders>
              <w:top w:val="nil"/>
              <w:left w:val="nil"/>
              <w:bottom w:val="single" w:color="000000" w:sz="4" w:space="0"/>
              <w:right w:val="single" w:color="000000" w:sz="4" w:space="0"/>
            </w:tcBorders>
            <w:noWrap w:val="0"/>
            <w:vAlign w:val="center"/>
          </w:tcPr>
          <w:p w14:paraId="6467E999">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0C396438">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09E5C68C">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2F03E642">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08120160">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566C1EBE">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single" w:color="000000" w:sz="4" w:space="0"/>
              <w:right w:val="single" w:color="000000" w:sz="4" w:space="0"/>
            </w:tcBorders>
            <w:noWrap w:val="0"/>
            <w:vAlign w:val="center"/>
          </w:tcPr>
          <w:p w14:paraId="0B417D6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360655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3"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5E05DA98">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3F109747">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刷白</w:t>
            </w:r>
          </w:p>
        </w:tc>
        <w:tc>
          <w:tcPr>
            <w:tcW w:w="1511" w:type="dxa"/>
            <w:tcBorders>
              <w:top w:val="nil"/>
              <w:left w:val="nil"/>
              <w:bottom w:val="single" w:color="000000" w:sz="4" w:space="0"/>
              <w:right w:val="single" w:color="000000" w:sz="4" w:space="0"/>
            </w:tcBorders>
            <w:noWrap w:val="0"/>
            <w:vAlign w:val="center"/>
          </w:tcPr>
          <w:p w14:paraId="18AF268C">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5</w:t>
            </w:r>
          </w:p>
        </w:tc>
        <w:tc>
          <w:tcPr>
            <w:tcW w:w="1312" w:type="dxa"/>
            <w:tcBorders>
              <w:top w:val="nil"/>
              <w:left w:val="nil"/>
              <w:bottom w:val="single" w:color="000000" w:sz="4" w:space="0"/>
              <w:right w:val="single" w:color="000000" w:sz="4" w:space="0"/>
            </w:tcBorders>
            <w:noWrap w:val="0"/>
            <w:vAlign w:val="center"/>
          </w:tcPr>
          <w:p w14:paraId="375BC84A">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2F4F90F1">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49559121">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single" w:color="000000" w:sz="4" w:space="0"/>
              <w:bottom w:val="single" w:color="000000" w:sz="4" w:space="0"/>
              <w:right w:val="single" w:color="000000" w:sz="4" w:space="0"/>
            </w:tcBorders>
            <w:noWrap w:val="0"/>
            <w:vAlign w:val="center"/>
          </w:tcPr>
          <w:p w14:paraId="6308FF46">
            <w:pPr>
              <w:widowControl/>
              <w:spacing w:line="240" w:lineRule="exact"/>
              <w:jc w:val="left"/>
              <w:rPr>
                <w:rFonts w:hint="eastAsia" w:ascii="宋体" w:hAnsi="宋体" w:eastAsia="宋体" w:cs="宋体"/>
                <w:szCs w:val="21"/>
                <w:highlight w:val="none"/>
              </w:rPr>
            </w:pPr>
          </w:p>
        </w:tc>
      </w:tr>
      <w:tr w14:paraId="6DD914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20" w:hRule="exact"/>
        </w:trPr>
        <w:tc>
          <w:tcPr>
            <w:tcW w:w="1395" w:type="dxa"/>
            <w:vMerge w:val="restart"/>
            <w:tcBorders>
              <w:top w:val="nil"/>
              <w:left w:val="single" w:color="000000" w:sz="4" w:space="0"/>
              <w:bottom w:val="single" w:color="000000" w:sz="4" w:space="0"/>
              <w:right w:val="single" w:color="000000" w:sz="4" w:space="0"/>
            </w:tcBorders>
            <w:noWrap w:val="0"/>
            <w:vAlign w:val="center"/>
          </w:tcPr>
          <w:p w14:paraId="120AD8A7">
            <w:pPr>
              <w:spacing w:line="240" w:lineRule="exact"/>
              <w:jc w:val="center"/>
              <w:rPr>
                <w:rFonts w:hint="eastAsia" w:ascii="宋体" w:hAnsi="宋体" w:eastAsia="宋体" w:cs="宋体"/>
                <w:sz w:val="24"/>
                <w:szCs w:val="21"/>
                <w:highlight w:val="none"/>
              </w:rPr>
            </w:pPr>
            <w:r>
              <w:rPr>
                <w:rFonts w:hint="eastAsia" w:ascii="宋体" w:hAnsi="宋体" w:eastAsia="宋体" w:cs="宋体"/>
                <w:szCs w:val="21"/>
                <w:highlight w:val="none"/>
              </w:rPr>
              <w:t>12月</w:t>
            </w:r>
          </w:p>
        </w:tc>
        <w:tc>
          <w:tcPr>
            <w:tcW w:w="1554" w:type="dxa"/>
            <w:tcBorders>
              <w:top w:val="nil"/>
              <w:left w:val="nil"/>
              <w:bottom w:val="single" w:color="000000" w:sz="4" w:space="0"/>
              <w:right w:val="single" w:color="000000" w:sz="4" w:space="0"/>
            </w:tcBorders>
            <w:noWrap w:val="0"/>
            <w:vAlign w:val="center"/>
          </w:tcPr>
          <w:p w14:paraId="16C24CD8">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除草</w:t>
            </w:r>
          </w:p>
          <w:p w14:paraId="003E11E6">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病虫害防治</w:t>
            </w:r>
          </w:p>
        </w:tc>
        <w:tc>
          <w:tcPr>
            <w:tcW w:w="1511" w:type="dxa"/>
            <w:tcBorders>
              <w:top w:val="nil"/>
              <w:left w:val="nil"/>
              <w:bottom w:val="single" w:color="000000" w:sz="4" w:space="0"/>
              <w:right w:val="single" w:color="000000" w:sz="4" w:space="0"/>
            </w:tcBorders>
            <w:noWrap w:val="0"/>
            <w:vAlign w:val="center"/>
          </w:tcPr>
          <w:p w14:paraId="70B463BF">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6</w:t>
            </w:r>
          </w:p>
        </w:tc>
        <w:tc>
          <w:tcPr>
            <w:tcW w:w="1312" w:type="dxa"/>
            <w:tcBorders>
              <w:top w:val="nil"/>
              <w:left w:val="nil"/>
              <w:bottom w:val="single" w:color="000000" w:sz="4" w:space="0"/>
              <w:right w:val="single" w:color="000000" w:sz="4" w:space="0"/>
            </w:tcBorders>
            <w:noWrap w:val="0"/>
            <w:vAlign w:val="center"/>
          </w:tcPr>
          <w:p w14:paraId="2115F8E8">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028812BE">
            <w:pPr>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0AC4FB6B">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restart"/>
            <w:tcBorders>
              <w:top w:val="nil"/>
              <w:left w:val="single" w:color="000000" w:sz="4" w:space="0"/>
              <w:bottom w:val="single" w:color="000000" w:sz="4" w:space="0"/>
              <w:right w:val="single" w:color="000000" w:sz="4" w:space="0"/>
            </w:tcBorders>
            <w:noWrap w:val="0"/>
            <w:vAlign w:val="center"/>
          </w:tcPr>
          <w:p w14:paraId="00A27751">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r>
      <w:tr w14:paraId="75337B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81" w:hRule="exact"/>
        </w:trPr>
        <w:tc>
          <w:tcPr>
            <w:tcW w:w="1395" w:type="dxa"/>
            <w:vMerge w:val="continue"/>
            <w:tcBorders>
              <w:top w:val="nil"/>
              <w:left w:val="single" w:color="000000" w:sz="4" w:space="0"/>
              <w:bottom w:val="single" w:color="000000" w:sz="4" w:space="0"/>
              <w:right w:val="single" w:color="000000" w:sz="4" w:space="0"/>
            </w:tcBorders>
            <w:noWrap w:val="0"/>
            <w:vAlign w:val="center"/>
          </w:tcPr>
          <w:p w14:paraId="6E8E9B4E">
            <w:pPr>
              <w:widowControl/>
              <w:spacing w:line="240" w:lineRule="exact"/>
              <w:jc w:val="left"/>
              <w:rPr>
                <w:rFonts w:hint="eastAsia" w:ascii="宋体" w:hAnsi="宋体" w:eastAsia="宋体" w:cs="宋体"/>
                <w:szCs w:val="21"/>
                <w:highlight w:val="none"/>
              </w:rPr>
            </w:pPr>
          </w:p>
        </w:tc>
        <w:tc>
          <w:tcPr>
            <w:tcW w:w="1554" w:type="dxa"/>
            <w:tcBorders>
              <w:top w:val="nil"/>
              <w:left w:val="nil"/>
              <w:bottom w:val="single" w:color="000000" w:sz="4" w:space="0"/>
              <w:right w:val="single" w:color="000000" w:sz="4" w:space="0"/>
            </w:tcBorders>
            <w:noWrap w:val="0"/>
            <w:vAlign w:val="center"/>
          </w:tcPr>
          <w:p w14:paraId="4E8A7359">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补栽</w:t>
            </w:r>
          </w:p>
        </w:tc>
        <w:tc>
          <w:tcPr>
            <w:tcW w:w="1511" w:type="dxa"/>
            <w:tcBorders>
              <w:top w:val="nil"/>
              <w:left w:val="nil"/>
              <w:bottom w:val="single" w:color="000000" w:sz="4" w:space="0"/>
              <w:right w:val="single" w:color="000000" w:sz="4" w:space="0"/>
            </w:tcBorders>
            <w:noWrap w:val="0"/>
            <w:vAlign w:val="center"/>
          </w:tcPr>
          <w:p w14:paraId="60F2E07B">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3</w:t>
            </w:r>
          </w:p>
        </w:tc>
        <w:tc>
          <w:tcPr>
            <w:tcW w:w="1312" w:type="dxa"/>
            <w:tcBorders>
              <w:top w:val="nil"/>
              <w:left w:val="nil"/>
              <w:bottom w:val="single" w:color="000000" w:sz="4" w:space="0"/>
              <w:right w:val="single" w:color="000000" w:sz="4" w:space="0"/>
            </w:tcBorders>
            <w:noWrap w:val="0"/>
            <w:vAlign w:val="center"/>
          </w:tcPr>
          <w:p w14:paraId="463521B4">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1214" w:type="dxa"/>
            <w:tcBorders>
              <w:top w:val="nil"/>
              <w:left w:val="nil"/>
              <w:bottom w:val="single" w:color="000000" w:sz="4" w:space="0"/>
              <w:right w:val="single" w:color="000000" w:sz="4" w:space="0"/>
            </w:tcBorders>
            <w:noWrap w:val="0"/>
            <w:vAlign w:val="center"/>
          </w:tcPr>
          <w:p w14:paraId="6EFE5FD3">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100</w:t>
            </w:r>
          </w:p>
        </w:tc>
        <w:tc>
          <w:tcPr>
            <w:tcW w:w="1159" w:type="dxa"/>
            <w:tcBorders>
              <w:top w:val="nil"/>
              <w:left w:val="nil"/>
              <w:bottom w:val="single" w:color="000000" w:sz="4" w:space="0"/>
              <w:right w:val="single" w:color="000000" w:sz="4" w:space="0"/>
            </w:tcBorders>
            <w:noWrap w:val="0"/>
            <w:vAlign w:val="center"/>
          </w:tcPr>
          <w:p w14:paraId="577436D2">
            <w:pPr>
              <w:widowControl/>
              <w:spacing w:line="240" w:lineRule="exact"/>
              <w:jc w:val="center"/>
              <w:rPr>
                <w:rFonts w:hint="eastAsia" w:ascii="宋体" w:hAnsi="宋体" w:eastAsia="宋体" w:cs="宋体"/>
                <w:szCs w:val="21"/>
                <w:highlight w:val="none"/>
              </w:rPr>
            </w:pPr>
            <w:r>
              <w:rPr>
                <w:rFonts w:hint="eastAsia" w:ascii="宋体" w:hAnsi="宋体" w:eastAsia="宋体" w:cs="宋体"/>
                <w:szCs w:val="21"/>
                <w:highlight w:val="none"/>
              </w:rPr>
              <w:t>　</w:t>
            </w:r>
          </w:p>
        </w:tc>
        <w:tc>
          <w:tcPr>
            <w:tcW w:w="855" w:type="dxa"/>
            <w:vMerge w:val="continue"/>
            <w:tcBorders>
              <w:top w:val="nil"/>
              <w:left w:val="single" w:color="000000" w:sz="4" w:space="0"/>
              <w:bottom w:val="single" w:color="000000" w:sz="4" w:space="0"/>
              <w:right w:val="single" w:color="000000" w:sz="4" w:space="0"/>
            </w:tcBorders>
            <w:noWrap w:val="0"/>
            <w:vAlign w:val="center"/>
          </w:tcPr>
          <w:p w14:paraId="3AE8C0D8">
            <w:pPr>
              <w:widowControl/>
              <w:spacing w:line="240" w:lineRule="exact"/>
              <w:jc w:val="left"/>
              <w:rPr>
                <w:rFonts w:hint="eastAsia" w:ascii="宋体" w:hAnsi="宋体" w:eastAsia="宋体" w:cs="宋体"/>
                <w:szCs w:val="21"/>
                <w:highlight w:val="none"/>
              </w:rPr>
            </w:pPr>
          </w:p>
        </w:tc>
      </w:tr>
    </w:tbl>
    <w:p w14:paraId="2493265B">
      <w:pPr>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附件</w:t>
      </w:r>
      <w:r>
        <w:rPr>
          <w:rFonts w:hint="eastAsia" w:ascii="宋体" w:hAnsi="宋体" w:eastAsia="宋体" w:cs="宋体"/>
          <w:color w:val="000000"/>
          <w:sz w:val="28"/>
          <w:szCs w:val="28"/>
          <w:highlight w:val="none"/>
          <w:lang w:val="en-US" w:eastAsia="zh-CN"/>
        </w:rPr>
        <w:t>2</w:t>
      </w:r>
      <w:r>
        <w:rPr>
          <w:rFonts w:hint="eastAsia" w:ascii="宋体" w:hAnsi="宋体" w:eastAsia="宋体" w:cs="宋体"/>
          <w:color w:val="000000"/>
          <w:sz w:val="28"/>
          <w:szCs w:val="28"/>
          <w:highlight w:val="none"/>
        </w:rPr>
        <w:t>：</w:t>
      </w:r>
    </w:p>
    <w:p w14:paraId="78D167C9">
      <w:pPr>
        <w:spacing w:line="600" w:lineRule="exact"/>
        <w:ind w:firstLine="488"/>
        <w:jc w:val="center"/>
        <w:rPr>
          <w:rFonts w:hint="eastAsia" w:ascii="宋体" w:hAnsi="宋体" w:eastAsia="宋体" w:cs="宋体"/>
          <w:b/>
          <w:bCs w:val="0"/>
          <w:color w:val="000000"/>
          <w:sz w:val="36"/>
          <w:szCs w:val="36"/>
          <w:highlight w:val="none"/>
        </w:rPr>
      </w:pPr>
      <w:r>
        <w:rPr>
          <w:rFonts w:hint="eastAsia" w:ascii="宋体" w:hAnsi="宋体" w:eastAsia="宋体" w:cs="宋体"/>
          <w:b/>
          <w:bCs w:val="0"/>
          <w:color w:val="000000"/>
          <w:sz w:val="36"/>
          <w:szCs w:val="36"/>
          <w:highlight w:val="none"/>
        </w:rPr>
        <w:t>启东市公路绿化工程施工、验收管理办法（试行）</w:t>
      </w:r>
    </w:p>
    <w:p w14:paraId="63A668D3">
      <w:pPr>
        <w:pStyle w:val="190"/>
        <w:rPr>
          <w:rFonts w:hint="eastAsia" w:ascii="宋体" w:hAnsi="宋体" w:eastAsia="宋体" w:cs="宋体"/>
          <w:highlight w:val="none"/>
        </w:rPr>
      </w:pPr>
    </w:p>
    <w:p w14:paraId="0D760C6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为加强和规范交通绿化工程建设工作，确保工程质量，有效地控制工期和造价，特制订本办法。凡参与启东市交通绿化工程建设的各施工、监理单位均需按本办法执行。本办法自印发之日起执行。</w:t>
      </w:r>
    </w:p>
    <w:p w14:paraId="19E7F80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一、施工工序</w:t>
      </w:r>
    </w:p>
    <w:p w14:paraId="4D180CE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放桩报验：承包人进场后，先放出全程桩号，并按每百米做出明确标示。放桩完成后，承包人进行放桩报验。放桩报验经监理现场验收合格后（专业监理工程师签字、监理单位盖章），方可进入下一道工序。承包人、监理人存检查记录备查。</w:t>
      </w:r>
    </w:p>
    <w:p w14:paraId="124902F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开挖界沟报验：承包人按图纸施工范围放出绿化界线，开挖界沟，界沟位置和尺寸详见施工图。界沟开挖完成后，进行界沟开挖报验。界沟开挖报验需按现场沟、河分界划分桩号，桩号划分长度不大于100米，经监理验收合格后（专业监理工程师签字、监理单位盖章），方可进入下一道工序。承包人、监理人存检查记录备查。</w:t>
      </w:r>
    </w:p>
    <w:p w14:paraId="6B05BC7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垫层前地形整理、大堤削坡报验（没有此项则不需报验）：本项报验需按现场沟、河分界划分桩号，桩号划分长度不大于100米，经监理验收合格后（专业监理工程师签字、监理单位盖章），方可进入下一道工序。承包人、监理人存检查记录备查。</w:t>
      </w:r>
    </w:p>
    <w:p w14:paraId="163F9DF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清表、深翻、细整及开挖排水沟报验：承包人对绿化施工范围深翻40cm，清除场地内所有农作物、杂草、建筑垃圾等不利于苗木生长的杂物，按施工图要求开挖排水沟，该项工作任务完成后及时报验，本项报验需按现场沟、河分界划分桩号，桩号划分长度不大于100米，经监理验收合格后（专业监理工程师签字、监理单位盖章），方可进入下一道工序。承包人、监理人存检查记录备查。</w:t>
      </w:r>
    </w:p>
    <w:p w14:paraId="6152C34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铺设土工布、碎石垫层报验（没有此项则不需报验）：本项报验需按现场沟、河分界划分桩号，桩号划分长度不大于100米，经监理验收合格后（专业监理工程师签字、监理单位盖章），方可进入下一道工序。承包人、监理人存检查记录备查。</w:t>
      </w:r>
    </w:p>
    <w:p w14:paraId="5E603EB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6、回填外来种植土报验（没有此项则不需报验）：依据招标文件、施工图相关规定报验、需提供正式的检测报告、土方测量报告。</w:t>
      </w:r>
    </w:p>
    <w:p w14:paraId="5FE5AE9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7、肥料报验：详见《关于交通绿化施肥养护考核的通知》。承包人、监理人存检查记录备查。需提供购货合同和相关质保书。</w:t>
      </w:r>
    </w:p>
    <w:p w14:paraId="34B0EA0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施工放样报验：承包人按施工图要求定点放样，放样完成后进行施工放样报验。按现场沟、河分界划分桩号，桩号划分长度不大于100米，分品种放样报验，经监理验收合格后（专业监理工程师签字、监理单位盖章），方可进入下一道工序。承包人、监理人存检查记录备查。</w:t>
      </w:r>
    </w:p>
    <w:p w14:paraId="7900AD7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9、挖穴报验：挖穴完成后进行挖穴报验。承包人按放样点挖穴，树穴尺寸必须满足施工图纸和相关技术要求，其直径最少大于土球直径30cm以上，挖穴报验按现场沟、河分界划分桩号，桩号长度不大于100米，分品种报验，经监理验收合格后（专业监理工程师签字、监理单位盖章），方可进入下一道工序。承包人、监理人存检查记录备查。</w:t>
      </w:r>
    </w:p>
    <w:p w14:paraId="0B00FC5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10、苗木进场报验：承包人在苗木进场前2小时，报验苗木检疫、规格、数量、品相（要求所有乔木全冠栽植，可适当疏剪，不得截杆）等相关自检书面材料，经监理验收合格后（专业监理工程师签字、监理单位盖章），方可进入下一道工序。承包人、监理人存检查记录备查。</w:t>
      </w:r>
    </w:p>
    <w:p w14:paraId="4E7255E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11、苗木栽植报验：苗木栽植完成后进行。承包人按现场沟、河分界划分桩号，桩号划分长度不大于100米，分品种苗木栽植报验，经监理验收合格后（严格对照图纸要求的规格、密度等栽植到位，总监理工程师签字、监理单位盖章）。方可进入验收环节。</w:t>
      </w:r>
    </w:p>
    <w:p w14:paraId="66DD4F5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二、中间检查</w:t>
      </w:r>
    </w:p>
    <w:p w14:paraId="5CC759E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1、监理单位对承包人项目部建设情况按投标承诺检查，包括人员、设备等。施工、监理单位存检查记录。</w:t>
      </w:r>
    </w:p>
    <w:p w14:paraId="3D33732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2、监理单位对承包人技术交底情况检查，承包人要提供技术交底记录相关资料备查。施工、监理单位存检查记录。</w:t>
      </w:r>
    </w:p>
    <w:p w14:paraId="071C20F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3、监理单位对承包人现场施工工序进行检查，并按要求履行签、验手续，施工、监理单位存检查记录。</w:t>
      </w:r>
    </w:p>
    <w:p w14:paraId="5E20758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4、承包人按时间节点，分品种制定切实可行的进度计划报监理单位审核，审核通过后（满足合同工期要求），监理单位按此进度计划考核，并每两周将考核结果报建设单位。</w:t>
      </w:r>
    </w:p>
    <w:p w14:paraId="660A155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5、监理单位对承包人进场材料及施工行为检查，对不合格材料及不规范的施工行为，发出监理书面限期整改指令，要求返工、课以违约金、停工、直至纳入不良信用记录。抄送建设单位。</w:t>
      </w:r>
    </w:p>
    <w:p w14:paraId="51C600DA">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6、监理单位按合同有关要求控制工程造价，及时检查现场工程总造价是否超过合同价，并及时书面反馈建设单位。</w:t>
      </w:r>
    </w:p>
    <w:p w14:paraId="228A37E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涉及签证及变更的工程，实施前由承包人向监理单位书面申报，申报内容包括工程量、单价、总价、变更的工期及下浮率等，监理单位现场核实后（核实工程量、单价、总价、变更的工期及下浮率，总监理工程师签署意见，监理单位盖章），报建设单位书面批准后实施。</w:t>
      </w:r>
    </w:p>
    <w:p w14:paraId="74F0D3F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8、监理单位检查施工现场，对未按图施工且没有变更手续的苗木，不列入监理计量范围。</w:t>
      </w:r>
    </w:p>
    <w:p w14:paraId="0BC4164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三、种植完工验收</w:t>
      </w:r>
    </w:p>
    <w:p w14:paraId="7396753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1、种植完成后施工单位按“交通绿化工程验收申请单（种植完工）”要求报验资料。</w:t>
      </w:r>
    </w:p>
    <w:p w14:paraId="23C516C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2、验收通过后建设单位签发“交通绿化工程验收单（完工验收）”。</w:t>
      </w:r>
    </w:p>
    <w:p w14:paraId="37DA1CA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3、“交通绿化工程验收单（完工验收）”签发后进入养护期。</w:t>
      </w:r>
    </w:p>
    <w:p w14:paraId="51DBFC8A">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4、资料要求：</w:t>
      </w:r>
    </w:p>
    <w:p w14:paraId="2382E7B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a）</w:t>
      </w:r>
      <w:r>
        <w:rPr>
          <w:rFonts w:hint="eastAsia" w:ascii="宋体" w:hAnsi="宋体" w:eastAsia="宋体" w:cs="宋体"/>
          <w:sz w:val="28"/>
          <w:szCs w:val="28"/>
          <w:highlight w:val="none"/>
          <w:lang w:val="en-US" w:eastAsia="zh-CN"/>
        </w:rPr>
        <w:t>所有资料按归档要求装订成册3套。</w:t>
      </w:r>
    </w:p>
    <w:p w14:paraId="7A624147">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b）</w:t>
      </w:r>
      <w:r>
        <w:rPr>
          <w:rFonts w:hint="eastAsia" w:ascii="宋体" w:hAnsi="宋体" w:eastAsia="宋体" w:cs="宋体"/>
          <w:sz w:val="28"/>
          <w:szCs w:val="28"/>
          <w:highlight w:val="none"/>
          <w:lang w:val="en-US" w:eastAsia="zh-CN"/>
        </w:rPr>
        <w:t>竣工图清晰，按1:500比例（可根据出图效果适当调整比例）出图。</w:t>
      </w:r>
    </w:p>
    <w:p w14:paraId="28E6C10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c）</w:t>
      </w:r>
      <w:r>
        <w:rPr>
          <w:rFonts w:hint="eastAsia" w:ascii="宋体" w:hAnsi="宋体" w:eastAsia="宋体" w:cs="宋体"/>
          <w:sz w:val="28"/>
          <w:szCs w:val="28"/>
          <w:highlight w:val="none"/>
          <w:lang w:val="en-US" w:eastAsia="zh-CN"/>
        </w:rPr>
        <w:t>施工类资料：工程概况、中标通知书、合同、工程量清单、开工报告、施工组织设计、进度计划、安全施工专项方案、监理指令单、签证单、变更单、工序报验单、施工总结等。</w:t>
      </w:r>
    </w:p>
    <w:p w14:paraId="091BD14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d）</w:t>
      </w:r>
      <w:r>
        <w:rPr>
          <w:rFonts w:hint="eastAsia" w:ascii="宋体" w:hAnsi="宋体" w:eastAsia="宋体" w:cs="宋体"/>
          <w:sz w:val="28"/>
          <w:szCs w:val="28"/>
          <w:highlight w:val="none"/>
          <w:lang w:val="en-US" w:eastAsia="zh-CN"/>
        </w:rPr>
        <w:t>计量资料：要求见绿化计量资料明细、绿化计量资料汇总、及计量资料要求。</w:t>
      </w:r>
    </w:p>
    <w:p w14:paraId="0447374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e）</w:t>
      </w:r>
      <w:r>
        <w:rPr>
          <w:rFonts w:hint="eastAsia" w:ascii="宋体" w:hAnsi="宋体" w:eastAsia="宋体" w:cs="宋体"/>
          <w:sz w:val="28"/>
          <w:szCs w:val="28"/>
          <w:highlight w:val="none"/>
          <w:lang w:val="en-US" w:eastAsia="zh-CN"/>
        </w:rPr>
        <w:t>验收前承包人提供放桩监理检查意见。</w:t>
      </w:r>
    </w:p>
    <w:p w14:paraId="6B65FDA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5、施工自检通过、监理验收合格后，建设单位启动验收，验收在监理计量基础上通过抽查方式进行，按品种抽查5%左右，计量支付按抽查成活数同比例下浮。验收合格后，签发交通绿化工程完工验收单。</w:t>
      </w:r>
    </w:p>
    <w:p w14:paraId="6CA37BA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四、竣工验收、养护移交</w:t>
      </w:r>
    </w:p>
    <w:p w14:paraId="7238A1A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养护期满前6个月，承包人按《交通绿化工程移交对接联系单》要求报验资料；养护期满前2个月，承包人按《交通绿化工程验收申请单》要求报验资料；竣工验收单签发后，承包人按《交通绿化工程养护移交申请单》要求报验资料，《交通绿化工程养护移交申请单》签发后，承包人养护结束。</w:t>
      </w:r>
    </w:p>
    <w:p w14:paraId="28234D29">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新一轮养护</w:t>
      </w:r>
      <w:r>
        <w:rPr>
          <w:rFonts w:hint="eastAsia" w:ascii="宋体" w:hAnsi="宋体" w:cs="宋体"/>
          <w:sz w:val="28"/>
          <w:szCs w:val="28"/>
          <w:highlight w:val="none"/>
          <w:lang w:val="en-US" w:eastAsia="zh-CN"/>
        </w:rPr>
        <w:t>单位</w:t>
      </w:r>
      <w:r>
        <w:rPr>
          <w:rFonts w:hint="eastAsia" w:ascii="宋体" w:hAnsi="宋体" w:eastAsia="宋体" w:cs="宋体"/>
          <w:sz w:val="28"/>
          <w:szCs w:val="28"/>
          <w:highlight w:val="none"/>
          <w:lang w:val="en-US" w:eastAsia="zh-CN"/>
        </w:rPr>
        <w:t>在中标后21天内按《交工绿化工程养护接收申请单》要求报验资料。</w:t>
      </w:r>
    </w:p>
    <w:p w14:paraId="00771FA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以上资料须按时申报，否则按相关规定处理。</w:t>
      </w:r>
    </w:p>
    <w:p w14:paraId="51B698D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1、施工、养护单位超过指挥部规定的提交资料时间，逾期违约金为2000元/天，违约金限额为10%签约合同价。</w:t>
      </w:r>
    </w:p>
    <w:p w14:paraId="5D94ECC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对需要竣工验收、移交的绿化项目，由于原养护单位逾期提交资料导致项目无法验收、移交的，该路段仍由原养护单位负责绿化养护，合同养护费用不增加，且养护考核正常进行，这段时期内的苗木死亡由原养护单位承担。</w:t>
      </w:r>
    </w:p>
    <w:p w14:paraId="4E2EB1B1">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3、逾期提交资料的单位，工程款支付可双倍期顺延。</w:t>
      </w:r>
    </w:p>
    <w:p w14:paraId="472070D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4、接收单位的移交资料逾期不提交的，视为接收单位放弃清点权利，指挥部将按原施工单位单方清点数据组织竣工验收、移交，后果由接收单位自负。</w:t>
      </w:r>
    </w:p>
    <w:p w14:paraId="3757A97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5、原养护单位未按时报验《交通绿化工程养护移交申请单》，则继续承担养护工作。</w:t>
      </w:r>
    </w:p>
    <w:p w14:paraId="7939F223">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四、相关考核</w:t>
      </w:r>
    </w:p>
    <w:p w14:paraId="36C77E0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1、履约考核</w:t>
      </w:r>
    </w:p>
    <w:p w14:paraId="3F537A42">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施工、监理单位必须认真履行投标文件和合同约定，其主要负责人（包括总监理工程师、专业监理工程师、项目经理、总工）未经批准擅自更换的，课以20000元违约金，并报上级主管部门作为不良信用记录纳入公路建设工程市场信息管理系统，给予相应处罚。</w:t>
      </w:r>
    </w:p>
    <w:p w14:paraId="2907BE7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施工、监理单位为履行合同签署的所有文件必须具有法律效力，即必须有项目经理、专业监理工程师或总监理工程师的签字和施工、监理单位盖章，有下列行为之一的，每发现一次，课以2000元以上5000元以下的违约金。</w:t>
      </w:r>
    </w:p>
    <w:p w14:paraId="5B3E264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①非项目经理、总工、专监、总监本人签署有关文件的；</w:t>
      </w:r>
    </w:p>
    <w:p w14:paraId="36DC517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②签署的有关文件未盖章的；</w:t>
      </w:r>
    </w:p>
    <w:p w14:paraId="536C6AFC">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请销假考核。施工、监理单位主要负责人（包括总监理工程师、专业监理工程师、项目经理、总工）离开项目驻地必须征得建设单位同意，履行请假手续，未经许可擅自离开的，每发现一次课以施工、监理单位1000元违约金。</w:t>
      </w:r>
    </w:p>
    <w:p w14:paraId="11DA790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2、质量考核。</w:t>
      </w:r>
    </w:p>
    <w:p w14:paraId="053BF7D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承包人有下列行为的，监理单位向承包人发出书面监督指令，责令限期整改，并抄送建设单位，未发监理指令的，每发现一次课以监理单位2000元违约金，承包人逾期未整改的，课以承包人2000元以上5000元以下的违约金。</w:t>
      </w:r>
    </w:p>
    <w:p w14:paraId="09D3E39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（1）每批（次）有超过5%苗木胸径、篷径、高度等规格低于施工图纸要求的；</w:t>
      </w:r>
    </w:p>
    <w:p w14:paraId="44C3A9E6">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（2）每批（次）有超过5%苗木品相差的；</w:t>
      </w:r>
    </w:p>
    <w:p w14:paraId="1E1F3C5D">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（3）苗木未经检疫的；</w:t>
      </w:r>
    </w:p>
    <w:p w14:paraId="1342C508">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（4）首次种植前未按施工图纸要求足量施肥的；</w:t>
      </w:r>
    </w:p>
    <w:p w14:paraId="1B61925F">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（5）界沟、排水纵沟深度、宽度达不到施工图纸要求的；</w:t>
      </w:r>
    </w:p>
    <w:p w14:paraId="2F87E0FB">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（6）苗木支撑架质量不符合设计要求，支撑架高度不够或达不到巩固苗木效果的；</w:t>
      </w:r>
    </w:p>
    <w:p w14:paraId="00FDF115">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（7）苗木种植期间未按施工图要求浇灌的；</w:t>
      </w:r>
    </w:p>
    <w:p w14:paraId="44374FC0">
      <w:pPr>
        <w:keepNext w:val="0"/>
        <w:keepLines w:val="0"/>
        <w:pageBreakBefore w:val="0"/>
        <w:widowControl w:val="0"/>
        <w:spacing w:line="500" w:lineRule="exact"/>
        <w:ind w:firstLine="560"/>
        <w:rPr>
          <w:rFonts w:hint="eastAsia"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（8）未按工序要求施工的；</w:t>
      </w:r>
    </w:p>
    <w:p w14:paraId="66D88B88">
      <w:pPr>
        <w:keepNext w:val="0"/>
        <w:keepLines w:val="0"/>
        <w:pageBreakBefore w:val="0"/>
        <w:widowControl w:val="0"/>
        <w:spacing w:line="500" w:lineRule="exact"/>
        <w:ind w:firstLine="560"/>
        <w:rPr>
          <w:rFonts w:hint="default" w:ascii="宋体" w:hAnsi="宋体" w:eastAsia="宋体" w:cs="宋体"/>
          <w:sz w:val="28"/>
          <w:szCs w:val="28"/>
          <w:highlight w:val="none"/>
          <w:lang w:val="en-US" w:eastAsia="zh-CN"/>
        </w:rPr>
      </w:pPr>
      <w:r>
        <w:rPr>
          <w:rFonts w:hint="eastAsia" w:ascii="宋体" w:hAnsi="宋体" w:eastAsia="宋体" w:cs="宋体"/>
          <w:sz w:val="28"/>
          <w:szCs w:val="28"/>
          <w:highlight w:val="none"/>
          <w:lang w:val="en-US" w:eastAsia="zh-CN"/>
        </w:rPr>
        <w:t>本办法并不影响施工监理规范、上级质监等部门有关规定及相关合同对施工、监理工作的约束力。</w:t>
      </w:r>
    </w:p>
    <w:p w14:paraId="2B630321">
      <w:pPr>
        <w:spacing w:line="500" w:lineRule="exact"/>
        <w:jc w:val="center"/>
        <w:outlineLvl w:val="0"/>
        <w:rPr>
          <w:rFonts w:hint="eastAsia" w:ascii="宋体" w:hAnsi="宋体" w:eastAsia="宋体" w:cs="宋体"/>
          <w:bCs/>
          <w:sz w:val="36"/>
          <w:szCs w:val="36"/>
          <w:highlight w:val="none"/>
        </w:rPr>
      </w:pPr>
    </w:p>
    <w:p w14:paraId="5B0F6440">
      <w:pPr>
        <w:spacing w:line="500" w:lineRule="exact"/>
        <w:jc w:val="center"/>
        <w:outlineLvl w:val="0"/>
        <w:rPr>
          <w:rFonts w:hint="eastAsia" w:ascii="宋体" w:hAnsi="宋体" w:eastAsia="宋体" w:cs="宋体"/>
          <w:bCs/>
          <w:sz w:val="36"/>
          <w:szCs w:val="36"/>
          <w:highlight w:val="none"/>
        </w:rPr>
      </w:pPr>
      <w:r>
        <w:rPr>
          <w:rFonts w:hint="eastAsia" w:ascii="宋体" w:hAnsi="宋体" w:eastAsia="宋体" w:cs="宋体"/>
          <w:bCs/>
          <w:sz w:val="36"/>
          <w:szCs w:val="36"/>
          <w:highlight w:val="none"/>
        </w:rPr>
        <w:br w:type="page" w:clear="all"/>
      </w:r>
      <w:r>
        <w:rPr>
          <w:rFonts w:hint="eastAsia" w:ascii="宋体" w:hAnsi="宋体" w:eastAsia="宋体" w:cs="宋体"/>
          <w:bCs/>
          <w:sz w:val="36"/>
          <w:szCs w:val="36"/>
          <w:highlight w:val="none"/>
        </w:rPr>
        <w:t>第四部分 评审方法和评审标准</w:t>
      </w:r>
    </w:p>
    <w:p w14:paraId="0E6912DB">
      <w:pPr>
        <w:spacing w:line="500" w:lineRule="exact"/>
        <w:ind w:firstLine="562"/>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一、谈判方式</w:t>
      </w:r>
    </w:p>
    <w:p w14:paraId="43A1239D">
      <w:pPr>
        <w:tabs>
          <w:tab w:val="left" w:pos="3585"/>
        </w:tabs>
        <w:spacing w:line="500" w:lineRule="exact"/>
        <w:ind w:firstLine="537"/>
        <w:rPr>
          <w:rFonts w:hint="eastAsia" w:ascii="宋体" w:hAnsi="宋体" w:eastAsia="宋体" w:cs="宋体"/>
          <w:sz w:val="28"/>
          <w:szCs w:val="28"/>
          <w:highlight w:val="none"/>
        </w:rPr>
      </w:pPr>
      <w:r>
        <w:rPr>
          <w:rFonts w:hint="eastAsia" w:ascii="宋体" w:hAnsi="宋体" w:eastAsia="宋体" w:cs="宋体"/>
          <w:sz w:val="28"/>
          <w:szCs w:val="28"/>
          <w:highlight w:val="none"/>
        </w:rPr>
        <w:t>不见面远程谈判模式：供应商在各自地点通过“苏采云”系统参加谈判活动。</w:t>
      </w:r>
    </w:p>
    <w:p w14:paraId="663CD2A1">
      <w:pPr>
        <w:spacing w:line="500" w:lineRule="exact"/>
        <w:ind w:firstLine="562"/>
        <w:jc w:val="left"/>
        <w:rPr>
          <w:rFonts w:hint="eastAsia" w:ascii="宋体" w:hAnsi="宋体" w:eastAsia="宋体" w:cs="宋体"/>
          <w:b/>
          <w:bCs w:val="0"/>
          <w:sz w:val="28"/>
          <w:szCs w:val="28"/>
          <w:highlight w:val="none"/>
        </w:rPr>
      </w:pPr>
      <w:r>
        <w:rPr>
          <w:rFonts w:hint="eastAsia" w:ascii="宋体" w:hAnsi="宋体" w:eastAsia="宋体" w:cs="宋体"/>
          <w:b/>
          <w:bCs w:val="0"/>
          <w:sz w:val="28"/>
          <w:szCs w:val="28"/>
          <w:highlight w:val="none"/>
        </w:rPr>
        <w:t>二、谈判程序及评审方法和标准</w:t>
      </w:r>
    </w:p>
    <w:p w14:paraId="06BC42C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供应商先对响应文件进行解密，谈判小组审查响应供应商资格，符合资格的供应商接受谈判小组的各轮谈判，在质量和服务相等的前提下，最后报价最低者为成交供应商。</w:t>
      </w:r>
    </w:p>
    <w:p w14:paraId="49F408C2">
      <w:pPr>
        <w:spacing w:line="500" w:lineRule="exact"/>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最后报价将作为评审价。系统发送最后报价填报通知后，所有的响应供应商须在20分钟内填写并提交最后报价，未在规定时间内提交最后报价或超过第一轮报价的，视作无效响应处理。</w:t>
      </w:r>
    </w:p>
    <w:p w14:paraId="1A81C081">
      <w:pPr>
        <w:tabs>
          <w:tab w:val="left" w:pos="900"/>
        </w:tabs>
        <w:spacing w:line="500" w:lineRule="exact"/>
        <w:ind w:firstLine="557"/>
        <w:rPr>
          <w:rFonts w:hint="eastAsia" w:ascii="宋体" w:hAnsi="宋体" w:eastAsia="宋体" w:cs="宋体"/>
          <w:bCs/>
          <w:sz w:val="28"/>
          <w:szCs w:val="28"/>
          <w:highlight w:val="none"/>
        </w:rPr>
      </w:pPr>
      <w:r>
        <w:rPr>
          <w:rFonts w:hint="eastAsia" w:ascii="宋体" w:hAnsi="宋体" w:eastAsia="宋体" w:cs="宋体"/>
          <w:bCs/>
          <w:sz w:val="28"/>
          <w:szCs w:val="28"/>
          <w:highlight w:val="none"/>
        </w:rPr>
        <w:t>最后报价是供应商响应文件的有效组成部分，提交最后报价的供应商不得少于3家；只有符合《政府采购非招标采购方式管理暂行办法》第二十七条第二款规定情形的，提交最后报价的供应商可以为2家。</w:t>
      </w:r>
    </w:p>
    <w:p w14:paraId="68743484">
      <w:pPr>
        <w:spacing w:line="500" w:lineRule="exact"/>
        <w:ind w:firstLine="560"/>
        <w:rPr>
          <w:rFonts w:hint="eastAsia" w:ascii="宋体" w:hAnsi="宋体" w:eastAsia="宋体" w:cs="宋体"/>
          <w:bCs/>
          <w:sz w:val="28"/>
          <w:szCs w:val="28"/>
          <w:highlight w:val="none"/>
        </w:rPr>
      </w:pPr>
      <w:r>
        <w:rPr>
          <w:rFonts w:hint="eastAsia" w:ascii="宋体" w:hAnsi="宋体" w:eastAsia="宋体" w:cs="宋体"/>
          <w:bCs/>
          <w:sz w:val="28"/>
          <w:szCs w:val="28"/>
          <w:highlight w:val="none"/>
        </w:rPr>
        <w:t>各供应商最后报价结束后,如谈判小组认为最后最低的供应商的报价明显低于其自身成本，涉嫌恶意竞争，有可能影响商品质量和不能诚信履约的，则有权要求其在合理的时间内通过</w:t>
      </w:r>
      <w:r>
        <w:rPr>
          <w:rFonts w:hint="eastAsia" w:ascii="宋体" w:hAnsi="宋体" w:eastAsia="宋体" w:cs="宋体"/>
          <w:sz w:val="28"/>
          <w:szCs w:val="28"/>
          <w:highlight w:val="none"/>
        </w:rPr>
        <w:t>“苏采云”系统</w:t>
      </w:r>
      <w:r>
        <w:rPr>
          <w:rFonts w:hint="eastAsia" w:ascii="宋体" w:hAnsi="宋体" w:eastAsia="宋体" w:cs="宋体"/>
          <w:bCs/>
          <w:sz w:val="28"/>
          <w:szCs w:val="28"/>
          <w:highlight w:val="none"/>
        </w:rPr>
        <w:t>提供说明，必要时提交相关证明材料。若该供应商拒绝说明或未在规定期限内提供说明，或虽有书面说明但仍无法证明其报价合理性的，则谈判小组有权取消其谈判成交资格，按顺序由最后报价次低的供应商递补，以此类推。</w:t>
      </w:r>
    </w:p>
    <w:p w14:paraId="799BB05C">
      <w:pPr>
        <w:spacing w:line="500" w:lineRule="exact"/>
        <w:ind w:firstLine="555"/>
        <w:rPr>
          <w:rFonts w:hint="eastAsia" w:ascii="宋体" w:hAnsi="宋体" w:eastAsia="宋体" w:cs="宋体"/>
          <w:sz w:val="28"/>
          <w:szCs w:val="28"/>
          <w:highlight w:val="none"/>
        </w:rPr>
      </w:pPr>
      <w:r>
        <w:rPr>
          <w:rFonts w:hint="eastAsia" w:ascii="宋体" w:hAnsi="宋体" w:eastAsia="宋体" w:cs="宋体"/>
          <w:sz w:val="28"/>
          <w:szCs w:val="28"/>
          <w:highlight w:val="none"/>
        </w:rPr>
        <w:t>评委在认真审阅响应文件的基础上，根据各响应文件的响应程度独立评判。</w:t>
      </w:r>
    </w:p>
    <w:p w14:paraId="1AAF6D98">
      <w:pPr>
        <w:spacing w:line="500" w:lineRule="exact"/>
        <w:rPr>
          <w:rFonts w:hint="eastAsia" w:ascii="宋体" w:hAnsi="宋体" w:eastAsia="宋体" w:cs="宋体"/>
          <w:b/>
          <w:sz w:val="28"/>
          <w:szCs w:val="28"/>
          <w:highlight w:val="none"/>
        </w:rPr>
      </w:pPr>
      <w:r>
        <w:rPr>
          <w:rFonts w:hint="eastAsia" w:ascii="宋体" w:hAnsi="宋体" w:eastAsia="宋体" w:cs="宋体"/>
          <w:b/>
          <w:sz w:val="28"/>
          <w:szCs w:val="28"/>
          <w:highlight w:val="none"/>
        </w:rPr>
        <w:t>（一）谈判小组对供应商资格进行审查。</w:t>
      </w:r>
    </w:p>
    <w:p w14:paraId="747AF4ED">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供应商资格不合格的，其响应文件判定为无效响应文件。</w:t>
      </w:r>
    </w:p>
    <w:p w14:paraId="4F25A2B8">
      <w:pPr>
        <w:spacing w:line="500" w:lineRule="exact"/>
        <w:jc w:val="left"/>
        <w:rPr>
          <w:rFonts w:hint="eastAsia" w:ascii="宋体" w:hAnsi="宋体" w:eastAsia="宋体" w:cs="宋体"/>
          <w:b/>
          <w:sz w:val="28"/>
          <w:szCs w:val="28"/>
          <w:highlight w:val="none"/>
        </w:rPr>
      </w:pPr>
      <w:r>
        <w:rPr>
          <w:rFonts w:hint="eastAsia" w:ascii="宋体" w:hAnsi="宋体" w:eastAsia="宋体" w:cs="宋体"/>
          <w:b/>
          <w:sz w:val="28"/>
          <w:szCs w:val="28"/>
          <w:highlight w:val="none"/>
        </w:rPr>
        <w:t>（二）谈判小组对符合资格供应商的响应文件进行符合性审查。</w:t>
      </w:r>
    </w:p>
    <w:p w14:paraId="4A1ADCEF">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未通过符合性审查的响应文件，将被判为不满足谈判文件实质性要求。</w:t>
      </w:r>
    </w:p>
    <w:p w14:paraId="1231BD84">
      <w:pPr>
        <w:spacing w:line="500" w:lineRule="exact"/>
        <w:rPr>
          <w:rFonts w:hint="eastAsia" w:ascii="宋体" w:hAnsi="宋体" w:eastAsia="宋体" w:cs="宋体"/>
          <w:b/>
          <w:bCs/>
          <w:sz w:val="28"/>
          <w:szCs w:val="28"/>
          <w:highlight w:val="none"/>
        </w:rPr>
      </w:pPr>
      <w:r>
        <w:rPr>
          <w:rFonts w:hint="eastAsia" w:ascii="宋体" w:hAnsi="宋体" w:eastAsia="宋体" w:cs="宋体"/>
          <w:b/>
          <w:sz w:val="28"/>
          <w:szCs w:val="28"/>
          <w:highlight w:val="none"/>
        </w:rPr>
        <w:t>（</w:t>
      </w:r>
      <w:r>
        <w:rPr>
          <w:rFonts w:hint="eastAsia" w:ascii="宋体" w:hAnsi="宋体" w:eastAsia="宋体" w:cs="宋体"/>
          <w:b/>
          <w:bCs/>
          <w:sz w:val="28"/>
          <w:szCs w:val="28"/>
          <w:highlight w:val="none"/>
        </w:rPr>
        <w:t>三</w:t>
      </w:r>
      <w:r>
        <w:rPr>
          <w:rFonts w:hint="eastAsia" w:ascii="宋体" w:hAnsi="宋体" w:eastAsia="宋体" w:cs="宋体"/>
          <w:b/>
          <w:sz w:val="28"/>
          <w:szCs w:val="28"/>
          <w:highlight w:val="none"/>
        </w:rPr>
        <w:t>）</w:t>
      </w:r>
      <w:r>
        <w:rPr>
          <w:rFonts w:hint="eastAsia" w:ascii="宋体" w:hAnsi="宋体" w:eastAsia="宋体" w:cs="宋体"/>
          <w:b/>
          <w:bCs/>
          <w:sz w:val="28"/>
          <w:szCs w:val="28"/>
          <w:highlight w:val="none"/>
        </w:rPr>
        <w:t>政府采购政策功能落实</w:t>
      </w:r>
    </w:p>
    <w:p w14:paraId="6D757E6B">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1</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专门面向中小企业采购的项目或者采购包，不再执行价格评审优惠的扶持政策。</w:t>
      </w:r>
    </w:p>
    <w:p w14:paraId="6275CC7C">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2</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非专门面向中小企业采购的项目或者采购包，执行以下价格评审优惠的扶持政策。</w:t>
      </w:r>
    </w:p>
    <w:p w14:paraId="73041444">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（1）小微型企业价格扣除：</w:t>
      </w:r>
    </w:p>
    <w:p w14:paraId="0992DDA0">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①对小型和微型企业给予10%的扣除价格，用扣除后的价格参与评审。</w:t>
      </w:r>
    </w:p>
    <w:p w14:paraId="3BFC29E4">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②供应商需按照《政府采购促进中小企业发展管理办法》（财库〔2020〕46号）的规定提供相应的《中小企业声明函》。</w:t>
      </w:r>
    </w:p>
    <w:p w14:paraId="5B3D0160">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③企业标准请参照《关于印发中小企业划型标准规定的通知》（工信部联企业</w:t>
      </w:r>
      <w:r>
        <w:rPr>
          <w:rFonts w:hint="eastAsia" w:ascii="宋体" w:hAnsi="宋体" w:eastAsia="宋体" w:cs="宋体"/>
          <w:sz w:val="28"/>
          <w:szCs w:val="28"/>
          <w:highlight w:val="none"/>
          <w:lang w:val="zh-CN"/>
        </w:rPr>
        <w:t>〔</w:t>
      </w:r>
      <w:r>
        <w:rPr>
          <w:rFonts w:hint="eastAsia" w:ascii="宋体" w:hAnsi="宋体" w:eastAsia="宋体" w:cs="宋体"/>
          <w:sz w:val="28"/>
          <w:szCs w:val="28"/>
          <w:highlight w:val="none"/>
        </w:rPr>
        <w:t>2011</w:t>
      </w:r>
      <w:r>
        <w:rPr>
          <w:rFonts w:hint="eastAsia" w:ascii="宋体" w:hAnsi="宋体" w:eastAsia="宋体" w:cs="宋体"/>
          <w:sz w:val="28"/>
          <w:szCs w:val="28"/>
          <w:highlight w:val="none"/>
          <w:lang w:val="zh-CN"/>
        </w:rPr>
        <w:t>〕</w:t>
      </w:r>
      <w:r>
        <w:rPr>
          <w:rFonts w:hint="eastAsia" w:ascii="宋体" w:hAnsi="宋体" w:eastAsia="宋体" w:cs="宋体"/>
          <w:sz w:val="28"/>
          <w:szCs w:val="28"/>
          <w:highlight w:val="none"/>
        </w:rPr>
        <w:t>300号）文件规定自行填写。</w:t>
      </w:r>
    </w:p>
    <w:p w14:paraId="3300DAD0">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（2）残疾人福利单位价格扣除：</w:t>
      </w:r>
    </w:p>
    <w:p w14:paraId="3535F2CE">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①对残疾人福利性单位，给予10%的价格扣除，用扣除后的价格参与评审。</w:t>
      </w:r>
    </w:p>
    <w:p w14:paraId="0B5FB0C5">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②残疾人福利单位需按照采购文件的要求提供《残疾人福利性单位声明函》。</w:t>
      </w:r>
    </w:p>
    <w:p w14:paraId="1ADD402E">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③残疾人福利单位标准请参照《关于促进残疾人就业政府采购政策的通知》（财库〔2017〕141号）。</w:t>
      </w:r>
    </w:p>
    <w:p w14:paraId="268458B9">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（3）监狱和戒毒企业价格扣除</w:t>
      </w:r>
    </w:p>
    <w:p w14:paraId="2EADC87B">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①对监狱和戒毒企业（简称监狱企业）给予10%的价格扣除，用扣除后的价格参与评审。</w:t>
      </w:r>
    </w:p>
    <w:p w14:paraId="5C1DA65F">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②监狱企业参加政府采购活动时，需提供由省级以上监狱管理局、戒毒管理局(含新疆生产建设兵团)出具的属于监狱企业的证明文件。供应商如不提供上述证明文件，价格将不做相应扣除。</w:t>
      </w:r>
    </w:p>
    <w:p w14:paraId="2249FF76">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③监狱企业标准请参照《关于政府采购支持监狱企业发展有关问题的通知》（财库〔2014</w:t>
      </w:r>
      <w:r>
        <w:rPr>
          <w:rFonts w:hint="eastAsia" w:ascii="宋体" w:hAnsi="宋体" w:eastAsia="宋体" w:cs="宋体"/>
          <w:sz w:val="28"/>
          <w:szCs w:val="28"/>
          <w:highlight w:val="none"/>
          <w:lang w:val="zh-CN"/>
        </w:rPr>
        <w:t>〕</w:t>
      </w:r>
      <w:r>
        <w:rPr>
          <w:rFonts w:hint="eastAsia" w:ascii="宋体" w:hAnsi="宋体" w:eastAsia="宋体" w:cs="宋体"/>
          <w:sz w:val="28"/>
          <w:szCs w:val="28"/>
          <w:highlight w:val="none"/>
        </w:rPr>
        <w:t>68号）。</w:t>
      </w:r>
    </w:p>
    <w:p w14:paraId="5492D02E">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（4）残疾人福利单位、监狱企业属于小型、微型企业的，不重复享受政策。</w:t>
      </w:r>
    </w:p>
    <w:p w14:paraId="56C1CC05">
      <w:pPr>
        <w:spacing w:line="500" w:lineRule="exact"/>
        <w:ind w:firstLine="576"/>
        <w:rPr>
          <w:rFonts w:hint="eastAsia" w:ascii="宋体" w:hAnsi="宋体" w:eastAsia="宋体" w:cs="宋体"/>
          <w:sz w:val="28"/>
          <w:szCs w:val="28"/>
          <w:highlight w:val="none"/>
        </w:rPr>
      </w:pPr>
      <w:r>
        <w:rPr>
          <w:rFonts w:hint="eastAsia" w:ascii="宋体" w:hAnsi="宋体" w:eastAsia="宋体" w:cs="宋体"/>
          <w:sz w:val="28"/>
          <w:szCs w:val="28"/>
          <w:highlight w:val="none"/>
        </w:rPr>
        <w:t>（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14:paraId="30BB00A2">
      <w:pPr>
        <w:spacing w:line="500" w:lineRule="exact"/>
        <w:ind w:firstLine="576"/>
        <w:rPr>
          <w:rFonts w:hint="eastAsia" w:ascii="宋体" w:hAnsi="宋体" w:eastAsia="宋体" w:cs="宋体"/>
          <w:bCs/>
          <w:sz w:val="28"/>
          <w:szCs w:val="28"/>
          <w:highlight w:val="none"/>
        </w:rPr>
      </w:pPr>
      <w:r>
        <w:rPr>
          <w:rFonts w:hint="eastAsia" w:ascii="宋体" w:hAnsi="宋体" w:eastAsia="宋体" w:cs="宋体"/>
          <w:sz w:val="28"/>
          <w:szCs w:val="28"/>
          <w:highlight w:val="none"/>
        </w:rPr>
        <w:t>（6）联合体各方均为小型、微型企业（残疾人福利单位、监狱企业）的，联合体享受上述同类价格扣除，用扣除后的价格参与评审。</w:t>
      </w:r>
    </w:p>
    <w:p w14:paraId="58CD3A60">
      <w:pPr>
        <w:spacing w:line="500" w:lineRule="exact"/>
        <w:ind w:firstLine="570"/>
        <w:rPr>
          <w:rFonts w:hint="eastAsia" w:ascii="宋体" w:hAnsi="宋体" w:eastAsia="宋体" w:cs="宋体"/>
          <w:bCs/>
          <w:sz w:val="28"/>
          <w:szCs w:val="28"/>
          <w:highlight w:val="none"/>
        </w:rPr>
      </w:pPr>
      <w:r>
        <w:rPr>
          <w:rFonts w:hint="eastAsia" w:ascii="宋体" w:hAnsi="宋体" w:eastAsia="宋体" w:cs="宋体"/>
          <w:b/>
          <w:sz w:val="28"/>
          <w:szCs w:val="28"/>
          <w:highlight w:val="none"/>
        </w:rPr>
        <w:t>（四）成交供应商的确定</w:t>
      </w:r>
    </w:p>
    <w:p w14:paraId="3DDEEB4E">
      <w:pPr>
        <w:spacing w:line="500" w:lineRule="exact"/>
        <w:ind w:firstLine="570"/>
        <w:rPr>
          <w:rFonts w:hint="eastAsia" w:ascii="宋体" w:hAnsi="宋体" w:eastAsia="宋体" w:cs="宋体"/>
          <w:sz w:val="28"/>
          <w:szCs w:val="28"/>
          <w:highlight w:val="none"/>
        </w:rPr>
      </w:pPr>
      <w:r>
        <w:rPr>
          <w:rFonts w:hint="eastAsia" w:ascii="宋体" w:hAnsi="宋体" w:eastAsia="宋体" w:cs="宋体"/>
          <w:sz w:val="28"/>
          <w:szCs w:val="28"/>
          <w:highlight w:val="none"/>
        </w:rPr>
        <w:t>谈判小组将从质量和服务均能满足采购文件实质性响应要求的供应商中，按照最后报价由低到高顺序推荐1名成交候选供应商，若报价相同时则通过抽签方式随机确定排名顺序，并编写评审报告。</w:t>
      </w:r>
    </w:p>
    <w:p w14:paraId="25350394">
      <w:pPr>
        <w:spacing w:line="500" w:lineRule="exact"/>
        <w:ind w:firstLine="570"/>
        <w:rPr>
          <w:rFonts w:hint="eastAsia" w:ascii="宋体" w:hAnsi="宋体" w:eastAsia="宋体" w:cs="宋体"/>
          <w:sz w:val="28"/>
          <w:szCs w:val="28"/>
          <w:highlight w:val="none"/>
        </w:rPr>
      </w:pPr>
      <w:r>
        <w:rPr>
          <w:rFonts w:hint="eastAsia" w:ascii="宋体" w:hAnsi="宋体" w:eastAsia="宋体" w:cs="宋体"/>
          <w:sz w:val="28"/>
          <w:szCs w:val="28"/>
          <w:highlight w:val="none"/>
        </w:rPr>
        <w:t>采购人应按照谈判小组推荐的成交候选供应商确定成交供应商。</w:t>
      </w:r>
    </w:p>
    <w:p w14:paraId="4269A5B4">
      <w:pPr>
        <w:spacing w:line="500" w:lineRule="exact"/>
        <w:ind w:firstLine="557"/>
        <w:rPr>
          <w:rFonts w:hint="eastAsia" w:ascii="宋体" w:hAnsi="宋体" w:eastAsia="宋体" w:cs="宋体"/>
          <w:b/>
          <w:sz w:val="28"/>
          <w:szCs w:val="28"/>
          <w:highlight w:val="none"/>
        </w:rPr>
      </w:pPr>
      <w:r>
        <w:rPr>
          <w:rFonts w:hint="eastAsia" w:ascii="宋体" w:hAnsi="宋体" w:eastAsia="宋体" w:cs="宋体"/>
          <w:b/>
          <w:sz w:val="28"/>
          <w:szCs w:val="28"/>
          <w:highlight w:val="none"/>
        </w:rPr>
        <w:t>（五）公告成交结果</w:t>
      </w:r>
    </w:p>
    <w:p w14:paraId="34E18C48">
      <w:pPr>
        <w:spacing w:line="500" w:lineRule="exact"/>
        <w:ind w:firstLine="570"/>
        <w:rPr>
          <w:rFonts w:hint="eastAsia" w:ascii="宋体" w:hAnsi="宋体" w:eastAsia="宋体" w:cs="宋体"/>
          <w:sz w:val="28"/>
          <w:szCs w:val="28"/>
          <w:highlight w:val="none"/>
        </w:rPr>
      </w:pPr>
      <w:r>
        <w:rPr>
          <w:rFonts w:hint="eastAsia" w:ascii="宋体" w:hAnsi="宋体" w:eastAsia="宋体" w:cs="宋体"/>
          <w:sz w:val="28"/>
          <w:szCs w:val="28"/>
          <w:highlight w:val="none"/>
        </w:rPr>
        <w:t>自确定成交供应商之日起2个工作日内，在江苏政府采购网公告成交结果，公告期限为1个工作日。</w:t>
      </w:r>
    </w:p>
    <w:p w14:paraId="3038531A">
      <w:pPr>
        <w:spacing w:line="500" w:lineRule="exact"/>
        <w:ind w:firstLine="562"/>
        <w:rPr>
          <w:rFonts w:hint="eastAsia" w:ascii="宋体" w:hAnsi="宋体" w:eastAsia="宋体" w:cs="宋体"/>
          <w:b/>
          <w:bCs/>
          <w:sz w:val="28"/>
          <w:szCs w:val="28"/>
          <w:highlight w:val="none"/>
        </w:rPr>
      </w:pPr>
      <w:r>
        <w:rPr>
          <w:rFonts w:hint="eastAsia" w:ascii="宋体" w:hAnsi="宋体" w:eastAsia="宋体" w:cs="宋体"/>
          <w:b/>
          <w:sz w:val="28"/>
          <w:szCs w:val="28"/>
          <w:highlight w:val="none"/>
        </w:rPr>
        <w:t>（</w:t>
      </w:r>
      <w:r>
        <w:rPr>
          <w:rFonts w:hint="eastAsia" w:ascii="宋体" w:hAnsi="宋体" w:eastAsia="宋体" w:cs="宋体"/>
          <w:b/>
          <w:bCs/>
          <w:sz w:val="28"/>
          <w:szCs w:val="28"/>
          <w:highlight w:val="none"/>
        </w:rPr>
        <w:t>六</w:t>
      </w:r>
      <w:r>
        <w:rPr>
          <w:rFonts w:hint="eastAsia" w:ascii="宋体" w:hAnsi="宋体" w:eastAsia="宋体" w:cs="宋体"/>
          <w:b/>
          <w:sz w:val="28"/>
          <w:szCs w:val="28"/>
          <w:highlight w:val="none"/>
        </w:rPr>
        <w:t>）</w:t>
      </w:r>
      <w:r>
        <w:rPr>
          <w:rFonts w:hint="eastAsia" w:ascii="宋体" w:hAnsi="宋体" w:eastAsia="宋体" w:cs="宋体"/>
          <w:b/>
          <w:bCs/>
          <w:sz w:val="28"/>
          <w:szCs w:val="28"/>
          <w:highlight w:val="none"/>
        </w:rPr>
        <w:t>发放成交通知书</w:t>
      </w:r>
    </w:p>
    <w:p w14:paraId="13B58E23">
      <w:pPr>
        <w:spacing w:line="500" w:lineRule="exact"/>
        <w:ind w:firstLine="560"/>
        <w:rPr>
          <w:rFonts w:hint="eastAsia" w:ascii="宋体" w:hAnsi="宋体" w:eastAsia="宋体" w:cs="宋体"/>
          <w:bCs/>
          <w:sz w:val="28"/>
          <w:szCs w:val="28"/>
          <w:highlight w:val="none"/>
        </w:rPr>
      </w:pPr>
      <w:r>
        <w:rPr>
          <w:rFonts w:hint="eastAsia" w:ascii="宋体" w:hAnsi="宋体" w:eastAsia="宋体" w:cs="宋体"/>
          <w:sz w:val="28"/>
          <w:szCs w:val="28"/>
          <w:highlight w:val="none"/>
        </w:rPr>
        <w:t>公告成交结果的同时，</w:t>
      </w:r>
      <w:r>
        <w:rPr>
          <w:rFonts w:hint="eastAsia" w:ascii="宋体" w:hAnsi="宋体" w:eastAsia="宋体" w:cs="宋体"/>
          <w:sz w:val="28"/>
          <w:szCs w:val="28"/>
          <w:highlight w:val="none"/>
          <w:lang w:eastAsia="zh-CN"/>
        </w:rPr>
        <w:t>采购人</w:t>
      </w:r>
      <w:r>
        <w:rPr>
          <w:rFonts w:hint="eastAsia" w:ascii="宋体" w:hAnsi="宋体" w:eastAsia="宋体" w:cs="宋体"/>
          <w:bCs/>
          <w:sz w:val="28"/>
          <w:szCs w:val="28"/>
          <w:highlight w:val="none"/>
        </w:rPr>
        <w:t>向成交供应商发放成交通知书</w:t>
      </w:r>
      <w:r>
        <w:rPr>
          <w:rFonts w:hint="eastAsia" w:ascii="宋体" w:hAnsi="宋体" w:eastAsia="宋体" w:cs="宋体"/>
          <w:sz w:val="24"/>
          <w:highlight w:val="none"/>
        </w:rPr>
        <w:t>。</w:t>
      </w:r>
      <w:r>
        <w:rPr>
          <w:rFonts w:hint="eastAsia" w:ascii="宋体" w:hAnsi="宋体" w:eastAsia="宋体" w:cs="宋体"/>
          <w:bCs/>
          <w:sz w:val="28"/>
          <w:szCs w:val="28"/>
          <w:highlight w:val="none"/>
        </w:rPr>
        <w:t>请成交供应商在成交结果公告届满之日起30日内,使用CA数字证书登录</w:t>
      </w:r>
      <w:r>
        <w:rPr>
          <w:rFonts w:hint="eastAsia" w:ascii="宋体" w:hAnsi="宋体" w:eastAsia="宋体" w:cs="宋体"/>
          <w:sz w:val="28"/>
          <w:szCs w:val="28"/>
          <w:highlight w:val="none"/>
        </w:rPr>
        <w:t>“苏采云”</w:t>
      </w:r>
      <w:r>
        <w:rPr>
          <w:rFonts w:hint="eastAsia" w:ascii="宋体" w:hAnsi="宋体" w:eastAsia="宋体" w:cs="宋体"/>
          <w:bCs/>
          <w:sz w:val="28"/>
          <w:szCs w:val="28"/>
          <w:highlight w:val="none"/>
        </w:rPr>
        <w:t>系统及时下载成交通知书。因系统存储空间有限，自成交结果公告届满之日起30日后，</w:t>
      </w:r>
      <w:r>
        <w:rPr>
          <w:rFonts w:hint="eastAsia" w:ascii="宋体" w:hAnsi="宋体" w:eastAsia="宋体" w:cs="宋体"/>
          <w:sz w:val="28"/>
          <w:szCs w:val="28"/>
          <w:highlight w:val="none"/>
        </w:rPr>
        <w:t>“苏采云”</w:t>
      </w:r>
      <w:r>
        <w:rPr>
          <w:rFonts w:hint="eastAsia" w:ascii="宋体" w:hAnsi="宋体" w:eastAsia="宋体" w:cs="宋体"/>
          <w:bCs/>
          <w:sz w:val="28"/>
          <w:szCs w:val="28"/>
          <w:highlight w:val="none"/>
        </w:rPr>
        <w:t>系统不再保证提供下载成交通知书服务,因未及时下载而造成的不利后果由成交供应商自行承担。</w:t>
      </w:r>
    </w:p>
    <w:p w14:paraId="01231D6E">
      <w:pPr>
        <w:spacing w:line="50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成交通知书发出后，采购人不得违法改变成交结果，成交供应商无正当理由不得放弃成交。</w:t>
      </w:r>
    </w:p>
    <w:p w14:paraId="01CE38FD">
      <w:pPr>
        <w:spacing w:line="500" w:lineRule="exact"/>
        <w:ind w:firstLine="570"/>
        <w:rPr>
          <w:rFonts w:hint="eastAsia" w:ascii="宋体" w:hAnsi="宋体" w:eastAsia="宋体" w:cs="宋体"/>
          <w:b/>
          <w:sz w:val="28"/>
          <w:szCs w:val="28"/>
          <w:highlight w:val="none"/>
        </w:rPr>
      </w:pPr>
      <w:r>
        <w:rPr>
          <w:rFonts w:hint="eastAsia" w:ascii="宋体" w:hAnsi="宋体" w:eastAsia="宋体" w:cs="宋体"/>
          <w:b/>
          <w:sz w:val="28"/>
          <w:szCs w:val="28"/>
          <w:highlight w:val="none"/>
        </w:rPr>
        <w:t>成交供应商须提供</w:t>
      </w:r>
      <w:r>
        <w:rPr>
          <w:rFonts w:hint="eastAsia" w:ascii="宋体" w:hAnsi="宋体" w:eastAsia="宋体" w:cs="宋体"/>
          <w:b/>
          <w:sz w:val="28"/>
          <w:szCs w:val="28"/>
          <w:highlight w:val="none"/>
          <w:lang w:val="en-US" w:eastAsia="zh-CN"/>
        </w:rPr>
        <w:t>一</w:t>
      </w:r>
      <w:r>
        <w:rPr>
          <w:rFonts w:hint="eastAsia" w:ascii="宋体" w:hAnsi="宋体" w:eastAsia="宋体" w:cs="宋体"/>
          <w:b/>
          <w:sz w:val="28"/>
          <w:szCs w:val="28"/>
          <w:highlight w:val="none"/>
        </w:rPr>
        <w:t>正</w:t>
      </w:r>
      <w:r>
        <w:rPr>
          <w:rFonts w:hint="eastAsia" w:ascii="宋体" w:hAnsi="宋体" w:cs="宋体"/>
          <w:b/>
          <w:sz w:val="28"/>
          <w:szCs w:val="28"/>
          <w:highlight w:val="none"/>
          <w:lang w:val="en-US" w:eastAsia="zh-CN"/>
        </w:rPr>
        <w:t>三</w:t>
      </w:r>
      <w:r>
        <w:rPr>
          <w:rFonts w:hint="eastAsia" w:ascii="宋体" w:hAnsi="宋体" w:eastAsia="宋体" w:cs="宋体"/>
          <w:b/>
          <w:sz w:val="28"/>
          <w:szCs w:val="28"/>
          <w:highlight w:val="none"/>
        </w:rPr>
        <w:t>副纸质版响应文件至采购人处，否则不予签订合同。</w:t>
      </w:r>
    </w:p>
    <w:p w14:paraId="3CD7E29F">
      <w:pPr>
        <w:spacing w:line="500" w:lineRule="exact"/>
        <w:jc w:val="center"/>
        <w:outlineLvl w:val="0"/>
        <w:rPr>
          <w:rFonts w:hint="eastAsia" w:ascii="宋体" w:hAnsi="宋体" w:eastAsia="宋体" w:cs="宋体"/>
          <w:bCs/>
          <w:sz w:val="36"/>
          <w:szCs w:val="36"/>
          <w:highlight w:val="none"/>
        </w:rPr>
      </w:pPr>
      <w:r>
        <w:rPr>
          <w:rFonts w:hint="eastAsia" w:ascii="宋体" w:hAnsi="宋体" w:eastAsia="宋体" w:cs="宋体"/>
          <w:b/>
          <w:sz w:val="28"/>
          <w:szCs w:val="28"/>
          <w:highlight w:val="none"/>
        </w:rPr>
        <w:br w:type="page" w:clear="all"/>
      </w:r>
      <w:r>
        <w:rPr>
          <w:rFonts w:hint="eastAsia" w:ascii="宋体" w:hAnsi="宋体" w:eastAsia="宋体" w:cs="宋体"/>
          <w:bCs/>
          <w:sz w:val="36"/>
          <w:szCs w:val="36"/>
          <w:highlight w:val="none"/>
        </w:rPr>
        <w:t>第五部分  响应文件格式</w:t>
      </w:r>
    </w:p>
    <w:p w14:paraId="2B5CFE3A">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1.</w:t>
      </w:r>
      <w:r>
        <w:rPr>
          <w:rFonts w:hint="eastAsia" w:ascii="宋体" w:hAnsi="宋体" w:cs="宋体"/>
          <w:sz w:val="28"/>
          <w:szCs w:val="28"/>
          <w:highlight w:val="none"/>
          <w:lang w:val="en-US" w:eastAsia="zh-CN"/>
        </w:rPr>
        <w:t>供应商</w:t>
      </w:r>
      <w:r>
        <w:rPr>
          <w:rFonts w:hint="eastAsia" w:ascii="宋体" w:hAnsi="宋体" w:eastAsia="宋体" w:cs="宋体"/>
          <w:sz w:val="28"/>
          <w:szCs w:val="28"/>
          <w:highlight w:val="none"/>
        </w:rPr>
        <w:t>符合《中华人民共和国政府采购法》第二十二条规定条件的声明函</w:t>
      </w:r>
      <w:r>
        <w:rPr>
          <w:rFonts w:hint="eastAsia" w:ascii="宋体" w:hAnsi="宋体" w:eastAsia="宋体" w:cs="宋体"/>
          <w:sz w:val="28"/>
          <w:szCs w:val="28"/>
          <w:highlight w:val="none"/>
          <w:lang w:val="zh-CN"/>
        </w:rPr>
        <w:t>（格式见附件1）（如分公司参加响应的，另需提供总公司的授权证明）；</w:t>
      </w:r>
    </w:p>
    <w:p w14:paraId="0B95D26A">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2</w:t>
      </w:r>
      <w:r>
        <w:rPr>
          <w:rFonts w:hint="eastAsia" w:ascii="宋体" w:hAnsi="宋体" w:eastAsia="宋体" w:cs="宋体"/>
          <w:sz w:val="28"/>
          <w:szCs w:val="28"/>
          <w:highlight w:val="none"/>
          <w:lang w:val="zh-CN"/>
        </w:rPr>
        <w:t>.法定代表人身份证明书（格式见附件2）及法人或者其他组织的营业执照等证明文件，自然人参加的提供身份证明；</w:t>
      </w:r>
    </w:p>
    <w:p w14:paraId="7797125B">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3</w:t>
      </w:r>
      <w:r>
        <w:rPr>
          <w:rFonts w:hint="eastAsia" w:ascii="宋体" w:hAnsi="宋体" w:eastAsia="宋体" w:cs="宋体"/>
          <w:sz w:val="28"/>
          <w:szCs w:val="28"/>
          <w:highlight w:val="none"/>
          <w:lang w:val="zh-CN"/>
        </w:rPr>
        <w:t>.法定代表人授权委托书原件（格式见附件3，法定代表人参加的，无需提供授权委托书），谈判代表本人身份证复印件；</w:t>
      </w:r>
    </w:p>
    <w:p w14:paraId="1885C7A2">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rPr>
        <w:t>4.</w:t>
      </w:r>
      <w:r>
        <w:rPr>
          <w:rFonts w:hint="eastAsia" w:ascii="宋体" w:hAnsi="宋体" w:eastAsia="宋体" w:cs="宋体"/>
          <w:sz w:val="28"/>
          <w:szCs w:val="28"/>
          <w:highlight w:val="none"/>
          <w:lang w:val="zh-CN"/>
        </w:rPr>
        <w:t>供应商信用承诺书（格式见附件</w:t>
      </w:r>
      <w:r>
        <w:rPr>
          <w:rFonts w:hint="eastAsia" w:ascii="宋体" w:hAnsi="宋体" w:eastAsia="宋体" w:cs="宋体"/>
          <w:sz w:val="28"/>
          <w:szCs w:val="28"/>
          <w:highlight w:val="none"/>
        </w:rPr>
        <w:t>4</w:t>
      </w:r>
      <w:r>
        <w:rPr>
          <w:rFonts w:hint="eastAsia" w:ascii="宋体" w:hAnsi="宋体" w:eastAsia="宋体" w:cs="宋体"/>
          <w:sz w:val="28"/>
          <w:szCs w:val="28"/>
          <w:highlight w:val="none"/>
          <w:lang w:val="zh-CN"/>
        </w:rPr>
        <w:t>）；</w:t>
      </w:r>
    </w:p>
    <w:p w14:paraId="701880A6">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5.谈判响应函（格式见附件5）；</w:t>
      </w:r>
    </w:p>
    <w:p w14:paraId="27C4403E">
      <w:pPr>
        <w:spacing w:line="50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6</w:t>
      </w:r>
      <w:r>
        <w:rPr>
          <w:rFonts w:hint="eastAsia" w:ascii="宋体" w:hAnsi="宋体" w:eastAsia="宋体" w:cs="宋体"/>
          <w:sz w:val="28"/>
          <w:szCs w:val="28"/>
          <w:highlight w:val="none"/>
          <w:lang w:val="en-US" w:eastAsia="zh-CN"/>
        </w:rPr>
        <w:t>.供应商业绩证明材料（业绩证明须同时提供中标通知书（或成交通知书或直接发包登记表）、施工合同、工程交/竣/完工验收证明或移交单三项证明材料，交/竣/完工验收证明或移交单须同时有建设单位、施工单位（养护单位）的盖章；</w:t>
      </w:r>
    </w:p>
    <w:p w14:paraId="1661CDDE">
      <w:pPr>
        <w:spacing w:line="500" w:lineRule="exact"/>
        <w:rPr>
          <w:rFonts w:hint="eastAsia" w:ascii="宋体" w:hAnsi="宋体" w:eastAsia="宋体" w:cs="宋体"/>
          <w:sz w:val="28"/>
          <w:szCs w:val="28"/>
          <w:highlight w:val="none"/>
          <w:lang w:val="en-US" w:eastAsia="zh-CN"/>
        </w:rPr>
      </w:pPr>
      <w:r>
        <w:rPr>
          <w:rFonts w:hint="eastAsia" w:ascii="宋体" w:hAnsi="宋体" w:cs="宋体"/>
          <w:sz w:val="28"/>
          <w:szCs w:val="28"/>
          <w:highlight w:val="none"/>
          <w:lang w:val="en-US" w:eastAsia="zh-CN"/>
        </w:rPr>
        <w:t>7</w:t>
      </w:r>
      <w:r>
        <w:rPr>
          <w:rFonts w:hint="eastAsia" w:ascii="宋体" w:hAnsi="宋体" w:eastAsia="宋体" w:cs="宋体"/>
          <w:sz w:val="28"/>
          <w:szCs w:val="28"/>
          <w:highlight w:val="none"/>
          <w:lang w:val="en-US" w:eastAsia="zh-CN"/>
        </w:rPr>
        <w:t>.拟派项目经理</w:t>
      </w:r>
      <w:r>
        <w:rPr>
          <w:rFonts w:hint="eastAsia" w:ascii="宋体" w:hAnsi="宋体" w:cs="宋体"/>
          <w:sz w:val="28"/>
          <w:szCs w:val="28"/>
          <w:highlight w:val="none"/>
          <w:lang w:val="en-US" w:eastAsia="zh-CN"/>
        </w:rPr>
        <w:t>职称证书</w:t>
      </w:r>
      <w:r>
        <w:rPr>
          <w:rFonts w:hint="eastAsia" w:ascii="宋体" w:hAnsi="宋体" w:eastAsia="宋体" w:cs="宋体"/>
          <w:sz w:val="28"/>
          <w:szCs w:val="28"/>
          <w:highlight w:val="none"/>
          <w:lang w:val="en-US" w:eastAsia="zh-CN"/>
        </w:rPr>
        <w:t>、</w:t>
      </w:r>
      <w:r>
        <w:rPr>
          <w:rFonts w:hint="eastAsia" w:ascii="宋体" w:hAnsi="宋体" w:cs="宋体"/>
          <w:sz w:val="28"/>
          <w:szCs w:val="28"/>
          <w:highlight w:val="none"/>
          <w:lang w:val="en-US" w:eastAsia="zh-CN"/>
        </w:rPr>
        <w:t>工作经历证明、</w:t>
      </w:r>
      <w:r>
        <w:rPr>
          <w:rFonts w:hint="eastAsia" w:ascii="宋体" w:hAnsi="宋体" w:eastAsia="宋体" w:cs="宋体"/>
          <w:sz w:val="28"/>
          <w:szCs w:val="28"/>
          <w:highlight w:val="none"/>
          <w:lang w:val="en-US" w:eastAsia="zh-CN"/>
        </w:rPr>
        <w:t>社保等证明材料及业绩证明材料（业绩证明须同时提供中标通知书（或成交通知书或直接发包登记表）、施工合同、工程交/竣/完工验收证明或移交单三项证明材料，交/竣/完工验收证明或移交单须同时有建设单位、施工单位（养护单位）的盖章；</w:t>
      </w:r>
    </w:p>
    <w:p w14:paraId="386465FA">
      <w:pPr>
        <w:spacing w:line="500" w:lineRule="exact"/>
        <w:rPr>
          <w:rFonts w:hint="eastAsia" w:ascii="宋体" w:hAnsi="宋体" w:eastAsia="宋体" w:cs="宋体"/>
          <w:bCs/>
          <w:sz w:val="28"/>
          <w:szCs w:val="28"/>
          <w:highlight w:val="none"/>
          <w:lang w:val="zh-CN"/>
        </w:rPr>
      </w:pPr>
      <w:r>
        <w:rPr>
          <w:rFonts w:hint="eastAsia" w:ascii="宋体" w:hAnsi="宋体" w:cs="宋体"/>
          <w:sz w:val="28"/>
          <w:szCs w:val="28"/>
          <w:highlight w:val="none"/>
          <w:lang w:val="en-US" w:eastAsia="zh-CN"/>
        </w:rPr>
        <w:t>8</w:t>
      </w:r>
      <w:r>
        <w:rPr>
          <w:rFonts w:hint="eastAsia" w:ascii="宋体" w:hAnsi="宋体" w:eastAsia="宋体" w:cs="宋体"/>
          <w:bCs/>
          <w:sz w:val="28"/>
          <w:szCs w:val="28"/>
          <w:highlight w:val="none"/>
          <w:lang w:val="zh-CN"/>
        </w:rPr>
        <w:t>.商务部分正负偏离表（格式见附件6）；</w:t>
      </w:r>
    </w:p>
    <w:p w14:paraId="115C19F2">
      <w:pPr>
        <w:spacing w:line="500" w:lineRule="exact"/>
        <w:ind w:firstLine="280"/>
        <w:rPr>
          <w:rFonts w:hint="eastAsia" w:ascii="宋体" w:hAnsi="宋体" w:eastAsia="宋体" w:cs="宋体"/>
          <w:bCs/>
          <w:sz w:val="28"/>
          <w:szCs w:val="28"/>
          <w:highlight w:val="none"/>
          <w:lang w:val="zh-CN"/>
        </w:rPr>
      </w:pPr>
      <w:r>
        <w:rPr>
          <w:rFonts w:hint="eastAsia" w:ascii="宋体" w:hAnsi="宋体" w:eastAsia="宋体" w:cs="宋体"/>
          <w:bCs/>
          <w:sz w:val="28"/>
          <w:szCs w:val="28"/>
          <w:highlight w:val="none"/>
          <w:lang w:val="zh-CN"/>
        </w:rPr>
        <w:t>技术部分正负偏离表（格式见附件7）；</w:t>
      </w:r>
    </w:p>
    <w:p w14:paraId="5C483D19">
      <w:pPr>
        <w:spacing w:line="500" w:lineRule="exact"/>
        <w:rPr>
          <w:rFonts w:hint="eastAsia" w:ascii="宋体" w:hAnsi="宋体" w:eastAsia="宋体" w:cs="宋体"/>
          <w:bCs/>
          <w:sz w:val="28"/>
          <w:szCs w:val="28"/>
          <w:highlight w:val="none"/>
          <w:lang w:val="zh-CN"/>
        </w:rPr>
      </w:pPr>
      <w:r>
        <w:rPr>
          <w:rFonts w:hint="eastAsia" w:ascii="宋体" w:hAnsi="宋体" w:eastAsia="宋体" w:cs="宋体"/>
          <w:bCs/>
          <w:sz w:val="28"/>
          <w:szCs w:val="28"/>
          <w:highlight w:val="none"/>
          <w:lang w:val="zh-CN"/>
        </w:rPr>
        <w:t>填制正负偏离表，完全响应的，请以空白表列示。不完全响应的，必须在偏离表中列示；列示不全的，视同故意隐瞒。</w:t>
      </w:r>
    </w:p>
    <w:p w14:paraId="3F63CA26">
      <w:pPr>
        <w:spacing w:line="500" w:lineRule="exact"/>
        <w:rPr>
          <w:rFonts w:hint="eastAsia" w:ascii="宋体" w:hAnsi="宋体" w:eastAsia="宋体" w:cs="宋体"/>
          <w:sz w:val="28"/>
          <w:szCs w:val="28"/>
          <w:highlight w:val="none"/>
          <w:lang w:val="zh-CN"/>
        </w:rPr>
      </w:pPr>
      <w:r>
        <w:rPr>
          <w:rFonts w:hint="eastAsia" w:ascii="宋体" w:hAnsi="宋体" w:cs="宋体"/>
          <w:bCs/>
          <w:sz w:val="28"/>
          <w:szCs w:val="28"/>
          <w:highlight w:val="none"/>
          <w:lang w:val="en-US" w:eastAsia="zh-CN"/>
        </w:rPr>
        <w:t>9</w:t>
      </w:r>
      <w:r>
        <w:rPr>
          <w:rFonts w:hint="eastAsia" w:ascii="宋体" w:hAnsi="宋体" w:eastAsia="宋体" w:cs="宋体"/>
          <w:bCs/>
          <w:sz w:val="28"/>
          <w:szCs w:val="28"/>
          <w:highlight w:val="none"/>
          <w:lang w:val="zh-CN"/>
        </w:rPr>
        <w:t>.谈判</w:t>
      </w:r>
      <w:r>
        <w:rPr>
          <w:rFonts w:hint="eastAsia" w:ascii="宋体" w:hAnsi="宋体" w:eastAsia="宋体" w:cs="宋体"/>
          <w:sz w:val="28"/>
          <w:szCs w:val="28"/>
          <w:highlight w:val="none"/>
        </w:rPr>
        <w:t>报价表</w:t>
      </w:r>
      <w:r>
        <w:rPr>
          <w:rFonts w:hint="eastAsia" w:ascii="宋体" w:hAnsi="宋体" w:eastAsia="宋体" w:cs="宋体"/>
          <w:sz w:val="28"/>
          <w:szCs w:val="28"/>
          <w:highlight w:val="none"/>
          <w:lang w:val="zh-CN"/>
        </w:rPr>
        <w:t>（格式见</w:t>
      </w:r>
      <w:r>
        <w:rPr>
          <w:rFonts w:hint="eastAsia" w:ascii="宋体" w:hAnsi="宋体" w:eastAsia="宋体" w:cs="宋体"/>
          <w:sz w:val="28"/>
          <w:szCs w:val="28"/>
          <w:highlight w:val="none"/>
        </w:rPr>
        <w:t>“苏采云”</w:t>
      </w:r>
      <w:r>
        <w:rPr>
          <w:rFonts w:hint="eastAsia" w:ascii="宋体" w:hAnsi="宋体" w:eastAsia="宋体" w:cs="宋体"/>
          <w:sz w:val="28"/>
          <w:szCs w:val="28"/>
          <w:highlight w:val="none"/>
          <w:lang w:val="zh-CN"/>
        </w:rPr>
        <w:t>系统内电子投标(响应)文件中表式）；</w:t>
      </w:r>
    </w:p>
    <w:p w14:paraId="3743C2BD">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en-US" w:eastAsia="zh-CN"/>
        </w:rPr>
        <w:t>1</w:t>
      </w:r>
      <w:r>
        <w:rPr>
          <w:rFonts w:hint="eastAsia" w:ascii="宋体" w:hAnsi="宋体" w:cs="宋体"/>
          <w:sz w:val="28"/>
          <w:szCs w:val="28"/>
          <w:highlight w:val="none"/>
          <w:lang w:val="en-US" w:eastAsia="zh-CN"/>
        </w:rPr>
        <w:t>0</w:t>
      </w:r>
      <w:r>
        <w:rPr>
          <w:rFonts w:hint="eastAsia" w:ascii="宋体" w:hAnsi="宋体" w:eastAsia="宋体" w:cs="宋体"/>
          <w:sz w:val="28"/>
          <w:szCs w:val="28"/>
          <w:highlight w:val="none"/>
          <w:lang w:val="zh-CN"/>
        </w:rPr>
        <w:t>.分项报价明细表（格式见附件8）；</w:t>
      </w:r>
    </w:p>
    <w:p w14:paraId="110BD121">
      <w:pPr>
        <w:spacing w:line="500" w:lineRule="exact"/>
        <w:rPr>
          <w:rFonts w:hint="eastAsia" w:ascii="宋体" w:hAnsi="宋体" w:eastAsia="宋体" w:cs="宋体"/>
          <w:bCs/>
          <w:sz w:val="28"/>
          <w:szCs w:val="28"/>
          <w:highlight w:val="none"/>
          <w:lang w:val="en-US" w:eastAsia="zh-CN"/>
        </w:rPr>
      </w:pPr>
      <w:r>
        <w:rPr>
          <w:rFonts w:hint="eastAsia" w:ascii="宋体" w:hAnsi="宋体" w:eastAsia="宋体" w:cs="宋体"/>
          <w:bCs/>
          <w:sz w:val="28"/>
          <w:szCs w:val="28"/>
          <w:highlight w:val="none"/>
          <w:lang w:val="en-US" w:eastAsia="zh-CN"/>
        </w:rPr>
        <w:t>1</w:t>
      </w:r>
      <w:r>
        <w:rPr>
          <w:rFonts w:hint="eastAsia" w:ascii="宋体" w:hAnsi="宋体" w:cs="宋体"/>
          <w:bCs/>
          <w:sz w:val="28"/>
          <w:szCs w:val="28"/>
          <w:highlight w:val="none"/>
          <w:lang w:val="en-US" w:eastAsia="zh-CN"/>
        </w:rPr>
        <w:t>1</w:t>
      </w:r>
      <w:r>
        <w:rPr>
          <w:rFonts w:hint="eastAsia" w:ascii="宋体" w:hAnsi="宋体" w:eastAsia="宋体" w:cs="宋体"/>
          <w:bCs/>
          <w:sz w:val="28"/>
          <w:szCs w:val="28"/>
          <w:highlight w:val="none"/>
          <w:lang w:val="en-US" w:eastAsia="zh-CN"/>
        </w:rPr>
        <w:t>.最终报价明细表（格式见附件9）；</w:t>
      </w:r>
    </w:p>
    <w:p w14:paraId="744149A7">
      <w:pPr>
        <w:spacing w:line="500" w:lineRule="exact"/>
        <w:rPr>
          <w:rFonts w:hint="eastAsia" w:ascii="宋体" w:hAnsi="宋体" w:eastAsia="宋体" w:cs="宋体"/>
          <w:bCs/>
          <w:sz w:val="28"/>
          <w:szCs w:val="28"/>
          <w:highlight w:val="none"/>
          <w:lang w:val="zh-CN"/>
        </w:rPr>
      </w:pPr>
      <w:r>
        <w:rPr>
          <w:rFonts w:hint="eastAsia" w:ascii="宋体" w:hAnsi="宋体" w:eastAsia="宋体" w:cs="宋体"/>
          <w:bCs/>
          <w:sz w:val="28"/>
          <w:szCs w:val="28"/>
          <w:highlight w:val="none"/>
          <w:lang w:val="en-US" w:eastAsia="zh-CN"/>
        </w:rPr>
        <w:t>1</w:t>
      </w:r>
      <w:r>
        <w:rPr>
          <w:rFonts w:hint="eastAsia" w:ascii="宋体" w:hAnsi="宋体" w:cs="宋体"/>
          <w:bCs/>
          <w:sz w:val="28"/>
          <w:szCs w:val="28"/>
          <w:highlight w:val="none"/>
          <w:lang w:val="en-US" w:eastAsia="zh-CN"/>
        </w:rPr>
        <w:t>2</w:t>
      </w:r>
      <w:r>
        <w:rPr>
          <w:rFonts w:hint="eastAsia" w:ascii="宋体" w:hAnsi="宋体" w:eastAsia="宋体" w:cs="宋体"/>
          <w:bCs/>
          <w:sz w:val="28"/>
          <w:szCs w:val="28"/>
          <w:highlight w:val="none"/>
          <w:lang w:val="zh-CN"/>
        </w:rPr>
        <w:t>.中小企业声明函（格式见附件</w:t>
      </w:r>
      <w:r>
        <w:rPr>
          <w:rFonts w:hint="eastAsia" w:ascii="宋体" w:hAnsi="宋体" w:eastAsia="宋体" w:cs="宋体"/>
          <w:bCs/>
          <w:sz w:val="28"/>
          <w:szCs w:val="28"/>
          <w:highlight w:val="none"/>
          <w:lang w:val="en-US" w:eastAsia="zh-CN"/>
        </w:rPr>
        <w:t>10</w:t>
      </w:r>
      <w:r>
        <w:rPr>
          <w:rFonts w:hint="eastAsia" w:ascii="宋体" w:hAnsi="宋体" w:eastAsia="宋体" w:cs="宋体"/>
          <w:bCs/>
          <w:sz w:val="28"/>
          <w:szCs w:val="28"/>
          <w:highlight w:val="none"/>
          <w:lang w:val="zh-CN"/>
        </w:rPr>
        <w:t>）；</w:t>
      </w:r>
    </w:p>
    <w:p w14:paraId="35D08087">
      <w:pPr>
        <w:spacing w:line="500" w:lineRule="exact"/>
        <w:rPr>
          <w:rFonts w:hint="eastAsia" w:ascii="宋体" w:hAnsi="宋体" w:eastAsia="宋体" w:cs="宋体"/>
          <w:bCs/>
          <w:sz w:val="28"/>
          <w:szCs w:val="28"/>
          <w:highlight w:val="none"/>
          <w:lang w:val="zh-CN"/>
        </w:rPr>
      </w:pPr>
      <w:r>
        <w:rPr>
          <w:rFonts w:hint="eastAsia" w:ascii="宋体" w:hAnsi="宋体" w:eastAsia="宋体" w:cs="宋体"/>
          <w:bCs/>
          <w:sz w:val="28"/>
          <w:szCs w:val="28"/>
          <w:highlight w:val="none"/>
          <w:lang w:val="zh-CN"/>
        </w:rPr>
        <w:t>1</w:t>
      </w:r>
      <w:r>
        <w:rPr>
          <w:rFonts w:hint="eastAsia" w:ascii="宋体" w:hAnsi="宋体" w:cs="宋体"/>
          <w:bCs/>
          <w:sz w:val="28"/>
          <w:szCs w:val="28"/>
          <w:highlight w:val="none"/>
          <w:lang w:val="en-US" w:eastAsia="zh-CN"/>
        </w:rPr>
        <w:t>3</w:t>
      </w:r>
      <w:r>
        <w:rPr>
          <w:rFonts w:hint="eastAsia" w:ascii="宋体" w:hAnsi="宋体" w:eastAsia="宋体" w:cs="宋体"/>
          <w:bCs/>
          <w:sz w:val="28"/>
          <w:szCs w:val="28"/>
          <w:highlight w:val="none"/>
          <w:lang w:val="zh-CN"/>
        </w:rPr>
        <w:t>.残疾人福利性单位声明函（格式见附件1</w:t>
      </w:r>
      <w:r>
        <w:rPr>
          <w:rFonts w:hint="eastAsia" w:ascii="宋体" w:hAnsi="宋体" w:eastAsia="宋体" w:cs="宋体"/>
          <w:bCs/>
          <w:sz w:val="28"/>
          <w:szCs w:val="28"/>
          <w:highlight w:val="none"/>
          <w:lang w:val="en-US" w:eastAsia="zh-CN"/>
        </w:rPr>
        <w:t>1</w:t>
      </w:r>
      <w:r>
        <w:rPr>
          <w:rFonts w:hint="eastAsia" w:ascii="宋体" w:hAnsi="宋体" w:eastAsia="宋体" w:cs="宋体"/>
          <w:bCs/>
          <w:sz w:val="28"/>
          <w:szCs w:val="28"/>
          <w:highlight w:val="none"/>
          <w:lang w:val="zh-CN"/>
        </w:rPr>
        <w:t>）；</w:t>
      </w:r>
    </w:p>
    <w:p w14:paraId="73BFD957">
      <w:pPr>
        <w:spacing w:line="500" w:lineRule="exact"/>
        <w:rPr>
          <w:rFonts w:hint="eastAsia" w:ascii="宋体" w:hAnsi="宋体" w:eastAsia="宋体" w:cs="宋体"/>
          <w:bCs/>
          <w:sz w:val="28"/>
          <w:szCs w:val="28"/>
          <w:highlight w:val="none"/>
          <w:lang w:val="zh-CN" w:eastAsia="zh-CN"/>
        </w:rPr>
      </w:pPr>
      <w:r>
        <w:rPr>
          <w:rFonts w:hint="eastAsia" w:ascii="宋体" w:hAnsi="宋体" w:eastAsia="宋体" w:cs="宋体"/>
          <w:bCs/>
          <w:sz w:val="28"/>
          <w:szCs w:val="28"/>
          <w:highlight w:val="none"/>
          <w:lang w:val="zh-CN"/>
        </w:rPr>
        <w:t>1</w:t>
      </w:r>
      <w:r>
        <w:rPr>
          <w:rFonts w:hint="eastAsia" w:ascii="宋体" w:hAnsi="宋体" w:cs="宋体"/>
          <w:bCs/>
          <w:sz w:val="28"/>
          <w:szCs w:val="28"/>
          <w:highlight w:val="none"/>
          <w:lang w:val="en-US" w:eastAsia="zh-CN"/>
        </w:rPr>
        <w:t>4</w:t>
      </w:r>
      <w:r>
        <w:rPr>
          <w:rFonts w:hint="eastAsia" w:ascii="宋体" w:hAnsi="宋体" w:eastAsia="宋体" w:cs="宋体"/>
          <w:bCs/>
          <w:sz w:val="28"/>
          <w:szCs w:val="28"/>
          <w:highlight w:val="none"/>
          <w:lang w:val="zh-CN"/>
        </w:rPr>
        <w:t>.监狱和戒毒企业证明材料（格式见附件1</w:t>
      </w:r>
      <w:r>
        <w:rPr>
          <w:rFonts w:hint="eastAsia" w:ascii="宋体" w:hAnsi="宋体" w:eastAsia="宋体" w:cs="宋体"/>
          <w:bCs/>
          <w:sz w:val="28"/>
          <w:szCs w:val="28"/>
          <w:highlight w:val="none"/>
          <w:lang w:val="en-US" w:eastAsia="zh-CN"/>
        </w:rPr>
        <w:t>2</w:t>
      </w:r>
      <w:r>
        <w:rPr>
          <w:rFonts w:hint="eastAsia" w:ascii="宋体" w:hAnsi="宋体" w:eastAsia="宋体" w:cs="宋体"/>
          <w:bCs/>
          <w:sz w:val="28"/>
          <w:szCs w:val="28"/>
          <w:highlight w:val="none"/>
          <w:lang w:val="zh-CN"/>
        </w:rPr>
        <w:t>）</w:t>
      </w:r>
      <w:r>
        <w:rPr>
          <w:rFonts w:hint="eastAsia" w:ascii="宋体" w:hAnsi="宋体" w:eastAsia="宋体" w:cs="宋体"/>
          <w:bCs/>
          <w:sz w:val="28"/>
          <w:szCs w:val="28"/>
          <w:highlight w:val="none"/>
          <w:lang w:val="zh-CN" w:eastAsia="zh-CN"/>
        </w:rPr>
        <w:t>。</w:t>
      </w:r>
    </w:p>
    <w:p w14:paraId="16BF8803">
      <w:pPr>
        <w:spacing w:line="500" w:lineRule="exact"/>
        <w:rPr>
          <w:rFonts w:hint="eastAsia" w:ascii="宋体" w:hAnsi="宋体" w:eastAsia="宋体" w:cs="宋体"/>
          <w:sz w:val="28"/>
          <w:szCs w:val="28"/>
          <w:highlight w:val="none"/>
          <w:lang w:val="zh-CN"/>
        </w:rPr>
      </w:pPr>
    </w:p>
    <w:p w14:paraId="7E952B35">
      <w:pPr>
        <w:spacing w:line="400" w:lineRule="exact"/>
        <w:ind w:firstLine="540"/>
        <w:contextualSpacing/>
        <w:rPr>
          <w:rFonts w:hint="eastAsia" w:ascii="宋体" w:hAnsi="宋体" w:eastAsia="宋体" w:cs="宋体"/>
          <w:b/>
          <w:sz w:val="28"/>
          <w:szCs w:val="28"/>
          <w:highlight w:val="none"/>
          <w:lang w:val="zh-CN"/>
        </w:rPr>
      </w:pPr>
    </w:p>
    <w:p w14:paraId="0058F730">
      <w:pPr>
        <w:spacing w:line="400" w:lineRule="exact"/>
        <w:contextualSpacing/>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br w:type="page" w:clear="all"/>
      </w:r>
      <w:r>
        <w:rPr>
          <w:rFonts w:hint="eastAsia" w:ascii="宋体" w:hAnsi="宋体" w:eastAsia="宋体" w:cs="宋体"/>
          <w:sz w:val="32"/>
          <w:szCs w:val="32"/>
          <w:highlight w:val="none"/>
          <w:lang w:val="zh-CN"/>
        </w:rPr>
        <w:t>附件1</w:t>
      </w:r>
    </w:p>
    <w:p w14:paraId="17F6350E">
      <w:pPr>
        <w:jc w:val="center"/>
        <w:rPr>
          <w:rFonts w:hint="eastAsia" w:ascii="宋体" w:hAnsi="宋体" w:eastAsia="宋体" w:cs="宋体"/>
          <w:b/>
          <w:color w:val="000000"/>
          <w:sz w:val="30"/>
          <w:szCs w:val="30"/>
          <w:highlight w:val="none"/>
        </w:rPr>
      </w:pPr>
      <w:r>
        <w:rPr>
          <w:rFonts w:hint="eastAsia" w:ascii="宋体" w:hAnsi="宋体" w:cs="宋体"/>
          <w:b/>
          <w:color w:val="000000"/>
          <w:sz w:val="30"/>
          <w:szCs w:val="30"/>
          <w:highlight w:val="none"/>
          <w:lang w:val="en-US" w:eastAsia="zh-CN"/>
        </w:rPr>
        <w:t>供应商</w:t>
      </w:r>
      <w:r>
        <w:rPr>
          <w:rFonts w:hint="eastAsia" w:ascii="宋体" w:hAnsi="宋体" w:eastAsia="宋体" w:cs="宋体"/>
          <w:b/>
          <w:color w:val="000000"/>
          <w:sz w:val="30"/>
          <w:szCs w:val="30"/>
          <w:highlight w:val="none"/>
        </w:rPr>
        <w:t>符合《中华人民共和国政府采购法》第二十二条规定条件的声明函</w:t>
      </w:r>
    </w:p>
    <w:p w14:paraId="2B1B18CD">
      <w:pPr>
        <w:spacing w:line="460" w:lineRule="exact"/>
        <w:rPr>
          <w:rFonts w:hint="eastAsia" w:ascii="宋体" w:hAnsi="宋体" w:eastAsia="宋体" w:cs="宋体"/>
          <w:b/>
          <w:bCs/>
          <w:color w:val="000000"/>
          <w:sz w:val="44"/>
          <w:szCs w:val="44"/>
          <w:highlight w:val="none"/>
        </w:rPr>
      </w:pPr>
    </w:p>
    <w:p w14:paraId="64DEEE92">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我单位参加__________________（项目名称），__________________（项目编号）响应活动。针对《中华人民共和国政府采购法》第二十二条规定做出如下声明：</w:t>
      </w:r>
    </w:p>
    <w:p w14:paraId="4ABAAE1E">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1.我单位具有独立承担民事责任的能力；</w:t>
      </w:r>
    </w:p>
    <w:p w14:paraId="2243EF5B">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2.我单位具有良好的商业信誉和健全的财务会计制度；</w:t>
      </w:r>
    </w:p>
    <w:p w14:paraId="4C805BEA">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3.我单位具有履行合同所必需的设备和专业技术能力；</w:t>
      </w:r>
    </w:p>
    <w:p w14:paraId="3C1D290E">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4.我单位有依法缴纳税收和社会保障资金的良好记录；</w:t>
      </w:r>
    </w:p>
    <w:p w14:paraId="36BB69B0">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14:paraId="08373448">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6.我单位满足法律、行政法规规定的其他条件。</w:t>
      </w:r>
    </w:p>
    <w:p w14:paraId="5AF9C6C4">
      <w:pPr>
        <w:spacing w:line="500" w:lineRule="exact"/>
        <w:rPr>
          <w:rFonts w:hint="eastAsia" w:ascii="宋体" w:hAnsi="宋体" w:eastAsia="宋体" w:cs="宋体"/>
          <w:sz w:val="28"/>
          <w:szCs w:val="28"/>
          <w:highlight w:val="none"/>
          <w:lang w:val="zh-CN"/>
        </w:rPr>
      </w:pPr>
    </w:p>
    <w:p w14:paraId="06DB7E0A">
      <w:pPr>
        <w:spacing w:line="500" w:lineRule="exact"/>
        <w:rPr>
          <w:rFonts w:hint="eastAsia" w:ascii="宋体" w:hAnsi="宋体" w:eastAsia="宋体" w:cs="宋体"/>
          <w:sz w:val="28"/>
          <w:szCs w:val="28"/>
          <w:highlight w:val="none"/>
          <w:lang w:val="zh-CN"/>
        </w:rPr>
      </w:pPr>
    </w:p>
    <w:p w14:paraId="6A50948E">
      <w:pPr>
        <w:spacing w:line="500" w:lineRule="exact"/>
        <w:rPr>
          <w:rFonts w:hint="eastAsia" w:ascii="宋体" w:hAnsi="宋体" w:eastAsia="宋体" w:cs="宋体"/>
          <w:sz w:val="28"/>
          <w:szCs w:val="28"/>
          <w:highlight w:val="none"/>
          <w:lang w:val="zh-CN"/>
        </w:rPr>
      </w:pPr>
    </w:p>
    <w:p w14:paraId="74DC4A39">
      <w:pPr>
        <w:spacing w:line="500" w:lineRule="exact"/>
        <w:rPr>
          <w:rFonts w:hint="eastAsia" w:ascii="宋体" w:hAnsi="宋体" w:eastAsia="宋体" w:cs="宋体"/>
          <w:sz w:val="28"/>
          <w:szCs w:val="28"/>
          <w:highlight w:val="none"/>
          <w:lang w:val="zh-CN"/>
        </w:rPr>
      </w:pPr>
    </w:p>
    <w:p w14:paraId="5EFCC6F8">
      <w:pPr>
        <w:spacing w:line="500" w:lineRule="exact"/>
        <w:rPr>
          <w:rFonts w:hint="eastAsia" w:ascii="宋体" w:hAnsi="宋体" w:eastAsia="宋体" w:cs="宋体"/>
          <w:sz w:val="28"/>
          <w:szCs w:val="28"/>
          <w:highlight w:val="none"/>
          <w:lang w:val="zh-CN"/>
        </w:rPr>
      </w:pPr>
    </w:p>
    <w:p w14:paraId="33D1E260">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                                 承诺人名称（公章）：</w:t>
      </w:r>
    </w:p>
    <w:p w14:paraId="4B88F90B">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    </w:t>
      </w:r>
    </w:p>
    <w:p w14:paraId="28367429">
      <w:pPr>
        <w:spacing w:line="500" w:lineRule="exact"/>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rPr>
        <w:t xml:space="preserve">                                 日期：______年    月    日</w:t>
      </w:r>
    </w:p>
    <w:p w14:paraId="32E535B9">
      <w:pPr>
        <w:spacing w:line="400" w:lineRule="exact"/>
        <w:contextualSpacing/>
        <w:rPr>
          <w:rFonts w:hint="eastAsia" w:ascii="宋体" w:hAnsi="宋体" w:eastAsia="宋体" w:cs="宋体"/>
          <w:b/>
          <w:sz w:val="28"/>
          <w:szCs w:val="28"/>
          <w:highlight w:val="none"/>
          <w:lang w:val="zh-CN"/>
        </w:rPr>
      </w:pPr>
    </w:p>
    <w:p w14:paraId="399F0993">
      <w:pPr>
        <w:spacing w:line="400" w:lineRule="exact"/>
        <w:contextualSpacing/>
        <w:rPr>
          <w:rFonts w:hint="eastAsia" w:ascii="宋体" w:hAnsi="宋体" w:eastAsia="宋体" w:cs="宋体"/>
          <w:b/>
          <w:sz w:val="28"/>
          <w:szCs w:val="28"/>
          <w:highlight w:val="none"/>
          <w:lang w:val="zh-CN"/>
        </w:rPr>
      </w:pPr>
    </w:p>
    <w:p w14:paraId="7C49A679">
      <w:pPr>
        <w:spacing w:line="400" w:lineRule="exact"/>
        <w:contextualSpacing/>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附件2</w:t>
      </w:r>
    </w:p>
    <w:p w14:paraId="2292CB15">
      <w:pPr>
        <w:spacing w:line="560" w:lineRule="exact"/>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法定代表人身份证明</w:t>
      </w:r>
    </w:p>
    <w:p w14:paraId="6F6245D6">
      <w:pPr>
        <w:spacing w:line="480" w:lineRule="exact"/>
        <w:rPr>
          <w:rFonts w:hint="eastAsia" w:ascii="宋体" w:hAnsi="宋体" w:eastAsia="宋体" w:cs="宋体"/>
          <w:sz w:val="24"/>
          <w:highlight w:val="none"/>
        </w:rPr>
      </w:pPr>
    </w:p>
    <w:p w14:paraId="4502EA56">
      <w:pPr>
        <w:spacing w:line="480" w:lineRule="exact"/>
        <w:ind w:firstLine="480"/>
        <w:rPr>
          <w:rFonts w:hint="eastAsia" w:ascii="宋体" w:hAnsi="宋体" w:eastAsia="宋体" w:cs="宋体"/>
          <w:sz w:val="28"/>
          <w:szCs w:val="28"/>
          <w:highlight w:val="none"/>
          <w:u w:val="single"/>
        </w:rPr>
      </w:pP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先生/女士，身份证号码：</w:t>
      </w:r>
      <w:r>
        <w:rPr>
          <w:rFonts w:hint="eastAsia" w:ascii="宋体" w:hAnsi="宋体" w:eastAsia="宋体" w:cs="宋体"/>
          <w:sz w:val="28"/>
          <w:szCs w:val="28"/>
          <w:highlight w:val="none"/>
          <w:u w:val="single"/>
        </w:rPr>
        <w:t xml:space="preserve">                                              </w:t>
      </w:r>
    </w:p>
    <w:p w14:paraId="2FB6C3FC">
      <w:pPr>
        <w:spacing w:line="480"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现任我单位</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职务，为法定代表人，特此证明。</w:t>
      </w:r>
    </w:p>
    <w:p w14:paraId="4B85FA57">
      <w:pPr>
        <w:spacing w:line="480" w:lineRule="exact"/>
        <w:ind w:firstLine="480"/>
        <w:rPr>
          <w:rFonts w:hint="eastAsia" w:ascii="宋体" w:hAnsi="宋体" w:eastAsia="宋体" w:cs="宋体"/>
          <w:sz w:val="28"/>
          <w:szCs w:val="28"/>
          <w:highlight w:val="none"/>
        </w:rPr>
      </w:pPr>
    </w:p>
    <w:p w14:paraId="2D5D6589">
      <w:pPr>
        <w:spacing w:after="120"/>
        <w:rPr>
          <w:rFonts w:hint="eastAsia" w:ascii="宋体" w:hAnsi="宋体" w:eastAsia="宋体" w:cs="宋体"/>
          <w:sz w:val="28"/>
          <w:szCs w:val="28"/>
          <w:highlight w:val="none"/>
        </w:rPr>
      </w:pPr>
    </w:p>
    <w:p w14:paraId="7EAFF752">
      <w:pPr>
        <w:spacing w:line="480" w:lineRule="auto"/>
        <w:ind w:left="3255" w:firstLine="280"/>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单位名称(盖公章)：</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 xml:space="preserve">   </w:t>
      </w:r>
    </w:p>
    <w:p w14:paraId="329B257A">
      <w:pPr>
        <w:spacing w:line="480" w:lineRule="auto"/>
        <w:ind w:firstLine="4480"/>
        <w:rPr>
          <w:rFonts w:hint="eastAsia" w:ascii="宋体" w:hAnsi="宋体" w:eastAsia="宋体" w:cs="宋体"/>
          <w:sz w:val="28"/>
          <w:szCs w:val="28"/>
          <w:highlight w:val="none"/>
        </w:rPr>
      </w:pPr>
      <w:r>
        <w:rPr>
          <w:rFonts w:hint="eastAsia" w:ascii="宋体" w:hAnsi="宋体" w:eastAsia="宋体" w:cs="宋体"/>
          <w:sz w:val="28"/>
          <w:szCs w:val="28"/>
          <w:highlight w:val="none"/>
        </w:rPr>
        <w:t>日 期：     年   月   日</w:t>
      </w:r>
    </w:p>
    <w:p w14:paraId="4ADB8976">
      <w:pPr>
        <w:rPr>
          <w:rFonts w:hint="eastAsia" w:ascii="宋体" w:hAnsi="宋体" w:eastAsia="宋体" w:cs="宋体"/>
          <w:sz w:val="28"/>
          <w:szCs w:val="28"/>
          <w:highlight w:val="none"/>
        </w:rPr>
      </w:pPr>
    </w:p>
    <w:p w14:paraId="306F0111">
      <w:pPr>
        <w:widowControl/>
        <w:spacing w:line="360" w:lineRule="auto"/>
        <w:rPr>
          <w:rFonts w:hint="eastAsia" w:ascii="宋体" w:hAnsi="宋体" w:eastAsia="宋体" w:cs="宋体"/>
          <w:b/>
          <w:bCs/>
          <w:sz w:val="28"/>
          <w:szCs w:val="28"/>
          <w:highlight w:val="none"/>
        </w:rPr>
      </w:pPr>
      <w:r>
        <w:rPr>
          <w:rFonts w:hint="eastAsia" w:ascii="宋体" w:hAnsi="宋体" w:eastAsia="宋体" w:cs="宋体"/>
          <w:b/>
          <w:sz w:val="24"/>
          <w:highlight w:val="none"/>
        </w:rPr>
        <w:t>附：法定代表人的身份证复印件盖单位公章</w:t>
      </w:r>
    </w:p>
    <w:p w14:paraId="32B8AC59">
      <w:pPr>
        <w:spacing w:line="480" w:lineRule="exact"/>
        <w:ind w:firstLine="480"/>
        <w:rPr>
          <w:rFonts w:hint="eastAsia" w:ascii="宋体" w:hAnsi="宋体" w:eastAsia="宋体" w:cs="宋体"/>
          <w:sz w:val="24"/>
          <w:highlight w:val="none"/>
        </w:rPr>
      </w:pPr>
    </w:p>
    <w:p w14:paraId="7F34F751">
      <w:pPr>
        <w:rPr>
          <w:rFonts w:hint="eastAsia" w:ascii="宋体" w:hAnsi="宋体" w:eastAsia="宋体" w:cs="宋体"/>
          <w:highlight w:val="none"/>
        </w:rPr>
      </w:pPr>
    </w:p>
    <w:p w14:paraId="35DE7D10">
      <w:pPr>
        <w:spacing w:line="400" w:lineRule="exact"/>
        <w:ind w:firstLine="540"/>
        <w:contextualSpacing/>
        <w:rPr>
          <w:rFonts w:hint="eastAsia" w:ascii="宋体" w:hAnsi="宋体" w:eastAsia="宋体" w:cs="宋体"/>
          <w:b/>
          <w:sz w:val="28"/>
          <w:szCs w:val="28"/>
          <w:highlight w:val="none"/>
        </w:rPr>
      </w:pPr>
    </w:p>
    <w:p w14:paraId="7B145232">
      <w:pPr>
        <w:spacing w:line="400" w:lineRule="exact"/>
        <w:ind w:firstLine="540"/>
        <w:contextualSpacing/>
        <w:rPr>
          <w:rFonts w:hint="eastAsia" w:ascii="宋体" w:hAnsi="宋体" w:eastAsia="宋体" w:cs="宋体"/>
          <w:b/>
          <w:sz w:val="28"/>
          <w:szCs w:val="28"/>
          <w:highlight w:val="none"/>
          <w:lang w:val="zh-CN"/>
        </w:rPr>
      </w:pPr>
    </w:p>
    <w:p w14:paraId="57C5845E">
      <w:pPr>
        <w:spacing w:line="400" w:lineRule="exact"/>
        <w:ind w:firstLine="540"/>
        <w:contextualSpacing/>
        <w:rPr>
          <w:rFonts w:hint="eastAsia" w:ascii="宋体" w:hAnsi="宋体" w:eastAsia="宋体" w:cs="宋体"/>
          <w:b/>
          <w:sz w:val="28"/>
          <w:szCs w:val="28"/>
          <w:highlight w:val="none"/>
          <w:lang w:val="zh-CN"/>
        </w:rPr>
      </w:pPr>
    </w:p>
    <w:p w14:paraId="33605319">
      <w:pPr>
        <w:spacing w:line="400" w:lineRule="exact"/>
        <w:ind w:firstLine="540"/>
        <w:contextualSpacing/>
        <w:rPr>
          <w:rFonts w:hint="eastAsia" w:ascii="宋体" w:hAnsi="宋体" w:eastAsia="宋体" w:cs="宋体"/>
          <w:b/>
          <w:sz w:val="28"/>
          <w:szCs w:val="28"/>
          <w:highlight w:val="none"/>
          <w:lang w:val="zh-CN"/>
        </w:rPr>
      </w:pPr>
    </w:p>
    <w:p w14:paraId="262995FD">
      <w:pPr>
        <w:spacing w:line="400" w:lineRule="exact"/>
        <w:ind w:firstLine="540"/>
        <w:contextualSpacing/>
        <w:rPr>
          <w:rFonts w:hint="eastAsia" w:ascii="宋体" w:hAnsi="宋体" w:eastAsia="宋体" w:cs="宋体"/>
          <w:b/>
          <w:sz w:val="28"/>
          <w:szCs w:val="28"/>
          <w:highlight w:val="none"/>
          <w:lang w:val="zh-CN"/>
        </w:rPr>
      </w:pPr>
    </w:p>
    <w:p w14:paraId="090A1AF4">
      <w:pPr>
        <w:spacing w:line="400" w:lineRule="exact"/>
        <w:ind w:firstLine="540"/>
        <w:contextualSpacing/>
        <w:rPr>
          <w:rFonts w:hint="eastAsia" w:ascii="宋体" w:hAnsi="宋体" w:eastAsia="宋体" w:cs="宋体"/>
          <w:b/>
          <w:sz w:val="28"/>
          <w:szCs w:val="28"/>
          <w:highlight w:val="none"/>
          <w:lang w:val="zh-CN"/>
        </w:rPr>
      </w:pPr>
    </w:p>
    <w:p w14:paraId="31BDBA52">
      <w:pPr>
        <w:spacing w:line="400" w:lineRule="exact"/>
        <w:ind w:firstLine="540"/>
        <w:contextualSpacing/>
        <w:rPr>
          <w:rFonts w:hint="eastAsia" w:ascii="宋体" w:hAnsi="宋体" w:eastAsia="宋体" w:cs="宋体"/>
          <w:b/>
          <w:sz w:val="28"/>
          <w:szCs w:val="28"/>
          <w:highlight w:val="none"/>
          <w:lang w:val="zh-CN"/>
        </w:rPr>
      </w:pPr>
    </w:p>
    <w:p w14:paraId="0F0E5D7E">
      <w:pPr>
        <w:spacing w:line="400" w:lineRule="exact"/>
        <w:ind w:firstLine="540"/>
        <w:contextualSpacing/>
        <w:rPr>
          <w:rFonts w:hint="eastAsia" w:ascii="宋体" w:hAnsi="宋体" w:eastAsia="宋体" w:cs="宋体"/>
          <w:b/>
          <w:sz w:val="28"/>
          <w:szCs w:val="28"/>
          <w:highlight w:val="none"/>
          <w:lang w:val="zh-CN"/>
        </w:rPr>
      </w:pPr>
    </w:p>
    <w:p w14:paraId="243FE872">
      <w:pPr>
        <w:spacing w:line="400" w:lineRule="exact"/>
        <w:ind w:firstLine="540"/>
        <w:contextualSpacing/>
        <w:rPr>
          <w:rFonts w:hint="eastAsia" w:ascii="宋体" w:hAnsi="宋体" w:eastAsia="宋体" w:cs="宋体"/>
          <w:b/>
          <w:sz w:val="28"/>
          <w:szCs w:val="28"/>
          <w:highlight w:val="none"/>
          <w:lang w:val="zh-CN"/>
        </w:rPr>
      </w:pPr>
    </w:p>
    <w:p w14:paraId="06E1D435">
      <w:pPr>
        <w:spacing w:line="400" w:lineRule="exact"/>
        <w:ind w:firstLine="540"/>
        <w:contextualSpacing/>
        <w:rPr>
          <w:rFonts w:hint="eastAsia" w:ascii="宋体" w:hAnsi="宋体" w:eastAsia="宋体" w:cs="宋体"/>
          <w:b/>
          <w:sz w:val="28"/>
          <w:szCs w:val="28"/>
          <w:highlight w:val="none"/>
          <w:lang w:val="zh-CN"/>
        </w:rPr>
      </w:pPr>
    </w:p>
    <w:p w14:paraId="450BEF3A">
      <w:pPr>
        <w:spacing w:line="400" w:lineRule="exact"/>
        <w:ind w:firstLine="540"/>
        <w:contextualSpacing/>
        <w:rPr>
          <w:rFonts w:hint="eastAsia" w:ascii="宋体" w:hAnsi="宋体" w:eastAsia="宋体" w:cs="宋体"/>
          <w:b/>
          <w:sz w:val="28"/>
          <w:szCs w:val="28"/>
          <w:highlight w:val="none"/>
          <w:lang w:val="zh-CN"/>
        </w:rPr>
      </w:pPr>
    </w:p>
    <w:p w14:paraId="622C88C0">
      <w:pPr>
        <w:spacing w:line="400" w:lineRule="exact"/>
        <w:ind w:firstLine="540"/>
        <w:contextualSpacing/>
        <w:rPr>
          <w:rFonts w:hint="eastAsia" w:ascii="宋体" w:hAnsi="宋体" w:eastAsia="宋体" w:cs="宋体"/>
          <w:b/>
          <w:sz w:val="28"/>
          <w:szCs w:val="28"/>
          <w:highlight w:val="none"/>
          <w:lang w:val="zh-CN"/>
        </w:rPr>
      </w:pPr>
    </w:p>
    <w:p w14:paraId="5AA33305">
      <w:pPr>
        <w:spacing w:line="400" w:lineRule="exact"/>
        <w:ind w:firstLine="540"/>
        <w:contextualSpacing/>
        <w:rPr>
          <w:rFonts w:hint="eastAsia" w:ascii="宋体" w:hAnsi="宋体" w:eastAsia="宋体" w:cs="宋体"/>
          <w:b/>
          <w:sz w:val="28"/>
          <w:szCs w:val="28"/>
          <w:highlight w:val="none"/>
          <w:lang w:val="zh-CN"/>
        </w:rPr>
      </w:pPr>
    </w:p>
    <w:p w14:paraId="6CF7CF49">
      <w:pPr>
        <w:spacing w:line="400" w:lineRule="exact"/>
        <w:ind w:firstLine="540"/>
        <w:contextualSpacing/>
        <w:rPr>
          <w:rFonts w:hint="eastAsia" w:ascii="宋体" w:hAnsi="宋体" w:eastAsia="宋体" w:cs="宋体"/>
          <w:b/>
          <w:sz w:val="28"/>
          <w:szCs w:val="28"/>
          <w:highlight w:val="none"/>
          <w:lang w:val="zh-CN"/>
        </w:rPr>
      </w:pPr>
    </w:p>
    <w:p w14:paraId="3EA64B04">
      <w:pPr>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br w:type="page"/>
      </w:r>
    </w:p>
    <w:p w14:paraId="154AD13A">
      <w:pPr>
        <w:spacing w:line="400" w:lineRule="exact"/>
        <w:contextualSpacing/>
        <w:rPr>
          <w:rFonts w:hint="eastAsia" w:ascii="宋体" w:hAnsi="宋体" w:eastAsia="宋体" w:cs="宋体"/>
          <w:sz w:val="32"/>
          <w:szCs w:val="32"/>
          <w:highlight w:val="none"/>
          <w:lang w:val="zh-CN"/>
        </w:rPr>
      </w:pPr>
      <w:r>
        <w:rPr>
          <w:rFonts w:hint="eastAsia" w:ascii="宋体" w:hAnsi="宋体" w:eastAsia="宋体" w:cs="宋体"/>
          <w:sz w:val="32"/>
          <w:szCs w:val="32"/>
          <w:highlight w:val="none"/>
          <w:lang w:val="zh-CN"/>
        </w:rPr>
        <w:t>附件3</w:t>
      </w:r>
    </w:p>
    <w:p w14:paraId="33CF8AA6">
      <w:pPr>
        <w:jc w:val="center"/>
        <w:rPr>
          <w:rFonts w:ascii="Calibri" w:hAnsi="Calibri"/>
          <w:sz w:val="32"/>
          <w:szCs w:val="32"/>
          <w:highlight w:val="none"/>
        </w:rPr>
      </w:pPr>
      <w:r>
        <w:rPr>
          <w:rFonts w:hint="eastAsia" w:ascii="Calibri" w:hAnsi="Calibri"/>
          <w:sz w:val="32"/>
          <w:szCs w:val="32"/>
          <w:highlight w:val="none"/>
        </w:rPr>
        <w:t>法定代表人授权委托书</w:t>
      </w:r>
    </w:p>
    <w:p w14:paraId="2BD1E1C2">
      <w:pPr>
        <w:rPr>
          <w:rFonts w:ascii="Calibri" w:hAnsi="Calibri"/>
          <w:sz w:val="32"/>
          <w:szCs w:val="32"/>
          <w:highlight w:val="none"/>
        </w:rPr>
      </w:pPr>
    </w:p>
    <w:p w14:paraId="0E030A64">
      <w:pPr>
        <w:spacing w:line="360" w:lineRule="auto"/>
        <w:ind w:firstLine="560" w:firstLineChars="200"/>
        <w:rPr>
          <w:rFonts w:ascii="宋体" w:hAnsi="宋体"/>
          <w:sz w:val="28"/>
          <w:szCs w:val="28"/>
          <w:highlight w:val="none"/>
        </w:rPr>
      </w:pPr>
      <w:r>
        <w:rPr>
          <w:rFonts w:hint="eastAsia" w:ascii="宋体" w:hAnsi="宋体"/>
          <w:sz w:val="28"/>
          <w:szCs w:val="28"/>
          <w:highlight w:val="none"/>
        </w:rPr>
        <w:t>本人</w:t>
      </w:r>
      <w:r>
        <w:rPr>
          <w:rFonts w:hint="eastAsia" w:ascii="宋体" w:hAnsi="宋体"/>
          <w:sz w:val="28"/>
          <w:szCs w:val="28"/>
          <w:highlight w:val="none"/>
          <w:lang w:val="en-US" w:eastAsia="zh-CN"/>
        </w:rPr>
        <w:t xml:space="preserve"> </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（姓名）系</w:t>
      </w: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（授权单位名称）的法定代表人，现委托</w:t>
      </w: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（姓名）（身份证号</w:t>
      </w:r>
      <w:r>
        <w:rPr>
          <w:rFonts w:hint="eastAsia" w:ascii="宋体" w:hAnsi="宋体"/>
          <w:sz w:val="24"/>
          <w:szCs w:val="21"/>
          <w:highlight w:val="none"/>
          <w:u w:val="single"/>
          <w:lang w:val="en-US" w:eastAsia="zh-CN"/>
        </w:rPr>
        <w:t xml:space="preserve">                     </w:t>
      </w:r>
      <w:r>
        <w:rPr>
          <w:rFonts w:hint="eastAsia" w:ascii="宋体" w:hAnsi="宋体"/>
          <w:sz w:val="24"/>
          <w:szCs w:val="21"/>
          <w:highlight w:val="none"/>
        </w:rPr>
        <w:t>，</w:t>
      </w:r>
      <w:r>
        <w:rPr>
          <w:rFonts w:hint="eastAsia" w:ascii="宋体" w:hAnsi="宋体"/>
          <w:sz w:val="28"/>
          <w:szCs w:val="28"/>
          <w:highlight w:val="none"/>
        </w:rPr>
        <w:t>联系电话</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）为我方代理人，以我方名义全权处理与</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u w:val="none"/>
        </w:rPr>
        <w:t>（项目名称）</w:t>
      </w:r>
      <w:r>
        <w:rPr>
          <w:rFonts w:hint="eastAsia" w:ascii="宋体" w:hAnsi="宋体"/>
          <w:sz w:val="28"/>
          <w:szCs w:val="28"/>
          <w:highlight w:val="none"/>
        </w:rPr>
        <w:t>（</w:t>
      </w:r>
      <w:r>
        <w:rPr>
          <w:rFonts w:hint="eastAsia" w:ascii="宋体" w:hAnsi="宋体"/>
          <w:sz w:val="28"/>
          <w:szCs w:val="28"/>
          <w:highlight w:val="none"/>
          <w:u w:val="none"/>
        </w:rPr>
        <w:t>项目编号：</w:t>
      </w:r>
      <w:r>
        <w:rPr>
          <w:rFonts w:hint="eastAsia" w:ascii="宋体" w:hAnsi="宋体"/>
          <w:sz w:val="28"/>
          <w:szCs w:val="28"/>
          <w:highlight w:val="none"/>
          <w:u w:val="single"/>
          <w:lang w:val="en-US" w:eastAsia="zh-CN"/>
        </w:rPr>
        <w:t xml:space="preserve">               </w:t>
      </w:r>
      <w:r>
        <w:rPr>
          <w:rFonts w:hint="eastAsia" w:ascii="宋体" w:hAnsi="宋体"/>
          <w:sz w:val="28"/>
          <w:szCs w:val="28"/>
          <w:highlight w:val="none"/>
        </w:rPr>
        <w:t>）有关的一切事务，其法律后果由我方承担。</w:t>
      </w:r>
    </w:p>
    <w:p w14:paraId="07F1C0D2">
      <w:pPr>
        <w:spacing w:line="480" w:lineRule="exact"/>
        <w:ind w:firstLine="560" w:firstLineChars="200"/>
        <w:rPr>
          <w:rFonts w:hint="eastAsia" w:ascii="方正仿宋_GB2312" w:hAnsi="方正仿宋_GB2312" w:eastAsia="方正仿宋_GB2312" w:cs="方正仿宋_GB2312"/>
          <w:sz w:val="28"/>
          <w:szCs w:val="28"/>
          <w:highlight w:val="none"/>
        </w:rPr>
      </w:pPr>
      <w:r>
        <w:rPr>
          <w:rFonts w:hint="eastAsia" w:ascii="宋体" w:hAnsi="宋体"/>
          <w:sz w:val="28"/>
          <w:szCs w:val="28"/>
          <w:highlight w:val="none"/>
        </w:rPr>
        <w:t>本授权书于</w:t>
      </w: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年</w:t>
      </w: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月</w:t>
      </w: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日起生效。代理人无转委托权</w:t>
      </w:r>
      <w:r>
        <w:rPr>
          <w:rFonts w:hint="eastAsia" w:ascii="方正仿宋_GB2312" w:hAnsi="方正仿宋_GB2312" w:eastAsia="方正仿宋_GB2312" w:cs="方正仿宋_GB2312"/>
          <w:sz w:val="28"/>
          <w:szCs w:val="28"/>
          <w:highlight w:val="none"/>
        </w:rPr>
        <w:t>。</w:t>
      </w:r>
    </w:p>
    <w:p w14:paraId="5B069200">
      <w:pPr>
        <w:spacing w:line="480" w:lineRule="exact"/>
        <w:ind w:firstLine="560" w:firstLineChars="200"/>
        <w:rPr>
          <w:rFonts w:hint="eastAsia" w:ascii="方正仿宋_GB2312" w:hAnsi="方正仿宋_GB2312" w:eastAsia="方正仿宋_GB2312" w:cs="方正仿宋_GB2312"/>
          <w:sz w:val="28"/>
          <w:szCs w:val="28"/>
          <w:highlight w:val="none"/>
        </w:rPr>
      </w:pPr>
    </w:p>
    <w:p w14:paraId="4AEA6827">
      <w:pPr>
        <w:spacing w:line="480" w:lineRule="exact"/>
        <w:ind w:firstLine="560" w:firstLineChars="200"/>
        <w:rPr>
          <w:rFonts w:hint="eastAsia" w:ascii="方正仿宋_GB2312" w:hAnsi="方正仿宋_GB2312" w:eastAsia="方正仿宋_GB2312" w:cs="方正仿宋_GB2312"/>
          <w:sz w:val="28"/>
          <w:szCs w:val="28"/>
          <w:highlight w:val="none"/>
        </w:rPr>
      </w:pPr>
    </w:p>
    <w:p w14:paraId="22319D54">
      <w:pPr>
        <w:spacing w:line="480" w:lineRule="exact"/>
        <w:ind w:firstLine="560" w:firstLineChars="200"/>
        <w:rPr>
          <w:rFonts w:hint="eastAsia" w:ascii="方正仿宋_GB2312" w:hAnsi="方正仿宋_GB2312" w:eastAsia="方正仿宋_GB2312" w:cs="方正仿宋_GB2312"/>
          <w:sz w:val="28"/>
          <w:szCs w:val="28"/>
          <w:highlight w:val="none"/>
        </w:rPr>
      </w:pPr>
    </w:p>
    <w:p w14:paraId="63DDE6D1">
      <w:pPr>
        <w:spacing w:line="360" w:lineRule="auto"/>
        <w:ind w:firstLine="420" w:firstLineChars="150"/>
        <w:rPr>
          <w:rFonts w:hint="default" w:ascii="宋体" w:hAnsi="宋体" w:eastAsia="宋体"/>
          <w:sz w:val="24"/>
          <w:szCs w:val="21"/>
          <w:highlight w:val="none"/>
          <w:lang w:val="en-US" w:eastAsia="zh-CN"/>
        </w:rPr>
      </w:pPr>
      <w:r>
        <w:rPr>
          <w:rFonts w:hint="eastAsia" w:ascii="宋体" w:hAnsi="宋体"/>
          <w:sz w:val="28"/>
          <w:szCs w:val="28"/>
          <w:highlight w:val="none"/>
        </w:rPr>
        <w:t>代理人(被授权人)签字：</w:t>
      </w:r>
      <w:r>
        <w:rPr>
          <w:rFonts w:hint="eastAsia" w:ascii="宋体" w:hAnsi="宋体"/>
          <w:sz w:val="24"/>
          <w:szCs w:val="21"/>
          <w:highlight w:val="none"/>
          <w:u w:val="single"/>
          <w:lang w:val="en-US" w:eastAsia="zh-CN"/>
        </w:rPr>
        <w:t xml:space="preserve">           </w:t>
      </w:r>
    </w:p>
    <w:p w14:paraId="512833B6">
      <w:pPr>
        <w:spacing w:line="360" w:lineRule="auto"/>
        <w:ind w:firstLine="420" w:firstLineChars="150"/>
        <w:rPr>
          <w:rFonts w:hint="default" w:ascii="宋体" w:hAnsi="宋体" w:eastAsia="宋体"/>
          <w:sz w:val="28"/>
          <w:szCs w:val="28"/>
          <w:highlight w:val="none"/>
          <w:lang w:val="en-US" w:eastAsia="zh-CN"/>
        </w:rPr>
      </w:pPr>
      <w:r>
        <w:rPr>
          <w:rFonts w:hint="eastAsia" w:ascii="宋体" w:hAnsi="宋体"/>
          <w:sz w:val="28"/>
          <w:szCs w:val="28"/>
          <w:highlight w:val="none"/>
        </w:rPr>
        <w:t>授权单位名称（盖章）：</w:t>
      </w:r>
      <w:r>
        <w:rPr>
          <w:rFonts w:hint="eastAsia" w:ascii="宋体" w:hAnsi="宋体"/>
          <w:sz w:val="28"/>
          <w:szCs w:val="28"/>
          <w:highlight w:val="none"/>
          <w:u w:val="single"/>
          <w:lang w:val="en-US" w:eastAsia="zh-CN"/>
        </w:rPr>
        <w:t xml:space="preserve">         </w:t>
      </w:r>
    </w:p>
    <w:p w14:paraId="38E9A768">
      <w:pPr>
        <w:spacing w:line="360" w:lineRule="auto"/>
        <w:ind w:firstLine="420" w:firstLineChars="150"/>
        <w:rPr>
          <w:rFonts w:hint="default" w:ascii="宋体" w:hAnsi="宋体" w:eastAsia="宋体"/>
          <w:sz w:val="28"/>
          <w:szCs w:val="28"/>
          <w:highlight w:val="none"/>
          <w:lang w:val="en-US" w:eastAsia="zh-CN"/>
        </w:rPr>
      </w:pPr>
      <w:r>
        <w:rPr>
          <w:rFonts w:hint="eastAsia" w:ascii="宋体" w:hAnsi="宋体"/>
          <w:sz w:val="28"/>
          <w:szCs w:val="28"/>
          <w:highlight w:val="none"/>
        </w:rPr>
        <w:t>授权单位法定代表人（签字或盖章）：</w:t>
      </w:r>
      <w:r>
        <w:rPr>
          <w:rFonts w:hint="eastAsia" w:ascii="宋体" w:hAnsi="宋体"/>
          <w:sz w:val="24"/>
          <w:szCs w:val="21"/>
          <w:highlight w:val="none"/>
          <w:lang w:val="en-US" w:eastAsia="zh-CN"/>
        </w:rPr>
        <w:t xml:space="preserve">   </w:t>
      </w:r>
    </w:p>
    <w:p w14:paraId="22C99AFF">
      <w:pPr>
        <w:ind w:firstLine="560" w:firstLineChars="200"/>
        <w:rPr>
          <w:rFonts w:ascii="宋体" w:hAnsi="宋体"/>
          <w:sz w:val="28"/>
          <w:szCs w:val="28"/>
          <w:highlight w:val="none"/>
        </w:rPr>
      </w:pPr>
    </w:p>
    <w:p w14:paraId="2C5B83C1">
      <w:pPr>
        <w:jc w:val="right"/>
        <w:rPr>
          <w:rFonts w:ascii="宋体" w:hAnsi="宋体"/>
          <w:sz w:val="28"/>
          <w:szCs w:val="28"/>
          <w:highlight w:val="none"/>
        </w:rPr>
      </w:pP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年</w:t>
      </w: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月</w:t>
      </w:r>
      <w:r>
        <w:rPr>
          <w:rFonts w:hint="eastAsia" w:ascii="宋体" w:hAnsi="宋体"/>
          <w:sz w:val="24"/>
          <w:szCs w:val="21"/>
          <w:highlight w:val="none"/>
          <w:u w:val="single"/>
          <w:lang w:val="en-US" w:eastAsia="zh-CN"/>
        </w:rPr>
        <w:t xml:space="preserve">      </w:t>
      </w:r>
      <w:r>
        <w:rPr>
          <w:rFonts w:hint="eastAsia" w:ascii="宋体" w:hAnsi="宋体"/>
          <w:sz w:val="28"/>
          <w:szCs w:val="28"/>
          <w:highlight w:val="none"/>
        </w:rPr>
        <w:t>日</w:t>
      </w:r>
    </w:p>
    <w:p w14:paraId="39C88AC9">
      <w:pPr>
        <w:spacing w:line="480" w:lineRule="exact"/>
        <w:ind w:firstLine="560" w:firstLineChars="200"/>
        <w:rPr>
          <w:rFonts w:hint="eastAsia" w:ascii="方正仿宋_GB2312" w:hAnsi="方正仿宋_GB2312" w:eastAsia="方正仿宋_GB2312" w:cs="方正仿宋_GB2312"/>
          <w:sz w:val="28"/>
          <w:szCs w:val="28"/>
          <w:highlight w:val="none"/>
        </w:rPr>
      </w:pPr>
    </w:p>
    <w:p w14:paraId="2112ECCF">
      <w:pPr>
        <w:snapToGrid w:val="0"/>
        <w:spacing w:line="400" w:lineRule="exact"/>
        <w:ind w:firstLine="540" w:firstLineChars="192"/>
        <w:contextualSpacing/>
        <w:rPr>
          <w:rFonts w:hint="eastAsia" w:ascii="宋体" w:hAnsi="宋体" w:cs="宋体"/>
          <w:b/>
          <w:kern w:val="0"/>
          <w:sz w:val="28"/>
          <w:szCs w:val="28"/>
          <w:highlight w:val="none"/>
        </w:rPr>
      </w:pPr>
    </w:p>
    <w:p w14:paraId="4FA209D4">
      <w:pPr>
        <w:snapToGrid w:val="0"/>
        <w:spacing w:line="400" w:lineRule="exact"/>
        <w:ind w:firstLine="540" w:firstLineChars="192"/>
        <w:contextualSpacing/>
        <w:rPr>
          <w:rFonts w:hint="eastAsia" w:ascii="宋体" w:hAnsi="宋体" w:cs="宋体"/>
          <w:b/>
          <w:kern w:val="0"/>
          <w:sz w:val="28"/>
          <w:szCs w:val="28"/>
          <w:highlight w:val="none"/>
        </w:rPr>
      </w:pPr>
      <w:r>
        <w:rPr>
          <w:rFonts w:hint="eastAsia" w:ascii="宋体" w:hAnsi="宋体" w:cs="宋体"/>
          <w:b/>
          <w:kern w:val="0"/>
          <w:sz w:val="28"/>
          <w:szCs w:val="28"/>
          <w:highlight w:val="none"/>
        </w:rPr>
        <w:t>附：代理人(被授权人)</w:t>
      </w:r>
      <w:r>
        <w:rPr>
          <w:rFonts w:ascii="宋体" w:hAnsi="宋体" w:cs="宋体"/>
          <w:b/>
          <w:kern w:val="0"/>
          <w:sz w:val="28"/>
          <w:szCs w:val="28"/>
          <w:highlight w:val="none"/>
        </w:rPr>
        <w:t>身份证复印件</w:t>
      </w:r>
      <w:r>
        <w:rPr>
          <w:rFonts w:hint="eastAsia" w:ascii="宋体" w:hAnsi="宋体" w:cs="宋体"/>
          <w:b/>
          <w:kern w:val="0"/>
          <w:sz w:val="28"/>
          <w:szCs w:val="28"/>
          <w:highlight w:val="none"/>
        </w:rPr>
        <w:t>盖公章</w:t>
      </w:r>
    </w:p>
    <w:p w14:paraId="16BA7733">
      <w:pPr>
        <w:spacing w:line="400" w:lineRule="exact"/>
        <w:ind w:firstLine="540"/>
        <w:contextualSpacing/>
        <w:rPr>
          <w:rFonts w:hint="eastAsia" w:ascii="宋体" w:hAnsi="宋体" w:eastAsia="宋体" w:cs="宋体"/>
          <w:b/>
          <w:sz w:val="28"/>
          <w:szCs w:val="28"/>
          <w:highlight w:val="none"/>
        </w:rPr>
      </w:pPr>
    </w:p>
    <w:p w14:paraId="5EED23A3">
      <w:pPr>
        <w:spacing w:line="400" w:lineRule="exact"/>
        <w:ind w:firstLine="540"/>
        <w:contextualSpacing/>
        <w:rPr>
          <w:rFonts w:hint="eastAsia" w:ascii="宋体" w:hAnsi="宋体" w:eastAsia="宋体" w:cs="宋体"/>
          <w:b/>
          <w:sz w:val="28"/>
          <w:szCs w:val="28"/>
          <w:highlight w:val="none"/>
        </w:rPr>
      </w:pPr>
    </w:p>
    <w:p w14:paraId="799A3F36">
      <w:pPr>
        <w:spacing w:line="400" w:lineRule="exact"/>
        <w:ind w:firstLine="540"/>
        <w:contextualSpacing/>
        <w:rPr>
          <w:rFonts w:hint="eastAsia" w:ascii="宋体" w:hAnsi="宋体" w:eastAsia="宋体" w:cs="宋体"/>
          <w:b/>
          <w:sz w:val="28"/>
          <w:szCs w:val="28"/>
          <w:highlight w:val="none"/>
        </w:rPr>
      </w:pPr>
    </w:p>
    <w:p w14:paraId="64D677B2">
      <w:pPr>
        <w:spacing w:line="400" w:lineRule="exact"/>
        <w:ind w:firstLine="540"/>
        <w:contextualSpacing/>
        <w:rPr>
          <w:rFonts w:hint="eastAsia" w:ascii="宋体" w:hAnsi="宋体" w:eastAsia="宋体" w:cs="宋体"/>
          <w:b/>
          <w:sz w:val="28"/>
          <w:szCs w:val="28"/>
          <w:highlight w:val="none"/>
        </w:rPr>
      </w:pPr>
    </w:p>
    <w:p w14:paraId="6DBD64EE">
      <w:pPr>
        <w:spacing w:line="400" w:lineRule="exact"/>
        <w:ind w:firstLine="540"/>
        <w:contextualSpacing/>
        <w:rPr>
          <w:rFonts w:hint="eastAsia" w:ascii="宋体" w:hAnsi="宋体" w:eastAsia="宋体" w:cs="宋体"/>
          <w:b/>
          <w:sz w:val="28"/>
          <w:szCs w:val="28"/>
          <w:highlight w:val="none"/>
        </w:rPr>
      </w:pPr>
    </w:p>
    <w:p w14:paraId="47B9A6A6">
      <w:pPr>
        <w:spacing w:line="400" w:lineRule="exact"/>
        <w:ind w:firstLine="540"/>
        <w:contextualSpacing/>
        <w:rPr>
          <w:rFonts w:hint="eastAsia" w:ascii="宋体" w:hAnsi="宋体" w:eastAsia="宋体" w:cs="宋体"/>
          <w:b/>
          <w:sz w:val="28"/>
          <w:szCs w:val="28"/>
          <w:highlight w:val="none"/>
        </w:rPr>
      </w:pPr>
    </w:p>
    <w:p w14:paraId="591C503A">
      <w:pPr>
        <w:rPr>
          <w:rFonts w:hint="eastAsia" w:ascii="宋体" w:hAnsi="宋体" w:eastAsia="宋体" w:cs="宋体"/>
          <w:sz w:val="32"/>
          <w:szCs w:val="32"/>
          <w:highlight w:val="none"/>
        </w:rPr>
      </w:pPr>
    </w:p>
    <w:p w14:paraId="6D62CF85">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32FBB32B">
      <w:pPr>
        <w:spacing w:line="400" w:lineRule="exact"/>
        <w:contextualSpacing/>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rPr>
        <w:t>附件4</w:t>
      </w:r>
      <w:r>
        <w:rPr>
          <w:rFonts w:hint="eastAsia" w:ascii="宋体" w:hAnsi="宋体" w:eastAsia="宋体" w:cs="宋体"/>
          <w:sz w:val="32"/>
          <w:szCs w:val="32"/>
          <w:highlight w:val="none"/>
          <w:lang w:val="en-US" w:eastAsia="zh-CN"/>
        </w:rPr>
        <w:t xml:space="preserve">            </w:t>
      </w:r>
    </w:p>
    <w:p w14:paraId="1539E0E6">
      <w:pPr>
        <w:spacing w:line="400" w:lineRule="exact"/>
        <w:ind w:firstLine="3213"/>
        <w:contextualSpacing/>
        <w:jc w:val="both"/>
        <w:rPr>
          <w:rFonts w:hint="eastAsia" w:ascii="宋体" w:hAnsi="宋体" w:eastAsia="宋体" w:cs="宋体"/>
          <w:b/>
          <w:sz w:val="32"/>
          <w:szCs w:val="32"/>
          <w:highlight w:val="none"/>
          <w:lang w:bidi="ar"/>
        </w:rPr>
      </w:pPr>
      <w:r>
        <w:rPr>
          <w:rFonts w:hint="eastAsia" w:ascii="宋体" w:hAnsi="宋体" w:eastAsia="宋体" w:cs="宋体"/>
          <w:b/>
          <w:sz w:val="32"/>
          <w:szCs w:val="32"/>
          <w:highlight w:val="none"/>
          <w:lang w:bidi="ar"/>
        </w:rPr>
        <w:t>供应商信用承诺书</w:t>
      </w:r>
    </w:p>
    <w:p w14:paraId="2E1C1604">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为营造公开、公平、公正的公共资源交易环境，树立诚信守法的投标（响应）人形象，本人代表本单位作出以下承诺：</w:t>
      </w:r>
    </w:p>
    <w:p w14:paraId="566F3E1F">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一、本单位对所提交的单位基本信息、单位负责人、项目负责人、技术负责人、从业资质和资格、业绩、财务状况、信誉等所有资料，均合法、真实、准确、有效，无任何伪造、修改、虚假成分；</w:t>
      </w:r>
    </w:p>
    <w:p w14:paraId="7DD996AE">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二、严格依照国家和省、市、县关于招标投标等方面的法律、法规、规章、规范性文件，参加公共资源交易招标投标活动；积极履行社会责任，促进廉政建设；</w:t>
      </w:r>
    </w:p>
    <w:p w14:paraId="25564010">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三、严格遵守即时信息公示规定，及时更新公共资源采购人主体信息库中信息；</w:t>
      </w:r>
    </w:p>
    <w:p w14:paraId="1D4B4FB1">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四、自我约束、自我管理，守合同、重信用，不参与围标串标、弄虚作假、骗取中标、干扰评标、违约毁约、恶意投诉等行为，主动维护公共资源交易招标投标的良好秩序；</w:t>
      </w:r>
    </w:p>
    <w:p w14:paraId="0005E11E">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p>
    <w:p w14:paraId="2ADB0D98">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六、自觉接受政府部门、行业组织、社会公众、新闻舆论等监督；</w:t>
      </w:r>
    </w:p>
    <w:p w14:paraId="4379B594">
      <w:pPr>
        <w:keepNext w:val="0"/>
        <w:keepLines w:val="0"/>
        <w:pageBreakBefore w:val="0"/>
        <w:widowControl w:val="0"/>
        <w:spacing w:line="500" w:lineRule="exact"/>
        <w:ind w:firstLine="560"/>
        <w:rPr>
          <w:rFonts w:hint="eastAsia" w:ascii="宋体" w:hAnsi="宋体" w:eastAsia="宋体" w:cs="宋体"/>
          <w:sz w:val="28"/>
          <w:szCs w:val="28"/>
          <w:highlight w:val="none"/>
          <w:lang w:val="zh-CN"/>
        </w:rPr>
      </w:pPr>
      <w:r>
        <w:rPr>
          <w:rFonts w:hint="eastAsia" w:ascii="宋体" w:hAnsi="宋体" w:eastAsia="宋体" w:cs="宋体"/>
          <w:sz w:val="28"/>
          <w:szCs w:val="28"/>
          <w:highlight w:val="none"/>
          <w:lang w:val="zh-CN" w:bidi="ar"/>
        </w:rPr>
        <w:t>七、上述承诺已向本单位员工作了宣传教育；</w:t>
      </w:r>
    </w:p>
    <w:p w14:paraId="16822998">
      <w:pPr>
        <w:keepNext w:val="0"/>
        <w:keepLines w:val="0"/>
        <w:pageBreakBefore w:val="0"/>
        <w:widowControl w:val="0"/>
        <w:spacing w:line="500" w:lineRule="exact"/>
        <w:ind w:firstLine="562"/>
        <w:rPr>
          <w:rFonts w:hint="eastAsia" w:ascii="宋体" w:hAnsi="宋体" w:eastAsia="宋体" w:cs="宋体"/>
          <w:b/>
          <w:sz w:val="28"/>
          <w:szCs w:val="28"/>
          <w:highlight w:val="none"/>
          <w:lang w:val="zh-CN"/>
        </w:rPr>
      </w:pPr>
      <w:r>
        <w:rPr>
          <w:rFonts w:hint="eastAsia" w:ascii="宋体" w:hAnsi="宋体" w:eastAsia="宋体" w:cs="宋体"/>
          <w:b/>
          <w:sz w:val="28"/>
          <w:szCs w:val="28"/>
          <w:highlight w:val="none"/>
          <w:lang w:val="zh-CN" w:bidi="ar"/>
        </w:rPr>
        <w:t>如有违反上述承诺的不良行为，本单位同意将其予以上网公示。</w:t>
      </w:r>
    </w:p>
    <w:p w14:paraId="5B95ECB5">
      <w:pPr>
        <w:keepNext w:val="0"/>
        <w:keepLines w:val="0"/>
        <w:pageBreakBefore w:val="0"/>
        <w:widowControl w:val="0"/>
        <w:spacing w:line="500" w:lineRule="exact"/>
        <w:rPr>
          <w:rFonts w:hint="eastAsia" w:ascii="宋体" w:hAnsi="宋体" w:eastAsia="宋体" w:cs="宋体"/>
          <w:sz w:val="28"/>
          <w:szCs w:val="28"/>
          <w:highlight w:val="none"/>
          <w:lang w:val="zh-CN"/>
        </w:rPr>
      </w:pPr>
    </w:p>
    <w:p w14:paraId="050FCFBB">
      <w:pPr>
        <w:keepNext w:val="0"/>
        <w:keepLines w:val="0"/>
        <w:pageBreakBefore w:val="0"/>
        <w:widowControl w:val="0"/>
        <w:spacing w:line="500" w:lineRule="exact"/>
        <w:ind w:firstLine="5320"/>
        <w:rPr>
          <w:rFonts w:hint="eastAsia" w:ascii="宋体" w:hAnsi="宋体" w:eastAsia="宋体" w:cs="宋体"/>
          <w:sz w:val="28"/>
          <w:szCs w:val="28"/>
          <w:highlight w:val="none"/>
          <w:lang w:val="zh-CN"/>
        </w:rPr>
      </w:pPr>
    </w:p>
    <w:p w14:paraId="7C4AAF0B">
      <w:pPr>
        <w:keepNext w:val="0"/>
        <w:keepLines w:val="0"/>
        <w:pageBreakBefore w:val="0"/>
        <w:widowControl w:val="0"/>
        <w:spacing w:line="500" w:lineRule="exact"/>
        <w:ind w:firstLine="4760"/>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响应供应商全称(盖公章)：</w:t>
      </w:r>
    </w:p>
    <w:p w14:paraId="4EFBB054">
      <w:pPr>
        <w:keepNext w:val="0"/>
        <w:keepLines w:val="0"/>
        <w:pageBreakBefore w:val="0"/>
        <w:widowControl w:val="0"/>
        <w:spacing w:line="500" w:lineRule="exact"/>
        <w:ind w:firstLine="4760"/>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法定代表人（签字或盖章）：</w:t>
      </w:r>
    </w:p>
    <w:p w14:paraId="17812D01">
      <w:pPr>
        <w:keepNext w:val="0"/>
        <w:keepLines w:val="0"/>
        <w:pageBreakBefore w:val="0"/>
        <w:widowControl w:val="0"/>
        <w:spacing w:line="500" w:lineRule="exact"/>
        <w:ind w:firstLine="4760"/>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时间：  年  月   日</w:t>
      </w:r>
    </w:p>
    <w:p w14:paraId="6C7387ED">
      <w:pPr>
        <w:spacing w:line="300" w:lineRule="auto"/>
        <w:contextualSpacing/>
        <w:rPr>
          <w:rFonts w:hint="eastAsia" w:ascii="宋体" w:hAnsi="宋体" w:eastAsia="宋体" w:cs="宋体"/>
          <w:sz w:val="28"/>
          <w:szCs w:val="28"/>
          <w:highlight w:val="none"/>
        </w:rPr>
      </w:pPr>
    </w:p>
    <w:p w14:paraId="5566977C">
      <w:pPr>
        <w:spacing w:line="400" w:lineRule="exact"/>
        <w:contextualSpacing/>
        <w:rPr>
          <w:rFonts w:hint="eastAsia" w:ascii="宋体" w:hAnsi="宋体" w:eastAsia="宋体" w:cs="宋体"/>
          <w:sz w:val="32"/>
          <w:szCs w:val="32"/>
          <w:highlight w:val="none"/>
        </w:rPr>
      </w:pPr>
      <w:r>
        <w:rPr>
          <w:rFonts w:hint="eastAsia" w:ascii="宋体" w:hAnsi="宋体" w:eastAsia="宋体" w:cs="宋体"/>
          <w:sz w:val="32"/>
          <w:szCs w:val="32"/>
          <w:highlight w:val="none"/>
        </w:rPr>
        <w:t>附件5</w:t>
      </w:r>
    </w:p>
    <w:p w14:paraId="0BF8A38B">
      <w:pPr>
        <w:keepNext/>
        <w:keepLines/>
        <w:spacing w:before="260" w:after="260" w:line="416" w:lineRule="auto"/>
        <w:jc w:val="center"/>
        <w:outlineLvl w:val="1"/>
        <w:rPr>
          <w:rFonts w:hint="eastAsia" w:ascii="宋体" w:hAnsi="宋体" w:eastAsia="宋体" w:cs="宋体"/>
          <w:b/>
          <w:sz w:val="32"/>
          <w:szCs w:val="32"/>
          <w:highlight w:val="none"/>
        </w:rPr>
      </w:pPr>
      <w:r>
        <w:rPr>
          <w:rFonts w:hint="eastAsia" w:ascii="宋体" w:hAnsi="宋体" w:eastAsia="宋体" w:cs="宋体"/>
          <w:b/>
          <w:sz w:val="32"/>
          <w:szCs w:val="32"/>
          <w:highlight w:val="none"/>
        </w:rPr>
        <w:t>谈判响应函</w:t>
      </w:r>
    </w:p>
    <w:p w14:paraId="2B8C6356">
      <w:pPr>
        <w:spacing w:line="420" w:lineRule="exact"/>
        <w:ind w:left="425"/>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致：</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u w:val="single"/>
        </w:rPr>
        <w:t>（</w:t>
      </w:r>
      <w:r>
        <w:rPr>
          <w:rFonts w:hint="eastAsia" w:ascii="宋体" w:hAnsi="宋体" w:eastAsia="宋体" w:cs="宋体"/>
          <w:sz w:val="28"/>
          <w:szCs w:val="28"/>
          <w:highlight w:val="none"/>
        </w:rPr>
        <w:t>采购人名称）</w:t>
      </w:r>
    </w:p>
    <w:p w14:paraId="00A110B1">
      <w:pPr>
        <w:spacing w:line="420" w:lineRule="exact"/>
        <w:ind w:left="425"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根据贵方项目</w:t>
      </w:r>
      <w:r>
        <w:rPr>
          <w:rFonts w:hint="eastAsia" w:ascii="宋体" w:hAnsi="宋体" w:cs="宋体"/>
          <w:sz w:val="28"/>
          <w:szCs w:val="28"/>
          <w:highlight w:val="none"/>
          <w:lang w:eastAsia="zh-CN"/>
        </w:rPr>
        <w:t>名称（</w:t>
      </w:r>
      <w:r>
        <w:rPr>
          <w:rFonts w:hint="eastAsia" w:ascii="宋体" w:hAnsi="宋体" w:eastAsia="宋体" w:cs="宋体"/>
          <w:sz w:val="28"/>
          <w:szCs w:val="28"/>
          <w:highlight w:val="none"/>
        </w:rPr>
        <w:t>编号</w:t>
      </w:r>
      <w:r>
        <w:rPr>
          <w:rFonts w:hint="eastAsia" w:ascii="宋体" w:hAnsi="宋体" w:cs="宋体"/>
          <w:sz w:val="28"/>
          <w:szCs w:val="28"/>
          <w:highlight w:val="none"/>
          <w:lang w:eastAsia="zh-CN"/>
        </w:rPr>
        <w:t>）</w:t>
      </w:r>
      <w:r>
        <w:rPr>
          <w:rFonts w:hint="eastAsia" w:ascii="宋体" w:hAnsi="宋体" w:eastAsia="宋体" w:cs="宋体"/>
          <w:sz w:val="28"/>
          <w:szCs w:val="28"/>
          <w:highlight w:val="none"/>
        </w:rPr>
        <w:t>为</w:t>
      </w:r>
      <w:r>
        <w:rPr>
          <w:rFonts w:hint="eastAsia" w:ascii="宋体" w:hAnsi="宋体" w:cs="宋体"/>
          <w:sz w:val="28"/>
          <w:szCs w:val="28"/>
          <w:highlight w:val="none"/>
          <w:u w:val="single"/>
          <w:lang w:val="en-US" w:eastAsia="zh-CN"/>
        </w:rPr>
        <w:t xml:space="preserve">                          </w:t>
      </w:r>
      <w:r>
        <w:rPr>
          <w:rFonts w:hint="eastAsia" w:ascii="宋体" w:hAnsi="宋体" w:eastAsia="宋体" w:cs="宋体"/>
          <w:sz w:val="28"/>
          <w:szCs w:val="28"/>
          <w:highlight w:val="none"/>
        </w:rPr>
        <w:t>的谈判文件，我方正式提交谈判响应函，并宣布同意如下内容：</w:t>
      </w:r>
    </w:p>
    <w:p w14:paraId="7CD0469F">
      <w:pPr>
        <w:spacing w:line="420" w:lineRule="exact"/>
        <w:ind w:left="425"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1.按谈判文件规定的各项要求，向买方提供所需货物、服务（包含与货物相关的服务及与服务相关的货物）。</w:t>
      </w:r>
    </w:p>
    <w:p w14:paraId="488A7B8A">
      <w:pPr>
        <w:spacing w:line="420" w:lineRule="exact"/>
        <w:ind w:left="425"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2.我们已详细审核全部谈判文件及其有效补充文件，我们知道必须放弃提出含糊不清或误解问题的权利。</w:t>
      </w:r>
    </w:p>
    <w:p w14:paraId="4A329CAE">
      <w:pPr>
        <w:spacing w:line="420" w:lineRule="exact"/>
        <w:ind w:left="425"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3.我们同意从规定的开标日期起遵循本响应文件，并在规定的谈判有效期期满之前均具有约束力。</w:t>
      </w:r>
    </w:p>
    <w:p w14:paraId="283BABAB">
      <w:pPr>
        <w:spacing w:line="420" w:lineRule="exact"/>
        <w:ind w:left="425"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4.同意向贵方提供贵方可能另外要求的与谈判有关的任何证据或资料，并保证我方已提供和将要提供的文件是真实的、准确的。</w:t>
      </w:r>
    </w:p>
    <w:p w14:paraId="68A3215F">
      <w:pPr>
        <w:spacing w:line="420" w:lineRule="exact"/>
        <w:ind w:left="425"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5.一旦我方成交,我方将根据谈判文件的规定，严格履行合同的责任和义务,并保证在谈判文件规定的时间完成项目，交付买方验收、使用。</w:t>
      </w:r>
    </w:p>
    <w:p w14:paraId="569FF162">
      <w:pPr>
        <w:spacing w:line="420" w:lineRule="exact"/>
        <w:ind w:left="425"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6.我方与本谈判有关的正式通讯地址为：</w:t>
      </w:r>
    </w:p>
    <w:p w14:paraId="59C4B6BB">
      <w:pPr>
        <w:spacing w:line="420" w:lineRule="exact"/>
        <w:ind w:left="420"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地          址：</w:t>
      </w:r>
    </w:p>
    <w:p w14:paraId="3A6D81B0">
      <w:pPr>
        <w:spacing w:line="420" w:lineRule="exact"/>
        <w:ind w:left="420"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邮          编：</w:t>
      </w:r>
    </w:p>
    <w:p w14:paraId="63EBEF77">
      <w:pPr>
        <w:spacing w:line="420" w:lineRule="exact"/>
        <w:ind w:left="420"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电          话：</w:t>
      </w:r>
    </w:p>
    <w:p w14:paraId="04014F58">
      <w:pPr>
        <w:spacing w:line="420" w:lineRule="exact"/>
        <w:ind w:left="420"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lang w:val="en-US" w:eastAsia="zh-CN"/>
        </w:rPr>
        <w:t>电  子  邮  箱</w:t>
      </w:r>
      <w:r>
        <w:rPr>
          <w:rFonts w:hint="eastAsia" w:ascii="宋体" w:hAnsi="宋体" w:eastAsia="宋体" w:cs="宋体"/>
          <w:sz w:val="28"/>
          <w:szCs w:val="28"/>
          <w:highlight w:val="none"/>
        </w:rPr>
        <w:t>：</w:t>
      </w:r>
    </w:p>
    <w:p w14:paraId="42472A94">
      <w:pPr>
        <w:spacing w:line="420" w:lineRule="exact"/>
        <w:ind w:left="420" w:firstLine="560"/>
        <w:jc w:val="left"/>
        <w:rPr>
          <w:rFonts w:hint="eastAsia" w:ascii="宋体" w:hAnsi="宋体" w:eastAsia="宋体" w:cs="宋体"/>
          <w:sz w:val="28"/>
          <w:szCs w:val="28"/>
          <w:highlight w:val="none"/>
        </w:rPr>
      </w:pPr>
    </w:p>
    <w:p w14:paraId="6BFD978C">
      <w:pPr>
        <w:spacing w:line="420" w:lineRule="exact"/>
        <w:ind w:left="420"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供应商</w:t>
      </w:r>
      <w:r>
        <w:rPr>
          <w:rFonts w:hint="eastAsia" w:ascii="宋体" w:hAnsi="宋体" w:eastAsia="宋体" w:cs="宋体"/>
          <w:sz w:val="28"/>
          <w:szCs w:val="28"/>
          <w:highlight w:val="none"/>
          <w:lang w:val="en-US" w:eastAsia="zh-CN"/>
        </w:rPr>
        <w:t>名称（盖公章）</w:t>
      </w:r>
      <w:r>
        <w:rPr>
          <w:rFonts w:hint="eastAsia" w:ascii="宋体" w:hAnsi="宋体" w:eastAsia="宋体" w:cs="宋体"/>
          <w:sz w:val="28"/>
          <w:szCs w:val="28"/>
          <w:highlight w:val="none"/>
        </w:rPr>
        <w:t>：</w:t>
      </w:r>
    </w:p>
    <w:p w14:paraId="6FDA0D96">
      <w:pPr>
        <w:spacing w:line="420" w:lineRule="exact"/>
        <w:ind w:left="420" w:firstLine="560"/>
        <w:jc w:val="left"/>
        <w:rPr>
          <w:rFonts w:hint="eastAsia" w:ascii="宋体" w:hAnsi="宋体" w:eastAsia="宋体" w:cs="宋体"/>
          <w:sz w:val="28"/>
          <w:szCs w:val="28"/>
          <w:highlight w:val="none"/>
        </w:rPr>
      </w:pPr>
      <w:r>
        <w:rPr>
          <w:rFonts w:hint="eastAsia" w:ascii="宋体" w:hAnsi="宋体" w:eastAsia="宋体" w:cs="宋体"/>
          <w:sz w:val="28"/>
          <w:szCs w:val="28"/>
          <w:highlight w:val="none"/>
        </w:rPr>
        <w:t>日           期：</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年</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月</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日</w:t>
      </w:r>
    </w:p>
    <w:p w14:paraId="7509A380">
      <w:pPr>
        <w:spacing w:line="560" w:lineRule="exact"/>
        <w:ind w:firstLine="240"/>
        <w:jc w:val="center"/>
        <w:rPr>
          <w:rFonts w:hint="eastAsia" w:ascii="宋体" w:hAnsi="宋体" w:eastAsia="宋体" w:cs="宋体"/>
          <w:bCs/>
          <w:sz w:val="24"/>
          <w:szCs w:val="21"/>
          <w:highlight w:val="none"/>
        </w:rPr>
      </w:pPr>
    </w:p>
    <w:p w14:paraId="3D678010">
      <w:pPr>
        <w:spacing w:line="300" w:lineRule="auto"/>
        <w:contextualSpacing/>
        <w:rPr>
          <w:rFonts w:hint="eastAsia" w:ascii="宋体" w:hAnsi="宋体" w:eastAsia="宋体" w:cs="宋体"/>
          <w:sz w:val="28"/>
          <w:szCs w:val="28"/>
          <w:highlight w:val="none"/>
        </w:rPr>
      </w:pPr>
    </w:p>
    <w:p w14:paraId="288B03C3">
      <w:pPr>
        <w:spacing w:line="400" w:lineRule="exact"/>
        <w:contextualSpacing/>
        <w:rPr>
          <w:rFonts w:hint="eastAsia" w:ascii="宋体" w:hAnsi="宋体" w:eastAsia="宋体" w:cs="宋体"/>
          <w:sz w:val="32"/>
          <w:szCs w:val="32"/>
          <w:highlight w:val="none"/>
        </w:rPr>
      </w:pPr>
    </w:p>
    <w:p w14:paraId="1AEC1572">
      <w:pPr>
        <w:spacing w:line="400" w:lineRule="exact"/>
        <w:contextualSpacing/>
        <w:rPr>
          <w:rFonts w:hint="eastAsia" w:ascii="宋体" w:hAnsi="宋体" w:eastAsia="宋体" w:cs="宋体"/>
          <w:sz w:val="32"/>
          <w:szCs w:val="32"/>
          <w:highlight w:val="none"/>
        </w:rPr>
      </w:pPr>
    </w:p>
    <w:p w14:paraId="5CE5381A">
      <w:pPr>
        <w:spacing w:line="400" w:lineRule="exact"/>
        <w:contextualSpacing/>
        <w:rPr>
          <w:rFonts w:hint="eastAsia" w:ascii="宋体" w:hAnsi="宋体" w:eastAsia="宋体" w:cs="宋体"/>
          <w:sz w:val="32"/>
          <w:szCs w:val="32"/>
          <w:highlight w:val="none"/>
        </w:rPr>
      </w:pPr>
    </w:p>
    <w:p w14:paraId="2776E503">
      <w:pPr>
        <w:spacing w:line="400" w:lineRule="exact"/>
        <w:contextualSpacing/>
        <w:rPr>
          <w:rFonts w:hint="eastAsia" w:ascii="宋体" w:hAnsi="宋体" w:eastAsia="宋体" w:cs="宋体"/>
          <w:sz w:val="32"/>
          <w:szCs w:val="32"/>
          <w:highlight w:val="none"/>
        </w:rPr>
      </w:pPr>
    </w:p>
    <w:p w14:paraId="40A77B3D">
      <w:pPr>
        <w:spacing w:line="400" w:lineRule="exact"/>
        <w:contextualSpacing/>
        <w:rPr>
          <w:rFonts w:hint="eastAsia" w:ascii="宋体" w:hAnsi="宋体" w:eastAsia="宋体" w:cs="宋体"/>
          <w:sz w:val="32"/>
          <w:szCs w:val="32"/>
          <w:highlight w:val="none"/>
        </w:rPr>
      </w:pPr>
      <w:r>
        <w:rPr>
          <w:rFonts w:hint="eastAsia" w:ascii="宋体" w:hAnsi="宋体" w:eastAsia="宋体" w:cs="宋体"/>
          <w:sz w:val="32"/>
          <w:szCs w:val="32"/>
          <w:highlight w:val="none"/>
        </w:rPr>
        <w:t>附件6</w:t>
      </w:r>
    </w:p>
    <w:p w14:paraId="63AD8109">
      <w:pPr>
        <w:spacing w:line="300" w:lineRule="auto"/>
        <w:contextualSpacing/>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商务部分正负偏离表</w:t>
      </w:r>
    </w:p>
    <w:p w14:paraId="4DED0545">
      <w:pPr>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（由供应商据实填写，表格不够自行添加）</w:t>
      </w:r>
    </w:p>
    <w:tbl>
      <w:tblPr>
        <w:tblStyle w:val="3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31"/>
        <w:gridCol w:w="2264"/>
        <w:gridCol w:w="1977"/>
        <w:gridCol w:w="2551"/>
        <w:gridCol w:w="1405"/>
      </w:tblGrid>
      <w:tr w14:paraId="22B531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1A11E6DE">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54" w:type="dxa"/>
            <w:noWrap w:val="0"/>
            <w:vAlign w:val="center"/>
          </w:tcPr>
          <w:p w14:paraId="2E6D78A1">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货物或服务名称</w:t>
            </w:r>
          </w:p>
        </w:tc>
        <w:tc>
          <w:tcPr>
            <w:tcW w:w="1095" w:type="dxa"/>
            <w:noWrap w:val="0"/>
            <w:vAlign w:val="center"/>
          </w:tcPr>
          <w:p w14:paraId="21A6164E">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谈判文件要求的商务条款</w:t>
            </w:r>
          </w:p>
        </w:tc>
        <w:tc>
          <w:tcPr>
            <w:tcW w:w="1413" w:type="dxa"/>
            <w:noWrap w:val="0"/>
            <w:vAlign w:val="center"/>
          </w:tcPr>
          <w:p w14:paraId="5461C69D">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响应文件响应情况</w:t>
            </w:r>
          </w:p>
        </w:tc>
        <w:tc>
          <w:tcPr>
            <w:tcW w:w="778" w:type="dxa"/>
            <w:noWrap w:val="0"/>
            <w:vAlign w:val="top"/>
          </w:tcPr>
          <w:p w14:paraId="559FA53A">
            <w:pPr>
              <w:spacing w:line="340" w:lineRule="exact"/>
              <w:jc w:val="center"/>
              <w:rPr>
                <w:rFonts w:hint="eastAsia" w:ascii="宋体" w:hAnsi="宋体" w:eastAsia="宋体" w:cs="宋体"/>
                <w:sz w:val="24"/>
                <w:highlight w:val="none"/>
              </w:rPr>
            </w:pPr>
          </w:p>
          <w:p w14:paraId="7D63EC24">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66B8A2B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61A8C107">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54" w:type="dxa"/>
            <w:noWrap w:val="0"/>
            <w:vAlign w:val="center"/>
          </w:tcPr>
          <w:p w14:paraId="0AEC2D8C">
            <w:pPr>
              <w:spacing w:line="340" w:lineRule="exact"/>
              <w:jc w:val="left"/>
              <w:rPr>
                <w:rFonts w:hint="eastAsia" w:ascii="宋体" w:hAnsi="宋体" w:eastAsia="宋体" w:cs="宋体"/>
                <w:sz w:val="24"/>
                <w:highlight w:val="none"/>
              </w:rPr>
            </w:pPr>
          </w:p>
        </w:tc>
        <w:tc>
          <w:tcPr>
            <w:tcW w:w="1095" w:type="dxa"/>
            <w:noWrap w:val="0"/>
            <w:vAlign w:val="center"/>
          </w:tcPr>
          <w:p w14:paraId="70D8526F">
            <w:pPr>
              <w:spacing w:line="340" w:lineRule="exact"/>
              <w:jc w:val="left"/>
              <w:rPr>
                <w:rFonts w:hint="eastAsia" w:ascii="宋体" w:hAnsi="宋体" w:eastAsia="宋体" w:cs="宋体"/>
                <w:sz w:val="24"/>
                <w:highlight w:val="none"/>
              </w:rPr>
            </w:pPr>
          </w:p>
        </w:tc>
        <w:tc>
          <w:tcPr>
            <w:tcW w:w="1413" w:type="dxa"/>
            <w:noWrap w:val="0"/>
            <w:vAlign w:val="center"/>
          </w:tcPr>
          <w:p w14:paraId="5C3D8F0F">
            <w:pPr>
              <w:spacing w:line="340" w:lineRule="exact"/>
              <w:jc w:val="left"/>
              <w:rPr>
                <w:rFonts w:hint="eastAsia" w:ascii="宋体" w:hAnsi="宋体" w:eastAsia="宋体" w:cs="宋体"/>
                <w:sz w:val="24"/>
                <w:highlight w:val="none"/>
              </w:rPr>
            </w:pPr>
          </w:p>
        </w:tc>
        <w:tc>
          <w:tcPr>
            <w:tcW w:w="778" w:type="dxa"/>
            <w:noWrap w:val="0"/>
            <w:vAlign w:val="top"/>
          </w:tcPr>
          <w:p w14:paraId="06B04280">
            <w:pPr>
              <w:spacing w:line="340" w:lineRule="exact"/>
              <w:jc w:val="left"/>
              <w:rPr>
                <w:rFonts w:hint="eastAsia" w:ascii="宋体" w:hAnsi="宋体" w:eastAsia="宋体" w:cs="宋体"/>
                <w:sz w:val="24"/>
                <w:highlight w:val="none"/>
              </w:rPr>
            </w:pPr>
          </w:p>
        </w:tc>
      </w:tr>
      <w:tr w14:paraId="55B1D0E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3C55028B">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254" w:type="dxa"/>
            <w:noWrap w:val="0"/>
            <w:vAlign w:val="center"/>
          </w:tcPr>
          <w:p w14:paraId="17DE9A81">
            <w:pPr>
              <w:spacing w:line="340" w:lineRule="exact"/>
              <w:jc w:val="left"/>
              <w:rPr>
                <w:rFonts w:hint="eastAsia" w:ascii="宋体" w:hAnsi="宋体" w:eastAsia="宋体" w:cs="宋体"/>
                <w:sz w:val="24"/>
                <w:highlight w:val="none"/>
              </w:rPr>
            </w:pPr>
          </w:p>
        </w:tc>
        <w:tc>
          <w:tcPr>
            <w:tcW w:w="1095" w:type="dxa"/>
            <w:noWrap w:val="0"/>
            <w:vAlign w:val="center"/>
          </w:tcPr>
          <w:p w14:paraId="08A6F4CF">
            <w:pPr>
              <w:spacing w:line="340" w:lineRule="exact"/>
              <w:jc w:val="left"/>
              <w:rPr>
                <w:rFonts w:hint="eastAsia" w:ascii="宋体" w:hAnsi="宋体" w:eastAsia="宋体" w:cs="宋体"/>
                <w:sz w:val="24"/>
                <w:highlight w:val="none"/>
              </w:rPr>
            </w:pPr>
          </w:p>
        </w:tc>
        <w:tc>
          <w:tcPr>
            <w:tcW w:w="1413" w:type="dxa"/>
            <w:noWrap w:val="0"/>
            <w:vAlign w:val="center"/>
          </w:tcPr>
          <w:p w14:paraId="33F3B8E1">
            <w:pPr>
              <w:spacing w:line="340" w:lineRule="exact"/>
              <w:jc w:val="left"/>
              <w:rPr>
                <w:rFonts w:hint="eastAsia" w:ascii="宋体" w:hAnsi="宋体" w:eastAsia="宋体" w:cs="宋体"/>
                <w:sz w:val="24"/>
                <w:highlight w:val="none"/>
              </w:rPr>
            </w:pPr>
          </w:p>
        </w:tc>
        <w:tc>
          <w:tcPr>
            <w:tcW w:w="778" w:type="dxa"/>
            <w:noWrap w:val="0"/>
            <w:vAlign w:val="top"/>
          </w:tcPr>
          <w:p w14:paraId="45D2540A">
            <w:pPr>
              <w:spacing w:line="340" w:lineRule="exact"/>
              <w:jc w:val="left"/>
              <w:rPr>
                <w:rFonts w:hint="eastAsia" w:ascii="宋体" w:hAnsi="宋体" w:eastAsia="宋体" w:cs="宋体"/>
                <w:sz w:val="24"/>
                <w:highlight w:val="none"/>
              </w:rPr>
            </w:pPr>
          </w:p>
        </w:tc>
      </w:tr>
      <w:tr w14:paraId="7C56B0DE">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279C58A2">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254" w:type="dxa"/>
            <w:noWrap w:val="0"/>
            <w:vAlign w:val="center"/>
          </w:tcPr>
          <w:p w14:paraId="454DC86F">
            <w:pPr>
              <w:spacing w:line="340" w:lineRule="exact"/>
              <w:jc w:val="left"/>
              <w:rPr>
                <w:rFonts w:hint="eastAsia" w:ascii="宋体" w:hAnsi="宋体" w:eastAsia="宋体" w:cs="宋体"/>
                <w:sz w:val="24"/>
                <w:highlight w:val="none"/>
              </w:rPr>
            </w:pPr>
          </w:p>
        </w:tc>
        <w:tc>
          <w:tcPr>
            <w:tcW w:w="1095" w:type="dxa"/>
            <w:noWrap w:val="0"/>
            <w:vAlign w:val="center"/>
          </w:tcPr>
          <w:p w14:paraId="3C19132B">
            <w:pPr>
              <w:spacing w:line="340" w:lineRule="exact"/>
              <w:jc w:val="left"/>
              <w:rPr>
                <w:rFonts w:hint="eastAsia" w:ascii="宋体" w:hAnsi="宋体" w:eastAsia="宋体" w:cs="宋体"/>
                <w:sz w:val="24"/>
                <w:highlight w:val="none"/>
              </w:rPr>
            </w:pPr>
          </w:p>
        </w:tc>
        <w:tc>
          <w:tcPr>
            <w:tcW w:w="1413" w:type="dxa"/>
            <w:noWrap w:val="0"/>
            <w:vAlign w:val="center"/>
          </w:tcPr>
          <w:p w14:paraId="09328558">
            <w:pPr>
              <w:spacing w:line="340" w:lineRule="exact"/>
              <w:jc w:val="left"/>
              <w:rPr>
                <w:rFonts w:hint="eastAsia" w:ascii="宋体" w:hAnsi="宋体" w:eastAsia="宋体" w:cs="宋体"/>
                <w:sz w:val="24"/>
                <w:highlight w:val="none"/>
              </w:rPr>
            </w:pPr>
          </w:p>
        </w:tc>
        <w:tc>
          <w:tcPr>
            <w:tcW w:w="778" w:type="dxa"/>
            <w:noWrap w:val="0"/>
            <w:vAlign w:val="top"/>
          </w:tcPr>
          <w:p w14:paraId="5B1FEBFC">
            <w:pPr>
              <w:spacing w:line="340" w:lineRule="exact"/>
              <w:jc w:val="left"/>
              <w:rPr>
                <w:rFonts w:hint="eastAsia" w:ascii="宋体" w:hAnsi="宋体" w:eastAsia="宋体" w:cs="宋体"/>
                <w:sz w:val="24"/>
                <w:highlight w:val="none"/>
              </w:rPr>
            </w:pPr>
          </w:p>
        </w:tc>
      </w:tr>
      <w:tr w14:paraId="7B4664D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39390E3A">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254" w:type="dxa"/>
            <w:noWrap w:val="0"/>
            <w:vAlign w:val="center"/>
          </w:tcPr>
          <w:p w14:paraId="577BD41C">
            <w:pPr>
              <w:spacing w:line="340" w:lineRule="exact"/>
              <w:jc w:val="left"/>
              <w:rPr>
                <w:rFonts w:hint="eastAsia" w:ascii="宋体" w:hAnsi="宋体" w:eastAsia="宋体" w:cs="宋体"/>
                <w:sz w:val="24"/>
                <w:highlight w:val="none"/>
              </w:rPr>
            </w:pPr>
          </w:p>
        </w:tc>
        <w:tc>
          <w:tcPr>
            <w:tcW w:w="1095" w:type="dxa"/>
            <w:noWrap w:val="0"/>
            <w:vAlign w:val="center"/>
          </w:tcPr>
          <w:p w14:paraId="7603A47E">
            <w:pPr>
              <w:spacing w:line="340" w:lineRule="exact"/>
              <w:jc w:val="left"/>
              <w:rPr>
                <w:rFonts w:hint="eastAsia" w:ascii="宋体" w:hAnsi="宋体" w:eastAsia="宋体" w:cs="宋体"/>
                <w:sz w:val="24"/>
                <w:highlight w:val="none"/>
              </w:rPr>
            </w:pPr>
          </w:p>
        </w:tc>
        <w:tc>
          <w:tcPr>
            <w:tcW w:w="1413" w:type="dxa"/>
            <w:noWrap w:val="0"/>
            <w:vAlign w:val="center"/>
          </w:tcPr>
          <w:p w14:paraId="706D5222">
            <w:pPr>
              <w:spacing w:line="340" w:lineRule="exact"/>
              <w:jc w:val="left"/>
              <w:rPr>
                <w:rFonts w:hint="eastAsia" w:ascii="宋体" w:hAnsi="宋体" w:eastAsia="宋体" w:cs="宋体"/>
                <w:sz w:val="24"/>
                <w:highlight w:val="none"/>
              </w:rPr>
            </w:pPr>
          </w:p>
        </w:tc>
        <w:tc>
          <w:tcPr>
            <w:tcW w:w="778" w:type="dxa"/>
            <w:noWrap w:val="0"/>
            <w:vAlign w:val="top"/>
          </w:tcPr>
          <w:p w14:paraId="267BB4EA">
            <w:pPr>
              <w:spacing w:line="340" w:lineRule="exact"/>
              <w:jc w:val="left"/>
              <w:rPr>
                <w:rFonts w:hint="eastAsia" w:ascii="宋体" w:hAnsi="宋体" w:eastAsia="宋体" w:cs="宋体"/>
                <w:sz w:val="24"/>
                <w:highlight w:val="none"/>
              </w:rPr>
            </w:pPr>
          </w:p>
        </w:tc>
      </w:tr>
    </w:tbl>
    <w:p w14:paraId="43E508AE">
      <w:pPr>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40E8E385">
      <w:pPr>
        <w:spacing w:line="400" w:lineRule="exact"/>
        <w:ind w:firstLine="460"/>
        <w:contextualSpacing/>
        <w:rPr>
          <w:rFonts w:hint="eastAsia" w:ascii="宋体" w:hAnsi="宋体" w:eastAsia="宋体" w:cs="宋体"/>
          <w:sz w:val="24"/>
          <w:highlight w:val="none"/>
        </w:rPr>
      </w:pPr>
      <w:r>
        <w:rPr>
          <w:rFonts w:hint="eastAsia" w:ascii="宋体" w:hAnsi="宋体" w:eastAsia="宋体" w:cs="宋体"/>
          <w:sz w:val="24"/>
          <w:highlight w:val="none"/>
        </w:rPr>
        <w:t>1.未说明偏离的，将被认为响应谈判文件的规定，但该表不作为供应商对所响应内容关于商务部分等详细描述和说明的替代。</w:t>
      </w:r>
    </w:p>
    <w:p w14:paraId="1596AE56">
      <w:pPr>
        <w:spacing w:line="400" w:lineRule="exact"/>
        <w:ind w:firstLine="460"/>
        <w:contextualSpacing/>
        <w:rPr>
          <w:rFonts w:hint="eastAsia" w:ascii="宋体" w:hAnsi="宋体" w:eastAsia="宋体" w:cs="宋体"/>
          <w:sz w:val="24"/>
          <w:highlight w:val="none"/>
        </w:rPr>
      </w:pPr>
      <w:r>
        <w:rPr>
          <w:rFonts w:hint="eastAsia" w:ascii="宋体" w:hAnsi="宋体" w:eastAsia="宋体" w:cs="宋体"/>
          <w:sz w:val="24"/>
          <w:highlight w:val="none"/>
        </w:rPr>
        <w:t>2.如有偏离的，在“偏离说明”一栏选择“正偏离”、“负偏离”进行填写。正偏离、负偏离的确认和负偏离的是否响应谈判文件，由谈判小组认定。</w:t>
      </w:r>
    </w:p>
    <w:p w14:paraId="0B11C0A1">
      <w:pPr>
        <w:spacing w:line="400" w:lineRule="exact"/>
        <w:ind w:firstLine="460"/>
        <w:contextualSpacing/>
        <w:rPr>
          <w:rFonts w:hint="eastAsia" w:ascii="宋体" w:hAnsi="宋体" w:eastAsia="宋体" w:cs="宋体"/>
          <w:b/>
          <w:sz w:val="28"/>
          <w:szCs w:val="28"/>
          <w:highlight w:val="none"/>
        </w:rPr>
      </w:pPr>
      <w:r>
        <w:rPr>
          <w:rFonts w:hint="eastAsia" w:ascii="宋体" w:hAnsi="宋体" w:eastAsia="宋体" w:cs="宋体"/>
          <w:sz w:val="24"/>
          <w:highlight w:val="none"/>
        </w:rPr>
        <w:t>3.供应商若提供其他增值服务，可以在表中自行据实填写。</w:t>
      </w:r>
    </w:p>
    <w:p w14:paraId="1091849B">
      <w:pPr>
        <w:spacing w:line="400" w:lineRule="exact"/>
        <w:ind w:firstLine="540"/>
        <w:contextualSpacing/>
        <w:rPr>
          <w:rFonts w:hint="eastAsia" w:ascii="宋体" w:hAnsi="宋体" w:eastAsia="宋体" w:cs="宋体"/>
          <w:b/>
          <w:sz w:val="28"/>
          <w:szCs w:val="28"/>
          <w:highlight w:val="none"/>
        </w:rPr>
      </w:pPr>
    </w:p>
    <w:p w14:paraId="72B7CDA2">
      <w:pPr>
        <w:spacing w:line="400" w:lineRule="exact"/>
        <w:ind w:firstLine="540"/>
        <w:contextualSpacing/>
        <w:rPr>
          <w:rFonts w:hint="eastAsia" w:ascii="宋体" w:hAnsi="宋体" w:eastAsia="宋体" w:cs="宋体"/>
          <w:b/>
          <w:sz w:val="28"/>
          <w:szCs w:val="28"/>
          <w:highlight w:val="none"/>
        </w:rPr>
      </w:pPr>
    </w:p>
    <w:p w14:paraId="0FC8D75B">
      <w:pPr>
        <w:spacing w:line="400" w:lineRule="exact"/>
        <w:ind w:firstLine="540"/>
        <w:contextualSpacing/>
        <w:rPr>
          <w:rFonts w:hint="eastAsia" w:ascii="宋体" w:hAnsi="宋体" w:eastAsia="宋体" w:cs="宋体"/>
          <w:b/>
          <w:sz w:val="28"/>
          <w:szCs w:val="28"/>
          <w:highlight w:val="none"/>
        </w:rPr>
      </w:pPr>
    </w:p>
    <w:p w14:paraId="5BA88415">
      <w:pPr>
        <w:spacing w:line="300" w:lineRule="auto"/>
        <w:ind w:firstLine="4560"/>
        <w:contextualSpacing/>
        <w:rPr>
          <w:rFonts w:hint="eastAsia" w:ascii="宋体" w:hAnsi="宋体" w:eastAsia="宋体" w:cs="宋体"/>
          <w:bCs/>
          <w:sz w:val="24"/>
          <w:highlight w:val="none"/>
        </w:rPr>
      </w:pPr>
      <w:r>
        <w:rPr>
          <w:rFonts w:hint="eastAsia" w:ascii="宋体" w:hAnsi="宋体" w:eastAsia="宋体" w:cs="宋体"/>
          <w:bCs/>
          <w:sz w:val="24"/>
          <w:highlight w:val="none"/>
        </w:rPr>
        <w:t>供应商名称（盖公章）：</w:t>
      </w:r>
    </w:p>
    <w:p w14:paraId="22274FF8">
      <w:pPr>
        <w:spacing w:line="300" w:lineRule="auto"/>
        <w:ind w:firstLine="4560"/>
        <w:contextualSpacing/>
        <w:rPr>
          <w:rFonts w:hint="eastAsia" w:ascii="宋体" w:hAnsi="宋体" w:eastAsia="宋体" w:cs="宋体"/>
          <w:bCs/>
          <w:sz w:val="24"/>
          <w:highlight w:val="none"/>
        </w:rPr>
      </w:pPr>
      <w:r>
        <w:rPr>
          <w:rFonts w:hint="eastAsia" w:ascii="宋体" w:hAnsi="宋体" w:eastAsia="宋体" w:cs="宋体"/>
          <w:bCs/>
          <w:sz w:val="24"/>
          <w:highlight w:val="none"/>
        </w:rPr>
        <w:t>日期：    年  月  日</w:t>
      </w:r>
    </w:p>
    <w:p w14:paraId="40D115A9">
      <w:pPr>
        <w:spacing w:line="400" w:lineRule="exact"/>
        <w:ind w:firstLine="540"/>
        <w:contextualSpacing/>
        <w:rPr>
          <w:rFonts w:hint="eastAsia" w:ascii="宋体" w:hAnsi="宋体" w:eastAsia="宋体" w:cs="宋体"/>
          <w:b/>
          <w:sz w:val="28"/>
          <w:szCs w:val="28"/>
          <w:highlight w:val="none"/>
        </w:rPr>
      </w:pPr>
    </w:p>
    <w:p w14:paraId="57F10860">
      <w:pPr>
        <w:spacing w:line="400" w:lineRule="exact"/>
        <w:ind w:firstLine="540"/>
        <w:contextualSpacing/>
        <w:rPr>
          <w:rFonts w:hint="eastAsia" w:ascii="宋体" w:hAnsi="宋体" w:eastAsia="宋体" w:cs="宋体"/>
          <w:b/>
          <w:sz w:val="28"/>
          <w:szCs w:val="28"/>
          <w:highlight w:val="none"/>
        </w:rPr>
      </w:pPr>
    </w:p>
    <w:p w14:paraId="3261195D">
      <w:pPr>
        <w:spacing w:line="400" w:lineRule="exact"/>
        <w:ind w:firstLine="540"/>
        <w:contextualSpacing/>
        <w:rPr>
          <w:rFonts w:hint="eastAsia" w:ascii="宋体" w:hAnsi="宋体" w:eastAsia="宋体" w:cs="宋体"/>
          <w:b/>
          <w:sz w:val="28"/>
          <w:szCs w:val="28"/>
          <w:highlight w:val="none"/>
        </w:rPr>
      </w:pPr>
    </w:p>
    <w:p w14:paraId="2A2328A9">
      <w:pPr>
        <w:spacing w:line="400" w:lineRule="exact"/>
        <w:ind w:firstLine="540"/>
        <w:contextualSpacing/>
        <w:rPr>
          <w:rFonts w:hint="eastAsia" w:ascii="宋体" w:hAnsi="宋体" w:eastAsia="宋体" w:cs="宋体"/>
          <w:b/>
          <w:sz w:val="28"/>
          <w:szCs w:val="28"/>
          <w:highlight w:val="none"/>
        </w:rPr>
      </w:pPr>
    </w:p>
    <w:p w14:paraId="52B35CBA">
      <w:pPr>
        <w:spacing w:line="400" w:lineRule="exact"/>
        <w:ind w:firstLine="540"/>
        <w:contextualSpacing/>
        <w:rPr>
          <w:rFonts w:hint="eastAsia" w:ascii="宋体" w:hAnsi="宋体" w:eastAsia="宋体" w:cs="宋体"/>
          <w:b/>
          <w:sz w:val="28"/>
          <w:szCs w:val="28"/>
          <w:highlight w:val="none"/>
        </w:rPr>
      </w:pPr>
    </w:p>
    <w:p w14:paraId="335C04E2">
      <w:pPr>
        <w:spacing w:line="400" w:lineRule="exact"/>
        <w:ind w:firstLine="540"/>
        <w:contextualSpacing/>
        <w:rPr>
          <w:rFonts w:hint="eastAsia" w:ascii="宋体" w:hAnsi="宋体" w:eastAsia="宋体" w:cs="宋体"/>
          <w:b/>
          <w:sz w:val="28"/>
          <w:szCs w:val="28"/>
          <w:highlight w:val="none"/>
        </w:rPr>
      </w:pPr>
    </w:p>
    <w:p w14:paraId="3DD2A7D2">
      <w:pPr>
        <w:spacing w:line="400" w:lineRule="exact"/>
        <w:ind w:firstLine="540"/>
        <w:contextualSpacing/>
        <w:rPr>
          <w:rFonts w:hint="eastAsia" w:ascii="宋体" w:hAnsi="宋体" w:eastAsia="宋体" w:cs="宋体"/>
          <w:b/>
          <w:sz w:val="28"/>
          <w:szCs w:val="28"/>
          <w:highlight w:val="none"/>
        </w:rPr>
      </w:pPr>
    </w:p>
    <w:p w14:paraId="4C549D07">
      <w:pPr>
        <w:spacing w:line="400" w:lineRule="exact"/>
        <w:ind w:firstLine="540"/>
        <w:contextualSpacing/>
        <w:rPr>
          <w:rFonts w:hint="eastAsia" w:ascii="宋体" w:hAnsi="宋体" w:eastAsia="宋体" w:cs="宋体"/>
          <w:b/>
          <w:sz w:val="28"/>
          <w:szCs w:val="28"/>
          <w:highlight w:val="none"/>
        </w:rPr>
      </w:pPr>
    </w:p>
    <w:p w14:paraId="713B85F0">
      <w:pPr>
        <w:spacing w:line="400" w:lineRule="exact"/>
        <w:ind w:firstLine="540"/>
        <w:contextualSpacing/>
        <w:rPr>
          <w:rFonts w:hint="eastAsia" w:ascii="宋体" w:hAnsi="宋体" w:eastAsia="宋体" w:cs="宋体"/>
          <w:b/>
          <w:sz w:val="28"/>
          <w:szCs w:val="28"/>
          <w:highlight w:val="none"/>
        </w:rPr>
      </w:pPr>
    </w:p>
    <w:p w14:paraId="3E049C8C">
      <w:pPr>
        <w:spacing w:line="400" w:lineRule="exact"/>
        <w:ind w:firstLine="540"/>
        <w:contextualSpacing/>
        <w:rPr>
          <w:rFonts w:hint="eastAsia" w:ascii="宋体" w:hAnsi="宋体" w:eastAsia="宋体" w:cs="宋体"/>
          <w:b/>
          <w:sz w:val="28"/>
          <w:szCs w:val="28"/>
          <w:highlight w:val="none"/>
        </w:rPr>
      </w:pPr>
    </w:p>
    <w:p w14:paraId="3D1B527F">
      <w:pPr>
        <w:spacing w:line="400" w:lineRule="exact"/>
        <w:ind w:firstLine="540"/>
        <w:contextualSpacing/>
        <w:rPr>
          <w:rFonts w:hint="eastAsia" w:ascii="宋体" w:hAnsi="宋体" w:eastAsia="宋体" w:cs="宋体"/>
          <w:b/>
          <w:sz w:val="28"/>
          <w:szCs w:val="28"/>
          <w:highlight w:val="none"/>
        </w:rPr>
      </w:pPr>
    </w:p>
    <w:p w14:paraId="4FCD3A38">
      <w:pPr>
        <w:spacing w:line="400" w:lineRule="exact"/>
        <w:ind w:firstLine="540"/>
        <w:contextualSpacing/>
        <w:rPr>
          <w:rFonts w:hint="eastAsia" w:ascii="宋体" w:hAnsi="宋体" w:eastAsia="宋体" w:cs="宋体"/>
          <w:b/>
          <w:sz w:val="28"/>
          <w:szCs w:val="28"/>
          <w:highlight w:val="none"/>
        </w:rPr>
      </w:pPr>
    </w:p>
    <w:p w14:paraId="29EFC64A">
      <w:pPr>
        <w:spacing w:line="400" w:lineRule="exact"/>
        <w:contextualSpacing/>
        <w:rPr>
          <w:rFonts w:hint="eastAsia" w:ascii="宋体" w:hAnsi="宋体" w:eastAsia="宋体" w:cs="宋体"/>
          <w:sz w:val="32"/>
          <w:szCs w:val="32"/>
          <w:highlight w:val="none"/>
        </w:rPr>
      </w:pPr>
      <w:r>
        <w:rPr>
          <w:rFonts w:hint="eastAsia" w:ascii="宋体" w:hAnsi="宋体" w:eastAsia="宋体" w:cs="宋体"/>
          <w:sz w:val="32"/>
          <w:szCs w:val="32"/>
          <w:highlight w:val="none"/>
        </w:rPr>
        <w:t>附件7</w:t>
      </w:r>
    </w:p>
    <w:p w14:paraId="7521A4F4">
      <w:pPr>
        <w:spacing w:line="300" w:lineRule="auto"/>
        <w:contextualSpacing/>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技术部分正负偏离表</w:t>
      </w:r>
    </w:p>
    <w:p w14:paraId="5A2A73BD">
      <w:pPr>
        <w:ind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（由供应商据实填写，表格不够自行添加）</w:t>
      </w:r>
    </w:p>
    <w:tbl>
      <w:tblPr>
        <w:tblStyle w:val="30"/>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top w:w="0" w:type="dxa"/>
          <w:left w:w="108" w:type="dxa"/>
          <w:bottom w:w="0" w:type="dxa"/>
          <w:right w:w="108" w:type="dxa"/>
        </w:tblCellMar>
      </w:tblPr>
      <w:tblGrid>
        <w:gridCol w:w="831"/>
        <w:gridCol w:w="2264"/>
        <w:gridCol w:w="1977"/>
        <w:gridCol w:w="2551"/>
        <w:gridCol w:w="1405"/>
      </w:tblGrid>
      <w:tr w14:paraId="64BDB6C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994" w:hRule="atLeast"/>
        </w:trPr>
        <w:tc>
          <w:tcPr>
            <w:tcW w:w="460" w:type="dxa"/>
            <w:noWrap w:val="0"/>
            <w:vAlign w:val="center"/>
          </w:tcPr>
          <w:p w14:paraId="362F0EB2">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序号</w:t>
            </w:r>
          </w:p>
        </w:tc>
        <w:tc>
          <w:tcPr>
            <w:tcW w:w="1254" w:type="dxa"/>
            <w:noWrap w:val="0"/>
            <w:vAlign w:val="center"/>
          </w:tcPr>
          <w:p w14:paraId="6C71E19B">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货物或服务名称</w:t>
            </w:r>
          </w:p>
        </w:tc>
        <w:tc>
          <w:tcPr>
            <w:tcW w:w="1095" w:type="dxa"/>
            <w:noWrap w:val="0"/>
            <w:vAlign w:val="center"/>
          </w:tcPr>
          <w:p w14:paraId="2189DAF3">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谈判文件要求的技术要求</w:t>
            </w:r>
          </w:p>
        </w:tc>
        <w:tc>
          <w:tcPr>
            <w:tcW w:w="1413" w:type="dxa"/>
            <w:noWrap w:val="0"/>
            <w:vAlign w:val="center"/>
          </w:tcPr>
          <w:p w14:paraId="6E2A5C8D">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响应文件响应情况</w:t>
            </w:r>
          </w:p>
        </w:tc>
        <w:tc>
          <w:tcPr>
            <w:tcW w:w="778" w:type="dxa"/>
            <w:noWrap w:val="0"/>
            <w:vAlign w:val="top"/>
          </w:tcPr>
          <w:p w14:paraId="009B2B9E">
            <w:pPr>
              <w:spacing w:line="340" w:lineRule="exact"/>
              <w:jc w:val="center"/>
              <w:rPr>
                <w:rFonts w:hint="eastAsia" w:ascii="宋体" w:hAnsi="宋体" w:eastAsia="宋体" w:cs="宋体"/>
                <w:sz w:val="24"/>
                <w:highlight w:val="none"/>
              </w:rPr>
            </w:pPr>
          </w:p>
          <w:p w14:paraId="03076E64">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偏离说明</w:t>
            </w:r>
          </w:p>
        </w:tc>
      </w:tr>
      <w:tr w14:paraId="2EAAEDC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4" w:hRule="atLeast"/>
        </w:trPr>
        <w:tc>
          <w:tcPr>
            <w:tcW w:w="460" w:type="dxa"/>
            <w:noWrap w:val="0"/>
            <w:vAlign w:val="top"/>
          </w:tcPr>
          <w:p w14:paraId="1ECFAD73">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1</w:t>
            </w:r>
          </w:p>
        </w:tc>
        <w:tc>
          <w:tcPr>
            <w:tcW w:w="1254" w:type="dxa"/>
            <w:noWrap w:val="0"/>
            <w:vAlign w:val="center"/>
          </w:tcPr>
          <w:p w14:paraId="589DDECB">
            <w:pPr>
              <w:spacing w:line="340" w:lineRule="exact"/>
              <w:jc w:val="left"/>
              <w:rPr>
                <w:rFonts w:hint="eastAsia" w:ascii="宋体" w:hAnsi="宋体" w:eastAsia="宋体" w:cs="宋体"/>
                <w:sz w:val="24"/>
                <w:highlight w:val="none"/>
              </w:rPr>
            </w:pPr>
          </w:p>
        </w:tc>
        <w:tc>
          <w:tcPr>
            <w:tcW w:w="1095" w:type="dxa"/>
            <w:noWrap w:val="0"/>
            <w:vAlign w:val="center"/>
          </w:tcPr>
          <w:p w14:paraId="3984E73E">
            <w:pPr>
              <w:spacing w:line="340" w:lineRule="exact"/>
              <w:jc w:val="left"/>
              <w:rPr>
                <w:rFonts w:hint="eastAsia" w:ascii="宋体" w:hAnsi="宋体" w:eastAsia="宋体" w:cs="宋体"/>
                <w:sz w:val="24"/>
                <w:highlight w:val="none"/>
              </w:rPr>
            </w:pPr>
          </w:p>
        </w:tc>
        <w:tc>
          <w:tcPr>
            <w:tcW w:w="1413" w:type="dxa"/>
            <w:noWrap w:val="0"/>
            <w:vAlign w:val="center"/>
          </w:tcPr>
          <w:p w14:paraId="35B11F63">
            <w:pPr>
              <w:spacing w:line="340" w:lineRule="exact"/>
              <w:jc w:val="left"/>
              <w:rPr>
                <w:rFonts w:hint="eastAsia" w:ascii="宋体" w:hAnsi="宋体" w:eastAsia="宋体" w:cs="宋体"/>
                <w:sz w:val="24"/>
                <w:highlight w:val="none"/>
              </w:rPr>
            </w:pPr>
          </w:p>
        </w:tc>
        <w:tc>
          <w:tcPr>
            <w:tcW w:w="778" w:type="dxa"/>
            <w:noWrap w:val="0"/>
            <w:vAlign w:val="top"/>
          </w:tcPr>
          <w:p w14:paraId="5CFD4438">
            <w:pPr>
              <w:spacing w:line="340" w:lineRule="exact"/>
              <w:jc w:val="left"/>
              <w:rPr>
                <w:rFonts w:hint="eastAsia" w:ascii="宋体" w:hAnsi="宋体" w:eastAsia="宋体" w:cs="宋体"/>
                <w:sz w:val="24"/>
                <w:highlight w:val="none"/>
              </w:rPr>
            </w:pPr>
          </w:p>
        </w:tc>
      </w:tr>
      <w:tr w14:paraId="6BC66BE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548" w:hRule="atLeast"/>
        </w:trPr>
        <w:tc>
          <w:tcPr>
            <w:tcW w:w="460" w:type="dxa"/>
            <w:noWrap w:val="0"/>
            <w:vAlign w:val="top"/>
          </w:tcPr>
          <w:p w14:paraId="52D9D59D">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2</w:t>
            </w:r>
          </w:p>
        </w:tc>
        <w:tc>
          <w:tcPr>
            <w:tcW w:w="1254" w:type="dxa"/>
            <w:noWrap w:val="0"/>
            <w:vAlign w:val="center"/>
          </w:tcPr>
          <w:p w14:paraId="7EE70C4A">
            <w:pPr>
              <w:spacing w:line="340" w:lineRule="exact"/>
              <w:jc w:val="left"/>
              <w:rPr>
                <w:rFonts w:hint="eastAsia" w:ascii="宋体" w:hAnsi="宋体" w:eastAsia="宋体" w:cs="宋体"/>
                <w:sz w:val="24"/>
                <w:highlight w:val="none"/>
              </w:rPr>
            </w:pPr>
          </w:p>
        </w:tc>
        <w:tc>
          <w:tcPr>
            <w:tcW w:w="1095" w:type="dxa"/>
            <w:noWrap w:val="0"/>
            <w:vAlign w:val="center"/>
          </w:tcPr>
          <w:p w14:paraId="588BCBA9">
            <w:pPr>
              <w:spacing w:line="340" w:lineRule="exact"/>
              <w:jc w:val="left"/>
              <w:rPr>
                <w:rFonts w:hint="eastAsia" w:ascii="宋体" w:hAnsi="宋体" w:eastAsia="宋体" w:cs="宋体"/>
                <w:sz w:val="24"/>
                <w:highlight w:val="none"/>
              </w:rPr>
            </w:pPr>
          </w:p>
        </w:tc>
        <w:tc>
          <w:tcPr>
            <w:tcW w:w="1413" w:type="dxa"/>
            <w:noWrap w:val="0"/>
            <w:vAlign w:val="center"/>
          </w:tcPr>
          <w:p w14:paraId="182E39DF">
            <w:pPr>
              <w:spacing w:line="340" w:lineRule="exact"/>
              <w:jc w:val="left"/>
              <w:rPr>
                <w:rFonts w:hint="eastAsia" w:ascii="宋体" w:hAnsi="宋体" w:eastAsia="宋体" w:cs="宋体"/>
                <w:sz w:val="24"/>
                <w:highlight w:val="none"/>
              </w:rPr>
            </w:pPr>
          </w:p>
        </w:tc>
        <w:tc>
          <w:tcPr>
            <w:tcW w:w="778" w:type="dxa"/>
            <w:noWrap w:val="0"/>
            <w:vAlign w:val="top"/>
          </w:tcPr>
          <w:p w14:paraId="1B9D9FB5">
            <w:pPr>
              <w:spacing w:line="340" w:lineRule="exact"/>
              <w:jc w:val="left"/>
              <w:rPr>
                <w:rFonts w:hint="eastAsia" w:ascii="宋体" w:hAnsi="宋体" w:eastAsia="宋体" w:cs="宋体"/>
                <w:sz w:val="24"/>
                <w:highlight w:val="none"/>
              </w:rPr>
            </w:pPr>
          </w:p>
        </w:tc>
      </w:tr>
      <w:tr w14:paraId="72DB8E8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00" w:hRule="atLeast"/>
        </w:trPr>
        <w:tc>
          <w:tcPr>
            <w:tcW w:w="460" w:type="dxa"/>
            <w:noWrap w:val="0"/>
            <w:vAlign w:val="top"/>
          </w:tcPr>
          <w:p w14:paraId="11F7AA7B">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3</w:t>
            </w:r>
          </w:p>
        </w:tc>
        <w:tc>
          <w:tcPr>
            <w:tcW w:w="1254" w:type="dxa"/>
            <w:noWrap w:val="0"/>
            <w:vAlign w:val="center"/>
          </w:tcPr>
          <w:p w14:paraId="6777EC5E">
            <w:pPr>
              <w:spacing w:line="340" w:lineRule="exact"/>
              <w:jc w:val="left"/>
              <w:rPr>
                <w:rFonts w:hint="eastAsia" w:ascii="宋体" w:hAnsi="宋体" w:eastAsia="宋体" w:cs="宋体"/>
                <w:sz w:val="24"/>
                <w:highlight w:val="none"/>
              </w:rPr>
            </w:pPr>
          </w:p>
        </w:tc>
        <w:tc>
          <w:tcPr>
            <w:tcW w:w="1095" w:type="dxa"/>
            <w:noWrap w:val="0"/>
            <w:vAlign w:val="center"/>
          </w:tcPr>
          <w:p w14:paraId="7426CB3F">
            <w:pPr>
              <w:spacing w:line="340" w:lineRule="exact"/>
              <w:jc w:val="left"/>
              <w:rPr>
                <w:rFonts w:hint="eastAsia" w:ascii="宋体" w:hAnsi="宋体" w:eastAsia="宋体" w:cs="宋体"/>
                <w:sz w:val="24"/>
                <w:highlight w:val="none"/>
              </w:rPr>
            </w:pPr>
          </w:p>
        </w:tc>
        <w:tc>
          <w:tcPr>
            <w:tcW w:w="1413" w:type="dxa"/>
            <w:noWrap w:val="0"/>
            <w:vAlign w:val="center"/>
          </w:tcPr>
          <w:p w14:paraId="589E09CB">
            <w:pPr>
              <w:spacing w:line="340" w:lineRule="exact"/>
              <w:jc w:val="left"/>
              <w:rPr>
                <w:rFonts w:hint="eastAsia" w:ascii="宋体" w:hAnsi="宋体" w:eastAsia="宋体" w:cs="宋体"/>
                <w:sz w:val="24"/>
                <w:highlight w:val="none"/>
              </w:rPr>
            </w:pPr>
          </w:p>
        </w:tc>
        <w:tc>
          <w:tcPr>
            <w:tcW w:w="778" w:type="dxa"/>
            <w:noWrap w:val="0"/>
            <w:vAlign w:val="top"/>
          </w:tcPr>
          <w:p w14:paraId="69AEF822">
            <w:pPr>
              <w:spacing w:line="340" w:lineRule="exact"/>
              <w:jc w:val="left"/>
              <w:rPr>
                <w:rFonts w:hint="eastAsia" w:ascii="宋体" w:hAnsi="宋体" w:eastAsia="宋体" w:cs="宋体"/>
                <w:sz w:val="24"/>
                <w:highlight w:val="none"/>
              </w:rPr>
            </w:pPr>
          </w:p>
        </w:tc>
      </w:tr>
      <w:tr w14:paraId="14D199C5">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108" w:type="dxa"/>
            <w:bottom w:w="0" w:type="dxa"/>
            <w:right w:w="108" w:type="dxa"/>
          </w:tblCellMar>
        </w:tblPrEx>
        <w:trPr>
          <w:trHeight w:val="419" w:hRule="atLeast"/>
        </w:trPr>
        <w:tc>
          <w:tcPr>
            <w:tcW w:w="460" w:type="dxa"/>
            <w:noWrap w:val="0"/>
            <w:vAlign w:val="top"/>
          </w:tcPr>
          <w:p w14:paraId="2CF5B664">
            <w:pPr>
              <w:spacing w:line="340" w:lineRule="exact"/>
              <w:jc w:val="center"/>
              <w:rPr>
                <w:rFonts w:hint="eastAsia" w:ascii="宋体" w:hAnsi="宋体" w:eastAsia="宋体" w:cs="宋体"/>
                <w:sz w:val="24"/>
                <w:highlight w:val="none"/>
              </w:rPr>
            </w:pPr>
            <w:r>
              <w:rPr>
                <w:rFonts w:hint="eastAsia" w:ascii="宋体" w:hAnsi="宋体" w:eastAsia="宋体" w:cs="宋体"/>
                <w:sz w:val="24"/>
                <w:highlight w:val="none"/>
              </w:rPr>
              <w:t>4</w:t>
            </w:r>
          </w:p>
        </w:tc>
        <w:tc>
          <w:tcPr>
            <w:tcW w:w="1254" w:type="dxa"/>
            <w:noWrap w:val="0"/>
            <w:vAlign w:val="center"/>
          </w:tcPr>
          <w:p w14:paraId="6F45E353">
            <w:pPr>
              <w:spacing w:line="340" w:lineRule="exact"/>
              <w:jc w:val="left"/>
              <w:rPr>
                <w:rFonts w:hint="eastAsia" w:ascii="宋体" w:hAnsi="宋体" w:eastAsia="宋体" w:cs="宋体"/>
                <w:sz w:val="24"/>
                <w:highlight w:val="none"/>
              </w:rPr>
            </w:pPr>
          </w:p>
        </w:tc>
        <w:tc>
          <w:tcPr>
            <w:tcW w:w="1095" w:type="dxa"/>
            <w:noWrap w:val="0"/>
            <w:vAlign w:val="center"/>
          </w:tcPr>
          <w:p w14:paraId="63B7A135">
            <w:pPr>
              <w:spacing w:line="340" w:lineRule="exact"/>
              <w:jc w:val="left"/>
              <w:rPr>
                <w:rFonts w:hint="eastAsia" w:ascii="宋体" w:hAnsi="宋体" w:eastAsia="宋体" w:cs="宋体"/>
                <w:sz w:val="24"/>
                <w:highlight w:val="none"/>
              </w:rPr>
            </w:pPr>
          </w:p>
        </w:tc>
        <w:tc>
          <w:tcPr>
            <w:tcW w:w="1413" w:type="dxa"/>
            <w:noWrap w:val="0"/>
            <w:vAlign w:val="center"/>
          </w:tcPr>
          <w:p w14:paraId="33526108">
            <w:pPr>
              <w:spacing w:line="340" w:lineRule="exact"/>
              <w:jc w:val="left"/>
              <w:rPr>
                <w:rFonts w:hint="eastAsia" w:ascii="宋体" w:hAnsi="宋体" w:eastAsia="宋体" w:cs="宋体"/>
                <w:sz w:val="24"/>
                <w:highlight w:val="none"/>
              </w:rPr>
            </w:pPr>
          </w:p>
        </w:tc>
        <w:tc>
          <w:tcPr>
            <w:tcW w:w="778" w:type="dxa"/>
            <w:noWrap w:val="0"/>
            <w:vAlign w:val="top"/>
          </w:tcPr>
          <w:p w14:paraId="309C5E46">
            <w:pPr>
              <w:spacing w:line="340" w:lineRule="exact"/>
              <w:jc w:val="left"/>
              <w:rPr>
                <w:rFonts w:hint="eastAsia" w:ascii="宋体" w:hAnsi="宋体" w:eastAsia="宋体" w:cs="宋体"/>
                <w:sz w:val="24"/>
                <w:highlight w:val="none"/>
              </w:rPr>
            </w:pPr>
          </w:p>
        </w:tc>
      </w:tr>
    </w:tbl>
    <w:p w14:paraId="7BEAAC94">
      <w:pPr>
        <w:spacing w:line="300" w:lineRule="auto"/>
        <w:contextualSpacing/>
        <w:rPr>
          <w:rFonts w:hint="eastAsia" w:ascii="宋体" w:hAnsi="宋体" w:eastAsia="宋体" w:cs="宋体"/>
          <w:b/>
          <w:sz w:val="24"/>
          <w:highlight w:val="none"/>
        </w:rPr>
      </w:pPr>
      <w:r>
        <w:rPr>
          <w:rFonts w:hint="eastAsia" w:ascii="宋体" w:hAnsi="宋体" w:eastAsia="宋体" w:cs="宋体"/>
          <w:b/>
          <w:sz w:val="24"/>
          <w:highlight w:val="none"/>
        </w:rPr>
        <w:t>注：</w:t>
      </w:r>
    </w:p>
    <w:p w14:paraId="1C65E88A">
      <w:pPr>
        <w:spacing w:line="30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1.未说明偏离的，将被认为响应谈判文件的规定，但该表不作为供应商对所响应内容关于技术部分等详细描述和说明的替代。</w:t>
      </w:r>
    </w:p>
    <w:p w14:paraId="1FB4C3A9">
      <w:pPr>
        <w:spacing w:line="30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2.如有偏离的，在“偏离说明”一栏选择“正偏离”、“负偏离”进行填写。正偏离、负偏离的确认和负偏离的是否响应谈判文件，由谈判小组认定。</w:t>
      </w:r>
    </w:p>
    <w:p w14:paraId="7028A271">
      <w:pPr>
        <w:spacing w:line="300" w:lineRule="auto"/>
        <w:ind w:firstLine="480"/>
        <w:contextualSpacing/>
        <w:rPr>
          <w:rFonts w:hint="eastAsia" w:ascii="宋体" w:hAnsi="宋体" w:eastAsia="宋体" w:cs="宋体"/>
          <w:sz w:val="24"/>
          <w:highlight w:val="none"/>
        </w:rPr>
      </w:pPr>
      <w:r>
        <w:rPr>
          <w:rFonts w:hint="eastAsia" w:ascii="宋体" w:hAnsi="宋体" w:eastAsia="宋体" w:cs="宋体"/>
          <w:sz w:val="24"/>
          <w:highlight w:val="none"/>
        </w:rPr>
        <w:t>3.供应商若提供其他增值服务，可以在表中自行据实填写。</w:t>
      </w:r>
    </w:p>
    <w:p w14:paraId="2A4D6BAB">
      <w:pPr>
        <w:spacing w:line="300" w:lineRule="auto"/>
        <w:ind w:firstLine="480"/>
        <w:contextualSpacing/>
        <w:rPr>
          <w:rFonts w:hint="eastAsia" w:ascii="宋体" w:hAnsi="宋体" w:eastAsia="宋体" w:cs="宋体"/>
          <w:sz w:val="24"/>
          <w:highlight w:val="none"/>
        </w:rPr>
      </w:pPr>
    </w:p>
    <w:p w14:paraId="5CABF1B6">
      <w:pPr>
        <w:spacing w:line="300" w:lineRule="auto"/>
        <w:ind w:firstLine="480"/>
        <w:contextualSpacing/>
        <w:rPr>
          <w:rFonts w:hint="eastAsia" w:ascii="宋体" w:hAnsi="宋体" w:eastAsia="宋体" w:cs="宋体"/>
          <w:sz w:val="24"/>
          <w:highlight w:val="none"/>
        </w:rPr>
      </w:pPr>
    </w:p>
    <w:p w14:paraId="5B2F13EC">
      <w:pPr>
        <w:spacing w:line="300" w:lineRule="auto"/>
        <w:ind w:firstLine="480"/>
        <w:contextualSpacing/>
        <w:rPr>
          <w:rFonts w:hint="eastAsia" w:ascii="宋体" w:hAnsi="宋体" w:eastAsia="宋体" w:cs="宋体"/>
          <w:sz w:val="24"/>
          <w:highlight w:val="none"/>
        </w:rPr>
      </w:pPr>
    </w:p>
    <w:p w14:paraId="5C4958CD">
      <w:pPr>
        <w:spacing w:line="300" w:lineRule="auto"/>
        <w:ind w:firstLine="480"/>
        <w:contextualSpacing/>
        <w:rPr>
          <w:rFonts w:hint="eastAsia" w:ascii="宋体" w:hAnsi="宋体" w:eastAsia="宋体" w:cs="宋体"/>
          <w:sz w:val="24"/>
          <w:highlight w:val="none"/>
        </w:rPr>
      </w:pPr>
    </w:p>
    <w:p w14:paraId="7CEF859C">
      <w:pPr>
        <w:spacing w:line="300" w:lineRule="auto"/>
        <w:ind w:firstLine="4800"/>
        <w:contextualSpacing/>
        <w:rPr>
          <w:rFonts w:hint="eastAsia" w:ascii="宋体" w:hAnsi="宋体" w:eastAsia="宋体" w:cs="宋体"/>
          <w:sz w:val="24"/>
          <w:highlight w:val="none"/>
        </w:rPr>
      </w:pPr>
      <w:r>
        <w:rPr>
          <w:rFonts w:hint="eastAsia" w:ascii="宋体" w:hAnsi="宋体" w:eastAsia="宋体" w:cs="宋体"/>
          <w:sz w:val="24"/>
          <w:highlight w:val="none"/>
        </w:rPr>
        <w:t>供应商名称（盖公章）：</w:t>
      </w:r>
    </w:p>
    <w:p w14:paraId="2AD5FEC9">
      <w:pPr>
        <w:spacing w:line="300" w:lineRule="auto"/>
        <w:ind w:firstLine="4800"/>
        <w:contextualSpacing/>
        <w:rPr>
          <w:rFonts w:hint="eastAsia" w:ascii="宋体" w:hAnsi="宋体" w:eastAsia="宋体" w:cs="宋体"/>
          <w:bCs/>
          <w:sz w:val="24"/>
          <w:highlight w:val="none"/>
        </w:rPr>
      </w:pPr>
      <w:r>
        <w:rPr>
          <w:rFonts w:hint="eastAsia" w:ascii="宋体" w:hAnsi="宋体" w:eastAsia="宋体" w:cs="宋体"/>
          <w:sz w:val="24"/>
          <w:highlight w:val="none"/>
        </w:rPr>
        <w:t>日期：    年  月  日</w:t>
      </w:r>
    </w:p>
    <w:p w14:paraId="18D95974">
      <w:pPr>
        <w:spacing w:line="400" w:lineRule="exact"/>
        <w:ind w:firstLine="540"/>
        <w:contextualSpacing/>
        <w:rPr>
          <w:rFonts w:hint="eastAsia" w:ascii="宋体" w:hAnsi="宋体" w:eastAsia="宋体" w:cs="宋体"/>
          <w:b/>
          <w:sz w:val="28"/>
          <w:szCs w:val="28"/>
          <w:highlight w:val="none"/>
        </w:rPr>
      </w:pPr>
    </w:p>
    <w:p w14:paraId="5D97DF07">
      <w:pPr>
        <w:spacing w:line="400" w:lineRule="exact"/>
        <w:ind w:firstLine="540"/>
        <w:contextualSpacing/>
        <w:rPr>
          <w:rFonts w:hint="eastAsia" w:ascii="宋体" w:hAnsi="宋体" w:eastAsia="宋体" w:cs="宋体"/>
          <w:b/>
          <w:sz w:val="28"/>
          <w:szCs w:val="28"/>
          <w:highlight w:val="none"/>
        </w:rPr>
      </w:pPr>
    </w:p>
    <w:p w14:paraId="5375D5AC">
      <w:pPr>
        <w:spacing w:line="400" w:lineRule="exact"/>
        <w:ind w:firstLine="540"/>
        <w:contextualSpacing/>
        <w:rPr>
          <w:rFonts w:hint="eastAsia" w:ascii="宋体" w:hAnsi="宋体" w:eastAsia="宋体" w:cs="宋体"/>
          <w:b/>
          <w:sz w:val="28"/>
          <w:szCs w:val="28"/>
          <w:highlight w:val="none"/>
        </w:rPr>
      </w:pPr>
    </w:p>
    <w:p w14:paraId="48DA5F5B">
      <w:pPr>
        <w:spacing w:line="400" w:lineRule="exact"/>
        <w:ind w:firstLine="540"/>
        <w:contextualSpacing/>
        <w:rPr>
          <w:rFonts w:hint="eastAsia" w:ascii="宋体" w:hAnsi="宋体" w:eastAsia="宋体" w:cs="宋体"/>
          <w:b/>
          <w:sz w:val="28"/>
          <w:szCs w:val="28"/>
          <w:highlight w:val="none"/>
        </w:rPr>
      </w:pPr>
    </w:p>
    <w:p w14:paraId="55700971">
      <w:pPr>
        <w:spacing w:line="400" w:lineRule="exact"/>
        <w:ind w:firstLine="540"/>
        <w:contextualSpacing/>
        <w:rPr>
          <w:rFonts w:hint="eastAsia" w:ascii="宋体" w:hAnsi="宋体" w:eastAsia="宋体" w:cs="宋体"/>
          <w:b/>
          <w:sz w:val="28"/>
          <w:szCs w:val="28"/>
          <w:highlight w:val="none"/>
        </w:rPr>
      </w:pPr>
    </w:p>
    <w:p w14:paraId="478FC094">
      <w:pPr>
        <w:spacing w:line="400" w:lineRule="exact"/>
        <w:ind w:firstLine="540"/>
        <w:contextualSpacing/>
        <w:rPr>
          <w:rFonts w:hint="eastAsia" w:ascii="宋体" w:hAnsi="宋体" w:eastAsia="宋体" w:cs="宋体"/>
          <w:b/>
          <w:sz w:val="28"/>
          <w:szCs w:val="28"/>
          <w:highlight w:val="none"/>
        </w:rPr>
      </w:pPr>
    </w:p>
    <w:p w14:paraId="315DA870">
      <w:pPr>
        <w:spacing w:line="400" w:lineRule="exact"/>
        <w:ind w:firstLine="540"/>
        <w:contextualSpacing/>
        <w:rPr>
          <w:rFonts w:hint="eastAsia" w:ascii="宋体" w:hAnsi="宋体" w:eastAsia="宋体" w:cs="宋体"/>
          <w:b/>
          <w:sz w:val="28"/>
          <w:szCs w:val="28"/>
          <w:highlight w:val="none"/>
        </w:rPr>
      </w:pPr>
    </w:p>
    <w:p w14:paraId="2A9F0731">
      <w:pPr>
        <w:spacing w:line="400" w:lineRule="exact"/>
        <w:ind w:firstLine="540"/>
        <w:contextualSpacing/>
        <w:rPr>
          <w:rFonts w:hint="eastAsia" w:ascii="宋体" w:hAnsi="宋体" w:eastAsia="宋体" w:cs="宋体"/>
          <w:b/>
          <w:sz w:val="28"/>
          <w:szCs w:val="28"/>
          <w:highlight w:val="none"/>
        </w:rPr>
      </w:pPr>
    </w:p>
    <w:p w14:paraId="1BA175ED">
      <w:pPr>
        <w:spacing w:line="400" w:lineRule="exact"/>
        <w:ind w:firstLine="540"/>
        <w:contextualSpacing/>
        <w:rPr>
          <w:rFonts w:hint="eastAsia" w:ascii="宋体" w:hAnsi="宋体" w:eastAsia="宋体" w:cs="宋体"/>
          <w:b/>
          <w:sz w:val="28"/>
          <w:szCs w:val="28"/>
          <w:highlight w:val="none"/>
        </w:rPr>
      </w:pPr>
    </w:p>
    <w:p w14:paraId="1FDA8AFF">
      <w:pPr>
        <w:spacing w:line="400" w:lineRule="exact"/>
        <w:ind w:firstLine="540"/>
        <w:contextualSpacing/>
        <w:rPr>
          <w:rFonts w:hint="eastAsia" w:ascii="宋体" w:hAnsi="宋体" w:eastAsia="宋体" w:cs="宋体"/>
          <w:b/>
          <w:sz w:val="28"/>
          <w:szCs w:val="28"/>
          <w:highlight w:val="none"/>
        </w:rPr>
      </w:pPr>
    </w:p>
    <w:p w14:paraId="3881F0A9">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50DDBF49">
      <w:pPr>
        <w:spacing w:line="400" w:lineRule="exact"/>
        <w:contextualSpacing/>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rPr>
        <w:t>附件8</w:t>
      </w:r>
      <w:r>
        <w:rPr>
          <w:rFonts w:hint="eastAsia" w:ascii="宋体" w:hAnsi="宋体" w:eastAsia="宋体" w:cs="宋体"/>
          <w:sz w:val="32"/>
          <w:szCs w:val="32"/>
          <w:highlight w:val="none"/>
          <w:lang w:val="en-US" w:eastAsia="zh-CN"/>
        </w:rPr>
        <w:t xml:space="preserve">           </w:t>
      </w:r>
    </w:p>
    <w:p w14:paraId="10F44468">
      <w:pPr>
        <w:spacing w:line="400" w:lineRule="exact"/>
        <w:contextualSpacing/>
        <w:jc w:val="center"/>
        <w:rPr>
          <w:rFonts w:hint="eastAsia" w:ascii="宋体" w:hAnsi="宋体" w:eastAsia="宋体" w:cs="宋体"/>
          <w:highlight w:val="none"/>
          <w:lang w:eastAsia="zh-CN"/>
        </w:rPr>
      </w:pPr>
      <w:r>
        <w:rPr>
          <w:rFonts w:hint="eastAsia" w:ascii="宋体" w:hAnsi="宋体" w:eastAsia="宋体" w:cs="宋体"/>
          <w:b/>
          <w:bCs/>
          <w:sz w:val="36"/>
          <w:szCs w:val="36"/>
          <w:highlight w:val="none"/>
        </w:rPr>
        <w:t>分项报价明细表</w:t>
      </w:r>
      <w:r>
        <w:rPr>
          <w:rFonts w:hint="eastAsia" w:ascii="宋体" w:hAnsi="宋体" w:cs="宋体"/>
          <w:b/>
          <w:bCs/>
          <w:sz w:val="36"/>
          <w:szCs w:val="36"/>
          <w:highlight w:val="none"/>
          <w:lang w:eastAsia="zh-CN"/>
        </w:rPr>
        <w:t>（</w:t>
      </w:r>
      <w:r>
        <w:rPr>
          <w:rFonts w:hint="eastAsia" w:ascii="宋体" w:hAnsi="宋体" w:cs="宋体"/>
          <w:b/>
          <w:bCs/>
          <w:sz w:val="36"/>
          <w:szCs w:val="36"/>
          <w:highlight w:val="none"/>
          <w:lang w:val="en-US" w:eastAsia="zh-CN"/>
        </w:rPr>
        <w:t>详见附件</w:t>
      </w:r>
      <w:r>
        <w:rPr>
          <w:rFonts w:hint="eastAsia" w:ascii="宋体" w:hAnsi="宋体" w:cs="宋体"/>
          <w:b/>
          <w:bCs/>
          <w:sz w:val="36"/>
          <w:szCs w:val="36"/>
          <w:highlight w:val="none"/>
          <w:lang w:eastAsia="zh-CN"/>
        </w:rPr>
        <w:t>）</w:t>
      </w:r>
    </w:p>
    <w:p w14:paraId="0FF37079">
      <w:pPr>
        <w:rPr>
          <w:rFonts w:hint="eastAsia" w:ascii="宋体" w:hAnsi="宋体" w:eastAsia="宋体" w:cs="宋体"/>
          <w:highlight w:val="none"/>
        </w:rPr>
      </w:pPr>
    </w:p>
    <w:p w14:paraId="79A4A557">
      <w:pPr>
        <w:pStyle w:val="190"/>
        <w:rPr>
          <w:rFonts w:hint="eastAsia" w:ascii="宋体" w:hAnsi="宋体" w:eastAsia="宋体" w:cs="宋体"/>
          <w:highlight w:val="none"/>
        </w:rPr>
      </w:pPr>
    </w:p>
    <w:p w14:paraId="73E4BD82">
      <w:pPr>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br w:type="page"/>
      </w:r>
    </w:p>
    <w:p w14:paraId="09D503D6">
      <w:pPr>
        <w:spacing w:line="300" w:lineRule="auto"/>
        <w:outlineLvl w:val="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lang w:val="en-US" w:eastAsia="zh-CN"/>
        </w:rPr>
        <w:t xml:space="preserve">附件9            </w:t>
      </w:r>
    </w:p>
    <w:p w14:paraId="0B06C06E">
      <w:pPr>
        <w:spacing w:line="300" w:lineRule="auto"/>
        <w:jc w:val="center"/>
        <w:outlineLvl w:val="0"/>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报价</w:t>
      </w:r>
      <w:r>
        <w:rPr>
          <w:rFonts w:hint="eastAsia" w:ascii="宋体" w:hAnsi="宋体" w:cs="宋体"/>
          <w:b/>
          <w:bCs/>
          <w:sz w:val="32"/>
          <w:szCs w:val="32"/>
          <w:highlight w:val="none"/>
          <w:lang w:eastAsia="zh-CN"/>
        </w:rPr>
        <w:t>表</w:t>
      </w:r>
      <w:r>
        <w:rPr>
          <w:rFonts w:hint="eastAsia" w:ascii="宋体" w:hAnsi="宋体" w:eastAsia="宋体" w:cs="宋体"/>
          <w:b/>
          <w:bCs/>
          <w:sz w:val="32"/>
          <w:szCs w:val="32"/>
          <w:highlight w:val="none"/>
        </w:rPr>
        <w:t>（</w:t>
      </w:r>
      <w:r>
        <w:rPr>
          <w:rFonts w:hint="eastAsia" w:ascii="宋体" w:hAnsi="宋体" w:eastAsia="宋体" w:cs="宋体"/>
          <w:b/>
          <w:bCs/>
          <w:color w:val="C00000"/>
          <w:sz w:val="32"/>
          <w:szCs w:val="32"/>
          <w:highlight w:val="none"/>
          <w:lang w:val="en-US" w:eastAsia="zh-CN"/>
        </w:rPr>
        <w:t>最终</w:t>
      </w:r>
      <w:r>
        <w:rPr>
          <w:rFonts w:hint="eastAsia" w:ascii="宋体" w:hAnsi="宋体" w:eastAsia="宋体" w:cs="宋体"/>
          <w:b/>
          <w:bCs/>
          <w:sz w:val="32"/>
          <w:szCs w:val="32"/>
          <w:highlight w:val="none"/>
        </w:rPr>
        <w:t>）</w:t>
      </w:r>
    </w:p>
    <w:p w14:paraId="3150EE5E">
      <w:pPr>
        <w:ind w:firstLine="560" w:firstLineChars="200"/>
        <w:jc w:val="both"/>
        <w:rPr>
          <w:rFonts w:hint="eastAsia" w:ascii="方正仿宋_GB2312" w:hAnsi="方正仿宋_GB2312" w:eastAsia="方正仿宋_GB2312" w:cs="方正仿宋_GB2312"/>
          <w:b/>
          <w:bCs/>
          <w:highlight w:val="none"/>
          <w:lang w:val="en-US" w:eastAsia="zh-CN"/>
        </w:rPr>
      </w:pPr>
      <w:r>
        <w:rPr>
          <w:rFonts w:hint="eastAsia" w:ascii="方正仿宋_GB2312" w:hAnsi="方正仿宋_GB2312" w:eastAsia="方正仿宋_GB2312" w:cs="方正仿宋_GB2312"/>
          <w:sz w:val="28"/>
          <w:szCs w:val="28"/>
          <w:highlight w:val="none"/>
          <w:u w:val="single"/>
          <w:lang w:val="en-US" w:eastAsia="zh-CN"/>
        </w:rPr>
        <w:t xml:space="preserve">项目名称（编号）：                                    </w:t>
      </w:r>
    </w:p>
    <w:p w14:paraId="67C7E26C">
      <w:pPr>
        <w:spacing w:line="300" w:lineRule="auto"/>
        <w:jc w:val="center"/>
        <w:outlineLvl w:val="0"/>
        <w:rPr>
          <w:rFonts w:hint="eastAsia" w:ascii="宋体" w:hAnsi="宋体" w:eastAsia="宋体" w:cs="宋体"/>
          <w:b/>
          <w:bCs/>
          <w:sz w:val="32"/>
          <w:szCs w:val="32"/>
          <w:highlight w:val="none"/>
        </w:rPr>
      </w:pPr>
    </w:p>
    <w:tbl>
      <w:tblPr>
        <w:tblStyle w:val="30"/>
        <w:tblW w:w="8819"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666"/>
        <w:gridCol w:w="3138"/>
        <w:gridCol w:w="3096"/>
        <w:gridCol w:w="1919"/>
      </w:tblGrid>
      <w:tr w14:paraId="359F680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vMerge w:val="restart"/>
            <w:tcBorders>
              <w:top w:val="single" w:color="auto" w:sz="4" w:space="0"/>
              <w:left w:val="single" w:color="auto" w:sz="4" w:space="0"/>
              <w:bottom w:val="single" w:color="auto" w:sz="4" w:space="0"/>
              <w:right w:val="single" w:color="auto" w:sz="4" w:space="0"/>
            </w:tcBorders>
            <w:noWrap/>
            <w:vAlign w:val="center"/>
          </w:tcPr>
          <w:p w14:paraId="6BA2543A">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序号</w:t>
            </w:r>
          </w:p>
        </w:tc>
        <w:tc>
          <w:tcPr>
            <w:tcW w:w="8153" w:type="dxa"/>
            <w:gridSpan w:val="3"/>
            <w:tcBorders>
              <w:top w:val="single" w:color="auto" w:sz="4" w:space="0"/>
              <w:left w:val="single" w:color="auto" w:sz="4" w:space="0"/>
              <w:bottom w:val="single" w:color="auto" w:sz="4" w:space="0"/>
              <w:right w:val="single" w:color="auto" w:sz="4" w:space="0"/>
            </w:tcBorders>
            <w:noWrap/>
            <w:vAlign w:val="center"/>
          </w:tcPr>
          <w:p w14:paraId="79A1E3E0">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清单内容</w:t>
            </w:r>
          </w:p>
        </w:tc>
      </w:tr>
      <w:tr w14:paraId="189A6AA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vMerge w:val="continue"/>
            <w:tcBorders>
              <w:top w:val="single" w:color="auto" w:sz="4" w:space="0"/>
              <w:left w:val="single" w:color="auto" w:sz="4" w:space="0"/>
              <w:bottom w:val="single" w:color="auto" w:sz="4" w:space="0"/>
              <w:right w:val="single" w:color="auto" w:sz="4" w:space="0"/>
            </w:tcBorders>
            <w:noWrap/>
            <w:vAlign w:val="center"/>
          </w:tcPr>
          <w:p w14:paraId="7EF13D71">
            <w:pPr>
              <w:jc w:val="center"/>
              <w:rPr>
                <w:rFonts w:hint="eastAsia" w:ascii="宋体" w:hAnsi="宋体" w:eastAsia="宋体" w:cs="宋体"/>
                <w:b/>
                <w:bCs/>
                <w:i w:val="0"/>
                <w:iCs w:val="0"/>
                <w:color w:val="000000"/>
                <w:sz w:val="22"/>
                <w:szCs w:val="22"/>
                <w:highlight w:val="none"/>
                <w:u w:val="none"/>
              </w:rPr>
            </w:pPr>
          </w:p>
        </w:tc>
        <w:tc>
          <w:tcPr>
            <w:tcW w:w="3138" w:type="dxa"/>
            <w:tcBorders>
              <w:top w:val="single" w:color="auto" w:sz="4" w:space="0"/>
              <w:left w:val="single" w:color="auto" w:sz="4" w:space="0"/>
              <w:bottom w:val="single" w:color="auto" w:sz="4" w:space="0"/>
              <w:right w:val="single" w:color="auto" w:sz="4" w:space="0"/>
            </w:tcBorders>
            <w:noWrap/>
            <w:vAlign w:val="center"/>
          </w:tcPr>
          <w:p w14:paraId="0DE680B0">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报价内容</w:t>
            </w:r>
          </w:p>
        </w:tc>
        <w:tc>
          <w:tcPr>
            <w:tcW w:w="3096" w:type="dxa"/>
            <w:tcBorders>
              <w:top w:val="single" w:color="auto" w:sz="4" w:space="0"/>
              <w:left w:val="single" w:color="auto" w:sz="4" w:space="0"/>
              <w:bottom w:val="single" w:color="auto" w:sz="4" w:space="0"/>
              <w:right w:val="single" w:color="auto" w:sz="4" w:space="0"/>
            </w:tcBorders>
            <w:noWrap/>
            <w:vAlign w:val="center"/>
          </w:tcPr>
          <w:p w14:paraId="5220E2DB">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详细报价内容</w:t>
            </w:r>
          </w:p>
        </w:tc>
        <w:tc>
          <w:tcPr>
            <w:tcW w:w="1919" w:type="dxa"/>
            <w:tcBorders>
              <w:top w:val="single" w:color="auto" w:sz="4" w:space="0"/>
              <w:left w:val="single" w:color="auto" w:sz="4" w:space="0"/>
              <w:bottom w:val="single" w:color="auto" w:sz="4" w:space="0"/>
              <w:right w:val="single" w:color="auto" w:sz="4" w:space="0"/>
            </w:tcBorders>
            <w:noWrap/>
            <w:vAlign w:val="center"/>
          </w:tcPr>
          <w:p w14:paraId="252CE441">
            <w:pPr>
              <w:keepNext w:val="0"/>
              <w:keepLines w:val="0"/>
              <w:widowControl/>
              <w:suppressLineNumbers w:val="0"/>
              <w:jc w:val="center"/>
              <w:rPr>
                <w:rFonts w:hint="eastAsia" w:ascii="宋体" w:hAnsi="宋体" w:eastAsia="宋体" w:cs="宋体"/>
                <w:b/>
                <w:bCs/>
                <w:i w:val="0"/>
                <w:iCs w:val="0"/>
                <w:color w:val="000000"/>
                <w:sz w:val="22"/>
                <w:szCs w:val="22"/>
                <w:highlight w:val="none"/>
                <w:u w:val="none"/>
              </w:rPr>
            </w:pPr>
            <w:r>
              <w:rPr>
                <w:rFonts w:hint="eastAsia" w:ascii="宋体" w:hAnsi="宋体" w:eastAsia="宋体" w:cs="宋体"/>
                <w:b/>
                <w:bCs/>
                <w:i w:val="0"/>
                <w:iCs w:val="0"/>
                <w:color w:val="000000"/>
                <w:sz w:val="22"/>
                <w:szCs w:val="22"/>
                <w:highlight w:val="none"/>
                <w:u w:val="none"/>
                <w:lang w:val="en-US" w:eastAsia="zh-CN" w:bidi="ar"/>
              </w:rPr>
              <w:t>合计（元）</w:t>
            </w:r>
          </w:p>
        </w:tc>
      </w:tr>
      <w:tr w14:paraId="0CB5605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tcBorders>
              <w:top w:val="single" w:color="auto" w:sz="4" w:space="0"/>
              <w:left w:val="single" w:color="auto" w:sz="4" w:space="0"/>
              <w:bottom w:val="single" w:color="auto" w:sz="4" w:space="0"/>
              <w:right w:val="single" w:color="auto" w:sz="4" w:space="0"/>
            </w:tcBorders>
            <w:noWrap/>
            <w:vAlign w:val="center"/>
          </w:tcPr>
          <w:p w14:paraId="60C7FBBE">
            <w:pPr>
              <w:keepNext w:val="0"/>
              <w:keepLines w:val="0"/>
              <w:widowControl/>
              <w:suppressLineNumbers w:val="0"/>
              <w:jc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sz w:val="22"/>
                <w:szCs w:val="22"/>
                <w:highlight w:val="none"/>
                <w:u w:val="none"/>
                <w:lang w:val="en-US" w:eastAsia="zh-CN" w:bidi="ar"/>
              </w:rPr>
              <w:t>1</w:t>
            </w:r>
          </w:p>
        </w:tc>
        <w:tc>
          <w:tcPr>
            <w:tcW w:w="3138" w:type="dxa"/>
            <w:tcBorders>
              <w:top w:val="single" w:color="auto" w:sz="4" w:space="0"/>
              <w:left w:val="single" w:color="auto" w:sz="4" w:space="0"/>
              <w:bottom w:val="single" w:color="auto" w:sz="4" w:space="0"/>
              <w:right w:val="single" w:color="auto" w:sz="4" w:space="0"/>
            </w:tcBorders>
            <w:noWrap/>
            <w:vAlign w:val="center"/>
          </w:tcPr>
          <w:p w14:paraId="32D51F5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南海公路绿化一年养护费</w:t>
            </w:r>
          </w:p>
        </w:tc>
        <w:tc>
          <w:tcPr>
            <w:tcW w:w="3096" w:type="dxa"/>
            <w:tcBorders>
              <w:top w:val="single" w:color="auto" w:sz="4" w:space="0"/>
              <w:left w:val="single" w:color="auto" w:sz="4" w:space="0"/>
              <w:bottom w:val="single" w:color="auto" w:sz="4" w:space="0"/>
              <w:right w:val="single" w:color="auto" w:sz="4" w:space="0"/>
            </w:tcBorders>
            <w:noWrap/>
            <w:vAlign w:val="center"/>
          </w:tcPr>
          <w:p w14:paraId="07F494D8">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详见南海公路苗木清单明细</w:t>
            </w:r>
          </w:p>
        </w:tc>
        <w:tc>
          <w:tcPr>
            <w:tcW w:w="1919" w:type="dxa"/>
            <w:tcBorders>
              <w:top w:val="single" w:color="auto" w:sz="4" w:space="0"/>
              <w:left w:val="single" w:color="auto" w:sz="4" w:space="0"/>
              <w:bottom w:val="single" w:color="auto" w:sz="4" w:space="0"/>
              <w:right w:val="single" w:color="auto" w:sz="4" w:space="0"/>
            </w:tcBorders>
            <w:noWrap w:val="0"/>
            <w:vAlign w:val="center"/>
          </w:tcPr>
          <w:p w14:paraId="06FE15EA">
            <w:pPr>
              <w:jc w:val="center"/>
              <w:rPr>
                <w:rFonts w:hint="eastAsia" w:ascii="宋体" w:hAnsi="宋体" w:eastAsia="宋体" w:cs="宋体"/>
                <w:i w:val="0"/>
                <w:iCs w:val="0"/>
                <w:color w:val="000000"/>
                <w:sz w:val="28"/>
                <w:szCs w:val="28"/>
                <w:highlight w:val="none"/>
                <w:u w:val="none"/>
              </w:rPr>
            </w:pPr>
          </w:p>
        </w:tc>
      </w:tr>
      <w:tr w14:paraId="09207DEA">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tcBorders>
              <w:top w:val="single" w:color="auto" w:sz="4" w:space="0"/>
              <w:left w:val="single" w:color="auto" w:sz="4" w:space="0"/>
              <w:bottom w:val="single" w:color="auto" w:sz="4" w:space="0"/>
              <w:right w:val="single" w:color="auto" w:sz="4" w:space="0"/>
            </w:tcBorders>
            <w:noWrap/>
            <w:vAlign w:val="center"/>
          </w:tcPr>
          <w:p w14:paraId="7F822EDA">
            <w:pPr>
              <w:keepNext w:val="0"/>
              <w:keepLines w:val="0"/>
              <w:widowControl/>
              <w:suppressLineNumbers w:val="0"/>
              <w:jc w:val="center"/>
              <w:rPr>
                <w:rFonts w:hint="default"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2</w:t>
            </w:r>
          </w:p>
        </w:tc>
        <w:tc>
          <w:tcPr>
            <w:tcW w:w="3138" w:type="dxa"/>
            <w:tcBorders>
              <w:top w:val="single" w:color="auto" w:sz="4" w:space="0"/>
              <w:left w:val="single" w:color="auto" w:sz="4" w:space="0"/>
              <w:bottom w:val="single" w:color="auto" w:sz="4" w:space="0"/>
              <w:right w:val="single" w:color="auto" w:sz="4" w:space="0"/>
            </w:tcBorders>
            <w:noWrap/>
            <w:vAlign w:val="center"/>
          </w:tcPr>
          <w:p w14:paraId="0B81BA8F">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王海公路绿化一年养护费</w:t>
            </w:r>
          </w:p>
        </w:tc>
        <w:tc>
          <w:tcPr>
            <w:tcW w:w="3096" w:type="dxa"/>
            <w:tcBorders>
              <w:top w:val="single" w:color="auto" w:sz="4" w:space="0"/>
              <w:left w:val="single" w:color="auto" w:sz="4" w:space="0"/>
              <w:bottom w:val="single" w:color="auto" w:sz="4" w:space="0"/>
              <w:right w:val="single" w:color="auto" w:sz="4" w:space="0"/>
            </w:tcBorders>
            <w:noWrap/>
            <w:vAlign w:val="center"/>
          </w:tcPr>
          <w:p w14:paraId="63E97E5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详见王海公路苗木清单明细</w:t>
            </w:r>
          </w:p>
        </w:tc>
        <w:tc>
          <w:tcPr>
            <w:tcW w:w="1919" w:type="dxa"/>
            <w:tcBorders>
              <w:top w:val="single" w:color="auto" w:sz="4" w:space="0"/>
              <w:left w:val="single" w:color="auto" w:sz="4" w:space="0"/>
              <w:bottom w:val="single" w:color="auto" w:sz="4" w:space="0"/>
              <w:right w:val="single" w:color="auto" w:sz="4" w:space="0"/>
            </w:tcBorders>
            <w:noWrap w:val="0"/>
            <w:vAlign w:val="center"/>
          </w:tcPr>
          <w:p w14:paraId="7BCB4D1D">
            <w:pPr>
              <w:jc w:val="center"/>
              <w:rPr>
                <w:rFonts w:hint="eastAsia" w:ascii="宋体" w:hAnsi="宋体" w:eastAsia="宋体" w:cs="宋体"/>
                <w:i w:val="0"/>
                <w:iCs w:val="0"/>
                <w:color w:val="000000"/>
                <w:sz w:val="28"/>
                <w:szCs w:val="28"/>
                <w:highlight w:val="none"/>
                <w:u w:val="none"/>
              </w:rPr>
            </w:pPr>
          </w:p>
        </w:tc>
      </w:tr>
      <w:tr w14:paraId="14304F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tcBorders>
              <w:top w:val="single" w:color="auto" w:sz="4" w:space="0"/>
              <w:left w:val="single" w:color="auto" w:sz="4" w:space="0"/>
              <w:bottom w:val="single" w:color="auto" w:sz="4" w:space="0"/>
              <w:right w:val="single" w:color="auto" w:sz="4" w:space="0"/>
            </w:tcBorders>
            <w:noWrap/>
            <w:vAlign w:val="center"/>
          </w:tcPr>
          <w:p w14:paraId="70512780">
            <w:pPr>
              <w:keepNext w:val="0"/>
              <w:keepLines w:val="0"/>
              <w:widowControl/>
              <w:suppressLineNumbers w:val="0"/>
              <w:jc w:val="center"/>
              <w:rPr>
                <w:rFonts w:hint="default"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3</w:t>
            </w:r>
          </w:p>
        </w:tc>
        <w:tc>
          <w:tcPr>
            <w:tcW w:w="3138" w:type="dxa"/>
            <w:tcBorders>
              <w:top w:val="single" w:color="auto" w:sz="4" w:space="0"/>
              <w:left w:val="single" w:color="auto" w:sz="4" w:space="0"/>
              <w:bottom w:val="single" w:color="auto" w:sz="4" w:space="0"/>
              <w:right w:val="single" w:color="auto" w:sz="4" w:space="0"/>
            </w:tcBorders>
            <w:noWrap/>
            <w:vAlign w:val="center"/>
          </w:tcPr>
          <w:p w14:paraId="1EEEFA9E">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S255（S221）绿化一年养护费</w:t>
            </w:r>
          </w:p>
        </w:tc>
        <w:tc>
          <w:tcPr>
            <w:tcW w:w="3096" w:type="dxa"/>
            <w:tcBorders>
              <w:top w:val="single" w:color="auto" w:sz="4" w:space="0"/>
              <w:left w:val="single" w:color="auto" w:sz="4" w:space="0"/>
              <w:bottom w:val="single" w:color="auto" w:sz="4" w:space="0"/>
              <w:right w:val="single" w:color="auto" w:sz="4" w:space="0"/>
            </w:tcBorders>
            <w:noWrap/>
            <w:vAlign w:val="center"/>
          </w:tcPr>
          <w:p w14:paraId="2E0E2D2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详见S255（S221）苗木清单明细</w:t>
            </w:r>
          </w:p>
        </w:tc>
        <w:tc>
          <w:tcPr>
            <w:tcW w:w="1919" w:type="dxa"/>
            <w:tcBorders>
              <w:top w:val="single" w:color="auto" w:sz="4" w:space="0"/>
              <w:left w:val="single" w:color="auto" w:sz="4" w:space="0"/>
              <w:bottom w:val="single" w:color="auto" w:sz="4" w:space="0"/>
              <w:right w:val="single" w:color="auto" w:sz="4" w:space="0"/>
            </w:tcBorders>
            <w:noWrap w:val="0"/>
            <w:vAlign w:val="center"/>
          </w:tcPr>
          <w:p w14:paraId="53A711B5">
            <w:pPr>
              <w:jc w:val="center"/>
              <w:rPr>
                <w:rFonts w:hint="eastAsia" w:ascii="宋体" w:hAnsi="宋体" w:eastAsia="宋体" w:cs="宋体"/>
                <w:i w:val="0"/>
                <w:iCs w:val="0"/>
                <w:color w:val="000000"/>
                <w:sz w:val="28"/>
                <w:szCs w:val="28"/>
                <w:highlight w:val="none"/>
                <w:u w:val="none"/>
              </w:rPr>
            </w:pPr>
          </w:p>
        </w:tc>
      </w:tr>
      <w:tr w14:paraId="6CB8D460">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tcBorders>
              <w:top w:val="single" w:color="auto" w:sz="4" w:space="0"/>
              <w:left w:val="single" w:color="auto" w:sz="4" w:space="0"/>
              <w:bottom w:val="single" w:color="auto" w:sz="4" w:space="0"/>
              <w:right w:val="single" w:color="auto" w:sz="4" w:space="0"/>
            </w:tcBorders>
            <w:noWrap/>
            <w:vAlign w:val="center"/>
          </w:tcPr>
          <w:p w14:paraId="70CB45B5">
            <w:pPr>
              <w:keepNext w:val="0"/>
              <w:keepLines w:val="0"/>
              <w:widowControl/>
              <w:suppressLineNumbers w:val="0"/>
              <w:jc w:val="center"/>
              <w:rPr>
                <w:rFonts w:hint="eastAsia" w:ascii="宋体" w:hAnsi="宋体" w:eastAsia="宋体" w:cs="宋体"/>
                <w:i w:val="0"/>
                <w:iCs w:val="0"/>
                <w:color w:val="000000"/>
                <w:sz w:val="22"/>
                <w:szCs w:val="22"/>
                <w:highlight w:val="none"/>
                <w:u w:val="none"/>
                <w:lang w:val="en-US" w:eastAsia="zh-CN"/>
              </w:rPr>
            </w:pPr>
            <w:r>
              <w:rPr>
                <w:rFonts w:hint="eastAsia" w:ascii="宋体" w:hAnsi="宋体" w:cs="宋体"/>
                <w:i w:val="0"/>
                <w:iCs w:val="0"/>
                <w:color w:val="000000"/>
                <w:sz w:val="22"/>
                <w:szCs w:val="22"/>
                <w:highlight w:val="none"/>
                <w:u w:val="none"/>
                <w:lang w:val="en-US" w:eastAsia="zh-CN"/>
              </w:rPr>
              <w:t>4</w:t>
            </w:r>
          </w:p>
        </w:tc>
        <w:tc>
          <w:tcPr>
            <w:tcW w:w="3138" w:type="dxa"/>
            <w:tcBorders>
              <w:top w:val="single" w:color="auto" w:sz="4" w:space="0"/>
              <w:left w:val="single" w:color="auto" w:sz="4" w:space="0"/>
              <w:bottom w:val="single" w:color="auto" w:sz="4" w:space="0"/>
              <w:right w:val="single" w:color="auto" w:sz="4" w:space="0"/>
            </w:tcBorders>
            <w:noWrap/>
            <w:vAlign w:val="center"/>
          </w:tcPr>
          <w:p w14:paraId="54D58D81">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通海大道绿化一年养护费</w:t>
            </w:r>
          </w:p>
        </w:tc>
        <w:tc>
          <w:tcPr>
            <w:tcW w:w="3096" w:type="dxa"/>
            <w:tcBorders>
              <w:top w:val="single" w:color="auto" w:sz="4" w:space="0"/>
              <w:left w:val="single" w:color="auto" w:sz="4" w:space="0"/>
              <w:bottom w:val="single" w:color="auto" w:sz="4" w:space="0"/>
              <w:right w:val="single" w:color="auto" w:sz="4" w:space="0"/>
            </w:tcBorders>
            <w:noWrap/>
            <w:vAlign w:val="center"/>
          </w:tcPr>
          <w:p w14:paraId="1B5390EC">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详见通海大道苗木清单明细</w:t>
            </w:r>
          </w:p>
        </w:tc>
        <w:tc>
          <w:tcPr>
            <w:tcW w:w="1919" w:type="dxa"/>
            <w:tcBorders>
              <w:top w:val="single" w:color="auto" w:sz="4" w:space="0"/>
              <w:left w:val="single" w:color="auto" w:sz="4" w:space="0"/>
              <w:bottom w:val="single" w:color="auto" w:sz="4" w:space="0"/>
              <w:right w:val="single" w:color="auto" w:sz="4" w:space="0"/>
            </w:tcBorders>
            <w:noWrap w:val="0"/>
            <w:vAlign w:val="center"/>
          </w:tcPr>
          <w:p w14:paraId="1685C298">
            <w:pPr>
              <w:jc w:val="center"/>
              <w:rPr>
                <w:rFonts w:hint="eastAsia" w:ascii="宋体" w:hAnsi="宋体" w:eastAsia="宋体" w:cs="宋体"/>
                <w:i w:val="0"/>
                <w:iCs w:val="0"/>
                <w:color w:val="000000"/>
                <w:sz w:val="28"/>
                <w:szCs w:val="28"/>
                <w:highlight w:val="none"/>
                <w:u w:val="none"/>
              </w:rPr>
            </w:pPr>
          </w:p>
        </w:tc>
      </w:tr>
      <w:tr w14:paraId="27ACCE1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tcBorders>
              <w:top w:val="single" w:color="auto" w:sz="4" w:space="0"/>
              <w:left w:val="single" w:color="auto" w:sz="4" w:space="0"/>
              <w:bottom w:val="single" w:color="auto" w:sz="4" w:space="0"/>
              <w:right w:val="single" w:color="auto" w:sz="4" w:space="0"/>
            </w:tcBorders>
            <w:noWrap/>
            <w:vAlign w:val="center"/>
          </w:tcPr>
          <w:p w14:paraId="5388904F">
            <w:pPr>
              <w:keepNext w:val="0"/>
              <w:keepLines w:val="0"/>
              <w:widowControl/>
              <w:suppressLineNumbers w:val="0"/>
              <w:jc w:val="center"/>
              <w:rPr>
                <w:rFonts w:hint="default" w:ascii="宋体" w:hAnsi="宋体" w:eastAsia="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5</w:t>
            </w:r>
          </w:p>
        </w:tc>
        <w:tc>
          <w:tcPr>
            <w:tcW w:w="3138" w:type="dxa"/>
            <w:tcBorders>
              <w:top w:val="single" w:color="auto" w:sz="4" w:space="0"/>
              <w:left w:val="single" w:color="auto" w:sz="4" w:space="0"/>
              <w:bottom w:val="single" w:color="auto" w:sz="4" w:space="0"/>
              <w:right w:val="single" w:color="auto" w:sz="4" w:space="0"/>
            </w:tcBorders>
            <w:noWrap/>
            <w:vAlign w:val="center"/>
          </w:tcPr>
          <w:p w14:paraId="08A204AE">
            <w:pPr>
              <w:keepNext w:val="0"/>
              <w:keepLines w:val="0"/>
              <w:widowControl/>
              <w:suppressLineNumbers w:val="0"/>
              <w:jc w:val="center"/>
              <w:textAlignment w:val="center"/>
              <w:rPr>
                <w:rFonts w:hint="default" w:ascii="宋体" w:hAnsi="宋体" w:eastAsia="宋体" w:cs="宋体"/>
                <w:i w:val="0"/>
                <w:iCs w:val="0"/>
                <w:color w:val="00000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城东三角地块绿化一年养护费</w:t>
            </w:r>
          </w:p>
        </w:tc>
        <w:tc>
          <w:tcPr>
            <w:tcW w:w="3096" w:type="dxa"/>
            <w:tcBorders>
              <w:top w:val="single" w:color="auto" w:sz="4" w:space="0"/>
              <w:left w:val="single" w:color="auto" w:sz="4" w:space="0"/>
              <w:bottom w:val="single" w:color="auto" w:sz="4" w:space="0"/>
              <w:right w:val="single" w:color="auto" w:sz="4" w:space="0"/>
            </w:tcBorders>
            <w:noWrap/>
            <w:vAlign w:val="center"/>
          </w:tcPr>
          <w:p w14:paraId="59026B3B">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详见城东三角地块苗木清单明细</w:t>
            </w:r>
          </w:p>
        </w:tc>
        <w:tc>
          <w:tcPr>
            <w:tcW w:w="1919" w:type="dxa"/>
            <w:tcBorders>
              <w:top w:val="single" w:color="auto" w:sz="4" w:space="0"/>
              <w:left w:val="single" w:color="auto" w:sz="4" w:space="0"/>
              <w:bottom w:val="single" w:color="auto" w:sz="4" w:space="0"/>
              <w:right w:val="single" w:color="auto" w:sz="4" w:space="0"/>
            </w:tcBorders>
            <w:noWrap w:val="0"/>
            <w:vAlign w:val="center"/>
          </w:tcPr>
          <w:p w14:paraId="48479D40">
            <w:pPr>
              <w:jc w:val="center"/>
              <w:rPr>
                <w:rFonts w:hint="eastAsia" w:ascii="宋体" w:hAnsi="宋体" w:eastAsia="宋体" w:cs="宋体"/>
                <w:i w:val="0"/>
                <w:iCs w:val="0"/>
                <w:color w:val="000000"/>
                <w:sz w:val="28"/>
                <w:szCs w:val="28"/>
                <w:highlight w:val="none"/>
                <w:u w:val="none"/>
              </w:rPr>
            </w:pPr>
          </w:p>
        </w:tc>
      </w:tr>
      <w:tr w14:paraId="3E952AC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tcBorders>
              <w:top w:val="single" w:color="auto" w:sz="4" w:space="0"/>
              <w:left w:val="single" w:color="auto" w:sz="4" w:space="0"/>
              <w:bottom w:val="single" w:color="auto" w:sz="4" w:space="0"/>
              <w:right w:val="single" w:color="auto" w:sz="4" w:space="0"/>
            </w:tcBorders>
            <w:noWrap/>
            <w:vAlign w:val="center"/>
          </w:tcPr>
          <w:p w14:paraId="43BECF6F">
            <w:pPr>
              <w:keepNext w:val="0"/>
              <w:keepLines w:val="0"/>
              <w:widowControl/>
              <w:suppressLineNumbers w:val="0"/>
              <w:jc w:val="center"/>
              <w:rPr>
                <w:rFonts w:hint="default" w:ascii="宋体" w:hAnsi="宋体" w:cs="宋体"/>
                <w:i w:val="0"/>
                <w:iCs w:val="0"/>
                <w:color w:val="000000"/>
                <w:sz w:val="22"/>
                <w:szCs w:val="22"/>
                <w:highlight w:val="none"/>
                <w:u w:val="none"/>
                <w:lang w:val="en-US" w:eastAsia="zh-CN" w:bidi="ar"/>
              </w:rPr>
            </w:pPr>
            <w:r>
              <w:rPr>
                <w:rFonts w:hint="eastAsia" w:ascii="宋体" w:hAnsi="宋体" w:cs="宋体"/>
                <w:i w:val="0"/>
                <w:iCs w:val="0"/>
                <w:color w:val="000000"/>
                <w:sz w:val="22"/>
                <w:szCs w:val="22"/>
                <w:highlight w:val="none"/>
                <w:u w:val="none"/>
                <w:lang w:val="en-US" w:eastAsia="zh-CN" w:bidi="ar"/>
              </w:rPr>
              <w:t>6</w:t>
            </w:r>
          </w:p>
        </w:tc>
        <w:tc>
          <w:tcPr>
            <w:tcW w:w="3138" w:type="dxa"/>
            <w:tcBorders>
              <w:top w:val="single" w:color="auto" w:sz="4" w:space="0"/>
              <w:left w:val="single" w:color="auto" w:sz="4" w:space="0"/>
              <w:bottom w:val="single" w:color="auto" w:sz="4" w:space="0"/>
              <w:right w:val="single" w:color="auto" w:sz="4" w:space="0"/>
            </w:tcBorders>
            <w:noWrap/>
            <w:vAlign w:val="center"/>
          </w:tcPr>
          <w:p w14:paraId="5E7A0BBD">
            <w:pPr>
              <w:keepNext w:val="0"/>
              <w:keepLines w:val="0"/>
              <w:widowControl/>
              <w:suppressLineNumbers w:val="0"/>
              <w:jc w:val="center"/>
              <w:textAlignment w:val="center"/>
              <w:rPr>
                <w:rFonts w:hint="eastAsia" w:ascii="宋体" w:hAnsi="宋体" w:cs="宋体"/>
                <w:i w:val="0"/>
                <w:iCs w:val="0"/>
                <w:color w:val="000000"/>
                <w:sz w:val="22"/>
                <w:szCs w:val="22"/>
                <w:highlight w:val="none"/>
                <w:u w:val="none"/>
                <w:lang w:val="en-US" w:eastAsia="zh-CN"/>
              </w:rPr>
            </w:pPr>
            <w:r>
              <w:rPr>
                <w:rFonts w:hint="eastAsia" w:ascii="宋体" w:hAnsi="宋体" w:eastAsia="宋体" w:cs="宋体"/>
                <w:i w:val="0"/>
                <w:iCs w:val="0"/>
                <w:color w:val="000000"/>
                <w:kern w:val="0"/>
                <w:sz w:val="22"/>
                <w:szCs w:val="22"/>
                <w:highlight w:val="none"/>
                <w:u w:val="none"/>
                <w:lang w:val="en-US" w:eastAsia="zh-CN" w:bidi="ar"/>
              </w:rPr>
              <w:t>苗木更换或补植专项费用</w:t>
            </w:r>
          </w:p>
        </w:tc>
        <w:tc>
          <w:tcPr>
            <w:tcW w:w="3096" w:type="dxa"/>
            <w:tcBorders>
              <w:top w:val="single" w:color="auto" w:sz="4" w:space="0"/>
              <w:left w:val="single" w:color="auto" w:sz="4" w:space="0"/>
              <w:bottom w:val="single" w:color="auto" w:sz="4" w:space="0"/>
              <w:right w:val="single" w:color="auto" w:sz="4" w:space="0"/>
            </w:tcBorders>
            <w:noWrap/>
            <w:vAlign w:val="center"/>
          </w:tcPr>
          <w:p w14:paraId="718484ED">
            <w:pPr>
              <w:keepNext w:val="0"/>
              <w:keepLines w:val="0"/>
              <w:widowControl/>
              <w:suppressLineNumbers w:val="0"/>
              <w:jc w:val="center"/>
              <w:textAlignment w:val="center"/>
              <w:rPr>
                <w:rFonts w:hint="eastAsia" w:ascii="宋体" w:hAnsi="宋体" w:eastAsia="宋体" w:cs="宋体"/>
                <w:i w:val="0"/>
                <w:iCs w:val="0"/>
                <w:color w:val="000000"/>
                <w:sz w:val="22"/>
                <w:szCs w:val="22"/>
                <w:highlight w:val="none"/>
                <w:u w:val="none"/>
              </w:rPr>
            </w:pPr>
            <w:r>
              <w:rPr>
                <w:rFonts w:hint="eastAsia" w:ascii="宋体" w:hAnsi="宋体" w:eastAsia="宋体" w:cs="宋体"/>
                <w:i w:val="0"/>
                <w:iCs w:val="0"/>
                <w:color w:val="000000"/>
                <w:kern w:val="0"/>
                <w:sz w:val="22"/>
                <w:szCs w:val="22"/>
                <w:highlight w:val="none"/>
                <w:u w:val="none"/>
                <w:lang w:val="en-US" w:eastAsia="zh-CN" w:bidi="ar"/>
              </w:rPr>
              <w:t>根据整体景观效果及现状情况，对养护工程量清单中的苗木作适当的更换或补植（包括但不限于倒伏、品相差苗木及空缺地段），暂定苗木补植费18万元</w:t>
            </w:r>
          </w:p>
        </w:tc>
        <w:tc>
          <w:tcPr>
            <w:tcW w:w="1919" w:type="dxa"/>
            <w:tcBorders>
              <w:top w:val="single" w:color="auto" w:sz="4" w:space="0"/>
              <w:left w:val="single" w:color="auto" w:sz="4" w:space="0"/>
              <w:bottom w:val="single" w:color="auto" w:sz="4" w:space="0"/>
              <w:right w:val="single" w:color="auto" w:sz="4" w:space="0"/>
            </w:tcBorders>
            <w:noWrap w:val="0"/>
            <w:vAlign w:val="center"/>
          </w:tcPr>
          <w:p w14:paraId="08DDEFAA">
            <w:pPr>
              <w:jc w:val="center"/>
              <w:rPr>
                <w:rFonts w:hint="default" w:ascii="宋体" w:hAnsi="宋体" w:eastAsia="宋体" w:cs="宋体"/>
                <w:i w:val="0"/>
                <w:iCs w:val="0"/>
                <w:color w:val="000000"/>
                <w:sz w:val="28"/>
                <w:szCs w:val="28"/>
                <w:highlight w:val="none"/>
                <w:u w:val="none"/>
                <w:lang w:val="en-US" w:eastAsia="zh-CN"/>
              </w:rPr>
            </w:pPr>
            <w:r>
              <w:rPr>
                <w:rFonts w:hint="eastAsia" w:ascii="宋体" w:hAnsi="宋体" w:cs="宋体"/>
                <w:i w:val="0"/>
                <w:iCs w:val="0"/>
                <w:color w:val="000000"/>
                <w:sz w:val="28"/>
                <w:szCs w:val="28"/>
                <w:highlight w:val="none"/>
                <w:u w:val="none"/>
                <w:lang w:val="en-US" w:eastAsia="zh-CN"/>
              </w:rPr>
              <w:t>180000</w:t>
            </w:r>
          </w:p>
        </w:tc>
      </w:tr>
      <w:tr w14:paraId="617E9D4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80" w:hRule="atLeast"/>
        </w:trPr>
        <w:tc>
          <w:tcPr>
            <w:tcW w:w="666" w:type="dxa"/>
            <w:tcBorders>
              <w:top w:val="single" w:color="auto" w:sz="4" w:space="0"/>
              <w:left w:val="single" w:color="auto" w:sz="4" w:space="0"/>
              <w:bottom w:val="single" w:color="auto" w:sz="4" w:space="0"/>
              <w:right w:val="single" w:color="auto" w:sz="4" w:space="0"/>
            </w:tcBorders>
            <w:noWrap/>
            <w:vAlign w:val="center"/>
          </w:tcPr>
          <w:p w14:paraId="4974D509">
            <w:pPr>
              <w:keepNext w:val="0"/>
              <w:keepLines w:val="0"/>
              <w:widowControl/>
              <w:suppressLineNumbers w:val="0"/>
              <w:jc w:val="center"/>
              <w:rPr>
                <w:rFonts w:hint="eastAsia" w:ascii="宋体" w:hAnsi="宋体" w:eastAsia="宋体" w:cs="宋体"/>
                <w:i w:val="0"/>
                <w:iCs w:val="0"/>
                <w:color w:val="000000"/>
                <w:sz w:val="28"/>
                <w:szCs w:val="28"/>
                <w:highlight w:val="none"/>
                <w:u w:val="none"/>
                <w:lang w:val="en-US" w:eastAsia="zh-CN"/>
              </w:rPr>
            </w:pPr>
            <w:r>
              <w:rPr>
                <w:rFonts w:hint="eastAsia" w:ascii="宋体" w:hAnsi="宋体" w:cs="宋体"/>
                <w:i w:val="0"/>
                <w:iCs w:val="0"/>
                <w:color w:val="000000"/>
                <w:sz w:val="28"/>
                <w:szCs w:val="28"/>
                <w:highlight w:val="none"/>
                <w:u w:val="none"/>
                <w:lang w:val="en-US" w:eastAsia="zh-CN"/>
              </w:rPr>
              <w:t>7</w:t>
            </w:r>
          </w:p>
        </w:tc>
        <w:tc>
          <w:tcPr>
            <w:tcW w:w="8153" w:type="dxa"/>
            <w:gridSpan w:val="3"/>
            <w:tcBorders>
              <w:top w:val="single" w:color="auto" w:sz="4" w:space="0"/>
              <w:left w:val="single" w:color="auto" w:sz="4" w:space="0"/>
              <w:bottom w:val="single" w:color="auto" w:sz="4" w:space="0"/>
              <w:right w:val="single" w:color="auto" w:sz="4" w:space="0"/>
            </w:tcBorders>
            <w:noWrap/>
            <w:vAlign w:val="center"/>
          </w:tcPr>
          <w:p w14:paraId="66EDE310">
            <w:pPr>
              <w:keepNext w:val="0"/>
              <w:keepLines w:val="0"/>
              <w:widowControl/>
              <w:suppressLineNumbers w:val="0"/>
              <w:jc w:val="left"/>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lang w:val="en-US" w:eastAsia="zh-CN" w:bidi="ar"/>
              </w:rPr>
              <w:t xml:space="preserve"> 总  计：大写                 （小写        ）</w:t>
            </w:r>
          </w:p>
        </w:tc>
      </w:tr>
      <w:tr w14:paraId="08DDBC75">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1280" w:hRule="atLeast"/>
        </w:trPr>
        <w:tc>
          <w:tcPr>
            <w:tcW w:w="8819" w:type="dxa"/>
            <w:gridSpan w:val="4"/>
            <w:tcBorders>
              <w:top w:val="single" w:color="auto" w:sz="4" w:space="0"/>
              <w:left w:val="single" w:color="auto" w:sz="4" w:space="0"/>
              <w:bottom w:val="single" w:color="auto" w:sz="4" w:space="0"/>
              <w:right w:val="single" w:color="auto" w:sz="4" w:space="0"/>
            </w:tcBorders>
            <w:noWrap w:val="0"/>
            <w:vAlign w:val="center"/>
          </w:tcPr>
          <w:p w14:paraId="2ACBC5CD">
            <w:pPr>
              <w:keepNext w:val="0"/>
              <w:keepLines w:val="0"/>
              <w:widowControl/>
              <w:suppressLineNumbers w:val="0"/>
              <w:jc w:val="left"/>
              <w:rPr>
                <w:rFonts w:hint="eastAsia" w:ascii="宋体" w:hAnsi="宋体" w:eastAsia="宋体" w:cs="宋体"/>
                <w:i w:val="0"/>
                <w:iCs w:val="0"/>
                <w:color w:val="000000"/>
                <w:sz w:val="28"/>
                <w:szCs w:val="28"/>
                <w:highlight w:val="none"/>
                <w:u w:val="none"/>
              </w:rPr>
            </w:pPr>
            <w:r>
              <w:rPr>
                <w:rFonts w:hint="eastAsia" w:ascii="宋体" w:hAnsi="宋体" w:eastAsia="宋体" w:cs="宋体"/>
                <w:i w:val="0"/>
                <w:iCs w:val="0"/>
                <w:color w:val="000000"/>
                <w:sz w:val="28"/>
                <w:szCs w:val="28"/>
                <w:highlight w:val="none"/>
                <w:u w:val="none"/>
                <w:lang w:val="en-US" w:eastAsia="zh-CN" w:bidi="ar"/>
              </w:rPr>
              <w:t>备注：报价包括但不限于实施和完成本项目所需的劳务、材料、机械、质检（自检）、补植、缺陷修复、养护费、管理、保险、税费、利润等费用以及投标人认为需要的其它费用等一切费用。在合同履行期间，合同价不随国家政策或法规、标准及市场因素的变化而进行调整。</w:t>
            </w:r>
          </w:p>
        </w:tc>
      </w:tr>
    </w:tbl>
    <w:p w14:paraId="073EC392">
      <w:pPr>
        <w:spacing w:line="300" w:lineRule="auto"/>
        <w:ind w:firstLine="321"/>
        <w:outlineLvl w:val="0"/>
        <w:rPr>
          <w:rFonts w:hint="eastAsia" w:ascii="宋体" w:hAnsi="宋体" w:eastAsia="宋体" w:cs="宋体"/>
          <w:b/>
          <w:bCs/>
          <w:sz w:val="32"/>
          <w:szCs w:val="32"/>
          <w:highlight w:val="none"/>
          <w:lang w:val="en-US" w:eastAsia="zh-CN"/>
        </w:rPr>
      </w:pPr>
      <w:r>
        <w:rPr>
          <w:rFonts w:hint="eastAsia" w:ascii="宋体" w:hAnsi="宋体" w:eastAsia="宋体" w:cs="宋体"/>
          <w:b/>
          <w:bCs/>
          <w:sz w:val="32"/>
          <w:szCs w:val="32"/>
          <w:highlight w:val="none"/>
          <w:lang w:val="en-US" w:eastAsia="zh-CN"/>
        </w:rPr>
        <w:t>注：最终报价只需按本表报总价，各分项报价同比例下浮，提交纸质投标文件的时候须提供。</w:t>
      </w:r>
    </w:p>
    <w:p w14:paraId="3EE370DB">
      <w:pPr>
        <w:spacing w:line="360" w:lineRule="auto"/>
        <w:jc w:val="lef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响应供应商全称(盖公章)：</w:t>
      </w:r>
    </w:p>
    <w:p w14:paraId="0535D759">
      <w:pPr>
        <w:spacing w:line="360" w:lineRule="auto"/>
        <w:jc w:val="left"/>
        <w:rPr>
          <w:rFonts w:hint="eastAsia" w:ascii="宋体" w:hAnsi="宋体" w:eastAsia="宋体" w:cs="宋体"/>
          <w:sz w:val="28"/>
          <w:szCs w:val="28"/>
          <w:highlight w:val="none"/>
          <w:lang w:val="zh-CN" w:bidi="ar"/>
        </w:rPr>
      </w:pPr>
      <w:r>
        <w:rPr>
          <w:rFonts w:hint="eastAsia" w:ascii="宋体" w:hAnsi="宋体" w:eastAsia="宋体" w:cs="宋体"/>
          <w:sz w:val="28"/>
          <w:szCs w:val="28"/>
          <w:highlight w:val="none"/>
          <w:lang w:val="zh-CN" w:bidi="ar"/>
        </w:rPr>
        <w:t>法定代表人（签字或盖章）：</w:t>
      </w:r>
    </w:p>
    <w:p w14:paraId="7F9974D9">
      <w:pPr>
        <w:spacing w:line="360" w:lineRule="auto"/>
        <w:jc w:val="left"/>
        <w:rPr>
          <w:rFonts w:hint="eastAsia" w:ascii="宋体" w:hAnsi="宋体" w:eastAsia="宋体" w:cs="宋体"/>
          <w:sz w:val="32"/>
          <w:szCs w:val="32"/>
          <w:highlight w:val="none"/>
        </w:rPr>
      </w:pPr>
      <w:r>
        <w:rPr>
          <w:rFonts w:hint="eastAsia" w:ascii="宋体" w:hAnsi="宋体" w:eastAsia="宋体" w:cs="宋体"/>
          <w:sz w:val="28"/>
          <w:szCs w:val="28"/>
          <w:highlight w:val="none"/>
          <w:lang w:val="zh-CN" w:bidi="ar"/>
        </w:rPr>
        <w:t>时间：  年  月   日</w:t>
      </w:r>
    </w:p>
    <w:p w14:paraId="0F55F2CE">
      <w:pPr>
        <w:rPr>
          <w:rFonts w:hint="eastAsia" w:ascii="宋体" w:hAnsi="宋体" w:eastAsia="宋体" w:cs="宋体"/>
          <w:sz w:val="32"/>
          <w:szCs w:val="32"/>
          <w:highlight w:val="none"/>
        </w:rPr>
      </w:pPr>
      <w:r>
        <w:rPr>
          <w:rFonts w:hint="eastAsia" w:ascii="宋体" w:hAnsi="宋体" w:eastAsia="宋体" w:cs="宋体"/>
          <w:sz w:val="32"/>
          <w:szCs w:val="32"/>
          <w:highlight w:val="none"/>
        </w:rPr>
        <w:br w:type="page"/>
      </w:r>
    </w:p>
    <w:p w14:paraId="12CD43ED">
      <w:pPr>
        <w:spacing w:line="300" w:lineRule="auto"/>
        <w:outlineLvl w:val="0"/>
        <w:rPr>
          <w:rFonts w:hint="eastAsia" w:ascii="宋体" w:hAnsi="宋体" w:eastAsia="宋体" w:cs="宋体"/>
          <w:sz w:val="32"/>
          <w:szCs w:val="32"/>
          <w:highlight w:val="none"/>
          <w:lang w:val="en-US" w:eastAsia="zh-CN"/>
        </w:rPr>
      </w:pPr>
      <w:r>
        <w:rPr>
          <w:rFonts w:hint="eastAsia" w:ascii="宋体" w:hAnsi="宋体" w:eastAsia="宋体" w:cs="宋体"/>
          <w:sz w:val="32"/>
          <w:szCs w:val="32"/>
          <w:highlight w:val="none"/>
        </w:rPr>
        <w:t>附件</w:t>
      </w:r>
      <w:r>
        <w:rPr>
          <w:rFonts w:hint="eastAsia" w:ascii="宋体" w:hAnsi="宋体" w:eastAsia="宋体" w:cs="宋体"/>
          <w:sz w:val="32"/>
          <w:szCs w:val="32"/>
          <w:highlight w:val="none"/>
          <w:lang w:val="en-US" w:eastAsia="zh-CN"/>
        </w:rPr>
        <w:t>10</w:t>
      </w:r>
    </w:p>
    <w:p w14:paraId="3CA385B5">
      <w:pPr>
        <w:spacing w:line="300" w:lineRule="auto"/>
        <w:jc w:val="center"/>
        <w:outlineLvl w:val="0"/>
        <w:rPr>
          <w:rFonts w:hint="eastAsia" w:ascii="宋体" w:hAnsi="宋体" w:eastAsia="宋体" w:cs="宋体"/>
          <w:b/>
          <w:bCs/>
          <w:sz w:val="28"/>
          <w:szCs w:val="28"/>
          <w:highlight w:val="none"/>
          <w:lang w:bidi="zh-CN"/>
        </w:rPr>
      </w:pPr>
      <w:r>
        <w:rPr>
          <w:rFonts w:hint="eastAsia" w:ascii="宋体" w:hAnsi="宋体" w:eastAsia="宋体" w:cs="宋体"/>
          <w:b/>
          <w:bCs/>
          <w:sz w:val="28"/>
          <w:szCs w:val="28"/>
          <w:highlight w:val="none"/>
          <w:lang w:bidi="zh-CN"/>
        </w:rPr>
        <w:t>中小企业声明函（工程、服务）</w:t>
      </w:r>
    </w:p>
    <w:p w14:paraId="57F9356A">
      <w:pPr>
        <w:keepNext w:val="0"/>
        <w:keepLines w:val="0"/>
        <w:pageBreakBefore w:val="0"/>
        <w:widowControl w:val="0"/>
        <w:spacing w:line="460" w:lineRule="exact"/>
        <w:ind w:firstLine="560"/>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本公司（联合体）郑重声明，根据《政府采购促进中小企业发展管理办法》（财库</w:t>
      </w:r>
      <w:r>
        <w:rPr>
          <w:rFonts w:hint="eastAsia" w:ascii="宋体" w:hAnsi="宋体" w:eastAsia="宋体" w:cs="宋体"/>
          <w:sz w:val="28"/>
          <w:szCs w:val="28"/>
          <w:highlight w:val="none"/>
        </w:rPr>
        <w:t>〔</w:t>
      </w:r>
      <w:r>
        <w:rPr>
          <w:rFonts w:hint="eastAsia" w:ascii="宋体" w:hAnsi="宋体" w:eastAsia="宋体" w:cs="宋体"/>
          <w:sz w:val="28"/>
          <w:szCs w:val="28"/>
          <w:highlight w:val="none"/>
          <w:lang w:bidi="zh-CN"/>
        </w:rPr>
        <w:t>2020</w:t>
      </w:r>
      <w:r>
        <w:rPr>
          <w:rFonts w:hint="eastAsia" w:ascii="宋体" w:hAnsi="宋体" w:eastAsia="宋体" w:cs="宋体"/>
          <w:sz w:val="28"/>
          <w:szCs w:val="28"/>
          <w:highlight w:val="none"/>
        </w:rPr>
        <w:t>〕</w:t>
      </w:r>
      <w:r>
        <w:rPr>
          <w:rFonts w:hint="eastAsia" w:ascii="宋体" w:hAnsi="宋体" w:eastAsia="宋体" w:cs="宋体"/>
          <w:sz w:val="28"/>
          <w:szCs w:val="28"/>
          <w:highlight w:val="none"/>
          <w:lang w:bidi="zh-CN"/>
        </w:rPr>
        <w:t>46号）的规定，本公司（联合体）参加</w:t>
      </w:r>
      <w:r>
        <w:rPr>
          <w:rFonts w:hint="eastAsia" w:ascii="宋体" w:hAnsi="宋体" w:eastAsia="宋体" w:cs="宋体"/>
          <w:sz w:val="28"/>
          <w:szCs w:val="28"/>
          <w:highlight w:val="none"/>
          <w:u w:val="single"/>
          <w:lang w:bidi="zh-CN"/>
        </w:rPr>
        <w:t>（单位名称）</w:t>
      </w:r>
      <w:r>
        <w:rPr>
          <w:rFonts w:hint="eastAsia" w:ascii="宋体" w:hAnsi="宋体" w:eastAsia="宋体" w:cs="宋体"/>
          <w:sz w:val="28"/>
          <w:szCs w:val="28"/>
          <w:highlight w:val="none"/>
          <w:lang w:bidi="zh-CN"/>
        </w:rPr>
        <w:t>的</w:t>
      </w:r>
      <w:r>
        <w:rPr>
          <w:rFonts w:hint="eastAsia" w:ascii="宋体" w:hAnsi="宋体" w:eastAsia="宋体" w:cs="宋体"/>
          <w:sz w:val="28"/>
          <w:szCs w:val="28"/>
          <w:highlight w:val="none"/>
          <w:u w:val="single"/>
          <w:lang w:bidi="zh-CN"/>
        </w:rPr>
        <w:t>（项目名称）</w:t>
      </w:r>
      <w:r>
        <w:rPr>
          <w:rFonts w:hint="eastAsia" w:ascii="宋体" w:hAnsi="宋体" w:eastAsia="宋体" w:cs="宋体"/>
          <w:sz w:val="28"/>
          <w:szCs w:val="28"/>
          <w:highlight w:val="none"/>
          <w:lang w:bidi="zh-CN"/>
        </w:rPr>
        <w:t>采购活动，工程的施工单位全部为符合政策要求的中小微企业（或者：服务全部由符合政策要求的中小微企业承接）。相关企业（含联合体中的中小微企业、签订分包意向协议的中小微企业）的具体情况如下：</w:t>
      </w:r>
    </w:p>
    <w:p w14:paraId="2425B5A0">
      <w:pPr>
        <w:keepNext w:val="0"/>
        <w:keepLines w:val="0"/>
        <w:pageBreakBefore w:val="0"/>
        <w:widowControl w:val="0"/>
        <w:spacing w:line="460" w:lineRule="exact"/>
        <w:jc w:val="left"/>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1.</w:t>
      </w:r>
      <w:r>
        <w:rPr>
          <w:rFonts w:hint="eastAsia" w:ascii="宋体" w:hAnsi="宋体" w:eastAsia="宋体" w:cs="宋体"/>
          <w:sz w:val="28"/>
          <w:szCs w:val="28"/>
          <w:highlight w:val="none"/>
          <w:u w:val="single"/>
          <w:lang w:bidi="zh-CN"/>
        </w:rPr>
        <w:t>（标的名称）</w:t>
      </w:r>
      <w:r>
        <w:rPr>
          <w:rFonts w:hint="eastAsia" w:ascii="宋体" w:hAnsi="宋体" w:eastAsia="宋体" w:cs="宋体"/>
          <w:sz w:val="28"/>
          <w:szCs w:val="28"/>
          <w:highlight w:val="none"/>
          <w:lang w:bidi="zh-CN"/>
        </w:rPr>
        <w:t>，属于（</w:t>
      </w:r>
      <w:r>
        <w:rPr>
          <w:rFonts w:hint="eastAsia" w:ascii="宋体" w:hAnsi="宋体" w:eastAsia="宋体" w:cs="宋体"/>
          <w:sz w:val="28"/>
          <w:szCs w:val="28"/>
          <w:highlight w:val="none"/>
          <w:u w:val="single"/>
          <w:lang w:bidi="zh-CN"/>
        </w:rPr>
        <w:t>采购文件中明确的所属行业）</w:t>
      </w:r>
      <w:r>
        <w:rPr>
          <w:rFonts w:hint="eastAsia" w:ascii="宋体" w:hAnsi="宋体" w:eastAsia="宋体" w:cs="宋体"/>
          <w:sz w:val="28"/>
          <w:szCs w:val="28"/>
          <w:highlight w:val="none"/>
          <w:lang w:bidi="zh-CN"/>
        </w:rPr>
        <w:t>；承建（承接）企业为</w:t>
      </w:r>
      <w:r>
        <w:rPr>
          <w:rFonts w:hint="eastAsia" w:ascii="宋体" w:hAnsi="宋体" w:eastAsia="宋体" w:cs="宋体"/>
          <w:sz w:val="28"/>
          <w:szCs w:val="28"/>
          <w:highlight w:val="none"/>
          <w:u w:val="single"/>
          <w:lang w:bidi="zh-CN"/>
        </w:rPr>
        <w:t>（企业名称）</w:t>
      </w:r>
      <w:r>
        <w:rPr>
          <w:rFonts w:hint="eastAsia" w:ascii="宋体" w:hAnsi="宋体" w:eastAsia="宋体" w:cs="宋体"/>
          <w:sz w:val="28"/>
          <w:szCs w:val="28"/>
          <w:highlight w:val="none"/>
          <w:lang w:bidi="zh-CN"/>
        </w:rPr>
        <w:t>，从业人员</w:t>
      </w:r>
      <w:r>
        <w:rPr>
          <w:rFonts w:hint="eastAsia" w:ascii="宋体" w:hAnsi="宋体" w:eastAsia="宋体" w:cs="宋体"/>
          <w:sz w:val="24"/>
          <w:szCs w:val="21"/>
          <w:highlight w:val="none"/>
        </w:rPr>
        <w:t>_</w:t>
      </w:r>
      <w:r>
        <w:rPr>
          <w:rFonts w:hint="eastAsia" w:ascii="宋体" w:hAnsi="宋体" w:eastAsia="宋体" w:cs="宋体"/>
          <w:sz w:val="28"/>
          <w:szCs w:val="28"/>
          <w:highlight w:val="none"/>
          <w:lang w:bidi="zh-CN"/>
        </w:rPr>
        <w:t>_____人，营业收入为</w:t>
      </w:r>
      <w:r>
        <w:rPr>
          <w:rFonts w:hint="eastAsia" w:ascii="宋体" w:hAnsi="宋体" w:eastAsia="宋体" w:cs="宋体"/>
          <w:sz w:val="24"/>
          <w:szCs w:val="21"/>
          <w:highlight w:val="none"/>
        </w:rPr>
        <w:t>____</w:t>
      </w:r>
      <w:r>
        <w:rPr>
          <w:rFonts w:hint="eastAsia" w:ascii="宋体" w:hAnsi="宋体" w:eastAsia="宋体" w:cs="宋体"/>
          <w:sz w:val="24"/>
          <w:szCs w:val="21"/>
          <w:highlight w:val="none"/>
          <w:u w:val="single"/>
        </w:rPr>
        <w:t>__</w:t>
      </w:r>
      <w:r>
        <w:rPr>
          <w:rFonts w:hint="eastAsia" w:ascii="宋体" w:hAnsi="宋体" w:eastAsia="宋体" w:cs="宋体"/>
          <w:sz w:val="28"/>
          <w:szCs w:val="28"/>
          <w:highlight w:val="none"/>
          <w:lang w:bidi="zh-CN"/>
        </w:rPr>
        <w:t>万元，资产总额为______万元，属于</w:t>
      </w:r>
      <w:r>
        <w:rPr>
          <w:rFonts w:hint="eastAsia" w:ascii="宋体" w:hAnsi="宋体" w:eastAsia="宋体" w:cs="宋体"/>
          <w:sz w:val="28"/>
          <w:szCs w:val="28"/>
          <w:highlight w:val="none"/>
          <w:u w:val="single"/>
          <w:lang w:bidi="zh-CN"/>
        </w:rPr>
        <w:t>（中型企业、小型企业、微型企业）</w:t>
      </w:r>
      <w:r>
        <w:rPr>
          <w:rFonts w:hint="eastAsia" w:ascii="宋体" w:hAnsi="宋体" w:eastAsia="宋体" w:cs="宋体"/>
          <w:sz w:val="28"/>
          <w:szCs w:val="28"/>
          <w:highlight w:val="none"/>
          <w:lang w:bidi="zh-CN"/>
        </w:rPr>
        <w:t>；</w:t>
      </w:r>
    </w:p>
    <w:p w14:paraId="4CC2276A">
      <w:pPr>
        <w:keepNext w:val="0"/>
        <w:keepLines w:val="0"/>
        <w:pageBreakBefore w:val="0"/>
        <w:widowControl w:val="0"/>
        <w:spacing w:line="460" w:lineRule="exact"/>
        <w:jc w:val="left"/>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2.</w:t>
      </w:r>
      <w:r>
        <w:rPr>
          <w:rFonts w:hint="eastAsia" w:ascii="宋体" w:hAnsi="宋体" w:eastAsia="宋体" w:cs="宋体"/>
          <w:sz w:val="28"/>
          <w:szCs w:val="28"/>
          <w:highlight w:val="none"/>
          <w:u w:val="single"/>
          <w:lang w:bidi="zh-CN"/>
        </w:rPr>
        <w:t>（标的名称）</w:t>
      </w:r>
      <w:r>
        <w:rPr>
          <w:rFonts w:hint="eastAsia" w:ascii="宋体" w:hAnsi="宋体" w:eastAsia="宋体" w:cs="宋体"/>
          <w:sz w:val="28"/>
          <w:szCs w:val="28"/>
          <w:highlight w:val="none"/>
          <w:lang w:bidi="zh-CN"/>
        </w:rPr>
        <w:t>，属于（</w:t>
      </w:r>
      <w:r>
        <w:rPr>
          <w:rFonts w:hint="eastAsia" w:ascii="宋体" w:hAnsi="宋体" w:eastAsia="宋体" w:cs="宋体"/>
          <w:sz w:val="28"/>
          <w:szCs w:val="28"/>
          <w:highlight w:val="none"/>
          <w:u w:val="single"/>
          <w:lang w:bidi="zh-CN"/>
        </w:rPr>
        <w:t>采购文件中明确的所属行业）</w:t>
      </w:r>
      <w:r>
        <w:rPr>
          <w:rFonts w:hint="eastAsia" w:ascii="宋体" w:hAnsi="宋体" w:eastAsia="宋体" w:cs="宋体"/>
          <w:sz w:val="28"/>
          <w:szCs w:val="28"/>
          <w:highlight w:val="none"/>
          <w:lang w:bidi="zh-CN"/>
        </w:rPr>
        <w:t>；承建（承接）企业为</w:t>
      </w:r>
      <w:r>
        <w:rPr>
          <w:rFonts w:hint="eastAsia" w:ascii="宋体" w:hAnsi="宋体" w:eastAsia="宋体" w:cs="宋体"/>
          <w:sz w:val="28"/>
          <w:szCs w:val="28"/>
          <w:highlight w:val="none"/>
          <w:u w:val="single"/>
          <w:lang w:bidi="zh-CN"/>
        </w:rPr>
        <w:t>（企业名称）</w:t>
      </w:r>
      <w:r>
        <w:rPr>
          <w:rFonts w:hint="eastAsia" w:ascii="宋体" w:hAnsi="宋体" w:eastAsia="宋体" w:cs="宋体"/>
          <w:sz w:val="28"/>
          <w:szCs w:val="28"/>
          <w:highlight w:val="none"/>
          <w:lang w:bidi="zh-CN"/>
        </w:rPr>
        <w:t>，从业人员______人，营业收入为______万元，资产总额为______万元，属于</w:t>
      </w:r>
      <w:r>
        <w:rPr>
          <w:rFonts w:hint="eastAsia" w:ascii="宋体" w:hAnsi="宋体" w:eastAsia="宋体" w:cs="宋体"/>
          <w:sz w:val="28"/>
          <w:szCs w:val="28"/>
          <w:highlight w:val="none"/>
          <w:u w:val="single"/>
          <w:lang w:bidi="zh-CN"/>
        </w:rPr>
        <w:t>（中型企业、小型企业、微型企业）</w:t>
      </w:r>
      <w:r>
        <w:rPr>
          <w:rFonts w:hint="eastAsia" w:ascii="宋体" w:hAnsi="宋体" w:eastAsia="宋体" w:cs="宋体"/>
          <w:sz w:val="28"/>
          <w:szCs w:val="28"/>
          <w:highlight w:val="none"/>
          <w:lang w:bidi="zh-CN"/>
        </w:rPr>
        <w:t>；</w:t>
      </w:r>
    </w:p>
    <w:p w14:paraId="155F186A">
      <w:pPr>
        <w:keepNext w:val="0"/>
        <w:keepLines w:val="0"/>
        <w:pageBreakBefore w:val="0"/>
        <w:widowControl w:val="0"/>
        <w:spacing w:line="460" w:lineRule="exact"/>
        <w:jc w:val="left"/>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w:t>
      </w:r>
    </w:p>
    <w:p w14:paraId="1ACF69F0">
      <w:pPr>
        <w:keepNext w:val="0"/>
        <w:keepLines w:val="0"/>
        <w:pageBreakBefore w:val="0"/>
        <w:widowControl w:val="0"/>
        <w:spacing w:line="460" w:lineRule="exact"/>
        <w:ind w:firstLine="560"/>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以上企业，不属于大企业的分支机构，不存在控股股东为大企业的情形，也不存在与大企业的负责人为同一人的情形。</w:t>
      </w:r>
    </w:p>
    <w:p w14:paraId="78169655">
      <w:pPr>
        <w:keepNext w:val="0"/>
        <w:keepLines w:val="0"/>
        <w:pageBreakBefore w:val="0"/>
        <w:widowControl w:val="0"/>
        <w:spacing w:line="460" w:lineRule="exact"/>
        <w:ind w:firstLine="560"/>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本企业对上述声明内容的真实性负责。如有虚假，将依法承担相应责任。</w:t>
      </w:r>
    </w:p>
    <w:p w14:paraId="304E80CA">
      <w:pPr>
        <w:keepNext w:val="0"/>
        <w:keepLines w:val="0"/>
        <w:pageBreakBefore w:val="0"/>
        <w:widowControl w:val="0"/>
        <w:spacing w:line="460" w:lineRule="exact"/>
        <w:outlineLvl w:val="0"/>
        <w:rPr>
          <w:rFonts w:hint="eastAsia" w:ascii="宋体" w:hAnsi="宋体" w:eastAsia="宋体" w:cs="宋体"/>
          <w:sz w:val="28"/>
          <w:szCs w:val="28"/>
          <w:highlight w:val="none"/>
          <w:lang w:bidi="zh-CN"/>
        </w:rPr>
      </w:pPr>
    </w:p>
    <w:p w14:paraId="296C1F0D">
      <w:pPr>
        <w:keepNext w:val="0"/>
        <w:keepLines w:val="0"/>
        <w:pageBreakBefore w:val="0"/>
        <w:widowControl w:val="0"/>
        <w:spacing w:line="460" w:lineRule="exact"/>
        <w:outlineLvl w:val="0"/>
        <w:rPr>
          <w:rFonts w:hint="eastAsia" w:ascii="宋体" w:hAnsi="宋体" w:eastAsia="宋体" w:cs="宋体"/>
          <w:szCs w:val="21"/>
          <w:highlight w:val="none"/>
          <w:lang w:bidi="zh-CN"/>
        </w:rPr>
      </w:pPr>
      <w:r>
        <w:rPr>
          <w:rFonts w:hint="eastAsia" w:ascii="宋体" w:hAnsi="宋体" w:eastAsia="宋体" w:cs="宋体"/>
          <w:szCs w:val="21"/>
          <w:highlight w:val="none"/>
          <w:lang w:bidi="zh-CN"/>
        </w:rPr>
        <w:t>注：1.如项目属性为“服务”或“工程”，请按本表填写。</w:t>
      </w:r>
    </w:p>
    <w:p w14:paraId="5B4EAAC9">
      <w:pPr>
        <w:keepNext w:val="0"/>
        <w:keepLines w:val="0"/>
        <w:pageBreakBefore w:val="0"/>
        <w:widowControl w:val="0"/>
        <w:spacing w:line="460" w:lineRule="exact"/>
        <w:ind w:firstLine="420"/>
        <w:outlineLvl w:val="0"/>
        <w:rPr>
          <w:rFonts w:hint="eastAsia" w:ascii="宋体" w:hAnsi="宋体" w:eastAsia="宋体" w:cs="宋体"/>
          <w:szCs w:val="21"/>
          <w:highlight w:val="none"/>
          <w:lang w:bidi="zh-CN"/>
        </w:rPr>
      </w:pPr>
      <w:r>
        <w:rPr>
          <w:rFonts w:hint="eastAsia" w:ascii="宋体" w:hAnsi="宋体" w:eastAsia="宋体" w:cs="宋体"/>
          <w:szCs w:val="21"/>
          <w:highlight w:val="none"/>
          <w:lang w:bidi="zh-CN"/>
        </w:rPr>
        <w:t>2.从业人员、营业收入、资产总额填报上一年度数据，无上一年度数据的新成立企业可不填报。</w:t>
      </w:r>
    </w:p>
    <w:p w14:paraId="2D283035">
      <w:pPr>
        <w:keepNext w:val="0"/>
        <w:keepLines w:val="0"/>
        <w:pageBreakBefore w:val="0"/>
        <w:widowControl w:val="0"/>
        <w:spacing w:line="460" w:lineRule="exact"/>
        <w:ind w:firstLine="420"/>
        <w:outlineLvl w:val="0"/>
        <w:rPr>
          <w:rFonts w:hint="eastAsia" w:ascii="宋体" w:hAnsi="宋体" w:eastAsia="宋体" w:cs="宋体"/>
          <w:sz w:val="28"/>
          <w:szCs w:val="28"/>
          <w:highlight w:val="none"/>
          <w:lang w:bidi="zh-CN"/>
        </w:rPr>
      </w:pPr>
      <w:r>
        <w:rPr>
          <w:rFonts w:hint="eastAsia" w:ascii="宋体" w:hAnsi="宋体" w:eastAsia="宋体" w:cs="宋体"/>
          <w:szCs w:val="21"/>
          <w:highlight w:val="none"/>
          <w:lang w:bidi="zh-CN"/>
        </w:rPr>
        <w:t>3.中标（成交）供应商的《中小企业声明函》将随中标（成交）结果公告进行公示。供应商按照本办法规定提供声明函内容不实的，属于提供虚假材料谋取中标、成交，依照《中华人民共和国政府采购法》等国家有关规定追究相应责任。</w:t>
      </w:r>
    </w:p>
    <w:p w14:paraId="1AA32F1E">
      <w:pPr>
        <w:keepNext w:val="0"/>
        <w:keepLines w:val="0"/>
        <w:pageBreakBefore w:val="0"/>
        <w:widowControl w:val="0"/>
        <w:spacing w:line="460" w:lineRule="exact"/>
        <w:outlineLvl w:val="0"/>
        <w:rPr>
          <w:rFonts w:hint="eastAsia" w:ascii="宋体" w:hAnsi="宋体" w:eastAsia="宋体" w:cs="宋体"/>
          <w:sz w:val="28"/>
          <w:szCs w:val="28"/>
          <w:highlight w:val="none"/>
          <w:lang w:bidi="zh-CN"/>
        </w:rPr>
      </w:pPr>
    </w:p>
    <w:p w14:paraId="3B016B83">
      <w:pPr>
        <w:keepNext w:val="0"/>
        <w:keepLines w:val="0"/>
        <w:pageBreakBefore w:val="0"/>
        <w:widowControl w:val="0"/>
        <w:spacing w:line="460" w:lineRule="exact"/>
        <w:ind w:firstLine="4900"/>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企业名称（盖章）：</w:t>
      </w:r>
    </w:p>
    <w:p w14:paraId="3C184603">
      <w:pPr>
        <w:keepNext w:val="0"/>
        <w:keepLines w:val="0"/>
        <w:pageBreakBefore w:val="0"/>
        <w:widowControl w:val="0"/>
        <w:spacing w:line="460" w:lineRule="exact"/>
        <w:ind w:firstLine="4900"/>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日期：</w:t>
      </w:r>
    </w:p>
    <w:p w14:paraId="49DF4896">
      <w:pPr>
        <w:spacing w:line="300" w:lineRule="auto"/>
        <w:outlineLvl w:val="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附件1</w:t>
      </w:r>
      <w:r>
        <w:rPr>
          <w:rFonts w:hint="eastAsia" w:ascii="宋体" w:hAnsi="宋体" w:eastAsia="宋体" w:cs="宋体"/>
          <w:sz w:val="32"/>
          <w:szCs w:val="32"/>
          <w:highlight w:val="none"/>
          <w:lang w:val="en-US" w:eastAsia="zh-CN"/>
        </w:rPr>
        <w:t>1</w:t>
      </w:r>
    </w:p>
    <w:p w14:paraId="676D0EAF">
      <w:pPr>
        <w:spacing w:line="460" w:lineRule="exact"/>
        <w:jc w:val="center"/>
        <w:rPr>
          <w:rFonts w:hint="eastAsia" w:ascii="宋体" w:hAnsi="宋体" w:eastAsia="宋体" w:cs="宋体"/>
          <w:b/>
          <w:sz w:val="32"/>
          <w:szCs w:val="32"/>
          <w:highlight w:val="none"/>
        </w:rPr>
      </w:pPr>
      <w:r>
        <w:rPr>
          <w:rFonts w:hint="eastAsia" w:ascii="宋体" w:hAnsi="宋体" w:eastAsia="宋体" w:cs="宋体"/>
          <w:b/>
          <w:sz w:val="32"/>
          <w:szCs w:val="32"/>
          <w:highlight w:val="none"/>
        </w:rPr>
        <w:t>残疾人福利性单位声明函</w:t>
      </w:r>
    </w:p>
    <w:p w14:paraId="6198FCA6">
      <w:pPr>
        <w:spacing w:line="588"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sz w:val="24"/>
          <w:szCs w:val="21"/>
          <w:highlight w:val="none"/>
        </w:rPr>
        <w:t>_</w:t>
      </w:r>
      <w:r>
        <w:rPr>
          <w:rFonts w:hint="eastAsia" w:ascii="宋体" w:hAnsi="宋体" w:eastAsia="宋体" w:cs="宋体"/>
          <w:sz w:val="28"/>
          <w:szCs w:val="28"/>
          <w:highlight w:val="none"/>
        </w:rPr>
        <w:t>________项目采购活动提供本单位制造的货物（由本单位承担工程/提供服务），或者提供其他残疾人福利性单位制造的货物（不包括使用非残疾人福利性单位注册商标的货物）。</w:t>
      </w:r>
    </w:p>
    <w:p w14:paraId="3CE40F27">
      <w:pPr>
        <w:spacing w:line="588" w:lineRule="exact"/>
        <w:ind w:firstLine="560"/>
        <w:rPr>
          <w:rFonts w:hint="eastAsia" w:ascii="宋体" w:hAnsi="宋体" w:eastAsia="宋体" w:cs="宋体"/>
          <w:sz w:val="28"/>
          <w:szCs w:val="28"/>
          <w:highlight w:val="none"/>
        </w:rPr>
      </w:pPr>
      <w:r>
        <w:rPr>
          <w:rFonts w:hint="eastAsia" w:ascii="宋体" w:hAnsi="宋体" w:eastAsia="宋体" w:cs="宋体"/>
          <w:sz w:val="28"/>
          <w:szCs w:val="28"/>
          <w:highlight w:val="none"/>
        </w:rPr>
        <w:t>本单位对上述声明的真实性负责。如有虚假，将依法承担相应责任。</w:t>
      </w:r>
    </w:p>
    <w:p w14:paraId="1A2AAD92">
      <w:pPr>
        <w:spacing w:line="588" w:lineRule="exact"/>
        <w:ind w:firstLine="560"/>
        <w:rPr>
          <w:rFonts w:hint="eastAsia" w:ascii="宋体" w:hAnsi="宋体" w:eastAsia="宋体" w:cs="宋体"/>
          <w:sz w:val="28"/>
          <w:szCs w:val="28"/>
          <w:highlight w:val="none"/>
        </w:rPr>
      </w:pPr>
    </w:p>
    <w:p w14:paraId="592578AA">
      <w:pPr>
        <w:spacing w:line="588" w:lineRule="exact"/>
        <w:ind w:firstLine="584"/>
        <w:rPr>
          <w:rFonts w:hint="eastAsia" w:ascii="宋体" w:hAnsi="宋体" w:eastAsia="宋体" w:cs="宋体"/>
          <w:spacing w:val="6"/>
          <w:sz w:val="28"/>
          <w:szCs w:val="28"/>
          <w:highlight w:val="none"/>
        </w:rPr>
      </w:pPr>
    </w:p>
    <w:p w14:paraId="50051C5D">
      <w:pPr>
        <w:spacing w:line="300" w:lineRule="auto"/>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注：1、供应商如不提供此声明函，价格将不做相应扣除。</w:t>
      </w:r>
    </w:p>
    <w:p w14:paraId="6A16842A">
      <w:pPr>
        <w:spacing w:line="588" w:lineRule="exact"/>
        <w:ind w:firstLine="560"/>
        <w:rPr>
          <w:rFonts w:hint="eastAsia" w:ascii="宋体" w:hAnsi="宋体" w:eastAsia="宋体" w:cs="宋体"/>
          <w:spacing w:val="6"/>
          <w:sz w:val="28"/>
          <w:szCs w:val="28"/>
          <w:highlight w:val="none"/>
        </w:rPr>
      </w:pPr>
      <w:r>
        <w:rPr>
          <w:rFonts w:hint="eastAsia" w:ascii="宋体" w:hAnsi="宋体" w:eastAsia="宋体" w:cs="宋体"/>
          <w:sz w:val="28"/>
          <w:szCs w:val="28"/>
          <w:highlight w:val="none"/>
          <w:lang w:bidi="zh-CN"/>
        </w:rPr>
        <w:t>2、中标（成交）供应商为残疾人福利单位的，此声明函将随中标（成交）结果同时公告，接受社会监督。供应商按照本办法规定提供声明函内容不实的，属于提供虚假材料谋取中标、成交，依照《中华人民共和国政府采购法》等国家有关规定追究相应责任。</w:t>
      </w:r>
    </w:p>
    <w:p w14:paraId="59762F27">
      <w:pPr>
        <w:spacing w:line="588" w:lineRule="exact"/>
        <w:ind w:firstLine="584"/>
        <w:rPr>
          <w:rFonts w:hint="eastAsia" w:ascii="宋体" w:hAnsi="宋体" w:eastAsia="宋体" w:cs="宋体"/>
          <w:spacing w:val="6"/>
          <w:sz w:val="28"/>
          <w:szCs w:val="28"/>
          <w:highlight w:val="none"/>
        </w:rPr>
      </w:pPr>
    </w:p>
    <w:p w14:paraId="787F3C15">
      <w:pPr>
        <w:tabs>
          <w:tab w:val="left" w:pos="4860"/>
        </w:tabs>
        <w:spacing w:line="588" w:lineRule="exact"/>
        <w:ind w:right="1560" w:firstLine="584"/>
        <w:jc w:val="center"/>
        <w:rPr>
          <w:rFonts w:hint="eastAsia" w:ascii="宋体" w:hAnsi="宋体" w:eastAsia="宋体" w:cs="宋体"/>
          <w:sz w:val="28"/>
          <w:szCs w:val="28"/>
          <w:highlight w:val="none"/>
        </w:rPr>
      </w:pPr>
      <w:r>
        <w:rPr>
          <w:rFonts w:hint="eastAsia" w:ascii="宋体" w:hAnsi="宋体" w:eastAsia="宋体" w:cs="宋体"/>
          <w:spacing w:val="6"/>
          <w:sz w:val="28"/>
          <w:szCs w:val="28"/>
          <w:highlight w:val="none"/>
        </w:rPr>
        <w:t xml:space="preserve">             </w:t>
      </w:r>
      <w:r>
        <w:rPr>
          <w:rFonts w:hint="eastAsia" w:ascii="宋体" w:hAnsi="宋体" w:eastAsia="宋体" w:cs="宋体"/>
          <w:sz w:val="28"/>
          <w:szCs w:val="28"/>
          <w:highlight w:val="none"/>
        </w:rPr>
        <w:t xml:space="preserve">           供应商全称（盖章）：</w:t>
      </w:r>
    </w:p>
    <w:p w14:paraId="50D6453B">
      <w:pPr>
        <w:tabs>
          <w:tab w:val="left" w:pos="4860"/>
        </w:tabs>
        <w:spacing w:line="588" w:lineRule="exact"/>
        <w:ind w:right="1560" w:firstLine="560"/>
        <w:jc w:val="center"/>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日  期：</w:t>
      </w:r>
    </w:p>
    <w:p w14:paraId="45A3664A">
      <w:pPr>
        <w:ind w:firstLine="420"/>
        <w:rPr>
          <w:rFonts w:hint="eastAsia" w:ascii="宋体" w:hAnsi="宋体" w:eastAsia="宋体" w:cs="宋体"/>
          <w:sz w:val="28"/>
          <w:szCs w:val="28"/>
          <w:highlight w:val="none"/>
        </w:rPr>
      </w:pPr>
    </w:p>
    <w:p w14:paraId="6D922142">
      <w:pPr>
        <w:spacing w:line="300" w:lineRule="auto"/>
        <w:outlineLvl w:val="0"/>
        <w:rPr>
          <w:rFonts w:hint="eastAsia" w:ascii="宋体" w:hAnsi="宋体" w:eastAsia="宋体" w:cs="宋体"/>
          <w:sz w:val="28"/>
          <w:szCs w:val="28"/>
          <w:highlight w:val="none"/>
        </w:rPr>
      </w:pPr>
    </w:p>
    <w:p w14:paraId="554785EF">
      <w:pPr>
        <w:pStyle w:val="190"/>
        <w:rPr>
          <w:rFonts w:hint="eastAsia" w:ascii="宋体" w:hAnsi="宋体" w:eastAsia="宋体" w:cs="宋体"/>
          <w:sz w:val="28"/>
          <w:szCs w:val="28"/>
          <w:highlight w:val="none"/>
        </w:rPr>
      </w:pPr>
    </w:p>
    <w:p w14:paraId="0CF2D8AF">
      <w:pPr>
        <w:rPr>
          <w:rFonts w:hint="eastAsia" w:ascii="宋体" w:hAnsi="宋体" w:eastAsia="宋体" w:cs="宋体"/>
          <w:sz w:val="28"/>
          <w:szCs w:val="28"/>
          <w:highlight w:val="none"/>
        </w:rPr>
      </w:pPr>
    </w:p>
    <w:p w14:paraId="6BBCCC16">
      <w:pPr>
        <w:pStyle w:val="190"/>
        <w:rPr>
          <w:rFonts w:hint="eastAsia" w:ascii="宋体" w:hAnsi="宋体" w:eastAsia="宋体" w:cs="宋体"/>
          <w:highlight w:val="none"/>
        </w:rPr>
      </w:pPr>
    </w:p>
    <w:p w14:paraId="7BA6A368">
      <w:pPr>
        <w:spacing w:line="300" w:lineRule="auto"/>
        <w:outlineLvl w:val="0"/>
        <w:rPr>
          <w:rFonts w:hint="eastAsia" w:ascii="宋体" w:hAnsi="宋体" w:eastAsia="宋体" w:cs="宋体"/>
          <w:sz w:val="28"/>
          <w:szCs w:val="28"/>
          <w:highlight w:val="none"/>
        </w:rPr>
      </w:pPr>
    </w:p>
    <w:p w14:paraId="563612D4">
      <w:pPr>
        <w:spacing w:line="300" w:lineRule="auto"/>
        <w:outlineLvl w:val="0"/>
        <w:rPr>
          <w:rFonts w:hint="eastAsia" w:ascii="宋体" w:hAnsi="宋体" w:eastAsia="宋体" w:cs="宋体"/>
          <w:sz w:val="28"/>
          <w:szCs w:val="28"/>
          <w:highlight w:val="none"/>
        </w:rPr>
      </w:pPr>
    </w:p>
    <w:p w14:paraId="18C383D7">
      <w:pPr>
        <w:spacing w:line="300" w:lineRule="auto"/>
        <w:outlineLvl w:val="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附件1</w:t>
      </w:r>
      <w:r>
        <w:rPr>
          <w:rFonts w:hint="eastAsia" w:ascii="宋体" w:hAnsi="宋体" w:eastAsia="宋体" w:cs="宋体"/>
          <w:sz w:val="32"/>
          <w:szCs w:val="32"/>
          <w:highlight w:val="none"/>
          <w:lang w:val="en-US" w:eastAsia="zh-CN"/>
        </w:rPr>
        <w:t>2</w:t>
      </w:r>
    </w:p>
    <w:p w14:paraId="6A3E14C0">
      <w:pPr>
        <w:spacing w:line="420" w:lineRule="exact"/>
        <w:jc w:val="center"/>
        <w:outlineLvl w:val="3"/>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监狱和戒毒企业证明材料</w:t>
      </w:r>
    </w:p>
    <w:p w14:paraId="2FB2E4ED">
      <w:pPr>
        <w:spacing w:line="420" w:lineRule="exact"/>
        <w:ind w:firstLine="495"/>
        <w:rPr>
          <w:rFonts w:hint="eastAsia" w:ascii="宋体" w:hAnsi="宋体" w:eastAsia="宋体" w:cs="宋体"/>
          <w:sz w:val="28"/>
          <w:szCs w:val="28"/>
          <w:highlight w:val="none"/>
        </w:rPr>
      </w:pPr>
    </w:p>
    <w:p w14:paraId="22D34188">
      <w:pPr>
        <w:spacing w:line="420" w:lineRule="exact"/>
        <w:ind w:firstLine="498"/>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t>（格式自拟）</w:t>
      </w:r>
    </w:p>
    <w:p w14:paraId="23EC4FA3">
      <w:pPr>
        <w:spacing w:line="420" w:lineRule="exact"/>
        <w:ind w:firstLine="495"/>
        <w:rPr>
          <w:rFonts w:hint="eastAsia" w:ascii="宋体" w:hAnsi="宋体" w:eastAsia="宋体" w:cs="宋体"/>
          <w:sz w:val="28"/>
          <w:szCs w:val="28"/>
          <w:highlight w:val="none"/>
        </w:rPr>
      </w:pPr>
    </w:p>
    <w:p w14:paraId="234B923F">
      <w:pPr>
        <w:spacing w:line="420" w:lineRule="exact"/>
        <w:ind w:firstLine="660"/>
        <w:rPr>
          <w:rFonts w:hint="eastAsia" w:ascii="宋体" w:hAnsi="宋体" w:eastAsia="宋体" w:cs="宋体"/>
          <w:sz w:val="28"/>
          <w:szCs w:val="28"/>
          <w:highlight w:val="none"/>
        </w:rPr>
      </w:pPr>
      <w:r>
        <w:rPr>
          <w:rFonts w:hint="eastAsia" w:ascii="宋体" w:hAnsi="宋体" w:eastAsia="宋体" w:cs="宋体"/>
          <w:sz w:val="28"/>
          <w:szCs w:val="28"/>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14:paraId="6D70C4BE">
      <w:pPr>
        <w:spacing w:line="300" w:lineRule="auto"/>
        <w:outlineLvl w:val="0"/>
        <w:rPr>
          <w:rFonts w:hint="eastAsia" w:ascii="宋体" w:hAnsi="宋体" w:eastAsia="宋体" w:cs="宋体"/>
          <w:sz w:val="28"/>
          <w:szCs w:val="28"/>
          <w:highlight w:val="none"/>
        </w:rPr>
      </w:pPr>
    </w:p>
    <w:p w14:paraId="640EC1FB">
      <w:pPr>
        <w:spacing w:line="300" w:lineRule="auto"/>
        <w:outlineLvl w:val="0"/>
        <w:rPr>
          <w:rFonts w:hint="eastAsia" w:ascii="宋体" w:hAnsi="宋体" w:eastAsia="宋体" w:cs="宋体"/>
          <w:sz w:val="28"/>
          <w:szCs w:val="28"/>
          <w:highlight w:val="none"/>
        </w:rPr>
      </w:pPr>
    </w:p>
    <w:p w14:paraId="14499C52">
      <w:pPr>
        <w:spacing w:line="300" w:lineRule="auto"/>
        <w:outlineLvl w:val="0"/>
        <w:rPr>
          <w:rFonts w:hint="eastAsia" w:ascii="宋体" w:hAnsi="宋体" w:eastAsia="宋体" w:cs="宋体"/>
          <w:sz w:val="28"/>
          <w:szCs w:val="28"/>
          <w:highlight w:val="none"/>
        </w:rPr>
      </w:pPr>
    </w:p>
    <w:p w14:paraId="1E3DD11E">
      <w:pPr>
        <w:spacing w:line="300" w:lineRule="auto"/>
        <w:outlineLvl w:val="0"/>
        <w:rPr>
          <w:rFonts w:hint="eastAsia" w:ascii="宋体" w:hAnsi="宋体" w:eastAsia="宋体" w:cs="宋体"/>
          <w:sz w:val="28"/>
          <w:szCs w:val="28"/>
          <w:highlight w:val="none"/>
          <w:lang w:bidi="zh-CN"/>
        </w:rPr>
      </w:pPr>
      <w:r>
        <w:rPr>
          <w:rFonts w:hint="eastAsia" w:ascii="宋体" w:hAnsi="宋体" w:eastAsia="宋体" w:cs="宋体"/>
          <w:sz w:val="28"/>
          <w:szCs w:val="28"/>
          <w:highlight w:val="none"/>
          <w:lang w:bidi="zh-CN"/>
        </w:rPr>
        <w:t>注：1、供应商如不提供此声明函，价格将不做相应扣除。</w:t>
      </w:r>
    </w:p>
    <w:p w14:paraId="4E00D8ED">
      <w:pPr>
        <w:spacing w:line="300" w:lineRule="auto"/>
        <w:ind w:firstLine="560"/>
        <w:outlineLvl w:val="0"/>
        <w:rPr>
          <w:rFonts w:hint="eastAsia" w:ascii="宋体" w:hAnsi="宋体" w:eastAsia="宋体" w:cs="宋体"/>
          <w:sz w:val="28"/>
          <w:szCs w:val="28"/>
          <w:highlight w:val="none"/>
        </w:rPr>
      </w:pPr>
      <w:r>
        <w:rPr>
          <w:rFonts w:hint="eastAsia" w:ascii="宋体" w:hAnsi="宋体" w:eastAsia="宋体" w:cs="宋体"/>
          <w:sz w:val="28"/>
          <w:szCs w:val="28"/>
          <w:highlight w:val="none"/>
          <w:lang w:bidi="zh-CN"/>
        </w:rPr>
        <w:t>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p>
    <w:p w14:paraId="79762083">
      <w:pPr>
        <w:spacing w:line="300" w:lineRule="auto"/>
        <w:outlineLvl w:val="0"/>
        <w:rPr>
          <w:rFonts w:hint="eastAsia" w:ascii="宋体" w:hAnsi="宋体" w:eastAsia="宋体" w:cs="宋体"/>
          <w:sz w:val="28"/>
          <w:szCs w:val="28"/>
          <w:highlight w:val="none"/>
        </w:rPr>
      </w:pPr>
    </w:p>
    <w:p w14:paraId="77D7F518">
      <w:pPr>
        <w:spacing w:line="300" w:lineRule="auto"/>
        <w:outlineLvl w:val="0"/>
        <w:rPr>
          <w:rFonts w:hint="eastAsia" w:ascii="宋体" w:hAnsi="宋体" w:eastAsia="宋体" w:cs="宋体"/>
          <w:sz w:val="28"/>
          <w:szCs w:val="28"/>
          <w:highlight w:val="none"/>
        </w:rPr>
      </w:pPr>
    </w:p>
    <w:p w14:paraId="6EBAAE33">
      <w:pPr>
        <w:spacing w:line="300" w:lineRule="auto"/>
        <w:outlineLvl w:val="0"/>
        <w:rPr>
          <w:rFonts w:hint="eastAsia" w:ascii="宋体" w:hAnsi="宋体" w:eastAsia="宋体" w:cs="宋体"/>
          <w:sz w:val="28"/>
          <w:szCs w:val="28"/>
          <w:highlight w:val="none"/>
        </w:rPr>
      </w:pPr>
    </w:p>
    <w:p w14:paraId="7150A9E5">
      <w:pPr>
        <w:spacing w:line="300" w:lineRule="auto"/>
        <w:outlineLvl w:val="0"/>
        <w:rPr>
          <w:rFonts w:hint="eastAsia" w:ascii="宋体" w:hAnsi="宋体" w:eastAsia="宋体" w:cs="宋体"/>
          <w:sz w:val="28"/>
          <w:szCs w:val="28"/>
          <w:highlight w:val="none"/>
        </w:rPr>
      </w:pPr>
    </w:p>
    <w:p w14:paraId="60A350DB">
      <w:pPr>
        <w:spacing w:line="300" w:lineRule="auto"/>
        <w:outlineLvl w:val="0"/>
        <w:rPr>
          <w:rFonts w:hint="eastAsia" w:ascii="宋体" w:hAnsi="宋体" w:eastAsia="宋体" w:cs="宋体"/>
          <w:sz w:val="28"/>
          <w:szCs w:val="28"/>
          <w:highlight w:val="none"/>
        </w:rPr>
      </w:pPr>
    </w:p>
    <w:p w14:paraId="60ABE094">
      <w:pPr>
        <w:spacing w:line="300" w:lineRule="auto"/>
        <w:outlineLvl w:val="0"/>
        <w:rPr>
          <w:rFonts w:hint="eastAsia" w:ascii="宋体" w:hAnsi="宋体" w:eastAsia="宋体" w:cs="宋体"/>
          <w:sz w:val="28"/>
          <w:szCs w:val="28"/>
          <w:highlight w:val="none"/>
        </w:rPr>
      </w:pPr>
    </w:p>
    <w:p w14:paraId="5D685707">
      <w:pPr>
        <w:spacing w:line="300" w:lineRule="auto"/>
        <w:outlineLvl w:val="0"/>
        <w:rPr>
          <w:rFonts w:hint="eastAsia" w:ascii="宋体" w:hAnsi="宋体" w:eastAsia="宋体" w:cs="宋体"/>
          <w:sz w:val="28"/>
          <w:szCs w:val="28"/>
          <w:highlight w:val="none"/>
        </w:rPr>
      </w:pPr>
    </w:p>
    <w:p w14:paraId="5A5CD623">
      <w:pPr>
        <w:spacing w:line="300" w:lineRule="auto"/>
        <w:outlineLvl w:val="0"/>
        <w:rPr>
          <w:rFonts w:hint="eastAsia" w:ascii="宋体" w:hAnsi="宋体" w:eastAsia="宋体" w:cs="宋体"/>
          <w:sz w:val="28"/>
          <w:szCs w:val="28"/>
          <w:highlight w:val="none"/>
        </w:rPr>
      </w:pPr>
    </w:p>
    <w:p w14:paraId="78AB1216">
      <w:pPr>
        <w:spacing w:line="300" w:lineRule="auto"/>
        <w:outlineLvl w:val="0"/>
        <w:rPr>
          <w:rFonts w:hint="eastAsia" w:ascii="宋体" w:hAnsi="宋体" w:eastAsia="宋体" w:cs="宋体"/>
          <w:sz w:val="28"/>
          <w:szCs w:val="28"/>
          <w:highlight w:val="none"/>
        </w:rPr>
      </w:pPr>
    </w:p>
    <w:p w14:paraId="7E9825A8">
      <w:pPr>
        <w:spacing w:line="300" w:lineRule="auto"/>
        <w:outlineLvl w:val="0"/>
        <w:rPr>
          <w:rFonts w:hint="eastAsia" w:ascii="宋体" w:hAnsi="宋体" w:eastAsia="宋体" w:cs="宋体"/>
          <w:sz w:val="28"/>
          <w:szCs w:val="28"/>
          <w:highlight w:val="none"/>
        </w:rPr>
      </w:pPr>
    </w:p>
    <w:p w14:paraId="0D4C068A">
      <w:pPr>
        <w:spacing w:line="300" w:lineRule="auto"/>
        <w:outlineLvl w:val="0"/>
        <w:rPr>
          <w:rFonts w:hint="eastAsia" w:ascii="宋体" w:hAnsi="宋体" w:eastAsia="宋体" w:cs="宋体"/>
          <w:sz w:val="28"/>
          <w:szCs w:val="28"/>
          <w:highlight w:val="none"/>
        </w:rPr>
      </w:pPr>
    </w:p>
    <w:p w14:paraId="16B2EC65">
      <w:pPr>
        <w:spacing w:line="300" w:lineRule="auto"/>
        <w:outlineLvl w:val="0"/>
        <w:rPr>
          <w:rFonts w:hint="eastAsia" w:ascii="宋体" w:hAnsi="宋体" w:eastAsia="宋体" w:cs="宋体"/>
          <w:sz w:val="32"/>
          <w:szCs w:val="32"/>
          <w:highlight w:val="none"/>
          <w:lang w:eastAsia="zh-CN"/>
        </w:rPr>
      </w:pPr>
      <w:r>
        <w:rPr>
          <w:rFonts w:hint="eastAsia" w:ascii="宋体" w:hAnsi="宋体" w:eastAsia="宋体" w:cs="宋体"/>
          <w:sz w:val="32"/>
          <w:szCs w:val="32"/>
          <w:highlight w:val="none"/>
        </w:rPr>
        <w:t>附件1</w:t>
      </w:r>
      <w:r>
        <w:rPr>
          <w:rFonts w:hint="eastAsia" w:ascii="宋体" w:hAnsi="宋体" w:eastAsia="宋体" w:cs="宋体"/>
          <w:sz w:val="32"/>
          <w:szCs w:val="32"/>
          <w:highlight w:val="none"/>
          <w:lang w:val="en-US" w:eastAsia="zh-CN"/>
        </w:rPr>
        <w:t>3</w:t>
      </w:r>
    </w:p>
    <w:p w14:paraId="3CFEBA9B">
      <w:pPr>
        <w:jc w:val="center"/>
        <w:rPr>
          <w:rFonts w:hint="eastAsia" w:ascii="宋体" w:hAnsi="宋体" w:eastAsia="宋体" w:cs="宋体"/>
          <w:bCs/>
          <w:sz w:val="44"/>
          <w:szCs w:val="44"/>
          <w:highlight w:val="none"/>
        </w:rPr>
      </w:pPr>
      <w:r>
        <w:rPr>
          <w:rFonts w:hint="eastAsia" w:ascii="宋体" w:hAnsi="宋体" w:eastAsia="宋体" w:cs="宋体"/>
          <w:bCs/>
          <w:sz w:val="44"/>
          <w:szCs w:val="44"/>
          <w:highlight w:val="none"/>
        </w:rPr>
        <w:t>质疑函范本</w:t>
      </w:r>
    </w:p>
    <w:p w14:paraId="76115283">
      <w:pPr>
        <w:spacing w:before="240"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一、质疑供应商基本信息</w:t>
      </w:r>
    </w:p>
    <w:p w14:paraId="3A198167">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质疑供应商：</w:t>
      </w:r>
    </w:p>
    <w:p w14:paraId="6A59F105">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地址：邮编：</w:t>
      </w:r>
    </w:p>
    <w:p w14:paraId="3E4F889B">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联系人：联系电话：</w:t>
      </w:r>
    </w:p>
    <w:p w14:paraId="5744C432">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授权代表：</w:t>
      </w:r>
    </w:p>
    <w:p w14:paraId="67270CF0">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联系电话：</w:t>
      </w:r>
    </w:p>
    <w:p w14:paraId="78E18C61">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地址：邮编：</w:t>
      </w:r>
    </w:p>
    <w:p w14:paraId="623CFE31">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二、质疑项目基本情况</w:t>
      </w:r>
    </w:p>
    <w:p w14:paraId="17F51723">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质疑项目的名称：</w:t>
      </w:r>
    </w:p>
    <w:p w14:paraId="0E6FF04D">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质疑项目的编号：包号：</w:t>
      </w:r>
    </w:p>
    <w:p w14:paraId="20D44C0B">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采购人名称：</w:t>
      </w:r>
    </w:p>
    <w:p w14:paraId="40243B17">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采购文件获取日期：</w:t>
      </w:r>
    </w:p>
    <w:p w14:paraId="29636F02">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三、质疑事项具体内容</w:t>
      </w:r>
    </w:p>
    <w:p w14:paraId="39196100">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质疑事项1：</w:t>
      </w:r>
    </w:p>
    <w:p w14:paraId="204BEA02">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事实依据：</w:t>
      </w:r>
    </w:p>
    <w:p w14:paraId="56958AF0">
      <w:pPr>
        <w:spacing w:line="360" w:lineRule="auto"/>
        <w:rPr>
          <w:rFonts w:hint="eastAsia" w:ascii="宋体" w:hAnsi="宋体" w:eastAsia="宋体" w:cs="宋体"/>
          <w:sz w:val="32"/>
          <w:szCs w:val="32"/>
          <w:highlight w:val="none"/>
        </w:rPr>
      </w:pPr>
    </w:p>
    <w:p w14:paraId="0221FDE4">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法律依据：</w:t>
      </w:r>
    </w:p>
    <w:p w14:paraId="35B22BDA">
      <w:pPr>
        <w:spacing w:line="360" w:lineRule="auto"/>
        <w:rPr>
          <w:rFonts w:hint="eastAsia" w:ascii="宋体" w:hAnsi="宋体" w:eastAsia="宋体" w:cs="宋体"/>
          <w:sz w:val="32"/>
          <w:szCs w:val="32"/>
          <w:highlight w:val="none"/>
          <w:u w:val="single"/>
        </w:rPr>
      </w:pPr>
    </w:p>
    <w:p w14:paraId="5128862C">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质疑事项2</w:t>
      </w:r>
    </w:p>
    <w:p w14:paraId="2318B439">
      <w:pP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w:t>
      </w:r>
    </w:p>
    <w:p w14:paraId="762D14A2">
      <w:pPr>
        <w:spacing w:line="360" w:lineRule="auto"/>
        <w:rPr>
          <w:rFonts w:hint="eastAsia" w:ascii="宋体" w:hAnsi="宋体" w:eastAsia="宋体" w:cs="宋体"/>
          <w:bCs/>
          <w:sz w:val="32"/>
          <w:szCs w:val="32"/>
          <w:highlight w:val="none"/>
        </w:rPr>
      </w:pPr>
      <w:r>
        <w:rPr>
          <w:rFonts w:hint="eastAsia" w:ascii="宋体" w:hAnsi="宋体" w:eastAsia="宋体" w:cs="宋体"/>
          <w:bCs/>
          <w:sz w:val="32"/>
          <w:szCs w:val="32"/>
          <w:highlight w:val="none"/>
        </w:rPr>
        <w:t>四、与质疑事项相关的质疑请求</w:t>
      </w:r>
    </w:p>
    <w:p w14:paraId="7FA505A2">
      <w:pPr>
        <w:spacing w:line="360" w:lineRule="auto"/>
        <w:rPr>
          <w:rFonts w:hint="eastAsia" w:ascii="宋体" w:hAnsi="宋体" w:eastAsia="宋体" w:cs="宋体"/>
          <w:sz w:val="32"/>
          <w:szCs w:val="32"/>
          <w:highlight w:val="none"/>
          <w:u w:val="single"/>
        </w:rPr>
      </w:pPr>
      <w:r>
        <w:rPr>
          <w:rFonts w:hint="eastAsia" w:ascii="宋体" w:hAnsi="宋体" w:eastAsia="宋体" w:cs="宋体"/>
          <w:sz w:val="32"/>
          <w:szCs w:val="32"/>
          <w:highlight w:val="none"/>
        </w:rPr>
        <w:t>请求：</w:t>
      </w:r>
    </w:p>
    <w:p w14:paraId="2D8BA763">
      <w:pP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签字(签章)：                   公章：                      </w:t>
      </w:r>
    </w:p>
    <w:p w14:paraId="4BDBB4EC">
      <w:pPr>
        <w:rPr>
          <w:rFonts w:hint="eastAsia" w:ascii="宋体" w:hAnsi="宋体" w:eastAsia="宋体" w:cs="宋体"/>
          <w:sz w:val="30"/>
          <w:szCs w:val="30"/>
          <w:highlight w:val="none"/>
        </w:rPr>
      </w:pPr>
      <w:r>
        <w:rPr>
          <w:rFonts w:hint="eastAsia" w:ascii="宋体" w:hAnsi="宋体" w:eastAsia="宋体" w:cs="宋体"/>
          <w:sz w:val="30"/>
          <w:szCs w:val="30"/>
          <w:highlight w:val="none"/>
        </w:rPr>
        <w:t xml:space="preserve">日期：    </w:t>
      </w:r>
    </w:p>
    <w:p w14:paraId="72D6425D">
      <w:pPr>
        <w:spacing w:line="360" w:lineRule="auto"/>
        <w:rPr>
          <w:rFonts w:hint="eastAsia" w:ascii="宋体" w:hAnsi="宋体" w:eastAsia="宋体" w:cs="宋体"/>
          <w:sz w:val="32"/>
          <w:szCs w:val="32"/>
          <w:highlight w:val="none"/>
        </w:rPr>
      </w:pPr>
    </w:p>
    <w:p w14:paraId="6964CB84">
      <w:pPr>
        <w:rPr>
          <w:rFonts w:hint="eastAsia" w:ascii="宋体" w:hAnsi="宋体" w:eastAsia="宋体" w:cs="宋体"/>
          <w:b/>
          <w:sz w:val="32"/>
          <w:szCs w:val="32"/>
          <w:highlight w:val="none"/>
        </w:rPr>
      </w:pPr>
    </w:p>
    <w:p w14:paraId="4F3877D5">
      <w:pPr>
        <w:rPr>
          <w:rFonts w:hint="eastAsia" w:ascii="宋体" w:hAnsi="宋体" w:eastAsia="宋体" w:cs="宋体"/>
          <w:b/>
          <w:sz w:val="32"/>
          <w:szCs w:val="32"/>
          <w:highlight w:val="none"/>
        </w:rPr>
      </w:pPr>
      <w:r>
        <w:rPr>
          <w:rFonts w:hint="eastAsia" w:ascii="宋体" w:hAnsi="宋体" w:eastAsia="宋体" w:cs="宋体"/>
          <w:b/>
          <w:sz w:val="32"/>
          <w:szCs w:val="32"/>
          <w:highlight w:val="none"/>
        </w:rPr>
        <w:t>质疑函制作说明：</w:t>
      </w:r>
    </w:p>
    <w:p w14:paraId="6A8D2CC3">
      <w:pPr>
        <w:widowControl/>
        <w:ind w:firstLine="64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1.供应商提出质疑时，应提交质疑函和必要的证明材料。</w:t>
      </w:r>
    </w:p>
    <w:p w14:paraId="7C9C02A3">
      <w:pPr>
        <w:widowControl/>
        <w:ind w:firstLine="64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3090E807">
      <w:pPr>
        <w:widowControl/>
        <w:ind w:firstLine="64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3.质疑供应商若对项目的某一分包进行质疑，质疑函中应列明具体分包号。</w:t>
      </w:r>
    </w:p>
    <w:p w14:paraId="174EDCA2">
      <w:pPr>
        <w:widowControl/>
        <w:ind w:firstLine="64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4.质疑函的质疑事项应具体、明确，并有必要的事实依据和法律依据。</w:t>
      </w:r>
    </w:p>
    <w:p w14:paraId="108AB02E">
      <w:pPr>
        <w:widowControl/>
        <w:ind w:firstLine="64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5.质疑函的质疑请求应与质疑事项相关。</w:t>
      </w:r>
    </w:p>
    <w:p w14:paraId="53D5F515">
      <w:pPr>
        <w:widowControl/>
        <w:ind w:firstLine="640"/>
        <w:jc w:val="left"/>
        <w:rPr>
          <w:rFonts w:hint="eastAsia" w:ascii="宋体" w:hAnsi="宋体" w:eastAsia="宋体" w:cs="宋体"/>
          <w:sz w:val="32"/>
          <w:szCs w:val="32"/>
          <w:highlight w:val="none"/>
        </w:rPr>
      </w:pPr>
      <w:r>
        <w:rPr>
          <w:rFonts w:hint="eastAsia" w:ascii="宋体" w:hAnsi="宋体" w:eastAsia="宋体" w:cs="宋体"/>
          <w:sz w:val="32"/>
          <w:szCs w:val="32"/>
          <w:highlight w:val="none"/>
        </w:rPr>
        <w:t>6.质疑供应商为自然人的，质疑函应由本人签字；质疑供应商为法人或者其他组织的，质疑函应由法定代表人、主要负责人，或者其授权代表签字或者盖章，并加盖公章。</w:t>
      </w:r>
    </w:p>
    <w:p w14:paraId="51CDDDF6">
      <w:pPr>
        <w:spacing w:line="300" w:lineRule="auto"/>
        <w:outlineLvl w:val="0"/>
        <w:rPr>
          <w:rFonts w:hint="eastAsia" w:ascii="宋体" w:hAnsi="宋体" w:eastAsia="宋体" w:cs="宋体"/>
          <w:sz w:val="28"/>
          <w:szCs w:val="28"/>
          <w:highlight w:val="none"/>
        </w:rPr>
      </w:pPr>
    </w:p>
    <w:p w14:paraId="421E14D0">
      <w:pPr>
        <w:spacing w:line="300" w:lineRule="auto"/>
        <w:outlineLvl w:val="0"/>
        <w:rPr>
          <w:rFonts w:hint="eastAsia" w:ascii="宋体" w:hAnsi="宋体" w:eastAsia="宋体" w:cs="宋体"/>
          <w:sz w:val="28"/>
          <w:szCs w:val="28"/>
          <w:highlight w:val="none"/>
        </w:rPr>
      </w:pPr>
    </w:p>
    <w:sectPr>
      <w:headerReference r:id="rId3" w:type="default"/>
      <w:footerReference r:id="rId5" w:type="default"/>
      <w:headerReference r:id="rId4" w:type="even"/>
      <w:footerReference r:id="rId6" w:type="even"/>
      <w:pgSz w:w="11907" w:h="16839"/>
      <w:pgMar w:top="1610" w:right="1519" w:bottom="1497" w:left="1576" w:header="720" w:footer="720"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1" w:fontKey="{9309F67A-260C-4AE5-85B9-2CE4031A9174}"/>
  </w:font>
  <w:font w:name="新宋体">
    <w:panose1 w:val="02010609030101010101"/>
    <w:charset w:val="86"/>
    <w:family w:val="auto"/>
    <w:pitch w:val="default"/>
    <w:sig w:usb0="00000203" w:usb1="288F0000" w:usb2="00000006" w:usb3="00000000" w:csb0="00040001"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方正仿宋_GB2312">
    <w:panose1 w:val="02000000000000000000"/>
    <w:charset w:val="86"/>
    <w:family w:val="auto"/>
    <w:pitch w:val="default"/>
    <w:sig w:usb0="A00002BF" w:usb1="184F6CFA" w:usb2="00000012" w:usb3="00000000" w:csb0="00040001" w:csb1="00000000"/>
    <w:embedRegular r:id="rId2" w:fontKey="{4A7C6BBC-FE60-457D-A68C-051064D40EC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B00CE">
    <w:pPr>
      <w:pStyle w:val="205"/>
      <w:rPr>
        <w:sz w:val="28"/>
        <w:szCs w:val="28"/>
      </w:rPr>
    </w:pPr>
    <w:r>
      <w:rPr>
        <w:sz w:val="28"/>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23DEC68">
                          <w:pPr>
                            <w:pStyle w:val="205"/>
                            <w:tabs>
                              <w:tab w:val="clear" w:pos="4153"/>
                              <w:tab w:val="clear" w:pos="8306"/>
                            </w:tabs>
                          </w:pPr>
                          <w:r>
                            <w:t xml:space="preserve">— </w:t>
                          </w:r>
                          <w:r>
                            <w:fldChar w:fldCharType="begin"/>
                          </w:r>
                          <w:r>
                            <w:instrText xml:space="preserve"> PAGE  \* MERGEFORMAT </w:instrText>
                          </w:r>
                          <w:r>
                            <w:fldChar w:fldCharType="separate"/>
                          </w:r>
                          <w:r>
                            <w:t>89</w:t>
                          </w:r>
                          <w:r>
                            <w:fldChar w:fldCharType="end"/>
                          </w:r>
                          <w:r>
                            <w:t xml:space="preserve"> —</w:t>
                          </w:r>
                        </w:p>
                        <w:p w14:paraId="7A6036F9"/>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723DEC68">
                    <w:pPr>
                      <w:pStyle w:val="205"/>
                      <w:tabs>
                        <w:tab w:val="clear" w:pos="4153"/>
                        <w:tab w:val="clear" w:pos="8306"/>
                      </w:tabs>
                    </w:pPr>
                    <w:r>
                      <w:t xml:space="preserve">— </w:t>
                    </w:r>
                    <w:r>
                      <w:fldChar w:fldCharType="begin"/>
                    </w:r>
                    <w:r>
                      <w:instrText xml:space="preserve"> PAGE  \* MERGEFORMAT </w:instrText>
                    </w:r>
                    <w:r>
                      <w:fldChar w:fldCharType="separate"/>
                    </w:r>
                    <w:r>
                      <w:t>89</w:t>
                    </w:r>
                    <w:r>
                      <w:fldChar w:fldCharType="end"/>
                    </w:r>
                    <w:r>
                      <w:t xml:space="preserve"> —</w:t>
                    </w:r>
                  </w:p>
                  <w:p w14:paraId="7A6036F9"/>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C59CA">
    <w:pPr>
      <w:pStyle w:val="205"/>
      <w:rPr>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386C929">
                          <w:pPr>
                            <w:pStyle w:val="205"/>
                            <w:tabs>
                              <w:tab w:val="clear" w:pos="4153"/>
                              <w:tab w:val="clear" w:pos="8306"/>
                            </w:tabs>
                          </w:pPr>
                          <w:r>
                            <w:t xml:space="preserve">— </w:t>
                          </w:r>
                          <w:r>
                            <w:fldChar w:fldCharType="begin"/>
                          </w:r>
                          <w:r>
                            <w:instrText xml:space="preserve"> PAGE  \* MERGEFORMAT </w:instrText>
                          </w:r>
                          <w:r>
                            <w:fldChar w:fldCharType="separate"/>
                          </w:r>
                          <w:r>
                            <w:t>2</w:t>
                          </w:r>
                          <w:r>
                            <w:fldChar w:fldCharType="end"/>
                          </w:r>
                          <w:r>
                            <w:t xml:space="preserve"> —</w:t>
                          </w:r>
                        </w:p>
                        <w:p w14:paraId="065B48C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386C929">
                    <w:pPr>
                      <w:pStyle w:val="205"/>
                      <w:tabs>
                        <w:tab w:val="clear" w:pos="4153"/>
                        <w:tab w:val="clear" w:pos="8306"/>
                      </w:tabs>
                    </w:pPr>
                    <w:r>
                      <w:t xml:space="preserve">— </w:t>
                    </w:r>
                    <w:r>
                      <w:fldChar w:fldCharType="begin"/>
                    </w:r>
                    <w:r>
                      <w:instrText xml:space="preserve"> PAGE  \* MERGEFORMAT </w:instrText>
                    </w:r>
                    <w:r>
                      <w:fldChar w:fldCharType="separate"/>
                    </w:r>
                    <w:r>
                      <w:t>2</w:t>
                    </w:r>
                    <w:r>
                      <w:fldChar w:fldCharType="end"/>
                    </w:r>
                    <w:r>
                      <w:t xml:space="preserve"> —</w:t>
                    </w:r>
                  </w:p>
                  <w:p w14:paraId="065B48CB"/>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47C39">
    <w:pPr>
      <w:pStyle w:val="207"/>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C4A2D4">
    <w:pPr>
      <w:pStyle w:val="207"/>
      <w:pBdr>
        <w:bottom w:val="none" w:color="000000"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135469"/>
    <w:rsid w:val="18972950"/>
    <w:rsid w:val="196A2E10"/>
    <w:rsid w:val="1CE0158E"/>
    <w:rsid w:val="1E20699A"/>
    <w:rsid w:val="22F73C84"/>
    <w:rsid w:val="25501FA5"/>
    <w:rsid w:val="2AA748FC"/>
    <w:rsid w:val="2B220300"/>
    <w:rsid w:val="2C493B09"/>
    <w:rsid w:val="2D2E5027"/>
    <w:rsid w:val="3EBB1FF8"/>
    <w:rsid w:val="3FBB0C18"/>
    <w:rsid w:val="402B6C60"/>
    <w:rsid w:val="452F56BC"/>
    <w:rsid w:val="458614D2"/>
    <w:rsid w:val="4A731E48"/>
    <w:rsid w:val="4CB97E79"/>
    <w:rsid w:val="547C241E"/>
    <w:rsid w:val="594B3101"/>
    <w:rsid w:val="61DA09EB"/>
    <w:rsid w:val="620A09E6"/>
    <w:rsid w:val="6E7639B5"/>
    <w:rsid w:val="71A81FE1"/>
    <w:rsid w:val="75E63744"/>
    <w:rsid w:val="77CFE030"/>
    <w:rsid w:val="9FBF5C1A"/>
    <w:rsid w:val="EB7B6B88"/>
    <w:rsid w:val="F38FF8F8"/>
    <w:rsid w:val="FB2F6BD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4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Body Text"/>
    <w:basedOn w:val="1"/>
    <w:next w:val="1"/>
    <w:unhideWhenUsed/>
    <w:qFormat/>
    <w:uiPriority w:val="0"/>
    <w:pPr>
      <w:tabs>
        <w:tab w:val="left" w:pos="5250"/>
      </w:tabs>
    </w:pPr>
    <w:rPr>
      <w:rFonts w:ascii="Times New Roman" w:hAnsi="Times New Roman" w:eastAsia="宋体"/>
      <w:snapToGrid/>
      <w:kern w:val="2"/>
      <w:szCs w:val="20"/>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2"/>
    <w:qFormat/>
    <w:uiPriority w:val="9"/>
    <w:rPr>
      <w:rFonts w:ascii="Arial" w:hAnsi="Arial" w:eastAsia="Arial" w:cs="Arial"/>
      <w:sz w:val="40"/>
      <w:szCs w:val="40"/>
    </w:rPr>
  </w:style>
  <w:style w:type="character" w:customStyle="1" w:styleId="37">
    <w:name w:val="Heading 2 Char"/>
    <w:link w:val="3"/>
    <w:qFormat/>
    <w:uiPriority w:val="9"/>
    <w:rPr>
      <w:rFonts w:ascii="Arial" w:hAnsi="Arial" w:eastAsia="Arial" w:cs="Arial"/>
      <w:sz w:val="34"/>
    </w:rPr>
  </w:style>
  <w:style w:type="character" w:customStyle="1" w:styleId="38">
    <w:name w:val="Heading 3 Char"/>
    <w:link w:val="4"/>
    <w:qFormat/>
    <w:uiPriority w:val="9"/>
    <w:rPr>
      <w:rFonts w:ascii="Arial" w:hAnsi="Arial" w:eastAsia="Arial" w:cs="Arial"/>
      <w:sz w:val="30"/>
      <w:szCs w:val="30"/>
    </w:rPr>
  </w:style>
  <w:style w:type="character" w:customStyle="1" w:styleId="39">
    <w:name w:val="Heading 4 Char"/>
    <w:link w:val="5"/>
    <w:qFormat/>
    <w:uiPriority w:val="9"/>
    <w:rPr>
      <w:rFonts w:ascii="Arial" w:hAnsi="Arial" w:eastAsia="Arial" w:cs="Arial"/>
      <w:b/>
      <w:bCs/>
      <w:sz w:val="26"/>
      <w:szCs w:val="26"/>
    </w:rPr>
  </w:style>
  <w:style w:type="character" w:customStyle="1" w:styleId="40">
    <w:name w:val="Heading 5 Char"/>
    <w:link w:val="6"/>
    <w:qFormat/>
    <w:uiPriority w:val="9"/>
    <w:rPr>
      <w:rFonts w:ascii="Arial" w:hAnsi="Arial" w:eastAsia="Arial" w:cs="Arial"/>
      <w:b/>
      <w:bCs/>
      <w:sz w:val="24"/>
      <w:szCs w:val="24"/>
    </w:rPr>
  </w:style>
  <w:style w:type="character" w:customStyle="1" w:styleId="41">
    <w:name w:val="Heading 6 Char"/>
    <w:link w:val="7"/>
    <w:qFormat/>
    <w:uiPriority w:val="9"/>
    <w:rPr>
      <w:rFonts w:ascii="Arial" w:hAnsi="Arial" w:eastAsia="Arial" w:cs="Arial"/>
      <w:b/>
      <w:bCs/>
      <w:sz w:val="22"/>
      <w:szCs w:val="22"/>
    </w:rPr>
  </w:style>
  <w:style w:type="character" w:customStyle="1" w:styleId="42">
    <w:name w:val="Heading 7 Char"/>
    <w:link w:val="8"/>
    <w:qFormat/>
    <w:uiPriority w:val="9"/>
    <w:rPr>
      <w:rFonts w:ascii="Arial" w:hAnsi="Arial" w:eastAsia="Arial" w:cs="Arial"/>
      <w:b/>
      <w:bCs/>
      <w:i/>
      <w:iCs/>
      <w:sz w:val="22"/>
      <w:szCs w:val="22"/>
    </w:rPr>
  </w:style>
  <w:style w:type="character" w:customStyle="1" w:styleId="43">
    <w:name w:val="Heading 8 Char"/>
    <w:link w:val="9"/>
    <w:qFormat/>
    <w:uiPriority w:val="9"/>
    <w:rPr>
      <w:rFonts w:ascii="Arial" w:hAnsi="Arial" w:eastAsia="Arial" w:cs="Arial"/>
      <w:i/>
      <w:iCs/>
      <w:sz w:val="22"/>
      <w:szCs w:val="22"/>
    </w:rPr>
  </w:style>
  <w:style w:type="character" w:customStyle="1" w:styleId="44">
    <w:name w:val="Heading 9 Char"/>
    <w:link w:val="10"/>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1"/>
    <w:qFormat/>
    <w:uiPriority w:val="0"/>
    <w:pPr>
      <w:keepNext/>
      <w:keepLines/>
      <w:spacing w:before="340" w:after="330" w:line="578" w:lineRule="auto"/>
      <w:outlineLvl w:val="0"/>
    </w:pPr>
    <w:rPr>
      <w:b/>
      <w:bCs/>
      <w:sz w:val="44"/>
      <w:szCs w:val="44"/>
    </w:rPr>
  </w:style>
  <w:style w:type="paragraph" w:customStyle="1" w:styleId="185">
    <w:name w:val="标题 21"/>
    <w:basedOn w:val="1"/>
    <w:next w:val="1"/>
    <w:link w:val="192"/>
    <w:qFormat/>
    <w:uiPriority w:val="0"/>
    <w:pPr>
      <w:keepNext/>
      <w:keepLines/>
      <w:spacing w:before="260" w:after="260" w:line="416" w:lineRule="auto"/>
      <w:outlineLvl w:val="1"/>
    </w:pPr>
    <w:rPr>
      <w:rFonts w:ascii="Arial" w:hAnsi="Arial" w:eastAsia="黑体"/>
      <w:b/>
      <w:bCs/>
      <w:sz w:val="32"/>
      <w:szCs w:val="32"/>
    </w:rPr>
  </w:style>
  <w:style w:type="paragraph" w:customStyle="1" w:styleId="186">
    <w:name w:val="标题 31"/>
    <w:basedOn w:val="1"/>
    <w:next w:val="1"/>
    <w:link w:val="193"/>
    <w:qFormat/>
    <w:uiPriority w:val="0"/>
    <w:pPr>
      <w:keepNext/>
      <w:keepLines/>
      <w:spacing w:before="260" w:after="260" w:line="416" w:lineRule="auto"/>
      <w:outlineLvl w:val="2"/>
    </w:pPr>
    <w:rPr>
      <w:b/>
      <w:bCs/>
      <w:sz w:val="32"/>
      <w:szCs w:val="32"/>
    </w:rPr>
  </w:style>
  <w:style w:type="paragraph" w:customStyle="1" w:styleId="187">
    <w:name w:val="标题 41"/>
    <w:basedOn w:val="1"/>
    <w:next w:val="1"/>
    <w:link w:val="194"/>
    <w:qFormat/>
    <w:uiPriority w:val="0"/>
    <w:pPr>
      <w:keepNext/>
      <w:jc w:val="center"/>
      <w:outlineLvl w:val="3"/>
    </w:pPr>
    <w:rPr>
      <w:rFonts w:eastAsia="新宋体"/>
      <w:sz w:val="30"/>
      <w:szCs w:val="21"/>
    </w:rPr>
  </w:style>
  <w:style w:type="character" w:customStyle="1" w:styleId="188">
    <w:name w:val="默认段落字体1"/>
    <w:link w:val="1"/>
    <w:unhideWhenUsed/>
    <w:qFormat/>
    <w:uiPriority w:val="1"/>
  </w:style>
  <w:style w:type="table" w:customStyle="1" w:styleId="189">
    <w:name w:val="普通表格1"/>
    <w:unhideWhenUsed/>
    <w:qFormat/>
    <w:uiPriority w:val="99"/>
  </w:style>
  <w:style w:type="paragraph" w:customStyle="1" w:styleId="190">
    <w:name w:val="正文文本1"/>
    <w:basedOn w:val="1"/>
    <w:next w:val="1"/>
    <w:qFormat/>
    <w:uiPriority w:val="0"/>
    <w:pPr>
      <w:spacing w:after="120"/>
    </w:pPr>
    <w:rPr>
      <w:rFonts w:cs="Times New Roman"/>
      <w:sz w:val="20"/>
      <w:szCs w:val="20"/>
    </w:rPr>
  </w:style>
  <w:style w:type="character" w:customStyle="1" w:styleId="191">
    <w:name w:val="标题 1 Char"/>
    <w:link w:val="184"/>
    <w:qFormat/>
    <w:uiPriority w:val="0"/>
    <w:rPr>
      <w:b/>
      <w:bCs/>
      <w:sz w:val="44"/>
      <w:szCs w:val="44"/>
    </w:rPr>
  </w:style>
  <w:style w:type="character" w:customStyle="1" w:styleId="192">
    <w:name w:val="标题 2 Char"/>
    <w:link w:val="185"/>
    <w:qFormat/>
    <w:uiPriority w:val="0"/>
    <w:rPr>
      <w:rFonts w:ascii="Arial" w:hAnsi="Arial" w:eastAsia="黑体"/>
      <w:b/>
      <w:bCs/>
      <w:sz w:val="32"/>
      <w:szCs w:val="32"/>
    </w:rPr>
  </w:style>
  <w:style w:type="character" w:customStyle="1" w:styleId="193">
    <w:name w:val="标题 3 Char"/>
    <w:link w:val="186"/>
    <w:qFormat/>
    <w:uiPriority w:val="0"/>
    <w:rPr>
      <w:b/>
      <w:bCs/>
      <w:sz w:val="32"/>
      <w:szCs w:val="32"/>
    </w:rPr>
  </w:style>
  <w:style w:type="character" w:customStyle="1" w:styleId="194">
    <w:name w:val="标题 4 Char"/>
    <w:link w:val="187"/>
    <w:qFormat/>
    <w:uiPriority w:val="0"/>
    <w:rPr>
      <w:rFonts w:eastAsia="新宋体"/>
      <w:sz w:val="30"/>
      <w:szCs w:val="21"/>
    </w:rPr>
  </w:style>
  <w:style w:type="paragraph" w:customStyle="1" w:styleId="195">
    <w:name w:val="正文缩进1"/>
    <w:basedOn w:val="1"/>
    <w:link w:val="196"/>
    <w:qFormat/>
    <w:uiPriority w:val="0"/>
    <w:pPr>
      <w:ind w:firstLine="420"/>
    </w:pPr>
    <w:rPr>
      <w:szCs w:val="20"/>
    </w:rPr>
  </w:style>
  <w:style w:type="character" w:customStyle="1" w:styleId="196">
    <w:name w:val="正文缩进 Char"/>
    <w:link w:val="195"/>
    <w:qFormat/>
    <w:uiPriority w:val="0"/>
    <w:rPr>
      <w:sz w:val="21"/>
    </w:rPr>
  </w:style>
  <w:style w:type="paragraph" w:customStyle="1" w:styleId="197">
    <w:name w:val="文档结构图1"/>
    <w:basedOn w:val="1"/>
    <w:link w:val="198"/>
    <w:semiHidden/>
    <w:qFormat/>
    <w:uiPriority w:val="0"/>
    <w:pPr>
      <w:shd w:val="clear" w:color="auto" w:fill="000080"/>
    </w:pPr>
  </w:style>
  <w:style w:type="character" w:customStyle="1" w:styleId="198">
    <w:name w:val="文档结构图 Char"/>
    <w:link w:val="197"/>
    <w:semiHidden/>
    <w:qFormat/>
    <w:uiPriority w:val="0"/>
    <w:rPr>
      <w:sz w:val="21"/>
      <w:szCs w:val="24"/>
      <w:shd w:val="clear" w:color="auto" w:fill="000080"/>
    </w:rPr>
  </w:style>
  <w:style w:type="paragraph" w:customStyle="1" w:styleId="199">
    <w:name w:val="正文文本缩进1"/>
    <w:basedOn w:val="1"/>
    <w:link w:val="200"/>
    <w:qFormat/>
    <w:uiPriority w:val="0"/>
    <w:pPr>
      <w:spacing w:after="120"/>
      <w:ind w:left="420"/>
    </w:pPr>
  </w:style>
  <w:style w:type="character" w:customStyle="1" w:styleId="200">
    <w:name w:val="正文文本缩进 Char"/>
    <w:link w:val="199"/>
    <w:qFormat/>
    <w:uiPriority w:val="0"/>
    <w:rPr>
      <w:sz w:val="21"/>
      <w:szCs w:val="24"/>
    </w:rPr>
  </w:style>
  <w:style w:type="paragraph" w:customStyle="1" w:styleId="201">
    <w:name w:val="日期1"/>
    <w:basedOn w:val="1"/>
    <w:next w:val="1"/>
    <w:link w:val="202"/>
    <w:qFormat/>
    <w:uiPriority w:val="0"/>
    <w:pPr>
      <w:ind w:left="100"/>
    </w:pPr>
  </w:style>
  <w:style w:type="character" w:customStyle="1" w:styleId="202">
    <w:name w:val="日期 Char"/>
    <w:link w:val="201"/>
    <w:qFormat/>
    <w:uiPriority w:val="0"/>
    <w:rPr>
      <w:sz w:val="21"/>
      <w:szCs w:val="24"/>
    </w:rPr>
  </w:style>
  <w:style w:type="paragraph" w:customStyle="1" w:styleId="203">
    <w:name w:val="批注框文本1"/>
    <w:basedOn w:val="1"/>
    <w:link w:val="204"/>
    <w:semiHidden/>
    <w:qFormat/>
    <w:uiPriority w:val="0"/>
    <w:rPr>
      <w:sz w:val="18"/>
      <w:szCs w:val="18"/>
    </w:rPr>
  </w:style>
  <w:style w:type="character" w:customStyle="1" w:styleId="204">
    <w:name w:val="批注框文本 Char"/>
    <w:link w:val="203"/>
    <w:semiHidden/>
    <w:qFormat/>
    <w:uiPriority w:val="0"/>
    <w:rPr>
      <w:sz w:val="18"/>
      <w:szCs w:val="18"/>
    </w:rPr>
  </w:style>
  <w:style w:type="paragraph" w:customStyle="1" w:styleId="205">
    <w:name w:val="页脚1"/>
    <w:basedOn w:val="1"/>
    <w:link w:val="206"/>
    <w:qFormat/>
    <w:uiPriority w:val="99"/>
    <w:pPr>
      <w:tabs>
        <w:tab w:val="center" w:pos="4153"/>
        <w:tab w:val="right" w:pos="8306"/>
      </w:tabs>
      <w:jc w:val="left"/>
    </w:pPr>
    <w:rPr>
      <w:sz w:val="18"/>
      <w:szCs w:val="18"/>
    </w:rPr>
  </w:style>
  <w:style w:type="character" w:customStyle="1" w:styleId="206">
    <w:name w:val="页脚 Char"/>
    <w:link w:val="205"/>
    <w:qFormat/>
    <w:uiPriority w:val="99"/>
    <w:rPr>
      <w:sz w:val="18"/>
      <w:szCs w:val="18"/>
    </w:rPr>
  </w:style>
  <w:style w:type="paragraph" w:customStyle="1" w:styleId="207">
    <w:name w:val="页眉1"/>
    <w:basedOn w:val="1"/>
    <w:link w:val="208"/>
    <w:qFormat/>
    <w:uiPriority w:val="0"/>
    <w:pPr>
      <w:pBdr>
        <w:bottom w:val="single" w:color="000000" w:sz="6" w:space="1"/>
      </w:pBdr>
      <w:tabs>
        <w:tab w:val="center" w:pos="4153"/>
        <w:tab w:val="right" w:pos="8306"/>
      </w:tabs>
      <w:jc w:val="center"/>
    </w:pPr>
    <w:rPr>
      <w:sz w:val="18"/>
      <w:szCs w:val="18"/>
    </w:rPr>
  </w:style>
  <w:style w:type="character" w:customStyle="1" w:styleId="208">
    <w:name w:val="页眉 Char"/>
    <w:link w:val="207"/>
    <w:qFormat/>
    <w:uiPriority w:val="0"/>
    <w:rPr>
      <w:sz w:val="18"/>
      <w:szCs w:val="18"/>
    </w:rPr>
  </w:style>
  <w:style w:type="paragraph" w:customStyle="1" w:styleId="209">
    <w:name w:val="正文文本缩进 31"/>
    <w:basedOn w:val="1"/>
    <w:link w:val="210"/>
    <w:qFormat/>
    <w:uiPriority w:val="0"/>
    <w:pPr>
      <w:spacing w:line="520" w:lineRule="exact"/>
      <w:ind w:firstLine="539"/>
    </w:pPr>
    <w:rPr>
      <w:rFonts w:ascii="宋体"/>
      <w:b/>
      <w:spacing w:val="6"/>
      <w:sz w:val="28"/>
    </w:rPr>
  </w:style>
  <w:style w:type="character" w:customStyle="1" w:styleId="210">
    <w:name w:val="正文文本缩进 3 Char"/>
    <w:link w:val="209"/>
    <w:qFormat/>
    <w:uiPriority w:val="0"/>
    <w:rPr>
      <w:rFonts w:ascii="宋体"/>
      <w:b/>
      <w:spacing w:val="6"/>
      <w:sz w:val="28"/>
      <w:szCs w:val="24"/>
    </w:rPr>
  </w:style>
  <w:style w:type="paragraph" w:customStyle="1" w:styleId="211">
    <w:name w:val="普通(网站)1"/>
    <w:basedOn w:val="1"/>
    <w:unhideWhenUsed/>
    <w:qFormat/>
    <w:uiPriority w:val="0"/>
    <w:pPr>
      <w:widowControl/>
      <w:spacing w:before="100" w:beforeAutospacing="1" w:after="100" w:afterAutospacing="1"/>
      <w:jc w:val="left"/>
    </w:pPr>
    <w:rPr>
      <w:rFonts w:ascii="宋体" w:hAnsi="宋体" w:cs="宋体"/>
      <w:sz w:val="24"/>
    </w:rPr>
  </w:style>
  <w:style w:type="table" w:customStyle="1" w:styleId="212">
    <w:name w:val="网格型1"/>
    <w:basedOn w:val="189"/>
    <w:qFormat/>
    <w:uiPriority w:val="0"/>
    <w:pPr>
      <w:widowControl w:val="0"/>
      <w:jc w:val="both"/>
    </w:pPr>
  </w:style>
  <w:style w:type="character" w:customStyle="1" w:styleId="213">
    <w:name w:val="要点1"/>
    <w:link w:val="1"/>
    <w:qFormat/>
    <w:uiPriority w:val="22"/>
    <w:rPr>
      <w:b/>
      <w:bCs/>
    </w:rPr>
  </w:style>
  <w:style w:type="character" w:customStyle="1" w:styleId="214">
    <w:name w:val="页码1"/>
    <w:link w:val="1"/>
    <w:qFormat/>
    <w:uiPriority w:val="0"/>
  </w:style>
  <w:style w:type="character" w:customStyle="1" w:styleId="215">
    <w:name w:val="已访问的超链接1"/>
    <w:link w:val="1"/>
    <w:unhideWhenUsed/>
    <w:qFormat/>
    <w:uiPriority w:val="99"/>
    <w:rPr>
      <w:color w:val="800080"/>
      <w:u w:val="none"/>
    </w:rPr>
  </w:style>
  <w:style w:type="character" w:customStyle="1" w:styleId="216">
    <w:name w:val="强调1"/>
    <w:link w:val="1"/>
    <w:qFormat/>
    <w:uiPriority w:val="0"/>
    <w:rPr>
      <w:b/>
      <w:bCs/>
    </w:rPr>
  </w:style>
  <w:style w:type="character" w:customStyle="1" w:styleId="217">
    <w:name w:val="HTML 定义1"/>
    <w:link w:val="1"/>
    <w:unhideWhenUsed/>
    <w:qFormat/>
    <w:uiPriority w:val="99"/>
  </w:style>
  <w:style w:type="character" w:customStyle="1" w:styleId="218">
    <w:name w:val="HTML 打字机1"/>
    <w:link w:val="1"/>
    <w:unhideWhenUsed/>
    <w:qFormat/>
    <w:uiPriority w:val="99"/>
    <w:rPr>
      <w:rFonts w:ascii="monospace" w:hAnsi="monospace" w:eastAsia="monospace" w:cs="monospace"/>
      <w:sz w:val="20"/>
    </w:rPr>
  </w:style>
  <w:style w:type="character" w:customStyle="1" w:styleId="219">
    <w:name w:val="HTML 缩写1"/>
    <w:link w:val="1"/>
    <w:unhideWhenUsed/>
    <w:qFormat/>
    <w:uiPriority w:val="99"/>
  </w:style>
  <w:style w:type="character" w:customStyle="1" w:styleId="220">
    <w:name w:val="HTML 变量1"/>
    <w:link w:val="1"/>
    <w:unhideWhenUsed/>
    <w:qFormat/>
    <w:uiPriority w:val="99"/>
  </w:style>
  <w:style w:type="character" w:customStyle="1" w:styleId="221">
    <w:name w:val="超链接1"/>
    <w:link w:val="1"/>
    <w:unhideWhenUsed/>
    <w:qFormat/>
    <w:uiPriority w:val="99"/>
    <w:rPr>
      <w:color w:val="0000FF"/>
      <w:u w:val="none"/>
    </w:rPr>
  </w:style>
  <w:style w:type="character" w:customStyle="1" w:styleId="222">
    <w:name w:val="HTML 代码1"/>
    <w:link w:val="1"/>
    <w:unhideWhenUsed/>
    <w:qFormat/>
    <w:uiPriority w:val="99"/>
    <w:rPr>
      <w:rFonts w:ascii="monospace" w:hAnsi="monospace" w:eastAsia="monospace" w:cs="monospace"/>
      <w:sz w:val="20"/>
    </w:rPr>
  </w:style>
  <w:style w:type="character" w:customStyle="1" w:styleId="223">
    <w:name w:val="HTML 引文1"/>
    <w:link w:val="1"/>
    <w:unhideWhenUsed/>
    <w:qFormat/>
    <w:uiPriority w:val="99"/>
  </w:style>
  <w:style w:type="character" w:customStyle="1" w:styleId="224">
    <w:name w:val="HTML 键盘1"/>
    <w:link w:val="1"/>
    <w:unhideWhenUsed/>
    <w:qFormat/>
    <w:uiPriority w:val="99"/>
    <w:rPr>
      <w:rFonts w:ascii="monospace" w:hAnsi="monospace" w:eastAsia="monospace" w:cs="monospace"/>
      <w:sz w:val="20"/>
    </w:rPr>
  </w:style>
  <w:style w:type="character" w:customStyle="1" w:styleId="225">
    <w:name w:val="HTML 样本1"/>
    <w:link w:val="1"/>
    <w:unhideWhenUsed/>
    <w:qFormat/>
    <w:uiPriority w:val="99"/>
    <w:rPr>
      <w:rFonts w:ascii="monospace" w:hAnsi="monospace" w:eastAsia="monospace" w:cs="monospace"/>
    </w:rPr>
  </w:style>
  <w:style w:type="character" w:customStyle="1" w:styleId="226">
    <w:name w:val="正文缩进2格 Char"/>
    <w:link w:val="227"/>
    <w:qFormat/>
    <w:uiPriority w:val="0"/>
    <w:rPr>
      <w:rFonts w:ascii="仿宋_GB2312" w:hAnsi="宋体" w:eastAsia="仿宋_GB2312"/>
      <w:sz w:val="31"/>
      <w:szCs w:val="28"/>
    </w:rPr>
  </w:style>
  <w:style w:type="paragraph" w:customStyle="1" w:styleId="227">
    <w:name w:val="正文缩进2格"/>
    <w:basedOn w:val="1"/>
    <w:link w:val="226"/>
    <w:qFormat/>
    <w:uiPriority w:val="0"/>
    <w:pPr>
      <w:spacing w:line="600" w:lineRule="exact"/>
      <w:ind w:firstLine="639"/>
    </w:pPr>
    <w:rPr>
      <w:rFonts w:ascii="仿宋_GB2312" w:hAnsi="宋体" w:eastAsia="仿宋_GB2312"/>
      <w:sz w:val="31"/>
      <w:szCs w:val="28"/>
    </w:rPr>
  </w:style>
  <w:style w:type="character" w:customStyle="1" w:styleId="228">
    <w:name w:val="标题 3.1 Char"/>
    <w:link w:val="229"/>
    <w:qFormat/>
    <w:uiPriority w:val="0"/>
    <w:rPr>
      <w:rFonts w:ascii="宋体" w:hAnsi="宋体"/>
      <w:b/>
      <w:bCs/>
      <w:color w:val="000000"/>
      <w:sz w:val="32"/>
      <w:szCs w:val="32"/>
    </w:rPr>
  </w:style>
  <w:style w:type="paragraph" w:customStyle="1" w:styleId="229">
    <w:name w:val="标题 3.1"/>
    <w:basedOn w:val="186"/>
    <w:link w:val="228"/>
    <w:qFormat/>
    <w:uiPriority w:val="0"/>
    <w:pPr>
      <w:tabs>
        <w:tab w:val="left" w:pos="1440"/>
        <w:tab w:val="left" w:pos="1620"/>
      </w:tabs>
      <w:spacing w:line="600" w:lineRule="exact"/>
    </w:pPr>
    <w:rPr>
      <w:rFonts w:ascii="宋体" w:hAnsi="宋体"/>
      <w:color w:val="000000"/>
    </w:rPr>
  </w:style>
  <w:style w:type="paragraph" w:customStyle="1" w:styleId="230">
    <w:name w:val=" Char"/>
    <w:basedOn w:val="1"/>
    <w:qFormat/>
    <w:uiPriority w:val="0"/>
    <w:rPr>
      <w:rFonts w:ascii="Tahoma" w:hAnsi="Tahoma"/>
      <w:sz w:val="24"/>
      <w:szCs w:val="20"/>
    </w:rPr>
  </w:style>
  <w:style w:type="paragraph" w:customStyle="1" w:styleId="231">
    <w:name w:val="正文缩进4格"/>
    <w:basedOn w:val="227"/>
    <w:qFormat/>
    <w:uiPriority w:val="0"/>
    <w:pPr>
      <w:ind w:left="2" w:firstLine="538"/>
    </w:pPr>
    <w:rPr>
      <w:color w:val="000000"/>
      <w:sz w:val="28"/>
    </w:rPr>
  </w:style>
  <w:style w:type="paragraph" w:customStyle="1" w:styleId="232">
    <w:name w:val=" Char Char Char Char"/>
    <w:basedOn w:val="1"/>
    <w:qFormat/>
    <w:uiPriority w:val="0"/>
    <w:rPr>
      <w:rFonts w:ascii="Tahoma" w:hAnsi="Tahoma"/>
      <w:sz w:val="24"/>
      <w:szCs w:val="20"/>
    </w:rPr>
  </w:style>
  <w:style w:type="paragraph" w:customStyle="1" w:styleId="233">
    <w:name w:val="Char1"/>
    <w:basedOn w:val="1"/>
    <w:qFormat/>
    <w:uiPriority w:val="0"/>
    <w:pPr>
      <w:tabs>
        <w:tab w:val="left" w:pos="840"/>
      </w:tabs>
      <w:ind w:left="840" w:hanging="420"/>
    </w:pPr>
    <w:rPr>
      <w:sz w:val="24"/>
    </w:rPr>
  </w:style>
  <w:style w:type="paragraph" w:customStyle="1" w:styleId="234">
    <w:name w:val=" 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35">
    <w:name w:val="msonormalcxspmiddle"/>
    <w:basedOn w:val="1"/>
    <w:qFormat/>
    <w:uiPriority w:val="0"/>
    <w:pPr>
      <w:widowControl/>
      <w:spacing w:before="100" w:beforeAutospacing="1" w:after="100" w:afterAutospacing="1"/>
      <w:jc w:val="left"/>
    </w:pPr>
    <w:rPr>
      <w:rFonts w:ascii="宋体" w:hAnsi="宋体" w:cs="宋体"/>
      <w:sz w:val="24"/>
    </w:rPr>
  </w:style>
  <w:style w:type="paragraph" w:customStyle="1" w:styleId="236">
    <w:name w:val=" Char Char 字元 字元 字元 Char Char Char Char"/>
    <w:basedOn w:val="1"/>
    <w:qFormat/>
    <w:uiPriority w:val="0"/>
    <w:pPr>
      <w:spacing w:line="360" w:lineRule="auto"/>
    </w:pPr>
    <w:rPr>
      <w:sz w:val="24"/>
      <w:szCs w:val="20"/>
    </w:rPr>
  </w:style>
  <w:style w:type="paragraph" w:customStyle="1" w:styleId="237">
    <w:name w:val="para"/>
    <w:basedOn w:val="1"/>
    <w:qFormat/>
    <w:uiPriority w:val="0"/>
    <w:pPr>
      <w:widowControl/>
      <w:spacing w:before="100" w:beforeAutospacing="1" w:after="100" w:afterAutospacing="1"/>
      <w:jc w:val="left"/>
    </w:pPr>
    <w:rPr>
      <w:rFonts w:ascii="Arial" w:hAnsi="Arial" w:cs="Arial"/>
      <w:sz w:val="18"/>
      <w:szCs w:val="18"/>
    </w:rPr>
  </w:style>
  <w:style w:type="paragraph" w:customStyle="1" w:styleId="238">
    <w:name w:val="Char"/>
    <w:basedOn w:val="1"/>
    <w:qFormat/>
    <w:uiPriority w:val="0"/>
    <w:rPr>
      <w:rFonts w:ascii="Tahoma" w:hAnsi="Tahoma"/>
      <w:sz w:val="24"/>
      <w:szCs w:val="20"/>
    </w:rPr>
  </w:style>
  <w:style w:type="paragraph" w:customStyle="1" w:styleId="239">
    <w:name w:val="msonormalcxsplast"/>
    <w:basedOn w:val="1"/>
    <w:qFormat/>
    <w:uiPriority w:val="0"/>
    <w:pPr>
      <w:widowControl/>
      <w:spacing w:before="100" w:beforeAutospacing="1" w:after="100" w:afterAutospacing="1"/>
      <w:jc w:val="left"/>
    </w:pPr>
    <w:rPr>
      <w:rFonts w:ascii="宋体" w:hAnsi="宋体" w:cs="宋体"/>
      <w:sz w:val="24"/>
    </w:rPr>
  </w:style>
  <w:style w:type="character" w:customStyle="1" w:styleId="240">
    <w:name w:val="普通正文 Char"/>
    <w:link w:val="241"/>
    <w:qFormat/>
    <w:uiPriority w:val="0"/>
    <w:rPr>
      <w:rFonts w:ascii="Arial" w:hAnsi="Arial"/>
      <w:sz w:val="24"/>
      <w:szCs w:val="24"/>
    </w:rPr>
  </w:style>
  <w:style w:type="paragraph" w:customStyle="1" w:styleId="241">
    <w:name w:val="普通正文"/>
    <w:basedOn w:val="1"/>
    <w:link w:val="240"/>
    <w:qFormat/>
    <w:uiPriority w:val="0"/>
    <w:pPr>
      <w:spacing w:before="120" w:after="120" w:line="360" w:lineRule="auto"/>
      <w:ind w:left="-2" w:right="120" w:firstLine="480"/>
      <w:jc w:val="center"/>
    </w:pPr>
    <w:rPr>
      <w:rFonts w:ascii="Arial" w:hAnsi="Arial"/>
      <w:sz w:val="24"/>
    </w:rPr>
  </w:style>
  <w:style w:type="character" w:customStyle="1" w:styleId="242">
    <w:name w:val="mini-outputtext1"/>
    <w:link w:val="1"/>
    <w:qFormat/>
    <w:uiPriority w:val="0"/>
  </w:style>
  <w:style w:type="character" w:customStyle="1" w:styleId="243">
    <w:name w:val="font31"/>
    <w:link w:val="1"/>
    <w:qFormat/>
    <w:uiPriority w:val="0"/>
    <w:rPr>
      <w:rFonts w:hint="eastAsia" w:ascii="宋体" w:hAnsi="宋体" w:eastAsia="宋体" w:cs="宋体"/>
      <w:color w:val="000000"/>
      <w:sz w:val="21"/>
      <w:szCs w:val="21"/>
      <w:u w:val="none"/>
    </w:rPr>
  </w:style>
  <w:style w:type="character" w:customStyle="1" w:styleId="244">
    <w:name w:val="font61"/>
    <w:link w:val="1"/>
    <w:qFormat/>
    <w:uiPriority w:val="0"/>
    <w:rPr>
      <w:rFonts w:ascii="Times New Roman" w:hAnsi="Times New Roman" w:cs="Times New Roman"/>
      <w:color w:val="000000"/>
      <w:sz w:val="21"/>
      <w:szCs w:val="21"/>
      <w:u w:val="none"/>
    </w:rPr>
  </w:style>
  <w:style w:type="character" w:customStyle="1" w:styleId="245">
    <w:name w:val="font01"/>
    <w:link w:val="1"/>
    <w:qFormat/>
    <w:uiPriority w:val="0"/>
    <w:rPr>
      <w:rFonts w:ascii="等线" w:hAnsi="等线" w:eastAsia="等线" w:cs="等线"/>
      <w:color w:val="000000"/>
      <w:sz w:val="22"/>
      <w:szCs w:val="22"/>
      <w:u w:val="none"/>
    </w:rPr>
  </w:style>
  <w:style w:type="character" w:customStyle="1" w:styleId="246">
    <w:name w:val="font51"/>
    <w:link w:val="1"/>
    <w:qFormat/>
    <w:uiPriority w:val="0"/>
    <w:rPr>
      <w:rFonts w:ascii="等线" w:hAnsi="等线" w:eastAsia="等线" w:cs="等线"/>
      <w:b/>
      <w:bCs/>
      <w:color w:val="000000"/>
      <w:sz w:val="22"/>
      <w:szCs w:val="22"/>
      <w:u w:val="none"/>
    </w:rPr>
  </w:style>
  <w:style w:type="paragraph" w:customStyle="1" w:styleId="247">
    <w:name w:val="普通(网站) Char"/>
    <w:basedOn w:val="1"/>
    <w:qFormat/>
    <w:uiPriority w:val="0"/>
    <w:pPr>
      <w:keepNext w:val="0"/>
      <w:keepLines w:val="0"/>
      <w:widowControl/>
      <w:suppressLineNumbers w:val="0"/>
      <w:spacing w:before="100" w:beforeAutospacing="1" w:after="100" w:afterAutospacing="1"/>
      <w:ind w:left="0" w:right="0"/>
      <w:jc w:val="left"/>
    </w:pPr>
    <w:rPr>
      <w:rFonts w:hint="eastAsia" w:ascii="宋体" w:hAnsi="宋体" w:eastAsia="宋体" w:cs="宋体"/>
      <w:sz w:val="24"/>
      <w:szCs w:val="24"/>
      <w:lang w:val="en-US" w:eastAsia="zh-CN" w:bidi="ar"/>
    </w:rPr>
  </w:style>
  <w:style w:type="character" w:customStyle="1" w:styleId="248">
    <w:name w:val="页脚 字符"/>
    <w:link w:val="1"/>
    <w:qFormat/>
    <w:uiPriority w:val="99"/>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65</Pages>
  <Words>16725</Words>
  <Characters>17678</Characters>
  <TotalTime>0</TotalTime>
  <ScaleCrop>false</ScaleCrop>
  <LinksUpToDate>false</LinksUpToDate>
  <CharactersWithSpaces>17788</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2025-04-04T07:42:00Z</dcterms:created>
  <dc:creator>Us</dc:creator>
  <cp:lastModifiedBy>方寸zth</cp:lastModifiedBy>
  <dcterms:modified xsi:type="dcterms:W3CDTF">2026-04-21T08:01:12Z</dcterms:modified>
  <dc:title>南通市环境监测中心站火</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eyJoZGlkIjoiYTc2ZGZiNzZiNDVlOGViOWVmM2JhOTY0NGJkNjUyYzgiLCJ1c2VySWQiOiIxMDYzMjMyNjI2In0=</vt:lpwstr>
  </property>
  <property fmtid="{D5CDD505-2E9C-101B-9397-08002B2CF9AE}" pid="3" name="KSOProductBuildVer">
    <vt:lpwstr>2052-12.1.0.25225</vt:lpwstr>
  </property>
  <property fmtid="{D5CDD505-2E9C-101B-9397-08002B2CF9AE}" pid="4" name="ICV">
    <vt:lpwstr>534A54344EEB4AC2B10E35828ECA814A_12</vt:lpwstr>
  </property>
</Properties>
</file>