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UPS和精密空调维保服务项目</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JSZC-320400-CTZB-G2026-0040</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常州市第七人民医院</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2"/>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5"/>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5"/>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5"/>
          <w:color w:val="000000"/>
          <w:sz w:val="32"/>
          <w:szCs w:val="32"/>
          <w:highlight w:val="none"/>
        </w:rPr>
        <w:t xml:space="preserve">第三章   资</w:t>
      </w:r>
      <w:bookmarkStart w:id="1" w:name="_Hlt100754117"/>
      <w:r>
        <w:rPr>
          <w:rStyle w:val="1145"/>
          <w:color w:val="000000"/>
          <w:sz w:val="32"/>
          <w:szCs w:val="32"/>
          <w:highlight w:val="none"/>
        </w:rPr>
        <w:t xml:space="preserve">格</w:t>
      </w:r>
      <w:bookmarkEnd w:id="1"/>
      <w:r>
        <w:rPr>
          <w:rStyle w:val="1145"/>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5"/>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5"/>
          <w:color w:val="000000"/>
          <w:sz w:val="32"/>
          <w:szCs w:val="32"/>
          <w:highlight w:val="none"/>
        </w:rPr>
        <w:t xml:space="preserve">第五章   采购</w:t>
      </w:r>
      <w:bookmarkStart w:id="2" w:name="_Hlt100754102"/>
      <w:r/>
      <w:bookmarkStart w:id="3" w:name="_Hlt100754103"/>
      <w:r>
        <w:rPr>
          <w:rStyle w:val="1145"/>
          <w:color w:val="000000"/>
          <w:sz w:val="32"/>
          <w:szCs w:val="32"/>
          <w:highlight w:val="none"/>
        </w:rPr>
        <w:t xml:space="preserve">需</w:t>
      </w:r>
      <w:bookmarkEnd w:id="2"/>
      <w:r/>
      <w:bookmarkEnd w:id="3"/>
      <w:r>
        <w:rPr>
          <w:rStyle w:val="1145"/>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5"/>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5"/>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常州市第七人民医院UPS和精密空调维保服务项目的潜在投标人应在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05</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07</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35393621"/>
      <w:r/>
      <w:bookmarkStart w:id="6" w:name="_Toc28359079"/>
      <w:r/>
      <w:bookmarkStart w:id="7" w:name="_Toc35393790"/>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JSZC-320400-CTZB-G2026-0040</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常州市第七人民医院UPS和精密空调维保服务项目</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159</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159</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UPS和精密空调维保服务</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159</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3年</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lef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为保障UPS、精密空调、环境动力监控系统等设备安全稳定可靠运行，确保医院各项业务和医疗工作正常开展，现拟采购</w:t>
            </w:r>
            <w:r>
              <w:rPr>
                <w:rFonts w:hint="eastAsia" w:ascii="仿宋" w:hAnsi="仿宋" w:eastAsia="仿宋"/>
                <w:bCs/>
                <w:color w:val="000000"/>
                <w:sz w:val="32"/>
                <w:szCs w:val="32"/>
                <w:highlight w:val="none"/>
              </w:rPr>
              <w:t xml:space="preserve">UPS和精密空调维保服务</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tc>
      </w:tr>
    </w:tbl>
    <w:p>
      <w:pPr>
        <w:pStyle w:val="1070"/>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合同履行期限：三年，合同一年一签。前一年合同期满，经采购人考核合格后方可续签下一年合同。</w:t>
      </w:r>
      <w:r>
        <w:rPr>
          <w:rFonts w:ascii="仿宋" w:hAnsi="仿宋" w:eastAsia="仿宋"/>
          <w:color w:val="000000"/>
          <w:sz w:val="32"/>
          <w:szCs w:val="32"/>
          <w:highlight w:val="none"/>
          <w:u w:val="singl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0" w:name="_Toc28359003"/>
      <w:r/>
      <w:bookmarkStart w:id="11" w:name="_Toc28359080"/>
      <w:r/>
      <w:bookmarkStart w:id="12" w:name="_Toc35393791"/>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i/>
          <w:iCs/>
          <w:color w:val="000000"/>
          <w:sz w:val="32"/>
          <w:szCs w:val="32"/>
          <w:highlight w:val="none"/>
          <w:u w:val="single"/>
        </w:rPr>
      </w:r>
      <w:r/>
    </w:p>
    <w:p>
      <w:pPr>
        <w:pStyle w:val="1072"/>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14</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0"/>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05</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07</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2" w:name="_Toc35393794"/>
      <w:r/>
      <w:bookmarkStart w:id="23" w:name="_Toc28359084"/>
      <w:r/>
      <w:bookmarkStart w:id="24" w:name="_Toc35393625"/>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2.本项目的采购年限为</w:t>
      </w:r>
      <w:r>
        <w:rPr>
          <w:rFonts w:hint="eastAsia" w:ascii="仿宋" w:hAnsi="仿宋" w:eastAsia="仿宋"/>
          <w:color w:val="000000"/>
          <w:sz w:val="32"/>
          <w:szCs w:val="32"/>
          <w:highlight w:val="none"/>
        </w:rPr>
        <w:t xml:space="preserve">3</w:t>
      </w:r>
      <w:r>
        <w:rPr>
          <w:rFonts w:ascii="仿宋" w:hAnsi="仿宋" w:eastAsia="仿宋"/>
          <w:color w:val="000000"/>
          <w:sz w:val="32"/>
          <w:szCs w:val="32"/>
          <w:highlight w:val="none"/>
        </w:rPr>
        <w:t xml:space="preserve">年、</w:t>
      </w:r>
      <w:r>
        <w:rPr>
          <w:rFonts w:hint="eastAsia" w:ascii="仿宋" w:hAnsi="仿宋" w:eastAsia="仿宋"/>
          <w:color w:val="000000"/>
          <w:sz w:val="32"/>
          <w:szCs w:val="32"/>
          <w:highlight w:val="none"/>
        </w:rPr>
        <w:t xml:space="preserve">预算</w:t>
      </w:r>
      <w:r>
        <w:rPr>
          <w:rFonts w:ascii="仿宋" w:hAnsi="仿宋" w:eastAsia="仿宋"/>
          <w:color w:val="000000"/>
          <w:sz w:val="32"/>
          <w:szCs w:val="32"/>
          <w:highlight w:val="none"/>
        </w:rPr>
        <w:t xml:space="preserve">金额为</w:t>
      </w:r>
      <w:r>
        <w:rPr>
          <w:rFonts w:hint="eastAsia" w:ascii="仿宋" w:hAnsi="仿宋" w:eastAsia="仿宋"/>
          <w:color w:val="000000"/>
          <w:sz w:val="32"/>
          <w:szCs w:val="32"/>
          <w:highlight w:val="none"/>
        </w:rPr>
        <w:t xml:space="preserve">159</w:t>
      </w:r>
      <w:r>
        <w:rPr>
          <w:rFonts w:ascii="仿宋" w:hAnsi="仿宋" w:eastAsia="仿宋"/>
          <w:color w:val="000000"/>
          <w:sz w:val="32"/>
          <w:szCs w:val="32"/>
          <w:highlight w:val="none"/>
        </w:rPr>
        <w:t xml:space="preserve">万元、当年安排数为</w:t>
      </w:r>
      <w:r>
        <w:rPr>
          <w:rFonts w:hint="eastAsia" w:ascii="仿宋" w:hAnsi="仿宋" w:eastAsia="仿宋"/>
          <w:color w:val="000000"/>
          <w:sz w:val="32"/>
          <w:szCs w:val="32"/>
          <w:highlight w:val="none"/>
        </w:rPr>
        <w:t xml:space="preserve">53</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3.根据省财政厅《关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4.关于常州市中小企业政府采购信用融资：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28" w:name="_Toc28359008"/>
      <w:r/>
      <w:bookmarkStart w:id="29" w:name="_Toc28359085"/>
      <w:r/>
      <w:bookmarkStart w:id="30" w:name="_Toc35393627"/>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0"/>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称：常州市第七人民医院 </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址：常州市延陵东路288号</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 系 人：陈科</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联系电话：0519-69806332</w:t>
      </w:r>
      <w:r>
        <w:rPr>
          <w:rFonts w:hint="eastAsia" w:ascii="仿宋" w:hAnsi="仿宋" w:eastAsia="仿宋"/>
          <w:color w:val="000000"/>
          <w:sz w:val="32"/>
          <w:szCs w:val="32"/>
          <w:highlight w:val="none"/>
        </w:rPr>
      </w:r>
      <w:r/>
    </w:p>
    <w:p>
      <w:pPr>
        <w:pStyle w:val="1070"/>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0"/>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项目联系人：魏海玲</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81580192（转分机号6033）</w:t>
      </w:r>
      <w:r>
        <w:rPr>
          <w:rFonts w:ascii="仿宋" w:hAnsi="仿宋" w:eastAsia="仿宋"/>
          <w:color w:val="000000"/>
          <w:sz w:val="24"/>
          <w:highlight w:val="none"/>
        </w:rPr>
      </w:r>
      <w:r/>
    </w:p>
    <w:p>
      <w:pPr>
        <w:pStyle w:val="107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95842950"/>
      <w:r/>
      <w:bookmarkStart w:id="37" w:name="_Toc305158928"/>
      <w:r/>
      <w:bookmarkStart w:id="38" w:name="_Toc99301420"/>
      <w:r/>
      <w:bookmarkStart w:id="39" w:name="_Toc265228423"/>
      <w:r/>
      <w:bookmarkStart w:id="40" w:name="_Toc353825548"/>
      <w:r/>
      <w:bookmarkStart w:id="41" w:name="_Toc150774783"/>
      <w:r/>
      <w:bookmarkStart w:id="42" w:name="_Toc512937850"/>
      <w:r/>
      <w:bookmarkStart w:id="43" w:name="_Toc226965856"/>
      <w:r/>
      <w:bookmarkStart w:id="44" w:name="_Toc127151777"/>
      <w:r/>
      <w:bookmarkStart w:id="45" w:name="_Toc127161488"/>
      <w:r/>
      <w:bookmarkStart w:id="46" w:name="_Toc353873938"/>
      <w:r/>
      <w:bookmarkStart w:id="47" w:name="_Toc305158854"/>
      <w:r/>
      <w:bookmarkStart w:id="48" w:name="_Toc264969275"/>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49" w:name="_Toc150774724"/>
      <w:r/>
      <w:bookmarkStart w:id="50" w:name="_Toc151193617"/>
      <w:r/>
      <w:bookmarkStart w:id="51" w:name="_Toc127151720"/>
      <w:r/>
      <w:bookmarkStart w:id="52" w:name="_Toc150480757"/>
      <w:r/>
      <w:bookmarkStart w:id="53" w:name="_Toc151193761"/>
      <w:r/>
      <w:bookmarkStart w:id="54" w:name="_Toc164608633"/>
      <w:r/>
      <w:bookmarkStart w:id="55" w:name="_Toc164608788"/>
      <w:r/>
      <w:bookmarkStart w:id="56" w:name="_Toc142311021"/>
      <w:r/>
      <w:bookmarkStart w:id="57" w:name="_Toc164229214"/>
      <w:r/>
      <w:bookmarkStart w:id="58" w:name="_Toc195842884"/>
      <w:r/>
      <w:bookmarkStart w:id="59" w:name="_Toc151193833"/>
      <w:r/>
      <w:bookmarkStart w:id="60" w:name="_Toc149720812"/>
      <w:r/>
      <w:bookmarkStart w:id="61" w:name="_Toc226309763"/>
      <w:r/>
      <w:bookmarkStart w:id="62" w:name="_Toc150774619"/>
      <w:r/>
      <w:bookmarkStart w:id="63" w:name="_Toc164351613"/>
      <w:r/>
      <w:bookmarkStart w:id="64" w:name="_Toc164229360"/>
      <w:r/>
      <w:bookmarkStart w:id="65" w:name="_Toc226337215"/>
      <w:r/>
      <w:bookmarkStart w:id="66" w:name="_Toc151193907"/>
      <w:r/>
      <w:bookmarkStart w:id="67" w:name="_Toc151193689"/>
      <w:r/>
      <w:bookmarkStart w:id="68" w:name="_Toc150509270"/>
      <w:r/>
      <w:bookmarkStart w:id="69" w:name="_Toc520356144"/>
      <w:r/>
      <w:bookmarkStart w:id="70" w:name="_Toc127151519"/>
      <w:r/>
      <w:bookmarkStart w:id="71" w:name="_Toc226965709"/>
      <w:r/>
      <w:bookmarkStart w:id="72" w:name="_Toc127161433"/>
      <w:r/>
      <w:bookmarkStart w:id="73" w:name="_Toc151190146"/>
      <w:r/>
      <w:bookmarkStart w:id="74" w:name="_Toc226965792"/>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其他未列明行业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0"/>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2"/>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04</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21</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81580192（转分机号6033）；</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70"/>
                    <w:ind w:firstLine="945"/>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54;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52;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Cs w:val="21"/>
                      <w:highlight w:val="none"/>
                    </w:rPr>
                    <w:t xml:space="preserve">服</w:t>
                  </w:r>
                  <w:r>
                    <w:rPr>
                      <w:rFonts w:hint="eastAsia" w:ascii="宋体" w:hAnsi="宋体" w:cs="宋体"/>
                      <w:bCs/>
                      <w:color w:val="000000"/>
                      <w:szCs w:val="21"/>
                      <w:highlight w:val="none"/>
                    </w:rPr>
                  </w:r>
                  <w:r/>
                </w:p>
                <w:p>
                  <w:pPr>
                    <w:pStyle w:val="1070"/>
                    <w:ind w:firstLine="21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费　　　   务</w:t>
                  </w:r>
                  <w:r>
                    <w:rPr>
                      <w:rFonts w:hint="eastAsia" w:ascii="宋体" w:hAnsi="宋体" w:cs="宋体"/>
                      <w:bCs/>
                      <w:color w:val="000000"/>
                      <w:szCs w:val="21"/>
                      <w:highlight w:val="none"/>
                    </w:rPr>
                  </w:r>
                  <w:r/>
                </w:p>
                <w:p>
                  <w:pPr>
                    <w:pStyle w:val="1070"/>
                    <w:ind w:firstLine="1260"/>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53;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Cs w:val="21"/>
                      <w:highlight w:val="none"/>
                    </w:rPr>
                    <w:t xml:space="preserve">　   类</w:t>
                  </w:r>
                  <w:r>
                    <w:rPr>
                      <w:rFonts w:hint="eastAsia" w:ascii="宋体" w:hAnsi="宋体" w:cs="宋体"/>
                      <w:bCs/>
                      <w:color w:val="000000"/>
                      <w:szCs w:val="21"/>
                      <w:highlight w:val="none"/>
                    </w:rPr>
                  </w:r>
                  <w:r/>
                </w:p>
                <w:p>
                  <w:pPr>
                    <w:pStyle w:val="1070"/>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率　       型</w:t>
                  </w:r>
                  <w:r>
                    <w:rPr>
                      <w:rFonts w:hint="eastAsia" w:ascii="宋体" w:hAnsi="宋体" w:cs="宋体"/>
                      <w:bCs/>
                      <w:color w:val="000000"/>
                      <w:szCs w:val="21"/>
                      <w:highlight w:val="none"/>
                    </w:rPr>
                  </w:r>
                  <w:r/>
                </w:p>
                <w:p>
                  <w:pPr>
                    <w:pStyle w:val="1070"/>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107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成交金额（万元）</w:t>
                  </w:r>
                  <w:r>
                    <w:rPr>
                      <w:rFonts w:hint="eastAsia" w:ascii="宋体" w:hAnsi="宋体" w:cs="宋体"/>
                      <w:bCs/>
                      <w:color w:val="000000"/>
                      <w:szCs w:val="21"/>
                      <w:highlight w:val="none"/>
                    </w:rPr>
                  </w:r>
                  <w:r/>
                </w:p>
              </w:tc>
              <w:tc>
                <w:tcPr>
                  <w:tcW w:w="2407" w:type="dxa"/>
                  <w:vAlign w:val="center"/>
                  <w:textDirection w:val="lrTb"/>
                  <w:noWrap w:val="false"/>
                </w:tcPr>
                <w:p>
                  <w:pPr>
                    <w:pStyle w:val="107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货物类</w:t>
                  </w:r>
                  <w:r>
                    <w:rPr>
                      <w:rFonts w:hint="eastAsia" w:ascii="宋体" w:hAnsi="宋体" w:cs="宋体"/>
                      <w:bCs/>
                      <w:color w:val="000000"/>
                      <w:szCs w:val="21"/>
                      <w:highlight w:val="none"/>
                    </w:rPr>
                  </w:r>
                  <w:r/>
                </w:p>
              </w:tc>
            </w:tr>
            <w:tr>
              <w:trPr/>
              <w:tc>
                <w:tcPr>
                  <w:tcW w:w="3023" w:type="dxa"/>
                  <w:vAlign w:val="top"/>
                  <w:textDirection w:val="lrTb"/>
                  <w:noWrap w:val="false"/>
                </w:tcPr>
                <w:p>
                  <w:pPr>
                    <w:pStyle w:val="1070"/>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100（含，下同）以下</w:t>
                  </w:r>
                  <w:r>
                    <w:rPr>
                      <w:rFonts w:hint="eastAsia" w:ascii="宋体" w:hAnsi="宋体" w:cs="宋体"/>
                      <w:color w:val="000000"/>
                      <w:szCs w:val="21"/>
                      <w:highlight w:val="none"/>
                    </w:rPr>
                  </w:r>
                  <w:r/>
                </w:p>
              </w:tc>
              <w:tc>
                <w:tcPr>
                  <w:tcW w:w="2407" w:type="dxa"/>
                  <w:vAlign w:val="top"/>
                  <w:textDirection w:val="lrTb"/>
                  <w:noWrap w:val="false"/>
                </w:tcPr>
                <w:p>
                  <w:pPr>
                    <w:pStyle w:val="107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r>
            <w:tr>
              <w:trPr/>
              <w:tc>
                <w:tcPr>
                  <w:tcW w:w="3023" w:type="dxa"/>
                  <w:vAlign w:val="top"/>
                  <w:textDirection w:val="lrTb"/>
                  <w:noWrap w:val="false"/>
                </w:tcPr>
                <w:p>
                  <w:pPr>
                    <w:pStyle w:val="1070"/>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100-500</w:t>
                  </w:r>
                  <w:r>
                    <w:rPr>
                      <w:rFonts w:hint="eastAsia" w:ascii="宋体" w:hAnsi="宋体" w:cs="宋体"/>
                      <w:color w:val="000000"/>
                      <w:szCs w:val="21"/>
                      <w:highlight w:val="none"/>
                    </w:rPr>
                  </w:r>
                  <w:r/>
                </w:p>
              </w:tc>
              <w:tc>
                <w:tcPr>
                  <w:tcW w:w="2407" w:type="dxa"/>
                  <w:vAlign w:val="top"/>
                  <w:textDirection w:val="lrTb"/>
                  <w:noWrap w:val="false"/>
                </w:tcPr>
                <w:p>
                  <w:pPr>
                    <w:pStyle w:val="107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r>
            <w:tr>
              <w:trPr/>
              <w:tc>
                <w:tcPr>
                  <w:tcW w:w="3023" w:type="dxa"/>
                  <w:vAlign w:val="center"/>
                  <w:textDirection w:val="lrTb"/>
                  <w:noWrap w:val="false"/>
                </w:tcPr>
                <w:p>
                  <w:pPr>
                    <w:pStyle w:val="1070"/>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500—1000</w:t>
                  </w:r>
                  <w:r>
                    <w:rPr>
                      <w:rFonts w:hint="eastAsia" w:ascii="宋体" w:hAnsi="宋体" w:cs="宋体"/>
                      <w:color w:val="000000"/>
                      <w:szCs w:val="21"/>
                      <w:highlight w:val="none"/>
                    </w:rPr>
                  </w:r>
                  <w:r/>
                </w:p>
              </w:tc>
              <w:tc>
                <w:tcPr>
                  <w:tcW w:w="2407" w:type="dxa"/>
                  <w:vAlign w:val="top"/>
                  <w:textDirection w:val="lrTb"/>
                  <w:noWrap w:val="false"/>
                </w:tcPr>
                <w:p>
                  <w:pPr>
                    <w:pStyle w:val="107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0.8%</w:t>
                  </w:r>
                  <w:r>
                    <w:rPr>
                      <w:rFonts w:hint="eastAsia" w:ascii="宋体" w:hAnsi="宋体" w:cs="宋体"/>
                      <w:color w:val="000000"/>
                      <w:szCs w:val="21"/>
                      <w:highlight w:val="none"/>
                    </w:rPr>
                  </w:r>
                  <w:r/>
                </w:p>
              </w:tc>
            </w:tr>
            <w:tr>
              <w:trPr/>
              <w:tc>
                <w:tcPr>
                  <w:tcW w:w="3023" w:type="dxa"/>
                  <w:vAlign w:val="top"/>
                  <w:textDirection w:val="lrTb"/>
                  <w:noWrap w:val="false"/>
                </w:tcPr>
                <w:p>
                  <w:pPr>
                    <w:pStyle w:val="107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407" w:type="dxa"/>
                  <w:vAlign w:val="top"/>
                  <w:textDirection w:val="lrTb"/>
                  <w:noWrap w:val="false"/>
                </w:tcPr>
                <w:p>
                  <w:pPr>
                    <w:pStyle w:val="107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1070"/>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代理费按差额定率累进法计算。 </w:t>
            </w:r>
            <w:r>
              <w:rPr>
                <w:rFonts w:hint="eastAsia" w:ascii="宋体" w:hAnsi="宋体" w:cs="宋体"/>
                <w:color w:val="000000"/>
                <w:sz w:val="24"/>
                <w:highlight w:val="none"/>
              </w:rPr>
            </w:r>
            <w:r/>
          </w:p>
          <w:p>
            <w:pPr>
              <w:pStyle w:val="1070"/>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 xml:space="preserve">每年代理费</w:t>
            </w:r>
            <w:r>
              <w:rPr>
                <w:rFonts w:hint="eastAsia" w:ascii="宋体" w:hAnsi="宋体" w:cs="宋体"/>
                <w:b/>
                <w:color w:val="000000"/>
                <w:sz w:val="24"/>
                <w:highlight w:val="none"/>
              </w:rPr>
              <w:t xml:space="preserve">按照上述标准的</w:t>
            </w:r>
            <w:r>
              <w:rPr>
                <w:rFonts w:hint="eastAsia" w:ascii="宋体" w:hAnsi="宋体" w:cs="宋体"/>
                <w:b/>
                <w:color w:val="000000"/>
                <w:sz w:val="24"/>
                <w:highlight w:val="none"/>
                <w:lang w:val="en-US" w:eastAsia="zh-CN"/>
              </w:rPr>
              <w:t xml:space="preserve">50</w:t>
            </w:r>
            <w:r>
              <w:rPr>
                <w:rFonts w:hint="eastAsia" w:ascii="宋体" w:hAnsi="宋体" w:cs="宋体"/>
                <w:b/>
                <w:color w:val="000000"/>
                <w:sz w:val="24"/>
                <w:highlight w:val="none"/>
              </w:rPr>
              <w:t xml:space="preserve">%收取。</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代理费按上述计算方法不足人民币</w:t>
            </w:r>
            <w:r>
              <w:rPr>
                <w:rFonts w:hint="eastAsia" w:ascii="宋体" w:hAnsi="宋体" w:cs="宋体"/>
                <w:color w:val="000000"/>
                <w:sz w:val="24"/>
                <w:highlight w:val="none"/>
                <w:lang w:val="en-US" w:eastAsia="zh-CN"/>
              </w:rPr>
              <w:t xml:space="preserve">1500</w:t>
            </w:r>
            <w:r>
              <w:rPr>
                <w:rFonts w:hint="eastAsia" w:ascii="宋体" w:hAnsi="宋体" w:cs="宋体"/>
                <w:color w:val="000000"/>
                <w:sz w:val="24"/>
                <w:highlight w:val="none"/>
              </w:rPr>
              <w:t xml:space="preserve">元的，按人民币</w:t>
            </w:r>
            <w:r>
              <w:rPr>
                <w:rFonts w:hint="eastAsia" w:ascii="宋体" w:hAnsi="宋体" w:cs="宋体"/>
                <w:color w:val="000000"/>
                <w:sz w:val="24"/>
                <w:highlight w:val="none"/>
                <w:lang w:val="en-US" w:eastAsia="zh-CN"/>
              </w:rPr>
              <w:t xml:space="preserve">1500</w:t>
            </w:r>
            <w:r>
              <w:rPr>
                <w:rFonts w:hint="eastAsia" w:ascii="宋体" w:hAnsi="宋体" w:cs="宋体"/>
                <w:color w:val="000000"/>
                <w:sz w:val="24"/>
                <w:highlight w:val="none"/>
              </w:rPr>
              <w:t xml:space="preserve">元收取。</w:t>
            </w: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中标人应在领取中标通知书时将三年代理费支付至常州市城投建设工程招标有限公司账户。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Start w:id="75" w:name="_Toc353873662"/>
      <w:r/>
      <w:bookmarkStart w:id="76" w:name="_Toc226965790"/>
      <w:r/>
      <w:bookmarkStart w:id="77" w:name="_Toc150480755"/>
      <w:r/>
      <w:bookmarkStart w:id="78" w:name="_Toc265228355"/>
      <w:r/>
      <w:bookmarkStart w:id="79" w:name="_Toc305158859"/>
      <w:r/>
      <w:bookmarkStart w:id="80" w:name="_Toc150774722"/>
      <w:r/>
      <w:bookmarkStart w:id="81" w:name="_Toc264969207"/>
      <w:r/>
      <w:bookmarkStart w:id="82" w:name="_Toc353825542"/>
      <w:r/>
      <w:bookmarkStart w:id="83" w:name="_Toc305158785"/>
      <w:r/>
      <w:bookmarkStart w:id="84" w:name="_Toc127151517"/>
      <w:r/>
      <w:bookmarkStart w:id="85" w:name="_Toc195842882"/>
      <w:r/>
      <w:bookmarkStart w:id="86" w:name="_Toc142311019"/>
      <w:r/>
      <w:bookmarkStart w:id="87" w:name="_Toc226337213"/>
      <w:r/>
      <w:bookmarkStart w:id="88" w:name="_Toc35387393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95842883"/>
      <w:r/>
      <w:bookmarkStart w:id="92" w:name="_Toc151190145"/>
      <w:r/>
      <w:bookmarkStart w:id="93" w:name="_Toc151193688"/>
      <w:r/>
      <w:bookmarkStart w:id="94" w:name="_Toc226965791"/>
      <w:r/>
      <w:bookmarkStart w:id="95" w:name="_Toc150480756"/>
      <w:r/>
      <w:bookmarkStart w:id="96" w:name="_Toc265228356"/>
      <w:r/>
      <w:bookmarkStart w:id="97" w:name="_Toc226337214"/>
      <w:r/>
      <w:bookmarkStart w:id="98" w:name="_Toc142311020"/>
      <w:r/>
      <w:bookmarkStart w:id="99" w:name="_Toc226965708"/>
      <w:r/>
      <w:bookmarkStart w:id="100" w:name="_Toc150509269"/>
      <w:r/>
      <w:bookmarkStart w:id="101" w:name="_Toc151193832"/>
      <w:r/>
      <w:bookmarkStart w:id="102" w:name="_Toc151193906"/>
      <w:r/>
      <w:bookmarkStart w:id="103" w:name="_Toc226309762"/>
      <w:r/>
      <w:bookmarkStart w:id="104" w:name="_Toc150774618"/>
      <w:r/>
      <w:bookmarkStart w:id="105" w:name="_Toc151193760"/>
      <w:r/>
      <w:bookmarkStart w:id="106" w:name="_Toc305158860"/>
      <w:r/>
      <w:bookmarkStart w:id="107" w:name="_Toc151193616"/>
      <w:r/>
      <w:bookmarkStart w:id="108" w:name="_Toc150774723"/>
      <w:r/>
      <w:bookmarkStart w:id="109" w:name="_Toc264969208"/>
      <w:r/>
      <w:bookmarkStart w:id="110" w:name="_Toc305158786"/>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5228357"/>
      <w:r/>
      <w:bookmarkStart w:id="112" w:name="_Toc264969209"/>
      <w:r/>
      <w:bookmarkStart w:id="113" w:name="_Toc305158787"/>
      <w:r/>
      <w:bookmarkStart w:id="114" w:name="_Toc305158861"/>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1193908"/>
      <w:r/>
      <w:bookmarkStart w:id="116" w:name="_Toc226309764"/>
      <w:r/>
      <w:bookmarkStart w:id="117" w:name="_Toc127151721"/>
      <w:r/>
      <w:bookmarkStart w:id="118" w:name="_Toc151193834"/>
      <w:r/>
      <w:bookmarkStart w:id="119" w:name="_Toc226965710"/>
      <w:r/>
      <w:bookmarkStart w:id="120" w:name="_Toc305158862"/>
      <w:r/>
      <w:bookmarkStart w:id="121" w:name="_Toc150774725"/>
      <w:r/>
      <w:bookmarkStart w:id="122" w:name="_Toc127151520"/>
      <w:r/>
      <w:bookmarkStart w:id="123" w:name="_Toc127161434"/>
      <w:r/>
      <w:bookmarkStart w:id="124" w:name="_Toc164608789"/>
      <w:r/>
      <w:bookmarkStart w:id="125" w:name="_Toc151193762"/>
      <w:r/>
      <w:bookmarkStart w:id="126" w:name="_Toc265228358"/>
      <w:r/>
      <w:bookmarkStart w:id="127" w:name="_Toc164229361"/>
      <w:r/>
      <w:bookmarkStart w:id="128" w:name="_Toc264969210"/>
      <w:r/>
      <w:bookmarkStart w:id="129" w:name="_Toc150480758"/>
      <w:r/>
      <w:bookmarkStart w:id="130" w:name="_Toc151193690"/>
      <w:r/>
      <w:bookmarkStart w:id="131" w:name="_Toc151190147"/>
      <w:r/>
      <w:bookmarkStart w:id="132" w:name="_Toc149720813"/>
      <w:r/>
      <w:bookmarkStart w:id="133" w:name="_Toc226337216"/>
      <w:r/>
      <w:bookmarkStart w:id="134" w:name="_Toc305158788"/>
      <w:r/>
      <w:bookmarkStart w:id="135" w:name="_Toc150774620"/>
      <w:r/>
      <w:bookmarkStart w:id="136" w:name="_Toc142311022"/>
      <w:r/>
      <w:bookmarkStart w:id="137" w:name="_Toc195842885"/>
      <w:r/>
      <w:bookmarkStart w:id="138" w:name="_Toc151193618"/>
      <w:r/>
      <w:bookmarkStart w:id="139" w:name="_Toc150509271"/>
      <w:r/>
      <w:bookmarkStart w:id="140" w:name="_Toc164608634"/>
      <w:r/>
      <w:bookmarkStart w:id="141" w:name="_Toc164229215"/>
      <w:r/>
      <w:bookmarkStart w:id="142" w:name="_Toc226965793"/>
      <w:r/>
      <w:bookmarkStart w:id="143" w:name="_Toc164351614"/>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50480760"/>
      <w:r/>
      <w:bookmarkStart w:id="145" w:name="_Toc226337218"/>
      <w:r/>
      <w:bookmarkStart w:id="146" w:name="_Toc520356146"/>
      <w:r/>
      <w:bookmarkStart w:id="147" w:name="_Toc226309766"/>
      <w:r/>
      <w:bookmarkStart w:id="148" w:name="_Toc226965712"/>
      <w:r/>
      <w:bookmarkStart w:id="149" w:name="_Toc151190149"/>
      <w:r/>
      <w:bookmarkStart w:id="150" w:name="_Toc151193764"/>
      <w:r/>
      <w:bookmarkStart w:id="151" w:name="_Toc142311024"/>
      <w:r/>
      <w:bookmarkStart w:id="152" w:name="_Toc150774622"/>
      <w:r/>
      <w:bookmarkStart w:id="153" w:name="_Toc150509273"/>
      <w:r/>
      <w:bookmarkStart w:id="154" w:name="_Toc151193836"/>
      <w:r/>
      <w:bookmarkStart w:id="155" w:name="_Toc305158790"/>
      <w:r/>
      <w:bookmarkStart w:id="156" w:name="_Toc226965795"/>
      <w:r/>
      <w:bookmarkStart w:id="157" w:name="_Toc151193692"/>
      <w:r/>
      <w:bookmarkStart w:id="158" w:name="_Toc195842887"/>
      <w:r/>
      <w:bookmarkStart w:id="159" w:name="_Toc151193910"/>
      <w:r/>
      <w:bookmarkStart w:id="160" w:name="_Toc127151522"/>
      <w:r/>
      <w:bookmarkStart w:id="161" w:name="_Toc305158864"/>
      <w:r/>
      <w:bookmarkStart w:id="162" w:name="_Toc264969212"/>
      <w:r/>
      <w:bookmarkStart w:id="163" w:name="_Toc151193620"/>
      <w:r/>
      <w:bookmarkStart w:id="164" w:name="_Toc150774727"/>
      <w:r/>
      <w:bookmarkStart w:id="165" w:name="_Toc265228360"/>
      <w:r>
        <w:rPr>
          <w:rFonts w:hint="eastAsia" w:ascii="宋体" w:hAnsi="宋体" w:cs="宋体"/>
          <w:color w:val="000000"/>
          <w:sz w:val="28"/>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27151724"/>
      <w:r/>
      <w:bookmarkStart w:id="168" w:name="_Toc226965796"/>
      <w:r/>
      <w:bookmarkStart w:id="169" w:name="_Toc150774623"/>
      <w:r/>
      <w:bookmarkStart w:id="170" w:name="_Toc226965713"/>
      <w:r/>
      <w:bookmarkStart w:id="171" w:name="_Toc151193765"/>
      <w:r/>
      <w:bookmarkStart w:id="172" w:name="_Toc226309767"/>
      <w:r/>
      <w:bookmarkStart w:id="173" w:name="_Toc150480761"/>
      <w:r/>
      <w:bookmarkStart w:id="174" w:name="_Toc151193911"/>
      <w:r/>
      <w:bookmarkStart w:id="175" w:name="_Toc164229218"/>
      <w:r/>
      <w:bookmarkStart w:id="176" w:name="_Toc127151523"/>
      <w:r/>
      <w:bookmarkStart w:id="177" w:name="_Toc520356147"/>
      <w:r/>
      <w:bookmarkStart w:id="178" w:name="_Toc164351617"/>
      <w:r/>
      <w:bookmarkStart w:id="179" w:name="_Toc151193693"/>
      <w:r/>
      <w:bookmarkStart w:id="180" w:name="_Toc195842888"/>
      <w:r/>
      <w:bookmarkStart w:id="181" w:name="_Toc142311025"/>
      <w:r/>
      <w:bookmarkStart w:id="182" w:name="_Toc150509274"/>
      <w:r/>
      <w:bookmarkStart w:id="183" w:name="_Toc150774728"/>
      <w:r/>
      <w:bookmarkStart w:id="184" w:name="_Toc226337219"/>
      <w:r/>
      <w:bookmarkStart w:id="185" w:name="_Toc149720816"/>
      <w:r/>
      <w:bookmarkStart w:id="186" w:name="_Toc305158791"/>
      <w:r/>
      <w:bookmarkStart w:id="187" w:name="_Toc151193621"/>
      <w:r/>
      <w:bookmarkStart w:id="188" w:name="_Toc164229364"/>
      <w:r/>
      <w:bookmarkStart w:id="189" w:name="_Toc164608792"/>
      <w:r/>
      <w:bookmarkStart w:id="190" w:name="_Toc151193837"/>
      <w:r/>
      <w:bookmarkStart w:id="191" w:name="_Toc305158865"/>
      <w:r/>
      <w:bookmarkStart w:id="192" w:name="_Toc164608637"/>
      <w:r/>
      <w:bookmarkStart w:id="193" w:name="_Toc127161437"/>
      <w:r/>
      <w:bookmarkStart w:id="194" w:name="_Toc151190150"/>
      <w:r/>
      <w:bookmarkStart w:id="195" w:name="_Toc264969213"/>
      <w:r/>
      <w:bookmarkStart w:id="196" w:name="_Toc265228361"/>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197" w:name="_Toc151193696"/>
      <w:r/>
      <w:bookmarkStart w:id="198" w:name="_Toc142311028"/>
      <w:r/>
      <w:bookmarkStart w:id="199" w:name="_Toc127151526"/>
      <w:r/>
      <w:bookmarkStart w:id="200" w:name="_Toc151190153"/>
      <w:r/>
      <w:bookmarkStart w:id="201" w:name="_Toc226309770"/>
      <w:r/>
      <w:bookmarkStart w:id="202" w:name="_Toc226965799"/>
      <w:r/>
      <w:bookmarkStart w:id="203" w:name="_Toc226337222"/>
      <w:r/>
      <w:bookmarkStart w:id="204" w:name="_Toc151193624"/>
      <w:r/>
      <w:bookmarkStart w:id="205" w:name="_Toc151193914"/>
      <w:r/>
      <w:bookmarkStart w:id="206" w:name="_Toc195842891"/>
      <w:r/>
      <w:bookmarkStart w:id="207" w:name="_Toc305158794"/>
      <w:r/>
      <w:bookmarkStart w:id="208" w:name="_Toc150480764"/>
      <w:r/>
      <w:bookmarkStart w:id="209" w:name="_Toc265228364"/>
      <w:r/>
      <w:bookmarkStart w:id="210" w:name="_Toc516367020"/>
      <w:r/>
      <w:bookmarkStart w:id="211" w:name="_Toc150774626"/>
      <w:r/>
      <w:bookmarkStart w:id="212" w:name="_Toc520356150"/>
      <w:r/>
      <w:bookmarkStart w:id="213" w:name="_Toc150509277"/>
      <w:r/>
      <w:bookmarkStart w:id="214" w:name="_Toc264969216"/>
      <w:r/>
      <w:bookmarkStart w:id="215" w:name="_Toc151193768"/>
      <w:r/>
      <w:bookmarkStart w:id="216" w:name="_Toc150774731"/>
      <w:r/>
      <w:bookmarkStart w:id="217" w:name="_Toc305158868"/>
      <w:r/>
      <w:bookmarkStart w:id="218" w:name="_Toc151193840"/>
      <w:r/>
      <w:bookmarkStart w:id="219" w:name="_Toc226965716"/>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27151527"/>
      <w:r/>
      <w:bookmarkStart w:id="221" w:name="_Toc142311029"/>
      <w:r/>
      <w:bookmarkStart w:id="222" w:name="_Toc226337223"/>
      <w:r/>
      <w:bookmarkStart w:id="223" w:name="_Toc226965717"/>
      <w:r/>
      <w:bookmarkStart w:id="224" w:name="_Toc305158795"/>
      <w:r/>
      <w:bookmarkStart w:id="225" w:name="_Toc164229368"/>
      <w:r/>
      <w:bookmarkStart w:id="226" w:name="_Toc151193697"/>
      <w:r/>
      <w:bookmarkStart w:id="227" w:name="_Toc516367021"/>
      <w:r/>
      <w:bookmarkStart w:id="228" w:name="_Toc150509278"/>
      <w:r/>
      <w:bookmarkStart w:id="229" w:name="_Toc151193769"/>
      <w:r/>
      <w:bookmarkStart w:id="230" w:name="_Toc164351621"/>
      <w:r/>
      <w:bookmarkStart w:id="231" w:name="_Toc226965800"/>
      <w:r/>
      <w:bookmarkStart w:id="232" w:name="_Toc195842892"/>
      <w:r/>
      <w:bookmarkStart w:id="233" w:name="_Toc305158869"/>
      <w:r/>
      <w:bookmarkStart w:id="234" w:name="_Toc151190154"/>
      <w:r/>
      <w:bookmarkStart w:id="235" w:name="_Toc164229222"/>
      <w:r/>
      <w:bookmarkStart w:id="236" w:name="_Toc151193841"/>
      <w:r/>
      <w:bookmarkStart w:id="237" w:name="_Toc149720820"/>
      <w:r/>
      <w:bookmarkStart w:id="238" w:name="_Toc520356151"/>
      <w:r/>
      <w:bookmarkStart w:id="239" w:name="_Toc164608641"/>
      <w:r/>
      <w:bookmarkStart w:id="240" w:name="_Toc264969217"/>
      <w:r/>
      <w:bookmarkStart w:id="241" w:name="_Toc150480765"/>
      <w:r/>
      <w:bookmarkStart w:id="242" w:name="_Toc164608796"/>
      <w:r/>
      <w:bookmarkStart w:id="243" w:name="_Toc265228365"/>
      <w:r/>
      <w:bookmarkStart w:id="244" w:name="_Toc150774627"/>
      <w:r/>
      <w:bookmarkStart w:id="245" w:name="_Toc151193625"/>
      <w:r/>
      <w:bookmarkStart w:id="246" w:name="_Toc226309771"/>
      <w:r/>
      <w:bookmarkStart w:id="247" w:name="_Toc151193915"/>
      <w:r/>
      <w:bookmarkStart w:id="248" w:name="_Toc127151728"/>
      <w:r/>
      <w:bookmarkStart w:id="249" w:name="_Toc127161441"/>
      <w:r/>
      <w:bookmarkStart w:id="250" w:name="_Toc150774732"/>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50774628"/>
      <w:r/>
      <w:bookmarkStart w:id="252" w:name="_Toc164608642"/>
      <w:r/>
      <w:bookmarkStart w:id="253" w:name="_Toc151193698"/>
      <w:r/>
      <w:bookmarkStart w:id="254" w:name="_Toc226965718"/>
      <w:r/>
      <w:bookmarkStart w:id="255" w:name="_Toc305158796"/>
      <w:r/>
      <w:bookmarkStart w:id="256" w:name="_Toc149720821"/>
      <w:r/>
      <w:bookmarkStart w:id="257" w:name="_Toc127161442"/>
      <w:r/>
      <w:bookmarkStart w:id="258" w:name="_Ref467306676"/>
      <w:r/>
      <w:bookmarkStart w:id="259" w:name="_Toc516367022"/>
      <w:r/>
      <w:bookmarkStart w:id="260" w:name="_Ref467306195"/>
      <w:r/>
      <w:bookmarkStart w:id="261" w:name="_Toc164608797"/>
      <w:r/>
      <w:bookmarkStart w:id="262" w:name="_Toc151190155"/>
      <w:r/>
      <w:bookmarkStart w:id="263" w:name="_Toc151193916"/>
      <w:r/>
      <w:bookmarkStart w:id="264" w:name="_Toc520356152"/>
      <w:r/>
      <w:bookmarkStart w:id="265" w:name="_Toc226337224"/>
      <w:r/>
      <w:bookmarkStart w:id="266" w:name="_Toc142311030"/>
      <w:r/>
      <w:bookmarkStart w:id="267" w:name="_Toc151193770"/>
      <w:r/>
      <w:bookmarkStart w:id="268" w:name="_Toc305158870"/>
      <w:r/>
      <w:bookmarkStart w:id="269" w:name="_Toc151193842"/>
      <w:r/>
      <w:bookmarkStart w:id="270" w:name="_Toc127151528"/>
      <w:r/>
      <w:bookmarkStart w:id="271" w:name="_Toc150509279"/>
      <w:r/>
      <w:bookmarkStart w:id="272" w:name="_Toc264969218"/>
      <w:r/>
      <w:bookmarkStart w:id="273" w:name="_Toc164229223"/>
      <w:r/>
      <w:bookmarkStart w:id="274" w:name="_Toc265228366"/>
      <w:r/>
      <w:bookmarkStart w:id="275" w:name="_Toc150774733"/>
      <w:r/>
      <w:bookmarkStart w:id="276" w:name="_Toc151193626"/>
      <w:r/>
      <w:bookmarkStart w:id="277" w:name="_Toc127151729"/>
      <w:r/>
      <w:bookmarkStart w:id="278" w:name="_Toc226965801"/>
      <w:r/>
      <w:bookmarkStart w:id="279" w:name="_Toc195842893"/>
      <w:r/>
      <w:bookmarkStart w:id="280" w:name="_Toc150480766"/>
      <w:r/>
      <w:bookmarkStart w:id="281" w:name="_Toc164351622"/>
      <w:r/>
      <w:bookmarkStart w:id="282" w:name="_Toc226309772"/>
      <w:r/>
      <w:bookmarkStart w:id="283" w:name="_Toc164229369"/>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1190157"/>
      <w:r/>
      <w:bookmarkStart w:id="286" w:name="_Toc149720823"/>
      <w:r/>
      <w:bookmarkStart w:id="287" w:name="_Toc151193628"/>
      <w:r/>
      <w:bookmarkStart w:id="288" w:name="_Toc142311032"/>
      <w:r/>
      <w:bookmarkStart w:id="289" w:name="_Toc164229371"/>
      <w:r/>
      <w:bookmarkStart w:id="290" w:name="_Toc127151731"/>
      <w:r/>
      <w:bookmarkStart w:id="291" w:name="_Toc151193700"/>
      <w:r/>
      <w:bookmarkStart w:id="292" w:name="_Toc150774630"/>
      <w:r/>
      <w:bookmarkStart w:id="293" w:name="_Toc150509281"/>
      <w:r/>
      <w:bookmarkStart w:id="294" w:name="_Toc150774735"/>
      <w:r/>
      <w:bookmarkStart w:id="295" w:name="_Toc151193844"/>
      <w:r/>
      <w:bookmarkStart w:id="296" w:name="_Toc520356155"/>
      <w:r/>
      <w:bookmarkStart w:id="297" w:name="_Toc164351624"/>
      <w:r/>
      <w:bookmarkStart w:id="298" w:name="_Toc195842895"/>
      <w:r/>
      <w:bookmarkStart w:id="299" w:name="_Toc164608799"/>
      <w:r/>
      <w:bookmarkStart w:id="300" w:name="_Toc151193772"/>
      <w:r/>
      <w:bookmarkStart w:id="301" w:name="_Toc127151530"/>
      <w:r/>
      <w:bookmarkStart w:id="302" w:name="_Toc150480768"/>
      <w:r/>
      <w:bookmarkStart w:id="303" w:name="_Toc151193918"/>
      <w:r/>
      <w:bookmarkStart w:id="304" w:name="_Toc164229225"/>
      <w:r/>
      <w:bookmarkStart w:id="305" w:name="_Toc127161444"/>
      <w:r/>
      <w:bookmarkStart w:id="306" w:name="_Toc164608644"/>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Ref467306513"/>
      <w:r/>
      <w:bookmarkStart w:id="308" w:name="_Toc226337227"/>
      <w:r/>
      <w:bookmarkStart w:id="309" w:name="_Toc150509282"/>
      <w:r/>
      <w:bookmarkStart w:id="310" w:name="_Toc151190158"/>
      <w:r/>
      <w:bookmarkStart w:id="311" w:name="_Toc164351625"/>
      <w:r/>
      <w:bookmarkStart w:id="312" w:name="_Toc164608800"/>
      <w:r/>
      <w:bookmarkStart w:id="313" w:name="_Toc127161445"/>
      <w:r/>
      <w:bookmarkStart w:id="314" w:name="_Toc305158799"/>
      <w:r/>
      <w:bookmarkStart w:id="315" w:name="_Toc226965721"/>
      <w:r/>
      <w:bookmarkStart w:id="316" w:name="_Toc142311033"/>
      <w:r/>
      <w:bookmarkStart w:id="317" w:name="_Toc127151732"/>
      <w:r/>
      <w:bookmarkStart w:id="318" w:name="_Toc151193919"/>
      <w:r/>
      <w:bookmarkStart w:id="319" w:name="_Toc164229372"/>
      <w:r/>
      <w:bookmarkStart w:id="320" w:name="_Toc151193845"/>
      <w:r/>
      <w:bookmarkStart w:id="321" w:name="_Toc149720824"/>
      <w:r/>
      <w:bookmarkStart w:id="322" w:name="_Toc520356156"/>
      <w:r/>
      <w:bookmarkStart w:id="323" w:name="_Toc151193773"/>
      <w:r/>
      <w:bookmarkStart w:id="324" w:name="_Toc226965804"/>
      <w:r/>
      <w:bookmarkStart w:id="325" w:name="_Toc150774736"/>
      <w:r/>
      <w:bookmarkStart w:id="326" w:name="_Toc150774631"/>
      <w:r/>
      <w:bookmarkStart w:id="327" w:name="_Toc305158873"/>
      <w:r/>
      <w:bookmarkStart w:id="328" w:name="_Toc264969221"/>
      <w:r/>
      <w:bookmarkStart w:id="329" w:name="_Toc164608645"/>
      <w:r/>
      <w:bookmarkStart w:id="330" w:name="_Toc195842896"/>
      <w:r/>
      <w:bookmarkStart w:id="331" w:name="_Toc164229226"/>
      <w:r/>
      <w:bookmarkStart w:id="332" w:name="_Toc127151531"/>
      <w:r/>
      <w:bookmarkStart w:id="333" w:name="_Toc226309775"/>
      <w:r/>
      <w:bookmarkStart w:id="334" w:name="_Toc265228369"/>
      <w:r/>
      <w:bookmarkStart w:id="335" w:name="_Toc150480769"/>
      <w:r/>
      <w:bookmarkStart w:id="336" w:name="_Toc151193629"/>
      <w:r/>
      <w:bookmarkStart w:id="337" w:name="_Toc151193701"/>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264969222"/>
      <w:r/>
      <w:bookmarkStart w:id="339" w:name="_Toc142311034"/>
      <w:r/>
      <w:bookmarkStart w:id="340" w:name="_Toc164229373"/>
      <w:r/>
      <w:bookmarkStart w:id="341" w:name="_Toc226965805"/>
      <w:r/>
      <w:bookmarkStart w:id="342" w:name="_Toc151193630"/>
      <w:r/>
      <w:bookmarkStart w:id="343" w:name="_Toc305158800"/>
      <w:r/>
      <w:bookmarkStart w:id="344" w:name="_Toc151190159"/>
      <w:r/>
      <w:bookmarkStart w:id="345" w:name="_Toc265228370"/>
      <w:r/>
      <w:bookmarkStart w:id="346" w:name="_Toc164608646"/>
      <w:r/>
      <w:bookmarkStart w:id="347" w:name="_Toc164608801"/>
      <w:r/>
      <w:bookmarkStart w:id="348" w:name="_Toc164351626"/>
      <w:r/>
      <w:bookmarkStart w:id="349" w:name="_Toc151193774"/>
      <w:r/>
      <w:bookmarkStart w:id="350" w:name="_Toc305158874"/>
      <w:r/>
      <w:bookmarkStart w:id="351" w:name="_Toc151193920"/>
      <w:r/>
      <w:bookmarkStart w:id="352" w:name="_Toc164229227"/>
      <w:r/>
      <w:bookmarkStart w:id="353" w:name="_Toc151193702"/>
      <w:r/>
      <w:bookmarkStart w:id="354" w:name="_Toc127151733"/>
      <w:r/>
      <w:bookmarkStart w:id="355" w:name="_Toc150509283"/>
      <w:r/>
      <w:bookmarkStart w:id="356" w:name="_Toc195842897"/>
      <w:r/>
      <w:bookmarkStart w:id="357" w:name="_Toc226309776"/>
      <w:r/>
      <w:bookmarkStart w:id="358" w:name="_Toc226337228"/>
      <w:r/>
      <w:bookmarkStart w:id="359" w:name="_Toc150480770"/>
      <w:r/>
      <w:bookmarkStart w:id="360" w:name="_Toc520356157"/>
      <w:r/>
      <w:bookmarkStart w:id="361" w:name="_Toc151193846"/>
      <w:r/>
      <w:bookmarkStart w:id="362" w:name="_Toc127151532"/>
      <w:r/>
      <w:bookmarkStart w:id="363" w:name="_Toc149720825"/>
      <w:r/>
      <w:bookmarkStart w:id="364" w:name="_Toc150774737"/>
      <w:r/>
      <w:bookmarkStart w:id="365" w:name="_Toc150774632"/>
      <w:r/>
      <w:bookmarkStart w:id="366" w:name="_Toc226965722"/>
      <w:r/>
      <w:bookmarkStart w:id="367" w:name="_Toc127161446"/>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520356158"/>
      <w:r/>
      <w:bookmarkStart w:id="369" w:name="_Toc150774738"/>
      <w:r/>
      <w:bookmarkStart w:id="370" w:name="_Toc142311035"/>
      <w:r/>
      <w:bookmarkStart w:id="371" w:name="_Toc305158875"/>
      <w:r/>
      <w:bookmarkStart w:id="372" w:name="_Toc150774633"/>
      <w:r/>
      <w:bookmarkStart w:id="373" w:name="_Toc164351627"/>
      <w:r/>
      <w:bookmarkStart w:id="374" w:name="_Toc226965806"/>
      <w:r/>
      <w:bookmarkStart w:id="375" w:name="_Toc265228371"/>
      <w:r/>
      <w:bookmarkStart w:id="376" w:name="_Toc226309777"/>
      <w:r/>
      <w:bookmarkStart w:id="377" w:name="_Toc164229374"/>
      <w:r/>
      <w:bookmarkStart w:id="378" w:name="_Toc127161447"/>
      <w:r/>
      <w:bookmarkStart w:id="379" w:name="_Toc127151734"/>
      <w:r/>
      <w:bookmarkStart w:id="380" w:name="_Toc195842898"/>
      <w:r/>
      <w:bookmarkStart w:id="381" w:name="_Toc226337229"/>
      <w:r/>
      <w:bookmarkStart w:id="382" w:name="_Toc164608802"/>
      <w:r/>
      <w:bookmarkStart w:id="383" w:name="_Toc151190160"/>
      <w:r/>
      <w:bookmarkStart w:id="384" w:name="_Toc150480771"/>
      <w:r/>
      <w:bookmarkStart w:id="385" w:name="_Toc151193631"/>
      <w:r/>
      <w:bookmarkStart w:id="386" w:name="_Toc151193921"/>
      <w:r/>
      <w:bookmarkStart w:id="387" w:name="_Toc226965723"/>
      <w:r/>
      <w:bookmarkStart w:id="388" w:name="_Toc151193775"/>
      <w:r/>
      <w:bookmarkStart w:id="389" w:name="_Toc149720826"/>
      <w:r/>
      <w:bookmarkStart w:id="390" w:name="_Toc127151533"/>
      <w:r/>
      <w:bookmarkStart w:id="391" w:name="_Toc151193847"/>
      <w:r/>
      <w:bookmarkStart w:id="392" w:name="_Toc164608647"/>
      <w:r/>
      <w:bookmarkStart w:id="393" w:name="_Toc305158801"/>
      <w:r/>
      <w:bookmarkStart w:id="394" w:name="_Toc264969223"/>
      <w:r/>
      <w:bookmarkStart w:id="395" w:name="_Toc150509284"/>
      <w:r/>
      <w:bookmarkStart w:id="396" w:name="_Toc164229228"/>
      <w:r/>
      <w:bookmarkStart w:id="397" w:name="_Toc151193703"/>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305158802"/>
      <w:r/>
      <w:bookmarkStart w:id="399" w:name="_Toc150774739"/>
      <w:r/>
      <w:bookmarkStart w:id="400" w:name="_Toc264969224"/>
      <w:r/>
      <w:bookmarkStart w:id="401" w:name="_Toc127151534"/>
      <w:r/>
      <w:bookmarkStart w:id="402" w:name="_Toc265228372"/>
      <w:r/>
      <w:bookmarkStart w:id="403" w:name="_Toc151193776"/>
      <w:r/>
      <w:bookmarkStart w:id="404" w:name="_Toc142311036"/>
      <w:r/>
      <w:bookmarkStart w:id="405" w:name="_Toc151193922"/>
      <w:r/>
      <w:bookmarkStart w:id="406" w:name="_Toc520356159"/>
      <w:r/>
      <w:bookmarkStart w:id="407" w:name="_Toc226965807"/>
      <w:r/>
      <w:bookmarkStart w:id="408" w:name="_Toc150509285"/>
      <w:r/>
      <w:bookmarkStart w:id="409" w:name="_Toc151193704"/>
      <w:r/>
      <w:bookmarkStart w:id="410" w:name="_Toc151193632"/>
      <w:r/>
      <w:bookmarkStart w:id="411" w:name="_Toc150480772"/>
      <w:r/>
      <w:bookmarkStart w:id="412" w:name="_Toc150774634"/>
      <w:r/>
      <w:bookmarkStart w:id="413" w:name="_Toc226965724"/>
      <w:r/>
      <w:bookmarkStart w:id="414" w:name="_Toc151190161"/>
      <w:r/>
      <w:bookmarkStart w:id="415" w:name="_Toc226309778"/>
      <w:r/>
      <w:bookmarkStart w:id="416" w:name="_Toc226337230"/>
      <w:r/>
      <w:bookmarkStart w:id="417" w:name="_Toc151193848"/>
      <w:r/>
      <w:bookmarkStart w:id="418" w:name="_Toc195842899"/>
      <w:r/>
      <w:bookmarkStart w:id="419" w:name="_Toc305158876"/>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49720828"/>
      <w:r/>
      <w:bookmarkStart w:id="421" w:name="_Toc151193777"/>
      <w:r/>
      <w:bookmarkStart w:id="422" w:name="_Toc151193923"/>
      <w:r/>
      <w:bookmarkStart w:id="423" w:name="_Toc264969225"/>
      <w:r/>
      <w:bookmarkStart w:id="424" w:name="_Toc142311037"/>
      <w:r/>
      <w:bookmarkStart w:id="425" w:name="_Toc164608804"/>
      <w:r/>
      <w:bookmarkStart w:id="426" w:name="_Toc226309779"/>
      <w:r/>
      <w:bookmarkStart w:id="427" w:name="_Toc226337231"/>
      <w:r/>
      <w:bookmarkStart w:id="428" w:name="_Toc150509286"/>
      <w:r/>
      <w:bookmarkStart w:id="429" w:name="_Toc151193849"/>
      <w:r/>
      <w:bookmarkStart w:id="430" w:name="_Toc164229230"/>
      <w:r/>
      <w:bookmarkStart w:id="431" w:name="_Toc127151535"/>
      <w:r/>
      <w:bookmarkStart w:id="432" w:name="_Toc127151736"/>
      <w:r/>
      <w:bookmarkStart w:id="433" w:name="_Toc151193705"/>
      <w:r/>
      <w:bookmarkStart w:id="434" w:name="_Toc265228373"/>
      <w:r/>
      <w:bookmarkStart w:id="435" w:name="_Toc151190162"/>
      <w:r/>
      <w:bookmarkStart w:id="436" w:name="_Toc226965725"/>
      <w:r/>
      <w:bookmarkStart w:id="437" w:name="_Toc226965808"/>
      <w:r/>
      <w:bookmarkStart w:id="438" w:name="_Toc150480773"/>
      <w:r/>
      <w:bookmarkStart w:id="439" w:name="_Toc150774740"/>
      <w:r/>
      <w:bookmarkStart w:id="440" w:name="_Toc305158803"/>
      <w:r/>
      <w:bookmarkStart w:id="441" w:name="_Toc164608649"/>
      <w:r/>
      <w:bookmarkStart w:id="442" w:name="_Toc195842900"/>
      <w:r/>
      <w:bookmarkStart w:id="443" w:name="_Toc520356160"/>
      <w:r/>
      <w:bookmarkStart w:id="444" w:name="_Toc127161449"/>
      <w:r/>
      <w:bookmarkStart w:id="445" w:name="_Toc150774635"/>
      <w:r/>
      <w:bookmarkStart w:id="446" w:name="_Toc151193633"/>
      <w:r/>
      <w:bookmarkStart w:id="447" w:name="_Toc164351629"/>
      <w:r/>
      <w:bookmarkStart w:id="448" w:name="_Toc164229376"/>
      <w:r/>
      <w:bookmarkStart w:id="449" w:name="_Toc305158877"/>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0774741"/>
      <w:r/>
      <w:bookmarkStart w:id="451" w:name="_Toc150509287"/>
      <w:r/>
      <w:bookmarkStart w:id="452" w:name="_Toc151193924"/>
      <w:r/>
      <w:bookmarkStart w:id="453" w:name="_Toc305158804"/>
      <w:r/>
      <w:bookmarkStart w:id="454" w:name="_Toc127161450"/>
      <w:r/>
      <w:bookmarkStart w:id="455" w:name="_Toc164608650"/>
      <w:r/>
      <w:bookmarkStart w:id="456" w:name="_Toc226309780"/>
      <w:r/>
      <w:bookmarkStart w:id="457" w:name="_Toc151193706"/>
      <w:r/>
      <w:bookmarkStart w:id="458" w:name="_Toc151193778"/>
      <w:r/>
      <w:bookmarkStart w:id="459" w:name="_Toc226337232"/>
      <w:r/>
      <w:bookmarkStart w:id="460" w:name="_Toc226965809"/>
      <w:r/>
      <w:bookmarkStart w:id="461" w:name="_Toc164229377"/>
      <w:r/>
      <w:bookmarkStart w:id="462" w:name="_Toc150480774"/>
      <w:r/>
      <w:bookmarkStart w:id="463" w:name="_Toc164608805"/>
      <w:r/>
      <w:bookmarkStart w:id="464" w:name="_Toc265228374"/>
      <w:r/>
      <w:bookmarkStart w:id="465" w:name="_Toc305158878"/>
      <w:r/>
      <w:bookmarkStart w:id="466" w:name="_Toc195842901"/>
      <w:r/>
      <w:bookmarkStart w:id="467" w:name="_Toc520356161"/>
      <w:r/>
      <w:bookmarkStart w:id="468" w:name="_Toc264969226"/>
      <w:r/>
      <w:bookmarkStart w:id="469" w:name="_Toc149720829"/>
      <w:r/>
      <w:bookmarkStart w:id="470" w:name="_Toc151190163"/>
      <w:r/>
      <w:bookmarkStart w:id="471" w:name="_Toc151193634"/>
      <w:r/>
      <w:bookmarkStart w:id="472" w:name="_Toc142311038"/>
      <w:r/>
      <w:bookmarkStart w:id="473" w:name="_Toc151193850"/>
      <w:r/>
      <w:bookmarkStart w:id="474" w:name="_Toc127151536"/>
      <w:r/>
      <w:bookmarkStart w:id="475" w:name="_Toc127151737"/>
      <w:r/>
      <w:bookmarkStart w:id="476" w:name="_Toc226965726"/>
      <w:r/>
      <w:bookmarkStart w:id="477" w:name="_Toc164351630"/>
      <w:r/>
      <w:bookmarkStart w:id="478" w:name="_Toc164229231"/>
      <w:r/>
      <w:bookmarkStart w:id="479" w:name="_Toc150774636"/>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27151537"/>
      <w:r/>
      <w:bookmarkStart w:id="481" w:name="_Toc226337233"/>
      <w:r/>
      <w:bookmarkStart w:id="482" w:name="_Toc164229232"/>
      <w:r/>
      <w:bookmarkStart w:id="483" w:name="_Toc226309781"/>
      <w:r/>
      <w:bookmarkStart w:id="484" w:name="_Toc149720830"/>
      <w:r/>
      <w:bookmarkStart w:id="485" w:name="_Toc151193851"/>
      <w:r/>
      <w:bookmarkStart w:id="486" w:name="_Toc150774742"/>
      <w:r/>
      <w:bookmarkStart w:id="487" w:name="_Toc150480775"/>
      <w:r/>
      <w:bookmarkStart w:id="488" w:name="_Toc226965810"/>
      <w:r/>
      <w:bookmarkStart w:id="489" w:name="_Toc195842902"/>
      <w:r/>
      <w:bookmarkStart w:id="490" w:name="_Toc520356162"/>
      <w:r/>
      <w:bookmarkStart w:id="491" w:name="_Toc151193635"/>
      <w:r/>
      <w:bookmarkStart w:id="492" w:name="_Toc127161451"/>
      <w:r/>
      <w:bookmarkStart w:id="493" w:name="_Toc305158805"/>
      <w:r/>
      <w:bookmarkStart w:id="494" w:name="_Toc226965727"/>
      <w:r/>
      <w:bookmarkStart w:id="495" w:name="_Toc150509288"/>
      <w:r/>
      <w:bookmarkStart w:id="496" w:name="_Toc150774637"/>
      <w:r/>
      <w:bookmarkStart w:id="497" w:name="_Toc164229378"/>
      <w:r/>
      <w:bookmarkStart w:id="498" w:name="_Toc151193707"/>
      <w:r/>
      <w:bookmarkStart w:id="499" w:name="_Toc164351631"/>
      <w:r/>
      <w:bookmarkStart w:id="500" w:name="_Toc127151738"/>
      <w:r/>
      <w:bookmarkStart w:id="501" w:name="_Toc265228375"/>
      <w:r/>
      <w:bookmarkStart w:id="502" w:name="_Toc142311039"/>
      <w:r/>
      <w:bookmarkStart w:id="503" w:name="_Toc164608806"/>
      <w:r/>
      <w:bookmarkStart w:id="504" w:name="_Toc264969227"/>
      <w:r/>
      <w:bookmarkStart w:id="505" w:name="_Toc305158879"/>
      <w:r/>
      <w:bookmarkStart w:id="506" w:name="_Toc151190164"/>
      <w:r/>
      <w:bookmarkStart w:id="507" w:name="_Toc151193925"/>
      <w:r/>
      <w:bookmarkStart w:id="508" w:name="_Toc151193779"/>
      <w:r/>
      <w:bookmarkStart w:id="509" w:name="_Toc164608651"/>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10" w:name="_Toc151193780"/>
      <w:r/>
      <w:bookmarkStart w:id="511" w:name="_Toc151193926"/>
      <w:r/>
      <w:bookmarkStart w:id="512" w:name="_Toc226965811"/>
      <w:r/>
      <w:bookmarkStart w:id="513" w:name="_Toc264969228"/>
      <w:r/>
      <w:bookmarkStart w:id="514" w:name="_Toc226965728"/>
      <w:r/>
      <w:bookmarkStart w:id="515" w:name="_Toc151193636"/>
      <w:r/>
      <w:bookmarkStart w:id="516" w:name="_Toc150480776"/>
      <w:r/>
      <w:bookmarkStart w:id="517" w:name="_Toc195842903"/>
      <w:r/>
      <w:bookmarkStart w:id="518" w:name="_Toc151193852"/>
      <w:r/>
      <w:bookmarkStart w:id="519" w:name="_Toc150774638"/>
      <w:r/>
      <w:bookmarkStart w:id="520" w:name="_Toc142311040"/>
      <w:r/>
      <w:bookmarkStart w:id="521" w:name="_Toc305158806"/>
      <w:r/>
      <w:bookmarkStart w:id="522" w:name="_Toc150509289"/>
      <w:r/>
      <w:bookmarkStart w:id="523" w:name="_Toc127151538"/>
      <w:r/>
      <w:bookmarkStart w:id="524" w:name="_Toc226337234"/>
      <w:r/>
      <w:bookmarkStart w:id="525" w:name="_Toc305158880"/>
      <w:r/>
      <w:bookmarkStart w:id="526" w:name="_Toc226309782"/>
      <w:r/>
      <w:bookmarkStart w:id="527" w:name="_Toc265228376"/>
      <w:r/>
      <w:bookmarkStart w:id="528" w:name="_Toc520356163"/>
      <w:r/>
      <w:bookmarkStart w:id="529" w:name="_Toc150774743"/>
      <w:r/>
      <w:bookmarkStart w:id="530" w:name="_Toc151190165"/>
      <w:r/>
      <w:bookmarkStart w:id="531" w:name="_Toc151193708"/>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95842904"/>
      <w:r/>
      <w:bookmarkStart w:id="533" w:name="_Toc164351633"/>
      <w:r/>
      <w:bookmarkStart w:id="534" w:name="_Toc151193709"/>
      <w:r/>
      <w:bookmarkStart w:id="535" w:name="_Toc151190166"/>
      <w:r/>
      <w:bookmarkStart w:id="536" w:name="_Toc150509290"/>
      <w:r/>
      <w:bookmarkStart w:id="537" w:name="_Toc520356164"/>
      <w:r/>
      <w:bookmarkStart w:id="538" w:name="_Toc226337235"/>
      <w:r/>
      <w:bookmarkStart w:id="539" w:name="_Toc164608808"/>
      <w:r/>
      <w:bookmarkStart w:id="540" w:name="_Toc150774744"/>
      <w:r/>
      <w:bookmarkStart w:id="541" w:name="_Toc164229234"/>
      <w:r/>
      <w:bookmarkStart w:id="542" w:name="_Toc305158881"/>
      <w:r/>
      <w:bookmarkStart w:id="543" w:name="_Toc305158807"/>
      <w:r/>
      <w:bookmarkStart w:id="544" w:name="_Toc265228377"/>
      <w:r/>
      <w:bookmarkStart w:id="545" w:name="_Toc151193781"/>
      <w:r/>
      <w:bookmarkStart w:id="546" w:name="_Toc226965812"/>
      <w:r/>
      <w:bookmarkStart w:id="547" w:name="_Toc127161453"/>
      <w:r/>
      <w:bookmarkStart w:id="548" w:name="_Toc149720832"/>
      <w:r/>
      <w:bookmarkStart w:id="549" w:name="_Toc151193853"/>
      <w:r/>
      <w:bookmarkStart w:id="550" w:name="_Toc226965729"/>
      <w:r/>
      <w:bookmarkStart w:id="551" w:name="_Toc264969229"/>
      <w:r/>
      <w:bookmarkStart w:id="552" w:name="_Toc150774639"/>
      <w:r/>
      <w:bookmarkStart w:id="553" w:name="_Toc164608653"/>
      <w:r/>
      <w:bookmarkStart w:id="554" w:name="_Toc150480777"/>
      <w:r/>
      <w:bookmarkStart w:id="555" w:name="_Toc127151740"/>
      <w:r/>
      <w:bookmarkStart w:id="556" w:name="_Toc142311041"/>
      <w:r/>
      <w:bookmarkStart w:id="557" w:name="_Toc127151539"/>
      <w:r/>
      <w:bookmarkStart w:id="558" w:name="_Toc164229380"/>
      <w:r/>
      <w:bookmarkStart w:id="559" w:name="_Toc151193637"/>
      <w:r/>
      <w:bookmarkStart w:id="560" w:name="_Toc151193927"/>
      <w:r/>
      <w:bookmarkStart w:id="561" w:name="_Toc226309783"/>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0774745"/>
      <w:r/>
      <w:bookmarkStart w:id="564" w:name="_Toc226965730"/>
      <w:r/>
      <w:bookmarkStart w:id="565" w:name="_Toc127151741"/>
      <w:r/>
      <w:bookmarkStart w:id="566" w:name="_Toc164351634"/>
      <w:r/>
      <w:bookmarkStart w:id="567" w:name="_Toc195842905"/>
      <w:r/>
      <w:bookmarkStart w:id="568" w:name="_Toc305158808"/>
      <w:r/>
      <w:bookmarkStart w:id="569" w:name="_Toc151193854"/>
      <w:r/>
      <w:bookmarkStart w:id="570" w:name="_Toc150509291"/>
      <w:r/>
      <w:bookmarkStart w:id="571" w:name="_Toc305158882"/>
      <w:r/>
      <w:bookmarkStart w:id="572" w:name="_Toc151193782"/>
      <w:r/>
      <w:bookmarkStart w:id="573" w:name="_Toc265228378"/>
      <w:r/>
      <w:bookmarkStart w:id="574" w:name="_Toc142311042"/>
      <w:r/>
      <w:bookmarkStart w:id="575" w:name="_Toc226337236"/>
      <w:r/>
      <w:bookmarkStart w:id="576" w:name="_Toc127161454"/>
      <w:r/>
      <w:bookmarkStart w:id="577" w:name="_Toc151193928"/>
      <w:r/>
      <w:bookmarkStart w:id="578" w:name="_Toc164229381"/>
      <w:r/>
      <w:bookmarkStart w:id="579" w:name="_Toc164229235"/>
      <w:r/>
      <w:bookmarkStart w:id="580" w:name="_Toc151193710"/>
      <w:r/>
      <w:bookmarkStart w:id="581" w:name="_Toc150480778"/>
      <w:r/>
      <w:bookmarkStart w:id="582" w:name="_Toc149720833"/>
      <w:r/>
      <w:bookmarkStart w:id="583" w:name="_Toc264969230"/>
      <w:r/>
      <w:bookmarkStart w:id="584" w:name="_Toc226965813"/>
      <w:r/>
      <w:bookmarkStart w:id="585" w:name="_Toc164608654"/>
      <w:r/>
      <w:bookmarkStart w:id="586" w:name="_Toc127151540"/>
      <w:r/>
      <w:bookmarkStart w:id="587" w:name="_Toc151190167"/>
      <w:r/>
      <w:bookmarkStart w:id="588" w:name="_Toc164608809"/>
      <w:r/>
      <w:bookmarkStart w:id="589" w:name="_Toc151193638"/>
      <w:r/>
      <w:bookmarkStart w:id="590" w:name="_Toc150774640"/>
      <w:r/>
      <w:bookmarkStart w:id="591" w:name="_Toc226309784"/>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94" w:name="_Toc127151545"/>
      <w:r/>
      <w:bookmarkStart w:id="595" w:name="_Toc151193933"/>
      <w:r/>
      <w:bookmarkStart w:id="596" w:name="_Toc151193643"/>
      <w:r/>
      <w:bookmarkStart w:id="597" w:name="_Toc226309789"/>
      <w:r/>
      <w:bookmarkStart w:id="598" w:name="_Toc265228383"/>
      <w:r/>
      <w:bookmarkStart w:id="599" w:name="_Toc264969235"/>
      <w:r/>
      <w:bookmarkStart w:id="600" w:name="_Toc226965818"/>
      <w:r/>
      <w:bookmarkStart w:id="601" w:name="_Toc151193787"/>
      <w:r/>
      <w:bookmarkStart w:id="602" w:name="_Toc305158813"/>
      <w:r/>
      <w:bookmarkStart w:id="603" w:name="_Toc150774645"/>
      <w:r/>
      <w:bookmarkStart w:id="604" w:name="_Toc151193859"/>
      <w:r/>
      <w:bookmarkStart w:id="605" w:name="_Toc226337241"/>
      <w:r/>
      <w:bookmarkStart w:id="606" w:name="_Toc151190172"/>
      <w:r/>
      <w:bookmarkStart w:id="607" w:name="_Toc151193715"/>
      <w:r/>
      <w:bookmarkStart w:id="608" w:name="_Toc150774750"/>
      <w:r/>
      <w:bookmarkStart w:id="609" w:name="_Toc142311047"/>
      <w:r/>
      <w:bookmarkStart w:id="610" w:name="_Toc305158887"/>
      <w:r/>
      <w:bookmarkStart w:id="611" w:name="_Toc150480783"/>
      <w:r/>
      <w:bookmarkStart w:id="612" w:name="_Toc226965735"/>
      <w:r/>
      <w:bookmarkStart w:id="613" w:name="_Toc195842910"/>
      <w:r/>
      <w:bookmarkStart w:id="614" w:name="_Toc150509296"/>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608816"/>
      <w:r/>
      <w:bookmarkStart w:id="616" w:name="_Toc127151547"/>
      <w:r/>
      <w:bookmarkStart w:id="617" w:name="_Toc164608661"/>
      <w:r/>
      <w:bookmarkStart w:id="618" w:name="_Toc142311049"/>
      <w:r/>
      <w:bookmarkStart w:id="619" w:name="_Toc195842912"/>
      <w:r/>
      <w:bookmarkStart w:id="620" w:name="_Toc151193645"/>
      <w:r/>
      <w:bookmarkStart w:id="621" w:name="_Toc127161461"/>
      <w:r/>
      <w:bookmarkStart w:id="622" w:name="_Toc164351641"/>
      <w:r/>
      <w:bookmarkStart w:id="623" w:name="_Toc226965737"/>
      <w:r/>
      <w:bookmarkStart w:id="624" w:name="_Toc164229388"/>
      <w:r/>
      <w:bookmarkStart w:id="625" w:name="_Toc265228385"/>
      <w:r/>
      <w:bookmarkStart w:id="626" w:name="_Toc151193717"/>
      <w:r/>
      <w:bookmarkStart w:id="627" w:name="_Toc127151748"/>
      <w:r/>
      <w:bookmarkStart w:id="628" w:name="_Toc150774752"/>
      <w:r/>
      <w:bookmarkStart w:id="629" w:name="_Toc150480785"/>
      <w:r/>
      <w:bookmarkStart w:id="630" w:name="_Toc151193861"/>
      <w:r/>
      <w:bookmarkStart w:id="631" w:name="_Toc226309791"/>
      <w:r/>
      <w:bookmarkStart w:id="632" w:name="_Toc264969237"/>
      <w:r/>
      <w:bookmarkStart w:id="633" w:name="_Toc150774647"/>
      <w:r/>
      <w:bookmarkStart w:id="634" w:name="_Toc150509298"/>
      <w:r/>
      <w:bookmarkStart w:id="635" w:name="_Toc164229242"/>
      <w:r/>
      <w:bookmarkStart w:id="636" w:name="_Toc151193935"/>
      <w:r/>
      <w:bookmarkStart w:id="637" w:name="_Toc151190174"/>
      <w:r/>
      <w:bookmarkStart w:id="638" w:name="_Toc149720840"/>
      <w:r/>
      <w:bookmarkStart w:id="639" w:name="_Toc305158889"/>
      <w:r/>
      <w:bookmarkStart w:id="640" w:name="_Toc226337243"/>
      <w:r/>
      <w:bookmarkStart w:id="641" w:name="_Toc151193789"/>
      <w:r/>
      <w:bookmarkStart w:id="642" w:name="_Toc226965820"/>
      <w:r/>
      <w:bookmarkStart w:id="643" w:name="_Toc30515881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0774649"/>
      <w:r/>
      <w:bookmarkStart w:id="645" w:name="_Toc150774754"/>
      <w:r/>
      <w:bookmarkStart w:id="646" w:name="_Toc151193863"/>
      <w:r/>
      <w:bookmarkStart w:id="647" w:name="_Toc305158891"/>
      <w:r/>
      <w:bookmarkStart w:id="648" w:name="_Toc164608818"/>
      <w:r/>
      <w:bookmarkStart w:id="649" w:name="_Toc164351643"/>
      <w:r/>
      <w:bookmarkStart w:id="650" w:name="_Toc142311051"/>
      <w:r/>
      <w:bookmarkStart w:id="651" w:name="_Toc149720842"/>
      <w:r/>
      <w:bookmarkStart w:id="652" w:name="_Ref467306425"/>
      <w:r/>
      <w:bookmarkStart w:id="653" w:name="_Toc520356176"/>
      <w:r/>
      <w:bookmarkStart w:id="654" w:name="_Ref467307090"/>
      <w:r/>
      <w:bookmarkStart w:id="655" w:name="_Toc164608663"/>
      <w:r/>
      <w:bookmarkStart w:id="656" w:name="_Toc151190176"/>
      <w:r/>
      <w:bookmarkStart w:id="657" w:name="_Toc226965739"/>
      <w:r/>
      <w:bookmarkStart w:id="658" w:name="_Toc226309793"/>
      <w:r/>
      <w:bookmarkStart w:id="659" w:name="_Toc195842914"/>
      <w:r/>
      <w:bookmarkStart w:id="660" w:name="_Toc164229244"/>
      <w:r/>
      <w:bookmarkStart w:id="661" w:name="_Toc305158817"/>
      <w:r/>
      <w:bookmarkStart w:id="662" w:name="_Toc264969239"/>
      <w:r/>
      <w:bookmarkStart w:id="663" w:name="_Toc127151750"/>
      <w:r/>
      <w:bookmarkStart w:id="664" w:name="_Toc150509300"/>
      <w:r/>
      <w:bookmarkStart w:id="665" w:name="_Toc265228387"/>
      <w:r/>
      <w:bookmarkStart w:id="666" w:name="_Toc151193791"/>
      <w:r/>
      <w:bookmarkStart w:id="667" w:name="_Toc226337245"/>
      <w:r/>
      <w:bookmarkStart w:id="668" w:name="_Toc151193647"/>
      <w:r/>
      <w:bookmarkStart w:id="669" w:name="_Toc151193937"/>
      <w:r/>
      <w:bookmarkStart w:id="670" w:name="_Toc226965822"/>
      <w:r/>
      <w:bookmarkStart w:id="671" w:name="_Toc150480787"/>
      <w:r/>
      <w:bookmarkStart w:id="672" w:name="_Toc164229390"/>
      <w:r/>
      <w:bookmarkStart w:id="673" w:name="_Toc127161463"/>
      <w:r/>
      <w:bookmarkStart w:id="674" w:name="_Toc151193719"/>
      <w:r/>
      <w:bookmarkStart w:id="675" w:name="_Toc127151549"/>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Ref467307204"/>
      <w:r/>
      <w:bookmarkStart w:id="677" w:name="_Toc151190177"/>
      <w:r/>
      <w:bookmarkStart w:id="678" w:name="_Toc226965823"/>
      <w:r/>
      <w:bookmarkStart w:id="679" w:name="_Toc164229245"/>
      <w:r/>
      <w:bookmarkStart w:id="680" w:name="_Toc151193864"/>
      <w:r/>
      <w:bookmarkStart w:id="681" w:name="_Toc226337246"/>
      <w:r/>
      <w:bookmarkStart w:id="682" w:name="_Toc150774650"/>
      <w:r/>
      <w:bookmarkStart w:id="683" w:name="_Toc265228388"/>
      <w:r/>
      <w:bookmarkStart w:id="684" w:name="_Toc127151550"/>
      <w:r/>
      <w:bookmarkStart w:id="685" w:name="_Toc151193648"/>
      <w:r/>
      <w:bookmarkStart w:id="686" w:name="_Ref467307062"/>
      <w:r/>
      <w:bookmarkStart w:id="687" w:name="_Toc305158892"/>
      <w:r/>
      <w:bookmarkStart w:id="688" w:name="_Toc164229391"/>
      <w:r/>
      <w:bookmarkStart w:id="689" w:name="_Toc150774755"/>
      <w:r/>
      <w:bookmarkStart w:id="690" w:name="_Toc150509301"/>
      <w:r/>
      <w:bookmarkStart w:id="691" w:name="_Toc149720843"/>
      <w:r/>
      <w:bookmarkStart w:id="692" w:name="_Toc195842915"/>
      <w:r/>
      <w:bookmarkStart w:id="693" w:name="_Toc164608664"/>
      <w:r/>
      <w:bookmarkStart w:id="694" w:name="_Toc226309794"/>
      <w:r/>
      <w:bookmarkStart w:id="695" w:name="_Toc151193792"/>
      <w:r/>
      <w:bookmarkStart w:id="696" w:name="_Toc164351644"/>
      <w:r/>
      <w:bookmarkStart w:id="697" w:name="_Toc151193938"/>
      <w:r/>
      <w:bookmarkStart w:id="698" w:name="_Ref467306377"/>
      <w:r/>
      <w:bookmarkStart w:id="699" w:name="_Toc142311052"/>
      <w:r/>
      <w:bookmarkStart w:id="700" w:name="_Ref467306978"/>
      <w:r/>
      <w:bookmarkStart w:id="701" w:name="_Toc150480788"/>
      <w:r/>
      <w:bookmarkStart w:id="702" w:name="_Toc305158818"/>
      <w:r/>
      <w:bookmarkStart w:id="703" w:name="_Toc151193720"/>
      <w:r/>
      <w:bookmarkStart w:id="704" w:name="_Toc127161464"/>
      <w:r/>
      <w:bookmarkStart w:id="705" w:name="_Toc264969240"/>
      <w:r/>
      <w:bookmarkStart w:id="706" w:name="_Toc127151751"/>
      <w:r/>
      <w:bookmarkStart w:id="707" w:name="_Toc164608819"/>
      <w:r/>
      <w:bookmarkStart w:id="708" w:name="_Toc520356175"/>
      <w:r/>
      <w:bookmarkStart w:id="709" w:name="_Toc226965740"/>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5"/>
          <w:rFonts w:hint="eastAsia" w:ascii="宋体" w:hAnsi="宋体" w:cs="宋体"/>
          <w:color w:val="000000"/>
          <w:highlight w:val="none"/>
        </w:rPr>
        <w:t xml:space="preserve">http://gk</w:t>
      </w:r>
      <w:bookmarkStart w:id="710" w:name="_Hlt100654014"/>
      <w:r>
        <w:rPr>
          <w:rStyle w:val="1145"/>
          <w:rFonts w:hint="eastAsia" w:ascii="宋体" w:hAnsi="宋体" w:cs="宋体"/>
          <w:color w:val="000000"/>
          <w:highlight w:val="none"/>
        </w:rPr>
        <w:t xml:space="preserve">s</w:t>
      </w:r>
      <w:bookmarkEnd w:id="710"/>
      <w:r>
        <w:rPr>
          <w:rStyle w:val="1145"/>
          <w:rFonts w:hint="eastAsia" w:ascii="宋体" w:hAnsi="宋体" w:cs="宋体"/>
          <w:color w:val="000000"/>
          <w:highlight w:val="none"/>
        </w:rPr>
        <w:t xml:space="preserve">.m</w:t>
      </w:r>
      <w:bookmarkStart w:id="711" w:name="_Hlt100653994"/>
      <w:r/>
      <w:bookmarkStart w:id="712" w:name="_Hlt100653993"/>
      <w:r>
        <w:rPr>
          <w:rStyle w:val="1145"/>
          <w:rFonts w:hint="eastAsia" w:ascii="宋体" w:hAnsi="宋体" w:cs="宋体"/>
          <w:color w:val="000000"/>
          <w:highlight w:val="none"/>
        </w:rPr>
        <w:t xml:space="preserve">o</w:t>
      </w:r>
      <w:bookmarkEnd w:id="711"/>
      <w:r/>
      <w:bookmarkEnd w:id="712"/>
      <w:r>
        <w:rPr>
          <w:rStyle w:val="1145"/>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13" w:name="_Toc264969244"/>
      <w:r/>
      <w:bookmarkStart w:id="714" w:name="_Toc353825544"/>
      <w:r/>
      <w:bookmarkStart w:id="715" w:name="_Toc150480792"/>
      <w:r/>
      <w:bookmarkStart w:id="716" w:name="_Toc305158896"/>
      <w:r/>
      <w:bookmarkStart w:id="717" w:name="_Toc127151554"/>
      <w:r/>
      <w:bookmarkStart w:id="718" w:name="_Toc305158822"/>
      <w:r/>
      <w:bookmarkStart w:id="719" w:name="_Toc142311056"/>
      <w:r/>
      <w:bookmarkStart w:id="720" w:name="_Toc265228392"/>
      <w:r/>
      <w:bookmarkStart w:id="721" w:name="_Toc226337250"/>
      <w:r/>
      <w:bookmarkStart w:id="722" w:name="_Toc353873664"/>
      <w:r/>
      <w:bookmarkStart w:id="723" w:name="_Toc353873934"/>
      <w:r/>
      <w:bookmarkStart w:id="724" w:name="_Toc150774759"/>
      <w:r/>
      <w:bookmarkStart w:id="725" w:name="_Toc226965827"/>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127151779"/>
      <w:r/>
      <w:bookmarkStart w:id="732" w:name="_Toc127161490"/>
      <w:r/>
      <w:bookmarkStart w:id="733" w:name="_Toc353873940"/>
      <w:r/>
      <w:bookmarkStart w:id="734"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50774746"/>
      <w:r/>
      <w:bookmarkStart w:id="738" w:name="_Toc226337237"/>
      <w:r/>
      <w:bookmarkStart w:id="739" w:name="_Toc195842906"/>
      <w:r/>
      <w:bookmarkStart w:id="740" w:name="_Toc142311043"/>
      <w:r/>
      <w:bookmarkStart w:id="741" w:name="_Toc127151541"/>
      <w:r/>
      <w:bookmarkStart w:id="742" w:name="_Toc265228379"/>
      <w:r/>
      <w:bookmarkStart w:id="743" w:name="_Toc226965731"/>
      <w:r/>
      <w:bookmarkStart w:id="744" w:name="_Toc150774641"/>
      <w:r/>
      <w:bookmarkStart w:id="745" w:name="_Toc151193929"/>
      <w:r/>
      <w:bookmarkStart w:id="746" w:name="_Toc127161455"/>
      <w:r/>
      <w:bookmarkStart w:id="747" w:name="_Toc164229236"/>
      <w:r/>
      <w:bookmarkStart w:id="748" w:name="_Toc150509292"/>
      <w:r/>
      <w:bookmarkStart w:id="749" w:name="_Toc164608810"/>
      <w:r/>
      <w:bookmarkStart w:id="750" w:name="_Toc149720834"/>
      <w:r/>
      <w:bookmarkStart w:id="751" w:name="_Toc305158809"/>
      <w:r/>
      <w:bookmarkStart w:id="752" w:name="_Toc151190168"/>
      <w:r/>
      <w:bookmarkStart w:id="753" w:name="_Toc151193855"/>
      <w:r/>
      <w:bookmarkStart w:id="754" w:name="_Toc150480779"/>
      <w:r/>
      <w:bookmarkStart w:id="755" w:name="_Toc151193711"/>
      <w:r/>
      <w:bookmarkStart w:id="756" w:name="_Toc226965814"/>
      <w:r/>
      <w:bookmarkStart w:id="757" w:name="_Toc127151742"/>
      <w:r/>
      <w:bookmarkStart w:id="758" w:name="_Toc164229382"/>
      <w:r/>
      <w:bookmarkStart w:id="759" w:name="_Toc264969231"/>
      <w:r/>
      <w:bookmarkStart w:id="760" w:name="_Toc164608655"/>
      <w:r/>
      <w:bookmarkStart w:id="761" w:name="_Toc226309785"/>
      <w:r/>
      <w:bookmarkStart w:id="762" w:name="_Toc151193783"/>
      <w:r/>
      <w:bookmarkStart w:id="763" w:name="_Toc164351635"/>
      <w:r/>
      <w:bookmarkStart w:id="764" w:name="_Toc151193639"/>
      <w:r/>
      <w:bookmarkStart w:id="765" w:name="_Toc305158883"/>
      <w:r/>
      <w:bookmarkStart w:id="766" w:name="_Toc353873941"/>
      <w:r/>
      <w:bookmarkStart w:id="767" w:name="_Toc353825551"/>
      <w:r/>
      <w:bookmarkStart w:id="768" w:name="_Toc265228393"/>
      <w:r/>
      <w:bookmarkStart w:id="769" w:name="_Toc305158897"/>
      <w:r/>
      <w:bookmarkStart w:id="770" w:name="_Toc353873665"/>
      <w:r/>
      <w:bookmarkStart w:id="771" w:name="_Toc264969245"/>
      <w:r/>
      <w:bookmarkStart w:id="772" w:name="_Toc226965828"/>
      <w:r/>
      <w:bookmarkStart w:id="773" w:name="_Toc226337251"/>
      <w:r/>
      <w:bookmarkStart w:id="774" w:name="_Toc142311057"/>
      <w:r/>
      <w:bookmarkStart w:id="775" w:name="_Toc305158823"/>
      <w:r/>
      <w:bookmarkStart w:id="776" w:name="_Toc353873935"/>
      <w:r/>
      <w:bookmarkStart w:id="777" w:name="_Toc353825545"/>
      <w:r/>
      <w:bookmarkStart w:id="778" w:name="_Toc150774760"/>
      <w:r/>
      <w:bookmarkStart w:id="779" w:name="_Toc150480793"/>
      <w:r/>
      <w:bookmarkStart w:id="780" w:name="_Toc127151555"/>
      <w:r/>
      <w:bookmarkStart w:id="781" w:name="_Toc195842920"/>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42311048"/>
      <w:r/>
      <w:bookmarkStart w:id="784" w:name="_Toc164608815"/>
      <w:r/>
      <w:bookmarkStart w:id="785" w:name="_Toc150509297"/>
      <w:r/>
      <w:bookmarkStart w:id="786" w:name="_Toc164229241"/>
      <w:r/>
      <w:bookmarkStart w:id="787" w:name="_Toc150774646"/>
      <w:r/>
      <w:bookmarkStart w:id="788" w:name="_Toc150480784"/>
      <w:r/>
      <w:bookmarkStart w:id="789" w:name="_Toc265228384"/>
      <w:r/>
      <w:bookmarkStart w:id="790" w:name="_Toc226309790"/>
      <w:r/>
      <w:bookmarkStart w:id="791" w:name="_Toc151193788"/>
      <w:r/>
      <w:bookmarkStart w:id="792" w:name="_Toc305158888"/>
      <w:r/>
      <w:bookmarkStart w:id="793" w:name="_Toc305158814"/>
      <w:r/>
      <w:bookmarkStart w:id="794" w:name="_Toc127151747"/>
      <w:r/>
      <w:bookmarkStart w:id="795" w:name="_Toc151193934"/>
      <w:r/>
      <w:bookmarkStart w:id="796" w:name="_Toc151193860"/>
      <w:r/>
      <w:bookmarkStart w:id="797" w:name="_Toc226965736"/>
      <w:r/>
      <w:bookmarkStart w:id="798" w:name="_Toc150774751"/>
      <w:r/>
      <w:bookmarkStart w:id="799" w:name="_Toc520356170"/>
      <w:r/>
      <w:bookmarkStart w:id="800" w:name="_Toc151193644"/>
      <w:r/>
      <w:bookmarkStart w:id="801" w:name="_Toc226337242"/>
      <w:r/>
      <w:bookmarkStart w:id="802" w:name="_Toc226965819"/>
      <w:r/>
      <w:bookmarkStart w:id="803" w:name="_Toc264969236"/>
      <w:r/>
      <w:bookmarkStart w:id="804" w:name="_Toc127161460"/>
      <w:r/>
      <w:bookmarkStart w:id="805" w:name="_Toc151193716"/>
      <w:r/>
      <w:bookmarkStart w:id="806" w:name="_Toc149720839"/>
      <w:r/>
      <w:bookmarkStart w:id="807" w:name="_Toc164351640"/>
      <w:r/>
      <w:bookmarkStart w:id="808" w:name="_Ref467307010"/>
      <w:r/>
      <w:bookmarkStart w:id="809" w:name="_Toc164608660"/>
      <w:r/>
      <w:bookmarkStart w:id="810" w:name="_Toc127151546"/>
      <w:r/>
      <w:bookmarkStart w:id="811" w:name="_Toc164229387"/>
      <w:r/>
      <w:bookmarkStart w:id="812" w:name="_Toc195842911"/>
      <w:r/>
      <w:bookmarkStart w:id="813" w:name="_Toc151190173"/>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410"/>
        <w:gridCol w:w="878"/>
        <w:gridCol w:w="3837"/>
        <w:gridCol w:w="2353"/>
      </w:tblGrid>
      <w:tr>
        <w:trPr/>
        <w:tc>
          <w:tcPr>
            <w:tcW w:w="433" w:type="dxa"/>
            <w:vAlign w:val="center"/>
            <w:textDirection w:val="lrTb"/>
            <w:noWrap w:val="false"/>
          </w:tcPr>
          <w:p>
            <w:pPr>
              <w:pStyle w:val="1070"/>
              <w:ind w:firstLine="28"/>
              <w:jc w:val="center"/>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759" w:type="dxa"/>
            <w:vAlign w:val="center"/>
            <w:textDirection w:val="lrTb"/>
            <w:noWrap w:val="false"/>
          </w:tcPr>
          <w:p>
            <w:pPr>
              <w:pStyle w:val="1070"/>
              <w:ind w:firstLine="28"/>
              <w:jc w:val="center"/>
              <w:rPr>
                <w:rFonts w:ascii="宋体" w:hAnsi="宋体"/>
                <w:b/>
                <w:color w:val="000000"/>
                <w:sz w:val="24"/>
                <w:highlight w:val="none"/>
              </w:rPr>
            </w:pPr>
            <w:r>
              <w:rPr>
                <w:rFonts w:ascii="宋体" w:hAnsi="宋体"/>
                <w:b/>
                <w:color w:val="000000"/>
                <w:sz w:val="24"/>
                <w:highlight w:val="none"/>
              </w:rPr>
              <w:t xml:space="preserve">评分因素</w:t>
            </w:r>
            <w:r>
              <w:rPr>
                <w:rFonts w:ascii="宋体" w:hAnsi="宋体"/>
                <w:b/>
                <w:color w:val="000000"/>
                <w:sz w:val="24"/>
                <w:highlight w:val="none"/>
              </w:rPr>
            </w:r>
            <w:r/>
          </w:p>
        </w:tc>
        <w:tc>
          <w:tcPr>
            <w:tcW w:w="473" w:type="dxa"/>
            <w:vAlign w:val="center"/>
            <w:textDirection w:val="lrTb"/>
            <w:noWrap w:val="false"/>
          </w:tcPr>
          <w:p>
            <w:pPr>
              <w:pStyle w:val="1070"/>
              <w:ind w:firstLine="28"/>
              <w:jc w:val="center"/>
              <w:rPr>
                <w:rFonts w:ascii="宋体" w:hAnsi="宋体"/>
                <w:b/>
                <w:color w:val="000000"/>
                <w:sz w:val="24"/>
                <w:highlight w:val="none"/>
              </w:rPr>
            </w:pPr>
            <w:r>
              <w:rPr>
                <w:rFonts w:ascii="宋体" w:hAnsi="宋体"/>
                <w:b/>
                <w:color w:val="000000"/>
                <w:sz w:val="24"/>
                <w:highlight w:val="none"/>
              </w:rPr>
              <w:t xml:space="preserve">分值</w:t>
            </w:r>
            <w:r>
              <w:rPr>
                <w:rFonts w:ascii="宋体" w:hAnsi="宋体"/>
                <w:b/>
                <w:color w:val="000000"/>
                <w:sz w:val="24"/>
                <w:highlight w:val="none"/>
              </w:rPr>
            </w:r>
            <w:r/>
          </w:p>
        </w:tc>
        <w:tc>
          <w:tcPr>
            <w:tcW w:w="2066" w:type="dxa"/>
            <w:vAlign w:val="center"/>
            <w:textDirection w:val="lrTb"/>
            <w:noWrap w:val="false"/>
          </w:tcPr>
          <w:p>
            <w:pPr>
              <w:pStyle w:val="1070"/>
              <w:ind w:firstLine="28"/>
              <w:jc w:val="center"/>
              <w:rPr>
                <w:rFonts w:ascii="宋体" w:hAnsi="宋体"/>
                <w:b/>
                <w:color w:val="000000"/>
                <w:sz w:val="24"/>
                <w:highlight w:val="none"/>
              </w:rPr>
            </w:pPr>
            <w:r>
              <w:rPr>
                <w:rFonts w:ascii="宋体" w:hAnsi="宋体"/>
                <w:b/>
                <w:color w:val="000000"/>
                <w:sz w:val="24"/>
                <w:highlight w:val="none"/>
              </w:rPr>
              <w:t xml:space="preserve">评分标准</w:t>
            </w:r>
            <w:r>
              <w:rPr>
                <w:rFonts w:ascii="宋体" w:hAnsi="宋体"/>
                <w:b/>
                <w:color w:val="000000"/>
                <w:sz w:val="24"/>
                <w:highlight w:val="none"/>
              </w:rPr>
            </w:r>
            <w:r/>
          </w:p>
        </w:tc>
        <w:tc>
          <w:tcPr>
            <w:tcW w:w="1267" w:type="dxa"/>
            <w:vAlign w:val="center"/>
            <w:textDirection w:val="lrTb"/>
            <w:noWrap w:val="false"/>
          </w:tcPr>
          <w:p>
            <w:pPr>
              <w:pStyle w:val="1314"/>
              <w:spacing w:before="0" w:after="0" w:line="240" w:lineRule="auto"/>
              <w:rPr>
                <w:rFonts w:ascii="宋体" w:hAnsi="宋体" w:eastAsia="宋体"/>
                <w:color w:val="000000"/>
                <w:szCs w:val="24"/>
                <w:highlight w:val="none"/>
              </w:rPr>
            </w:pPr>
            <w:r>
              <w:rPr>
                <w:rFonts w:ascii="宋体" w:hAnsi="宋体" w:eastAsia="宋体"/>
                <w:color w:val="000000"/>
                <w:szCs w:val="24"/>
                <w:highlight w:val="none"/>
              </w:rPr>
              <w:t xml:space="preserve">说明</w:t>
            </w:r>
            <w:r>
              <w:rPr>
                <w:rFonts w:ascii="宋体" w:hAnsi="宋体" w:eastAsia="宋体"/>
                <w:color w:val="000000"/>
                <w:szCs w:val="24"/>
                <w:highlight w:val="none"/>
              </w:rPr>
            </w:r>
            <w:r/>
          </w:p>
        </w:tc>
      </w:tr>
      <w:tr>
        <w:trPr>
          <w:trHeight w:val="631"/>
        </w:trPr>
        <w:tc>
          <w:tcPr>
            <w:tcW w:w="433" w:type="dxa"/>
            <w:vAlign w:val="center"/>
            <w:textDirection w:val="lrTb"/>
            <w:noWrap w:val="false"/>
          </w:tcPr>
          <w:p>
            <w:pPr>
              <w:pStyle w:val="1070"/>
              <w:ind w:firstLine="28"/>
              <w:jc w:val="center"/>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r>
            <w:r/>
          </w:p>
        </w:tc>
        <w:tc>
          <w:tcPr>
            <w:tcW w:w="759"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r>
            <w:r/>
          </w:p>
        </w:tc>
        <w:tc>
          <w:tcPr>
            <w:tcW w:w="47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2066" w:type="dxa"/>
            <w:vAlign w:val="center"/>
            <w:textDirection w:val="lrTb"/>
            <w:noWrap w:val="false"/>
          </w:tcPr>
          <w:p>
            <w:pPr>
              <w:pStyle w:val="1070"/>
              <w:rPr>
                <w:rFonts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1070"/>
              <w:rPr>
                <w:rFonts w:ascii="宋体" w:hAnsi="宋体"/>
                <w:color w:val="000000"/>
                <w:sz w:val="24"/>
                <w:highlight w:val="none"/>
              </w:rPr>
            </w:pPr>
            <w:r>
              <w:rPr>
                <w:rFonts w:ascii="宋体" w:hAnsi="宋体"/>
                <w:color w:val="000000"/>
                <w:sz w:val="24"/>
                <w:highlight w:val="none"/>
              </w:rPr>
              <w:t xml:space="preserve">投标报价得分＝（评标基准价/投标报价）×分值。</w:t>
            </w: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hint="eastAsia" w:ascii="宋体" w:hAnsi="宋体"/>
                <w:color w:val="000000"/>
                <w:sz w:val="24"/>
                <w:highlight w:val="none"/>
              </w:rPr>
              <w:t xml:space="preserve">此处投标报价指经过报价修正，及</w:t>
            </w:r>
            <w:r>
              <w:rPr>
                <w:rFonts w:ascii="宋体" w:hAnsi="宋体"/>
                <w:color w:val="000000"/>
                <w:sz w:val="24"/>
                <w:highlight w:val="none"/>
              </w:rPr>
              <w:t xml:space="preserve">因落实政府采购政策进行价格调整</w:t>
            </w:r>
            <w:r>
              <w:rPr>
                <w:rFonts w:hint="eastAsia" w:ascii="宋体" w:hAnsi="宋体"/>
                <w:color w:val="000000"/>
                <w:sz w:val="24"/>
                <w:highlight w:val="none"/>
              </w:rPr>
              <w:t xml:space="preserve">后</w:t>
            </w:r>
            <w:r>
              <w:rPr>
                <w:rFonts w:ascii="宋体" w:hAnsi="宋体"/>
                <w:color w:val="000000"/>
                <w:sz w:val="24"/>
                <w:highlight w:val="none"/>
              </w:rPr>
              <w:t xml:space="preserve">的</w:t>
            </w:r>
            <w:r>
              <w:rPr>
                <w:rFonts w:hint="eastAsia" w:ascii="宋体" w:hAnsi="宋体"/>
                <w:color w:val="000000"/>
                <w:sz w:val="24"/>
                <w:highlight w:val="none"/>
              </w:rPr>
              <w:t xml:space="preserve">报价</w:t>
            </w:r>
            <w:r>
              <w:rPr>
                <w:rFonts w:ascii="宋体" w:hAnsi="宋体"/>
                <w:color w:val="000000"/>
                <w:sz w:val="24"/>
                <w:highlight w:val="none"/>
              </w:rPr>
              <w:t xml:space="preserve">，详见第</w:t>
            </w:r>
            <w:r>
              <w:rPr>
                <w:rFonts w:hint="eastAsia" w:ascii="宋体" w:hAnsi="宋体"/>
                <w:color w:val="000000"/>
                <w:sz w:val="24"/>
                <w:highlight w:val="none"/>
              </w:rPr>
              <w:t xml:space="preserve">三</w:t>
            </w:r>
            <w:r>
              <w:rPr>
                <w:rFonts w:ascii="宋体" w:hAnsi="宋体"/>
                <w:color w:val="000000"/>
                <w:sz w:val="24"/>
                <w:highlight w:val="none"/>
              </w:rPr>
              <w:t xml:space="preserve">章《评标方法和评标标准》</w:t>
            </w: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及</w:t>
            </w:r>
            <w:r>
              <w:rPr>
                <w:rFonts w:ascii="宋体" w:hAnsi="宋体"/>
                <w:color w:val="000000"/>
                <w:sz w:val="24"/>
                <w:highlight w:val="none"/>
              </w:rPr>
              <w:t xml:space="preserve">2.5。</w:t>
            </w: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b/>
                <w:bCs/>
                <w:color w:val="000000"/>
                <w:sz w:val="24"/>
                <w:highlight w:val="none"/>
              </w:rPr>
            </w:pPr>
            <w:r>
              <w:rPr>
                <w:rFonts w:hint="eastAsia" w:ascii="宋体" w:hAnsi="宋体"/>
                <w:b/>
                <w:bCs/>
                <w:color w:val="000000"/>
                <w:sz w:val="24"/>
                <w:highlight w:val="none"/>
              </w:rPr>
              <w:t xml:space="preserve">2</w:t>
            </w:r>
            <w:r>
              <w:rPr>
                <w:rFonts w:ascii="宋体" w:hAnsi="宋体"/>
                <w:b/>
                <w:bCs/>
                <w:color w:val="000000"/>
                <w:sz w:val="24"/>
                <w:highlight w:val="none"/>
              </w:rPr>
            </w:r>
            <w:r/>
          </w:p>
        </w:tc>
        <w:tc>
          <w:tcPr>
            <w:tcW w:w="759" w:type="dxa"/>
            <w:vAlign w:val="center"/>
            <w:textDirection w:val="lrTb"/>
            <w:noWrap w:val="false"/>
          </w:tcPr>
          <w:p>
            <w:pPr>
              <w:pStyle w:val="1070"/>
              <w:ind w:firstLine="28"/>
              <w:jc w:val="center"/>
              <w:rPr>
                <w:rFonts w:ascii="宋体" w:hAnsi="宋体"/>
                <w:b/>
                <w:bCs/>
                <w:color w:val="000000"/>
                <w:sz w:val="24"/>
                <w:highlight w:val="none"/>
              </w:rPr>
            </w:pPr>
            <w:r>
              <w:rPr>
                <w:rFonts w:hint="eastAsia" w:ascii="宋体" w:hAnsi="宋体"/>
                <w:color w:val="000000"/>
                <w:sz w:val="24"/>
                <w:highlight w:val="none"/>
              </w:rPr>
              <w:t xml:space="preserve">主观分</w:t>
            </w:r>
            <w:r>
              <w:rPr>
                <w:rFonts w:ascii="宋体" w:hAnsi="宋体"/>
                <w:b/>
                <w:bCs/>
                <w:color w:val="000000"/>
                <w:sz w:val="24"/>
                <w:highlight w:val="none"/>
              </w:rPr>
            </w:r>
            <w:r/>
          </w:p>
        </w:tc>
        <w:tc>
          <w:tcPr>
            <w:tcW w:w="473" w:type="dxa"/>
            <w:vAlign w:val="center"/>
            <w:textDirection w:val="lrTb"/>
            <w:noWrap w:val="false"/>
          </w:tcPr>
          <w:p>
            <w:pPr>
              <w:pStyle w:val="1070"/>
              <w:ind w:firstLine="28"/>
              <w:jc w:val="center"/>
              <w:rPr>
                <w:rFonts w:ascii="宋体" w:hAnsi="宋体"/>
                <w:color w:val="000000"/>
                <w:sz w:val="24"/>
                <w:highlight w:val="none"/>
              </w:rPr>
            </w:pPr>
            <w:r>
              <w:rPr>
                <w:rFonts w:ascii="宋体" w:hAnsi="宋体"/>
                <w:color w:val="000000"/>
                <w:sz w:val="24"/>
                <w:highlight w:val="none"/>
              </w:rPr>
            </w:r>
            <w:r/>
          </w:p>
        </w:tc>
        <w:tc>
          <w:tcPr>
            <w:tcW w:w="2066" w:type="dxa"/>
            <w:vAlign w:val="center"/>
            <w:textDirection w:val="lrTb"/>
            <w:noWrap w:val="false"/>
          </w:tcPr>
          <w:p>
            <w:pPr>
              <w:pStyle w:val="1070"/>
              <w:rPr>
                <w:rFonts w:ascii="宋体" w:hAnsi="宋体"/>
                <w:color w:val="000000"/>
                <w:sz w:val="24"/>
                <w:highlight w:val="none"/>
              </w:rPr>
            </w:pP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2.1</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s="宋体"/>
                <w:color w:val="000000"/>
                <w:sz w:val="24"/>
                <w:highlight w:val="none"/>
              </w:rPr>
              <w:t xml:space="preserve">维保内容及标准</w:t>
            </w:r>
            <w:r>
              <w:rPr>
                <w:rFonts w:ascii="宋体" w:hAnsi="宋体"/>
                <w:color w:val="000000"/>
                <w:sz w:val="24"/>
                <w:highlight w:val="none"/>
              </w:rPr>
            </w:r>
            <w:r/>
          </w:p>
        </w:tc>
        <w:tc>
          <w:tcPr>
            <w:tcW w:w="473"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2066" w:type="dxa"/>
            <w:vAlign w:val="center"/>
            <w:textDirection w:val="lrTb"/>
            <w:noWrap w:val="false"/>
          </w:tcPr>
          <w:p>
            <w:pPr>
              <w:pStyle w:val="1070"/>
              <w:rPr>
                <w:rFonts w:ascii="宋体" w:hAnsi="宋体"/>
                <w:color w:val="000000"/>
                <w:sz w:val="24"/>
                <w:highlight w:val="none"/>
              </w:rPr>
            </w:pPr>
            <w:r>
              <w:rPr>
                <w:rFonts w:hint="eastAsia" w:ascii="宋体" w:hAnsi="宋体" w:cs="宋体"/>
                <w:color w:val="000000"/>
                <w:sz w:val="24"/>
                <w:highlight w:val="none"/>
              </w:rPr>
              <w:t xml:space="preserve">评委根据供应商提供本项目维保所涉及的内容及标准的全面性、规范性进行综合打分,</w:t>
            </w:r>
            <w:r>
              <w:rPr>
                <w:rFonts w:hint="eastAsia" w:ascii="宋体" w:hAnsi="宋体" w:cs="宋体"/>
                <w:b/>
                <w:bCs/>
                <w:color w:val="000000"/>
                <w:sz w:val="24"/>
                <w:highlight w:val="none"/>
              </w:rPr>
              <w:t xml:space="preserve">本项最高得8分。</w:t>
            </w:r>
            <w:r>
              <w:rPr>
                <w:rFonts w:hint="eastAsia" w:ascii="宋体" w:hAnsi="宋体" w:cs="宋体"/>
                <w:color w:val="000000"/>
                <w:sz w:val="24"/>
                <w:highlight w:val="none"/>
              </w:rPr>
              <w:t xml:space="preserve">方案非常规范，内容非常全面的，得8分；方案较规范，内容较为全面的，得5分；方案规范性欠缺，内容不完备的，得2分；未提供方案的本项不得分。</w:t>
            </w: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2.2</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维保流程及进度安排</w:t>
            </w:r>
            <w:r>
              <w:rPr>
                <w:rFonts w:ascii="宋体" w:hAnsi="宋体" w:cs="宋体"/>
                <w:color w:val="000000"/>
                <w:sz w:val="24"/>
                <w:highlight w:val="none"/>
              </w:rPr>
            </w:r>
            <w:r/>
          </w:p>
        </w:tc>
        <w:tc>
          <w:tcPr>
            <w:tcW w:w="473"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2066" w:type="dxa"/>
            <w:vAlign w:val="center"/>
            <w:textDirection w:val="lrTb"/>
            <w:noWrap w:val="false"/>
          </w:tcPr>
          <w:p>
            <w:pPr>
              <w:pStyle w:val="1070"/>
              <w:rPr>
                <w:rFonts w:ascii="宋体" w:hAnsi="宋体"/>
                <w:color w:val="000000"/>
                <w:sz w:val="24"/>
                <w:highlight w:val="none"/>
              </w:rPr>
            </w:pPr>
            <w:r>
              <w:rPr>
                <w:rFonts w:hint="eastAsia" w:ascii="宋体" w:hAnsi="宋体" w:cs="宋体"/>
                <w:color w:val="000000"/>
                <w:sz w:val="24"/>
                <w:highlight w:val="none"/>
              </w:rPr>
              <w:t xml:space="preserve">评委根据供应商提供维保操作流程及进度安排的内容合理性、有效性进行综合打分，</w:t>
            </w:r>
            <w:r>
              <w:rPr>
                <w:rFonts w:hint="eastAsia" w:ascii="宋体" w:hAnsi="宋体" w:cs="宋体"/>
                <w:b/>
                <w:bCs/>
                <w:color w:val="000000"/>
                <w:sz w:val="24"/>
                <w:highlight w:val="none"/>
              </w:rPr>
              <w:t xml:space="preserve">本项最高得8分。</w:t>
            </w:r>
            <w:r>
              <w:rPr>
                <w:rFonts w:hint="eastAsia" w:ascii="宋体" w:hAnsi="宋体" w:cs="宋体"/>
                <w:color w:val="000000"/>
                <w:sz w:val="24"/>
                <w:highlight w:val="none"/>
              </w:rPr>
              <w:t xml:space="preserve">方案详细、完整、各项进度及措施安排合理，完全符合项目要求的，得8分；方案较详细、较完整、各项进度及措施安排较合理，基本符合项目要求的，得5分；方案简单、不完整、各项措施安排不合理、不太符合项目要求的，得2分；未提供方案的本项不得分。</w:t>
            </w: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2.3</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s="宋体"/>
                <w:bCs/>
                <w:color w:val="000000"/>
                <w:sz w:val="24"/>
                <w:highlight w:val="none"/>
              </w:rPr>
              <w:t xml:space="preserve">服务质量管理方案</w:t>
            </w:r>
            <w:r>
              <w:rPr>
                <w:rFonts w:ascii="宋体" w:hAnsi="宋体"/>
                <w:color w:val="000000"/>
                <w:sz w:val="24"/>
                <w:highlight w:val="none"/>
              </w:rPr>
            </w:r>
            <w:r/>
          </w:p>
        </w:tc>
        <w:tc>
          <w:tcPr>
            <w:tcW w:w="473"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2066" w:type="dxa"/>
            <w:vAlign w:val="center"/>
            <w:textDirection w:val="lrTb"/>
            <w:noWrap w:val="false"/>
          </w:tcPr>
          <w:p>
            <w:pPr>
              <w:pStyle w:val="1070"/>
              <w:rPr>
                <w:rFonts w:ascii="宋体" w:hAnsi="宋体"/>
                <w:color w:val="000000"/>
                <w:sz w:val="24"/>
                <w:highlight w:val="none"/>
              </w:rPr>
            </w:pPr>
            <w:r>
              <w:rPr>
                <w:rFonts w:hint="eastAsia" w:ascii="宋体" w:hAnsi="宋体" w:cs="宋体"/>
                <w:color w:val="000000"/>
                <w:sz w:val="24"/>
                <w:highlight w:val="none"/>
              </w:rPr>
              <w:t xml:space="preserve">需根据供应商拟制的服务质量管理方案进行综合评审，</w:t>
            </w:r>
            <w:r>
              <w:rPr>
                <w:rFonts w:hint="eastAsia" w:ascii="宋体" w:hAnsi="宋体" w:cs="宋体"/>
                <w:b/>
                <w:bCs/>
                <w:color w:val="000000"/>
                <w:sz w:val="24"/>
                <w:highlight w:val="none"/>
                <w:lang w:val="zh-CN"/>
              </w:rPr>
              <w:t xml:space="preserve">本项</w:t>
            </w:r>
            <w:r>
              <w:rPr>
                <w:rFonts w:hint="eastAsia" w:ascii="宋体" w:hAnsi="宋体" w:cs="宋体"/>
                <w:b/>
                <w:bCs/>
                <w:color w:val="000000"/>
                <w:sz w:val="24"/>
                <w:highlight w:val="none"/>
              </w:rPr>
              <w:t xml:space="preserve">最高得8分。</w:t>
            </w:r>
            <w:r>
              <w:rPr>
                <w:rFonts w:hint="eastAsia" w:ascii="宋体" w:hAnsi="宋体" w:cs="宋体"/>
                <w:color w:val="000000"/>
                <w:sz w:val="24"/>
                <w:highlight w:val="none"/>
              </w:rPr>
              <w:t xml:space="preserve">方案详实完整，针对性、可操作性强，完全满足采购需求的得8分；方案较为详实，针对性、可操作性较强，较能满足采购需求的得5分；方案针对性、可操作性较差，不能很好的满足采购需求的得2分；未提供方案的本项不得分。</w:t>
            </w: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2.4</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s="宋体"/>
                <w:bCs/>
                <w:color w:val="000000"/>
                <w:sz w:val="24"/>
                <w:highlight w:val="none"/>
              </w:rPr>
              <w:t xml:space="preserve">售后服务方案</w:t>
            </w:r>
            <w:r>
              <w:rPr>
                <w:rFonts w:hint="eastAsia" w:ascii="宋体" w:hAnsi="宋体"/>
                <w:color w:val="000000"/>
                <w:sz w:val="24"/>
                <w:highlight w:val="none"/>
              </w:rPr>
            </w:r>
            <w:r/>
          </w:p>
        </w:tc>
        <w:tc>
          <w:tcPr>
            <w:tcW w:w="473"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2066" w:type="dxa"/>
            <w:vAlign w:val="center"/>
            <w:textDirection w:val="lrTb"/>
            <w:noWrap w:val="false"/>
          </w:tcPr>
          <w:p>
            <w:pPr>
              <w:pStyle w:val="1070"/>
              <w:rPr>
                <w:rFonts w:hint="eastAsia" w:ascii="宋体" w:hAnsi="宋体"/>
                <w:color w:val="000000"/>
                <w:sz w:val="24"/>
                <w:highlight w:val="none"/>
              </w:rPr>
            </w:pPr>
            <w:r>
              <w:rPr>
                <w:rFonts w:hint="eastAsia" w:ascii="宋体" w:hAnsi="宋体" w:cs="宋体"/>
                <w:color w:val="000000"/>
                <w:sz w:val="24"/>
                <w:highlight w:val="none"/>
              </w:rPr>
              <w:t xml:space="preserve">根据供应商拟制的售后服务方案，其中应包含服务体系、服务内容、故障解决方案、响应时间比较等进行</w:t>
            </w:r>
            <w:r>
              <w:rPr>
                <w:rFonts w:hint="eastAsia" w:ascii="宋体" w:hAnsi="宋体" w:cs="宋体"/>
                <w:color w:val="000000"/>
                <w:sz w:val="24"/>
                <w:highlight w:val="none"/>
                <w:lang w:val="zh-CN"/>
              </w:rPr>
              <w:t xml:space="preserve">综合评审</w:t>
            </w:r>
            <w:r>
              <w:rPr>
                <w:rFonts w:hint="eastAsia" w:ascii="宋体" w:hAnsi="宋体" w:cs="宋体"/>
                <w:color w:val="000000"/>
                <w:sz w:val="24"/>
                <w:highlight w:val="none"/>
              </w:rPr>
              <w:t xml:space="preserve">，</w:t>
            </w:r>
            <w:r>
              <w:rPr>
                <w:rFonts w:hint="eastAsia" w:ascii="宋体" w:hAnsi="宋体" w:cs="宋体"/>
                <w:b/>
                <w:bCs/>
                <w:color w:val="000000"/>
                <w:sz w:val="24"/>
                <w:highlight w:val="none"/>
                <w:lang w:val="zh-CN"/>
              </w:rPr>
              <w:t xml:space="preserve">本项</w:t>
            </w:r>
            <w:r>
              <w:rPr>
                <w:rFonts w:hint="eastAsia" w:ascii="宋体" w:hAnsi="宋体" w:cs="宋体"/>
                <w:b/>
                <w:bCs/>
                <w:color w:val="000000"/>
                <w:sz w:val="24"/>
                <w:highlight w:val="none"/>
              </w:rPr>
              <w:t xml:space="preserve">最高得8分。</w:t>
            </w:r>
            <w:r>
              <w:rPr>
                <w:rFonts w:hint="eastAsia" w:ascii="宋体" w:hAnsi="宋体" w:cs="宋体"/>
                <w:color w:val="000000"/>
                <w:sz w:val="24"/>
                <w:highlight w:val="none"/>
              </w:rPr>
              <w:t xml:space="preserve">售后服务方案内容非常完善、合理且可操作性强的，得8分；售后服务方案内容较为完善、较合理且可操作性一般的，得5分；售后服务方案内容一般、较合理且可操作性一般的，得2分；未提供方案的本项不得分。</w:t>
            </w:r>
            <w:r>
              <w:rPr>
                <w:rFonts w:hint="eastAsia"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应急预案</w:t>
            </w:r>
            <w:r>
              <w:rPr>
                <w:rFonts w:hint="eastAsia" w:ascii="宋体" w:hAnsi="宋体" w:cs="宋体"/>
                <w:bCs/>
                <w:color w:val="000000"/>
                <w:sz w:val="24"/>
                <w:highlight w:val="none"/>
              </w:rPr>
            </w:r>
            <w:r/>
          </w:p>
        </w:tc>
        <w:tc>
          <w:tcPr>
            <w:tcW w:w="473"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2066" w:type="dxa"/>
            <w:vAlign w:val="center"/>
            <w:textDirection w:val="lrTb"/>
            <w:noWrap w:val="false"/>
          </w:tcPr>
          <w:p>
            <w:pPr>
              <w:pStyle w:val="1070"/>
              <w:rPr>
                <w:rFonts w:hint="eastAsia" w:ascii="宋体" w:hAnsi="宋体" w:cs="宋体"/>
                <w:color w:val="000000"/>
                <w:sz w:val="24"/>
                <w:highlight w:val="none"/>
              </w:rPr>
            </w:pPr>
            <w:r>
              <w:rPr>
                <w:rFonts w:hint="eastAsia" w:ascii="宋体" w:hAnsi="宋体" w:cs="宋体"/>
                <w:color w:val="000000"/>
                <w:sz w:val="24"/>
                <w:highlight w:val="none"/>
              </w:rPr>
              <w:t xml:space="preserve">供应商需提供本项目维保期间的应急预案，包含但不限于:突发事件的保障措施等，评委根据完整性、合理性、可操作性等进行综合打分，</w:t>
            </w:r>
            <w:r>
              <w:rPr>
                <w:rFonts w:hint="eastAsia" w:ascii="宋体" w:hAnsi="宋体" w:cs="宋体"/>
                <w:b/>
                <w:bCs/>
                <w:color w:val="000000"/>
                <w:sz w:val="24"/>
                <w:highlight w:val="none"/>
              </w:rPr>
              <w:t xml:space="preserve">本项最高得8分。</w:t>
            </w:r>
            <w:r>
              <w:rPr>
                <w:rFonts w:hint="eastAsia" w:ascii="宋体" w:hAnsi="宋体" w:cs="宋体"/>
                <w:color w:val="000000"/>
                <w:sz w:val="24"/>
                <w:highlight w:val="none"/>
              </w:rPr>
              <w:t xml:space="preserve">应急预案分析深入，见解到位、全面、完善、防范及应对措施精细、准确，整体针对性强，得8分；应急预案应对措施可行，针对性较强的，得5分；应急预案应对措施一般，针对性一般的，得2分；未提供方案的本项不得分。</w:t>
            </w:r>
            <w:r>
              <w:rPr>
                <w:rFonts w:hint="eastAsia" w:ascii="宋体" w:hAnsi="宋体" w:cs="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客观分</w:t>
            </w:r>
            <w:r>
              <w:rPr>
                <w:rFonts w:ascii="宋体" w:hAnsi="宋体"/>
                <w:color w:val="000000"/>
                <w:sz w:val="24"/>
                <w:highlight w:val="none"/>
              </w:rPr>
            </w:r>
            <w:r/>
          </w:p>
        </w:tc>
        <w:tc>
          <w:tcPr>
            <w:tcW w:w="473" w:type="dxa"/>
            <w:vAlign w:val="center"/>
            <w:textDirection w:val="lrTb"/>
            <w:noWrap w:val="false"/>
          </w:tcPr>
          <w:p>
            <w:pPr>
              <w:pStyle w:val="1070"/>
              <w:ind w:firstLine="28"/>
              <w:jc w:val="center"/>
              <w:rPr>
                <w:rFonts w:ascii="宋体" w:hAnsi="宋体"/>
                <w:color w:val="000000"/>
                <w:sz w:val="24"/>
                <w:highlight w:val="none"/>
              </w:rPr>
            </w:pPr>
            <w:r>
              <w:rPr>
                <w:rFonts w:ascii="宋体" w:hAnsi="宋体"/>
                <w:color w:val="000000"/>
                <w:sz w:val="24"/>
                <w:highlight w:val="none"/>
              </w:rPr>
            </w:r>
            <w:r/>
          </w:p>
        </w:tc>
        <w:tc>
          <w:tcPr>
            <w:tcW w:w="2066" w:type="dxa"/>
            <w:vAlign w:val="center"/>
            <w:textDirection w:val="lrTb"/>
            <w:noWrap w:val="false"/>
          </w:tcPr>
          <w:p>
            <w:pPr>
              <w:pStyle w:val="1070"/>
              <w:rPr>
                <w:rFonts w:ascii="宋体" w:hAnsi="宋体"/>
                <w:color w:val="000000"/>
                <w:sz w:val="24"/>
                <w:highlight w:val="none"/>
              </w:rPr>
            </w:pP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业绩</w:t>
            </w:r>
            <w:r>
              <w:rPr>
                <w:rFonts w:ascii="宋体" w:hAnsi="宋体"/>
                <w:color w:val="000000"/>
                <w:sz w:val="24"/>
                <w:highlight w:val="none"/>
              </w:rPr>
            </w:r>
            <w:r/>
          </w:p>
        </w:tc>
        <w:tc>
          <w:tcPr>
            <w:tcW w:w="473"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2066" w:type="dxa"/>
            <w:vAlign w:val="center"/>
            <w:textDirection w:val="lrTb"/>
            <w:noWrap w:val="false"/>
          </w:tcPr>
          <w:p>
            <w:pPr>
              <w:pStyle w:val="1070"/>
              <w:rPr>
                <w:rFonts w:hint="eastAsia" w:ascii="宋体" w:hAnsi="宋体"/>
                <w:color w:val="000000"/>
                <w:sz w:val="24"/>
                <w:highlight w:val="none"/>
              </w:rPr>
            </w:pPr>
            <w:r>
              <w:rPr>
                <w:rFonts w:hint="eastAsia" w:ascii="宋体" w:hAnsi="宋体"/>
                <w:color w:val="000000"/>
                <w:sz w:val="24"/>
                <w:highlight w:val="none"/>
              </w:rPr>
              <w:t xml:space="preserve">投标人自2023年1月1日以来承担过的类似维保服务项目，每提供一个得2分。</w:t>
            </w:r>
            <w:r>
              <w:rPr>
                <w:rFonts w:hint="eastAsia" w:ascii="宋体" w:hAnsi="宋体"/>
                <w:color w:val="000000"/>
                <w:sz w:val="24"/>
                <w:highlight w:val="none"/>
              </w:rPr>
            </w:r>
            <w:r/>
          </w:p>
          <w:p>
            <w:pPr>
              <w:pStyle w:val="1070"/>
              <w:rPr>
                <w:rFonts w:ascii="宋体" w:hAnsi="宋体"/>
                <w:color w:val="000000"/>
                <w:sz w:val="24"/>
                <w:highlight w:val="none"/>
              </w:rPr>
            </w:pPr>
            <w:r>
              <w:rPr>
                <w:rFonts w:hint="eastAsia" w:ascii="宋体" w:hAnsi="宋体"/>
                <w:b/>
                <w:bCs/>
                <w:color w:val="000000"/>
                <w:sz w:val="24"/>
                <w:highlight w:val="none"/>
              </w:rPr>
              <w:t xml:space="preserve">本项最高得6分。</w:t>
            </w:r>
            <w:r>
              <w:rPr>
                <w:rFonts w:hint="eastAsia" w:ascii="宋体" w:hAnsi="宋体"/>
                <w:color w:val="000000"/>
                <w:sz w:val="24"/>
                <w:highlight w:val="none"/>
              </w:rPr>
              <w:t xml:space="preserve"> </w:t>
            </w:r>
            <w:r>
              <w:rPr>
                <w:rFonts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hint="eastAsia" w:ascii="宋体" w:hAnsi="宋体"/>
                <w:b/>
                <w:bCs/>
                <w:color w:val="000000"/>
                <w:sz w:val="24"/>
                <w:highlight w:val="none"/>
              </w:rPr>
              <w:t xml:space="preserve">提供合同扫描件件并加盖投标人公章，否则不得分。</w:t>
            </w:r>
            <w:r>
              <w:rPr>
                <w:rFonts w:ascii="宋体" w:hAnsi="宋体"/>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3.2</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体系证书</w:t>
            </w:r>
            <w:r>
              <w:rPr>
                <w:rFonts w:ascii="宋体" w:hAnsi="宋体"/>
                <w:color w:val="000000"/>
                <w:sz w:val="24"/>
                <w:highlight w:val="none"/>
              </w:rPr>
            </w:r>
            <w:r/>
          </w:p>
        </w:tc>
        <w:tc>
          <w:tcPr>
            <w:tcW w:w="473"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2066" w:type="dxa"/>
            <w:vAlign w:val="center"/>
            <w:textDirection w:val="lrTb"/>
            <w:noWrap w:val="false"/>
          </w:tcPr>
          <w:p>
            <w:pPr>
              <w:pStyle w:val="1070"/>
              <w:rPr>
                <w:rFonts w:hint="eastAsia" w:ascii="宋体" w:hAnsi="宋体"/>
                <w:color w:val="000000"/>
                <w:sz w:val="24"/>
                <w:highlight w:val="none"/>
              </w:rPr>
            </w:pPr>
            <w:r>
              <w:rPr>
                <w:rFonts w:hint="eastAsia" w:ascii="宋体" w:hAnsi="宋体"/>
                <w:color w:val="000000"/>
                <w:sz w:val="24"/>
                <w:highlight w:val="none"/>
              </w:rPr>
              <w:t xml:space="preserve">①投标人具有有效期内的信息技术服务管理体系认证证书的得2分。</w:t>
            </w:r>
            <w:r>
              <w:rPr>
                <w:rFonts w:hint="eastAsia" w:ascii="宋体" w:hAnsi="宋体"/>
                <w:color w:val="000000"/>
                <w:sz w:val="24"/>
                <w:highlight w:val="none"/>
              </w:rPr>
            </w:r>
            <w:r/>
          </w:p>
          <w:p>
            <w:pPr>
              <w:pStyle w:val="1070"/>
              <w:rPr>
                <w:rFonts w:hint="eastAsia" w:ascii="宋体" w:hAnsi="宋体"/>
                <w:color w:val="000000"/>
                <w:sz w:val="24"/>
                <w:highlight w:val="none"/>
              </w:rPr>
            </w:pPr>
            <w:r>
              <w:rPr>
                <w:rFonts w:hint="eastAsia" w:ascii="宋体" w:hAnsi="宋体"/>
                <w:color w:val="000000"/>
                <w:sz w:val="24"/>
                <w:highlight w:val="none"/>
              </w:rPr>
              <w:t xml:space="preserve">②投标人具有有效期内的信息安全管理体系认证证书的得2分。</w:t>
            </w:r>
            <w:r>
              <w:rPr>
                <w:rFonts w:hint="eastAsia" w:ascii="宋体" w:hAnsi="宋体"/>
                <w:color w:val="000000"/>
                <w:sz w:val="24"/>
                <w:highlight w:val="none"/>
              </w:rPr>
            </w:r>
            <w:r/>
          </w:p>
          <w:p>
            <w:pPr>
              <w:pStyle w:val="1070"/>
              <w:rPr>
                <w:rFonts w:hint="eastAsia" w:ascii="宋体" w:hAnsi="宋体"/>
                <w:color w:val="000000"/>
                <w:sz w:val="24"/>
                <w:highlight w:val="none"/>
              </w:rPr>
            </w:pPr>
            <w:r>
              <w:rPr>
                <w:rFonts w:hint="eastAsia" w:ascii="宋体" w:hAnsi="宋体"/>
                <w:color w:val="000000"/>
                <w:sz w:val="24"/>
                <w:highlight w:val="none"/>
              </w:rPr>
              <w:t xml:space="preserve">③投标人具有有效期内的质量管理体系认证证书的得2分。</w:t>
            </w:r>
            <w:r>
              <w:rPr>
                <w:rFonts w:hint="eastAsia" w:ascii="宋体" w:hAnsi="宋体"/>
                <w:color w:val="000000"/>
                <w:sz w:val="24"/>
                <w:highlight w:val="none"/>
              </w:rPr>
            </w:r>
            <w:r/>
          </w:p>
          <w:p>
            <w:pPr>
              <w:pStyle w:val="1070"/>
              <w:rPr>
                <w:rFonts w:hint="eastAsia" w:ascii="宋体" w:hAnsi="宋体"/>
                <w:color w:val="000000"/>
                <w:sz w:val="24"/>
                <w:highlight w:val="none"/>
              </w:rPr>
            </w:pPr>
            <w:r>
              <w:rPr>
                <w:rFonts w:hint="eastAsia" w:ascii="宋体" w:hAnsi="宋体"/>
                <w:b/>
                <w:bCs/>
                <w:color w:val="000000"/>
                <w:sz w:val="24"/>
                <w:highlight w:val="none"/>
              </w:rPr>
              <w:t xml:space="preserve">本项最高得6分。</w:t>
            </w:r>
            <w:r>
              <w:rPr>
                <w:rFonts w:hint="eastAsia" w:ascii="宋体" w:hAnsi="宋体"/>
                <w:color w:val="000000"/>
                <w:sz w:val="24"/>
                <w:highlight w:val="none"/>
              </w:rPr>
            </w:r>
            <w:r/>
          </w:p>
        </w:tc>
        <w:tc>
          <w:tcPr>
            <w:tcW w:w="1267" w:type="dxa"/>
            <w:vAlign w:val="center"/>
            <w:textDirection w:val="lrTb"/>
            <w:noWrap w:val="false"/>
          </w:tcPr>
          <w:p>
            <w:pPr>
              <w:pStyle w:val="1070"/>
              <w:ind w:left="-38"/>
              <w:rPr>
                <w:rFonts w:ascii="宋体" w:hAnsi="宋体"/>
                <w:color w:val="000000"/>
                <w:sz w:val="24"/>
                <w:highlight w:val="none"/>
              </w:rPr>
            </w:pPr>
            <w:r>
              <w:rPr>
                <w:rFonts w:hint="eastAsia" w:ascii="宋体" w:hAnsi="宋体"/>
                <w:b/>
                <w:bCs/>
                <w:color w:val="000000"/>
                <w:sz w:val="24"/>
                <w:highlight w:val="none"/>
              </w:rPr>
              <w:t xml:space="preserve">提供有效证书扫描件及认监委网站"有效"状态截图扫描件加盖投标人公章，未提供或未按要求提供均不得分。</w:t>
            </w:r>
            <w:r>
              <w:rPr>
                <w:rFonts w:ascii="宋体" w:hAnsi="宋体"/>
                <w:color w:val="000000"/>
                <w:sz w:val="24"/>
                <w:highlight w:val="none"/>
              </w:rPr>
            </w:r>
            <w:r/>
          </w:p>
        </w:tc>
      </w:tr>
      <w:tr>
        <w:trPr>
          <w:trHeight w:val="1203"/>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3.3</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配备运维负责人（1名）</w:t>
            </w:r>
            <w:r>
              <w:rPr>
                <w:rFonts w:hint="eastAsia" w:ascii="宋体" w:hAnsi="宋体"/>
                <w:color w:val="000000"/>
                <w:sz w:val="24"/>
                <w:highlight w:val="none"/>
              </w:rPr>
            </w:r>
            <w:r/>
          </w:p>
        </w:tc>
        <w:tc>
          <w:tcPr>
            <w:tcW w:w="47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2066" w:type="dxa"/>
            <w:vAlign w:val="center"/>
            <w:textDirection w:val="lrTb"/>
            <w:noWrap w:val="false"/>
          </w:tcPr>
          <w:p>
            <w:pPr>
              <w:pStyle w:val="1070"/>
              <w:rPr>
                <w:rFonts w:hint="eastAsia" w:ascii="宋体" w:hAnsi="宋体" w:eastAsia="宋体"/>
                <w:color w:val="000000"/>
                <w:sz w:val="24"/>
                <w:highlight w:val="none"/>
                <w:lang w:eastAsia="zh-CN"/>
              </w:rPr>
            </w:pPr>
            <w:r>
              <w:rPr>
                <w:rFonts w:hint="eastAsia" w:ascii="宋体" w:hAnsi="宋体"/>
                <w:color w:val="000000"/>
                <w:sz w:val="24"/>
                <w:highlight w:val="none"/>
              </w:rPr>
              <w:t xml:space="preserve">1.具有中级及以上系统集成项目管理工程师证书得2分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070"/>
              <w:rPr>
                <w:rFonts w:hint="eastAsia" w:ascii="宋体" w:hAnsi="宋体" w:eastAsia="宋体"/>
                <w:color w:val="000000"/>
                <w:sz w:val="24"/>
                <w:highlight w:val="none"/>
                <w:lang w:eastAsia="zh-CN"/>
              </w:rPr>
            </w:pPr>
            <w:r>
              <w:rPr>
                <w:rFonts w:hint="eastAsia" w:ascii="宋体" w:hAnsi="宋体"/>
                <w:color w:val="000000"/>
                <w:sz w:val="24"/>
                <w:highlight w:val="none"/>
              </w:rPr>
              <w:t xml:space="preserve">2.具有人社部门颁发的中级工程师证书得2分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具有人社部门颁发的高级工程师证书得3分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070"/>
              <w:rPr>
                <w:rFonts w:hint="eastAsia" w:ascii="宋体" w:hAnsi="宋体" w:eastAsia="宋体"/>
                <w:color w:val="000000"/>
                <w:sz w:val="24"/>
                <w:highlight w:val="none"/>
                <w:lang w:eastAsia="zh-CN"/>
              </w:rPr>
            </w:pPr>
            <w:r>
              <w:rPr>
                <w:rFonts w:hint="eastAsia" w:ascii="宋体" w:hAnsi="宋体"/>
                <w:color w:val="000000"/>
                <w:sz w:val="24"/>
                <w:highlight w:val="none"/>
              </w:rPr>
              <w:t xml:space="preserve">3.具有中级计算机技术与软件专业技术资格得2分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具有高级计算机技术与软件专业技术资格得3分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070"/>
              <w:rPr>
                <w:rFonts w:hint="eastAsia" w:ascii="宋体" w:hAnsi="宋体"/>
                <w:color w:val="000000"/>
                <w:sz w:val="24"/>
                <w:highlight w:val="none"/>
              </w:rPr>
            </w:pPr>
            <w:r>
              <w:rPr>
                <w:rFonts w:hint="eastAsia" w:ascii="宋体" w:hAnsi="宋体"/>
                <w:b/>
                <w:bCs/>
                <w:color w:val="000000"/>
                <w:sz w:val="24"/>
                <w:highlight w:val="none"/>
              </w:rPr>
              <w:t xml:space="preserve">本项最高得8分。</w:t>
            </w:r>
            <w:r>
              <w:rPr>
                <w:rFonts w:hint="eastAsia" w:ascii="宋体" w:hAnsi="宋体"/>
                <w:color w:val="000000"/>
                <w:sz w:val="24"/>
                <w:highlight w:val="none"/>
              </w:rPr>
            </w:r>
            <w:r/>
          </w:p>
        </w:tc>
        <w:tc>
          <w:tcPr>
            <w:tcW w:w="1267" w:type="dxa"/>
            <w:vAlign w:val="center"/>
            <w:textDirection w:val="lrTb"/>
            <w:noWrap w:val="false"/>
          </w:tcPr>
          <w:p>
            <w:pPr>
              <w:pStyle w:val="1070"/>
              <w:ind w:left="-38"/>
              <w:rPr>
                <w:rFonts w:hint="eastAsia" w:ascii="宋体" w:hAnsi="宋体"/>
                <w:b/>
                <w:bCs/>
                <w:color w:val="000000"/>
                <w:sz w:val="24"/>
                <w:highlight w:val="none"/>
              </w:rPr>
            </w:pPr>
            <w:r>
              <w:rPr>
                <w:rFonts w:hint="eastAsia" w:ascii="宋体" w:hAnsi="宋体"/>
                <w:b/>
                <w:bCs/>
                <w:color w:val="000000"/>
                <w:sz w:val="24"/>
                <w:highlight w:val="none"/>
              </w:rPr>
              <w:t xml:space="preserve">提供证书扫描件和投标人为其缴纳的近三个月社保证明材料并加盖投标人公章，未提供或提供的材料不齐全不得分。（本项目配备的运维负责人、现场技术保障负责人、运维团队成员不能重复。）</w:t>
            </w:r>
            <w:r>
              <w:rPr>
                <w:rFonts w:hint="eastAsia" w:ascii="宋体" w:hAnsi="宋体"/>
                <w:b/>
                <w:bCs/>
                <w:color w:val="000000"/>
                <w:sz w:val="24"/>
                <w:highlight w:val="none"/>
              </w:rPr>
            </w:r>
            <w:r/>
          </w:p>
        </w:tc>
      </w:tr>
      <w:tr>
        <w:trPr>
          <w:trHeight w:val="454"/>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配备现场技术保障负责人（1名）</w:t>
            </w:r>
            <w:r>
              <w:rPr>
                <w:rFonts w:hint="eastAsia" w:ascii="宋体" w:hAnsi="宋体"/>
                <w:color w:val="000000"/>
                <w:sz w:val="24"/>
                <w:highlight w:val="none"/>
              </w:rPr>
            </w:r>
            <w:r/>
          </w:p>
        </w:tc>
        <w:tc>
          <w:tcPr>
            <w:tcW w:w="473"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2066" w:type="dxa"/>
            <w:vAlign w:val="center"/>
            <w:textDirection w:val="lrTb"/>
            <w:noWrap w:val="false"/>
          </w:tcPr>
          <w:p>
            <w:pPr>
              <w:pStyle w:val="1070"/>
              <w:rPr>
                <w:rFonts w:hint="eastAsia" w:ascii="宋体" w:hAnsi="宋体"/>
                <w:color w:val="000000"/>
                <w:sz w:val="24"/>
                <w:highlight w:val="none"/>
              </w:rPr>
            </w:pPr>
            <w:r>
              <w:rPr>
                <w:rFonts w:hint="eastAsia" w:ascii="宋体" w:hAnsi="宋体"/>
                <w:color w:val="000000"/>
                <w:sz w:val="24"/>
                <w:highlight w:val="none"/>
              </w:rPr>
              <w:t xml:space="preserve">1.具有低压电工作业证得3分；</w:t>
            </w:r>
            <w:r>
              <w:rPr>
                <w:rFonts w:hint="eastAsia" w:ascii="宋体" w:hAnsi="宋体"/>
                <w:color w:val="000000"/>
                <w:sz w:val="24"/>
                <w:highlight w:val="none"/>
              </w:rPr>
            </w:r>
            <w:r/>
          </w:p>
          <w:p>
            <w:pPr>
              <w:pStyle w:val="1070"/>
              <w:rPr>
                <w:rFonts w:hint="eastAsia" w:ascii="宋体" w:hAnsi="宋体"/>
                <w:color w:val="000000"/>
                <w:sz w:val="24"/>
                <w:highlight w:val="none"/>
              </w:rPr>
            </w:pPr>
            <w:r>
              <w:rPr>
                <w:rFonts w:hint="eastAsia" w:ascii="宋体" w:hAnsi="宋体"/>
                <w:color w:val="000000"/>
                <w:sz w:val="24"/>
                <w:highlight w:val="none"/>
              </w:rPr>
              <w:t xml:space="preserve">2.具有制冷与空调作业证得3分；</w:t>
            </w:r>
            <w:r>
              <w:rPr>
                <w:rFonts w:hint="eastAsia" w:ascii="宋体" w:hAnsi="宋体"/>
                <w:color w:val="000000"/>
                <w:sz w:val="24"/>
                <w:highlight w:val="none"/>
              </w:rPr>
            </w:r>
            <w:r/>
          </w:p>
          <w:p>
            <w:pPr>
              <w:pStyle w:val="1070"/>
              <w:rPr>
                <w:rFonts w:hint="eastAsia" w:ascii="宋体" w:hAnsi="宋体"/>
                <w:color w:val="000000"/>
                <w:sz w:val="24"/>
                <w:highlight w:val="none"/>
              </w:rPr>
            </w:pPr>
            <w:r>
              <w:rPr>
                <w:rFonts w:hint="eastAsia" w:ascii="宋体" w:hAnsi="宋体"/>
                <w:color w:val="000000"/>
                <w:sz w:val="24"/>
                <w:highlight w:val="none"/>
              </w:rPr>
              <w:t xml:space="preserve">3.具有中级及以上职称证书得3分；</w:t>
            </w:r>
            <w:r>
              <w:rPr>
                <w:rFonts w:hint="eastAsia" w:ascii="宋体" w:hAnsi="宋体"/>
                <w:color w:val="000000"/>
                <w:sz w:val="24"/>
                <w:highlight w:val="none"/>
              </w:rPr>
            </w:r>
            <w:r/>
          </w:p>
          <w:p>
            <w:pPr>
              <w:pStyle w:val="1070"/>
              <w:rPr>
                <w:rFonts w:hint="eastAsia" w:ascii="宋体" w:hAnsi="宋体"/>
                <w:color w:val="000000"/>
                <w:sz w:val="24"/>
                <w:highlight w:val="none"/>
              </w:rPr>
            </w:pPr>
            <w:r>
              <w:rPr>
                <w:rFonts w:hint="eastAsia" w:ascii="宋体" w:hAnsi="宋体"/>
                <w:b/>
                <w:bCs/>
                <w:color w:val="000000"/>
                <w:sz w:val="24"/>
                <w:highlight w:val="none"/>
              </w:rPr>
              <w:t xml:space="preserve">本项最高得9分。</w:t>
            </w:r>
            <w:r>
              <w:rPr>
                <w:rFonts w:hint="eastAsia" w:ascii="宋体" w:hAnsi="宋体"/>
                <w:color w:val="000000"/>
                <w:sz w:val="24"/>
                <w:highlight w:val="none"/>
              </w:rPr>
            </w:r>
            <w:r/>
          </w:p>
        </w:tc>
        <w:tc>
          <w:tcPr>
            <w:tcW w:w="1267" w:type="dxa"/>
            <w:vAlign w:val="center"/>
            <w:textDirection w:val="lrTb"/>
            <w:noWrap w:val="false"/>
          </w:tcPr>
          <w:p>
            <w:pPr>
              <w:pStyle w:val="1070"/>
              <w:ind w:left="-38"/>
              <w:rPr>
                <w:rFonts w:hint="eastAsia" w:ascii="宋体" w:hAnsi="宋体"/>
                <w:b/>
                <w:bCs/>
                <w:color w:val="000000"/>
                <w:sz w:val="24"/>
                <w:highlight w:val="none"/>
              </w:rPr>
            </w:pPr>
            <w:r>
              <w:rPr>
                <w:rFonts w:hint="eastAsia" w:ascii="宋体" w:hAnsi="宋体"/>
                <w:b/>
                <w:bCs/>
                <w:color w:val="000000"/>
                <w:sz w:val="24"/>
                <w:highlight w:val="none"/>
              </w:rPr>
              <w:t xml:space="preserve">提供证书扫描件和投标人为其缴纳的近三个月社保证明材料并加盖投标人公章，未提供或提供的材料不齐全不得分。（本项目配备的运维负责人、现场技术保障负责人、运维团队成员不能重复。）</w:t>
            </w:r>
            <w:r>
              <w:rPr>
                <w:rFonts w:hint="eastAsia" w:ascii="宋体" w:hAnsi="宋体"/>
                <w:b/>
                <w:bCs/>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3.5</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运维团队</w:t>
            </w:r>
            <w:r>
              <w:rPr>
                <w:rFonts w:hint="eastAsia" w:ascii="宋体" w:hAnsi="宋体"/>
                <w:color w:val="000000"/>
                <w:sz w:val="24"/>
                <w:highlight w:val="none"/>
              </w:rPr>
            </w:r>
            <w:r/>
          </w:p>
        </w:tc>
        <w:tc>
          <w:tcPr>
            <w:tcW w:w="473"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2066" w:type="dxa"/>
            <w:vAlign w:val="center"/>
            <w:textDirection w:val="lrTb"/>
            <w:noWrap w:val="false"/>
          </w:tcPr>
          <w:p>
            <w:pPr>
              <w:pStyle w:val="1070"/>
              <w:rPr>
                <w:rFonts w:hint="eastAsia" w:ascii="宋体" w:hAnsi="宋体"/>
                <w:color w:val="000000"/>
                <w:sz w:val="24"/>
                <w:highlight w:val="none"/>
              </w:rPr>
            </w:pPr>
            <w:r>
              <w:rPr>
                <w:rFonts w:hint="eastAsia" w:ascii="宋体" w:hAnsi="宋体"/>
                <w:color w:val="000000"/>
                <w:sz w:val="24"/>
                <w:highlight w:val="none"/>
              </w:rPr>
              <w:t xml:space="preserve">运维团队成员中，具有维保设备 UPS 制造商颁发的有效期内原厂认证工程师证书的，每有1人得 2 分，</w:t>
            </w:r>
            <w:r>
              <w:rPr>
                <w:rFonts w:hint="eastAsia" w:ascii="宋体" w:hAnsi="宋体"/>
                <w:b/>
                <w:bCs/>
                <w:color w:val="000000"/>
                <w:sz w:val="24"/>
                <w:highlight w:val="none"/>
              </w:rPr>
              <w:t xml:space="preserve">本项最高得6分。</w:t>
            </w:r>
            <w:r>
              <w:rPr>
                <w:rFonts w:hint="eastAsia" w:ascii="宋体" w:hAnsi="宋体"/>
                <w:color w:val="000000"/>
                <w:sz w:val="24"/>
                <w:highlight w:val="none"/>
              </w:rPr>
            </w:r>
            <w:r/>
          </w:p>
        </w:tc>
        <w:tc>
          <w:tcPr>
            <w:tcW w:w="1267" w:type="dxa"/>
            <w:vAlign w:val="center"/>
            <w:textDirection w:val="lrTb"/>
            <w:noWrap w:val="false"/>
          </w:tcPr>
          <w:p>
            <w:pPr>
              <w:pStyle w:val="1070"/>
              <w:ind w:left="-38"/>
              <w:rPr>
                <w:rFonts w:hint="eastAsia" w:ascii="宋体" w:hAnsi="宋体"/>
                <w:b/>
                <w:bCs/>
                <w:color w:val="000000"/>
                <w:sz w:val="24"/>
                <w:highlight w:val="none"/>
              </w:rPr>
            </w:pPr>
            <w:r>
              <w:rPr>
                <w:rFonts w:hint="eastAsia" w:ascii="宋体" w:hAnsi="宋体"/>
                <w:b/>
                <w:bCs/>
                <w:color w:val="000000"/>
                <w:sz w:val="24"/>
                <w:highlight w:val="none"/>
              </w:rPr>
              <w:t xml:space="preserve">提供证书扫描件和投标人为其缴纳的近三个月社保证明材料并加盖投标人公章，未提供或提供的材料不齐全不得分。（本项目配备的运维负责人、现场技术保障负责人、运维团队成员不能重复。）</w:t>
            </w:r>
            <w:r>
              <w:rPr>
                <w:rFonts w:hint="eastAsia" w:ascii="宋体" w:hAnsi="宋体"/>
                <w:b/>
                <w:bCs/>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3.6</w:t>
            </w:r>
            <w:r>
              <w:rPr>
                <w:rFonts w:ascii="宋体" w:hAnsi="宋体"/>
                <w:color w:val="000000"/>
                <w:sz w:val="24"/>
                <w:highlight w:val="none"/>
              </w:rPr>
            </w:r>
            <w:r/>
          </w:p>
        </w:tc>
        <w:tc>
          <w:tcPr>
            <w:tcW w:w="759"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制造商技术服务保障承诺函</w:t>
            </w:r>
            <w:r>
              <w:rPr>
                <w:rFonts w:hint="eastAsia" w:ascii="宋体" w:hAnsi="宋体"/>
                <w:color w:val="000000"/>
                <w:sz w:val="24"/>
                <w:highlight w:val="none"/>
              </w:rPr>
            </w:r>
            <w:r/>
          </w:p>
        </w:tc>
        <w:tc>
          <w:tcPr>
            <w:tcW w:w="47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2066" w:type="dxa"/>
            <w:vAlign w:val="center"/>
            <w:textDirection w:val="lrTb"/>
            <w:noWrap w:val="false"/>
          </w:tcPr>
          <w:p>
            <w:pPr>
              <w:pStyle w:val="1070"/>
              <w:rPr>
                <w:rFonts w:hint="eastAsia" w:ascii="宋体" w:hAnsi="宋体"/>
                <w:color w:val="000000"/>
                <w:sz w:val="24"/>
                <w:highlight w:val="none"/>
              </w:rPr>
            </w:pPr>
            <w:r>
              <w:rPr>
                <w:rFonts w:hint="eastAsia" w:ascii="宋体" w:hAnsi="宋体"/>
                <w:color w:val="000000"/>
                <w:sz w:val="24"/>
                <w:highlight w:val="none"/>
              </w:rPr>
              <w:t xml:space="preserve">投标人投标时提供维保设备雷诺士UPS和维谛精密空调制造商出具的技术服务保障函的，每提供一个得5分，最高可得10分；</w:t>
            </w:r>
            <w:r>
              <w:rPr>
                <w:rFonts w:hint="eastAsia" w:ascii="宋体" w:hAnsi="宋体"/>
                <w:color w:val="000000"/>
                <w:sz w:val="24"/>
                <w:highlight w:val="none"/>
              </w:rPr>
            </w:r>
            <w:r/>
          </w:p>
          <w:p>
            <w:pPr>
              <w:pStyle w:val="1070"/>
              <w:rPr>
                <w:rFonts w:hint="eastAsia" w:ascii="宋体" w:hAnsi="宋体"/>
                <w:color w:val="000000"/>
                <w:sz w:val="24"/>
                <w:highlight w:val="none"/>
              </w:rPr>
            </w:pPr>
            <w:r>
              <w:rPr>
                <w:rFonts w:hint="eastAsia" w:ascii="宋体" w:hAnsi="宋体"/>
                <w:color w:val="000000"/>
                <w:sz w:val="24"/>
                <w:highlight w:val="none"/>
              </w:rPr>
              <w:t xml:space="preserve">投标人承诺中标后签订合同前提供雷诺士UPS和维谛精密空调制造商出具的技术服务保障函的，每提供一个得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分，最高可得6分。</w:t>
            </w:r>
            <w:r>
              <w:rPr>
                <w:rFonts w:hint="eastAsia" w:ascii="宋体" w:hAnsi="宋体"/>
                <w:color w:val="000000"/>
                <w:sz w:val="24"/>
                <w:highlight w:val="none"/>
              </w:rPr>
            </w:r>
            <w:r/>
          </w:p>
          <w:p>
            <w:pPr>
              <w:pStyle w:val="1070"/>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本项满分10分。</w:t>
            </w:r>
            <w:r>
              <w:rPr>
                <w:rFonts w:ascii="宋体" w:hAnsi="宋体" w:eastAsia="宋体"/>
                <w:color w:val="000000"/>
                <w:sz w:val="24"/>
                <w:highlight w:val="none"/>
                <w:lang w:val="en-US" w:eastAsia="zh-CN"/>
              </w:rPr>
            </w:r>
            <w:r/>
          </w:p>
        </w:tc>
        <w:tc>
          <w:tcPr>
            <w:tcW w:w="1267" w:type="dxa"/>
            <w:vAlign w:val="center"/>
            <w:textDirection w:val="lrTb"/>
            <w:noWrap w:val="false"/>
          </w:tcPr>
          <w:p>
            <w:pPr>
              <w:pStyle w:val="1070"/>
              <w:ind w:left="-38"/>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技术服务保障函需针对本项目并加盖制造商公章。</w:t>
            </w:r>
            <w:r>
              <w:rPr>
                <w:rFonts w:hint="eastAsia" w:ascii="宋体" w:hAnsi="宋体" w:cs="宋体"/>
                <w:b/>
                <w:bCs/>
                <w:color w:val="000000"/>
                <w:sz w:val="24"/>
                <w:highlight w:val="none"/>
                <w:lang w:bidi="ar"/>
              </w:rPr>
            </w:r>
            <w:r/>
          </w:p>
          <w:p>
            <w:pPr>
              <w:pStyle w:val="1070"/>
              <w:ind w:left="-38"/>
              <w:rPr>
                <w:rFonts w:hint="eastAsia" w:ascii="宋体" w:hAnsi="宋体"/>
                <w:b/>
                <w:bCs/>
                <w:color w:val="000000"/>
                <w:sz w:val="24"/>
                <w:highlight w:val="none"/>
              </w:rPr>
            </w:pPr>
            <w:r>
              <w:rPr>
                <w:rFonts w:hint="eastAsia" w:ascii="宋体" w:hAnsi="宋体" w:cs="宋体"/>
                <w:b/>
                <w:bCs/>
                <w:color w:val="000000"/>
                <w:sz w:val="24"/>
                <w:highlight w:val="none"/>
                <w:lang w:bidi="ar"/>
              </w:rPr>
              <w:t xml:space="preserve">承诺中标后提供原件的，需在签订合同前提供，否则取消中标资格。</w:t>
            </w:r>
            <w:r>
              <w:rPr>
                <w:rFonts w:hint="eastAsia" w:ascii="宋体" w:hAnsi="宋体"/>
                <w:b/>
                <w:bCs/>
                <w:color w:val="000000"/>
                <w:sz w:val="24"/>
                <w:highlight w:val="none"/>
              </w:rPr>
            </w:r>
            <w:r/>
          </w:p>
        </w:tc>
      </w:tr>
      <w:tr>
        <w:trPr/>
        <w:tc>
          <w:tcPr>
            <w:tcW w:w="433" w:type="dxa"/>
            <w:vAlign w:val="center"/>
            <w:textDirection w:val="lrTb"/>
            <w:noWrap w:val="false"/>
          </w:tcPr>
          <w:p>
            <w:pPr>
              <w:pStyle w:val="1070"/>
              <w:ind w:firstLine="28"/>
              <w:jc w:val="center"/>
              <w:rPr>
                <w:rFonts w:ascii="宋体" w:hAnsi="宋体"/>
                <w:color w:val="000000"/>
                <w:sz w:val="24"/>
                <w:highlight w:val="none"/>
              </w:rPr>
            </w:pPr>
            <w:r>
              <w:rPr>
                <w:rFonts w:hint="eastAsia" w:ascii="宋体" w:hAnsi="宋体"/>
                <w:color w:val="000000"/>
                <w:sz w:val="24"/>
                <w:highlight w:val="none"/>
              </w:rPr>
              <w:t xml:space="preserve">3.7</w:t>
            </w:r>
            <w:r>
              <w:rPr>
                <w:rFonts w:ascii="宋体" w:hAnsi="宋体"/>
                <w:color w:val="000000"/>
                <w:sz w:val="24"/>
                <w:highlight w:val="none"/>
              </w:rPr>
            </w:r>
            <w:r/>
          </w:p>
        </w:tc>
        <w:tc>
          <w:tcPr>
            <w:tcW w:w="759" w:type="dxa"/>
            <w:vAlign w:val="center"/>
            <w:vMerge w:val="restart"/>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应急保障能力</w:t>
            </w:r>
            <w:r>
              <w:rPr>
                <w:rFonts w:hint="eastAsia" w:ascii="宋体" w:hAnsi="宋体"/>
                <w:color w:val="000000"/>
                <w:sz w:val="24"/>
                <w:highlight w:val="none"/>
              </w:rPr>
            </w:r>
            <w:r/>
          </w:p>
        </w:tc>
        <w:tc>
          <w:tcPr>
            <w:tcW w:w="473" w:type="dxa"/>
            <w:vAlign w:val="center"/>
            <w:textDirection w:val="lrTb"/>
            <w:noWrap w:val="false"/>
          </w:tcPr>
          <w:p>
            <w:pPr>
              <w:pStyle w:val="1070"/>
              <w:ind w:firstLine="28"/>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2066" w:type="dxa"/>
            <w:vAlign w:val="center"/>
            <w:textDirection w:val="lrTb"/>
            <w:noWrap w:val="false"/>
          </w:tcPr>
          <w:p>
            <w:pPr>
              <w:pStyle w:val="1070"/>
              <w:rPr>
                <w:rFonts w:hint="eastAsia" w:ascii="宋体" w:hAnsi="宋体" w:eastAsia="宋体"/>
                <w:color w:val="000000"/>
                <w:sz w:val="24"/>
                <w:highlight w:val="none"/>
                <w:lang w:eastAsia="zh-CN"/>
              </w:rPr>
            </w:pPr>
            <w:r>
              <w:rPr>
                <w:rFonts w:hint="eastAsia" w:ascii="宋体" w:hAnsi="宋体"/>
                <w:color w:val="000000"/>
                <w:sz w:val="24"/>
                <w:highlight w:val="none"/>
              </w:rPr>
              <w:t xml:space="preserve">1.投标人具有供电系统故障应急恢复能力 ，可在接到报障后2小时内提供至少200千瓦应急供电车，实现设备供电的得5分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c>
          <w:tcPr>
            <w:tcW w:w="1267" w:type="dxa"/>
            <w:vAlign w:val="center"/>
            <w:textDirection w:val="lrTb"/>
            <w:noWrap w:val="false"/>
          </w:tcPr>
          <w:p>
            <w:pPr>
              <w:pStyle w:val="1070"/>
              <w:ind w:left="-38"/>
              <w:rPr>
                <w:rFonts w:ascii="宋体" w:hAnsi="宋体"/>
                <w:b/>
                <w:bCs/>
                <w:color w:val="000000"/>
                <w:sz w:val="24"/>
                <w:highlight w:val="none"/>
              </w:rPr>
            </w:pPr>
            <w:r>
              <w:rPr>
                <w:rFonts w:hint="eastAsia" w:ascii="宋体" w:hAnsi="宋体"/>
                <w:b/>
                <w:bCs/>
                <w:color w:val="000000"/>
                <w:sz w:val="24"/>
                <w:highlight w:val="none"/>
              </w:rPr>
              <w:t xml:space="preserve">提供应急供电车含号牌的车辆照片、机动车行驶证照片、200千瓦供电能力照片加盖投标人公章，否则不得分。</w:t>
            </w:r>
            <w:r>
              <w:rPr>
                <w:rFonts w:ascii="宋体" w:hAnsi="宋体"/>
                <w:b/>
                <w:bCs/>
                <w:color w:val="000000"/>
                <w:sz w:val="24"/>
                <w:highlight w:val="none"/>
              </w:rPr>
            </w:r>
            <w:r/>
          </w:p>
        </w:tc>
      </w:tr>
      <w:tr>
        <w:trPr/>
        <w:tc>
          <w:tcPr>
            <w:gridSpan w:val="2"/>
            <w:tcW w:w="2214" w:type="dxa"/>
            <w:vAlign w:val="center"/>
            <w:textDirection w:val="lrTb"/>
            <w:noWrap w:val="false"/>
          </w:tcPr>
          <w:p>
            <w:pPr>
              <w:pStyle w:val="1070"/>
              <w:ind w:firstLine="28"/>
              <w:jc w:val="center"/>
              <w:rPr>
                <w:rFonts w:ascii="宋体" w:hAnsi="宋体"/>
                <w:color w:val="000000"/>
                <w:sz w:val="24"/>
                <w:highlight w:val="none"/>
              </w:rPr>
            </w:pPr>
            <w:r>
              <w:rPr>
                <w:rFonts w:ascii="宋体" w:hAnsi="宋体"/>
                <w:color w:val="000000"/>
                <w:sz w:val="24"/>
                <w:highlight w:val="none"/>
              </w:rPr>
              <w:t xml:space="preserve">合计</w:t>
            </w:r>
            <w:r>
              <w:rPr>
                <w:rFonts w:ascii="宋体" w:hAnsi="宋体"/>
                <w:color w:val="000000"/>
                <w:sz w:val="24"/>
                <w:highlight w:val="none"/>
              </w:rPr>
            </w:r>
            <w:r/>
          </w:p>
        </w:tc>
        <w:tc>
          <w:tcPr>
            <w:tcW w:w="473" w:type="dxa"/>
            <w:vAlign w:val="center"/>
            <w:textDirection w:val="lrTb"/>
            <w:noWrap w:val="false"/>
          </w:tcPr>
          <w:p>
            <w:pPr>
              <w:pStyle w:val="1070"/>
              <w:ind w:firstLine="28"/>
              <w:jc w:val="center"/>
              <w:rPr>
                <w:rFonts w:ascii="宋体" w:hAnsi="宋体"/>
                <w:color w:val="000000"/>
                <w:sz w:val="24"/>
                <w:highlight w:val="none"/>
              </w:rPr>
            </w:pPr>
            <w:r>
              <w:rPr>
                <w:rFonts w:ascii="宋体" w:hAnsi="宋体"/>
                <w:color w:val="000000"/>
                <w:sz w:val="24"/>
                <w:highlight w:val="none"/>
              </w:rPr>
              <w:t xml:space="preserve">100</w:t>
            </w:r>
            <w:r>
              <w:rPr>
                <w:rFonts w:ascii="宋体" w:hAnsi="宋体"/>
                <w:color w:val="000000"/>
                <w:sz w:val="24"/>
                <w:highlight w:val="none"/>
              </w:rPr>
            </w:r>
            <w:r/>
          </w:p>
        </w:tc>
        <w:tc>
          <w:tcPr>
            <w:gridSpan w:val="2"/>
            <w:tcW w:w="6190" w:type="dxa"/>
            <w:vAlign w:val="center"/>
            <w:textDirection w:val="lrTb"/>
            <w:noWrap w:val="false"/>
          </w:tcPr>
          <w:p>
            <w:pPr>
              <w:pStyle w:val="1070"/>
              <w:rPr>
                <w:rFonts w:ascii="宋体" w:hAnsi="宋体"/>
                <w:color w:val="000000"/>
                <w:sz w:val="24"/>
                <w:highlight w:val="none"/>
              </w:rPr>
            </w:pPr>
            <w:r>
              <w:rPr>
                <w:rFonts w:ascii="宋体" w:hAnsi="宋体"/>
                <w:color w:val="000000"/>
                <w:sz w:val="24"/>
                <w:highlight w:val="none"/>
              </w:rPr>
            </w:r>
            <w:r/>
          </w:p>
        </w:tc>
      </w:tr>
    </w:tbl>
    <w:p>
      <w:pPr>
        <w:pStyle w:val="1070"/>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4" w:name="_Toc99301424"/>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1164"/>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b/>
          <w:color w:val="000000"/>
          <w:sz w:val="24"/>
          <w:szCs w:val="24"/>
          <w:highlight w:val="none"/>
        </w:rPr>
        <w:t xml:space="preserve">项目概况</w:t>
      </w:r>
      <w:r>
        <w:rPr>
          <w:rFonts w:ascii="宋体" w:hAnsi="宋体"/>
          <w:b/>
          <w:color w:val="000000"/>
          <w:sz w:val="24"/>
          <w:szCs w:val="24"/>
          <w:highlight w:val="none"/>
        </w:rPr>
      </w:r>
      <w:r/>
    </w:p>
    <w:p>
      <w:pPr>
        <w:pStyle w:val="1070"/>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常州市第七人民医院UPS和精密空调维保服务项目，为保障UPS、精密空调、环境动力监控系统等设备安全稳定可靠运行，确保医院各项业务和医疗工作正常开展，现拟采购UPS和精密空调维保服务。</w:t>
      </w:r>
      <w:r>
        <w:rPr>
          <w:rFonts w:ascii="宋体" w:hAnsi="宋体"/>
          <w:bCs/>
          <w:color w:val="000000"/>
          <w:sz w:val="24"/>
          <w:highlight w:val="none"/>
        </w:rPr>
      </w:r>
      <w:r/>
    </w:p>
    <w:p>
      <w:pPr>
        <w:pStyle w:val="1164"/>
        <w:contextualSpacing/>
        <w:ind w:left="-2" w:firstLine="482"/>
        <w:spacing w:line="360" w:lineRule="auto"/>
        <w:tabs>
          <w:tab w:val="left" w:pos="567" w:leader="none"/>
        </w:tabs>
        <w:rPr>
          <w:rFonts w:ascii="宋体" w:hAnsi="宋体"/>
          <w:b/>
          <w:color w:val="000000"/>
          <w:sz w:val="24"/>
          <w:szCs w:val="24"/>
          <w:highlight w:val="none"/>
        </w:rPr>
      </w:pPr>
      <w:r>
        <w:rPr>
          <w:rFonts w:hint="eastAsia" w:ascii="宋体" w:hAnsi="宋体"/>
          <w:b/>
          <w:color w:val="000000"/>
          <w:sz w:val="24"/>
          <w:szCs w:val="24"/>
          <w:highlight w:val="none"/>
        </w:rPr>
        <w:t xml:space="preserve">二、维保内容</w:t>
      </w:r>
      <w:r>
        <w:rPr>
          <w:rFonts w:ascii="宋体" w:hAnsi="宋体"/>
          <w:b/>
          <w:color w:val="000000"/>
          <w:sz w:val="24"/>
          <w:szCs w:val="24"/>
          <w:highlight w:val="none"/>
        </w:rPr>
      </w:r>
      <w:r/>
    </w:p>
    <w:p>
      <w:pPr>
        <w:pStyle w:val="1070"/>
        <w:contextualSpacing/>
        <w:ind w:left="-2" w:firstLine="482"/>
        <w:spacing w:line="360" w:lineRule="auto"/>
        <w:tabs>
          <w:tab w:val="left" w:pos="567" w:leader="none"/>
        </w:tabs>
        <w:rPr>
          <w:rFonts w:ascii="宋体" w:hAnsi="宋体"/>
          <w:b/>
          <w:iCs/>
          <w:color w:val="000000"/>
          <w:sz w:val="24"/>
          <w:highlight w:val="none"/>
        </w:rPr>
      </w:pPr>
      <w:r>
        <w:rPr>
          <w:rFonts w:hint="eastAsia" w:ascii="宋体" w:hAnsi="宋体"/>
          <w:b/>
          <w:iCs/>
          <w:color w:val="000000"/>
          <w:sz w:val="24"/>
          <w:highlight w:val="none"/>
        </w:rPr>
        <w:t xml:space="preserve">（一）维保范围</w:t>
      </w:r>
      <w:r>
        <w:rPr>
          <w:rFonts w:ascii="宋体" w:hAnsi="宋体"/>
          <w:b/>
          <w:iCs/>
          <w:color w:val="000000"/>
          <w:sz w:val="24"/>
          <w:highlight w:val="none"/>
        </w:rPr>
      </w:r>
      <w:r/>
    </w:p>
    <w:tbl>
      <w:tblPr>
        <w:tblW w:w="8524" w:type="dxa"/>
        <w:tblInd w:w="-108" w:type="dxa"/>
        <w:tblLayout w:type="fixed"/>
        <w:tblCellMar>
          <w:left w:w="108" w:type="dxa"/>
          <w:top w:w="0" w:type="dxa"/>
          <w:right w:w="108" w:type="dxa"/>
          <w:bottom w:w="0" w:type="dxa"/>
        </w:tblCellMar>
        <w:tblLook w:val="04A0" w:firstRow="1" w:lastRow="0" w:firstColumn="1" w:lastColumn="0" w:noHBand="0" w:noVBand="1"/>
      </w:tblPr>
      <w:tblGrid>
        <w:gridCol w:w="832"/>
        <w:gridCol w:w="1288"/>
        <w:gridCol w:w="2396"/>
        <w:gridCol w:w="748"/>
        <w:gridCol w:w="709"/>
        <w:gridCol w:w="2551"/>
      </w:tblGrid>
      <w:tr>
        <w:trPr>
          <w:trHeight w:val="288"/>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88" w:type="dxa"/>
            <w:vAlign w:val="center"/>
            <w:textDirection w:val="lrTb"/>
            <w:noWrap/>
          </w:tcPr>
          <w:p>
            <w:pPr>
              <w:pStyle w:val="1070"/>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设备名称</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396" w:type="dxa"/>
            <w:vAlign w:val="center"/>
            <w:textDirection w:val="lrTb"/>
            <w:noWrap/>
          </w:tcPr>
          <w:p>
            <w:pPr>
              <w:pStyle w:val="1070"/>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品牌型号配置</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tcPr>
          <w:p>
            <w:pPr>
              <w:pStyle w:val="1070"/>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单位</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70"/>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b/>
                <w:bCs/>
                <w:color w:val="000000"/>
                <w:sz w:val="24"/>
                <w:highlight w:val="none"/>
              </w:rPr>
            </w:r>
            <w:r/>
          </w:p>
        </w:tc>
      </w:tr>
      <w:tr>
        <w:trPr>
          <w:trHeight w:val="288"/>
        </w:trPr>
        <w:tc>
          <w:tcPr>
            <w:gridSpan w:val="6"/>
            <w:tcBorders>
              <w:top w:val="single" w:color="000000" w:sz="4" w:space="0"/>
              <w:left w:val="single" w:color="000000" w:sz="4" w:space="0"/>
              <w:bottom w:val="single" w:color="000000" w:sz="4" w:space="0"/>
              <w:right w:val="single" w:color="000000" w:sz="4" w:space="0"/>
            </w:tcBorders>
            <w:tcW w:w="8524" w:type="dxa"/>
            <w:vAlign w:val="center"/>
            <w:textDirection w:val="lrTb"/>
            <w:noWrap/>
          </w:tcPr>
          <w:p>
            <w:pPr>
              <w:pStyle w:val="1070"/>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一、UPS和精密空调维保</w:t>
            </w:r>
            <w:r>
              <w:rPr>
                <w:rFonts w:hint="eastAsia" w:ascii="宋体" w:hAnsi="宋体" w:cs="宋体"/>
                <w:b/>
                <w:bCs/>
                <w:color w:val="000000"/>
                <w:sz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UPS</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雷诺士KCRT-30KVA （32节12V150A电池）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1号楼设备层供手术室</w:t>
            </w:r>
            <w:r>
              <w:rPr>
                <w:rFonts w:hint="eastAsia" w:ascii="宋体" w:hAnsi="宋体" w:cs="宋体"/>
                <w:color w:val="000000"/>
                <w:sz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UPS</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雷诺士KCRT-80KVA （64节12V150AH电池）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1号楼设备层供手术室</w:t>
            </w:r>
            <w:r>
              <w:rPr>
                <w:rFonts w:hint="eastAsia" w:ascii="宋体" w:hAnsi="宋体" w:cs="宋体"/>
                <w:color w:val="000000"/>
                <w:sz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UPS</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雷诺士KCRT-60KVA（64节12V120AH电池）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1号楼二楼检验科</w:t>
            </w:r>
            <w:r>
              <w:rPr>
                <w:rFonts w:hint="eastAsia" w:ascii="宋体" w:hAnsi="宋体" w:cs="宋体"/>
                <w:color w:val="000000"/>
                <w:sz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UPS</w:t>
            </w:r>
            <w:r>
              <w:rPr>
                <w:rFonts w:hint="eastAsia" w:ascii="宋体" w:hAnsi="宋体" w:cs="宋体"/>
                <w:color w:val="000000"/>
                <w:sz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396"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雷诺士KCRT-20KVA （16节12V100AH电池）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1号楼门急诊</w:t>
            </w:r>
            <w:r>
              <w:rPr>
                <w:rFonts w:hint="eastAsia" w:ascii="宋体" w:hAnsi="宋体" w:cs="宋体"/>
                <w:color w:val="000000"/>
                <w:sz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UPS</w:t>
            </w:r>
            <w:r>
              <w:rPr>
                <w:rFonts w:hint="eastAsia" w:ascii="宋体" w:hAnsi="宋体" w:cs="宋体"/>
                <w:color w:val="000000"/>
                <w:sz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396"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雷诺士KCRT-30KVA（32节120AH电池）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1号楼四楼管道井</w:t>
            </w:r>
            <w:r>
              <w:rPr>
                <w:rFonts w:hint="eastAsia" w:ascii="宋体" w:hAnsi="宋体" w:cs="宋体"/>
                <w:color w:val="000000"/>
                <w:sz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UPS</w:t>
            </w:r>
            <w:r>
              <w:rPr>
                <w:rFonts w:hint="eastAsia" w:ascii="宋体" w:hAnsi="宋体" w:cs="宋体"/>
                <w:color w:val="000000"/>
                <w:sz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396"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雷诺士KCRT-30KVA （32节12V100AH电池）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1号楼信息机房</w:t>
            </w:r>
            <w:r>
              <w:rPr>
                <w:rFonts w:hint="eastAsia" w:ascii="宋体" w:hAnsi="宋体" w:cs="宋体"/>
                <w:color w:val="000000"/>
                <w:sz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精密空调</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维谛P2040F下送风（双系统，制冷量40KW）</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1号楼信息机房</w:t>
            </w:r>
            <w:r>
              <w:rPr>
                <w:rFonts w:hint="eastAsia" w:ascii="宋体" w:hAnsi="宋体" w:cs="宋体"/>
                <w:color w:val="000000"/>
                <w:sz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精密空调</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英维克CyberMate512BIU1A（制冷量12.5KW）</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1号楼信息机房</w:t>
            </w:r>
            <w:r>
              <w:rPr>
                <w:rFonts w:hint="eastAsia" w:ascii="宋体" w:hAnsi="宋体" w:cs="宋体"/>
                <w:color w:val="000000"/>
                <w:sz w:val="24"/>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UPS</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bottom"/>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雷诺士KCRT-25KVA（32节12V24AH电池）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2号楼</w:t>
            </w:r>
            <w:r>
              <w:rPr>
                <w:rFonts w:hint="eastAsia" w:ascii="宋体" w:hAnsi="宋体" w:cs="宋体"/>
                <w:color w:val="000000"/>
                <w:sz w:val="24"/>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UPS</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bottom"/>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雷诺士KCRT-60KVA（32节12V65AH电池）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2号楼</w:t>
            </w:r>
            <w:r>
              <w:rPr>
                <w:rFonts w:hint="eastAsia" w:ascii="宋体" w:hAnsi="宋体" w:cs="宋体"/>
                <w:color w:val="000000"/>
                <w:sz w:val="24"/>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UPS</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bottom"/>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雷诺士KCRT-80KVA（32节12V100AH电池）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2号楼</w:t>
            </w:r>
            <w:r>
              <w:rPr>
                <w:rFonts w:hint="eastAsia" w:ascii="宋体" w:hAnsi="宋体" w:cs="宋体"/>
                <w:color w:val="000000"/>
                <w:sz w:val="24"/>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UPS</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bottom"/>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维谛EXS-60KVA （34节12V100AH电池）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2号楼信息机房</w:t>
            </w:r>
            <w:r>
              <w:rPr>
                <w:rFonts w:hint="eastAsia" w:ascii="宋体" w:hAnsi="宋体" w:cs="宋体"/>
                <w:color w:val="000000"/>
                <w:sz w:val="24"/>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UPS</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bottom"/>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雷诺士KCRT-40KVA （64节12V100AH电池）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2号楼负一层供各楼层弱电间</w:t>
            </w:r>
            <w:r>
              <w:rPr>
                <w:rFonts w:hint="eastAsia" w:ascii="宋体" w:hAnsi="宋体" w:cs="宋体"/>
                <w:color w:val="000000"/>
                <w:sz w:val="24"/>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8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UPS</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396" w:type="dxa"/>
            <w:vAlign w:val="bottom"/>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雷诺士KCRT-10KVA（16节12V100AH电池）</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科教楼负一层汇聚机房</w:t>
            </w:r>
            <w:r>
              <w:rPr>
                <w:rFonts w:hint="eastAsia" w:ascii="宋体" w:hAnsi="宋体" w:cs="宋体"/>
                <w:color w:val="000000"/>
                <w:sz w:val="24"/>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精密空调</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bottom"/>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维谛P1040（单系统，制冷量40KW）</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2号楼信息机房</w:t>
            </w:r>
            <w:r>
              <w:rPr>
                <w:rFonts w:hint="eastAsia" w:ascii="宋体" w:hAnsi="宋体" w:cs="宋体"/>
                <w:color w:val="000000"/>
                <w:sz w:val="24"/>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集中式室外机</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维谛LVC106SE4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2号楼信息机房</w:t>
            </w:r>
            <w:r>
              <w:rPr>
                <w:rFonts w:hint="eastAsia" w:ascii="宋体" w:hAnsi="宋体" w:cs="宋体"/>
                <w:color w:val="000000"/>
                <w:sz w:val="24"/>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精密空调</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维谛DME12（制冷量12.5KW）</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科教楼负一层汇聚机房</w:t>
            </w:r>
            <w:r>
              <w:rPr>
                <w:rFonts w:hint="eastAsia" w:ascii="宋体" w:hAnsi="宋体" w:cs="宋体"/>
                <w:color w:val="000000"/>
                <w:sz w:val="24"/>
                <w:highlight w:val="none"/>
              </w:rPr>
            </w:r>
            <w:r/>
          </w:p>
        </w:tc>
      </w:tr>
      <w:tr>
        <w:trPr>
          <w:trHeight w:val="288"/>
        </w:trPr>
        <w:tc>
          <w:tcPr>
            <w:gridSpan w:val="6"/>
            <w:tcBorders>
              <w:top w:val="single" w:color="000000" w:sz="4" w:space="0"/>
              <w:left w:val="single" w:color="000000" w:sz="4" w:space="0"/>
              <w:bottom w:val="single" w:color="000000" w:sz="4" w:space="0"/>
              <w:right w:val="single" w:color="000000" w:sz="4" w:space="0"/>
            </w:tcBorders>
            <w:tcW w:w="8524" w:type="dxa"/>
            <w:vAlign w:val="center"/>
            <w:textDirection w:val="lrTb"/>
            <w:noWrap/>
          </w:tcPr>
          <w:p>
            <w:pPr>
              <w:pStyle w:val="1070"/>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二、UPS和精密空调的环控报警软件及配套硬件维保</w:t>
            </w:r>
            <w:r>
              <w:rPr>
                <w:rFonts w:hint="eastAsia" w:ascii="宋体" w:hAnsi="宋体" w:cs="宋体"/>
                <w:b/>
                <w:bCs/>
                <w:color w:val="000000"/>
                <w:sz w:val="24"/>
                <w:highlight w:val="none"/>
              </w:rPr>
            </w:r>
            <w:r/>
          </w:p>
        </w:tc>
      </w:tr>
      <w:tr>
        <w:trPr>
          <w:trHeight w:val="864"/>
        </w:trPr>
        <w:tc>
          <w:tcPr>
            <w:tcBorders>
              <w:top w:val="none" w:color="000000" w:sz="4" w:space="0"/>
              <w:left w:val="single" w:color="000000" w:sz="4" w:space="0"/>
              <w:bottom w:val="single" w:color="000000" w:sz="4" w:space="0"/>
              <w:right w:val="single" w:color="000000" w:sz="4" w:space="0"/>
            </w:tcBorders>
            <w:tcW w:w="832"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监测报警功能软件及硬件维护</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396"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1号楼、2号楼、科教楼UPS和精密空调设备通过环控系统报警的软件模块及配套硬件</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48"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1、2号楼、科教楼信息机房所使用</w:t>
            </w:r>
            <w:r>
              <w:rPr>
                <w:rFonts w:hint="eastAsia" w:ascii="宋体" w:hAnsi="宋体" w:cs="宋体"/>
                <w:color w:val="000000"/>
                <w:sz w:val="24"/>
                <w:highlight w:val="none"/>
              </w:rPr>
            </w:r>
            <w:r/>
          </w:p>
        </w:tc>
      </w:tr>
    </w:tbl>
    <w:p>
      <w:pPr>
        <w:pStyle w:val="1070"/>
        <w:contextualSpacing/>
        <w:ind w:left="-2" w:firstLine="482"/>
        <w:spacing w:line="360" w:lineRule="auto"/>
        <w:tabs>
          <w:tab w:val="left" w:pos="567" w:leader="none"/>
        </w:tabs>
        <w:rPr>
          <w:rFonts w:ascii="宋体" w:hAnsi="宋体"/>
          <w:b/>
          <w:bCs/>
          <w:color w:val="000000"/>
          <w:sz w:val="24"/>
          <w:highlight w:val="none"/>
        </w:rPr>
      </w:pPr>
      <w:r>
        <w:rPr>
          <w:rFonts w:hint="eastAsia" w:ascii="宋体" w:hAnsi="宋体"/>
          <w:b/>
          <w:iCs/>
          <w:color w:val="000000"/>
          <w:sz w:val="24"/>
          <w:highlight w:val="none"/>
        </w:rPr>
        <w:t xml:space="preserve">（二）维保服务内容</w:t>
      </w:r>
      <w:r>
        <w:rPr>
          <w:rFonts w:ascii="宋体" w:hAnsi="宋体"/>
          <w:b/>
          <w:bCs/>
          <w:color w:val="000000"/>
          <w:sz w:val="24"/>
          <w:highlight w:val="none"/>
        </w:rPr>
      </w:r>
      <w:r/>
    </w:p>
    <w:p>
      <w:pPr>
        <w:pStyle w:val="1070"/>
        <w:contextualSpacing/>
        <w:ind w:left="-2" w:firstLine="480"/>
        <w:spacing w:line="360" w:lineRule="auto"/>
        <w:tabs>
          <w:tab w:val="left" w:pos="567" w:leader="none"/>
        </w:tabs>
        <w:rPr>
          <w:color w:val="000000"/>
          <w:sz w:val="24"/>
          <w:highlight w:val="none"/>
        </w:rPr>
      </w:pPr>
      <w:r>
        <w:rPr>
          <w:rFonts w:hint="eastAsia" w:ascii="宋体" w:hAnsi="宋体"/>
          <w:bCs/>
          <w:color w:val="000000"/>
          <w:sz w:val="24"/>
          <w:highlight w:val="none"/>
        </w:rPr>
        <w:t xml:space="preserve">维保服务内容主要包括服务期内UPS、机房精密空调设备及环境动力监控系统的巡查、检修、保养、调试、维护等技术服务，要求提供7*24小时应急服务。</w:t>
      </w:r>
      <w:r>
        <w:rPr>
          <w:color w:val="000000"/>
          <w:sz w:val="24"/>
          <w:highlight w:val="none"/>
        </w:rPr>
      </w:r>
      <w:r/>
    </w:p>
    <w:p>
      <w:pPr>
        <w:pStyle w:val="1070"/>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1.UPS主机的维保服务</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（1）检查设备的运行状况</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检查监控面板按键操作功能</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检测面板指示灯及蜂鸣器的功能</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检查UPS系统或负载的运行数据</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（2）对UPS主机进行除尘清扫</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UPS内部清扫及空气过滤网清扫</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UPS内部连接端子紧固检查及加固</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（3）内部主要元器件的检查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主回路功率元器件的检查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主要控制板工作状态</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color w:val="000000"/>
          <w:sz w:val="24"/>
          <w:highlight w:val="none"/>
        </w:rPr>
      </w:pPr>
      <w:r>
        <w:rPr>
          <w:rFonts w:hint="eastAsia" w:ascii="宋体" w:hAnsi="宋体"/>
          <w:bCs/>
          <w:color w:val="000000"/>
          <w:sz w:val="24"/>
          <w:highlight w:val="none"/>
        </w:rPr>
        <w:t xml:space="preserve">机器内部有无局部过热点</w:t>
      </w:r>
      <w:r>
        <w:rPr>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（4）冷却风机检查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运转平稳有无异常噪音</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风机温度正常有无故障报警</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（5）对UPS主机内主要部件进行静态测试</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检查UPS主机内易损单元(逆变器、整流器、静态开关等)</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（6）检查设备的输入、输出连接端子是否牢固</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（7）恢复设备运行，检查设备输出的主要性能指标</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（8）UPS系统性能检测</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系统常态模式工作是否正常</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系统旁路模式运行是否正常</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系统电池供电模式运行是否正常</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系统工作模式切换是否正常</w:t>
      </w:r>
      <w:r>
        <w:rPr>
          <w:rFonts w:hint="eastAsia" w:ascii="宋体" w:hAnsi="宋体"/>
          <w:bCs/>
          <w:color w:val="000000"/>
          <w:sz w:val="24"/>
          <w:highlight w:val="none"/>
        </w:rPr>
      </w:r>
      <w:r/>
    </w:p>
    <w:p>
      <w:pPr>
        <w:pStyle w:val="1070"/>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2.UPS电池组的维保服务</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（1）对电池进行清扫</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（2）对电池组的连接进行检查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电池连接线线径大小</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电池接线端子紧固</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电池的外观</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（3）电池测试</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电池内阻检测</w:t>
      </w:r>
      <w:r>
        <w:rPr>
          <w:rFonts w:hint="eastAsia" w:ascii="宋体" w:hAnsi="宋体"/>
          <w:bCs/>
          <w:color w:val="000000"/>
          <w:sz w:val="24"/>
          <w:highlight w:val="none"/>
        </w:rPr>
      </w:r>
      <w:r/>
    </w:p>
    <w:p>
      <w:pPr>
        <w:pStyle w:val="1070"/>
        <w:contextualSpacing/>
        <w:ind w:left="-2" w:firstLine="482"/>
        <w:spacing w:line="360" w:lineRule="auto"/>
        <w:tabs>
          <w:tab w:val="left" w:pos="567" w:leader="none"/>
        </w:tabs>
        <w:rPr>
          <w:color w:val="000000"/>
          <w:sz w:val="24"/>
          <w:highlight w:val="none"/>
        </w:rPr>
      </w:pPr>
      <w:r>
        <w:rPr>
          <w:rFonts w:hint="eastAsia" w:ascii="宋体" w:hAnsi="宋体"/>
          <w:b/>
          <w:color w:val="000000"/>
          <w:sz w:val="24"/>
          <w:highlight w:val="none"/>
        </w:rPr>
        <w:t xml:space="preserve">3.机房精密空调维保服务</w:t>
      </w:r>
      <w:r>
        <w:rPr>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（1）检查机房专用空调的运行记录，并根据运行记录分析空调的状态。</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（2）制冷系统检查维护：</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①检查压缩机润滑、吸排气压力，检查压缩电机性能是否完好，检查氟利</w:t>
      </w:r>
      <w:r>
        <w:rPr>
          <w:rFonts w:hint="eastAsia" w:ascii="宋体" w:hAnsi="宋体"/>
          <w:bCs/>
          <w:color w:val="000000"/>
          <w:sz w:val="24"/>
          <w:highlight w:val="none"/>
        </w:rPr>
      </w:r>
      <w:r/>
    </w:p>
    <w:p>
      <w:pPr>
        <w:pStyle w:val="1070"/>
        <w:contextualSpacing/>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昂在系统内流动情况，检查过滤器是否畅通等。</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②检查制冷系统管路压力是否达到设定值，否则应找出原因进行维修。</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color w:val="000000"/>
          <w:sz w:val="24"/>
          <w:highlight w:val="none"/>
        </w:rPr>
      </w:pPr>
      <w:r>
        <w:rPr>
          <w:rFonts w:hint="eastAsia" w:ascii="宋体" w:hAnsi="宋体"/>
          <w:bCs/>
          <w:color w:val="000000"/>
          <w:sz w:val="24"/>
          <w:highlight w:val="none"/>
        </w:rPr>
        <w:t xml:space="preserve">③检查室外机的运行情况，如室外机灰尘堵塞应马上提供清洗，并指导采购人相关操作维护人员做好日常清洗保养工作。</w:t>
      </w:r>
      <w:r>
        <w:rPr>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（3）对电气系统检查维护：</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①全面检查电气柜状况，重点检查交流接触器电气特性是否完好。</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②检查风机电机、加湿器、加热器静态阻值及绝缘特性。</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③检查冷凝电气箱内调速器即冷凝风机是否完好。</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④校正高、低压保护器是否与设定值相符。</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（4）对风道系统检查维护：</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①检查风机皮带及皮带轮的运行情况，如有误差应调校。</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color w:val="000000"/>
          <w:sz w:val="24"/>
          <w:highlight w:val="none"/>
        </w:rPr>
      </w:pPr>
      <w:r>
        <w:rPr>
          <w:rFonts w:hint="eastAsia" w:ascii="宋体" w:hAnsi="宋体"/>
          <w:bCs/>
          <w:color w:val="000000"/>
          <w:sz w:val="24"/>
          <w:highlight w:val="none"/>
        </w:rPr>
        <w:t xml:space="preserve">②检查空气过滤网情况，如有通风不畅影响功效应及时清洗更换。</w:t>
      </w:r>
      <w:r>
        <w:rPr>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（5）对空调机组职能部件进行独立系统调试，使之达到运行要求。其它方面如有不正常应进行维护维修。</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①检查蒸发器、冷凝器清洁度。</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②核定面板显示功能和准确度。</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③检查各告警功能。</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④检查加湿系统中进排水管路，如有结垢或不正常情况应予排除。</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（6）定期检测精密空调漏水情况</w:t>
      </w:r>
      <w:r>
        <w:rPr>
          <w:rFonts w:hint="eastAsia" w:ascii="宋体" w:hAnsi="宋体"/>
          <w:bCs/>
          <w:color w:val="000000"/>
          <w:sz w:val="24"/>
          <w:highlight w:val="none"/>
        </w:rPr>
      </w:r>
      <w:r/>
    </w:p>
    <w:p>
      <w:pPr>
        <w:pStyle w:val="1070"/>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4.机房环境动力监控系统维保服务</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（1）软件平台升级和统一管理：对现有软件平台提供免费升级，并实现1号楼、2号楼、科教楼的环控系统管理平台统一为同一管理平台，实现统一管理。</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（2）软件功能检查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①数据完整性检查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②性能指标检查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③报警功能检查，对电话语音报警功能进行检测，确保语音报警功能正常</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④软件可用性与安全性检查，确保中间件采集程序(配电采集软件模块、UPS 采集模块、精密空调采集模块)、平台管理软件、数据库运行正常。</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⑤图像系统检查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⑥门禁系统检查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⑦对系统服务器进行安全维护</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（3）对存在故障的环控系统配套硬件实施进行更新。</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（4）硬件性能检查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①智能数据采集器检查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②传感器(温湿度、漏水、烟雾)检查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③智能电量仪现场检查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④门禁主机现场检查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⑤视频系统现场检查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⑥协议转换器检查</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ascii="宋体" w:hAnsi="宋体"/>
          <w:b/>
          <w:i/>
          <w:color w:val="000000"/>
          <w:sz w:val="24"/>
          <w:highlight w:val="none"/>
        </w:rPr>
      </w:pPr>
      <w:r>
        <w:rPr>
          <w:rFonts w:hint="eastAsia" w:ascii="宋体" w:hAnsi="宋体"/>
          <w:bCs/>
          <w:color w:val="000000"/>
          <w:sz w:val="24"/>
          <w:highlight w:val="none"/>
        </w:rPr>
        <w:t xml:space="preserve">⑦监控服务器检查。</w:t>
      </w:r>
      <w:r>
        <w:rPr>
          <w:rFonts w:ascii="宋体" w:hAnsi="宋体"/>
          <w:b/>
          <w:i/>
          <w:color w:val="000000"/>
          <w:sz w:val="24"/>
          <w:highlight w:val="none"/>
        </w:rPr>
      </w:r>
      <w:r/>
    </w:p>
    <w:p>
      <w:pPr>
        <w:pStyle w:val="1164"/>
        <w:contextualSpacing/>
        <w:ind w:left="-2" w:firstLine="482"/>
        <w:spacing w:line="360" w:lineRule="auto"/>
        <w:tabs>
          <w:tab w:val="left" w:pos="567" w:leader="none"/>
        </w:tabs>
        <w:rPr>
          <w:rFonts w:hint="eastAsia" w:ascii="宋体" w:hAnsi="宋体"/>
          <w:b/>
          <w:color w:val="000000"/>
          <w:sz w:val="24"/>
          <w:szCs w:val="24"/>
          <w:highlight w:val="none"/>
        </w:rPr>
      </w:pPr>
      <w:r>
        <w:rPr>
          <w:rFonts w:hint="eastAsia" w:ascii="宋体" w:hAnsi="宋体"/>
          <w:b/>
          <w:i/>
          <w:iCs/>
          <w:color w:val="000000"/>
          <w:sz w:val="24"/>
          <w:szCs w:val="24"/>
          <w:highlight w:val="none"/>
        </w:rPr>
        <w:t xml:space="preserve">三、维保服务要求（“★”条款为实质性要求，必须在响应文件中提供承诺函，没有或负偏离的将作为无效响应处理。）</w:t>
      </w:r>
      <w:r>
        <w:rPr>
          <w:rFonts w:hint="eastAsia" w:ascii="宋体" w:hAnsi="宋体"/>
          <w:b/>
          <w:color w:val="000000"/>
          <w:sz w:val="24"/>
          <w:szCs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采购人委托中标人提供维保服务的目的是要保证受代维服务的UPS设备、机房精密空调，及环境动力监控系统系统始终处于良好的运行状态，当其发生故障时能够得到及时、专业的维修并能恢复到良好的工作状态。</w:t>
      </w:r>
      <w:r>
        <w:rPr>
          <w:rFonts w:hint="eastAsia" w:ascii="宋体" w:hAnsi="宋体"/>
          <w:bCs/>
          <w:color w:val="000000"/>
          <w:sz w:val="24"/>
          <w:highlight w:val="none"/>
        </w:rPr>
      </w:r>
      <w:r/>
    </w:p>
    <w:p>
      <w:pPr>
        <w:pStyle w:val="1070"/>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i/>
          <w:iCs/>
          <w:color w:val="000000"/>
          <w:sz w:val="24"/>
          <w:highlight w:val="none"/>
        </w:rPr>
        <w:t xml:space="preserve">★2.对UPS提供每两月一次的巡检服务，对精密空调提供全年八次巡检服务（其中6~9月一月一次），对环境动力监控系统提供全年四次巡检服务。并对UPS、精密空调、环控系统的运行资料、每次巡检维修情况进行记录整理；排除检查保养中发现的各种运行异常情况和问题。每次巡检完毕后需填写现场服务单由双方签字、备案（双方各执一份）。</w:t>
      </w:r>
      <w:r>
        <w:rPr>
          <w:rFonts w:hint="eastAsia" w:ascii="宋体" w:hAnsi="宋体"/>
          <w:b/>
          <w:color w:val="000000"/>
          <w:sz w:val="24"/>
          <w:highlight w:val="none"/>
        </w:rPr>
        <w:t xml:space="preserve">提供承诺函。</w:t>
      </w:r>
      <w:r>
        <w:rPr>
          <w:rFonts w:hint="eastAsia" w:ascii="宋体" w:hAnsi="宋体"/>
          <w:bCs/>
          <w:color w:val="000000"/>
          <w:sz w:val="24"/>
          <w:highlight w:val="none"/>
        </w:rPr>
      </w:r>
      <w:r/>
    </w:p>
    <w:p>
      <w:pPr>
        <w:pStyle w:val="1070"/>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i/>
          <w:iCs/>
          <w:color w:val="000000"/>
          <w:sz w:val="24"/>
          <w:highlight w:val="none"/>
        </w:rPr>
        <w:t xml:space="preserve">★3.巡检维护和维修所需人工费用和所有配件材料费用均由中标人承担，采购人不再支付其他任何费用。提供承诺函。</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4.中标人提供全年365天7*24小时应急抢修服务，维保服务人员联系电话应保持24小时畅通。成交供应商应配足维护所需的协调联系人、专业技术人员、专用维修工具、仪器仪表、交通和通信工具，一旦接到故障保修，必须立即派人赶赴现场。</w:t>
      </w:r>
      <w:r>
        <w:rPr>
          <w:rFonts w:hint="eastAsia" w:ascii="宋体" w:hAnsi="宋体"/>
          <w:bCs/>
          <w:color w:val="000000"/>
          <w:sz w:val="24"/>
          <w:highlight w:val="none"/>
        </w:rPr>
      </w:r>
      <w:r/>
    </w:p>
    <w:p>
      <w:pPr>
        <w:pStyle w:val="1070"/>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i/>
          <w:iCs/>
          <w:color w:val="000000"/>
          <w:sz w:val="24"/>
          <w:highlight w:val="none"/>
        </w:rPr>
        <w:t xml:space="preserve">★5.平时采购人系统或设备若出现故障，中标人应在接到抢修通知后1 个小时内赶到现场，一般硬件故障应在4小时内排除故障，维修所用配件必须为原厂配件。若设备故障在4小时后仍无法排除，中标人应在24小时内免费提供未经使用过的、不低于故障设备功率容量规格型号的、全新的设备供采购人使用，直至故障设备完全修复后重新就位恢复工作，此过程所产生的一切费用由中标人承担，并确保不能给采购人正常业务和医疗工作带来影响，如因此造成重大事故或社会影响的，采购人有权对中标人追究相关责任和要求经济赔偿。提供承诺函。</w:t>
      </w:r>
      <w:r>
        <w:rPr>
          <w:rFonts w:hint="eastAsia" w:ascii="宋体" w:hAnsi="宋体"/>
          <w:bCs/>
          <w:color w:val="000000"/>
          <w:sz w:val="24"/>
          <w:highlight w:val="none"/>
        </w:rPr>
      </w:r>
      <w:r/>
    </w:p>
    <w:p>
      <w:pPr>
        <w:pStyle w:val="1070"/>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i/>
          <w:iCs/>
          <w:color w:val="000000"/>
          <w:sz w:val="24"/>
          <w:highlight w:val="none"/>
        </w:rPr>
        <w:t xml:space="preserve">★6.中标人在第一年服务期内需对2号楼和科教楼的 UPS 蓄电池提供一次免费更换服务。更换时要求按 UPS 原有配置的蓄电池数量、规格、品牌进行更换。蓄电池更换费用由中标人承担，采购人不再另外支付。提供承诺函。</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ascii="宋体" w:hAnsi="宋体"/>
          <w:b/>
          <w:color w:val="000000"/>
          <w:highlight w:val="none"/>
        </w:rPr>
      </w:pPr>
      <w:r>
        <w:rPr>
          <w:rFonts w:hint="eastAsia" w:ascii="宋体" w:hAnsi="宋体"/>
          <w:bCs/>
          <w:color w:val="000000"/>
          <w:sz w:val="24"/>
          <w:highlight w:val="none"/>
        </w:rPr>
        <w:t xml:space="preserve">更换蓄电池的详细部位、规格型号及数量列表：</w:t>
      </w:r>
      <w:r>
        <w:rPr>
          <w:rFonts w:ascii="宋体" w:hAnsi="宋体"/>
          <w:b/>
          <w:color w:val="000000"/>
          <w:highlight w:val="none"/>
        </w:rPr>
      </w:r>
      <w:r/>
    </w:p>
    <w:tbl>
      <w:tblPr>
        <w:tblW w:w="87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75"/>
        <w:gridCol w:w="4995"/>
        <w:gridCol w:w="1499"/>
      </w:tblGrid>
      <w:tr>
        <w:trPr>
          <w:trHeight w:val="645"/>
        </w:trPr>
        <w:tc>
          <w:tcPr>
            <w:tcW w:w="812" w:type="dxa"/>
            <w:vAlign w:val="center"/>
            <w:textDirection w:val="lrTb"/>
            <w:noWrap w:val="false"/>
          </w:tcPr>
          <w:p>
            <w:pPr>
              <w:pStyle w:val="107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75" w:type="dxa"/>
            <w:vAlign w:val="center"/>
            <w:textDirection w:val="lrTb"/>
            <w:noWrap w:val="false"/>
          </w:tcPr>
          <w:p>
            <w:pPr>
              <w:pStyle w:val="107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更换蓄电池型号</w:t>
            </w:r>
            <w:r>
              <w:rPr>
                <w:rFonts w:ascii="宋体" w:hAnsi="宋体" w:cs="宋体"/>
                <w:b/>
                <w:bCs/>
                <w:color w:val="000000"/>
                <w:sz w:val="24"/>
                <w:highlight w:val="none"/>
              </w:rPr>
            </w:r>
            <w:r/>
          </w:p>
        </w:tc>
        <w:tc>
          <w:tcPr>
            <w:tcW w:w="4995" w:type="dxa"/>
            <w:vAlign w:val="center"/>
            <w:textDirection w:val="lrTb"/>
            <w:noWrap w:val="false"/>
          </w:tcPr>
          <w:p>
            <w:pPr>
              <w:pStyle w:val="107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更换部位</w:t>
            </w:r>
            <w:r>
              <w:rPr>
                <w:rFonts w:ascii="宋体" w:hAnsi="宋体" w:cs="宋体"/>
                <w:b/>
                <w:bCs/>
                <w:color w:val="000000"/>
                <w:sz w:val="24"/>
                <w:highlight w:val="none"/>
              </w:rPr>
            </w:r>
            <w:r/>
          </w:p>
        </w:tc>
        <w:tc>
          <w:tcPr>
            <w:tcW w:w="1499" w:type="dxa"/>
            <w:vAlign w:val="center"/>
            <w:textDirection w:val="lrTb"/>
            <w:noWrap w:val="false"/>
          </w:tcPr>
          <w:p>
            <w:pPr>
              <w:pStyle w:val="107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蓄电池数量  （单位节）</w:t>
            </w:r>
            <w:r>
              <w:rPr>
                <w:rFonts w:ascii="宋体" w:hAnsi="宋体" w:cs="宋体"/>
                <w:b/>
                <w:bCs/>
                <w:color w:val="000000"/>
                <w:sz w:val="24"/>
                <w:highlight w:val="none"/>
              </w:rPr>
            </w:r>
            <w:r/>
          </w:p>
        </w:tc>
      </w:tr>
      <w:tr>
        <w:trPr>
          <w:trHeight w:val="120"/>
        </w:trPr>
        <w:tc>
          <w:tcPr>
            <w:shd w:val="clear" w:color="000000" w:fill="ffffff"/>
            <w:tcW w:w="812" w:type="dxa"/>
            <w:vAlign w:val="center"/>
            <w:textDirection w:val="lrTb"/>
            <w:noWrap w:val="false"/>
          </w:tcPr>
          <w:p>
            <w:pPr>
              <w:pStyle w:val="1070"/>
              <w:jc w:val="center"/>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shd w:val="clear" w:color="000000" w:fill="ffffff"/>
            <w:tcW w:w="1475" w:type="dxa"/>
            <w:vAlign w:val="center"/>
            <w:textDirection w:val="lrTb"/>
            <w:noWrap w:val="false"/>
          </w:tcPr>
          <w:p>
            <w:pPr>
              <w:pStyle w:val="1070"/>
              <w:jc w:val="center"/>
              <w:rPr>
                <w:rFonts w:ascii="宋体" w:hAnsi="宋体" w:cs="宋体"/>
                <w:color w:val="000000"/>
                <w:sz w:val="24"/>
                <w:highlight w:val="none"/>
              </w:rPr>
            </w:pPr>
            <w:r>
              <w:rPr>
                <w:rFonts w:hint="eastAsia" w:ascii="宋体" w:hAnsi="宋体" w:cs="宋体"/>
                <w:color w:val="000000"/>
                <w:sz w:val="24"/>
                <w:highlight w:val="none"/>
              </w:rPr>
              <w:t xml:space="preserve">12V24AH</w:t>
            </w:r>
            <w:r>
              <w:rPr>
                <w:rFonts w:ascii="宋体" w:hAnsi="宋体" w:cs="宋体"/>
                <w:color w:val="000000"/>
                <w:sz w:val="24"/>
                <w:highlight w:val="none"/>
              </w:rPr>
            </w:r>
            <w:r/>
          </w:p>
        </w:tc>
        <w:tc>
          <w:tcPr>
            <w:shd w:val="clear" w:color="000000" w:fill="ffffff"/>
            <w:tcW w:w="4995" w:type="dxa"/>
            <w:vAlign w:val="center"/>
            <w:textDirection w:val="lrTb"/>
            <w:noWrap w:val="false"/>
          </w:tcPr>
          <w:p>
            <w:pPr>
              <w:pStyle w:val="1070"/>
              <w:jc w:val="center"/>
              <w:rPr>
                <w:rFonts w:ascii="宋体" w:hAnsi="宋体" w:cs="宋体"/>
                <w:color w:val="000000"/>
                <w:sz w:val="24"/>
                <w:highlight w:val="none"/>
              </w:rPr>
            </w:pPr>
            <w:r>
              <w:rPr>
                <w:rFonts w:hint="eastAsia" w:ascii="宋体" w:hAnsi="宋体" w:cs="宋体"/>
                <w:color w:val="000000"/>
                <w:sz w:val="24"/>
                <w:highlight w:val="none"/>
              </w:rPr>
              <w:t xml:space="preserve">2号楼两套25KVA UPS，每套32节。</w:t>
            </w:r>
            <w:r>
              <w:rPr>
                <w:rFonts w:ascii="宋体" w:hAnsi="宋体" w:cs="宋体"/>
                <w:color w:val="000000"/>
                <w:sz w:val="24"/>
                <w:highlight w:val="none"/>
              </w:rPr>
            </w:r>
            <w:r/>
          </w:p>
        </w:tc>
        <w:tc>
          <w:tcPr>
            <w:shd w:val="clear" w:color="000000" w:fill="ffffff"/>
            <w:tcW w:w="1499" w:type="dxa"/>
            <w:vAlign w:val="center"/>
            <w:textDirection w:val="lrTb"/>
            <w:noWrap w:val="false"/>
          </w:tcPr>
          <w:p>
            <w:pPr>
              <w:pStyle w:val="1070"/>
              <w:jc w:val="center"/>
              <w:rPr>
                <w:rFonts w:ascii="宋体" w:hAnsi="宋体" w:cs="宋体"/>
                <w:color w:val="000000"/>
                <w:sz w:val="24"/>
                <w:highlight w:val="none"/>
              </w:rPr>
            </w:pPr>
            <w:r>
              <w:rPr>
                <w:rFonts w:hint="eastAsia" w:ascii="宋体" w:hAnsi="宋体" w:cs="宋体"/>
                <w:color w:val="000000"/>
                <w:sz w:val="24"/>
                <w:highlight w:val="none"/>
              </w:rPr>
              <w:t xml:space="preserve">64</w:t>
            </w:r>
            <w:r>
              <w:rPr>
                <w:rFonts w:ascii="宋体" w:hAnsi="宋体" w:cs="宋体"/>
                <w:color w:val="000000"/>
                <w:sz w:val="24"/>
                <w:highlight w:val="none"/>
              </w:rPr>
            </w:r>
            <w:r/>
          </w:p>
        </w:tc>
      </w:tr>
      <w:tr>
        <w:trPr>
          <w:trHeight w:val="102"/>
        </w:trPr>
        <w:tc>
          <w:tcPr>
            <w:tcW w:w="812" w:type="dxa"/>
            <w:vAlign w:val="center"/>
            <w:textDirection w:val="lrTb"/>
            <w:noWrap/>
          </w:tcPr>
          <w:p>
            <w:pPr>
              <w:pStyle w:val="1070"/>
              <w:jc w:val="center"/>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475" w:type="dxa"/>
            <w:vAlign w:val="center"/>
            <w:textDirection w:val="lrTb"/>
            <w:noWrap/>
          </w:tcPr>
          <w:p>
            <w:pPr>
              <w:pStyle w:val="1070"/>
              <w:jc w:val="center"/>
              <w:rPr>
                <w:rFonts w:ascii="宋体" w:hAnsi="宋体" w:cs="宋体"/>
                <w:color w:val="000000"/>
                <w:sz w:val="24"/>
                <w:highlight w:val="none"/>
              </w:rPr>
            </w:pPr>
            <w:r>
              <w:rPr>
                <w:rFonts w:hint="eastAsia" w:ascii="宋体" w:hAnsi="宋体" w:cs="宋体"/>
                <w:color w:val="000000"/>
                <w:sz w:val="24"/>
                <w:highlight w:val="none"/>
              </w:rPr>
              <w:t xml:space="preserve">12V65AH</w:t>
            </w:r>
            <w:r>
              <w:rPr>
                <w:rFonts w:ascii="宋体" w:hAnsi="宋体" w:cs="宋体"/>
                <w:color w:val="000000"/>
                <w:sz w:val="24"/>
                <w:highlight w:val="none"/>
              </w:rPr>
            </w:r>
            <w:r/>
          </w:p>
        </w:tc>
        <w:tc>
          <w:tcPr>
            <w:tcW w:w="4995" w:type="dxa"/>
            <w:vAlign w:val="center"/>
            <w:textDirection w:val="lrTb"/>
            <w:noWrap w:val="false"/>
          </w:tcPr>
          <w:p>
            <w:pPr>
              <w:pStyle w:val="1070"/>
              <w:jc w:val="center"/>
              <w:rPr>
                <w:rFonts w:ascii="宋体" w:hAnsi="宋体" w:cs="宋体"/>
                <w:color w:val="000000"/>
                <w:sz w:val="24"/>
                <w:highlight w:val="none"/>
              </w:rPr>
            </w:pPr>
            <w:r>
              <w:rPr>
                <w:rFonts w:hint="eastAsia" w:ascii="宋体" w:hAnsi="宋体" w:cs="宋体"/>
                <w:color w:val="000000"/>
                <w:sz w:val="24"/>
                <w:highlight w:val="none"/>
              </w:rPr>
              <w:t xml:space="preserve">2号楼一套60KVA UPS，配置32节。</w:t>
            </w:r>
            <w:r>
              <w:rPr>
                <w:rFonts w:ascii="宋体" w:hAnsi="宋体" w:cs="宋体"/>
                <w:color w:val="000000"/>
                <w:sz w:val="24"/>
                <w:highlight w:val="none"/>
              </w:rPr>
            </w:r>
            <w:r/>
          </w:p>
        </w:tc>
        <w:tc>
          <w:tcPr>
            <w:tcW w:w="1499" w:type="dxa"/>
            <w:vAlign w:val="center"/>
            <w:textDirection w:val="lrTb"/>
            <w:noWrap/>
          </w:tcPr>
          <w:p>
            <w:pPr>
              <w:pStyle w:val="1070"/>
              <w:jc w:val="center"/>
              <w:rPr>
                <w:rFonts w:ascii="宋体" w:hAnsi="宋体" w:cs="宋体"/>
                <w:color w:val="000000"/>
                <w:sz w:val="24"/>
                <w:highlight w:val="none"/>
              </w:rPr>
            </w:pPr>
            <w:r>
              <w:rPr>
                <w:rFonts w:hint="eastAsia" w:ascii="宋体" w:hAnsi="宋体" w:cs="宋体"/>
                <w:color w:val="000000"/>
                <w:sz w:val="24"/>
                <w:highlight w:val="none"/>
              </w:rPr>
              <w:t xml:space="preserve">32</w:t>
            </w:r>
            <w:r>
              <w:rPr>
                <w:rFonts w:ascii="宋体" w:hAnsi="宋体" w:cs="宋体"/>
                <w:color w:val="000000"/>
                <w:sz w:val="24"/>
                <w:highlight w:val="none"/>
              </w:rPr>
            </w:r>
            <w:r/>
          </w:p>
        </w:tc>
      </w:tr>
      <w:tr>
        <w:trPr>
          <w:trHeight w:val="162"/>
        </w:trPr>
        <w:tc>
          <w:tcPr>
            <w:tcW w:w="812" w:type="dxa"/>
            <w:vAlign w:val="center"/>
            <w:textDirection w:val="lrTb"/>
            <w:noWrap/>
          </w:tcPr>
          <w:p>
            <w:pPr>
              <w:pStyle w:val="1070"/>
              <w:jc w:val="center"/>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475" w:type="dxa"/>
            <w:vAlign w:val="center"/>
            <w:textDirection w:val="lrTb"/>
            <w:noWrap/>
          </w:tcPr>
          <w:p>
            <w:pPr>
              <w:pStyle w:val="1070"/>
              <w:jc w:val="center"/>
              <w:rPr>
                <w:rFonts w:ascii="宋体" w:hAnsi="宋体" w:cs="宋体"/>
                <w:color w:val="000000"/>
                <w:sz w:val="24"/>
                <w:highlight w:val="none"/>
              </w:rPr>
            </w:pPr>
            <w:r>
              <w:rPr>
                <w:rFonts w:hint="eastAsia" w:ascii="宋体" w:hAnsi="宋体" w:cs="宋体"/>
                <w:color w:val="000000"/>
                <w:sz w:val="24"/>
                <w:highlight w:val="none"/>
              </w:rPr>
              <w:t xml:space="preserve">12V100AH</w:t>
            </w:r>
            <w:r>
              <w:rPr>
                <w:rFonts w:ascii="宋体" w:hAnsi="宋体" w:cs="宋体"/>
                <w:color w:val="000000"/>
                <w:sz w:val="24"/>
                <w:highlight w:val="none"/>
              </w:rPr>
            </w:r>
            <w:r/>
          </w:p>
        </w:tc>
        <w:tc>
          <w:tcPr>
            <w:tcW w:w="4995" w:type="dxa"/>
            <w:vAlign w:val="center"/>
            <w:textDirection w:val="lrTb"/>
            <w:noWrap/>
          </w:tcPr>
          <w:p>
            <w:pPr>
              <w:pStyle w:val="1070"/>
              <w:jc w:val="center"/>
              <w:rPr>
                <w:rFonts w:ascii="宋体" w:hAnsi="宋体" w:cs="宋体"/>
                <w:color w:val="000000"/>
                <w:sz w:val="24"/>
                <w:highlight w:val="none"/>
              </w:rPr>
            </w:pPr>
            <w:r>
              <w:rPr>
                <w:rFonts w:hint="eastAsia" w:ascii="宋体" w:hAnsi="宋体" w:cs="宋体"/>
                <w:color w:val="000000"/>
                <w:sz w:val="24"/>
                <w:highlight w:val="none"/>
              </w:rPr>
              <w:t xml:space="preserve">2号楼两套80KVA UPS，每套32节；两套60KVA UPS，每套34节；一套40KVA UPS，配置64节；科教楼一套10KVA UPS，配置16节。</w:t>
            </w:r>
            <w:r>
              <w:rPr>
                <w:rFonts w:ascii="宋体" w:hAnsi="宋体" w:cs="宋体"/>
                <w:color w:val="000000"/>
                <w:sz w:val="24"/>
                <w:highlight w:val="none"/>
              </w:rPr>
            </w:r>
            <w:r/>
          </w:p>
        </w:tc>
        <w:tc>
          <w:tcPr>
            <w:tcW w:w="1499" w:type="dxa"/>
            <w:vAlign w:val="center"/>
            <w:textDirection w:val="lrTb"/>
            <w:noWrap/>
          </w:tcPr>
          <w:p>
            <w:pPr>
              <w:pStyle w:val="1070"/>
              <w:jc w:val="center"/>
              <w:rPr>
                <w:rFonts w:ascii="宋体" w:hAnsi="宋体" w:cs="宋体"/>
                <w:color w:val="000000"/>
                <w:sz w:val="24"/>
                <w:highlight w:val="none"/>
              </w:rPr>
            </w:pPr>
            <w:r>
              <w:rPr>
                <w:rFonts w:hint="eastAsia" w:ascii="宋体" w:hAnsi="宋体" w:cs="宋体"/>
                <w:color w:val="000000"/>
                <w:sz w:val="24"/>
                <w:highlight w:val="none"/>
              </w:rPr>
              <w:t xml:space="preserve">212</w:t>
            </w:r>
            <w:r>
              <w:rPr>
                <w:rFonts w:ascii="宋体" w:hAnsi="宋体" w:cs="宋体"/>
                <w:color w:val="000000"/>
                <w:sz w:val="24"/>
                <w:highlight w:val="none"/>
              </w:rPr>
            </w:r>
            <w:r/>
          </w:p>
        </w:tc>
      </w:tr>
    </w:tbl>
    <w:p>
      <w:pPr>
        <w:pStyle w:val="1070"/>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i/>
          <w:iCs/>
          <w:color w:val="000000"/>
          <w:sz w:val="24"/>
          <w:highlight w:val="none"/>
        </w:rPr>
        <w:t xml:space="preserve">★7.中标人在第一年服务期内需对1号楼、2号楼、科教楼信息机房目前使用的UPS和精密空调监测报警功能软件管理平台进行免费升级改造，整合为一套统一的管理软件，今后可以在一个软件管理平台对全院信息中心机房UPS和精密空调进行实时监测和管理。在改造升级过程中产生的软件、硬件和人工费用由中标供应商承担。提供承诺函。</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8.中标人应严格执行相关安全、文明施工的规定，并对其维护人员的人身安全负责，对施工现场的交通安全负责，发生任何安全事故由中标人自行负责。</w:t>
      </w:r>
      <w:r>
        <w:rPr>
          <w:rFonts w:hint="eastAsia" w:ascii="宋体" w:hAnsi="宋体"/>
          <w:bCs/>
          <w:color w:val="000000"/>
          <w:sz w:val="24"/>
          <w:highlight w:val="none"/>
        </w:rPr>
      </w:r>
      <w:r/>
    </w:p>
    <w:p>
      <w:pPr>
        <w:pStyle w:val="1070"/>
        <w:contextualSpacing/>
        <w:ind w:left="-2" w:firstLine="482"/>
        <w:spacing w:line="360" w:lineRule="auto"/>
        <w:tabs>
          <w:tab w:val="left" w:pos="567" w:leader="none"/>
        </w:tabs>
        <w:rPr>
          <w:rFonts w:hint="eastAsia" w:ascii="宋体" w:hAnsi="宋体" w:eastAsia="宋体"/>
          <w:b/>
          <w:bCs w:val="0"/>
          <w:i/>
          <w:iCs/>
          <w:color w:val="000000"/>
          <w:sz w:val="24"/>
          <w:highlight w:val="none"/>
          <w:lang w:val="en-US" w:eastAsia="zh-CN"/>
        </w:rPr>
      </w:pPr>
      <w:r>
        <w:rPr>
          <w:rFonts w:hint="eastAsia" w:ascii="宋体" w:hAnsi="宋体"/>
          <w:b/>
          <w:bCs w:val="0"/>
          <w:i/>
          <w:iCs/>
          <w:color w:val="000000"/>
          <w:sz w:val="24"/>
          <w:highlight w:val="none"/>
        </w:rPr>
        <w:t xml:space="preserve">★</w:t>
      </w:r>
      <w:r>
        <w:rPr>
          <w:rFonts w:hint="eastAsia" w:ascii="宋体" w:hAnsi="宋体"/>
          <w:b/>
          <w:bCs w:val="0"/>
          <w:i/>
          <w:iCs/>
          <w:color w:val="000000"/>
          <w:sz w:val="24"/>
          <w:highlight w:val="none"/>
        </w:rPr>
        <w:t xml:space="preserve">9.</w:t>
      </w:r>
      <w:r>
        <w:rPr>
          <w:rFonts w:hint="eastAsia" w:ascii="宋体" w:hAnsi="宋体"/>
          <w:b/>
          <w:bCs w:val="0"/>
          <w:i/>
          <w:iCs/>
          <w:color w:val="000000"/>
          <w:sz w:val="24"/>
          <w:highlight w:val="none"/>
          <w:lang w:val="en-US" w:eastAsia="zh-CN"/>
        </w:rPr>
        <w:t xml:space="preserve">中标人在合同签订后10日内提供</w:t>
      </w:r>
      <w:r>
        <w:rPr>
          <w:rFonts w:hint="eastAsia" w:ascii="宋体" w:hAnsi="宋体"/>
          <w:b/>
          <w:bCs w:val="0"/>
          <w:i/>
          <w:iCs/>
          <w:color w:val="000000"/>
          <w:sz w:val="24"/>
          <w:highlight w:val="none"/>
        </w:rPr>
        <w:t xml:space="preserve">精密空调的1台原厂压缩机、皮带、滤网等作为备件存放于院方机房</w:t>
      </w:r>
      <w:r>
        <w:rPr>
          <w:rFonts w:hint="eastAsia" w:ascii="宋体" w:hAnsi="宋体"/>
          <w:b/>
          <w:bCs w:val="0"/>
          <w:i/>
          <w:iCs/>
          <w:color w:val="000000"/>
          <w:sz w:val="24"/>
          <w:highlight w:val="none"/>
          <w:lang w:eastAsia="zh-CN"/>
        </w:rPr>
        <w:t xml:space="preserve">。（</w:t>
      </w:r>
      <w:r>
        <w:rPr>
          <w:rFonts w:hint="eastAsia" w:ascii="宋体" w:hAnsi="宋体"/>
          <w:b/>
          <w:bCs w:val="0"/>
          <w:i/>
          <w:iCs/>
          <w:color w:val="000000"/>
          <w:sz w:val="24"/>
          <w:highlight w:val="none"/>
          <w:lang w:val="en-US" w:eastAsia="zh-CN"/>
        </w:rPr>
        <w:t xml:space="preserve">提供承诺函</w:t>
      </w:r>
      <w:r>
        <w:rPr>
          <w:rFonts w:hint="eastAsia" w:ascii="宋体" w:hAnsi="宋体"/>
          <w:b/>
          <w:bCs w:val="0"/>
          <w:i/>
          <w:iCs/>
          <w:color w:val="000000"/>
          <w:sz w:val="24"/>
          <w:highlight w:val="none"/>
          <w:lang w:eastAsia="zh-CN"/>
        </w:rPr>
        <w:t xml:space="preserve">）</w:t>
      </w:r>
      <w:r>
        <w:rPr>
          <w:rFonts w:hint="eastAsia" w:ascii="宋体" w:hAnsi="宋体" w:eastAsia="宋体"/>
          <w:b/>
          <w:bCs w:val="0"/>
          <w:i/>
          <w:iCs/>
          <w:color w:val="000000"/>
          <w:sz w:val="24"/>
          <w:highlight w:val="none"/>
          <w:lang w:val="en-US" w:eastAsia="zh-CN"/>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10.满足采购人交办的其他临时服务内容。</w:t>
      </w:r>
      <w:r>
        <w:rPr>
          <w:rFonts w:hint="eastAsia" w:ascii="宋体" w:hAnsi="宋体"/>
          <w:bCs/>
          <w:color w:val="000000"/>
          <w:sz w:val="24"/>
          <w:highlight w:val="none"/>
        </w:rPr>
      </w:r>
      <w:r/>
    </w:p>
    <w:p>
      <w:pPr>
        <w:pStyle w:val="1070"/>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四、其他要求</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1.电话和在线技术支持：提供7*24在线和电话支持，为设备的所有硬件和软件故障提供7*24小时不限次的在线和电话支持服务。</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2.免费故障硬件更换，保证系统不间断运行。如果服务覆盖的硬件出现无法远程解决的故障，中标人将安排工程师提供上门维修服务，在续保期内硬件配件及上门服务费用全免。</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3.现场支持服务：提供现场技术支持服务。针对在设备运行中出现的故障，通过电话仍无法解决问题，提供现场技术支持服务。现场技术支持包括故障诊断、提交解决方案、系统数据（参数）恢复等服务。</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4.应急服务：如系统运行出现异常情况时，必须保证在接到用户报修电话后，根据系统故障的紧急程度，将在1小时内指派合格的工程师到达故障现场，通过现场排除缺陷或替换出现故障“产品”等方式，在规定时间内完成维修任务，使设备运行无忧，无需另行支付额外费用，不限定应急服务次数。</w:t>
      </w:r>
      <w:r>
        <w:rPr>
          <w:rFonts w:hint="eastAsia" w:ascii="宋体" w:hAnsi="宋体"/>
          <w:bCs/>
          <w:color w:val="000000"/>
          <w:sz w:val="24"/>
          <w:highlight w:val="none"/>
        </w:rPr>
      </w:r>
      <w:r/>
    </w:p>
    <w:p>
      <w:pPr>
        <w:pStyle w:val="1070"/>
        <w:ind w:firstLine="482"/>
        <w:spacing w:line="360" w:lineRule="exact"/>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五、报价方式</w:t>
      </w:r>
      <w:r>
        <w:rPr>
          <w:rFonts w:hint="eastAsia" w:ascii="宋体" w:hAnsi="宋体" w:cs="宋体"/>
          <w:b/>
          <w:bCs/>
          <w:color w:val="000000"/>
          <w:sz w:val="24"/>
          <w:highlight w:val="none"/>
        </w:rPr>
      </w:r>
      <w:r/>
    </w:p>
    <w:p>
      <w:pPr>
        <w:pStyle w:val="1164"/>
        <w:contextualSpacing/>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本项目报价为</w:t>
      </w:r>
      <w:r>
        <w:rPr>
          <w:rFonts w:hint="eastAsia" w:ascii="宋体" w:hAnsi="宋体" w:cs="宋体"/>
          <w:b/>
          <w:bCs/>
          <w:color w:val="000000"/>
          <w:sz w:val="24"/>
          <w:szCs w:val="24"/>
          <w:highlight w:val="none"/>
          <w:u w:val="single"/>
        </w:rPr>
        <w:t xml:space="preserve">固定总价</w:t>
      </w:r>
      <w:r>
        <w:rPr>
          <w:rFonts w:hint="eastAsia" w:ascii="宋体" w:hAnsi="宋体" w:cs="宋体"/>
          <w:color w:val="000000"/>
          <w:sz w:val="24"/>
          <w:szCs w:val="24"/>
          <w:highlight w:val="none"/>
        </w:rPr>
        <w:t xml:space="preserve">，投标总价应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szCs w:val="24"/>
          <w:highlight w:val="none"/>
        </w:rPr>
      </w:r>
      <w:r/>
    </w:p>
    <w:p>
      <w:pPr>
        <w:pStyle w:val="1164"/>
        <w:contextualSpacing/>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szCs w:val="24"/>
          <w:highlight w:val="none"/>
        </w:rPr>
        <w:t xml:space="preserve">报价货币为人民币，评审时以人民币为准。</w:t>
      </w:r>
      <w:r>
        <w:rPr>
          <w:rFonts w:hint="eastAsia" w:ascii="宋体" w:hAnsi="宋体" w:cs="宋体"/>
          <w:color w:val="000000"/>
          <w:sz w:val="24"/>
          <w:highlight w:val="none"/>
          <w:lang w:val="zh-CN"/>
        </w:rPr>
      </w:r>
      <w:r/>
    </w:p>
    <w:p>
      <w:pPr>
        <w:pStyle w:val="1164"/>
        <w:contextualSpacing/>
        <w:ind w:firstLine="482"/>
        <w:jc w:val="left"/>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六、服务期限：</w:t>
      </w:r>
      <w:r>
        <w:rPr>
          <w:rFonts w:hint="eastAsia" w:ascii="宋体" w:hAnsi="宋体"/>
          <w:color w:val="000000"/>
          <w:sz w:val="24"/>
          <w:szCs w:val="24"/>
          <w:highlight w:val="none"/>
        </w:rPr>
        <w:t xml:space="preserve">三年，合同一年一签。前一年合同期满，经采购人考核合格后方可续签下一年合同。</w:t>
      </w:r>
      <w:r>
        <w:rPr>
          <w:rFonts w:hint="eastAsia" w:ascii="宋体" w:hAnsi="宋体"/>
          <w:color w:val="000000"/>
          <w:sz w:val="24"/>
          <w:szCs w:val="24"/>
          <w:highlight w:val="none"/>
        </w:rPr>
      </w:r>
      <w:r/>
    </w:p>
    <w:p>
      <w:pPr>
        <w:pStyle w:val="1164"/>
        <w:contextualSpacing/>
        <w:ind w:firstLine="482"/>
        <w:jc w:val="left"/>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七、付款方式</w:t>
      </w:r>
      <w:r>
        <w:rPr>
          <w:rFonts w:hint="eastAsia" w:ascii="宋体" w:hAnsi="宋体"/>
          <w:b/>
          <w:bCs/>
          <w:color w:val="000000"/>
          <w:sz w:val="24"/>
          <w:szCs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维保费用每半年度支付。维保服务满半年后，且经采购人考核合格后，支付当年度维保费用的50%。</w:t>
      </w:r>
      <w:r>
        <w:rPr>
          <w:rFonts w:hint="eastAsia" w:ascii="宋体" w:hAnsi="宋体"/>
          <w:bCs/>
          <w:color w:val="000000"/>
          <w:sz w:val="24"/>
          <w:highlight w:val="none"/>
        </w:rPr>
      </w:r>
      <w:r/>
    </w:p>
    <w:p>
      <w:pPr>
        <w:pStyle w:val="1070"/>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注：满足付款条件后，中标人开具发票，采购人在收到发票后30个工作日内支付。</w:t>
      </w:r>
      <w:r>
        <w:rPr>
          <w:rFonts w:ascii="宋体" w:hAnsi="宋体"/>
          <w:bCs/>
          <w:color w:val="000000"/>
          <w:sz w:val="24"/>
          <w:highlight w:val="none"/>
        </w:rPr>
      </w:r>
      <w:r/>
    </w:p>
    <w:p>
      <w:pPr>
        <w:pStyle w:val="1070"/>
        <w:contextualSpacing/>
        <w:ind w:left="-2" w:firstLine="480"/>
        <w:spacing w:line="360" w:lineRule="auto"/>
        <w:tabs>
          <w:tab w:val="left" w:pos="567" w:leader="none"/>
        </w:tabs>
        <w:rPr>
          <w:rFonts w:ascii="宋体" w:hAnsi="宋体"/>
          <w:b/>
          <w:color w:val="000000"/>
          <w:sz w:val="36"/>
          <w:szCs w:val="36"/>
          <w:highlight w:val="none"/>
        </w:rPr>
      </w:pPr>
      <w:r>
        <w:rPr>
          <w:rFonts w:hint="eastAsia" w:ascii="宋体" w:hAnsi="宋体"/>
          <w:bCs/>
          <w:color w:val="000000"/>
          <w:sz w:val="24"/>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bookmarkStart w:id="815" w:name="_Toc99301425"/>
      <w:r>
        <w:rPr>
          <w:rFonts w:ascii="宋体" w:hAnsi="宋体"/>
          <w:b/>
          <w:color w:val="000000"/>
          <w:sz w:val="36"/>
          <w:szCs w:val="36"/>
          <w:highlight w:val="none"/>
        </w:rPr>
        <w:t xml:space="preserve">第六章   拟签订的合同文本</w:t>
      </w:r>
      <w:bookmarkEnd w:id="815"/>
      <w:r>
        <w:rPr>
          <w:rFonts w:ascii="宋体" w:hAnsi="宋体"/>
          <w:b/>
          <w:color w:val="000000"/>
          <w:sz w:val="36"/>
          <w:szCs w:val="36"/>
          <w:highlight w:val="none"/>
        </w:rPr>
      </w:r>
      <w:r/>
    </w:p>
    <w:p>
      <w:pPr>
        <w:pStyle w:val="1109"/>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0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投标人（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4"/>
        <w:ind w:firstLine="552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1070"/>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w:t>
      </w:r>
      <w:r>
        <w:rPr>
          <w:rFonts w:hint="eastAsia" w:ascii="宋体" w:hAnsi="宋体" w:cs="宋体"/>
          <w:b/>
          <w:bCs/>
          <w:color w:val="000000"/>
          <w:sz w:val="24"/>
          <w:highlight w:val="none"/>
          <w:lang w:val="zh-CN"/>
        </w:rPr>
        <w:t xml:space="preserve">UPS和精密空调维保服务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1109"/>
        <w:ind w:firstLine="480"/>
        <w:spacing w:line="360" w:lineRule="auto"/>
        <w:rPr>
          <w:rFonts w:hAnsi="宋体" w:cs="宋体"/>
          <w:b/>
          <w:color w:val="000000"/>
          <w:sz w:val="24"/>
          <w:szCs w:val="24"/>
          <w:highlight w:val="none"/>
        </w:rPr>
      </w:pPr>
      <w:r>
        <w:rPr>
          <w:rFonts w:hAnsi="宋体"/>
          <w:bCs/>
          <w:color w:val="000000"/>
          <w:sz w:val="24"/>
          <w:highlight w:val="none"/>
        </w:rPr>
        <w:t xml:space="preserve">维保服务内容主要包括服务期内UPS、机房精密空调设备及环境动力监控系统的巡查、检修、保养、调试、维护等技术服务。</w:t>
      </w:r>
      <w:r>
        <w:rPr>
          <w:rFonts w:hAnsi="宋体" w:cs="宋体"/>
          <w:b/>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0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元</w:t>
      </w:r>
      <w:r>
        <w:rPr>
          <w:rFonts w:hAnsi="宋体" w:cs="宋体"/>
          <w:b/>
          <w:color w:val="000000"/>
          <w:sz w:val="24"/>
          <w:szCs w:val="24"/>
          <w:highlight w:val="none"/>
        </w:rPr>
        <w:t xml:space="preserve">（小写       ）。 </w:t>
      </w:r>
      <w:r>
        <w:rPr>
          <w:rFonts w:hAnsi="宋体" w:cs="宋体"/>
          <w:b/>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合同履行期限</w:t>
      </w:r>
      <w:r>
        <w:rPr>
          <w:rFonts w:hAnsi="宋体" w:cs="宋体"/>
          <w:b/>
          <w:color w:val="000000"/>
          <w:sz w:val="24"/>
          <w:szCs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本项目服务期限为三年（   年  月   日-   年  月  日），合同一年一签。本合同履行期限自    年  月  日至   年  月  日。其中：前三个月为试用期，试用期满须经甲方考核，考核不合格，甲方有权解除合同。每年合同期满经甲方考核合格后续签下一年度合同（考核分数低于   分不得续签）。</w:t>
      </w:r>
      <w:r>
        <w:rPr>
          <w:rFonts w:ascii="宋体" w:hAnsi="宋体" w:cs="宋体"/>
          <w:color w:val="000000"/>
          <w:sz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第四条 组成本合同的有关文件</w:t>
      </w:r>
      <w:r>
        <w:rPr>
          <w:rFonts w:hAnsi="宋体" w:cs="宋体"/>
          <w:b/>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合同款结算及支付</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0"/>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3.结算原则：固定总价。</w:t>
      </w:r>
      <w:r>
        <w:rPr>
          <w:rFonts w:hint="eastAsia" w:ascii="宋体" w:hAnsi="宋体" w:cs="宋体"/>
          <w:color w:val="000000"/>
          <w:sz w:val="24"/>
          <w:highlight w:val="none"/>
        </w:rPr>
      </w:r>
      <w:r/>
    </w:p>
    <w:p>
      <w:pPr>
        <w:pStyle w:val="1070"/>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cs="宋体"/>
          <w:color w:val="000000"/>
          <w:sz w:val="24"/>
          <w:highlight w:val="none"/>
        </w:rPr>
        <w:t xml:space="preserve">4.付款方式：</w:t>
      </w:r>
      <w:r>
        <w:rPr>
          <w:rFonts w:hint="eastAsia" w:ascii="宋体" w:hAnsi="宋体"/>
          <w:bCs/>
          <w:color w:val="000000"/>
          <w:sz w:val="24"/>
          <w:highlight w:val="none"/>
        </w:rPr>
        <w:t xml:space="preserve">维保费用每半年度支付。维保服务满半年后，且经采购人考核合格后，支付当年度维保费用的50%。</w:t>
      </w:r>
      <w:r>
        <w:rPr>
          <w:rFonts w:hint="eastAsia" w:ascii="宋体" w:hAnsi="宋体"/>
          <w:bCs/>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bCs/>
          <w:color w:val="000000"/>
          <w:sz w:val="24"/>
          <w:highlight w:val="none"/>
        </w:rPr>
        <w:t xml:space="preserve">注：满足付款条件后，中标人开具发票，采购人在收到发票后30个工作日内支付。</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违约责任</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1.如乙方不能按约定进行服务的，甲方有权解除合同，同时有权要求乙方按照合同总价5%的标准支付违约金，解除合同的通知自发出之日生效。</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2.甲方未按合同规定的期限向乙方支付货款的，每逾期1天甲方向乙方偿付欠款总额的5‰滞纳金，但累计滞纳金总额不超过欠款总额的5%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3.乙方未按本合同的规定和“服务承诺”提供伴随服务的，甲方有权提前解除本合同，同时乙方应按合同总价款的5 %向甲方承担违约责任。</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.乙方投标属虚假承诺，或是由于乙方的过错造成合同无法继续履行的，乙方应向甲方支付不少于合同总价30%违约金，若该违约金不足以弥补甲方损失，则应当赔偿甲方所有损失。</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.其他未尽事宜，以《民法典》等有关法律法规规定为准，无相关规定的，双方协商解决。</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合同的变更和终止</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合同的转让</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不可抗力</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w:t>
      </w:r>
      <w:r>
        <w:rPr>
          <w:rFonts w:hint="eastAsia" w:ascii="宋体" w:hAnsi="宋体" w:cs="宋体"/>
          <w:color w:val="000000"/>
          <w:sz w:val="24"/>
          <w:highlight w:val="none"/>
          <w:u w:val="single"/>
        </w:rPr>
        <w:t xml:space="preserve">   个</w:t>
      </w:r>
      <w:r>
        <w:rPr>
          <w:rFonts w:hint="eastAsia" w:ascii="宋体" w:hAnsi="宋体" w:cs="宋体"/>
          <w:color w:val="000000"/>
          <w:sz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争议的解决</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诚实信用 </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合同生效及其他</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0"/>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0"/>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开户银行：        账号：</w:t>
      </w:r>
      <w:r>
        <w:rPr>
          <w:rFonts w:ascii="宋体" w:hAnsi="宋体" w:cs="宋体"/>
          <w:color w:val="000000"/>
          <w:sz w:val="24"/>
          <w:highlight w:val="none"/>
        </w:rPr>
        <w:br w:type="page" w:clear="all"/>
      </w:r>
      <w:r>
        <w:rPr>
          <w:rFonts w:ascii="宋体" w:hAnsi="宋体" w:cs="宋体"/>
          <w:color w:val="000000"/>
          <w:sz w:val="24"/>
          <w:highlight w:val="none"/>
        </w:rPr>
      </w:r>
      <w:r/>
    </w:p>
    <w:p>
      <w:pPr>
        <w:pStyle w:val="1070"/>
        <w:jc w:val="center"/>
        <w:spacing w:line="360" w:lineRule="auto"/>
        <w:rPr>
          <w:rFonts w:ascii="宋体" w:hAnsi="宋体"/>
          <w:b/>
          <w:color w:val="000000"/>
          <w:sz w:val="36"/>
          <w:szCs w:val="36"/>
          <w:highlight w:val="none"/>
        </w:rPr>
        <w:outlineLvl w:val="0"/>
      </w:pPr>
      <w:r/>
      <w:bookmarkStart w:id="816" w:name="_Toc99301426"/>
      <w:r>
        <w:rPr>
          <w:rFonts w:ascii="宋体" w:hAnsi="宋体"/>
          <w:b/>
          <w:color w:val="000000"/>
          <w:sz w:val="36"/>
          <w:szCs w:val="36"/>
          <w:highlight w:val="none"/>
        </w:rPr>
        <w:t xml:space="preserve">第七章   投标文件格式</w:t>
      </w:r>
      <w:bookmarkEnd w:id="816"/>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4"/>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4"/>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r>
      <w:r/>
    </w:p>
    <w:p>
      <w:pPr>
        <w:pStyle w:val="1070"/>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7" w:name="_Toc480942349"/>
      <w:r/>
      <w:bookmarkStart w:id="818" w:name="_Toc226965829"/>
      <w:r/>
      <w:bookmarkStart w:id="819" w:name="_Ref467988698"/>
      <w:r/>
      <w:bookmarkStart w:id="820" w:name="_Toc195842921"/>
      <w:r/>
      <w:bookmarkStart w:id="821" w:name="_Toc150480794"/>
      <w:r/>
      <w:bookmarkStart w:id="822" w:name="_Toc226309800"/>
      <w:r/>
      <w:bookmarkStart w:id="823" w:name="_Toc226965746"/>
      <w:r/>
      <w:bookmarkStart w:id="824" w:name="_Toc150774761"/>
      <w:r/>
      <w:bookmarkStart w:id="825" w:name="_Toc127151556"/>
      <w:r/>
      <w:bookmarkStart w:id="826" w:name="_Toc142311058"/>
      <w:r/>
      <w:bookmarkStart w:id="827" w:name="_Toc226337252"/>
      <w:r/>
      <w:bookmarkStart w:id="828" w:name="_Toc520356217"/>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29" w:name="_Hlt520355938"/>
      <w:r/>
      <w:bookmarkEnd w:id="829"/>
      <w:r/>
      <w:bookmarkStart w:id="830" w:name="_Hlt520356243"/>
      <w:r/>
      <w:bookmarkEnd w:id="830"/>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2"/>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1"/>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2"/>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31" w:name="_Hlt520274065"/>
      <w:r/>
      <w:bookmarkEnd w:id="831"/>
      <w:r/>
      <w:bookmarkStart w:id="832" w:name="_Hlt520343392"/>
      <w:r/>
      <w:bookmarkEnd w:id="832"/>
      <w:r/>
      <w:bookmarkStart w:id="833" w:name="_Hlt520350918"/>
      <w:r/>
      <w:bookmarkEnd w:id="833"/>
      <w:r/>
      <w:bookmarkStart w:id="834" w:name="_Hlt520273711"/>
      <w:r/>
      <w:bookmarkEnd w:id="834"/>
      <w:r/>
      <w:bookmarkStart w:id="835" w:name="_Hlt520274407"/>
      <w:r/>
      <w:bookmarkEnd w:id="835"/>
      <w:r/>
      <w:bookmarkStart w:id="836" w:name="_Hlt520271212"/>
      <w:r/>
      <w:bookmarkEnd w:id="836"/>
      <w:r/>
      <w:bookmarkStart w:id="837" w:name="_Hlt520274121"/>
      <w:r/>
      <w:bookmarkEnd w:id="837"/>
      <w:r/>
      <w:bookmarkStart w:id="838" w:name="_Hlt520355504"/>
      <w:r/>
      <w:bookmarkEnd w:id="838"/>
      <w:r/>
      <w:bookmarkStart w:id="839" w:name="_Hlt520343000"/>
      <w:r/>
      <w:bookmarkEnd w:id="839"/>
      <w:r/>
      <w:bookmarkStart w:id="840" w:name="_Hlt520274393"/>
      <w:r/>
      <w:bookmarkEnd w:id="840"/>
      <w:r/>
      <w:bookmarkStart w:id="841" w:name="_Toc480942350"/>
      <w:r/>
      <w:bookmarkStart w:id="842" w:name="_Toc127151557"/>
      <w:r/>
      <w:bookmarkStart w:id="843" w:name="_Toc305158899"/>
      <w:r/>
      <w:bookmarkStart w:id="844" w:name="_Toc226309801"/>
      <w:r/>
      <w:bookmarkStart w:id="845" w:name="_Ref467988705"/>
      <w:r/>
      <w:bookmarkStart w:id="846" w:name="_Toc150774762"/>
      <w:r/>
      <w:bookmarkStart w:id="847" w:name="_Toc226337253"/>
      <w:r/>
      <w:bookmarkStart w:id="848" w:name="_Toc305158825"/>
      <w:r/>
      <w:bookmarkStart w:id="849" w:name="_Toc142311059"/>
      <w:r/>
      <w:bookmarkStart w:id="850" w:name="_Toc150480795"/>
      <w:r/>
      <w:bookmarkStart w:id="851" w:name="_Toc226965830"/>
      <w:r/>
      <w:bookmarkStart w:id="852" w:name="_Toc265228395"/>
      <w:r/>
      <w:bookmarkStart w:id="853" w:name="_Toc264969247"/>
      <w:r/>
      <w:bookmarkStart w:id="854" w:name="_Toc195842922"/>
      <w:r/>
      <w:bookmarkStart w:id="855" w:name="_Toc520356218"/>
      <w:r/>
      <w:bookmarkStart w:id="856" w:name="_Toc226965747"/>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57" w:name="_Toc226965748"/>
      <w:r/>
      <w:bookmarkStart w:id="858" w:name="_Toc226965831"/>
      <w:r/>
      <w:bookmarkStart w:id="859" w:name="_Toc226309802"/>
      <w:r/>
      <w:bookmarkStart w:id="860" w:name="_Toc164608827"/>
      <w:r/>
      <w:bookmarkStart w:id="861" w:name="_Toc164608672"/>
      <w:r/>
      <w:bookmarkStart w:id="862" w:name="_Toc264969248"/>
      <w:r/>
      <w:bookmarkStart w:id="863" w:name="_Toc226337254"/>
      <w:r/>
      <w:bookmarkStart w:id="864" w:name="_Toc265228396"/>
      <w:r/>
      <w:bookmarkStart w:id="865" w:name="_Toc305158826"/>
      <w:r/>
      <w:bookmarkStart w:id="866" w:name="_Toc305158900"/>
      <w:r/>
      <w:bookmarkStart w:id="867" w:name="_Toc195842923"/>
      <w:r>
        <w:rPr>
          <w:rFonts w:hint="eastAsia" w:ascii="宋体" w:hAnsi="宋体"/>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68" w:name="_Toc127151558"/>
      <w:r/>
      <w:bookmarkStart w:id="869" w:name="_Toc305158901"/>
      <w:r/>
      <w:bookmarkStart w:id="870" w:name="_Toc226965832"/>
      <w:r/>
      <w:bookmarkStart w:id="871" w:name="_Toc226965749"/>
      <w:r/>
      <w:bookmarkStart w:id="872" w:name="_Toc226309803"/>
      <w:r/>
      <w:bookmarkStart w:id="873" w:name="_Toc305158827"/>
      <w:r/>
      <w:bookmarkStart w:id="874" w:name="_Toc150480796"/>
      <w:r/>
      <w:bookmarkStart w:id="875" w:name="_Toc264969249"/>
      <w:r/>
      <w:bookmarkStart w:id="876" w:name="_Toc265228397"/>
      <w:r/>
      <w:bookmarkStart w:id="877" w:name="_Toc150774763"/>
      <w:r/>
      <w:bookmarkStart w:id="878" w:name="_Toc195842924"/>
      <w:r/>
      <w:bookmarkStart w:id="879" w:name="_Toc142311060"/>
      <w:r/>
      <w:bookmarkStart w:id="880" w:name="_Toc226337255"/>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42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53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42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253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423"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423"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423"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423"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423"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423"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3"/>
            <w:tcW w:w="4625"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4"/>
            <w:tcW w:w="4025"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bookmarkStart w:id="881" w:name="_Toc226965835"/>
      <w:r/>
      <w:bookmarkStart w:id="882" w:name="_Toc127151562"/>
      <w:r/>
      <w:bookmarkStart w:id="883" w:name="_Toc264969252"/>
      <w:r/>
      <w:bookmarkStart w:id="884" w:name="_Toc265228400"/>
      <w:r/>
      <w:bookmarkStart w:id="885" w:name="_Toc226337258"/>
      <w:r/>
      <w:bookmarkStart w:id="886" w:name="_Toc150774765"/>
      <w:r/>
      <w:bookmarkStart w:id="887" w:name="_Toc142311062"/>
      <w:r/>
      <w:bookmarkStart w:id="888" w:name="_Toc305158830"/>
      <w:r/>
      <w:bookmarkStart w:id="889" w:name="_Toc305158904"/>
      <w:r/>
      <w:bookmarkStart w:id="890" w:name="_Toc226965752"/>
      <w:r/>
      <w:bookmarkStart w:id="891" w:name="_Toc195842927"/>
      <w:r/>
      <w:bookmarkStart w:id="892" w:name="_Toc150480798"/>
      <w:r/>
      <w:bookmarkStart w:id="893" w:name="_Toc226309806"/>
      <w:r/>
      <w:bookmarkStart w:id="894" w:name="_Toc226965834"/>
      <w:r/>
      <w:bookmarkStart w:id="895" w:name="_Toc195842926"/>
      <w:r/>
      <w:bookmarkStart w:id="896" w:name="_Toc226337257"/>
      <w:r/>
      <w:bookmarkStart w:id="897" w:name="_Toc127151561"/>
      <w:r/>
      <w:bookmarkStart w:id="898" w:name="_Toc150480797"/>
      <w:r/>
      <w:bookmarkStart w:id="899" w:name="_Toc265228399"/>
      <w:r/>
      <w:bookmarkStart w:id="900" w:name="_Toc226309805"/>
      <w:r/>
      <w:bookmarkStart w:id="901" w:name="_Toc142311061"/>
      <w:r/>
      <w:bookmarkStart w:id="902" w:name="_Toc305158829"/>
      <w:r/>
      <w:bookmarkStart w:id="903" w:name="_Toc305158903"/>
      <w:r/>
      <w:bookmarkStart w:id="904" w:name="_Toc264969251"/>
      <w:r/>
      <w:bookmarkStart w:id="905" w:name="_Toc226965751"/>
      <w:r/>
      <w:bookmarkStart w:id="906" w:name="_Toc150774764"/>
      <w:r>
        <w:rPr>
          <w:rFonts w:hint="eastAsia" w:ascii="宋体" w:hAnsi="宋体"/>
          <w:color w:val="000000"/>
          <w:sz w:val="24"/>
          <w:highlight w:val="none"/>
        </w:rPr>
      </w:r>
      <w:r/>
    </w:p>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0"/>
        <w:jc w:val="center"/>
        <w:spacing w:before="240" w:after="240" w:line="360" w:lineRule="auto"/>
        <w:rPr>
          <w:rFonts w:ascii="宋体" w:hAnsi="宋体"/>
          <w:b/>
          <w:bCs/>
          <w:color w:val="000000"/>
          <w:sz w:val="36"/>
          <w:szCs w:val="36"/>
          <w:highlight w:val="none"/>
        </w:rPr>
      </w:pPr>
      <w:r>
        <w:rPr>
          <w:rFonts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70"/>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highlight w:val="none"/>
        </w:rPr>
      </w:r>
      <w:r/>
    </w:p>
    <w:p>
      <w:pPr>
        <w:pStyle w:val="1070"/>
        <w:numPr>
          <w:ilvl w:val="0"/>
          <w:numId w:val="14"/>
        </w:numPr>
        <w:ind w:left="284" w:right="236" w:firstLine="576"/>
        <w:jc w:val="left"/>
        <w:spacing w:line="360" w:lineRule="auto"/>
        <w:tabs>
          <w:tab w:val="left" w:pos="1276" w:leader="none"/>
          <w:tab w:val="left" w:pos="5005" w:leader="none"/>
          <w:tab w:val="left" w:pos="722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"_bookmark1"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numPr>
          <w:ilvl w:val="0"/>
          <w:numId w:val="14"/>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0"/>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1"/>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1"/>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Style w:val="1144"/>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4"/>
          <w:rFonts w:hint="eastAsia" w:ascii="方正魏碑_GBK" w:hAnsi="方正魏碑_GBK" w:eastAsia="方正魏碑_GBK" w:cs="方正魏碑_GBK"/>
          <w:color w:val="000000"/>
          <w:highlight w:val="none"/>
          <w:u w:val="single"/>
          <w:shd w:val="clear" w:color="auto" w:fill="ffffff"/>
        </w:rPr>
        <w:t xml:space="preserve">（厂名）</w:t>
      </w:r>
      <w:r>
        <w:rPr>
          <w:rStyle w:val="1144"/>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4"/>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4"/>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4"/>
          <w:rFonts w:hint="eastAsia" w:ascii="方正魏碑_GBK" w:hAnsi="方正魏碑_GBK" w:eastAsia="方正魏碑_GBK" w:cs="方正魏碑_GBK"/>
          <w:color w:val="000000"/>
          <w:highlight w:val="none"/>
          <w:u w:val="single"/>
          <w:shd w:val="clear" w:color="auto" w:fill="ffffff"/>
        </w:rPr>
        <w:t xml:space="preserve">（规定</w:t>
      </w:r>
      <w:r>
        <w:rPr>
          <w:rStyle w:val="1144"/>
          <w:rFonts w:ascii="方正魏碑_GBK" w:hAnsi="方正魏碑_GBK" w:eastAsia="方正魏碑_GBK" w:cs="方正魏碑_GBK"/>
          <w:color w:val="000000"/>
          <w:highlight w:val="none"/>
          <w:u w:val="single"/>
          <w:shd w:val="clear" w:color="auto" w:fill="ffffff"/>
        </w:rPr>
        <w:t xml:space="preserve">比例</w:t>
      </w:r>
      <w:r>
        <w:rPr>
          <w:rStyle w:val="1144"/>
          <w:rFonts w:hint="eastAsia" w:ascii="方正魏碑_GBK" w:hAnsi="方正魏碑_GBK" w:eastAsia="方正魏碑_GBK" w:cs="方正魏碑_GBK"/>
          <w:color w:val="000000"/>
          <w:highlight w:val="none"/>
          <w:u w:val="single"/>
          <w:shd w:val="clear" w:color="auto" w:fill="ffffff"/>
        </w:rPr>
        <w:t xml:space="preserve">）</w:t>
      </w:r>
      <w:r>
        <w:rPr>
          <w:rStyle w:val="1144"/>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w:t>
      </w:r>
      <w:r>
        <w:rPr>
          <w:rStyle w:val="1144"/>
          <w:rFonts w:ascii="方正魏碑_GBK" w:hAnsi="方正魏碑_GBK" w:eastAsia="方正魏碑_GBK" w:cs="方正魏碑_GBK"/>
          <w:color w:val="000000"/>
          <w:highlight w:val="none"/>
          <w:u w:val="single"/>
          <w:shd w:val="clear" w:color="auto" w:fill="ffffff"/>
        </w:rPr>
        <w:t xml:space="preserve">组件</w:t>
      </w:r>
      <w:r>
        <w:rPr>
          <w:rStyle w:val="1144"/>
          <w:rFonts w:hint="eastAsia" w:ascii="方正魏碑_GBK" w:hAnsi="方正魏碑_GBK" w:eastAsia="方正魏碑_GBK" w:cs="方正魏碑_GBK"/>
          <w:color w:val="000000"/>
          <w:highlight w:val="none"/>
          <w:u w:val="single"/>
          <w:shd w:val="clear" w:color="auto" w:fill="ffffff"/>
        </w:rPr>
        <w:t xml:space="preserve">）</w:t>
      </w:r>
      <w:r>
        <w:rPr>
          <w:rStyle w:val="1144"/>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（关键工序）</w:t>
      </w:r>
      <w:r>
        <w:rPr>
          <w:rStyle w:val="1144"/>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4"/>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4"/>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4"/>
          <w:rFonts w:hint="eastAsia" w:ascii="方正魏碑_GBK" w:hAnsi="方正魏碑_GBK" w:eastAsia="方正魏碑_GBK" w:cs="方正魏碑_GBK"/>
          <w:color w:val="000000"/>
          <w:highlight w:val="none"/>
          <w:u w:val="single"/>
          <w:shd w:val="clear" w:color="auto" w:fill="ffffff"/>
        </w:rPr>
        <w:t xml:space="preserve">（规定</w:t>
      </w:r>
      <w:r>
        <w:rPr>
          <w:rStyle w:val="1144"/>
          <w:rFonts w:ascii="方正魏碑_GBK" w:hAnsi="方正魏碑_GBK" w:eastAsia="方正魏碑_GBK" w:cs="方正魏碑_GBK"/>
          <w:color w:val="000000"/>
          <w:highlight w:val="none"/>
          <w:u w:val="single"/>
          <w:shd w:val="clear" w:color="auto" w:fill="ffffff"/>
        </w:rPr>
        <w:t xml:space="preserve">比例</w:t>
      </w:r>
      <w:r>
        <w:rPr>
          <w:rStyle w:val="1144"/>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w:t>
      </w:r>
      <w:r>
        <w:rPr>
          <w:rStyle w:val="1144"/>
          <w:rFonts w:ascii="方正魏碑_GBK" w:hAnsi="方正魏碑_GBK" w:eastAsia="方正魏碑_GBK" w:cs="方正魏碑_GBK"/>
          <w:color w:val="000000"/>
          <w:highlight w:val="none"/>
          <w:u w:val="single"/>
          <w:shd w:val="clear" w:color="auto" w:fill="ffffff"/>
        </w:rPr>
        <w:t xml:space="preserve">组件</w:t>
      </w:r>
      <w:r>
        <w:rPr>
          <w:rStyle w:val="1144"/>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1"/>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1"/>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1"/>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0"/>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7" w:name="_Toc288738397"/>
      <w:r/>
      <w:bookmarkStart w:id="908"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isLgl w:val="false"/>
      <w:suff w:val="tab"/>
      <w:lvlText w:val="%1."/>
      <w:lvlJc w:val="left"/>
      <w:pPr>
        <w:pStyle w:val="1070"/>
        <w:ind w:left="1242" w:hanging="382"/>
      </w:pPr>
      <w:rPr>
        <w:rFonts w:ascii="仿宋" w:hAnsi="仿宋" w:eastAsia="仿宋" w:cs="仿宋"/>
        <w:spacing w:val="0"/>
        <w:sz w:val="32"/>
        <w:szCs w:val="32"/>
      </w:rPr>
    </w:lvl>
    <w:lvl w:ilvl="1">
      <w:start w:val="0"/>
      <w:numFmt w:val="bullet"/>
      <w:isLgl w:val="false"/>
      <w:suff w:val="tab"/>
      <w:lvlText w:val="•"/>
      <w:lvlJc w:val="left"/>
      <w:pPr>
        <w:pStyle w:val="1070"/>
        <w:ind w:left="2010" w:hanging="382"/>
      </w:pPr>
    </w:lvl>
    <w:lvl w:ilvl="2">
      <w:start w:val="0"/>
      <w:numFmt w:val="bullet"/>
      <w:isLgl w:val="false"/>
      <w:suff w:val="tab"/>
      <w:lvlText w:val="•"/>
      <w:lvlJc w:val="left"/>
      <w:pPr>
        <w:pStyle w:val="1070"/>
        <w:ind w:left="2781" w:hanging="382"/>
      </w:pPr>
    </w:lvl>
    <w:lvl w:ilvl="3">
      <w:start w:val="0"/>
      <w:numFmt w:val="bullet"/>
      <w:isLgl w:val="false"/>
      <w:suff w:val="tab"/>
      <w:lvlText w:val="•"/>
      <w:lvlJc w:val="left"/>
      <w:pPr>
        <w:pStyle w:val="1070"/>
        <w:ind w:left="3551" w:hanging="382"/>
      </w:pPr>
    </w:lvl>
    <w:lvl w:ilvl="4">
      <w:start w:val="0"/>
      <w:numFmt w:val="bullet"/>
      <w:isLgl w:val="false"/>
      <w:suff w:val="tab"/>
      <w:lvlText w:val="•"/>
      <w:lvlJc w:val="left"/>
      <w:pPr>
        <w:pStyle w:val="1070"/>
        <w:ind w:left="4322" w:hanging="382"/>
      </w:pPr>
    </w:lvl>
    <w:lvl w:ilvl="5">
      <w:start w:val="0"/>
      <w:numFmt w:val="bullet"/>
      <w:isLgl w:val="false"/>
      <w:suff w:val="tab"/>
      <w:lvlText w:val="•"/>
      <w:lvlJc w:val="left"/>
      <w:pPr>
        <w:pStyle w:val="1070"/>
        <w:ind w:left="5093" w:hanging="382"/>
      </w:pPr>
    </w:lvl>
    <w:lvl w:ilvl="6">
      <w:start w:val="0"/>
      <w:numFmt w:val="bullet"/>
      <w:isLgl w:val="false"/>
      <w:suff w:val="tab"/>
      <w:lvlText w:val="•"/>
      <w:lvlJc w:val="left"/>
      <w:pPr>
        <w:pStyle w:val="1070"/>
        <w:ind w:left="5863" w:hanging="382"/>
      </w:pPr>
    </w:lvl>
    <w:lvl w:ilvl="7">
      <w:start w:val="0"/>
      <w:numFmt w:val="bullet"/>
      <w:isLgl w:val="false"/>
      <w:suff w:val="tab"/>
      <w:lvlText w:val="•"/>
      <w:lvlJc w:val="left"/>
      <w:pPr>
        <w:pStyle w:val="1070"/>
        <w:ind w:left="6634" w:hanging="382"/>
      </w:pPr>
    </w:lvl>
    <w:lvl w:ilvl="8">
      <w:start w:val="0"/>
      <w:numFmt w:val="bullet"/>
      <w:isLgl w:val="false"/>
      <w:suff w:val="tab"/>
      <w:lvlText w:val="•"/>
      <w:lvlJc w:val="left"/>
      <w:pPr>
        <w:pStyle w:val="1070"/>
        <w:ind w:left="7404" w:hanging="382"/>
      </w:pPr>
    </w:lvl>
  </w:abstractNum>
  <w:abstractNum w:abstractNumId="9">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4"/>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Char"/>
    <w:next w:val="1082"/>
    <w:link w:val="1071"/>
    <w:qFormat/>
    <w:rPr>
      <w:rFonts w:ascii="宋体"/>
      <w:b/>
      <w:sz w:val="32"/>
    </w:rPr>
  </w:style>
  <w:style w:type="character" w:styleId="1083">
    <w:name w:val="标题 2 Char1"/>
    <w:next w:val="1083"/>
    <w:link w:val="1072"/>
    <w:qFormat/>
    <w:rPr>
      <w:rFonts w:ascii="Arial" w:hAnsi="Arial" w:eastAsia="黑体"/>
      <w:b/>
      <w:sz w:val="30"/>
      <w:lang w:val="en-US" w:eastAsia="zh-CN" w:bidi="ar-SA"/>
    </w:rPr>
  </w:style>
  <w:style w:type="paragraph" w:styleId="1084">
    <w:name w:val="正文缩进"/>
    <w:basedOn w:val="1070"/>
    <w:next w:val="1084"/>
    <w:link w:val="1085"/>
    <w:uiPriority w:val="99"/>
    <w:qFormat/>
    <w:pPr>
      <w:ind w:firstLine="420"/>
      <w:jc w:val="left"/>
    </w:pPr>
    <w:rPr>
      <w:rFonts w:ascii="宋体"/>
      <w:sz w:val="24"/>
    </w:rPr>
  </w:style>
  <w:style w:type="character" w:styleId="1085">
    <w:name w:val="正文缩进 Char1"/>
    <w:next w:val="1085"/>
    <w:link w:val="1084"/>
    <w:qFormat/>
    <w:rPr>
      <w:rFonts w:ascii="宋体" w:eastAsia="宋体"/>
      <w:sz w:val="24"/>
      <w:szCs w:val="24"/>
      <w:lang w:val="en-US" w:eastAsia="zh-CN" w:bidi="ar-SA"/>
    </w:rPr>
  </w:style>
  <w:style w:type="character" w:styleId="1086">
    <w:name w:val="标题 3 Char1"/>
    <w:next w:val="1086"/>
    <w:link w:val="1073"/>
    <w:qFormat/>
    <w:rPr>
      <w:rFonts w:ascii="宋体" w:eastAsia="宋体"/>
      <w:b/>
      <w:sz w:val="24"/>
      <w:u w:val="single"/>
      <w:lang w:val="en-US" w:eastAsia="zh-CN" w:bidi="ar-SA"/>
    </w:rPr>
  </w:style>
  <w:style w:type="character" w:styleId="1087">
    <w:name w:val="标题 4 Char"/>
    <w:next w:val="1087"/>
    <w:link w:val="1074"/>
    <w:qFormat/>
    <w:rPr>
      <w:rFonts w:ascii="Arial" w:hAnsi="Arial" w:eastAsia="黑体"/>
      <w:b/>
      <w:sz w:val="28"/>
    </w:rPr>
  </w:style>
  <w:style w:type="character" w:styleId="1088">
    <w:name w:val="标题 5 Char"/>
    <w:next w:val="1088"/>
    <w:link w:val="1075"/>
    <w:qFormat/>
    <w:rPr>
      <w:b/>
      <w:sz w:val="28"/>
    </w:rPr>
  </w:style>
  <w:style w:type="character" w:styleId="1089">
    <w:name w:val="标题 6 Char"/>
    <w:next w:val="1089"/>
    <w:link w:val="1076"/>
    <w:qFormat/>
    <w:rPr>
      <w:rFonts w:ascii="Arial" w:hAnsi="Arial" w:eastAsia="黑体"/>
      <w:b/>
      <w:sz w:val="24"/>
    </w:rPr>
  </w:style>
  <w:style w:type="character" w:styleId="1090">
    <w:name w:val="标题 7 Char"/>
    <w:next w:val="1090"/>
    <w:link w:val="1077"/>
    <w:qFormat/>
    <w:rPr>
      <w:b/>
      <w:sz w:val="24"/>
    </w:rPr>
  </w:style>
  <w:style w:type="character" w:styleId="1091">
    <w:name w:val="标题 8 Char"/>
    <w:next w:val="1091"/>
    <w:link w:val="1078"/>
    <w:qFormat/>
    <w:rPr>
      <w:rFonts w:ascii="Arial" w:hAnsi="Arial" w:eastAsia="黑体"/>
      <w:sz w:val="24"/>
    </w:rPr>
  </w:style>
  <w:style w:type="character" w:styleId="1092">
    <w:name w:val="标题 9 Char"/>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Char"/>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Char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Char"/>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Char"/>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Char2"/>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109"/>
    <w:link w:val="1110"/>
    <w:uiPriority w:val="99"/>
    <w:qFormat/>
    <w:rPr>
      <w:rFonts w:hint="eastAsia" w:ascii="宋体" w:hAnsi="Courier New"/>
      <w:szCs w:val="20"/>
    </w:rPr>
  </w:style>
  <w:style w:type="character" w:styleId="1110">
    <w:name w:val="纯文本 Char"/>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Char"/>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Char"/>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Char"/>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Char1"/>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Char1"/>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Char"/>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Char"/>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Char1"/>
    <w:next w:val="1134"/>
    <w:link w:val="1133"/>
    <w:qFormat/>
    <w:rPr>
      <w:b/>
      <w:sz w:val="32"/>
    </w:rPr>
  </w:style>
  <w:style w:type="paragraph" w:styleId="1135">
    <w:name w:val="批注主题"/>
    <w:basedOn w:val="1097"/>
    <w:next w:val="1097"/>
    <w:link w:val="1136"/>
    <w:qFormat/>
    <w:rPr>
      <w:b/>
      <w:bCs/>
    </w:rPr>
  </w:style>
  <w:style w:type="character" w:styleId="1136">
    <w:name w:val="批注主题 Char"/>
    <w:next w:val="1136"/>
    <w:link w:val="1135"/>
    <w:qFormat/>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qFormat/>
    <w:pPr>
      <w:ind w:left="420" w:firstLine="420"/>
      <w:spacing w:after="120" w:line="480" w:lineRule="exact"/>
    </w:pPr>
    <w:rPr>
      <w:szCs w:val="20"/>
    </w:rPr>
  </w:style>
  <w:style w:type="character" w:styleId="1138">
    <w:name w:val="正文首行缩进 2 Char"/>
    <w:next w:val="1138"/>
    <w:link w:val="1137"/>
    <w:qFormat/>
    <w:rPr>
      <w:rFonts w:eastAsia="宋体"/>
      <w:sz w:val="24"/>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800080"/>
      <w:u w:val="single"/>
    </w:rPr>
  </w:style>
  <w:style w:type="character" w:styleId="1144">
    <w:name w:val="强调"/>
    <w:next w:val="1144"/>
    <w:link w:val="1070"/>
    <w:qFormat/>
    <w:rPr>
      <w:color w:val="cc0033"/>
    </w:rPr>
  </w:style>
  <w:style w:type="character" w:styleId="1145">
    <w:name w:val="超链接"/>
    <w:next w:val="1145"/>
    <w:link w:val="1070"/>
    <w:uiPriority w:val="99"/>
    <w:qFormat/>
    <w:rPr>
      <w:color w:val="0000ff"/>
      <w:u w:val="singl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出段落 Char1"/>
    <w:next w:val="1163"/>
    <w:link w:val="1164"/>
    <w:uiPriority w:val="34"/>
    <w:qFormat/>
    <w:rPr>
      <w:rFonts w:ascii="Calibri" w:hAnsi="Calibri" w:eastAsia="宋体"/>
      <w:sz w:val="21"/>
      <w:szCs w:val="22"/>
      <w:lang w:val="en-US" w:eastAsia="zh-CN" w:bidi="ar-SA"/>
    </w:rPr>
  </w:style>
  <w:style w:type="paragraph" w:styleId="1164">
    <w:name w:val="列出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uiPriority w:val="99"/>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10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4"/>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4"/>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3"/>
    <w:link w:val="1070"/>
    <w:qFormat/>
    <w:pPr>
      <w:jc w:val="both"/>
      <w:widowControl w:val="off"/>
    </w:pPr>
    <w:rPr>
      <w:rFonts w:ascii="宋体" w:hAnsi="宋体"/>
      <w:sz w:val="26"/>
      <w:szCs w:val="24"/>
      <w:lang w:val="en-US" w:eastAsia="zh-CN" w:bidi="ar-SA"/>
    </w:rPr>
  </w:style>
  <w:style w:type="paragraph" w:styleId="1323">
    <w:name w:val="AONormal"/>
    <w:next w:val="1323"/>
    <w:link w:val="1070"/>
    <w:qFormat/>
    <w:pPr>
      <w:ind w:firstLine="440"/>
      <w:spacing w:line="400" w:lineRule="exact"/>
    </w:pPr>
    <w:rPr>
      <w:rFonts w:ascii="华文楷体" w:hAnsi="华文楷体" w:eastAsia="华文楷体" w:cs="华文楷体"/>
      <w:sz w:val="22"/>
      <w:szCs w:val="21"/>
      <w:lang w:val="en-US" w:eastAsia="zh-CN" w:bidi="ar-SA"/>
    </w:rPr>
  </w:style>
  <w:style w:type="character" w:styleId="1324" w:default="1">
    <w:name w:val="Default Paragraph Font"/>
    <w:uiPriority w:val="1"/>
    <w:semiHidden/>
    <w:unhideWhenUsed/>
  </w:style>
  <w:style w:type="numbering" w:styleId="1325" w:default="1">
    <w:name w:val="No List"/>
    <w:uiPriority w:val="99"/>
    <w:semiHidden/>
    <w:unhideWhenUsed/>
  </w:style>
  <w:style w:type="table" w:styleId="13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7</cp:revision>
  <dcterms:created xsi:type="dcterms:W3CDTF">2022-05-30T08:08:00Z</dcterms:created>
  <dcterms:modified xsi:type="dcterms:W3CDTF">2026-04-13T05:28:21Z</dcterms:modified>
</cp:coreProperties>
</file>