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2"/>
        <w:ind w:firstLine="0"/>
        <w:rPr>
          <w:rFonts w:hint="eastAsia" w:eastAsia="黑体"/>
          <w:b/>
          <w:bCs/>
          <w:color w:val="000000"/>
          <w:sz w:val="84"/>
          <w:lang w:eastAsia="zh-CN"/>
        </w:rPr>
      </w:pPr>
      <w:r>
        <w:rPr>
          <w:rFonts w:hint="eastAsia" w:eastAsia="黑体"/>
          <w:b/>
          <w:bCs/>
          <w:color w:val="000000"/>
          <w:sz w:val="84"/>
          <w:lang w:eastAsia="zh-CN"/>
        </w:rPr>
      </w:r>
      <w:r/>
    </w:p>
    <w:p>
      <w:pPr>
        <w:pStyle w:val="1182"/>
        <w:ind w:firstLine="0"/>
        <w:jc w:val="center"/>
        <w:rPr>
          <w:rFonts w:hint="eastAsia" w:eastAsia="黑体"/>
          <w:b/>
          <w:bCs/>
          <w:color w:val="000000"/>
          <w:sz w:val="84"/>
        </w:rPr>
      </w:pPr>
      <w:r>
        <w:rPr>
          <w:rFonts w:hint="eastAsia" w:eastAsia="黑体"/>
          <w:b/>
          <w:bCs/>
          <w:color w:val="000000"/>
          <w:sz w:val="84"/>
        </w:rPr>
        <w:t xml:space="preserve">招　标　文　件</w:t>
      </w:r>
      <w:r/>
    </w:p>
    <w:p>
      <w:pPr>
        <w:pStyle w:val="1182"/>
        <w:ind w:firstLine="2249"/>
        <w:rPr>
          <w:rFonts w:hint="eastAsia"/>
          <w:b/>
          <w:bCs/>
          <w:color w:val="000000"/>
          <w:sz w:val="32"/>
        </w:rPr>
      </w:pPr>
      <w:r>
        <w:rPr>
          <w:rFonts w:hint="eastAsia"/>
          <w:b/>
          <w:bCs/>
          <w:color w:val="000000"/>
          <w:sz w:val="32"/>
        </w:rPr>
        <w:t xml:space="preserve">项目名称：</w:t>
      </w:r>
      <w:r>
        <w:rPr>
          <w:rFonts w:hint="eastAsia"/>
          <w:b/>
          <w:bCs/>
          <w:color w:val="000000"/>
          <w:sz w:val="32"/>
          <w:highlight w:val="none"/>
          <w:u w:val="none"/>
        </w:rPr>
        <w:t xml:space="preserve">江苏省特检院无锡分院物业管理服务</w:t>
      </w:r>
      <w:r/>
    </w:p>
    <w:p>
      <w:pPr>
        <w:ind w:left="2100" w:firstLine="161"/>
        <w:rPr>
          <w:b/>
          <w:color w:val="000000"/>
          <w:sz w:val="30"/>
          <w:szCs w:val="30"/>
        </w:rPr>
      </w:pPr>
      <w:r>
        <w:rPr>
          <w:rFonts w:hint="eastAsia"/>
          <w:b/>
          <w:bCs/>
          <w:color w:val="000000"/>
          <w:sz w:val="32"/>
        </w:rPr>
        <w:t xml:space="preserve">项目编号：</w:t>
      </w:r>
      <w:r>
        <w:rPr>
          <w:rFonts w:hint="eastAsia"/>
          <w:b/>
          <w:bCs/>
          <w:color w:val="000000"/>
          <w:sz w:val="32"/>
          <w:highlight w:val="none"/>
          <w:lang w:eastAsia="zh-CN"/>
        </w:rPr>
        <w:t xml:space="preserve">JSZC-320000-SCZX-G2026-0051</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ind w:left="2811" w:hanging="2811"/>
        <w:jc w:val="center"/>
        <w:rPr>
          <w:rFonts w:hint="eastAsia"/>
          <w:b/>
          <w:color w:val="000000"/>
          <w:sz w:val="28"/>
          <w:szCs w:val="28"/>
        </w:rPr>
      </w:pPr>
      <w:r>
        <w:rPr>
          <w:rFonts w:hint="eastAsia"/>
          <w:b/>
          <w:color w:val="000000"/>
          <w:sz w:val="28"/>
          <w:szCs w:val="28"/>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spacing w:before="0" w:after="0"/>
        <w:rPr>
          <w:rFonts w:hint="eastAsia" w:ascii="宋体" w:hAnsi="宋体"/>
          <w:color w:val="000000"/>
        </w:rPr>
      </w:pPr>
      <w:r>
        <w:rPr>
          <w:rFonts w:hint="eastAsia" w:ascii="宋体" w:hAnsi="宋体"/>
          <w:color w:val="000000"/>
        </w:rPr>
      </w:r>
      <w:r/>
    </w:p>
    <w:p>
      <w:pPr>
        <w:pStyle w:val="1182"/>
        <w:ind w:firstLine="0"/>
        <w:jc w:val="center"/>
        <w:rPr>
          <w:rFonts w:hint="eastAsia"/>
          <w:b/>
          <w:bCs/>
          <w:color w:val="000000"/>
          <w:sz w:val="32"/>
        </w:rPr>
      </w:pPr>
      <w:r>
        <w:rPr>
          <w:rFonts w:hint="eastAsia"/>
          <w:b/>
          <w:bCs/>
          <w:color w:val="000000"/>
          <w:sz w:val="32"/>
        </w:rPr>
        <w:t xml:space="preserve">江苏省政府采购中心</w:t>
      </w:r>
      <w:r/>
    </w:p>
    <w:p>
      <w:pPr>
        <w:pStyle w:val="1182"/>
        <w:ind w:firstLine="0"/>
        <w:jc w:val="center"/>
        <w:rPr>
          <w:rFonts w:hint="eastAsia"/>
          <w:b/>
          <w:bCs/>
          <w:color w:val="000000"/>
          <w:sz w:val="32"/>
        </w:rPr>
      </w:pPr>
      <w:r>
        <w:rPr>
          <w:rFonts w:hint="eastAsia"/>
          <w:b/>
          <w:bCs/>
          <w:color w:val="000000"/>
          <w:sz w:val="32"/>
          <w:lang w:val="en-US" w:eastAsia="zh-CN"/>
        </w:rPr>
        <w:t xml:space="preserve">2026</w:t>
      </w:r>
      <w:r>
        <w:rPr>
          <w:rFonts w:hint="eastAsia"/>
          <w:b/>
          <w:bCs/>
          <w:color w:val="000000"/>
          <w:sz w:val="32"/>
        </w:rPr>
        <w:t xml:space="preserve">年</w:t>
      </w:r>
      <w:r>
        <w:rPr>
          <w:rFonts w:hint="eastAsia"/>
          <w:b/>
          <w:bCs/>
          <w:color w:val="000000"/>
          <w:sz w:val="32"/>
          <w:lang w:val="en-US" w:eastAsia="zh-CN"/>
        </w:rPr>
        <w:t xml:space="preserve">3</w:t>
      </w:r>
      <w:r>
        <w:rPr>
          <w:rFonts w:hint="eastAsia"/>
          <w:b/>
          <w:bCs/>
          <w:color w:val="000000"/>
          <w:sz w:val="32"/>
        </w:rPr>
        <w:t xml:space="preserve">月</w:t>
      </w:r>
      <w:r/>
    </w:p>
    <w:p>
      <w:pPr>
        <w:pStyle w:val="1182"/>
        <w:ind w:firstLine="0"/>
        <w:rPr>
          <w:rFonts w:hint="eastAsia"/>
          <w:color w:val="000000"/>
          <w:u w:val="single"/>
        </w:rPr>
      </w:pPr>
      <w:r>
        <w:rPr>
          <w:rFonts w:hint="eastAsia"/>
          <w:color w:val="000000"/>
        </w:rPr>
        <w:t xml:space="preserve">                        </w:t>
      </w:r>
      <w:r/>
    </w:p>
    <w:p>
      <w:pPr>
        <w:pStyle w:val="1182"/>
        <w:ind w:firstLine="0"/>
        <w:jc w:val="center"/>
        <w:rPr>
          <w:rFonts w:hint="eastAsia"/>
          <w:color w:val="000000"/>
        </w:rPr>
      </w:pPr>
      <w:r>
        <w:rPr>
          <w:rFonts w:hint="eastAsia"/>
          <w:color w:val="000000"/>
        </w:rPr>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01</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06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23</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53</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57</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107"/>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rPr>
        <w:t xml:space="preserve">受</w:t>
      </w:r>
      <w:r>
        <w:rPr>
          <w:rFonts w:hint="eastAsia" w:ascii="宋体" w:hAnsi="宋体"/>
          <w:color w:val="000000"/>
          <w:sz w:val="24"/>
        </w:rPr>
        <w:t xml:space="preserve">江苏省特种设备安全监督检验研究院</w:t>
      </w:r>
      <w:r>
        <w:rPr>
          <w:rFonts w:hint="eastAsia" w:ascii="宋体" w:hAnsi="宋体"/>
          <w:color w:val="000000"/>
          <w:sz w:val="24"/>
          <w:szCs w:val="24"/>
        </w:rPr>
        <w:t xml:space="preserve">的委托，江苏省政府采购中心就</w:t>
      </w:r>
      <w:r>
        <w:rPr>
          <w:rFonts w:hint="eastAsia" w:ascii="宋体" w:hAnsi="宋体"/>
          <w:color w:val="000000"/>
          <w:sz w:val="24"/>
        </w:rPr>
        <w:t xml:space="preserve">江苏省特检院无锡分院物业管理服</w:t>
      </w:r>
      <w:r>
        <w:rPr>
          <w:rFonts w:hint="eastAsia" w:ascii="宋体" w:hAnsi="宋体"/>
          <w:color w:val="000000"/>
          <w:sz w:val="24"/>
          <w:highlight w:val="none"/>
        </w:rPr>
        <w:t xml:space="preserve">务</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JSZC-320000-SCZX-G2026-0051</w:t>
      </w:r>
      <w:r>
        <w:rPr>
          <w:rFonts w:ascii="宋体" w:hAnsi="宋体"/>
          <w:color w:val="000000"/>
          <w:sz w:val="24"/>
          <w:highlight w:val="none"/>
        </w:rPr>
        <w:t xml:space="preserve">)</w:t>
      </w:r>
      <w:r>
        <w:rPr>
          <w:rFonts w:hint="eastAsia" w:ascii="宋体" w:hAnsi="宋体"/>
          <w:color w:val="000000"/>
          <w:sz w:val="24"/>
          <w:szCs w:val="24"/>
          <w:highlight w:val="none"/>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江苏省特检院无锡分院物业管理服务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4</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14</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w:t>
      </w:r>
      <w:r>
        <w:rPr>
          <w:rFonts w:hint="eastAsia" w:ascii="宋体" w:hAnsi="宋体"/>
          <w:bCs/>
          <w:color w:val="000000"/>
          <w:sz w:val="24"/>
          <w:szCs w:val="24"/>
        </w:rPr>
        <w:t xml:space="preserve">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109"/>
        <w:ind w:firstLine="498"/>
        <w:spacing w:before="145" w:after="145" w:line="400" w:lineRule="exact"/>
        <w:rPr>
          <w:color w:val="000000"/>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rPr>
        <w:t xml:space="preserve">1.项目编号</w:t>
      </w:r>
      <w:r>
        <w:rPr>
          <w:rFonts w:hint="eastAsia" w:ascii="宋体" w:hAnsi="宋体"/>
          <w:color w:val="000000"/>
          <w:sz w:val="24"/>
          <w:szCs w:val="24"/>
          <w:highlight w:val="none"/>
        </w:rPr>
        <w:t xml:space="preserve">：</w:t>
      </w:r>
      <w:r>
        <w:rPr>
          <w:rFonts w:hint="eastAsia" w:ascii="宋体" w:hAnsi="宋体"/>
          <w:color w:val="000000"/>
          <w:sz w:val="24"/>
          <w:highlight w:val="none"/>
          <w:lang w:eastAsia="zh-CN"/>
        </w:rPr>
        <w:t xml:space="preserve">JSZC-320000-SCZX-G2026-0051</w:t>
      </w:r>
      <w:r/>
    </w:p>
    <w:p>
      <w:pPr>
        <w:ind w:firstLine="480"/>
        <w:spacing w:line="400" w:lineRule="exact"/>
        <w:rPr>
          <w:rFonts w:ascii="宋体" w:hAnsi="宋体"/>
          <w:color w:val="000000"/>
          <w:sz w:val="24"/>
        </w:rPr>
      </w:pPr>
      <w:r>
        <w:rPr>
          <w:rFonts w:hint="eastAsia" w:ascii="宋体" w:hAnsi="宋体"/>
          <w:color w:val="000000"/>
          <w:sz w:val="24"/>
          <w:szCs w:val="24"/>
          <w:highlight w:val="none"/>
        </w:rPr>
        <w:t xml:space="preserve">2.项目名称：</w:t>
      </w:r>
      <w:bookmarkEnd w:id="11"/>
      <w:r>
        <w:rPr>
          <w:rFonts w:hint="eastAsia" w:ascii="宋体" w:hAnsi="宋体"/>
          <w:color w:val="000000"/>
          <w:sz w:val="24"/>
          <w:highlight w:val="none"/>
        </w:rPr>
        <w:t xml:space="preserve">江苏省特检院无锡分院物业</w:t>
      </w:r>
      <w:r>
        <w:rPr>
          <w:rFonts w:hint="eastAsia" w:ascii="宋体" w:hAnsi="宋体"/>
          <w:color w:val="000000"/>
          <w:sz w:val="24"/>
        </w:rPr>
        <w:t xml:space="preserve">管理服务</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Style w:val="9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355"/>
      </w:tblGrid>
      <w:tr>
        <w:trPr/>
        <w:tc>
          <w:tcPr>
            <w:tcW w:w="1148"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采购包号</w:t>
            </w:r>
            <w:r/>
          </w:p>
        </w:tc>
        <w:tc>
          <w:tcPr>
            <w:tcW w:w="3355"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p>
        </w:tc>
      </w:tr>
      <w:tr>
        <w:trPr/>
        <w:tc>
          <w:tcPr>
            <w:tcW w:w="114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3355" w:type="dxa"/>
            <w:vAlign w:val="top"/>
            <w:textDirection w:val="lrTb"/>
            <w:noWrap w:val="false"/>
          </w:tcPr>
          <w:p>
            <w:pPr>
              <w:jc w:val="center"/>
              <w:spacing w:line="400" w:lineRule="exact"/>
              <w:rPr>
                <w:rFonts w:ascii="宋体" w:hAnsi="宋体" w:eastAsia="宋体"/>
                <w:color w:val="000000"/>
                <w:lang w:val="en-US" w:eastAsia="zh-CN"/>
              </w:rPr>
            </w:pPr>
            <w:r>
              <w:rPr>
                <w:rFonts w:hint="eastAsia" w:ascii="宋体" w:hAnsi="宋体"/>
                <w:color w:val="000000"/>
                <w:szCs w:val="21"/>
              </w:rPr>
              <w:t xml:space="preserve">572万元</w:t>
            </w:r>
            <w:r>
              <w:rPr>
                <w:rFonts w:hint="eastAsia" w:ascii="宋体" w:hAnsi="宋体"/>
                <w:color w:val="000000"/>
                <w:szCs w:val="21"/>
                <w:lang w:val="en-US" w:eastAsia="zh-CN"/>
              </w:rPr>
              <w:t xml:space="preserve">/二年；</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p>
    <w:tbl>
      <w:tblPr>
        <w:tblStyle w:val="9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采购包号</w:t>
            </w:r>
            <w:r/>
          </w:p>
        </w:tc>
        <w:tc>
          <w:tcPr>
            <w:tcW w:w="2800"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是否</w:t>
            </w:r>
            <w:r>
              <w:rPr>
                <w:rFonts w:ascii="宋体" w:hAnsi="宋体"/>
                <w:color w:val="000000"/>
              </w:rPr>
              <w:t xml:space="preserve">设定最高</w:t>
            </w:r>
            <w:r>
              <w:rPr>
                <w:rFonts w:hint="eastAsia" w:ascii="宋体" w:hAnsi="宋体"/>
                <w:color w:val="000000"/>
              </w:rPr>
              <w:t xml:space="preserve">限价</w:t>
            </w:r>
            <w:r>
              <w:rPr>
                <w:rFonts w:ascii="宋体" w:hAnsi="宋体"/>
                <w:color w:val="000000"/>
              </w:rPr>
              <w:t xml:space="preserve">（</w:t>
            </w:r>
            <w:r>
              <w:rPr>
                <w:rFonts w:hint="eastAsia" w:ascii="宋体" w:hAnsi="宋体"/>
                <w:color w:val="000000"/>
              </w:rPr>
              <w:t xml:space="preserve">是/否</w:t>
            </w:r>
            <w:r>
              <w:rPr>
                <w:rFonts w:ascii="宋体" w:hAnsi="宋体"/>
                <w:color w:val="000000"/>
              </w:rPr>
              <w:t xml:space="preserve">）</w:t>
            </w:r>
            <w:r/>
          </w:p>
        </w:tc>
        <w:tc>
          <w:tcPr>
            <w:tcW w:w="3135"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p>
        </w:tc>
      </w:tr>
      <w:tr>
        <w:trPr/>
        <w:tc>
          <w:tcPr>
            <w:tcW w:w="114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2800"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是</w:t>
            </w:r>
            <w:r/>
          </w:p>
        </w:tc>
        <w:tc>
          <w:tcPr>
            <w:tcW w:w="3135" w:type="dxa"/>
            <w:vAlign w:val="top"/>
            <w:textDirection w:val="lrTb"/>
            <w:noWrap w:val="false"/>
          </w:tcPr>
          <w:p>
            <w:pPr>
              <w:jc w:val="center"/>
              <w:spacing w:line="400" w:lineRule="exact"/>
              <w:rPr>
                <w:rFonts w:ascii="宋体" w:hAnsi="宋体"/>
                <w:color w:val="000000"/>
              </w:rPr>
            </w:pPr>
            <w:r>
              <w:rPr>
                <w:rFonts w:hint="eastAsia" w:ascii="宋体" w:hAnsi="宋体"/>
                <w:color w:val="000000"/>
                <w:szCs w:val="21"/>
              </w:rPr>
              <w:t xml:space="preserve">572万元</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olor w:val="000000"/>
          <w:sz w:val="24"/>
        </w:rPr>
        <w:t xml:space="preserve">本项目为</w:t>
      </w:r>
      <w:r>
        <w:rPr>
          <w:rFonts w:hint="eastAsia" w:ascii="宋体" w:hAnsi="宋体"/>
          <w:color w:val="000000"/>
          <w:sz w:val="24"/>
          <w:lang w:val="en-US" w:eastAsia="zh-CN"/>
        </w:rPr>
        <w:t xml:space="preserve">江苏省特检院</w:t>
      </w:r>
      <w:r>
        <w:rPr>
          <w:rFonts w:hint="eastAsia" w:ascii="宋体" w:hAnsi="宋体"/>
          <w:color w:val="000000"/>
          <w:sz w:val="24"/>
          <w:highlight w:val="none"/>
        </w:rPr>
        <w:t xml:space="preserve">无锡分院总部</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无锡市滨湖区隐秀路220号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国家桥门式起重机械产品</w:t>
      </w:r>
      <w:r>
        <w:rPr>
          <w:rFonts w:hint="eastAsia" w:ascii="宋体" w:hAnsi="宋体"/>
          <w:color w:val="000000"/>
          <w:sz w:val="24"/>
          <w:highlight w:val="none"/>
          <w:lang w:val="en-US" w:eastAsia="zh-CN"/>
        </w:rPr>
        <w:t xml:space="preserve">质检中心</w:t>
      </w:r>
      <w:r>
        <w:rPr>
          <w:rFonts w:hint="eastAsia" w:ascii="宋体" w:hAnsi="宋体"/>
          <w:color w:val="000000"/>
          <w:sz w:val="24"/>
          <w:highlight w:val="none"/>
        </w:rPr>
        <w:t xml:space="preserve">和国家石墨烯</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质检中心</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无锡市惠山区堰新路330号</w:t>
      </w:r>
      <w:r>
        <w:rPr>
          <w:rFonts w:hint="eastAsia" w:ascii="宋体" w:hAnsi="宋体" w:cs="宋体"/>
          <w:color w:val="000000"/>
          <w:sz w:val="24"/>
          <w:szCs w:val="24"/>
          <w:highlight w:val="none"/>
          <w:lang w:eastAsia="zh-CN"/>
        </w:rPr>
        <w:t xml:space="preserve">）、</w:t>
      </w:r>
      <w:r>
        <w:rPr>
          <w:rFonts w:hint="eastAsia" w:ascii="宋体" w:hAnsi="宋体"/>
          <w:color w:val="000000"/>
          <w:sz w:val="24"/>
          <w:highlight w:val="none"/>
        </w:rPr>
        <w:t xml:space="preserve">城中办事处</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无锡市梁溪区永丰路338号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三个场地的物业服务</w:t>
      </w:r>
      <w:r>
        <w:rPr>
          <w:rFonts w:ascii="宋体" w:hAnsi="宋体"/>
          <w:color w:val="000000"/>
          <w:sz w:val="24"/>
        </w:rPr>
        <w:t xml:space="preserve">。核心服务内容包含但不限于：综合管理（含人员调配、档案管理）、会务服务（含检测业务相关会议保障）、房屋及附属设施日常运行管理、秩序维护管理（含 24 小时安防值守、人员及车辆进出管控）、保洁服务、保安服务及绿化养护服务。服务需严格遵循《江苏省物业管理条例（2023 修订版）》《物业管理服务标准》（GB/T 20647.9），确保设施设备完好率≥98%、服务响应及时率≥95%、客户满意度≥95%</w:t>
      </w:r>
      <w:r>
        <w:rPr>
          <w:rFonts w:hint="eastAsia" w:ascii="宋体" w:hAnsi="宋体"/>
          <w:color w:val="000000"/>
          <w:sz w:val="24"/>
        </w:rPr>
        <w:t xml:space="preserve">。</w:t>
      </w:r>
      <w:r>
        <w:rPr>
          <w:rFonts w:hint="eastAsia" w:ascii="宋体" w:hAnsi="宋体" w:cs="宋体"/>
          <w:color w:val="000000"/>
          <w:sz w:val="24"/>
          <w:szCs w:val="24"/>
        </w:rPr>
        <w:t xml:space="preserve">（详细内容见本招标文件第四章）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rPr>
        <w:t xml:space="preserve">二年（2026年度、2027年度），合同一年一签。</w:t>
      </w:r>
      <w:r/>
    </w:p>
    <w:p>
      <w:pPr>
        <w:pStyle w:val="1109"/>
        <w:ind w:firstLine="498"/>
        <w:spacing w:before="145" w:after="145" w:line="400" w:lineRule="exact"/>
        <w:rPr>
          <w:color w:val="000000"/>
        </w:rPr>
      </w:pPr>
      <w:r/>
      <w:bookmarkStart w:id="12" w:name="_Toc35393622"/>
      <w:r/>
      <w:bookmarkStart w:id="13" w:name="_Toc28359080"/>
      <w:r/>
      <w:bookmarkStart w:id="14" w:name="_Toc38985264"/>
      <w:r/>
      <w:bookmarkStart w:id="15" w:name="_Toc35393791"/>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w:t>
      </w:r>
      <w:r>
        <w:rPr>
          <w:rFonts w:hint="eastAsia" w:ascii="宋体" w:hAnsi="宋体"/>
          <w:color w:val="000000"/>
          <w:sz w:val="24"/>
          <w:szCs w:val="24"/>
          <w:lang w:val="en-US" w:eastAsia="zh-CN"/>
        </w:rPr>
        <w:t xml:space="preserve">(2024或2025年度)</w:t>
      </w:r>
      <w:r>
        <w:rPr>
          <w:rFonts w:hint="eastAsia" w:ascii="宋体" w:hAnsi="宋体"/>
          <w:color w:val="000000"/>
          <w:sz w:val="24"/>
          <w:szCs w:val="24"/>
        </w:rPr>
        <w:t xml:space="preserve">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9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采购包号</w:t>
            </w:r>
            <w:r/>
          </w:p>
        </w:tc>
        <w:tc>
          <w:tcPr>
            <w:tcW w:w="2968"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p>
        </w:tc>
        <w:tc>
          <w:tcPr>
            <w:tcW w:w="3191"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该</w:t>
            </w:r>
            <w:r>
              <w:rPr>
                <w:rFonts w:ascii="宋体" w:hAnsi="宋体"/>
                <w:color w:val="000000"/>
              </w:rPr>
              <w:t xml:space="preserve">采购包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p>
        </w:tc>
      </w:tr>
      <w:tr>
        <w:trPr/>
        <w:tc>
          <w:tcPr>
            <w:tcW w:w="114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2968" w:type="dxa"/>
            <w:vAlign w:val="top"/>
            <w:textDirection w:val="lrTb"/>
            <w:noWrap w:val="false"/>
          </w:tcPr>
          <w:p>
            <w:pPr>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否</w:t>
            </w:r>
            <w:r/>
          </w:p>
        </w:tc>
        <w:tc>
          <w:tcPr>
            <w:tcW w:w="3191" w:type="dxa"/>
            <w:vAlign w:val="top"/>
            <w:textDirection w:val="lrTb"/>
            <w:noWrap w:val="false"/>
          </w:tcPr>
          <w:p>
            <w:pPr>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9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采购包号</w:t>
            </w:r>
            <w:r/>
          </w:p>
        </w:tc>
        <w:tc>
          <w:tcPr>
            <w:tcW w:w="6145"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特定</w:t>
            </w:r>
            <w:r>
              <w:rPr>
                <w:rFonts w:ascii="宋体" w:hAnsi="宋体"/>
                <w:color w:val="000000"/>
              </w:rPr>
              <w:t xml:space="preserve">资格要求</w:t>
            </w:r>
            <w:r/>
          </w:p>
        </w:tc>
      </w:tr>
      <w:tr>
        <w:trPr/>
        <w:tc>
          <w:tcPr>
            <w:tcW w:w="114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6145" w:type="dxa"/>
            <w:vAlign w:val="top"/>
            <w:textDirection w:val="lrTb"/>
            <w:noWrap w:val="false"/>
          </w:tcPr>
          <w:p>
            <w:pPr>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bookmarkEnd w:id="18"/>
      <w:bookmarkEnd w:id="19"/>
      <w:bookmarkEnd w:id="20"/>
      <w:bookmarkEnd w:id="21"/>
      <w:r/>
    </w:p>
    <w:p>
      <w:pPr>
        <w:pStyle w:val="1109"/>
        <w:ind w:firstLine="498"/>
        <w:spacing w:before="145" w:after="145" w:line="400" w:lineRule="exact"/>
        <w:rPr>
          <w:color w:val="000000"/>
        </w:rPr>
      </w:pPr>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w:t>
      </w:r>
      <w:bookmarkStart w:id="208" w:name="_GoBack"/>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4</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14</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bookmarkEnd w:id="208"/>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28359084"/>
      <w:r/>
      <w:bookmarkStart w:id="29" w:name="_Toc2835900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1109"/>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109"/>
        <w:ind w:firstLine="498"/>
        <w:spacing w:before="145" w:after="145" w:line="400" w:lineRule="exact"/>
        <w:rPr>
          <w:color w:val="000000"/>
        </w:rPr>
      </w:pPr>
      <w:r/>
      <w:bookmarkStart w:id="35" w:name="_Toc28359085"/>
      <w:r/>
      <w:bookmarkStart w:id="36" w:name="_Toc38985269"/>
      <w:r/>
      <w:bookmarkStart w:id="37" w:name="_Toc35393796"/>
      <w:r/>
      <w:bookmarkStart w:id="38" w:name="_Toc28359008"/>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宋体" w:hAnsi="宋体"/>
          <w:color w:val="000000"/>
          <w:sz w:val="24"/>
        </w:rPr>
        <w:t xml:space="preserve">1.采购人信息</w:t>
      </w:r>
      <w:r/>
    </w:p>
    <w:p>
      <w:pPr>
        <w:ind w:left="1079" w:hanging="300"/>
        <w:jc w:val="left"/>
        <w:spacing w:line="400" w:lineRule="exact"/>
        <w:rPr>
          <w:rFonts w:ascii="宋体" w:hAnsi="宋体"/>
          <w:color w:val="000000"/>
          <w:sz w:val="24"/>
          <w:highlight w:val="none"/>
          <w:u w:val="single"/>
        </w:rPr>
      </w:pPr>
      <w:r>
        <w:rPr>
          <w:rFonts w:hint="eastAsia" w:ascii="宋体" w:hAnsi="宋体"/>
          <w:color w:val="000000"/>
          <w:sz w:val="24"/>
          <w:highlight w:val="none"/>
        </w:rPr>
        <w:t xml:space="preserve">名 称：江苏省特种设备安全监督检验研究院</w:t>
      </w:r>
      <w:r/>
    </w:p>
    <w:p>
      <w:pPr>
        <w:ind w:left="1079" w:hanging="300"/>
        <w:jc w:val="left"/>
        <w:spacing w:line="400" w:lineRule="exact"/>
        <w:rPr>
          <w:rFonts w:ascii="宋体" w:hAnsi="宋体"/>
          <w:color w:val="000000"/>
          <w:sz w:val="24"/>
          <w:highlight w:val="none"/>
        </w:rPr>
      </w:pPr>
      <w:r>
        <w:rPr>
          <w:rFonts w:hint="eastAsia" w:ascii="宋体" w:hAnsi="宋体"/>
          <w:color w:val="000000"/>
          <w:sz w:val="24"/>
          <w:highlight w:val="none"/>
        </w:rPr>
        <w:t xml:space="preserve">地址：南京市鼓楼区草场门大街107号龙江大厦</w:t>
      </w:r>
      <w:r/>
    </w:p>
    <w:p>
      <w:pPr>
        <w:ind w:left="1079" w:hanging="300"/>
        <w:jc w:val="left"/>
        <w:spacing w:line="400" w:lineRule="exact"/>
        <w:rPr>
          <w:rFonts w:ascii="宋体" w:hAnsi="宋体"/>
          <w:color w:val="000000"/>
          <w:sz w:val="24"/>
          <w:highlight w:val="none"/>
          <w:u w:val="single"/>
        </w:rPr>
      </w:pPr>
      <w:r>
        <w:rPr>
          <w:rFonts w:hint="eastAsia" w:ascii="宋体" w:hAnsi="宋体"/>
          <w:color w:val="000000"/>
          <w:sz w:val="24"/>
          <w:highlight w:val="none"/>
        </w:rPr>
        <w:t xml:space="preserve">联系人：李风华</w:t>
      </w:r>
      <w:r/>
    </w:p>
    <w:p>
      <w:pPr>
        <w:ind w:left="1079" w:hanging="300"/>
        <w:jc w:val="left"/>
        <w:spacing w:line="400" w:lineRule="exact"/>
        <w:rPr>
          <w:rFonts w:ascii="宋体" w:hAnsi="宋体"/>
          <w:color w:val="000000"/>
          <w:sz w:val="24"/>
          <w:highlight w:val="none"/>
        </w:rPr>
      </w:pPr>
      <w:r>
        <w:rPr>
          <w:rFonts w:hint="eastAsia" w:ascii="宋体" w:hAnsi="宋体"/>
          <w:color w:val="000000"/>
          <w:sz w:val="24"/>
          <w:highlight w:val="none"/>
        </w:rPr>
        <w:t xml:space="preserve">联系方式：025-89621099</w:t>
      </w:r>
      <w:r/>
    </w:p>
    <w:p>
      <w:pPr>
        <w:ind w:left="1079" w:hanging="300"/>
        <w:jc w:val="left"/>
        <w:spacing w:line="400" w:lineRule="exact"/>
        <w:rPr>
          <w:rFonts w:ascii="宋体" w:hAnsi="宋体"/>
          <w:color w:val="000000"/>
          <w:sz w:val="24"/>
        </w:rPr>
      </w:pPr>
      <w:r>
        <w:rPr>
          <w:rFonts w:hint="eastAsia" w:ascii="宋体" w:hAnsi="宋体"/>
          <w:color w:val="000000"/>
          <w:sz w:val="24"/>
          <w:highlight w:val="none"/>
        </w:rPr>
        <w:t xml:space="preserve">2.江苏省政府</w:t>
      </w:r>
      <w:r>
        <w:rPr>
          <w:rFonts w:hint="eastAsia" w:ascii="宋体" w:hAnsi="宋体"/>
          <w:color w:val="000000"/>
          <w:sz w:val="24"/>
        </w:rPr>
        <w:t xml:space="preserve">采购中心信息</w:t>
      </w:r>
      <w:r/>
    </w:p>
    <w:p>
      <w:pPr>
        <w:ind w:firstLine="720"/>
        <w:spacing w:line="400" w:lineRule="exact"/>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南京市汉中门大街145号省政务中心二期3楼南区</w:t>
      </w:r>
      <w:r/>
    </w:p>
    <w:p>
      <w:pPr>
        <w:ind w:firstLine="720"/>
        <w:spacing w:line="400" w:lineRule="exact"/>
        <w:rPr>
          <w:rFonts w:hint="eastAsia" w:ascii="宋体" w:hAnsi="宋体" w:eastAsia="宋体"/>
          <w:color w:val="000000"/>
          <w:sz w:val="24"/>
          <w:lang w:eastAsia="zh-CN"/>
        </w:rPr>
      </w:pPr>
      <w:r>
        <w:rPr>
          <w:rFonts w:hint="eastAsia" w:ascii="宋体" w:hAnsi="宋体"/>
          <w:color w:val="000000"/>
          <w:sz w:val="24"/>
        </w:rPr>
        <w:t xml:space="preserve">联系人：</w:t>
      </w:r>
      <w:r>
        <w:rPr>
          <w:rFonts w:hint="eastAsia" w:ascii="宋体" w:hAnsi="宋体"/>
          <w:color w:val="000000"/>
          <w:sz w:val="24"/>
          <w:u w:val="single"/>
          <w:lang w:eastAsia="zh-CN"/>
        </w:rPr>
        <w:t xml:space="preserve">王建浩、许滢</w:t>
      </w:r>
      <w:r/>
    </w:p>
    <w:p>
      <w:pPr>
        <w:ind w:firstLine="720"/>
        <w:spacing w:line="400" w:lineRule="exact"/>
        <w:rPr>
          <w:rFonts w:ascii="宋体" w:hAnsi="宋体" w:eastAsia="宋体"/>
          <w:color w:val="000000"/>
          <w:sz w:val="24"/>
          <w:lang w:val="en-US" w:eastAsia="zh-CN"/>
        </w:rPr>
      </w:pPr>
      <w:r>
        <w:rPr>
          <w:rFonts w:hint="eastAsia" w:ascii="宋体" w:hAnsi="宋体"/>
          <w:color w:val="000000"/>
          <w:sz w:val="24"/>
        </w:rPr>
        <w:t xml:space="preserve">联系方式：</w:t>
      </w:r>
      <w:r>
        <w:rPr>
          <w:rFonts w:hint="eastAsia" w:ascii="宋体" w:hAnsi="宋体"/>
          <w:color w:val="000000"/>
          <w:sz w:val="24"/>
          <w:u w:val="single"/>
        </w:rPr>
        <w:t xml:space="preserve">025-836685</w:t>
      </w:r>
      <w:r>
        <w:rPr>
          <w:rFonts w:hint="eastAsia" w:ascii="宋体" w:hAnsi="宋体"/>
          <w:color w:val="000000"/>
          <w:sz w:val="24"/>
          <w:u w:val="single"/>
          <w:lang w:val="en-US" w:eastAsia="zh-CN"/>
        </w:rPr>
        <w:t xml:space="preserve">13、83668515</w:t>
      </w:r>
      <w:r/>
    </w:p>
    <w:p>
      <w:pPr>
        <w:ind w:firstLine="720"/>
        <w:spacing w:line="400" w:lineRule="exact"/>
        <w:rPr>
          <w:rFonts w:ascii="宋体" w:hAnsi="宋体"/>
          <w:color w:val="000000"/>
          <w:sz w:val="24"/>
          <w:szCs w:val="24"/>
        </w:rPr>
      </w:pPr>
      <w:r>
        <w:rPr>
          <w:rFonts w:ascii="宋体" w:hAnsi="宋体"/>
          <w:color w:val="000000"/>
          <w:sz w:val="24"/>
          <w:szCs w:val="24"/>
        </w:rPr>
      </w:r>
      <w:bookmarkEnd w:id="40"/>
      <w:bookmarkEnd w:id="41"/>
      <w:r/>
    </w:p>
    <w:p>
      <w:pPr>
        <w:pStyle w:val="110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w:t>
      </w:r>
      <w:r>
        <w:rPr>
          <w:rFonts w:hint="eastAsia" w:ascii="宋体" w:hAnsi="宋体"/>
          <w:bCs/>
          <w:color w:val="000000"/>
          <w:sz w:val="24"/>
          <w:szCs w:val="24"/>
          <w:lang w:eastAsia="zh-CN"/>
        </w:rPr>
        <w:t xml:space="preserve">CA</w:t>
      </w:r>
      <w:r>
        <w:rPr>
          <w:rFonts w:hint="eastAsia" w:ascii="宋体" w:hAnsi="宋体"/>
          <w:bCs/>
          <w:color w:val="000000"/>
          <w:sz w:val="24"/>
          <w:szCs w:val="24"/>
        </w:rPr>
        <w:t xml:space="preserve">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color w:val="000000"/>
        </w:rPr>
        <w:t xml:space="preserve">。</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黑体" w:eastAsia="黑体"/>
          <w:color w:val="000000"/>
        </w:rPr>
      </w:pPr>
      <w:r/>
      <w:bookmarkStart w:id="42" w:name="_Toc120614211"/>
      <w:r/>
      <w:r/>
    </w:p>
    <w:p>
      <w:pPr>
        <w:pStyle w:val="1108"/>
        <w:ind w:firstLine="2429"/>
        <w:jc w:val="both"/>
        <w:spacing w:before="620" w:line="400" w:lineRule="exact"/>
        <w:rPr>
          <w:rFonts w:hint="eastAsia" w:ascii="黑体" w:eastAsia="黑体"/>
          <w:color w:val="000000"/>
        </w:rPr>
      </w:pPr>
      <w:r>
        <w:rPr>
          <w:rFonts w:hint="eastAsia" w:ascii="黑体" w:eastAsia="黑体"/>
          <w:color w:val="000000"/>
        </w:rPr>
      </w:r>
      <w:r/>
    </w:p>
    <w:p>
      <w:pPr>
        <w:pStyle w:val="1108"/>
        <w:ind w:firstLine="2429"/>
        <w:jc w:val="both"/>
        <w:spacing w:before="620" w:line="400" w:lineRule="exact"/>
        <w:rPr>
          <w:rFonts w:hint="eastAsia" w:ascii="黑体" w:eastAsia="黑体"/>
          <w:b w:val="0"/>
          <w:bCs w:val="0"/>
          <w:color w:val="000000"/>
        </w:rPr>
      </w:pPr>
      <w:r>
        <w:rPr>
          <w:rFonts w:hint="eastAsia" w:ascii="黑体" w:eastAsia="黑体"/>
          <w:color w:val="000000"/>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eastAsia="黑体"/>
          <w:color w:val="000000"/>
        </w:rPr>
        <w:t xml:space="preserve">投标人须知</w:t>
      </w:r>
      <w:bookmarkEnd w:id="43"/>
      <w:r/>
      <w:bookmarkEnd w:id="44"/>
      <w:r/>
      <w:bookmarkEnd w:id="45"/>
      <w:r/>
      <w:bookmarkEnd w:id="46"/>
      <w:r/>
      <w:r/>
    </w:p>
    <w:p>
      <w:pPr>
        <w:pStyle w:val="1109"/>
        <w:ind w:firstLine="498"/>
        <w:spacing w:before="145" w:after="145" w:line="400" w:lineRule="exact"/>
        <w:rPr>
          <w:rFonts w:hint="eastAsia"/>
          <w:color w:val="000000"/>
        </w:rPr>
      </w:pPr>
      <w:r/>
      <w:bookmarkStart w:id="47" w:name="_Toc513029203"/>
      <w:r/>
      <w:bookmarkStart w:id="48" w:name="_Toc120614214"/>
      <w:r/>
      <w:bookmarkStart w:id="49" w:name="_Toc16938519"/>
      <w:r/>
      <w:bookmarkStart w:id="50" w:name="_Toc20823275"/>
      <w:r>
        <w:rPr>
          <w:rFonts w:hint="eastAsia"/>
          <w:color w:val="000000"/>
        </w:rPr>
        <w:t xml:space="preserve">一、总则</w:t>
      </w:r>
      <w:bookmarkEnd w:id="47"/>
      <w:r/>
      <w:bookmarkEnd w:id="48"/>
      <w:r/>
      <w:bookmarkEnd w:id="49"/>
      <w:r/>
      <w:bookmarkEnd w:id="50"/>
      <w:r/>
      <w:r/>
    </w:p>
    <w:p>
      <w:pPr>
        <w:pStyle w:val="1110"/>
        <w:ind w:firstLine="420"/>
        <w:spacing w:before="0" w:after="0" w:line="400" w:lineRule="exact"/>
        <w:rPr>
          <w:rFonts w:hint="eastAsia"/>
          <w:b w:val="0"/>
          <w:bCs w:val="0"/>
          <w:color w:val="000000"/>
        </w:rPr>
      </w:pPr>
      <w:r/>
      <w:bookmarkStart w:id="51" w:name="_Hlt16619475"/>
      <w:r/>
      <w:bookmarkEnd w:id="51"/>
      <w:r/>
      <w:bookmarkStart w:id="52" w:name="_Toc458694821"/>
      <w:r/>
      <w:bookmarkStart w:id="53" w:name="_Toc16938520"/>
      <w:r/>
      <w:bookmarkStart w:id="54" w:name="_Toc20823276"/>
      <w:r/>
      <w:bookmarkStart w:id="55" w:name="_Toc513029204"/>
      <w:r>
        <w:rPr>
          <w:rFonts w:hint="eastAsia"/>
          <w:b w:val="0"/>
          <w:bCs w:val="0"/>
          <w:color w:val="000000"/>
        </w:rPr>
        <w:t xml:space="preserve">1</w:t>
      </w:r>
      <w:bookmarkEnd w:id="52"/>
      <w:r>
        <w:rPr>
          <w:rFonts w:hint="eastAsia"/>
          <w:b w:val="0"/>
          <w:bCs w:val="0"/>
          <w:color w:val="000000"/>
        </w:rPr>
        <w:t xml:space="preserve">、招标方式</w:t>
      </w:r>
      <w:bookmarkEnd w:id="53"/>
      <w:r/>
      <w:bookmarkEnd w:id="54"/>
      <w:r/>
      <w:bookmarkEnd w:id="55"/>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110"/>
        <w:ind w:firstLine="420"/>
        <w:spacing w:before="0" w:after="0" w:line="400" w:lineRule="exact"/>
        <w:rPr>
          <w:rFonts w:hint="eastAsia"/>
          <w:b w:val="0"/>
          <w:bCs w:val="0"/>
          <w:color w:val="000000"/>
        </w:rPr>
      </w:pPr>
      <w:r/>
      <w:bookmarkStart w:id="56" w:name="_Toc513029205"/>
      <w:r/>
      <w:bookmarkStart w:id="57" w:name="_Toc16938521"/>
      <w:r/>
      <w:bookmarkStart w:id="58" w:name="_Toc20823277"/>
      <w:r>
        <w:rPr>
          <w:rFonts w:hint="eastAsia"/>
          <w:b w:val="0"/>
          <w:bCs w:val="0"/>
          <w:color w:val="000000"/>
        </w:rPr>
        <w:t xml:space="preserve">2、合格的投标人</w:t>
      </w:r>
      <w:bookmarkEnd w:id="56"/>
      <w:r/>
      <w:bookmarkEnd w:id="57"/>
      <w:r/>
      <w:bookmarkEnd w:id="5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方正魏碑_GBK" w:hAnsi="方正魏碑_GBK" w:eastAsia="方正魏碑_GBK" w:cs="方正魏碑_GBK"/>
          <w:color w:val="000000"/>
          <w:sz w:val="28"/>
          <w:szCs w:val="28"/>
          <w:lang w:eastAsia="zh-CN"/>
        </w:rPr>
        <w:outlineLvl w:val="3"/>
      </w:pPr>
      <w:r/>
      <w:bookmarkStart w:id="59" w:name="_Toc20823278"/>
      <w:r/>
      <w:bookmarkStart w:id="60" w:name="_Toc16938522"/>
      <w:r/>
      <w:bookmarkStart w:id="61" w:name="_Toc513029206"/>
      <w:r>
        <w:rPr>
          <w:rFonts w:hint="eastAsia" w:ascii="方正魏碑_GBK" w:hAnsi="方正魏碑_GBK" w:eastAsia="方正魏碑_GBK" w:cs="方正魏碑_GBK"/>
          <w:color w:val="000000"/>
          <w:sz w:val="28"/>
          <w:szCs w:val="28"/>
        </w:rPr>
        <w:t xml:space="preserve">3、适用法律</w:t>
      </w:r>
      <w:bookmarkEnd w:id="59"/>
      <w:r/>
      <w:bookmarkEnd w:id="60"/>
      <w:r/>
      <w:bookmarkEnd w:id="61"/>
      <w:r>
        <w:rPr>
          <w:rFonts w:hint="eastAsia" w:ascii="方正魏碑_GBK" w:hAnsi="方正魏碑_GBK" w:eastAsia="方正魏碑_GBK" w:cs="方正魏碑_GBK"/>
          <w:color w:val="000000"/>
          <w:sz w:val="28"/>
          <w:szCs w:val="28"/>
          <w:lang w:eastAsia="zh-CN"/>
        </w:rPr>
        <w:t xml:space="preserve">和标准</w:t>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ind w:firstLine="420"/>
        <w:spacing w:line="400" w:lineRule="exact"/>
        <w:rPr>
          <w:rFonts w:hint="eastAsia" w:ascii="方正魏碑_GBK" w:hAnsi="方正魏碑_GBK" w:eastAsia="方正魏碑_GBK" w:cs="方正魏碑_GBK"/>
          <w:color w:val="000000"/>
          <w:sz w:val="24"/>
          <w:szCs w:val="21"/>
          <w:lang w:val="en-US" w:eastAsia="zh-CN"/>
        </w:rPr>
      </w:pPr>
      <w:r/>
      <w:bookmarkStart w:id="62" w:name="_Toc16938523"/>
      <w:r/>
      <w:bookmarkStart w:id="63" w:name="_Toc20823279"/>
      <w:r/>
      <w:bookmarkStart w:id="64" w:name="_Toc513029207"/>
      <w:r/>
      <w:bookmarkStart w:id="65" w:name="_Toc462564067"/>
      <w:r>
        <w:rPr>
          <w:rFonts w:hint="eastAsia" w:ascii="方正魏碑_GBK" w:hAnsi="方正魏碑_GBK" w:eastAsia="方正魏碑_GBK" w:cs="方正魏碑_GBK"/>
          <w:color w:val="000000"/>
          <w:sz w:val="24"/>
          <w:szCs w:val="21"/>
          <w:lang w:val="en-US" w:eastAsia="zh-CN"/>
        </w:rPr>
        <w:t xml:space="preserve">3.2 在本项目政府采购活动过程中，如果所执行的标准有更新的，按照最新标准执行。</w:t>
      </w:r>
      <w:r/>
    </w:p>
    <w:p>
      <w:pPr>
        <w:pStyle w:val="1110"/>
        <w:ind w:firstLine="420"/>
        <w:spacing w:before="0" w:after="0" w:line="400" w:lineRule="exact"/>
        <w:rPr>
          <w:rFonts w:hint="eastAsia"/>
          <w:b w:val="0"/>
          <w:bCs w:val="0"/>
          <w:color w:val="000000"/>
        </w:rPr>
      </w:pPr>
      <w:r>
        <w:rPr>
          <w:rFonts w:hint="eastAsia"/>
          <w:b w:val="0"/>
          <w:bCs w:val="0"/>
          <w:color w:val="000000"/>
        </w:rPr>
        <w:t xml:space="preserve">4、投标费用</w:t>
      </w:r>
      <w:bookmarkEnd w:id="62"/>
      <w:r/>
      <w:bookmarkEnd w:id="63"/>
      <w:r/>
      <w:bookmarkEnd w:id="64"/>
      <w:r/>
      <w:bookmarkEnd w:id="65"/>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111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109"/>
        <w:ind w:firstLine="321"/>
        <w:spacing w:before="145" w:after="145" w:line="400" w:lineRule="exact"/>
        <w:rPr>
          <w:rFonts w:hint="eastAsia"/>
          <w:color w:val="000000"/>
        </w:rPr>
      </w:pPr>
      <w:r/>
      <w:bookmarkStart w:id="66" w:name="_Toc16938525"/>
      <w:r/>
      <w:bookmarkStart w:id="67" w:name="_Toc513029209"/>
      <w:r/>
      <w:bookmarkStart w:id="68" w:name="_Toc120614215"/>
      <w:r/>
      <w:bookmarkStart w:id="69" w:name="_Toc20823281"/>
      <w:r>
        <w:rPr>
          <w:rFonts w:hint="eastAsia"/>
          <w:color w:val="000000"/>
        </w:rPr>
        <w:t xml:space="preserve">二、招标文件</w:t>
      </w:r>
      <w:bookmarkEnd w:id="66"/>
      <w:r/>
      <w:bookmarkEnd w:id="67"/>
      <w:r/>
      <w:bookmarkEnd w:id="68"/>
      <w:r/>
      <w:bookmarkEnd w:id="69"/>
      <w:r/>
      <w:r/>
    </w:p>
    <w:p>
      <w:pPr>
        <w:pStyle w:val="1110"/>
        <w:ind w:firstLine="420"/>
        <w:spacing w:before="0" w:after="0" w:line="400" w:lineRule="exact"/>
        <w:rPr>
          <w:rFonts w:hint="eastAsia"/>
          <w:b w:val="0"/>
          <w:bCs w:val="0"/>
          <w:color w:val="000000"/>
        </w:rPr>
      </w:pPr>
      <w:r/>
      <w:bookmarkStart w:id="70" w:name="_Toc16938526"/>
      <w:r/>
      <w:bookmarkStart w:id="71" w:name="_Toc513029210"/>
      <w:r/>
      <w:bookmarkStart w:id="72" w:name="_Toc20823282"/>
      <w:r>
        <w:rPr>
          <w:rFonts w:hint="eastAsia"/>
          <w:b w:val="0"/>
          <w:bCs w:val="0"/>
          <w:color w:val="000000"/>
        </w:rPr>
        <w:t xml:space="preserve">6、招标文件构成</w:t>
      </w:r>
      <w:bookmarkEnd w:id="70"/>
      <w:r/>
      <w:bookmarkEnd w:id="71"/>
      <w:r/>
      <w:bookmarkEnd w:id="72"/>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0"/>
        <w:ind w:firstLine="560"/>
        <w:spacing w:before="0" w:after="0" w:line="400" w:lineRule="exact"/>
        <w:rPr>
          <w:rFonts w:hint="eastAsia"/>
          <w:b w:val="0"/>
          <w:bCs w:val="0"/>
          <w:color w:val="000000"/>
        </w:rPr>
      </w:pPr>
      <w:r/>
      <w:bookmarkStart w:id="73" w:name="_Toc16938528"/>
      <w:r/>
      <w:bookmarkStart w:id="74" w:name="_Toc513029212"/>
      <w:r/>
      <w:bookmarkStart w:id="75" w:name="_Toc462564071"/>
      <w:r/>
      <w:bookmarkStart w:id="76" w:name="_Toc20823284"/>
      <w:r>
        <w:rPr>
          <w:b w:val="0"/>
          <w:bCs w:val="0"/>
          <w:color w:val="000000"/>
        </w:rPr>
        <w:t xml:space="preserve">7</w:t>
      </w:r>
      <w:r>
        <w:rPr>
          <w:rFonts w:hint="eastAsia"/>
          <w:b w:val="0"/>
          <w:bCs w:val="0"/>
          <w:color w:val="000000"/>
        </w:rPr>
        <w:t xml:space="preserve">、招标文件的修改</w:t>
      </w:r>
      <w:bookmarkEnd w:id="73"/>
      <w:r/>
      <w:bookmarkEnd w:id="74"/>
      <w:r/>
      <w:bookmarkEnd w:id="75"/>
      <w:r/>
      <w:bookmarkEnd w:id="76"/>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109"/>
        <w:ind w:firstLine="482"/>
        <w:spacing w:before="145" w:after="145" w:line="400" w:lineRule="exact"/>
        <w:rPr>
          <w:rFonts w:hint="eastAsia"/>
          <w:color w:val="000000"/>
        </w:rPr>
      </w:pPr>
      <w:r/>
      <w:bookmarkStart w:id="77" w:name="_Toc20823285"/>
      <w:r/>
      <w:bookmarkStart w:id="78" w:name="_Toc16938529"/>
      <w:r/>
      <w:bookmarkStart w:id="79" w:name="_Toc462564072"/>
      <w:r/>
      <w:bookmarkStart w:id="80" w:name="_Toc120614216"/>
      <w:r/>
      <w:bookmarkStart w:id="81" w:name="_Toc513029213"/>
      <w:r>
        <w:rPr>
          <w:rFonts w:hint="eastAsia"/>
          <w:color w:val="000000"/>
        </w:rPr>
        <w:t xml:space="preserve">三、投标文件的编制</w:t>
      </w:r>
      <w:bookmarkEnd w:id="77"/>
      <w:r/>
      <w:bookmarkEnd w:id="78"/>
      <w:r/>
      <w:bookmarkEnd w:id="79"/>
      <w:r/>
      <w:bookmarkEnd w:id="80"/>
      <w:r/>
      <w:bookmarkEnd w:id="81"/>
      <w:r/>
      <w:r/>
    </w:p>
    <w:p>
      <w:pPr>
        <w:pStyle w:val="1110"/>
        <w:ind w:firstLine="560"/>
        <w:spacing w:before="0" w:after="0" w:line="400" w:lineRule="exact"/>
        <w:rPr>
          <w:rFonts w:hint="eastAsia"/>
          <w:bCs w:val="0"/>
          <w:color w:val="000000"/>
        </w:rPr>
      </w:pPr>
      <w:r/>
      <w:bookmarkStart w:id="82" w:name="_Toc513029214"/>
      <w:r/>
      <w:bookmarkStart w:id="83" w:name="_Toc462564073"/>
      <w:r/>
      <w:bookmarkStart w:id="84" w:name="_Toc20823286"/>
      <w:r/>
      <w:bookmarkStart w:id="85" w:name="_Toc16938530"/>
      <w:r>
        <w:rPr>
          <w:b w:val="0"/>
          <w:bCs w:val="0"/>
          <w:color w:val="000000"/>
        </w:rPr>
        <w:t xml:space="preserve">8</w:t>
      </w:r>
      <w:r>
        <w:rPr>
          <w:rFonts w:hint="eastAsia"/>
          <w:b w:val="0"/>
          <w:bCs w:val="0"/>
          <w:color w:val="000000"/>
        </w:rPr>
        <w:t xml:space="preserve">、投标文件的语言及度量衡单位</w:t>
      </w:r>
      <w:bookmarkEnd w:id="82"/>
      <w:r/>
      <w:bookmarkEnd w:id="83"/>
      <w:r/>
      <w:bookmarkEnd w:id="84"/>
      <w:r/>
      <w:bookmarkEnd w:id="85"/>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110"/>
        <w:ind w:firstLine="420"/>
        <w:spacing w:before="0" w:after="0" w:line="400" w:lineRule="exact"/>
        <w:rPr>
          <w:rFonts w:hint="eastAsia"/>
          <w:b w:val="0"/>
          <w:bCs w:val="0"/>
          <w:color w:val="000000"/>
        </w:rPr>
      </w:pPr>
      <w:r/>
      <w:bookmarkStart w:id="86" w:name="_Toc462564074"/>
      <w:r/>
      <w:bookmarkStart w:id="87" w:name="_Toc513029215"/>
      <w:r/>
      <w:bookmarkStart w:id="88" w:name="_Toc20823287"/>
      <w:r/>
      <w:bookmarkStart w:id="89" w:name="_Toc16938531"/>
      <w:r>
        <w:rPr>
          <w:b w:val="0"/>
          <w:bCs w:val="0"/>
          <w:color w:val="000000"/>
        </w:rPr>
        <w:t xml:space="preserve">9</w:t>
      </w:r>
      <w:r>
        <w:rPr>
          <w:rFonts w:hint="eastAsia"/>
          <w:b w:val="0"/>
          <w:bCs w:val="0"/>
          <w:color w:val="000000"/>
        </w:rPr>
        <w:t xml:space="preserve">、投标文件构成</w:t>
      </w:r>
      <w:bookmarkEnd w:id="86"/>
      <w:r/>
      <w:bookmarkEnd w:id="87"/>
      <w:r/>
      <w:bookmarkEnd w:id="88"/>
      <w:r/>
      <w:bookmarkEnd w:id="89"/>
      <w:r/>
      <w:r/>
    </w:p>
    <w:p>
      <w:pPr>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1110"/>
        <w:ind w:firstLine="420"/>
        <w:spacing w:before="0" w:after="0" w:line="400" w:lineRule="exact"/>
        <w:rPr>
          <w:rFonts w:hint="eastAsia"/>
          <w:b w:val="0"/>
          <w:bCs w:val="0"/>
          <w:color w:val="000000"/>
        </w:rPr>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14577357"/>
      <w:r/>
      <w:bookmarkStart w:id="96" w:name="_Toc513029216"/>
      <w:r/>
      <w:bookmarkStart w:id="97" w:name="_Toc49090507"/>
      <w:r/>
      <w:bookmarkStart w:id="98"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3"/>
      <w:r/>
      <w:bookmarkEnd w:id="94"/>
      <w:r/>
      <w:bookmarkEnd w:id="95"/>
      <w:r/>
      <w:bookmarkEnd w:id="96"/>
      <w:bookmarkEnd w:id="97"/>
      <w:bookmarkEnd w:id="98"/>
      <w:r/>
    </w:p>
    <w:p>
      <w:pPr>
        <w:spacing w:line="400" w:lineRule="exact"/>
        <w:rPr>
          <w:rFonts w:hint="eastAsia" w:ascii="宋体" w:hAnsi="宋体"/>
          <w:color w:val="000000"/>
          <w:sz w:val="24"/>
          <w:szCs w:val="24"/>
        </w:rPr>
      </w:pPr>
      <w:r/>
      <w:bookmarkStart w:id="99" w:name="_Toc14577355"/>
      <w:r/>
      <w:bookmarkStart w:id="100"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11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99"/>
      <w:r/>
      <w:bookmarkStart w:id="101" w:name="_Hlt26670373"/>
      <w:r/>
      <w:bookmarkEnd w:id="101"/>
      <w:r>
        <w:rPr>
          <w:rFonts w:hint="eastAsia"/>
          <w:b w:val="0"/>
          <w:bCs w:val="0"/>
          <w:color w:val="000000"/>
        </w:rPr>
        <w:t xml:space="preserve">表</w:t>
      </w:r>
      <w:bookmarkEnd w:id="100"/>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2" w:name="_Hlt26954840"/>
      <w:r/>
      <w:bookmarkEnd w:id="102"/>
      <w:r>
        <w:rPr>
          <w:rFonts w:hint="eastAsia" w:ascii="宋体" w:hAnsi="宋体"/>
          <w:color w:val="000000"/>
          <w:sz w:val="24"/>
        </w:rPr>
        <w:t xml:space="preserve">标人按照招标文件规定格式填报投标分项报价表</w:t>
      </w:r>
      <w:bookmarkStart w:id="103" w:name="_Hlt26670399"/>
      <w:r/>
      <w:bookmarkEnd w:id="103"/>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110"/>
        <w:ind w:firstLine="420"/>
        <w:spacing w:before="0" w:after="0" w:line="400" w:lineRule="exact"/>
        <w:rPr>
          <w:rFonts w:hint="eastAsia"/>
          <w:b w:val="0"/>
          <w:bCs w:val="0"/>
          <w:color w:val="000000"/>
        </w:rPr>
      </w:pPr>
      <w:r/>
      <w:bookmarkStart w:id="104" w:name="_Hlt26670425"/>
      <w:r/>
      <w:bookmarkEnd w:id="104"/>
      <w:r/>
      <w:bookmarkStart w:id="105" w:name="_Hlt26954844"/>
      <w:r/>
      <w:bookmarkEnd w:id="105"/>
      <w:r/>
      <w:bookmarkStart w:id="106" w:name="_Hlt26670482"/>
      <w:r/>
      <w:bookmarkEnd w:id="106"/>
      <w:r/>
      <w:bookmarkStart w:id="107" w:name="_Hlt26954846"/>
      <w:r/>
      <w:bookmarkEnd w:id="107"/>
      <w:r/>
      <w:bookmarkStart w:id="108" w:name="_Hlt26670486"/>
      <w:r/>
      <w:bookmarkEnd w:id="108"/>
      <w:r/>
      <w:bookmarkStart w:id="109" w:name="_Hlt26670403"/>
      <w:r/>
      <w:bookmarkEnd w:id="109"/>
      <w:r/>
      <w:bookmarkStart w:id="110" w:name="_Hlt26954842"/>
      <w:r/>
      <w:bookmarkEnd w:id="110"/>
      <w:r/>
      <w:bookmarkStart w:id="111" w:name="_Hlt26954848"/>
      <w:r/>
      <w:bookmarkEnd w:id="111"/>
      <w:r/>
      <w:bookmarkStart w:id="112" w:name="_Hlt26668983"/>
      <w:r/>
      <w:bookmarkEnd w:id="112"/>
      <w:r/>
      <w:bookmarkStart w:id="113" w:name="_Hlt26954731"/>
      <w:r/>
      <w:bookmarkEnd w:id="113"/>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4" w:name="_Toc14577359"/>
      <w:r/>
      <w:bookmarkStart w:id="115"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11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4"/>
      <w:bookmarkEnd w:id="115"/>
      <w:r/>
    </w:p>
    <w:p>
      <w:pPr>
        <w:pStyle w:val="1110"/>
        <w:ind w:firstLine="420"/>
        <w:spacing w:before="0" w:after="0" w:line="400" w:lineRule="exact"/>
        <w:rPr>
          <w:rFonts w:hint="eastAsia"/>
          <w:b w:val="0"/>
          <w:bCs w:val="0"/>
          <w:color w:val="000000"/>
        </w:rPr>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19"/>
      <w:r/>
      <w:bookmarkEnd w:id="120"/>
      <w:r/>
      <w:r/>
    </w:p>
    <w:p>
      <w:pPr>
        <w:ind w:firstLine="480"/>
        <w:spacing w:line="400" w:lineRule="exact"/>
        <w:rPr>
          <w:rFonts w:hint="eastAsia" w:ascii="宋体" w:hAnsi="宋体"/>
          <w:bCs/>
          <w:color w:val="000000"/>
          <w:sz w:val="24"/>
          <w:highlight w:val="none"/>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w:t>
      </w:r>
      <w:r>
        <w:rPr>
          <w:rFonts w:hint="eastAsia" w:ascii="宋体" w:hAnsi="宋体"/>
          <w:bCs/>
          <w:color w:val="000000"/>
          <w:sz w:val="24"/>
          <w:highlight w:val="none"/>
        </w:rPr>
        <w:t xml:space="preserve">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11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1109"/>
        <w:ind w:firstLine="482"/>
        <w:spacing w:before="145" w:after="145" w:line="400" w:lineRule="exact"/>
        <w:rPr>
          <w:rFonts w:hint="eastAsia"/>
          <w:color w:val="000000"/>
        </w:rPr>
      </w:pPr>
      <w:r/>
      <w:bookmarkStart w:id="121" w:name="_Hlt26954852"/>
      <w:r/>
      <w:bookmarkEnd w:id="121"/>
      <w:r/>
      <w:bookmarkStart w:id="122" w:name="_Hlt26954739"/>
      <w:r/>
      <w:bookmarkEnd w:id="122"/>
      <w:r/>
      <w:bookmarkStart w:id="123" w:name="_Toc120614217"/>
      <w:r/>
      <w:bookmarkStart w:id="124" w:name="_Toc16938540"/>
      <w:r/>
      <w:bookmarkStart w:id="125" w:name="_Toc20823296"/>
      <w:r/>
      <w:bookmarkStart w:id="126" w:name="_Toc513029224"/>
      <w:r>
        <w:rPr>
          <w:rFonts w:hint="eastAsia"/>
          <w:color w:val="000000"/>
        </w:rPr>
        <w:t xml:space="preserve">四、投标文件的递交</w:t>
      </w:r>
      <w:bookmarkEnd w:id="123"/>
      <w:r/>
      <w:bookmarkEnd w:id="124"/>
      <w:r/>
      <w:bookmarkEnd w:id="125"/>
      <w:r/>
      <w:bookmarkEnd w:id="126"/>
      <w:r/>
      <w:r/>
    </w:p>
    <w:p>
      <w:pPr>
        <w:pStyle w:val="1110"/>
        <w:ind w:firstLine="560"/>
        <w:spacing w:before="0" w:after="0" w:line="400" w:lineRule="exact"/>
        <w:rPr>
          <w:rFonts w:hint="eastAsia" w:ascii="黑体"/>
          <w:b w:val="0"/>
          <w:bCs w:val="0"/>
          <w:color w:val="000000"/>
        </w:rPr>
      </w:pPr>
      <w:r/>
      <w:bookmarkStart w:id="127" w:name="_Toc16938541"/>
      <w:r/>
      <w:bookmarkStart w:id="128" w:name="_Toc513029225"/>
      <w:r/>
      <w:bookmarkStart w:id="129" w:name="_Toc462564084"/>
      <w:r/>
      <w:bookmarkStart w:id="130"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7"/>
      <w:r/>
      <w:bookmarkEnd w:id="128"/>
      <w:r/>
      <w:bookmarkEnd w:id="129"/>
      <w:r/>
      <w:bookmarkEnd w:id="130"/>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1183"/>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513029226"/>
      <w:r/>
      <w:bookmarkStart w:id="132" w:name="_Toc20823298"/>
      <w:r/>
      <w:bookmarkStart w:id="133" w:name="_Toc16938542"/>
      <w:r/>
      <w:r/>
    </w:p>
    <w:p>
      <w:pPr>
        <w:pStyle w:val="111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1"/>
      <w:r/>
      <w:bookmarkEnd w:id="132"/>
      <w:r/>
      <w:bookmarkEnd w:id="133"/>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110"/>
        <w:ind w:firstLine="420"/>
        <w:spacing w:before="0" w:after="0" w:line="400" w:lineRule="exact"/>
        <w:rPr>
          <w:rFonts w:hint="eastAsia"/>
          <w:b w:val="0"/>
          <w:bCs w:val="0"/>
          <w:color w:val="000000"/>
        </w:rPr>
      </w:pPr>
      <w:r/>
      <w:bookmarkStart w:id="134" w:name="_Toc20823299"/>
      <w:r/>
      <w:bookmarkStart w:id="135" w:name="_Toc16938543"/>
      <w:r/>
      <w:bookmarkStart w:id="136"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4"/>
      <w:r/>
      <w:bookmarkEnd w:id="135"/>
      <w:r/>
      <w:bookmarkEnd w:id="136"/>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1110"/>
        <w:ind w:firstLine="420"/>
        <w:spacing w:before="0" w:after="0" w:line="400" w:lineRule="exact"/>
        <w:rPr>
          <w:rFonts w:hint="eastAsia"/>
          <w:b w:val="0"/>
          <w:bCs w:val="0"/>
          <w:color w:val="000000"/>
        </w:rPr>
      </w:pPr>
      <w:r/>
      <w:bookmarkStart w:id="137" w:name="_Toc513029228"/>
      <w:r/>
      <w:bookmarkStart w:id="138" w:name="_Toc16938544"/>
      <w:r/>
      <w:bookmarkStart w:id="139" w:name="_Toc20823300"/>
      <w:r>
        <w:rPr>
          <w:b w:val="0"/>
          <w:bCs w:val="0"/>
          <w:color w:val="000000"/>
        </w:rPr>
        <w:t xml:space="preserve">19</w:t>
      </w:r>
      <w:r>
        <w:rPr>
          <w:rFonts w:hint="eastAsia"/>
          <w:b w:val="0"/>
          <w:bCs w:val="0"/>
          <w:color w:val="000000"/>
        </w:rPr>
        <w:t xml:space="preserve">、投标文件的撤回和修改</w:t>
      </w:r>
      <w:bookmarkEnd w:id="137"/>
      <w:r/>
      <w:bookmarkEnd w:id="138"/>
      <w:r/>
      <w:bookmarkEnd w:id="139"/>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109"/>
        <w:ind w:firstLine="482"/>
        <w:spacing w:before="145" w:after="145" w:line="400" w:lineRule="exact"/>
        <w:rPr>
          <w:rFonts w:hint="eastAsia"/>
          <w:color w:val="000000"/>
        </w:rPr>
      </w:pPr>
      <w:r/>
      <w:bookmarkStart w:id="140" w:name="_Toc20823301"/>
      <w:r/>
      <w:bookmarkStart w:id="141" w:name="_Toc120614218"/>
      <w:r/>
      <w:bookmarkStart w:id="142" w:name="_Toc513029229"/>
      <w:r/>
      <w:bookmarkStart w:id="143" w:name="_Toc16938545"/>
      <w:r>
        <w:rPr>
          <w:rFonts w:hint="eastAsia"/>
          <w:color w:val="000000"/>
        </w:rPr>
        <w:t xml:space="preserve">五、开标与评标</w:t>
      </w:r>
      <w:bookmarkEnd w:id="140"/>
      <w:r/>
      <w:bookmarkEnd w:id="141"/>
      <w:r/>
      <w:bookmarkEnd w:id="142"/>
      <w:r/>
      <w:bookmarkEnd w:id="143"/>
      <w:r/>
      <w:r/>
    </w:p>
    <w:p>
      <w:pPr>
        <w:pStyle w:val="1110"/>
        <w:ind w:firstLine="420"/>
        <w:spacing w:before="0" w:after="0" w:line="400" w:lineRule="exact"/>
        <w:rPr>
          <w:rFonts w:hint="eastAsia"/>
          <w:b w:val="0"/>
          <w:bCs w:val="0"/>
          <w:color w:val="000000"/>
        </w:rPr>
      </w:pPr>
      <w:r/>
      <w:bookmarkStart w:id="144" w:name="_Toc20823302"/>
      <w:r/>
      <w:bookmarkStart w:id="145" w:name="_Toc513029230"/>
      <w:r/>
      <w:bookmarkStart w:id="146"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4"/>
      <w:r/>
      <w:bookmarkEnd w:id="145"/>
      <w:r/>
      <w:bookmarkEnd w:id="146"/>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110"/>
        <w:ind w:firstLine="420"/>
        <w:spacing w:before="0" w:after="0" w:line="400" w:lineRule="exact"/>
        <w:rPr>
          <w:rFonts w:hint="eastAsia"/>
          <w:b w:val="0"/>
          <w:bCs w:val="0"/>
          <w:color w:val="000000"/>
        </w:rPr>
      </w:pPr>
      <w:r/>
      <w:bookmarkStart w:id="147" w:name="_Toc513029231"/>
      <w:r/>
      <w:bookmarkStart w:id="148" w:name="_Toc16938547"/>
      <w:r/>
      <w:bookmarkStart w:id="149"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eastAsia="zh-CN"/>
        </w:rPr>
        <w:t xml:space="preserve">侯选人</w:t>
      </w:r>
      <w:r>
        <w:rPr>
          <w:rFonts w:hint="eastAsia" w:ascii="宋体" w:hAnsi="宋体"/>
          <w:color w:val="000000"/>
          <w:sz w:val="24"/>
          <w:szCs w:val="24"/>
        </w:rPr>
        <w:t xml:space="preserve">。</w:t>
      </w:r>
      <w:r/>
    </w:p>
    <w:p>
      <w:pPr>
        <w:pStyle w:val="111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7"/>
      <w:bookmarkEnd w:id="148"/>
      <w:bookmarkEnd w:id="149"/>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110"/>
        <w:ind w:firstLine="420"/>
        <w:spacing w:before="0" w:after="0" w:line="400" w:lineRule="exact"/>
        <w:rPr>
          <w:rFonts w:hint="eastAsia"/>
          <w:b w:val="0"/>
          <w:bCs w:val="0"/>
          <w:color w:val="000000"/>
        </w:rPr>
      </w:pPr>
      <w:r/>
      <w:bookmarkStart w:id="150" w:name="_Toc20823304"/>
      <w:r/>
      <w:bookmarkStart w:id="151" w:name="_Toc513029232"/>
      <w:r/>
      <w:bookmarkStart w:id="152"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0"/>
      <w:r/>
      <w:bookmarkEnd w:id="151"/>
      <w:r/>
      <w:bookmarkEnd w:id="152"/>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110"/>
        <w:ind w:firstLine="420"/>
        <w:spacing w:before="0" w:after="0" w:line="400" w:lineRule="exact"/>
        <w:rPr>
          <w:rFonts w:hint="eastAsia"/>
          <w:b w:val="0"/>
          <w:bCs w:val="0"/>
          <w:color w:val="000000"/>
        </w:rPr>
      </w:pPr>
      <w:r/>
      <w:bookmarkStart w:id="153" w:name="_Toc20823305"/>
      <w:r/>
      <w:bookmarkStart w:id="154" w:name="_Toc513029233"/>
      <w:r/>
      <w:bookmarkStart w:id="155"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3"/>
      <w:r/>
      <w:bookmarkEnd w:id="154"/>
      <w:r/>
      <w:bookmarkEnd w:id="155"/>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6" w:name="_Toc20823306"/>
      <w:r/>
      <w:bookmarkStart w:id="157" w:name="_Toc16938550"/>
      <w:r/>
      <w:bookmarkStart w:id="158"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24.7 异常低价投标审查</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宋体"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宋体"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宋体"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宋体"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lang w:eastAsia="zh-CN"/>
        </w:rPr>
        <w:t xml:space="preserve">%</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lang w:eastAsia="zh-CN"/>
        </w:rPr>
        <w:t xml:space="preserve">%</w:t>
      </w:r>
      <w:r>
        <w:rPr>
          <w:rFonts w:hint="eastAsia" w:ascii="方正魏碑_GBK" w:hAnsi="方正魏碑_GBK" w:eastAsia="方正魏碑_GBK" w:cs="方正魏碑_GBK"/>
          <w:color w:val="000000"/>
          <w:sz w:val="24"/>
          <w:szCs w:val="21"/>
          <w:lang w:eastAsia="zh-CN"/>
        </w:rPr>
        <w:t xml:space="preserve">；</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11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6"/>
      <w:r/>
      <w:bookmarkEnd w:id="157"/>
      <w:r/>
      <w:bookmarkEnd w:id="158"/>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59" w:name="_Toc513029235"/>
      <w:r/>
      <w:bookmarkStart w:id="160" w:name="_Toc20823307"/>
      <w:r/>
      <w:bookmarkStart w:id="161"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方正魏碑_GBK" w:hAnsi="方正魏碑_GBK" w:eastAsia="方正魏碑_GBK" w:cs="方正魏碑_GBK"/>
          <w:bCs/>
          <w:color w:val="000000"/>
          <w:sz w:val="24"/>
          <w:szCs w:val="24"/>
          <w:lang w:val="en-US" w:eastAsia="zh-CN"/>
        </w:rPr>
        <w:t xml:space="preserve">25.1.12 投标人所提供的服务不符合招标文件中所列国家强制性标准的</w:t>
      </w:r>
      <w:r>
        <w:rPr>
          <w:rFonts w:hint="eastAsia" w:ascii="方正魏碑_GBK" w:hAnsi="方正魏碑_GBK" w:eastAsia="方正魏碑_GBK" w:cs="方正魏碑_GBK"/>
          <w:bCs/>
          <w:color w:val="000000"/>
          <w:sz w:val="28"/>
          <w:szCs w:val="28"/>
          <w:lang w:val="en-US" w:eastAsia="zh-C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3</w:t>
      </w:r>
      <w:r>
        <w:rPr>
          <w:rFonts w:hint="eastAsia" w:ascii="宋体" w:hAnsi="宋体"/>
          <w:bCs/>
          <w:color w:val="000000"/>
          <w:sz w:val="24"/>
        </w:rPr>
        <w:t xml:space="preserve">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109"/>
        <w:ind w:firstLine="482"/>
        <w:spacing w:before="145" w:after="145" w:line="400" w:lineRule="exact"/>
        <w:rPr>
          <w:rFonts w:hint="eastAsia"/>
          <w:color w:val="000000"/>
        </w:rPr>
      </w:pPr>
      <w:r/>
      <w:bookmarkStart w:id="162" w:name="_Toc120614219"/>
      <w:r>
        <w:rPr>
          <w:rFonts w:hint="eastAsia"/>
          <w:color w:val="000000"/>
        </w:rPr>
        <w:t xml:space="preserve">六、</w:t>
      </w:r>
      <w:bookmarkEnd w:id="159"/>
      <w:r/>
      <w:bookmarkEnd w:id="160"/>
      <w:r/>
      <w:bookmarkEnd w:id="161"/>
      <w:r>
        <w:rPr>
          <w:rFonts w:hint="eastAsia"/>
          <w:color w:val="000000"/>
        </w:rPr>
        <w:t xml:space="preserve">定标</w:t>
      </w:r>
      <w:bookmarkEnd w:id="162"/>
      <w:r/>
      <w:r/>
    </w:p>
    <w:p>
      <w:pPr>
        <w:pStyle w:val="1110"/>
        <w:ind w:firstLine="600"/>
        <w:spacing w:before="0" w:after="0" w:line="400" w:lineRule="exact"/>
        <w:rPr>
          <w:rFonts w:hint="eastAsia" w:ascii="黑体" w:hAnsi="宋体" w:cs="Times New Roman"/>
          <w:b w:val="0"/>
          <w:color w:val="000000"/>
          <w:sz w:val="30"/>
          <w:szCs w:val="30"/>
        </w:rPr>
      </w:pPr>
      <w:r/>
      <w:bookmarkStart w:id="163" w:name="_Toc513029238"/>
      <w:r/>
      <w:bookmarkStart w:id="164" w:name="_Toc16938554"/>
      <w:r/>
      <w:bookmarkStart w:id="165"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3"/>
      <w:r>
        <w:rPr>
          <w:rFonts w:hint="eastAsia" w:ascii="黑体" w:hAnsi="宋体" w:cs="Times New Roman"/>
          <w:b w:val="0"/>
          <w:color w:val="000000"/>
          <w:sz w:val="30"/>
          <w:szCs w:val="30"/>
        </w:rPr>
        <w:t xml:space="preserve">确定</w:t>
      </w:r>
      <w:bookmarkEnd w:id="164"/>
      <w:r/>
      <w:bookmarkEnd w:id="165"/>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p>
    <w:p>
      <w:pPr>
        <w:pStyle w:val="111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6"/>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sz w:val="24"/>
          <w:szCs w:val="24"/>
        </w:rPr>
        <w:t xml:space="preserve">7</w:t>
      </w:r>
      <w:r>
        <w:rPr>
          <w:rFonts w:hint="eastAsia" w:ascii="宋体" w:hAnsi="宋体"/>
          <w:color w:val="000000"/>
          <w:sz w:val="24"/>
          <w:szCs w:val="24"/>
        </w:rPr>
        <w:t xml:space="preserve">.4条款的规定向采购中心或采购人提出质疑。上述应知其权益受到损害之日，是指：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11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109"/>
        <w:spacing w:before="145" w:after="145" w:line="400" w:lineRule="exact"/>
        <w:rPr>
          <w:rFonts w:hint="eastAsia"/>
          <w:color w:val="000000"/>
        </w:rPr>
      </w:pPr>
      <w:r/>
      <w:bookmarkStart w:id="167" w:name="_Toc120614220"/>
      <w:r/>
      <w:bookmarkStart w:id="168" w:name="_Toc20823308"/>
      <w:r/>
      <w:bookmarkStart w:id="169" w:name="_Toc513029236"/>
      <w:r/>
      <w:bookmarkStart w:id="170" w:name="_Toc16938552"/>
      <w:r>
        <w:rPr>
          <w:rFonts w:hint="eastAsia"/>
          <w:color w:val="000000"/>
        </w:rPr>
        <w:t xml:space="preserve">七、授予合同</w:t>
      </w:r>
      <w:bookmarkEnd w:id="167"/>
      <w:r/>
      <w:bookmarkEnd w:id="168"/>
      <w:bookmarkEnd w:id="169"/>
      <w:bookmarkEnd w:id="170"/>
      <w:r/>
    </w:p>
    <w:p>
      <w:pPr>
        <w:pStyle w:val="1110"/>
        <w:ind w:firstLine="600"/>
        <w:spacing w:before="0" w:after="0" w:line="400" w:lineRule="exact"/>
        <w:rPr>
          <w:rFonts w:hint="eastAsia" w:ascii="黑体" w:hAnsi="宋体" w:cs="Times New Roman"/>
          <w:b w:val="0"/>
          <w:color w:val="000000"/>
          <w:sz w:val="30"/>
          <w:szCs w:val="30"/>
        </w:rPr>
      </w:pPr>
      <w:r/>
      <w:bookmarkStart w:id="171" w:name="_Toc20823309"/>
      <w:r/>
      <w:bookmarkStart w:id="172" w:name="_Toc16938553"/>
      <w:r/>
      <w:bookmarkStart w:id="173"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11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0</w:t>
      </w:r>
      <w:r>
        <w:rPr>
          <w:rFonts w:hint="eastAsia" w:ascii="黑体" w:hAnsi="宋体" w:cs="Times New Roman"/>
          <w:b w:val="0"/>
          <w:color w:val="000000"/>
          <w:sz w:val="30"/>
          <w:szCs w:val="30"/>
        </w:rPr>
        <w:t xml:space="preserve">、服务（包含与服务相关的货物）的追加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1"/>
      <w:bookmarkEnd w:id="172"/>
      <w:bookmarkEnd w:id="173"/>
      <w:r/>
    </w:p>
    <w:p>
      <w:pPr>
        <w:pStyle w:val="1110"/>
        <w:ind w:firstLine="600"/>
        <w:spacing w:before="0" w:after="0" w:line="400" w:lineRule="exact"/>
        <w:rPr>
          <w:rFonts w:ascii="黑体" w:hAnsi="宋体" w:cs="Times New Roman"/>
          <w:b w:val="0"/>
          <w:color w:val="000000"/>
          <w:sz w:val="30"/>
          <w:szCs w:val="30"/>
        </w:rPr>
      </w:pPr>
      <w:r/>
      <w:bookmarkStart w:id="174" w:name="_Toc513029242"/>
      <w:r/>
      <w:bookmarkStart w:id="175" w:name="_Toc16938558"/>
      <w:r/>
      <w:bookmarkStart w:id="176" w:name="_Toc20823314"/>
      <w:r/>
      <w:bookmarkStart w:id="177" w:name="_Toc120614221"/>
      <w:r/>
      <w:bookmarkStart w:id="178" w:name="_Toc479757207"/>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1</w:t>
      </w:r>
      <w:r>
        <w:rPr>
          <w:rFonts w:hint="eastAsia" w:ascii="黑体" w:hAnsi="宋体" w:cs="Times New Roman"/>
          <w:b w:val="0"/>
          <w:color w:val="000000"/>
          <w:sz w:val="30"/>
          <w:szCs w:val="30"/>
        </w:rPr>
        <w:t xml:space="preserve">、政府采购履约资金扶持政策</w:t>
      </w:r>
      <w:r/>
    </w:p>
    <w:p>
      <w:pPr>
        <w:pStyle w:val="1111"/>
        <w:spacing w:line="400" w:lineRule="exact"/>
        <w:rPr>
          <w:rFonts w:hint="eastAsia" w:ascii="宋体" w:hAnsi="宋体"/>
          <w:bCs/>
          <w:color w:val="000000"/>
          <w:sz w:val="24"/>
        </w:rPr>
      </w:pPr>
      <w:r>
        <w:rPr>
          <w:rFonts w:hint="eastAsia" w:ascii="宋体" w:hAnsi="宋体"/>
          <w:bCs/>
          <w:color w:val="000000"/>
          <w:sz w:val="24"/>
        </w:rPr>
        <w:t xml:space="preserve">中标供应商可凭政府采购合同办理融资贷款，详情请见江苏政府采购网“政采贷”专栏。</w:t>
      </w:r>
      <w:r/>
    </w:p>
    <w:p>
      <w:pPr>
        <w:pStyle w:val="1111"/>
        <w:spacing w:line="400" w:lineRule="exact"/>
        <w:rPr>
          <w:rFonts w:hint="eastAsia" w:ascii="宋体" w:hAnsi="宋体"/>
          <w:bCs/>
          <w:color w:val="000000"/>
          <w:sz w:val="24"/>
        </w:rPr>
      </w:pPr>
      <w:r>
        <w:rPr>
          <w:rFonts w:hint="eastAsia" w:ascii="宋体" w:hAnsi="宋体"/>
          <w:bCs/>
          <w:color w:val="000000"/>
          <w:sz w:val="24"/>
        </w:rPr>
      </w:r>
      <w:r/>
    </w:p>
    <w:p>
      <w:pPr>
        <w:pStyle w:val="1111"/>
        <w:spacing w:line="400" w:lineRule="exact"/>
        <w:rPr>
          <w:rFonts w:hint="eastAsia" w:ascii="宋体" w:hAnsi="宋体"/>
          <w:bCs/>
          <w:color w:val="000000"/>
          <w:sz w:val="24"/>
        </w:rPr>
      </w:pPr>
      <w:r>
        <w:rPr>
          <w:rFonts w:hint="eastAsia" w:ascii="宋体" w:hAnsi="宋体"/>
          <w:bCs/>
          <w:color w:val="000000"/>
          <w:sz w:val="24"/>
        </w:rPr>
      </w:r>
      <w:r/>
    </w:p>
    <w:p>
      <w:pPr>
        <w:pStyle w:val="1111"/>
        <w:spacing w:line="400" w:lineRule="exact"/>
        <w:rPr>
          <w:rFonts w:hint="eastAsia" w:ascii="宋体" w:hAnsi="宋体"/>
          <w:bCs/>
          <w:color w:val="000000"/>
          <w:sz w:val="24"/>
        </w:rPr>
      </w:pPr>
      <w:r>
        <w:rPr>
          <w:rFonts w:hint="eastAsia" w:ascii="宋体" w:hAnsi="宋体"/>
          <w:bCs/>
          <w:color w:val="000000"/>
          <w:sz w:val="24"/>
        </w:rPr>
      </w:r>
      <w:r/>
    </w:p>
    <w:p>
      <w:pPr>
        <w:pStyle w:val="1111"/>
        <w:spacing w:line="400" w:lineRule="exact"/>
        <w:rPr>
          <w:rFonts w:hint="eastAsia" w:ascii="宋体" w:hAnsi="宋体"/>
          <w:bCs/>
          <w:color w:val="000000"/>
          <w:sz w:val="24"/>
        </w:rPr>
      </w:pPr>
      <w:r>
        <w:rPr>
          <w:rFonts w:hint="eastAsia" w:ascii="宋体" w:hAnsi="宋体"/>
          <w:bCs/>
          <w:color w:val="000000"/>
          <w:sz w:val="24"/>
        </w:rPr>
      </w:r>
      <w:r/>
    </w:p>
    <w:p>
      <w:pPr>
        <w:pStyle w:val="1107"/>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bookmarkEnd w:id="174"/>
      <w:bookmarkEnd w:id="175"/>
      <w:bookmarkEnd w:id="176"/>
      <w:bookmarkEnd w:id="177"/>
      <w:bookmarkEnd w:id="178"/>
      <w:r/>
    </w:p>
    <w:p>
      <w:pPr>
        <w:jc w:val="center"/>
        <w:spacing w:before="145" w:after="145"/>
        <w:rPr>
          <w:rFonts w:hint="eastAsia" w:ascii="宋体" w:hAnsi="宋体"/>
          <w:b/>
          <w:color w:val="000000"/>
          <w:sz w:val="30"/>
        </w:rPr>
        <w:outlineLvl w:val="0"/>
      </w:pPr>
      <w:r/>
      <w:bookmarkStart w:id="179" w:name="_Toc513029243"/>
      <w:r/>
      <w:bookmarkStart w:id="180" w:name="_Toc16938559"/>
      <w:r/>
      <w:bookmarkStart w:id="181" w:name="_Toc20823315"/>
      <w:r/>
      <w:r/>
    </w:p>
    <w:p>
      <w:pPr>
        <w:pStyle w:val="1184"/>
        <w:ind w:firstLine="2200"/>
        <w:jc w:val="both"/>
        <w:rPr>
          <w:rFonts w:ascii="黑体" w:eastAsia="黑体"/>
          <w:bCs/>
          <w:color w:val="000000"/>
          <w:sz w:val="44"/>
        </w:rPr>
      </w:pPr>
      <w:r>
        <w:rPr>
          <w:rFonts w:hint="eastAsia" w:ascii="黑体" w:eastAsia="黑体"/>
          <w:bCs/>
          <w:color w:val="000000"/>
          <w:sz w:val="44"/>
        </w:rPr>
        <w:t xml:space="preserve">第三章  合同文本</w:t>
      </w:r>
      <w:r/>
    </w:p>
    <w:p>
      <w:pPr>
        <w:ind w:left="480"/>
        <w:rPr>
          <w:color w:val="000000"/>
        </w:rPr>
      </w:pPr>
      <w:r>
        <w:rPr>
          <w:color w:val="000000"/>
        </w:rPr>
      </w:r>
      <w:r/>
    </w:p>
    <w:p>
      <w:pPr>
        <w:jc w:val="center"/>
        <w:spacing w:before="156" w:after="156"/>
        <w:rPr>
          <w:rFonts w:ascii="宋体" w:hAnsi="宋体"/>
          <w:b/>
          <w:color w:val="000000"/>
          <w:sz w:val="30"/>
          <w:szCs w:val="21"/>
          <w:highlight w:val="none"/>
        </w:rPr>
        <w:outlineLvl w:val="0"/>
      </w:pPr>
      <w:r>
        <w:rPr>
          <w:rFonts w:hint="eastAsia" w:ascii="宋体" w:hAnsi="宋体"/>
          <w:b/>
          <w:color w:val="000000"/>
          <w:sz w:val="30"/>
          <w:szCs w:val="21"/>
          <w:highlight w:val="none"/>
        </w:rPr>
        <w:t xml:space="preserve">江苏省政府采购合同（合同编号）</w:t>
      </w:r>
      <w:r/>
    </w:p>
    <w:p>
      <w:pPr>
        <w:jc w:val="center"/>
        <w:spacing w:before="156" w:after="156"/>
        <w:rPr>
          <w:rFonts w:hint="eastAsia" w:ascii="宋体" w:hAnsi="宋体"/>
          <w:b/>
          <w:bCs/>
          <w:color w:val="000000"/>
          <w:sz w:val="30"/>
          <w:szCs w:val="20"/>
          <w:highlight w:val="none"/>
        </w:rPr>
        <w:outlineLvl w:val="0"/>
      </w:pPr>
      <w:r>
        <w:rPr>
          <w:rFonts w:hint="eastAsia" w:ascii="宋体" w:hAnsi="宋体"/>
          <w:b/>
          <w:color w:val="000000"/>
          <w:sz w:val="30"/>
          <w:szCs w:val="21"/>
          <w:highlight w:val="none"/>
        </w:rPr>
        <w:t xml:space="preserve">（适用于服务类项目）</w:t>
      </w:r>
      <w:r/>
    </w:p>
    <w:p>
      <w:pPr>
        <w:ind w:right="-315" w:firstLine="240"/>
        <w:spacing w:before="19" w:line="420" w:lineRule="exact"/>
        <w:widowControl/>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项目名称：</w:t>
      </w:r>
      <w:r>
        <w:rPr>
          <w:rFonts w:hint="eastAsia" w:ascii="宋体" w:hAnsi="宋体" w:eastAsia="宋体" w:cs="Courier New"/>
          <w:color w:val="000000"/>
          <w:sz w:val="24"/>
          <w:szCs w:val="24"/>
          <w:highlight w:val="none"/>
          <w:lang w:eastAsia="zh-CN"/>
        </w:rPr>
        <w:t xml:space="preserve">江苏省特检院无锡分院物业管理服务</w:t>
      </w:r>
      <w:r/>
    </w:p>
    <w:p>
      <w:pPr>
        <w:ind w:right="-315" w:firstLine="240"/>
        <w:spacing w:before="19" w:line="420" w:lineRule="exact"/>
        <w:widowControl/>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项目编号：</w:t>
      </w:r>
      <w:r/>
    </w:p>
    <w:p>
      <w:pPr>
        <w:ind w:right="-315" w:firstLine="240"/>
        <w:spacing w:before="19" w:line="420" w:lineRule="exact"/>
        <w:widowControl/>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采购包号：</w:t>
      </w:r>
      <w:r/>
    </w:p>
    <w:p>
      <w:pPr>
        <w:ind w:left="-315" w:right="-315"/>
        <w:spacing w:before="19" w:line="420" w:lineRule="exact"/>
        <w:widowControl/>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rPr>
        <w:t xml:space="preserve">甲方:</w:t>
      </w:r>
      <w:r>
        <w:rPr>
          <w:rFonts w:hint="eastAsia" w:ascii="宋体" w:hAnsi="宋体" w:cs="Courier New"/>
          <w:color w:val="000000"/>
          <w:sz w:val="24"/>
          <w:szCs w:val="24"/>
          <w:highlight w:val="none"/>
        </w:rPr>
        <w:t xml:space="preserve">江苏省特种设备安全监督检验研究院</w:t>
      </w:r>
      <w:r/>
    </w:p>
    <w:p>
      <w:pPr>
        <w:ind w:left="-315" w:right="-315"/>
        <w:spacing w:before="19" w:line="42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乙方:</w:t>
      </w:r>
      <w:r/>
    </w:p>
    <w:p>
      <w:pPr>
        <w:ind w:right="-315" w:firstLine="480"/>
        <w:spacing w:before="19" w:line="420" w:lineRule="exact"/>
        <w:widowControl/>
        <w:rPr>
          <w:rFonts w:hint="eastAsia" w:ascii="宋体" w:hAnsi="宋体" w:cs="Courier New"/>
          <w:b/>
          <w:bCs/>
          <w:color w:val="000000"/>
          <w:sz w:val="24"/>
          <w:szCs w:val="24"/>
          <w:highlight w:val="none"/>
        </w:rPr>
      </w:pP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日江苏省政府采购中心</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公开招标</w:t>
      </w:r>
      <w:r>
        <w:rPr>
          <w:rFonts w:ascii="宋体" w:hAnsi="宋体" w:cs="Courier New"/>
          <w:color w:val="000000"/>
          <w:sz w:val="24"/>
          <w:szCs w:val="24"/>
          <w:highlight w:val="none"/>
        </w:rPr>
        <w:t xml:space="preserve">的结果，签署本合同。</w:t>
      </w:r>
      <w:r/>
    </w:p>
    <w:p>
      <w:pPr>
        <w:numPr>
          <w:ilvl w:val="0"/>
          <w:numId w:val="5"/>
        </w:numPr>
        <w:ind w:right="-315" w:firstLine="241"/>
        <w:spacing w:before="19" w:line="420" w:lineRule="exact"/>
        <w:widowControl/>
        <w:rPr>
          <w:rFonts w:hint="eastAsia" w:ascii="宋体" w:hAnsi="宋体" w:cs="Courier New"/>
          <w:b/>
          <w:bCs/>
          <w:color w:val="000000"/>
          <w:sz w:val="24"/>
          <w:szCs w:val="24"/>
          <w:highlight w:val="none"/>
        </w:rPr>
        <w:outlineLvl w:val="1"/>
      </w:pPr>
      <w:r>
        <w:rPr>
          <w:rFonts w:hint="eastAsia" w:ascii="宋体" w:hAnsi="宋体" w:cs="Courier New"/>
          <w:b/>
          <w:bCs/>
          <w:color w:val="000000"/>
          <w:sz w:val="24"/>
          <w:szCs w:val="24"/>
          <w:highlight w:val="none"/>
        </w:rPr>
        <w:t xml:space="preserve">合同文件</w:t>
      </w:r>
      <w:r/>
    </w:p>
    <w:p>
      <w:pPr>
        <w:ind w:right="-315" w:firstLine="240"/>
        <w:spacing w:before="19" w:line="420" w:lineRule="exact"/>
        <w:widowControl/>
        <w:rPr>
          <w:rFonts w:hint="eastAsia" w:ascii="宋体" w:hAnsi="宋体" w:cs="Courier New"/>
          <w:color w:val="000000"/>
          <w:sz w:val="24"/>
          <w:szCs w:val="24"/>
          <w:highlight w:val="none"/>
        </w:rPr>
        <w:outlineLvl w:val="2"/>
      </w:pPr>
      <w:r>
        <w:rPr>
          <w:rFonts w:hint="eastAsia" w:ascii="宋体" w:hAnsi="宋体" w:cs="Courier New"/>
          <w:color w:val="000000"/>
          <w:sz w:val="24"/>
          <w:szCs w:val="24"/>
          <w:highlight w:val="none"/>
        </w:rPr>
        <w:t xml:space="preserve">下列文件是构成本合同不可分割的部分</w:t>
      </w:r>
      <w:r/>
    </w:p>
    <w:p>
      <w:pPr>
        <w:ind w:right="-315" w:firstLine="240"/>
        <w:spacing w:before="19" w:line="420" w:lineRule="exact"/>
        <w:widowControl/>
        <w:rPr>
          <w:rFonts w:hint="eastAsia" w:ascii="宋体" w:hAnsi="宋体" w:cs="Courier New"/>
          <w:color w:val="000000"/>
          <w:sz w:val="24"/>
          <w:szCs w:val="24"/>
          <w:highlight w:val="none"/>
        </w:rPr>
        <w:outlineLvl w:val="2"/>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eastAsia="zh-CN"/>
        </w:rPr>
        <w:t xml:space="preserve">招标文件</w:t>
      </w:r>
      <w:r>
        <w:rPr>
          <w:rFonts w:hint="eastAsia" w:ascii="宋体" w:hAnsi="宋体" w:cs="Courier New"/>
          <w:color w:val="000000"/>
          <w:sz w:val="24"/>
          <w:szCs w:val="24"/>
          <w:highlight w:val="none"/>
        </w:rPr>
        <w:t xml:space="preserve">及其补充更正公告；</w:t>
      </w:r>
      <w:r/>
    </w:p>
    <w:p>
      <w:pPr>
        <w:ind w:right="-315" w:firstLine="240"/>
        <w:spacing w:before="19" w:line="420" w:lineRule="exact"/>
        <w:widowControl/>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2、乙方提交的</w:t>
      </w:r>
      <w:r>
        <w:rPr>
          <w:rFonts w:hint="eastAsia" w:ascii="宋体" w:hAnsi="宋体" w:cs="Courier New"/>
          <w:color w:val="000000"/>
          <w:sz w:val="24"/>
          <w:szCs w:val="24"/>
          <w:highlight w:val="none"/>
          <w:lang w:eastAsia="zh-CN"/>
        </w:rPr>
        <w:t xml:space="preserve">投标文件</w:t>
      </w:r>
      <w:r>
        <w:rPr>
          <w:rFonts w:hint="eastAsia" w:ascii="宋体" w:hAnsi="宋体" w:cs="Courier New"/>
          <w:color w:val="000000"/>
          <w:sz w:val="24"/>
          <w:szCs w:val="24"/>
          <w:highlight w:val="none"/>
        </w:rPr>
        <w:t xml:space="preserve">及在</w:t>
      </w:r>
      <w:r>
        <w:rPr>
          <w:rFonts w:hint="eastAsia" w:ascii="宋体" w:hAnsi="宋体" w:cs="Courier New"/>
          <w:color w:val="000000"/>
          <w:sz w:val="24"/>
          <w:szCs w:val="24"/>
          <w:highlight w:val="none"/>
          <w:lang w:val="en-US" w:eastAsia="zh-CN"/>
        </w:rPr>
        <w:t xml:space="preserve">投标</w:t>
      </w:r>
      <w:r>
        <w:rPr>
          <w:rFonts w:hint="eastAsia" w:ascii="宋体" w:hAnsi="宋体" w:cs="Courier New"/>
          <w:color w:val="000000"/>
          <w:sz w:val="24"/>
          <w:szCs w:val="24"/>
          <w:highlight w:val="none"/>
        </w:rPr>
        <w:t xml:space="preserve">过程中所作的其它承诺、声明、书面变更材料等；</w:t>
      </w:r>
      <w:r/>
    </w:p>
    <w:p>
      <w:pPr>
        <w:ind w:right="-315" w:firstLine="240"/>
        <w:spacing w:before="19" w:line="420" w:lineRule="exact"/>
        <w:widowControl/>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3、资格证明文件；</w:t>
      </w:r>
      <w:r/>
    </w:p>
    <w:p>
      <w:pPr>
        <w:ind w:right="-315" w:firstLine="240"/>
        <w:spacing w:before="19" w:line="420" w:lineRule="exact"/>
        <w:widowControl/>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w:t>
      </w:r>
      <w:r>
        <w:rPr>
          <w:rFonts w:hint="eastAsia" w:ascii="宋体" w:hAnsi="宋体" w:cs="Courier New"/>
          <w:color w:val="000000"/>
          <w:sz w:val="24"/>
          <w:szCs w:val="24"/>
          <w:highlight w:val="none"/>
          <w:lang w:eastAsia="zh-CN"/>
        </w:rPr>
        <w:t xml:space="preserve">中标通知书</w:t>
      </w:r>
      <w:r>
        <w:rPr>
          <w:rFonts w:hint="eastAsia" w:ascii="宋体" w:hAnsi="宋体" w:cs="Courier New"/>
          <w:color w:val="000000"/>
          <w:sz w:val="24"/>
          <w:szCs w:val="24"/>
          <w:highlight w:val="none"/>
        </w:rPr>
        <w:t xml:space="preserve">；</w:t>
      </w:r>
      <w:r/>
    </w:p>
    <w:p>
      <w:pPr>
        <w:ind w:right="-315" w:firstLine="240"/>
        <w:spacing w:before="19" w:line="420" w:lineRule="exact"/>
        <w:widowControl/>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5、甲方、乙方商定的其它必要文件。</w:t>
      </w:r>
      <w:r/>
    </w:p>
    <w:p>
      <w:pPr>
        <w:ind w:right="-315"/>
        <w:spacing w:before="19" w:line="420" w:lineRule="exact"/>
        <w:widowControl/>
        <w:rPr>
          <w:rFonts w:ascii="宋体" w:hAnsi="宋体" w:cs="Courier New"/>
          <w:b/>
          <w:bCs/>
          <w:color w:val="000000"/>
          <w:sz w:val="24"/>
          <w:szCs w:val="24"/>
          <w:highlight w:val="none"/>
        </w:rPr>
        <w:outlineLvl w:val="1"/>
      </w:pPr>
      <w:r>
        <w:rPr>
          <w:rFonts w:hint="eastAsia" w:ascii="宋体" w:hAnsi="宋体" w:cs="Courier New"/>
          <w:b/>
          <w:bCs/>
          <w:color w:val="000000"/>
          <w:sz w:val="24"/>
          <w:szCs w:val="24"/>
          <w:highlight w:val="none"/>
        </w:rPr>
        <w:t xml:space="preserve">二、合同期限</w:t>
      </w:r>
      <w:r/>
    </w:p>
    <w:p>
      <w:pPr>
        <w:ind w:firstLine="48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本项目服务期二年（2026年度、2027年度）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同一年一考核一签。本年度合同有效期为自合同签订之日起一年。年度合同期满后，甲方预算落实且对乙方的服务考核合格，续签下一年度合同，如甲方下一年度预算无法落实或乙方经甲方考核不合格或者甲方物业服务需求取消，甲方有权不再续签下一年度合同。双方签订合同的期限不得超过采购有效期，有效期满后，甲方重新招标。</w:t>
      </w:r>
      <w:r/>
    </w:p>
    <w:p>
      <w:pPr>
        <w:ind w:right="-315"/>
        <w:spacing w:before="19" w:line="420" w:lineRule="exact"/>
        <w:widowControl/>
        <w:rPr>
          <w:rFonts w:hint="eastAsia" w:ascii="宋体" w:hAnsi="宋体" w:cs="Courier New"/>
          <w:b/>
          <w:bCs/>
          <w:color w:val="000000"/>
          <w:sz w:val="24"/>
          <w:szCs w:val="24"/>
          <w:highlight w:val="none"/>
        </w:rPr>
        <w:outlineLvl w:val="1"/>
      </w:pPr>
      <w:r>
        <w:rPr>
          <w:rFonts w:hint="eastAsia" w:ascii="宋体" w:hAnsi="宋体" w:cs="Courier New"/>
          <w:b/>
          <w:bCs/>
          <w:color w:val="000000"/>
          <w:sz w:val="24"/>
          <w:szCs w:val="24"/>
          <w:highlight w:val="none"/>
        </w:rPr>
        <w:t xml:space="preserve">三、合同金额及付款方式</w:t>
      </w:r>
      <w:r/>
    </w:p>
    <w:p>
      <w:pPr>
        <w:numPr>
          <w:ilvl w:val="0"/>
          <w:numId w:val="6"/>
        </w:numPr>
        <w:ind w:left="285" w:right="-315"/>
        <w:spacing w:before="19" w:line="420" w:lineRule="exact"/>
        <w:widowControl/>
        <w:rPr>
          <w:rFonts w:hint="eastAsia" w:ascii="宋体" w:hAnsi="宋体" w:cs="Courier New"/>
          <w:color w:val="000000"/>
          <w:sz w:val="24"/>
          <w:szCs w:val="24"/>
          <w:highlight w:val="none"/>
        </w:rPr>
        <w:outlineLvl w:val="2"/>
      </w:pPr>
      <w:r>
        <w:rPr>
          <w:rFonts w:hint="eastAsia" w:ascii="宋体" w:hAnsi="宋体" w:cs="Courier New"/>
          <w:color w:val="000000"/>
          <w:sz w:val="24"/>
          <w:szCs w:val="24"/>
          <w:highlight w:val="none"/>
        </w:rPr>
        <w:t xml:space="preserve">本合同金额为人民币（大写）：XXX元整（</w:t>
      </w:r>
      <w:r>
        <w:rPr>
          <w:rFonts w:hint="eastAsia" w:ascii="宋体" w:hAnsi="宋体" w:cs="宋体"/>
          <w:color w:val="000000"/>
          <w:sz w:val="24"/>
          <w:szCs w:val="24"/>
          <w:highlight w:val="none"/>
        </w:rPr>
        <w:t xml:space="preserve">￥XX元/年</w:t>
      </w:r>
      <w:r>
        <w:rPr>
          <w:rFonts w:hint="eastAsia" w:ascii="宋体" w:hAnsi="宋体" w:cs="Courier New"/>
          <w:color w:val="000000"/>
          <w:sz w:val="24"/>
          <w:szCs w:val="24"/>
          <w:highlight w:val="none"/>
        </w:rPr>
        <w:t xml:space="preserve">）。</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Courier New"/>
          <w:color w:val="000000"/>
          <w:sz w:val="24"/>
          <w:szCs w:val="24"/>
          <w:highlight w:val="none"/>
        </w:rPr>
        <w:t xml:space="preserve">2、本合同价款</w:t>
      </w:r>
      <w:r>
        <w:rPr>
          <w:rFonts w:hint="eastAsia" w:ascii="宋体" w:hAnsi="宋体" w:cs="宋体"/>
          <w:color w:val="000000"/>
          <w:sz w:val="24"/>
          <w:szCs w:val="24"/>
          <w:highlight w:val="none"/>
        </w:rPr>
        <w:t xml:space="preserve">包含所有</w:t>
      </w:r>
      <w:r>
        <w:rPr>
          <w:rFonts w:hint="eastAsia" w:ascii="宋体" w:hAnsi="宋体" w:cs="宋体"/>
          <w:color w:val="000000"/>
          <w:sz w:val="24"/>
          <w:szCs w:val="24"/>
          <w:highlight w:val="none"/>
          <w:lang w:val="en-GB"/>
        </w:rPr>
        <w:t xml:space="preserve">乙方提供合同约定</w:t>
      </w:r>
      <w:r>
        <w:rPr>
          <w:rFonts w:hint="eastAsia" w:ascii="宋体" w:hAnsi="宋体" w:cs="宋体"/>
          <w:color w:val="000000"/>
          <w:sz w:val="24"/>
          <w:szCs w:val="24"/>
          <w:highlight w:val="none"/>
          <w:lang w:val="en-US" w:eastAsia="zh-CN"/>
        </w:rPr>
        <w:t xml:space="preserve">的相关</w:t>
      </w:r>
      <w:r>
        <w:rPr>
          <w:rFonts w:hint="eastAsia" w:ascii="宋体" w:hAnsi="宋体" w:cs="宋体"/>
          <w:color w:val="000000"/>
          <w:sz w:val="24"/>
          <w:szCs w:val="24"/>
          <w:highlight w:val="none"/>
          <w:lang w:val="en-GB"/>
        </w:rPr>
        <w:t xml:space="preserve">服务的报酬，报价时已充分考虑服务期内的市场因素和成本变化状况的风险，不得以其它任何理由要求变更合同价。</w:t>
      </w:r>
      <w:r/>
    </w:p>
    <w:p>
      <w:pPr>
        <w:ind w:left="-315" w:right="-315" w:firstLine="470"/>
        <w:spacing w:line="420" w:lineRule="exact"/>
        <w:rPr>
          <w:rFonts w:ascii="宋体" w:hAnsi="宋体" w:cs="宋体"/>
          <w:color w:val="000000"/>
          <w:sz w:val="24"/>
          <w:szCs w:val="24"/>
          <w:highlight w:val="none"/>
          <w:lang w:val="en-US"/>
        </w:rPr>
      </w:pPr>
      <w:r>
        <w:rPr>
          <w:rFonts w:hint="eastAsia" w:ascii="宋体" w:hAnsi="宋体" w:cs="宋体"/>
          <w:color w:val="000000"/>
          <w:sz w:val="24"/>
          <w:szCs w:val="24"/>
          <w:highlight w:val="none"/>
        </w:rPr>
        <w:t xml:space="preserve">3、物业管理费自本合同生效之日起计算，按季度支付：</w:t>
      </w:r>
      <w:r>
        <w:rPr>
          <w:rFonts w:hint="eastAsia" w:ascii="宋体" w:hAnsi="宋体" w:cs="宋体"/>
          <w:color w:val="000000"/>
          <w:sz w:val="24"/>
          <w:szCs w:val="24"/>
          <w:highlight w:val="none"/>
          <w:lang w:val="en-US" w:eastAsia="zh-CN"/>
        </w:rPr>
        <w:t xml:space="preserve">乙</w:t>
      </w:r>
      <w:r>
        <w:rPr>
          <w:rFonts w:hint="eastAsia" w:ascii="宋体" w:hAnsi="宋体" w:cs="宋体"/>
          <w:color w:val="000000"/>
          <w:sz w:val="24"/>
          <w:szCs w:val="24"/>
          <w:highlight w:val="none"/>
        </w:rPr>
        <w:t xml:space="preserve">方应于每季度首月10 日前，向</w:t>
      </w:r>
      <w:r>
        <w:rPr>
          <w:rFonts w:hint="eastAsia" w:ascii="宋体" w:hAnsi="宋体" w:cs="宋体"/>
          <w:color w:val="000000"/>
          <w:sz w:val="24"/>
          <w:szCs w:val="24"/>
          <w:highlight w:val="none"/>
          <w:lang w:val="en-US" w:eastAsia="zh-CN"/>
        </w:rPr>
        <w:t xml:space="preserve">甲</w:t>
      </w:r>
      <w:r>
        <w:rPr>
          <w:rFonts w:hint="eastAsia" w:ascii="宋体" w:hAnsi="宋体" w:cs="宋体"/>
          <w:color w:val="000000"/>
          <w:sz w:val="24"/>
          <w:szCs w:val="24"/>
          <w:highlight w:val="none"/>
        </w:rPr>
        <w:t xml:space="preserve">方提供上一季度服务结算申请及发票，</w:t>
      </w:r>
      <w:r>
        <w:rPr>
          <w:rFonts w:hint="eastAsia" w:ascii="宋体" w:hAnsi="宋体" w:cs="宋体"/>
          <w:color w:val="000000"/>
          <w:sz w:val="24"/>
          <w:szCs w:val="24"/>
          <w:highlight w:val="none"/>
          <w:lang w:val="en-US" w:eastAsia="zh-CN"/>
        </w:rPr>
        <w:t xml:space="preserve">甲</w:t>
      </w:r>
      <w:r>
        <w:rPr>
          <w:rFonts w:hint="eastAsia" w:ascii="宋体" w:hAnsi="宋体" w:cs="宋体"/>
          <w:color w:val="000000"/>
          <w:sz w:val="24"/>
          <w:szCs w:val="24"/>
          <w:highlight w:val="none"/>
        </w:rPr>
        <w:t xml:space="preserve">方在收到完整资料后30个工作日内完成审核并支付对应费用</w:t>
      </w:r>
      <w:r>
        <w:rPr>
          <w:rFonts w:hint="eastAsia" w:ascii="宋体" w:hAnsi="宋体" w:cs="宋体"/>
          <w:color w:val="000000"/>
          <w:sz w:val="24"/>
          <w:szCs w:val="24"/>
          <w:highlight w:val="none"/>
          <w:lang w:eastAsia="zh-CN"/>
        </w:rPr>
        <w:t xml:space="preserve">，如结算时遇年初财政预算未下达情况，付款可延至财政预算下达后进</w:t>
      </w:r>
      <w:r>
        <w:rPr>
          <w:rFonts w:hint="eastAsia" w:ascii="宋体" w:hAnsi="宋体" w:cs="宋体"/>
          <w:color w:val="000000"/>
          <w:sz w:val="24"/>
          <w:szCs w:val="24"/>
          <w:highlight w:val="none"/>
          <w:lang w:val="en-US" w:eastAsia="zh-CN"/>
        </w:rPr>
        <w:t xml:space="preserve">行。</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4、甲方在收到乙方开具相应的增值税发票后按约定支付服务费；乙方未提供发票的，甲方有权延迟支付款项且不承担违约责任，乙方仍应继续履行本项目全部义务。</w:t>
      </w:r>
      <w:r/>
    </w:p>
    <w:p>
      <w:pPr>
        <w:ind w:right="-315"/>
        <w:spacing w:before="19" w:line="420" w:lineRule="exact"/>
        <w:widowControl/>
        <w:rPr>
          <w:rFonts w:hint="eastAsia" w:ascii="宋体" w:hAnsi="宋体" w:cs="Courier New"/>
          <w:b/>
          <w:bCs/>
          <w:color w:val="000000"/>
          <w:sz w:val="24"/>
          <w:szCs w:val="24"/>
          <w:highlight w:val="none"/>
        </w:rPr>
        <w:outlineLvl w:val="1"/>
      </w:pPr>
      <w:r>
        <w:rPr>
          <w:rFonts w:hint="eastAsia" w:ascii="宋体" w:hAnsi="宋体" w:cs="Courier New"/>
          <w:b/>
          <w:bCs/>
          <w:color w:val="000000"/>
          <w:sz w:val="24"/>
          <w:szCs w:val="24"/>
          <w:highlight w:val="none"/>
        </w:rPr>
        <w:t xml:space="preserve">四、服务地点及基本情况</w:t>
      </w:r>
      <w:r/>
    </w:p>
    <w:p>
      <w:pPr>
        <w:ind w:right="-315" w:firstLine="480"/>
        <w:spacing w:before="19" w:line="420" w:lineRule="exact"/>
        <w:widowControl/>
        <w:rPr>
          <w:rFonts w:hint="eastAsia" w:ascii="宋体" w:hAnsi="宋体" w:cs="宋体"/>
          <w:color w:val="000000"/>
          <w:sz w:val="24"/>
          <w:szCs w:val="24"/>
          <w:highlight w:val="none"/>
          <w:lang w:val="en-US" w:eastAsia="zh-CN"/>
        </w:rPr>
        <w:outlineLvl w:val="1"/>
      </w:pPr>
      <w:r>
        <w:rPr>
          <w:rFonts w:ascii="宋体" w:hAnsi="宋体"/>
          <w:color w:val="000000"/>
          <w:sz w:val="24"/>
        </w:rPr>
        <w:t xml:space="preserve">本项目为</w:t>
      </w:r>
      <w:r>
        <w:rPr>
          <w:rFonts w:hint="eastAsia" w:ascii="宋体" w:hAnsi="宋体"/>
          <w:color w:val="000000"/>
          <w:sz w:val="24"/>
          <w:lang w:val="en-US" w:eastAsia="zh-CN"/>
        </w:rPr>
        <w:t xml:space="preserve">江苏省特检院</w:t>
      </w:r>
      <w:r>
        <w:rPr>
          <w:rFonts w:hint="eastAsia" w:ascii="宋体" w:hAnsi="宋体"/>
          <w:color w:val="000000"/>
          <w:sz w:val="24"/>
          <w:highlight w:val="none"/>
        </w:rPr>
        <w:t xml:space="preserve">无锡分院总部</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无锡市滨湖区隐秀路220号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国家桥门式起重机械产品</w:t>
      </w:r>
      <w:r>
        <w:rPr>
          <w:rFonts w:hint="eastAsia" w:ascii="宋体" w:hAnsi="宋体"/>
          <w:color w:val="000000"/>
          <w:sz w:val="24"/>
          <w:highlight w:val="none"/>
          <w:lang w:val="en-US" w:eastAsia="zh-CN"/>
        </w:rPr>
        <w:t xml:space="preserve">质检中心</w:t>
      </w:r>
      <w:r>
        <w:rPr>
          <w:rFonts w:hint="eastAsia" w:ascii="宋体" w:hAnsi="宋体"/>
          <w:color w:val="000000"/>
          <w:sz w:val="24"/>
          <w:highlight w:val="none"/>
        </w:rPr>
        <w:t xml:space="preserve">和国家石墨烯</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质检中心</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无锡市惠山区堰新路330号</w:t>
      </w:r>
      <w:r>
        <w:rPr>
          <w:rFonts w:hint="eastAsia" w:ascii="宋体" w:hAnsi="宋体" w:cs="宋体"/>
          <w:color w:val="000000"/>
          <w:sz w:val="24"/>
          <w:szCs w:val="24"/>
          <w:highlight w:val="none"/>
          <w:lang w:eastAsia="zh-CN"/>
        </w:rPr>
        <w:t xml:space="preserve">）、</w:t>
      </w:r>
      <w:r>
        <w:rPr>
          <w:rFonts w:hint="eastAsia" w:ascii="宋体" w:hAnsi="宋体"/>
          <w:color w:val="000000"/>
          <w:sz w:val="24"/>
          <w:highlight w:val="none"/>
        </w:rPr>
        <w:t xml:space="preserve">城中办事处</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无锡市梁溪区永丰路338号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三个场地的物业服务。</w:t>
      </w:r>
      <w:r/>
    </w:p>
    <w:p>
      <w:pPr>
        <w:ind w:right="-315"/>
        <w:spacing w:before="19" w:line="420" w:lineRule="exact"/>
        <w:widowControl/>
        <w:rPr>
          <w:rFonts w:hint="eastAsia" w:ascii="宋体" w:hAnsi="宋体" w:cs="宋体"/>
          <w:b/>
          <w:bCs/>
          <w:color w:val="000000"/>
          <w:sz w:val="24"/>
          <w:szCs w:val="24"/>
          <w:highlight w:val="none"/>
          <w:shd w:val="clear" w:color="auto" w:fill="ffffff"/>
        </w:rPr>
        <w:outlineLvl w:val="1"/>
      </w:pPr>
      <w:r>
        <w:rPr>
          <w:rFonts w:hint="eastAsia" w:ascii="宋体" w:hAnsi="宋体" w:cs="宋体"/>
          <w:b/>
          <w:bCs/>
          <w:color w:val="000000"/>
          <w:sz w:val="24"/>
          <w:szCs w:val="24"/>
          <w:highlight w:val="none"/>
          <w:shd w:val="clear" w:color="auto" w:fill="ffffff"/>
        </w:rPr>
        <w:t xml:space="preserve">五、服务内容</w:t>
      </w:r>
      <w:r/>
    </w:p>
    <w:p>
      <w:pPr>
        <w:ind w:left="-315" w:right="-315" w:firstLine="775"/>
        <w:spacing w:line="420" w:lineRule="exact"/>
        <w:rPr>
          <w:rFonts w:hint="eastAsia" w:ascii="宋体" w:hAnsi="宋体" w:cs="宋体"/>
          <w:color w:val="000000"/>
          <w:sz w:val="24"/>
          <w:szCs w:val="24"/>
          <w:highlight w:val="none"/>
        </w:rPr>
      </w:pPr>
      <w:r>
        <w:rPr>
          <w:rFonts w:hint="eastAsia" w:ascii="宋体" w:hAnsi="宋体" w:eastAsia="宋体" w:cs="宋体"/>
          <w:color w:val="000000"/>
          <w:sz w:val="24"/>
          <w:szCs w:val="24"/>
        </w:rPr>
        <w:t xml:space="preserve">物业管理服务包括基本服务、房屋维护服务、公用设施设备维护服务、保洁服务、保安服务、</w:t>
      </w:r>
      <w:r>
        <w:rPr>
          <w:rFonts w:hint="eastAsia" w:ascii="宋体" w:hAnsi="宋体" w:cs="宋体"/>
          <w:color w:val="000000"/>
          <w:sz w:val="24"/>
          <w:szCs w:val="24"/>
          <w:lang w:val="en-US" w:eastAsia="zh-CN"/>
        </w:rPr>
        <w:t xml:space="preserve">会务</w:t>
      </w:r>
      <w:r>
        <w:rPr>
          <w:rFonts w:hint="eastAsia" w:ascii="宋体" w:hAnsi="宋体" w:eastAsia="宋体" w:cs="宋体"/>
          <w:color w:val="000000"/>
          <w:sz w:val="24"/>
          <w:szCs w:val="24"/>
        </w:rPr>
        <w:t xml:space="preserve">服务</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绿化服务等</w:t>
      </w:r>
      <w:r>
        <w:rPr>
          <w:rFonts w:hint="eastAsia" w:ascii="宋体" w:hAnsi="宋体" w:cs="宋体"/>
          <w:color w:val="000000"/>
          <w:sz w:val="24"/>
          <w:szCs w:val="24"/>
          <w:highlight w:val="none"/>
        </w:rPr>
        <w:t xml:space="preserve">。（依据</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采购需求和乙方</w:t>
      </w:r>
      <w:r>
        <w:rPr>
          <w:rFonts w:hint="eastAsia" w:ascii="宋体" w:hAnsi="宋体" w:cs="宋体"/>
          <w:color w:val="000000"/>
          <w:sz w:val="24"/>
          <w:szCs w:val="24"/>
          <w:highlight w:val="none"/>
          <w:lang w:eastAsia="zh-CN"/>
        </w:rPr>
        <w:t xml:space="preserve">投标文件</w:t>
      </w:r>
      <w:r>
        <w:rPr>
          <w:rFonts w:hint="eastAsia" w:ascii="宋体" w:hAnsi="宋体" w:cs="宋体"/>
          <w:color w:val="000000"/>
          <w:sz w:val="24"/>
          <w:szCs w:val="24"/>
          <w:highlight w:val="none"/>
        </w:rPr>
        <w:t xml:space="preserve">等）</w:t>
      </w:r>
      <w:r/>
    </w:p>
    <w:p>
      <w:pPr>
        <w:ind w:firstLine="482"/>
        <w:spacing w:line="420" w:lineRule="exact"/>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六、工作职责</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1、项目负责人</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负责本物业管理服务范围内保洁、客服、保安等日常管理工作，组织制定各岗位员工的岗位职责、服务标准，加强工作的沟通协调，认真抓好和落实好保洁、客服、保安等服务管理工作。</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GB"/>
        </w:rPr>
        <w:t xml:space="preserve">、保洁</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（1）负责</w:t>
      </w:r>
      <w:r>
        <w:rPr>
          <w:rFonts w:hint="eastAsia" w:ascii="宋体" w:hAnsi="宋体" w:cs="宋体"/>
          <w:color w:val="000000"/>
          <w:sz w:val="24"/>
          <w:szCs w:val="24"/>
          <w:highlight w:val="none"/>
        </w:rPr>
        <w:t xml:space="preserve">甲方物业服务范围内公共区域</w:t>
      </w:r>
      <w:r>
        <w:rPr>
          <w:rFonts w:hint="eastAsia" w:ascii="宋体" w:hAnsi="宋体" w:cs="宋体"/>
          <w:color w:val="000000"/>
          <w:sz w:val="24"/>
          <w:szCs w:val="24"/>
          <w:highlight w:val="none"/>
          <w:lang w:val="en-GB"/>
        </w:rPr>
        <w:t xml:space="preserve">环境卫生</w:t>
      </w:r>
      <w:r>
        <w:rPr>
          <w:rFonts w:hint="eastAsia" w:ascii="宋体" w:hAnsi="宋体" w:cs="宋体"/>
          <w:color w:val="000000"/>
          <w:sz w:val="24"/>
          <w:szCs w:val="24"/>
          <w:highlight w:val="none"/>
        </w:rPr>
        <w:t xml:space="preserve">，保持环境优美，干净整洁</w:t>
      </w:r>
      <w:r>
        <w:rPr>
          <w:rFonts w:hint="eastAsia" w:ascii="宋体" w:hAnsi="宋体" w:cs="宋体"/>
          <w:color w:val="000000"/>
          <w:sz w:val="24"/>
          <w:szCs w:val="24"/>
          <w:highlight w:val="none"/>
          <w:lang w:val="en-GB"/>
        </w:rPr>
        <w:t xml:space="preserve">。包括大厅、走廊、楼梯、电梯、卫生间、开水间、休息区等公共部位</w:t>
      </w:r>
      <w:r>
        <w:rPr>
          <w:rFonts w:hint="eastAsia" w:ascii="宋体" w:hAnsi="宋体" w:cs="宋体"/>
          <w:color w:val="000000"/>
          <w:sz w:val="24"/>
          <w:szCs w:val="24"/>
          <w:highlight w:val="none"/>
        </w:rPr>
        <w:t xml:space="preserve">干净、整洁、卫生</w:t>
      </w:r>
      <w:r>
        <w:rPr>
          <w:rFonts w:hint="eastAsia" w:ascii="宋体" w:hAnsi="宋体" w:cs="宋体"/>
          <w:color w:val="000000"/>
          <w:sz w:val="24"/>
          <w:szCs w:val="24"/>
          <w:highlight w:val="none"/>
          <w:lang w:val="en-GB"/>
        </w:rPr>
        <w:t xml:space="preserve">（含管道井、弱电井、新风机房、货梯等）。</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w:t>
      </w:r>
      <w:r>
        <w:rPr>
          <w:rFonts w:hint="eastAsia" w:ascii="宋体" w:hAnsi="宋体" w:cs="宋体"/>
          <w:color w:val="000000"/>
          <w:sz w:val="24"/>
          <w:szCs w:val="24"/>
          <w:highlight w:val="none"/>
        </w:rPr>
        <w:t xml:space="preserve">甲方物业服务范围</w:t>
      </w:r>
      <w:r>
        <w:rPr>
          <w:rFonts w:hint="eastAsia" w:ascii="宋体" w:hAnsi="宋体" w:cs="宋体"/>
          <w:color w:val="000000"/>
          <w:sz w:val="24"/>
          <w:szCs w:val="24"/>
          <w:highlight w:val="none"/>
          <w:lang w:val="en-GB"/>
        </w:rPr>
        <w:t xml:space="preserve">内</w:t>
      </w:r>
      <w:r>
        <w:rPr>
          <w:rFonts w:hint="eastAsia" w:ascii="宋体" w:hAnsi="宋体" w:cs="宋体"/>
          <w:color w:val="000000"/>
          <w:sz w:val="24"/>
          <w:szCs w:val="24"/>
          <w:highlight w:val="none"/>
        </w:rPr>
        <w:t xml:space="preserve">卫生间、洗手间</w:t>
      </w:r>
      <w:r>
        <w:rPr>
          <w:rFonts w:hint="eastAsia" w:ascii="宋体" w:hAnsi="宋体" w:cs="宋体"/>
          <w:color w:val="000000"/>
          <w:sz w:val="24"/>
          <w:szCs w:val="24"/>
          <w:highlight w:val="none"/>
          <w:lang w:val="en-GB"/>
        </w:rPr>
        <w:t xml:space="preserve">卫生纸、洗手液不能出现断档</w:t>
      </w:r>
      <w:r>
        <w:rPr>
          <w:rFonts w:hint="eastAsia" w:ascii="宋体" w:hAnsi="宋体" w:cs="宋体"/>
          <w:color w:val="000000"/>
          <w:sz w:val="24"/>
          <w:szCs w:val="24"/>
          <w:highlight w:val="none"/>
          <w:lang w:val="en-GB" w:eastAsia="zh-CN"/>
        </w:rPr>
        <w:t xml:space="preserve">。</w:t>
      </w:r>
      <w:r>
        <w:rPr>
          <w:rFonts w:hint="eastAsia" w:ascii="宋体" w:hAnsi="宋体" w:cs="宋体"/>
          <w:color w:val="000000"/>
          <w:sz w:val="24"/>
          <w:szCs w:val="24"/>
          <w:highlight w:val="none"/>
        </w:rPr>
        <w:t xml:space="preserve">保洁人员定时巡查，保持责任区干净整洁，发现问题及时处置。</w:t>
      </w:r>
      <w:r>
        <w:rPr>
          <w:rFonts w:hint="eastAsia" w:ascii="宋体" w:hAnsi="宋体" w:cs="宋体"/>
          <w:color w:val="000000"/>
          <w:sz w:val="24"/>
          <w:szCs w:val="24"/>
          <w:highlight w:val="none"/>
          <w:lang w:val="en-GB"/>
        </w:rPr>
        <w:t xml:space="preserve">整个</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lang w:val="en-GB"/>
        </w:rPr>
        <w:t xml:space="preserve">卫生状况必须达到四星级酒店管理要求。（保洁标准等具体要求详见</w:t>
      </w:r>
      <w:r>
        <w:rPr>
          <w:rFonts w:hint="eastAsia" w:ascii="宋体" w:hAnsi="宋体" w:cs="宋体"/>
          <w:color w:val="000000"/>
          <w:sz w:val="24"/>
          <w:szCs w:val="24"/>
          <w:highlight w:val="none"/>
          <w:lang w:val="en-GB" w:eastAsia="zh-CN"/>
        </w:rPr>
        <w:t xml:space="preserve">招标文件</w:t>
      </w:r>
      <w:r>
        <w:rPr>
          <w:rFonts w:hint="eastAsia" w:ascii="宋体" w:hAnsi="宋体" w:cs="宋体"/>
          <w:color w:val="000000"/>
          <w:sz w:val="24"/>
          <w:szCs w:val="24"/>
          <w:highlight w:val="none"/>
          <w:lang w:val="en-GB"/>
        </w:rPr>
        <w:t xml:space="preserve">）</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GB"/>
        </w:rPr>
        <w:t xml:space="preserve">、保</w:t>
      </w:r>
      <w:r>
        <w:rPr>
          <w:rFonts w:hint="eastAsia" w:ascii="宋体" w:hAnsi="宋体" w:cs="宋体"/>
          <w:color w:val="000000"/>
          <w:sz w:val="24"/>
          <w:szCs w:val="24"/>
          <w:highlight w:val="none"/>
        </w:rPr>
        <w:t xml:space="preserve">安</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负责办公大楼内的安全，维护良好的工作秩序。</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（1）实行封闭式管理和24小时</w:t>
      </w:r>
      <w:r>
        <w:rPr>
          <w:rFonts w:hint="eastAsia" w:ascii="宋体" w:hAnsi="宋体" w:cs="宋体"/>
          <w:color w:val="000000"/>
          <w:sz w:val="24"/>
          <w:szCs w:val="24"/>
          <w:highlight w:val="none"/>
        </w:rPr>
        <w:t xml:space="preserve">治安保卫制度，开展大楼内环境、设备设施等</w:t>
      </w:r>
      <w:r>
        <w:rPr>
          <w:rFonts w:hint="eastAsia" w:ascii="宋体" w:hAnsi="宋体" w:cs="宋体"/>
          <w:color w:val="000000"/>
          <w:sz w:val="24"/>
          <w:szCs w:val="24"/>
          <w:highlight w:val="none"/>
          <w:lang w:val="en-GB"/>
        </w:rPr>
        <w:t xml:space="preserve">安全监控</w:t>
      </w:r>
      <w:r>
        <w:rPr>
          <w:rFonts w:hint="eastAsia" w:ascii="宋体" w:hAnsi="宋体" w:cs="宋体"/>
          <w:color w:val="000000"/>
          <w:sz w:val="24"/>
          <w:szCs w:val="24"/>
          <w:highlight w:val="none"/>
        </w:rPr>
        <w:t xml:space="preserve">，做好监视监控值班记录。（</w:t>
      </w:r>
      <w:r>
        <w:rPr>
          <w:rFonts w:hint="eastAsia" w:ascii="宋体" w:hAnsi="宋体" w:cs="宋体"/>
          <w:color w:val="000000"/>
          <w:sz w:val="24"/>
          <w:szCs w:val="24"/>
          <w:highlight w:val="none"/>
          <w:lang w:val="en-GB"/>
        </w:rPr>
        <w:t xml:space="preserve">详见</w:t>
      </w:r>
      <w:r>
        <w:rPr>
          <w:rFonts w:hint="eastAsia" w:ascii="宋体" w:hAnsi="宋体" w:cs="宋体"/>
          <w:color w:val="000000"/>
          <w:sz w:val="24"/>
          <w:szCs w:val="24"/>
          <w:highlight w:val="none"/>
          <w:lang w:val="en-GB" w:eastAsia="zh-CN"/>
        </w:rPr>
        <w:t xml:space="preserve">招标文件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GB"/>
        </w:rPr>
        <w:t xml:space="preserve">。</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（2）对</w:t>
      </w:r>
      <w:r>
        <w:rPr>
          <w:rFonts w:hint="eastAsia" w:ascii="宋体" w:hAnsi="宋体" w:cs="宋体"/>
          <w:color w:val="000000"/>
          <w:sz w:val="24"/>
          <w:szCs w:val="24"/>
          <w:highlight w:val="none"/>
        </w:rPr>
        <w:t xml:space="preserve">大楼</w:t>
      </w:r>
      <w:r>
        <w:rPr>
          <w:rFonts w:hint="eastAsia" w:ascii="宋体" w:hAnsi="宋体" w:cs="宋体"/>
          <w:color w:val="000000"/>
          <w:sz w:val="24"/>
          <w:szCs w:val="24"/>
          <w:highlight w:val="none"/>
          <w:lang w:val="en-GB"/>
        </w:rPr>
        <w:t xml:space="preserve">各楼层、关键部位定时</w:t>
      </w:r>
      <w:r>
        <w:rPr>
          <w:rFonts w:hint="eastAsia" w:ascii="宋体" w:hAnsi="宋体" w:cs="宋体"/>
          <w:color w:val="000000"/>
          <w:sz w:val="24"/>
          <w:szCs w:val="24"/>
          <w:highlight w:val="none"/>
        </w:rPr>
        <w:t xml:space="preserve">巡查，白天上下午各</w:t>
      </w:r>
      <w:r>
        <w:rPr>
          <w:rFonts w:hint="eastAsia" w:ascii="宋体" w:hAnsi="宋体" w:cs="宋体"/>
          <w:color w:val="000000"/>
          <w:sz w:val="24"/>
          <w:szCs w:val="24"/>
          <w:highlight w:val="none"/>
          <w:lang w:val="en-GB"/>
        </w:rPr>
        <w:t xml:space="preserve">巡查</w:t>
      </w:r>
      <w:r>
        <w:rPr>
          <w:rFonts w:hint="eastAsia" w:ascii="宋体" w:hAnsi="宋体" w:cs="宋体"/>
          <w:color w:val="000000"/>
          <w:sz w:val="24"/>
          <w:szCs w:val="24"/>
          <w:highlight w:val="none"/>
        </w:rPr>
        <w:t xml:space="preserve">2次，夜间4小时巡查一次，发现问题及时处置和报告，并做好巡查记录； </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（3）对外来人员、物资出入实施</w:t>
      </w:r>
      <w:r>
        <w:rPr>
          <w:rFonts w:hint="eastAsia" w:ascii="宋体" w:hAnsi="宋体" w:cs="宋体"/>
          <w:color w:val="000000"/>
          <w:sz w:val="24"/>
          <w:szCs w:val="24"/>
          <w:highlight w:val="none"/>
        </w:rPr>
        <w:t xml:space="preserve">严格的</w:t>
      </w:r>
      <w:r>
        <w:rPr>
          <w:rFonts w:hint="eastAsia" w:ascii="宋体" w:hAnsi="宋体" w:cs="宋体"/>
          <w:color w:val="000000"/>
          <w:sz w:val="24"/>
          <w:szCs w:val="24"/>
          <w:highlight w:val="none"/>
          <w:lang w:val="en-GB"/>
        </w:rPr>
        <w:t xml:space="preserve">登记</w:t>
      </w:r>
      <w:r>
        <w:rPr>
          <w:rFonts w:hint="eastAsia" w:ascii="宋体" w:hAnsi="宋体" w:cs="宋体"/>
          <w:color w:val="000000"/>
          <w:sz w:val="24"/>
          <w:szCs w:val="24"/>
          <w:highlight w:val="none"/>
        </w:rPr>
        <w:t xml:space="preserve">验证制度，有严格的交接班</w:t>
      </w:r>
      <w:r>
        <w:rPr>
          <w:rFonts w:hint="eastAsia" w:ascii="宋体" w:hAnsi="宋体" w:cs="宋体"/>
          <w:color w:val="000000"/>
          <w:sz w:val="24"/>
          <w:szCs w:val="24"/>
          <w:highlight w:val="none"/>
          <w:lang w:val="en-GB"/>
        </w:rPr>
        <w:t xml:space="preserve">查验制度</w:t>
      </w:r>
      <w:r>
        <w:rPr>
          <w:rFonts w:hint="eastAsia" w:ascii="宋体" w:hAnsi="宋体" w:cs="宋体"/>
          <w:color w:val="000000"/>
          <w:sz w:val="24"/>
          <w:szCs w:val="24"/>
          <w:highlight w:val="none"/>
        </w:rPr>
        <w:t xml:space="preserve">和交接班记录</w:t>
      </w:r>
      <w:r>
        <w:rPr>
          <w:rFonts w:hint="eastAsia" w:ascii="宋体" w:hAnsi="宋体" w:cs="宋体"/>
          <w:color w:val="000000"/>
          <w:sz w:val="24"/>
          <w:szCs w:val="24"/>
          <w:highlight w:val="none"/>
          <w:lang w:val="en-GB"/>
        </w:rPr>
        <w:t xml:space="preserve">；</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负责机动车、非机动车出入管理，引导车辆安全、有序停放，维护交通和车辆停放秩序；</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GB"/>
        </w:rPr>
        <w:t xml:space="preserve">）负责管辖区域内发生的治安警、火警及争吵斗殴等突发事件</w:t>
      </w:r>
      <w:r>
        <w:rPr>
          <w:rFonts w:hint="eastAsia" w:ascii="宋体" w:hAnsi="宋体" w:cs="宋体"/>
          <w:color w:val="000000"/>
          <w:sz w:val="24"/>
          <w:szCs w:val="24"/>
          <w:highlight w:val="none"/>
        </w:rPr>
        <w:t xml:space="preserve">果断处理，及时报警和报告</w:t>
      </w:r>
      <w:r>
        <w:rPr>
          <w:rFonts w:hint="eastAsia" w:ascii="宋体" w:hAnsi="宋体" w:cs="宋体"/>
          <w:color w:val="000000"/>
          <w:sz w:val="24"/>
          <w:szCs w:val="24"/>
          <w:highlight w:val="none"/>
          <w:lang w:val="en-GB"/>
        </w:rPr>
        <w:t xml:space="preserve">处置，并配合相关部门处理突发事件</w:t>
      </w:r>
      <w:r>
        <w:rPr>
          <w:rFonts w:hint="eastAsia" w:ascii="宋体" w:hAnsi="宋体" w:cs="宋体"/>
          <w:color w:val="000000"/>
          <w:sz w:val="24"/>
          <w:szCs w:val="24"/>
          <w:highlight w:val="none"/>
        </w:rPr>
        <w:t xml:space="preserve">，必要时要及时与办公室联系、沟通、协调</w:t>
      </w:r>
      <w:r>
        <w:rPr>
          <w:rFonts w:hint="eastAsia" w:ascii="宋体" w:hAnsi="宋体" w:cs="宋体"/>
          <w:color w:val="000000"/>
          <w:sz w:val="24"/>
          <w:szCs w:val="24"/>
          <w:highlight w:val="none"/>
          <w:lang w:val="en-GB"/>
        </w:rPr>
        <w:t xml:space="preserve">；</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GB"/>
        </w:rPr>
        <w:t xml:space="preserve">定期检查安全出口、疏散通道</w:t>
      </w:r>
      <w:r>
        <w:rPr>
          <w:rFonts w:hint="eastAsia" w:ascii="宋体" w:hAnsi="宋体" w:cs="宋体"/>
          <w:color w:val="000000"/>
          <w:sz w:val="24"/>
          <w:szCs w:val="24"/>
          <w:highlight w:val="none"/>
        </w:rPr>
        <w:t xml:space="preserve">畅通情况，</w:t>
      </w:r>
      <w:r>
        <w:rPr>
          <w:rFonts w:hint="eastAsia" w:ascii="宋体" w:hAnsi="宋体" w:cs="宋体"/>
          <w:color w:val="000000"/>
          <w:sz w:val="24"/>
          <w:szCs w:val="24"/>
          <w:highlight w:val="none"/>
          <w:lang w:val="en-GB"/>
        </w:rPr>
        <w:t xml:space="preserve">应急照明是否</w:t>
      </w:r>
      <w:r>
        <w:rPr>
          <w:rFonts w:hint="eastAsia" w:ascii="宋体" w:hAnsi="宋体" w:cs="宋体"/>
          <w:color w:val="000000"/>
          <w:sz w:val="24"/>
          <w:szCs w:val="24"/>
          <w:highlight w:val="none"/>
        </w:rPr>
        <w:t xml:space="preserve">完好</w:t>
      </w:r>
      <w:r>
        <w:rPr>
          <w:rFonts w:hint="eastAsia" w:ascii="宋体" w:hAnsi="宋体" w:cs="宋体"/>
          <w:color w:val="000000"/>
          <w:sz w:val="24"/>
          <w:szCs w:val="24"/>
          <w:highlight w:val="none"/>
          <w:lang w:val="en-GB"/>
        </w:rPr>
        <w:t xml:space="preserve">正常，发现问题及时处置和报告</w:t>
      </w:r>
      <w:r>
        <w:rPr>
          <w:rFonts w:hint="eastAsia" w:ascii="宋体" w:hAnsi="宋体" w:cs="宋体"/>
          <w:color w:val="000000"/>
          <w:sz w:val="24"/>
          <w:szCs w:val="24"/>
          <w:highlight w:val="none"/>
        </w:rPr>
        <w:t xml:space="preserve">； </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GB"/>
        </w:rPr>
        <w:t xml:space="preserve">完成其他临时性任务。</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会务、</w:t>
      </w:r>
      <w:r>
        <w:rPr>
          <w:rFonts w:hint="eastAsia" w:ascii="宋体" w:hAnsi="宋体" w:cs="宋体"/>
          <w:color w:val="000000"/>
          <w:sz w:val="24"/>
          <w:szCs w:val="24"/>
          <w:highlight w:val="none"/>
          <w:lang w:val="en-GB"/>
        </w:rPr>
        <w:t xml:space="preserve">客服</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（1）负责会议室会务保障；</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GB"/>
        </w:rPr>
        <w:t xml:space="preserve">（2）负责一楼大厅接待和</w:t>
      </w:r>
      <w:r>
        <w:rPr>
          <w:rFonts w:hint="eastAsia" w:ascii="宋体" w:hAnsi="宋体" w:cs="宋体"/>
          <w:color w:val="000000"/>
          <w:sz w:val="24"/>
          <w:szCs w:val="24"/>
          <w:highlight w:val="none"/>
        </w:rPr>
        <w:t xml:space="preserve">管理、</w:t>
      </w:r>
      <w:r>
        <w:rPr>
          <w:rFonts w:hint="eastAsia" w:ascii="宋体" w:hAnsi="宋体" w:cs="宋体"/>
          <w:color w:val="000000"/>
          <w:sz w:val="24"/>
          <w:szCs w:val="24"/>
          <w:highlight w:val="none"/>
          <w:lang w:val="en-GB"/>
        </w:rPr>
        <w:t xml:space="preserve">收发室邮件、报刊收发</w:t>
      </w:r>
      <w:r>
        <w:rPr>
          <w:rFonts w:hint="eastAsia" w:ascii="宋体" w:hAnsi="宋体" w:cs="宋体"/>
          <w:color w:val="000000"/>
          <w:sz w:val="24"/>
          <w:szCs w:val="24"/>
          <w:highlight w:val="none"/>
        </w:rPr>
        <w:t xml:space="preserve">、档案管理及勤杂事项</w:t>
      </w:r>
      <w:r>
        <w:rPr>
          <w:rFonts w:hint="eastAsia" w:ascii="宋体" w:hAnsi="宋体" w:cs="宋体"/>
          <w:color w:val="000000"/>
          <w:sz w:val="24"/>
          <w:szCs w:val="24"/>
          <w:highlight w:val="none"/>
          <w:lang w:val="en-GB"/>
        </w:rPr>
        <w:t xml:space="preserve">等工作。按四星级酒店管理规范和要求做好各项服务保障</w:t>
      </w:r>
      <w:r>
        <w:rPr>
          <w:rFonts w:hint="eastAsia" w:ascii="宋体" w:hAnsi="宋体" w:cs="宋体"/>
          <w:color w:val="000000"/>
          <w:sz w:val="24"/>
          <w:szCs w:val="24"/>
          <w:highlight w:val="none"/>
        </w:rPr>
        <w:t xml:space="preserve">工作；</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（3）协助</w:t>
      </w:r>
      <w:r>
        <w:rPr>
          <w:rFonts w:hint="eastAsia" w:ascii="宋体" w:hAnsi="宋体" w:cs="宋体"/>
          <w:color w:val="000000"/>
          <w:sz w:val="24"/>
          <w:szCs w:val="24"/>
          <w:highlight w:val="none"/>
          <w:lang w:val="en-GB"/>
        </w:rPr>
        <w:t xml:space="preserve">有关部门做好视频会议设备调试、LED大屏保障工作。</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GB"/>
        </w:rPr>
        <w:t xml:space="preserve">、工程</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GB"/>
        </w:rPr>
        <w:t xml:space="preserve">负责</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val="en-GB"/>
        </w:rPr>
        <w:t xml:space="preserve">各类设施的日常操作、管理与维护，</w:t>
      </w:r>
      <w:r>
        <w:rPr>
          <w:rFonts w:hint="eastAsia" w:ascii="宋体" w:hAnsi="宋体" w:cs="宋体"/>
          <w:color w:val="000000"/>
          <w:sz w:val="24"/>
          <w:szCs w:val="24"/>
          <w:highlight w:val="none"/>
        </w:rPr>
        <w:t xml:space="preserve">协调维保工作，承担零修、随工监理及其他临时性任务。</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（1）负责甲方物业管理范围内各类设施、设备（包含但不限于：建筑设施、强电井、电梯、空调、供电、照明、排水及阀门等）的使用与管理、巡查与值守，发现问题及时采取相关处置措施，并做好</w:t>
      </w:r>
      <w:r>
        <w:rPr>
          <w:rFonts w:hint="eastAsia" w:ascii="宋体" w:hAnsi="宋体" w:cs="宋体"/>
          <w:color w:val="000000"/>
          <w:sz w:val="24"/>
          <w:szCs w:val="24"/>
          <w:highlight w:val="none"/>
          <w:lang w:eastAsia="zh-CN"/>
        </w:rPr>
        <w:t xml:space="preserve">台账记录</w:t>
      </w:r>
      <w:r>
        <w:rPr>
          <w:rFonts w:hint="eastAsia" w:ascii="宋体" w:hAnsi="宋体" w:cs="宋体"/>
          <w:color w:val="000000"/>
          <w:sz w:val="24"/>
          <w:szCs w:val="24"/>
          <w:highlight w:val="none"/>
        </w:rPr>
        <w:t xml:space="preserve">；</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rPr>
        <w:t xml:space="preserve">（2）负责甲方物业管理范围内设施、设备日常维护保养工作的具体实施（</w:t>
      </w:r>
      <w:r>
        <w:rPr>
          <w:rFonts w:hint="eastAsia" w:ascii="宋体" w:hAnsi="宋体" w:cs="宋体"/>
          <w:color w:val="000000"/>
          <w:sz w:val="24"/>
          <w:szCs w:val="24"/>
          <w:highlight w:val="none"/>
          <w:lang w:val="en-GB"/>
        </w:rPr>
        <w:t xml:space="preserve">包括加油、测试、疏通、清洗、更换易耗件等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GB"/>
        </w:rPr>
        <w:t xml:space="preserve">； </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GB"/>
        </w:rPr>
        <w:t xml:space="preserve">）负责</w:t>
      </w:r>
      <w:r>
        <w:rPr>
          <w:rFonts w:hint="eastAsia" w:ascii="宋体" w:hAnsi="宋体" w:cs="宋体"/>
          <w:color w:val="000000"/>
          <w:sz w:val="24"/>
          <w:szCs w:val="24"/>
          <w:highlight w:val="none"/>
        </w:rPr>
        <w:t xml:space="preserve">甲方物业管理范围内</w:t>
      </w:r>
      <w:r>
        <w:rPr>
          <w:rFonts w:hint="eastAsia" w:ascii="宋体" w:hAnsi="宋体" w:cs="宋体"/>
          <w:color w:val="000000"/>
          <w:sz w:val="24"/>
          <w:szCs w:val="24"/>
          <w:highlight w:val="none"/>
          <w:lang w:val="en-GB"/>
        </w:rPr>
        <w:t xml:space="preserve">协调电梯、空调、</w:t>
      </w:r>
      <w:r>
        <w:rPr>
          <w:rFonts w:hint="eastAsia" w:ascii="宋体" w:hAnsi="宋体" w:cs="宋体"/>
          <w:color w:val="000000"/>
          <w:sz w:val="24"/>
          <w:szCs w:val="24"/>
          <w:highlight w:val="none"/>
        </w:rPr>
        <w:t xml:space="preserve">电梯</w:t>
      </w:r>
      <w:r>
        <w:rPr>
          <w:rFonts w:hint="eastAsia" w:ascii="宋体" w:hAnsi="宋体" w:cs="宋体"/>
          <w:color w:val="000000"/>
          <w:sz w:val="24"/>
          <w:szCs w:val="24"/>
          <w:highlight w:val="none"/>
          <w:lang w:val="en-GB"/>
        </w:rPr>
        <w:t xml:space="preserve">等系统各维保单位按时对相关设备进行保养与维护、检测与年检等工作，对专业维保单位维保进度、维保质量进行督促检查与验收；</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GB"/>
        </w:rPr>
        <w:t xml:space="preserve">）负责其它外包工程项目维修施工过程中的随工监理；</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GB"/>
        </w:rPr>
        <w:t xml:space="preserve">）负责</w:t>
      </w:r>
      <w:r>
        <w:rPr>
          <w:rFonts w:hint="eastAsia" w:ascii="宋体" w:hAnsi="宋体" w:cs="宋体"/>
          <w:color w:val="000000"/>
          <w:sz w:val="24"/>
          <w:szCs w:val="24"/>
          <w:highlight w:val="none"/>
        </w:rPr>
        <w:t xml:space="preserve">职工</w:t>
      </w:r>
      <w:r>
        <w:rPr>
          <w:rFonts w:hint="eastAsia" w:ascii="宋体" w:hAnsi="宋体" w:cs="宋体"/>
          <w:color w:val="000000"/>
          <w:sz w:val="24"/>
          <w:szCs w:val="24"/>
          <w:highlight w:val="none"/>
          <w:lang w:val="en-GB"/>
        </w:rPr>
        <w:t xml:space="preserve">食堂水、电、气设施的正常维修，对食堂专业设备维修过程中涉及到水、电、气的环节负责现场协调和处理；</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GB"/>
        </w:rPr>
        <w:t xml:space="preserve">）协助甲方做好节电、节水、节能等工作。</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6、防疫、消杀</w:t>
      </w:r>
      <w:r/>
    </w:p>
    <w:p>
      <w:pPr>
        <w:ind w:left="-315" w:right="-315" w:firstLine="47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（1）办公用房区域、公共场所区域和周围环境预防性卫生消毒，消毒后及时通风，每周至少开展1次作业；</w:t>
      </w:r>
      <w:r/>
    </w:p>
    <w:p>
      <w:pPr>
        <w:ind w:left="-315" w:right="-315" w:firstLine="47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（2）发生公共卫生事件时，邀请专业单位开展消毒、检测等工作。</w:t>
      </w:r>
      <w:r/>
    </w:p>
    <w:p>
      <w:pPr>
        <w:ind w:firstLine="240"/>
        <w:spacing w:line="420" w:lineRule="exact"/>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七、考核</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1、物业管理服务</w:t>
      </w:r>
      <w:r>
        <w:rPr>
          <w:rFonts w:hint="eastAsia" w:ascii="宋体" w:hAnsi="宋体" w:cs="宋体"/>
          <w:color w:val="000000"/>
          <w:sz w:val="24"/>
          <w:szCs w:val="24"/>
          <w:highlight w:val="none"/>
        </w:rPr>
        <w:t xml:space="preserve">团队的工作必须接受甲方的</w:t>
      </w:r>
      <w:r>
        <w:rPr>
          <w:rFonts w:hint="eastAsia" w:ascii="宋体" w:hAnsi="宋体" w:cs="宋体"/>
          <w:color w:val="000000"/>
          <w:sz w:val="24"/>
          <w:szCs w:val="24"/>
          <w:highlight w:val="none"/>
          <w:lang w:val="en-GB"/>
        </w:rPr>
        <w:t xml:space="preserve">管理、监督和考核。</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GB"/>
        </w:rPr>
        <w:t xml:space="preserve">日常工作中发生重、特大安全责任事故（由中标人过错或处置不及时，不妥当引起的火情事故、跑水事故、断电事故、伤亡事故等），除赔偿损失外，视情扣除当</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GB"/>
        </w:rPr>
        <w:t xml:space="preserve">服务费的10%-20%或解除物业管理合同的处罚。</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GB"/>
        </w:rPr>
        <w:t xml:space="preserve">、甲方委托乙方的项目管理工作受到省、市各级相关部门的通报批评，或在国家法定部门（卫生、安全等）专项检查或年检中，因乙方原因每有一次不合格，甲方有权从当</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GB"/>
        </w:rPr>
        <w:t xml:space="preserve">物业服务费中扣除3000元。</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GB"/>
        </w:rPr>
        <w:t xml:space="preserve">参与甲方组织的重要活动或在甲方重要活动的组织保障中贡献突出，甲方将给予参与人员适当奖励。</w:t>
      </w:r>
      <w:r/>
    </w:p>
    <w:p>
      <w:pPr>
        <w:ind w:left="-315" w:right="-315" w:firstLine="470"/>
        <w:spacing w:line="420" w:lineRule="exact"/>
        <w:rPr>
          <w:rFonts w:ascii="宋体" w:hAnsi="宋体" w:cs="宋体"/>
          <w:b/>
          <w:bCs/>
          <w:color w:val="000000"/>
          <w:sz w:val="24"/>
          <w:szCs w:val="24"/>
          <w:highlight w:val="none"/>
          <w:lang w:val="en-GB"/>
        </w:rPr>
        <w:outlineLvl w:val="1"/>
      </w:pPr>
      <w:r>
        <w:rPr>
          <w:rFonts w:hint="eastAsia" w:ascii="宋体" w:hAnsi="宋体" w:cs="宋体"/>
          <w:b/>
          <w:bCs/>
          <w:color w:val="000000"/>
          <w:sz w:val="24"/>
          <w:szCs w:val="24"/>
          <w:highlight w:val="none"/>
        </w:rPr>
        <w:t xml:space="preserve">八</w:t>
      </w:r>
      <w:r>
        <w:rPr>
          <w:rFonts w:hint="eastAsia" w:ascii="宋体" w:hAnsi="宋体" w:cs="宋体"/>
          <w:b/>
          <w:bCs/>
          <w:color w:val="000000"/>
          <w:sz w:val="24"/>
          <w:szCs w:val="24"/>
          <w:highlight w:val="none"/>
          <w:lang w:val="en-GB"/>
        </w:rPr>
        <w:t xml:space="preserve">、服务管理目标</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GB"/>
        </w:rPr>
        <w:t xml:space="preserve">、各类设施、设备完好、整洁、无污损，完好率、合格率均达到98%以上；垃圾日产日清，清运及时率100%；</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GB"/>
        </w:rPr>
        <w:t xml:space="preserve">、有效投诉办结率99%以上；</w:t>
      </w:r>
      <w:r/>
    </w:p>
    <w:p>
      <w:pPr>
        <w:ind w:left="-315" w:right="-315" w:firstLine="47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en-GB"/>
        </w:rPr>
        <w:t xml:space="preserve">、</w:t>
      </w:r>
      <w:r>
        <w:rPr>
          <w:rFonts w:hint="eastAsia" w:ascii="宋体" w:hAnsi="宋体" w:cs="宋体"/>
          <w:color w:val="000000"/>
          <w:sz w:val="24"/>
          <w:szCs w:val="24"/>
          <w:highlight w:val="none"/>
        </w:rPr>
        <w:t xml:space="preserve">无乱停乱放各种车辆现象；</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GB"/>
        </w:rPr>
        <w:t xml:space="preserve">服务及时、到位，以人为本，凸显人性化服务，服务满意率达90%以上；</w:t>
      </w:r>
      <w:r/>
    </w:p>
    <w:p>
      <w:pPr>
        <w:ind w:left="-315" w:right="-315" w:firstLine="47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项目负责人</w:t>
      </w:r>
      <w:r>
        <w:rPr>
          <w:rFonts w:hint="eastAsia" w:ascii="宋体" w:hAnsi="宋体" w:cs="宋体"/>
          <w:color w:val="000000"/>
          <w:sz w:val="24"/>
          <w:szCs w:val="24"/>
          <w:highlight w:val="none"/>
        </w:rPr>
        <w:t xml:space="preserve">管理经验丰富，队伍年轻有青春活力，有亲和力；</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en-GB"/>
        </w:rPr>
        <w:t xml:space="preserve">、安全保障稳妥、及时、有力，无重大事故。</w:t>
      </w:r>
      <w:r/>
    </w:p>
    <w:p>
      <w:pPr>
        <w:ind w:left="-315" w:right="-315" w:firstLine="480"/>
        <w:spacing w:line="420" w:lineRule="exact"/>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九</w:t>
      </w:r>
      <w:r>
        <w:rPr>
          <w:rFonts w:hint="eastAsia" w:ascii="宋体" w:hAnsi="宋体" w:cs="宋体"/>
          <w:b/>
          <w:bCs/>
          <w:color w:val="000000"/>
          <w:sz w:val="24"/>
          <w:szCs w:val="24"/>
          <w:highlight w:val="none"/>
          <w:lang w:val="en-GB"/>
        </w:rPr>
        <w:t xml:space="preserve">、甲乙双方的权利与义务</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1、甲方权利、义务 </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甲方有权对乙方的工作实施检查和管理，每个季度至少进行一次考核评定，并经常与乙方商量，解决有关问题。如乙方派出的管理、服务人员工作表现不好，甲方可通知乙方对其考核或更换人员。如因乙方不能按约定完成管理服务目标或管理不善造成甲方重大经济损失，甲方有权终止协议。 </w:t>
      </w:r>
      <w:r/>
    </w:p>
    <w:p>
      <w:pPr>
        <w:ind w:left="-315" w:right="-315" w:firstLine="470"/>
        <w:spacing w:line="42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协助乙方制定《物业管理制度》。委托乙方对违反物业管理法规和《物业管理制度》的责任人和责任单位进行处理，包括对违章者进行批评教育。如责任者属甲方管理范围，甲方根据乙方考核通知，负责对违规部门或个人进行教育、扣款等处理。对第三方可责令停工、责令赔偿经济损失等。</w:t>
      </w:r>
      <w:r/>
    </w:p>
    <w:p>
      <w:pPr>
        <w:ind w:left="-315" w:right="-315" w:firstLine="470"/>
        <w:spacing w:line="420" w:lineRule="exact"/>
        <w:rPr>
          <w:rFonts w:hint="default"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GB"/>
        </w:rPr>
        <w:t xml:space="preserve">（</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lang w:val="en-GB"/>
        </w:rPr>
        <w:t xml:space="preserve">）</w:t>
      </w:r>
      <w:r>
        <w:rPr>
          <w:rFonts w:hint="eastAsia" w:ascii="宋体" w:hAnsi="宋体" w:cs="宋体"/>
          <w:color w:val="ff0000"/>
          <w:sz w:val="24"/>
          <w:szCs w:val="24"/>
          <w:highlight w:val="none"/>
          <w:lang w:val="en-US" w:eastAsia="zh-CN"/>
        </w:rPr>
        <w:t xml:space="preserve">甲方承担以下费用</w:t>
      </w:r>
      <w:r/>
    </w:p>
    <w:p>
      <w:pPr>
        <w:numPr>
          <w:ilvl w:val="0"/>
          <w:numId w:val="7"/>
        </w:numPr>
        <w:ind w:left="-60" w:firstLine="480"/>
        <w:spacing w:line="360" w:lineRule="auto"/>
        <w:rPr>
          <w:rFonts w:ascii="宋体" w:hAnsi="宋体" w:eastAsia="宋体" w:cs="宋体"/>
          <w:bCs/>
          <w:color w:val="ff0000"/>
          <w:sz w:val="24"/>
          <w:szCs w:val="24"/>
        </w:rPr>
      </w:pPr>
      <w:r>
        <w:rPr>
          <w:rFonts w:hint="eastAsia" w:ascii="宋体" w:hAnsi="宋体" w:eastAsia="宋体" w:cs="宋体"/>
          <w:bCs/>
          <w:color w:val="ff0000"/>
          <w:sz w:val="24"/>
          <w:szCs w:val="24"/>
        </w:rPr>
        <w:t xml:space="preserve">监控、消防、智能、及网络综合布线系统、自动门、VRV中央空调、地源热泵、冷水机组、配电房、生活水泵系统的年度大型维修保养及更换零部件费用。</w:t>
      </w:r>
      <w:r/>
    </w:p>
    <w:p>
      <w:pPr>
        <w:numPr>
          <w:ilvl w:val="0"/>
          <w:numId w:val="7"/>
        </w:numPr>
        <w:ind w:left="-60" w:firstLine="480"/>
        <w:spacing w:line="360" w:lineRule="auto"/>
        <w:rPr>
          <w:rFonts w:ascii="宋体" w:hAnsi="宋体" w:eastAsia="宋体" w:cs="宋体"/>
          <w:bCs/>
          <w:color w:val="ff0000"/>
          <w:sz w:val="24"/>
          <w:szCs w:val="24"/>
        </w:rPr>
      </w:pPr>
      <w:r>
        <w:rPr>
          <w:rFonts w:hint="eastAsia" w:ascii="宋体" w:hAnsi="宋体" w:eastAsia="宋体" w:cs="宋体"/>
          <w:bCs/>
          <w:color w:val="ff0000"/>
          <w:sz w:val="24"/>
          <w:szCs w:val="24"/>
        </w:rPr>
        <w:t xml:space="preserve">用于物业服务的操作实施时所用水、电费用。</w:t>
      </w:r>
      <w:r/>
    </w:p>
    <w:p>
      <w:pPr>
        <w:numPr>
          <w:ilvl w:val="0"/>
          <w:numId w:val="7"/>
        </w:numPr>
        <w:ind w:left="-60" w:firstLine="480"/>
        <w:spacing w:line="360" w:lineRule="auto"/>
        <w:rPr>
          <w:rFonts w:ascii="宋体" w:hAnsi="宋体" w:eastAsia="宋体" w:cs="宋体"/>
          <w:bCs/>
          <w:color w:val="ff0000"/>
          <w:sz w:val="24"/>
          <w:szCs w:val="24"/>
        </w:rPr>
      </w:pPr>
      <w:r>
        <w:rPr>
          <w:rFonts w:hint="eastAsia" w:ascii="宋体" w:hAnsi="宋体" w:eastAsia="宋体" w:cs="宋体"/>
          <w:bCs/>
          <w:color w:val="ff0000"/>
          <w:sz w:val="24"/>
          <w:szCs w:val="24"/>
        </w:rPr>
        <w:t xml:space="preserve">会议接待耗材费用（毛巾、瓶装净水）。</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（4）甲方酌情根据乙方要求提供房间用于办公、人员休息和工具的存放。</w:t>
      </w:r>
      <w:r/>
    </w:p>
    <w:p>
      <w:pPr>
        <w:ind w:left="-315" w:right="-315" w:firstLine="470"/>
        <w:spacing w:line="42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GB"/>
        </w:rPr>
        <w:t xml:space="preserve">（5）协助乙方做好有关项目管理的宣传教育，协调乙方与地方行政管理部门的关系。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（6）根据考核情况按时支付季度款。如果连续两次考核不达标，甲方有权单方面提出终止合同，并且不承担违约责任。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（7）审议乙方服务项目的年度计划、工作安排，审查甲方委托乙方与设备维护方签订的协议，并监督协议的正确履行。</w:t>
      </w:r>
      <w:r/>
    </w:p>
    <w:p>
      <w:pPr>
        <w:ind w:left="-315" w:right="-315" w:firstLine="470"/>
        <w:spacing w:line="420" w:lineRule="exact"/>
        <w:rPr>
          <w:rFonts w:ascii="宋体" w:hAnsi="宋体" w:cs="宋体"/>
          <w:color w:val="000000"/>
          <w:sz w:val="24"/>
          <w:szCs w:val="24"/>
          <w:highlight w:val="none"/>
          <w:lang w:val="en-GB"/>
        </w:rPr>
        <w:outlineLvl w:val="3"/>
      </w:pPr>
      <w:r>
        <w:rPr>
          <w:rFonts w:hint="eastAsia" w:ascii="宋体" w:hAnsi="宋体" w:cs="宋体"/>
          <w:color w:val="000000"/>
          <w:sz w:val="24"/>
          <w:szCs w:val="24"/>
          <w:highlight w:val="none"/>
          <w:lang w:val="en-GB"/>
        </w:rPr>
        <w:t xml:space="preserve">（8）法律、法规规定由甲方承担的其他责任。 </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2、乙方权利、义务 </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（1）乙方根据甲方的委托，对项目实施综合管理，确保实现管理目标，并承担相应责任，接受甲方检查、管理。及时与甲方沟通，接受甲方的合理化建议。</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根据有关法律、法规，结合甲方的需求以及实际情况，负责制订汇编《物业管理制度》，制定乙方工作岗位的工作规范和考核办法。根据甲方的委托和《物业管理制度》对违反物业管理规章制度的责任人和责任单位进行处理。制定的各项规章制度和工作规范送甲方备案，并向甲方提供依据工作规程制定的考核标准。</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（3）负责编制管理项目的年度工作计划，经甲方批准后，由乙方组织实施。</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（4）未经过甲方同意，乙方对所管理的甲方公用设施不得擅自占用和改变其使用功能。 </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5）在经过甲方同意后，乙方才可委托专业公司承担乙方不能或没有资质的项目并支付费用，合同需经甲方审核同意后方可签订，合同签署后送交甲方备案。乙方对专业公司在甲方所从事的工作承担责任，不得将项目管理的整体责任及利益转让给其他单位或个人。</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（6）乙方须按招标书要求设置项目管理机构和人员，</w:t>
      </w:r>
      <w:r>
        <w:rPr>
          <w:rFonts w:hint="eastAsia" w:ascii="宋体" w:hAnsi="宋体" w:cs="宋体"/>
          <w:color w:val="000000"/>
          <w:sz w:val="24"/>
          <w:szCs w:val="24"/>
          <w:highlight w:val="none"/>
          <w:lang w:val="en-US" w:eastAsia="zh-CN"/>
        </w:rPr>
        <w:t xml:space="preserve">项目负责人</w:t>
      </w:r>
      <w:r>
        <w:rPr>
          <w:rFonts w:hint="eastAsia" w:ascii="宋体" w:hAnsi="宋体" w:cs="宋体"/>
          <w:color w:val="000000"/>
          <w:sz w:val="24"/>
          <w:szCs w:val="24"/>
          <w:highlight w:val="none"/>
          <w:lang w:val="en-GB"/>
        </w:rPr>
        <w:t xml:space="preserve">调整需征得甲方同意，</w:t>
      </w:r>
      <w:r>
        <w:rPr>
          <w:rFonts w:hint="eastAsia" w:ascii="宋体" w:hAnsi="宋体" w:cs="宋体"/>
          <w:b/>
          <w:bCs/>
          <w:color w:val="ff0000"/>
          <w:sz w:val="24"/>
          <w:szCs w:val="24"/>
          <w:highlight w:val="none"/>
          <w:lang w:val="en-GB"/>
        </w:rPr>
        <w:t xml:space="preserve">项目配置总人数不得少于54人</w:t>
      </w:r>
      <w:r>
        <w:rPr>
          <w:rFonts w:hint="eastAsia" w:ascii="宋体" w:hAnsi="宋体" w:cs="宋体"/>
          <w:b/>
          <w:bCs/>
          <w:color w:val="ff0000"/>
          <w:sz w:val="24"/>
          <w:szCs w:val="24"/>
          <w:highlight w:val="none"/>
          <w:lang w:val="en-US" w:eastAsia="zh-CN"/>
        </w:rPr>
        <w:t xml:space="preserve">，其中</w:t>
      </w:r>
      <w:r>
        <w:rPr>
          <w:rFonts w:hint="eastAsia" w:ascii="宋体" w:hAnsi="宋体" w:cs="宋体"/>
          <w:b/>
          <w:bCs/>
          <w:color w:val="ff0000"/>
          <w:sz w:val="24"/>
          <w:szCs w:val="24"/>
          <w:highlight w:val="none"/>
          <w:lang w:val="en-GB"/>
        </w:rPr>
        <w:t xml:space="preserve">江苏省特种设备安全监督检验研究院无锡分院本部及城中办事处（隐秀路220号及永丰路338号）</w:t>
      </w:r>
      <w:r>
        <w:rPr>
          <w:rStyle w:val="955"/>
          <w:rFonts w:hint="eastAsia" w:ascii="Segoe UI" w:hAnsi="Segoe UI" w:cs="Segoe UI"/>
          <w:b/>
          <w:bCs/>
          <w:i w:val="0"/>
          <w:iCs w:val="0"/>
          <w:caps w:val="0"/>
          <w:color w:val="ff0000"/>
          <w:spacing w:val="0"/>
          <w:sz w:val="24"/>
          <w:szCs w:val="24"/>
          <w:shd w:val="clear" w:color="auto" w:fill="ffffff"/>
          <w:lang w:val="en-US" w:eastAsia="zh-CN"/>
        </w:rPr>
        <w:t xml:space="preserve">，</w:t>
      </w:r>
      <w:r>
        <w:rPr>
          <w:rFonts w:hint="eastAsia" w:ascii="宋体" w:hAnsi="宋体" w:cs="宋体"/>
          <w:b/>
          <w:bCs/>
          <w:color w:val="ff0000"/>
          <w:sz w:val="24"/>
          <w:szCs w:val="24"/>
          <w:highlight w:val="none"/>
          <w:lang w:val="en-US" w:eastAsia="zh-CN"/>
        </w:rPr>
        <w:t xml:space="preserve">所需</w:t>
      </w:r>
      <w:r>
        <w:rPr>
          <w:rFonts w:hint="eastAsia" w:ascii="宋体" w:hAnsi="宋体" w:cs="宋体"/>
          <w:b/>
          <w:bCs/>
          <w:color w:val="ff0000"/>
          <w:sz w:val="24"/>
          <w:szCs w:val="24"/>
          <w:highlight w:val="none"/>
          <w:lang w:val="en-GB"/>
        </w:rPr>
        <w:t xml:space="preserve">同时在岗人数19</w:t>
      </w:r>
      <w:r>
        <w:rPr>
          <w:rFonts w:hint="eastAsia" w:ascii="宋体" w:hAnsi="宋体" w:cs="宋体"/>
          <w:b/>
          <w:bCs/>
          <w:color w:val="ff0000"/>
          <w:sz w:val="24"/>
          <w:szCs w:val="24"/>
          <w:highlight w:val="none"/>
          <w:lang w:val="en-US" w:eastAsia="zh-CN"/>
        </w:rPr>
        <w:t xml:space="preserve">人；国家桥门式起重机械产品质检中心（堰新路330号东院），国家石墨烯产品质检中心（堰新路330号西院）所需</w:t>
      </w:r>
      <w:r>
        <w:rPr>
          <w:rFonts w:hint="eastAsia" w:ascii="宋体" w:hAnsi="宋体" w:cs="宋体"/>
          <w:b/>
          <w:bCs/>
          <w:color w:val="ff0000"/>
          <w:sz w:val="24"/>
          <w:szCs w:val="24"/>
          <w:highlight w:val="none"/>
          <w:lang w:val="en-GB"/>
        </w:rPr>
        <w:t xml:space="preserve">同时在岗人数</w:t>
      </w:r>
      <w:r>
        <w:rPr>
          <w:rFonts w:hint="eastAsia" w:ascii="宋体" w:hAnsi="宋体" w:cs="宋体"/>
          <w:b/>
          <w:bCs/>
          <w:color w:val="ff0000"/>
          <w:sz w:val="24"/>
          <w:szCs w:val="24"/>
          <w:highlight w:val="none"/>
          <w:lang w:val="en-US" w:eastAsia="zh-CN"/>
        </w:rPr>
        <w:t xml:space="preserve">23人；以上区域</w:t>
      </w:r>
      <w:r>
        <w:rPr>
          <w:rFonts w:hint="eastAsia" w:ascii="宋体" w:hAnsi="宋体" w:cs="宋体"/>
          <w:b/>
          <w:bCs/>
          <w:color w:val="ff0000"/>
          <w:sz w:val="24"/>
          <w:szCs w:val="24"/>
          <w:highlight w:val="none"/>
          <w:lang w:val="en-GB"/>
        </w:rPr>
        <w:t xml:space="preserve">法定节假日值班</w:t>
      </w:r>
      <w:r>
        <w:rPr>
          <w:rFonts w:hint="eastAsia" w:ascii="宋体" w:hAnsi="宋体" w:cs="宋体"/>
          <w:b/>
          <w:bCs/>
          <w:color w:val="ff0000"/>
          <w:sz w:val="24"/>
          <w:szCs w:val="24"/>
          <w:highlight w:val="none"/>
          <w:lang w:val="en-US" w:eastAsia="zh-CN"/>
        </w:rPr>
        <w:t xml:space="preserve">总</w:t>
      </w:r>
      <w:r>
        <w:rPr>
          <w:rFonts w:hint="eastAsia" w:ascii="宋体" w:hAnsi="宋体" w:cs="宋体"/>
          <w:b/>
          <w:bCs/>
          <w:color w:val="ff0000"/>
          <w:sz w:val="24"/>
          <w:szCs w:val="24"/>
          <w:highlight w:val="none"/>
          <w:lang w:val="en-GB"/>
        </w:rPr>
        <w:t xml:space="preserve">人数不得少于</w:t>
      </w:r>
      <w:r>
        <w:rPr>
          <w:rFonts w:hint="eastAsia" w:ascii="宋体" w:hAnsi="宋体" w:cs="宋体"/>
          <w:b/>
          <w:bCs/>
          <w:color w:val="ff0000"/>
          <w:sz w:val="24"/>
          <w:szCs w:val="24"/>
          <w:highlight w:val="none"/>
          <w:lang w:val="en-US" w:eastAsia="zh-CN"/>
        </w:rPr>
        <w:t xml:space="preserve">10</w:t>
      </w:r>
      <w:r>
        <w:rPr>
          <w:rFonts w:hint="eastAsia" w:ascii="宋体" w:hAnsi="宋体" w:cs="宋体"/>
          <w:b/>
          <w:bCs/>
          <w:color w:val="ff0000"/>
          <w:sz w:val="24"/>
          <w:szCs w:val="24"/>
          <w:highlight w:val="none"/>
          <w:lang w:val="en-GB"/>
        </w:rPr>
        <w:t xml:space="preserve">人。</w:t>
      </w:r>
      <w:r>
        <w:rPr>
          <w:rFonts w:hint="eastAsia" w:ascii="宋体" w:hAnsi="宋体" w:cs="宋体"/>
          <w:color w:val="000000"/>
          <w:sz w:val="24"/>
          <w:szCs w:val="24"/>
          <w:highlight w:val="none"/>
          <w:lang w:val="en-GB"/>
        </w:rPr>
        <w:t xml:space="preserve">服务过程中应统一着装、挂牌服务、文明操作，爱护公共财产，如有损坏照价赔偿。</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（7）乙方负责对物业管理人员进行岗前培训和经常性的职业道德、业务技能培训教育，尤其要加强安全、保密教育，严格遵守甲方有关规章制度。</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（8）乙方应执行国家有关规定依法用工，负责乙方员工的生病、事故、伤残、死亡和劳务纠纷的处理，甲方不承担任何相关责任。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（9）乙方作息时间随甲方作息时间相应调整，并保证应提前准备的各项保障工作的质量效应和下班后的保洁效应。</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（10）双休日及法定假日，每天必须安排值班人员保障常规的保洁、保安及会务保障要求。</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11）提供符合招标书要求的保洁用具，确保供应并厉行节约；由第三方维保期的设施设备，乙方负责各类系统的日常零星维修，如有设备零部件损坏负责联系、监督相应第三方公司进行维保，保证良好运行状态。</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12）建立物业服务档案并负责及时记载有关变更情况，在管理期满时，应移交物业管理权，撤出本物业，协助甲方作好物业服务的交接和善后工作，移交或配合甲方移交管理用房和物业服务的全部档案资料（包括甲方提供的资料）及</w:t>
      </w:r>
      <w:r>
        <w:rPr>
          <w:rFonts w:hint="eastAsia" w:ascii="宋体" w:hAnsi="宋体" w:cs="宋体"/>
          <w:color w:val="000000"/>
          <w:sz w:val="24"/>
          <w:szCs w:val="24"/>
          <w:highlight w:val="none"/>
          <w:lang w:val="en-GB" w:eastAsia="zh-CN"/>
        </w:rPr>
        <w:t xml:space="preserve">账目</w:t>
      </w:r>
      <w:r>
        <w:rPr>
          <w:rFonts w:hint="eastAsia" w:ascii="宋体" w:hAnsi="宋体" w:cs="宋体"/>
          <w:color w:val="000000"/>
          <w:sz w:val="24"/>
          <w:szCs w:val="24"/>
          <w:highlight w:val="none"/>
          <w:lang w:val="en-GB"/>
        </w:rPr>
        <w:t xml:space="preserve">。</w:t>
      </w:r>
      <w:r/>
    </w:p>
    <w:p>
      <w:pPr>
        <w:ind w:left="-315" w:right="-315" w:firstLine="480"/>
        <w:spacing w:line="420" w:lineRule="exact"/>
        <w:rPr>
          <w:rFonts w:ascii="宋体" w:hAnsi="宋体" w:cs="宋体"/>
          <w:b/>
          <w:bCs/>
          <w:color w:val="000000"/>
          <w:sz w:val="24"/>
          <w:szCs w:val="24"/>
          <w:highlight w:val="none"/>
          <w:lang w:val="en-GB"/>
        </w:rPr>
        <w:outlineLvl w:val="1"/>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GB"/>
        </w:rPr>
        <w:t xml:space="preserve">、违约责任</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1、乙方的责任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（1）乙方未按合同规定的质量要求提供服务，甲方有权终止合同，由此造成乙方的直接损失和间接损失甲方不予补偿，造成甲方损失时，甲方有权要求乙方赔偿，可从余款中直接扣除，不足部分向乙方追索。</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（2）合同内容中乙方需要分包的项目，必须在征得甲方同意后实施。</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（3）乙方应执行国家有关规定，负责乙方员工的生产、事故、伤残、死亡和劳务纠纷，甲方不承担任何相关责任。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（4）由于乙方管理不善或重大失误，造成甲方或第三方财产损失或人身伤害的，乙方应承担一切责任（为此所需的保险由乙方自行承担）。</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（5）所有违约金从</w:t>
      </w:r>
      <w:r>
        <w:rPr>
          <w:rFonts w:hint="eastAsia" w:ascii="宋体" w:hAnsi="宋体" w:cs="宋体"/>
          <w:color w:val="000000"/>
          <w:sz w:val="24"/>
          <w:szCs w:val="24"/>
          <w:highlight w:val="none"/>
        </w:rPr>
        <w:t xml:space="preserve">余款</w:t>
      </w:r>
      <w:r>
        <w:rPr>
          <w:rFonts w:hint="eastAsia" w:ascii="宋体" w:hAnsi="宋体" w:cs="宋体"/>
          <w:color w:val="000000"/>
          <w:sz w:val="24"/>
          <w:szCs w:val="24"/>
          <w:highlight w:val="none"/>
          <w:lang w:val="en-GB"/>
        </w:rPr>
        <w:t xml:space="preserve">中扣除，如累计扣款超过</w:t>
      </w:r>
      <w:r>
        <w:rPr>
          <w:rFonts w:hint="eastAsia" w:ascii="宋体" w:hAnsi="宋体" w:cs="宋体"/>
          <w:color w:val="000000"/>
          <w:sz w:val="24"/>
          <w:szCs w:val="24"/>
          <w:highlight w:val="none"/>
        </w:rPr>
        <w:t xml:space="preserve">余款</w:t>
      </w:r>
      <w:r>
        <w:rPr>
          <w:rFonts w:hint="eastAsia" w:ascii="宋体" w:hAnsi="宋体" w:cs="宋体"/>
          <w:color w:val="000000"/>
          <w:sz w:val="24"/>
          <w:szCs w:val="24"/>
          <w:highlight w:val="none"/>
          <w:lang w:val="en-GB"/>
        </w:rPr>
        <w:t xml:space="preserve">的，乙方应在10个工作日内补足。</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（6）乙方在</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GB"/>
        </w:rPr>
        <w:t xml:space="preserve">文件中推荐的</w:t>
      </w:r>
      <w:r>
        <w:rPr>
          <w:rFonts w:hint="eastAsia" w:ascii="宋体" w:hAnsi="宋体" w:cs="宋体"/>
          <w:color w:val="000000"/>
          <w:sz w:val="24"/>
          <w:szCs w:val="24"/>
          <w:highlight w:val="none"/>
          <w:lang w:val="en-US" w:eastAsia="zh-CN"/>
        </w:rPr>
        <w:t xml:space="preserve">项目负责人</w:t>
      </w:r>
      <w:r>
        <w:rPr>
          <w:rFonts w:hint="eastAsia" w:ascii="宋体" w:hAnsi="宋体" w:cs="宋体"/>
          <w:color w:val="000000"/>
          <w:sz w:val="24"/>
          <w:szCs w:val="24"/>
          <w:highlight w:val="none"/>
          <w:lang w:val="en-GB"/>
        </w:rPr>
        <w:t xml:space="preserve">及承诺的相关专业技术人员，未经甲方同意不得在成交后调换，否则甲方有权扣除乙方全部的</w:t>
      </w:r>
      <w:r>
        <w:rPr>
          <w:rFonts w:hint="eastAsia" w:ascii="宋体" w:hAnsi="宋体" w:cs="宋体"/>
          <w:color w:val="000000"/>
          <w:sz w:val="24"/>
          <w:szCs w:val="24"/>
          <w:highlight w:val="none"/>
        </w:rPr>
        <w:t xml:space="preserve">余款</w:t>
      </w:r>
      <w:r>
        <w:rPr>
          <w:rFonts w:hint="eastAsia" w:ascii="宋体" w:hAnsi="宋体" w:cs="宋体"/>
          <w:color w:val="000000"/>
          <w:sz w:val="24"/>
          <w:szCs w:val="24"/>
          <w:highlight w:val="none"/>
          <w:lang w:val="en-GB"/>
        </w:rPr>
        <w:t xml:space="preserve">，解除合同并追诉由此给甲方带来的各项损失。</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7）合同关系终止，根据甲方要求，乙方应在一周内办理物业管理项目移交手续，自行撤走所属人员并做好设备设施所有档案、资料交接工作。逾期不交接，每逾期一天扣除当季物业服务费的千分之五，如造成甲方损失超出当季物业服务费的部分由乙方继续承担赔偿责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rPr>
        <w:t xml:space="preserve">（8）合同履行过程中，乙方未经甲方书面同意，不得将合同权利义务全部或者部分转让给第三方。否则，乙方应向甲方支付合同总价款20%的违约金，给甲方造成损失的，乙方还应当承担赔偿责任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rPr>
        <w:t xml:space="preserve">（9）乙方在履行本合同期间，其物业服务人员给甲方人员或第三人造成损害， </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rPr>
        <w:t xml:space="preserve">以及物业服务人员遭受第三方损害的，由乙方妥善处理，因此产生的损失由乙方承担。 </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2、甲方的责任</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（1）乙方按合同履约，甲方按期付款，若甲方逾期违约应向乙方支付违约金，每逾期一天，按合同价格的万分之二支付违约金。</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甲方若需派出人员参与乙方的物业管理工作，则人员关系隶属甲方，其收入、福利、医疗等一切待遇均由甲方负责，乙方负责人员的考核与管理，甲方所派人员应服从乙方的管理，如有违规等现象，乙方将用书面形式报甲方，由甲方处置。</w:t>
      </w:r>
      <w:r/>
    </w:p>
    <w:p>
      <w:pPr>
        <w:ind w:left="-315" w:right="-315" w:firstLine="470"/>
        <w:spacing w:line="420" w:lineRule="exact"/>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十一、违约终止合同</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在甲方对乙方违约而采取的任何补救措施不受影响的情况下，甲方可向乙方发出终止部分或全部合同的书面通知：</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1、乙方未能按合同在规定的期限内提供服务；</w:t>
      </w:r>
      <w:r/>
    </w:p>
    <w:p>
      <w:pPr>
        <w:ind w:left="-315" w:right="-315" w:firstLine="470"/>
        <w:spacing w:line="420" w:lineRule="exact"/>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2、乙方在收到甲方发出的违约通知后20天内，或经甲方书面认可延长的时间内未能纠正其过失;</w:t>
      </w:r>
      <w:r/>
    </w:p>
    <w:p>
      <w:pPr>
        <w:ind w:left="-315" w:right="-315" w:firstLine="470"/>
        <w:spacing w:line="420" w:lineRule="exact"/>
        <w:rPr>
          <w:rFonts w:ascii="宋体" w:hAnsi="宋体" w:cs="宋体"/>
          <w:color w:val="000000"/>
          <w:sz w:val="24"/>
          <w:szCs w:val="24"/>
          <w:highlight w:val="none"/>
          <w:lang w:val="en-GB"/>
        </w:rPr>
        <w:outlineLvl w:val="2"/>
      </w:pPr>
      <w:r>
        <w:rPr>
          <w:rFonts w:hint="eastAsia" w:ascii="宋体" w:hAnsi="宋体" w:cs="宋体"/>
          <w:color w:val="000000"/>
          <w:sz w:val="24"/>
          <w:szCs w:val="24"/>
          <w:highlight w:val="none"/>
          <w:lang w:val="en-GB"/>
        </w:rPr>
        <w:t xml:space="preserve">3、乙方未能履行合同规定的相关义务。</w:t>
      </w:r>
      <w:r/>
    </w:p>
    <w:p>
      <w:pPr>
        <w:ind w:left="725" w:right="-315" w:hanging="444"/>
        <w:spacing w:line="420" w:lineRule="exact"/>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十二、破产终止合同</w:t>
      </w:r>
      <w:r/>
    </w:p>
    <w:p>
      <w:pPr>
        <w:ind w:left="-315" w:right="-315" w:firstLine="47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lang w:val="en-GB"/>
        </w:rPr>
        <w:t xml:space="preserve">如果乙方破产或无清偿能力，甲方可在任何时候以书面形式通知乙方终止合同而不给乙方补偿。该终止合同将不损害或影响甲方已经采取或将要采取的任何行动或补救措施的权力。</w:t>
      </w:r>
      <w:r/>
    </w:p>
    <w:p>
      <w:pPr>
        <w:ind w:left="-315" w:right="-315" w:firstLine="590"/>
        <w:spacing w:line="42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十三</w:t>
      </w:r>
      <w:r>
        <w:rPr>
          <w:rFonts w:hint="eastAsia" w:ascii="宋体" w:hAnsi="宋体" w:cs="宋体"/>
          <w:color w:val="000000"/>
          <w:sz w:val="24"/>
          <w:szCs w:val="24"/>
          <w:highlight w:val="none"/>
        </w:rPr>
        <w:t xml:space="preserve">、如合同签订后，甲方无理由单方面拒绝合同，否则乙方有权向甲方追索由此给乙方造成的一切损失。</w:t>
      </w:r>
      <w:r/>
    </w:p>
    <w:p>
      <w:pPr>
        <w:ind w:left="-315" w:right="-315" w:firstLine="590"/>
        <w:spacing w:line="42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十四</w:t>
      </w:r>
      <w:r>
        <w:rPr>
          <w:rFonts w:hint="eastAsia" w:ascii="宋体" w:hAnsi="宋体" w:cs="宋体"/>
          <w:color w:val="000000"/>
          <w:sz w:val="24"/>
          <w:szCs w:val="24"/>
          <w:highlight w:val="none"/>
        </w:rPr>
        <w:t xml:space="preserve">、若由于甲方的原因致使合同签订后乙方不能按时进场，则乙方有权向甲方追索由此造成的损失。</w:t>
      </w:r>
      <w:r/>
    </w:p>
    <w:p>
      <w:pPr>
        <w:ind w:firstLine="420"/>
        <w:jc w:val="left"/>
        <w:spacing w:line="420" w:lineRule="exact"/>
        <w:tabs>
          <w:tab w:val="left" w:pos="4785"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十五、合同权利义务的转让</w:t>
      </w:r>
      <w:r/>
    </w:p>
    <w:p>
      <w:pPr>
        <w:ind w:firstLine="420"/>
        <w:jc w:val="left"/>
        <w:spacing w:line="420" w:lineRule="exact"/>
        <w:tabs>
          <w:tab w:val="left" w:pos="47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20" w:lineRule="exact"/>
        <w:tabs>
          <w:tab w:val="left" w:pos="4785"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十六、货物、服务的购买或租赁权利瑕疵</w:t>
      </w:r>
      <w:r/>
    </w:p>
    <w:p>
      <w:pPr>
        <w:ind w:firstLine="420"/>
        <w:jc w:val="left"/>
        <w:spacing w:line="420" w:lineRule="exact"/>
        <w:tabs>
          <w:tab w:val="left" w:pos="47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乙方应保证提供的货物或服务不存在所有权、抵押权、使用权、知识产权等权利瑕疵。</w:t>
      </w:r>
      <w:r/>
    </w:p>
    <w:p>
      <w:pPr>
        <w:ind w:firstLine="420"/>
        <w:jc w:val="left"/>
        <w:spacing w:line="420" w:lineRule="exact"/>
        <w:tabs>
          <w:tab w:val="left" w:pos="4785"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十七、争议解决条款</w:t>
      </w:r>
      <w:r/>
    </w:p>
    <w:p>
      <w:pPr>
        <w:ind w:firstLine="420"/>
        <w:jc w:val="left"/>
        <w:spacing w:line="420" w:lineRule="exact"/>
        <w:tabs>
          <w:tab w:val="left" w:pos="47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20" w:lineRule="exact"/>
        <w:tabs>
          <w:tab w:val="left" w:pos="4785"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十八、廉洁条款</w:t>
      </w:r>
      <w:r/>
    </w:p>
    <w:p>
      <w:pPr>
        <w:ind w:firstLine="420"/>
        <w:jc w:val="left"/>
        <w:spacing w:line="420" w:lineRule="exact"/>
        <w:tabs>
          <w:tab w:val="left" w:pos="47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cs="宋体"/>
          <w:color w:val="000000"/>
          <w:sz w:val="24"/>
          <w:szCs w:val="24"/>
          <w:highlight w:val="none"/>
          <w:lang w:eastAsia="zh-CN"/>
        </w:rPr>
        <w:t xml:space="preserve">不得</w:t>
      </w:r>
      <w:r>
        <w:rPr>
          <w:rFonts w:hint="eastAsia" w:ascii="宋体" w:hAnsi="宋体" w:cs="宋体"/>
          <w:color w:val="000000"/>
          <w:sz w:val="24"/>
          <w:szCs w:val="24"/>
          <w:highlight w:val="none"/>
        </w:rPr>
        <w:t xml:space="preserve">以任何理由为甲方工作人员报销应由个人支付的费用。一旦发生上述事由，甲方有权无条件解除本合同。</w:t>
      </w:r>
      <w:r/>
    </w:p>
    <w:p>
      <w:pPr>
        <w:ind w:firstLine="420"/>
        <w:jc w:val="left"/>
        <w:spacing w:line="420" w:lineRule="exact"/>
        <w:tabs>
          <w:tab w:val="left" w:pos="4785"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十九、保密条款</w:t>
      </w:r>
      <w:r/>
    </w:p>
    <w:p>
      <w:pPr>
        <w:ind w:firstLine="420"/>
        <w:jc w:val="left"/>
        <w:spacing w:line="420" w:lineRule="exact"/>
        <w:tabs>
          <w:tab w:val="left" w:pos="47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420" w:lineRule="exact"/>
        <w:tabs>
          <w:tab w:val="left" w:pos="4785"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二十、送达条款</w:t>
      </w:r>
      <w:r/>
    </w:p>
    <w:p>
      <w:pPr>
        <w:ind w:firstLine="420"/>
        <w:jc w:val="left"/>
        <w:spacing w:line="420" w:lineRule="exact"/>
        <w:tabs>
          <w:tab w:val="left" w:pos="47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80"/>
        <w:spacing w:line="420" w:lineRule="exact"/>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二十一、其它</w:t>
      </w:r>
      <w:r/>
    </w:p>
    <w:p>
      <w:pP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1、本合同自甲、乙双方有权签字人签字并盖单位章之</w:t>
      </w:r>
      <w:r>
        <w:rPr>
          <w:rFonts w:hint="eastAsia" w:ascii="宋体" w:hAnsi="宋体" w:cs="宋体"/>
          <w:color w:val="000000"/>
          <w:sz w:val="24"/>
          <w:szCs w:val="24"/>
          <w:highlight w:val="none"/>
          <w:lang w:eastAsia="zh-CN"/>
        </w:rPr>
        <w:t xml:space="preserve">日起</w:t>
      </w:r>
      <w:r>
        <w:rPr>
          <w:rFonts w:hint="eastAsia" w:ascii="宋体" w:hAnsi="宋体" w:cs="宋体"/>
          <w:color w:val="000000"/>
          <w:sz w:val="24"/>
          <w:szCs w:val="24"/>
          <w:highlight w:val="none"/>
        </w:rPr>
        <w:t xml:space="preserve">生效。本合同一式肆份，甲方执贰份，乙方执贰份，具备同等法律效力。</w:t>
      </w:r>
      <w:r/>
    </w:p>
    <w:p>
      <w:pP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2、本合同未尽事宜经双方协商达成协议后作为本合同的补充，具备同等法律效力。</w:t>
      </w:r>
      <w:r/>
    </w:p>
    <w:p>
      <w:pP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3、除非双方签署书面修改协议，本合同的条款不得有任何变化或修改。</w:t>
      </w:r>
      <w:r/>
    </w:p>
    <w:p>
      <w:pPr>
        <w:pStyle w:val="1185"/>
        <w:spacing w:line="4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 </w:t>
      </w:r>
      <w:r/>
    </w:p>
    <w:p>
      <w:pPr>
        <w:pStyle w:val="1185"/>
        <w:spacing w:line="420" w:lineRule="exact"/>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（以下无正文）</w:t>
      </w:r>
      <w:r/>
    </w:p>
    <w:tbl>
      <w:tblPr>
        <w:tblStyle w:val="936"/>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70"/>
        <w:gridCol w:w="4210"/>
      </w:tblGrid>
      <w:tr>
        <w:trPr>
          <w:jc w:val="center"/>
          <w:trHeight w:val="4651"/>
        </w:trPr>
        <w:tc>
          <w:tcPr>
            <w:tcW w:w="4370" w:type="dxa"/>
            <w:vAlign w:val="top"/>
            <w:textDirection w:val="lrTb"/>
            <w:noWrap w:val="false"/>
          </w:tcPr>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甲方：</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单位名称：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单位地址： </w:t>
            </w:r>
            <w:r/>
          </w:p>
          <w:p>
            <w:pPr>
              <w:spacing w:line="400" w:lineRule="exact"/>
              <w:rPr>
                <w:rFonts w:ascii="Arial" w:hAnsi="Arial" w:cs="Arial"/>
                <w:color w:val="000000"/>
                <w:sz w:val="24"/>
                <w:szCs w:val="24"/>
                <w:highlight w:val="none"/>
              </w:rPr>
            </w:pPr>
            <w:r>
              <w:rPr>
                <w:rFonts w:ascii="Arial" w:hAnsi="Arial" w:cs="Arial"/>
                <w:color w:val="000000"/>
                <w:sz w:val="24"/>
                <w:szCs w:val="24"/>
                <w:highlight w:val="none"/>
              </w:rPr>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法定代表人： </w:t>
            </w:r>
            <w:r/>
          </w:p>
          <w:p>
            <w:pPr>
              <w:spacing w:line="400" w:lineRule="exact"/>
              <w:rPr>
                <w:rFonts w:ascii="Arial" w:hAnsi="Arial" w:cs="Arial"/>
                <w:color w:val="000000"/>
                <w:sz w:val="24"/>
                <w:szCs w:val="24"/>
                <w:highlight w:val="none"/>
              </w:rPr>
            </w:pPr>
            <w:r>
              <w:rPr>
                <w:rFonts w:ascii="Arial" w:hAnsi="Arial" w:cs="Arial"/>
                <w:color w:val="000000"/>
                <w:sz w:val="24"/>
                <w:szCs w:val="24"/>
                <w:highlight w:val="none"/>
              </w:rPr>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委托代理人（签字）：</w:t>
            </w:r>
            <w:r/>
          </w:p>
          <w:p>
            <w:pPr>
              <w:rPr>
                <w:rFonts w:ascii="Arial" w:hAnsi="Arial" w:cs="Arial"/>
                <w:color w:val="000000"/>
                <w:sz w:val="24"/>
                <w:szCs w:val="24"/>
                <w:highlight w:val="none"/>
              </w:rPr>
            </w:pPr>
            <w:r>
              <w:rPr>
                <w:rFonts w:ascii="Arial" w:hAnsi="Arial" w:cs="Arial"/>
                <w:color w:val="000000"/>
                <w:sz w:val="24"/>
                <w:szCs w:val="24"/>
                <w:highlight w:val="none"/>
              </w:rPr>
            </w:r>
            <w:r/>
          </w:p>
          <w:p>
            <w:pPr>
              <w:spacing w:line="400" w:lineRule="exact"/>
              <w:rPr>
                <w:rFonts w:ascii="Arial" w:hAnsi="Arial" w:cs="Arial"/>
                <w:color w:val="000000"/>
                <w:sz w:val="24"/>
                <w:szCs w:val="24"/>
                <w:highlight w:val="none"/>
              </w:rPr>
            </w:pPr>
            <w:r>
              <w:rPr>
                <w:rFonts w:ascii="Arial" w:hAnsi="Arial" w:cs="Arial"/>
                <w:color w:val="000000"/>
                <w:sz w:val="24"/>
                <w:szCs w:val="24"/>
                <w:highlight w:val="none"/>
              </w:rPr>
            </w:r>
            <w:r/>
          </w:p>
          <w:p>
            <w:pPr>
              <w:spacing w:line="400" w:lineRule="exact"/>
              <w:rPr>
                <w:rFonts w:ascii="Arial" w:hAnsi="Arial" w:cs="Arial"/>
                <w:color w:val="000000"/>
                <w:sz w:val="24"/>
                <w:szCs w:val="24"/>
                <w:highlight w:val="none"/>
              </w:rPr>
            </w:pPr>
            <w:r>
              <w:rPr>
                <w:rFonts w:hint="eastAsia" w:ascii="Arial" w:hAnsi="Arial" w:cs="Arial"/>
                <w:color w:val="000000"/>
                <w:sz w:val="24"/>
                <w:szCs w:val="24"/>
                <w:highlight w:val="none"/>
              </w:rPr>
              <w:t xml:space="preserve">经办人：</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联系方式：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签订日期：         年     月    日</w:t>
            </w:r>
            <w:r/>
          </w:p>
        </w:tc>
        <w:tc>
          <w:tcPr>
            <w:tcW w:w="4210" w:type="dxa"/>
            <w:vAlign w:val="top"/>
            <w:textDirection w:val="lrTb"/>
            <w:noWrap w:val="false"/>
          </w:tcPr>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乙方：</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单位名称：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单位地址：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法定代表人： </w:t>
            </w:r>
            <w:r/>
          </w:p>
          <w:p>
            <w:pPr>
              <w:spacing w:line="400" w:lineRule="exact"/>
              <w:rPr>
                <w:rFonts w:ascii="Arial" w:hAnsi="Arial" w:cs="Arial"/>
                <w:color w:val="000000"/>
                <w:sz w:val="24"/>
                <w:szCs w:val="24"/>
                <w:highlight w:val="none"/>
              </w:rPr>
            </w:pPr>
            <w:r>
              <w:rPr>
                <w:rFonts w:ascii="Arial" w:hAnsi="Arial" w:cs="Arial"/>
                <w:color w:val="000000"/>
                <w:sz w:val="24"/>
                <w:szCs w:val="24"/>
                <w:highlight w:val="none"/>
              </w:rPr>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委托代理人（签字）：</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电话：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传真：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开户银行： </w:t>
            </w:r>
            <w:r/>
          </w:p>
          <w:p>
            <w:pPr>
              <w:spacing w:line="400" w:lineRule="exact"/>
              <w:rPr>
                <w:rFonts w:ascii="Arial" w:hAnsi="Arial" w:cs="Arial"/>
                <w:color w:val="000000"/>
                <w:sz w:val="24"/>
                <w:szCs w:val="24"/>
                <w:highlight w:val="none"/>
              </w:rPr>
            </w:pPr>
            <w:r>
              <w:rPr>
                <w:rFonts w:hint="eastAsia" w:ascii="宋体" w:hAnsi="Arial" w:cs="Arial"/>
                <w:color w:val="000000"/>
                <w:sz w:val="24"/>
                <w:szCs w:val="24"/>
                <w:highlight w:val="none"/>
                <w:lang w:eastAsia="zh-CN"/>
              </w:rPr>
              <w:t xml:space="preserve">账号</w:t>
            </w:r>
            <w:r>
              <w:rPr>
                <w:rFonts w:ascii="宋体" w:hAnsi="Arial" w:cs="Arial"/>
                <w:color w:val="000000"/>
                <w:sz w:val="24"/>
                <w:szCs w:val="24"/>
                <w:highlight w:val="none"/>
              </w:rPr>
              <w:t xml:space="preserve">：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税号： </w:t>
            </w:r>
            <w:r/>
          </w:p>
          <w:p>
            <w:pPr>
              <w:spacing w:line="400" w:lineRule="exact"/>
              <w:rPr>
                <w:rFonts w:ascii="Arial" w:hAnsi="Arial" w:cs="Arial"/>
                <w:color w:val="000000"/>
                <w:sz w:val="24"/>
                <w:szCs w:val="24"/>
                <w:highlight w:val="none"/>
              </w:rPr>
            </w:pPr>
            <w:r>
              <w:rPr>
                <w:rFonts w:ascii="宋体" w:hAnsi="Arial" w:cs="Arial"/>
                <w:color w:val="000000"/>
                <w:sz w:val="24"/>
                <w:szCs w:val="24"/>
                <w:highlight w:val="none"/>
              </w:rPr>
              <w:t xml:space="preserve">签订日期：        年     月    日</w:t>
            </w:r>
            <w:r/>
          </w:p>
        </w:tc>
      </w:tr>
    </w:tbl>
    <w:p>
      <w:pPr>
        <w:ind w:left="480"/>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color w:val="000000"/>
        </w:rPr>
      </w:r>
      <w:bookmarkEnd w:id="179"/>
      <w:bookmarkEnd w:id="180"/>
      <w:bookmarkEnd w:id="181"/>
      <w:r/>
    </w:p>
    <w:p>
      <w:pPr>
        <w:pStyle w:val="1144"/>
        <w:jc w:val="center"/>
        <w:spacing w:before="120" w:after="120" w:line="0" w:lineRule="atLeast"/>
        <w:rPr>
          <w:rFonts w:hint="eastAsia" w:hAnsi="宋体"/>
          <w:color w:val="000000"/>
          <w:sz w:val="24"/>
          <w:szCs w:val="24"/>
        </w:rPr>
      </w:pPr>
      <w:r/>
      <w:bookmarkStart w:id="182" w:name="_Hlt16619350"/>
      <w:r/>
      <w:bookmarkStart w:id="183" w:name="_Toc120614244"/>
      <w:r/>
      <w:bookmarkStart w:id="184" w:name="_Toc16938590"/>
      <w:r/>
      <w:bookmarkStart w:id="185" w:name="_Toc20823346"/>
      <w:r/>
      <w:bookmarkStart w:id="186" w:name="_Toc462564139"/>
      <w:r/>
      <w:bookmarkStart w:id="187" w:name="_Toc479757211"/>
      <w:r>
        <w:rPr>
          <w:rFonts w:hint="eastAsia" w:ascii="黑体" w:eastAsia="黑体"/>
          <w:bCs/>
          <w:color w:val="000000"/>
          <w:sz w:val="44"/>
        </w:rPr>
        <w:t xml:space="preserve">第</w:t>
      </w:r>
      <w:bookmarkEnd w:id="182"/>
      <w:r>
        <w:rPr>
          <w:rFonts w:hint="eastAsia" w:ascii="黑体" w:eastAsia="黑体"/>
          <w:bCs/>
          <w:color w:val="000000"/>
          <w:sz w:val="44"/>
        </w:rPr>
        <w:t xml:space="preserve">四章 采购需求</w:t>
      </w:r>
      <w:bookmarkEnd w:id="183"/>
      <w:r/>
      <w:bookmarkEnd w:id="184"/>
      <w:r/>
      <w:bookmarkEnd w:id="185"/>
      <w:r/>
      <w:r/>
    </w:p>
    <w:p>
      <w:pPr>
        <w:ind w:right="105"/>
        <w:keepLines w:val="0"/>
        <w:keepNext w:val="0"/>
        <w:pageBreakBefore w:val="0"/>
        <w:spacing w:after="146" w:line="0" w:lineRule="atLeast"/>
        <w:widowControl w:val="off"/>
        <w:rPr>
          <w:rFonts w:ascii="宋体" w:hAnsi="宋体" w:eastAsia="宋体" w:cs="宋体"/>
          <w:b/>
          <w:color w:val="000000"/>
          <w:sz w:val="24"/>
          <w:szCs w:val="24"/>
        </w:rPr>
      </w:pPr>
      <w:r/>
      <w:bookmarkStart w:id="188" w:name="_Toc26554093"/>
      <w:r/>
      <w:bookmarkStart w:id="189" w:name="_Toc49090575"/>
      <w:r>
        <w:rPr>
          <w:rFonts w:hint="eastAsia" w:ascii="宋体" w:hAnsi="宋体" w:eastAsia="宋体" w:cs="宋体"/>
          <w:b/>
          <w:color w:val="000000"/>
          <w:sz w:val="24"/>
          <w:szCs w:val="24"/>
        </w:rPr>
        <w:t xml:space="preserve">一、采购标的清单</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91" w:type="dxa"/>
            <w:vAlign w:val="center"/>
            <w:textDirection w:val="lrTb"/>
            <w:noWrap w:val="false"/>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采购标的</w:t>
            </w:r>
            <w:r/>
          </w:p>
        </w:tc>
        <w:tc>
          <w:tcPr>
            <w:tcW w:w="2852" w:type="dxa"/>
            <w:vAlign w:val="center"/>
            <w:textDirection w:val="lrTb"/>
            <w:noWrap w:val="false"/>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p>
        </w:tc>
      </w:tr>
      <w:tr>
        <w:trPr>
          <w:cantSplit/>
          <w:jc w:val="center"/>
          <w:trHeight w:val="90"/>
        </w:trPr>
        <w:tc>
          <w:tcPr>
            <w:tcW w:w="545" w:type="dxa"/>
            <w:vAlign w:val="center"/>
            <w:textDirection w:val="lrTb"/>
            <w:noWrap w:val="false"/>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91" w:type="dxa"/>
            <w:vAlign w:val="top"/>
            <w:textDirection w:val="lrTb"/>
            <w:noWrap w:val="false"/>
          </w:tcPr>
          <w:p>
            <w:pPr>
              <w:jc w:val="left"/>
              <w:spacing w:line="0" w:lineRule="atLeast"/>
              <w:tabs>
                <w:tab w:val="left" w:pos="1457" w:leader="none"/>
                <w:tab w:val="left" w:pos="2020" w:leader="none"/>
              </w:tabs>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江苏省特检院无锡分院物业管理服务</w:t>
            </w:r>
            <w:r>
              <w:rPr>
                <w:rFonts w:hint="eastAsia" w:ascii="宋体" w:hAnsi="宋体" w:eastAsia="宋体" w:cs="宋体"/>
                <w:color w:val="000000"/>
                <w:sz w:val="24"/>
                <w:szCs w:val="24"/>
              </w:rPr>
              <w:tab/>
            </w:r>
            <w:r/>
          </w:p>
        </w:tc>
        <w:tc>
          <w:tcPr>
            <w:tcW w:w="2852" w:type="dxa"/>
            <w:vAlign w:val="center"/>
            <w:textDirection w:val="lrTb"/>
            <w:noWrap w:val="false"/>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物业管理</w:t>
            </w:r>
            <w:r/>
          </w:p>
        </w:tc>
      </w:tr>
    </w:tbl>
    <w:p>
      <w:pPr>
        <w:spacing w:before="291"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1.项目属性:服务类项目。</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2.本项目不接受进口产品投标</w:t>
      </w:r>
      <w:r/>
    </w:p>
    <w:p>
      <w:pPr>
        <w:ind w:firstLine="422"/>
        <w:spacing w:line="300" w:lineRule="auto"/>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1.项目基本情况</w:t>
      </w:r>
      <w:r/>
    </w:p>
    <w:p>
      <w:pPr>
        <w:ind w:firstLine="422"/>
        <w:jc w:val="both"/>
        <w:spacing w:line="300" w:lineRule="auto"/>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1.1物业情况</w:t>
      </w:r>
      <w:r/>
    </w:p>
    <w:tbl>
      <w:tblPr>
        <w:tblStyle w:val="936"/>
        <w:tblW w:w="4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1"/>
        <w:gridCol w:w="4633"/>
      </w:tblGrid>
      <w:tr>
        <w:trPr>
          <w:jc w:val="center"/>
          <w:trHeight w:val="454"/>
        </w:trPr>
        <w:tc>
          <w:tcPr>
            <w:tcW w:w="4331" w:type="dxa"/>
            <w:vAlign w:val="center"/>
            <w:textDirection w:val="lrTb"/>
            <w:noWrap w:val="false"/>
          </w:tcPr>
          <w:p>
            <w:pPr>
              <w:jc w:val="center"/>
              <w:spacing w:line="30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物业名称</w:t>
            </w:r>
            <w:r/>
          </w:p>
        </w:tc>
        <w:tc>
          <w:tcPr>
            <w:tcW w:w="4633" w:type="dxa"/>
            <w:vAlign w:val="center"/>
            <w:textDirection w:val="lrTb"/>
            <w:noWrap w:val="false"/>
          </w:tcPr>
          <w:p>
            <w:pPr>
              <w:jc w:val="center"/>
              <w:spacing w:line="30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物业地址</w:t>
            </w:r>
            <w:r/>
          </w:p>
        </w:tc>
      </w:tr>
      <w:tr>
        <w:trPr>
          <w:jc w:val="center"/>
          <w:trHeight w:val="454"/>
        </w:trPr>
        <w:tc>
          <w:tcPr>
            <w:tcW w:w="4331" w:type="dxa"/>
            <w:vAlign w:val="center"/>
            <w:textDirection w:val="lrTb"/>
            <w:noWrap w:val="false"/>
          </w:tcPr>
          <w:p>
            <w:pPr>
              <w:spacing w:line="300" w:lineRule="auto"/>
              <w:rPr>
                <w:rFonts w:ascii="宋体" w:hAnsi="宋体" w:eastAsia="宋体" w:cs="宋体"/>
                <w:color w:val="000000"/>
                <w:sz w:val="24"/>
                <w:szCs w:val="24"/>
              </w:rPr>
            </w:pPr>
            <w:r>
              <w:rPr>
                <w:rFonts w:hint="eastAsia" w:ascii="宋体" w:hAnsi="宋体"/>
                <w:color w:val="000000"/>
                <w:sz w:val="24"/>
                <w:highlight w:val="none"/>
              </w:rPr>
              <w:t xml:space="preserve">无锡分院总部</w:t>
            </w:r>
            <w:r>
              <w:rPr>
                <w:rFonts w:hint="eastAsia" w:ascii="宋体" w:hAnsi="宋体" w:eastAsia="宋体" w:cs="宋体"/>
                <w:color w:val="000000"/>
                <w:sz w:val="24"/>
                <w:szCs w:val="24"/>
              </w:rPr>
              <w:tab/>
            </w:r>
            <w:r/>
          </w:p>
        </w:tc>
        <w:tc>
          <w:tcPr>
            <w:tcW w:w="4633" w:type="dxa"/>
            <w:vAlign w:val="center"/>
            <w:textDirection w:val="lrTb"/>
            <w:noWrap w:val="false"/>
          </w:tcPr>
          <w:p>
            <w:pPr>
              <w:spacing w:line="300" w:lineRule="auto"/>
              <w:rPr>
                <w:rFonts w:ascii="宋体" w:hAnsi="宋体" w:eastAsia="宋体" w:cs="宋体"/>
                <w:color w:val="000000"/>
                <w:sz w:val="24"/>
                <w:szCs w:val="24"/>
              </w:rPr>
            </w:pPr>
            <w:r>
              <w:rPr>
                <w:rFonts w:hint="eastAsia" w:ascii="宋体" w:hAnsi="宋体" w:cs="宋体"/>
                <w:color w:val="000000"/>
                <w:sz w:val="24"/>
                <w:szCs w:val="24"/>
                <w:highlight w:val="none"/>
              </w:rPr>
              <w:t xml:space="preserve">无锡市滨湖区隐秀路220号</w:t>
            </w:r>
            <w:r/>
          </w:p>
        </w:tc>
      </w:tr>
      <w:tr>
        <w:trPr>
          <w:jc w:val="center"/>
          <w:trHeight w:val="454"/>
        </w:trPr>
        <w:tc>
          <w:tcPr>
            <w:tcW w:w="4331" w:type="dxa"/>
            <w:vAlign w:val="center"/>
            <w:textDirection w:val="lrTb"/>
            <w:noWrap w:val="false"/>
          </w:tcPr>
          <w:p>
            <w:pPr>
              <w:spacing w:line="300" w:lineRule="auto"/>
              <w:rPr>
                <w:rFonts w:hint="eastAsia" w:ascii="宋体" w:hAnsi="宋体" w:eastAsia="宋体" w:cs="宋体"/>
                <w:color w:val="000000"/>
                <w:sz w:val="24"/>
                <w:szCs w:val="24"/>
                <w:shd w:val="clear" w:color="auto" w:fill="ffffff"/>
              </w:rPr>
            </w:pPr>
            <w:r>
              <w:rPr>
                <w:rFonts w:hint="eastAsia" w:ascii="宋体" w:hAnsi="宋体"/>
                <w:color w:val="000000"/>
                <w:sz w:val="24"/>
                <w:highlight w:val="none"/>
              </w:rPr>
              <w:t xml:space="preserve">国家桥门式起重机械产品检验检测中心和国家石墨烯质检中心</w:t>
            </w:r>
            <w:r/>
          </w:p>
        </w:tc>
        <w:tc>
          <w:tcPr>
            <w:tcW w:w="4633" w:type="dxa"/>
            <w:vAlign w:val="center"/>
            <w:textDirection w:val="lrTb"/>
            <w:noWrap w:val="false"/>
          </w:tcPr>
          <w:p>
            <w:pPr>
              <w:spacing w:line="300" w:lineRule="auto"/>
              <w:rPr>
                <w:rFonts w:hint="eastAsia" w:ascii="宋体" w:hAnsi="宋体"/>
                <w:color w:val="000000"/>
                <w:sz w:val="24"/>
                <w:highlight w:val="none"/>
              </w:rPr>
            </w:pPr>
            <w:r>
              <w:rPr>
                <w:rFonts w:hint="eastAsia" w:ascii="宋体" w:hAnsi="宋体" w:cs="宋体"/>
                <w:color w:val="000000"/>
                <w:sz w:val="24"/>
                <w:szCs w:val="24"/>
                <w:highlight w:val="none"/>
              </w:rPr>
              <w:t xml:space="preserve">无锡市惠山区堰新路330号</w:t>
            </w:r>
            <w:r/>
          </w:p>
        </w:tc>
      </w:tr>
      <w:tr>
        <w:trPr>
          <w:jc w:val="center"/>
          <w:trHeight w:val="454"/>
        </w:trPr>
        <w:tc>
          <w:tcPr>
            <w:tcW w:w="4331" w:type="dxa"/>
            <w:vAlign w:val="center"/>
            <w:textDirection w:val="lrTb"/>
            <w:noWrap w:val="false"/>
          </w:tcPr>
          <w:p>
            <w:pPr>
              <w:spacing w:line="300" w:lineRule="auto"/>
              <w:rPr>
                <w:rFonts w:hint="eastAsia" w:ascii="宋体" w:hAnsi="宋体" w:eastAsia="宋体" w:cs="宋体"/>
                <w:color w:val="000000"/>
                <w:sz w:val="24"/>
                <w:szCs w:val="24"/>
                <w:shd w:val="clear" w:color="auto" w:fill="ffffff"/>
              </w:rPr>
            </w:pPr>
            <w:r>
              <w:rPr>
                <w:rFonts w:hint="eastAsia" w:ascii="宋体" w:hAnsi="宋体"/>
                <w:color w:val="000000"/>
                <w:sz w:val="24"/>
                <w:highlight w:val="none"/>
              </w:rPr>
              <w:t xml:space="preserve">城中办事处</w:t>
            </w:r>
            <w:r/>
          </w:p>
        </w:tc>
        <w:tc>
          <w:tcPr>
            <w:tcW w:w="4633" w:type="dxa"/>
            <w:vAlign w:val="center"/>
            <w:textDirection w:val="lrTb"/>
            <w:noWrap w:val="false"/>
          </w:tcPr>
          <w:p>
            <w:pPr>
              <w:spacing w:line="300" w:lineRule="auto"/>
              <w:rPr>
                <w:rFonts w:hint="eastAsia" w:ascii="宋体" w:hAnsi="宋体"/>
                <w:color w:val="000000"/>
                <w:sz w:val="24"/>
                <w:highlight w:val="none"/>
              </w:rPr>
            </w:pPr>
            <w:r>
              <w:rPr>
                <w:rFonts w:hint="eastAsia" w:ascii="宋体" w:hAnsi="宋体" w:cs="宋体"/>
                <w:color w:val="000000"/>
                <w:sz w:val="24"/>
                <w:szCs w:val="24"/>
                <w:highlight w:val="none"/>
              </w:rPr>
              <w:t xml:space="preserve">无锡市梁溪区永丰路338号</w:t>
            </w:r>
            <w:r/>
          </w:p>
        </w:tc>
      </w:tr>
    </w:tbl>
    <w:p>
      <w:pPr>
        <w:ind w:firstLine="422"/>
        <w:jc w:val="both"/>
        <w:keepLines/>
        <w:keepNext/>
        <w:spacing w:line="36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1.2采购人提供供应商使用的场地、设施、设备、材料等</w:t>
      </w:r>
      <w:r/>
    </w:p>
    <w:p>
      <w:pPr>
        <w:pStyle w:val="1186"/>
        <w:ind w:firstLine="480"/>
        <w:jc w:val="both"/>
        <w:spacing w:before="0" w:after="0" w:line="360" w:lineRule="auto"/>
        <w:rPr>
          <w:rFonts w:hint="eastAsia" w:ascii="宋体" w:hAnsi="宋体" w:eastAsia="宋体" w:cs="宋体"/>
          <w:b w:val="0"/>
          <w:bCs w:val="0"/>
          <w:color w:val="000000"/>
          <w:sz w:val="24"/>
          <w:szCs w:val="24"/>
          <w:highlight w:val="none"/>
          <w:lang w:val="en-US" w:eastAsia="zh-CN"/>
        </w:rPr>
        <w:outlineLvl w:val="3"/>
      </w:pPr>
      <w:r>
        <w:rPr>
          <w:rFonts w:hint="eastAsia" w:ascii="宋体" w:hAnsi="宋体" w:eastAsia="宋体" w:cs="宋体"/>
          <w:b w:val="0"/>
          <w:bCs w:val="0"/>
          <w:color w:val="000000"/>
          <w:sz w:val="24"/>
          <w:szCs w:val="24"/>
          <w:highlight w:val="none"/>
          <w:lang w:val="en-US" w:eastAsia="zh-CN"/>
        </w:rPr>
        <w:t xml:space="preserve">（1）可提供物业办公室一间；</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（2）仓库一间；</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（3）可提供的客耗品，如：瓷杯、纸杯、茶叶、咖啡、水笔、笔筒、水壶、消毒柜、毛巾</w:t>
      </w:r>
      <w:r>
        <w:rPr>
          <w:rFonts w:hint="eastAsia" w:ascii="宋体" w:hAnsi="宋体" w:cs="宋体"/>
          <w:color w:val="000000"/>
          <w:sz w:val="24"/>
          <w:szCs w:val="24"/>
          <w:highlight w:val="none"/>
          <w:lang w:val="en-US" w:eastAsia="zh-CN"/>
        </w:rPr>
        <w:t xml:space="preserve">、矿泉水</w:t>
      </w:r>
      <w:r>
        <w:rPr>
          <w:rFonts w:hint="eastAsia" w:ascii="宋体" w:hAnsi="宋体" w:cs="宋体"/>
          <w:color w:val="000000"/>
          <w:sz w:val="24"/>
          <w:szCs w:val="24"/>
          <w:highlight w:val="none"/>
        </w:rPr>
        <w:t xml:space="preserve">等（消耗后补充）；</w:t>
      </w:r>
      <w:r/>
    </w:p>
    <w:p>
      <w:pPr>
        <w:ind w:firstLine="480"/>
        <w:spacing w:line="360" w:lineRule="auto"/>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（4）保洁用品：擦手纸、空气清新剂、香氛等（消耗后补充）；</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供应商应当承担除以上所列场地、设施、设备、材料外，与物业管理服务有关的其他场地、设施、设备、材料等。</w:t>
      </w:r>
      <w:r/>
    </w:p>
    <w:p>
      <w:pPr>
        <w:ind w:firstLine="42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2.物业服务范围</w:t>
      </w:r>
      <w:r/>
    </w:p>
    <w:p>
      <w:pPr>
        <w:ind w:firstLine="0"/>
        <w:jc w:val="both"/>
        <w:spacing w:line="300" w:lineRule="auto"/>
        <w:rPr>
          <w:rFonts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【物业名称</w:t>
      </w:r>
      <w:r>
        <w:rPr>
          <w:rFonts w:ascii="宋体" w:hAnsi="宋体" w:eastAsia="宋体" w:cs="宋体"/>
          <w:b/>
          <w:bCs/>
          <w:color w:val="000000"/>
          <w:sz w:val="24"/>
          <w:szCs w:val="24"/>
          <w:highlight w:val="none"/>
          <w:lang w:val="en-US" w:eastAsia="zh-CN" w:bidi="ar-SA"/>
        </w:rPr>
        <w:t xml:space="preserve">1】</w:t>
      </w:r>
      <w:r/>
    </w:p>
    <w:p>
      <w:pPr>
        <w:ind w:firstLine="0"/>
        <w:jc w:val="both"/>
        <w:spacing w:line="300" w:lineRule="auto"/>
        <w:rPr>
          <w:rFonts w:ascii="宋体" w:hAnsi="宋体" w:eastAsia="宋体" w:cs="宋体"/>
          <w:b/>
          <w:bCs/>
          <w:color w:val="000000"/>
          <w:sz w:val="24"/>
          <w:szCs w:val="24"/>
          <w:highlight w:val="none"/>
          <w:lang w:val="en-US" w:eastAsia="zh-CN" w:bidi="ar-SA"/>
        </w:rPr>
        <w:sectPr>
          <w:footerReference w:type="default" r:id="rId13"/>
          <w:footerReference w:type="first" r:id="rId14"/>
          <w:footnotePr/>
          <w:endnotePr/>
          <w:type w:val="nextPage"/>
          <w:pgSz w:w="11906" w:h="16838" w:orient="portrait"/>
          <w:pgMar w:top="1418" w:right="1588" w:bottom="1418" w:left="1365" w:header="851" w:footer="907" w:gutter="0"/>
          <w:pgNumType w:start="23"/>
          <w:cols w:num="1" w:sep="0" w:space="1701" w:equalWidth="1"/>
          <w:docGrid w:linePitch="360"/>
          <w:titlePg/>
        </w:sectPr>
        <w:outlineLvl w:val="2"/>
      </w:pPr>
      <w:r>
        <w:rPr>
          <w:rFonts w:ascii="宋体" w:hAnsi="宋体" w:eastAsia="宋体" w:cs="宋体"/>
          <w:b/>
          <w:bCs/>
          <w:color w:val="000000"/>
          <w:sz w:val="24"/>
          <w:szCs w:val="24"/>
          <w:highlight w:val="none"/>
          <w:lang w:val="en-US" w:eastAsia="zh-CN" w:bidi="ar-SA"/>
        </w:rPr>
      </w:r>
      <w:r/>
    </w:p>
    <w:p>
      <w:pPr>
        <w:numPr>
          <w:ilvl w:val="0"/>
          <w:numId w:val="8"/>
        </w:numPr>
        <w:ind w:firstLine="422"/>
        <w:jc w:val="both"/>
        <w:spacing w:line="300" w:lineRule="auto"/>
        <w:rPr>
          <w:rFonts w:ascii="宋体" w:hAnsi="宋体" w:eastAsia="宋体" w:cs="宋体"/>
          <w:b/>
          <w:bCs/>
          <w:color w:val="000000"/>
          <w:sz w:val="24"/>
          <w:szCs w:val="24"/>
          <w:highlight w:val="none"/>
          <w:lang w:val="en-US" w:eastAsia="zh-CN" w:bidi="ar-SA"/>
        </w:rPr>
        <w:outlineLvl w:val="2"/>
      </w:pPr>
      <w:r>
        <w:rPr>
          <w:rFonts w:ascii="宋体" w:hAnsi="宋体" w:eastAsia="宋体" w:cs="宋体"/>
          <w:b/>
          <w:bCs/>
          <w:color w:val="000000"/>
          <w:sz w:val="24"/>
          <w:szCs w:val="24"/>
          <w:highlight w:val="none"/>
          <w:lang w:val="en-US" w:eastAsia="zh-CN" w:bidi="ar-SA"/>
        </w:rPr>
        <w:t xml:space="preserve">物业管理（建筑物）</w:t>
      </w:r>
      <w:r/>
    </w:p>
    <w:tbl>
      <w:tblPr>
        <w:tblStyle w:val="9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47"/>
        <w:gridCol w:w="3939"/>
        <w:gridCol w:w="2634"/>
      </w:tblGrid>
      <w:tr>
        <w:trPr>
          <w:trHeight w:val="454"/>
        </w:trPr>
        <w:tc>
          <w:tcPr>
            <w:gridSpan w:val="2"/>
            <w:tcW w:w="2596"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3939"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p>
        </w:tc>
        <w:tc>
          <w:tcPr>
            <w:tcW w:w="2634"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trHeight w:val="454"/>
        </w:trPr>
        <w:tc>
          <w:tcPr>
            <w:gridSpan w:val="2"/>
            <w:tcW w:w="2596"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b/>
                <w:bCs/>
                <w:color w:val="000000"/>
                <w:sz w:val="24"/>
                <w:highlight w:val="none"/>
              </w:rPr>
              <w:t xml:space="preserve">无锡分院总部</w:t>
            </w:r>
            <w:r>
              <w:rPr>
                <w:rFonts w:hint="eastAsia" w:ascii="宋体" w:hAnsi="宋体"/>
                <w:b/>
                <w:bCs/>
                <w:color w:val="000000"/>
                <w:sz w:val="24"/>
                <w:highlight w:val="none"/>
                <w:lang w:eastAsia="zh-CN"/>
              </w:rPr>
              <w:t xml:space="preserve">（</w:t>
            </w:r>
            <w:r>
              <w:rPr>
                <w:rFonts w:hint="eastAsia" w:ascii="宋体" w:hAnsi="宋体" w:cs="宋体"/>
                <w:b/>
                <w:bCs/>
                <w:color w:val="000000"/>
                <w:sz w:val="24"/>
                <w:szCs w:val="24"/>
                <w:highlight w:val="none"/>
              </w:rPr>
              <w:t xml:space="preserve">无锡市滨湖区隐秀路220号</w:t>
            </w:r>
            <w:r>
              <w:rPr>
                <w:rFonts w:hint="eastAsia" w:ascii="宋体" w:hAnsi="宋体" w:cs="宋体"/>
                <w:b/>
                <w:bCs/>
                <w:color w:val="000000"/>
                <w:sz w:val="24"/>
                <w:szCs w:val="24"/>
                <w:highlight w:val="none"/>
                <w:lang w:eastAsia="zh-CN"/>
              </w:rPr>
              <w:t xml:space="preserve">）</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主楼地上</w:t>
            </w:r>
            <w:r>
              <w:rPr>
                <w:rFonts w:ascii="宋体" w:hAnsi="宋体" w:eastAsia="宋体" w:cs="宋体"/>
                <w:color w:val="000000"/>
                <w:sz w:val="24"/>
                <w:szCs w:val="24"/>
                <w:highlight w:val="none"/>
              </w:rPr>
              <w:t xml:space="preserve">12层，辅楼地上4层，地下室2层</w:t>
            </w:r>
            <w:r/>
          </w:p>
        </w:tc>
        <w:tc>
          <w:tcPr>
            <w:tcW w:w="2634" w:type="dxa"/>
            <w:vAlign w:val="center"/>
            <w:textDirection w:val="lrTb"/>
            <w:noWrap w:val="false"/>
          </w:tcPr>
          <w:p>
            <w:pPr>
              <w:jc w:val="center"/>
              <w:spacing w:line="30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r>
      <w:tr>
        <w:trPr>
          <w:trHeight w:val="90"/>
        </w:trPr>
        <w:tc>
          <w:tcPr>
            <w:tcW w:w="749"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总面积</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29081</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需保洁面积（㎡）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950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门窗总数量（个）及总面积（㎡）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m</w:t>
            </w:r>
            <w:r>
              <w:rPr>
                <w:rFonts w:hint="eastAsia" w:ascii="宋体" w:hAnsi="宋体" w:eastAsia="宋体" w:cs="宋体"/>
                <w:color w:val="000000"/>
                <w:sz w:val="24"/>
                <w:szCs w:val="24"/>
                <w:highlight w:val="none"/>
              </w:rPr>
              <w:t xml:space="preserve">以下 玻璃</w:t>
            </w:r>
            <w:r>
              <w:rPr>
                <w:rFonts w:hint="eastAsia" w:ascii="宋体" w:hAnsi="宋体" w:eastAsia="宋体" w:cs="宋体"/>
                <w:color w:val="000000"/>
                <w:sz w:val="24"/>
                <w:szCs w:val="24"/>
                <w:highlight w:val="none"/>
                <w:lang w:val="en-US" w:eastAsia="zh-CN"/>
              </w:rPr>
              <w:t xml:space="preserve">门</w:t>
            </w:r>
            <w:r>
              <w:rPr>
                <w:rFonts w:hint="eastAsia" w:ascii="宋体" w:hAnsi="宋体" w:eastAsia="宋体" w:cs="宋体"/>
                <w:color w:val="000000"/>
                <w:sz w:val="24"/>
                <w:szCs w:val="24"/>
                <w:highlight w:val="none"/>
              </w:rPr>
              <w:t xml:space="preserve">318块，窗户玻璃1437块。总面积2177.9㎡</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瓷砖</w:t>
            </w:r>
            <w:r>
              <w:rPr>
                <w:rFonts w:ascii="宋体" w:hAnsi="宋体" w:eastAsia="宋体" w:cs="宋体"/>
                <w:color w:val="000000"/>
                <w:sz w:val="24"/>
                <w:szCs w:val="24"/>
                <w:highlight w:val="none"/>
              </w:rPr>
              <w:t xml:space="preserve">2832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环氧树脂地面</w:t>
            </w:r>
            <w:r>
              <w:rPr>
                <w:rFonts w:ascii="宋体" w:hAnsi="宋体" w:eastAsia="宋体" w:cs="宋体"/>
                <w:color w:val="000000"/>
                <w:sz w:val="24"/>
                <w:szCs w:val="24"/>
                <w:highlight w:val="none"/>
              </w:rPr>
              <w:t xml:space="preserve">5879</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  PVC地胶19900</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木地板</w:t>
            </w:r>
            <w:r>
              <w:rPr>
                <w:rFonts w:ascii="宋体" w:hAnsi="宋体" w:eastAsia="宋体" w:cs="宋体"/>
                <w:color w:val="000000"/>
                <w:sz w:val="24"/>
                <w:szCs w:val="24"/>
                <w:highlight w:val="none"/>
              </w:rPr>
              <w:t xml:space="preserve">101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 </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房屋维护服务”保洁服务”</w:t>
            </w:r>
            <w:r/>
          </w:p>
        </w:tc>
      </w:tr>
      <w:tr>
        <w:trPr>
          <w:trHeight w:val="454"/>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90"/>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外墙需清洗面积（㎡）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包含会议条桌</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、会议椅</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、话筒</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投影仪等</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“3.4保洁服务”“3.6会务服务”</w:t>
            </w:r>
            <w:r/>
          </w:p>
        </w:tc>
      </w:tr>
      <w:tr>
        <w:trPr>
          <w:trHeight w:val="90"/>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 800</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90"/>
        </w:trPr>
        <w:tc>
          <w:tcPr>
            <w:tcW w:w="749"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报告厅</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W w:w="3939" w:type="dxa"/>
            <w:vAlign w:val="center"/>
            <w:textDirection w:val="lrTb"/>
            <w:noWrap w:val="false"/>
          </w:tcPr>
          <w:p>
            <w:pPr>
              <w:rPr>
                <w:rFonts w:ascii="Calibri" w:hAnsi="Calibri" w:eastAsia="宋体" w:cs="宋体"/>
                <w:color w:val="000000"/>
                <w:szCs w:val="24"/>
                <w:highlight w:val="none"/>
              </w:rPr>
            </w:pPr>
            <w:r>
              <w:rPr>
                <w:rFonts w:hint="eastAsia" w:ascii="宋体" w:hAnsi="宋体" w:eastAsia="宋体" w:cs="宋体"/>
                <w:color w:val="000000"/>
                <w:sz w:val="24"/>
                <w:szCs w:val="24"/>
                <w:highlight w:val="none"/>
              </w:rPr>
              <w:t xml:space="preserve">椅子、会议桌、话筒、投影仪等</w:t>
            </w:r>
            <w:r/>
          </w:p>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599"/>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报告厅数量（个）及总面积（㎡）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443.83</w:t>
            </w:r>
            <w:r>
              <w:rPr>
                <w:rFonts w:hint="eastAsia" w:ascii="宋体" w:hAnsi="宋体" w:eastAsia="宋体" w:cs="宋体"/>
                <w:color w:val="000000"/>
                <w:sz w:val="24"/>
                <w:szCs w:val="24"/>
                <w:highlight w:val="none"/>
              </w:rPr>
              <w:t xml:space="preserve">㎡</w:t>
            </w:r>
            <w:r/>
          </w:p>
          <w:p>
            <w:pPr>
              <w:ind w:firstLine="0"/>
              <w:jc w:val="left"/>
              <w:keepLines/>
              <w:keepNext/>
              <w:spacing w:line="30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1587"/>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卫生间数量（个）及总面积（㎡）</w:t>
            </w:r>
            <w:r/>
          </w:p>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 338 </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垃圾存放点</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各垃圾存放点位置、面积（㎡）及数量（个）</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1个 5.5 </w:t>
            </w:r>
            <w:r>
              <w:rPr>
                <w:rFonts w:hint="eastAsia" w:ascii="宋体" w:hAnsi="宋体" w:eastAsia="宋体" w:cs="宋体"/>
                <w:color w:val="000000"/>
                <w:sz w:val="24"/>
                <w:szCs w:val="24"/>
                <w:highlight w:val="none"/>
              </w:rPr>
              <w:t xml:space="preserve">㎡</w:t>
            </w:r>
            <w:r/>
          </w:p>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地面车位数</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27个</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9"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w:t>
            </w:r>
            <w:r>
              <w:rPr>
                <w:rFonts w:ascii="宋体" w:hAnsi="宋体" w:eastAsia="宋体" w:cs="宋体"/>
                <w:color w:val="000000"/>
                <w:sz w:val="24"/>
                <w:szCs w:val="24"/>
                <w:highlight w:val="none"/>
              </w:rPr>
              <w:t xml:space="preserve">/人行口</w:t>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车行口</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人行口</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空调系统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商用中央空调</w:t>
            </w:r>
            <w:r>
              <w:rPr>
                <w:rFonts w:ascii="宋体" w:hAnsi="宋体" w:eastAsia="宋体" w:cs="宋体"/>
                <w:color w:val="000000"/>
                <w:sz w:val="24"/>
                <w:szCs w:val="24"/>
                <w:highlight w:val="none"/>
              </w:rPr>
              <w:t xml:space="preserve">99</w:t>
            </w:r>
            <w:r>
              <w:rPr>
                <w:rFonts w:hint="eastAsia" w:ascii="宋体" w:hAnsi="宋体" w:eastAsia="宋体" w:cs="宋体"/>
                <w:color w:val="000000"/>
                <w:sz w:val="24"/>
                <w:szCs w:val="24"/>
                <w:highlight w:val="none"/>
              </w:rPr>
              <w:t xml:space="preserve">套。含66台外机，363台内机，3套分体机组，30套新风机组</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bookmarkStart w:id="190" w:name="OLE_LINK3"/>
            <w:r>
              <w:rPr>
                <w:rFonts w:hint="eastAsia" w:ascii="宋体" w:hAnsi="宋体" w:cs="宋体"/>
                <w:color w:val="000000"/>
                <w:sz w:val="24"/>
                <w:szCs w:val="24"/>
                <w:highlight w:val="none"/>
                <w:lang w:eastAsia="zh-CN"/>
              </w:rPr>
              <w:t xml:space="preserve">”</w:t>
            </w:r>
            <w:bookmarkEnd w:id="190"/>
            <w:r/>
            <w:r/>
          </w:p>
        </w:tc>
      </w:tr>
      <w:tr>
        <w:trPr>
          <w:trHeight w:val="707"/>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给排水系统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3个供水泵，7个消防泵，1个2次供水水箱</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独立式光电感烟探测器</w:t>
            </w:r>
            <w:r>
              <w:rPr>
                <w:rFonts w:ascii="宋体" w:hAnsi="宋体" w:eastAsia="宋体" w:cs="宋体"/>
                <w:color w:val="000000"/>
                <w:sz w:val="24"/>
                <w:szCs w:val="24"/>
                <w:highlight w:val="none"/>
              </w:rPr>
              <w:t xml:space="preserve">970套</w:t>
            </w:r>
            <w:r/>
          </w:p>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独立式感温火灾探测报警器</w:t>
            </w:r>
            <w:r>
              <w:rPr>
                <w:rFonts w:ascii="宋体" w:hAnsi="宋体" w:eastAsia="宋体" w:cs="宋体"/>
                <w:color w:val="000000"/>
                <w:sz w:val="24"/>
                <w:szCs w:val="24"/>
                <w:highlight w:val="none"/>
              </w:rPr>
              <w:t xml:space="preserve">14套</w:t>
            </w:r>
            <w:r/>
          </w:p>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手动报警按钮</w:t>
            </w:r>
            <w:r>
              <w:rPr>
                <w:rFonts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套</w:t>
            </w:r>
            <w:r/>
          </w:p>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声光报警器</w:t>
            </w:r>
            <w:r>
              <w:rPr>
                <w:rFonts w:ascii="宋体" w:hAnsi="宋体" w:eastAsia="宋体" w:cs="宋体"/>
                <w:color w:val="000000"/>
                <w:sz w:val="24"/>
                <w:szCs w:val="24"/>
                <w:highlight w:val="none"/>
              </w:rPr>
              <w:t xml:space="preserve">71套</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锅炉设备</w:t>
            </w:r>
            <w:r/>
          </w:p>
        </w:tc>
        <w:tc>
          <w:tcPr>
            <w:tcW w:w="3939" w:type="dxa"/>
            <w:vAlign w:val="center"/>
            <w:textDirection w:val="lrTb"/>
            <w:noWrap w:val="false"/>
          </w:tcPr>
          <w:p>
            <w:pPr>
              <w:rPr>
                <w:rFonts w:ascii="Calibri" w:hAnsi="Calibri" w:eastAsia="宋体" w:cs="宋体"/>
                <w:color w:val="000000"/>
                <w:szCs w:val="24"/>
              </w:rPr>
            </w:pPr>
            <w:r>
              <w:rPr>
                <w:rFonts w:hint="eastAsia" w:ascii="宋体" w:hAnsi="宋体" w:eastAsia="宋体" w:cs="宋体"/>
                <w:color w:val="000000"/>
                <w:sz w:val="24"/>
                <w:szCs w:val="24"/>
                <w:highlight w:val="none"/>
              </w:rPr>
              <w:t xml:space="preserve">无</w:t>
            </w:r>
            <w:r/>
          </w:p>
          <w:p>
            <w:pPr>
              <w:rPr>
                <w:rFonts w:ascii="Calibri" w:hAnsi="Calibri" w:eastAsia="宋体" w:cs="宋体"/>
                <w:color w:val="000000"/>
                <w:szCs w:val="24"/>
              </w:rPr>
            </w:pPr>
            <w:r>
              <w:rPr>
                <w:rFonts w:ascii="Calibri" w:hAnsi="Calibri" w:eastAsia="宋体" w:cs="宋体"/>
                <w:color w:val="000000"/>
                <w:szCs w:val="24"/>
              </w:rPr>
            </w:r>
            <w:r/>
          </w:p>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安防系统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公共区域监控摄像头</w:t>
            </w:r>
            <w:r>
              <w:rPr>
                <w:rFonts w:ascii="宋体" w:hAnsi="宋体" w:eastAsia="宋体" w:cs="宋体"/>
                <w:color w:val="000000"/>
                <w:sz w:val="24"/>
                <w:szCs w:val="24"/>
                <w:highlight w:val="none"/>
              </w:rPr>
              <w:t xml:space="preserve">173个</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照明系统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全区域</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90"/>
        </w:trPr>
        <w:tc>
          <w:tcPr>
            <w:tcW w:w="749"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7"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供配电系统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高压柜</w:t>
            </w:r>
            <w:r>
              <w:rPr>
                <w:rFonts w:ascii="宋体" w:hAnsi="宋体" w:eastAsia="宋体" w:cs="宋体"/>
                <w:color w:val="000000"/>
                <w:sz w:val="24"/>
                <w:szCs w:val="24"/>
                <w:highlight w:val="none"/>
              </w:rPr>
              <w:t xml:space="preserve">1组 2600</w:t>
            </w:r>
            <w:r>
              <w:rPr>
                <w:rFonts w:hint="eastAsia" w:ascii="宋体" w:hAnsi="宋体" w:eastAsia="宋体" w:cs="宋体"/>
                <w:color w:val="000000"/>
                <w:sz w:val="24"/>
                <w:szCs w:val="24"/>
                <w:highlight w:val="none"/>
              </w:rPr>
              <w:t xml:space="preserve">千伏安、低压柜数量</w:t>
            </w:r>
            <w:r>
              <w:rPr>
                <w:rFonts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t xml:space="preserve">个及功率</w:t>
            </w:r>
            <w:r>
              <w:rPr>
                <w:rFonts w:ascii="宋体" w:hAnsi="宋体" w:eastAsia="宋体" w:cs="宋体"/>
                <w:color w:val="000000"/>
                <w:sz w:val="24"/>
                <w:szCs w:val="24"/>
                <w:highlight w:val="none"/>
              </w:rPr>
              <w:t xml:space="preserve">2600</w:t>
            </w:r>
            <w:r>
              <w:rPr>
                <w:rFonts w:hint="eastAsia" w:ascii="宋体" w:hAnsi="宋体" w:eastAsia="宋体" w:cs="宋体"/>
                <w:color w:val="000000"/>
                <w:sz w:val="24"/>
                <w:szCs w:val="24"/>
                <w:highlight w:val="none"/>
              </w:rPr>
              <w:t xml:space="preserve">KW</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w:t>
            </w:r>
            <w:r/>
          </w:p>
        </w:tc>
      </w:tr>
    </w:tbl>
    <w:p>
      <w:pPr>
        <w:ind w:firstLine="420"/>
        <w:jc w:val="left"/>
        <w:spacing w:line="30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注：此表格详细列出了不同建筑物的物业管理指标项及其明细。若存在“建筑</w:t>
      </w:r>
      <w:r>
        <w:rPr>
          <w:rFonts w:ascii="宋体" w:hAnsi="宋体" w:eastAsia="宋体" w:cs="宋体"/>
          <w:color w:val="000000"/>
          <w:sz w:val="24"/>
          <w:szCs w:val="24"/>
          <w:highlight w:val="none"/>
        </w:rPr>
        <w:t xml:space="preserve">2”，则相应增加内容，以此类推。</w:t>
      </w:r>
      <w:r/>
    </w:p>
    <w:p>
      <w:pPr>
        <w:ind w:firstLine="480"/>
        <w:jc w:val="left"/>
        <w:spacing w:line="30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以上内容体现需要供应商进行物业管理的物业的情况、边界、范围。指标的设置要充分考虑可能影响供应商报价和项目实施风险的因素。</w:t>
      </w:r>
      <w:r/>
    </w:p>
    <w:p>
      <w:pPr>
        <w:ind w:firstLine="0"/>
        <w:jc w:val="both"/>
        <w:spacing w:line="300" w:lineRule="auto"/>
        <w:rPr>
          <w:rFonts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1.1）物业管理（室外）</w:t>
      </w:r>
      <w:r/>
    </w:p>
    <w:tbl>
      <w:tblPr>
        <w:tblStyle w:val="936"/>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3201"/>
        <w:gridCol w:w="4193"/>
      </w:tblGrid>
      <w:tr>
        <w:trPr>
          <w:trHeight w:val="454"/>
        </w:trPr>
        <w:tc>
          <w:tcPr>
            <w:tcW w:w="1764"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3201"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p>
        </w:tc>
        <w:tc>
          <w:tcPr>
            <w:tcW w:w="4193"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室外面积</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12亩</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“3.4保洁服务”“3.5保安服务”</w:t>
            </w:r>
            <w:r/>
          </w:p>
        </w:tc>
      </w:tr>
      <w:tr>
        <w:trPr>
          <w:trHeight w:val="90"/>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680㎡</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“3.4保洁服务”“3.7绿化服务”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广场</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“3.4保洁服务”“3.5保安服务”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路灯、草坪灯、音箱</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12只路灯</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消防栓</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10个</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垃圾箱</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ascii="宋体" w:hAnsi="宋体" w:eastAsia="宋体" w:cs="宋体"/>
                <w:color w:val="000000"/>
                <w:sz w:val="24"/>
                <w:szCs w:val="24"/>
                <w:highlight w:val="none"/>
              </w:rPr>
              <w:t xml:space="preserve">个</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室外配电箱</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1个</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门前三包</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露台</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90"/>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5</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64"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指示牌、显示屏</w:t>
            </w:r>
            <w:r/>
          </w:p>
        </w:tc>
        <w:tc>
          <w:tcPr>
            <w:tcW w:w="3201"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p>
        </w:tc>
        <w:tc>
          <w:tcPr>
            <w:tcW w:w="4193"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bl>
    <w:p>
      <w:pPr>
        <w:ind w:firstLine="0"/>
        <w:jc w:val="both"/>
        <w:spacing w:line="300" w:lineRule="auto"/>
        <w:rPr>
          <w:rFonts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2）物业管理（建筑物）</w:t>
      </w:r>
      <w:r/>
    </w:p>
    <w:tbl>
      <w:tblPr>
        <w:tblStyle w:val="9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8"/>
        <w:gridCol w:w="3939"/>
        <w:gridCol w:w="2634"/>
      </w:tblGrid>
      <w:tr>
        <w:trPr>
          <w:trHeight w:val="454"/>
        </w:trPr>
        <w:tc>
          <w:tcPr>
            <w:gridSpan w:val="2"/>
            <w:tcW w:w="2596"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3939"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p>
        </w:tc>
        <w:tc>
          <w:tcPr>
            <w:tcW w:w="2634"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trHeight w:val="454"/>
        </w:trPr>
        <w:tc>
          <w:tcPr>
            <w:gridSpan w:val="2"/>
            <w:tcW w:w="2596"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b/>
                <w:bCs/>
                <w:color w:val="000000"/>
                <w:sz w:val="24"/>
                <w:highlight w:val="none"/>
              </w:rPr>
              <w:t xml:space="preserve">城中办事处</w:t>
            </w:r>
            <w:r>
              <w:rPr>
                <w:rFonts w:hint="eastAsia" w:ascii="宋体" w:hAnsi="宋体"/>
                <w:b/>
                <w:bCs/>
                <w:color w:val="000000"/>
                <w:sz w:val="24"/>
                <w:highlight w:val="none"/>
                <w:lang w:eastAsia="zh-CN"/>
              </w:rPr>
              <w:t xml:space="preserve">（</w:t>
            </w:r>
            <w:r>
              <w:rPr>
                <w:rFonts w:hint="eastAsia" w:ascii="宋体" w:hAnsi="宋体" w:cs="宋体"/>
                <w:b/>
                <w:bCs/>
                <w:color w:val="000000"/>
                <w:sz w:val="24"/>
                <w:szCs w:val="24"/>
                <w:highlight w:val="none"/>
              </w:rPr>
              <w:t xml:space="preserve">无锡市梁溪区永丰路338号</w:t>
            </w:r>
            <w:r>
              <w:rPr>
                <w:rFonts w:hint="eastAsia" w:ascii="宋体" w:hAnsi="宋体" w:cs="宋体"/>
                <w:b/>
                <w:bCs/>
                <w:color w:val="000000"/>
                <w:sz w:val="24"/>
                <w:szCs w:val="24"/>
                <w:highlight w:val="none"/>
                <w:lang w:eastAsia="zh-CN"/>
              </w:rPr>
              <w:t xml:space="preserve">）</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地上</w:t>
            </w:r>
            <w:r>
              <w:rPr>
                <w:rFonts w:ascii="宋体" w:hAnsi="宋体" w:eastAsia="宋体" w:cs="宋体"/>
                <w:color w:val="000000"/>
                <w:sz w:val="24"/>
                <w:szCs w:val="24"/>
                <w:highlight w:val="none"/>
              </w:rPr>
              <w:t xml:space="preserve">6层</w:t>
            </w:r>
            <w:r/>
          </w:p>
        </w:tc>
        <w:tc>
          <w:tcPr>
            <w:tcW w:w="2634" w:type="dxa"/>
            <w:vAlign w:val="center"/>
            <w:textDirection w:val="lrTb"/>
            <w:noWrap w:val="false"/>
          </w:tcPr>
          <w:p>
            <w:pPr>
              <w:jc w:val="center"/>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总面积</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2800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90"/>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需保洁面积（㎡）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1100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门窗总数量（个）及总面积（㎡）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玻璃门28块，窗户551块。总面积611</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木地板</w:t>
            </w:r>
            <w:r>
              <w:rPr>
                <w:rFonts w:ascii="宋体" w:hAnsi="宋体" w:eastAsia="宋体" w:cs="宋体"/>
                <w:color w:val="000000"/>
                <w:sz w:val="24"/>
                <w:szCs w:val="24"/>
                <w:highlight w:val="none"/>
              </w:rPr>
              <w:t xml:space="preserve">2300</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地板砖</w:t>
            </w:r>
            <w:r>
              <w:rPr>
                <w:rFonts w:ascii="宋体" w:hAnsi="宋体" w:eastAsia="宋体" w:cs="宋体"/>
                <w:color w:val="000000"/>
                <w:sz w:val="24"/>
                <w:szCs w:val="24"/>
                <w:highlight w:val="none"/>
              </w:rPr>
              <w:t xml:space="preserve">540</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房屋维护服务”</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外墙需清洗面积（㎡）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保洁服务”</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会议桌、会议椅、电视机、电脑主机、话筒等相关设施</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“3.2房屋维护服务”“3.4保洁服务”“3.6会务服务”</w:t>
            </w:r>
            <w:r/>
          </w:p>
        </w:tc>
      </w:tr>
      <w:tr>
        <w:trPr>
          <w:trHeight w:val="645"/>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共</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90"/>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报告厅</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投影仪、会议桌、会议椅、话筒等相关设施的数量</w:t>
            </w:r>
            <w:r>
              <w:rPr>
                <w:rFonts w:ascii="宋体" w:hAnsi="宋体" w:eastAsia="宋体" w:cs="宋体"/>
                <w:color w:val="000000"/>
                <w:sz w:val="24"/>
                <w:szCs w:val="24"/>
                <w:highlight w:val="none"/>
              </w:rPr>
              <w:t xml:space="preserve"> ......</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报告厅数量（个）及总面积（㎡）</w:t>
            </w:r>
            <w:r/>
          </w:p>
        </w:tc>
        <w:tc>
          <w:tcPr>
            <w:tcW w:w="3939" w:type="dxa"/>
            <w:vAlign w:val="center"/>
            <w:textDirection w:val="lrTb"/>
            <w:noWrap w:val="false"/>
          </w:tcPr>
          <w:p>
            <w:pPr>
              <w:rPr>
                <w:rFonts w:ascii="Calibri" w:hAnsi="Calibri" w:eastAsia="宋体" w:cs="宋体"/>
                <w:color w:val="000000"/>
                <w:szCs w:val="24"/>
                <w:highlight w:val="none"/>
              </w:rPr>
            </w:pPr>
            <w:r>
              <w:rPr>
                <w:rFonts w:ascii="Calibri" w:hAnsi="Calibri" w:eastAsia="宋体" w:cs="宋体"/>
                <w:color w:val="000000"/>
                <w:szCs w:val="24"/>
                <w:highlight w:val="none"/>
              </w:rPr>
            </w:r>
            <w:r/>
          </w:p>
          <w:p>
            <w:pPr>
              <w:ind w:firstLine="0"/>
              <w:jc w:val="left"/>
              <w:keepLines/>
              <w:keepNext/>
              <w:spacing w:line="30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Calibri"/>
                <w:b w:val="0"/>
                <w:bCs w:val="0"/>
                <w:color w:val="000000"/>
                <w:sz w:val="24"/>
                <w:szCs w:val="32"/>
                <w:highlight w:val="none"/>
                <w:lang w:val="en-US" w:eastAsia="zh-CN" w:bidi="ar-SA"/>
              </w:rPr>
              <w:t xml:space="preserve">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卫生间数量（个）及总面积（㎡）</w:t>
            </w:r>
            <w:r/>
          </w:p>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65平米</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垃圾存放点</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各垃圾存放点位置、面积（㎡）及数量（个）</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地面车位数</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w:t>
            </w:r>
            <w:r>
              <w:rPr>
                <w:rFonts w:ascii="宋体" w:hAnsi="宋体" w:eastAsia="宋体" w:cs="宋体"/>
                <w:color w:val="000000"/>
                <w:sz w:val="24"/>
                <w:szCs w:val="24"/>
                <w:highlight w:val="none"/>
              </w:rPr>
              <w:t xml:space="preserve">/人行口</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车行口</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人行口</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空调系统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吊顶式空调</w:t>
            </w:r>
            <w:r>
              <w:rPr>
                <w:rFonts w:ascii="宋体" w:hAnsi="宋体" w:eastAsia="宋体" w:cs="宋体"/>
                <w:color w:val="000000"/>
                <w:sz w:val="24"/>
                <w:szCs w:val="24"/>
                <w:highlight w:val="none"/>
              </w:rPr>
              <w:t xml:space="preserve">8个。办公室和教室均有挂机空调</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707"/>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给排水系统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1个供水泵，1个2次供水水箱</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消防系统</w:t>
            </w:r>
            <w:r/>
          </w:p>
        </w:tc>
        <w:tc>
          <w:tcPr>
            <w:tcW w:w="3939" w:type="dxa"/>
            <w:vAlign w:val="center"/>
            <w:textDirection w:val="lrTb"/>
            <w:noWrap w:val="false"/>
          </w:tcPr>
          <w:p>
            <w:pPr>
              <w:rPr>
                <w:rFonts w:ascii="Calibri" w:hAnsi="Calibri" w:eastAsia="宋体" w:cs="宋体"/>
                <w:color w:val="000000"/>
                <w:szCs w:val="24"/>
              </w:rPr>
            </w:pPr>
            <w:r>
              <w:rPr>
                <w:rFonts w:hint="eastAsia" w:ascii="宋体" w:hAnsi="宋体" w:eastAsia="宋体" w:cs="宋体"/>
                <w:color w:val="000000"/>
                <w:sz w:val="24"/>
                <w:szCs w:val="24"/>
                <w:highlight w:val="none"/>
              </w:rPr>
              <w:t xml:space="preserve">无</w:t>
            </w:r>
            <w:r/>
          </w:p>
          <w:p>
            <w:pPr>
              <w:rPr>
                <w:rFonts w:ascii="Calibri" w:hAnsi="Calibri" w:eastAsia="宋体" w:cs="宋体"/>
                <w:color w:val="000000"/>
                <w:szCs w:val="24"/>
              </w:rPr>
            </w:pPr>
            <w:r>
              <w:rPr>
                <w:rFonts w:ascii="Calibri" w:hAnsi="Calibri" w:eastAsia="宋体" w:cs="宋体"/>
                <w:color w:val="000000"/>
                <w:szCs w:val="24"/>
              </w:rPr>
            </w:r>
            <w:r/>
          </w:p>
          <w:p>
            <w:pPr>
              <w:rPr>
                <w:rFonts w:ascii="Calibri" w:hAnsi="Calibri" w:eastAsia="宋体" w:cs="宋体"/>
                <w:color w:val="000000"/>
                <w:szCs w:val="24"/>
              </w:rPr>
            </w:pPr>
            <w:r>
              <w:rPr>
                <w:rFonts w:ascii="Calibri" w:hAnsi="Calibri" w:eastAsia="宋体" w:cs="宋体"/>
                <w:color w:val="000000"/>
                <w:szCs w:val="24"/>
              </w:rPr>
            </w:r>
            <w:r/>
          </w:p>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锅炉设备</w:t>
            </w:r>
            <w:r/>
          </w:p>
        </w:tc>
        <w:tc>
          <w:tcPr>
            <w:tcW w:w="3939" w:type="dxa"/>
            <w:vAlign w:val="center"/>
            <w:textDirection w:val="lrTb"/>
            <w:noWrap w:val="false"/>
          </w:tcPr>
          <w:p>
            <w:pPr>
              <w:rPr>
                <w:rFonts w:ascii="Calibri" w:hAnsi="Calibri" w:eastAsia="宋体" w:cs="宋体"/>
                <w:color w:val="000000"/>
                <w:szCs w:val="24"/>
              </w:rPr>
            </w:pPr>
            <w:r>
              <w:rPr>
                <w:rFonts w:hint="eastAsia" w:ascii="宋体" w:hAnsi="宋体" w:eastAsia="宋体" w:cs="宋体"/>
                <w:color w:val="000000"/>
                <w:sz w:val="24"/>
                <w:szCs w:val="24"/>
                <w:highlight w:val="none"/>
              </w:rPr>
              <w:t xml:space="preserve">无</w:t>
            </w:r>
            <w:r/>
          </w:p>
          <w:p>
            <w:pPr>
              <w:rPr>
                <w:rFonts w:ascii="Calibri" w:hAnsi="Calibri" w:eastAsia="宋体" w:cs="宋体"/>
                <w:color w:val="000000"/>
                <w:szCs w:val="24"/>
              </w:rPr>
            </w:pPr>
            <w:r>
              <w:rPr>
                <w:rFonts w:ascii="Calibri" w:hAnsi="Calibri" w:eastAsia="宋体" w:cs="宋体"/>
                <w:color w:val="000000"/>
                <w:szCs w:val="24"/>
              </w:rPr>
            </w:r>
            <w:r/>
          </w:p>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安防系统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公共区域监控摄像头22个</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照明系统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全区域</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90"/>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供配电系统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低压柜数量</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个及功率</w:t>
            </w:r>
            <w:r>
              <w:rPr>
                <w:rFonts w:ascii="宋体" w:hAnsi="宋体" w:eastAsia="宋体" w:cs="宋体"/>
                <w:color w:val="000000"/>
                <w:sz w:val="24"/>
                <w:szCs w:val="24"/>
                <w:highlight w:val="none"/>
              </w:rPr>
              <w:t xml:space="preserve">220KW</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w:t>
            </w:r>
            <w:r/>
          </w:p>
        </w:tc>
      </w:tr>
    </w:tbl>
    <w:p>
      <w:pPr>
        <w:ind w:firstLine="420"/>
        <w:jc w:val="left"/>
        <w:spacing w:line="30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注：此表格详细列出了不同建筑物的物业管理指标项及其明细。若存在“建筑</w:t>
      </w:r>
      <w:r>
        <w:rPr>
          <w:rFonts w:ascii="宋体" w:hAnsi="宋体" w:eastAsia="宋体" w:cs="宋体"/>
          <w:color w:val="000000"/>
          <w:sz w:val="24"/>
          <w:szCs w:val="24"/>
          <w:highlight w:val="none"/>
        </w:rPr>
        <w:t xml:space="preserve">2”，则相应增加内容，以此类推。</w:t>
      </w:r>
      <w:r/>
    </w:p>
    <w:p>
      <w:pPr>
        <w:ind w:firstLine="480"/>
        <w:jc w:val="left"/>
        <w:spacing w:line="36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以上内容体现需要供应商进行物业管理的物业的情况、边界、范围。指标的设置要充分考虑可能影响供应商报价和项目实施风险的因素。</w:t>
      </w:r>
      <w:r/>
    </w:p>
    <w:p>
      <w:pPr>
        <w:ind w:firstLine="0"/>
        <w:jc w:val="both"/>
        <w:spacing w:line="300" w:lineRule="auto"/>
        <w:rPr>
          <w:rFonts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2.1）物业管理（室外）</w:t>
      </w:r>
      <w:r/>
    </w:p>
    <w:tbl>
      <w:tblPr>
        <w:tblStyle w:val="936"/>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1"/>
        <w:gridCol w:w="3173"/>
        <w:gridCol w:w="4214"/>
      </w:tblGrid>
      <w:tr>
        <w:trPr>
          <w:trHeight w:val="454"/>
        </w:trPr>
        <w:tc>
          <w:tcPr>
            <w:tcW w:w="1771"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3173"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p>
        </w:tc>
        <w:tc>
          <w:tcPr>
            <w:tcW w:w="4214"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室外面积</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0-亩</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“3.4保洁服务”“3.5保安服务”</w:t>
            </w:r>
            <w:r/>
          </w:p>
        </w:tc>
      </w:tr>
      <w:tr>
        <w:trPr>
          <w:trHeight w:val="90"/>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“3.4保洁服务”“3.7绿化服务”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广场</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“3.4保洁服务”“3.5保安服务”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路灯、草坪灯、音箱</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消防栓</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垃圾箱</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个</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室外配电箱</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门前三包</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露台</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w:t>
            </w:r>
            <w:r/>
          </w:p>
        </w:tc>
        <w:tc>
          <w:tcPr>
            <w:tcW w:w="3173" w:type="dxa"/>
            <w:vAlign w:val="center"/>
            <w:textDirection w:val="lrTb"/>
            <w:noWrap w:val="false"/>
          </w:tcPr>
          <w:p>
            <w:pP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0</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71"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指示牌、显示屏</w:t>
            </w:r>
            <w:r/>
          </w:p>
        </w:tc>
        <w:tc>
          <w:tcPr>
            <w:tcW w:w="3173"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p>
        </w:tc>
        <w:tc>
          <w:tcPr>
            <w:tcW w:w="4214"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bl>
    <w:p>
      <w:pPr>
        <w:numPr>
          <w:ilvl w:val="0"/>
          <w:numId w:val="8"/>
        </w:numPr>
        <w:ind w:firstLine="0"/>
        <w:jc w:val="both"/>
        <w:spacing w:line="300" w:lineRule="auto"/>
        <w:rPr>
          <w:rFonts w:ascii="宋体" w:hAnsi="宋体" w:eastAsia="宋体" w:cs="宋体"/>
          <w:b/>
          <w:bCs/>
          <w:color w:val="000000"/>
          <w:sz w:val="24"/>
          <w:szCs w:val="24"/>
          <w:highlight w:val="none"/>
          <w:lang w:val="en-US" w:eastAsia="zh-CN" w:bidi="ar-SA"/>
        </w:rPr>
        <w:outlineLvl w:val="2"/>
      </w:pPr>
      <w:r>
        <w:rPr>
          <w:rFonts w:ascii="宋体" w:hAnsi="宋体" w:eastAsia="宋体" w:cs="宋体"/>
          <w:b/>
          <w:bCs/>
          <w:color w:val="000000"/>
          <w:sz w:val="24"/>
          <w:szCs w:val="24"/>
          <w:highlight w:val="none"/>
          <w:lang w:val="en-US" w:eastAsia="zh-CN" w:bidi="ar-SA"/>
        </w:rPr>
        <w:t xml:space="preserve">物业管理（建筑物）</w:t>
      </w:r>
      <w:r/>
    </w:p>
    <w:tbl>
      <w:tblPr>
        <w:tblStyle w:val="9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8"/>
        <w:gridCol w:w="3939"/>
        <w:gridCol w:w="2634"/>
      </w:tblGrid>
      <w:tr>
        <w:trPr>
          <w:trHeight w:val="454"/>
        </w:trPr>
        <w:tc>
          <w:tcPr>
            <w:gridSpan w:val="2"/>
            <w:tcW w:w="2596"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3939"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p>
        </w:tc>
        <w:tc>
          <w:tcPr>
            <w:tcW w:w="2634"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trHeight w:val="454"/>
        </w:trPr>
        <w:tc>
          <w:tcPr>
            <w:gridSpan w:val="2"/>
            <w:tcW w:w="2596" w:type="dxa"/>
            <w:vAlign w:val="center"/>
            <w:textDirection w:val="lrTb"/>
            <w:noWrap w:val="false"/>
          </w:tcPr>
          <w:p>
            <w:pPr>
              <w:jc w:val="center"/>
              <w:spacing w:line="300" w:lineRule="auto"/>
              <w:rPr>
                <w:rFonts w:hint="eastAsia" w:ascii="宋体" w:hAnsi="宋体" w:eastAsia="宋体" w:cs="宋体"/>
                <w:color w:val="000000"/>
                <w:sz w:val="24"/>
                <w:szCs w:val="24"/>
                <w:highlight w:val="none"/>
                <w:lang w:eastAsia="zh-CN"/>
              </w:rPr>
            </w:pPr>
            <w:r>
              <w:rPr>
                <w:rFonts w:hint="eastAsia" w:ascii="宋体" w:hAnsi="宋体"/>
                <w:b/>
                <w:bCs/>
                <w:color w:val="000000"/>
                <w:sz w:val="24"/>
                <w:highlight w:val="none"/>
              </w:rPr>
              <w:t xml:space="preserve">国家桥门式起重机械产品检验检测中心和国家石墨烯质检中心</w:t>
            </w:r>
            <w:r>
              <w:rPr>
                <w:rFonts w:hint="eastAsia" w:ascii="宋体" w:hAnsi="宋体"/>
                <w:b/>
                <w:bCs/>
                <w:color w:val="000000"/>
                <w:sz w:val="24"/>
                <w:highlight w:val="none"/>
                <w:lang w:eastAsia="zh-CN"/>
              </w:rPr>
              <w:t xml:space="preserve">（</w:t>
            </w:r>
            <w:r>
              <w:rPr>
                <w:rFonts w:hint="eastAsia" w:ascii="宋体" w:hAnsi="宋体" w:cs="宋体"/>
                <w:b/>
                <w:bCs/>
                <w:color w:val="000000"/>
                <w:sz w:val="24"/>
                <w:szCs w:val="24"/>
                <w:highlight w:val="none"/>
              </w:rPr>
              <w:t xml:space="preserve">无锡市惠山区堰新路330号</w:t>
            </w:r>
            <w:r>
              <w:rPr>
                <w:rFonts w:hint="eastAsia" w:ascii="宋体" w:hAnsi="宋体" w:cs="宋体"/>
                <w:b/>
                <w:bCs/>
                <w:color w:val="000000"/>
                <w:sz w:val="24"/>
                <w:szCs w:val="24"/>
                <w:highlight w:val="none"/>
                <w:lang w:eastAsia="zh-CN"/>
              </w:rPr>
              <w:t xml:space="preserve">）</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东院加西院</w:t>
            </w:r>
            <w:r/>
          </w:p>
        </w:tc>
        <w:tc>
          <w:tcPr>
            <w:tcW w:w="2634" w:type="dxa"/>
            <w:vAlign w:val="center"/>
            <w:textDirection w:val="lrTb"/>
            <w:noWrap w:val="false"/>
          </w:tcPr>
          <w:p>
            <w:pPr>
              <w:jc w:val="center"/>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总面积</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38022</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90"/>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需保洁面积（㎡）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27200</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门窗总数量（个）及总面积（㎡）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3m以下门窗打扫 867块玻璃，35扇玻璃门。</w:t>
            </w:r>
            <w:r>
              <w:rPr>
                <w:rFonts w:hint="eastAsia" w:ascii="宋体" w:hAnsi="宋体" w:eastAsia="宋体" w:cs="宋体"/>
                <w:color w:val="000000"/>
                <w:sz w:val="24"/>
                <w:szCs w:val="24"/>
                <w:highlight w:val="none"/>
                <w:lang w:val="en-US" w:eastAsia="zh-CN"/>
              </w:rPr>
              <w:t xml:space="preserve">总面积1300.5</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90"/>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瓷砖</w:t>
            </w:r>
            <w:r>
              <w:rPr>
                <w:rFonts w:ascii="宋体" w:hAnsi="宋体" w:eastAsia="宋体" w:cs="宋体"/>
                <w:color w:val="000000"/>
                <w:sz w:val="24"/>
                <w:szCs w:val="24"/>
                <w:highlight w:val="none"/>
              </w:rPr>
              <w:t xml:space="preserve">7604</w:t>
            </w:r>
            <w:bookmarkStart w:id="191" w:name="OLE_LINK4"/>
            <w:r>
              <w:rPr>
                <w:rFonts w:hint="eastAsia" w:ascii="宋体" w:hAnsi="宋体" w:eastAsia="宋体" w:cs="宋体"/>
                <w:color w:val="000000"/>
                <w:sz w:val="24"/>
                <w:szCs w:val="24"/>
                <w:highlight w:val="none"/>
              </w:rPr>
              <w:t xml:space="preserve">㎡</w:t>
            </w:r>
            <w:bookmarkEnd w:id="191"/>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P</w:t>
            </w:r>
            <w:r>
              <w:rPr>
                <w:rFonts w:ascii="宋体" w:hAnsi="宋体" w:eastAsia="宋体" w:cs="宋体"/>
                <w:color w:val="000000"/>
                <w:sz w:val="24"/>
                <w:szCs w:val="24"/>
                <w:highlight w:val="none"/>
              </w:rPr>
              <w:t xml:space="preserve">VC 地胶</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30418</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外墙各材质及总面积（㎡）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外墙需清洗面积（㎡）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投影仪、会议桌、会议椅、话筒等</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“3.2房屋维护服务”“3.4保洁服务”“3.6会务服务”</w:t>
            </w:r>
            <w:r/>
          </w:p>
        </w:tc>
      </w:tr>
      <w:tr>
        <w:trPr>
          <w:trHeight w:val="645"/>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7个 411</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90"/>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报告厅</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投影仪、会议桌、会议椅、话筒等</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749"/>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报告厅数量（个）及总面积（㎡）</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405</w:t>
            </w:r>
            <w:r>
              <w:rPr>
                <w:rFonts w:hint="eastAsia" w:ascii="宋体" w:hAnsi="宋体" w:eastAsia="宋体" w:cs="宋体"/>
                <w:color w:val="000000"/>
                <w:sz w:val="24"/>
                <w:szCs w:val="24"/>
                <w:highlight w:val="none"/>
              </w:rPr>
              <w:t xml:space="preserve">㎡</w:t>
            </w:r>
            <w:r/>
          </w:p>
          <w:p>
            <w:pPr>
              <w:ind w:firstLine="0"/>
              <w:jc w:val="left"/>
              <w:keepLines/>
              <w:keepNext/>
              <w:spacing w:line="30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“3.4保洁服务”“3.6会务服务”</w:t>
            </w:r>
            <w:r/>
          </w:p>
        </w:tc>
      </w:tr>
      <w:tr>
        <w:trPr>
          <w:trHeight w:val="1976"/>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卫生间数量（个）及总面积（㎡）</w:t>
            </w:r>
            <w:r/>
          </w:p>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 </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 465</w:t>
            </w:r>
            <w:r>
              <w:rPr>
                <w:rFonts w:hint="eastAsia" w:ascii="宋体" w:hAnsi="宋体" w:eastAsia="宋体" w:cs="宋体"/>
                <w:color w:val="000000"/>
                <w:sz w:val="24"/>
                <w:szCs w:val="24"/>
                <w:highlight w:val="none"/>
              </w:rPr>
              <w:t xml:space="preserve">㎡</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垃圾存放点</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各垃圾存放点位置、面积（㎡）及数量（个）</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t xml:space="preserve">11㎡</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7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地面车位数</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76个</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8" w:type="dxa"/>
            <w:vAlign w:val="center"/>
            <w:vMerge w:val="restart"/>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w:t>
            </w:r>
            <w:r>
              <w:rPr>
                <w:rFonts w:ascii="宋体" w:hAnsi="宋体" w:eastAsia="宋体" w:cs="宋体"/>
                <w:color w:val="000000"/>
                <w:sz w:val="24"/>
                <w:szCs w:val="24"/>
                <w:highlight w:val="none"/>
              </w:rPr>
              <w:t xml:space="preserve">/人行口</w:t>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车行口</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人行口</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p>
        </w:tc>
        <w:tc>
          <w:tcPr>
            <w:tcW w:w="2634"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w:t>
            </w:r>
            <w:r>
              <w:rPr>
                <w:rFonts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空调系统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国起中心商用中央空调</w:t>
            </w:r>
            <w:r>
              <w:rPr>
                <w:rFonts w:ascii="宋体" w:hAnsi="宋体" w:eastAsia="宋体" w:cs="宋体"/>
                <w:color w:val="000000"/>
                <w:sz w:val="24"/>
                <w:szCs w:val="24"/>
                <w:highlight w:val="none"/>
              </w:rPr>
              <w:t xml:space="preserve">60套，</w:t>
            </w:r>
            <w:r>
              <w:rPr>
                <w:rFonts w:hint="eastAsia" w:ascii="宋体" w:hAnsi="宋体" w:eastAsia="宋体" w:cs="宋体"/>
                <w:color w:val="000000"/>
                <w:sz w:val="24"/>
                <w:szCs w:val="24"/>
                <w:highlight w:val="none"/>
              </w:rPr>
              <w:t xml:space="preserve">含室外机39台，室内机393台，全热交换器21台套石墨烯中心风冷热泵中央空调6套，含6台外机，99台内机，一套风管机</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707"/>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给排水系统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8个供水泵，8个消防泵，2</w:t>
            </w:r>
            <w:r>
              <w:rPr>
                <w:rFonts w:hint="eastAsia" w:ascii="宋体" w:hAnsi="宋体" w:eastAsia="宋体" w:cs="宋体"/>
                <w:color w:val="000000"/>
                <w:sz w:val="24"/>
                <w:szCs w:val="24"/>
                <w:highlight w:val="none"/>
              </w:rPr>
              <w:t xml:space="preserve">个</w:t>
            </w:r>
            <w:r>
              <w:rPr>
                <w:rFonts w:ascii="宋体" w:hAnsi="宋体" w:eastAsia="宋体" w:cs="宋体"/>
                <w:color w:val="000000"/>
                <w:sz w:val="24"/>
                <w:szCs w:val="24"/>
                <w:highlight w:val="none"/>
              </w:rPr>
              <w:t xml:space="preserve">2次供水水箱</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独立式光电感烟探测器</w:t>
            </w:r>
            <w:r>
              <w:rPr>
                <w:rFonts w:ascii="宋体" w:hAnsi="宋体" w:eastAsia="宋体" w:cs="宋体"/>
                <w:color w:val="000000"/>
                <w:sz w:val="24"/>
                <w:szCs w:val="24"/>
                <w:highlight w:val="none"/>
              </w:rPr>
              <w:t xml:space="preserve">450套</w:t>
            </w:r>
            <w:r/>
          </w:p>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独立式气体火灾探测报警器</w:t>
            </w:r>
            <w:r>
              <w:rPr>
                <w:rFonts w:ascii="宋体" w:hAnsi="宋体" w:eastAsia="宋体" w:cs="宋体"/>
                <w:color w:val="000000"/>
                <w:sz w:val="24"/>
                <w:szCs w:val="24"/>
                <w:highlight w:val="none"/>
              </w:rPr>
              <w:t xml:space="preserve">1套</w:t>
            </w:r>
            <w:r/>
          </w:p>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手动报警按钮</w:t>
            </w:r>
            <w:r>
              <w:rPr>
                <w:rFonts w:ascii="宋体" w:hAnsi="宋体" w:eastAsia="宋体" w:cs="宋体"/>
                <w:color w:val="000000"/>
                <w:sz w:val="24"/>
                <w:szCs w:val="24"/>
                <w:highlight w:val="none"/>
              </w:rPr>
              <w:t xml:space="preserve">38套</w:t>
            </w:r>
            <w:r/>
          </w:p>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声光报警器</w:t>
            </w:r>
            <w:r>
              <w:rPr>
                <w:rFonts w:ascii="宋体" w:hAnsi="宋体" w:eastAsia="宋体" w:cs="宋体"/>
                <w:color w:val="000000"/>
                <w:sz w:val="24"/>
                <w:szCs w:val="24"/>
                <w:highlight w:val="none"/>
              </w:rPr>
              <w:t xml:space="preserve">30套</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锅炉设备</w:t>
            </w:r>
            <w:r/>
          </w:p>
        </w:tc>
        <w:tc>
          <w:tcPr>
            <w:tcW w:w="3939" w:type="dxa"/>
            <w:vAlign w:val="center"/>
            <w:textDirection w:val="lrTb"/>
            <w:noWrap w:val="false"/>
          </w:tcPr>
          <w:p>
            <w:pPr>
              <w:rPr>
                <w:rFonts w:ascii="Calibri" w:hAnsi="Calibri" w:eastAsia="宋体" w:cs="宋体"/>
                <w:color w:val="000000"/>
                <w:szCs w:val="24"/>
              </w:rPr>
            </w:pPr>
            <w:r>
              <w:rPr>
                <w:rFonts w:hint="eastAsia" w:ascii="宋体" w:hAnsi="宋体" w:eastAsia="宋体" w:cs="宋体"/>
                <w:color w:val="000000"/>
                <w:sz w:val="24"/>
                <w:szCs w:val="24"/>
                <w:highlight w:val="none"/>
              </w:rPr>
              <w:t xml:space="preserve">无</w:t>
            </w:r>
            <w:r/>
          </w:p>
          <w:p>
            <w:pPr>
              <w:rPr>
                <w:rFonts w:ascii="Calibri" w:hAnsi="Calibri" w:eastAsia="宋体" w:cs="宋体"/>
                <w:color w:val="000000"/>
                <w:szCs w:val="24"/>
              </w:rPr>
            </w:pPr>
            <w:r>
              <w:rPr>
                <w:rFonts w:ascii="Calibri" w:hAnsi="Calibri" w:eastAsia="宋体" w:cs="宋体"/>
                <w:color w:val="000000"/>
                <w:szCs w:val="24"/>
              </w:rPr>
            </w:r>
            <w:r/>
          </w:p>
          <w:p>
            <w:pPr>
              <w:jc w:val="left"/>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安防系统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公共区域监控摄像头</w:t>
            </w:r>
            <w:r>
              <w:rPr>
                <w:rFonts w:ascii="宋体" w:hAnsi="宋体" w:eastAsia="宋体" w:cs="宋体"/>
                <w:color w:val="000000"/>
                <w:sz w:val="24"/>
                <w:szCs w:val="24"/>
                <w:highlight w:val="none"/>
              </w:rPr>
              <w:t xml:space="preserve">154个</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454"/>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照明系统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全区域</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“3.3公用设施设备维护服务”“3.5保安服务”</w:t>
            </w:r>
            <w:r/>
          </w:p>
        </w:tc>
      </w:tr>
      <w:tr>
        <w:trPr>
          <w:trHeight w:val="90"/>
        </w:trPr>
        <w:tc>
          <w:tcPr>
            <w:tcW w:w="748" w:type="dxa"/>
            <w:vAlign w:val="center"/>
            <w:vMerge w:val="continue"/>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8"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供配电系统</w:t>
            </w:r>
            <w:r/>
          </w:p>
        </w:tc>
        <w:tc>
          <w:tcPr>
            <w:tcW w:w="3939" w:type="dxa"/>
            <w:vAlign w:val="center"/>
            <w:textDirection w:val="lrTb"/>
            <w:noWrap w:val="false"/>
          </w:tcPr>
          <w:p>
            <w:pPr>
              <w:jc w:val="left"/>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国起高压柜</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组</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1750千伏安、低压柜数量</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个及功率</w:t>
            </w:r>
            <w:r>
              <w:rPr>
                <w:rFonts w:ascii="宋体" w:hAnsi="宋体" w:eastAsia="宋体" w:cs="宋体"/>
                <w:color w:val="000000"/>
                <w:sz w:val="24"/>
                <w:szCs w:val="24"/>
                <w:highlight w:val="none"/>
              </w:rPr>
              <w:t xml:space="preserve">1750Kw，</w:t>
            </w:r>
            <w:r>
              <w:rPr>
                <w:rFonts w:hint="eastAsia" w:ascii="宋体" w:hAnsi="宋体" w:eastAsia="宋体" w:cs="宋体"/>
                <w:color w:val="000000"/>
                <w:sz w:val="24"/>
                <w:szCs w:val="24"/>
                <w:highlight w:val="none"/>
              </w:rPr>
              <w:t xml:space="preserve">石墨烯高压柜</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组</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2600千伏安、低压柜数量</w:t>
            </w:r>
            <w:r>
              <w:rPr>
                <w:rFonts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t xml:space="preserve">个及功率</w:t>
            </w:r>
            <w:r>
              <w:rPr>
                <w:rFonts w:ascii="宋体" w:hAnsi="宋体" w:eastAsia="宋体" w:cs="宋体"/>
                <w:color w:val="000000"/>
                <w:sz w:val="24"/>
                <w:szCs w:val="24"/>
                <w:highlight w:val="none"/>
              </w:rPr>
              <w:t xml:space="preserve">2600Kw</w:t>
            </w:r>
            <w:r/>
          </w:p>
        </w:tc>
        <w:tc>
          <w:tcPr>
            <w:tcW w:w="2634" w:type="dxa"/>
            <w:vAlign w:val="center"/>
            <w:textDirection w:val="lrTb"/>
            <w:noWrap w:val="false"/>
          </w:tcPr>
          <w:p>
            <w:pPr>
              <w:jc w:val="left"/>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w:t>
            </w:r>
            <w:r/>
          </w:p>
        </w:tc>
      </w:tr>
    </w:tbl>
    <w:p>
      <w:pPr>
        <w:ind w:firstLine="420"/>
        <w:jc w:val="left"/>
        <w:spacing w:line="30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注：此表格详细列出了不同建筑物的物业管理指标项及其明细。若存在“建筑</w:t>
      </w:r>
      <w:r>
        <w:rPr>
          <w:rFonts w:ascii="宋体" w:hAnsi="宋体" w:eastAsia="宋体" w:cs="宋体"/>
          <w:color w:val="000000"/>
          <w:sz w:val="24"/>
          <w:szCs w:val="24"/>
          <w:highlight w:val="none"/>
        </w:rPr>
        <w:t xml:space="preserve">2”，则相应增加内容，以此类推。</w:t>
      </w:r>
      <w:r/>
    </w:p>
    <w:p>
      <w:pPr>
        <w:ind w:firstLine="840"/>
        <w:jc w:val="left"/>
        <w:spacing w:line="30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以上内容体现需要供应商进行物业管理的物业的情况、边界、范围。指标的设置要充分考虑可能影响供应商报价和项目实施风险的因素。</w:t>
      </w:r>
      <w:r/>
    </w:p>
    <w:p>
      <w:pPr>
        <w:ind w:firstLine="422"/>
        <w:jc w:val="both"/>
        <w:spacing w:line="300" w:lineRule="auto"/>
        <w:rPr>
          <w:rFonts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（3.1</w:t>
      </w:r>
      <w:r>
        <w:rPr>
          <w:rFonts w:ascii="宋体" w:hAnsi="宋体" w:eastAsia="宋体" w:cs="宋体"/>
          <w:b/>
          <w:bCs/>
          <w:color w:val="000000"/>
          <w:sz w:val="24"/>
          <w:szCs w:val="24"/>
          <w:highlight w:val="none"/>
          <w:lang w:val="en-US" w:eastAsia="zh-CN" w:bidi="ar-SA"/>
        </w:rPr>
        <w:t xml:space="preserve">）物业管理（室外）</w:t>
      </w:r>
      <w:r/>
    </w:p>
    <w:tbl>
      <w:tblPr>
        <w:tblStyle w:val="936"/>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6"/>
        <w:gridCol w:w="3230"/>
        <w:gridCol w:w="4172"/>
      </w:tblGrid>
      <w:tr>
        <w:trPr>
          <w:trHeight w:val="454"/>
        </w:trPr>
        <w:tc>
          <w:tcPr>
            <w:tcW w:w="1756"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3230"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p>
        </w:tc>
        <w:tc>
          <w:tcPr>
            <w:tcW w:w="4172"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室外面积</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亩</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“3.4保洁服务”“3.5保安服务”</w:t>
            </w:r>
            <w:r/>
          </w:p>
        </w:tc>
      </w:tr>
      <w:tr>
        <w:trPr>
          <w:trHeight w:val="558"/>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6500㎡</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“3.4保洁服务”“3.7绿化服务”</w:t>
            </w:r>
            <w:r/>
          </w:p>
        </w:tc>
      </w:tr>
      <w:tr>
        <w:trPr>
          <w:trHeight w:val="90"/>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广场</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815</w:t>
            </w:r>
            <w:r>
              <w:rPr>
                <w:rFonts w:ascii="宋体" w:hAnsi="宋体" w:eastAsia="宋体" w:cs="宋体"/>
                <w:color w:val="000000"/>
                <w:sz w:val="24"/>
                <w:szCs w:val="24"/>
                <w:highlight w:val="none"/>
              </w:rPr>
              <w:t xml:space="preserve">㎡</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“3.4保洁服务”“3.5保安服务”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路灯、草坪灯、音箱</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路灯57个</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消防栓</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ascii="宋体" w:hAnsi="宋体" w:eastAsia="宋体" w:cs="宋体"/>
                <w:color w:val="000000"/>
                <w:sz w:val="24"/>
                <w:szCs w:val="24"/>
                <w:highlight w:val="none"/>
              </w:rPr>
              <w:t xml:space="preserve">个</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垃圾箱</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t xml:space="preserve">个</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室外配电箱</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个</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门前三包</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露台</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“3.2房屋维护服务”“3.4保洁服务”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r>
        <w:trPr>
          <w:trHeight w:val="454"/>
        </w:trPr>
        <w:tc>
          <w:tcPr>
            <w:tcW w:w="1756" w:type="dxa"/>
            <w:vAlign w:val="center"/>
            <w:textDirection w:val="lrTb"/>
            <w:noWrap w:val="false"/>
          </w:tcPr>
          <w:p>
            <w:pP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指示牌、显示屏</w:t>
            </w:r>
            <w:r/>
          </w:p>
        </w:tc>
        <w:tc>
          <w:tcPr>
            <w:tcW w:w="3230" w:type="dxa"/>
            <w:vAlign w:val="center"/>
            <w:textDirection w:val="lrTb"/>
            <w:noWrap w:val="false"/>
          </w:tcPr>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p>
        </w:tc>
        <w:tc>
          <w:tcPr>
            <w:tcW w:w="4172" w:type="dxa"/>
            <w:vAlign w:val="center"/>
            <w:textDirection w:val="lrTb"/>
            <w:noWrap w:val="false"/>
          </w:tcPr>
          <w:p>
            <w:pPr>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“3.3公用设施设备维护服务”“3.4保洁服务”</w:t>
            </w:r>
            <w:r/>
          </w:p>
        </w:tc>
      </w:tr>
    </w:tbl>
    <w:p>
      <w:pPr>
        <w:ind w:firstLine="420"/>
        <w:jc w:val="left"/>
        <w:spacing w:line="300" w:lineRule="auto"/>
        <w:widowControl/>
        <w:rPr>
          <w:rFonts w:ascii="宋体" w:hAnsi="宋体" w:eastAsia="宋体" w:cs="宋体"/>
          <w:b/>
          <w:bCs/>
          <w:color w:val="000000"/>
          <w:sz w:val="24"/>
          <w:szCs w:val="24"/>
          <w:lang w:val="en-US" w:eastAsia="zh-CN" w:bidi="ar-SA"/>
        </w:rPr>
      </w:pPr>
      <w:r>
        <w:rPr>
          <w:rFonts w:hint="eastAsia" w:ascii="宋体" w:hAnsi="宋体" w:eastAsia="宋体" w:cs="宋体"/>
          <w:color w:val="000000"/>
          <w:sz w:val="24"/>
          <w:szCs w:val="24"/>
        </w:rPr>
        <w:t xml:space="preserve">注：以上内容体现需要供应商进行物业管理的物业的情况、边界、范围。指标的设置要充分考虑可能影响供应商报价和项目实施风险的因素。</w:t>
      </w:r>
      <w:r/>
    </w:p>
    <w:p>
      <w:pPr>
        <w:ind w:firstLine="422"/>
        <w:jc w:val="both"/>
        <w:keepLines/>
        <w:keepNext/>
        <w:spacing w:line="300" w:lineRule="auto"/>
        <w:widowControl w:val="off"/>
        <w:rPr>
          <w:rFonts w:ascii="宋体" w:hAnsi="宋体" w:eastAsia="宋体" w:cs="宋体"/>
          <w:color w:val="000000"/>
          <w:sz w:val="24"/>
          <w:szCs w:val="24"/>
        </w:rPr>
        <w:outlineLvl w:val="1"/>
      </w:pPr>
      <w:r>
        <w:rPr>
          <w:rFonts w:hint="eastAsia" w:ascii="宋体" w:hAnsi="宋体" w:eastAsia="宋体" w:cs="宋体"/>
          <w:b/>
          <w:bCs/>
          <w:color w:val="000000"/>
          <w:sz w:val="24"/>
          <w:szCs w:val="24"/>
          <w:lang w:val="en-US" w:eastAsia="zh-CN" w:bidi="ar-SA"/>
        </w:rPr>
        <w:t xml:space="preserve">3.物业管理服务内容及标准</w:t>
      </w:r>
      <w:r/>
    </w:p>
    <w:p>
      <w:pPr>
        <w:ind w:firstLine="420"/>
        <w:spacing w:line="30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物业管理服务包括基本服务、房屋维护服务、公用设施设备维护服务、保洁服务、保安服务、</w:t>
      </w:r>
      <w:r>
        <w:rPr>
          <w:rFonts w:hint="eastAsia" w:ascii="宋体" w:hAnsi="宋体" w:cs="宋体"/>
          <w:color w:val="000000"/>
          <w:sz w:val="24"/>
          <w:szCs w:val="24"/>
          <w:lang w:val="en-US" w:eastAsia="zh-CN"/>
        </w:rPr>
        <w:t xml:space="preserve">会务</w:t>
      </w:r>
      <w:r>
        <w:rPr>
          <w:rFonts w:hint="eastAsia" w:ascii="宋体" w:hAnsi="宋体" w:eastAsia="宋体" w:cs="宋体"/>
          <w:color w:val="000000"/>
          <w:sz w:val="24"/>
          <w:szCs w:val="24"/>
        </w:rPr>
        <w:t xml:space="preserve">服务</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绿化服务等。</w:t>
      </w:r>
      <w:r/>
    </w:p>
    <w:p>
      <w:pPr>
        <w:jc w:val="both"/>
        <w:keepLines/>
        <w:keepNext/>
        <w:spacing w:before="0" w:after="0" w:line="400" w:lineRule="exact"/>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3.1基本服务</w:t>
      </w:r>
      <w:r/>
    </w:p>
    <w:tbl>
      <w:tblPr>
        <w:tblStyle w:val="936"/>
        <w:tblW w:w="8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97"/>
        <w:gridCol w:w="6218"/>
      </w:tblGrid>
      <w:tr>
        <w:trPr>
          <w:jc w:val="center"/>
          <w:trHeight w:val="454"/>
        </w:trPr>
        <w:tc>
          <w:tcPr>
            <w:tcW w:w="803" w:type="dxa"/>
            <w:vAlign w:val="center"/>
            <w:textDirection w:val="lrTb"/>
            <w:noWrap w:val="false"/>
          </w:tcPr>
          <w:p>
            <w:pPr>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697" w:type="dxa"/>
            <w:vAlign w:val="center"/>
            <w:textDirection w:val="lrTb"/>
            <w:noWrap w:val="false"/>
          </w:tcPr>
          <w:p>
            <w:pPr>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6218" w:type="dxa"/>
            <w:vAlign w:val="center"/>
            <w:textDirection w:val="lrTb"/>
            <w:noWrap w:val="false"/>
          </w:tcPr>
          <w:p>
            <w:pPr>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90"/>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目标与责任</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（1）结合采购人要求及物业服务实际情况，有针对性地提出物业管理服务定位、管理理念、服务目标与责任，并制定配套实施方案。</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（2）配合采购人各类重大活动现场保洁、秩序维护、会务保障等。</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服务人员要求</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（1）不定期开展岗位技能、职业素质、服务知识、客户文化、绿色节能环保等教育培训，并进行适当形式的考核。</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（2）根据采购人要求对服务人员进行从业资格审查，审查结果向采购人报备。</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服务人员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90"/>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（5）着装分类统一，佩戴标识。仪容整洁、姿态端正、举止文明。用语文明礼貌，态度温和耐心。</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保密和思想政治教育</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（1）建立保密管理制度。制度内容应当包括但不限于：①明确重点要害岗位保密职责。②对涉密工作岗位的保密要求。</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（2）根据采购人要求与涉密工作岗位的服务人员签订保密协议。保密协议应当向采购人报备。</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（3）发现服务人员违法违规或重大过失，及时报告采购人，并采取必要补救措施。</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档案管理</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（1）建立物业信息，准确、及时地对文件资料和服务记录进行归档保存，并确保其物理安全。</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巡查记录、突发事件演习与处置记录等。⑤保洁服务：工作日志、清洁检查表、用品清单、客户反馈表等。⑥其他：客户信息、财务明细、合同协议、信报信息登记、大件物品进出登记等。</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（3）遵守采购人的信息、档案资料保密要求，未经许可，不得将建筑物平面图等资料转作其他用途或向其他单位、个人提供。</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（4）履约结束后，相关资料交还采购人，采购人按政府采购相关规定存档。</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服务改进</w:t>
            </w:r>
            <w:r/>
          </w:p>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（1）明确负责人，定期对物业服务过程进行自查，结合反馈意见与评价结果采取改进措施，持续提升管理与服务水平。</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（2）对不合格服务进行控制，对不合格服务的原因进行识别和分析，及时采取纠正措施，消除不合格的原因，防止不合格再发生。</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（3）需整改问题及时整改完成。</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重大活动后勤保障</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（1）制订流程。配合采购人制订重大活动后勤保障工作流程，需对任务进行详细了解，并根据工作安排制定详细的后勤保障计划。</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（3）收尾工作。对现场进行检查，做好清理工作。</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应急保障预案</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服务方案及工作制度</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（1）制定工作制度，主要包括：人员录用制度、档案管理制度、物业服务管理制度、公用设施设备相关管理制度等。</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（2）制定项目实施方案，主要包括：交接方案、人员培训方案、人员稳定性方案、保密方案等。</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（3）制定物业服务方案，主要包括：房屋维护服务方案、公用设施设备维护服务方案、保洁服务方案、保安服务方案、会议服务方案等。</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信报服务</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（1）对邮件、包裹和挂号信等进行正确分理、安全检查和防疫卫生检查。</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（2）及时投送或通知收件人领取。</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（3）大件物品出入向采购人报告，待采购人确认无误后放行。</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服务热线及紧急维修</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（1）设置24小时报修服务热线</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（2）紧急维修应当15分钟内到达现场，不间断维修直至修复。</w:t>
            </w:r>
            <w:r/>
          </w:p>
        </w:tc>
      </w:tr>
      <w:tr>
        <w:trPr>
          <w:jc w:val="center"/>
          <w:trHeight w:val="454"/>
        </w:trPr>
        <w:tc>
          <w:tcPr>
            <w:tcW w:w="803"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697"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交接过渡</w:t>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（1）应在入驻前制定详细的《交接过渡期工作方案》，包括时间节点、工作内容、负责人及应急预案。</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（2）所有设备房、管井间、物业用房等钥匙清点、测试并完成移交</w:t>
            </w:r>
            <w:r/>
          </w:p>
        </w:tc>
      </w:tr>
      <w:tr>
        <w:trPr>
          <w:jc w:val="center"/>
          <w:trHeight w:val="454"/>
        </w:trPr>
        <w:tc>
          <w:tcPr>
            <w:tcW w:w="803"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697"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18"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（3）清点物业用房、工具、备品备件、剩余物料等所有资产，造册登记并签署确认</w:t>
            </w:r>
            <w:r/>
          </w:p>
        </w:tc>
      </w:tr>
    </w:tbl>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3.2房屋维护服务</w:t>
      </w:r>
      <w:r/>
    </w:p>
    <w:tbl>
      <w:tblPr>
        <w:tblStyle w:val="936"/>
        <w:tblW w:w="8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196"/>
        <w:gridCol w:w="5776"/>
      </w:tblGrid>
      <w:tr>
        <w:trPr>
          <w:jc w:val="center"/>
          <w:trHeight w:val="454"/>
        </w:trPr>
        <w:tc>
          <w:tcPr>
            <w:tcW w:w="820" w:type="dxa"/>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2196" w:type="dxa"/>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5776" w:type="dxa"/>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54"/>
        </w:trPr>
        <w:tc>
          <w:tcPr>
            <w:tcW w:w="820"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196"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主体结构、围护结构、部品部件</w:t>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（1）每季度至少开展1次房屋结构安全巡视，发现外观有变形、开裂等现象，及时建议采购人申请房屋安全鉴定，并采取必要的避险和防护措施。</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（2）每季度至少开展1次外墙贴饰面、幕墙玻璃、散水、空调室外机支撑构件等检查，发现破损，及时向采购人报告，并采取必要的避险和防护措施。</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（3）每月至少开展1次公用部位的门、窗、楼梯、通风道、室内地面、墙面、吊顶和室外屋面等巡查，发现破损，及时向采购人报告，并采取必要的避险和防护措施。</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（4）每年强降雨天气前后、雨雪季节检查屋面防水和雨落管等，发现破损，及时向采购人报告，并采取必要的避险和防护措施。</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（5）办公楼外观完好，建筑装饰面无脱落、无破损、无污渍，玻璃幕墙清洁明亮、无破损。</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（6）通道、楼梯、门窗等设施的完好和正常使用。</w:t>
            </w:r>
            <w:r/>
          </w:p>
        </w:tc>
      </w:tr>
      <w:tr>
        <w:trPr>
          <w:jc w:val="center"/>
          <w:trHeight w:val="454"/>
        </w:trPr>
        <w:tc>
          <w:tcPr>
            <w:tcW w:w="82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196"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其他设施</w:t>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（1）地漏通畅不堵塞。</w:t>
            </w:r>
            <w:r/>
          </w:p>
        </w:tc>
      </w:tr>
      <w:tr>
        <w:trPr>
          <w:jc w:val="center"/>
          <w:trHeight w:val="90"/>
        </w:trPr>
        <w:tc>
          <w:tcPr>
            <w:tcW w:w="820"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196"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装饰装修监督管理</w:t>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（1）装饰装修前，采购人委托供应商做好装修前所有准备工作，并告知装饰装修须知，对装饰装修过程进行管理服务。</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（2）监督装修单位及时清理垃圾。</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（3）受采购人委托对房屋内装修进行严格的监督管理，发现问题及时上报，确保不因装修而危及大楼结构安全、人身安全和影响正常办公秩序。</w:t>
            </w:r>
            <w:r/>
          </w:p>
        </w:tc>
      </w:tr>
      <w:tr>
        <w:trPr>
          <w:jc w:val="center"/>
          <w:trHeight w:val="454"/>
        </w:trPr>
        <w:tc>
          <w:tcPr>
            <w:tcW w:w="820"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196"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标识标牌</w:t>
            </w:r>
            <w:r/>
          </w:p>
        </w:tc>
        <w:tc>
          <w:tcPr>
            <w:tcW w:w="5776"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（1）标识标牌符合《公共信息图形符号第1部分：通用符号》（GB/T11.1）的相关要求，消防与安全标识符合《安全标志及其使用导则》（GB2894）、《消防安全标志　第1部分：标志》（GB13495.1）的相关要求。</w:t>
            </w:r>
            <w:r/>
          </w:p>
        </w:tc>
      </w:tr>
      <w:tr>
        <w:trPr>
          <w:jc w:val="center"/>
          <w:trHeight w:val="454"/>
        </w:trPr>
        <w:tc>
          <w:tcPr>
            <w:tcW w:w="82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96"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5776"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（2）每月至少检查1次标识标牌和消防与安全标识。应当规范清晰、路线指引正确、安装稳固。</w:t>
            </w:r>
            <w:r/>
          </w:p>
        </w:tc>
      </w:tr>
    </w:tbl>
    <w:p>
      <w:pPr>
        <w:ind w:firstLine="210"/>
        <w:jc w:val="left"/>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3.3公用设施设备维护服务</w:t>
      </w:r>
      <w:r/>
    </w:p>
    <w:tbl>
      <w:tblPr>
        <w:tblStyle w:val="936"/>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121"/>
        <w:gridCol w:w="6168"/>
      </w:tblGrid>
      <w:tr>
        <w:trPr>
          <w:jc w:val="center"/>
          <w:trHeight w:val="454"/>
        </w:trPr>
        <w:tc>
          <w:tcPr>
            <w:tcW w:w="909" w:type="dxa"/>
            <w:vAlign w:val="center"/>
            <w:textDirection w:val="lrTb"/>
            <w:noWrap w:val="false"/>
          </w:tcPr>
          <w:p>
            <w:pPr>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2121" w:type="dxa"/>
            <w:vAlign w:val="center"/>
            <w:textDirection w:val="lrTb"/>
            <w:noWrap w:val="false"/>
          </w:tcPr>
          <w:p>
            <w:pPr>
              <w:ind w:firstLine="210"/>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6168" w:type="dxa"/>
            <w:vAlign w:val="center"/>
            <w:textDirection w:val="lrTb"/>
            <w:noWrap w:val="false"/>
          </w:tcPr>
          <w:p>
            <w:pPr>
              <w:ind w:firstLine="210"/>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54"/>
        </w:trPr>
        <w:tc>
          <w:tcPr>
            <w:tcW w:w="909" w:type="dxa"/>
            <w:vAlign w:val="center"/>
            <w:vMerge w:val="restart"/>
            <w:textDirection w:val="lrTb"/>
            <w:noWrap w:val="false"/>
          </w:tcPr>
          <w:p>
            <w:pPr>
              <w:ind w:firstLine="210"/>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121" w:type="dxa"/>
            <w:vAlign w:val="center"/>
            <w:vMerge w:val="restart"/>
            <w:textDirection w:val="lrTb"/>
            <w:noWrap w:val="false"/>
          </w:tcPr>
          <w:p>
            <w:pPr>
              <w:ind w:firstLine="210"/>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（1）针对本项目特点，制定公用设施设备维修服务方案，并按照执行</w:t>
            </w:r>
            <w:r/>
          </w:p>
        </w:tc>
      </w:tr>
      <w:tr>
        <w:trPr>
          <w:jc w:val="center"/>
          <w:trHeight w:val="454"/>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（2）重大节假日及恶劣天气前后，组织系统巡检1次。</w:t>
            </w:r>
            <w:r/>
          </w:p>
        </w:tc>
      </w:tr>
      <w:tr>
        <w:trPr>
          <w:jc w:val="center"/>
          <w:trHeight w:val="454"/>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（3）具备设施设备安全、稳定运行的环境和场所（含有限空间），温湿度、照度、粉尘和烟雾浓度等符合相关安全规范。</w:t>
            </w:r>
            <w:r/>
          </w:p>
        </w:tc>
      </w:tr>
      <w:tr>
        <w:trPr>
          <w:jc w:val="center"/>
          <w:trHeight w:val="90"/>
        </w:trPr>
        <w:tc>
          <w:tcPr>
            <w:tcW w:w="909" w:type="dxa"/>
            <w:vAlign w:val="center"/>
            <w:vMerge w:val="restart"/>
            <w:textDirection w:val="lrTb"/>
            <w:noWrap w:val="false"/>
          </w:tcPr>
          <w:p>
            <w:pPr>
              <w:ind w:firstLine="210"/>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121" w:type="dxa"/>
            <w:vAlign w:val="center"/>
            <w:vMerge w:val="restart"/>
            <w:textDirection w:val="lrTb"/>
            <w:noWrap w:val="false"/>
          </w:tcPr>
          <w:p>
            <w:pPr>
              <w:ind w:firstLine="210"/>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设备机房</w:t>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Height w:val="445"/>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（2）通向设备机房道路畅通，设备机房门窗、锁具应当完好、有效。</w:t>
            </w:r>
            <w:r/>
          </w:p>
        </w:tc>
      </w:tr>
      <w:tr>
        <w:trPr>
          <w:jc w:val="center"/>
          <w:trHeight w:val="483"/>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（3）每半月至少开展1次清洁，整洁有序、无杂物、无积尘、无鼠、无虫害，温湿度符合设备运行要求。</w:t>
            </w:r>
            <w:r/>
          </w:p>
        </w:tc>
      </w:tr>
      <w:tr>
        <w:trPr>
          <w:jc w:val="center"/>
          <w:trHeight w:val="481"/>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（4）按各设备机房国家标准规范规定维护/保管消防、通风、应急照明，防止小动物进入。</w:t>
            </w:r>
            <w:r/>
          </w:p>
        </w:tc>
      </w:tr>
      <w:tr>
        <w:trPr>
          <w:jc w:val="center"/>
          <w:trHeight w:val="493"/>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（5）安全防护用具配置齐全，检验合格。</w:t>
            </w:r>
            <w:r/>
          </w:p>
        </w:tc>
      </w:tr>
      <w:tr>
        <w:trPr>
          <w:jc w:val="center"/>
          <w:trHeight w:val="481"/>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（6）应急设施设备用品应当齐全、完备，可随时启用。</w:t>
            </w:r>
            <w:r/>
          </w:p>
        </w:tc>
      </w:tr>
      <w:tr>
        <w:trPr>
          <w:jc w:val="center"/>
          <w:trHeight w:val="454"/>
        </w:trPr>
        <w:tc>
          <w:tcPr>
            <w:tcW w:w="909" w:type="dxa"/>
            <w:vAlign w:val="center"/>
            <w:vMerge w:val="restart"/>
            <w:textDirection w:val="lrTb"/>
            <w:noWrap w:val="false"/>
          </w:tcPr>
          <w:p>
            <w:pPr>
              <w:ind w:firstLine="210"/>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121" w:type="dxa"/>
            <w:vAlign w:val="center"/>
            <w:vMerge w:val="restart"/>
            <w:textDirection w:val="lrTb"/>
            <w:noWrap w:val="false"/>
          </w:tcPr>
          <w:p>
            <w:pPr>
              <w:ind w:firstLine="210"/>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给排水系统</w:t>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（1）设施设备、阀门、管道等运行正常，无跑、冒、滴、漏现象。</w:t>
            </w:r>
            <w:r/>
          </w:p>
        </w:tc>
      </w:tr>
      <w:tr>
        <w:trPr>
          <w:jc w:val="center"/>
          <w:trHeight w:val="454"/>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（2）有水泵房、水箱间的，每日至少巡视1次。每年至少养护1次水泵。</w:t>
            </w:r>
            <w:r/>
          </w:p>
        </w:tc>
      </w:tr>
      <w:tr>
        <w:trPr>
          <w:jc w:val="center"/>
          <w:trHeight w:val="454"/>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（3）遇供水单位限水、停水，提前通知采购人。</w:t>
            </w:r>
            <w:r/>
          </w:p>
        </w:tc>
      </w:tr>
      <w:tr>
        <w:trPr>
          <w:jc w:val="center"/>
          <w:trHeight w:val="454"/>
        </w:trPr>
        <w:tc>
          <w:tcPr>
            <w:tcW w:w="909"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121" w:type="dxa"/>
            <w:vAlign w:val="center"/>
            <w:vMerge w:val="continue"/>
            <w:textDirection w:val="lrTb"/>
            <w:noWrap w:val="false"/>
          </w:tcPr>
          <w:p>
            <w:pPr>
              <w:ind w:firstLine="210"/>
              <w:jc w:val="left"/>
              <w:spacing w:line="40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168" w:type="dxa"/>
            <w:vAlign w:val="center"/>
            <w:textDirection w:val="lrTb"/>
            <w:noWrap w:val="false"/>
          </w:tcPr>
          <w:p>
            <w:pPr>
              <w:jc w:val="left"/>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（4）每季度至少开展1次对排水管进行疏通、清污，保证室内外排水系统通畅。</w:t>
            </w:r>
            <w:r/>
          </w:p>
        </w:tc>
      </w:tr>
    </w:tbl>
    <w:p>
      <w:pPr>
        <w:ind w:firstLine="210"/>
        <w:jc w:val="left"/>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3.4保洁服务</w:t>
      </w:r>
      <w:r/>
    </w:p>
    <w:tbl>
      <w:tblPr>
        <w:tblStyle w:val="936"/>
        <w:tblW w:w="8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701"/>
        <w:gridCol w:w="6041"/>
      </w:tblGrid>
      <w:tr>
        <w:trPr>
          <w:jc w:val="center"/>
          <w:trHeight w:val="454"/>
        </w:trPr>
        <w:tc>
          <w:tcPr>
            <w:tcW w:w="861" w:type="dxa"/>
            <w:vAlign w:val="center"/>
            <w:textDirection w:val="lrTb"/>
            <w:noWrap w:val="false"/>
          </w:tcPr>
          <w:p>
            <w:pPr>
              <w:jc w:val="center"/>
              <w:spacing w:line="3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701" w:type="dxa"/>
            <w:vAlign w:val="center"/>
            <w:textDirection w:val="lrTb"/>
            <w:noWrap w:val="false"/>
          </w:tcPr>
          <w:p>
            <w:pPr>
              <w:ind w:firstLine="210"/>
              <w:jc w:val="center"/>
              <w:spacing w:line="3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6041" w:type="dxa"/>
            <w:vAlign w:val="center"/>
            <w:textDirection w:val="lrTb"/>
            <w:noWrap w:val="false"/>
          </w:tcPr>
          <w:p>
            <w:pPr>
              <w:ind w:firstLine="210"/>
              <w:jc w:val="center"/>
              <w:spacing w:line="3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54"/>
        </w:trPr>
        <w:tc>
          <w:tcPr>
            <w:tcW w:w="86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0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（1）建立保洁服务的工作方案，并按照执行。</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（2）做好保洁服务工作记录，记录填写规范、保存完好。</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（3）作业时采取安全防护措施，防止对作业人员或他人造成伤害。相关耗材的环保、安全性等应当符合国家相关规定要求。</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（4）进入保密区域时，有采购人相关人员全程在场。</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（5）须保持采购人物业服务区域内环境优美，卫生整洁；保持室内外各公共包干区清洁卫生、环境宜人；重点部位须专人负责，始终保持清洁状态。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（6）保洁服务范围</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①办公楼采购人物业服务区域内的保洁相关工作；</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②负责卫生突发事件的处理；</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③负责卫生消杀工作。</w:t>
            </w:r>
            <w:r/>
          </w:p>
        </w:tc>
      </w:tr>
      <w:tr>
        <w:trPr>
          <w:jc w:val="center"/>
          <w:trHeight w:val="454"/>
        </w:trPr>
        <w:tc>
          <w:tcPr>
            <w:tcW w:w="86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701"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办公用房区域保洁</w:t>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（1）电梯厅、电梯轿厢、卫生间、开水间的服务和保洁；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（2）各楼层楼梯、公共过道、安全楼道、扶手、楼顶、窗台、平台、空调风口及所有楼层的3m以下内玻璃的服务和保洁；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（3）健身房、党建室、男女更衣室、书吧、办公区域的保洁；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（4）电器（空调、饮水机、开水炉）、灯具及开关、电源盒、消防器材、公告栏、指示版、房间门牌、地垫、洗手池、烘手机、纸盒、镜面、台面、水池、尿斗、厕位、垃圾桶（篓）及会议座椅的服务和保洁；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（5）一次性保洁用品摆放到位，及时更换；</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（6）所有设备机房的地面、墙面、顶面的服务和保洁；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（7）大厅、楼内公共通道：</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①公共通道保持干净，无异味、无杂物、无积水，每日至少开展1次清洁。</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②门窗玻璃干净无尘，透光性好，每周至少开展1次清洁作业。</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③指示牌干净，无污渍，每日至少开展1次清洁作业。 </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（8）电器、消防等设施设备：</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①配电箱、设备机房、会议室音视频设备、消防栓及开关插座等保持表面干净，无尘无污迹，每月至少开展1次清洁作业。</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②监控摄像头、门禁系统等表面光亮，无尘、无斑点，每月至少开展1次清洁作业。</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（9）楼梯及楼梯间保持干净、无异味、无杂物、无积水，每日至少开展1次清洁作业。</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（10）开水间保持干净、无异味、无杂物、无积水，每日至少开展1次清洁作业。</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（11）作业工具间：</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①保持干净，无异味、无杂物、无积水，每日至少开展1次清洁作业。</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②作业工具摆放整齐有序，表面干净无渍，每日消毒。</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（12）公共卫生间：</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①保持干净，无异味，垃圾无溢出，每日至少开展2次清洁作业。</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②及时补充厕纸等必要用品。</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（13）电梯轿厢：</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①保持干净，无污渍、无粘贴物、无异味，每日至少开展1次清洁作业。</w:t>
            </w:r>
            <w:r/>
          </w:p>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②灯具、操作指示板明亮。</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（14）平台、屋顶、天沟保持干净，有杂物及时清扫，每月至少开展1次清洁作业。</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（15）石材地面、内墙做好养护工作，每季度开展1次清洁作业。（各类材质地面、内墙服务管理标准详见3.4.1）</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（16）地毯干净、无油渍、无污渍、无褪色，每月至少开展1次吸尘作业。</w:t>
            </w:r>
            <w:r/>
          </w:p>
        </w:tc>
      </w:tr>
      <w:tr>
        <w:trPr>
          <w:jc w:val="center"/>
          <w:trHeight w:val="454"/>
        </w:trPr>
        <w:tc>
          <w:tcPr>
            <w:tcW w:w="86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70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垃圾处理</w:t>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（1）在指定位置摆放分类垃圾桶，并在显著处张贴垃圾分类标识。</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（2）桶身表面干净无污渍，每日开展至少1次清洁作业。</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（3）每个工作日内要对楼层产生的垃圾，进行清理分类，并运至环卫所集中处理。</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（4）垃圾装袋，日产日清。</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（5）做好垃圾分类管理的宣传工作，督促并引导全员参与垃圾分类投放。</w:t>
            </w:r>
            <w:r/>
          </w:p>
        </w:tc>
      </w:tr>
      <w:tr>
        <w:trPr>
          <w:jc w:val="center"/>
          <w:trHeight w:val="454"/>
        </w:trPr>
        <w:tc>
          <w:tcPr>
            <w:tcW w:w="86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701" w:type="dxa"/>
            <w:vAlign w:val="center"/>
            <w:vMerge w:val="restart"/>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卫生消毒</w:t>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（1）办公用房区域、公共场所区域和周围环境预防性卫生消毒，消毒后及时通风，每周至少开展1次作业。</w:t>
            </w:r>
            <w:r/>
          </w:p>
        </w:tc>
      </w:tr>
      <w:tr>
        <w:trPr>
          <w:jc w:val="center"/>
          <w:trHeight w:val="454"/>
        </w:trPr>
        <w:tc>
          <w:tcPr>
            <w:tcW w:w="86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vMerge w:val="continue"/>
            <w:textDirection w:val="lrTb"/>
            <w:noWrap w:val="false"/>
          </w:tcPr>
          <w:p>
            <w:pPr>
              <w:ind w:firstLine="210"/>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041" w:type="dxa"/>
            <w:vAlign w:val="center"/>
            <w:textDirection w:val="lrTb"/>
            <w:noWrap w:val="false"/>
          </w:tcPr>
          <w:p>
            <w:pPr>
              <w:ind w:firstLine="210"/>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（2）发生公共卫生事件时，邀请专业单位开展消毒、检测等工作。</w:t>
            </w:r>
            <w:r/>
          </w:p>
        </w:tc>
      </w:tr>
    </w:tbl>
    <w:p>
      <w:pPr>
        <w:rPr>
          <w:rFonts w:ascii="宋体" w:hAnsi="宋体" w:eastAsia="宋体" w:cs="宋体"/>
          <w:b/>
          <w:bCs/>
          <w:color w:val="000000"/>
          <w:sz w:val="24"/>
          <w:szCs w:val="24"/>
        </w:rPr>
        <w:outlineLvl w:val="3"/>
      </w:pPr>
      <w:r>
        <w:rPr>
          <w:rFonts w:hint="eastAsia" w:ascii="宋体" w:hAnsi="宋体" w:eastAsia="宋体" w:cs="宋体"/>
          <w:b/>
          <w:bCs/>
          <w:color w:val="000000"/>
          <w:sz w:val="24"/>
          <w:szCs w:val="24"/>
        </w:rPr>
        <w:t xml:space="preserve">3.4.1具体清洁要求</w:t>
      </w:r>
      <w:r/>
    </w:p>
    <w:tbl>
      <w:tblPr>
        <w:tblStyle w:val="936"/>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2077"/>
        <w:gridCol w:w="6201"/>
      </w:tblGrid>
      <w:tr>
        <w:trPr>
          <w:jc w:val="center"/>
          <w:trHeight w:val="454"/>
        </w:trPr>
        <w:tc>
          <w:tcPr>
            <w:tcW w:w="880" w:type="dxa"/>
            <w:vAlign w:val="center"/>
            <w:textDirection w:val="lrTb"/>
            <w:noWrap w:val="false"/>
          </w:tcPr>
          <w:p>
            <w:pPr>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2077" w:type="dxa"/>
            <w:vAlign w:val="center"/>
            <w:textDirection w:val="lrTb"/>
            <w:noWrap w:val="false"/>
          </w:tcPr>
          <w:p>
            <w:pPr>
              <w:ind w:firstLine="210"/>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材质</w:t>
            </w:r>
            <w:r/>
          </w:p>
        </w:tc>
        <w:tc>
          <w:tcPr>
            <w:tcW w:w="6201" w:type="dxa"/>
            <w:vAlign w:val="center"/>
            <w:textDirection w:val="lrTb"/>
            <w:noWrap w:val="false"/>
          </w:tcPr>
          <w:p>
            <w:pPr>
              <w:ind w:firstLine="210"/>
              <w:jc w:val="center"/>
              <w:spacing w:line="40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清洁要求</w:t>
            </w:r>
            <w:r/>
          </w:p>
        </w:tc>
      </w:tr>
      <w:tr>
        <w:trPr>
          <w:jc w:val="center"/>
          <w:trHeight w:val="454"/>
        </w:trPr>
        <w:tc>
          <w:tcPr>
            <w:tcW w:w="880"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077"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环氧地坪地面</w:t>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（1）清理垃圾：清理地面上的垃圾和杂物。</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（3）滚刷或颗粒机进行深层清洗：对于顽固沉积物，需要使用滚刷或颗粒机进行深层清洗。</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（4）浸泡：将清洁剂或去污剂浸泡在环氧地坪上，加强去除污渍的效果。</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（5）冲洗：用清水将地面冲洗干净，以去除残留的清洁剂或去污剂。</w:t>
            </w:r>
            <w:r/>
          </w:p>
        </w:tc>
      </w:tr>
      <w:tr>
        <w:trPr>
          <w:jc w:val="center"/>
          <w:trHeight w:val="454"/>
        </w:trPr>
        <w:tc>
          <w:tcPr>
            <w:tcW w:w="880"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077"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瓷砖地面</w:t>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（1）日常清洁：推尘，保持地面干净无杂物。</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（2）深度清洁：使用洗洁精或肥皂水清理。</w:t>
            </w:r>
            <w:r/>
          </w:p>
        </w:tc>
      </w:tr>
      <w:tr>
        <w:trPr>
          <w:jc w:val="center"/>
          <w:trHeight w:val="454"/>
        </w:trPr>
        <w:tc>
          <w:tcPr>
            <w:tcW w:w="880"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077"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石材地面</w:t>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（1）根据各区域的人流量及大理石的实际磨损程度制定大理石的晶面保养计划。</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（2）启动晶面机，使用中性清洁剂清洁，避免使用强酸或强碱清洁剂，定期进行基础维护。</w:t>
            </w:r>
            <w:r/>
          </w:p>
        </w:tc>
      </w:tr>
      <w:tr>
        <w:trPr>
          <w:jc w:val="center"/>
          <w:trHeight w:val="454"/>
        </w:trPr>
        <w:tc>
          <w:tcPr>
            <w:tcW w:w="880"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077"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地胶板地面</w:t>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（1）定期保养。使用中性清洁剂清洁，避免使用强酸或强碱清洁剂，定期进行基础维护。</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（2）日常维护。使用湿润的拖把清洁，污染严重时局部清洁，</w:t>
            </w:r>
            <w:r>
              <w:rPr>
                <w:rFonts w:hint="eastAsia" w:ascii="宋体" w:hAnsi="宋体" w:cs="宋体"/>
                <w:color w:val="000000"/>
                <w:sz w:val="24"/>
                <w:szCs w:val="24"/>
                <w:lang w:val="en-US" w:eastAsia="zh-CN"/>
              </w:rPr>
              <w:t xml:space="preserve">定期</w:t>
            </w:r>
            <w:r>
              <w:rPr>
                <w:rFonts w:hint="eastAsia" w:ascii="宋体" w:hAnsi="宋体" w:eastAsia="宋体" w:cs="宋体"/>
                <w:color w:val="000000"/>
                <w:sz w:val="24"/>
                <w:szCs w:val="24"/>
              </w:rPr>
              <w:t xml:space="preserve">对地胶板地面进行打蜡处理。</w:t>
            </w:r>
            <w:r/>
          </w:p>
        </w:tc>
      </w:tr>
      <w:tr>
        <w:trPr>
          <w:jc w:val="center"/>
          <w:trHeight w:val="454"/>
        </w:trPr>
        <w:tc>
          <w:tcPr>
            <w:tcW w:w="880"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077" w:type="dxa"/>
            <w:vAlign w:val="center"/>
            <w:vMerge w:val="restart"/>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地板地面</w:t>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（1）定期保养。使用中性清洁剂清洁，避免使用强酸或强碱清洁剂，定期进行基础维护。</w:t>
            </w:r>
            <w:r/>
          </w:p>
        </w:tc>
      </w:tr>
      <w:tr>
        <w:trPr>
          <w:jc w:val="center"/>
          <w:trHeight w:val="454"/>
        </w:trPr>
        <w:tc>
          <w:tcPr>
            <w:tcW w:w="880"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2077" w:type="dxa"/>
            <w:vAlign w:val="center"/>
            <w:vMerge w:val="continue"/>
            <w:textDirection w:val="lrTb"/>
            <w:noWrap w:val="false"/>
          </w:tcPr>
          <w:p>
            <w:pPr>
              <w:ind w:firstLine="210"/>
              <w:jc w:val="left"/>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（2）日常维护。使用湿润的拖把清洁，污染严重时局部清洁，每月对地板进行打蜡处理。</w:t>
            </w:r>
            <w:r/>
          </w:p>
        </w:tc>
      </w:tr>
      <w:tr>
        <w:trPr>
          <w:jc w:val="center"/>
          <w:trHeight w:val="454"/>
        </w:trPr>
        <w:tc>
          <w:tcPr>
            <w:tcW w:w="880"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077" w:type="dxa"/>
            <w:vAlign w:val="center"/>
            <w:textDirection w:val="lrTb"/>
            <w:noWrap w:val="false"/>
          </w:tcPr>
          <w:p>
            <w:pPr>
              <w:ind w:firstLine="210"/>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地毯地面</w:t>
            </w:r>
            <w:r/>
          </w:p>
        </w:tc>
        <w:tc>
          <w:tcPr>
            <w:tcW w:w="6201" w:type="dxa"/>
            <w:vAlign w:val="center"/>
            <w:textDirection w:val="lrTb"/>
            <w:noWrap w:val="false"/>
          </w:tcPr>
          <w:p>
            <w:pPr>
              <w:jc w:val="left"/>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日常用吸尘机除尘，局部脏污用湿布配中性清洁液重点清洁。</w:t>
            </w:r>
            <w:r/>
          </w:p>
        </w:tc>
      </w:tr>
    </w:tbl>
    <w:p>
      <w:pPr>
        <w:ind w:firstLine="4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注：根据物业用材情况选择清洁要求。</w:t>
      </w:r>
      <w:r/>
    </w:p>
    <w:p>
      <w:pPr>
        <w:jc w:val="both"/>
        <w:keepLines/>
        <w:keepNext/>
        <w:spacing w:before="0" w:after="0" w:line="400" w:lineRule="exact"/>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3.5保安服务</w:t>
      </w:r>
      <w:r/>
    </w:p>
    <w:tbl>
      <w:tblPr>
        <w:tblStyle w:val="936"/>
        <w:tblW w:w="8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253"/>
        <w:gridCol w:w="6247"/>
      </w:tblGrid>
      <w:tr>
        <w:trPr>
          <w:jc w:val="center"/>
          <w:trHeight w:val="454"/>
        </w:trPr>
        <w:tc>
          <w:tcPr>
            <w:tcW w:w="792" w:type="dxa"/>
            <w:vAlign w:val="center"/>
            <w:textDirection w:val="lrTb"/>
            <w:noWrap w:val="false"/>
          </w:tcPr>
          <w:p>
            <w:pPr>
              <w:jc w:val="center"/>
              <w:spacing w:line="3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253" w:type="dxa"/>
            <w:vAlign w:val="center"/>
            <w:textDirection w:val="lrTb"/>
            <w:noWrap w:val="false"/>
          </w:tcPr>
          <w:p>
            <w:pPr>
              <w:jc w:val="center"/>
              <w:spacing w:line="3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6247" w:type="dxa"/>
            <w:vAlign w:val="center"/>
            <w:textDirection w:val="lrTb"/>
            <w:noWrap w:val="false"/>
          </w:tcPr>
          <w:p>
            <w:pPr>
              <w:jc w:val="center"/>
              <w:spacing w:line="3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54"/>
        </w:trPr>
        <w:tc>
          <w:tcPr>
            <w:tcW w:w="792"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53"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（1）建立保安服务工作方案，并按照执行。</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（2）对巡查、值守及异常情况等做好相关记录，填写规范，保存完好。</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（3）保安人员工作时间必须着统一制服，按规定佩带保安标志。制服应干净整洁，不准披衣、敞怀、挽袖、卷裤腿、歪戴帽子、穿拖鞋或赤足。</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（4）配备保安服务必要的器材。</w:t>
            </w:r>
            <w:r/>
          </w:p>
        </w:tc>
      </w:tr>
      <w:tr>
        <w:trPr>
          <w:jc w:val="center"/>
          <w:trHeight w:val="454"/>
        </w:trPr>
        <w:tc>
          <w:tcPr>
            <w:tcW w:w="792"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53"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出入管理</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（1）设置大厅岗，大厅岗负责对外来人员验证管理。对外来人员及其携带大件物品进行询问和记录，并与相关部门取得联系，同意后方可进入。</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（2）休息日、节假日等非工作时间出入人员均需记录、登记。</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（3）排查可疑人员，对于不出示证件、不按规定登记、不听劝阻而强行闯入者，及时劝离，并告知采购人，必要时通知公安机关进行处理。</w:t>
            </w:r>
            <w:r/>
          </w:p>
        </w:tc>
      </w:tr>
      <w:tr>
        <w:trPr>
          <w:jc w:val="center"/>
          <w:trHeight w:val="454"/>
        </w:trPr>
        <w:tc>
          <w:tcPr>
            <w:tcW w:w="792"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53"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值班巡查</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（1）建立24小时值班巡查制度，并报采购人相关人员确认。</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（2）制定巡查路线，按照指定时间和路线执行，加强重点区域、重点部位及装修区域的巡查。</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（3）对大楼各楼层、关键部位定时巡查，白天上下午各巡查2次，夜间4小时巡查一次，发现问题及时处置和报告，并做好巡查记录。</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（4）巡查期间保持通信设施设备畅通，遇到异常情况立即上报并在现场采取相应措施。</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（5）收到监控室指令后，巡查人员及时到达指定地点并迅速采取相应措施。</w:t>
            </w:r>
            <w:r/>
          </w:p>
        </w:tc>
      </w:tr>
      <w:tr>
        <w:trPr>
          <w:jc w:val="center"/>
          <w:trHeight w:val="454"/>
        </w:trPr>
        <w:tc>
          <w:tcPr>
            <w:tcW w:w="792" w:type="dxa"/>
            <w:vAlign w:val="center"/>
            <w:vMerge w:val="restart"/>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53" w:type="dxa"/>
            <w:vAlign w:val="center"/>
            <w:vMerge w:val="restart"/>
            <w:textDirection w:val="lrTb"/>
            <w:noWrap w:val="false"/>
          </w:tcPr>
          <w:p>
            <w:pP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监控值守</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（1）监控室环境符合系统设备运行要求，定期进行检查，确保系统功能正常。</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（2）监控设备24小时正常运行。</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（3）值班期间遵守操作规程和保密制度，做好监控记录的保存工作。</w:t>
            </w:r>
            <w:r/>
          </w:p>
        </w:tc>
      </w:tr>
      <w:tr>
        <w:trPr>
          <w:jc w:val="center"/>
          <w:trHeight w:val="454"/>
        </w:trPr>
        <w:tc>
          <w:tcPr>
            <w:tcW w:w="792" w:type="dxa"/>
            <w:vAlign w:val="center"/>
            <w:vMerge w:val="continue"/>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（4）无关人员进入监控室或查阅监控记录，经授权人批准并做好相关记录。</w:t>
            </w:r>
            <w:r/>
          </w:p>
        </w:tc>
      </w:tr>
      <w:tr>
        <w:trPr>
          <w:jc w:val="center"/>
          <w:trHeight w:val="454"/>
        </w:trPr>
        <w:tc>
          <w:tcPr>
            <w:tcW w:w="792"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253"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车辆停放</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（1）车辆行驶路线设置合理、规范，导向标志完整、清晰。</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（2）合理规划车辆停放区域，张贴车辆引导标识，对车辆及停放区域实行规范管理。</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（3）严禁在办公楼的公用走道、楼梯间、安全出口处等公共区域停放车辆或充电。</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（4）非机动车定点有序停放。</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（5）发现车辆异常情况及时通知车主，并做好登记；发生交通事故、自然灾害等意外事故时及时赶赴现场疏导和协助处理，响应时间不超过3分钟。</w:t>
            </w:r>
            <w:r/>
          </w:p>
        </w:tc>
      </w:tr>
      <w:tr>
        <w:trPr>
          <w:jc w:val="center"/>
          <w:trHeight w:val="454"/>
        </w:trPr>
        <w:tc>
          <w:tcPr>
            <w:tcW w:w="792"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53"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消防安全管理</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（1）建立消防安全责任制，确定各级消防安全责任人及其职责。</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（2）消防控制室实行</w:t>
            </w:r>
            <w:r>
              <w:rPr>
                <w:rFonts w:ascii="宋体" w:hAnsi="宋体" w:eastAsia="宋体" w:cs="宋体"/>
                <w:color w:val="000000"/>
                <w:sz w:val="24"/>
                <w:szCs w:val="24"/>
                <w:highlight w:val="none"/>
              </w:rPr>
              <w:t xml:space="preserve">24小时值班制度，每班不少于2人。</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（3）消火栓、应急照明、应急物资、消防及人员逃生通道、消防车通道可随时正常使用。</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（4）易燃易爆品设专区专人管理，做好相关记录。</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（5）定期组织消防安全宣传，每半年至少开展1次消防演练。</w:t>
            </w:r>
            <w:r/>
          </w:p>
        </w:tc>
      </w:tr>
      <w:tr>
        <w:trPr>
          <w:jc w:val="center"/>
          <w:trHeight w:val="454"/>
        </w:trPr>
        <w:tc>
          <w:tcPr>
            <w:tcW w:w="792"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253"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突发事件处理</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（1）制定突发事件安全责任书，明确突发事件责任人及应承担的安全责任。</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（2）建立应急突发事件处置队伍，明确各自的职责。</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（3）识别、分析各种潜在风险，针对不同风险类型制定相应解决方案，并配备应急物资。</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（4）每半年至少开展1次突发事件应急演练，并有相应记录。</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（5）发生意外事件时，及时采取应急措施，维护办公区域物业服务正常进行，保护人身财产安全。</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（6）办公区域物业服务应急预案终止实施后，积极采取措施，在尽可能短的时间内，消除事故带来的不良影响，妥善安置和慰问受害及受影响的人员和部门。</w:t>
            </w:r>
            <w:r/>
          </w:p>
        </w:tc>
      </w:tr>
      <w:tr>
        <w:trPr>
          <w:jc w:val="center"/>
          <w:trHeight w:val="454"/>
        </w:trPr>
        <w:tc>
          <w:tcPr>
            <w:tcW w:w="792"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253" w:type="dxa"/>
            <w:vAlign w:val="center"/>
            <w:vMerge w:val="restart"/>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大型活动秩序</w:t>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（1）制定相应的活动秩序维护方案，合理安排人员，并对场所的安全隐患进行排查。</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（2）应当保障通道、出入口、停车场等区域畅通。</w:t>
            </w:r>
            <w:r/>
          </w:p>
        </w:tc>
      </w:tr>
      <w:tr>
        <w:trPr>
          <w:jc w:val="center"/>
          <w:trHeight w:val="454"/>
        </w:trPr>
        <w:tc>
          <w:tcPr>
            <w:tcW w:w="792"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53" w:type="dxa"/>
            <w:vAlign w:val="center"/>
            <w:vMerge w:val="continue"/>
            <w:textDirection w:val="lrTb"/>
            <w:noWrap w:val="false"/>
          </w:tcPr>
          <w:p>
            <w:pPr>
              <w:jc w:val="left"/>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624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（3）活动举办过程中，做好现场秩序的维护和突发事故的处置工作，确保活动正常进行。</w:t>
            </w:r>
            <w:r/>
          </w:p>
        </w:tc>
      </w:tr>
    </w:tbl>
    <w:p>
      <w:pPr>
        <w:jc w:val="both"/>
        <w:keepLines/>
        <w:keepNext/>
        <w:spacing w:before="260" w:after="260" w:line="400" w:lineRule="exact"/>
        <w:widowControl w:val="off"/>
        <w:rPr>
          <w:rFonts w:ascii="宋体" w:hAnsi="宋体" w:eastAsia="宋体" w:cs="宋体"/>
          <w:b/>
          <w:bCs/>
          <w:color w:val="000000"/>
          <w:sz w:val="24"/>
          <w:szCs w:val="24"/>
          <w:lang w:val="en-US" w:eastAsia="zh-CN" w:bidi="ar-SA"/>
        </w:rPr>
        <w:outlineLvl w:val="2"/>
      </w:pPr>
      <w:r/>
      <w:bookmarkStart w:id="192" w:name="_Toc27983"/>
      <w:r/>
      <w:bookmarkStart w:id="193" w:name="_Toc26417"/>
      <w:r/>
      <w:bookmarkStart w:id="194" w:name="_Toc12052"/>
      <w:r>
        <w:rPr>
          <w:rFonts w:hint="eastAsia" w:ascii="宋体" w:hAnsi="宋体" w:eastAsia="宋体" w:cs="宋体"/>
          <w:b/>
          <w:bCs/>
          <w:color w:val="000000"/>
          <w:sz w:val="24"/>
          <w:szCs w:val="24"/>
          <w:lang w:val="en-US" w:eastAsia="zh-CN" w:bidi="ar-SA"/>
        </w:rPr>
        <w:t xml:space="preserve">3.6会务服务 </w:t>
      </w:r>
      <w:r/>
    </w:p>
    <w:tbl>
      <w:tblPr>
        <w:tblStyle w:val="936"/>
        <w:tblW w:w="9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310"/>
        <w:gridCol w:w="7110"/>
      </w:tblGrid>
      <w:tr>
        <w:trPr>
          <w:jc w:val="center"/>
          <w:trHeight w:val="454"/>
        </w:trPr>
        <w:tc>
          <w:tcPr>
            <w:tcW w:w="787" w:type="dxa"/>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310" w:type="dxa"/>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7110" w:type="dxa"/>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54"/>
        </w:trPr>
        <w:tc>
          <w:tcPr>
            <w:tcW w:w="78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310"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W w:w="71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（1）制定会议室、服务前台服务方案，并按照执行。</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（2）负责一楼大厅接待和管理、收发室邮件、报刊收发、档案管理及勤杂事项等工作；负责礼仪接待，包括迎宾、车辆引导、但不限于茶水、席卡、文件资料摆放等。</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（3）按四星级酒店管理规范和要求做好各项服务保障工作。</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（4）协助有关部门做好视频会议设备调试、LED大屏保障工作。</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（5）服务员按采购人要求严格遵守相关保密规定。</w:t>
            </w:r>
            <w:r/>
          </w:p>
        </w:tc>
      </w:tr>
      <w:tr>
        <w:trPr>
          <w:jc w:val="center"/>
          <w:trHeight w:val="454"/>
        </w:trPr>
        <w:tc>
          <w:tcPr>
            <w:tcW w:w="78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10"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会前的准备工作</w:t>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（1）接受会议预订，提前掌握主办会议单位、人数、时间、要客及具体要求。</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（2）按要求布置会议室，摆放好用品用具。根据人数和要求摆放桌椅，将多余的桌椅撤去。</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（3）搞好会场内外的清洁卫生。</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（4）摆放的用具（茶杯、杯垫），盘距桌边6cm，茶杯柄向右，图案要统一。</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（5）按要求摆放告示牌，挂横幅、贴背板等。</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（6）按要求酌情摆放签到台：提供用具，桌椅，签到牌，铺设台裙。</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（7）按要求铺好会议桌布，注意垂边整齐等。</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（8）音响操作人员负责调试音响、灯光效果、电器设备（话筒、音响、灯具、电脑、投影仪等），协调有关部门做好视频会议设备调试、LED大屏保障工作。</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（9）调节好室内空气、温度。</w:t>
            </w:r>
            <w:r/>
          </w:p>
        </w:tc>
      </w:tr>
      <w:tr>
        <w:trPr>
          <w:jc w:val="center"/>
          <w:trHeight w:val="454"/>
        </w:trPr>
        <w:tc>
          <w:tcPr>
            <w:tcW w:w="78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310"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入场当天的迎宾工作</w:t>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（1）服务员着装整齐，提前30分钟到岗，在会议室门口迎接与会者入场。</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（2）客人入座后，由服务员为客倒水，不得有遗漏。</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（3）与会人员全部进入会议室后，酌情在门外把手上挂“会议进行中、保持安静”的牌子。</w:t>
            </w:r>
            <w:r/>
          </w:p>
        </w:tc>
      </w:tr>
      <w:tr>
        <w:trPr>
          <w:jc w:val="center"/>
          <w:trHeight w:val="454"/>
        </w:trPr>
        <w:tc>
          <w:tcPr>
            <w:tcW w:w="78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310"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开会过程的服务工作</w:t>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（1）服务员要坚守岗位、维持秩序，不得大声喧哗，保证会场周围安静，保证会议安全。</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（2）注意观察会议情况，按时添加茶水，及时处置会场中突发情况。</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（3）注意观察场内温度、空气，提请相关人员适时调整。</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（4）确保会议中的音响效果，并及时为客人调整话筒位置（高、低）。</w:t>
            </w:r>
            <w:r/>
          </w:p>
        </w:tc>
      </w:tr>
      <w:tr>
        <w:trPr>
          <w:jc w:val="center"/>
          <w:trHeight w:val="454"/>
        </w:trPr>
        <w:tc>
          <w:tcPr>
            <w:tcW w:w="78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310"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会议结束时的服务工作</w:t>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（1）及时打开大门，在门口欢送客人。</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（2）检查会场有无遗留文件、物品及室内用品有无短缺和损坏。</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（3）进行安全检查，关闭所有电器、电源、收拾场内用品、用具。</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（4）清扫会议室卫生，必要时进行消毒，关灯锁门。</w:t>
            </w:r>
            <w:r/>
          </w:p>
        </w:tc>
      </w:tr>
      <w:tr>
        <w:trPr>
          <w:jc w:val="center"/>
          <w:trHeight w:val="454"/>
        </w:trPr>
        <w:tc>
          <w:tcPr>
            <w:tcW w:w="78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310" w:type="dxa"/>
            <w:vAlign w:val="center"/>
            <w:vMerge w:val="restart"/>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主席台、贵宾室的服务工作</w:t>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（1）主席台、贵宾室是会议服务的重点，要由专人服务。</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（2）按要求及时做好主席台、贵宾室布置工作。</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（3）按人数摆放椅子、席卡以及其它用具。</w:t>
            </w:r>
            <w:r/>
          </w:p>
        </w:tc>
      </w:tr>
      <w:tr>
        <w:trPr>
          <w:jc w:val="center"/>
          <w:trHeight w:val="454"/>
        </w:trPr>
        <w:tc>
          <w:tcPr>
            <w:tcW w:w="78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310" w:type="dxa"/>
            <w:vAlign w:val="center"/>
            <w:vMerge w:val="continue"/>
            <w:textDirection w:val="lrTb"/>
            <w:noWrap w:val="false"/>
          </w:tcPr>
          <w:p>
            <w:pP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7110" w:type="dxa"/>
            <w:vAlign w:val="top"/>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（4）注意观察主席台上人员要求，按时添水做好保障。</w:t>
            </w:r>
            <w:r/>
          </w:p>
        </w:tc>
      </w:tr>
      <w:tr>
        <w:trPr>
          <w:jc w:val="center"/>
          <w:trHeight w:val="454"/>
        </w:trPr>
        <w:tc>
          <w:tcPr>
            <w:tcW w:w="78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3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会后整理</w:t>
            </w:r>
            <w:r/>
          </w:p>
        </w:tc>
        <w:tc>
          <w:tcPr>
            <w:tcW w:w="7110" w:type="dxa"/>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（1）对会议现场进行检查，做好会场清扫工作。</w:t>
            </w:r>
            <w:r/>
          </w:p>
        </w:tc>
      </w:tr>
    </w:tbl>
    <w:p>
      <w:pP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rPr>
        <w:t xml:space="preserve">绿化服务</w:t>
      </w:r>
      <w:r/>
    </w:p>
    <w:tbl>
      <w:tblPr>
        <w:tblStyle w:val="936"/>
        <w:tblW w:w="9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288"/>
        <w:gridCol w:w="7184"/>
      </w:tblGrid>
      <w:tr>
        <w:trPr>
          <w:jc w:val="center"/>
          <w:trHeight w:val="680"/>
          <w:tblHeader/>
        </w:trPr>
        <w:tc>
          <w:tcPr>
            <w:tcW w:w="866" w:type="dxa"/>
            <w:vAlign w:val="center"/>
            <w:textDirection w:val="lrTb"/>
            <w:noWrap w:val="false"/>
          </w:tcPr>
          <w:p>
            <w:pPr>
              <w:jc w:val="left"/>
              <w:spacing w:line="36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序号</w:t>
            </w:r>
            <w:r/>
          </w:p>
        </w:tc>
        <w:tc>
          <w:tcPr>
            <w:tcW w:w="1288" w:type="dxa"/>
            <w:vAlign w:val="center"/>
            <w:textDirection w:val="lrTb"/>
            <w:noWrap w:val="false"/>
          </w:tcPr>
          <w:p>
            <w:pPr>
              <w:jc w:val="left"/>
              <w:spacing w:line="36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服务内容</w:t>
            </w:r>
            <w:r/>
          </w:p>
        </w:tc>
        <w:tc>
          <w:tcPr>
            <w:tcW w:w="7184" w:type="dxa"/>
            <w:vAlign w:val="center"/>
            <w:textDirection w:val="lrTb"/>
            <w:noWrap w:val="false"/>
          </w:tcPr>
          <w:p>
            <w:pPr>
              <w:jc w:val="left"/>
              <w:spacing w:line="360" w:lineRule="exac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服务标准</w:t>
            </w:r>
            <w:r/>
          </w:p>
        </w:tc>
      </w:tr>
      <w:tr>
        <w:trPr>
          <w:jc w:val="center"/>
          <w:trHeight w:val="680"/>
        </w:trPr>
        <w:tc>
          <w:tcPr>
            <w:tcW w:w="866" w:type="dxa"/>
            <w:vAlign w:val="center"/>
            <w:vMerge w:val="restart"/>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288" w:type="dxa"/>
            <w:vAlign w:val="center"/>
            <w:vMerge w:val="restart"/>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基本要求</w:t>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（1）制定绿化服务的工作制度及工作计划，并按照执行。</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（2）做好绿化服务工作记录，填写规范。</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（3）作业时采取安全防护措施，防止对作业人员或他人造成伤害。</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（4）相关耗材的环保、安全性应当符合规定要求。</w:t>
            </w:r>
            <w:r/>
          </w:p>
        </w:tc>
      </w:tr>
      <w:tr>
        <w:trPr>
          <w:jc w:val="center"/>
          <w:trHeight w:val="680"/>
        </w:trPr>
        <w:tc>
          <w:tcPr>
            <w:tcW w:w="866"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288"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养护方法</w:t>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管理程序：包括淋水、开窝培土、修剪、施肥、除草、修剪抹芽、病虫害防治、扶正、补苗（苗木费另计）等整套过程。 </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管理工具： </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、花剪、长剪、高空剪、铲草机、剪草机 </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、喷雾器、桶、斗车、竹箕 </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、铲、锄、锯子、电锯、梯子   </w:t>
            </w:r>
            <w:r/>
          </w:p>
        </w:tc>
      </w:tr>
      <w:tr>
        <w:trPr>
          <w:jc w:val="center"/>
          <w:trHeight w:val="680"/>
        </w:trPr>
        <w:tc>
          <w:tcPr>
            <w:tcW w:w="866" w:type="dxa"/>
            <w:vAlign w:val="center"/>
            <w:vMerge w:val="restart"/>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288" w:type="dxa"/>
            <w:vAlign w:val="center"/>
            <w:vMerge w:val="restart"/>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养护方案</w:t>
            </w:r>
            <w:r/>
          </w:p>
        </w:tc>
        <w:tc>
          <w:tcPr>
            <w:tcW w:w="7184" w:type="dxa"/>
            <w:vAlign w:val="center"/>
            <w:textDirection w:val="lrTb"/>
            <w:noWrap w:val="false"/>
          </w:tcPr>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（1）一、二月份：全年中气温最低的月份，露地树木处于休眠状态。</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1、冬季修剪.</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2、行道树检查.</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3、防治害虫.</w:t>
            </w:r>
            <w:r/>
          </w:p>
          <w:p>
            <w:pP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4、绿地养护：绿地、花坛等地要注意挑除大型野草；草坪要及时挑草、切边；绿地内要注意防冻浇水。</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（2）三、四月份：气温较上月有所回升，树木仍处于休眠状态。</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植树：春季是植树的有利时机。土壤解冻后，应立即抓紧时机植树。植大小乔木前作好规划设计，事先挖（刨）好树坑，要做到随挖、随运、随种、随浇水。种植灌木时也应做到随挖、随运、随种，并充分浇水，以提高苗木存活率。</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2、春灌：因春季干旱多风，蒸发量大，为防止春旱，对绿地等应及时浇水。</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3、施肥：土壤解冻后，对植物施用基肥并灌水。</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（3）五、六月份：气温高</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1、浇水：植物需水量大，要及时浇水，不能“看天吃饭”。</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2、施肥：结合松土除草、施肥、浇水以达到最好的效果。</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3、修剪：继续对行道树进行剥芽除蘖工作。对绿篱、球类及部分花灌木实施修剪。</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4、排水工作：有大雨天气时要注意低洼处的排水工作。</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、做好树木防汛防台前的检查工作，对松动、倾斜的树木进行扶正、加固及重新绑扎。</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（4）七、八月份：仍为雨季</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1、排涝：大雨过后，对低洼积水处要及时排涝。</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2、行道树防台工作：继续做好行道树的防台工作。</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3、修剪：除一般树木夏修外，要对绿篱进行造型修剪。</w:t>
            </w:r>
            <w:r/>
          </w:p>
          <w:p>
            <w:pPr>
              <w:jc w:val="left"/>
              <w:spacing w:line="36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4、中耕除草：杂草生长也旺盛，要及时的除草，并可结合除草进行施肥。</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（5）九、十月份：气温下降，十月下旬进入初冬，树木开始落叶，陆续进入休眠期. </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1、修剪：绿地内除草，草坪切边，及时清理死树，做到树木青枝绿叶，绿地干净整齐。</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2、施肥：对一些生长较弱，枝条不够充实的树木，应追施一些磷、钾肥。</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3、做好秋季植树的准备，下旬耐寒树木一落叶，就可以开始栽植。</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（6）十、十一月份：土壤开始夜冻日化，进入隆冬季节 </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、植树：继续栽植耐寒植物，土壤冻结前完成。</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、翻土：对绿地土壤翻土，暴露准备越冬的害虫。</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、浇水：对干、板结的土壤浇水，要在封冻前完成。</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、病虫害防治各种害虫在下旬准备过冬，防治任务相对较轻。</w:t>
            </w:r>
            <w:r/>
          </w:p>
        </w:tc>
      </w:tr>
      <w:tr>
        <w:trPr>
          <w:jc w:val="center"/>
          <w:trHeight w:val="680"/>
        </w:trPr>
        <w:tc>
          <w:tcPr>
            <w:tcW w:w="866"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288" w:type="dxa"/>
            <w:vAlign w:val="center"/>
            <w:vMerge w:val="continue"/>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184" w:type="dxa"/>
            <w:vAlign w:val="center"/>
            <w:textDirection w:val="lrTb"/>
            <w:noWrap w:val="false"/>
          </w:tcPr>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（7）十二月份：低气温，开始冬季养护工作。</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1、冬季修剪：对些常绿乔木、灌木进行修剪。</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2、消灭越冬病虫害。</w:t>
            </w:r>
            <w:r/>
          </w:p>
          <w:p>
            <w:p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3、做好下一年调整工作准备：待落叶植物落叶以后，对养护区进行观察，绘制要调整的方位。</w:t>
            </w:r>
            <w:r/>
          </w:p>
        </w:tc>
      </w:tr>
    </w:tbl>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.1具体绿化项目</w:t>
      </w:r>
      <w:r/>
    </w:p>
    <w:tbl>
      <w:tblPr>
        <w:tblStyle w:val="936"/>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1827"/>
        <w:gridCol w:w="3276"/>
        <w:gridCol w:w="4055"/>
      </w:tblGrid>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工作要求</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验收标准</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浇 水、草坪、灌木</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具体视天气情况</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保持植物良好长势，不出现大面积枯萎等缺水现象。</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施肥</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平均2-3次/年</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做到施肥均匀、充足、适度，保证绿化植物强壮、枝叶茂盛。</w:t>
            </w:r>
            <w:r/>
          </w:p>
        </w:tc>
      </w:tr>
      <w:tr>
        <w:trPr>
          <w:jc w:val="center"/>
          <w:trHeight w:val="42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修剪整形</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草地：6-8次/年</w:t>
            </w:r>
            <w:r/>
          </w:p>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灌木：4-6次/年</w:t>
            </w:r>
            <w:r/>
          </w:p>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(根据长势状况而定)</w:t>
            </w:r>
            <w:r/>
          </w:p>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乔木：冬季修剪一遍。</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草地：要求草的高度一致，整齐美观，无疯张现象。乔、灌木：植物主枝分布均匀，通风透气，造型美观；绿篱整齐一致。</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病虫害防治</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草地、灌木、乔木</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及时防治，病株、虫害现象不成灾。</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除杂草松土</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草坪等除草每月一遍，雨后杂草严重者每周一遍，草坪上不允许有开花杂草，花木丛中不允许有高于花木的杂草</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花丛下无杂草，</w:t>
            </w:r>
            <w:r/>
          </w:p>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树盘内无严重杂草。</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补植</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对因生长不良造成的残缺花草、树木及时补植恢复。</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能满足植物生长的条件下无黄土裸露；无明显沟缝。</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清理</w:t>
            </w:r>
            <w:r/>
          </w:p>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绿化垃圾</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修剪下来的树枝和杂草，当天垃圾要当天清运。</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有专人跟踪保洁。</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防风防汛</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灾前积极预防，对树木加固，灾后及时清除倒树断枝、疏通道路，清理扶植。</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尽快恢复原状、以免影响交通人流</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2688"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保护措施</w:t>
            </w:r>
            <w:r/>
          </w:p>
        </w:tc>
        <w:tc>
          <w:tcPr>
            <w:tcBorders>
              <w:top w:val="single" w:color="000000" w:sz="6" w:space="0"/>
              <w:left w:val="single" w:color="000000" w:sz="6" w:space="0"/>
              <w:bottom w:val="single" w:color="000000" w:sz="6" w:space="0"/>
              <w:right w:val="single" w:color="000000" w:sz="6" w:space="0"/>
            </w:tcBorders>
            <w:tcW w:w="5241"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保护现有绿化完整，防止人为损坏。</w:t>
            </w:r>
            <w:r/>
          </w:p>
        </w:tc>
        <w:tc>
          <w:tcPr>
            <w:tcBorders>
              <w:top w:val="single" w:color="000000" w:sz="6" w:space="0"/>
              <w:left w:val="single" w:color="000000" w:sz="6" w:space="0"/>
              <w:bottom w:val="single" w:color="000000" w:sz="6" w:space="0"/>
              <w:right w:val="single" w:color="000000" w:sz="6" w:space="0"/>
            </w:tcBorders>
            <w:tcW w:w="6614" w:type="dxa"/>
            <w:vAlign w:val="center"/>
            <w:textDirection w:val="lrTb"/>
            <w:noWrap w:val="false"/>
          </w:tcPr>
          <w:p>
            <w:pPr>
              <w:jc w:val="center"/>
              <w:spacing w:line="36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出现人为损坏时要及时恢复</w:t>
            </w:r>
            <w:r/>
          </w:p>
        </w:tc>
      </w:tr>
    </w:tbl>
    <w:p>
      <w:pPr>
        <w:spacing w:line="30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4.物业管理服务人员需求</w:t>
      </w:r>
      <w:r/>
    </w:p>
    <w:p>
      <w:pPr>
        <w:ind w:firstLine="48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江苏省特种设备安全监督检验研究院无锡分院本部</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无锡市滨湖区隐秀路220号</w:t>
      </w:r>
      <w:r>
        <w:rPr>
          <w:rFonts w:hint="eastAsia" w:ascii="宋体" w:hAnsi="宋体" w:cs="宋体"/>
          <w:color w:val="000000"/>
          <w:sz w:val="24"/>
          <w:szCs w:val="24"/>
          <w:highlight w:val="none"/>
          <w:lang w:eastAsia="zh-CN"/>
        </w:rPr>
        <w:t xml:space="preserve">）</w:t>
      </w:r>
      <w:r>
        <w:rPr>
          <w:rFonts w:hint="eastAsia" w:ascii="宋体" w:hAnsi="宋体" w:eastAsia="宋体" w:cs="宋体"/>
          <w:b/>
          <w:bCs/>
          <w:color w:val="000000"/>
          <w:sz w:val="24"/>
          <w:szCs w:val="24"/>
          <w:lang w:val="en-US" w:eastAsia="zh-CN" w:bidi="ar-SA"/>
        </w:rPr>
        <w:t xml:space="preserve">及城中办事处</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无锡市梁溪区永丰路338号</w:t>
      </w:r>
      <w:r>
        <w:rPr>
          <w:rFonts w:hint="eastAsia" w:ascii="宋体" w:hAnsi="宋体" w:cs="宋体"/>
          <w:color w:val="000000"/>
          <w:sz w:val="24"/>
          <w:szCs w:val="24"/>
          <w:highlight w:val="none"/>
          <w:lang w:eastAsia="zh-CN"/>
        </w:rPr>
        <w:t xml:space="preserve">）</w:t>
      </w:r>
      <w:r/>
    </w:p>
    <w:tbl>
      <w:tblPr>
        <w:tblStyle w:val="936"/>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126"/>
        <w:gridCol w:w="1092"/>
        <w:gridCol w:w="1126"/>
        <w:gridCol w:w="5195"/>
      </w:tblGrid>
      <w:tr>
        <w:trPr>
          <w:jc w:val="center"/>
          <w:trHeight w:val="721"/>
        </w:trPr>
        <w:tc>
          <w:tcPr>
            <w:tcW w:w="1178"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部门职能</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1092"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同时在岗人数</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岗位所需总人数</w:t>
            </w:r>
            <w:r/>
          </w:p>
        </w:tc>
        <w:tc>
          <w:tcPr>
            <w:tcW w:w="5195"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1432"/>
        </w:trPr>
        <w:tc>
          <w:tcPr>
            <w:tcW w:w="1178"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基本服务</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项目负责人</w:t>
            </w:r>
            <w:r/>
          </w:p>
        </w:tc>
        <w:tc>
          <w:tcPr>
            <w:tcW w:w="1092"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5195" w:type="dxa"/>
            <w:vAlign w:val="center"/>
            <w:textDirection w:val="lrTb"/>
            <w:noWrap w:val="false"/>
          </w:tcPr>
          <w:p>
            <w:pPr>
              <w:jc w:val="left"/>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有过服务非住宅类物业的业绩</w:t>
            </w:r>
            <w:r>
              <w:rPr>
                <w:rFonts w:hint="eastAsia" w:ascii="宋体" w:hAnsi="宋体" w:cs="宋体"/>
                <w:color w:val="000000"/>
                <w:sz w:val="24"/>
                <w:szCs w:val="24"/>
                <w:highlight w:val="none"/>
                <w:lang w:val="en-US" w:eastAsia="zh-CN"/>
              </w:rPr>
              <w:t xml:space="preserve">；具有3年以上项目负责人相关从业经历；</w:t>
            </w:r>
            <w:r>
              <w:rPr>
                <w:rFonts w:hint="eastAsia" w:ascii="宋体" w:hAnsi="宋体" w:eastAsia="宋体" w:cs="宋体"/>
                <w:color w:val="000000"/>
                <w:sz w:val="24"/>
                <w:szCs w:val="24"/>
                <w:highlight w:val="none"/>
              </w:rPr>
              <w:t xml:space="preserve">且中标后须常驻本项目现场，不得兼任其它项目负责人。</w:t>
            </w:r>
            <w:r/>
          </w:p>
        </w:tc>
      </w:tr>
      <w:tr>
        <w:trPr>
          <w:jc w:val="center"/>
          <w:trHeight w:val="948"/>
        </w:trPr>
        <w:tc>
          <w:tcPr>
            <w:tcW w:w="1178"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会务服务</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会务人员</w:t>
            </w:r>
            <w:r/>
          </w:p>
        </w:tc>
        <w:tc>
          <w:tcPr>
            <w:tcW w:w="1092"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5195" w:type="dxa"/>
            <w:vAlign w:val="center"/>
            <w:textDirection w:val="lrTb"/>
            <w:noWrap w:val="false"/>
          </w:tcPr>
          <w:p>
            <w:pPr>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形象较好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w:t>
            </w:r>
            <w:r>
              <w:rPr>
                <w:rFonts w:hint="eastAsia" w:ascii="宋体" w:hAnsi="宋体" w:cs="宋体"/>
                <w:color w:val="000000"/>
                <w:sz w:val="24"/>
                <w:szCs w:val="24"/>
                <w:highlight w:val="none"/>
                <w:lang w:val="en-US" w:eastAsia="zh-CN"/>
              </w:rPr>
              <w:t xml:space="preserve">3年及以上</w:t>
            </w:r>
            <w:r>
              <w:rPr>
                <w:rFonts w:hint="eastAsia" w:ascii="宋体" w:hAnsi="宋体" w:eastAsia="宋体" w:cs="宋体"/>
                <w:color w:val="000000"/>
                <w:sz w:val="24"/>
                <w:szCs w:val="24"/>
                <w:highlight w:val="none"/>
              </w:rPr>
              <w:t xml:space="preserve">会务服务相关工作经验。</w:t>
            </w:r>
            <w:r/>
          </w:p>
        </w:tc>
      </w:tr>
      <w:tr>
        <w:trPr>
          <w:jc w:val="center"/>
          <w:trHeight w:val="721"/>
        </w:trPr>
        <w:tc>
          <w:tcPr>
            <w:tcW w:w="1178" w:type="dxa"/>
            <w:vAlign w:val="center"/>
            <w:vMerge w:val="restart"/>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保洁服务</w:t>
            </w:r>
            <w:r/>
          </w:p>
        </w:tc>
        <w:tc>
          <w:tcPr>
            <w:tcW w:w="1126" w:type="dxa"/>
            <w:vAlign w:val="center"/>
            <w:vMerge w:val="restart"/>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p>
        </w:tc>
        <w:tc>
          <w:tcPr>
            <w:tcW w:w="1092" w:type="dxa"/>
            <w:vAlign w:val="center"/>
            <w:vMerge w:val="restart"/>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195" w:type="dxa"/>
            <w:vAlign w:val="center"/>
            <w:textDirection w:val="lrTb"/>
            <w:noWrap w:val="false"/>
          </w:tcPr>
          <w:p>
            <w:pPr>
              <w:jc w:val="left"/>
              <w:spacing w:line="3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保洁领班：3年及以上非住宅类物业保洁负责人任职经历</w:t>
            </w:r>
            <w:r>
              <w:rPr>
                <w:rFonts w:hint="eastAsia" w:ascii="宋体" w:hAnsi="宋体" w:cs="宋体"/>
                <w:color w:val="000000"/>
                <w:sz w:val="24"/>
                <w:szCs w:val="24"/>
                <w:highlight w:val="none"/>
                <w:lang w:eastAsia="zh-CN"/>
              </w:rPr>
              <w:t xml:space="preserve">。</w:t>
            </w:r>
            <w:r/>
          </w:p>
        </w:tc>
      </w:tr>
      <w:tr>
        <w:trPr>
          <w:jc w:val="center"/>
          <w:trHeight w:val="459"/>
        </w:trPr>
        <w:tc>
          <w:tcPr>
            <w:tcW w:w="1178" w:type="dxa"/>
            <w:vAlign w:val="center"/>
            <w:vMerge w:val="continue"/>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26" w:type="dxa"/>
            <w:vAlign w:val="center"/>
            <w:vMerge w:val="continue"/>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2" w:type="dxa"/>
            <w:vAlign w:val="center"/>
            <w:vMerge w:val="continue"/>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5195" w:type="dxa"/>
            <w:vAlign w:val="center"/>
            <w:textDirection w:val="lrTb"/>
            <w:noWrap w:val="false"/>
          </w:tcPr>
          <w:p>
            <w:pPr>
              <w:jc w:val="left"/>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8小时制，有保洁服务相关工作经验。</w:t>
            </w:r>
            <w:r/>
          </w:p>
        </w:tc>
      </w:tr>
      <w:tr>
        <w:trPr>
          <w:jc w:val="center"/>
          <w:trHeight w:val="1076"/>
        </w:trPr>
        <w:tc>
          <w:tcPr>
            <w:tcW w:w="1178" w:type="dxa"/>
            <w:vAlign w:val="center"/>
            <w:vMerge w:val="restart"/>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安保服务</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门岗秩序维护员</w:t>
            </w:r>
            <w:r/>
          </w:p>
        </w:tc>
        <w:tc>
          <w:tcPr>
            <w:tcW w:w="1092"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5195" w:type="dxa"/>
            <w:vAlign w:val="center"/>
            <w:textDirection w:val="lrTb"/>
            <w:noWrap w:val="false"/>
          </w:tcPr>
          <w:p>
            <w:pPr>
              <w:ind w:firstLine="0"/>
              <w:jc w:val="left"/>
              <w:spacing w:line="3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24小时值班（12小时制），</w:t>
            </w:r>
            <w:r>
              <w:rPr>
                <w:rFonts w:hint="eastAsia" w:ascii="宋体" w:hAnsi="宋体" w:eastAsia="宋体" w:cs="宋体"/>
                <w:color w:val="000000"/>
                <w:sz w:val="24"/>
                <w:szCs w:val="24"/>
                <w:highlight w:val="none"/>
                <w:lang w:val="en-US" w:eastAsia="zh-CN"/>
              </w:rPr>
              <w:t xml:space="preserve">持有保安上岗证书</w:t>
            </w:r>
            <w:r>
              <w:rPr>
                <w:rFonts w:hint="eastAsia" w:ascii="宋体" w:hAnsi="宋体" w:cs="宋体"/>
                <w:color w:val="000000"/>
                <w:sz w:val="24"/>
                <w:szCs w:val="24"/>
                <w:highlight w:val="none"/>
                <w:lang w:val="en-US" w:eastAsia="zh-CN"/>
              </w:rPr>
              <w:t xml:space="preserve">。</w:t>
            </w:r>
            <w:r/>
          </w:p>
        </w:tc>
      </w:tr>
      <w:tr>
        <w:trPr>
          <w:jc w:val="center"/>
          <w:trHeight w:val="1787"/>
        </w:trPr>
        <w:tc>
          <w:tcPr>
            <w:tcW w:w="1178" w:type="dxa"/>
            <w:vAlign w:val="center"/>
            <w:vMerge w:val="continue"/>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消防岗</w:t>
            </w:r>
            <w:r/>
          </w:p>
        </w:tc>
        <w:tc>
          <w:tcPr>
            <w:tcW w:w="1092"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p>
        </w:tc>
        <w:tc>
          <w:tcPr>
            <w:tcW w:w="5195" w:type="dxa"/>
            <w:vAlign w:val="center"/>
            <w:textDirection w:val="lrTb"/>
            <w:noWrap w:val="false"/>
          </w:tcPr>
          <w:p>
            <w:pPr>
              <w:ind w:firstLine="0"/>
              <w:jc w:val="left"/>
              <w:spacing w:line="3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24小时值班（12小时制），有较为丰富的相关工作经验。持有中华人民共和国人力资源和社会保障部、公安部</w:t>
            </w:r>
            <w:r>
              <w:rPr>
                <w:rFonts w:hint="eastAsia" w:ascii="宋体" w:hAnsi="宋体" w:cs="宋体"/>
                <w:color w:val="000000"/>
                <w:sz w:val="24"/>
                <w:szCs w:val="24"/>
                <w:highlight w:val="none"/>
                <w:lang w:eastAsia="zh-CN"/>
              </w:rPr>
              <w:t xml:space="preserve">、消防救援局</w:t>
            </w:r>
            <w:r>
              <w:rPr>
                <w:rFonts w:hint="eastAsia" w:ascii="宋体" w:hAnsi="宋体" w:eastAsia="宋体" w:cs="宋体"/>
                <w:color w:val="000000"/>
                <w:sz w:val="24"/>
                <w:szCs w:val="24"/>
                <w:highlight w:val="none"/>
              </w:rPr>
              <w:t xml:space="preserve">、消防行业职业技能鉴定指导中心联合颁发的《建（构）筑物消防员》证书或应急管理部门颁发的《消防设施操作员》证书。</w:t>
            </w:r>
            <w:r/>
          </w:p>
        </w:tc>
      </w:tr>
      <w:tr>
        <w:trPr>
          <w:jc w:val="center"/>
          <w:trHeight w:val="459"/>
        </w:trPr>
        <w:tc>
          <w:tcPr>
            <w:tcW w:w="1178"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w:t>
            </w:r>
            <w:r/>
          </w:p>
        </w:tc>
        <w:tc>
          <w:tcPr>
            <w:tcW w:w="1126" w:type="dxa"/>
            <w:vAlign w:val="center"/>
            <w:textDirection w:val="lrTb"/>
            <w:noWrap w:val="false"/>
          </w:tcPr>
          <w:p>
            <w:pPr>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绿化养护</w:t>
            </w:r>
            <w:r/>
          </w:p>
        </w:tc>
        <w:tc>
          <w:tcPr>
            <w:tcW w:w="109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195" w:type="dxa"/>
            <w:vAlign w:val="center"/>
            <w:textDirection w:val="lrTb"/>
            <w:noWrap w:val="false"/>
          </w:tcPr>
          <w:p>
            <w:pPr>
              <w:ind w:firstLine="0"/>
              <w:jc w:val="left"/>
              <w:spacing w:line="36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rPr>
              <w:t xml:space="preserve">3年及以上</w:t>
            </w:r>
            <w:r>
              <w:rPr>
                <w:rFonts w:ascii="宋体" w:hAnsi="宋体" w:eastAsia="宋体" w:cs="宋体"/>
                <w:color w:val="000000"/>
                <w:sz w:val="24"/>
                <w:szCs w:val="24"/>
                <w:highlight w:val="none"/>
              </w:rPr>
              <w:t xml:space="preserve">相关绿化养护经验</w:t>
            </w:r>
            <w:r>
              <w:rPr>
                <w:rFonts w:hint="eastAsia" w:ascii="宋体" w:hAnsi="宋体" w:cs="宋体"/>
                <w:color w:val="000000"/>
                <w:sz w:val="24"/>
                <w:szCs w:val="24"/>
                <w:highlight w:val="none"/>
                <w:lang w:eastAsia="zh-CN"/>
              </w:rPr>
              <w:t xml:space="preserve">。</w:t>
            </w:r>
            <w:r/>
          </w:p>
        </w:tc>
      </w:tr>
      <w:tr>
        <w:trPr>
          <w:jc w:val="center"/>
          <w:trHeight w:val="468"/>
        </w:trPr>
        <w:tc>
          <w:tcPr>
            <w:tcW w:w="1178"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092"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19</w:t>
            </w:r>
            <w:r/>
          </w:p>
        </w:tc>
        <w:tc>
          <w:tcPr>
            <w:tcW w:w="1126"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24</w:t>
            </w:r>
            <w:r/>
          </w:p>
        </w:tc>
        <w:tc>
          <w:tcPr>
            <w:tcW w:w="5195"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r>
    </w:tbl>
    <w:p>
      <w:pPr>
        <w:jc w:val="left"/>
        <w:spacing w:line="30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国家桥门式起重机械产品检验检测中心</w:t>
      </w:r>
      <w:r>
        <w:rPr>
          <w:rFonts w:hint="eastAsia" w:ascii="宋体" w:hAnsi="宋体" w:eastAsia="宋体" w:cs="宋体"/>
          <w:b/>
          <w:color w:val="000000"/>
          <w:sz w:val="24"/>
          <w:szCs w:val="24"/>
          <w:lang w:eastAsia="zh-CN"/>
        </w:rPr>
        <w:t xml:space="preserve">（</w:t>
      </w:r>
      <w:r>
        <w:rPr>
          <w:rFonts w:hint="eastAsia" w:ascii="宋体" w:hAnsi="宋体" w:cs="宋体"/>
          <w:b/>
          <w:bCs/>
          <w:color w:val="000000"/>
          <w:sz w:val="24"/>
          <w:szCs w:val="24"/>
          <w:highlight w:val="none"/>
        </w:rPr>
        <w:t xml:space="preserve">无锡市惠山区</w:t>
      </w:r>
      <w:r>
        <w:rPr>
          <w:rFonts w:hint="eastAsia" w:ascii="宋体" w:hAnsi="宋体" w:eastAsia="宋体" w:cs="宋体"/>
          <w:b/>
          <w:bCs/>
          <w:color w:val="000000"/>
          <w:sz w:val="24"/>
          <w:szCs w:val="24"/>
        </w:rPr>
        <w:t xml:space="preserve">堰新路330号东院</w:t>
      </w:r>
      <w:r>
        <w:rPr>
          <w:rFonts w:hint="eastAsia" w:ascii="宋体" w:hAnsi="宋体" w:eastAsia="宋体" w:cs="宋体"/>
          <w:b/>
          <w:color w:val="000000"/>
          <w:sz w:val="24"/>
          <w:szCs w:val="24"/>
        </w:rPr>
        <w:t xml:space="preserve">），国家石墨烯产品检验检测中心（</w:t>
      </w:r>
      <w:r>
        <w:rPr>
          <w:rFonts w:hint="eastAsia" w:ascii="宋体" w:hAnsi="宋体" w:cs="宋体"/>
          <w:b/>
          <w:bCs/>
          <w:color w:val="000000"/>
          <w:sz w:val="24"/>
          <w:szCs w:val="24"/>
          <w:highlight w:val="none"/>
        </w:rPr>
        <w:t xml:space="preserve">无锡市惠山区</w:t>
      </w:r>
      <w:r>
        <w:rPr>
          <w:rFonts w:hint="eastAsia" w:ascii="宋体" w:hAnsi="宋体" w:eastAsia="宋体" w:cs="宋体"/>
          <w:b/>
          <w:bCs/>
          <w:color w:val="000000"/>
          <w:sz w:val="24"/>
          <w:szCs w:val="24"/>
        </w:rPr>
        <w:t xml:space="preserve">堰新路330号</w:t>
      </w:r>
      <w:r>
        <w:rPr>
          <w:rFonts w:hint="eastAsia" w:ascii="宋体" w:hAnsi="宋体" w:eastAsia="宋体" w:cs="宋体"/>
          <w:b/>
          <w:color w:val="000000"/>
          <w:sz w:val="24"/>
          <w:szCs w:val="24"/>
        </w:rPr>
        <w:t xml:space="preserve">西院）</w:t>
      </w:r>
      <w:r/>
    </w:p>
    <w:tbl>
      <w:tblPr>
        <w:tblStyle w:val="936"/>
        <w:tblW w:w="8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1227"/>
        <w:gridCol w:w="1190"/>
        <w:gridCol w:w="1227"/>
        <w:gridCol w:w="3583"/>
      </w:tblGrid>
      <w:tr>
        <w:trPr>
          <w:jc w:val="center"/>
          <w:trHeight w:val="90"/>
        </w:trPr>
        <w:tc>
          <w:tcPr>
            <w:tcW w:w="1283"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部门职能</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119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同时在岗人数</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岗位所需总人数</w:t>
            </w:r>
            <w:r/>
          </w:p>
        </w:tc>
        <w:tc>
          <w:tcPr>
            <w:tcW w:w="3583"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454"/>
        </w:trPr>
        <w:tc>
          <w:tcPr>
            <w:tcW w:w="1283"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基本服务</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项目负责人</w:t>
            </w:r>
            <w:r/>
          </w:p>
        </w:tc>
        <w:tc>
          <w:tcPr>
            <w:tcW w:w="119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583" w:type="dxa"/>
            <w:vAlign w:val="center"/>
            <w:textDirection w:val="lrTb"/>
            <w:noWrap w:val="false"/>
          </w:tcPr>
          <w:p>
            <w:pPr>
              <w:jc w:val="left"/>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有过服务非住宅类物业的业绩</w:t>
            </w:r>
            <w:r>
              <w:rPr>
                <w:rFonts w:hint="eastAsia" w:ascii="宋体" w:hAnsi="宋体" w:cs="宋体"/>
                <w:color w:val="000000"/>
                <w:sz w:val="24"/>
                <w:szCs w:val="24"/>
                <w:highlight w:val="none"/>
                <w:lang w:val="en-US" w:eastAsia="zh-CN"/>
              </w:rPr>
              <w:t xml:space="preserve">；具有3年以上项目负责人相关从业经历；</w:t>
            </w:r>
            <w:r>
              <w:rPr>
                <w:rFonts w:hint="eastAsia" w:ascii="宋体" w:hAnsi="宋体" w:eastAsia="宋体" w:cs="宋体"/>
                <w:color w:val="000000"/>
                <w:sz w:val="24"/>
                <w:szCs w:val="24"/>
                <w:highlight w:val="none"/>
              </w:rPr>
              <w:t xml:space="preserve">且中标后须常驻本项目现场，不得兼任其它项目负责人。</w:t>
            </w:r>
            <w:r/>
          </w:p>
        </w:tc>
      </w:tr>
      <w:tr>
        <w:trPr>
          <w:jc w:val="center"/>
          <w:trHeight w:val="454"/>
        </w:trPr>
        <w:tc>
          <w:tcPr>
            <w:tcW w:w="1283"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会务服务</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会务人员</w:t>
            </w:r>
            <w:r/>
          </w:p>
        </w:tc>
        <w:tc>
          <w:tcPr>
            <w:tcW w:w="119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583" w:type="dxa"/>
            <w:vAlign w:val="center"/>
            <w:textDirection w:val="lrTb"/>
            <w:noWrap w:val="false"/>
          </w:tcPr>
          <w:p>
            <w:pPr>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形象较好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w:t>
            </w:r>
            <w:r>
              <w:rPr>
                <w:rFonts w:hint="eastAsia" w:ascii="宋体" w:hAnsi="宋体" w:cs="宋体"/>
                <w:color w:val="000000"/>
                <w:sz w:val="24"/>
                <w:szCs w:val="24"/>
                <w:highlight w:val="none"/>
                <w:lang w:val="en-US" w:eastAsia="zh-CN"/>
              </w:rPr>
              <w:t xml:space="preserve">3年及以上</w:t>
            </w:r>
            <w:r>
              <w:rPr>
                <w:rFonts w:hint="eastAsia" w:ascii="宋体" w:hAnsi="宋体" w:eastAsia="宋体" w:cs="宋体"/>
                <w:color w:val="000000"/>
                <w:sz w:val="24"/>
                <w:szCs w:val="24"/>
                <w:highlight w:val="none"/>
              </w:rPr>
              <w:t xml:space="preserve">会务服务相关工作经验。</w:t>
            </w:r>
            <w:r/>
          </w:p>
        </w:tc>
      </w:tr>
      <w:tr>
        <w:trPr>
          <w:jc w:val="center"/>
          <w:trHeight w:val="454"/>
        </w:trPr>
        <w:tc>
          <w:tcPr>
            <w:tcW w:w="1283"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保洁服务</w:t>
            </w:r>
            <w:r/>
          </w:p>
        </w:tc>
        <w:tc>
          <w:tcPr>
            <w:tcW w:w="1227"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保洁员</w:t>
            </w:r>
            <w:r/>
          </w:p>
        </w:tc>
        <w:tc>
          <w:tcPr>
            <w:tcW w:w="1190"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583" w:type="dxa"/>
            <w:vAlign w:val="center"/>
            <w:textDirection w:val="lrTb"/>
            <w:noWrap w:val="false"/>
          </w:tcPr>
          <w:p>
            <w:pPr>
              <w:jc w:val="left"/>
              <w:spacing w:line="3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保洁领班：3年及以上非住宅类物业保洁负责人任职经历</w:t>
            </w:r>
            <w:r>
              <w:rPr>
                <w:rFonts w:hint="eastAsia" w:ascii="宋体" w:hAnsi="宋体" w:cs="宋体"/>
                <w:color w:val="000000"/>
                <w:sz w:val="24"/>
                <w:szCs w:val="24"/>
                <w:highlight w:val="none"/>
                <w:lang w:eastAsia="zh-CN"/>
              </w:rPr>
              <w:t xml:space="preserve">。</w:t>
            </w:r>
            <w:r/>
          </w:p>
        </w:tc>
      </w:tr>
      <w:tr>
        <w:trPr>
          <w:jc w:val="center"/>
          <w:trHeight w:val="454"/>
        </w:trPr>
        <w:tc>
          <w:tcPr>
            <w:tcW w:w="1283"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27"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190"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583" w:type="dxa"/>
            <w:vAlign w:val="center"/>
            <w:textDirection w:val="lrTb"/>
            <w:noWrap w:val="false"/>
          </w:tcPr>
          <w:p>
            <w:pPr>
              <w:jc w:val="left"/>
              <w:spacing w:line="36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8小时制，有保洁服务相关工作经验。</w:t>
            </w:r>
            <w:r/>
          </w:p>
        </w:tc>
      </w:tr>
      <w:tr>
        <w:trPr>
          <w:jc w:val="center"/>
          <w:trHeight w:val="454"/>
        </w:trPr>
        <w:tc>
          <w:tcPr>
            <w:tcW w:w="1283" w:type="dxa"/>
            <w:vAlign w:val="center"/>
            <w:vMerge w:val="restart"/>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安保服务</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门岗秩序维护员</w:t>
            </w:r>
            <w:r/>
          </w:p>
        </w:tc>
        <w:tc>
          <w:tcPr>
            <w:tcW w:w="119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583" w:type="dxa"/>
            <w:vAlign w:val="center"/>
            <w:textDirection w:val="lrTb"/>
            <w:noWrap w:val="false"/>
          </w:tcPr>
          <w:p>
            <w:pPr>
              <w:ind w:firstLine="0"/>
              <w:jc w:val="left"/>
              <w:spacing w:line="3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24小时值班（12小时制），</w:t>
            </w:r>
            <w:r>
              <w:rPr>
                <w:rFonts w:hint="eastAsia" w:ascii="宋体" w:hAnsi="宋体" w:eastAsia="宋体" w:cs="宋体"/>
                <w:color w:val="000000"/>
                <w:sz w:val="24"/>
                <w:szCs w:val="24"/>
                <w:highlight w:val="none"/>
                <w:lang w:val="en-US" w:eastAsia="zh-CN"/>
              </w:rPr>
              <w:t xml:space="preserve">持有保安上岗证书</w:t>
            </w:r>
            <w:r>
              <w:rPr>
                <w:rFonts w:hint="eastAsia" w:ascii="宋体" w:hAnsi="宋体" w:cs="宋体"/>
                <w:color w:val="000000"/>
                <w:sz w:val="24"/>
                <w:szCs w:val="24"/>
                <w:highlight w:val="none"/>
                <w:lang w:val="en-US" w:eastAsia="zh-CN"/>
              </w:rPr>
              <w:t xml:space="preserve">。</w:t>
            </w:r>
            <w:r/>
          </w:p>
        </w:tc>
      </w:tr>
      <w:tr>
        <w:trPr>
          <w:jc w:val="center"/>
          <w:trHeight w:val="454"/>
        </w:trPr>
        <w:tc>
          <w:tcPr>
            <w:tcW w:w="1283" w:type="dxa"/>
            <w:vAlign w:val="center"/>
            <w:vMerge w:val="continue"/>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消防岗</w:t>
            </w:r>
            <w:r/>
          </w:p>
        </w:tc>
        <w:tc>
          <w:tcPr>
            <w:tcW w:w="119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2</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4</w:t>
            </w:r>
            <w:r/>
          </w:p>
        </w:tc>
        <w:tc>
          <w:tcPr>
            <w:tcW w:w="3583" w:type="dxa"/>
            <w:vAlign w:val="center"/>
            <w:textDirection w:val="lrTb"/>
            <w:noWrap w:val="false"/>
          </w:tcPr>
          <w:p>
            <w:pPr>
              <w:ind w:firstLine="0"/>
              <w:jc w:val="left"/>
              <w:spacing w:line="3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24小时值班（12小时制），有较为丰富的相关工作经验。持有中华人民共和国人力资源和社会保障部、公安部</w:t>
            </w:r>
            <w:r>
              <w:rPr>
                <w:rFonts w:hint="eastAsia" w:ascii="宋体" w:hAnsi="宋体" w:cs="宋体"/>
                <w:color w:val="000000"/>
                <w:sz w:val="24"/>
                <w:szCs w:val="24"/>
                <w:highlight w:val="none"/>
                <w:lang w:eastAsia="zh-CN"/>
              </w:rPr>
              <w:t xml:space="preserve">、消防救援局</w:t>
            </w:r>
            <w:r>
              <w:rPr>
                <w:rFonts w:hint="eastAsia" w:ascii="宋体" w:hAnsi="宋体" w:eastAsia="宋体" w:cs="宋体"/>
                <w:color w:val="000000"/>
                <w:sz w:val="24"/>
                <w:szCs w:val="24"/>
                <w:highlight w:val="none"/>
              </w:rPr>
              <w:t xml:space="preserve">、消防行业职业技能鉴定指导中心联合颁发的《建（构）筑物消防员》证书或应急管理部门颁发的《消防设施操作员》证书。</w:t>
            </w:r>
            <w:r/>
          </w:p>
        </w:tc>
      </w:tr>
      <w:tr>
        <w:trPr>
          <w:jc w:val="center"/>
          <w:trHeight w:val="454"/>
        </w:trPr>
        <w:tc>
          <w:tcPr>
            <w:tcW w:w="1283"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绿化</w:t>
            </w:r>
            <w:r/>
          </w:p>
        </w:tc>
        <w:tc>
          <w:tcPr>
            <w:tcW w:w="122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绿化养护</w:t>
            </w:r>
            <w:r/>
          </w:p>
        </w:tc>
        <w:tc>
          <w:tcPr>
            <w:tcW w:w="119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583" w:type="dxa"/>
            <w:vAlign w:val="center"/>
            <w:textDirection w:val="lrTb"/>
            <w:noWrap w:val="false"/>
          </w:tcPr>
          <w:p>
            <w:pPr>
              <w:ind w:firstLine="0"/>
              <w:jc w:val="left"/>
              <w:spacing w:line="36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rPr>
              <w:t xml:space="preserve">3年及以上</w:t>
            </w:r>
            <w:r>
              <w:rPr>
                <w:rFonts w:ascii="宋体" w:hAnsi="宋体" w:eastAsia="宋体" w:cs="宋体"/>
                <w:color w:val="000000"/>
                <w:sz w:val="24"/>
                <w:szCs w:val="24"/>
                <w:highlight w:val="none"/>
              </w:rPr>
              <w:t xml:space="preserve">相关绿化养护经验</w:t>
            </w:r>
            <w:r>
              <w:rPr>
                <w:rFonts w:hint="eastAsia" w:ascii="宋体" w:hAnsi="宋体" w:cs="宋体"/>
                <w:color w:val="000000"/>
                <w:sz w:val="24"/>
                <w:szCs w:val="24"/>
                <w:highlight w:val="none"/>
                <w:lang w:eastAsia="zh-CN"/>
              </w:rPr>
              <w:t xml:space="preserve">。</w:t>
            </w:r>
            <w:r/>
          </w:p>
        </w:tc>
      </w:tr>
      <w:tr>
        <w:trPr>
          <w:jc w:val="center"/>
          <w:trHeight w:val="454"/>
        </w:trPr>
        <w:tc>
          <w:tcPr>
            <w:tcW w:w="1283"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W w:w="1190"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23</w:t>
            </w:r>
            <w:r/>
          </w:p>
        </w:tc>
        <w:tc>
          <w:tcPr>
            <w:tcW w:w="1227"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30</w:t>
            </w:r>
            <w:r/>
          </w:p>
        </w:tc>
        <w:tc>
          <w:tcPr>
            <w:tcW w:w="3583" w:type="dxa"/>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bookmarkEnd w:id="192"/>
            <w:bookmarkEnd w:id="193"/>
            <w:bookmarkEnd w:id="194"/>
            <w:r/>
          </w:p>
        </w:tc>
      </w:tr>
    </w:tbl>
    <w:p>
      <w:pPr>
        <w:ind w:firstLine="482"/>
        <w:jc w:val="left"/>
        <w:spacing w:line="360" w:lineRule="auto"/>
        <w:widowControl/>
        <w:rPr>
          <w:rFonts w:hint="eastAsia" w:ascii="宋体" w:hAnsi="宋体" w:cs="宋体"/>
          <w:b/>
          <w:bCs w:val="0"/>
          <w:i/>
          <w:iCs/>
          <w:color w:val="000000"/>
          <w:sz w:val="24"/>
          <w:szCs w:val="24"/>
          <w:u w:val="single"/>
          <w:lang w:val="en-US" w:eastAsia="zh-CN"/>
        </w:rPr>
      </w:pPr>
      <w:r/>
      <w:bookmarkStart w:id="195" w:name="_Toc20385"/>
      <w:r/>
      <w:bookmarkStart w:id="196" w:name="_Toc21574"/>
      <w:r/>
      <w:bookmarkStart w:id="197" w:name="_Toc1962"/>
      <w:r>
        <w:rPr>
          <w:rFonts w:hint="eastAsia" w:ascii="宋体" w:hAnsi="宋体" w:cs="宋体"/>
          <w:b/>
          <w:bCs w:val="0"/>
          <w:i/>
          <w:iCs/>
          <w:color w:val="000000"/>
          <w:sz w:val="24"/>
          <w:szCs w:val="24"/>
          <w:u w:val="single"/>
          <w:lang w:val="en-US" w:eastAsia="zh-CN"/>
        </w:rPr>
        <w:t xml:space="preserve">注：1.配置总人数：江苏省特种设备安全监督检验研究院无锡分院本部（无锡市滨湖区隐秀路220号）及城中办事处不得少于</w:t>
      </w:r>
      <w:r>
        <w:rPr>
          <w:rFonts w:hint="eastAsia" w:ascii="宋体" w:hAnsi="宋体" w:eastAsia="宋体" w:cs="宋体"/>
          <w:b/>
          <w:i/>
          <w:iCs/>
          <w:color w:val="000000"/>
          <w:sz w:val="24"/>
          <w:szCs w:val="24"/>
          <w:u w:val="single"/>
          <w:lang w:val="en-US" w:eastAsia="zh-CN"/>
        </w:rPr>
        <w:t xml:space="preserve">24</w:t>
      </w:r>
      <w:r>
        <w:rPr>
          <w:rFonts w:hint="eastAsia" w:ascii="宋体" w:hAnsi="宋体" w:cs="宋体"/>
          <w:b/>
          <w:i/>
          <w:iCs/>
          <w:color w:val="000000"/>
          <w:sz w:val="24"/>
          <w:szCs w:val="24"/>
          <w:u w:val="single"/>
          <w:lang w:val="en-US" w:eastAsia="zh-CN"/>
        </w:rPr>
        <w:t xml:space="preserve">人；国家桥门式起重机械产品检验检测中心及国家石墨烯产品检验检测中心</w:t>
      </w:r>
      <w:r>
        <w:rPr>
          <w:rFonts w:hint="eastAsia" w:ascii="宋体" w:hAnsi="宋体" w:cs="宋体"/>
          <w:b/>
          <w:bCs w:val="0"/>
          <w:i/>
          <w:iCs/>
          <w:color w:val="000000"/>
          <w:sz w:val="24"/>
          <w:szCs w:val="24"/>
          <w:u w:val="single"/>
          <w:lang w:val="en-US" w:eastAsia="zh-CN"/>
        </w:rPr>
        <w:t xml:space="preserve">不得少于</w:t>
      </w:r>
      <w:r>
        <w:rPr>
          <w:rFonts w:hint="eastAsia" w:ascii="宋体" w:hAnsi="宋体" w:cs="宋体"/>
          <w:b/>
          <w:i/>
          <w:iCs/>
          <w:color w:val="000000"/>
          <w:sz w:val="24"/>
          <w:szCs w:val="24"/>
          <w:u w:val="single"/>
          <w:lang w:val="en-US" w:eastAsia="zh-CN"/>
        </w:rPr>
        <w:t xml:space="preserve">30人；项目</w:t>
      </w:r>
      <w:r>
        <w:rPr>
          <w:rFonts w:hint="eastAsia" w:ascii="宋体" w:hAnsi="宋体" w:cs="宋体"/>
          <w:b/>
          <w:bCs w:val="0"/>
          <w:i/>
          <w:iCs/>
          <w:color w:val="000000"/>
          <w:sz w:val="24"/>
          <w:szCs w:val="24"/>
          <w:u w:val="single"/>
          <w:lang w:val="en-US" w:eastAsia="zh-CN"/>
        </w:rPr>
        <w:t xml:space="preserve">配置总人数不得少于54人。</w:t>
      </w:r>
      <w:r/>
    </w:p>
    <w:p>
      <w:pPr>
        <w:ind w:firstLine="482"/>
        <w:jc w:val="left"/>
        <w:spacing w:line="360" w:lineRule="auto"/>
        <w:widowControl/>
        <w:rPr>
          <w:rFonts w:ascii="宋体" w:hAnsi="宋体" w:cs="宋体"/>
          <w:b/>
          <w:bCs w:val="0"/>
          <w:i/>
          <w:iCs/>
          <w:color w:val="000000"/>
          <w:sz w:val="24"/>
          <w:szCs w:val="24"/>
          <w:u w:val="single"/>
          <w:lang w:val="en-US" w:eastAsia="zh-CN"/>
        </w:rPr>
      </w:pPr>
      <w:r>
        <w:rPr>
          <w:rFonts w:hint="eastAsia" w:ascii="宋体" w:hAnsi="宋体" w:cs="宋体"/>
          <w:b/>
          <w:bCs w:val="0"/>
          <w:i/>
          <w:iCs/>
          <w:color w:val="000000"/>
          <w:sz w:val="24"/>
          <w:szCs w:val="24"/>
          <w:u w:val="single"/>
          <w:lang w:val="en-US" w:eastAsia="zh-CN"/>
        </w:rPr>
        <w:t xml:space="preserve">2.</w:t>
      </w:r>
      <w:r>
        <w:rPr>
          <w:rFonts w:ascii="宋体" w:hAnsi="宋体" w:cs="宋体"/>
          <w:b/>
          <w:bCs w:val="0"/>
          <w:i/>
          <w:iCs/>
          <w:color w:val="000000"/>
          <w:sz w:val="24"/>
          <w:szCs w:val="24"/>
          <w:u w:val="single"/>
          <w:lang w:val="en-US" w:eastAsia="zh-CN"/>
        </w:rPr>
        <w:t xml:space="preserve">供应商应当按国家相关法律法规，合理确定服务人员工资标准、工作时间等。</w:t>
      </w:r>
      <w:r/>
    </w:p>
    <w:p>
      <w:pPr>
        <w:ind w:firstLine="482"/>
        <w:jc w:val="left"/>
        <w:spacing w:line="360" w:lineRule="auto"/>
        <w:widowControl/>
        <w:rPr>
          <w:rFonts w:ascii="宋体" w:hAnsi="宋体" w:cs="宋体"/>
          <w:b/>
          <w:bCs w:val="0"/>
          <w:i/>
          <w:iCs/>
          <w:color w:val="ff0000"/>
          <w:sz w:val="24"/>
          <w:szCs w:val="24"/>
          <w:lang w:val="en-US" w:eastAsia="zh-CN"/>
        </w:rPr>
      </w:pPr>
      <w:r>
        <w:rPr>
          <w:rFonts w:hint="eastAsia" w:ascii="宋体" w:hAnsi="宋体" w:cs="宋体"/>
          <w:b/>
          <w:bCs w:val="0"/>
          <w:i/>
          <w:iCs/>
          <w:color w:val="ff0000"/>
          <w:sz w:val="24"/>
          <w:szCs w:val="24"/>
          <w:u w:val="single"/>
          <w:lang w:val="en-US" w:eastAsia="zh-CN"/>
        </w:rPr>
        <w:t xml:space="preserve">3.</w:t>
      </w:r>
      <w:r>
        <w:rPr>
          <w:rFonts w:ascii="宋体" w:hAnsi="宋体" w:cs="宋体"/>
          <w:b/>
          <w:bCs w:val="0"/>
          <w:i/>
          <w:iCs/>
          <w:color w:val="ff0000"/>
          <w:sz w:val="24"/>
          <w:szCs w:val="24"/>
          <w:u w:val="single"/>
          <w:lang w:val="en-US" w:eastAsia="zh-CN"/>
        </w:rPr>
        <w:t xml:space="preserve">法定节假日值班要求：</w:t>
      </w:r>
      <w:r>
        <w:rPr>
          <w:rFonts w:hint="eastAsia" w:ascii="宋体" w:hAnsi="宋体" w:cs="宋体"/>
          <w:b/>
          <w:bCs w:val="0"/>
          <w:i/>
          <w:iCs/>
          <w:color w:val="ff0000"/>
          <w:sz w:val="24"/>
          <w:szCs w:val="24"/>
          <w:u w:val="single"/>
          <w:lang w:val="en-US" w:eastAsia="zh-CN"/>
        </w:rPr>
        <w:t xml:space="preserve">江苏省特种设备安全监督检验研究院无锡分院本部（无锡市滨湖区隐秀路220号）及城中办事处</w:t>
      </w:r>
      <w:r>
        <w:rPr>
          <w:rFonts w:ascii="宋体" w:hAnsi="宋体" w:cs="宋体"/>
          <w:b/>
          <w:bCs w:val="0"/>
          <w:i/>
          <w:iCs/>
          <w:color w:val="ff0000"/>
          <w:sz w:val="24"/>
          <w:szCs w:val="24"/>
          <w:u w:val="single"/>
          <w:lang w:val="en-US" w:eastAsia="zh-CN"/>
        </w:rPr>
        <w:t xml:space="preserve">值班</w:t>
      </w:r>
      <w:r>
        <w:rPr>
          <w:rFonts w:hint="eastAsia" w:ascii="宋体" w:hAnsi="宋体" w:cs="宋体"/>
          <w:b/>
          <w:bCs w:val="0"/>
          <w:i/>
          <w:iCs/>
          <w:color w:val="ff0000"/>
          <w:sz w:val="24"/>
          <w:szCs w:val="24"/>
          <w:u w:val="single"/>
          <w:lang w:val="en-US" w:eastAsia="zh-CN"/>
        </w:rPr>
        <w:t xml:space="preserve">配置不得少于</w:t>
      </w:r>
      <w:r>
        <w:rPr>
          <w:rFonts w:hint="eastAsia" w:ascii="宋体" w:hAnsi="宋体" w:cs="宋体"/>
          <w:b/>
          <w:i/>
          <w:iCs/>
          <w:color w:val="ff0000"/>
          <w:sz w:val="24"/>
          <w:szCs w:val="24"/>
          <w:u w:val="single"/>
          <w:lang w:val="en-US" w:eastAsia="zh-CN"/>
        </w:rPr>
        <w:t xml:space="preserve">5人；国家桥门式起重机械产品检验检测中心及国家石墨烯产品检验检测中心</w:t>
      </w:r>
      <w:r>
        <w:rPr>
          <w:rFonts w:ascii="宋体" w:hAnsi="宋体" w:cs="宋体"/>
          <w:b/>
          <w:bCs w:val="0"/>
          <w:i/>
          <w:iCs/>
          <w:color w:val="ff0000"/>
          <w:sz w:val="24"/>
          <w:szCs w:val="24"/>
          <w:u w:val="single"/>
          <w:lang w:val="en-US" w:eastAsia="zh-CN"/>
        </w:rPr>
        <w:t xml:space="preserve">值班</w:t>
      </w:r>
      <w:r>
        <w:rPr>
          <w:rFonts w:hint="eastAsia" w:ascii="宋体" w:hAnsi="宋体" w:cs="宋体"/>
          <w:b/>
          <w:bCs w:val="0"/>
          <w:i/>
          <w:iCs/>
          <w:color w:val="ff0000"/>
          <w:sz w:val="24"/>
          <w:szCs w:val="24"/>
          <w:u w:val="single"/>
          <w:lang w:val="en-US" w:eastAsia="zh-CN"/>
        </w:rPr>
        <w:t xml:space="preserve">配置不得少于</w:t>
      </w:r>
      <w:r>
        <w:rPr>
          <w:rFonts w:hint="eastAsia" w:ascii="宋体" w:hAnsi="宋体" w:cs="宋体"/>
          <w:b/>
          <w:i/>
          <w:iCs/>
          <w:color w:val="ff0000"/>
          <w:sz w:val="24"/>
          <w:szCs w:val="24"/>
          <w:u w:val="single"/>
          <w:lang w:val="en-US" w:eastAsia="zh-CN"/>
        </w:rPr>
        <w:t xml:space="preserve">5人；项目</w:t>
      </w:r>
      <w:r>
        <w:rPr>
          <w:rFonts w:ascii="宋体" w:hAnsi="宋体" w:cs="宋体"/>
          <w:b/>
          <w:bCs w:val="0"/>
          <w:i/>
          <w:iCs/>
          <w:color w:val="ff0000"/>
          <w:sz w:val="24"/>
          <w:szCs w:val="24"/>
          <w:u w:val="single"/>
          <w:lang w:val="en-US" w:eastAsia="zh-CN"/>
        </w:rPr>
        <w:t xml:space="preserve">法定节假日</w:t>
      </w:r>
      <w:bookmarkStart w:id="198" w:name="OLE_LINK5"/>
      <w:r>
        <w:rPr>
          <w:rFonts w:ascii="宋体" w:hAnsi="宋体" w:cs="宋体"/>
          <w:b/>
          <w:bCs w:val="0"/>
          <w:i/>
          <w:iCs/>
          <w:color w:val="ff0000"/>
          <w:sz w:val="24"/>
          <w:szCs w:val="24"/>
          <w:u w:val="single"/>
          <w:lang w:val="en-US" w:eastAsia="zh-CN"/>
        </w:rPr>
        <w:t xml:space="preserve">值班</w:t>
      </w:r>
      <w:r>
        <w:rPr>
          <w:rFonts w:hint="eastAsia" w:ascii="宋体" w:hAnsi="宋体" w:cs="宋体"/>
          <w:b/>
          <w:bCs w:val="0"/>
          <w:i/>
          <w:iCs/>
          <w:color w:val="ff0000"/>
          <w:sz w:val="24"/>
          <w:szCs w:val="24"/>
          <w:u w:val="single"/>
          <w:lang w:val="en-US" w:eastAsia="zh-CN"/>
        </w:rPr>
        <w:t xml:space="preserve">配置</w:t>
      </w:r>
      <w:bookmarkEnd w:id="198"/>
      <w:r>
        <w:rPr>
          <w:rFonts w:hint="eastAsia" w:ascii="宋体" w:hAnsi="宋体" w:cs="宋体"/>
          <w:b/>
          <w:bCs w:val="0"/>
          <w:i/>
          <w:iCs/>
          <w:color w:val="ff0000"/>
          <w:sz w:val="24"/>
          <w:szCs w:val="24"/>
          <w:u w:val="single"/>
          <w:lang w:val="en-US" w:eastAsia="zh-CN"/>
        </w:rPr>
        <w:t xml:space="preserve">总人数不得少于10人</w:t>
      </w:r>
      <w:r>
        <w:rPr>
          <w:rFonts w:ascii="宋体" w:hAnsi="宋体" w:cs="宋体"/>
          <w:b/>
          <w:bCs w:val="0"/>
          <w:i/>
          <w:iCs/>
          <w:color w:val="ff0000"/>
          <w:sz w:val="24"/>
          <w:szCs w:val="24"/>
          <w:u w:val="single"/>
          <w:lang w:val="en-US" w:eastAsia="zh-CN"/>
        </w:rPr>
        <w:t xml:space="preserve">。</w:t>
      </w:r>
      <w:r/>
    </w:p>
    <w:p>
      <w:pPr>
        <w:ind w:firstLine="482"/>
        <w:jc w:val="left"/>
        <w:spacing w:line="360" w:lineRule="auto"/>
        <w:widowControl/>
        <w:rPr>
          <w:rFonts w:ascii="宋体" w:hAnsi="宋体" w:cs="宋体"/>
          <w:b/>
          <w:bCs w:val="0"/>
          <w:i w:val="0"/>
          <w:iCs w:val="0"/>
          <w:color w:val="000000"/>
          <w:sz w:val="24"/>
          <w:szCs w:val="24"/>
          <w:lang w:val="en-US" w:eastAsia="zh-CN"/>
        </w:rPr>
      </w:pPr>
      <w:r>
        <w:rPr>
          <w:rFonts w:ascii="宋体" w:hAnsi="宋体" w:cs="宋体"/>
          <w:b/>
          <w:bCs w:val="0"/>
          <w:i w:val="0"/>
          <w:iCs w:val="0"/>
          <w:color w:val="000000"/>
          <w:sz w:val="24"/>
          <w:szCs w:val="24"/>
          <w:lang w:val="en-US" w:eastAsia="zh-CN"/>
        </w:rPr>
        <w:t xml:space="preserve">以上相关要求作为实质性响应要求，供应商应提供承诺函，并加盖供应商公章。今后履约过程中提供相关资料备查，如发现未履行承诺，甲方将以提供虚假材料终止合同，并上报采购监管部门，由此产生的法律责任或失信责任由供应商自行负责。</w:t>
      </w:r>
      <w:r/>
    </w:p>
    <w:p>
      <w:pPr>
        <w:ind w:firstLine="480"/>
        <w:jc w:val="left"/>
        <w:spacing w:line="360" w:lineRule="auto"/>
        <w:widowControl/>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人员要求政治上可靠，遵纪守法，敬业爱岗，身体素质好，无不良行为记录，知晓本岗位的服务礼仪。中标人应当按国家相关法律法规，合理确定服务人员工资标准、工作时间等。中标人须在人员上岗前向采购人提供所有岗位人员的相关有效证件和信息，如果中标人拒不提供的，采购人有权按法律程序终止合同签订。</w:t>
      </w:r>
      <w:r/>
    </w:p>
    <w:p>
      <w:pPr>
        <w:ind w:firstLine="480"/>
        <w:jc w:val="left"/>
        <w:keepLines w:val="0"/>
        <w:keepNext w:val="0"/>
        <w:pageBreakBefore w:val="0"/>
        <w:spacing w:line="360" w:lineRule="auto"/>
        <w:widowControl/>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物业服务专业技术岗位（保安、监控等）人员配备必须满足要求，专业技术人员应当按照国家规定取得相应职业资格证书后，持证上岗；其余服务人员数量由投标单位根据物业服务范围、内容结合自身情况来确定，但必须保证完成服务内容和服务质量。</w:t>
      </w:r>
      <w:r/>
    </w:p>
    <w:p>
      <w:pPr>
        <w:ind w:firstLine="480"/>
        <w:jc w:val="left"/>
        <w:spacing w:line="360" w:lineRule="auto"/>
        <w:widowControl/>
        <w:rPr>
          <w:rFonts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少数专业技术岗位物业服务人员须与承建单位做好各项交接工作，确保各项工作正常进行。物业服务人员应保持相对稳定，原则上不得更换。</w:t>
      </w:r>
      <w:r/>
    </w:p>
    <w:p>
      <w:pPr>
        <w:ind w:firstLine="480"/>
        <w:spacing w:line="360" w:lineRule="auto"/>
        <w:rPr>
          <w:rFonts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中标人在中标</w:t>
      </w:r>
      <w:r>
        <w:rPr>
          <w:rFonts w:hint="eastAsia" w:ascii="宋体" w:hAnsi="宋体" w:eastAsia="宋体" w:cs="宋体"/>
          <w:b w:val="0"/>
          <w:bCs/>
          <w:i w:val="0"/>
          <w:iCs w:val="0"/>
          <w:color w:val="000000"/>
          <w:sz w:val="24"/>
          <w:szCs w:val="24"/>
        </w:rPr>
        <w:t xml:space="preserve">后须按采购人要求，提供所有用工人员的剩余相关材料（客服、保洁人员还须提供健康证明复印件、安保人员还须提供政审材料）给采购人备案，且未经采购人许可，不得更换项目负责人及所有用工人员。按要求和事项发生量及时配备足够和胜任的相关管理和服务人员，并保持人员的稳定。遇调动或辞职时，项目负责人提前一个月、会议服务员提前20天、保安提前10天、保洁提前7天告知采购人并得到同意后才能更换，按要求及时补充相应人员，提前做好交接班。对采购人认为无能力、工作失职或不合适人员，应立即更换。岗位人数不足时，按相应岗位成本扣除服务费。</w:t>
      </w:r>
      <w:r/>
    </w:p>
    <w:p>
      <w:pPr>
        <w:ind w:firstLine="480"/>
        <w:spacing w:line="360" w:lineRule="auto"/>
        <w:rPr>
          <w:rFonts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对采购人向中标人提出的服务要求或整改要求，中标人需组织人员落实完成并将结果及时书面反馈采购人。</w:t>
      </w:r>
      <w:r/>
    </w:p>
    <w:p>
      <w:pPr>
        <w:ind w:firstLine="480"/>
        <w:spacing w:line="360" w:lineRule="auto"/>
        <w:rPr>
          <w:rFonts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按国家和当地政府有关劳动法规、条例，向管理服务人员提供相应工种的劳动工资、加班工资、劳动保护等待遇。</w:t>
      </w:r>
      <w:r/>
    </w:p>
    <w:p>
      <w:pPr>
        <w:ind w:firstLine="480"/>
        <w:spacing w:line="360" w:lineRule="auto"/>
        <w:rPr>
          <w:rFonts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人员上岗时须统一着装，服装样式体现岗位特色和方便不同岗位操作，并经采购人认可。</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 w:val="0"/>
          <w:bCs/>
          <w:i w:val="0"/>
          <w:iCs w:val="0"/>
          <w:color w:val="000000"/>
          <w:sz w:val="24"/>
          <w:szCs w:val="24"/>
        </w:rPr>
        <w:t xml:space="preserve">为提高物业服务水平，所有管理服务人员在服务期间按岗位要求进行定期短期培训。培训课程与资料向采购人备案。推行宾馆礼仪的培训和开展岗位劳动竞赛。需要时，应接受采购人对服务人员的集中培训。设备维护人员进出调动须事前征求采购人意见，得到同意后才能放行。</w:t>
      </w:r>
      <w:r/>
    </w:p>
    <w:p>
      <w:pPr>
        <w:ind w:firstLine="42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5.商务要求</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1）业绩：</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en-US" w:eastAsia="zh-CN"/>
        </w:rPr>
        <w:t xml:space="preserve">应有过</w:t>
      </w:r>
      <w:r>
        <w:rPr>
          <w:rFonts w:hint="eastAsia" w:ascii="宋体" w:hAnsi="宋体" w:eastAsia="宋体" w:cs="宋体"/>
          <w:bCs/>
          <w:color w:val="000000"/>
          <w:sz w:val="24"/>
          <w:szCs w:val="24"/>
        </w:rPr>
        <w:t xml:space="preserve">类似</w:t>
      </w:r>
      <w:r>
        <w:rPr>
          <w:rFonts w:hint="eastAsia" w:ascii="宋体" w:hAnsi="宋体" w:eastAsia="宋体" w:cs="宋体"/>
          <w:bCs/>
          <w:color w:val="000000"/>
          <w:sz w:val="24"/>
          <w:szCs w:val="24"/>
          <w:lang w:val="en-US" w:eastAsia="zh-CN"/>
        </w:rPr>
        <w:t xml:space="preserve">本项目的业绩，有过物业管理经验。</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（2）供应商承诺：</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en-US" w:eastAsia="zh-CN"/>
        </w:rPr>
        <w:t xml:space="preserve">应结</w:t>
      </w:r>
      <w:r>
        <w:rPr>
          <w:rFonts w:hint="eastAsia" w:ascii="宋体" w:hAnsi="宋体" w:eastAsia="宋体" w:cs="宋体"/>
          <w:bCs/>
          <w:color w:val="000000"/>
          <w:sz w:val="24"/>
          <w:szCs w:val="24"/>
        </w:rPr>
        <w:t xml:space="preserve">合特检院的行业特点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承诺在内部消防、治安维稳、应急处置、安全监管等方面对本项目提供的特色服务</w:t>
      </w:r>
      <w:r>
        <w:rPr>
          <w:rFonts w:hint="eastAsia" w:ascii="宋体" w:hAnsi="宋体" w:eastAsia="宋体" w:cs="宋体"/>
          <w:bCs/>
          <w:color w:val="000000"/>
          <w:sz w:val="24"/>
          <w:szCs w:val="24"/>
          <w:lang w:eastAsia="zh-CN"/>
        </w:rPr>
        <w:t xml:space="preserve">。</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3）其他：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中标单位必须在定标后30天内与采购人签订物业管理委托合同，物业管理委托期限为合同签订生效后一年。</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中标单位必须加强对大楼及其附属设施、管理。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关于建筑物维保问题</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房屋正常免费维保范围以内的项目，由维保企业负责实施，物业管理企业负责随工监理。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房屋正常免费维保范围以外的大、中修或改造项目由采购人实施，物业管理企业负责随工监督。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下列项目费用由采购人承担，不包含在此次采购报价中：</w:t>
      </w:r>
      <w:r/>
    </w:p>
    <w:p>
      <w:pPr>
        <w:numPr>
          <w:ilvl w:val="0"/>
          <w:numId w:val="7"/>
        </w:numPr>
        <w:ind w:left="-6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监控、消防、智能、及网络综合布线系统、自动门、VRV中央空调、地源热泵、冷水机组、配电房、生活水泵系统的年度大型维修保养及更换零部件费用。</w:t>
      </w:r>
      <w:r/>
    </w:p>
    <w:p>
      <w:pPr>
        <w:numPr>
          <w:ilvl w:val="0"/>
          <w:numId w:val="7"/>
        </w:numPr>
        <w:ind w:left="-6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用于物业服务的操作实施时所用水、电费用。</w:t>
      </w:r>
      <w:r/>
    </w:p>
    <w:p>
      <w:pPr>
        <w:numPr>
          <w:ilvl w:val="0"/>
          <w:numId w:val="7"/>
        </w:numPr>
        <w:ind w:left="-6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会议接待耗材费用（毛巾、瓶装净水）。</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报价要求为</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年总价。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建筑、设备设施情况以现场实际情况为准。</w:t>
      </w:r>
      <w:r/>
    </w:p>
    <w:p>
      <w:pPr>
        <w:ind w:firstLine="48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采购人为中标单位提供必要的物业管理用房</w:t>
      </w:r>
      <w:r>
        <w:rPr>
          <w:rFonts w:hint="eastAsia" w:ascii="宋体" w:hAnsi="宋体" w:eastAsia="宋体" w:cs="宋体"/>
          <w:bCs/>
          <w:color w:val="000000"/>
          <w:sz w:val="24"/>
          <w:szCs w:val="24"/>
          <w:lang w:eastAsia="zh-CN"/>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中标单位应根据国家、省、市有关法律、法规、政策及与采购人签订物业管理合同，对大楼统一管理，综合服务、自主经营、自负盈亏。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采购人工作人员及其他物业使用人对中标人的满意率须达到90％以上，采购人可随时要求中标人在采购人的监督下进行满意率调查。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中标人须遵守《物业管理条例》、《江苏省物业管理条例》及其他法律法规，并及时完成招标文件要求的物业服务工作。</w:t>
      </w:r>
      <w:r/>
    </w:p>
    <w:p>
      <w:pPr>
        <w:numPr>
          <w:ilvl w:val="0"/>
          <w:numId w:val="9"/>
        </w:numPr>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关于投标报价的界定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投标报价除应包括物业管理服务人员的工资（员工工资不得</w:t>
      </w:r>
      <w:r>
        <w:rPr>
          <w:rFonts w:hint="eastAsia" w:ascii="宋体" w:hAnsi="宋体" w:eastAsia="宋体" w:cs="宋体"/>
          <w:bCs/>
          <w:color w:val="000000"/>
          <w:sz w:val="24"/>
          <w:szCs w:val="24"/>
        </w:rPr>
        <w:t xml:space="preserve">低于规定的无锡市最低工资标准、工作时间不得超过每月最高工作时间的相关规定，相应比例工作人员必须交纳养老、医疗、失业、生育、工伤等在内的社会保险）、社保福利费、法定税费、合理利润外，还应包括管理、劳务、服装、培训、通讯及政策性文件规定等各项应有费用，以及为完成招标文件规定的物业管理工作所涉及到的一切相关费用。投标人报价时应充分考虑服务期内所有可能影响到报价的因素（包括人员最低工资及社保基数政策性调整），一旦中标，总价将包定，即为合同价，不予调整。如发生漏、缺、少项，都将被认为是投标人的报价让利行为，损失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大楼物业管理执行《中华人民共和国政府采购法》、国务院《物业管理条例》、《江苏省物业管理条例》等法律法规，中标单位要严格履行投标书的承诺和物业管理合同的约定，如发现管理达不到约定要求，中标单位管理服务水平下降、投诉多等现象，或物业管理单位管理中发生重大管理失误的，采购人有权按法律程序终止物业管理合同，并要求进行财务审计，一切责任由中标单位承担。</w:t>
      </w:r>
      <w:r/>
    </w:p>
    <w:p>
      <w:pPr>
        <w:ind w:firstLine="480"/>
        <w:spacing w:line="360" w:lineRule="auto"/>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采购人有权根据物业管理实际需要的变动，在合同范围内，对物业管理服务人员进行增减，并按增减人员后实际人员成本计算增减服务费用。</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6.服务方案要求：</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物业管理总体服务规划与设想方案：投标人结合项目采购需求的整体情况，综合考虑物业服务管理的普遍特征和项目的实际情况，提供针对本项目的总体服务设想、目标定位、服务理念、重点难点分析以及思路创新等角度进行详细阐述；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保洁方案：投标人结合本项目日常保洁服务需求，提供包括但不限于所有建筑内外（包含地面、楼道、走廊、扶手、卫生间、办公室、会议室、门前三包、地下停车场等）的卫生保洁与环境维护；垃圾清理、收集与定点回收；下水道疏通等工作方案；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（3）楼宇服务方案：投标人结合本项目楼宇服务需求，提供包括但不限于楼宇安全隐患排查、前台服务等工作方案；提供的方案应细致完整、针对性强、措施有力。</w:t>
      </w:r>
      <w:r/>
    </w:p>
    <w:p>
      <w:pPr>
        <w:ind w:firstLine="480"/>
        <w:spacing w:line="360" w:lineRule="auto"/>
        <w:tabs>
          <w:tab w:val="left" w:pos="1050" w:leader="none"/>
        </w:tabs>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设施设备维护报修方案:投标人结合本项目服务特点，提供包含但不局限于水电设备、各类照明灯具、空调、热水系统、消防系统、配电间、水泵房及楼顶重点机房区域、地下管网等设施设备的日常巡检、维护监管、报修及验收等工作的服务方案；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环境管理服务方案：投标人结合本项目环境整体情况，提供包括但不限于园区道路环境维护保洁、园区景观建筑维护保洁、绿地清理及水系清洁等工作的服务方案：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绿化养护服务方案:投标人结合本项目绿化性质、特点以及日常运行管理要求,提供包括但不限于绿化、绿植养护、楼内绿植养护工作的服务方案；其中包括病虫害防治、树木修剪、草坪及地被养护、花坛花卉栽植与养护、浇水与施肥等；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人员职责要求方案:投标人结合本项目人员需求，进行组织架构设计和人员配置管理，提供包括但不限于本项目的岗位设置、部门职责、工作流程、规章制度以及人员的配置、管理、培训等工作方案；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节能环保服务方案：投标人结合本项目情况，提供包括但不限于对所辖范围内常明灯、常流水、未按规定下班关闭空调等现象进行管控；楼内节能宣传等工作的方案：提供的方案应细致完整、针对性强、措施有力。</w:t>
      </w:r>
      <w:r/>
    </w:p>
    <w:p>
      <w:pPr>
        <w:ind w:firstLine="480"/>
        <w:spacing w:line="360" w:lineRule="auto"/>
        <w:tabs>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会务服务及重大活动方案：投标人结合本项目特点，提供包括但不限于会议准备、会议服务流程、会议保密机制等各项工作服务方案和各类重大活动全过程保障的服务方案：提供的方案应细致完整、针对性强、措施有力。</w:t>
      </w:r>
      <w:r/>
    </w:p>
    <w:p>
      <w:pPr>
        <w:ind w:firstLine="480"/>
        <w:spacing w:line="360" w:lineRule="auto"/>
        <w:tabs>
          <w:tab w:val="left" w:pos="1050" w:leader="none"/>
        </w:tabs>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应急预案：投标人结合本项目安全工作重点、难点的情况，提供包括但不局限于消防、治安、恶劣天气、公共卫生事件、设施设备突发故障等情况的应急预案：提供的方案应细致完整、针对性强、措施有力。</w:t>
      </w:r>
      <w:r/>
    </w:p>
    <w:p>
      <w:pPr>
        <w:ind w:firstLine="480"/>
        <w:spacing w:line="360" w:lineRule="auto"/>
        <w:tabs>
          <w:tab w:val="left" w:pos="1050" w:leader="none"/>
        </w:tabs>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项目交接方案：投标人结合本项目情况，提供物业服务开始及合同到期时的交接方案，包括但不限于交接准备、交流流程、固定资产清查、各类台账的编制整理等工作的方案；方案详实可行，确保交接工作的平稳过渡，确保员工稳定等。</w:t>
      </w:r>
      <w:r/>
    </w:p>
    <w:p>
      <w:pPr>
        <w:ind w:firstLine="42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7.实施期限</w:t>
      </w:r>
      <w:r/>
    </w:p>
    <w:p>
      <w:pPr>
        <w:ind w:firstLine="422"/>
        <w:jc w:val="left"/>
        <w:spacing w:line="300" w:lineRule="auto"/>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【二年（2026年度、2027年度），合同一年一签】</w:t>
      </w:r>
      <w:r/>
    </w:p>
    <w:p>
      <w:pPr>
        <w:ind w:firstLine="42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8.付款方式</w:t>
      </w:r>
      <w:r/>
    </w:p>
    <w:p>
      <w:pPr>
        <w:ind w:firstLine="422"/>
        <w:spacing w:line="30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物业管理费自本合同生效之日起计算，按季度支付：中标方应于每季度首月 10 日前，向业主方提供上一季度服务结算申请及发票，业主方在收到完整资料后 30 个工作日内完成审核并支付对应费用</w:t>
      </w:r>
      <w:r>
        <w:rPr>
          <w:rFonts w:hint="eastAsia" w:ascii="宋体" w:hAnsi="宋体" w:eastAsia="宋体" w:cs="宋体"/>
          <w:b w:val="0"/>
          <w:bCs w:val="0"/>
          <w:color w:val="000000"/>
          <w:sz w:val="24"/>
          <w:szCs w:val="24"/>
          <w:lang w:eastAsia="zh-CN"/>
        </w:rPr>
        <w:t xml:space="preserve">，如结算时遇年初财政预算未下达情况，付款可延至财政预算下达后进行。</w:t>
      </w:r>
      <w:r/>
    </w:p>
    <w:p>
      <w:pPr>
        <w:ind w:firstLine="422"/>
        <w:spacing w:line="30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验收标准与要求</w:t>
      </w:r>
      <w:r/>
    </w:p>
    <w:p>
      <w:pPr>
        <w:ind w:firstLine="420"/>
        <w:jc w:val="left"/>
        <w:spacing w:line="30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【填写具体验收标准与要求】</w:t>
      </w:r>
      <w:r/>
    </w:p>
    <w:p>
      <w:pPr>
        <w:ind w:firstLine="42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10.需要说明的其他事项</w:t>
      </w:r>
      <w:r/>
    </w:p>
    <w:p>
      <w:pPr>
        <w:numPr>
          <w:ilvl w:val="1"/>
          <w:numId w:val="0"/>
        </w:numPr>
        <w:ind w:left="-105" w:firstLine="525"/>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宋体"/>
          <w:color w:val="000000"/>
          <w:sz w:val="24"/>
          <w:szCs w:val="24"/>
        </w:rPr>
        <w:t xml:space="preserve">投标人报价时应充分考虑服务期内所有可能影响到报价的因素，包括最低工资标准及社保基数的政策性调整、一旦投标结束最终中标，总价包定，不予调整。如发生漏、缺、少项，都将被认为是中标人的报价让利行为，损失自负。</w:t>
      </w:r>
      <w:r/>
    </w:p>
    <w:p>
      <w:pPr>
        <w:numPr>
          <w:ilvl w:val="1"/>
          <w:numId w:val="0"/>
        </w:numPr>
        <w:ind w:left="-105"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员工工资、社保费用、税金、公积金、保险、加班费、福利费等法定费用为不可让利部分（不可竞争费用），须按规定计算并报出，投标总报价不可低于上述相关费用合计，否则作无效投标处理。</w:t>
      </w:r>
      <w:r/>
    </w:p>
    <w:p>
      <w:pPr>
        <w:numPr>
          <w:ilvl w:val="1"/>
          <w:numId w:val="0"/>
        </w:numPr>
        <w:ind w:left="-105" w:firstLine="525"/>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（3）</w:t>
      </w:r>
      <w:r>
        <w:rPr>
          <w:rFonts w:hint="eastAsia" w:ascii="宋体" w:hAnsi="宋体" w:eastAsia="宋体" w:cs="宋体"/>
          <w:color w:val="000000"/>
          <w:sz w:val="24"/>
          <w:szCs w:val="24"/>
        </w:rPr>
        <w:t xml:space="preserve">中标单位应按照相关规定，与所有聘用人员依法签订劳动合同。</w:t>
      </w:r>
      <w:r/>
    </w:p>
    <w:p>
      <w:pPr>
        <w:numPr>
          <w:ilvl w:val="1"/>
          <w:numId w:val="0"/>
        </w:numPr>
        <w:ind w:left="-105" w:firstLine="525"/>
        <w:spacing w:line="360" w:lineRule="auto"/>
        <w:tabs>
          <w:tab w:val="left" w:pos="525" w:leader="none"/>
          <w:tab w:val="left" w:pos="945" w:leader="none"/>
        </w:tabs>
        <w:rPr>
          <w:rFonts w:ascii="宋体" w:hAnsi="宋体" w:eastAsia="宋体" w:cs="宋体"/>
          <w:color w:val="000000"/>
          <w:sz w:val="24"/>
          <w:szCs w:val="24"/>
        </w:rPr>
      </w:pPr>
      <w:r>
        <w:rPr>
          <w:rFonts w:hint="eastAsia" w:ascii="宋体" w:hAnsi="宋体" w:eastAsia="宋体" w:cs="Times New Roman"/>
          <w:bCs/>
          <w:color w:val="000000"/>
          <w:sz w:val="24"/>
          <w:szCs w:val="24"/>
          <w:lang w:val="en-US" w:eastAsia="zh-CN" w:bidi="ar-SA"/>
        </w:rPr>
        <w:t xml:space="preserve">（4）</w:t>
      </w:r>
      <w:r>
        <w:rPr>
          <w:rFonts w:hint="eastAsia" w:ascii="宋体" w:hAnsi="宋体" w:eastAsia="宋体" w:cs="宋体"/>
          <w:bCs/>
          <w:color w:val="000000"/>
          <w:sz w:val="24"/>
          <w:szCs w:val="24"/>
        </w:rPr>
        <w:t xml:space="preserve">投标人必须在满足招标文件要求的基础上进行报价，如有服务偏离请于服务偏离表中说明。</w:t>
      </w:r>
      <w:r/>
    </w:p>
    <w:p>
      <w:pPr>
        <w:ind w:firstLine="482"/>
        <w:jc w:val="both"/>
        <w:keepLines/>
        <w:keepNext/>
        <w:spacing w:line="300" w:lineRule="auto"/>
        <w:widowControl w:val="off"/>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11.采购项目需落实的政府采购政策</w:t>
      </w:r>
      <w:r/>
    </w:p>
    <w:p>
      <w:pPr>
        <w:ind w:firstLine="480"/>
        <w:spacing w:line="360" w:lineRule="auto"/>
        <w:rPr>
          <w:rFonts w:hint="eastAsia" w:ascii="黑体" w:eastAsia="黑体"/>
          <w:bCs/>
          <w:color w:val="000000"/>
          <w:sz w:val="44"/>
        </w:rPr>
        <w:sectPr>
          <w:footnotePr/>
          <w:endnotePr/>
          <w:type w:val="nextPage"/>
          <w:pgSz w:w="11906" w:h="16838" w:orient="portrait"/>
          <w:pgMar w:top="1418" w:right="1588" w:bottom="1418" w:left="1365" w:header="851" w:footer="907" w:gutter="0"/>
          <w:pgNumType w:start="24"/>
          <w:cols w:num="1" w:sep="0" w:space="1701" w:equalWidth="1"/>
          <w:docGrid w:linePitch="360"/>
          <w:titlePg/>
        </w:sectPr>
      </w:pPr>
      <w:r>
        <w:rPr>
          <w:rFonts w:hint="eastAsia" w:ascii="宋体" w:hAnsi="宋体" w:eastAsia="宋体" w:cs="宋体"/>
          <w:color w:val="000000"/>
          <w:sz w:val="24"/>
          <w:szCs w:val="24"/>
          <w:lang w:val="en-US" w:eastAsia="zh-CN" w:bidi="ar-SA"/>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bookmarkEnd w:id="195"/>
      <w:r/>
      <w:bookmarkEnd w:id="196"/>
      <w:r/>
      <w:bookmarkEnd w:id="197"/>
      <w:r/>
      <w:bookmarkStart w:id="199" w:name="_Toc120614281"/>
      <w:r/>
      <w:r/>
    </w:p>
    <w:p>
      <w:pPr>
        <w:pStyle w:val="1107"/>
        <w:jc w:val="center"/>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182"/>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9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color w:val="000000"/>
              </w:rPr>
            </w:pPr>
            <w:r>
              <w:rPr>
                <w:rFonts w:hint="eastAsia" w:ascii="宋体" w:hAnsi="宋体"/>
                <w:color w:val="000000"/>
              </w:rPr>
              <w:t xml:space="preserve">采购包号</w:t>
            </w:r>
            <w:r/>
          </w:p>
        </w:tc>
        <w:tc>
          <w:tcPr>
            <w:tcW w:w="1610" w:type="dxa"/>
            <w:vAlign w:val="top"/>
            <w:textDirection w:val="lrTb"/>
            <w:noWrap w:val="false"/>
          </w:tcPr>
          <w:p>
            <w:pPr>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4325" w:type="dxa"/>
            <w:vAlign w:val="top"/>
            <w:textDirection w:val="lrTb"/>
            <w:noWrap w:val="false"/>
          </w:tcPr>
          <w:p>
            <w:pPr>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4325" w:type="dxa"/>
            <w:vAlign w:val="top"/>
            <w:textDirection w:val="lrTb"/>
            <w:noWrap w:val="false"/>
          </w:tcPr>
          <w:p>
            <w:pPr>
              <w:jc w:val="left"/>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ind w:firstLine="441"/>
        <w:jc w:val="left"/>
        <w:spacing w:before="120" w:after="120" w:line="360" w:lineRule="auto"/>
        <w:rPr>
          <w:rFonts w:ascii="宋体" w:hAnsi="宋体"/>
          <w:b/>
          <w:color w:val="000000"/>
        </w:rPr>
      </w:pPr>
      <w:r>
        <w:rPr>
          <w:rFonts w:hint="eastAsia" w:ascii="宋体" w:hAnsi="宋体"/>
          <w:b/>
          <w:color w:val="000000"/>
        </w:rPr>
        <w:t xml:space="preserve">政府采购政策功能落实</w:t>
      </w:r>
      <w:r>
        <w:rPr>
          <w:rFonts w:hint="eastAsia" w:ascii="宋体" w:hAnsi="宋体"/>
          <w:b/>
          <w:color w:val="000000"/>
          <w:lang w:eastAsia="zh-CN"/>
        </w:rPr>
        <w:t xml:space="preserve">：</w:t>
      </w:r>
      <w:r>
        <w:rPr>
          <w:rFonts w:hint="eastAsia" w:ascii="宋体" w:hAnsi="宋体"/>
          <w:b/>
          <w:color w:val="000000"/>
          <w:sz w:val="24"/>
          <w:lang w:val="en-US" w:eastAsia="zh-CN"/>
        </w:rPr>
        <w:t xml:space="preserve">本</w:t>
      </w:r>
      <w:r>
        <w:rPr>
          <w:rFonts w:hint="eastAsia" w:ascii="宋体" w:hAnsi="宋体"/>
          <w:b/>
          <w:color w:val="000000"/>
          <w:sz w:val="24"/>
        </w:rPr>
        <w:t xml:space="preserve">项目专门面向中小微型企业采购，供应商不再享受任何价格扣除。</w:t>
      </w:r>
      <w:r/>
    </w:p>
    <w:p>
      <w:pPr>
        <w:pStyle w:val="1182"/>
        <w:ind w:firstLine="482"/>
        <w:spacing w:line="0" w:lineRule="atLeast"/>
        <w:rPr>
          <w:rFonts w:hint="eastAsia" w:ascii="宋体" w:hAnsi="宋体"/>
          <w:b/>
          <w:color w:val="000000"/>
          <w:highlight w:val="yellow"/>
        </w:rPr>
      </w:pPr>
      <w:r>
        <w:rPr>
          <w:rFonts w:hint="eastAsia" w:ascii="宋体" w:hAnsi="宋体"/>
          <w:b/>
          <w:color w:val="000000"/>
        </w:rPr>
        <w:t xml:space="preserve">评标方法与评标标准</w:t>
      </w:r>
      <w:r/>
    </w:p>
    <w:tbl>
      <w:tblPr>
        <w:tblStyle w:val="936"/>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09"/>
        <w:gridCol w:w="6486"/>
        <w:gridCol w:w="57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b/>
                <w:bCs/>
                <w:color w:val="000000"/>
                <w:spacing w:val="-3"/>
                <w:szCs w:val="21"/>
              </w:rPr>
            </w:pPr>
            <w:r>
              <w:rPr>
                <w:rFonts w:hint="eastAsia" w:ascii="宋体" w:hAnsi="宋体"/>
                <w:b/>
                <w:bCs/>
                <w:color w:val="000000"/>
                <w:spacing w:val="-3"/>
                <w:szCs w:val="21"/>
              </w:rPr>
              <w:t xml:space="preserve">序号</w:t>
            </w:r>
            <w:r/>
          </w:p>
        </w:tc>
        <w:tc>
          <w:tcPr>
            <w:tcW w:w="1309" w:type="dxa"/>
            <w:vAlign w:val="center"/>
            <w:textDirection w:val="lrTb"/>
            <w:noWrap w:val="false"/>
          </w:tcPr>
          <w:p>
            <w:pPr>
              <w:jc w:val="center"/>
              <w:spacing w:before="122" w:line="288" w:lineRule="auto"/>
              <w:rPr>
                <w:rFonts w:ascii="宋体" w:hAnsi="宋体"/>
                <w:b/>
                <w:bCs/>
                <w:color w:val="000000"/>
                <w:spacing w:val="-3"/>
                <w:szCs w:val="21"/>
              </w:rPr>
            </w:pPr>
            <w:r>
              <w:rPr>
                <w:rFonts w:hint="eastAsia" w:ascii="宋体" w:hAnsi="宋体"/>
                <w:b/>
                <w:bCs/>
                <w:color w:val="000000"/>
                <w:spacing w:val="-3"/>
                <w:szCs w:val="21"/>
              </w:rPr>
              <w:t xml:space="preserve">评审因素</w:t>
            </w:r>
            <w:r/>
          </w:p>
        </w:tc>
        <w:tc>
          <w:tcPr>
            <w:tcW w:w="6486" w:type="dxa"/>
            <w:vAlign w:val="center"/>
            <w:textDirection w:val="lrTb"/>
            <w:noWrap w:val="false"/>
          </w:tcPr>
          <w:p>
            <w:pPr>
              <w:jc w:val="center"/>
              <w:spacing w:before="122" w:line="288" w:lineRule="auto"/>
              <w:rPr>
                <w:rFonts w:ascii="宋体" w:hAnsi="宋体"/>
                <w:b/>
                <w:bCs/>
                <w:color w:val="000000"/>
                <w:spacing w:val="-3"/>
                <w:szCs w:val="21"/>
              </w:rPr>
            </w:pPr>
            <w:r>
              <w:rPr>
                <w:rFonts w:hint="eastAsia" w:ascii="宋体" w:hAnsi="宋体"/>
                <w:b/>
                <w:bCs/>
                <w:color w:val="000000"/>
                <w:spacing w:val="-3"/>
                <w:szCs w:val="21"/>
              </w:rPr>
              <w:t xml:space="preserve">评审细则</w:t>
            </w:r>
            <w:r/>
          </w:p>
        </w:tc>
        <w:tc>
          <w:tcPr>
            <w:tcW w:w="573" w:type="dxa"/>
            <w:vAlign w:val="center"/>
            <w:textDirection w:val="lrTb"/>
            <w:noWrap w:val="false"/>
          </w:tcPr>
          <w:p>
            <w:pPr>
              <w:jc w:val="center"/>
              <w:spacing w:before="122" w:line="288" w:lineRule="auto"/>
              <w:rPr>
                <w:rFonts w:ascii="宋体" w:hAnsi="宋体"/>
                <w:b/>
                <w:bCs/>
                <w:color w:val="000000"/>
                <w:spacing w:val="-3"/>
                <w:szCs w:val="21"/>
              </w:rPr>
            </w:pPr>
            <w:r>
              <w:rPr>
                <w:rFonts w:hint="eastAsia" w:ascii="宋体" w:hAnsi="宋体"/>
                <w:b/>
                <w:bCs/>
                <w:color w:val="000000"/>
                <w:spacing w:val="-3"/>
                <w:szCs w:val="21"/>
              </w:rPr>
              <w:t xml:space="preserve">分值</w:t>
            </w:r>
            <w:r/>
          </w:p>
        </w:tc>
        <w:tc>
          <w:tcPr>
            <w:tcW w:w="783" w:type="dxa"/>
            <w:vAlign w:val="center"/>
            <w:textDirection w:val="lrTb"/>
            <w:noWrap w:val="false"/>
          </w:tcPr>
          <w:p>
            <w:pPr>
              <w:jc w:val="center"/>
              <w:spacing w:before="122" w:line="288" w:lineRule="auto"/>
              <w:rPr>
                <w:rFonts w:ascii="宋体" w:hAnsi="宋体"/>
                <w:b/>
                <w:bCs/>
                <w:color w:val="000000"/>
                <w:spacing w:val="-3"/>
                <w:szCs w:val="21"/>
              </w:rPr>
            </w:pPr>
            <w:r>
              <w:rPr>
                <w:rFonts w:hint="eastAsia" w:ascii="宋体" w:hAnsi="宋体"/>
                <w:b/>
                <w:bCs/>
                <w:color w:val="000000"/>
                <w:spacing w:val="-3"/>
                <w:szCs w:val="21"/>
              </w:rPr>
              <w:t xml:space="preserve">类型</w:t>
            </w:r>
            <w:r/>
          </w:p>
        </w:tc>
      </w:tr>
      <w:tr>
        <w:trPr>
          <w:jc w:val="center"/>
        </w:trPr>
        <w:tc>
          <w:tcPr>
            <w:gridSpan w:val="5"/>
            <w:tcW w:w="9670" w:type="dxa"/>
            <w:vAlign w:val="top"/>
            <w:textDirection w:val="lrTb"/>
            <w:noWrap w:val="false"/>
          </w:tcPr>
          <w:p>
            <w:pPr>
              <w:ind w:left="114"/>
              <w:spacing w:before="122" w:line="264" w:lineRule="auto"/>
              <w:rPr>
                <w:rFonts w:ascii="宋体" w:hAnsi="宋体"/>
                <w:color w:val="000000"/>
                <w:szCs w:val="21"/>
              </w:rPr>
            </w:pPr>
            <w:r>
              <w:rPr>
                <w:rFonts w:hint="eastAsia" w:ascii="宋体" w:hAnsi="宋体"/>
                <w:b/>
                <w:bCs/>
                <w:color w:val="000000"/>
                <w:spacing w:val="-3"/>
                <w:szCs w:val="21"/>
              </w:rPr>
              <w:t xml:space="preserve">1.价</w:t>
            </w:r>
            <w:r>
              <w:rPr>
                <w:rFonts w:hint="eastAsia" w:ascii="宋体" w:hAnsi="宋体"/>
                <w:b/>
                <w:bCs/>
                <w:color w:val="000000"/>
                <w:spacing w:val="-2"/>
                <w:szCs w:val="21"/>
              </w:rPr>
              <w:t xml:space="preserve">格</w:t>
            </w:r>
            <w:r/>
          </w:p>
        </w:tc>
      </w:tr>
      <w:tr>
        <w:trPr>
          <w:jc w:val="center"/>
        </w:trPr>
        <w:tc>
          <w:tcPr>
            <w:tcW w:w="519" w:type="dxa"/>
            <w:vAlign w:val="center"/>
            <w:textDirection w:val="lrTb"/>
            <w:noWrap w:val="false"/>
          </w:tcPr>
          <w:p>
            <w:pPr>
              <w:jc w:val="center"/>
              <w:spacing w:before="68" w:line="264" w:lineRule="auto"/>
              <w:rPr>
                <w:rFonts w:ascii="宋体" w:hAnsi="宋体"/>
                <w:color w:val="000000"/>
                <w:szCs w:val="21"/>
              </w:rPr>
            </w:pPr>
            <w:r>
              <w:rPr>
                <w:rFonts w:hint="eastAsia" w:ascii="宋体" w:hAnsi="宋体"/>
                <w:color w:val="000000"/>
                <w:spacing w:val="-6"/>
                <w:szCs w:val="21"/>
              </w:rPr>
              <w:t xml:space="preserve">1</w:t>
            </w:r>
            <w:r>
              <w:rPr>
                <w:rFonts w:hint="eastAsia" w:ascii="宋体" w:hAnsi="宋体"/>
                <w:color w:val="000000"/>
                <w:spacing w:val="-5"/>
                <w:szCs w:val="21"/>
              </w:rPr>
              <w:t xml:space="preserve">.1</w:t>
            </w:r>
            <w:r/>
          </w:p>
        </w:tc>
        <w:tc>
          <w:tcPr>
            <w:tcW w:w="1309" w:type="dxa"/>
            <w:vAlign w:val="center"/>
            <w:textDirection w:val="lrTb"/>
            <w:noWrap w:val="false"/>
          </w:tcPr>
          <w:p>
            <w:pPr>
              <w:jc w:val="center"/>
              <w:spacing w:before="68" w:line="264" w:lineRule="auto"/>
              <w:rPr>
                <w:rFonts w:ascii="宋体" w:hAnsi="宋体"/>
                <w:color w:val="000000"/>
                <w:spacing w:val="-2"/>
                <w:szCs w:val="22"/>
              </w:rPr>
            </w:pPr>
            <w:r>
              <w:rPr>
                <w:rFonts w:hint="eastAsia" w:ascii="宋体" w:hAnsi="宋体"/>
                <w:color w:val="000000"/>
                <w:spacing w:val="-2"/>
                <w:szCs w:val="22"/>
              </w:rPr>
              <w:t xml:space="preserve">价格分</w:t>
            </w:r>
            <w:r/>
          </w:p>
          <w:p>
            <w:pPr>
              <w:jc w:val="center"/>
              <w:spacing w:before="68" w:line="264" w:lineRule="auto"/>
              <w:rPr>
                <w:rFonts w:ascii="宋体" w:hAnsi="宋体"/>
                <w:color w:val="000000"/>
                <w:szCs w:val="21"/>
              </w:rPr>
            </w:pP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10</w:t>
            </w:r>
            <w:r>
              <w:rPr>
                <w:rFonts w:hint="eastAsia" w:ascii="宋体" w:hAnsi="宋体"/>
                <w:color w:val="000000"/>
                <w:spacing w:val="-2"/>
                <w:szCs w:val="21"/>
              </w:rPr>
              <w:t xml:space="preserve">分）</w:t>
            </w:r>
            <w:r/>
          </w:p>
        </w:tc>
        <w:tc>
          <w:tcPr>
            <w:tcW w:w="6486" w:type="dxa"/>
            <w:vAlign w:val="center"/>
            <w:textDirection w:val="lrTb"/>
            <w:noWrap w:val="false"/>
          </w:tcPr>
          <w:p>
            <w:pPr>
              <w:jc w:val="left"/>
              <w:spacing w:line="264" w:lineRule="auto"/>
              <w:rPr>
                <w:rFonts w:ascii="宋体" w:hAnsi="宋体"/>
                <w:color w:val="000000"/>
                <w:szCs w:val="21"/>
              </w:rPr>
            </w:pPr>
            <w:r>
              <w:rPr>
                <w:rFonts w:hint="eastAsia" w:ascii="宋体" w:hAnsi="宋体"/>
                <w:color w:val="000000"/>
                <w:spacing w:val="1"/>
                <w:szCs w:val="21"/>
              </w:rPr>
              <w:t xml:space="preserve">采用低价优先</w:t>
            </w:r>
            <w:r>
              <w:rPr>
                <w:rFonts w:hint="eastAsia" w:ascii="宋体" w:hAnsi="宋体"/>
                <w:color w:val="000000"/>
                <w:szCs w:val="21"/>
              </w:rPr>
              <w:t xml:space="preserve">法计算，即满足招标文件要求且投标价格最低的投标</w:t>
            </w:r>
            <w:r>
              <w:rPr>
                <w:rFonts w:hint="eastAsia" w:ascii="宋体" w:hAnsi="宋体"/>
                <w:color w:val="000000"/>
                <w:spacing w:val="1"/>
                <w:szCs w:val="21"/>
              </w:rPr>
              <w:t xml:space="preserve">报价为评标基准</w:t>
            </w:r>
            <w:r>
              <w:rPr>
                <w:rFonts w:hint="eastAsia" w:ascii="宋体" w:hAnsi="宋体"/>
                <w:color w:val="000000"/>
                <w:szCs w:val="21"/>
              </w:rPr>
              <w:t xml:space="preserve">价，其价格分为满分。其他投标人的价格分统一按</w:t>
            </w:r>
            <w:r>
              <w:rPr>
                <w:rFonts w:hint="eastAsia" w:ascii="宋体" w:hAnsi="宋体"/>
                <w:color w:val="000000"/>
                <w:spacing w:val="-1"/>
                <w:szCs w:val="21"/>
              </w:rPr>
              <w:t xml:space="preserve">照下列公</w:t>
            </w:r>
            <w:r>
              <w:rPr>
                <w:rFonts w:hint="eastAsia" w:ascii="宋体" w:hAnsi="宋体"/>
                <w:color w:val="000000"/>
                <w:szCs w:val="21"/>
              </w:rPr>
              <w:t xml:space="preserve">式计算：投标报价得分=(评标基准价/投标报价)×价格分值（小数点保留两位）</w:t>
            </w:r>
            <w:r/>
          </w:p>
        </w:tc>
        <w:tc>
          <w:tcPr>
            <w:tcW w:w="573" w:type="dxa"/>
            <w:vAlign w:val="center"/>
            <w:textDirection w:val="lrTb"/>
            <w:noWrap w:val="false"/>
          </w:tcPr>
          <w:p>
            <w:pPr>
              <w:jc w:val="center"/>
              <w:spacing w:before="69" w:line="264" w:lineRule="auto"/>
              <w:rPr>
                <w:rFonts w:ascii="宋体" w:hAnsi="宋体" w:eastAsia="宋体"/>
                <w:color w:val="000000"/>
                <w:szCs w:val="22"/>
                <w:lang w:val="en-US" w:eastAsia="zh-CN"/>
              </w:rPr>
            </w:pPr>
            <w:r>
              <w:rPr>
                <w:rFonts w:hint="eastAsia" w:ascii="宋体" w:hAnsi="宋体"/>
                <w:color w:val="000000"/>
                <w:szCs w:val="22"/>
                <w:lang w:val="en-US" w:eastAsia="zh-CN"/>
              </w:rPr>
              <w:t xml:space="preserve">10</w:t>
            </w:r>
            <w:r/>
          </w:p>
        </w:tc>
        <w:tc>
          <w:tcPr>
            <w:tcW w:w="783" w:type="dxa"/>
            <w:vAlign w:val="center"/>
            <w:textDirection w:val="lrTb"/>
            <w:noWrap w:val="false"/>
          </w:tcPr>
          <w:p>
            <w:pPr>
              <w:jc w:val="center"/>
              <w:spacing w:before="69" w:line="264" w:lineRule="auto"/>
              <w:rPr>
                <w:rFonts w:ascii="宋体" w:hAnsi="宋体"/>
                <w:color w:val="000000"/>
                <w:szCs w:val="22"/>
              </w:rPr>
            </w:pPr>
            <w:r>
              <w:rPr>
                <w:rFonts w:hint="eastAsia" w:ascii="宋体" w:hAnsi="宋体"/>
                <w:color w:val="000000"/>
                <w:szCs w:val="22"/>
              </w:rPr>
              <w:t xml:space="preserve">价格分</w:t>
            </w:r>
            <w:r/>
          </w:p>
        </w:tc>
      </w:tr>
      <w:tr>
        <w:trPr>
          <w:jc w:val="center"/>
        </w:trPr>
        <w:tc>
          <w:tcPr>
            <w:gridSpan w:val="5"/>
            <w:tcW w:w="9670" w:type="dxa"/>
            <w:vAlign w:val="center"/>
            <w:textDirection w:val="lrTb"/>
            <w:noWrap w:val="false"/>
          </w:tcPr>
          <w:p>
            <w:pPr>
              <w:rPr>
                <w:rFonts w:ascii="宋体" w:hAnsi="宋体"/>
                <w:color w:val="000000"/>
                <w:szCs w:val="21"/>
              </w:rPr>
            </w:pPr>
            <w:r>
              <w:rPr>
                <w:rFonts w:hint="eastAsia" w:ascii="宋体" w:hAnsi="宋体"/>
                <w:b/>
                <w:bCs/>
                <w:color w:val="000000"/>
                <w:spacing w:val="-3"/>
                <w:szCs w:val="21"/>
                <w:lang w:val="en-US" w:eastAsia="zh-CN"/>
              </w:rPr>
              <w:t xml:space="preserve">2</w:t>
            </w:r>
            <w:r>
              <w:rPr>
                <w:rFonts w:hint="eastAsia" w:ascii="宋体" w:hAnsi="宋体"/>
                <w:b/>
                <w:bCs/>
                <w:color w:val="000000"/>
                <w:spacing w:val="-3"/>
                <w:szCs w:val="21"/>
              </w:rPr>
              <w:t xml:space="preserve">.</w:t>
            </w:r>
            <w:r>
              <w:rPr>
                <w:rFonts w:hint="eastAsia" w:ascii="宋体" w:hAnsi="宋体"/>
                <w:b/>
                <w:bCs/>
                <w:color w:val="000000"/>
                <w:spacing w:val="-3"/>
                <w:szCs w:val="21"/>
                <w:lang w:val="en-US" w:eastAsia="zh-CN"/>
              </w:rPr>
              <w:t xml:space="preserve">企业</w:t>
            </w:r>
            <w:r>
              <w:rPr>
                <w:rFonts w:hint="eastAsia" w:ascii="宋体" w:hAnsi="宋体"/>
                <w:b/>
                <w:bCs/>
                <w:color w:val="000000"/>
                <w:spacing w:val="-3"/>
                <w:szCs w:val="21"/>
              </w:rPr>
              <w:t xml:space="preserve">业绩</w:t>
            </w:r>
            <w:r/>
          </w:p>
        </w:tc>
      </w:tr>
      <w:tr>
        <w:trPr>
          <w:jc w:val="center"/>
        </w:trPr>
        <w:tc>
          <w:tcPr>
            <w:tcW w:w="519" w:type="dxa"/>
            <w:vAlign w:val="center"/>
            <w:textDirection w:val="lrTb"/>
            <w:noWrap w:val="false"/>
          </w:tcPr>
          <w:p>
            <w:pPr>
              <w:jc w:val="center"/>
              <w:spacing w:before="68"/>
              <w:rPr>
                <w:rFonts w:ascii="宋体" w:hAnsi="宋体"/>
                <w:color w:val="000000"/>
                <w:spacing w:val="-2"/>
                <w:szCs w:val="21"/>
              </w:rPr>
            </w:pPr>
            <w:r>
              <w:rPr>
                <w:rFonts w:hint="eastAsia" w:ascii="宋体" w:hAnsi="宋体"/>
                <w:color w:val="000000"/>
                <w:spacing w:val="-2"/>
                <w:szCs w:val="21"/>
                <w:lang w:val="en-US" w:eastAsia="zh-CN"/>
              </w:rPr>
              <w:t xml:space="preserve">2</w:t>
            </w:r>
            <w:r>
              <w:rPr>
                <w:rFonts w:hint="eastAsia" w:ascii="宋体" w:hAnsi="宋体"/>
                <w:color w:val="000000"/>
                <w:spacing w:val="-2"/>
                <w:szCs w:val="21"/>
              </w:rPr>
              <w:t xml:space="preserve">.1</w:t>
            </w:r>
            <w:r/>
          </w:p>
        </w:tc>
        <w:tc>
          <w:tcPr>
            <w:tcW w:w="1309" w:type="dxa"/>
            <w:vAlign w:val="center"/>
            <w:textDirection w:val="lrTb"/>
            <w:noWrap w:val="false"/>
          </w:tcPr>
          <w:p>
            <w:pPr>
              <w:spacing w:before="69"/>
              <w:rPr>
                <w:rFonts w:ascii="宋体" w:hAnsi="宋体"/>
                <w:color w:val="000000"/>
                <w:spacing w:val="-1"/>
                <w:szCs w:val="21"/>
              </w:rPr>
            </w:pPr>
            <w:r>
              <w:rPr>
                <w:rFonts w:hint="eastAsia" w:ascii="宋体" w:hAnsi="宋体"/>
                <w:color w:val="000000"/>
                <w:spacing w:val="-1"/>
                <w:szCs w:val="21"/>
                <w:lang w:val="en-US" w:eastAsia="zh-CN"/>
              </w:rPr>
              <w:t xml:space="preserve">企业</w:t>
            </w:r>
            <w:r>
              <w:rPr>
                <w:rFonts w:hint="eastAsia" w:ascii="宋体" w:hAnsi="宋体"/>
                <w:color w:val="000000"/>
                <w:spacing w:val="-1"/>
                <w:szCs w:val="21"/>
              </w:rPr>
              <w:t xml:space="preserve">业绩（8分）</w:t>
            </w:r>
            <w:r/>
          </w:p>
        </w:tc>
        <w:tc>
          <w:tcPr>
            <w:tcW w:w="6486" w:type="dxa"/>
            <w:vAlign w:val="center"/>
            <w:textDirection w:val="lrTb"/>
            <w:noWrap w:val="false"/>
          </w:tcPr>
          <w:p>
            <w:pPr>
              <w:jc w:val="left"/>
              <w:spacing w:line="264" w:lineRule="auto"/>
              <w:rPr>
                <w:rFonts w:ascii="宋体" w:hAnsi="宋体"/>
                <w:color w:val="000000"/>
                <w:szCs w:val="21"/>
              </w:rPr>
            </w:pPr>
            <w:r>
              <w:rPr>
                <w:rFonts w:hint="eastAsia" w:ascii="宋体" w:hAnsi="宋体"/>
                <w:color w:val="000000"/>
                <w:szCs w:val="21"/>
              </w:rPr>
              <w:t xml:space="preserve">供应商自202</w:t>
            </w:r>
            <w:r>
              <w:rPr>
                <w:rFonts w:hint="eastAsia" w:ascii="宋体" w:hAnsi="宋体"/>
                <w:color w:val="000000"/>
                <w:szCs w:val="21"/>
                <w:lang w:val="en-US" w:eastAsia="zh-CN"/>
              </w:rPr>
              <w:t xml:space="preserve">3</w:t>
            </w:r>
            <w:r>
              <w:rPr>
                <w:rFonts w:hint="eastAsia" w:ascii="宋体" w:hAnsi="宋体"/>
                <w:color w:val="000000"/>
                <w:szCs w:val="21"/>
              </w:rPr>
              <w:t xml:space="preserve">年1月1日至投标截止日承担过类似合同业绩的有一项得</w:t>
            </w:r>
            <w:r>
              <w:rPr>
                <w:rFonts w:hint="eastAsia" w:ascii="宋体" w:hAnsi="宋体"/>
                <w:color w:val="000000"/>
                <w:szCs w:val="21"/>
                <w:lang w:val="en-US" w:eastAsia="zh-CN"/>
              </w:rPr>
              <w:t xml:space="preserve">4</w:t>
            </w:r>
            <w:r>
              <w:rPr>
                <w:rFonts w:hint="eastAsia" w:ascii="宋体" w:hAnsi="宋体"/>
                <w:color w:val="000000"/>
                <w:szCs w:val="21"/>
              </w:rPr>
              <w:t xml:space="preserve">分，最高得8分。时间以合同或协议签订时间为准。投标时须提供合同或协议复印件加盖公章放入投标文件内，不提供或提供不符合要求均不得分。</w:t>
            </w:r>
            <w:r/>
          </w:p>
        </w:tc>
        <w:tc>
          <w:tcPr>
            <w:tcW w:w="573" w:type="dxa"/>
            <w:vAlign w:val="center"/>
            <w:textDirection w:val="lrTb"/>
            <w:noWrap w:val="false"/>
          </w:tcPr>
          <w:p>
            <w:pPr>
              <w:jc w:val="center"/>
              <w:spacing w:before="68"/>
              <w:rPr>
                <w:rFonts w:ascii="宋体" w:hAnsi="宋体" w:eastAsia="宋体"/>
                <w:color w:val="000000"/>
                <w:szCs w:val="21"/>
                <w:lang w:val="en-US" w:eastAsia="zh-CN"/>
              </w:rPr>
            </w:pPr>
            <w:r>
              <w:rPr>
                <w:rFonts w:hint="eastAsia" w:ascii="宋体" w:hAnsi="宋体"/>
                <w:color w:val="000000"/>
                <w:szCs w:val="21"/>
                <w:lang w:val="en-US" w:eastAsia="zh-CN"/>
              </w:rPr>
              <w:t xml:space="preserve">8</w:t>
            </w:r>
            <w:r/>
          </w:p>
        </w:tc>
        <w:tc>
          <w:tcPr>
            <w:tcW w:w="783" w:type="dxa"/>
            <w:vAlign w:val="center"/>
            <w:textDirection w:val="lrTb"/>
            <w:noWrap w:val="false"/>
          </w:tcPr>
          <w:p>
            <w:pPr>
              <w:jc w:val="center"/>
              <w:spacing w:before="68"/>
              <w:rPr>
                <w:rFonts w:ascii="宋体" w:hAnsi="宋体"/>
                <w:color w:val="000000"/>
                <w:spacing w:val="-6"/>
                <w:szCs w:val="21"/>
              </w:rPr>
            </w:pPr>
            <w:r>
              <w:rPr>
                <w:rFonts w:hint="eastAsia" w:ascii="宋体" w:hAnsi="宋体"/>
                <w:color w:val="000000"/>
                <w:spacing w:val="-6"/>
                <w:szCs w:val="21"/>
              </w:rPr>
              <w:t xml:space="preserve">客观分</w:t>
            </w:r>
            <w:r/>
          </w:p>
        </w:tc>
      </w:tr>
      <w:tr>
        <w:trPr>
          <w:jc w:val="center"/>
        </w:trPr>
        <w:tc>
          <w:tcPr>
            <w:gridSpan w:val="5"/>
            <w:tcW w:w="9670" w:type="dxa"/>
            <w:vAlign w:val="top"/>
            <w:textDirection w:val="lrTb"/>
            <w:noWrap w:val="false"/>
          </w:tcPr>
          <w:p>
            <w:pPr>
              <w:spacing w:before="123"/>
              <w:rPr>
                <w:rFonts w:ascii="宋体" w:hAnsi="宋体"/>
                <w:color w:val="000000"/>
                <w:szCs w:val="21"/>
              </w:rPr>
            </w:pPr>
            <w:r>
              <w:rPr>
                <w:rFonts w:hint="eastAsia" w:ascii="宋体" w:hAnsi="宋体"/>
                <w:b/>
                <w:bCs/>
                <w:color w:val="000000"/>
                <w:spacing w:val="-3"/>
                <w:szCs w:val="21"/>
                <w:lang w:val="en-US" w:eastAsia="zh-CN"/>
              </w:rPr>
              <w:t xml:space="preserve">3</w:t>
            </w:r>
            <w:r>
              <w:rPr>
                <w:rFonts w:hint="eastAsia" w:ascii="宋体" w:hAnsi="宋体"/>
                <w:b/>
                <w:bCs/>
                <w:color w:val="000000"/>
                <w:spacing w:val="-3"/>
                <w:szCs w:val="21"/>
              </w:rPr>
              <w:t xml:space="preserve">.项目人员配置</w:t>
            </w:r>
            <w:r/>
          </w:p>
        </w:tc>
      </w:tr>
      <w:tr>
        <w:trPr>
          <w:jc w:val="center"/>
        </w:trPr>
        <w:tc>
          <w:tcPr>
            <w:tcW w:w="519" w:type="dxa"/>
            <w:vAlign w:val="center"/>
            <w:textDirection w:val="lrTb"/>
            <w:noWrap w:val="false"/>
          </w:tcPr>
          <w:p>
            <w:pPr>
              <w:jc w:val="center"/>
              <w:spacing w:before="68"/>
              <w:rPr>
                <w:rFonts w:ascii="宋体" w:hAnsi="宋体"/>
                <w:color w:val="000000"/>
                <w:spacing w:val="-2"/>
                <w:szCs w:val="21"/>
              </w:rPr>
            </w:pPr>
            <w:r/>
            <w:bookmarkStart w:id="200" w:name="OLE_LINK1"/>
            <w:r>
              <w:rPr>
                <w:rFonts w:hint="eastAsia" w:ascii="宋体" w:hAnsi="宋体"/>
                <w:color w:val="000000"/>
                <w:spacing w:val="-2"/>
                <w:szCs w:val="21"/>
                <w:lang w:val="en-US" w:eastAsia="zh-CN"/>
              </w:rPr>
              <w:t xml:space="preserve">3</w:t>
            </w:r>
            <w:r>
              <w:rPr>
                <w:rFonts w:hint="eastAsia" w:ascii="宋体" w:hAnsi="宋体"/>
                <w:color w:val="000000"/>
                <w:spacing w:val="-2"/>
                <w:szCs w:val="21"/>
              </w:rPr>
              <w:t xml:space="preserve">.1</w:t>
            </w:r>
            <w:r/>
          </w:p>
        </w:tc>
        <w:tc>
          <w:tcPr>
            <w:tcW w:w="1309" w:type="dxa"/>
            <w:vAlign w:val="center"/>
            <w:textDirection w:val="lrTb"/>
            <w:noWrap w:val="false"/>
          </w:tcPr>
          <w:p>
            <w:pPr>
              <w:spacing w:before="69"/>
              <w:rPr>
                <w:rFonts w:ascii="宋体" w:hAnsi="宋体"/>
                <w:color w:val="000000"/>
                <w:spacing w:val="-2"/>
                <w:szCs w:val="21"/>
              </w:rPr>
            </w:pPr>
            <w:r>
              <w:rPr>
                <w:rFonts w:hint="eastAsia" w:ascii="宋体" w:hAnsi="宋体"/>
                <w:color w:val="000000"/>
                <w:spacing w:val="-2"/>
                <w:szCs w:val="21"/>
              </w:rPr>
              <w:t xml:space="preserve">项目负责人</w:t>
            </w:r>
            <w:r/>
          </w:p>
          <w:p>
            <w:pPr>
              <w:spacing w:before="69"/>
              <w:rPr>
                <w:rFonts w:ascii="宋体" w:hAnsi="宋体"/>
                <w:color w:val="000000"/>
                <w:spacing w:val="-2"/>
                <w:szCs w:val="21"/>
              </w:rPr>
            </w:pP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10</w:t>
            </w:r>
            <w:r>
              <w:rPr>
                <w:rFonts w:hint="eastAsia" w:ascii="宋体" w:hAnsi="宋体"/>
                <w:color w:val="000000"/>
                <w:spacing w:val="-2"/>
                <w:szCs w:val="21"/>
              </w:rPr>
              <w:t xml:space="preserve">分）</w:t>
            </w:r>
            <w:r/>
          </w:p>
        </w:tc>
        <w:tc>
          <w:tcPr>
            <w:tcW w:w="6486"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A、</w:t>
            </w:r>
            <w:r>
              <w:rPr>
                <w:rFonts w:hint="eastAsia" w:ascii="宋体" w:hAnsi="宋体"/>
                <w:color w:val="000000"/>
                <w:szCs w:val="21"/>
                <w:highlight w:val="none"/>
                <w:lang w:val="en-US" w:eastAsia="zh-CN"/>
              </w:rPr>
              <w:t xml:space="preserve">拟派两地（江苏省特种设备安全监督检验研究院无锡分院本部及城中办事处；国家桥门式起重机械产品检验检测中心及国家石墨烯产品检验检测中心）的项目负责人有过服务非住宅类物业的业绩，需出具相关服务合同或其他有效证明材料，且材料需加盖公章，符合要求得2.5分,满分5分。</w:t>
            </w:r>
            <w:r/>
          </w:p>
          <w:p>
            <w:pPr>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B</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拟派两地（江苏省特种设备安全监督检验研究院无锡分院本部及城中办事处；国家桥门式起重机械产品检验检测中心及国家石墨烯产品检验检测中心）的项目负责人</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年以上</w:t>
            </w:r>
            <w:r>
              <w:rPr>
                <w:rFonts w:hint="eastAsia" w:ascii="宋体" w:hAnsi="宋体"/>
                <w:color w:val="000000"/>
                <w:szCs w:val="21"/>
                <w:highlight w:val="none"/>
                <w:lang w:val="en-US" w:eastAsia="zh-CN"/>
              </w:rPr>
              <w:t xml:space="preserve">项目负责人</w:t>
            </w:r>
            <w:r>
              <w:rPr>
                <w:rFonts w:hint="eastAsia" w:ascii="宋体" w:hAnsi="宋体"/>
                <w:color w:val="000000"/>
                <w:szCs w:val="21"/>
                <w:highlight w:val="none"/>
              </w:rPr>
              <w:t xml:space="preserve">相关从业经历，出具相关合同或其他证明并加盖公章，得2.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分，满分5分</w:t>
            </w:r>
            <w:r>
              <w:rPr>
                <w:rFonts w:hint="eastAsia" w:ascii="宋体" w:hAnsi="宋体"/>
                <w:color w:val="000000"/>
                <w:szCs w:val="21"/>
                <w:highlight w:val="none"/>
                <w:lang w:eastAsia="zh-CN"/>
              </w:rPr>
              <w:t xml:space="preserve">。</w:t>
            </w:r>
            <w:r/>
          </w:p>
          <w:p>
            <w:pPr>
              <w:rPr>
                <w:rFonts w:hint="eastAsia" w:ascii="宋体" w:hAnsi="宋体"/>
                <w:color w:val="000000"/>
                <w:szCs w:val="21"/>
                <w:highlight w:val="none"/>
                <w:lang w:eastAsia="zh-CN"/>
              </w:rPr>
            </w:pPr>
            <w:r>
              <w:rPr>
                <w:rFonts w:hint="eastAsia" w:ascii="宋体" w:hAnsi="宋体"/>
                <w:color w:val="000000"/>
                <w:szCs w:val="21"/>
              </w:rPr>
              <w:t xml:space="preserve">投标时须提供以上要求的合同</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相关人员与投标人签订的劳动合同或由相关政府部门出具的近六个月任意一个月（不含投标当月）的社保缴费证明</w:t>
            </w:r>
            <w:r>
              <w:rPr>
                <w:rFonts w:hint="eastAsia" w:ascii="宋体" w:hAnsi="宋体"/>
                <w:color w:val="000000"/>
                <w:szCs w:val="21"/>
              </w:rPr>
              <w:t xml:space="preserve">材料复印件加盖公章放入投标文件内，不提供或提供不符合要求均不得分。</w:t>
            </w:r>
            <w:r/>
          </w:p>
        </w:tc>
        <w:tc>
          <w:tcPr>
            <w:tcW w:w="573" w:type="dxa"/>
            <w:vAlign w:val="center"/>
            <w:textDirection w:val="lrTb"/>
            <w:noWrap w:val="false"/>
          </w:tcPr>
          <w:p>
            <w:pPr>
              <w:jc w:val="center"/>
              <w:rPr>
                <w:rFonts w:ascii="宋体" w:hAnsi="宋体" w:eastAsia="宋体"/>
                <w:color w:val="000000"/>
                <w:szCs w:val="21"/>
                <w:lang w:val="en-US" w:eastAsia="zh-CN"/>
              </w:rPr>
            </w:pPr>
            <w:r>
              <w:rPr>
                <w:rFonts w:hint="eastAsia" w:ascii="宋体" w:hAnsi="宋体"/>
                <w:color w:val="000000"/>
                <w:szCs w:val="21"/>
                <w:lang w:val="en-US" w:eastAsia="zh-CN"/>
              </w:rPr>
              <w:t xml:space="preserve">10</w:t>
            </w:r>
            <w:r/>
          </w:p>
        </w:tc>
        <w:tc>
          <w:tcPr>
            <w:tcW w:w="78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客观分</w:t>
            </w:r>
            <w:bookmarkEnd w:id="200"/>
            <w:r/>
          </w:p>
        </w:tc>
      </w:tr>
      <w:tr>
        <w:trPr>
          <w:jc w:val="center"/>
        </w:trPr>
        <w:tc>
          <w:tcPr>
            <w:tcW w:w="519" w:type="dxa"/>
            <w:vAlign w:val="center"/>
            <w:textDirection w:val="lrTb"/>
            <w:noWrap w:val="false"/>
          </w:tcPr>
          <w:p>
            <w:pPr>
              <w:jc w:val="center"/>
              <w:spacing w:before="68"/>
              <w:rPr>
                <w:rFonts w:ascii="宋体" w:hAnsi="宋体"/>
                <w:color w:val="000000"/>
                <w:spacing w:val="-2"/>
                <w:szCs w:val="21"/>
              </w:rPr>
            </w:pPr>
            <w:r>
              <w:rPr>
                <w:rFonts w:hint="eastAsia" w:ascii="宋体" w:hAnsi="宋体"/>
                <w:color w:val="000000"/>
                <w:spacing w:val="-2"/>
                <w:szCs w:val="21"/>
                <w:lang w:val="en-US" w:eastAsia="zh-CN"/>
              </w:rPr>
              <w:t xml:space="preserve">3</w:t>
            </w:r>
            <w:r>
              <w:rPr>
                <w:rFonts w:hint="eastAsia" w:ascii="宋体" w:hAnsi="宋体"/>
                <w:color w:val="000000"/>
                <w:spacing w:val="-2"/>
                <w:szCs w:val="21"/>
              </w:rPr>
              <w:t xml:space="preserve">.2</w:t>
            </w:r>
            <w:r/>
          </w:p>
        </w:tc>
        <w:tc>
          <w:tcPr>
            <w:tcW w:w="1309" w:type="dxa"/>
            <w:vAlign w:val="center"/>
            <w:textDirection w:val="lrTb"/>
            <w:noWrap w:val="false"/>
          </w:tcPr>
          <w:p>
            <w:pPr>
              <w:spacing w:before="69"/>
              <w:rPr>
                <w:rFonts w:ascii="宋体" w:hAnsi="宋体"/>
                <w:color w:val="000000"/>
                <w:spacing w:val="-2"/>
                <w:szCs w:val="21"/>
              </w:rPr>
            </w:pPr>
            <w:r>
              <w:rPr>
                <w:rFonts w:hint="eastAsia" w:ascii="宋体" w:hAnsi="宋体"/>
                <w:color w:val="000000"/>
                <w:spacing w:val="-2"/>
                <w:szCs w:val="21"/>
              </w:rPr>
              <w:t xml:space="preserve">项目组其他人员（</w:t>
            </w:r>
            <w:r>
              <w:rPr>
                <w:rFonts w:hint="eastAsia" w:ascii="宋体" w:hAnsi="宋体"/>
                <w:color w:val="000000"/>
                <w:spacing w:val="-2"/>
                <w:szCs w:val="21"/>
                <w:lang w:val="en-US" w:eastAsia="zh-CN"/>
              </w:rPr>
              <w:t xml:space="preserve">21</w:t>
            </w:r>
            <w:r>
              <w:rPr>
                <w:rFonts w:hint="eastAsia" w:ascii="宋体" w:hAnsi="宋体"/>
                <w:color w:val="000000"/>
                <w:spacing w:val="-2"/>
                <w:szCs w:val="21"/>
              </w:rPr>
              <w:t xml:space="preserve">分）</w:t>
            </w:r>
            <w:r/>
          </w:p>
        </w:tc>
        <w:tc>
          <w:tcPr>
            <w:tcW w:w="6486" w:type="dxa"/>
            <w:vAlign w:val="center"/>
            <w:textDirection w:val="lrTb"/>
            <w:noWrap w:val="false"/>
          </w:tcPr>
          <w:p>
            <w:pPr>
              <w:rPr>
                <w:rFonts w:hint="eastAsia" w:ascii="宋体" w:hAnsi="宋体"/>
                <w:color w:val="000000"/>
                <w:szCs w:val="21"/>
                <w:highlight w:val="none"/>
              </w:rPr>
            </w:pPr>
            <w:r/>
            <w:bookmarkStart w:id="201" w:name="OLE_LINK2"/>
            <w:r>
              <w:rPr>
                <w:rFonts w:hint="eastAsia" w:ascii="宋体" w:hAnsi="宋体"/>
                <w:color w:val="000000"/>
                <w:szCs w:val="21"/>
                <w:highlight w:val="none"/>
              </w:rPr>
              <w:t xml:space="preserve">A、</w:t>
            </w:r>
            <w:r>
              <w:rPr>
                <w:rFonts w:hint="eastAsia" w:ascii="宋体" w:hAnsi="宋体"/>
                <w:color w:val="000000"/>
                <w:szCs w:val="21"/>
                <w:highlight w:val="none"/>
                <w:lang w:val="en-US" w:eastAsia="zh-CN"/>
              </w:rPr>
              <w:t xml:space="preserve">项目组成员中，派驻的保安人员持有保安上岗证书的，每有1人得1分，本项最高得8分。投标时须提供证书复印件并加盖公章，放入投标文件内。</w:t>
            </w:r>
            <w:r/>
          </w:p>
          <w:p>
            <w:pPr>
              <w:rPr>
                <w:rFonts w:hint="eastAsia" w:ascii="宋体" w:hAnsi="宋体"/>
                <w:color w:val="000000"/>
                <w:szCs w:val="21"/>
                <w:highlight w:val="none"/>
                <w:lang w:val="en-US" w:eastAsia="zh-CN"/>
              </w:rPr>
            </w:pPr>
            <w:r>
              <w:rPr>
                <w:rFonts w:ascii="宋体" w:hAnsi="宋体"/>
                <w:color w:val="000000"/>
                <w:szCs w:val="21"/>
                <w:highlight w:val="none"/>
                <w:lang w:val="en-US"/>
              </w:rPr>
              <w:t xml:space="preserve">B</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消防岗提供消防设施操作员（或建（构）筑物消防员）证书且等级为四级（中级）及以上的，每有1张证书得</w:t>
            </w:r>
            <w:r>
              <w:rPr>
                <w:rFonts w:ascii="宋体" w:hAnsi="宋体"/>
                <w:color w:val="000000"/>
                <w:szCs w:val="21"/>
                <w:highlight w:val="none"/>
                <w:lang w:val="en-US" w:eastAsia="zh-CN"/>
              </w:rPr>
              <w:t xml:space="preserve">2</w:t>
            </w:r>
            <w:r>
              <w:rPr>
                <w:rFonts w:hint="eastAsia" w:ascii="宋体" w:hAnsi="宋体"/>
                <w:color w:val="000000"/>
                <w:szCs w:val="21"/>
                <w:highlight w:val="none"/>
                <w:lang w:val="en-US" w:eastAsia="zh-CN"/>
              </w:rPr>
              <w:t xml:space="preserve">分，本项最高得</w:t>
            </w:r>
            <w:r>
              <w:rPr>
                <w:rFonts w:ascii="宋体" w:hAnsi="宋体"/>
                <w:color w:val="000000"/>
                <w:szCs w:val="21"/>
                <w:highlight w:val="none"/>
                <w:lang w:val="en-US" w:eastAsia="zh-CN"/>
              </w:rPr>
              <w:t xml:space="preserve">8</w:t>
            </w:r>
            <w:r>
              <w:rPr>
                <w:rFonts w:hint="eastAsia" w:ascii="宋体" w:hAnsi="宋体"/>
                <w:color w:val="000000"/>
                <w:szCs w:val="21"/>
                <w:highlight w:val="none"/>
                <w:lang w:val="en-US" w:eastAsia="zh-CN"/>
              </w:rPr>
              <w:t xml:space="preserve">分。投标时须提供证书复印件并加盖公章，放入投标文件内。</w:t>
            </w:r>
            <w:r/>
          </w:p>
          <w:p>
            <w:pP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C.项目组成员中的会务人员，具有3年及以上会务服务相关工作经验的，有一个得1分，本项最高得3分，投标时须提供相关工作经验材料或单位承诺其人员满足要求的证明承诺书（格式自拟）并加盖公章；</w:t>
            </w:r>
            <w:r>
              <w:rPr>
                <w:rFonts w:hint="eastAsia" w:ascii="宋体" w:hAnsi="宋体"/>
                <w:color w:val="000000"/>
                <w:szCs w:val="21"/>
              </w:rPr>
              <w:t xml:space="preserve">不提供或提供不符合要求均不得分</w:t>
            </w:r>
            <w:r>
              <w:rPr>
                <w:rFonts w:hint="eastAsia" w:ascii="宋体" w:hAnsi="宋体"/>
                <w:color w:val="000000"/>
                <w:szCs w:val="21"/>
                <w:highlight w:val="none"/>
                <w:lang w:val="en-US" w:eastAsia="zh-CN"/>
              </w:rPr>
              <w:t xml:space="preserve">。</w:t>
            </w:r>
            <w:r/>
          </w:p>
          <w:p>
            <w:pPr>
              <w:rPr>
                <w:rFonts w:ascii="宋体" w:hAnsi="宋体" w:eastAsia="宋体"/>
                <w:color w:val="000000"/>
                <w:szCs w:val="21"/>
                <w:lang w:val="en-US" w:eastAsia="zh-CN"/>
              </w:rPr>
            </w:pPr>
            <w:r>
              <w:rPr>
                <w:rFonts w:hint="eastAsia" w:ascii="宋体" w:hAnsi="宋体"/>
                <w:color w:val="000000"/>
                <w:szCs w:val="21"/>
                <w:lang w:val="en-US" w:eastAsia="zh-CN"/>
              </w:rPr>
              <w:t xml:space="preserve">D.</w:t>
            </w:r>
            <w:r>
              <w:rPr>
                <w:rFonts w:hint="eastAsia" w:ascii="宋体" w:hAnsi="宋体"/>
                <w:color w:val="000000"/>
                <w:szCs w:val="21"/>
                <w:highlight w:val="none"/>
                <w:lang w:val="en-US" w:eastAsia="zh-CN"/>
              </w:rPr>
              <w:t xml:space="preserve">项目组成员中的绿化养护人员具有3年及以上绿化养护相关工作经验的，有一个得1分，本项最高得2分，投标时须提供相关工作经验材料或单位承诺其人员满足要求的证明承诺书（格式自拟）并加盖公章；</w:t>
            </w:r>
            <w:r>
              <w:rPr>
                <w:rFonts w:hint="eastAsia" w:ascii="宋体" w:hAnsi="宋体"/>
                <w:color w:val="000000"/>
                <w:szCs w:val="21"/>
              </w:rPr>
              <w:t xml:space="preserve">不提供或提供不符合要求均不得分</w:t>
            </w:r>
            <w:r>
              <w:rPr>
                <w:rFonts w:hint="eastAsia" w:ascii="宋体" w:hAnsi="宋体"/>
                <w:color w:val="000000"/>
                <w:szCs w:val="21"/>
                <w:highlight w:val="none"/>
                <w:lang w:val="en-US" w:eastAsia="zh-CN"/>
              </w:rPr>
              <w:t xml:space="preserve">。</w:t>
            </w:r>
            <w:bookmarkEnd w:id="201"/>
            <w:r/>
          </w:p>
          <w:p>
            <w:pPr>
              <w:rPr>
                <w:rFonts w:ascii="宋体" w:hAnsi="宋体"/>
                <w:color w:val="000000"/>
                <w:szCs w:val="21"/>
              </w:rPr>
            </w:pPr>
            <w:r>
              <w:rPr>
                <w:rFonts w:hint="eastAsia" w:ascii="宋体" w:hAnsi="宋体"/>
                <w:b/>
                <w:bCs/>
                <w:color w:val="000000"/>
                <w:szCs w:val="21"/>
              </w:rPr>
              <w:t xml:space="preserve">投标时须提供以上要求的证书或合同</w:t>
            </w:r>
            <w:r>
              <w:rPr>
                <w:rFonts w:hint="eastAsia" w:ascii="宋体" w:hAnsi="宋体"/>
                <w:b/>
                <w:bCs/>
                <w:color w:val="000000"/>
                <w:szCs w:val="21"/>
                <w:lang w:eastAsia="zh-CN"/>
              </w:rPr>
              <w:t xml:space="preserve">、</w:t>
            </w:r>
            <w:r>
              <w:rPr>
                <w:rFonts w:hint="eastAsia" w:ascii="宋体" w:hAnsi="宋体"/>
                <w:b/>
                <w:bCs/>
                <w:color w:val="000000"/>
                <w:szCs w:val="21"/>
                <w:lang w:val="en-US" w:eastAsia="zh-CN"/>
              </w:rPr>
              <w:t xml:space="preserve">相关人员与投标人签订的劳动合同或由相关政府部门出具的近六个月任意一个月（不含投标当月）的社保缴费证明</w:t>
            </w:r>
            <w:r>
              <w:rPr>
                <w:rFonts w:hint="eastAsia" w:ascii="宋体" w:hAnsi="宋体"/>
                <w:b/>
                <w:bCs/>
                <w:color w:val="000000"/>
                <w:szCs w:val="21"/>
              </w:rPr>
              <w:t xml:space="preserve">材料复印件加盖公章放入投标文件内，不提供或提供不符合要求均不得分。</w:t>
            </w:r>
            <w:r/>
          </w:p>
        </w:tc>
        <w:tc>
          <w:tcPr>
            <w:tcW w:w="573" w:type="dxa"/>
            <w:vAlign w:val="center"/>
            <w:textDirection w:val="lrTb"/>
            <w:noWrap w:val="false"/>
          </w:tcPr>
          <w:p>
            <w:pPr>
              <w:jc w:val="center"/>
              <w:rPr>
                <w:rFonts w:ascii="宋体" w:hAnsi="宋体" w:eastAsia="宋体"/>
                <w:color w:val="000000"/>
                <w:szCs w:val="21"/>
                <w:lang w:val="en-US" w:eastAsia="zh-CN"/>
              </w:rPr>
            </w:pPr>
            <w:r>
              <w:rPr>
                <w:rFonts w:hint="eastAsia" w:ascii="宋体" w:hAnsi="宋体"/>
                <w:color w:val="000000"/>
                <w:szCs w:val="21"/>
                <w:lang w:val="en-US" w:eastAsia="zh-CN"/>
              </w:rPr>
              <w:t xml:space="preserve">21</w:t>
            </w:r>
            <w:r/>
          </w:p>
        </w:tc>
        <w:tc>
          <w:tcPr>
            <w:tcW w:w="78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客观分</w:t>
            </w:r>
            <w:r/>
          </w:p>
        </w:tc>
      </w:tr>
      <w:tr>
        <w:trPr>
          <w:jc w:val="center"/>
        </w:trPr>
        <w:tc>
          <w:tcPr>
            <w:gridSpan w:val="5"/>
            <w:tcW w:w="9670" w:type="dxa"/>
            <w:vAlign w:val="center"/>
            <w:textDirection w:val="lrTb"/>
            <w:noWrap w:val="false"/>
          </w:tcPr>
          <w:p>
            <w:pPr>
              <w:jc w:val="left"/>
              <w:spacing w:before="68"/>
              <w:rPr>
                <w:rFonts w:ascii="宋体" w:hAnsi="宋体"/>
                <w:color w:val="000000"/>
                <w:szCs w:val="21"/>
              </w:rPr>
            </w:pPr>
            <w:r>
              <w:rPr>
                <w:rFonts w:hint="eastAsia" w:ascii="宋体" w:hAnsi="宋体"/>
                <w:b/>
                <w:bCs/>
                <w:color w:val="000000"/>
                <w:spacing w:val="-2"/>
                <w:szCs w:val="21"/>
                <w:lang w:val="en-US" w:eastAsia="zh-CN"/>
              </w:rPr>
              <w:t xml:space="preserve">4</w:t>
            </w:r>
            <w:r>
              <w:rPr>
                <w:rFonts w:hint="eastAsia" w:ascii="宋体" w:hAnsi="宋体"/>
                <w:b/>
                <w:bCs/>
                <w:color w:val="000000"/>
                <w:spacing w:val="-2"/>
                <w:szCs w:val="21"/>
              </w:rPr>
              <w:t xml:space="preserve">.供应商综合实力</w:t>
            </w:r>
            <w:r/>
          </w:p>
        </w:tc>
      </w:tr>
      <w:tr>
        <w:trPr>
          <w:jc w:val="center"/>
          <w:trHeight w:val="1286"/>
        </w:trPr>
        <w:tc>
          <w:tcPr>
            <w:tcW w:w="519" w:type="dxa"/>
            <w:vAlign w:val="center"/>
            <w:textDirection w:val="lrTb"/>
            <w:noWrap w:val="false"/>
          </w:tcPr>
          <w:p>
            <w:pPr>
              <w:jc w:val="center"/>
              <w:spacing w:before="68"/>
              <w:rPr>
                <w:rFonts w:ascii="宋体" w:hAnsi="宋体"/>
                <w:color w:val="000000"/>
                <w:spacing w:val="-2"/>
                <w:szCs w:val="21"/>
              </w:rPr>
            </w:pP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.1</w:t>
            </w:r>
            <w:r/>
          </w:p>
        </w:tc>
        <w:tc>
          <w:tcPr>
            <w:tcW w:w="1309" w:type="dxa"/>
            <w:vAlign w:val="center"/>
            <w:textDirection w:val="lrTb"/>
            <w:noWrap w:val="false"/>
          </w:tcPr>
          <w:p>
            <w:pPr>
              <w:jc w:val="center"/>
              <w:spacing w:before="69"/>
              <w:rPr>
                <w:rFonts w:ascii="宋体" w:hAnsi="宋体"/>
                <w:color w:val="000000"/>
                <w:spacing w:val="-2"/>
                <w:szCs w:val="21"/>
              </w:rPr>
            </w:pPr>
            <w:r>
              <w:rPr>
                <w:rFonts w:hint="eastAsia" w:ascii="宋体" w:hAnsi="宋体"/>
                <w:color w:val="000000"/>
                <w:spacing w:val="-2"/>
                <w:szCs w:val="21"/>
              </w:rPr>
              <w:t xml:space="preserve">综合实力（</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tc>
        <w:tc>
          <w:tcPr>
            <w:tcW w:w="6486" w:type="dxa"/>
            <w:vAlign w:val="center"/>
            <w:textDirection w:val="lrTb"/>
            <w:noWrap w:val="false"/>
          </w:tcPr>
          <w:p>
            <w:pPr>
              <w:rPr>
                <w:rFonts w:ascii="宋体" w:hAnsi="宋体"/>
                <w:color w:val="000000"/>
                <w:szCs w:val="21"/>
              </w:rPr>
            </w:pPr>
            <w:r>
              <w:rPr>
                <w:rFonts w:hint="eastAsia" w:ascii="宋体" w:hAnsi="宋体"/>
                <w:color w:val="000000"/>
                <w:szCs w:val="21"/>
                <w:highlight w:val="none"/>
              </w:rPr>
              <w:t xml:space="preserve">供应商提供的上述评分项的业绩中获得业主好评(优秀、满意或相当于类似评价)，提供业主单位出具履约好评的评价材料(须由业主单位加盖公章，提供业主单位联系人和固定电话)每提供一个好评业绩得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分，最高</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分。(同一业主单位履约好评:只计取一次，不累计得分)。</w:t>
            </w:r>
            <w:r/>
          </w:p>
        </w:tc>
        <w:tc>
          <w:tcPr>
            <w:tcW w:w="573" w:type="dxa"/>
            <w:vAlign w:val="center"/>
            <w:textDirection w:val="lrTb"/>
            <w:noWrap w:val="false"/>
          </w:tcPr>
          <w:p>
            <w:pPr>
              <w:jc w:val="center"/>
              <w:spacing w:before="68"/>
              <w:rPr>
                <w:rFonts w:ascii="宋体" w:hAnsi="宋体"/>
                <w:color w:val="000000"/>
                <w:szCs w:val="21"/>
              </w:rPr>
            </w:pPr>
            <w:r>
              <w:rPr>
                <w:rFonts w:hint="eastAsia" w:ascii="宋体" w:hAnsi="宋体"/>
                <w:color w:val="000000"/>
                <w:szCs w:val="21"/>
              </w:rPr>
              <w:t xml:space="preserve">4</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客观分</w:t>
            </w:r>
            <w:r/>
          </w:p>
        </w:tc>
      </w:tr>
      <w:tr>
        <w:trPr>
          <w:jc w:val="center"/>
        </w:trPr>
        <w:tc>
          <w:tcPr>
            <w:gridSpan w:val="5"/>
            <w:tcW w:w="9670" w:type="dxa"/>
            <w:vAlign w:val="top"/>
            <w:textDirection w:val="lrTb"/>
            <w:noWrap w:val="false"/>
          </w:tcPr>
          <w:p>
            <w:pPr>
              <w:ind w:left="114"/>
              <w:spacing w:before="123" w:line="264" w:lineRule="auto"/>
              <w:rPr>
                <w:rFonts w:hint="eastAsia" w:ascii="宋体" w:hAnsi="宋体"/>
                <w:b/>
                <w:bCs/>
                <w:color w:val="000000"/>
                <w:spacing w:val="-3"/>
                <w:szCs w:val="21"/>
              </w:rPr>
            </w:pPr>
            <w:r>
              <w:rPr>
                <w:rFonts w:hint="eastAsia" w:ascii="宋体" w:hAnsi="宋体"/>
                <w:b/>
                <w:bCs/>
                <w:color w:val="000000"/>
                <w:spacing w:val="-3"/>
                <w:szCs w:val="21"/>
              </w:rPr>
            </w:r>
            <w:r/>
          </w:p>
        </w:tc>
      </w:tr>
      <w:tr>
        <w:trPr>
          <w:jc w:val="center"/>
        </w:trPr>
        <w:tc>
          <w:tcPr>
            <w:gridSpan w:val="5"/>
            <w:tcW w:w="9670" w:type="dxa"/>
            <w:vAlign w:val="top"/>
            <w:textDirection w:val="lrTb"/>
            <w:noWrap w:val="false"/>
          </w:tcPr>
          <w:p>
            <w:pPr>
              <w:ind w:left="114"/>
              <w:spacing w:before="123" w:line="264" w:lineRule="auto"/>
              <w:rPr>
                <w:rFonts w:ascii="宋体" w:hAnsi="宋体"/>
                <w:color w:val="000000"/>
                <w:szCs w:val="21"/>
              </w:rPr>
            </w:pPr>
            <w:r>
              <w:rPr>
                <w:rFonts w:hint="eastAsia" w:ascii="宋体" w:hAnsi="宋体"/>
                <w:b/>
                <w:bCs/>
                <w:color w:val="000000"/>
                <w:spacing w:val="-3"/>
                <w:szCs w:val="21"/>
                <w:lang w:val="en-US" w:eastAsia="zh-CN"/>
              </w:rPr>
              <w:t xml:space="preserve">5</w:t>
            </w:r>
            <w:r>
              <w:rPr>
                <w:rFonts w:hint="eastAsia" w:ascii="宋体" w:hAnsi="宋体"/>
                <w:b/>
                <w:bCs/>
                <w:color w:val="000000"/>
                <w:spacing w:val="-3"/>
                <w:szCs w:val="21"/>
              </w:rPr>
              <w:t xml:space="preserve">.服务方案</w:t>
            </w:r>
            <w:r/>
          </w:p>
        </w:tc>
      </w:tr>
      <w:tr>
        <w:trPr>
          <w:jc w:val="center"/>
        </w:trPr>
        <w:tc>
          <w:tcPr>
            <w:tcW w:w="519"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lang w:val="en-US" w:eastAsia="zh-CN"/>
              </w:rPr>
              <w:t xml:space="preserve">5</w:t>
            </w:r>
            <w:r/>
          </w:p>
        </w:tc>
        <w:tc>
          <w:tcPr>
            <w:tcW w:w="1309" w:type="dxa"/>
            <w:vAlign w:val="center"/>
            <w:vMerge w:val="restart"/>
            <w:textDirection w:val="lrTb"/>
            <w:noWrap w:val="false"/>
          </w:tcPr>
          <w:p>
            <w:pPr>
              <w:jc w:val="left"/>
              <w:widowControl/>
              <w:rPr>
                <w:rFonts w:ascii="宋体" w:hAnsi="宋体"/>
                <w:color w:val="000000"/>
                <w:spacing w:val="-2"/>
                <w:szCs w:val="21"/>
              </w:rPr>
            </w:pPr>
            <w:r>
              <w:rPr>
                <w:rFonts w:ascii="宋体" w:hAnsi="宋体"/>
                <w:color w:val="000000"/>
                <w:spacing w:val="-2"/>
                <w:szCs w:val="21"/>
              </w:rPr>
            </w:r>
            <w:r/>
          </w:p>
          <w:p>
            <w:pPr>
              <w:jc w:val="center"/>
              <w:widowControl/>
              <w:rPr>
                <w:rFonts w:ascii="宋体" w:hAnsi="宋体"/>
                <w:color w:val="000000"/>
                <w:spacing w:val="-3"/>
                <w:szCs w:val="21"/>
              </w:rPr>
            </w:pPr>
            <w:r>
              <w:rPr>
                <w:rFonts w:hint="eastAsia" w:ascii="宋体" w:hAnsi="宋体"/>
                <w:color w:val="000000"/>
                <w:spacing w:val="-3"/>
                <w:szCs w:val="21"/>
              </w:rPr>
              <w:t xml:space="preserve">服务方案</w:t>
            </w:r>
            <w:r/>
          </w:p>
          <w:p>
            <w:pPr>
              <w:jc w:val="center"/>
              <w:widowControl/>
              <w:rPr>
                <w:rFonts w:ascii="宋体" w:hAnsi="宋体"/>
                <w:color w:val="000000"/>
                <w:spacing w:val="-2"/>
                <w:szCs w:val="21"/>
              </w:rPr>
            </w:pPr>
            <w:r>
              <w:rPr>
                <w:rFonts w:hint="eastAsia" w:ascii="宋体" w:hAnsi="宋体"/>
                <w:color w:val="000000"/>
                <w:spacing w:val="-3"/>
                <w:szCs w:val="21"/>
              </w:rPr>
              <w:t xml:space="preserve">（</w:t>
            </w:r>
            <w:r>
              <w:rPr>
                <w:rFonts w:hint="eastAsia" w:ascii="宋体" w:hAnsi="宋体"/>
                <w:color w:val="000000"/>
                <w:spacing w:val="-3"/>
                <w:szCs w:val="21"/>
                <w:lang w:val="en-US" w:eastAsia="zh-CN"/>
              </w:rPr>
              <w:t xml:space="preserve">47</w:t>
            </w:r>
            <w:r>
              <w:rPr>
                <w:rFonts w:hint="eastAsia" w:ascii="宋体" w:hAnsi="宋体"/>
                <w:color w:val="000000"/>
                <w:spacing w:val="-3"/>
                <w:szCs w:val="21"/>
              </w:rPr>
              <w:t xml:space="preserve">分）</w:t>
            </w:r>
            <w:r/>
          </w:p>
        </w:tc>
        <w:tc>
          <w:tcPr>
            <w:tcW w:w="6486" w:type="dxa"/>
            <w:vAlign w:val="center"/>
            <w:textDirection w:val="lrTb"/>
            <w:noWrap w:val="false"/>
          </w:tcPr>
          <w:p>
            <w:pPr>
              <w:jc w:val="left"/>
              <w:spacing w:line="264" w:lineRule="auto"/>
              <w:rPr>
                <w:rStyle w:val="1187"/>
                <w:rFonts w:ascii="宋体" w:hAnsi="宋体"/>
                <w:color w:val="000000"/>
                <w:szCs w:val="21"/>
              </w:rPr>
            </w:pPr>
            <w:r>
              <w:rPr>
                <w:rFonts w:hint="eastAsia" w:ascii="宋体" w:hAnsi="宋体"/>
                <w:color w:val="000000"/>
                <w:spacing w:val="-2"/>
                <w:szCs w:val="21"/>
                <w:lang w:val="en-US" w:eastAsia="zh-CN"/>
              </w:rPr>
              <w:t xml:space="preserve">5.1</w:t>
            </w:r>
            <w:r>
              <w:rPr>
                <w:rFonts w:hint="eastAsia" w:ascii="宋体" w:hAnsi="宋体"/>
                <w:color w:val="000000"/>
                <w:spacing w:val="-2"/>
                <w:szCs w:val="21"/>
              </w:rPr>
              <w:t xml:space="preserve">物业管理总体服务规划与设想方案（</w:t>
            </w:r>
            <w:r>
              <w:rPr>
                <w:rFonts w:ascii="宋体" w:hAnsi="宋体"/>
                <w:color w:val="000000"/>
                <w:spacing w:val="-2"/>
                <w:szCs w:val="21"/>
                <w:lang w:val="en-US" w:eastAsia="zh-CN"/>
              </w:rPr>
              <w:t xml:space="preserve">5</w:t>
            </w:r>
            <w:r>
              <w:rPr>
                <w:rFonts w:hint="eastAsia" w:ascii="宋体" w:hAnsi="宋体"/>
                <w:color w:val="000000"/>
                <w:spacing w:val="-2"/>
                <w:szCs w:val="21"/>
              </w:rPr>
              <w:t xml:space="preserve">分）</w:t>
            </w:r>
            <w:r/>
          </w:p>
          <w:p>
            <w:pPr>
              <w:jc w:val="left"/>
              <w:spacing w:line="264" w:lineRule="auto"/>
              <w:rPr>
                <w:rStyle w:val="1187"/>
                <w:rFonts w:hint="eastAsia" w:ascii="宋体" w:hAnsi="宋体"/>
                <w:color w:val="000000"/>
                <w:szCs w:val="21"/>
              </w:rPr>
            </w:pPr>
            <w:r>
              <w:rPr>
                <w:rStyle w:val="1187"/>
                <w:rFonts w:hint="eastAsia" w:ascii="宋体" w:hAnsi="宋体"/>
                <w:color w:val="000000"/>
                <w:szCs w:val="21"/>
              </w:rPr>
              <w:t xml:space="preserve">投标人结合项目采购需求的整体情况，综合考虑物业服务管理的普遍特征和项目的实际情况，提供针对本项目的总体服务设想、目标定位、服务理念、重点难点分析以及思路创新等</w:t>
            </w:r>
            <w:r>
              <w:rPr>
                <w:rStyle w:val="1187"/>
                <w:rFonts w:hint="eastAsia" w:ascii="宋体" w:hAnsi="宋体"/>
                <w:color w:val="000000"/>
              </w:rPr>
              <w:t xml:space="preserve">：</w:t>
            </w:r>
            <w:r/>
          </w:p>
          <w:p>
            <w:pPr>
              <w:jc w:val="left"/>
              <w:spacing w:line="264" w:lineRule="auto"/>
              <w:rPr>
                <w:rStyle w:val="1187"/>
                <w:rFonts w:hint="eastAsia" w:ascii="宋体" w:hAnsi="宋体"/>
                <w:color w:val="000000"/>
                <w:szCs w:val="21"/>
              </w:rPr>
            </w:pPr>
            <w:r>
              <w:rPr>
                <w:rStyle w:val="1187"/>
                <w:rFonts w:hint="eastAsia" w:ascii="宋体" w:hAnsi="宋体"/>
                <w:color w:val="000000"/>
                <w:szCs w:val="21"/>
              </w:rPr>
              <w:t xml:space="preserve">①方案优于项目需求，得</w:t>
            </w:r>
            <w:r>
              <w:rPr>
                <w:rStyle w:val="1187"/>
                <w:rFonts w:hint="eastAsia" w:ascii="宋体" w:hAnsi="宋体"/>
                <w:color w:val="000000"/>
                <w:szCs w:val="21"/>
                <w:lang w:val="en-US" w:eastAsia="zh-CN"/>
              </w:rPr>
              <w:t xml:space="preserve">5</w:t>
            </w:r>
            <w:r>
              <w:rPr>
                <w:rStyle w:val="1187"/>
                <w:rFonts w:hint="eastAsia" w:ascii="宋体" w:hAnsi="宋体"/>
                <w:color w:val="000000"/>
                <w:szCs w:val="21"/>
              </w:rPr>
              <w:t xml:space="preserve">分；</w:t>
            </w:r>
            <w:r/>
          </w:p>
          <w:p>
            <w:pPr>
              <w:jc w:val="left"/>
              <w:spacing w:line="264" w:lineRule="auto"/>
              <w:rPr>
                <w:rStyle w:val="1187"/>
                <w:rFonts w:hint="eastAsia" w:ascii="宋体" w:hAnsi="宋体"/>
                <w:color w:val="000000"/>
                <w:szCs w:val="21"/>
              </w:rPr>
            </w:pPr>
            <w:r>
              <w:rPr>
                <w:rStyle w:val="1187"/>
                <w:rFonts w:hint="eastAsia" w:ascii="宋体" w:hAnsi="宋体"/>
                <w:color w:val="000000"/>
                <w:szCs w:val="21"/>
              </w:rPr>
              <w:t xml:space="preserve">②方案满足项目需求，得</w:t>
            </w:r>
            <w:r>
              <w:rPr>
                <w:rStyle w:val="1187"/>
                <w:rFonts w:hint="eastAsia" w:ascii="宋体" w:hAnsi="宋体"/>
                <w:color w:val="000000"/>
                <w:szCs w:val="21"/>
                <w:lang w:val="en-US" w:eastAsia="zh-CN"/>
              </w:rPr>
              <w:t xml:space="preserve">3</w:t>
            </w:r>
            <w:r>
              <w:rPr>
                <w:rStyle w:val="1187"/>
                <w:rFonts w:hint="eastAsia" w:ascii="宋体" w:hAnsi="宋体"/>
                <w:color w:val="000000"/>
                <w:szCs w:val="21"/>
              </w:rPr>
              <w:t xml:space="preserve">分；</w:t>
            </w:r>
            <w:r/>
          </w:p>
          <w:p>
            <w:pPr>
              <w:jc w:val="left"/>
              <w:spacing w:line="264" w:lineRule="auto"/>
              <w:rPr>
                <w:rStyle w:val="1187"/>
                <w:rFonts w:ascii="宋体" w:hAnsi="宋体"/>
                <w:color w:val="000000"/>
              </w:rPr>
            </w:pPr>
            <w:r>
              <w:rPr>
                <w:rStyle w:val="1187"/>
                <w:rFonts w:hint="eastAsia" w:ascii="宋体" w:hAnsi="宋体"/>
                <w:color w:val="000000"/>
                <w:szCs w:val="21"/>
              </w:rPr>
              <w:t xml:space="preserve">③方案不满足项目需求，不得分。</w:t>
            </w:r>
            <w:r/>
          </w:p>
        </w:tc>
        <w:tc>
          <w:tcPr>
            <w:tcW w:w="573" w:type="dxa"/>
            <w:vAlign w:val="center"/>
            <w:textDirection w:val="lrTb"/>
            <w:noWrap w:val="false"/>
          </w:tcPr>
          <w:p>
            <w:pPr>
              <w:pStyle w:val="1188"/>
              <w:jc w:val="center"/>
              <w:rPr>
                <w:color w:val="000000"/>
                <w:sz w:val="21"/>
                <w:szCs w:val="21"/>
                <w:lang w:eastAsia="zh-CN"/>
              </w:rPr>
            </w:pPr>
            <w:r>
              <w:rPr>
                <w:rFonts w:hint="eastAsia"/>
                <w:color w:val="000000"/>
                <w:spacing w:val="-3"/>
                <w:sz w:val="21"/>
                <w:szCs w:val="21"/>
                <w:lang w:val="en-US" w:eastAsia="zh-CN"/>
              </w:rPr>
              <w:t xml:space="preserve">5</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Pr>
        <w:tc>
          <w:tcPr>
            <w:tcW w:w="519" w:type="dxa"/>
            <w:vAlign w:val="center"/>
            <w:vMerge w:val="continue"/>
            <w:textDirection w:val="lrTb"/>
            <w:noWrap w:val="false"/>
          </w:tcPr>
          <w:p>
            <w:pPr>
              <w:jc w:val="center"/>
              <w:rPr>
                <w:rFonts w:ascii="宋体" w:hAnsi="宋体"/>
                <w:color w:val="000000"/>
                <w:spacing w:val="-2"/>
                <w:szCs w:val="21"/>
              </w:rPr>
            </w:pPr>
            <w:r>
              <w:rPr>
                <w:rFonts w:ascii="宋体" w:hAnsi="宋体"/>
                <w:color w:val="000000"/>
                <w:spacing w:val="-2"/>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jc w:val="left"/>
              <w:spacing w:line="264" w:lineRule="auto"/>
              <w:rPr>
                <w:rStyle w:val="1187"/>
                <w:rFonts w:hint="eastAsia" w:ascii="宋体" w:hAnsi="宋体"/>
                <w:color w:val="000000"/>
              </w:rPr>
            </w:pPr>
            <w:r>
              <w:rPr>
                <w:rStyle w:val="1187"/>
                <w:rFonts w:hint="eastAsia" w:ascii="宋体" w:hAnsi="宋体"/>
                <w:color w:val="000000"/>
                <w:lang w:val="en-US" w:eastAsia="zh-CN"/>
              </w:rPr>
              <w:t xml:space="preserve">5.2</w:t>
            </w:r>
            <w:r>
              <w:rPr>
                <w:rStyle w:val="1187"/>
                <w:rFonts w:hint="eastAsia" w:ascii="宋体" w:hAnsi="宋体"/>
                <w:color w:val="000000"/>
              </w:rPr>
              <w:t xml:space="preserve">保洁服务方案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jc w:val="left"/>
              <w:spacing w:line="264" w:lineRule="auto"/>
              <w:rPr>
                <w:rStyle w:val="1187"/>
                <w:rFonts w:hint="eastAsia" w:ascii="宋体" w:hAnsi="宋体"/>
                <w:color w:val="000000"/>
              </w:rPr>
            </w:pPr>
            <w:r>
              <w:rPr>
                <w:rStyle w:val="1187"/>
                <w:rFonts w:hint="eastAsia" w:ascii="宋体" w:hAnsi="宋体"/>
                <w:color w:val="000000"/>
              </w:rPr>
              <w:t xml:space="preserve">投标人结合本项目日常保洁服务需求，提供包括但不限于所有建筑内外（</w:t>
            </w:r>
            <w:r>
              <w:rPr>
                <w:rStyle w:val="1187"/>
                <w:rFonts w:hint="eastAsia" w:ascii="宋体" w:hAnsi="宋体"/>
                <w:color w:val="000000"/>
                <w:lang w:val="en-US" w:eastAsia="zh-CN"/>
              </w:rPr>
              <w:t xml:space="preserve">（包含地面、楼道、走廊、扶手、卫生间、办公室、会议室、门前三包、地下停车场等）</w:t>
            </w:r>
            <w:r>
              <w:rPr>
                <w:rStyle w:val="1187"/>
                <w:rFonts w:hint="eastAsia" w:ascii="宋体" w:hAnsi="宋体"/>
                <w:color w:val="000000"/>
              </w:rPr>
              <w:t xml:space="preserve">）的卫生保洁与环境维护；垃圾清理、收集与定点回收；下水道疏通；以及四害消杀防疫等工作方案：</w:t>
            </w:r>
            <w:r/>
          </w:p>
          <w:p>
            <w:pPr>
              <w:jc w:val="left"/>
              <w:spacing w:line="264" w:lineRule="auto"/>
              <w:rPr>
                <w:rStyle w:val="1187"/>
                <w:rFonts w:hint="eastAsia" w:ascii="宋体" w:hAnsi="宋体"/>
                <w:color w:val="000000"/>
              </w:rPr>
            </w:pPr>
            <w:r>
              <w:rPr>
                <w:rStyle w:val="1187"/>
                <w:rFonts w:hint="eastAsia" w:ascii="宋体" w:hAnsi="宋体"/>
                <w:color w:val="000000"/>
              </w:rPr>
              <w:t xml:space="preserve">①方案优于项目需求，得</w:t>
            </w:r>
            <w:r>
              <w:rPr>
                <w:rStyle w:val="1187"/>
                <w:rFonts w:hint="eastAsia" w:ascii="宋体" w:hAnsi="宋体"/>
                <w:color w:val="000000"/>
                <w:lang w:val="en-US" w:eastAsia="zh-CN"/>
              </w:rPr>
              <w:t xml:space="preserve">5</w:t>
            </w:r>
            <w:r>
              <w:rPr>
                <w:rStyle w:val="1187"/>
                <w:rFonts w:hint="eastAsia" w:ascii="宋体" w:hAnsi="宋体"/>
                <w:color w:val="000000"/>
              </w:rPr>
              <w:t xml:space="preserve">分；</w:t>
            </w:r>
            <w:r/>
          </w:p>
          <w:p>
            <w:pPr>
              <w:jc w:val="left"/>
              <w:spacing w:line="264" w:lineRule="auto"/>
              <w:rPr>
                <w:rStyle w:val="1187"/>
                <w:rFonts w:hint="eastAsia" w:ascii="宋体" w:hAnsi="宋体"/>
                <w:color w:val="000000"/>
              </w:rPr>
            </w:pPr>
            <w:r>
              <w:rPr>
                <w:rStyle w:val="1187"/>
                <w:rFonts w:hint="eastAsia" w:ascii="宋体" w:hAnsi="宋体"/>
                <w:color w:val="000000"/>
              </w:rPr>
              <w:t xml:space="preserve">②方案满足项目需求，得</w:t>
            </w:r>
            <w:r>
              <w:rPr>
                <w:rStyle w:val="1187"/>
                <w:rFonts w:hint="eastAsia" w:ascii="宋体" w:hAnsi="宋体"/>
                <w:color w:val="000000"/>
                <w:lang w:val="en-US" w:eastAsia="zh-CN"/>
              </w:rPr>
              <w:t xml:space="preserve">3</w:t>
            </w:r>
            <w:r>
              <w:rPr>
                <w:rStyle w:val="1187"/>
                <w:rFonts w:hint="eastAsia" w:ascii="宋体" w:hAnsi="宋体"/>
                <w:color w:val="000000"/>
              </w:rPr>
              <w:t xml:space="preserve">分；</w:t>
            </w:r>
            <w:r/>
          </w:p>
          <w:p>
            <w:pPr>
              <w:jc w:val="left"/>
              <w:spacing w:line="264" w:lineRule="auto"/>
              <w:rPr>
                <w:rStyle w:val="1187"/>
                <w:rFonts w:hint="eastAsia" w:ascii="宋体" w:hAnsi="宋体"/>
                <w:color w:val="000000"/>
              </w:rPr>
            </w:pPr>
            <w:r>
              <w:rPr>
                <w:rStyle w:val="1187"/>
                <w:rFonts w:hint="eastAsia" w:ascii="宋体" w:hAnsi="宋体"/>
                <w:color w:val="000000"/>
              </w:rPr>
              <w:t xml:space="preserve">③方案不满足项目需求，不得分。</w:t>
            </w:r>
            <w:r/>
          </w:p>
        </w:tc>
        <w:tc>
          <w:tcPr>
            <w:tcW w:w="573" w:type="dxa"/>
            <w:vAlign w:val="center"/>
            <w:textDirection w:val="lrTb"/>
            <w:noWrap w:val="false"/>
          </w:tcPr>
          <w:p>
            <w:pPr>
              <w:pStyle w:val="1188"/>
              <w:jc w:val="center"/>
              <w:rPr>
                <w:color w:val="000000"/>
                <w:sz w:val="21"/>
                <w:szCs w:val="21"/>
                <w:lang w:eastAsia="zh-CN"/>
              </w:rPr>
            </w:pPr>
            <w:r>
              <w:rPr>
                <w:rFonts w:hint="eastAsia"/>
                <w:color w:val="000000"/>
                <w:spacing w:val="-3"/>
                <w:sz w:val="21"/>
                <w:szCs w:val="21"/>
                <w:lang w:val="en-US" w:eastAsia="zh-CN"/>
              </w:rPr>
              <w:t xml:space="preserve">5</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Pr>
        <w:tc>
          <w:tcPr>
            <w:tcW w:w="519" w:type="dxa"/>
            <w:vAlign w:val="center"/>
            <w:vMerge w:val="continue"/>
            <w:textDirection w:val="lrTb"/>
            <w:noWrap w:val="false"/>
          </w:tcPr>
          <w:p>
            <w:pPr>
              <w:jc w:val="center"/>
              <w:rPr>
                <w:rFonts w:ascii="宋体" w:hAnsi="宋体"/>
                <w:color w:val="000000"/>
                <w:spacing w:val="-2"/>
                <w:szCs w:val="21"/>
              </w:rPr>
            </w:pPr>
            <w:r>
              <w:rPr>
                <w:rFonts w:ascii="宋体" w:hAnsi="宋体"/>
                <w:color w:val="000000"/>
                <w:spacing w:val="-2"/>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lang w:val="en-US" w:eastAsia="zh-CN"/>
              </w:rPr>
              <w:t xml:space="preserve">5.3</w:t>
            </w:r>
            <w:r>
              <w:rPr>
                <w:rFonts w:hint="eastAsia" w:ascii="宋体" w:hAnsi="宋体"/>
                <w:color w:val="000000"/>
                <w:szCs w:val="21"/>
              </w:rPr>
              <w:t xml:space="preserve">楼宇服务方案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5</w:t>
            </w:r>
            <w:r>
              <w:rPr>
                <w:rFonts w:hint="eastAsia" w:ascii="宋体" w:hAnsi="宋体"/>
                <w:color w:val="000000"/>
                <w:spacing w:val="-2"/>
                <w:szCs w:val="21"/>
              </w:rPr>
              <w:t xml:space="preserve">分）</w:t>
            </w:r>
            <w:r/>
          </w:p>
          <w:p>
            <w:pPr>
              <w:jc w:val="left"/>
              <w:rPr>
                <w:rFonts w:hint="eastAsia" w:ascii="宋体" w:hAnsi="宋体"/>
                <w:color w:val="000000"/>
                <w:szCs w:val="21"/>
              </w:rPr>
            </w:pPr>
            <w:r>
              <w:rPr>
                <w:rFonts w:hint="eastAsia" w:ascii="宋体" w:hAnsi="宋体"/>
                <w:color w:val="000000"/>
                <w:szCs w:val="21"/>
              </w:rPr>
              <w:t xml:space="preserve">投标人结合本项目楼宇服务需求，提供包括但不限于楼宇安全隐患排查、前台服务等工作方案：</w:t>
            </w:r>
            <w:r/>
          </w:p>
          <w:p>
            <w:pPr>
              <w:jc w:val="left"/>
              <w:rPr>
                <w:rFonts w:hint="eastAsia" w:ascii="宋体" w:hAnsi="宋体"/>
                <w:color w:val="000000"/>
                <w:szCs w:val="21"/>
              </w:rPr>
            </w:pPr>
            <w:r>
              <w:rPr>
                <w:rFonts w:hint="eastAsia" w:ascii="宋体" w:hAnsi="宋体"/>
                <w:color w:val="000000"/>
                <w:szCs w:val="21"/>
              </w:rPr>
              <w:t xml:space="preserve">①方案优于项目需求，得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p>
          <w:p>
            <w:pPr>
              <w:jc w:val="left"/>
              <w:rPr>
                <w:rFonts w:hint="eastAsia" w:ascii="宋体" w:hAnsi="宋体"/>
                <w:color w:val="000000"/>
                <w:szCs w:val="21"/>
              </w:rPr>
            </w:pPr>
            <w:r>
              <w:rPr>
                <w:rFonts w:hint="eastAsia" w:ascii="宋体" w:hAnsi="宋体"/>
                <w:color w:val="000000"/>
                <w:szCs w:val="21"/>
              </w:rPr>
              <w:t xml:space="preserve">②方案满足项目需求，得3分；</w:t>
            </w:r>
            <w:r/>
          </w:p>
          <w:p>
            <w:pPr>
              <w:jc w:val="left"/>
              <w:rPr>
                <w:rFonts w:hint="eastAsia" w:ascii="宋体" w:hAnsi="宋体"/>
                <w:color w:val="000000"/>
                <w:szCs w:val="21"/>
              </w:rPr>
            </w:pPr>
            <w:r>
              <w:rPr>
                <w:rFonts w:hint="eastAsia" w:ascii="宋体" w:hAnsi="宋体"/>
                <w:color w:val="000000"/>
                <w:szCs w:val="21"/>
              </w:rPr>
              <w:t xml:space="preserve">③方案不满足项目需求，不得分。</w:t>
            </w:r>
            <w:r/>
          </w:p>
        </w:tc>
        <w:tc>
          <w:tcPr>
            <w:tcW w:w="573" w:type="dxa"/>
            <w:vAlign w:val="center"/>
            <w:textDirection w:val="lrTb"/>
            <w:noWrap w:val="false"/>
          </w:tcPr>
          <w:p>
            <w:pPr>
              <w:pStyle w:val="1188"/>
              <w:jc w:val="center"/>
              <w:rPr>
                <w:color w:val="000000"/>
                <w:sz w:val="21"/>
                <w:szCs w:val="21"/>
                <w:lang w:eastAsia="zh-CN"/>
              </w:rPr>
            </w:pPr>
            <w:r>
              <w:rPr>
                <w:rFonts w:hint="eastAsia"/>
                <w:color w:val="000000"/>
                <w:spacing w:val="-3"/>
                <w:sz w:val="21"/>
                <w:szCs w:val="21"/>
                <w:lang w:val="en-US" w:eastAsia="zh-CN"/>
              </w:rPr>
              <w:t xml:space="preserve">5</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Pr>
        <w:tc>
          <w:tcPr>
            <w:tcW w:w="519" w:type="dxa"/>
            <w:vAlign w:val="center"/>
            <w:vMerge w:val="continue"/>
            <w:textDirection w:val="lrTb"/>
            <w:noWrap w:val="false"/>
          </w:tcPr>
          <w:p>
            <w:pPr>
              <w:jc w:val="center"/>
              <w:rPr>
                <w:rFonts w:ascii="宋体" w:hAnsi="宋体"/>
                <w:color w:val="000000"/>
                <w:spacing w:val="-2"/>
                <w:szCs w:val="21"/>
              </w:rPr>
            </w:pPr>
            <w:r>
              <w:rPr>
                <w:rFonts w:ascii="宋体" w:hAnsi="宋体"/>
                <w:color w:val="000000"/>
                <w:spacing w:val="-2"/>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lang w:val="en-US" w:eastAsia="zh-CN"/>
              </w:rPr>
              <w:t xml:space="preserve">5.4</w:t>
            </w:r>
            <w:r>
              <w:rPr>
                <w:rFonts w:hint="eastAsia" w:ascii="宋体" w:hAnsi="宋体"/>
                <w:color w:val="000000"/>
                <w:szCs w:val="21"/>
              </w:rPr>
              <w:t xml:space="preserve">设施设备维护报修方案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jc w:val="left"/>
              <w:rPr>
                <w:rFonts w:hint="eastAsia" w:ascii="宋体" w:hAnsi="宋体"/>
                <w:color w:val="000000"/>
                <w:szCs w:val="21"/>
              </w:rPr>
            </w:pPr>
            <w:r>
              <w:rPr>
                <w:rFonts w:hint="eastAsia" w:ascii="宋体" w:hAnsi="宋体"/>
                <w:color w:val="000000"/>
                <w:szCs w:val="21"/>
              </w:rPr>
              <w:t xml:space="preserve">投标人结合本项目服务特点，提供包含但不局限于水电设备、各类照明灯具、空调、热水系统、消防系统、配电间、水泵房及楼顶重点机房区域、地下管网等设施设备的日常巡检、维护监管、报修及验收等工作的服务方案：</w:t>
            </w:r>
            <w:r/>
          </w:p>
          <w:p>
            <w:pPr>
              <w:jc w:val="left"/>
              <w:rPr>
                <w:rFonts w:hint="eastAsia" w:ascii="宋体" w:hAnsi="宋体"/>
                <w:color w:val="000000"/>
                <w:szCs w:val="21"/>
              </w:rPr>
            </w:pPr>
            <w:r>
              <w:rPr>
                <w:rFonts w:hint="eastAsia" w:ascii="宋体" w:hAnsi="宋体"/>
                <w:color w:val="000000"/>
                <w:szCs w:val="21"/>
              </w:rPr>
              <w:t xml:space="preserve">①方案优于项目需求，得</w:t>
            </w:r>
            <w:r>
              <w:rPr>
                <w:rFonts w:hint="eastAsia" w:ascii="宋体" w:hAnsi="宋体"/>
                <w:color w:val="000000"/>
                <w:szCs w:val="21"/>
                <w:lang w:val="en-US" w:eastAsia="zh-CN"/>
              </w:rPr>
              <w:t xml:space="preserve">4</w:t>
            </w:r>
            <w:r>
              <w:rPr>
                <w:rFonts w:hint="eastAsia" w:ascii="宋体" w:hAnsi="宋体"/>
                <w:color w:val="000000"/>
                <w:szCs w:val="21"/>
              </w:rPr>
              <w:t xml:space="preserve">分；</w:t>
            </w:r>
            <w:r/>
          </w:p>
          <w:p>
            <w:pPr>
              <w:jc w:val="left"/>
              <w:rPr>
                <w:rFonts w:hint="eastAsia" w:ascii="宋体" w:hAnsi="宋体"/>
                <w:color w:val="000000"/>
                <w:szCs w:val="21"/>
              </w:rPr>
            </w:pPr>
            <w:r>
              <w:rPr>
                <w:rFonts w:hint="eastAsia" w:ascii="宋体" w:hAnsi="宋体"/>
                <w:color w:val="000000"/>
                <w:szCs w:val="21"/>
              </w:rPr>
              <w:t xml:space="preserve">②方案满足项目需求，得</w:t>
            </w:r>
            <w:r>
              <w:rPr>
                <w:rFonts w:hint="eastAsia" w:ascii="宋体" w:hAnsi="宋体"/>
                <w:color w:val="000000"/>
                <w:szCs w:val="21"/>
                <w:lang w:val="en-US" w:eastAsia="zh-CN"/>
              </w:rPr>
              <w:t xml:space="preserve">2</w:t>
            </w:r>
            <w:r>
              <w:rPr>
                <w:rFonts w:hint="eastAsia" w:ascii="宋体" w:hAnsi="宋体"/>
                <w:color w:val="000000"/>
                <w:szCs w:val="21"/>
              </w:rPr>
              <w:t xml:space="preserve">分；</w:t>
            </w:r>
            <w:r/>
          </w:p>
          <w:p>
            <w:pPr>
              <w:jc w:val="left"/>
              <w:rPr>
                <w:rFonts w:hint="eastAsia" w:ascii="宋体" w:hAnsi="宋体"/>
                <w:color w:val="000000"/>
                <w:szCs w:val="21"/>
              </w:rPr>
            </w:pPr>
            <w:r>
              <w:rPr>
                <w:rFonts w:hint="eastAsia" w:ascii="宋体" w:hAnsi="宋体"/>
                <w:color w:val="000000"/>
                <w:szCs w:val="21"/>
              </w:rPr>
              <w:t xml:space="preserve">③方案不满足项目需求，不得分。</w:t>
            </w:r>
            <w:r/>
          </w:p>
        </w:tc>
        <w:tc>
          <w:tcPr>
            <w:tcW w:w="573" w:type="dxa"/>
            <w:vAlign w:val="center"/>
            <w:textDirection w:val="lrTb"/>
            <w:noWrap w:val="false"/>
          </w:tcPr>
          <w:p>
            <w:pPr>
              <w:pStyle w:val="1188"/>
              <w:jc w:val="center"/>
              <w:rPr>
                <w:color w:val="000000"/>
                <w:sz w:val="21"/>
                <w:szCs w:val="21"/>
                <w:lang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Pr>
        <w:tc>
          <w:tcPr>
            <w:tcW w:w="519"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lang w:val="en-US" w:eastAsia="zh-CN"/>
              </w:rPr>
              <w:t xml:space="preserve">5.5</w:t>
            </w:r>
            <w:r>
              <w:rPr>
                <w:rFonts w:hint="eastAsia" w:ascii="宋体" w:hAnsi="宋体"/>
                <w:color w:val="000000"/>
                <w:szCs w:val="21"/>
              </w:rPr>
              <w:t xml:space="preserve">环境管理服务方案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jc w:val="left"/>
              <w:rPr>
                <w:rFonts w:hint="eastAsia" w:ascii="宋体" w:hAnsi="宋体"/>
                <w:color w:val="000000"/>
                <w:szCs w:val="21"/>
              </w:rPr>
            </w:pPr>
            <w:r>
              <w:rPr>
                <w:rFonts w:hint="eastAsia" w:ascii="宋体" w:hAnsi="宋体"/>
                <w:color w:val="000000"/>
                <w:szCs w:val="21"/>
              </w:rPr>
              <w:t xml:space="preserve">投标人结合本项目环境整体情况，提供包括但不限于道路环境维护保洁、景观建筑维护保洁、绿地清理及水系清洁等工作的服务方案：</w:t>
            </w:r>
            <w:r/>
          </w:p>
          <w:p>
            <w:pPr>
              <w:jc w:val="left"/>
              <w:rPr>
                <w:rFonts w:hint="eastAsia" w:ascii="宋体" w:hAnsi="宋体"/>
                <w:color w:val="000000"/>
                <w:szCs w:val="21"/>
              </w:rPr>
            </w:pPr>
            <w:r>
              <w:rPr>
                <w:rFonts w:hint="eastAsia" w:ascii="宋体" w:hAnsi="宋体"/>
                <w:color w:val="000000"/>
                <w:szCs w:val="21"/>
              </w:rPr>
              <w:t xml:space="preserve">①方案优于项目需求，得</w:t>
            </w:r>
            <w:r>
              <w:rPr>
                <w:rFonts w:hint="eastAsia" w:ascii="宋体" w:hAnsi="宋体"/>
                <w:color w:val="000000"/>
                <w:szCs w:val="21"/>
                <w:lang w:val="en-US" w:eastAsia="zh-CN"/>
              </w:rPr>
              <w:t xml:space="preserve">4</w:t>
            </w:r>
            <w:r>
              <w:rPr>
                <w:rFonts w:hint="eastAsia" w:ascii="宋体" w:hAnsi="宋体"/>
                <w:color w:val="000000"/>
                <w:szCs w:val="21"/>
              </w:rPr>
              <w:t xml:space="preserve">分；</w:t>
            </w:r>
            <w:r/>
          </w:p>
          <w:p>
            <w:pPr>
              <w:jc w:val="left"/>
              <w:rPr>
                <w:rFonts w:hint="eastAsia" w:ascii="宋体" w:hAnsi="宋体"/>
                <w:color w:val="000000"/>
                <w:szCs w:val="21"/>
              </w:rPr>
            </w:pPr>
            <w:r>
              <w:rPr>
                <w:rFonts w:hint="eastAsia" w:ascii="宋体" w:hAnsi="宋体"/>
                <w:color w:val="000000"/>
                <w:szCs w:val="21"/>
              </w:rPr>
              <w:t xml:space="preserve">②方案满足项目需求，得</w:t>
            </w:r>
            <w:r>
              <w:rPr>
                <w:rFonts w:hint="eastAsia" w:ascii="宋体" w:hAnsi="宋体"/>
                <w:color w:val="000000"/>
                <w:szCs w:val="21"/>
                <w:lang w:val="en-US" w:eastAsia="zh-CN"/>
              </w:rPr>
              <w:t xml:space="preserve">2</w:t>
            </w:r>
            <w:r>
              <w:rPr>
                <w:rFonts w:hint="eastAsia" w:ascii="宋体" w:hAnsi="宋体"/>
                <w:color w:val="000000"/>
                <w:szCs w:val="21"/>
              </w:rPr>
              <w:t xml:space="preserve">分；</w:t>
            </w:r>
            <w:r/>
          </w:p>
          <w:p>
            <w:pPr>
              <w:jc w:val="left"/>
              <w:rPr>
                <w:rFonts w:hint="eastAsia" w:ascii="宋体" w:hAnsi="宋体"/>
                <w:color w:val="000000"/>
                <w:szCs w:val="21"/>
              </w:rPr>
            </w:pPr>
            <w:r>
              <w:rPr>
                <w:rFonts w:hint="eastAsia" w:ascii="宋体" w:hAnsi="宋体"/>
                <w:color w:val="000000"/>
                <w:szCs w:val="21"/>
              </w:rPr>
              <w:t xml:space="preserve">③方案不满足项目需求，不得分。</w:t>
            </w:r>
            <w:r/>
          </w:p>
        </w:tc>
        <w:tc>
          <w:tcPr>
            <w:tcW w:w="573" w:type="dxa"/>
            <w:vAlign w:val="center"/>
            <w:textDirection w:val="lrTb"/>
            <w:noWrap w:val="false"/>
          </w:tcPr>
          <w:p>
            <w:pPr>
              <w:pStyle w:val="1188"/>
              <w:jc w:val="center"/>
              <w:rPr>
                <w:color w:val="000000"/>
                <w:sz w:val="21"/>
                <w:szCs w:val="21"/>
                <w:lang w:val="en-US"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Height w:val="1961"/>
        </w:trPr>
        <w:tc>
          <w:tcPr>
            <w:tcW w:w="519" w:type="dxa"/>
            <w:vAlign w:val="center"/>
            <w:vMerge w:val="continue"/>
            <w:textDirection w:val="lrTb"/>
            <w:noWrap w:val="false"/>
          </w:tcPr>
          <w:p>
            <w:pPr>
              <w:jc w:val="center"/>
              <w:rPr>
                <w:rFonts w:ascii="宋体" w:hAnsi="宋体"/>
                <w:color w:val="000000"/>
                <w:spacing w:val="-2"/>
                <w:szCs w:val="21"/>
              </w:rPr>
            </w:pPr>
            <w:r>
              <w:rPr>
                <w:rFonts w:ascii="宋体" w:hAnsi="宋体"/>
                <w:color w:val="000000"/>
                <w:spacing w:val="-2"/>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jc w:val="left"/>
              <w:spacing w:line="264" w:lineRule="auto"/>
              <w:rPr>
                <w:rFonts w:hint="eastAsia" w:ascii="宋体" w:hAnsi="宋体"/>
                <w:color w:val="000000"/>
              </w:rPr>
            </w:pPr>
            <w:r>
              <w:rPr>
                <w:rFonts w:hint="eastAsia" w:ascii="宋体" w:hAnsi="宋体"/>
                <w:color w:val="000000"/>
                <w:lang w:val="en-US" w:eastAsia="zh-CN"/>
              </w:rPr>
              <w:t xml:space="preserve">5.6</w:t>
            </w:r>
            <w:r>
              <w:rPr>
                <w:rFonts w:hint="eastAsia" w:ascii="宋体" w:hAnsi="宋体"/>
                <w:color w:val="000000"/>
              </w:rPr>
              <w:t xml:space="preserve">绿化养护服务方案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投标人结合本项目绿化性质、特点以及日常运行管理要求,提供包括但不限于绿化、绿植养护、楼内绿植养护工作的服务方案：</w:t>
            </w:r>
            <w:r/>
          </w:p>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①方案优于项目需求，得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②方案满足项目需求，得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left"/>
              <w:spacing w:line="240" w:lineRule="auto"/>
              <w:rPr>
                <w:rFonts w:hint="eastAsia" w:ascii="宋体" w:hAnsi="宋体"/>
                <w:color w:val="000000"/>
              </w:rPr>
            </w:pPr>
            <w:r>
              <w:rPr>
                <w:rFonts w:hint="eastAsia" w:ascii="宋体" w:hAnsi="宋体" w:cs="宋体"/>
                <w:color w:val="000000"/>
                <w:sz w:val="21"/>
                <w:szCs w:val="21"/>
              </w:rPr>
              <w:t xml:space="preserve">③方案不满足项目需求，不得分。</w:t>
            </w:r>
            <w:r/>
          </w:p>
        </w:tc>
        <w:tc>
          <w:tcPr>
            <w:tcW w:w="573" w:type="dxa"/>
            <w:vAlign w:val="center"/>
            <w:textDirection w:val="lrTb"/>
            <w:noWrap w:val="false"/>
          </w:tcPr>
          <w:p>
            <w:pPr>
              <w:pStyle w:val="1188"/>
              <w:jc w:val="center"/>
              <w:rPr>
                <w:color w:val="000000"/>
                <w:sz w:val="21"/>
                <w:szCs w:val="21"/>
                <w:lang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ascii="宋体" w:hAnsi="宋体"/>
                <w:color w:val="000000"/>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Height w:val="1961"/>
        </w:trPr>
        <w:tc>
          <w:tcPr>
            <w:tcW w:w="519"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rPr>
                <w:rFonts w:hint="eastAsia" w:ascii="宋体" w:hAnsi="宋体"/>
                <w:color w:val="000000"/>
              </w:rPr>
            </w:pPr>
            <w:r>
              <w:rPr>
                <w:rFonts w:hint="eastAsia" w:ascii="宋体" w:hAnsi="宋体"/>
                <w:color w:val="000000"/>
                <w:lang w:val="en-US" w:eastAsia="zh-CN"/>
              </w:rPr>
              <w:t xml:space="preserve">5.7</w:t>
            </w:r>
            <w:r>
              <w:rPr>
                <w:rFonts w:hint="eastAsia" w:ascii="宋体" w:hAnsi="宋体"/>
                <w:color w:val="000000"/>
              </w:rPr>
              <w:t xml:space="preserve">人员职责要求方案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rPr>
                <w:rFonts w:hint="eastAsia" w:ascii="宋体" w:hAnsi="宋体"/>
                <w:color w:val="000000"/>
              </w:rPr>
            </w:pPr>
            <w:r>
              <w:rPr>
                <w:rFonts w:hint="eastAsia" w:ascii="宋体" w:hAnsi="宋体"/>
                <w:color w:val="000000"/>
              </w:rPr>
              <w:t xml:space="preserve">投标人结合本项目人员需求，进行组织架构设计和人员配置管理，提供包括但不限于本项目的岗位设置、部门职责、工作流程、规章制度以及人员的配置、管理、培训等工作方案：</w:t>
            </w:r>
            <w:r/>
          </w:p>
          <w:p>
            <w:pPr>
              <w:rPr>
                <w:rFonts w:hint="eastAsia" w:ascii="宋体" w:hAnsi="宋体"/>
                <w:color w:val="000000"/>
              </w:rPr>
            </w:pPr>
            <w:r>
              <w:rPr>
                <w:rFonts w:hint="eastAsia" w:ascii="宋体" w:hAnsi="宋体"/>
                <w:color w:val="000000"/>
              </w:rPr>
              <w:t xml:space="preserve">①方案优于项目需求，得4分；</w:t>
            </w:r>
            <w:r/>
          </w:p>
          <w:p>
            <w:pPr>
              <w:rPr>
                <w:rFonts w:hint="eastAsia" w:ascii="宋体" w:hAnsi="宋体"/>
                <w:color w:val="000000"/>
              </w:rPr>
            </w:pPr>
            <w:r>
              <w:rPr>
                <w:rFonts w:hint="eastAsia" w:ascii="宋体" w:hAnsi="宋体"/>
                <w:color w:val="000000"/>
              </w:rPr>
              <w:t xml:space="preserve">②方案满足项目需求，得2分；</w:t>
            </w:r>
            <w:r/>
          </w:p>
          <w:p>
            <w:pPr>
              <w:rPr>
                <w:rFonts w:hint="eastAsia" w:ascii="宋体" w:hAnsi="宋体"/>
                <w:color w:val="000000"/>
              </w:rPr>
            </w:pPr>
            <w:r>
              <w:rPr>
                <w:rFonts w:hint="eastAsia" w:ascii="宋体" w:hAnsi="宋体"/>
                <w:color w:val="000000"/>
              </w:rPr>
              <w:t xml:space="preserve">③方案不满足项目需求，不得分。</w:t>
            </w:r>
            <w:r/>
          </w:p>
        </w:tc>
        <w:tc>
          <w:tcPr>
            <w:tcW w:w="573" w:type="dxa"/>
            <w:vAlign w:val="center"/>
            <w:textDirection w:val="lrTb"/>
            <w:noWrap w:val="false"/>
          </w:tcPr>
          <w:p>
            <w:pPr>
              <w:pStyle w:val="1188"/>
              <w:jc w:val="center"/>
              <w:rPr>
                <w:color w:val="000000"/>
                <w:spacing w:val="-3"/>
                <w:sz w:val="21"/>
                <w:szCs w:val="21"/>
                <w:lang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ascii="宋体" w:hAnsi="宋体"/>
                <w:color w:val="000000"/>
                <w:spacing w:val="-6"/>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Height w:val="1961"/>
        </w:trPr>
        <w:tc>
          <w:tcPr>
            <w:tcW w:w="519"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rPr>
                <w:rFonts w:hint="eastAsia" w:ascii="宋体" w:hAnsi="宋体"/>
                <w:color w:val="000000"/>
              </w:rPr>
            </w:pPr>
            <w:r>
              <w:rPr>
                <w:rFonts w:hint="eastAsia" w:ascii="宋体" w:hAnsi="宋体"/>
                <w:color w:val="000000"/>
                <w:lang w:val="en-US" w:eastAsia="zh-CN"/>
              </w:rPr>
              <w:t xml:space="preserve">5.8</w:t>
            </w:r>
            <w:r>
              <w:rPr>
                <w:rFonts w:hint="eastAsia" w:ascii="宋体" w:hAnsi="宋体" w:cs="宋体"/>
                <w:b w:val="0"/>
                <w:color w:val="000000"/>
                <w:sz w:val="21"/>
                <w:szCs w:val="24"/>
                <w:shd w:val="clear" w:color="auto" w:fill="auto"/>
              </w:rPr>
              <w:t xml:space="preserve">节能环保服务方案</w:t>
            </w:r>
            <w:r>
              <w:rPr>
                <w:rFonts w:hint="eastAsia" w:ascii="宋体" w:hAnsi="宋体"/>
                <w:color w:val="000000"/>
                <w:spacing w:val="0"/>
                <w:szCs w:val="24"/>
              </w:rPr>
              <w:t xml:space="preserve">（</w:t>
            </w:r>
            <w:r>
              <w:rPr>
                <w:rFonts w:hint="eastAsia" w:ascii="宋体" w:hAnsi="宋体"/>
                <w:color w:val="000000"/>
                <w:spacing w:val="0"/>
                <w:szCs w:val="24"/>
                <w:lang w:val="en-US" w:eastAsia="zh-CN"/>
              </w:rPr>
              <w:t xml:space="preserve">4</w:t>
            </w:r>
            <w:r>
              <w:rPr>
                <w:rFonts w:hint="eastAsia" w:ascii="宋体" w:hAnsi="宋体"/>
                <w:color w:val="000000"/>
                <w:spacing w:val="0"/>
                <w:szCs w:val="24"/>
              </w:rPr>
              <w:t xml:space="preserve">分）</w:t>
            </w:r>
            <w:r/>
          </w:p>
          <w:p>
            <w:pPr>
              <w:rPr>
                <w:rFonts w:hint="eastAsia" w:ascii="宋体" w:hAnsi="宋体"/>
                <w:color w:val="000000"/>
              </w:rPr>
            </w:pPr>
            <w:r>
              <w:rPr>
                <w:rFonts w:hint="eastAsia" w:ascii="宋体" w:hAnsi="宋体"/>
                <w:color w:val="000000"/>
              </w:rPr>
              <w:t xml:space="preserve">投标人结合本项目情况，提供包括但不限于对所辖范围内常明灯、常流水、未按规定</w:t>
            </w:r>
            <w:r>
              <w:rPr>
                <w:rFonts w:hint="eastAsia" w:ascii="宋体" w:hAnsi="宋体"/>
                <w:color w:val="000000"/>
                <w:lang w:val="en-US" w:eastAsia="zh-CN"/>
              </w:rPr>
              <w:t xml:space="preserve">下班关闭</w:t>
            </w:r>
            <w:r>
              <w:rPr>
                <w:rFonts w:hint="eastAsia" w:ascii="宋体" w:hAnsi="宋体"/>
                <w:color w:val="000000"/>
              </w:rPr>
              <w:t xml:space="preserve">空调等现象进行管控；楼内节能宣传等工作的方案：</w:t>
            </w:r>
            <w:r/>
          </w:p>
          <w:p>
            <w:pPr>
              <w:rPr>
                <w:rFonts w:hint="eastAsia" w:ascii="宋体" w:hAnsi="宋体"/>
                <w:color w:val="000000"/>
              </w:rPr>
            </w:pPr>
            <w:r>
              <w:rPr>
                <w:rFonts w:hint="eastAsia" w:ascii="宋体" w:hAnsi="宋体"/>
                <w:color w:val="000000"/>
              </w:rPr>
              <w:t xml:space="preserve">①方案优于项目需求，得4分；</w:t>
            </w:r>
            <w:r/>
          </w:p>
          <w:p>
            <w:pPr>
              <w:rPr>
                <w:rFonts w:hint="eastAsia" w:ascii="宋体" w:hAnsi="宋体"/>
                <w:color w:val="000000"/>
              </w:rPr>
            </w:pPr>
            <w:r>
              <w:rPr>
                <w:rFonts w:hint="eastAsia" w:ascii="宋体" w:hAnsi="宋体"/>
                <w:color w:val="000000"/>
              </w:rPr>
              <w:t xml:space="preserve">②方案满足项目需求，得2分；</w:t>
            </w:r>
            <w:r/>
          </w:p>
          <w:p>
            <w:pPr>
              <w:rPr>
                <w:rFonts w:hint="eastAsia" w:ascii="宋体" w:hAnsi="宋体"/>
                <w:color w:val="000000"/>
              </w:rPr>
            </w:pPr>
            <w:r>
              <w:rPr>
                <w:rFonts w:hint="eastAsia" w:ascii="宋体" w:hAnsi="宋体"/>
                <w:color w:val="000000"/>
              </w:rPr>
              <w:t xml:space="preserve">③方案不满足项目需求，不得分。</w:t>
            </w:r>
            <w:r/>
          </w:p>
        </w:tc>
        <w:tc>
          <w:tcPr>
            <w:tcW w:w="573" w:type="dxa"/>
            <w:vAlign w:val="center"/>
            <w:textDirection w:val="lrTb"/>
            <w:noWrap w:val="false"/>
          </w:tcPr>
          <w:p>
            <w:pPr>
              <w:pStyle w:val="1188"/>
              <w:jc w:val="center"/>
              <w:rPr>
                <w:color w:val="000000"/>
                <w:spacing w:val="-3"/>
                <w:sz w:val="21"/>
                <w:szCs w:val="21"/>
                <w:lang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ascii="宋体" w:hAnsi="宋体"/>
                <w:color w:val="000000"/>
                <w:spacing w:val="-6"/>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Height w:val="1961"/>
        </w:trPr>
        <w:tc>
          <w:tcPr>
            <w:tcW w:w="519"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W w:w="1309" w:type="dxa"/>
            <w:vAlign w:val="center"/>
            <w:vMerge w:val="continue"/>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rPr>
                <w:rFonts w:hint="eastAsia" w:ascii="宋体" w:hAnsi="宋体"/>
                <w:color w:val="000000"/>
                <w:spacing w:val="-2"/>
                <w:szCs w:val="21"/>
              </w:rPr>
            </w:pPr>
            <w:r>
              <w:rPr>
                <w:rFonts w:hint="eastAsia" w:ascii="宋体" w:hAnsi="宋体"/>
                <w:color w:val="000000"/>
                <w:lang w:val="en-US" w:eastAsia="zh-CN"/>
              </w:rPr>
              <w:t xml:space="preserve">5.9</w:t>
            </w:r>
            <w:r>
              <w:rPr>
                <w:rFonts w:hint="eastAsia" w:ascii="宋体" w:hAnsi="宋体"/>
                <w:color w:val="000000"/>
              </w:rPr>
              <w:t xml:space="preserve">会务服务及重大活动方案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rPr>
                <w:rFonts w:hint="eastAsia" w:ascii="宋体" w:hAnsi="宋体"/>
                <w:color w:val="000000"/>
              </w:rPr>
            </w:pPr>
            <w:r>
              <w:rPr>
                <w:rFonts w:hint="eastAsia" w:ascii="宋体" w:hAnsi="宋体"/>
                <w:color w:val="000000"/>
              </w:rPr>
              <w:t xml:space="preserve">投标人结合本项目特点，提供包括但不限于会议准备、会议服务流程、会议保密机制等各项工作服务方案和各类重大活动全过程保障的服务方案：</w:t>
            </w:r>
            <w:r/>
          </w:p>
          <w:p>
            <w:pPr>
              <w:rPr>
                <w:rFonts w:hint="eastAsia" w:ascii="宋体" w:hAnsi="宋体"/>
                <w:color w:val="000000"/>
              </w:rPr>
            </w:pPr>
            <w:r>
              <w:rPr>
                <w:rFonts w:hint="eastAsia" w:ascii="宋体" w:hAnsi="宋体"/>
                <w:color w:val="000000"/>
              </w:rPr>
              <w:t xml:space="preserve">①方案优于项目需求，得4分；</w:t>
            </w:r>
            <w:r/>
          </w:p>
          <w:p>
            <w:pPr>
              <w:rPr>
                <w:rFonts w:hint="eastAsia" w:ascii="宋体" w:hAnsi="宋体"/>
                <w:color w:val="000000"/>
              </w:rPr>
            </w:pPr>
            <w:r>
              <w:rPr>
                <w:rFonts w:hint="eastAsia" w:ascii="宋体" w:hAnsi="宋体"/>
                <w:color w:val="000000"/>
              </w:rPr>
              <w:t xml:space="preserve">②方案满足项目需求，得2分；</w:t>
            </w:r>
            <w:r/>
          </w:p>
          <w:p>
            <w:pPr>
              <w:rPr>
                <w:rFonts w:hint="eastAsia" w:ascii="宋体" w:hAnsi="宋体"/>
                <w:color w:val="000000"/>
              </w:rPr>
            </w:pPr>
            <w:r>
              <w:rPr>
                <w:rFonts w:hint="eastAsia" w:ascii="宋体" w:hAnsi="宋体"/>
                <w:color w:val="000000"/>
              </w:rPr>
              <w:t xml:space="preserve">③方案不满足项目需求，不得分。</w:t>
            </w:r>
            <w:r/>
          </w:p>
        </w:tc>
        <w:tc>
          <w:tcPr>
            <w:tcW w:w="573" w:type="dxa"/>
            <w:vAlign w:val="center"/>
            <w:textDirection w:val="lrTb"/>
            <w:noWrap w:val="false"/>
          </w:tcPr>
          <w:p>
            <w:pPr>
              <w:pStyle w:val="1188"/>
              <w:jc w:val="center"/>
              <w:rPr>
                <w:color w:val="000000"/>
                <w:spacing w:val="-3"/>
                <w:sz w:val="21"/>
                <w:szCs w:val="21"/>
                <w:lang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ascii="宋体" w:hAnsi="宋体"/>
                <w:color w:val="000000"/>
                <w:spacing w:val="-6"/>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Height w:val="1961"/>
        </w:trPr>
        <w:tc>
          <w:tcPr>
            <w:tcW w:w="51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09" w:type="dxa"/>
            <w:vAlign w:val="center"/>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rPr>
                <w:rFonts w:hint="eastAsia" w:ascii="宋体" w:hAnsi="宋体"/>
                <w:color w:val="000000"/>
              </w:rPr>
            </w:pPr>
            <w:r>
              <w:rPr>
                <w:rFonts w:hint="eastAsia" w:ascii="宋体" w:hAnsi="宋体"/>
                <w:color w:val="000000"/>
                <w:lang w:val="en-US" w:eastAsia="zh-CN"/>
              </w:rPr>
              <w:t xml:space="preserve">5.10</w:t>
            </w:r>
            <w:r>
              <w:rPr>
                <w:rFonts w:hint="eastAsia" w:ascii="宋体" w:hAnsi="宋体"/>
                <w:color w:val="000000"/>
                <w:lang w:eastAsia="en-US"/>
              </w:rPr>
              <w:t xml:space="preserve">应急</w:t>
            </w:r>
            <w:r>
              <w:rPr>
                <w:rFonts w:hint="eastAsia" w:ascii="宋体" w:hAnsi="宋体"/>
                <w:color w:val="000000"/>
              </w:rPr>
              <w:t xml:space="preserve">预案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rPr>
                <w:rFonts w:hint="eastAsia" w:ascii="宋体" w:hAnsi="宋体"/>
                <w:color w:val="000000"/>
              </w:rPr>
            </w:pPr>
            <w:r>
              <w:rPr>
                <w:rFonts w:hint="eastAsia" w:ascii="宋体" w:hAnsi="宋体"/>
                <w:color w:val="000000"/>
              </w:rPr>
              <w:t xml:space="preserve">投标人结合本项目安全工作重点、难点的情况，提供包括但不局限于消防、治安、恶劣天气、公共卫生事件、设施设备突发故障等情况的应急预案：</w:t>
            </w:r>
            <w:r/>
          </w:p>
          <w:p>
            <w:pPr>
              <w:rPr>
                <w:rFonts w:hint="eastAsia" w:ascii="宋体" w:hAnsi="宋体"/>
                <w:color w:val="000000"/>
              </w:rPr>
            </w:pPr>
            <w:r>
              <w:rPr>
                <w:rFonts w:hint="eastAsia" w:ascii="宋体" w:hAnsi="宋体"/>
                <w:color w:val="000000"/>
              </w:rPr>
              <w:t xml:space="preserve">①预案优于项目需求，得4分；</w:t>
            </w:r>
            <w:r/>
          </w:p>
          <w:p>
            <w:pPr>
              <w:rPr>
                <w:rFonts w:hint="eastAsia" w:ascii="宋体" w:hAnsi="宋体"/>
                <w:color w:val="000000"/>
              </w:rPr>
            </w:pPr>
            <w:r>
              <w:rPr>
                <w:rFonts w:hint="eastAsia" w:ascii="宋体" w:hAnsi="宋体"/>
                <w:color w:val="000000"/>
              </w:rPr>
              <w:t xml:space="preserve">②预案满足项目需求，得2分；</w:t>
            </w:r>
            <w:r/>
          </w:p>
          <w:p>
            <w:pPr>
              <w:rPr>
                <w:rFonts w:hint="eastAsia" w:ascii="宋体" w:hAnsi="宋体"/>
                <w:color w:val="000000"/>
              </w:rPr>
            </w:pPr>
            <w:r>
              <w:rPr>
                <w:rFonts w:hint="eastAsia" w:ascii="宋体" w:hAnsi="宋体"/>
                <w:color w:val="000000"/>
              </w:rPr>
              <w:t xml:space="preserve">③预案不满足项目需求，不得分。</w:t>
            </w:r>
            <w:r/>
          </w:p>
        </w:tc>
        <w:tc>
          <w:tcPr>
            <w:tcW w:w="573" w:type="dxa"/>
            <w:vAlign w:val="center"/>
            <w:textDirection w:val="lrTb"/>
            <w:noWrap w:val="false"/>
          </w:tcPr>
          <w:p>
            <w:pPr>
              <w:pStyle w:val="1188"/>
              <w:jc w:val="center"/>
              <w:rPr>
                <w:color w:val="000000"/>
                <w:spacing w:val="-3"/>
                <w:sz w:val="21"/>
                <w:szCs w:val="21"/>
                <w:lang w:val="en-US"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hint="eastAsia" w:ascii="宋体" w:hAnsi="宋体"/>
                <w:color w:val="000000"/>
                <w:spacing w:val="-6"/>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Height w:val="1961"/>
        </w:trPr>
        <w:tc>
          <w:tcPr>
            <w:tcW w:w="51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09" w:type="dxa"/>
            <w:vAlign w:val="center"/>
            <w:textDirection w:val="lrTb"/>
            <w:noWrap w:val="false"/>
          </w:tcPr>
          <w:p>
            <w:pPr>
              <w:jc w:val="left"/>
              <w:rPr>
                <w:rFonts w:ascii="宋体" w:hAnsi="宋体"/>
                <w:color w:val="000000"/>
                <w:spacing w:val="-2"/>
                <w:szCs w:val="21"/>
              </w:rPr>
            </w:pPr>
            <w:r>
              <w:rPr>
                <w:rFonts w:ascii="宋体" w:hAnsi="宋体"/>
                <w:color w:val="000000"/>
                <w:spacing w:val="-2"/>
                <w:szCs w:val="21"/>
              </w:rPr>
            </w:r>
            <w:r/>
          </w:p>
        </w:tc>
        <w:tc>
          <w:tcPr>
            <w:tcW w:w="6486" w:type="dxa"/>
            <w:vAlign w:val="center"/>
            <w:textDirection w:val="lrTb"/>
            <w:noWrap w:val="false"/>
          </w:tcPr>
          <w:p>
            <w:pPr>
              <w:rPr>
                <w:rFonts w:hint="eastAsia" w:ascii="宋体" w:hAnsi="宋体"/>
                <w:color w:val="000000"/>
              </w:rPr>
            </w:pPr>
            <w:r>
              <w:rPr>
                <w:rFonts w:hint="eastAsia" w:ascii="宋体" w:hAnsi="宋体"/>
                <w:color w:val="000000"/>
                <w:lang w:val="en-US" w:eastAsia="zh-CN"/>
              </w:rPr>
              <w:t xml:space="preserve">5.11</w:t>
            </w:r>
            <w:r>
              <w:rPr>
                <w:rFonts w:hint="eastAsia" w:ascii="宋体" w:hAnsi="宋体"/>
                <w:color w:val="000000"/>
              </w:rPr>
              <w:t xml:space="preserve">项目交接方案</w:t>
            </w:r>
            <w:r>
              <w:rPr>
                <w:rFonts w:hint="eastAsia" w:ascii="宋体" w:hAnsi="宋体"/>
                <w:color w:val="000000"/>
                <w:spacing w:val="-2"/>
                <w:szCs w:val="21"/>
              </w:rPr>
              <w:t xml:space="preserve">（</w:t>
            </w:r>
            <w:r>
              <w:rPr>
                <w:rFonts w:hint="eastAsia" w:ascii="宋体" w:hAnsi="宋体"/>
                <w:color w:val="000000"/>
                <w:spacing w:val="-2"/>
                <w:szCs w:val="21"/>
                <w:lang w:val="en-US" w:eastAsia="zh-CN"/>
              </w:rPr>
              <w:t xml:space="preserve">4</w:t>
            </w:r>
            <w:r>
              <w:rPr>
                <w:rFonts w:hint="eastAsia" w:ascii="宋体" w:hAnsi="宋体"/>
                <w:color w:val="000000"/>
                <w:spacing w:val="-2"/>
                <w:szCs w:val="21"/>
              </w:rPr>
              <w:t xml:space="preserve">分）</w:t>
            </w:r>
            <w:r/>
          </w:p>
          <w:p>
            <w:pPr>
              <w:rPr>
                <w:rFonts w:hint="eastAsia" w:ascii="宋体" w:hAnsi="宋体"/>
                <w:color w:val="000000"/>
              </w:rPr>
            </w:pPr>
            <w:r>
              <w:rPr>
                <w:rFonts w:hint="eastAsia" w:ascii="宋体" w:hAnsi="宋体"/>
                <w:color w:val="000000"/>
              </w:rPr>
              <w:t xml:space="preserve">投标人结合本项目情况，提供物业服务开始及合同到期时的交接方案，包括但不限于交接准备、交流流程、固定资产清查、各类台账的编制整理等工作的方案：</w:t>
            </w:r>
            <w:r/>
          </w:p>
          <w:p>
            <w:pPr>
              <w:rPr>
                <w:rFonts w:hint="eastAsia" w:ascii="宋体" w:hAnsi="宋体"/>
                <w:color w:val="000000"/>
              </w:rPr>
            </w:pPr>
            <w:r>
              <w:rPr>
                <w:rFonts w:hint="eastAsia" w:ascii="宋体" w:hAnsi="宋体"/>
                <w:color w:val="000000"/>
              </w:rPr>
              <w:t xml:space="preserve">①方案优于项目需求，得4分；</w:t>
            </w:r>
            <w:r/>
          </w:p>
          <w:p>
            <w:pPr>
              <w:rPr>
                <w:rFonts w:hint="eastAsia" w:ascii="宋体" w:hAnsi="宋体"/>
                <w:color w:val="000000"/>
              </w:rPr>
            </w:pPr>
            <w:r>
              <w:rPr>
                <w:rFonts w:hint="eastAsia" w:ascii="宋体" w:hAnsi="宋体"/>
                <w:color w:val="000000"/>
              </w:rPr>
              <w:t xml:space="preserve">②方案满足项目需求，得2分；</w:t>
            </w:r>
            <w:r/>
          </w:p>
          <w:p>
            <w:pPr>
              <w:rPr>
                <w:rFonts w:hint="eastAsia" w:ascii="宋体" w:hAnsi="宋体"/>
                <w:color w:val="000000"/>
              </w:rPr>
            </w:pPr>
            <w:r>
              <w:rPr>
                <w:rFonts w:hint="eastAsia" w:ascii="宋体" w:hAnsi="宋体"/>
                <w:color w:val="000000"/>
              </w:rPr>
              <w:t xml:space="preserve">③方案不满足项目需求，不得分。</w:t>
            </w:r>
            <w:r/>
          </w:p>
        </w:tc>
        <w:tc>
          <w:tcPr>
            <w:tcW w:w="573" w:type="dxa"/>
            <w:vAlign w:val="center"/>
            <w:textDirection w:val="lrTb"/>
            <w:noWrap w:val="false"/>
          </w:tcPr>
          <w:p>
            <w:pPr>
              <w:pStyle w:val="1188"/>
              <w:jc w:val="center"/>
              <w:rPr>
                <w:color w:val="000000"/>
                <w:spacing w:val="-3"/>
                <w:sz w:val="21"/>
                <w:szCs w:val="21"/>
                <w:lang w:val="en-US" w:eastAsia="zh-CN"/>
              </w:rPr>
            </w:pPr>
            <w:r>
              <w:rPr>
                <w:rFonts w:hint="eastAsia"/>
                <w:color w:val="000000"/>
                <w:spacing w:val="-3"/>
                <w:sz w:val="21"/>
                <w:szCs w:val="21"/>
                <w:lang w:val="en-US" w:eastAsia="zh-CN"/>
              </w:rPr>
              <w:t xml:space="preserve">4</w:t>
            </w:r>
            <w:r/>
          </w:p>
        </w:tc>
        <w:tc>
          <w:tcPr>
            <w:tcW w:w="783" w:type="dxa"/>
            <w:vAlign w:val="center"/>
            <w:textDirection w:val="lrTb"/>
            <w:noWrap w:val="false"/>
          </w:tcPr>
          <w:p>
            <w:pPr>
              <w:jc w:val="center"/>
              <w:spacing w:before="68"/>
              <w:rPr>
                <w:rFonts w:hint="eastAsia" w:ascii="宋体" w:hAnsi="宋体"/>
                <w:color w:val="000000"/>
                <w:spacing w:val="-6"/>
                <w:szCs w:val="21"/>
              </w:rPr>
            </w:pPr>
            <w:r>
              <w:rPr>
                <w:rFonts w:hint="eastAsia" w:ascii="宋体" w:hAnsi="宋体"/>
                <w:color w:val="000000"/>
                <w:spacing w:val="-6"/>
                <w:szCs w:val="21"/>
              </w:rPr>
              <w:t xml:space="preserve">主</w:t>
            </w:r>
            <w:r>
              <w:rPr>
                <w:rFonts w:hint="eastAsia" w:ascii="宋体" w:hAnsi="宋体"/>
                <w:color w:val="000000"/>
                <w:spacing w:val="-4"/>
                <w:szCs w:val="21"/>
              </w:rPr>
              <w:t xml:space="preserve">观分</w:t>
            </w:r>
            <w:r/>
          </w:p>
        </w:tc>
      </w:tr>
      <w:tr>
        <w:trPr>
          <w:jc w:val="center"/>
        </w:trPr>
        <w:tc>
          <w:tcPr>
            <w:tcW w:w="519" w:type="dxa"/>
            <w:vAlign w:val="center"/>
            <w:textDirection w:val="lrTb"/>
            <w:noWrap w:val="false"/>
          </w:tcPr>
          <w:p>
            <w:pPr>
              <w:jc w:val="center"/>
              <w:rPr>
                <w:rFonts w:ascii="宋体" w:hAnsi="宋体"/>
                <w:color w:val="000000"/>
                <w:szCs w:val="21"/>
              </w:rPr>
            </w:pPr>
            <w:r>
              <w:rPr>
                <w:rFonts w:hint="eastAsia" w:ascii="宋体" w:hAnsi="宋体"/>
                <w:color w:val="000000"/>
                <w:spacing w:val="-3"/>
                <w:szCs w:val="21"/>
              </w:rPr>
              <w:t xml:space="preserve">合</w:t>
            </w:r>
            <w:r>
              <w:rPr>
                <w:rFonts w:hint="eastAsia" w:ascii="宋体" w:hAnsi="宋体"/>
                <w:color w:val="000000"/>
                <w:spacing w:val="-2"/>
                <w:szCs w:val="21"/>
              </w:rPr>
              <w:t xml:space="preserve">计</w:t>
            </w:r>
            <w:r/>
          </w:p>
        </w:tc>
        <w:tc>
          <w:tcPr>
            <w:gridSpan w:val="2"/>
            <w:tcW w:w="7795" w:type="dxa"/>
            <w:vAlign w:val="center"/>
            <w:textDirection w:val="lrTb"/>
            <w:noWrap w:val="false"/>
          </w:tcPr>
          <w:p>
            <w:pPr>
              <w:ind w:left="172"/>
              <w:jc w:val="center"/>
              <w:spacing w:before="123"/>
              <w:rPr>
                <w:rFonts w:ascii="宋体" w:hAnsi="宋体"/>
                <w:color w:val="000000"/>
                <w:spacing w:val="-2"/>
                <w:szCs w:val="21"/>
              </w:rPr>
            </w:pPr>
            <w:r>
              <w:rPr>
                <w:rFonts w:ascii="宋体" w:hAnsi="宋体"/>
                <w:color w:val="000000"/>
                <w:spacing w:val="-2"/>
                <w:szCs w:val="21"/>
              </w:rPr>
            </w:r>
            <w:r/>
          </w:p>
        </w:tc>
        <w:tc>
          <w:tcPr>
            <w:gridSpan w:val="2"/>
            <w:tcW w:w="1356" w:type="dxa"/>
            <w:vAlign w:val="center"/>
            <w:textDirection w:val="lrTb"/>
            <w:noWrap w:val="false"/>
          </w:tcPr>
          <w:p>
            <w:pPr>
              <w:jc w:val="center"/>
              <w:rPr>
                <w:rFonts w:ascii="宋体" w:hAnsi="宋体"/>
                <w:color w:val="000000"/>
                <w:szCs w:val="21"/>
              </w:rPr>
            </w:pPr>
            <w:r>
              <w:rPr>
                <w:rFonts w:hint="eastAsia" w:ascii="宋体" w:hAnsi="宋体"/>
                <w:color w:val="000000"/>
                <w:spacing w:val="-11"/>
                <w:szCs w:val="21"/>
              </w:rPr>
              <w:t xml:space="preserve">100分</w:t>
            </w:r>
            <w:r/>
          </w:p>
        </w:tc>
      </w:tr>
    </w:tbl>
    <w:p>
      <w:pPr>
        <w:pStyle w:val="1182"/>
        <w:jc w:val="center"/>
        <w:rPr>
          <w:rFonts w:hint="eastAsia" w:ascii="宋体" w:hAnsi="宋体"/>
          <w:b/>
          <w:color w:val="000000"/>
          <w:sz w:val="36"/>
          <w:szCs w:val="36"/>
        </w:rPr>
      </w:pPr>
      <w:r>
        <w:rPr>
          <w:rFonts w:hint="eastAsia" w:ascii="宋体" w:hAnsi="宋体"/>
          <w:b/>
          <w:color w:val="000000"/>
          <w:sz w:val="36"/>
          <w:szCs w:val="36"/>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107"/>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1107"/>
        <w:rPr>
          <w:rFonts w:ascii="黑体" w:eastAsia="黑体"/>
          <w:bCs/>
          <w:color w:val="000000"/>
          <w:sz w:val="44"/>
        </w:rPr>
      </w:pPr>
      <w:r>
        <w:rPr>
          <w:rFonts w:ascii="黑体" w:eastAsia="黑体"/>
          <w:bCs/>
          <w:color w:val="000000"/>
          <w:sz w:val="44"/>
        </w:rPr>
      </w:r>
      <w:r/>
    </w:p>
    <w:p>
      <w:pPr>
        <w:pStyle w:val="1107"/>
        <w:rPr>
          <w:rFonts w:hint="eastAsia" w:ascii="黑体" w:eastAsia="黑体"/>
          <w:bCs/>
          <w:color w:val="000000"/>
          <w:sz w:val="44"/>
        </w:rPr>
      </w:pPr>
      <w:r>
        <w:rPr>
          <w:rFonts w:hint="eastAsia" w:ascii="黑体" w:eastAsia="黑体"/>
          <w:bCs/>
          <w:color w:val="000000"/>
          <w:sz w:val="44"/>
        </w:rPr>
        <w:t xml:space="preserve">第六章  投标</w:t>
      </w:r>
      <w:bookmarkEnd w:id="188"/>
      <w:r/>
      <w:bookmarkEnd w:id="189"/>
      <w:r/>
      <w:bookmarkEnd w:id="199"/>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02" w:name="_Hlt26955039"/>
      <w:r/>
      <w:bookmarkEnd w:id="202"/>
      <w:r/>
      <w:bookmarkStart w:id="203" w:name="_Hlt26671244"/>
      <w:r/>
      <w:bookmarkEnd w:id="203"/>
      <w:r/>
      <w:bookmarkStart w:id="204" w:name="_Toc26554094"/>
      <w:r/>
      <w:bookmarkStart w:id="205" w:name="_Toc120614282"/>
      <w:r/>
      <w:bookmarkStart w:id="206"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color w:val="000000"/>
          <w:sz w:val="24"/>
        </w:rPr>
      </w:pPr>
      <w:r>
        <w:rPr>
          <w:rFonts w:hint="eastAsia" w:ascii="宋体" w:hAnsi="宋体"/>
          <w:b/>
          <w:color w:val="000000"/>
          <w:sz w:val="24"/>
        </w:rPr>
        <w:t xml:space="preserve">一、基本目录</w:t>
      </w:r>
      <w:r/>
    </w:p>
    <w:p>
      <w:pPr>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5.****（格式</w:t>
      </w:r>
      <w:r>
        <w:rPr>
          <w:rFonts w:ascii="宋体" w:hAnsi="宋体"/>
          <w:color w:val="000000"/>
          <w:sz w:val="24"/>
        </w:rPr>
        <w:t xml:space="preserve">见附件</w:t>
      </w:r>
      <w:r>
        <w:rPr>
          <w:rFonts w:hint="eastAsia" w:ascii="宋体" w:hAnsi="宋体"/>
          <w:color w:val="000000"/>
          <w:sz w:val="24"/>
        </w:rPr>
        <w:t xml:space="preserve">**）</w:t>
      </w:r>
      <w:r/>
    </w:p>
    <w:p>
      <w:pPr>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p>
    <w:p>
      <w:pPr>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p>
    <w:p>
      <w:pPr>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p>
    <w:p>
      <w:pPr>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p>
    <w:p>
      <w:pPr>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p>
    <w:p>
      <w:pPr>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w:t>
      </w:r>
      <w:r>
        <w:rPr>
          <w:rFonts w:hint="eastAsia" w:ascii="宋体" w:hAnsi="宋体"/>
          <w:color w:val="000000"/>
          <w:sz w:val="24"/>
          <w:lang w:val="en-US" w:eastAsia="zh-CN"/>
        </w:rPr>
        <w:t xml:space="preserve">无</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p>
    <w:p>
      <w:pPr>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供相关材料，否则作无效投标处理；6、10、11条如招标文件要求必须提供相关材料而未提供的，作无效投标处理。</w:t>
      </w:r>
      <w:r/>
    </w:p>
    <w:p>
      <w:pPr>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rPr>
          <w:rFonts w:ascii="宋体" w:hAnsi="宋体"/>
          <w:b/>
          <w:color w:val="000000"/>
          <w:sz w:val="24"/>
          <w:szCs w:val="24"/>
        </w:rPr>
      </w:pPr>
      <w:r>
        <w:rPr>
          <w:rFonts w:ascii="宋体" w:hAnsi="宋体"/>
          <w:b/>
          <w:color w:val="000000"/>
          <w:sz w:val="24"/>
          <w:szCs w:val="24"/>
        </w:rPr>
      </w:r>
      <w:r/>
    </w:p>
    <w:p>
      <w:pPr>
        <w:rPr>
          <w:rFonts w:hint="eastAsia"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p>
    <w:tbl>
      <w:tblPr>
        <w:tblStyle w:val="9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 </w:t>
            </w:r>
            <w:r>
              <w:rPr>
                <w:rFonts w:hint="eastAsia" w:ascii="宋体" w:hAnsi="宋体"/>
                <w:color w:val="000000"/>
              </w:rPr>
              <w:t xml:space="preserve">(</w:t>
            </w:r>
            <w:r>
              <w:rPr>
                <w:rFonts w:hint="eastAsia" w:ascii="宋体" w:hAnsi="宋体"/>
                <w:color w:val="000000"/>
                <w:lang w:val="en-US" w:eastAsia="zh-CN"/>
              </w:rPr>
              <w:t xml:space="preserve">24</w:t>
            </w:r>
            <w:r>
              <w:rPr>
                <w:rFonts w:hint="eastAsia" w:ascii="宋体" w:hAnsi="宋体"/>
                <w:color w:val="000000"/>
              </w:rPr>
              <w:t xml:space="preserve">个月)</w:t>
            </w:r>
            <w:r/>
          </w:p>
        </w:tc>
      </w:tr>
      <w:tr>
        <w:trPr>
          <w:cantSplit/>
          <w:trHeight w:val="612"/>
        </w:trPr>
        <w:tc>
          <w:tcPr>
            <w:tcW w:w="8206" w:type="dxa"/>
            <w:vAlign w:val="center"/>
            <w:textDirection w:val="lrTb"/>
            <w:noWrap w:val="false"/>
          </w:tcPr>
          <w:p>
            <w:pPr>
              <w:pStyle w:val="118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p>
        </w:tc>
      </w:tr>
    </w:tbl>
    <w:p>
      <w:pPr>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附件2 投标分项报价表（采购包号：**）</w:t>
      </w:r>
      <w:r/>
    </w:p>
    <w:tbl>
      <w:tblPr>
        <w:tblStyle w:val="936"/>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6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0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48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177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48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77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26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08"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6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eastAsia="宋体"/>
                <w:color w:val="000000"/>
                <w:sz w:val="24"/>
                <w:szCs w:val="24"/>
                <w:u w:val="single"/>
                <w:lang w:val="en-US" w:eastAsia="zh-CN"/>
              </w:rPr>
            </w:pPr>
            <w:r>
              <w:rPr>
                <w:rFonts w:hint="eastAsia" w:ascii="宋体" w:hAnsi="宋体"/>
                <w:color w:val="000000"/>
                <w:sz w:val="24"/>
                <w:szCs w:val="24"/>
              </w:rPr>
              <w:t xml:space="preserve">投标总报价（人民币：元）</w:t>
            </w:r>
            <w:r>
              <w:rPr>
                <w:rFonts w:hint="eastAsia" w:ascii="宋体" w:hAnsi="宋体"/>
                <w:color w:val="000000"/>
                <w:sz w:val="24"/>
                <w:szCs w:val="24"/>
                <w:u w:val="single"/>
                <w:lang w:val="en-US" w:eastAsia="zh-CN"/>
              </w:rPr>
              <w:t xml:space="preserve">                          </w:t>
            </w:r>
            <w:r/>
          </w:p>
        </w:tc>
      </w:tr>
    </w:tbl>
    <w:p>
      <w:pPr>
        <w:spacing w:line="0" w:lineRule="atLeast"/>
        <w:rPr>
          <w:rFonts w:ascii="宋体" w:hAnsi="宋体"/>
          <w:color w:val="000000"/>
          <w:sz w:val="24"/>
          <w:szCs w:val="24"/>
        </w:rPr>
      </w:pPr>
      <w:r>
        <w:rPr>
          <w:rFonts w:hint="eastAsia" w:ascii="宋体" w:hAnsi="宋体"/>
          <w:color w:val="000000"/>
          <w:sz w:val="24"/>
          <w:szCs w:val="24"/>
        </w:rPr>
        <w:t xml:space="preserve">备注：</w:t>
      </w:r>
      <w:r/>
    </w:p>
    <w:p>
      <w:pPr>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lang w:eastAsia="zh-CN"/>
        </w:rPr>
        <w:t xml:space="preserve">数额为各“分项总价”之和。</w:t>
      </w:r>
      <w:r/>
    </w:p>
    <w:p>
      <w:pPr>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p>
    <w:p>
      <w:pPr>
        <w:spacing w:line="0" w:lineRule="atLeast"/>
        <w:rPr>
          <w:rFonts w:ascii="宋体" w:hAnsi="宋体"/>
          <w:color w:val="000000"/>
          <w:sz w:val="24"/>
          <w:szCs w:val="24"/>
        </w:rPr>
      </w:pPr>
      <w:r>
        <w:rPr>
          <w:rFonts w:ascii="宋体" w:hAnsi="宋体"/>
          <w:color w:val="000000"/>
          <w:sz w:val="24"/>
          <w:szCs w:val="24"/>
        </w:rPr>
      </w:r>
      <w:r/>
    </w:p>
    <w:p>
      <w:pPr>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p>
    <w:tbl>
      <w:tblPr>
        <w:tblStyle w:val="936"/>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总价1</w:t>
            </w:r>
            <w:r/>
          </w:p>
        </w:tc>
        <w:tc>
          <w:tcPr>
            <w:tcW w:w="287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人员工资</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p>
        </w:tc>
        <w:tc>
          <w:tcPr>
            <w:tcW w:w="287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p>
        </w:tc>
        <w:tc>
          <w:tcPr>
            <w:tcW w:w="723" w:type="dxa"/>
            <w:vAlign w:val="center"/>
            <w:textDirection w:val="lrTb"/>
            <w:noWrap w:val="false"/>
          </w:tcPr>
          <w:p>
            <w:pPr>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6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23" w:type="dxa"/>
            <w:vAlign w:val="top"/>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3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879" w:type="dxa"/>
            <w:vAlign w:val="center"/>
            <w:textDirection w:val="lrTb"/>
            <w:noWrap w:val="false"/>
          </w:tcPr>
          <w:p>
            <w:pPr>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p>
        </w:tc>
        <w:tc>
          <w:tcPr>
            <w:tcW w:w="723" w:type="dxa"/>
            <w:vAlign w:val="center"/>
            <w:textDirection w:val="lrTb"/>
            <w:noWrap w:val="false"/>
          </w:tcPr>
          <w:p>
            <w:pPr>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6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23" w:type="dxa"/>
            <w:vAlign w:val="top"/>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3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879" w:type="dxa"/>
            <w:vAlign w:val="center"/>
            <w:textDirection w:val="lrTb"/>
            <w:noWrap w:val="false"/>
          </w:tcPr>
          <w:p>
            <w:pPr>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723" w:type="dxa"/>
            <w:vAlign w:val="center"/>
            <w:textDirection w:val="lrTb"/>
            <w:noWrap w:val="false"/>
          </w:tcPr>
          <w:p>
            <w:pPr>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6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23" w:type="dxa"/>
            <w:vAlign w:val="top"/>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3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879" w:type="dxa"/>
            <w:vAlign w:val="center"/>
            <w:textDirection w:val="lrTb"/>
            <w:noWrap w:val="false"/>
          </w:tcPr>
          <w:p>
            <w:pPr>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分项总价1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期 限</w:t>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总价2</w:t>
            </w:r>
            <w:r/>
          </w:p>
        </w:tc>
        <w:tc>
          <w:tcPr>
            <w:tcW w:w="287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p>
        </w:tc>
      </w:tr>
      <w:tr>
        <w:trPr>
          <w:trHeight w:val="628"/>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社会保险</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费用</w:t>
            </w:r>
            <w:r/>
          </w:p>
        </w:tc>
        <w:tc>
          <w:tcPr>
            <w:tcW w:w="72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p>
        </w:tc>
        <w:tc>
          <w:tcPr>
            <w:tcW w:w="96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p>
        </w:tc>
        <w:tc>
          <w:tcPr>
            <w:tcW w:w="2879" w:type="dxa"/>
            <w:vAlign w:val="center"/>
            <w:vMerge w:val="continue"/>
            <w:textDirection w:val="lrTb"/>
            <w:noWrap w:val="false"/>
          </w:tcPr>
          <w:p>
            <w:pPr>
              <w:jc w:val="left"/>
              <w:keepLines w:val="0"/>
              <w:keepNext w:val="0"/>
              <w:pageBreakBefore w:val="0"/>
              <w:spacing w:line="0" w:lineRule="atLeas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563"/>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7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该人员正常缴纳社会保险/</w:t>
            </w:r>
            <w:r/>
          </w:p>
          <w:p>
            <w:pPr>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i w:val="0"/>
                <w:iCs/>
                <w:color w:val="000000"/>
                <w:sz w:val="21"/>
                <w:szCs w:val="21"/>
                <w:u w:val="none"/>
              </w:rPr>
              <w:t xml:space="preserve">如该人员依法享受社会保险费用缴纳减免政策，请在此框内进行说明</w:t>
            </w:r>
            <w:r/>
          </w:p>
        </w:tc>
      </w:tr>
      <w:tr>
        <w:trPr>
          <w:trHeight w:val="261"/>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7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261"/>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7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1"/>
        </w:trPr>
        <w:tc>
          <w:tcPr>
            <w:gridSpan w:val="7"/>
            <w:tcW w:w="8964" w:type="dxa"/>
            <w:vAlign w:val="center"/>
            <w:textDirection w:val="lrTb"/>
            <w:noWrap w:val="false"/>
          </w:tcPr>
          <w:p>
            <w:pPr>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分项总价2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p>
        </w:tc>
      </w:tr>
      <w:tr>
        <w:trPr>
          <w:trHeight w:val="261"/>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总价3</w:t>
            </w:r>
            <w:r/>
          </w:p>
        </w:tc>
        <w:tc>
          <w:tcPr>
            <w:tcW w:w="287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p>
        </w:tc>
      </w:tr>
      <w:tr>
        <w:trPr>
          <w:trHeight w:val="261"/>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住房公积金</w:t>
            </w:r>
            <w:r/>
          </w:p>
        </w:tc>
        <w:tc>
          <w:tcPr>
            <w:tcW w:w="72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p>
        </w:tc>
        <w:tc>
          <w:tcPr>
            <w:tcW w:w="966"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p>
        </w:tc>
        <w:tc>
          <w:tcPr>
            <w:tcW w:w="11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p>
        </w:tc>
        <w:tc>
          <w:tcPr>
            <w:tcW w:w="287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23" w:type="dxa"/>
            <w:vAlign w:val="top"/>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7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该人员正常</w:t>
            </w:r>
            <w:r>
              <w:rPr>
                <w:rFonts w:hint="eastAsia" w:ascii="宋体" w:hAnsi="宋体" w:eastAsia="宋体" w:cs="宋体"/>
                <w:color w:val="000000"/>
                <w:sz w:val="21"/>
                <w:szCs w:val="21"/>
                <w:lang w:eastAsia="zh-CN"/>
              </w:rPr>
              <w:t xml:space="preserve">缴存</w:t>
            </w:r>
            <w:r>
              <w:rPr>
                <w:rFonts w:hint="eastAsia" w:ascii="宋体" w:hAnsi="宋体" w:eastAsia="宋体" w:cs="宋体"/>
                <w:color w:val="000000"/>
                <w:sz w:val="21"/>
                <w:szCs w:val="21"/>
              </w:rPr>
              <w:t xml:space="preserve">住房公积金/</w:t>
            </w:r>
            <w:r/>
          </w:p>
          <w:p>
            <w:pPr>
              <w:jc w:val="left"/>
              <w:keepLines w:val="0"/>
              <w:keepNext w:val="0"/>
              <w:pageBreakBefore w:val="0"/>
              <w:spacing w:line="0" w:lineRule="atLeast"/>
              <w:rPr>
                <w:rFonts w:hint="eastAsia" w:ascii="宋体" w:hAnsi="宋体" w:eastAsia="宋体" w:cs="宋体"/>
                <w:i/>
                <w:color w:val="000000"/>
                <w:sz w:val="21"/>
                <w:szCs w:val="21"/>
                <w:u w:val="single"/>
              </w:rPr>
            </w:pPr>
            <w:r>
              <w:rPr>
                <w:rFonts w:hint="eastAsia" w:ascii="宋体" w:hAnsi="宋体" w:eastAsia="宋体" w:cs="宋体"/>
                <w:i w:val="0"/>
                <w:iCs/>
                <w:color w:val="000000"/>
                <w:sz w:val="21"/>
                <w:szCs w:val="21"/>
                <w:u w:val="none"/>
              </w:rPr>
              <w:t xml:space="preserve">如该人员依法享受住房公积金</w:t>
            </w:r>
            <w:r>
              <w:rPr>
                <w:rFonts w:hint="eastAsia" w:ascii="宋体" w:hAnsi="宋体" w:eastAsia="宋体" w:cs="宋体"/>
                <w:i w:val="0"/>
                <w:iCs/>
                <w:color w:val="000000"/>
                <w:sz w:val="21"/>
                <w:szCs w:val="21"/>
                <w:u w:val="none"/>
                <w:lang w:eastAsia="zh-CN"/>
              </w:rPr>
              <w:t xml:space="preserve">缴存</w:t>
            </w:r>
            <w:r>
              <w:rPr>
                <w:rFonts w:hint="eastAsia" w:ascii="宋体" w:hAnsi="宋体" w:eastAsia="宋体" w:cs="宋体"/>
                <w:i w:val="0"/>
                <w:iCs/>
                <w:color w:val="000000"/>
                <w:sz w:val="21"/>
                <w:szCs w:val="21"/>
                <w:u w:val="none"/>
              </w:rPr>
              <w:t xml:space="preserve">减免政策，请在此框内进行说明</w:t>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23" w:type="dxa"/>
            <w:vAlign w:val="top"/>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7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61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72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23" w:type="dxa"/>
            <w:vAlign w:val="top"/>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7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分项总价3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p>
        </w:tc>
      </w:tr>
    </w:tbl>
    <w:p>
      <w:pP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keepLines w:val="0"/>
        <w:keepNext w:val="0"/>
        <w:pageBreakBefore w:val="0"/>
        <w:spacing w:line="0" w:lineRule="atLeas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p>
    <w:p>
      <w:pPr>
        <w:keepLines w:val="0"/>
        <w:keepNext w:val="0"/>
        <w:pageBreakBefore w:val="0"/>
        <w:spacing w:line="0" w:lineRule="atLeast"/>
        <w:rPr>
          <w:rFonts w:hint="eastAsia" w:ascii="宋体" w:hAnsi="宋体" w:eastAsia="宋体" w:cs="宋体"/>
          <w:i/>
          <w:iCs w:val="0"/>
          <w:color w:val="000000"/>
          <w:sz w:val="24"/>
          <w:szCs w:val="24"/>
          <w:u w:val="single"/>
        </w:rPr>
      </w:pPr>
      <w:r>
        <w:rPr>
          <w:rFonts w:hint="eastAsia" w:ascii="宋体" w:hAnsi="宋体" w:eastAsia="宋体" w:cs="宋体"/>
          <w:i/>
          <w:iCs w:val="0"/>
          <w:color w:val="000000"/>
          <w:sz w:val="24"/>
          <w:szCs w:val="24"/>
          <w:u w:val="single"/>
        </w:rPr>
        <w:t xml:space="preserve">2.供应商在投标（响应）文件中响应的拟投入本项目的服务人员不得是全日制在校学生。</w:t>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Style w:val="9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Style w:val="9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hint="eastAsia" w:ascii="宋体" w:hAnsi="宋体"/>
          <w:b/>
          <w:color w:val="000000"/>
          <w:sz w:val="24"/>
        </w:rPr>
      </w:pPr>
      <w:r>
        <w:rPr>
          <w:rFonts w:hint="eastAsia" w:ascii="宋体" w:hAnsi="宋体"/>
          <w:b/>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182"/>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p>
    <w:p>
      <w:pPr>
        <w:pStyle w:val="1182"/>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p>
    <w:p>
      <w:pPr>
        <w:pStyle w:val="118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118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18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18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18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18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1182"/>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p>
    <w:p>
      <w:pPr>
        <w:pStyle w:val="1182"/>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bookmarkEnd w:id="204"/>
      <w:bookmarkEnd w:id="205"/>
      <w:bookmarkEnd w:id="206"/>
      <w:r/>
    </w:p>
    <w:p>
      <w:pPr>
        <w:spacing w:line="460" w:lineRule="exact"/>
        <w:rPr>
          <w:rFonts w:hint="eastAsia" w:ascii="黑体" w:hAnsi="黑体" w:eastAsia="黑体"/>
          <w:b/>
          <w:color w:val="000000"/>
          <w:sz w:val="32"/>
          <w:szCs w:val="32"/>
        </w:rPr>
      </w:pPr>
      <w:r/>
      <w:bookmarkStart w:id="207" w:name="_Toc120614284"/>
      <w:r/>
      <w:r/>
    </w:p>
    <w:p>
      <w:pPr>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p>
    <w:p>
      <w:pPr>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项目（采购包号：**）采购活动由本单位提供服务。</w:t>
      </w:r>
      <w:r/>
    </w:p>
    <w:p>
      <w:pPr>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0" w:lineRule="atLeast"/>
        <w:rPr>
          <w:rFonts w:hint="eastAsia" w:ascii="宋体" w:hAnsi="宋体"/>
          <w:color w:val="000000"/>
          <w:sz w:val="24"/>
        </w:rPr>
      </w:pPr>
      <w:r>
        <w:rPr>
          <w:rFonts w:hint="eastAsia" w:ascii="宋体" w:hAnsi="宋体"/>
          <w:color w:val="000000"/>
          <w:sz w:val="24"/>
        </w:rPr>
      </w:r>
      <w:r/>
    </w:p>
    <w:p>
      <w:pPr>
        <w:ind w:firstLine="480"/>
        <w:spacing w:line="0" w:lineRule="atLeast"/>
        <w:rPr>
          <w:rFonts w:ascii="宋体" w:hAnsi="宋体"/>
          <w:color w:val="000000"/>
          <w:sz w:val="24"/>
        </w:rPr>
      </w:pPr>
      <w:r>
        <w:rPr>
          <w:rFonts w:hint="eastAsia" w:ascii="宋体" w:hAnsi="宋体"/>
          <w:color w:val="000000"/>
          <w:sz w:val="24"/>
        </w:rPr>
        <w:t xml:space="preserve">备注：</w:t>
      </w:r>
      <w:r/>
    </w:p>
    <w:p>
      <w:pPr>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p>
    <w:p>
      <w:pPr>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p>
    <w:p>
      <w:pPr>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p>
    <w:p>
      <w:pPr>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项目（采购包号：**）的政府采购活动，我联合体指定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0" w:lineRule="atLeast"/>
        <w:rPr>
          <w:rFonts w:hint="eastAsia" w:ascii="宋体" w:hAnsi="宋体"/>
          <w:color w:val="000000"/>
          <w:sz w:val="24"/>
        </w:rPr>
      </w:pPr>
      <w:r>
        <w:rPr>
          <w:rFonts w:hint="eastAsia" w:ascii="宋体" w:hAnsi="宋体"/>
          <w:color w:val="000000"/>
          <w:sz w:val="24"/>
        </w:rPr>
      </w:r>
      <w:r/>
    </w:p>
    <w:p>
      <w:pPr>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rPr>
      </w:pPr>
      <w:r>
        <w:rPr>
          <w:rFonts w:hint="eastAsia" w:ascii="宋体" w:hAnsi="宋体"/>
          <w:color w:val="000000"/>
          <w:sz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Style w:val="9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rPr>
          <w:rFonts w:hint="eastAsia"/>
          <w:color w:val="000000"/>
        </w:rPr>
      </w:pPr>
      <w:r>
        <w:rPr>
          <w:rFonts w:hint="eastAsia"/>
          <w:color w:val="000000"/>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bookmarkEnd w:id="186"/>
      <w:bookmarkEnd w:id="187"/>
      <w:bookmarkEnd w:id="207"/>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111"/>
        <w:rPr>
          <w:rFonts w:hint="eastAsia"/>
          <w:color w:val="000000"/>
          <w:sz w:val="24"/>
          <w:szCs w:val="24"/>
        </w:rPr>
      </w:pPr>
      <w:r>
        <w:rPr>
          <w:rFonts w:hint="eastAsia"/>
          <w:color w:val="000000"/>
          <w:sz w:val="24"/>
          <w:szCs w:val="24"/>
        </w:rPr>
      </w:r>
      <w:r/>
    </w:p>
    <w:p>
      <w:pPr>
        <w:pStyle w:val="1111"/>
        <w:rPr>
          <w:color w:val="000000"/>
          <w:sz w:val="24"/>
          <w:szCs w:val="24"/>
        </w:rPr>
      </w:pPr>
      <w:r>
        <w:rPr>
          <w:color w:val="000000"/>
          <w:sz w:val="24"/>
          <w:szCs w:val="24"/>
        </w:rPr>
      </w:r>
      <w:r/>
    </w:p>
    <w:sectPr>
      <w:footerReference w:type="default" r:id="rId15"/>
      <w:footerReference w:type="first" r:id="rId16"/>
      <w:footnotePr/>
      <w:endnotePr/>
      <w:type w:val="nextPage"/>
      <w:pgSz w:w="11906" w:h="16838" w:orient="portrait"/>
      <w:pgMar w:top="1418" w:right="1588" w:bottom="1418" w:left="1365" w:header="851" w:footer="907" w:gutter="0"/>
      <w:pgNumType w:start="57"/>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78"/>
      </w:rPr>
      <w:framePr w:wrap="around" w:vAnchor="text" w:hAnchor="margin" w:xAlign="center" w:y="1"/>
    </w:pPr>
    <w:r>
      <w:fldChar w:fldCharType="begin"/>
    </w:r>
    <w:r>
      <w:rPr>
        <w:rStyle w:val="1178"/>
      </w:rPr>
      <w:instrText xml:space="preserve">PAGE  </w:instrText>
    </w:r>
    <w:r>
      <w:fldChar w:fldCharType="separate"/>
    </w:r>
    <w:r>
      <w:rPr>
        <w:rStyle w:val="1178"/>
      </w:rPr>
      <w:t xml:space="preserve">1</w:t>
    </w:r>
    <w:r>
      <w:fldChar w:fldCharType="end"/>
    </w:r>
    <w:r/>
  </w:p>
  <w:p>
    <w:pPr>
      <w:pStyle w:val="11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Fonts w:hint="eastAsia"/>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rPr>
                              <w:rFonts w:eastAsia="宋体"/>
                              <w:lang w:val="en-US" w:eastAsia="zh-CN"/>
                            </w:rPr>
                          </w:pPr>
                          <w:r>
                            <w:rPr>
                              <w:rFonts w:hint="eastAsia"/>
                              <w:lang w:val="en-US" w:eastAsia="zh-CN"/>
                            </w:rPr>
                            <w:t xml:space="preserve">23</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rPr>
                        <w:rFonts w:eastAsia="宋体"/>
                        <w:lang w:val="en-US" w:eastAsia="zh-CN"/>
                      </w:rPr>
                    </w:pPr>
                    <w:r>
                      <w:rPr>
                        <w:rFonts w:hint="eastAsia"/>
                        <w:lang w:val="en-US" w:eastAsia="zh-CN"/>
                      </w:rPr>
                      <w:t xml:space="preserve">23</w:t>
                    </w:r>
                    <w:r/>
                  </w:p>
                  <w:p>
                    <w:r/>
                    <w:r/>
                  </w:p>
                </w:txbxContent>
              </v:textbox>
            </v:shape>
          </w:pict>
        </mc:Fallback>
      </mc:AlternateContent>
    </w:r>
    <w:r/>
  </w:p>
  <w:p>
    <w:pPr>
      <w:pStyle w:val="1153"/>
      <w:rPr>
        <w:lang w:val="en-US" w:eastAsia="zh-CN"/>
      </w:rPr>
    </w:pPr>
    <w:r>
      <w:rPr>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476"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rPr>
                              <w:rFonts w:eastAsia="宋体"/>
                              <w:lang w:val="en-US" w:eastAsia="zh-CN"/>
                            </w:rPr>
                          </w:pPr>
                          <w:r>
                            <w:rPr>
                              <w:rFonts w:eastAsia="宋体"/>
                              <w:lang w:val="en-US" w:eastAsia="zh-CN"/>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rPr>
                        <w:rFonts w:eastAsia="宋体"/>
                        <w:lang w:val="en-US" w:eastAsia="zh-CN"/>
                      </w:rPr>
                    </w:pPr>
                    <w:r>
                      <w:rPr>
                        <w:rFonts w:eastAsia="宋体"/>
                        <w:lang w:val="en-US" w:eastAsia="zh-CN"/>
                      </w:r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476"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rPr>
                              <w:rFonts w:eastAsia="宋体"/>
                              <w:lang w:val="en-US" w:eastAsia="zh-CN"/>
                            </w:rPr>
                          </w:pPr>
                          <w:r>
                            <w:rPr>
                              <w:rFonts w:eastAsia="宋体"/>
                              <w:lang w:val="en-US" w:eastAsia="zh-CN"/>
                            </w:rPr>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rPr>
                        <w:rFonts w:eastAsia="宋体"/>
                        <w:lang w:val="en-US" w:eastAsia="zh-CN"/>
                      </w:rPr>
                    </w:pPr>
                    <w:r>
                      <w:rPr>
                        <w:rFonts w:eastAsia="宋体"/>
                        <w:lang w:val="en-US" w:eastAsia="zh-CN"/>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3"/>
      <w:isLgl w:val="false"/>
      <w:suff w:val="nothing"/>
      <w:lvlText w:val=""/>
      <w:lvlJc w:val="left"/>
      <w:pPr>
        <w:ind w:left="0" w:firstLine="0"/>
      </w:pPr>
      <w:rPr>
        <w:rFonts w:hint="eastAsia"/>
      </w:rPr>
    </w:lvl>
    <w:lvl w:ilvl="6">
      <w:start w:val="1"/>
      <w:numFmt w:val="decimal"/>
      <w:pStyle w:val="1114"/>
      <w:isLgl w:val="false"/>
      <w:suff w:val="nothing"/>
      <w:lvlText w:val=""/>
      <w:lvlJc w:val="left"/>
      <w:pPr>
        <w:ind w:left="0" w:firstLine="0"/>
      </w:pPr>
      <w:rPr>
        <w:rFonts w:hint="eastAsia"/>
      </w:rPr>
    </w:lvl>
    <w:lvl w:ilvl="7">
      <w:start w:val="1"/>
      <w:numFmt w:val="decimal"/>
      <w:pStyle w:val="1115"/>
      <w:isLgl w:val="false"/>
      <w:suff w:val="nothing"/>
      <w:lvlText w:val=""/>
      <w:lvlJc w:val="left"/>
      <w:pPr>
        <w:ind w:left="0" w:firstLine="0"/>
      </w:pPr>
      <w:rPr>
        <w:rFonts w:hint="eastAsia"/>
      </w:rPr>
    </w:lvl>
    <w:lvl w:ilvl="8">
      <w:start w:val="1"/>
      <w:numFmt w:val="decimal"/>
      <w:pStyle w:val="1116"/>
      <w:isLgl w:val="false"/>
      <w:suff w:val="nothing"/>
      <w:lvlText w:val=""/>
      <w:lvlJc w:val="left"/>
      <w:pPr>
        <w:ind w:left="0" w:firstLine="0"/>
      </w:pPr>
      <w:rPr>
        <w:rFonts w:hint="eastAsia"/>
      </w:rPr>
    </w:lvl>
  </w:abstractNum>
  <w:abstractNum w:abstractNumId="4">
    <w:multiLevelType w:val="hybridMultilevel"/>
    <w:lvl w:ilvl="0">
      <w:start w:val="1"/>
      <w:numFmt w:val="bullet"/>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EnclosedCircle"/>
      <w:isLgl w:val="false"/>
      <w:suff w:val="tab"/>
      <w:lvlText w:val="%1"/>
      <w:lvlJc w:val="left"/>
      <w:pPr>
        <w:ind w:left="1740" w:hanging="420"/>
      </w:pPr>
      <w:rPr>
        <w:rFonts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89"/>
    <w:uiPriority w:val="0"/>
    <w:pPr>
      <w:jc w:val="both"/>
      <w:widowControl w:val="off"/>
    </w:pPr>
    <w:rPr>
      <w:rFonts w:hint="default" w:ascii="Times New Roman" w:hAnsi="Times New Roman" w:eastAsia="宋体" w:cs="Times New Roman"/>
      <w:sz w:val="21"/>
      <w:szCs w:val="21"/>
      <w:lang w:val="en-US" w:eastAsia="zh-CN" w:bidi="ar-SA"/>
    </w:rPr>
  </w:style>
  <w:style w:type="paragraph" w:styleId="926">
    <w:name w:val="Heading 1"/>
    <w:basedOn w:val="925"/>
    <w:next w:val="925"/>
    <w:link w:val="959"/>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60"/>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61"/>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962"/>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963"/>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964"/>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66"/>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967"/>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9">
    <w:name w:val="toc 5"/>
    <w:basedOn w:val="925"/>
    <w:next w:val="925"/>
    <w:uiPriority w:val="39"/>
    <w:unhideWhenUsed/>
    <w:qFormat/>
    <w:pPr>
      <w:ind w:left="1134" w:right="0" w:firstLine="0"/>
      <w:spacing w:after="57"/>
    </w:pPr>
  </w:style>
  <w:style w:type="paragraph" w:styleId="940">
    <w:name w:val="toc 3"/>
    <w:basedOn w:val="925"/>
    <w:next w:val="925"/>
    <w:uiPriority w:val="39"/>
    <w:unhideWhenUsed/>
    <w:qFormat/>
    <w:pPr>
      <w:ind w:left="567" w:right="0" w:firstLine="0"/>
      <w:spacing w:after="57"/>
    </w:pPr>
  </w:style>
  <w:style w:type="paragraph" w:styleId="941">
    <w:name w:val="toc 8"/>
    <w:basedOn w:val="925"/>
    <w:next w:val="925"/>
    <w:uiPriority w:val="39"/>
    <w:unhideWhenUsed/>
    <w:qFormat/>
    <w:pPr>
      <w:ind w:left="1984" w:right="0" w:firstLine="0"/>
      <w:spacing w:after="57"/>
    </w:pPr>
  </w:style>
  <w:style w:type="paragraph" w:styleId="942">
    <w:name w:val="endnote text"/>
    <w:basedOn w:val="925"/>
    <w:link w:val="1105"/>
    <w:uiPriority w:val="99"/>
    <w:semiHidden/>
    <w:unhideWhenUsed/>
    <w:qFormat/>
    <w:pPr>
      <w:spacing w:after="0" w:line="240" w:lineRule="auto"/>
    </w:pPr>
    <w:rPr>
      <w:sz w:val="20"/>
    </w:rPr>
  </w:style>
  <w:style w:type="paragraph" w:styleId="943">
    <w:name w:val="Footer"/>
    <w:basedOn w:val="925"/>
    <w:link w:val="978"/>
    <w:uiPriority w:val="99"/>
    <w:unhideWhenUsed/>
    <w:qFormat/>
    <w:pPr>
      <w:spacing w:after="0" w:line="240" w:lineRule="auto"/>
      <w:tabs>
        <w:tab w:val="center" w:pos="7143" w:leader="none"/>
        <w:tab w:val="right" w:pos="14287" w:leader="none"/>
      </w:tabs>
    </w:pPr>
  </w:style>
  <w:style w:type="paragraph" w:styleId="944">
    <w:name w:val="Header"/>
    <w:basedOn w:val="925"/>
    <w:link w:val="976"/>
    <w:uiPriority w:val="99"/>
    <w:unhideWhenUsed/>
    <w:qFormat/>
    <w:pPr>
      <w:spacing w:after="0" w:line="240" w:lineRule="auto"/>
      <w:tabs>
        <w:tab w:val="center" w:pos="7143" w:leader="none"/>
        <w:tab w:val="right" w:pos="14287" w:leader="none"/>
      </w:tabs>
    </w:pPr>
  </w:style>
  <w:style w:type="paragraph" w:styleId="945">
    <w:name w:val="toc 1"/>
    <w:basedOn w:val="925"/>
    <w:next w:val="925"/>
    <w:uiPriority w:val="39"/>
    <w:unhideWhenUsed/>
    <w:qFormat/>
    <w:pPr>
      <w:ind w:left="0" w:right="0" w:firstLine="0"/>
      <w:spacing w:after="57"/>
    </w:pPr>
  </w:style>
  <w:style w:type="paragraph" w:styleId="946">
    <w:name w:val="toc 4"/>
    <w:basedOn w:val="925"/>
    <w:next w:val="925"/>
    <w:uiPriority w:val="39"/>
    <w:unhideWhenUsed/>
    <w:qFormat/>
    <w:pPr>
      <w:ind w:left="850" w:right="0" w:firstLine="0"/>
      <w:spacing w:after="57"/>
    </w:pPr>
  </w:style>
  <w:style w:type="paragraph" w:styleId="947">
    <w:name w:val="Subtitle"/>
    <w:basedOn w:val="925"/>
    <w:next w:val="925"/>
    <w:link w:val="971"/>
    <w:uiPriority w:val="11"/>
    <w:qFormat/>
    <w:pPr>
      <w:spacing w:before="200" w:after="200"/>
    </w:pPr>
    <w:rPr>
      <w:sz w:val="24"/>
      <w:szCs w:val="24"/>
    </w:rPr>
  </w:style>
  <w:style w:type="paragraph" w:styleId="948">
    <w:name w:val="footnote text"/>
    <w:basedOn w:val="925"/>
    <w:link w:val="1104"/>
    <w:uiPriority w:val="99"/>
    <w:semiHidden/>
    <w:unhideWhenUsed/>
    <w:qFormat/>
    <w:pPr>
      <w:spacing w:after="40" w:line="240" w:lineRule="auto"/>
    </w:pPr>
    <w:rPr>
      <w:sz w:val="18"/>
    </w:rPr>
  </w:style>
  <w:style w:type="paragraph" w:styleId="949">
    <w:name w:val="toc 6"/>
    <w:basedOn w:val="925"/>
    <w:next w:val="925"/>
    <w:uiPriority w:val="39"/>
    <w:unhideWhenUsed/>
    <w:qFormat/>
    <w:pPr>
      <w:ind w:left="1417" w:right="0" w:firstLine="0"/>
      <w:spacing w:after="57"/>
    </w:pPr>
  </w:style>
  <w:style w:type="paragraph" w:styleId="950">
    <w:name w:val="table of figures"/>
    <w:basedOn w:val="925"/>
    <w:next w:val="925"/>
    <w:uiPriority w:val="99"/>
    <w:unhideWhenUsed/>
    <w:qFormat/>
    <w:pPr>
      <w:spacing w:after="0" w:afterAutospacing="0"/>
    </w:pPr>
  </w:style>
  <w:style w:type="paragraph" w:styleId="951">
    <w:name w:val="toc 2"/>
    <w:basedOn w:val="925"/>
    <w:next w:val="925"/>
    <w:uiPriority w:val="39"/>
    <w:unhideWhenUsed/>
    <w:qFormat/>
    <w:pPr>
      <w:ind w:left="283" w:right="0" w:firstLine="0"/>
      <w:spacing w:after="57"/>
    </w:pPr>
  </w:style>
  <w:style w:type="paragraph" w:styleId="952">
    <w:name w:val="toc 9"/>
    <w:basedOn w:val="925"/>
    <w:next w:val="925"/>
    <w:uiPriority w:val="39"/>
    <w:unhideWhenUsed/>
    <w:qFormat/>
    <w:pPr>
      <w:ind w:left="2268" w:right="0" w:firstLine="0"/>
      <w:spacing w:after="57"/>
    </w:pPr>
  </w:style>
  <w:style w:type="paragraph" w:styleId="953">
    <w:name w:val="Title"/>
    <w:basedOn w:val="925"/>
    <w:next w:val="925"/>
    <w:link w:val="970"/>
    <w:uiPriority w:val="10"/>
    <w:qFormat/>
    <w:pPr>
      <w:contextualSpacing/>
      <w:spacing w:before="300" w:after="200"/>
    </w:pPr>
    <w:rPr>
      <w:sz w:val="48"/>
      <w:szCs w:val="48"/>
    </w:rPr>
  </w:style>
  <w:style w:type="table" w:styleId="9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35"/>
    <w:uiPriority w:val="22"/>
    <w:qFormat/>
    <w:rPr>
      <w:b/>
    </w:rPr>
  </w:style>
  <w:style w:type="character" w:styleId="956">
    <w:name w:val="endnote reference"/>
    <w:uiPriority w:val="99"/>
    <w:semiHidden/>
    <w:unhideWhenUsed/>
    <w:qFormat/>
    <w:rPr>
      <w:vertAlign w:val="superscript"/>
    </w:rPr>
  </w:style>
  <w:style w:type="character" w:styleId="957">
    <w:name w:val="Hyperlink"/>
    <w:uiPriority w:val="99"/>
    <w:unhideWhenUsed/>
    <w:rPr>
      <w:color w:val="0000ff" w:themeColor="hyperlink"/>
      <w:u w:val="single"/>
      <w14:textFill>
        <w14:solidFill>
          <w14:schemeClr w14:val="hlink"/>
        </w14:solidFill>
      </w14:textFill>
    </w:rPr>
  </w:style>
  <w:style w:type="character" w:styleId="958">
    <w:name w:val="footnote reference"/>
    <w:uiPriority w:val="99"/>
    <w:unhideWhenUsed/>
    <w:qFormat/>
    <w:rPr>
      <w:vertAlign w:val="superscript"/>
    </w:rPr>
  </w:style>
  <w:style w:type="character" w:styleId="959" w:customStyle="1">
    <w:name w:val="Heading 1 Char"/>
    <w:link w:val="926"/>
    <w:uiPriority w:val="9"/>
    <w:qFormat/>
    <w:rPr>
      <w:rFonts w:ascii="Arial" w:hAnsi="Arial" w:eastAsia="Arial" w:cs="Arial"/>
      <w:sz w:val="40"/>
      <w:szCs w:val="40"/>
    </w:rPr>
  </w:style>
  <w:style w:type="character" w:styleId="960" w:customStyle="1">
    <w:name w:val="Heading 2 Char"/>
    <w:link w:val="927"/>
    <w:uiPriority w:val="9"/>
    <w:qFormat/>
    <w:rPr>
      <w:rFonts w:ascii="Arial" w:hAnsi="Arial" w:eastAsia="Arial" w:cs="Arial"/>
      <w:sz w:val="34"/>
    </w:rPr>
  </w:style>
  <w:style w:type="character" w:styleId="961" w:customStyle="1">
    <w:name w:val="Heading 3 Char"/>
    <w:link w:val="928"/>
    <w:uiPriority w:val="9"/>
    <w:qFormat/>
    <w:rPr>
      <w:rFonts w:ascii="Arial" w:hAnsi="Arial" w:eastAsia="Arial" w:cs="Arial"/>
      <w:sz w:val="30"/>
      <w:szCs w:val="30"/>
    </w:rPr>
  </w:style>
  <w:style w:type="character" w:styleId="962" w:customStyle="1">
    <w:name w:val="Heading 4 Char"/>
    <w:link w:val="929"/>
    <w:uiPriority w:val="9"/>
    <w:qFormat/>
    <w:rPr>
      <w:rFonts w:ascii="Arial" w:hAnsi="Arial" w:eastAsia="Arial" w:cs="Arial"/>
      <w:b/>
      <w:bCs/>
      <w:sz w:val="26"/>
      <w:szCs w:val="26"/>
    </w:rPr>
  </w:style>
  <w:style w:type="character" w:styleId="963" w:customStyle="1">
    <w:name w:val="Heading 5 Char"/>
    <w:link w:val="930"/>
    <w:uiPriority w:val="9"/>
    <w:qFormat/>
    <w:rPr>
      <w:rFonts w:ascii="Arial" w:hAnsi="Arial" w:eastAsia="Arial" w:cs="Arial"/>
      <w:b/>
      <w:bCs/>
      <w:sz w:val="24"/>
      <w:szCs w:val="24"/>
    </w:rPr>
  </w:style>
  <w:style w:type="character" w:styleId="964" w:customStyle="1">
    <w:name w:val="Heading 6 Char"/>
    <w:link w:val="931"/>
    <w:uiPriority w:val="9"/>
    <w:qFormat/>
    <w:rPr>
      <w:rFonts w:ascii="Arial" w:hAnsi="Arial" w:eastAsia="Arial" w:cs="Arial"/>
      <w:b/>
      <w:bCs/>
      <w:sz w:val="22"/>
      <w:szCs w:val="22"/>
    </w:rPr>
  </w:style>
  <w:style w:type="character" w:styleId="965" w:customStyle="1">
    <w:name w:val="Heading 7 Char"/>
    <w:link w:val="932"/>
    <w:uiPriority w:val="9"/>
    <w:qFormat/>
    <w:rPr>
      <w:rFonts w:ascii="Arial" w:hAnsi="Arial" w:eastAsia="Arial" w:cs="Arial"/>
      <w:b/>
      <w:bCs/>
      <w:i/>
      <w:iCs/>
      <w:sz w:val="22"/>
      <w:szCs w:val="22"/>
    </w:rPr>
  </w:style>
  <w:style w:type="character" w:styleId="966" w:customStyle="1">
    <w:name w:val="Heading 8 Char"/>
    <w:link w:val="933"/>
    <w:uiPriority w:val="9"/>
    <w:qFormat/>
    <w:rPr>
      <w:rFonts w:ascii="Arial" w:hAnsi="Arial" w:eastAsia="Arial" w:cs="Arial"/>
      <w:i/>
      <w:iCs/>
      <w:sz w:val="22"/>
      <w:szCs w:val="22"/>
    </w:rPr>
  </w:style>
  <w:style w:type="character" w:styleId="967" w:customStyle="1">
    <w:name w:val="Heading 9 Char"/>
    <w:link w:val="934"/>
    <w:uiPriority w:val="9"/>
    <w:qFormat/>
    <w:rPr>
      <w:rFonts w:ascii="Arial" w:hAnsi="Arial" w:eastAsia="Arial" w:cs="Arial"/>
      <w:i/>
      <w:iCs/>
      <w:sz w:val="21"/>
      <w:szCs w:val="21"/>
    </w:rPr>
  </w:style>
  <w:style w:type="paragraph" w:styleId="968">
    <w:name w:val="List Paragraph"/>
    <w:basedOn w:val="925"/>
    <w:uiPriority w:val="34"/>
    <w:qFormat/>
    <w:pPr>
      <w:contextualSpacing/>
      <w:ind w:left="720"/>
    </w:p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Title Char"/>
    <w:link w:val="953"/>
    <w:uiPriority w:val="10"/>
    <w:qFormat/>
    <w:rPr>
      <w:sz w:val="48"/>
      <w:szCs w:val="48"/>
    </w:rPr>
  </w:style>
  <w:style w:type="character" w:styleId="971" w:customStyle="1">
    <w:name w:val="Subtitle Char"/>
    <w:link w:val="947"/>
    <w:uiPriority w:val="11"/>
    <w:qFormat/>
    <w:rPr>
      <w:sz w:val="24"/>
      <w:szCs w:val="24"/>
    </w:rPr>
  </w:style>
  <w:style w:type="paragraph" w:styleId="972">
    <w:name w:val="Quote"/>
    <w:basedOn w:val="925"/>
    <w:next w:val="925"/>
    <w:link w:val="973"/>
    <w:uiPriority w:val="29"/>
    <w:qFormat/>
    <w:pPr>
      <w:ind w:left="720" w:right="720"/>
    </w:pPr>
    <w:rPr>
      <w:i/>
    </w:rPr>
  </w:style>
  <w:style w:type="character" w:styleId="973" w:customStyle="1">
    <w:name w:val="Quote Char"/>
    <w:link w:val="972"/>
    <w:uiPriority w:val="29"/>
    <w:qFormat/>
    <w:rPr>
      <w:i/>
    </w:rPr>
  </w:style>
  <w:style w:type="paragraph" w:styleId="974">
    <w:name w:val="Intense Quote"/>
    <w:basedOn w:val="925"/>
    <w:next w:val="925"/>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Intense Quote Char"/>
    <w:link w:val="974"/>
    <w:uiPriority w:val="30"/>
    <w:qFormat/>
    <w:rPr>
      <w:i/>
    </w:rPr>
  </w:style>
  <w:style w:type="character" w:styleId="976" w:customStyle="1">
    <w:name w:val="Header Char"/>
    <w:link w:val="944"/>
    <w:uiPriority w:val="99"/>
    <w:qFormat/>
  </w:style>
  <w:style w:type="character" w:styleId="977" w:customStyle="1">
    <w:name w:val="Footer Char"/>
    <w:link w:val="943"/>
    <w:uiPriority w:val="99"/>
    <w:qFormat/>
  </w:style>
  <w:style w:type="character" w:styleId="978" w:customStyle="1">
    <w:name w:val="Caption Char"/>
    <w:link w:val="943"/>
    <w:uiPriority w:val="99"/>
    <w:qFormat/>
  </w:style>
  <w:style w:type="table" w:styleId="9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Footnote Text Char"/>
    <w:link w:val="948"/>
    <w:uiPriority w:val="99"/>
    <w:qFormat/>
    <w:rPr>
      <w:sz w:val="18"/>
    </w:rPr>
  </w:style>
  <w:style w:type="character" w:styleId="1105" w:customStyle="1">
    <w:name w:val="Endnote Text Char"/>
    <w:link w:val="942"/>
    <w:uiPriority w:val="99"/>
    <w:qFormat/>
    <w:rPr>
      <w:sz w:val="20"/>
    </w:rPr>
  </w:style>
  <w:style w:type="paragraph" w:styleId="1106" w:customStyle="1">
    <w:name w:val="TOC Heading"/>
    <w:uiPriority w:val="39"/>
    <w:unhideWhenUsed/>
    <w:qFormat/>
    <w:rPr>
      <w:rFonts w:hint="default" w:ascii="Times New Roman" w:hAnsi="Times New Roman" w:eastAsia="宋体" w:cs="Times New Roman"/>
    </w:rPr>
  </w:style>
  <w:style w:type="paragraph" w:styleId="1107" w:customStyle="1">
    <w:name w:val="标题 111"/>
    <w:basedOn w:val="925"/>
    <w:next w:val="925"/>
    <w:link w:val="1119"/>
    <w:uiPriority w:val="0"/>
    <w:qFormat/>
    <w:pPr>
      <w:jc w:val="center"/>
      <w:keepNext/>
      <w:outlineLvl w:val="0"/>
    </w:pPr>
    <w:rPr>
      <w:rFonts w:ascii="楷体_GB2312" w:hAnsi="Times New Roman" w:eastAsia="楷体_GB2312" w:cs="Times New Roman"/>
      <w:sz w:val="28"/>
      <w:szCs w:val="28"/>
    </w:rPr>
  </w:style>
  <w:style w:type="paragraph" w:styleId="1108" w:customStyle="1">
    <w:name w:val="标题 211"/>
    <w:basedOn w:val="925"/>
    <w:link w:val="11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9" w:customStyle="1">
    <w:name w:val="标题 311"/>
    <w:basedOn w:val="925"/>
    <w:link w:val="11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10" w:customStyle="1">
    <w:name w:val="标题 41"/>
    <w:basedOn w:val="925"/>
    <w:next w:val="1111"/>
    <w:link w:val="1122"/>
    <w:uiPriority w:val="0"/>
    <w:qFormat/>
    <w:pPr>
      <w:keepLines/>
      <w:keepNext/>
      <w:spacing w:before="280" w:after="290" w:line="376" w:lineRule="auto"/>
      <w:outlineLvl w:val="3"/>
    </w:pPr>
    <w:rPr>
      <w:rFonts w:ascii="Arial" w:hAnsi="Arial" w:eastAsia="黑体" w:cs="Arial"/>
      <w:b/>
      <w:bCs/>
      <w:sz w:val="28"/>
      <w:szCs w:val="28"/>
    </w:rPr>
  </w:style>
  <w:style w:type="paragraph" w:styleId="1111" w:customStyle="1">
    <w:name w:val="正文缩进1"/>
    <w:basedOn w:val="925"/>
    <w:link w:val="1123"/>
    <w:uiPriority w:val="0"/>
    <w:qFormat/>
    <w:pPr>
      <w:ind w:firstLine="420"/>
    </w:pPr>
    <w:rPr>
      <w:rFonts w:ascii="Times New Roman" w:hAnsi="Times New Roman" w:eastAsia="宋体" w:cs="Times New Roman"/>
    </w:rPr>
  </w:style>
  <w:style w:type="paragraph" w:styleId="1112" w:customStyle="1">
    <w:name w:val="标题 51"/>
    <w:basedOn w:val="925"/>
    <w:next w:val="1111"/>
    <w:link w:val="1124"/>
    <w:uiPriority w:val="0"/>
    <w:qFormat/>
    <w:pPr>
      <w:keepNext/>
      <w:outlineLvl w:val="4"/>
    </w:pPr>
    <w:rPr>
      <w:rFonts w:ascii="宋体" w:hAnsi="Times New Roman" w:eastAsia="宋体" w:cs="Times New Roman"/>
      <w:color w:val="000000"/>
      <w:sz w:val="28"/>
      <w:szCs w:val="28"/>
    </w:rPr>
  </w:style>
  <w:style w:type="paragraph" w:styleId="1113" w:customStyle="1">
    <w:name w:val="标题 61"/>
    <w:basedOn w:val="925"/>
    <w:next w:val="925"/>
    <w:link w:val="11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14" w:customStyle="1">
    <w:name w:val="标题 71"/>
    <w:basedOn w:val="925"/>
    <w:next w:val="925"/>
    <w:link w:val="11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15" w:customStyle="1">
    <w:name w:val="标题 81"/>
    <w:basedOn w:val="925"/>
    <w:next w:val="925"/>
    <w:link w:val="11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16" w:customStyle="1">
    <w:name w:val="标题 91"/>
    <w:basedOn w:val="925"/>
    <w:next w:val="925"/>
    <w:link w:val="1128"/>
    <w:uiPriority w:val="0"/>
    <w:qFormat/>
    <w:pPr>
      <w:numPr>
        <w:ilvl w:val="8"/>
        <w:numId w:val="1"/>
      </w:numPr>
      <w:keepLines/>
      <w:keepNext/>
      <w:spacing w:before="240" w:after="64" w:line="320" w:lineRule="auto"/>
      <w:outlineLvl w:val="8"/>
    </w:pPr>
    <w:rPr>
      <w:rFonts w:ascii="Arial" w:hAnsi="Arial" w:eastAsia="黑体" w:cs="Times New Roman"/>
    </w:rPr>
  </w:style>
  <w:style w:type="character" w:styleId="1117" w:customStyle="1">
    <w:name w:val="默认段落字体1"/>
    <w:link w:val="925"/>
    <w:uiPriority w:val="0"/>
    <w:qFormat/>
    <w:rPr>
      <w:rFonts w:ascii="Times New Roman" w:hAnsi="Times New Roman" w:eastAsia="宋体" w:cs="Times New Roman"/>
    </w:rPr>
  </w:style>
  <w:style w:type="table" w:styleId="1118" w:customStyle="1">
    <w:name w:val="普通表格1"/>
    <w:uiPriority w:val="0"/>
    <w:qFormat/>
    <w:rPr>
      <w:rFonts w:ascii="Times New Roman" w:hAnsi="Times New Roman" w:eastAsia="宋体" w:cs="Times New Roman"/>
    </w:rPr>
    <w:tblPr/>
  </w:style>
  <w:style w:type="character" w:styleId="1119" w:customStyle="1">
    <w:name w:val="标题 1 Char"/>
    <w:link w:val="1107"/>
    <w:uiPriority w:val="0"/>
    <w:qFormat/>
    <w:rPr>
      <w:rFonts w:ascii="楷体_GB2312" w:hAnsi="Times New Roman" w:eastAsia="楷体_GB2312" w:cs="Times New Roman"/>
      <w:sz w:val="28"/>
      <w:szCs w:val="28"/>
    </w:rPr>
  </w:style>
  <w:style w:type="character" w:styleId="1120" w:customStyle="1">
    <w:name w:val="标题 2 Char"/>
    <w:link w:val="1108"/>
    <w:uiPriority w:val="0"/>
    <w:rPr>
      <w:rFonts w:ascii="Arial" w:hAnsi="Arial" w:eastAsia="幼圆" w:cs="Arial"/>
      <w:b/>
      <w:bCs/>
      <w:sz w:val="44"/>
      <w:szCs w:val="44"/>
    </w:rPr>
  </w:style>
  <w:style w:type="character" w:styleId="1121" w:customStyle="1">
    <w:name w:val="标题 3 Char"/>
    <w:link w:val="1109"/>
    <w:uiPriority w:val="0"/>
    <w:qFormat/>
    <w:rPr>
      <w:rFonts w:ascii="Times New Roman" w:hAnsi="Times New Roman" w:eastAsia="宋体" w:cs="Times New Roman"/>
      <w:b/>
      <w:bCs/>
      <w:sz w:val="32"/>
      <w:szCs w:val="32"/>
    </w:rPr>
  </w:style>
  <w:style w:type="character" w:styleId="1122" w:customStyle="1">
    <w:name w:val="标题 4 Char"/>
    <w:link w:val="1110"/>
    <w:uiPriority w:val="0"/>
    <w:qFormat/>
    <w:rPr>
      <w:rFonts w:ascii="Arial" w:hAnsi="Arial" w:eastAsia="黑体" w:cs="Arial"/>
      <w:b/>
      <w:bCs/>
      <w:sz w:val="28"/>
      <w:szCs w:val="28"/>
    </w:rPr>
  </w:style>
  <w:style w:type="character" w:styleId="1123" w:customStyle="1">
    <w:name w:val="正文缩进 Char"/>
    <w:link w:val="1111"/>
    <w:uiPriority w:val="0"/>
    <w:qFormat/>
    <w:rPr>
      <w:rFonts w:ascii="Times New Roman" w:hAnsi="Times New Roman" w:eastAsia="宋体" w:cs="Times New Roman"/>
      <w:szCs w:val="21"/>
    </w:rPr>
  </w:style>
  <w:style w:type="character" w:styleId="1124" w:customStyle="1">
    <w:name w:val="标题 5 Char"/>
    <w:link w:val="1112"/>
    <w:uiPriority w:val="0"/>
    <w:qFormat/>
    <w:rPr>
      <w:rFonts w:ascii="宋体" w:hAnsi="Times New Roman" w:eastAsia="宋体" w:cs="Times New Roman"/>
      <w:color w:val="000000"/>
      <w:sz w:val="28"/>
      <w:szCs w:val="28"/>
    </w:rPr>
  </w:style>
  <w:style w:type="character" w:styleId="1125" w:customStyle="1">
    <w:name w:val="标题 6 Char"/>
    <w:link w:val="1113"/>
    <w:uiPriority w:val="0"/>
    <w:qFormat/>
    <w:rPr>
      <w:rFonts w:ascii="Arial" w:hAnsi="Arial" w:eastAsia="黑体" w:cs="Times New Roman"/>
      <w:b/>
      <w:bCs/>
      <w:sz w:val="24"/>
      <w:szCs w:val="24"/>
    </w:rPr>
  </w:style>
  <w:style w:type="character" w:styleId="1126" w:customStyle="1">
    <w:name w:val="标题 7 Char"/>
    <w:link w:val="1114"/>
    <w:uiPriority w:val="0"/>
    <w:qFormat/>
    <w:rPr>
      <w:rFonts w:ascii="Times New Roman" w:hAnsi="Times New Roman" w:eastAsia="宋体" w:cs="Times New Roman"/>
      <w:b/>
      <w:bCs/>
      <w:sz w:val="24"/>
      <w:szCs w:val="24"/>
    </w:rPr>
  </w:style>
  <w:style w:type="character" w:styleId="1127" w:customStyle="1">
    <w:name w:val="标题 8 Char"/>
    <w:link w:val="1115"/>
    <w:uiPriority w:val="0"/>
    <w:qFormat/>
    <w:rPr>
      <w:rFonts w:ascii="Arial" w:hAnsi="Arial" w:eastAsia="黑体" w:cs="Times New Roman"/>
      <w:sz w:val="24"/>
      <w:szCs w:val="24"/>
    </w:rPr>
  </w:style>
  <w:style w:type="character" w:styleId="1128" w:customStyle="1">
    <w:name w:val="标题 9 Char"/>
    <w:link w:val="1116"/>
    <w:uiPriority w:val="0"/>
    <w:qFormat/>
    <w:rPr>
      <w:rFonts w:ascii="Arial" w:hAnsi="Arial" w:eastAsia="黑体" w:cs="Times New Roman"/>
      <w:szCs w:val="21"/>
    </w:rPr>
  </w:style>
  <w:style w:type="paragraph" w:styleId="1129" w:customStyle="1">
    <w:name w:val="列表 31"/>
    <w:basedOn w:val="925"/>
    <w:uiPriority w:val="0"/>
    <w:qFormat/>
    <w:pPr>
      <w:ind w:left="100" w:hanging="200"/>
    </w:pPr>
    <w:rPr>
      <w:rFonts w:ascii="Times New Roman" w:hAnsi="Times New Roman" w:eastAsia="宋体" w:cs="Times New Roman"/>
    </w:rPr>
  </w:style>
  <w:style w:type="paragraph" w:styleId="1130" w:customStyle="1">
    <w:name w:val="目录 71"/>
    <w:basedOn w:val="925"/>
    <w:next w:val="925"/>
    <w:uiPriority w:val="0"/>
    <w:qFormat/>
    <w:pPr>
      <w:ind w:left="1260"/>
      <w:jc w:val="left"/>
    </w:pPr>
    <w:rPr>
      <w:rFonts w:ascii="Times New Roman" w:hAnsi="Times New Roman" w:eastAsia="宋体" w:cs="Times New Roman"/>
    </w:rPr>
  </w:style>
  <w:style w:type="paragraph" w:styleId="1131" w:customStyle="1">
    <w:name w:val="文档结构图1"/>
    <w:basedOn w:val="925"/>
    <w:link w:val="1132"/>
    <w:uiPriority w:val="0"/>
    <w:qFormat/>
    <w:pPr>
      <w:shd w:val="clear" w:color="auto" w:fill="000080"/>
    </w:pPr>
    <w:rPr>
      <w:rFonts w:ascii="Times New Roman" w:hAnsi="Times New Roman" w:eastAsia="宋体" w:cs="Times New Roman"/>
    </w:rPr>
  </w:style>
  <w:style w:type="character" w:styleId="1132" w:customStyle="1">
    <w:name w:val="文档结构图 Char"/>
    <w:link w:val="1131"/>
    <w:uiPriority w:val="0"/>
    <w:qFormat/>
    <w:rPr>
      <w:rFonts w:ascii="Times New Roman" w:hAnsi="Times New Roman" w:eastAsia="宋体" w:cs="Times New Roman"/>
      <w:szCs w:val="21"/>
      <w:shd w:val="clear" w:color="auto" w:fill="000080"/>
    </w:rPr>
  </w:style>
  <w:style w:type="paragraph" w:styleId="1133" w:customStyle="1">
    <w:name w:val="批注文字1"/>
    <w:basedOn w:val="925"/>
    <w:link w:val="1134"/>
    <w:uiPriority w:val="0"/>
    <w:qFormat/>
    <w:pPr>
      <w:jc w:val="left"/>
    </w:pPr>
    <w:rPr>
      <w:rFonts w:ascii="Times New Roman" w:hAnsi="Times New Roman" w:eastAsia="宋体" w:cs="Times New Roman"/>
    </w:rPr>
  </w:style>
  <w:style w:type="character" w:styleId="1134" w:customStyle="1">
    <w:name w:val="批注文字 Char"/>
    <w:link w:val="1133"/>
    <w:uiPriority w:val="0"/>
    <w:qFormat/>
    <w:rPr>
      <w:rFonts w:ascii="Times New Roman" w:hAnsi="Times New Roman" w:eastAsia="宋体" w:cs="Times New Roman"/>
      <w:szCs w:val="21"/>
    </w:rPr>
  </w:style>
  <w:style w:type="paragraph" w:styleId="1135" w:customStyle="1">
    <w:name w:val="正文文本 31"/>
    <w:basedOn w:val="925"/>
    <w:link w:val="1136"/>
    <w:uiPriority w:val="0"/>
    <w:qFormat/>
    <w:rPr>
      <w:rFonts w:ascii="仿宋_GB2312" w:hAnsi="Arial" w:eastAsia="仿宋_GB2312" w:cs="Times New Roman"/>
      <w:sz w:val="32"/>
      <w:szCs w:val="32"/>
    </w:rPr>
  </w:style>
  <w:style w:type="character" w:styleId="1136" w:customStyle="1">
    <w:name w:val="正文文本 3 Char"/>
    <w:link w:val="1135"/>
    <w:uiPriority w:val="0"/>
    <w:qFormat/>
    <w:rPr>
      <w:rFonts w:ascii="仿宋_GB2312" w:hAnsi="Arial" w:eastAsia="仿宋_GB2312" w:cs="Times New Roman"/>
      <w:sz w:val="32"/>
      <w:szCs w:val="32"/>
    </w:rPr>
  </w:style>
  <w:style w:type="paragraph" w:styleId="1137" w:customStyle="1">
    <w:name w:val="正文文本11"/>
    <w:basedOn w:val="925"/>
    <w:link w:val="1138"/>
    <w:uiPriority w:val="0"/>
    <w:qFormat/>
    <w:rPr>
      <w:rFonts w:ascii="楷体_GB2312" w:hAnsi="Arial" w:eastAsia="楷体_GB2312" w:cs="Times New Roman"/>
      <w:sz w:val="28"/>
      <w:szCs w:val="28"/>
    </w:rPr>
  </w:style>
  <w:style w:type="character" w:styleId="1138" w:customStyle="1">
    <w:name w:val="正文文本 Char"/>
    <w:link w:val="1137"/>
    <w:uiPriority w:val="0"/>
    <w:qFormat/>
    <w:rPr>
      <w:rFonts w:ascii="楷体_GB2312" w:hAnsi="Arial" w:eastAsia="楷体_GB2312" w:cs="Times New Roman"/>
      <w:sz w:val="28"/>
      <w:szCs w:val="28"/>
    </w:rPr>
  </w:style>
  <w:style w:type="paragraph" w:styleId="1139" w:customStyle="1">
    <w:name w:val="正文文本缩进1"/>
    <w:basedOn w:val="925"/>
    <w:link w:val="1140"/>
    <w:uiPriority w:val="0"/>
    <w:qFormat/>
    <w:pPr>
      <w:ind w:firstLine="645"/>
    </w:pPr>
    <w:rPr>
      <w:rFonts w:ascii="楷体_GB2312" w:hAnsi="Times New Roman" w:eastAsia="楷体_GB2312" w:cs="Times New Roman"/>
      <w:sz w:val="32"/>
      <w:szCs w:val="32"/>
    </w:rPr>
  </w:style>
  <w:style w:type="character" w:styleId="1140" w:customStyle="1">
    <w:name w:val="正文文本缩进 Char"/>
    <w:link w:val="1139"/>
    <w:uiPriority w:val="0"/>
    <w:qFormat/>
    <w:rPr>
      <w:rFonts w:ascii="楷体_GB2312" w:hAnsi="Times New Roman" w:eastAsia="楷体_GB2312" w:cs="Times New Roman"/>
      <w:sz w:val="32"/>
      <w:szCs w:val="32"/>
    </w:rPr>
  </w:style>
  <w:style w:type="paragraph" w:styleId="1141" w:customStyle="1">
    <w:name w:val="列表 21"/>
    <w:basedOn w:val="925"/>
    <w:uiPriority w:val="0"/>
    <w:qFormat/>
    <w:pPr>
      <w:ind w:left="100" w:hanging="200"/>
    </w:pPr>
    <w:rPr>
      <w:rFonts w:ascii="Times New Roman" w:hAnsi="Times New Roman" w:eastAsia="宋体" w:cs="Times New Roman"/>
    </w:rPr>
  </w:style>
  <w:style w:type="paragraph" w:styleId="1142" w:customStyle="1">
    <w:name w:val="目录 51"/>
    <w:basedOn w:val="925"/>
    <w:next w:val="925"/>
    <w:uiPriority w:val="0"/>
    <w:qFormat/>
    <w:pPr>
      <w:ind w:left="840"/>
      <w:jc w:val="left"/>
    </w:pPr>
    <w:rPr>
      <w:rFonts w:ascii="Times New Roman" w:hAnsi="Times New Roman" w:eastAsia="宋体" w:cs="Times New Roman"/>
    </w:rPr>
  </w:style>
  <w:style w:type="paragraph" w:styleId="1143" w:customStyle="1">
    <w:name w:val="目录 31"/>
    <w:basedOn w:val="925"/>
    <w:next w:val="925"/>
    <w:uiPriority w:val="0"/>
    <w:qFormat/>
    <w:pPr>
      <w:ind w:left="420"/>
      <w:jc w:val="left"/>
    </w:pPr>
    <w:rPr>
      <w:rFonts w:ascii="Times New Roman" w:hAnsi="Times New Roman" w:eastAsia="宋体" w:cs="Times New Roman"/>
      <w:i/>
      <w:iCs/>
      <w:szCs w:val="24"/>
    </w:rPr>
  </w:style>
  <w:style w:type="paragraph" w:styleId="1144" w:customStyle="1">
    <w:name w:val="纯文本11"/>
    <w:basedOn w:val="925"/>
    <w:link w:val="1145"/>
    <w:uiPriority w:val="0"/>
    <w:qFormat/>
    <w:rPr>
      <w:rFonts w:ascii="宋体" w:hAnsi="Courier New" w:eastAsia="宋体" w:cs="Courier New"/>
    </w:rPr>
  </w:style>
  <w:style w:type="character" w:styleId="1145" w:customStyle="1">
    <w:name w:val="纯文本 Char"/>
    <w:link w:val="1144"/>
    <w:uiPriority w:val="0"/>
    <w:qFormat/>
    <w:rPr>
      <w:rFonts w:ascii="宋体" w:hAnsi="Courier New" w:eastAsia="宋体" w:cs="Courier New"/>
      <w:szCs w:val="21"/>
    </w:rPr>
  </w:style>
  <w:style w:type="paragraph" w:styleId="1146" w:customStyle="1">
    <w:name w:val="目录 81"/>
    <w:basedOn w:val="925"/>
    <w:next w:val="925"/>
    <w:uiPriority w:val="0"/>
    <w:qFormat/>
    <w:pPr>
      <w:ind w:left="1470"/>
      <w:jc w:val="left"/>
    </w:pPr>
    <w:rPr>
      <w:rFonts w:ascii="Times New Roman" w:hAnsi="Times New Roman" w:eastAsia="宋体" w:cs="Times New Roman"/>
    </w:rPr>
  </w:style>
  <w:style w:type="paragraph" w:styleId="1147" w:customStyle="1">
    <w:name w:val="日期1"/>
    <w:basedOn w:val="925"/>
    <w:next w:val="925"/>
    <w:link w:val="1148"/>
    <w:uiPriority w:val="0"/>
    <w:qFormat/>
    <w:rPr>
      <w:rFonts w:ascii="Times New Roman" w:hAnsi="Times New Roman" w:eastAsia="宋体" w:cs="Times New Roman"/>
      <w:sz w:val="24"/>
      <w:szCs w:val="24"/>
    </w:rPr>
  </w:style>
  <w:style w:type="character" w:styleId="1148" w:customStyle="1">
    <w:name w:val="日期 Char"/>
    <w:link w:val="1147"/>
    <w:uiPriority w:val="0"/>
    <w:qFormat/>
    <w:rPr>
      <w:rFonts w:ascii="Times New Roman" w:hAnsi="Times New Roman" w:eastAsia="宋体" w:cs="Times New Roman"/>
      <w:sz w:val="24"/>
      <w:szCs w:val="24"/>
    </w:rPr>
  </w:style>
  <w:style w:type="paragraph" w:styleId="1149" w:customStyle="1">
    <w:name w:val="正文文本缩进 21"/>
    <w:basedOn w:val="925"/>
    <w:link w:val="1150"/>
    <w:uiPriority w:val="0"/>
    <w:qFormat/>
    <w:pPr>
      <w:ind w:left="630" w:firstLine="645"/>
    </w:pPr>
    <w:rPr>
      <w:rFonts w:ascii="Arial" w:hAnsi="Arial" w:eastAsia="仿宋_GB2312" w:cs="Arial"/>
      <w:sz w:val="32"/>
      <w:szCs w:val="32"/>
    </w:rPr>
  </w:style>
  <w:style w:type="character" w:styleId="1150" w:customStyle="1">
    <w:name w:val="正文文本缩进 2 Char"/>
    <w:link w:val="1149"/>
    <w:uiPriority w:val="0"/>
    <w:qFormat/>
    <w:rPr>
      <w:rFonts w:ascii="Arial" w:hAnsi="Arial" w:eastAsia="仿宋_GB2312" w:cs="Arial"/>
      <w:sz w:val="32"/>
      <w:szCs w:val="32"/>
    </w:rPr>
  </w:style>
  <w:style w:type="paragraph" w:styleId="1151" w:customStyle="1">
    <w:name w:val="批注框文本1"/>
    <w:basedOn w:val="925"/>
    <w:link w:val="1152"/>
    <w:uiPriority w:val="0"/>
    <w:qFormat/>
    <w:rPr>
      <w:rFonts w:ascii="Times New Roman" w:hAnsi="Times New Roman" w:eastAsia="宋体" w:cs="Times New Roman"/>
      <w:sz w:val="18"/>
      <w:szCs w:val="18"/>
    </w:rPr>
  </w:style>
  <w:style w:type="character" w:styleId="1152" w:customStyle="1">
    <w:name w:val="批注框文本 Char"/>
    <w:link w:val="1151"/>
    <w:uiPriority w:val="0"/>
    <w:qFormat/>
    <w:rPr>
      <w:rFonts w:ascii="Times New Roman" w:hAnsi="Times New Roman" w:eastAsia="宋体" w:cs="Times New Roman"/>
      <w:sz w:val="18"/>
      <w:szCs w:val="18"/>
    </w:rPr>
  </w:style>
  <w:style w:type="paragraph" w:styleId="1153" w:customStyle="1">
    <w:name w:val="页脚1"/>
    <w:basedOn w:val="925"/>
    <w:link w:val="115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54" w:customStyle="1">
    <w:name w:val="页脚 Char"/>
    <w:link w:val="1153"/>
    <w:uiPriority w:val="0"/>
    <w:qFormat/>
    <w:rPr>
      <w:rFonts w:ascii="Times New Roman" w:hAnsi="Times New Roman" w:eastAsia="宋体" w:cs="Times New Roman"/>
      <w:sz w:val="18"/>
      <w:szCs w:val="18"/>
    </w:rPr>
  </w:style>
  <w:style w:type="paragraph" w:styleId="1155" w:customStyle="1">
    <w:name w:val="页眉1"/>
    <w:basedOn w:val="925"/>
    <w:link w:val="115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56" w:customStyle="1">
    <w:name w:val="页眉 Char"/>
    <w:link w:val="1155"/>
    <w:uiPriority w:val="0"/>
    <w:qFormat/>
    <w:rPr>
      <w:rFonts w:ascii="Times New Roman" w:hAnsi="Times New Roman" w:eastAsia="宋体" w:cs="Times New Roman"/>
      <w:sz w:val="18"/>
      <w:szCs w:val="18"/>
    </w:rPr>
  </w:style>
  <w:style w:type="paragraph" w:styleId="1157" w:customStyle="1">
    <w:name w:val="目录 11"/>
    <w:basedOn w:val="925"/>
    <w:next w:val="925"/>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58" w:customStyle="1">
    <w:name w:val="目录 41"/>
    <w:basedOn w:val="925"/>
    <w:next w:val="925"/>
    <w:uiPriority w:val="0"/>
    <w:qFormat/>
    <w:pPr>
      <w:ind w:left="630"/>
      <w:jc w:val="left"/>
    </w:pPr>
    <w:rPr>
      <w:rFonts w:ascii="Times New Roman" w:hAnsi="Times New Roman" w:eastAsia="宋体" w:cs="Times New Roman"/>
    </w:rPr>
  </w:style>
  <w:style w:type="paragraph" w:styleId="1159" w:customStyle="1">
    <w:name w:val="列表1"/>
    <w:basedOn w:val="925"/>
    <w:uiPriority w:val="0"/>
    <w:qFormat/>
    <w:pPr>
      <w:ind w:left="200" w:hanging="200"/>
    </w:pPr>
    <w:rPr>
      <w:rFonts w:ascii="Times New Roman" w:hAnsi="Times New Roman" w:eastAsia="宋体" w:cs="Times New Roman"/>
    </w:rPr>
  </w:style>
  <w:style w:type="paragraph" w:styleId="1160" w:customStyle="1">
    <w:name w:val="目录 61"/>
    <w:basedOn w:val="925"/>
    <w:next w:val="925"/>
    <w:uiPriority w:val="0"/>
    <w:qFormat/>
    <w:pPr>
      <w:ind w:left="1050"/>
      <w:jc w:val="left"/>
    </w:pPr>
    <w:rPr>
      <w:rFonts w:ascii="Times New Roman" w:hAnsi="Times New Roman" w:eastAsia="宋体" w:cs="Times New Roman"/>
    </w:rPr>
  </w:style>
  <w:style w:type="paragraph" w:styleId="1161" w:customStyle="1">
    <w:name w:val="正文文本缩进 31"/>
    <w:basedOn w:val="925"/>
    <w:link w:val="1162"/>
    <w:uiPriority w:val="0"/>
    <w:qFormat/>
    <w:pPr>
      <w:ind w:left="645" w:firstLine="645"/>
    </w:pPr>
    <w:rPr>
      <w:rFonts w:ascii="Arial" w:hAnsi="Arial" w:eastAsia="仿宋_GB2312" w:cs="Arial"/>
      <w:color w:val="ffff00"/>
      <w:sz w:val="32"/>
      <w:szCs w:val="32"/>
    </w:rPr>
  </w:style>
  <w:style w:type="character" w:styleId="1162" w:customStyle="1">
    <w:name w:val="正文文本缩进 3 Char"/>
    <w:link w:val="1161"/>
    <w:uiPriority w:val="0"/>
    <w:qFormat/>
    <w:rPr>
      <w:rFonts w:ascii="Arial" w:hAnsi="Arial" w:eastAsia="仿宋_GB2312" w:cs="Arial"/>
      <w:color w:val="ffff00"/>
      <w:sz w:val="32"/>
      <w:szCs w:val="32"/>
    </w:rPr>
  </w:style>
  <w:style w:type="paragraph" w:styleId="1163" w:customStyle="1">
    <w:name w:val="图表目录1"/>
    <w:basedOn w:val="925"/>
    <w:next w:val="925"/>
    <w:uiPriority w:val="0"/>
    <w:qFormat/>
    <w:pPr>
      <w:ind w:left="840" w:hanging="420"/>
    </w:pPr>
    <w:rPr>
      <w:rFonts w:ascii="Times New Roman" w:hAnsi="Times New Roman" w:eastAsia="宋体" w:cs="Times New Roman"/>
    </w:rPr>
  </w:style>
  <w:style w:type="paragraph" w:styleId="1164" w:customStyle="1">
    <w:name w:val="目录 21"/>
    <w:basedOn w:val="925"/>
    <w:next w:val="925"/>
    <w:uiPriority w:val="0"/>
    <w:qFormat/>
    <w:pPr>
      <w:ind w:left="210"/>
      <w:jc w:val="left"/>
    </w:pPr>
    <w:rPr>
      <w:rFonts w:ascii="Times New Roman" w:hAnsi="Times New Roman" w:eastAsia="宋体" w:cs="Times New Roman"/>
      <w:smallCaps/>
      <w:szCs w:val="24"/>
    </w:rPr>
  </w:style>
  <w:style w:type="paragraph" w:styleId="1165" w:customStyle="1">
    <w:name w:val="目录 91"/>
    <w:basedOn w:val="925"/>
    <w:next w:val="925"/>
    <w:uiPriority w:val="0"/>
    <w:qFormat/>
    <w:pPr>
      <w:ind w:left="1680"/>
      <w:jc w:val="left"/>
    </w:pPr>
    <w:rPr>
      <w:rFonts w:ascii="Times New Roman" w:hAnsi="Times New Roman" w:eastAsia="宋体" w:cs="Times New Roman"/>
    </w:rPr>
  </w:style>
  <w:style w:type="paragraph" w:styleId="1166" w:customStyle="1">
    <w:name w:val="正文文本 21"/>
    <w:basedOn w:val="925"/>
    <w:link w:val="1167"/>
    <w:uiPriority w:val="0"/>
    <w:qFormat/>
    <w:pPr>
      <w:jc w:val="center"/>
      <w:widowControl/>
    </w:pPr>
    <w:rPr>
      <w:rFonts w:ascii="楷体_GB2312" w:hAnsi="Times New Roman" w:eastAsia="楷体_GB2312" w:cs="Times New Roman"/>
      <w:sz w:val="28"/>
      <w:szCs w:val="28"/>
    </w:rPr>
  </w:style>
  <w:style w:type="character" w:styleId="1167" w:customStyle="1">
    <w:name w:val="正文文本 2 Char"/>
    <w:link w:val="1166"/>
    <w:uiPriority w:val="0"/>
    <w:qFormat/>
    <w:rPr>
      <w:rFonts w:ascii="楷体_GB2312" w:hAnsi="Times New Roman" w:eastAsia="楷体_GB2312" w:cs="Times New Roman"/>
      <w:sz w:val="28"/>
      <w:szCs w:val="28"/>
    </w:rPr>
  </w:style>
  <w:style w:type="paragraph" w:styleId="1168" w:customStyle="1">
    <w:name w:val="普通(网站)1"/>
    <w:basedOn w:val="925"/>
    <w:uiPriority w:val="0"/>
    <w:qFormat/>
    <w:pPr>
      <w:jc w:val="left"/>
      <w:spacing w:before="100" w:beforeAutospacing="1" w:after="100" w:afterAutospacing="1"/>
      <w:widowControl/>
    </w:pPr>
    <w:rPr>
      <w:rFonts w:ascii="宋体" w:hAnsi="宋体" w:eastAsia="宋体" w:cs="宋体"/>
      <w:sz w:val="24"/>
      <w:szCs w:val="24"/>
    </w:rPr>
  </w:style>
  <w:style w:type="paragraph" w:styleId="1169" w:customStyle="1">
    <w:name w:val="索引 11"/>
    <w:basedOn w:val="925"/>
    <w:next w:val="925"/>
    <w:uiPriority w:val="0"/>
    <w:qFormat/>
    <w:pPr>
      <w:spacing w:line="240" w:lineRule="atLeast"/>
    </w:pPr>
    <w:rPr>
      <w:rFonts w:ascii="Times New Roman" w:hAnsi="Times New Roman" w:eastAsia="宋体" w:cs="Times New Roman"/>
      <w:b/>
      <w:bCs/>
    </w:rPr>
  </w:style>
  <w:style w:type="paragraph" w:styleId="1170" w:customStyle="1">
    <w:name w:val="批注主题1"/>
    <w:basedOn w:val="1133"/>
    <w:next w:val="1133"/>
    <w:link w:val="1171"/>
    <w:uiPriority w:val="0"/>
    <w:qFormat/>
    <w:rPr>
      <w:rFonts w:ascii="Times New Roman" w:hAnsi="Times New Roman" w:eastAsia="宋体" w:cs="Times New Roman"/>
      <w:b/>
      <w:bCs/>
    </w:rPr>
  </w:style>
  <w:style w:type="character" w:styleId="1171" w:customStyle="1">
    <w:name w:val="批注主题 Char"/>
    <w:link w:val="1170"/>
    <w:uiPriority w:val="0"/>
    <w:qFormat/>
    <w:rPr>
      <w:rFonts w:ascii="Times New Roman" w:hAnsi="Times New Roman" w:eastAsia="宋体" w:cs="Times New Roman"/>
      <w:b/>
      <w:bCs/>
      <w:szCs w:val="21"/>
    </w:rPr>
  </w:style>
  <w:style w:type="paragraph" w:styleId="1172" w:customStyle="1">
    <w:name w:val="正文首行缩进1"/>
    <w:basedOn w:val="925"/>
    <w:link w:val="1173"/>
    <w:uiPriority w:val="0"/>
    <w:qFormat/>
    <w:pPr>
      <w:ind w:firstLine="200"/>
      <w:spacing w:line="360" w:lineRule="auto"/>
    </w:pPr>
    <w:rPr>
      <w:rFonts w:ascii="仿宋_GB2312" w:hAnsi="Times New Roman" w:eastAsia="仿宋_GB2312" w:cs="Times New Roman"/>
      <w:sz w:val="30"/>
      <w:szCs w:val="30"/>
    </w:rPr>
  </w:style>
  <w:style w:type="character" w:styleId="1173" w:customStyle="1">
    <w:name w:val="正文首行缩进 Char"/>
    <w:link w:val="1172"/>
    <w:uiPriority w:val="0"/>
    <w:qFormat/>
    <w:rPr>
      <w:rFonts w:ascii="仿宋_GB2312" w:hAnsi="Times New Roman" w:eastAsia="仿宋_GB2312" w:cs="Times New Roman"/>
      <w:sz w:val="30"/>
      <w:szCs w:val="30"/>
    </w:rPr>
  </w:style>
  <w:style w:type="paragraph" w:styleId="1174" w:customStyle="1">
    <w:name w:val="正文首行缩进 21"/>
    <w:basedOn w:val="1139"/>
    <w:link w:val="1175"/>
    <w:uiPriority w:val="0"/>
    <w:qFormat/>
    <w:pPr>
      <w:ind w:firstLine="420"/>
      <w:spacing w:line="360" w:lineRule="auto"/>
    </w:pPr>
    <w:rPr>
      <w:rFonts w:ascii="宋体" w:hAnsi="宋体" w:eastAsia="宋体" w:cs="Times New Roman"/>
      <w:sz w:val="21"/>
      <w:szCs w:val="20"/>
    </w:rPr>
  </w:style>
  <w:style w:type="character" w:styleId="1175" w:customStyle="1">
    <w:name w:val="正文首行缩进 2 Char"/>
    <w:link w:val="1174"/>
    <w:uiPriority w:val="0"/>
    <w:qFormat/>
    <w:rPr>
      <w:rFonts w:ascii="宋体" w:hAnsi="宋体" w:eastAsia="宋体" w:cs="Times New Roman"/>
      <w:sz w:val="32"/>
      <w:szCs w:val="20"/>
    </w:rPr>
  </w:style>
  <w:style w:type="table" w:styleId="1176" w:customStyle="1">
    <w:name w:val="网格型1"/>
    <w:basedOn w:val="1118"/>
    <w:uiPriority w:val="0"/>
    <w:qFormat/>
    <w:pPr>
      <w:jc w:val="both"/>
      <w:widowControl w:val="off"/>
    </w:pPr>
    <w:rPr>
      <w:rFonts w:ascii="Times New Roman" w:hAnsi="Times New Roman" w:eastAsia="宋体" w:cs="Times New Roman"/>
      <w:sz w:val="20"/>
      <w:szCs w:val="20"/>
    </w:rPr>
    <w:tblPr/>
  </w:style>
  <w:style w:type="character" w:styleId="1177" w:customStyle="1">
    <w:name w:val="要点1"/>
    <w:link w:val="925"/>
    <w:uiPriority w:val="0"/>
    <w:qFormat/>
    <w:rPr>
      <w:rFonts w:ascii="Times New Roman" w:hAnsi="Times New Roman" w:eastAsia="宋体" w:cs="Times New Roman"/>
      <w:b/>
      <w:bCs/>
    </w:rPr>
  </w:style>
  <w:style w:type="character" w:styleId="1178" w:customStyle="1">
    <w:name w:val="页码1"/>
    <w:link w:val="925"/>
    <w:uiPriority w:val="0"/>
    <w:qFormat/>
    <w:rPr>
      <w:rFonts w:ascii="Times New Roman" w:hAnsi="Times New Roman" w:eastAsia="宋体" w:cs="Times New Roman"/>
    </w:rPr>
  </w:style>
  <w:style w:type="character" w:styleId="1179" w:customStyle="1">
    <w:name w:val="已访问的超链接1"/>
    <w:link w:val="925"/>
    <w:uiPriority w:val="0"/>
    <w:qFormat/>
    <w:rPr>
      <w:rFonts w:ascii="Times New Roman" w:hAnsi="Times New Roman" w:eastAsia="宋体" w:cs="Times New Roman"/>
      <w:color w:val="800080"/>
      <w:u w:val="single"/>
    </w:rPr>
  </w:style>
  <w:style w:type="character" w:styleId="1180" w:customStyle="1">
    <w:name w:val="超链接1"/>
    <w:link w:val="925"/>
    <w:uiPriority w:val="0"/>
    <w:qFormat/>
    <w:rPr>
      <w:rFonts w:ascii="Times New Roman" w:hAnsi="Times New Roman" w:eastAsia="宋体" w:cs="Times New Roman"/>
      <w:color w:val="0000ff"/>
      <w:u w:val="single"/>
    </w:rPr>
  </w:style>
  <w:style w:type="character" w:styleId="1181" w:customStyle="1">
    <w:name w:val="批注引用1"/>
    <w:link w:val="925"/>
    <w:uiPriority w:val="0"/>
    <w:qFormat/>
    <w:rPr>
      <w:rFonts w:ascii="Times New Roman" w:hAnsi="Times New Roman" w:eastAsia="宋体" w:cs="Times New Roman"/>
      <w:sz w:val="21"/>
      <w:szCs w:val="21"/>
    </w:rPr>
  </w:style>
  <w:style w:type="paragraph" w:styleId="1182" w:customStyle="1">
    <w:name w:val="普通正文"/>
    <w:basedOn w:val="925"/>
    <w:uiPriority w:val="0"/>
    <w:qFormat/>
    <w:pPr>
      <w:ind w:firstLine="480"/>
      <w:jc w:val="left"/>
      <w:spacing w:before="120" w:after="120" w:line="360" w:lineRule="auto"/>
    </w:pPr>
    <w:rPr>
      <w:rFonts w:ascii="Arial" w:hAnsi="Arial" w:eastAsia="宋体" w:cs="Times New Roman"/>
      <w:sz w:val="24"/>
      <w:szCs w:val="24"/>
    </w:rPr>
  </w:style>
  <w:style w:type="paragraph" w:styleId="1183"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84" w:customStyle="1">
    <w:name w:val="标题 11"/>
    <w:basedOn w:val="925"/>
    <w:next w:val="925"/>
    <w:uiPriority w:val="0"/>
    <w:qFormat/>
    <w:pPr>
      <w:jc w:val="center"/>
      <w:keepNext/>
      <w:outlineLvl w:val="0"/>
    </w:pPr>
    <w:rPr>
      <w:rFonts w:ascii="楷体_GB2312" w:hAnsi="Times New Roman" w:eastAsia="楷体_GB2312" w:cs="Times New Roman"/>
      <w:sz w:val="28"/>
      <w:szCs w:val="28"/>
    </w:rPr>
  </w:style>
  <w:style w:type="paragraph" w:styleId="1185" w:customStyle="1">
    <w:name w:val="正文文本1"/>
    <w:basedOn w:val="925"/>
    <w:uiPriority w:val="0"/>
    <w:qFormat/>
    <w:rPr>
      <w:rFonts w:ascii="楷体_GB2312" w:hAnsi="Arial" w:eastAsia="楷体_GB2312" w:cs="Times New Roman"/>
      <w:sz w:val="28"/>
      <w:szCs w:val="28"/>
    </w:rPr>
  </w:style>
  <w:style w:type="paragraph" w:styleId="1186" w:customStyle="1">
    <w:name w:val="标题 21"/>
    <w:basedOn w:val="925"/>
    <w:next w:val="925"/>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1187" w:customStyle="1">
    <w:name w:val="默认段落字体11"/>
    <w:link w:val="925"/>
    <w:uiPriority w:val="0"/>
    <w:qFormat/>
    <w:rPr>
      <w:rFonts w:ascii="Calibri" w:hAnsi="Calibri" w:eastAsia="宋体" w:cs="宋体"/>
      <w:sz w:val="21"/>
      <w:szCs w:val="24"/>
    </w:rPr>
  </w:style>
  <w:style w:type="paragraph" w:styleId="1188" w:customStyle="1">
    <w:name w:val="Table Text"/>
    <w:basedOn w:val="925"/>
    <w:uiPriority w:val="0"/>
    <w:qFormat/>
    <w:rPr>
      <w:rFonts w:ascii="宋体" w:hAnsi="宋体" w:eastAsia="宋体" w:cs="Times New Roman"/>
      <w:sz w:val="24"/>
      <w:lang w:eastAsia="en-US"/>
    </w:rPr>
  </w:style>
  <w:style w:type="character" w:styleId="1189" w:customStyle="1">
    <w:name w:val="font5 Char"/>
    <w:link w:val="925"/>
    <w:uiPriority w:val="0"/>
    <w:qFormat/>
    <w:rPr>
      <w:rFonts w:ascii="宋体" w:hAnsi="宋体" w:eastAsia="宋体" w:cs="Times New Roman"/>
      <w:sz w:val="28"/>
      <w:szCs w:val="28"/>
      <w:lang w:val="en-US" w:eastAsia="zh-CN" w:bidi="ar-SA"/>
    </w:rPr>
  </w:style>
  <w:style w:type="paragraph" w:styleId="1190" w:customStyle="1">
    <w:name w:val="二级目录"/>
    <w:next w:val="925"/>
    <w:link w:val="11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1" w:customStyle="1">
    <w:name w:val="二级目录 Char"/>
    <w:link w:val="1190"/>
    <w:uiPriority w:val="0"/>
    <w:qFormat/>
    <w:rPr>
      <w:rFonts w:ascii="Times New Roman" w:hAnsi="Times New Roman" w:eastAsia="宋体" w:cs="Times New Roman"/>
      <w:b/>
      <w:sz w:val="30"/>
      <w:szCs w:val="28"/>
    </w:rPr>
  </w:style>
  <w:style w:type="paragraph" w:styleId="1192" w:customStyle="1">
    <w:name w:val="列出段落1"/>
    <w:basedOn w:val="925"/>
    <w:link w:val="1193"/>
    <w:uiPriority w:val="0"/>
    <w:qFormat/>
    <w:pPr>
      <w:contextualSpacing/>
      <w:ind w:left="720"/>
      <w:jc w:val="left"/>
      <w:widowControl/>
    </w:pPr>
    <w:rPr>
      <w:rFonts w:ascii="Calibri" w:hAnsi="Calibri" w:eastAsia="宋体" w:cs="Times New Roman"/>
      <w:sz w:val="24"/>
      <w:szCs w:val="24"/>
      <w:lang w:eastAsia="en-US" w:bidi="en-US"/>
    </w:rPr>
  </w:style>
  <w:style w:type="character" w:styleId="1193" w:customStyle="1">
    <w:name w:val="列出段落 Char"/>
    <w:link w:val="1192"/>
    <w:uiPriority w:val="0"/>
    <w:qFormat/>
    <w:rPr>
      <w:rFonts w:ascii="Calibri" w:hAnsi="Calibri" w:eastAsia="宋体" w:cs="Times New Roman"/>
      <w:sz w:val="24"/>
      <w:szCs w:val="24"/>
      <w:lang w:eastAsia="en-US" w:bidi="en-US"/>
    </w:rPr>
  </w:style>
  <w:style w:type="paragraph" w:styleId="1194" w:customStyle="1">
    <w:name w:val="Body Text(ch)"/>
    <w:basedOn w:val="925"/>
    <w:next w:val="1137"/>
    <w:uiPriority w:val="0"/>
    <w:qFormat/>
    <w:pPr>
      <w:spacing w:after="120"/>
    </w:pPr>
    <w:rPr>
      <w:rFonts w:ascii="宋体" w:hAnsi="Arial" w:eastAsia="宋体" w:cs="Times New Roman"/>
      <w:bCs/>
      <w:iCs/>
      <w:szCs w:val="24"/>
    </w:rPr>
  </w:style>
  <w:style w:type="paragraph" w:styleId="1195" w:customStyle="1">
    <w:name w:val="xl27"/>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6" w:customStyle="1">
    <w:name w:val="xl26"/>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7" w:customStyle="1">
    <w:name w:val="Char"/>
    <w:basedOn w:val="925"/>
    <w:uiPriority w:val="0"/>
    <w:qFormat/>
    <w:pPr>
      <w:ind w:firstLine="200"/>
      <w:tabs>
        <w:tab w:val="left" w:pos="360" w:leader="none"/>
      </w:tabs>
    </w:pPr>
    <w:rPr>
      <w:rFonts w:ascii="Times New Roman" w:hAnsi="Times New Roman" w:eastAsia="宋体" w:cs="Times New Roman"/>
      <w:sz w:val="28"/>
      <w:szCs w:val="30"/>
    </w:rPr>
  </w:style>
  <w:style w:type="paragraph" w:styleId="1198" w:customStyle="1">
    <w:name w:val=" Char"/>
    <w:basedOn w:val="1131"/>
    <w:uiPriority w:val="0"/>
    <w:qFormat/>
    <w:rPr>
      <w:rFonts w:ascii="Tahoma" w:hAnsi="Tahoma" w:eastAsia="宋体" w:cs="Times New Roman"/>
      <w:sz w:val="24"/>
      <w:szCs w:val="24"/>
    </w:rPr>
  </w:style>
  <w:style w:type="paragraph" w:styleId="1199" w:customStyle="1">
    <w:name w:val="table_lines"/>
    <w:basedOn w:val="925"/>
    <w:uiPriority w:val="0"/>
    <w:qFormat/>
    <w:pPr>
      <w:jc w:val="left"/>
      <w:widowControl/>
    </w:pPr>
    <w:rPr>
      <w:rFonts w:ascii="Times New Roman" w:hAnsi="Times New Roman" w:eastAsia="宋体" w:cs="Times New Roman"/>
      <w:sz w:val="20"/>
      <w:szCs w:val="20"/>
      <w:lang w:val="de-DE" w:eastAsia="de-DE"/>
    </w:rPr>
  </w:style>
  <w:style w:type="paragraph" w:styleId="120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01" w:customStyle="1">
    <w:name w:val="font7"/>
    <w:basedOn w:val="92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2" w:customStyle="1">
    <w:name w:val=" Char Char Char Char"/>
    <w:basedOn w:val="1131"/>
    <w:uiPriority w:val="0"/>
    <w:qFormat/>
    <w:pPr>
      <w:spacing w:line="360" w:lineRule="auto"/>
    </w:pPr>
    <w:rPr>
      <w:rFonts w:ascii="Tahoma" w:hAnsi="Tahoma" w:eastAsia="宋体" w:cs="Times New Roman"/>
      <w:sz w:val="24"/>
      <w:szCs w:val="24"/>
    </w:rPr>
  </w:style>
  <w:style w:type="paragraph" w:styleId="1203" w:customStyle="1">
    <w:name w:val="列出段落"/>
    <w:basedOn w:val="925"/>
    <w:uiPriority w:val="0"/>
    <w:qFormat/>
    <w:pPr>
      <w:contextualSpacing/>
      <w:ind w:left="720"/>
      <w:jc w:val="left"/>
      <w:widowControl/>
    </w:pPr>
    <w:rPr>
      <w:rFonts w:ascii="Calibri" w:hAnsi="Calibri" w:eastAsia="宋体" w:cs="Times New Roman"/>
      <w:sz w:val="24"/>
      <w:szCs w:val="24"/>
      <w:lang w:eastAsia="en-US" w:bidi="en-US"/>
    </w:rPr>
  </w:style>
  <w:style w:type="paragraph" w:styleId="1204" w:customStyle="1">
    <w:name w:val="4"/>
    <w:basedOn w:val="925"/>
    <w:next w:val="1161"/>
    <w:uiPriority w:val="0"/>
    <w:qFormat/>
    <w:pPr>
      <w:ind w:firstLine="420"/>
      <w:spacing w:line="360" w:lineRule="auto"/>
    </w:pPr>
    <w:rPr>
      <w:rFonts w:ascii="Times New Roman" w:hAnsi="Times New Roman" w:eastAsia="宋体" w:cs="Times New Roman"/>
      <w:color w:val="ff0000"/>
      <w:sz w:val="24"/>
      <w:szCs w:val="24"/>
    </w:rPr>
  </w:style>
  <w:style w:type="paragraph" w:styleId="1205" w:customStyle="1">
    <w:name w:val="普通 (Web)"/>
    <w:basedOn w:val="925"/>
    <w:uiPriority w:val="0"/>
    <w:qFormat/>
    <w:pPr>
      <w:jc w:val="left"/>
      <w:spacing w:before="100" w:beforeAutospacing="1" w:after="100" w:afterAutospacing="1"/>
      <w:widowControl/>
    </w:pPr>
    <w:rPr>
      <w:rFonts w:ascii="宋体" w:hAnsi="宋体" w:eastAsia="宋体" w:cs="Times New Roman"/>
      <w:sz w:val="24"/>
      <w:szCs w:val="24"/>
    </w:rPr>
  </w:style>
  <w:style w:type="paragraph" w:styleId="1206" w:customStyle="1">
    <w:name w:val=" Char Char Char Char Char Char Char Char Char Char"/>
    <w:basedOn w:val="925"/>
    <w:uiPriority w:val="0"/>
    <w:qFormat/>
    <w:pPr>
      <w:spacing w:line="360" w:lineRule="auto"/>
    </w:pPr>
    <w:rPr>
      <w:rFonts w:ascii="Times New Roman" w:hAnsi="Times New Roman" w:eastAsia="宋体" w:cs="Times New Roman"/>
      <w:sz w:val="24"/>
      <w:szCs w:val="20"/>
    </w:rPr>
  </w:style>
  <w:style w:type="paragraph" w:styleId="1207" w:customStyle="1">
    <w:name w:val="样式1"/>
    <w:basedOn w:val="925"/>
    <w:uiPriority w:val="0"/>
    <w:qFormat/>
    <w:pPr>
      <w:numPr>
        <w:ilvl w:val="0"/>
        <w:numId w:val="3"/>
      </w:numPr>
    </w:pPr>
    <w:rPr>
      <w:rFonts w:ascii="宋体" w:hAnsi="宋体" w:eastAsia="宋体" w:cs="Times New Roman"/>
    </w:rPr>
  </w:style>
  <w:style w:type="paragraph" w:styleId="1208" w:customStyle="1">
    <w:name w:val="font6"/>
    <w:basedOn w:val="92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9" w:customStyle="1">
    <w:name w:val="xl25"/>
    <w:basedOn w:val="9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0" w:customStyle="1">
    <w:name w:val="图标"/>
    <w:basedOn w:val="925"/>
    <w:next w:val="92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11" w:customStyle="1">
    <w:name w:val="标题3"/>
    <w:basedOn w:val="925"/>
    <w:next w:val="925"/>
    <w:uiPriority w:val="0"/>
    <w:qFormat/>
    <w:pPr>
      <w:ind w:firstLine="624"/>
      <w:spacing w:line="590" w:lineRule="atLeast"/>
    </w:pPr>
    <w:rPr>
      <w:rFonts w:ascii="方正黑体_GBK" w:hAnsi="Times New Roman" w:eastAsia="方正黑体_GBK" w:cs="Times New Roman"/>
      <w:sz w:val="32"/>
      <w:szCs w:val="32"/>
    </w:rPr>
  </w:style>
  <w:style w:type="paragraph" w:styleId="1212" w:customStyle="1">
    <w:name w:val="xl24"/>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3" w:customStyle="1">
    <w:name w:val="xl29"/>
    <w:basedOn w:val="92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14" w:customStyle="1">
    <w:name w:val="Char Char Char Char Char Char Char Char"/>
    <w:basedOn w:val="925"/>
    <w:uiPriority w:val="0"/>
    <w:qFormat/>
    <w:pPr>
      <w:jc w:val="left"/>
      <w:spacing w:after="160" w:line="240" w:lineRule="exact"/>
      <w:widowControl/>
    </w:pPr>
    <w:rPr>
      <w:rFonts w:ascii="Verdana" w:hAnsi="Verdana" w:eastAsia="宋体" w:cs="Times New Roman"/>
      <w:sz w:val="20"/>
      <w:szCs w:val="20"/>
      <w:lang w:eastAsia="en-US"/>
    </w:rPr>
  </w:style>
  <w:style w:type="paragraph" w:styleId="1215" w:customStyle="1">
    <w:name w:val="xl28"/>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6" w:customStyle="1">
    <w:name w:val=" Char Char Char Char Char Char Char Char"/>
    <w:basedOn w:val="925"/>
    <w:uiPriority w:val="0"/>
    <w:qFormat/>
    <w:pPr>
      <w:jc w:val="left"/>
      <w:spacing w:after="160" w:line="240" w:lineRule="exact"/>
      <w:widowControl/>
    </w:pPr>
    <w:rPr>
      <w:rFonts w:ascii="Verdana" w:hAnsi="Verdana" w:eastAsia="宋体" w:cs="Times New Roman"/>
      <w:sz w:val="20"/>
      <w:szCs w:val="20"/>
      <w:lang w:eastAsia="en-US"/>
    </w:rPr>
  </w:style>
  <w:style w:type="paragraph" w:styleId="1217" w:customStyle="1">
    <w:name w:val="xl30"/>
    <w:basedOn w:val="92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18" w:customStyle="1">
    <w:name w:val="Char Char Char Char"/>
    <w:basedOn w:val="1131"/>
    <w:uiPriority w:val="0"/>
    <w:qFormat/>
    <w:pPr>
      <w:spacing w:line="360" w:lineRule="auto"/>
    </w:pPr>
    <w:rPr>
      <w:rFonts w:ascii="Tahoma" w:hAnsi="Tahoma" w:eastAsia="宋体" w:cs="Times New Roman"/>
      <w:sz w:val="24"/>
      <w:szCs w:val="24"/>
    </w:rPr>
  </w:style>
  <w:style w:type="paragraph" w:styleId="1219" w:customStyle="1">
    <w:name w:val="table_1stline"/>
    <w:basedOn w:val="925"/>
    <w:uiPriority w:val="0"/>
    <w:qFormat/>
    <w:pPr>
      <w:jc w:val="left"/>
      <w:spacing w:before="120"/>
      <w:widowControl/>
    </w:pPr>
    <w:rPr>
      <w:rFonts w:ascii="Times New Roman" w:hAnsi="Times New Roman" w:eastAsia="宋体" w:cs="Times New Roman"/>
      <w:bCs/>
      <w:sz w:val="20"/>
      <w:szCs w:val="20"/>
      <w:lang w:val="de-DE" w:eastAsia="de-DE"/>
    </w:rPr>
  </w:style>
  <w:style w:type="paragraph" w:styleId="1220" w:customStyle="1">
    <w:name w:val="font5"/>
    <w:basedOn w:val="92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21" w:customStyle="1">
    <w:name w:val="标题1"/>
    <w:basedOn w:val="925"/>
    <w:next w:val="92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2" w:customStyle="1">
    <w:name w:val="修订"/>
    <w:uiPriority w:val="0"/>
    <w:qFormat/>
    <w:rPr>
      <w:rFonts w:hint="default" w:ascii="Times New Roman" w:hAnsi="Times New Roman" w:eastAsia="宋体" w:cs="Times New Roman"/>
      <w:sz w:val="21"/>
      <w:szCs w:val="21"/>
      <w:lang w:val="en-US" w:eastAsia="zh-CN" w:bidi="ar-SA"/>
    </w:rPr>
  </w:style>
  <w:style w:type="paragraph" w:styleId="1223" w:customStyle="1">
    <w:name w:val="纯文本1"/>
    <w:basedOn w:val="925"/>
    <w:uiPriority w:val="0"/>
    <w:qFormat/>
    <w:rPr>
      <w:rFonts w:ascii="宋体" w:hAnsi="Courier New" w:eastAsia="宋体" w:cs="Courier New"/>
      <w:szCs w:val="21"/>
    </w:rPr>
  </w:style>
  <w:style w:type="paragraph" w:styleId="1224" w:customStyle="1">
    <w:name w:val="标题 31"/>
    <w:basedOn w:val="925"/>
    <w:next w:val="925"/>
    <w:uiPriority w:val="0"/>
    <w:qFormat/>
    <w:pPr>
      <w:keepLines/>
      <w:keepNext/>
      <w:spacing w:before="260" w:after="260" w:line="416" w:lineRule="auto"/>
      <w:outlineLvl w:val="2"/>
    </w:pPr>
    <w:rPr>
      <w:rFonts w:ascii="Times New Roman" w:hAnsi="Times New Roman" w:eastAsia="宋体" w:cs="Times New Roman"/>
      <w:b/>
      <w:bCs/>
      <w:sz w:val="32"/>
      <w:szCs w:val="32"/>
    </w:rPr>
  </w:style>
  <w:style w:type="numbering" w:styleId="21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王建浩</cp:lastModifiedBy>
  <cp:revision>9</cp:revision>
  <dcterms:created xsi:type="dcterms:W3CDTF">2023-03-16T02:16:00Z</dcterms:created>
  <dcterms:modified xsi:type="dcterms:W3CDTF">2026-03-27T06:23:12Z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89E42B89F6ED4604A62616BF88496B76_13</vt:lpwstr>
  </property>
  <property fmtid="{D5CDD505-2E9C-101B-9397-08002B2CF9AE}" pid="4" name="KSOTemplateDocerSaveRecord">
    <vt:lpwstr>eyJoZGlkIjoiNTFjN2YwYjkwMmQyZjEwMDVlMjU0YmE0Mzc1NDcxYTAiLCJ1c2VySWQiOiI3MDcwNzM5NDgifQ==</vt:lpwstr>
  </property>
</Properties>
</file>