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EF9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江苏省睢宁高级中学新校区项目家具类采购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）</w:t>
      </w:r>
    </w:p>
    <w:p w14:paraId="40678161">
      <w:pPr>
        <w:pStyle w:val="24"/>
        <w:widowControl/>
        <w:spacing w:beforeAutospacing="0" w:afterAutospacing="0" w:line="38" w:lineRule="atLeas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12CB1544">
      <w:pPr>
        <w:pStyle w:val="24"/>
        <w:widowControl/>
        <w:spacing w:beforeAutospacing="0" w:afterAutospacing="0" w:line="360" w:lineRule="auto"/>
        <w:jc w:val="both"/>
        <w:rPr>
          <w:rStyle w:val="28"/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一、以下为澄清或者修改的内容</w:t>
      </w:r>
    </w:p>
    <w:p w14:paraId="6EB0A161">
      <w:pPr>
        <w:pStyle w:val="2"/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cs="宋体"/>
          <w:b/>
          <w:color w:val="auto"/>
          <w:sz w:val="28"/>
          <w:szCs w:val="28"/>
          <w:lang w:val="en-US" w:eastAsia="zh-CN"/>
        </w:rPr>
        <w:t>（1）</w:t>
      </w:r>
      <w:r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  <w:t>原招标文件第六章《采购需求》四、技术规格(性能)要求“采购包5技术规格(性能)要求”篮球馆看台座椅参数如下：</w:t>
      </w:r>
    </w:p>
    <w:p w14:paraId="7B87C045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1.座面静载：2000N/30次 无断裂、无明显变形。</w:t>
      </w:r>
    </w:p>
    <w:p w14:paraId="4D574561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2.椅背静载：800N/30次。</w:t>
      </w:r>
    </w:p>
    <w:p w14:paraId="39A96079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3.耐久疲劳：座面960N、椅背360N，30万次无松动开裂。</w:t>
      </w:r>
    </w:p>
    <w:p w14:paraId="09106CD7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4.防火阻燃：材料满足 GB 8624 阻燃1级，公共场所需提供标识证书。</w:t>
      </w:r>
    </w:p>
    <w:p w14:paraId="12107689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5.耐腐蚀：金属框架喷塑/镀锌，48h盐雾无红锈。</w:t>
      </w:r>
    </w:p>
    <w:p w14:paraId="406A16CC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边角处理：全圆角R≥3mm，防夹伤。</w:t>
      </w:r>
    </w:p>
    <w:p w14:paraId="04C1F335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6.座面：HDPE中空吹塑，抗紫外线、耐老化，色差≤3-4级 。</w:t>
      </w:r>
    </w:p>
    <w:p w14:paraId="16E5565A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7.金属骨架：冷轧钢/铝合金，表面喷塑，附着力≥3级。</w:t>
      </w:r>
    </w:p>
    <w:p w14:paraId="71F7ACC4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8.声学：活动件回弹声≤25dB，减少赛场噪音。</w:t>
      </w:r>
    </w:p>
    <w:p w14:paraId="3ACE5324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执行标准：QB/T 2601-2013、GB 8624-2012、GB/T 35607-2017。</w:t>
      </w:r>
    </w:p>
    <w:p w14:paraId="20E71048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检测报告：第三方机构出具力学、阻燃、耐腐蚀测试报告。</w:t>
      </w:r>
    </w:p>
    <w:p w14:paraId="49D63122">
      <w:pPr>
        <w:pStyle w:val="2"/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 w:val="0"/>
          <w:bCs/>
          <w:color w:val="auto"/>
          <w:sz w:val="28"/>
          <w:szCs w:val="28"/>
          <w:lang w:val="en-US" w:eastAsia="zh-CN"/>
        </w:rPr>
        <w:t>安装:椅背要有座位号，安装稳固不松动，疏散通道符合 JGJ 31。</w:t>
      </w:r>
    </w:p>
    <w:p w14:paraId="4C9449A7">
      <w:pPr>
        <w:pStyle w:val="2"/>
        <w:rPr>
          <w:rStyle w:val="28"/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</w:pPr>
      <w:r>
        <w:rPr>
          <w:rStyle w:val="28"/>
          <w:rFonts w:hint="eastAsia" w:ascii="Times New Roman" w:hAnsi="Times New Roman" w:cs="宋体"/>
          <w:b/>
          <w:color w:val="auto"/>
          <w:sz w:val="28"/>
          <w:szCs w:val="28"/>
          <w:lang w:val="en-US" w:eastAsia="zh-CN"/>
        </w:rPr>
        <w:t>现更正为</w:t>
      </w:r>
      <w:r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  <w:t>：</w:t>
      </w:r>
    </w:p>
    <w:p w14:paraId="44D416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1.座面静载：2000N/30次 无断裂、无明显变形。</w:t>
      </w:r>
    </w:p>
    <w:p w14:paraId="2C220A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2.椅背静载：800N/30次。</w:t>
      </w:r>
    </w:p>
    <w:p w14:paraId="65105C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3.耐久疲劳：座面960N、椅背360N，30万次无松动开裂。</w:t>
      </w:r>
    </w:p>
    <w:p w14:paraId="0AB065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4.防火阻燃：符合GB 20286-2006《公共场所阻燃制品及组件燃烧性能要求和标识》阻燃1级，公共场所需提供标识证书。</w:t>
      </w:r>
    </w:p>
    <w:p w14:paraId="19BDED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5.耐腐蚀：金属框架喷塑/镀锌，48h盐雾无红锈。</w:t>
      </w:r>
    </w:p>
    <w:p w14:paraId="4DB63A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边角处理：全圆角R≥3mm，防夹伤。</w:t>
      </w:r>
    </w:p>
    <w:p w14:paraId="44DD16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6.座面：HDPE中空吹塑，抗紫外线、耐老化，色差≤3-4级 。</w:t>
      </w:r>
    </w:p>
    <w:p w14:paraId="686BF3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7.金属骨架：冷轧钢/铝合金，表面喷塑，附着力≥3级。</w:t>
      </w:r>
    </w:p>
    <w:p w14:paraId="353BFB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执行标准：QB/T 2601-2013、GB 8624-2012、GB/T 35607-2024。</w:t>
      </w:r>
    </w:p>
    <w:p w14:paraId="73991B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检测报告：第三方机构出具力学、阻燃、耐腐蚀测试报告。</w:t>
      </w:r>
    </w:p>
    <w:p w14:paraId="416AEA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安装:椅背要有座位号，安装稳固不松动，疏散通道符合 JGJ 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p w14:paraId="598D3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default" w:ascii="宋体" w:hAnsi="宋体" w:eastAsia="宋体" w:cs="宋体"/>
          <w:kern w:val="2"/>
          <w:sz w:val="24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  <w:t>（2）原招标文件第六章《采购需求》二、采购清单</w:t>
      </w:r>
      <w:r>
        <w:rPr>
          <w:rStyle w:val="28"/>
          <w:rFonts w:hint="eastAsia" w:ascii="Times New Roman" w:hAnsi="Times New Roman" w:cs="宋体"/>
          <w:b/>
          <w:color w:val="auto"/>
          <w:sz w:val="28"/>
          <w:szCs w:val="28"/>
          <w:lang w:val="en-US" w:eastAsia="zh-CN"/>
        </w:rPr>
        <w:t>中</w:t>
      </w:r>
      <w:r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  <w:t>采购包5与采购包6</w:t>
      </w:r>
      <w:r>
        <w:rPr>
          <w:rStyle w:val="28"/>
          <w:rFonts w:hint="eastAsia" w:ascii="Times New Roman" w:hAnsi="Times New Roman" w:cs="宋体"/>
          <w:b/>
          <w:color w:val="auto"/>
          <w:sz w:val="28"/>
          <w:szCs w:val="28"/>
          <w:lang w:val="en-US" w:eastAsia="zh-CN"/>
        </w:rPr>
        <w:t>“名称”</w:t>
      </w:r>
      <w:r>
        <w:rPr>
          <w:rStyle w:val="28"/>
          <w:rFonts w:hint="eastAsia" w:ascii="Times New Roman" w:hAnsi="Times New Roman" w:eastAsia="宋体" w:cs="宋体"/>
          <w:b/>
          <w:color w:val="auto"/>
          <w:sz w:val="28"/>
          <w:szCs w:val="28"/>
          <w:lang w:val="en-US" w:eastAsia="zh-CN"/>
        </w:rPr>
        <w:t>表述不一致，</w:t>
      </w:r>
      <w:r>
        <w:rPr>
          <w:rStyle w:val="28"/>
          <w:rFonts w:hint="eastAsia" w:ascii="Times New Roman" w:hAnsi="Times New Roman" w:cs="宋体"/>
          <w:b/>
          <w:color w:val="auto"/>
          <w:sz w:val="28"/>
          <w:szCs w:val="28"/>
          <w:lang w:val="en-US" w:eastAsia="zh-CN"/>
        </w:rPr>
        <w:t>修改如下：</w:t>
      </w:r>
    </w:p>
    <w:p w14:paraId="7769DA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</w:rPr>
        <w:t>采购包5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为“</w:t>
      </w:r>
      <w:r>
        <w:rPr>
          <w:rFonts w:hint="eastAsia" w:ascii="宋体" w:hAnsi="宋体" w:eastAsia="宋体" w:cs="宋体"/>
          <w:color w:val="auto"/>
          <w:kern w:val="2"/>
          <w:sz w:val="24"/>
        </w:rPr>
        <w:t>篮球馆</w:t>
      </w:r>
      <w:r>
        <w:rPr>
          <w:rFonts w:hint="eastAsia" w:ascii="宋体" w:hAnsi="宋体" w:eastAsia="宋体" w:cs="宋体"/>
          <w:color w:val="auto"/>
          <w:kern w:val="2"/>
          <w:sz w:val="24"/>
          <w:lang w:eastAsia="zh-CN"/>
        </w:rPr>
        <w:t>看台</w:t>
      </w:r>
      <w:r>
        <w:rPr>
          <w:rFonts w:hint="eastAsia" w:ascii="宋体" w:hAnsi="宋体" w:eastAsia="宋体" w:cs="宋体"/>
          <w:color w:val="auto"/>
          <w:kern w:val="2"/>
          <w:sz w:val="24"/>
        </w:rPr>
        <w:t>座椅</w:t>
      </w:r>
      <w:r>
        <w:rPr>
          <w:rFonts w:hint="eastAsia" w:ascii="宋体" w:hAnsi="宋体" w:eastAsia="宋体" w:cs="宋体"/>
          <w:kern w:val="2"/>
          <w:sz w:val="24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4"/>
          <w:lang w:eastAsia="zh-CN"/>
        </w:rPr>
        <w:t>”，</w:t>
      </w:r>
      <w:r>
        <w:rPr>
          <w:rFonts w:hint="eastAsia" w:ascii="宋体" w:hAnsi="宋体" w:eastAsia="宋体" w:cs="宋体"/>
          <w:kern w:val="2"/>
          <w:sz w:val="24"/>
        </w:rPr>
        <w:t>采购包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6为“</w:t>
      </w:r>
      <w:r>
        <w:rPr>
          <w:rFonts w:hint="eastAsia" w:ascii="宋体" w:hAnsi="宋体" w:eastAsia="宋体" w:cs="宋体"/>
          <w:kern w:val="2"/>
          <w:sz w:val="24"/>
        </w:rPr>
        <w:t>报告厅家具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kern w:val="2"/>
          <w:sz w:val="24"/>
          <w:lang w:eastAsia="zh-CN"/>
        </w:rPr>
        <w:t>”</w:t>
      </w:r>
      <w:r>
        <w:rPr>
          <w:rFonts w:hint="eastAsia" w:cs="宋体"/>
          <w:kern w:val="2"/>
          <w:sz w:val="24"/>
          <w:lang w:eastAsia="zh-CN"/>
        </w:rPr>
        <w:t>。</w:t>
      </w:r>
    </w:p>
    <w:p w14:paraId="5E0BDED7">
      <w:pPr>
        <w:pStyle w:val="2"/>
        <w:ind w:left="0" w:leftChars="0" w:firstLine="0" w:firstLineChars="0"/>
        <w:rPr>
          <w:rFonts w:hint="default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2B35CBE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  <w:t>二、除以上内容更正（澄清）外，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</w:rPr>
        <w:t>其他内容不变。</w:t>
      </w:r>
    </w:p>
    <w:p w14:paraId="3EF860BB">
      <w:pPr>
        <w:pStyle w:val="2"/>
        <w:rPr>
          <w:rFonts w:hint="eastAsia"/>
          <w:color w:val="auto"/>
        </w:rPr>
      </w:pPr>
    </w:p>
    <w:p w14:paraId="5B216090">
      <w:pPr>
        <w:pStyle w:val="2"/>
        <w:rPr>
          <w:rFonts w:hint="eastAsia"/>
          <w:color w:val="auto"/>
        </w:rPr>
      </w:pPr>
    </w:p>
    <w:p w14:paraId="61D46C59">
      <w:pPr>
        <w:pStyle w:val="2"/>
        <w:ind w:left="0" w:leftChars="0" w:firstLine="0" w:firstLineChars="0"/>
        <w:rPr>
          <w:rFonts w:hint="eastAsia"/>
          <w:color w:val="auto"/>
        </w:rPr>
      </w:pPr>
    </w:p>
    <w:p w14:paraId="22A8D007">
      <w:pPr>
        <w:pStyle w:val="21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江苏中瑞建设项目管理有限公司</w:t>
      </w:r>
    </w:p>
    <w:p w14:paraId="5219569E">
      <w:pPr>
        <w:pStyle w:val="21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2026年4月30日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DEC"/>
    <w:rsid w:val="03640B3D"/>
    <w:rsid w:val="048F7EE8"/>
    <w:rsid w:val="071B28F6"/>
    <w:rsid w:val="088A071D"/>
    <w:rsid w:val="09502F56"/>
    <w:rsid w:val="0A5553DD"/>
    <w:rsid w:val="0A911A78"/>
    <w:rsid w:val="0C7E387A"/>
    <w:rsid w:val="0CCC4FEA"/>
    <w:rsid w:val="0D511D2F"/>
    <w:rsid w:val="0E3176C7"/>
    <w:rsid w:val="0FCB5A17"/>
    <w:rsid w:val="102874AB"/>
    <w:rsid w:val="103D3324"/>
    <w:rsid w:val="109D1177"/>
    <w:rsid w:val="111110FD"/>
    <w:rsid w:val="116E0A2C"/>
    <w:rsid w:val="117920CB"/>
    <w:rsid w:val="123E4294"/>
    <w:rsid w:val="15127C5A"/>
    <w:rsid w:val="153032F3"/>
    <w:rsid w:val="176371DE"/>
    <w:rsid w:val="188C4903"/>
    <w:rsid w:val="19FC41DF"/>
    <w:rsid w:val="1A0E09F0"/>
    <w:rsid w:val="1DCD4F4F"/>
    <w:rsid w:val="1FA0658E"/>
    <w:rsid w:val="1FCB4587"/>
    <w:rsid w:val="216919F8"/>
    <w:rsid w:val="2294492A"/>
    <w:rsid w:val="233E4217"/>
    <w:rsid w:val="23A128D5"/>
    <w:rsid w:val="23BE4C40"/>
    <w:rsid w:val="23FC58BB"/>
    <w:rsid w:val="246E6B03"/>
    <w:rsid w:val="25F65EA0"/>
    <w:rsid w:val="29095841"/>
    <w:rsid w:val="29D96155"/>
    <w:rsid w:val="2A34411C"/>
    <w:rsid w:val="2AAF6BEE"/>
    <w:rsid w:val="2BF462F7"/>
    <w:rsid w:val="2C0707CE"/>
    <w:rsid w:val="2CA927FA"/>
    <w:rsid w:val="2CA95249"/>
    <w:rsid w:val="2CC774B0"/>
    <w:rsid w:val="2D174892"/>
    <w:rsid w:val="2D43337D"/>
    <w:rsid w:val="2D7328EF"/>
    <w:rsid w:val="2ECA44C6"/>
    <w:rsid w:val="2F065CE2"/>
    <w:rsid w:val="2F2B5748"/>
    <w:rsid w:val="31B21285"/>
    <w:rsid w:val="31CA573B"/>
    <w:rsid w:val="35226F2C"/>
    <w:rsid w:val="36727878"/>
    <w:rsid w:val="36DA1F2E"/>
    <w:rsid w:val="36E3362A"/>
    <w:rsid w:val="373D2F93"/>
    <w:rsid w:val="388C54AA"/>
    <w:rsid w:val="38EA0D21"/>
    <w:rsid w:val="3A023B78"/>
    <w:rsid w:val="3A8F5472"/>
    <w:rsid w:val="3AA31C05"/>
    <w:rsid w:val="3AC13E88"/>
    <w:rsid w:val="3E954F57"/>
    <w:rsid w:val="3F6F500B"/>
    <w:rsid w:val="3F852C53"/>
    <w:rsid w:val="3FE67B95"/>
    <w:rsid w:val="3FE77469"/>
    <w:rsid w:val="40401F7A"/>
    <w:rsid w:val="40D948EB"/>
    <w:rsid w:val="41481920"/>
    <w:rsid w:val="41562AF9"/>
    <w:rsid w:val="42F23EC2"/>
    <w:rsid w:val="43E066F5"/>
    <w:rsid w:val="443F1FF9"/>
    <w:rsid w:val="449737C0"/>
    <w:rsid w:val="45CF69D6"/>
    <w:rsid w:val="484328F0"/>
    <w:rsid w:val="498D1081"/>
    <w:rsid w:val="4AC867EE"/>
    <w:rsid w:val="4AF84C20"/>
    <w:rsid w:val="4B28548C"/>
    <w:rsid w:val="4B346CEE"/>
    <w:rsid w:val="4B971D44"/>
    <w:rsid w:val="4CB4691C"/>
    <w:rsid w:val="4DE65204"/>
    <w:rsid w:val="4EDD6607"/>
    <w:rsid w:val="4EFC6765"/>
    <w:rsid w:val="4F6B59C1"/>
    <w:rsid w:val="4F884945"/>
    <w:rsid w:val="503E2B9F"/>
    <w:rsid w:val="50FF480D"/>
    <w:rsid w:val="519C4558"/>
    <w:rsid w:val="51D41B82"/>
    <w:rsid w:val="535773A1"/>
    <w:rsid w:val="5524184D"/>
    <w:rsid w:val="55A6430A"/>
    <w:rsid w:val="56477C89"/>
    <w:rsid w:val="576D56CE"/>
    <w:rsid w:val="59297CC8"/>
    <w:rsid w:val="59372DB8"/>
    <w:rsid w:val="5A07278A"/>
    <w:rsid w:val="5A3C086F"/>
    <w:rsid w:val="5B125A51"/>
    <w:rsid w:val="5B5E6814"/>
    <w:rsid w:val="5BB71341"/>
    <w:rsid w:val="5CD1707F"/>
    <w:rsid w:val="5CEF4994"/>
    <w:rsid w:val="5D333896"/>
    <w:rsid w:val="5D560B5F"/>
    <w:rsid w:val="5E6832D7"/>
    <w:rsid w:val="5E764257"/>
    <w:rsid w:val="5EBA46DF"/>
    <w:rsid w:val="5EC7676C"/>
    <w:rsid w:val="60274327"/>
    <w:rsid w:val="628B67BF"/>
    <w:rsid w:val="637C15CE"/>
    <w:rsid w:val="65F96058"/>
    <w:rsid w:val="66237144"/>
    <w:rsid w:val="66C31ADB"/>
    <w:rsid w:val="692063B2"/>
    <w:rsid w:val="693F018E"/>
    <w:rsid w:val="69584DB0"/>
    <w:rsid w:val="6A2633FF"/>
    <w:rsid w:val="6A48401C"/>
    <w:rsid w:val="6B7D41F7"/>
    <w:rsid w:val="6C0413DC"/>
    <w:rsid w:val="6D840E33"/>
    <w:rsid w:val="6D8825F4"/>
    <w:rsid w:val="703C47B8"/>
    <w:rsid w:val="70F058CE"/>
    <w:rsid w:val="713B338E"/>
    <w:rsid w:val="726D1AAD"/>
    <w:rsid w:val="74F73BE4"/>
    <w:rsid w:val="771A5453"/>
    <w:rsid w:val="777A7295"/>
    <w:rsid w:val="783F48F4"/>
    <w:rsid w:val="785D5F3F"/>
    <w:rsid w:val="79144F31"/>
    <w:rsid w:val="793A6280"/>
    <w:rsid w:val="799A63AB"/>
    <w:rsid w:val="79D34741"/>
    <w:rsid w:val="7A6148F5"/>
    <w:rsid w:val="7B591EB1"/>
    <w:rsid w:val="7B71500F"/>
    <w:rsid w:val="7CBE0F77"/>
    <w:rsid w:val="7D8718AF"/>
    <w:rsid w:val="7E9755DB"/>
    <w:rsid w:val="7E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7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Calibri" w:hAnsi="Calibri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7">
    <w:name w:val="Body Text"/>
    <w:basedOn w:val="1"/>
    <w:next w:val="8"/>
    <w:qFormat/>
    <w:uiPriority w:val="1"/>
    <w:pPr>
      <w:spacing w:after="120"/>
    </w:p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1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11">
    <w:name w:val="正文1"/>
    <w:basedOn w:val="12"/>
    <w:next w:val="16"/>
    <w:qFormat/>
    <w:uiPriority w:val="0"/>
  </w:style>
  <w:style w:type="paragraph" w:customStyle="1" w:styleId="12">
    <w:name w:val="正文1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3">
    <w:name w:val="目录 111"/>
    <w:basedOn w:val="14"/>
    <w:next w:val="1"/>
    <w:qFormat/>
    <w:uiPriority w:val="0"/>
  </w:style>
  <w:style w:type="paragraph" w:customStyle="1" w:styleId="14">
    <w:name w:val="正文12"/>
    <w:next w:val="15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">
    <w:name w:val="正文文本111"/>
    <w:basedOn w:val="14"/>
    <w:next w:val="14"/>
    <w:qFormat/>
    <w:uiPriority w:val="0"/>
  </w:style>
  <w:style w:type="paragraph" w:customStyle="1" w:styleId="16">
    <w:name w:val="目录 11"/>
    <w:basedOn w:val="17"/>
    <w:next w:val="14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7">
    <w:name w:val="正文11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 21"/>
    <w:basedOn w:val="19"/>
    <w:next w:val="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9">
    <w:name w:val="正文文本缩进1"/>
    <w:basedOn w:val="17"/>
    <w:next w:val="20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0">
    <w:name w:val="寄信人地址1"/>
    <w:basedOn w:val="17"/>
    <w:qFormat/>
    <w:uiPriority w:val="0"/>
    <w:rPr>
      <w:rFonts w:ascii="Arial" w:hAnsi="Arial"/>
    </w:rPr>
  </w:style>
  <w:style w:type="paragraph" w:styleId="21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2">
    <w:name w:val="toc 1"/>
    <w:basedOn w:val="1"/>
    <w:next w:val="1"/>
    <w:qFormat/>
    <w:uiPriority w:val="0"/>
    <w:pPr>
      <w:jc w:val="center"/>
    </w:pPr>
    <w:rPr>
      <w:rFonts w:ascii="Times New Roman" w:hAnsi="Times New Roman" w:eastAsia="宋体"/>
    </w:rPr>
  </w:style>
  <w:style w:type="paragraph" w:styleId="23">
    <w:name w:val="footnote text"/>
    <w:basedOn w:val="1"/>
    <w:next w:val="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6">
    <w:name w:val="Table Grid"/>
    <w:basedOn w:val="2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8">
    <w:name w:val="Strong"/>
    <w:basedOn w:val="27"/>
    <w:qFormat/>
    <w:uiPriority w:val="0"/>
    <w:rPr>
      <w:b/>
    </w:rPr>
  </w:style>
  <w:style w:type="paragraph" w:customStyle="1" w:styleId="29">
    <w:name w:val="文本块11"/>
    <w:basedOn w:val="14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630</Words>
  <Characters>775</Characters>
  <Lines>0</Lines>
  <Paragraphs>0</Paragraphs>
  <TotalTime>2</TotalTime>
  <ScaleCrop>false</ScaleCrop>
  <LinksUpToDate>false</LinksUpToDate>
  <CharactersWithSpaces>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中瑞</cp:lastModifiedBy>
  <dcterms:modified xsi:type="dcterms:W3CDTF">2026-04-30T06:33:06Z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9F3DE852CDE64C96A6104EFF49376C1E_13</vt:lpwstr>
  </property>
  <property fmtid="{D5CDD505-2E9C-101B-9397-08002B2CF9AE}" pid="4" name="KSOTemplateDocerSaveRecord">
    <vt:lpwstr>eyJoZGlkIjoiOTU3NjRkMTI0NGQ2NzNiN2FkZTUzYzFhNGVhZjE5ZmUiLCJ1c2VySWQiOiIyMzIyNDg1MTIifQ==</vt:lpwstr>
  </property>
</Properties>
</file>