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仙林校区及周边存量房出新改造</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JSZC-320000-SNZX-G2026-0044</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南京师范大学</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四</w:t>
      </w:r>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仙林校区及周边存量房出新改造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年5</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14:textFill>
                  <w14:solidFill>
                    <w14:schemeClr w14:val="tx1"/>
                  </w14:solidFill>
                </w14:textFill>
              </w:rPr>
              <w:t xml:space="preserve">日9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JSZC-320000-SNZX-G2026-0044</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仙林校区及周边存量房出新改造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w:t>
      </w:r>
      <w:r>
        <w:rPr>
          <w:rFonts w:hint="eastAsia"/>
          <w:color w:val="000000" w:themeColor="text1"/>
          <w:highlight w:val="none"/>
          <w:lang w:val="en-US" w:eastAsia="zh-CN"/>
          <w14:textFill>
            <w14:solidFill>
              <w14:schemeClr w14:val="tx1"/>
            </w14:solidFill>
          </w14:textFill>
        </w:rPr>
        <w:t xml:space="preserve">196</w:t>
      </w:r>
      <w:r>
        <w:rPr>
          <w:rFonts w:hint="eastAsia"/>
          <w:color w:val="000000" w:themeColor="text1"/>
          <w:highlight w:val="none"/>
          <w14:textFill>
            <w14:solidFill>
              <w14:schemeClr w14:val="tx1"/>
            </w14:solidFill>
          </w14:textFill>
        </w:rPr>
        <w:t xml:space="preserve">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196</w:t>
      </w:r>
      <w:r>
        <w:rPr>
          <w:rFonts w:hint="eastAsia"/>
          <w:color w:val="000000" w:themeColor="text1"/>
          <w:highlight w:val="none"/>
          <w14:textFill>
            <w14:solidFill>
              <w14:schemeClr w14:val="tx1"/>
            </w14:solidFill>
          </w14:textFill>
        </w:rPr>
        <w:t xml:space="preserve">万元，报价超过最高限价的视为无效投标。</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采购需求：本项目为南京师范大学仙林校区周边存量房出新工程，位于南京师范大学仙林校区，仙林大学城文苑路1号6、11、15、16、17、18幢部分存量房出新</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具体详见招标文件、工程量清单和图纸。</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合同履行期限：30天</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投标人</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及社保机构出具的投标截止时间前六个月内任意一个月投标人为其缴纳的社保缴费证明【加盖社保公章或具有可验证的二维码（或验证码）】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时无在建工程。</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根据《关于开展建筑业企业资质动态监管工作的公告》（2018）第6号）、《关于建筑业企业资质动态监管不合格企业参加招投标相关事宜的复函》（苏建函建管（2019）233号），《关于开展南京市建筑业企业资质动态核查的通知》（宁建建监字【2020】388号）相关文件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应自觉确保本单位资质状态符合省、市相关文件规定，在本工程的资格审查阶段，将由</w:t>
      </w: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lang w:eastAsia="zh-CN"/>
          <w14:textFill>
            <w14:solidFill>
              <w14:schemeClr w14:val="tx1"/>
            </w14:solidFill>
          </w14:textFill>
        </w:rPr>
        <w:t xml:space="preserve">对各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的资质动态监管情况进行核查，若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用于</w:t>
      </w:r>
      <w:r>
        <w:rPr>
          <w:rFonts w:hint="eastAsia"/>
          <w:color w:val="000000" w:themeColor="text1"/>
          <w:highlight w:val="none"/>
          <w:lang w:val="en-US" w:eastAsia="zh-CN"/>
          <w14:textFill>
            <w14:solidFill>
              <w14:schemeClr w14:val="tx1"/>
            </w14:solidFill>
          </w14:textFill>
        </w:rPr>
        <w:t xml:space="preserve">投标</w:t>
      </w:r>
      <w:r>
        <w:rPr>
          <w:rFonts w:hint="eastAsia"/>
          <w:color w:val="000000" w:themeColor="text1"/>
          <w:highlight w:val="none"/>
          <w:lang w:eastAsia="zh-CN"/>
          <w14:textFill>
            <w14:solidFill>
              <w14:schemeClr w14:val="tx1"/>
            </w14:solidFill>
          </w14:textFill>
        </w:rPr>
        <w:t xml:space="preserve">的资质核查结果为不达标，仍在公示期的，按照资格审查不合格处理。（企业动态资质查询信息以江苏省建筑市场监管与诚信信息一体化平台发布的信息为准）</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年5</w:t>
      </w:r>
      <w:r>
        <w:rPr>
          <w:rFonts w:hint="eastAsia"/>
          <w:color w:val="000000" w:themeColor="text1"/>
          <w:highlight w:val="none"/>
          <w:u w:val="single"/>
          <w14:textFill>
            <w14:solidFill>
              <w14:schemeClr w14:val="tx1"/>
            </w14:solidFill>
          </w14:textFill>
        </w:rPr>
        <w:t xml:space="preserve">月</w:t>
      </w:r>
      <w:r>
        <w:rPr>
          <w:rFonts w:hint="eastAsia"/>
          <w:color w:val="000000" w:themeColor="text1"/>
          <w:highlight w:val="none"/>
          <w:u w:val="single"/>
          <w:lang w:val="en-US" w:eastAsia="zh-CN"/>
          <w14:textFill>
            <w14:solidFill>
              <w14:schemeClr w14:val="tx1"/>
            </w14:solidFill>
          </w14:textFill>
        </w:rPr>
        <w:t xml:space="preserve">11</w:t>
      </w:r>
      <w:r>
        <w:rPr>
          <w:rFonts w:hint="eastAsia"/>
          <w:color w:val="000000" w:themeColor="text1"/>
          <w:highlight w:val="none"/>
          <w:u w:val="single"/>
          <w14:textFill>
            <w14:solidFill>
              <w14:schemeClr w14:val="tx1"/>
            </w14:solidFill>
          </w14:textFill>
        </w:rPr>
        <w:t xml:space="preserve">日9</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建筑业。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集中考察或答疑：采购人组织统一勘察，供应商可自行联系采购人。未踏勘现场或踏勘工作不详细的供应商中标后，不得以不完全了解现场情况为理由而向采购人提出任何索赔或其他要求，对此采购人不承担任何责任并将不作任何答复。</w:t>
      </w:r>
      <w:bookmarkStart w:id="2" w:name="_GoBack"/>
      <w:r/>
      <w:bookmarkEnd w:id="2"/>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统一踏勘</w:t>
      </w:r>
      <w:r>
        <w:rPr>
          <w:rFonts w:hint="eastAsia"/>
          <w:color w:val="000000" w:themeColor="text1"/>
          <w:highlight w:val="none"/>
          <w14:textFill>
            <w14:solidFill>
              <w14:schemeClr w14:val="tx1"/>
            </w14:solidFill>
          </w14:textFill>
        </w:rPr>
        <w:t xml:space="preserve">时间：2026年</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14</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 83598507</w:t>
      </w:r>
      <w:r/>
    </w:p>
    <w:p>
      <w:pPr>
        <w:rPr>
          <w:rFonts w:hint="default"/>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（3）地点：南京师范大学</w:t>
      </w:r>
      <w:r>
        <w:rPr>
          <w:rFonts w:hint="eastAsia"/>
          <w:color w:val="000000" w:themeColor="text1"/>
          <w:highlight w:val="none"/>
          <w:lang w:val="en-US" w:eastAsia="zh-CN"/>
          <w14:textFill>
            <w14:solidFill>
              <w14:schemeClr w14:val="tx1"/>
            </w14:solidFill>
          </w14:textFill>
        </w:rPr>
        <w:t xml:space="preserve">茶苑西门集合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投标人如需现场勘查需在上述时间</w:t>
      </w:r>
      <w:r>
        <w:rPr>
          <w:rFonts w:hint="eastAsia"/>
          <w:color w:val="000000" w:themeColor="text1"/>
          <w:highlight w:val="none"/>
          <w:lang w:val="en-US" w:eastAsia="zh-CN"/>
          <w14:textFill>
            <w14:solidFill>
              <w14:schemeClr w14:val="tx1"/>
            </w14:solidFill>
          </w14:textFill>
        </w:rPr>
        <w:t xml:space="preserve">前</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取得联系</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025-84207240</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并按要求办理好入校手续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因未及时联系导致无法入校踏勘的后果自负</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.采购项目需要落实的政府采购政策：本项目执行《政府采购促进中小企业发展管理办法》《关于政府采购支持监狱企业发展有关问题的通知》《关于促进残疾人就业政府采购政策的通知》等政府采购文件。</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中标人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（2）★法定代表人授权委托书、授权委托人的身份证复印件及投标人或分支机构为其缴纳的社保证明（有授权委托的），或法定代表人身份证复印件（无授权委托的）；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工程</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投标报价×50%；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文件提供的工程量清单中的项目编码、项目名称、项目特征、计量单位、工程量的；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文件规定的暂估价、暂列金额及甲供材料价格的；（若有）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）改变</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文件明确列出的不可竞争费用项目或费率或计算基础的；（若有）</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19）</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22.2.2.9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4"/>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价格分采用低价优先法计算，即满足招标文件要求且投标价格最低的投标报价为评标基准价，其价格分为满分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。其他投标人的价格分统一按照下列公式计算：投标报价得分=(评标基准价／投标报价)×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9"/>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根据投标人提供的分部分项工程的施工方案及质量保证措施等进行评价。施工方案及质量保证措施可靠且针对性强的得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根据投标人提供的应急预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0"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社保机构出具的投标截止时间前六个月内任意一个月投标人为其缴纳的社保缴费证明【加盖社保公章或具有可验证的二维码（或验证码）】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0"/>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4"/>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4"/>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4"/>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4.1投标人提供自202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4"/>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w:t>
      </w:r>
      <w:r>
        <w:rPr>
          <w:rFonts w:hint="eastAsia"/>
          <w:color w:val="000000" w:themeColor="text1"/>
          <w:highlight w:val="none"/>
          <w:lang w:val="en-US" w:eastAsia="zh-CN"/>
          <w14:textFill>
            <w14:solidFill>
              <w14:schemeClr w14:val="tx1"/>
            </w14:solidFill>
          </w14:textFill>
        </w:rPr>
        <w:t xml:space="preserve">承建工程</w:t>
      </w:r>
      <w:r>
        <w:rPr>
          <w:rFonts w:hint="eastAsia"/>
          <w:color w:val="000000" w:themeColor="text1"/>
          <w:highlight w:val="none"/>
          <w14:textFill>
            <w14:solidFill>
              <w14:schemeClr w14:val="tx1"/>
            </w14:solidFill>
          </w14:textFill>
        </w:rPr>
        <w:t xml:space="preserve">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仙林校区及周边存量房出新改造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（二）施工内容：本项目为南京师范大学仙林校区周边存量房出新工程，位于南京师范大学仙林校区，仙林大学城文苑路1号6、11、15、16、17、18幢部分存量房出新，详见图纸及工程量清单。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（四）施工地点：南京师范大学仙林校区。</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%的履约保证金；质保期内无质量问题的，质保金在质保期满后且收到乙方合法票据一个月内无息退还。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（三）根据建办市[2019]50号文及苏建函建管[2019]393号文规定，已取消一级、二级建造师临时执业证书，因此本项目不接受持临时建造师执业资格的项目负责人投标，否则将作为资格审查不通过处理。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980"/>
        <w:gridCol w:w="3282"/>
        <w:gridCol w:w="2242"/>
      </w:tblGrid>
      <w:tr>
        <w:trPr>
          <w:jc w:val="center"/>
          <w:trHeight w:val="380"/>
        </w:trPr>
        <w:tc>
          <w:tcPr>
            <w:tcW w:w="420"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序号</w:t>
            </w:r>
            <w:r/>
          </w:p>
        </w:tc>
        <w:tc>
          <w:tcPr>
            <w:tcW w:w="1604"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材料名称</w:t>
            </w:r>
            <w:r/>
          </w:p>
        </w:tc>
        <w:tc>
          <w:tcPr>
            <w:tcW w:w="1767"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推荐品牌</w:t>
            </w:r>
            <w:r/>
          </w:p>
        </w:tc>
        <w:tc>
          <w:tcPr>
            <w:tcW w:w="1207" w:type="pct"/>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14:textFill>
                  <w14:solidFill>
                    <w14:schemeClr w14:val="tx1"/>
                  </w14:solidFill>
                </w14:textFill>
              </w:rPr>
              <w:t xml:space="preserve">备注</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玻璃</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南玻、耀皮、信义</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铝型材</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伟昌、凤铝，福客莱</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不锈钢</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华诚、信亚、金雅</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乳胶漆</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立邦、多乐士、三棵树</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安普，普天，秋叶原</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板材</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绿野，大王椰，亿邦</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灯具</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雷士、欧普、公牛</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矿棉板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阿姆斯壮、龙牌、泰山</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开关、插座</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西门子、公牛、施耐德</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电线</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正泰、远东、江南</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木质套装门（实木）</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欧派，金福聚，志腾</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复合地板</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杨子地板、生活家、圣象</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瓷砖</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格莱斯、东鹏、冠军A陶</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龙头、洁具</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箭牌，九牧，法恩莎</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水泥</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海螺、江南、鹤林</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r>
        <w:trPr>
          <w:jc w:val="center"/>
          <w:trHeight w:val="380"/>
        </w:trPr>
        <w:tc>
          <w:tcPr>
            <w:tcW w:w="420"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铝板吊顶（厚度≥0.8mm）</w:t>
            </w:r>
            <w:r/>
          </w:p>
        </w:tc>
        <w:tc>
          <w:tcPr>
            <w:tcW w:w="1767" w:type="pct"/>
            <w:vAlign w:val="top"/>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奥华、聆听、宝兰</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投标人</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仙林校区及周边存量房出新改造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履约保证金：签订合同前，乙方须向招标人缴纳</w:t>
      </w:r>
      <w:r>
        <w:rPr>
          <w:rFonts w:hint="eastAsia" w:ascii="宋体" w:hAnsi="宋体" w:cs="宋体"/>
          <w:color w:val="000000" w:themeColor="text1"/>
          <w:sz w:val="24"/>
          <w:highlight w:val="none"/>
          <w:lang w:val="en-US" w:eastAsia="zh-CN"/>
          <w14:textFill>
            <w14:solidFill>
              <w14:schemeClr w14:val="tx1"/>
            </w14:solidFill>
          </w14:textFill>
        </w:rPr>
        <w:t xml:space="preserve">中标</w:t>
      </w:r>
      <w:r>
        <w:rPr>
          <w:rFonts w:hint="eastAsia" w:ascii="宋体" w:hAnsi="宋体" w:cs="宋体"/>
          <w:color w:val="000000" w:themeColor="text1"/>
          <w:sz w:val="24"/>
          <w:highlight w:val="none"/>
          <w14:textFill>
            <w14:solidFill>
              <w14:schemeClr w14:val="tx1"/>
            </w14:solidFill>
          </w14:textFill>
        </w:rPr>
        <w:t xml:space="preserve">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质保金在质保期满后且收到乙方合法票据一个月内无息退还；因乙方原因，导致工程无法推进的，或质保期内存在质量问题未及时妥善解决的，质保金不予返还。</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1" w:name="电子签名"/>
            <w:r/>
            <w:bookmarkEnd w:id="1"/>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4"/>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投标分项报价表（工程）</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投标人根据附件工程量清单格式提供已标价工程量报价清单</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4"/>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4"/>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授权委托人身份证复印件：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4"/>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具有良好的商业信誉和健全的财务会计制度（提供以下三种材料的任意一种，复印件加盖公章）：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①上一年度的经第三方会计师事务所审计的财务报告复印件</w:t>
      </w:r>
      <w:r>
        <w:rPr>
          <w:rFonts w:hint="eastAsia"/>
          <w:color w:val="000000" w:themeColor="text1"/>
          <w:highlight w:val="none"/>
          <w:lang w:val="en-US" w:eastAsia="zh-CN"/>
          <w14:textFill>
            <w14:solidFill>
              <w14:schemeClr w14:val="tx1"/>
            </w14:solidFill>
          </w14:textFill>
        </w:rPr>
        <w:t xml:space="preserve">（包括报告及报表等内容，并由注册会计师签名、盖章以及会计师事务所盖章）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南京师范大学</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投标人</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相关企业（含联合体中的中小企业、签订分包意向协议的中小企业）的具体情况如下：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w:t>
      </w:r>
      <w:r>
        <w:rPr>
          <w:rFonts w:hint="eastAsia"/>
          <w:color w:val="000000" w:themeColor="text1"/>
          <w:highlight w:val="none"/>
          <w14:textFill>
            <w14:solidFill>
              <w14:schemeClr w14:val="tx1"/>
            </w14:solidFill>
          </w14:textFill>
        </w:rPr>
        <w:t xml:space="preserve">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2025年度</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7.</w:t>
      </w:r>
      <w:r>
        <w:rPr>
          <w:rFonts w:hint="default" w:ascii="Times New Roman" w:hAnsi="Times New Roman" w:eastAsia="宋体"/>
          <w:color w:val="000000" w:themeColor="text1"/>
          <w:highlight w:val="none"/>
          <w:lang w:val="en-US" w:eastAsia="zh-CN"/>
          <w14:textFill>
            <w14:solidFill>
              <w14:schemeClr w14:val="tx1"/>
            </w14:solidFill>
          </w14:textFill>
        </w:rPr>
        <w:t xml:space="preserve">本项目的特定资格要求：</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（3）供应商满足以下条件（提供承诺书加盖公章）：</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c.项目负责人参加该项目投标时无在建工程。</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（投标人名称）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参加该项目投标时无在建工程。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t xml:space="preserve">（4）根据《关于开展建筑业企业资质动态监管工</w:t>
      </w:r>
      <w:r>
        <w:rPr>
          <w:rFonts w:hint="default" w:ascii="Times New Roman" w:hAnsi="Times New Roman" w:eastAsia="宋体"/>
          <w:color w:val="000000" w:themeColor="text1"/>
          <w:highlight w:val="none"/>
          <w:lang w:val="en-US" w:eastAsia="zh-CN"/>
          <w14:textFill>
            <w14:solidFill>
              <w14:schemeClr w14:val="tx1"/>
            </w14:solidFill>
          </w14:textFill>
        </w:rPr>
        <w:t xml:space="preserve">作的公告》（2018）第6号）、《关于建筑业企业资质动态监管不合格企业参加招投标相关事宜的复函》（苏建函建管（2019）233号），《关于开展南京市建筑业企业资质动态核查的通知》（宁建建监字【2020】388号）相关文件要求，投标人应自觉确保本单位资质状态符合省、市相关文件规定，在本工程的资格审查阶段，将由评标委员会对各投标人的资质动态监管情况进行核查，若投标人用于投标的资质核查结果为不达标，仍在公示期的，按照资格审查不合格处理。（企业动态资质查询信息以江苏省建筑市场监管与诚信信息一体化平台发布的信息为准）</w:t>
      </w:r>
      <w:r/>
    </w:p>
    <w:p>
      <w:pPr>
        <w:ind w:left="0" w:firstLine="0"/>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br w:type="page" w:clear="all"/>
      </w:r>
      <w:r/>
    </w:p>
    <w:p>
      <w:pPr>
        <w:pStyle w:val="88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7"/>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4"/>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4"/>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八</w:t>
      </w: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ymbol">
    <w:panose1 w:val="05050102010706020507"/>
  </w:font>
  <w:font w:name="Wingdings">
    <w:panose1 w:val="05000000000000000000"/>
  </w:font>
  <w:font w:name="Courier New">
    <w:panose1 w:val="020703090202050204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6"/>
    <w:link w:val="883"/>
    <w:uiPriority w:val="9"/>
    <w:rPr>
      <w:rFonts w:ascii="Arial" w:hAnsi="Arial" w:eastAsia="Arial" w:cs="Arial"/>
      <w:sz w:val="40"/>
      <w:szCs w:val="40"/>
    </w:rPr>
  </w:style>
  <w:style w:type="character" w:styleId="711">
    <w:name w:val="Heading 2 Char"/>
    <w:basedOn w:val="886"/>
    <w:link w:val="884"/>
    <w:uiPriority w:val="9"/>
    <w:rPr>
      <w:rFonts w:ascii="Arial" w:hAnsi="Arial" w:eastAsia="Arial" w:cs="Arial"/>
      <w:sz w:val="34"/>
    </w:rPr>
  </w:style>
  <w:style w:type="paragraph" w:styleId="712">
    <w:name w:val="Heading 3"/>
    <w:basedOn w:val="882"/>
    <w:next w:val="882"/>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6"/>
    <w:link w:val="712"/>
    <w:uiPriority w:val="9"/>
    <w:rPr>
      <w:rFonts w:ascii="Arial" w:hAnsi="Arial" w:eastAsia="Arial" w:cs="Arial"/>
      <w:sz w:val="30"/>
      <w:szCs w:val="30"/>
    </w:rPr>
  </w:style>
  <w:style w:type="character" w:styleId="714">
    <w:name w:val="Heading 4 Char"/>
    <w:basedOn w:val="886"/>
    <w:link w:val="885"/>
    <w:uiPriority w:val="9"/>
    <w:rPr>
      <w:rFonts w:ascii="Arial" w:hAnsi="Arial" w:eastAsia="Arial" w:cs="Arial"/>
      <w:b/>
      <w:bCs/>
      <w:sz w:val="26"/>
      <w:szCs w:val="26"/>
    </w:rPr>
  </w:style>
  <w:style w:type="paragraph" w:styleId="715">
    <w:name w:val="Heading 5"/>
    <w:basedOn w:val="882"/>
    <w:next w:val="882"/>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6"/>
    <w:link w:val="715"/>
    <w:uiPriority w:val="9"/>
    <w:rPr>
      <w:rFonts w:ascii="Arial" w:hAnsi="Arial" w:eastAsia="Arial" w:cs="Arial"/>
      <w:b/>
      <w:bCs/>
      <w:sz w:val="24"/>
      <w:szCs w:val="24"/>
    </w:rPr>
  </w:style>
  <w:style w:type="paragraph" w:styleId="717">
    <w:name w:val="Heading 6"/>
    <w:basedOn w:val="882"/>
    <w:next w:val="882"/>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6"/>
    <w:link w:val="717"/>
    <w:uiPriority w:val="9"/>
    <w:rPr>
      <w:rFonts w:ascii="Arial" w:hAnsi="Arial" w:eastAsia="Arial" w:cs="Arial"/>
      <w:b/>
      <w:bCs/>
      <w:sz w:val="22"/>
      <w:szCs w:val="22"/>
    </w:rPr>
  </w:style>
  <w:style w:type="paragraph" w:styleId="719">
    <w:name w:val="Heading 7"/>
    <w:basedOn w:val="882"/>
    <w:next w:val="882"/>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6"/>
    <w:link w:val="719"/>
    <w:uiPriority w:val="9"/>
    <w:rPr>
      <w:rFonts w:ascii="Arial" w:hAnsi="Arial" w:eastAsia="Arial" w:cs="Arial"/>
      <w:b/>
      <w:bCs/>
      <w:i/>
      <w:iCs/>
      <w:sz w:val="22"/>
      <w:szCs w:val="22"/>
    </w:rPr>
  </w:style>
  <w:style w:type="paragraph" w:styleId="721">
    <w:name w:val="Heading 8"/>
    <w:basedOn w:val="882"/>
    <w:next w:val="882"/>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6"/>
    <w:link w:val="721"/>
    <w:uiPriority w:val="9"/>
    <w:rPr>
      <w:rFonts w:ascii="Arial" w:hAnsi="Arial" w:eastAsia="Arial" w:cs="Arial"/>
      <w:i/>
      <w:iCs/>
      <w:sz w:val="22"/>
      <w:szCs w:val="22"/>
    </w:rPr>
  </w:style>
  <w:style w:type="paragraph" w:styleId="723">
    <w:name w:val="Heading 9"/>
    <w:basedOn w:val="882"/>
    <w:next w:val="882"/>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6"/>
    <w:link w:val="723"/>
    <w:uiPriority w:val="9"/>
    <w:rPr>
      <w:rFonts w:ascii="Arial" w:hAnsi="Arial" w:eastAsia="Arial" w:cs="Arial"/>
      <w:i/>
      <w:iCs/>
      <w:sz w:val="21"/>
      <w:szCs w:val="21"/>
    </w:rPr>
  </w:style>
  <w:style w:type="paragraph" w:styleId="725">
    <w:name w:val="List Paragraph"/>
    <w:basedOn w:val="882"/>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2"/>
    <w:next w:val="882"/>
    <w:link w:val="728"/>
    <w:uiPriority w:val="10"/>
    <w:qFormat/>
    <w:pPr>
      <w:contextualSpacing/>
      <w:spacing w:before="300" w:after="200"/>
    </w:pPr>
    <w:rPr>
      <w:sz w:val="48"/>
      <w:szCs w:val="48"/>
    </w:rPr>
  </w:style>
  <w:style w:type="character" w:styleId="728">
    <w:name w:val="Title Char"/>
    <w:basedOn w:val="886"/>
    <w:link w:val="727"/>
    <w:uiPriority w:val="10"/>
    <w:rPr>
      <w:sz w:val="48"/>
      <w:szCs w:val="48"/>
    </w:rPr>
  </w:style>
  <w:style w:type="paragraph" w:styleId="729">
    <w:name w:val="Subtitle"/>
    <w:basedOn w:val="882"/>
    <w:next w:val="882"/>
    <w:link w:val="730"/>
    <w:uiPriority w:val="11"/>
    <w:qFormat/>
    <w:pPr>
      <w:spacing w:before="200" w:after="200"/>
    </w:pPr>
    <w:rPr>
      <w:sz w:val="24"/>
      <w:szCs w:val="24"/>
    </w:rPr>
  </w:style>
  <w:style w:type="character" w:styleId="730">
    <w:name w:val="Subtitle Char"/>
    <w:basedOn w:val="886"/>
    <w:link w:val="729"/>
    <w:uiPriority w:val="11"/>
    <w:rPr>
      <w:sz w:val="24"/>
      <w:szCs w:val="24"/>
    </w:rPr>
  </w:style>
  <w:style w:type="paragraph" w:styleId="731">
    <w:name w:val="Quote"/>
    <w:basedOn w:val="882"/>
    <w:next w:val="882"/>
    <w:link w:val="732"/>
    <w:uiPriority w:val="29"/>
    <w:qFormat/>
    <w:pPr>
      <w:ind w:left="720" w:right="720"/>
    </w:pPr>
    <w:rPr>
      <w:i/>
    </w:rPr>
  </w:style>
  <w:style w:type="character" w:styleId="732">
    <w:name w:val="Quote Char"/>
    <w:link w:val="731"/>
    <w:uiPriority w:val="29"/>
    <w:rPr>
      <w:i/>
    </w:rPr>
  </w:style>
  <w:style w:type="paragraph" w:styleId="733">
    <w:name w:val="Intense Quote"/>
    <w:basedOn w:val="882"/>
    <w:next w:val="8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6"/>
    <w:link w:val="893"/>
    <w:uiPriority w:val="99"/>
  </w:style>
  <w:style w:type="character" w:styleId="736">
    <w:name w:val="Footer Char"/>
    <w:basedOn w:val="886"/>
    <w:link w:val="892"/>
    <w:uiPriority w:val="99"/>
  </w:style>
  <w:style w:type="paragraph" w:styleId="737">
    <w:name w:val="Caption"/>
    <w:basedOn w:val="882"/>
    <w:next w:val="882"/>
    <w:uiPriority w:val="35"/>
    <w:semiHidden/>
    <w:unhideWhenUsed/>
    <w:qFormat/>
    <w:pPr>
      <w:spacing w:line="276" w:lineRule="auto"/>
    </w:pPr>
    <w:rPr>
      <w:b/>
      <w:bCs/>
      <w:color w:val="4f81bd" w:themeColor="accent1"/>
      <w:sz w:val="18"/>
      <w:szCs w:val="18"/>
    </w:rPr>
  </w:style>
  <w:style w:type="character" w:styleId="738">
    <w:name w:val="Caption Char"/>
    <w:basedOn w:val="737"/>
    <w:link w:val="892"/>
    <w:uiPriority w:val="99"/>
  </w:style>
  <w:style w:type="table" w:styleId="739">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5">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6">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7">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8">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9">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0">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0">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1">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2">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3">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4">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5">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8">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9">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0">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1">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2">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1">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2">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3">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4">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5">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6">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8">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9">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0">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1">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2">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3">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5">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6">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7">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8">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9">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0">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6"/>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6"/>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8"/>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3">
    <w:name w:val="Heading 1"/>
    <w:basedOn w:val="882"/>
    <w:next w:val="882"/>
    <w:uiPriority w:val="0"/>
    <w:qFormat/>
    <w:pPr>
      <w:ind w:firstLine="0"/>
      <w:jc w:val="center"/>
      <w:keepLines/>
      <w:keepNext/>
      <w:spacing w:beforeAutospacing="0" w:after="100" w:afterAutospacing="0" w:line="240" w:lineRule="auto"/>
      <w:outlineLvl w:val="0"/>
    </w:pPr>
    <w:rPr>
      <w:b/>
      <w:sz w:val="44"/>
    </w:rPr>
  </w:style>
  <w:style w:type="paragraph" w:styleId="884">
    <w:name w:val="Heading 2"/>
    <w:basedOn w:val="882"/>
    <w:next w:val="882"/>
    <w:uiPriority w:val="0"/>
    <w:unhideWhenUsed/>
    <w:qFormat/>
    <w:pPr>
      <w:keepLines/>
      <w:keepNext/>
      <w:spacing w:beforeAutospacing="0" w:afterAutospacing="0" w:line="360" w:lineRule="auto"/>
      <w:outlineLvl w:val="1"/>
    </w:pPr>
    <w:rPr>
      <w:rFonts w:ascii="Arial" w:hAnsi="Arial" w:eastAsia="宋体"/>
      <w:b/>
      <w:sz w:val="24"/>
    </w:rPr>
  </w:style>
  <w:style w:type="paragraph" w:styleId="885">
    <w:name w:val="Heading 4"/>
    <w:basedOn w:val="882"/>
    <w:next w:val="88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6" w:default="1">
    <w:name w:val="Default Paragraph Font"/>
    <w:uiPriority w:val="0"/>
    <w:semiHidden/>
    <w:qFormat/>
  </w:style>
  <w:style w:type="table" w:styleId="887" w:default="1">
    <w:name w:val="Normal Table"/>
    <w:uiPriority w:val="0"/>
    <w:semiHidden/>
    <w:qFormat/>
    <w:tblPr>
      <w:tblCellMar>
        <w:left w:w="108" w:type="dxa"/>
        <w:top w:w="0" w:type="dxa"/>
        <w:right w:w="108" w:type="dxa"/>
        <w:bottom w:w="0" w:type="dxa"/>
      </w:tblCellMar>
    </w:tblPr>
  </w:style>
  <w:style w:type="paragraph" w:styleId="888">
    <w:name w:val="Body Text Indent"/>
    <w:basedOn w:val="882"/>
    <w:next w:val="882"/>
    <w:uiPriority w:val="99"/>
    <w:qFormat/>
    <w:pPr>
      <w:ind w:left="420"/>
      <w:spacing w:after="120"/>
    </w:pPr>
    <w:rPr>
      <w:rFonts w:ascii="Times New Roman" w:hAnsi="Times New Roman" w:eastAsia="宋体"/>
    </w:rPr>
  </w:style>
  <w:style w:type="paragraph" w:styleId="889">
    <w:name w:val="Normal Indent"/>
    <w:basedOn w:val="882"/>
    <w:uiPriority w:val="99"/>
    <w:qFormat/>
    <w:pPr>
      <w:ind w:firstLine="420"/>
    </w:pPr>
    <w:rPr>
      <w:szCs w:val="20"/>
    </w:rPr>
  </w:style>
  <w:style w:type="paragraph" w:styleId="890">
    <w:name w:val="annotation text"/>
    <w:basedOn w:val="882"/>
    <w:uiPriority w:val="0"/>
    <w:qFormat/>
    <w:pPr>
      <w:jc w:val="left"/>
    </w:pPr>
  </w:style>
  <w:style w:type="paragraph" w:styleId="891">
    <w:name w:val="Body Text"/>
    <w:basedOn w:val="882"/>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2">
    <w:name w:val="Footer"/>
    <w:basedOn w:val="882"/>
    <w:uiPriority w:val="0"/>
    <w:qFormat/>
    <w:pPr>
      <w:jc w:val="left"/>
      <w:tabs>
        <w:tab w:val="center" w:pos="4153" w:leader="none"/>
        <w:tab w:val="right" w:pos="8306" w:leader="none"/>
      </w:tabs>
    </w:pPr>
    <w:rPr>
      <w:sz w:val="18"/>
    </w:rPr>
  </w:style>
  <w:style w:type="paragraph" w:styleId="893">
    <w:name w:val="Header"/>
    <w:basedOn w:val="88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Normal (Web)"/>
    <w:basedOn w:val="882"/>
    <w:uiPriority w:val="0"/>
    <w:qFormat/>
    <w:pPr>
      <w:ind w:left="0" w:right="0"/>
      <w:jc w:val="left"/>
      <w:spacing w:before="0" w:beforeAutospacing="1" w:after="0" w:afterAutospacing="1"/>
    </w:pPr>
    <w:rPr>
      <w:sz w:val="24"/>
      <w:lang w:val="en-US" w:eastAsia="zh-CN" w:bidi="ar"/>
    </w:rPr>
  </w:style>
  <w:style w:type="table" w:styleId="895">
    <w:name w:val="Table Grid"/>
    <w:basedOn w:val="8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Emphasis"/>
    <w:uiPriority w:val="20"/>
    <w:qFormat/>
    <w:rPr>
      <w:b/>
      <w:i/>
      <w:spacing w:val="10"/>
      <w:shd w:val="clear" w:color="auto" w:fill="auto"/>
    </w:rPr>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6</cp:revision>
  <dcterms:created xsi:type="dcterms:W3CDTF">2025-06-29T07:27:00Z</dcterms:created>
  <dcterms:modified xsi:type="dcterms:W3CDTF">2026-04-20T08:18:25Z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24986C24D2C24AD2B9AB74B82FB08A1E_13</vt:lpwstr>
  </property>
  <property fmtid="{D5CDD505-2E9C-101B-9397-08002B2CF9AE}" pid="4" name="KSOTemplateDocerSaveRecord">
    <vt:lpwstr>eyJoZGlkIjoiZGI4OGE1MzAzZDVmOTFjNmE2ZjdjMjE4MWFmMWJkZTAiLCJ1c2VySWQiOiIxMTc5MTU0ODc0In0=</vt:lpwstr>
  </property>
</Properties>
</file>