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DAFADF">
      <w:pPr>
        <w:widowControl/>
        <w:spacing w:line="520" w:lineRule="atLeast"/>
        <w:ind w:firstLine="560"/>
        <w:jc w:val="left"/>
        <w:rPr>
          <w:rFonts w:hint="default" w:ascii="Times New Roman" w:hAnsi="Times New Roman" w:cs="Times New Roman"/>
          <w:color w:val="auto"/>
          <w:highlight w:val="none"/>
        </w:rPr>
      </w:pPr>
      <w:r>
        <w:rPr>
          <w:rFonts w:hint="default" w:ascii="Times New Roman" w:hAnsi="Times New Roman" w:cs="Times New Roman"/>
          <w:color w:val="auto"/>
          <w:kern w:val="0"/>
          <w:szCs w:val="21"/>
          <w:highlight w:val="none"/>
        </w:rPr>
        <w:t xml:space="preserve"> </w:t>
      </w:r>
    </w:p>
    <w:p w14:paraId="2259E057">
      <w:pPr>
        <w:widowControl/>
        <w:spacing w:line="520" w:lineRule="atLeast"/>
        <w:ind w:firstLine="560"/>
        <w:jc w:val="left"/>
        <w:rPr>
          <w:rFonts w:hint="default" w:ascii="Times New Roman" w:hAnsi="Times New Roman" w:cs="Times New Roman"/>
          <w:color w:val="auto"/>
          <w:kern w:val="0"/>
          <w:szCs w:val="21"/>
          <w:highlight w:val="none"/>
        </w:rPr>
      </w:pPr>
    </w:p>
    <w:p w14:paraId="0898A181">
      <w:pPr>
        <w:tabs>
          <w:tab w:val="center" w:pos="4422"/>
        </w:tabs>
        <w:spacing w:before="100" w:after="100" w:line="360" w:lineRule="auto"/>
        <w:jc w:val="center"/>
        <w:rPr>
          <w:rFonts w:hint="default" w:ascii="Times New Roman" w:hAnsi="Times New Roman" w:cs="Times New Roman"/>
          <w:b/>
          <w:color w:val="auto"/>
          <w:sz w:val="56"/>
          <w:szCs w:val="56"/>
          <w:highlight w:val="none"/>
        </w:rPr>
      </w:pPr>
      <w:r>
        <w:rPr>
          <w:rFonts w:hint="default" w:ascii="Times New Roman" w:hAnsi="Times New Roman" w:cs="Times New Roman"/>
          <w:b/>
          <w:color w:val="auto"/>
          <w:sz w:val="56"/>
          <w:szCs w:val="56"/>
          <w:highlight w:val="none"/>
        </w:rPr>
        <w:t>南京红十字血液中心献血爱心分平台</w:t>
      </w:r>
      <w:r>
        <w:rPr>
          <w:rFonts w:hint="default" w:ascii="Times New Roman" w:hAnsi="Times New Roman" w:cs="Times New Roman"/>
          <w:b/>
          <w:color w:val="auto"/>
          <w:sz w:val="56"/>
          <w:szCs w:val="56"/>
          <w:highlight w:val="none"/>
          <w:lang w:val="en-US" w:eastAsia="zh-CN"/>
        </w:rPr>
        <w:t>及宣传</w:t>
      </w:r>
      <w:r>
        <w:rPr>
          <w:rFonts w:hint="eastAsia" w:ascii="Times New Roman" w:hAnsi="Times New Roman" w:cs="Times New Roman"/>
          <w:b/>
          <w:color w:val="auto"/>
          <w:sz w:val="56"/>
          <w:szCs w:val="56"/>
          <w:highlight w:val="none"/>
          <w:lang w:val="en-US" w:eastAsia="zh-CN"/>
        </w:rPr>
        <w:t>推广</w:t>
      </w:r>
      <w:r>
        <w:rPr>
          <w:rFonts w:hint="default" w:ascii="Times New Roman" w:hAnsi="Times New Roman" w:cs="Times New Roman"/>
          <w:b/>
          <w:color w:val="auto"/>
          <w:sz w:val="56"/>
          <w:szCs w:val="56"/>
          <w:highlight w:val="none"/>
          <w:lang w:val="en-US" w:eastAsia="zh-CN"/>
        </w:rPr>
        <w:t>服务</w:t>
      </w:r>
      <w:r>
        <w:rPr>
          <w:rFonts w:hint="default" w:ascii="Times New Roman" w:hAnsi="Times New Roman" w:cs="Times New Roman"/>
          <w:b/>
          <w:color w:val="auto"/>
          <w:sz w:val="56"/>
          <w:szCs w:val="56"/>
          <w:highlight w:val="none"/>
        </w:rPr>
        <w:t>采购项目</w:t>
      </w:r>
    </w:p>
    <w:p w14:paraId="0A7FDE79">
      <w:pPr>
        <w:pStyle w:val="21"/>
        <w:jc w:val="center"/>
        <w:rPr>
          <w:rFonts w:hint="default" w:ascii="Times New Roman" w:hAnsi="Times New Roman" w:cs="Times New Roman"/>
          <w:b/>
          <w:color w:val="auto"/>
          <w:sz w:val="84"/>
          <w:szCs w:val="84"/>
          <w:highlight w:val="none"/>
        </w:rPr>
      </w:pPr>
    </w:p>
    <w:p w14:paraId="4AF9B318">
      <w:pPr>
        <w:pStyle w:val="21"/>
        <w:jc w:val="center"/>
        <w:rPr>
          <w:rFonts w:hint="default" w:ascii="Times New Roman" w:hAnsi="Times New Roman" w:cs="Times New Roman"/>
          <w:b/>
          <w:color w:val="auto"/>
          <w:sz w:val="96"/>
          <w:szCs w:val="96"/>
          <w:highlight w:val="none"/>
        </w:rPr>
      </w:pPr>
      <w:r>
        <w:rPr>
          <w:rFonts w:hint="default" w:ascii="Times New Roman" w:hAnsi="Times New Roman" w:cs="Times New Roman"/>
          <w:b/>
          <w:color w:val="auto"/>
          <w:sz w:val="96"/>
          <w:szCs w:val="96"/>
          <w:highlight w:val="none"/>
        </w:rPr>
        <w:t>招 标 文 件</w:t>
      </w:r>
    </w:p>
    <w:p w14:paraId="6D7E27FA">
      <w:pPr>
        <w:spacing w:line="440" w:lineRule="exact"/>
        <w:jc w:val="center"/>
        <w:rPr>
          <w:rFonts w:hint="default" w:ascii="Times New Roman" w:hAnsi="Times New Roman" w:cs="Times New Roman"/>
          <w:b/>
          <w:color w:val="auto"/>
          <w:sz w:val="96"/>
          <w:highlight w:val="none"/>
        </w:rPr>
      </w:pPr>
    </w:p>
    <w:p w14:paraId="601757C1">
      <w:pPr>
        <w:spacing w:line="360" w:lineRule="auto"/>
        <w:ind w:right="640"/>
        <w:jc w:val="center"/>
        <w:rPr>
          <w:rFonts w:hint="eastAsia" w:ascii="Times New Roman" w:hAnsi="Times New Roman" w:eastAsia="宋体" w:cs="Times New Roman"/>
          <w:b/>
          <w:color w:val="auto"/>
          <w:sz w:val="36"/>
          <w:szCs w:val="36"/>
          <w:highlight w:val="none"/>
          <w:lang w:eastAsia="zh-CN"/>
        </w:rPr>
      </w:pPr>
      <w:r>
        <w:rPr>
          <w:rFonts w:hint="default" w:ascii="Times New Roman" w:hAnsi="Times New Roman" w:cs="Times New Roman"/>
          <w:b/>
          <w:color w:val="auto"/>
          <w:sz w:val="36"/>
          <w:szCs w:val="36"/>
          <w:highlight w:val="none"/>
        </w:rPr>
        <w:t>项目编号：</w:t>
      </w:r>
      <w:r>
        <w:rPr>
          <w:rFonts w:hint="eastAsia" w:cs="Times New Roman"/>
          <w:b/>
          <w:color w:val="auto"/>
          <w:sz w:val="36"/>
          <w:szCs w:val="36"/>
          <w:highlight w:val="none"/>
          <w:lang w:eastAsia="zh-CN"/>
        </w:rPr>
        <w:t>JSZC-320100-JITC-G2026-0091</w:t>
      </w:r>
    </w:p>
    <w:p w14:paraId="69CFA6CC">
      <w:pPr>
        <w:spacing w:line="360" w:lineRule="auto"/>
        <w:ind w:right="640"/>
        <w:rPr>
          <w:rFonts w:hint="default" w:ascii="Times New Roman" w:hAnsi="Times New Roman" w:cs="Times New Roman"/>
          <w:color w:val="auto"/>
          <w:sz w:val="32"/>
          <w:highlight w:val="none"/>
        </w:rPr>
      </w:pPr>
    </w:p>
    <w:p w14:paraId="2C747771">
      <w:pPr>
        <w:spacing w:line="360" w:lineRule="auto"/>
        <w:ind w:right="640"/>
        <w:rPr>
          <w:rFonts w:hint="default" w:ascii="Times New Roman" w:hAnsi="Times New Roman" w:cs="Times New Roman"/>
          <w:color w:val="auto"/>
          <w:sz w:val="32"/>
          <w:highlight w:val="none"/>
        </w:rPr>
      </w:pPr>
    </w:p>
    <w:p w14:paraId="150329E1">
      <w:pPr>
        <w:spacing w:line="360" w:lineRule="auto"/>
        <w:ind w:right="640"/>
        <w:rPr>
          <w:rFonts w:hint="default" w:ascii="Times New Roman" w:hAnsi="Times New Roman" w:cs="Times New Roman"/>
          <w:color w:val="auto"/>
          <w:sz w:val="32"/>
          <w:highlight w:val="none"/>
        </w:rPr>
      </w:pPr>
    </w:p>
    <w:p w14:paraId="4ACEA08D">
      <w:pPr>
        <w:spacing w:line="360" w:lineRule="auto"/>
        <w:ind w:right="640"/>
        <w:rPr>
          <w:rFonts w:hint="default" w:ascii="Times New Roman" w:hAnsi="Times New Roman" w:cs="Times New Roman"/>
          <w:color w:val="auto"/>
          <w:sz w:val="32"/>
          <w:highlight w:val="none"/>
        </w:rPr>
      </w:pPr>
    </w:p>
    <w:p w14:paraId="593B770C">
      <w:pPr>
        <w:spacing w:line="360" w:lineRule="auto"/>
        <w:ind w:right="640"/>
        <w:rPr>
          <w:rFonts w:hint="default" w:ascii="Times New Roman" w:hAnsi="Times New Roman" w:cs="Times New Roman"/>
          <w:color w:val="auto"/>
          <w:sz w:val="32"/>
          <w:highlight w:val="none"/>
        </w:rPr>
      </w:pPr>
    </w:p>
    <w:p w14:paraId="2FB4C352">
      <w:pPr>
        <w:tabs>
          <w:tab w:val="left" w:pos="360"/>
        </w:tabs>
        <w:spacing w:line="360" w:lineRule="auto"/>
        <w:jc w:val="center"/>
        <w:rPr>
          <w:rFonts w:hint="default" w:ascii="Times New Roman" w:hAnsi="Times New Roman" w:cs="Times New Roman"/>
          <w:b/>
          <w:color w:val="auto"/>
          <w:spacing w:val="60"/>
          <w:sz w:val="36"/>
          <w:szCs w:val="28"/>
          <w:highlight w:val="none"/>
        </w:rPr>
      </w:pPr>
      <w:r>
        <w:rPr>
          <w:rFonts w:hint="default" w:ascii="Times New Roman" w:hAnsi="Times New Roman" w:cs="Times New Roman"/>
          <w:b/>
          <w:color w:val="auto"/>
          <w:spacing w:val="60"/>
          <w:sz w:val="36"/>
          <w:szCs w:val="28"/>
          <w:highlight w:val="none"/>
        </w:rPr>
        <w:t>采购人：南京红十字血液中心</w:t>
      </w:r>
    </w:p>
    <w:p w14:paraId="2E6E5C67">
      <w:pPr>
        <w:tabs>
          <w:tab w:val="left" w:pos="360"/>
        </w:tabs>
        <w:spacing w:line="360" w:lineRule="auto"/>
        <w:jc w:val="center"/>
        <w:rPr>
          <w:rFonts w:hint="default" w:ascii="Times New Roman" w:hAnsi="Times New Roman" w:cs="Times New Roman"/>
          <w:b/>
          <w:color w:val="auto"/>
          <w:sz w:val="36"/>
          <w:szCs w:val="28"/>
          <w:highlight w:val="none"/>
        </w:rPr>
      </w:pPr>
      <w:r>
        <w:rPr>
          <w:rFonts w:hint="default" w:ascii="Times New Roman" w:hAnsi="Times New Roman" w:cs="Times New Roman"/>
          <w:b/>
          <w:color w:val="auto"/>
          <w:sz w:val="36"/>
          <w:szCs w:val="28"/>
          <w:highlight w:val="none"/>
        </w:rPr>
        <w:t>采购代理机构：江苏省招标中心有限公司</w:t>
      </w:r>
    </w:p>
    <w:p w14:paraId="03570E57">
      <w:pPr>
        <w:jc w:val="center"/>
        <w:rPr>
          <w:rFonts w:hint="default" w:ascii="Times New Roman" w:hAnsi="Times New Roman" w:cs="Times New Roman"/>
          <w:b/>
          <w:color w:val="auto"/>
          <w:sz w:val="36"/>
          <w:szCs w:val="28"/>
          <w:highlight w:val="none"/>
        </w:rPr>
      </w:pPr>
      <w:r>
        <w:rPr>
          <w:rFonts w:hint="default" w:ascii="Times New Roman" w:hAnsi="Times New Roman" w:cs="Times New Roman"/>
          <w:b/>
          <w:color w:val="auto"/>
          <w:sz w:val="36"/>
          <w:szCs w:val="28"/>
          <w:highlight w:val="none"/>
        </w:rPr>
        <w:t>二O二</w:t>
      </w:r>
      <w:r>
        <w:rPr>
          <w:rFonts w:hint="default" w:ascii="Times New Roman" w:hAnsi="Times New Roman" w:cs="Times New Roman"/>
          <w:b/>
          <w:color w:val="auto"/>
          <w:sz w:val="36"/>
          <w:szCs w:val="28"/>
          <w:highlight w:val="none"/>
          <w:lang w:val="en-US" w:eastAsia="zh-CN"/>
        </w:rPr>
        <w:t>六</w:t>
      </w:r>
      <w:r>
        <w:rPr>
          <w:rFonts w:hint="default" w:ascii="Times New Roman" w:hAnsi="Times New Roman" w:cs="Times New Roman"/>
          <w:b/>
          <w:color w:val="auto"/>
          <w:sz w:val="36"/>
          <w:szCs w:val="28"/>
          <w:highlight w:val="none"/>
        </w:rPr>
        <w:t>年四月</w:t>
      </w:r>
    </w:p>
    <w:p w14:paraId="2510492F">
      <w:pPr>
        <w:pStyle w:val="34"/>
        <w:rPr>
          <w:rFonts w:hint="default" w:ascii="Times New Roman" w:hAnsi="Times New Roman" w:cs="Times New Roman"/>
          <w:color w:val="auto"/>
          <w:highlight w:val="none"/>
        </w:rPr>
        <w:sectPr>
          <w:headerReference r:id="rId3" w:type="default"/>
          <w:footerReference r:id="rId4" w:type="default"/>
          <w:pgSz w:w="11906" w:h="16838"/>
          <w:pgMar w:top="1474" w:right="1531" w:bottom="1474" w:left="1531" w:header="737" w:footer="992" w:gutter="0"/>
          <w:pgNumType w:start="1"/>
          <w:cols w:space="720" w:num="1"/>
          <w:docGrid w:type="lines" w:linePitch="312" w:charSpace="0"/>
        </w:sectPr>
      </w:pPr>
    </w:p>
    <w:p w14:paraId="1790C509">
      <w:pPr>
        <w:spacing w:line="500" w:lineRule="exact"/>
        <w:jc w:val="center"/>
        <w:rPr>
          <w:rFonts w:hint="default" w:ascii="Times New Roman" w:hAnsi="Times New Roman" w:cs="Times New Roman"/>
          <w:b/>
          <w:color w:val="auto"/>
          <w:sz w:val="32"/>
          <w:szCs w:val="32"/>
          <w:highlight w:val="none"/>
        </w:rPr>
      </w:pPr>
      <w:bookmarkStart w:id="0" w:name="_Toc531620161"/>
      <w:bookmarkStart w:id="1" w:name="_Toc80264696"/>
      <w:r>
        <w:rPr>
          <w:rFonts w:hint="default" w:ascii="Times New Roman" w:hAnsi="Times New Roman" w:cs="Times New Roman"/>
          <w:b/>
          <w:color w:val="auto"/>
          <w:sz w:val="32"/>
          <w:szCs w:val="32"/>
          <w:highlight w:val="none"/>
        </w:rPr>
        <w:t>目   录</w:t>
      </w:r>
    </w:p>
    <w:p w14:paraId="6898020D">
      <w:pPr>
        <w:pStyle w:val="26"/>
        <w:tabs>
          <w:tab w:val="right" w:leader="dot" w:pos="8844"/>
        </w:tabs>
        <w:spacing w:line="360" w:lineRule="auto"/>
        <w:rPr>
          <w:rFonts w:hint="eastAsia" w:ascii="宋体" w:hAnsi="宋体" w:eastAsia="宋体" w:cs="宋体"/>
          <w:b/>
          <w:bCs/>
        </w:rPr>
      </w:pPr>
      <w:r>
        <w:rPr>
          <w:rFonts w:hint="default" w:ascii="Times New Roman" w:hAnsi="Times New Roman" w:eastAsia="宋体" w:cs="Times New Roman"/>
          <w:b/>
          <w:color w:val="auto"/>
          <w:highlight w:val="none"/>
        </w:rPr>
        <w:fldChar w:fldCharType="begin"/>
      </w:r>
      <w:r>
        <w:rPr>
          <w:rFonts w:hint="default" w:ascii="Times New Roman" w:hAnsi="Times New Roman" w:eastAsia="宋体" w:cs="Times New Roman"/>
          <w:b/>
          <w:color w:val="auto"/>
          <w:highlight w:val="none"/>
        </w:rPr>
        <w:instrText xml:space="preserve"> TOC \o "1-3" \h \z \u </w:instrText>
      </w:r>
      <w:r>
        <w:rPr>
          <w:rFonts w:hint="default" w:ascii="Times New Roman" w:hAnsi="Times New Roman" w:eastAsia="宋体" w:cs="Times New Roman"/>
          <w:b/>
          <w:color w:val="auto"/>
          <w:highlight w:val="none"/>
        </w:rPr>
        <w:fldChar w:fldCharType="separate"/>
      </w: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_Toc14739 </w:instrText>
      </w:r>
      <w:r>
        <w:rPr>
          <w:rFonts w:hint="eastAsia" w:ascii="宋体" w:hAnsi="宋体" w:eastAsia="宋体" w:cs="宋体"/>
          <w:b/>
          <w:bCs/>
          <w:highlight w:val="none"/>
        </w:rPr>
        <w:fldChar w:fldCharType="separate"/>
      </w:r>
      <w:r>
        <w:rPr>
          <w:rFonts w:hint="eastAsia" w:ascii="宋体" w:hAnsi="宋体" w:eastAsia="宋体" w:cs="宋体"/>
          <w:b/>
          <w:bCs/>
        </w:rPr>
        <w:t xml:space="preserve">第一章 </w:t>
      </w:r>
      <w:r>
        <w:rPr>
          <w:rFonts w:hint="eastAsia" w:ascii="宋体" w:hAnsi="宋体" w:eastAsia="宋体" w:cs="宋体"/>
          <w:b/>
          <w:bCs/>
          <w:highlight w:val="none"/>
        </w:rPr>
        <w:t>招标公告</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_Toc14739 \h </w:instrText>
      </w:r>
      <w:r>
        <w:rPr>
          <w:rFonts w:hint="eastAsia" w:ascii="宋体" w:hAnsi="宋体" w:eastAsia="宋体" w:cs="宋体"/>
          <w:b/>
          <w:bCs/>
        </w:rPr>
        <w:fldChar w:fldCharType="separate"/>
      </w:r>
      <w:r>
        <w:rPr>
          <w:rFonts w:hint="eastAsia" w:ascii="宋体" w:hAnsi="宋体" w:eastAsia="宋体" w:cs="宋体"/>
          <w:b/>
          <w:bCs/>
        </w:rPr>
        <w:t>5</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3502871C">
      <w:pPr>
        <w:pStyle w:val="26"/>
        <w:tabs>
          <w:tab w:val="right" w:leader="dot" w:pos="8844"/>
        </w:tabs>
        <w:spacing w:line="360" w:lineRule="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_Toc26448 </w:instrText>
      </w:r>
      <w:r>
        <w:rPr>
          <w:rFonts w:hint="eastAsia" w:ascii="宋体" w:hAnsi="宋体" w:eastAsia="宋体" w:cs="宋体"/>
          <w:b/>
          <w:bCs/>
          <w:highlight w:val="none"/>
        </w:rPr>
        <w:fldChar w:fldCharType="separate"/>
      </w:r>
      <w:r>
        <w:rPr>
          <w:rFonts w:hint="eastAsia" w:ascii="宋体" w:hAnsi="宋体" w:eastAsia="宋体" w:cs="宋体"/>
          <w:b/>
          <w:bCs/>
        </w:rPr>
        <w:t xml:space="preserve">第二章 </w:t>
      </w:r>
      <w:r>
        <w:rPr>
          <w:rFonts w:hint="eastAsia" w:ascii="宋体" w:hAnsi="宋体" w:eastAsia="宋体" w:cs="宋体"/>
          <w:b/>
          <w:bCs/>
          <w:highlight w:val="none"/>
        </w:rPr>
        <w:t>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_Toc26448 \h </w:instrText>
      </w:r>
      <w:r>
        <w:rPr>
          <w:rFonts w:hint="eastAsia" w:ascii="宋体" w:hAnsi="宋体" w:eastAsia="宋体" w:cs="宋体"/>
          <w:b/>
          <w:bCs/>
        </w:rPr>
        <w:fldChar w:fldCharType="separate"/>
      </w:r>
      <w:r>
        <w:rPr>
          <w:rFonts w:hint="eastAsia" w:ascii="宋体" w:hAnsi="宋体" w:eastAsia="宋体" w:cs="宋体"/>
          <w:b/>
          <w:bCs/>
        </w:rPr>
        <w:t>10</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4B0067CF">
      <w:pPr>
        <w:pStyle w:val="26"/>
        <w:tabs>
          <w:tab w:val="right" w:leader="dot" w:pos="8844"/>
        </w:tabs>
        <w:spacing w:line="360" w:lineRule="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_Toc9257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一．总则</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_Toc9257 \h </w:instrText>
      </w:r>
      <w:r>
        <w:rPr>
          <w:rFonts w:hint="eastAsia" w:ascii="宋体" w:hAnsi="宋体" w:eastAsia="宋体" w:cs="宋体"/>
          <w:b/>
          <w:bCs/>
        </w:rPr>
        <w:fldChar w:fldCharType="separate"/>
      </w:r>
      <w:r>
        <w:rPr>
          <w:rFonts w:hint="eastAsia" w:ascii="宋体" w:hAnsi="宋体" w:eastAsia="宋体" w:cs="宋体"/>
          <w:b/>
          <w:bCs/>
        </w:rPr>
        <w:t>15</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72B181A6">
      <w:pPr>
        <w:pStyle w:val="26"/>
        <w:tabs>
          <w:tab w:val="right" w:leader="dot" w:pos="8844"/>
        </w:tabs>
        <w:spacing w:line="360" w:lineRule="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_Toc20942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二．招标文件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_Toc20942 \h </w:instrText>
      </w:r>
      <w:r>
        <w:rPr>
          <w:rFonts w:hint="eastAsia" w:ascii="宋体" w:hAnsi="宋体" w:eastAsia="宋体" w:cs="宋体"/>
          <w:b/>
          <w:bCs/>
        </w:rPr>
        <w:fldChar w:fldCharType="separate"/>
      </w:r>
      <w:r>
        <w:rPr>
          <w:rFonts w:hint="eastAsia" w:ascii="宋体" w:hAnsi="宋体" w:eastAsia="宋体" w:cs="宋体"/>
          <w:b/>
          <w:bCs/>
        </w:rPr>
        <w:t>19</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2C50FD62">
      <w:pPr>
        <w:pStyle w:val="26"/>
        <w:tabs>
          <w:tab w:val="right" w:leader="dot" w:pos="8844"/>
        </w:tabs>
        <w:spacing w:line="360" w:lineRule="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_Toc3537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三．投标文件</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_Toc3537 \h </w:instrText>
      </w:r>
      <w:r>
        <w:rPr>
          <w:rFonts w:hint="eastAsia" w:ascii="宋体" w:hAnsi="宋体" w:eastAsia="宋体" w:cs="宋体"/>
          <w:b/>
          <w:bCs/>
        </w:rPr>
        <w:fldChar w:fldCharType="separate"/>
      </w:r>
      <w:r>
        <w:rPr>
          <w:rFonts w:hint="eastAsia" w:ascii="宋体" w:hAnsi="宋体" w:eastAsia="宋体" w:cs="宋体"/>
          <w:b/>
          <w:bCs/>
        </w:rPr>
        <w:t>20</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0FCFEEB6">
      <w:pPr>
        <w:pStyle w:val="26"/>
        <w:tabs>
          <w:tab w:val="right" w:leader="dot" w:pos="8844"/>
        </w:tabs>
        <w:spacing w:line="360" w:lineRule="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_Toc26559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四．投标文件的递交</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_Toc26559 \h </w:instrText>
      </w:r>
      <w:r>
        <w:rPr>
          <w:rFonts w:hint="eastAsia" w:ascii="宋体" w:hAnsi="宋体" w:eastAsia="宋体" w:cs="宋体"/>
          <w:b/>
          <w:bCs/>
        </w:rPr>
        <w:fldChar w:fldCharType="separate"/>
      </w:r>
      <w:r>
        <w:rPr>
          <w:rFonts w:hint="eastAsia" w:ascii="宋体" w:hAnsi="宋体" w:eastAsia="宋体" w:cs="宋体"/>
          <w:b/>
          <w:bCs/>
        </w:rPr>
        <w:t>22</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4C2FD4F4">
      <w:pPr>
        <w:pStyle w:val="26"/>
        <w:tabs>
          <w:tab w:val="right" w:leader="dot" w:pos="8844"/>
        </w:tabs>
        <w:spacing w:line="360" w:lineRule="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_Toc11328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五．开标和评标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_Toc11328 \h </w:instrText>
      </w:r>
      <w:r>
        <w:rPr>
          <w:rFonts w:hint="eastAsia" w:ascii="宋体" w:hAnsi="宋体" w:eastAsia="宋体" w:cs="宋体"/>
          <w:b/>
          <w:bCs/>
        </w:rPr>
        <w:fldChar w:fldCharType="separate"/>
      </w:r>
      <w:r>
        <w:rPr>
          <w:rFonts w:hint="eastAsia" w:ascii="宋体" w:hAnsi="宋体" w:eastAsia="宋体" w:cs="宋体"/>
          <w:b/>
          <w:bCs/>
        </w:rPr>
        <w:t>22</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4DEBF603">
      <w:pPr>
        <w:pStyle w:val="26"/>
        <w:tabs>
          <w:tab w:val="right" w:leader="dot" w:pos="8844"/>
        </w:tabs>
        <w:spacing w:line="360" w:lineRule="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_Toc13796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六．确定中标</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_Toc13796 \h </w:instrText>
      </w:r>
      <w:r>
        <w:rPr>
          <w:rFonts w:hint="eastAsia" w:ascii="宋体" w:hAnsi="宋体" w:eastAsia="宋体" w:cs="宋体"/>
          <w:b/>
          <w:bCs/>
        </w:rPr>
        <w:fldChar w:fldCharType="separate"/>
      </w:r>
      <w:r>
        <w:rPr>
          <w:rFonts w:hint="eastAsia" w:ascii="宋体" w:hAnsi="宋体" w:eastAsia="宋体" w:cs="宋体"/>
          <w:b/>
          <w:bCs/>
        </w:rPr>
        <w:t>25</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6786B8B4">
      <w:pPr>
        <w:pStyle w:val="26"/>
        <w:tabs>
          <w:tab w:val="right" w:leader="dot" w:pos="8844"/>
        </w:tabs>
        <w:spacing w:line="360" w:lineRule="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_Toc11360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七．询问与质疑</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_Toc11360 \h </w:instrText>
      </w:r>
      <w:r>
        <w:rPr>
          <w:rFonts w:hint="eastAsia" w:ascii="宋体" w:hAnsi="宋体" w:eastAsia="宋体" w:cs="宋体"/>
          <w:b/>
          <w:bCs/>
        </w:rPr>
        <w:fldChar w:fldCharType="separate"/>
      </w:r>
      <w:r>
        <w:rPr>
          <w:rFonts w:hint="eastAsia" w:ascii="宋体" w:hAnsi="宋体" w:eastAsia="宋体" w:cs="宋体"/>
          <w:b/>
          <w:bCs/>
        </w:rPr>
        <w:t>26</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3ECB6440">
      <w:pPr>
        <w:pStyle w:val="26"/>
        <w:tabs>
          <w:tab w:val="right" w:leader="dot" w:pos="8844"/>
        </w:tabs>
        <w:spacing w:line="360" w:lineRule="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_Toc6748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八．其他</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_Toc6748 \h </w:instrText>
      </w:r>
      <w:r>
        <w:rPr>
          <w:rFonts w:hint="eastAsia" w:ascii="宋体" w:hAnsi="宋体" w:eastAsia="宋体" w:cs="宋体"/>
          <w:b/>
          <w:bCs/>
        </w:rPr>
        <w:fldChar w:fldCharType="separate"/>
      </w:r>
      <w:r>
        <w:rPr>
          <w:rFonts w:hint="eastAsia" w:ascii="宋体" w:hAnsi="宋体" w:eastAsia="宋体" w:cs="宋体"/>
          <w:b/>
          <w:bCs/>
        </w:rPr>
        <w:t>27</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493A3687">
      <w:pPr>
        <w:pStyle w:val="26"/>
        <w:tabs>
          <w:tab w:val="right" w:leader="dot" w:pos="8844"/>
        </w:tabs>
        <w:spacing w:line="360" w:lineRule="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_Toc31220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第三章 政府采购合同条款及格式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_Toc31220 \h </w:instrText>
      </w:r>
      <w:r>
        <w:rPr>
          <w:rFonts w:hint="eastAsia" w:ascii="宋体" w:hAnsi="宋体" w:eastAsia="宋体" w:cs="宋体"/>
          <w:b/>
          <w:bCs/>
        </w:rPr>
        <w:fldChar w:fldCharType="separate"/>
      </w:r>
      <w:r>
        <w:rPr>
          <w:rFonts w:hint="eastAsia" w:ascii="宋体" w:hAnsi="宋体" w:eastAsia="宋体" w:cs="宋体"/>
          <w:b/>
          <w:bCs/>
        </w:rPr>
        <w:t>28</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196A08C2">
      <w:pPr>
        <w:pStyle w:val="26"/>
        <w:tabs>
          <w:tab w:val="right" w:leader="dot" w:pos="8844"/>
        </w:tabs>
        <w:spacing w:line="360" w:lineRule="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_Toc24026 </w:instrText>
      </w:r>
      <w:r>
        <w:rPr>
          <w:rFonts w:hint="eastAsia" w:ascii="宋体" w:hAnsi="宋体" w:eastAsia="宋体" w:cs="宋体"/>
          <w:b/>
          <w:bCs/>
          <w:highlight w:val="none"/>
        </w:rPr>
        <w:fldChar w:fldCharType="separate"/>
      </w:r>
      <w:r>
        <w:rPr>
          <w:rFonts w:hint="eastAsia" w:ascii="宋体" w:hAnsi="宋体" w:eastAsia="宋体" w:cs="宋体"/>
          <w:b/>
          <w:bCs/>
          <w:szCs w:val="32"/>
          <w:highlight w:val="none"/>
          <w:lang w:val="en-US" w:eastAsia="zh-CN"/>
        </w:rPr>
        <w:t>第四章 采购需求</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_Toc24026 \h </w:instrText>
      </w:r>
      <w:r>
        <w:rPr>
          <w:rFonts w:hint="eastAsia" w:ascii="宋体" w:hAnsi="宋体" w:eastAsia="宋体" w:cs="宋体"/>
          <w:b/>
          <w:bCs/>
        </w:rPr>
        <w:fldChar w:fldCharType="separate"/>
      </w:r>
      <w:r>
        <w:rPr>
          <w:rFonts w:hint="eastAsia" w:ascii="宋体" w:hAnsi="宋体" w:eastAsia="宋体" w:cs="宋体"/>
          <w:b/>
          <w:bCs/>
        </w:rPr>
        <w:t>32</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07043D3B">
      <w:pPr>
        <w:pStyle w:val="26"/>
        <w:tabs>
          <w:tab w:val="right" w:leader="dot" w:pos="8844"/>
        </w:tabs>
        <w:spacing w:line="360" w:lineRule="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_Toc1488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第五章 评标方法与评标标准</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_Toc1488 \h </w:instrText>
      </w:r>
      <w:r>
        <w:rPr>
          <w:rFonts w:hint="eastAsia" w:ascii="宋体" w:hAnsi="宋体" w:eastAsia="宋体" w:cs="宋体"/>
          <w:b/>
          <w:bCs/>
        </w:rPr>
        <w:fldChar w:fldCharType="separate"/>
      </w:r>
      <w:r>
        <w:rPr>
          <w:rFonts w:hint="eastAsia" w:ascii="宋体" w:hAnsi="宋体" w:eastAsia="宋体" w:cs="宋体"/>
          <w:b/>
          <w:bCs/>
        </w:rPr>
        <w:t>37</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7834F02D">
      <w:pPr>
        <w:pStyle w:val="26"/>
        <w:tabs>
          <w:tab w:val="right" w:leader="dot" w:pos="8844"/>
        </w:tabs>
        <w:spacing w:line="360" w:lineRule="auto"/>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_Toc17029 </w:instrText>
      </w:r>
      <w:r>
        <w:rPr>
          <w:rFonts w:hint="eastAsia" w:ascii="宋体" w:hAnsi="宋体" w:eastAsia="宋体" w:cs="宋体"/>
          <w:b/>
          <w:bCs/>
          <w:highlight w:val="none"/>
        </w:rPr>
        <w:fldChar w:fldCharType="separate"/>
      </w:r>
      <w:r>
        <w:rPr>
          <w:rFonts w:hint="eastAsia" w:ascii="宋体" w:hAnsi="宋体" w:eastAsia="宋体" w:cs="宋体"/>
          <w:b/>
          <w:bCs/>
          <w:highlight w:val="none"/>
        </w:rPr>
        <w:t>第六章 投标文件格式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_Toc17029 \h </w:instrText>
      </w:r>
      <w:r>
        <w:rPr>
          <w:rFonts w:hint="eastAsia" w:ascii="宋体" w:hAnsi="宋体" w:eastAsia="宋体" w:cs="宋体"/>
          <w:b/>
          <w:bCs/>
        </w:rPr>
        <w:fldChar w:fldCharType="separate"/>
      </w:r>
      <w:r>
        <w:rPr>
          <w:rFonts w:hint="eastAsia" w:ascii="宋体" w:hAnsi="宋体" w:eastAsia="宋体" w:cs="宋体"/>
          <w:b/>
          <w:bCs/>
        </w:rPr>
        <w:t>43</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14:paraId="14E4096B">
      <w:pPr>
        <w:pStyle w:val="26"/>
        <w:tabs>
          <w:tab w:val="right" w:leader="dot" w:pos="8834"/>
        </w:tabs>
        <w:spacing w:line="360" w:lineRule="auto"/>
        <w:rPr>
          <w:rFonts w:hint="default" w:ascii="Times New Roman" w:hAnsi="Times New Roman" w:eastAsia="等线" w:cs="Times New Roman"/>
          <w:b/>
          <w:color w:val="auto"/>
          <w:sz w:val="21"/>
          <w:szCs w:val="22"/>
          <w:highlight w:val="none"/>
        </w:rPr>
      </w:pPr>
      <w:r>
        <w:rPr>
          <w:rFonts w:hint="default" w:ascii="Times New Roman" w:hAnsi="Times New Roman" w:eastAsia="宋体" w:cs="Times New Roman"/>
          <w:color w:val="auto"/>
          <w:highlight w:val="none"/>
        </w:rPr>
        <w:fldChar w:fldCharType="end"/>
      </w:r>
    </w:p>
    <w:p w14:paraId="51C72378">
      <w:pPr>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sz w:val="32"/>
          <w:highlight w:val="none"/>
          <w:lang w:val="zh-CN"/>
        </w:rPr>
        <w:br w:type="page"/>
      </w:r>
    </w:p>
    <w:bookmarkEnd w:id="0"/>
    <w:bookmarkEnd w:id="1"/>
    <w:p w14:paraId="265BB418">
      <w:pPr>
        <w:pStyle w:val="34"/>
        <w:numPr>
          <w:ilvl w:val="0"/>
          <w:numId w:val="1"/>
        </w:numPr>
        <w:spacing w:before="0" w:after="0"/>
        <w:ind w:left="1123" w:hanging="1123"/>
        <w:rPr>
          <w:rFonts w:hint="default" w:ascii="Times New Roman" w:hAnsi="Times New Roman" w:cs="Times New Roman"/>
          <w:color w:val="auto"/>
          <w:highlight w:val="none"/>
        </w:rPr>
      </w:pPr>
      <w:bookmarkStart w:id="2" w:name="_Toc14739"/>
      <w:bookmarkStart w:id="3" w:name="_Toc80264697"/>
      <w:bookmarkStart w:id="4" w:name="_Toc80792688"/>
      <w:r>
        <w:rPr>
          <w:rFonts w:hint="default" w:ascii="Times New Roman" w:hAnsi="Times New Roman" w:cs="Times New Roman"/>
          <w:color w:val="auto"/>
          <w:highlight w:val="none"/>
        </w:rPr>
        <w:t>招标公告</w:t>
      </w:r>
      <w:bookmarkEnd w:id="2"/>
    </w:p>
    <w:p w14:paraId="1362C0AF">
      <w:pPr>
        <w:pBdr>
          <w:top w:val="single" w:color="auto" w:sz="4" w:space="1"/>
          <w:left w:val="single" w:color="auto" w:sz="4" w:space="4"/>
          <w:bottom w:val="single" w:color="auto" w:sz="4" w:space="1"/>
          <w:right w:val="single" w:color="auto" w:sz="4" w:space="4"/>
        </w:pBd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项目概况</w:t>
      </w:r>
    </w:p>
    <w:p w14:paraId="4FEF736E">
      <w:pPr>
        <w:pBdr>
          <w:top w:val="single" w:color="auto" w:sz="4" w:space="1"/>
          <w:left w:val="single" w:color="auto" w:sz="4" w:space="4"/>
          <w:bottom w:val="single" w:color="auto" w:sz="4" w:space="1"/>
          <w:right w:val="single" w:color="auto" w:sz="4" w:space="4"/>
        </w:pBdr>
        <w:wordWrap w:val="0"/>
        <w:spacing w:line="360" w:lineRule="auto"/>
        <w:ind w:firstLine="420" w:firstLineChars="200"/>
        <w:rPr>
          <w:rFonts w:hint="default" w:ascii="Times New Roman" w:hAnsi="Times New Roman" w:cs="Times New Roman"/>
          <w:bCs/>
          <w:color w:val="auto"/>
          <w:szCs w:val="21"/>
          <w:highlight w:val="none"/>
        </w:rPr>
      </w:pPr>
      <w:r>
        <w:rPr>
          <w:rFonts w:hint="eastAsia" w:cs="Times New Roman"/>
          <w:bCs/>
          <w:color w:val="auto"/>
          <w:szCs w:val="21"/>
          <w:highlight w:val="none"/>
          <w:u w:val="single"/>
          <w:lang w:eastAsia="zh-CN"/>
        </w:rPr>
        <w:t>南京红十字血液中心献血爱心分平台及宣传推广服务采购项目JSZC-320100-JITC-G2026-0091</w:t>
      </w:r>
      <w:r>
        <w:rPr>
          <w:rFonts w:hint="default" w:ascii="Times New Roman" w:hAnsi="Times New Roman" w:cs="Times New Roman"/>
          <w:bCs/>
          <w:color w:val="auto"/>
          <w:szCs w:val="21"/>
          <w:highlight w:val="none"/>
        </w:rPr>
        <w:t>招标项目的潜在投标人应在“苏采云”系统获取招标文件，并于</w:t>
      </w:r>
      <w:bookmarkStart w:id="5" w:name="_Hlk181202960"/>
      <w:r>
        <w:rPr>
          <w:rFonts w:hint="default" w:ascii="Times New Roman" w:hAnsi="Times New Roman" w:cs="Times New Roman"/>
          <w:bCs/>
          <w:color w:val="auto"/>
          <w:szCs w:val="21"/>
          <w:highlight w:val="none"/>
        </w:rPr>
        <w:t>202</w:t>
      </w:r>
      <w:r>
        <w:rPr>
          <w:rFonts w:hint="default" w:ascii="Times New Roman" w:hAnsi="Times New Roman" w:cs="Times New Roman"/>
          <w:bCs/>
          <w:color w:val="auto"/>
          <w:szCs w:val="21"/>
          <w:highlight w:val="none"/>
          <w:lang w:val="en-US" w:eastAsia="zh-CN"/>
        </w:rPr>
        <w:t>6</w:t>
      </w:r>
      <w:r>
        <w:rPr>
          <w:rFonts w:hint="default" w:ascii="Times New Roman" w:hAnsi="Times New Roman" w:cs="Times New Roman"/>
          <w:bCs/>
          <w:color w:val="auto"/>
          <w:szCs w:val="21"/>
          <w:highlight w:val="none"/>
        </w:rPr>
        <w:t>-</w:t>
      </w:r>
      <w:r>
        <w:rPr>
          <w:rFonts w:hint="eastAsia" w:cs="Times New Roman"/>
          <w:bCs/>
          <w:color w:val="auto"/>
          <w:szCs w:val="21"/>
          <w:highlight w:val="none"/>
          <w:lang w:val="en-US" w:eastAsia="zh-CN"/>
        </w:rPr>
        <w:t>05</w:t>
      </w:r>
      <w:r>
        <w:rPr>
          <w:rFonts w:hint="default" w:ascii="Times New Roman" w:hAnsi="Times New Roman" w:cs="Times New Roman"/>
          <w:bCs/>
          <w:color w:val="auto"/>
          <w:szCs w:val="21"/>
          <w:highlight w:val="none"/>
        </w:rPr>
        <w:t>-</w:t>
      </w:r>
      <w:r>
        <w:rPr>
          <w:rFonts w:hint="eastAsia" w:cs="Times New Roman"/>
          <w:bCs/>
          <w:color w:val="auto"/>
          <w:szCs w:val="21"/>
          <w:highlight w:val="none"/>
          <w:lang w:val="en-US" w:eastAsia="zh-CN"/>
        </w:rPr>
        <w:t>15</w:t>
      </w:r>
      <w:r>
        <w:rPr>
          <w:rFonts w:hint="default" w:ascii="Times New Roman" w:hAnsi="Times New Roman" w:cs="Times New Roman"/>
          <w:bCs/>
          <w:color w:val="auto"/>
          <w:szCs w:val="21"/>
          <w:highlight w:val="none"/>
          <w:lang w:val="en-US" w:eastAsia="zh-CN"/>
        </w:rPr>
        <w:t xml:space="preserve"> </w:t>
      </w:r>
      <w:r>
        <w:rPr>
          <w:rFonts w:hint="default" w:ascii="Times New Roman" w:hAnsi="Times New Roman" w:cs="Times New Roman"/>
          <w:bCs/>
          <w:color w:val="auto"/>
          <w:szCs w:val="21"/>
          <w:highlight w:val="none"/>
        </w:rPr>
        <w:t>09:30</w:t>
      </w:r>
      <w:bookmarkEnd w:id="5"/>
      <w:r>
        <w:rPr>
          <w:rFonts w:hint="default" w:ascii="Times New Roman" w:hAnsi="Times New Roman" w:cs="Times New Roman"/>
          <w:bCs/>
          <w:color w:val="auto"/>
          <w:szCs w:val="21"/>
          <w:highlight w:val="none"/>
        </w:rPr>
        <w:t>（北京时间）前递交投标文件。</w:t>
      </w:r>
    </w:p>
    <w:p w14:paraId="442D2D3B">
      <w:pPr>
        <w:spacing w:line="360" w:lineRule="auto"/>
        <w:rPr>
          <w:rFonts w:hint="default" w:ascii="Times New Roman" w:hAnsi="Times New Roman" w:cs="Times New Roman"/>
          <w:b/>
          <w:bCs/>
          <w:color w:val="auto"/>
          <w:kern w:val="44"/>
          <w:szCs w:val="44"/>
          <w:highlight w:val="none"/>
        </w:rPr>
      </w:pPr>
      <w:bookmarkStart w:id="6" w:name="_Toc93909065"/>
      <w:bookmarkStart w:id="7" w:name="_Toc96347851"/>
      <w:r>
        <w:rPr>
          <w:rFonts w:hint="default" w:ascii="Times New Roman" w:hAnsi="Times New Roman" w:cs="Times New Roman"/>
          <w:b/>
          <w:bCs/>
          <w:color w:val="auto"/>
          <w:kern w:val="44"/>
          <w:szCs w:val="44"/>
          <w:highlight w:val="none"/>
        </w:rPr>
        <w:t>一、项目</w:t>
      </w:r>
      <w:bookmarkEnd w:id="3"/>
      <w:r>
        <w:rPr>
          <w:rFonts w:hint="default" w:ascii="Times New Roman" w:hAnsi="Times New Roman" w:cs="Times New Roman"/>
          <w:b/>
          <w:bCs/>
          <w:color w:val="auto"/>
          <w:kern w:val="44"/>
          <w:szCs w:val="44"/>
          <w:highlight w:val="none"/>
        </w:rPr>
        <w:t>基本情况</w:t>
      </w:r>
      <w:bookmarkEnd w:id="4"/>
      <w:bookmarkEnd w:id="6"/>
      <w:bookmarkEnd w:id="7"/>
    </w:p>
    <w:p w14:paraId="6F1F16BA">
      <w:pPr>
        <w:adjustRightInd w:val="0"/>
        <w:snapToGrid w:val="0"/>
        <w:spacing w:line="360" w:lineRule="auto"/>
        <w:ind w:firstLine="420" w:firstLineChars="200"/>
        <w:rPr>
          <w:rFonts w:hint="eastAsia" w:ascii="Times New Roman" w:hAnsi="Times New Roman" w:eastAsia="宋体" w:cs="Times New Roman"/>
          <w:bCs/>
          <w:color w:val="auto"/>
          <w:szCs w:val="21"/>
          <w:highlight w:val="none"/>
          <w:lang w:eastAsia="zh-CN"/>
        </w:rPr>
      </w:pPr>
      <w:r>
        <w:rPr>
          <w:rFonts w:hint="default" w:ascii="Times New Roman" w:hAnsi="Times New Roman" w:cs="Times New Roman"/>
          <w:bCs/>
          <w:color w:val="auto"/>
          <w:szCs w:val="21"/>
          <w:highlight w:val="none"/>
        </w:rPr>
        <w:t>项目编号：</w:t>
      </w:r>
      <w:r>
        <w:rPr>
          <w:rFonts w:hint="eastAsia" w:cs="Times New Roman"/>
          <w:bCs/>
          <w:color w:val="auto"/>
          <w:szCs w:val="21"/>
          <w:highlight w:val="none"/>
          <w:lang w:eastAsia="zh-CN"/>
        </w:rPr>
        <w:t>JSZC-320100-JITC-G2026-0091</w:t>
      </w:r>
    </w:p>
    <w:p w14:paraId="34BD948D">
      <w:pPr>
        <w:adjustRightInd w:val="0"/>
        <w:snapToGrid w:val="0"/>
        <w:spacing w:line="360" w:lineRule="auto"/>
        <w:ind w:firstLine="420" w:firstLineChars="200"/>
        <w:rPr>
          <w:rFonts w:hint="default" w:ascii="Times New Roman" w:hAnsi="Times New Roman" w:eastAsia="宋体" w:cs="Times New Roman"/>
          <w:bCs/>
          <w:color w:val="auto"/>
          <w:szCs w:val="21"/>
          <w:highlight w:val="none"/>
          <w:lang w:eastAsia="zh-CN"/>
        </w:rPr>
      </w:pPr>
      <w:r>
        <w:rPr>
          <w:rFonts w:hint="default" w:ascii="Times New Roman" w:hAnsi="Times New Roman" w:cs="Times New Roman"/>
          <w:bCs/>
          <w:color w:val="auto"/>
          <w:szCs w:val="21"/>
          <w:highlight w:val="none"/>
        </w:rPr>
        <w:t>项目名称：</w:t>
      </w:r>
      <w:r>
        <w:rPr>
          <w:rFonts w:hint="eastAsia" w:cs="Times New Roman"/>
          <w:bCs/>
          <w:color w:val="auto"/>
          <w:szCs w:val="21"/>
          <w:highlight w:val="none"/>
          <w:lang w:eastAsia="zh-CN"/>
        </w:rPr>
        <w:t>南京红十字血液中心献血爱心分平台及宣传推广服务采购项目</w:t>
      </w:r>
    </w:p>
    <w:p w14:paraId="45CD469A">
      <w:pPr>
        <w:adjustRightInd w:val="0"/>
        <w:snapToGrid w:val="0"/>
        <w:spacing w:line="360" w:lineRule="auto"/>
        <w:ind w:firstLine="420" w:firstLineChars="200"/>
        <w:rPr>
          <w:rFonts w:hint="default" w:ascii="Times New Roman" w:hAnsi="Times New Roman" w:cs="Times New Roman"/>
          <w:bCs/>
          <w:color w:val="auto"/>
          <w:szCs w:val="21"/>
          <w:highlight w:val="none"/>
        </w:rPr>
      </w:pPr>
      <w:bookmarkStart w:id="8" w:name="_Hlk182240188"/>
      <w:r>
        <w:rPr>
          <w:rFonts w:hint="default" w:ascii="Times New Roman" w:hAnsi="Times New Roman" w:cs="Times New Roman"/>
          <w:bCs/>
          <w:color w:val="auto"/>
          <w:szCs w:val="21"/>
          <w:highlight w:val="none"/>
        </w:rPr>
        <w:t>预算金额：</w:t>
      </w:r>
      <w:r>
        <w:rPr>
          <w:rFonts w:hint="default" w:ascii="Times New Roman" w:hAnsi="Times New Roman" w:cs="Times New Roman"/>
          <w:bCs/>
          <w:color w:val="auto"/>
          <w:szCs w:val="21"/>
          <w:highlight w:val="none"/>
          <w:lang w:val="en-US" w:eastAsia="zh-CN"/>
        </w:rPr>
        <w:t>390</w:t>
      </w:r>
      <w:r>
        <w:rPr>
          <w:rFonts w:hint="default" w:ascii="Times New Roman" w:hAnsi="Times New Roman" w:cs="Times New Roman"/>
          <w:bCs/>
          <w:color w:val="auto"/>
          <w:szCs w:val="21"/>
          <w:highlight w:val="none"/>
        </w:rPr>
        <w:t>.</w:t>
      </w:r>
      <w:r>
        <w:rPr>
          <w:rFonts w:hint="default" w:ascii="Times New Roman" w:hAnsi="Times New Roman" w:cs="Times New Roman"/>
          <w:bCs/>
          <w:color w:val="auto"/>
          <w:szCs w:val="21"/>
          <w:highlight w:val="none"/>
          <w:lang w:val="en-US" w:eastAsia="zh-CN"/>
        </w:rPr>
        <w:t>0</w:t>
      </w:r>
      <w:r>
        <w:rPr>
          <w:rFonts w:hint="default" w:ascii="Times New Roman" w:hAnsi="Times New Roman" w:cs="Times New Roman"/>
          <w:bCs/>
          <w:color w:val="auto"/>
          <w:szCs w:val="21"/>
          <w:highlight w:val="none"/>
        </w:rPr>
        <w:t>00000万元</w:t>
      </w:r>
    </w:p>
    <w:p w14:paraId="7B7EC896">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最高限价（如有）：</w:t>
      </w:r>
      <w:bookmarkEnd w:id="8"/>
      <w:r>
        <w:rPr>
          <w:rFonts w:hint="default" w:ascii="Times New Roman" w:hAnsi="Times New Roman" w:cs="Times New Roman"/>
          <w:bCs/>
          <w:color w:val="auto"/>
          <w:szCs w:val="21"/>
          <w:highlight w:val="none"/>
          <w:lang w:val="en-US" w:eastAsia="zh-CN"/>
        </w:rPr>
        <w:t>3</w:t>
      </w:r>
      <w:r>
        <w:rPr>
          <w:rFonts w:hint="default" w:ascii="Times New Roman" w:hAnsi="Times New Roman" w:cs="Times New Roman"/>
          <w:bCs/>
          <w:color w:val="auto"/>
          <w:szCs w:val="21"/>
          <w:highlight w:val="none"/>
        </w:rPr>
        <w:t>90.000000万元</w:t>
      </w:r>
    </w:p>
    <w:p w14:paraId="1DACD594">
      <w:pPr>
        <w:adjustRightInd w:val="0"/>
        <w:snapToGrid w:val="0"/>
        <w:spacing w:line="360" w:lineRule="auto"/>
        <w:ind w:firstLine="420" w:firstLineChars="200"/>
        <w:rPr>
          <w:rFonts w:hint="default" w:ascii="Times New Roman" w:hAnsi="Times New Roman" w:eastAsia="宋体" w:cs="Times New Roman"/>
          <w:bCs/>
          <w:color w:val="auto"/>
          <w:szCs w:val="21"/>
          <w:highlight w:val="none"/>
        </w:rPr>
      </w:pPr>
      <w:r>
        <w:rPr>
          <w:rFonts w:hint="eastAsia" w:cs="Times New Roman"/>
          <w:bCs/>
          <w:color w:val="auto"/>
          <w:szCs w:val="21"/>
          <w:highlight w:val="none"/>
          <w:lang w:val="en-US" w:eastAsia="zh-CN"/>
        </w:rPr>
        <w:t>采购</w:t>
      </w:r>
      <w:r>
        <w:rPr>
          <w:rFonts w:hint="default" w:ascii="Times New Roman" w:hAnsi="Times New Roman" w:cs="Times New Roman"/>
          <w:bCs/>
          <w:color w:val="auto"/>
          <w:szCs w:val="21"/>
          <w:highlight w:val="none"/>
        </w:rPr>
        <w:t>需求：</w:t>
      </w:r>
      <w:r>
        <w:rPr>
          <w:rFonts w:hint="default" w:ascii="Times New Roman" w:hAnsi="Times New Roman" w:cs="Times New Roman"/>
          <w:bCs/>
          <w:color w:val="auto"/>
          <w:szCs w:val="21"/>
          <w:highlight w:val="none"/>
          <w:lang w:val="en-US" w:eastAsia="zh-CN"/>
        </w:rPr>
        <w:t>为</w:t>
      </w:r>
      <w:r>
        <w:rPr>
          <w:rFonts w:hint="default" w:ascii="Times New Roman" w:hAnsi="Times New Roman" w:cs="Times New Roman"/>
          <w:bCs/>
          <w:color w:val="auto"/>
          <w:szCs w:val="21"/>
          <w:highlight w:val="none"/>
        </w:rPr>
        <w:t>更好地凝聚无偿献血者队伍，提升献血的服务体验，推进血站无偿献血“互联网+”建设</w:t>
      </w:r>
      <w:r>
        <w:rPr>
          <w:rFonts w:hint="default" w:ascii="Times New Roman" w:hAnsi="Times New Roman" w:eastAsia="宋体" w:cs="Times New Roman"/>
          <w:bCs/>
          <w:color w:val="auto"/>
          <w:szCs w:val="21"/>
          <w:highlight w:val="none"/>
        </w:rPr>
        <w:t>步伐，落实“智能化服务，数据化管理”的目标，拟搭建“南京红十字血液中心献血爱心分平台”，对无偿献血纪念品的领取方式进行全新升级</w:t>
      </w:r>
      <w:r>
        <w:rPr>
          <w:rFonts w:hint="eastAsia" w:cs="Times New Roman"/>
          <w:bCs/>
          <w:color w:val="auto"/>
          <w:szCs w:val="21"/>
          <w:highlight w:val="none"/>
          <w:lang w:eastAsia="zh-CN"/>
        </w:rPr>
        <w:t>，</w:t>
      </w:r>
      <w:r>
        <w:rPr>
          <w:rFonts w:hint="eastAsia" w:cs="Times New Roman"/>
          <w:bCs/>
          <w:color w:val="auto"/>
          <w:szCs w:val="21"/>
          <w:highlight w:val="none"/>
          <w:lang w:val="en-US" w:eastAsia="zh-CN"/>
        </w:rPr>
        <w:t>并对</w:t>
      </w:r>
      <w:r>
        <w:rPr>
          <w:rFonts w:hint="default" w:ascii="Times New Roman" w:hAnsi="Times New Roman" w:eastAsia="宋体" w:cs="Times New Roman"/>
          <w:bCs/>
          <w:color w:val="auto"/>
          <w:szCs w:val="21"/>
          <w:highlight w:val="none"/>
        </w:rPr>
        <w:t>。</w:t>
      </w:r>
    </w:p>
    <w:p w14:paraId="4BBD4279">
      <w:pPr>
        <w:adjustRightInd w:val="0"/>
        <w:snapToGrid w:val="0"/>
        <w:spacing w:line="360" w:lineRule="auto"/>
        <w:ind w:firstLine="420" w:firstLineChars="20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合同履行期限：</w:t>
      </w:r>
      <w:r>
        <w:rPr>
          <w:rFonts w:hint="default" w:ascii="Times New Roman" w:hAnsi="Times New Roman" w:eastAsia="宋体" w:cs="Times New Roman"/>
          <w:bCs/>
          <w:color w:val="auto"/>
          <w:szCs w:val="21"/>
          <w:highlight w:val="none"/>
          <w:lang w:val="en-US" w:eastAsia="zh-CN"/>
        </w:rPr>
        <w:t>合同期内预算全部使用完毕则合同终止。</w:t>
      </w:r>
    </w:p>
    <w:p w14:paraId="7B31E612">
      <w:pPr>
        <w:adjustRightInd w:val="0"/>
        <w:snapToGrid w:val="0"/>
        <w:spacing w:line="360" w:lineRule="auto"/>
        <w:ind w:firstLine="420" w:firstLineChars="20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本项目（是/否）接受联合体投标：否</w:t>
      </w:r>
    </w:p>
    <w:p w14:paraId="0601360D">
      <w:pPr>
        <w:spacing w:line="360" w:lineRule="auto"/>
        <w:rPr>
          <w:rFonts w:hint="default" w:ascii="Times New Roman" w:hAnsi="Times New Roman" w:cs="Times New Roman"/>
          <w:b/>
          <w:bCs/>
          <w:color w:val="auto"/>
          <w:kern w:val="44"/>
          <w:szCs w:val="44"/>
          <w:highlight w:val="none"/>
        </w:rPr>
      </w:pPr>
      <w:bookmarkStart w:id="9" w:name="_Toc80264698"/>
      <w:bookmarkStart w:id="10" w:name="_Toc80792689"/>
      <w:bookmarkStart w:id="11" w:name="_Toc93909066"/>
      <w:bookmarkStart w:id="12" w:name="_Toc96347852"/>
      <w:r>
        <w:rPr>
          <w:rFonts w:hint="default" w:ascii="Times New Roman" w:hAnsi="Times New Roman" w:cs="Times New Roman"/>
          <w:b/>
          <w:bCs/>
          <w:color w:val="auto"/>
          <w:kern w:val="44"/>
          <w:szCs w:val="44"/>
          <w:highlight w:val="none"/>
        </w:rPr>
        <w:t>二、</w:t>
      </w:r>
      <w:bookmarkEnd w:id="9"/>
      <w:r>
        <w:rPr>
          <w:rFonts w:hint="default" w:ascii="Times New Roman" w:hAnsi="Times New Roman" w:cs="Times New Roman"/>
          <w:b/>
          <w:bCs/>
          <w:color w:val="auto"/>
          <w:kern w:val="44"/>
          <w:szCs w:val="44"/>
          <w:highlight w:val="none"/>
        </w:rPr>
        <w:t>申请人的资格要求</w:t>
      </w:r>
      <w:bookmarkEnd w:id="10"/>
      <w:bookmarkEnd w:id="11"/>
      <w:r>
        <w:rPr>
          <w:rFonts w:hint="default" w:ascii="Times New Roman" w:hAnsi="Times New Roman" w:cs="Times New Roman"/>
          <w:b/>
          <w:bCs/>
          <w:color w:val="auto"/>
          <w:kern w:val="44"/>
          <w:szCs w:val="44"/>
          <w:highlight w:val="none"/>
        </w:rPr>
        <w:t>：</w:t>
      </w:r>
      <w:bookmarkEnd w:id="12"/>
    </w:p>
    <w:p w14:paraId="0F56ADAB">
      <w:pPr>
        <w:spacing w:line="360" w:lineRule="auto"/>
        <w:ind w:firstLine="420" w:firstLineChars="200"/>
        <w:rPr>
          <w:rFonts w:hint="default" w:ascii="Times New Roman" w:hAnsi="Times New Roman" w:cs="Times New Roman"/>
          <w:bCs/>
          <w:color w:val="auto"/>
          <w:szCs w:val="21"/>
          <w:highlight w:val="none"/>
        </w:rPr>
      </w:pPr>
      <w:bookmarkStart w:id="13" w:name="_Toc93909067"/>
      <w:bookmarkStart w:id="14" w:name="_Toc80264699"/>
      <w:bookmarkStart w:id="15" w:name="_Toc96347853"/>
      <w:bookmarkStart w:id="16" w:name="_Toc80792690"/>
      <w:r>
        <w:rPr>
          <w:rFonts w:hint="default" w:ascii="Times New Roman" w:hAnsi="Times New Roman" w:cs="Times New Roman"/>
          <w:bCs/>
          <w:color w:val="auto"/>
          <w:szCs w:val="21"/>
          <w:highlight w:val="none"/>
        </w:rPr>
        <w:t>(一)满足《中华人民共和国政府采购法》第二十二条规定：</w:t>
      </w:r>
    </w:p>
    <w:p w14:paraId="6E628A67">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1．法人或者其他组织的营业执照等证明文件，自然人的身份证明</w:t>
      </w:r>
      <w:r>
        <w:rPr>
          <w:rFonts w:hint="default" w:ascii="Times New Roman" w:hAnsi="Times New Roman" w:cs="Times New Roman"/>
          <w:b/>
          <w:color w:val="auto"/>
          <w:szCs w:val="21"/>
          <w:highlight w:val="none"/>
        </w:rPr>
        <w:t>（提供法人或者其他组织的营业执照，自然人的身份证明复印件加盖公章）；</w:t>
      </w:r>
    </w:p>
    <w:p w14:paraId="1CF14D44">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2．具有良好的商业信誉和健全的财务会计制度，</w:t>
      </w:r>
      <w:r>
        <w:rPr>
          <w:rFonts w:hint="default" w:ascii="Times New Roman" w:hAnsi="Times New Roman" w:cs="Times New Roman"/>
          <w:b/>
          <w:color w:val="auto"/>
          <w:szCs w:val="21"/>
          <w:highlight w:val="none"/>
        </w:rPr>
        <w:t>提供202</w:t>
      </w:r>
      <w:r>
        <w:rPr>
          <w:rFonts w:hint="default" w:ascii="Times New Roman" w:hAnsi="Times New Roman" w:cs="Times New Roman"/>
          <w:b/>
          <w:color w:val="auto"/>
          <w:szCs w:val="21"/>
          <w:highlight w:val="none"/>
          <w:lang w:val="en-US" w:eastAsia="zh-CN"/>
        </w:rPr>
        <w:t>4</w:t>
      </w:r>
      <w:r>
        <w:rPr>
          <w:rFonts w:hint="default" w:ascii="Times New Roman" w:hAnsi="Times New Roman" w:cs="Times New Roman"/>
          <w:b/>
          <w:color w:val="auto"/>
          <w:szCs w:val="21"/>
          <w:highlight w:val="none"/>
        </w:rPr>
        <w:t>年度或202</w:t>
      </w:r>
      <w:r>
        <w:rPr>
          <w:rFonts w:hint="default" w:ascii="Times New Roman" w:hAnsi="Times New Roman" w:cs="Times New Roman"/>
          <w:b/>
          <w:color w:val="auto"/>
          <w:szCs w:val="21"/>
          <w:highlight w:val="none"/>
          <w:lang w:val="en-US" w:eastAsia="zh-CN"/>
        </w:rPr>
        <w:t>5</w:t>
      </w:r>
      <w:r>
        <w:rPr>
          <w:rFonts w:hint="default" w:ascii="Times New Roman" w:hAnsi="Times New Roman" w:cs="Times New Roman"/>
          <w:b/>
          <w:color w:val="auto"/>
          <w:szCs w:val="21"/>
          <w:highlight w:val="none"/>
        </w:rPr>
        <w:t>年度的财务报表（如为新成立的公司，应提供公司成立之后的财务报表）或响应截止时间前3个月内，由其基本开户银行出具的资信证明或财政部门认可的政府采购专业担保机构出具的磋商担保函</w:t>
      </w:r>
      <w:r>
        <w:rPr>
          <w:rFonts w:hint="default" w:ascii="Times New Roman" w:hAnsi="Times New Roman" w:cs="Times New Roman"/>
          <w:bCs/>
          <w:color w:val="auto"/>
          <w:szCs w:val="21"/>
          <w:highlight w:val="none"/>
        </w:rPr>
        <w:t>；</w:t>
      </w:r>
    </w:p>
    <w:p w14:paraId="0CD1070E">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3．具有履行合同所必需的设备和专业技术能力，提供具备履行合同所必需的设备和专业技术能力的证明材料或承诺函</w:t>
      </w:r>
      <w:r>
        <w:rPr>
          <w:rFonts w:hint="default" w:ascii="Times New Roman" w:hAnsi="Times New Roman" w:cs="Times New Roman"/>
          <w:b/>
          <w:color w:val="auto"/>
          <w:szCs w:val="21"/>
          <w:highlight w:val="none"/>
        </w:rPr>
        <w:t>（提供声明函原件）</w:t>
      </w:r>
      <w:r>
        <w:rPr>
          <w:rFonts w:hint="default" w:ascii="Times New Roman" w:hAnsi="Times New Roman" w:cs="Times New Roman"/>
          <w:bCs/>
          <w:color w:val="auto"/>
          <w:szCs w:val="21"/>
          <w:highlight w:val="none"/>
        </w:rPr>
        <w:t>；</w:t>
      </w:r>
    </w:p>
    <w:p w14:paraId="2A685417">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4．有依法缴纳税收和社会保障资金的良好记录，提供本次采购活动前3个月内，至少1个月缴纳税收和社会保险的凭证，依法享受免缴、缓缴的，</w:t>
      </w:r>
      <w:r>
        <w:rPr>
          <w:rFonts w:hint="default" w:ascii="Times New Roman" w:hAnsi="Times New Roman" w:cs="Times New Roman"/>
          <w:b/>
          <w:color w:val="auto"/>
          <w:szCs w:val="21"/>
          <w:highlight w:val="none"/>
        </w:rPr>
        <w:t>提供证明材料</w:t>
      </w:r>
      <w:r>
        <w:rPr>
          <w:rFonts w:hint="default" w:ascii="Times New Roman" w:hAnsi="Times New Roman" w:cs="Times New Roman"/>
          <w:bCs/>
          <w:color w:val="auto"/>
          <w:szCs w:val="21"/>
          <w:highlight w:val="none"/>
        </w:rPr>
        <w:t>；</w:t>
      </w:r>
    </w:p>
    <w:p w14:paraId="7C6B6314">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5．参加政府采购活动前三年内，在经营活动中没有重大违法记录，</w:t>
      </w:r>
      <w:r>
        <w:rPr>
          <w:rFonts w:hint="default" w:ascii="Times New Roman" w:hAnsi="Times New Roman" w:cs="Times New Roman"/>
          <w:b/>
          <w:color w:val="auto"/>
          <w:szCs w:val="21"/>
          <w:highlight w:val="none"/>
        </w:rPr>
        <w:t>提供声明函原件</w:t>
      </w:r>
      <w:r>
        <w:rPr>
          <w:rFonts w:hint="default" w:ascii="Times New Roman" w:hAnsi="Times New Roman" w:cs="Times New Roman"/>
          <w:bCs/>
          <w:color w:val="auto"/>
          <w:szCs w:val="21"/>
          <w:highlight w:val="none"/>
        </w:rPr>
        <w:t>（重大违法记录是指供应商因违法经营受到刑事处罚或责令停产停业、吊销许可证或者执照、较大数额罚款等行政处罚）。</w:t>
      </w:r>
    </w:p>
    <w:p w14:paraId="2C65CF85">
      <w:pPr>
        <w:spacing w:line="400" w:lineRule="exact"/>
        <w:ind w:firstLine="630" w:firstLineChars="300"/>
        <w:rPr>
          <w:rFonts w:hint="default" w:ascii="Times New Roman" w:hAnsi="Times New Roman" w:cs="Times New Roman"/>
          <w:color w:val="auto"/>
          <w:highlight w:val="none"/>
        </w:rPr>
      </w:pPr>
      <w:r>
        <w:rPr>
          <w:rFonts w:hint="default" w:ascii="Times New Roman" w:hAnsi="Times New Roman" w:cs="Times New Roman"/>
          <w:bCs/>
          <w:color w:val="auto"/>
          <w:szCs w:val="21"/>
          <w:highlight w:val="none"/>
        </w:rPr>
        <w:t>6．</w:t>
      </w:r>
      <w:r>
        <w:rPr>
          <w:rFonts w:hint="default" w:ascii="Times New Roman" w:hAnsi="Times New Roman" w:cs="Times New Roman"/>
          <w:color w:val="auto"/>
          <w:highlight w:val="none"/>
        </w:rPr>
        <w:t>法律、行政法规规定的其他条件。</w:t>
      </w:r>
    </w:p>
    <w:p w14:paraId="1C1BF4FD">
      <w:pPr>
        <w:spacing w:line="400" w:lineRule="exact"/>
        <w:ind w:firstLine="630" w:firstLineChars="300"/>
        <w:rPr>
          <w:rFonts w:hint="default" w:ascii="Times New Roman" w:hAnsi="Times New Roman" w:cs="Times New Roman"/>
          <w:color w:val="auto"/>
          <w:highlight w:val="none"/>
        </w:rPr>
      </w:pPr>
      <w:r>
        <w:rPr>
          <w:rFonts w:hint="eastAsia" w:cs="Times New Roman"/>
          <w:color w:val="auto"/>
          <w:highlight w:val="none"/>
          <w:lang w:val="en-US" w:eastAsia="zh-CN"/>
        </w:rPr>
        <w:t>7.</w:t>
      </w:r>
      <w:r>
        <w:rPr>
          <w:rFonts w:hint="default" w:ascii="Times New Roman" w:hAnsi="Times New Roman" w:cs="Times New Roman"/>
          <w:color w:val="auto"/>
          <w:highlight w:val="none"/>
        </w:rPr>
        <w:t>说明：根据《关于在政府采购活动中推行信用承诺制的通知》（宁财购通〔2021〕5号）的规定，适用信用承诺的供应商，对于1至6款证明材料可使用《南京市政府采购供应商信用记录表暨信用承诺书》替代。供应商在</w:t>
      </w:r>
      <w:r>
        <w:rPr>
          <w:rFonts w:hint="eastAsia" w:cs="Times New Roman"/>
          <w:color w:val="auto"/>
          <w:highlight w:val="none"/>
          <w:lang w:val="en-US" w:eastAsia="zh-CN"/>
        </w:rPr>
        <w:t>中标</w:t>
      </w:r>
      <w:r>
        <w:rPr>
          <w:rFonts w:hint="default" w:ascii="Times New Roman" w:hAnsi="Times New Roman" w:cs="Times New Roman"/>
          <w:color w:val="auto"/>
          <w:highlight w:val="none"/>
        </w:rPr>
        <w:t>后，应按采购文件要求，将上述由信用承诺书替代的证明材料提交采购人或采购代理机构核验。经核验无误后，由采购人或采购代理机构发出</w:t>
      </w:r>
      <w:r>
        <w:rPr>
          <w:rFonts w:hint="eastAsia" w:cs="Times New Roman"/>
          <w:color w:val="auto"/>
          <w:highlight w:val="none"/>
          <w:lang w:val="en-US" w:eastAsia="zh-CN"/>
        </w:rPr>
        <w:t>中标</w:t>
      </w:r>
      <w:r>
        <w:rPr>
          <w:rFonts w:hint="default" w:ascii="Times New Roman" w:hAnsi="Times New Roman" w:cs="Times New Roman"/>
          <w:color w:val="auto"/>
          <w:highlight w:val="none"/>
        </w:rPr>
        <w:t>通知书。</w:t>
      </w:r>
    </w:p>
    <w:p w14:paraId="2460169E">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（二）落实政府采购政策需满足的资格要求：</w:t>
      </w:r>
    </w:p>
    <w:p w14:paraId="2F429554">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1．中小企业政策</w:t>
      </w:r>
    </w:p>
    <w:p w14:paraId="6B9728C7">
      <w:pPr>
        <w:pStyle w:val="18"/>
        <w:spacing w:line="360" w:lineRule="auto"/>
        <w:ind w:left="0" w:leftChars="0" w:firstLine="630" w:firstLineChars="300"/>
        <w:rPr>
          <w:rFonts w:hint="default" w:ascii="Times New Roman" w:hAnsi="Times New Roman" w:cs="Times New Roman"/>
          <w:b w:val="0"/>
          <w:bCs/>
          <w:color w:val="auto"/>
          <w:kern w:val="2"/>
          <w:position w:val="0"/>
          <w:sz w:val="21"/>
          <w:szCs w:val="21"/>
          <w:highlight w:val="none"/>
        </w:rPr>
      </w:pPr>
      <w:r>
        <w:rPr>
          <w:rFonts w:hint="default" w:ascii="Times New Roman" w:hAnsi="Times New Roman" w:cs="Times New Roman"/>
          <w:b w:val="0"/>
          <w:bCs/>
          <w:color w:val="auto"/>
          <w:kern w:val="2"/>
          <w:position w:val="0"/>
          <w:sz w:val="21"/>
          <w:szCs w:val="21"/>
          <w:highlight w:val="none"/>
        </w:rPr>
        <w:t>本项目专门面向中小微企业采购，供应商应为中小微企业或监狱企业或残疾人福利性单位。（声明函格式见第六章）</w:t>
      </w:r>
    </w:p>
    <w:p w14:paraId="2DCF8C7B">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w:t>
      </w:r>
      <w:r>
        <w:rPr>
          <w:rFonts w:hint="eastAsia" w:cs="Times New Roman"/>
          <w:bCs/>
          <w:color w:val="auto"/>
          <w:szCs w:val="21"/>
          <w:highlight w:val="none"/>
          <w:lang w:val="en-US" w:eastAsia="zh-CN"/>
        </w:rPr>
        <w:t>其他</w:t>
      </w:r>
      <w:r>
        <w:rPr>
          <w:rFonts w:hint="default" w:ascii="Times New Roman" w:hAnsi="Times New Roman" w:cs="Times New Roman"/>
          <w:bCs/>
          <w:color w:val="auto"/>
          <w:szCs w:val="21"/>
          <w:highlight w:val="none"/>
        </w:rPr>
        <w:t>落实政府采购政策的资格要求：</w:t>
      </w:r>
      <w:r>
        <w:rPr>
          <w:rFonts w:hint="default" w:ascii="Times New Roman" w:hAnsi="Times New Roman" w:cs="Times New Roman"/>
          <w:bCs/>
          <w:color w:val="auto"/>
          <w:szCs w:val="21"/>
          <w:highlight w:val="none"/>
          <w:u w:val="single"/>
        </w:rPr>
        <w:t>无</w:t>
      </w:r>
      <w:r>
        <w:rPr>
          <w:rFonts w:hint="default" w:ascii="Times New Roman" w:hAnsi="Times New Roman" w:cs="Times New Roman"/>
          <w:bCs/>
          <w:color w:val="auto"/>
          <w:szCs w:val="21"/>
          <w:highlight w:val="none"/>
        </w:rPr>
        <w:t>。</w:t>
      </w:r>
    </w:p>
    <w:p w14:paraId="00213AD1">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（三）本项目的特定资格要求：</w:t>
      </w:r>
    </w:p>
    <w:p w14:paraId="01016A85">
      <w:pPr>
        <w:spacing w:line="360" w:lineRule="auto"/>
        <w:ind w:firstLine="420" w:firstLineChars="200"/>
        <w:rPr>
          <w:bCs/>
          <w:color w:val="000000"/>
          <w:szCs w:val="21"/>
        </w:rPr>
      </w:pPr>
      <w:r>
        <w:rPr>
          <w:bCs/>
          <w:color w:val="000000"/>
          <w:szCs w:val="21"/>
        </w:rPr>
        <w:t>（</w:t>
      </w:r>
      <w:r>
        <w:rPr>
          <w:rFonts w:hint="eastAsia"/>
          <w:bCs/>
          <w:color w:val="000000"/>
          <w:szCs w:val="21"/>
          <w:lang w:val="en-US" w:eastAsia="zh-CN"/>
        </w:rPr>
        <w:t>1</w:t>
      </w:r>
      <w:r>
        <w:rPr>
          <w:bCs/>
          <w:color w:val="000000"/>
          <w:szCs w:val="21"/>
        </w:rPr>
        <w:t>）投标人存在下列情形的不得参加本次招标活动：</w:t>
      </w:r>
    </w:p>
    <w:p w14:paraId="02784A0E">
      <w:pPr>
        <w:spacing w:line="360" w:lineRule="auto"/>
        <w:ind w:firstLine="420" w:firstLineChars="200"/>
        <w:rPr>
          <w:bCs/>
          <w:color w:val="000000"/>
          <w:szCs w:val="21"/>
        </w:rPr>
      </w:pPr>
      <w:r>
        <w:rPr>
          <w:bCs/>
          <w:color w:val="000000"/>
          <w:szCs w:val="21"/>
        </w:rPr>
        <w:t>1.单位负责人为同一人或者存在直接控股、管理关系的不同投标人，不得参加同一合同项下的政府采购活动。</w:t>
      </w:r>
      <w:r>
        <w:rPr>
          <w:b/>
          <w:color w:val="000000"/>
          <w:szCs w:val="21"/>
        </w:rPr>
        <w:t>（提供承诺书并加盖投标人公章）</w:t>
      </w:r>
    </w:p>
    <w:p w14:paraId="2C86A660">
      <w:pPr>
        <w:spacing w:line="360" w:lineRule="auto"/>
        <w:ind w:firstLine="420" w:firstLineChars="200"/>
        <w:rPr>
          <w:bCs/>
          <w:color w:val="000000"/>
          <w:szCs w:val="21"/>
        </w:rPr>
      </w:pPr>
      <w:r>
        <w:rPr>
          <w:bCs/>
          <w:color w:val="000000"/>
          <w:szCs w:val="21"/>
        </w:rPr>
        <w:t>2.除单一来源项目外，凡为采购项目提供整体设计、规范编制或者项目管理、监理、检测等服务的投标人不得再参加本项目的采购活动。</w:t>
      </w:r>
      <w:r>
        <w:rPr>
          <w:b/>
          <w:color w:val="000000"/>
          <w:szCs w:val="21"/>
        </w:rPr>
        <w:t>（提供承诺书并加盖投标人公章）</w:t>
      </w:r>
    </w:p>
    <w:p w14:paraId="6EA1930E">
      <w:pPr>
        <w:spacing w:line="360" w:lineRule="auto"/>
        <w:ind w:firstLine="420" w:firstLineChars="200"/>
        <w:rPr>
          <w:bCs/>
          <w:color w:val="000000"/>
          <w:szCs w:val="21"/>
        </w:rPr>
      </w:pPr>
      <w:r>
        <w:rPr>
          <w:bCs/>
          <w:color w:val="000000"/>
          <w:szCs w:val="21"/>
        </w:rPr>
        <w:t>3.通过“信用中国”网站、中国政府采购网查询投标人在投标截止时间前的信用记录，通过以上查询渠道，投标人被列入失信被执行人、重大税收违法案件当事人名单、政府采购严重违法失信行为记录。</w:t>
      </w:r>
    </w:p>
    <w:p w14:paraId="1CC05E75">
      <w:pPr>
        <w:spacing w:line="360" w:lineRule="auto"/>
        <w:rPr>
          <w:rFonts w:hint="default" w:ascii="Times New Roman" w:hAnsi="Times New Roman" w:cs="Times New Roman"/>
          <w:b/>
          <w:bCs/>
          <w:color w:val="auto"/>
          <w:kern w:val="44"/>
          <w:szCs w:val="44"/>
          <w:highlight w:val="none"/>
        </w:rPr>
      </w:pPr>
      <w:r>
        <w:rPr>
          <w:rFonts w:hint="default" w:ascii="Times New Roman" w:hAnsi="Times New Roman" w:cs="Times New Roman"/>
          <w:b/>
          <w:bCs/>
          <w:color w:val="auto"/>
          <w:kern w:val="44"/>
          <w:szCs w:val="44"/>
          <w:highlight w:val="none"/>
        </w:rPr>
        <w:t>三、获取招标文件</w:t>
      </w:r>
      <w:bookmarkEnd w:id="13"/>
      <w:bookmarkEnd w:id="14"/>
      <w:bookmarkEnd w:id="15"/>
      <w:bookmarkEnd w:id="16"/>
    </w:p>
    <w:p w14:paraId="6B807F65">
      <w:pPr>
        <w:adjustRightInd w:val="0"/>
        <w:snapToGrid w:val="0"/>
        <w:spacing w:line="360" w:lineRule="auto"/>
        <w:ind w:firstLine="525" w:firstLineChars="250"/>
        <w:rPr>
          <w:rFonts w:hint="default" w:ascii="Times New Roman" w:hAnsi="Times New Roman" w:cs="Times New Roman"/>
          <w:bCs/>
          <w:color w:val="auto"/>
          <w:szCs w:val="21"/>
          <w:highlight w:val="none"/>
        </w:rPr>
      </w:pPr>
      <w:bookmarkStart w:id="17" w:name="_Toc80264700"/>
      <w:r>
        <w:rPr>
          <w:rFonts w:hint="default" w:ascii="Times New Roman" w:hAnsi="Times New Roman" w:cs="Times New Roman"/>
          <w:bCs/>
          <w:color w:val="auto"/>
          <w:szCs w:val="21"/>
          <w:highlight w:val="none"/>
        </w:rPr>
        <w:t>时间：自招标文件公告发布之日起5个工作日</w:t>
      </w:r>
    </w:p>
    <w:p w14:paraId="38F10075">
      <w:pPr>
        <w:adjustRightInd w:val="0"/>
        <w:snapToGrid w:val="0"/>
        <w:spacing w:line="360" w:lineRule="auto"/>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地点：“苏采云”系统</w:t>
      </w:r>
    </w:p>
    <w:p w14:paraId="2C59E557">
      <w:pPr>
        <w:adjustRightInd w:val="0"/>
        <w:snapToGrid w:val="0"/>
        <w:spacing w:line="360" w:lineRule="auto"/>
        <w:ind w:firstLine="525" w:firstLineChars="250"/>
        <w:rPr>
          <w:rFonts w:hint="default" w:ascii="Times New Roman" w:hAnsi="Times New Roman" w:cs="Times New Roman"/>
          <w:bCs/>
          <w:color w:val="auto"/>
          <w:szCs w:val="21"/>
          <w:highlight w:val="none"/>
        </w:rPr>
      </w:pPr>
      <w:bookmarkStart w:id="18" w:name="_Toc80792691"/>
      <w:bookmarkStart w:id="19" w:name="_Toc93909068"/>
      <w:bookmarkStart w:id="20" w:name="_Toc96347854"/>
      <w:r>
        <w:rPr>
          <w:rFonts w:hint="default" w:ascii="Times New Roman" w:hAnsi="Times New Roman" w:cs="Times New Roman"/>
          <w:bCs/>
          <w:color w:val="auto"/>
          <w:szCs w:val="21"/>
          <w:highlight w:val="none"/>
        </w:rPr>
        <w:t>方式：供应商</w:t>
      </w:r>
      <w:r>
        <w:rPr>
          <w:rFonts w:hint="eastAsia" w:cs="Times New Roman"/>
          <w:bCs/>
          <w:color w:val="auto"/>
          <w:szCs w:val="21"/>
          <w:highlight w:val="none"/>
          <w:lang w:val="en-US" w:eastAsia="zh-CN"/>
        </w:rPr>
        <w:t>登录</w:t>
      </w:r>
      <w:r>
        <w:rPr>
          <w:rFonts w:hint="default" w:ascii="Times New Roman" w:hAnsi="Times New Roman" w:cs="Times New Roman"/>
          <w:bCs/>
          <w:color w:val="auto"/>
          <w:szCs w:val="21"/>
          <w:highlight w:val="none"/>
        </w:rPr>
        <w:t>“江苏政府采购网”，在网站首页点击“苏采云”→使用CA锁登录系统(新用户需进行“平台用户注册”)在“可参与项目”中选择“我要参与”→“项目参与”进行登记，参与成功后到“已参与项目”界面中找到该项目下载文件并进行操作。</w:t>
      </w:r>
    </w:p>
    <w:p w14:paraId="2F8AC1F4">
      <w:pPr>
        <w:adjustRightInd w:val="0"/>
        <w:snapToGrid w:val="0"/>
        <w:spacing w:line="360" w:lineRule="auto"/>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售价：0.00元</w:t>
      </w:r>
    </w:p>
    <w:p w14:paraId="1E093D80">
      <w:pPr>
        <w:spacing w:line="360" w:lineRule="auto"/>
        <w:rPr>
          <w:rFonts w:hint="default" w:ascii="Times New Roman" w:hAnsi="Times New Roman" w:cs="Times New Roman"/>
          <w:b/>
          <w:bCs/>
          <w:color w:val="auto"/>
          <w:kern w:val="44"/>
          <w:szCs w:val="44"/>
          <w:highlight w:val="none"/>
        </w:rPr>
      </w:pPr>
      <w:r>
        <w:rPr>
          <w:rFonts w:hint="default" w:ascii="Times New Roman" w:hAnsi="Times New Roman" w:cs="Times New Roman"/>
          <w:b/>
          <w:bCs/>
          <w:color w:val="auto"/>
          <w:kern w:val="44"/>
          <w:szCs w:val="44"/>
          <w:highlight w:val="none"/>
        </w:rPr>
        <w:t>四、</w:t>
      </w:r>
      <w:bookmarkEnd w:id="17"/>
      <w:bookmarkEnd w:id="18"/>
      <w:r>
        <w:rPr>
          <w:rFonts w:hint="default" w:ascii="Times New Roman" w:hAnsi="Times New Roman" w:cs="Times New Roman"/>
          <w:b/>
          <w:bCs/>
          <w:color w:val="auto"/>
          <w:kern w:val="44"/>
          <w:szCs w:val="44"/>
          <w:highlight w:val="none"/>
        </w:rPr>
        <w:t>提交投标文件截止时间、开标时间和地点</w:t>
      </w:r>
      <w:bookmarkEnd w:id="19"/>
      <w:bookmarkEnd w:id="20"/>
    </w:p>
    <w:p w14:paraId="7A88B453">
      <w:pPr>
        <w:spacing w:after="40" w:line="360" w:lineRule="auto"/>
        <w:ind w:firstLine="525"/>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202</w:t>
      </w:r>
      <w:r>
        <w:rPr>
          <w:rFonts w:hint="default" w:ascii="Times New Roman" w:hAnsi="Times New Roman" w:cs="Times New Roman"/>
          <w:bCs/>
          <w:color w:val="auto"/>
          <w:kern w:val="0"/>
          <w:szCs w:val="21"/>
          <w:highlight w:val="none"/>
          <w:lang w:val="en-US" w:eastAsia="zh-CN"/>
        </w:rPr>
        <w:t>6</w:t>
      </w:r>
      <w:r>
        <w:rPr>
          <w:rFonts w:hint="default" w:ascii="Times New Roman" w:hAnsi="Times New Roman" w:cs="Times New Roman"/>
          <w:bCs/>
          <w:color w:val="auto"/>
          <w:kern w:val="0"/>
          <w:szCs w:val="21"/>
          <w:highlight w:val="none"/>
        </w:rPr>
        <w:t>年</w:t>
      </w:r>
      <w:r>
        <w:rPr>
          <w:rFonts w:hint="eastAsia" w:cs="Times New Roman"/>
          <w:bCs/>
          <w:color w:val="auto"/>
          <w:kern w:val="0"/>
          <w:szCs w:val="21"/>
          <w:highlight w:val="none"/>
          <w:lang w:val="en-US" w:eastAsia="zh-CN"/>
        </w:rPr>
        <w:t>05</w:t>
      </w:r>
      <w:r>
        <w:rPr>
          <w:rFonts w:hint="default" w:ascii="Times New Roman" w:hAnsi="Times New Roman" w:cs="Times New Roman"/>
          <w:bCs/>
          <w:color w:val="auto"/>
          <w:kern w:val="0"/>
          <w:szCs w:val="21"/>
          <w:highlight w:val="none"/>
        </w:rPr>
        <w:t>月</w:t>
      </w:r>
      <w:r>
        <w:rPr>
          <w:rFonts w:hint="eastAsia" w:cs="Times New Roman"/>
          <w:bCs/>
          <w:color w:val="auto"/>
          <w:kern w:val="0"/>
          <w:szCs w:val="21"/>
          <w:highlight w:val="none"/>
          <w:lang w:val="en-US" w:eastAsia="zh-CN"/>
        </w:rPr>
        <w:t>15</w:t>
      </w:r>
      <w:r>
        <w:rPr>
          <w:rFonts w:hint="default" w:ascii="Times New Roman" w:hAnsi="Times New Roman" w:cs="Times New Roman"/>
          <w:bCs/>
          <w:color w:val="auto"/>
          <w:kern w:val="0"/>
          <w:szCs w:val="21"/>
          <w:highlight w:val="none"/>
        </w:rPr>
        <w:t>日9：30（北京时间）</w:t>
      </w:r>
    </w:p>
    <w:p w14:paraId="35CC46F0">
      <w:pPr>
        <w:spacing w:after="40" w:line="360" w:lineRule="auto"/>
        <w:ind w:firstLine="525"/>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地点：江苏省政府采购管理交易系统（苏采云）（以下简称“苏采云”）（网址： http://jszfcg.jsczt.cn/）</w:t>
      </w:r>
    </w:p>
    <w:p w14:paraId="0D72D48D">
      <w:pPr>
        <w:spacing w:line="360" w:lineRule="auto"/>
        <w:rPr>
          <w:rFonts w:hint="default" w:ascii="Times New Roman" w:hAnsi="Times New Roman" w:cs="Times New Roman"/>
          <w:b/>
          <w:bCs/>
          <w:color w:val="auto"/>
          <w:kern w:val="44"/>
          <w:szCs w:val="44"/>
          <w:highlight w:val="none"/>
        </w:rPr>
      </w:pPr>
      <w:bookmarkStart w:id="21" w:name="_Toc80792693"/>
      <w:bookmarkStart w:id="22" w:name="_Toc96347855"/>
      <w:bookmarkStart w:id="23" w:name="_Toc93909069"/>
      <w:r>
        <w:rPr>
          <w:rFonts w:hint="default" w:ascii="Times New Roman" w:hAnsi="Times New Roman" w:cs="Times New Roman"/>
          <w:b/>
          <w:bCs/>
          <w:color w:val="auto"/>
          <w:kern w:val="44"/>
          <w:szCs w:val="44"/>
          <w:highlight w:val="none"/>
        </w:rPr>
        <w:t>五、</w:t>
      </w:r>
      <w:bookmarkEnd w:id="21"/>
      <w:r>
        <w:rPr>
          <w:rFonts w:hint="default" w:ascii="Times New Roman" w:hAnsi="Times New Roman" w:cs="Times New Roman"/>
          <w:b/>
          <w:bCs/>
          <w:color w:val="auto"/>
          <w:kern w:val="44"/>
          <w:szCs w:val="44"/>
          <w:highlight w:val="none"/>
        </w:rPr>
        <w:t>公告期</w:t>
      </w:r>
      <w:bookmarkEnd w:id="22"/>
      <w:bookmarkEnd w:id="23"/>
      <w:r>
        <w:rPr>
          <w:rFonts w:hint="default" w:ascii="Times New Roman" w:hAnsi="Times New Roman" w:cs="Times New Roman"/>
          <w:b/>
          <w:bCs/>
          <w:color w:val="auto"/>
          <w:kern w:val="44"/>
          <w:szCs w:val="44"/>
          <w:highlight w:val="none"/>
        </w:rPr>
        <w:t>限</w:t>
      </w:r>
    </w:p>
    <w:p w14:paraId="509878CF">
      <w:pPr>
        <w:spacing w:line="360" w:lineRule="auto"/>
        <w:ind w:firstLine="525" w:firstLineChars="250"/>
        <w:rPr>
          <w:rFonts w:hint="default" w:ascii="Times New Roman" w:hAnsi="Times New Roman" w:cs="Times New Roman"/>
          <w:color w:val="auto"/>
          <w:highlight w:val="none"/>
        </w:rPr>
      </w:pPr>
      <w:r>
        <w:rPr>
          <w:rFonts w:hint="default" w:ascii="Times New Roman" w:hAnsi="Times New Roman" w:cs="Times New Roman"/>
          <w:color w:val="auto"/>
          <w:highlight w:val="none"/>
        </w:rPr>
        <w:t>自本公告发布之日起5个工作日。</w:t>
      </w:r>
    </w:p>
    <w:p w14:paraId="4FE76519">
      <w:pPr>
        <w:spacing w:line="360" w:lineRule="auto"/>
        <w:rPr>
          <w:rFonts w:hint="default" w:ascii="Times New Roman" w:hAnsi="Times New Roman" w:cs="Times New Roman"/>
          <w:b/>
          <w:bCs/>
          <w:color w:val="auto"/>
          <w:kern w:val="44"/>
          <w:szCs w:val="44"/>
          <w:highlight w:val="none"/>
        </w:rPr>
      </w:pPr>
      <w:bookmarkStart w:id="24" w:name="_Toc93909070"/>
      <w:bookmarkStart w:id="25" w:name="_Toc96347856"/>
      <w:r>
        <w:rPr>
          <w:rFonts w:hint="default" w:ascii="Times New Roman" w:hAnsi="Times New Roman" w:cs="Times New Roman"/>
          <w:b/>
          <w:bCs/>
          <w:color w:val="auto"/>
          <w:kern w:val="44"/>
          <w:szCs w:val="44"/>
          <w:highlight w:val="none"/>
        </w:rPr>
        <w:t>六、其他补充事宜</w:t>
      </w:r>
      <w:bookmarkEnd w:id="24"/>
      <w:bookmarkEnd w:id="25"/>
    </w:p>
    <w:p w14:paraId="4D98BDF9">
      <w:pPr>
        <w:adjustRightInd w:val="0"/>
        <w:snapToGrid w:val="0"/>
        <w:spacing w:line="440" w:lineRule="exact"/>
        <w:ind w:firstLine="420" w:firstLineChars="200"/>
        <w:rPr>
          <w:rFonts w:hint="default" w:ascii="Times New Roman" w:hAnsi="Times New Roman" w:cs="Times New Roman"/>
          <w:bCs/>
          <w:color w:val="auto"/>
          <w:szCs w:val="21"/>
          <w:highlight w:val="none"/>
        </w:rPr>
      </w:pPr>
      <w:bookmarkStart w:id="26" w:name="_Toc80792694"/>
      <w:bookmarkStart w:id="27" w:name="_Toc80264702"/>
      <w:bookmarkStart w:id="28" w:name="_Toc93909071"/>
      <w:bookmarkStart w:id="29" w:name="_Toc96347857"/>
      <w:r>
        <w:rPr>
          <w:rFonts w:hint="default" w:ascii="Times New Roman" w:hAnsi="Times New Roman" w:cs="Times New Roman"/>
          <w:color w:val="auto"/>
          <w:szCs w:val="21"/>
          <w:highlight w:val="none"/>
        </w:rPr>
        <w:t>1．</w:t>
      </w:r>
      <w:r>
        <w:rPr>
          <w:rFonts w:hint="default" w:ascii="Times New Roman" w:hAnsi="Times New Roman" w:cs="Times New Roman"/>
          <w:bCs/>
          <w:color w:val="auto"/>
          <w:szCs w:val="21"/>
          <w:highlight w:val="none"/>
        </w:rPr>
        <w:t>政府采购支持政策:</w:t>
      </w:r>
    </w:p>
    <w:p w14:paraId="02FFA03A">
      <w:pPr>
        <w:adjustRightInd w:val="0"/>
        <w:snapToGrid w:val="0"/>
        <w:spacing w:line="44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（一）《政府采购促进中小企业发展管理办法》</w:t>
      </w:r>
    </w:p>
    <w:p w14:paraId="0B982A1D">
      <w:pPr>
        <w:adjustRightInd w:val="0"/>
        <w:snapToGrid w:val="0"/>
        <w:spacing w:line="44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（二）《关于政府采购支持监狱企业发展有关问题的通知》</w:t>
      </w:r>
    </w:p>
    <w:p w14:paraId="77725A4D">
      <w:pPr>
        <w:adjustRightInd w:val="0"/>
        <w:snapToGrid w:val="0"/>
        <w:spacing w:line="44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（三）《关于促进残疾人就业政府采购政策的通知》</w:t>
      </w:r>
    </w:p>
    <w:p w14:paraId="55E05E86">
      <w:pPr>
        <w:adjustRightInd w:val="0"/>
        <w:snapToGrid w:val="0"/>
        <w:spacing w:line="44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（四）《关于调整优化节能产品、环境标志产品政府采购执行机制的通知》</w:t>
      </w:r>
    </w:p>
    <w:p w14:paraId="54432574">
      <w:pPr>
        <w:pStyle w:val="18"/>
        <w:spacing w:line="440" w:lineRule="exact"/>
        <w:ind w:left="0" w:leftChars="0" w:firstLine="420" w:firstLineChars="200"/>
        <w:rPr>
          <w:rFonts w:hint="default" w:ascii="Times New Roman" w:hAnsi="Times New Roman" w:cs="Times New Roman"/>
          <w:b w:val="0"/>
          <w:bCs/>
          <w:color w:val="auto"/>
          <w:kern w:val="2"/>
          <w:position w:val="0"/>
          <w:sz w:val="21"/>
          <w:szCs w:val="21"/>
          <w:highlight w:val="none"/>
        </w:rPr>
      </w:pPr>
      <w:r>
        <w:rPr>
          <w:rFonts w:hint="default" w:ascii="Times New Roman" w:hAnsi="Times New Roman" w:cs="Times New Roman"/>
          <w:b w:val="0"/>
          <w:bCs/>
          <w:color w:val="auto"/>
          <w:kern w:val="2"/>
          <w:position w:val="0"/>
          <w:sz w:val="21"/>
          <w:szCs w:val="21"/>
          <w:highlight w:val="none"/>
        </w:rPr>
        <w:t>（五）《关于做好政府采购支持企业发展有关事项的通知》</w:t>
      </w:r>
    </w:p>
    <w:p w14:paraId="1911226C">
      <w:pPr>
        <w:spacing w:line="360" w:lineRule="auto"/>
        <w:ind w:firstLine="420"/>
        <w:rPr>
          <w:rFonts w:hint="default"/>
          <w:color w:val="auto"/>
          <w:highlight w:val="none"/>
        </w:rPr>
      </w:pPr>
      <w:r>
        <w:rPr>
          <w:rFonts w:hint="default" w:ascii="Times New Roman" w:hAnsi="Times New Roman" w:cs="Times New Roman"/>
          <w:bCs/>
          <w:color w:val="auto"/>
          <w:kern w:val="0"/>
          <w:szCs w:val="21"/>
          <w:highlight w:val="none"/>
          <w:lang w:eastAsia="zh-CN"/>
        </w:rPr>
        <w:t>（</w:t>
      </w:r>
      <w:r>
        <w:rPr>
          <w:rFonts w:hint="default" w:ascii="Times New Roman" w:hAnsi="Times New Roman" w:cs="Times New Roman"/>
          <w:bCs/>
          <w:color w:val="auto"/>
          <w:kern w:val="0"/>
          <w:szCs w:val="21"/>
          <w:highlight w:val="none"/>
          <w:lang w:val="en-US" w:eastAsia="zh-CN"/>
        </w:rPr>
        <w:t>六</w:t>
      </w:r>
      <w:r>
        <w:rPr>
          <w:rFonts w:hint="default" w:ascii="Times New Roman" w:hAnsi="Times New Roman" w:cs="Times New Roman"/>
          <w:bCs/>
          <w:color w:val="auto"/>
          <w:kern w:val="0"/>
          <w:szCs w:val="21"/>
          <w:highlight w:val="none"/>
          <w:lang w:eastAsia="zh-CN"/>
        </w:rPr>
        <w:t>）《国务院办公厅关于在政府采购中实施本国产品标准及相关政策的通知》、关于贯彻落实《国务院办公厅关于在政府采购中实施本国产品标准及相关政策的通知》的意见</w:t>
      </w:r>
    </w:p>
    <w:p w14:paraId="58A90031">
      <w:pPr>
        <w:spacing w:line="440" w:lineRule="exact"/>
        <w:ind w:left="420" w:leftChars="200"/>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2．政府采购信用承诺</w:t>
      </w:r>
    </w:p>
    <w:p w14:paraId="000B73AC">
      <w:pPr>
        <w:wordWrap w:val="0"/>
        <w:adjustRightInd w:val="0"/>
        <w:snapToGrid w:val="0"/>
        <w:spacing w:line="440" w:lineRule="exact"/>
        <w:ind w:firstLine="525" w:firstLineChars="250"/>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w:t>
      </w:r>
      <w:r>
        <w:rPr>
          <w:rFonts w:hint="default" w:ascii="Times New Roman" w:hAnsi="Times New Roman" w:cs="Times New Roman"/>
          <w:color w:val="auto"/>
          <w:highlight w:val="none"/>
        </w:rPr>
        <w:t>‘南京市政府采购供应商诚信档案’系统链接打开系统页面</w:t>
      </w:r>
      <w:r>
        <w:rPr>
          <w:rFonts w:hint="default" w:ascii="Times New Roman" w:hAnsi="Times New Roman" w:cs="Times New Roman"/>
          <w:bCs/>
          <w:color w:val="auto"/>
          <w:szCs w:val="21"/>
          <w:highlight w:val="none"/>
        </w:rPr>
        <w:t>（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p>
    <w:p w14:paraId="230A57A0">
      <w:pPr>
        <w:adjustRightInd w:val="0"/>
        <w:snapToGrid w:val="0"/>
        <w:spacing w:line="440" w:lineRule="exact"/>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在政府采购资格审查环节，供应商只需提供书面《南京市政府采购供应商信用记录表暨信用承诺书》，即可替代以下证明材料：</w:t>
      </w:r>
    </w:p>
    <w:p w14:paraId="0A220308">
      <w:pPr>
        <w:adjustRightInd w:val="0"/>
        <w:snapToGrid w:val="0"/>
        <w:spacing w:line="440" w:lineRule="exact"/>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（1）符合国家相关规定的财务状况报告；</w:t>
      </w:r>
    </w:p>
    <w:p w14:paraId="11B2C44D">
      <w:pPr>
        <w:adjustRightInd w:val="0"/>
        <w:snapToGrid w:val="0"/>
        <w:spacing w:line="440" w:lineRule="exact"/>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（2）依法缴纳税收的证明材料；</w:t>
      </w:r>
    </w:p>
    <w:p w14:paraId="47AC63C9">
      <w:pPr>
        <w:adjustRightInd w:val="0"/>
        <w:snapToGrid w:val="0"/>
        <w:spacing w:line="440" w:lineRule="exact"/>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（3）依法缴纳社会保障资金的证明材料；</w:t>
      </w:r>
    </w:p>
    <w:p w14:paraId="756625AD">
      <w:pPr>
        <w:adjustRightInd w:val="0"/>
        <w:snapToGrid w:val="0"/>
        <w:spacing w:line="440" w:lineRule="exact"/>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（4）具备履行政府采购合同所必需的设备和专业技术能力的证明材料；</w:t>
      </w:r>
    </w:p>
    <w:p w14:paraId="11C2FAF3">
      <w:pPr>
        <w:adjustRightInd w:val="0"/>
        <w:snapToGrid w:val="0"/>
        <w:spacing w:line="440" w:lineRule="exact"/>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（5）参加政府采购活动前三年内在经营活动中没有重大违法记录的证明材料；</w:t>
      </w:r>
    </w:p>
    <w:p w14:paraId="6303CD3A">
      <w:pPr>
        <w:adjustRightInd w:val="0"/>
        <w:snapToGrid w:val="0"/>
        <w:spacing w:line="440" w:lineRule="exact"/>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（6）未被列入失信被执行人、重大税收违法失信主体、政府采购严重违法失信行为记录名单的证明材料。</w:t>
      </w:r>
    </w:p>
    <w:p w14:paraId="69278C2F">
      <w:pPr>
        <w:adjustRightInd w:val="0"/>
        <w:snapToGrid w:val="0"/>
        <w:spacing w:line="440" w:lineRule="exact"/>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供应商在中标（成交）后，应按采购文件要求，将上述由信用承诺书替代的证明材料提交采购人或采购代理机构核验。经核验无误后，由采购人或采购代理机构发出中标（成交）通知书。</w:t>
      </w:r>
    </w:p>
    <w:p w14:paraId="15B0E7B3">
      <w:pPr>
        <w:adjustRightInd w:val="0"/>
        <w:snapToGrid w:val="0"/>
        <w:spacing w:line="440" w:lineRule="exact"/>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供应商涉及以下情形的，不适用信用承诺：</w:t>
      </w:r>
    </w:p>
    <w:p w14:paraId="28C68E58">
      <w:pPr>
        <w:adjustRightInd w:val="0"/>
        <w:snapToGrid w:val="0"/>
        <w:spacing w:line="440" w:lineRule="exact"/>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（1）供应商被列入严重失信主体名单；</w:t>
      </w:r>
    </w:p>
    <w:p w14:paraId="465A637C">
      <w:pPr>
        <w:adjustRightInd w:val="0"/>
        <w:snapToGrid w:val="0"/>
        <w:spacing w:line="440" w:lineRule="exact"/>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（2）被相关监管部门作出行政处罚且尚在处罚有效期内；</w:t>
      </w:r>
    </w:p>
    <w:p w14:paraId="6CB77C7A">
      <w:pPr>
        <w:adjustRightInd w:val="0"/>
        <w:snapToGrid w:val="0"/>
        <w:spacing w:line="440" w:lineRule="exact"/>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（3）其他法律、行政法规规定的不适用信用承诺的情形。</w:t>
      </w:r>
    </w:p>
    <w:p w14:paraId="03365FCB">
      <w:pPr>
        <w:adjustRightInd w:val="0"/>
        <w:snapToGrid w:val="0"/>
        <w:spacing w:line="440" w:lineRule="exact"/>
        <w:ind w:firstLine="525" w:firstLineChars="25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供应商对信用承诺内容的真实性、合法性、有效性负责。如作出虚假信用承诺，视同为“提供虚假材料谋取中标、成交”的违法行为。</w:t>
      </w:r>
    </w:p>
    <w:p w14:paraId="00FE9F2F">
      <w:pPr>
        <w:adjustRightInd w:val="0"/>
        <w:snapToGrid w:val="0"/>
        <w:spacing w:line="44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w:t>
      </w:r>
      <w:r>
        <w:rPr>
          <w:rFonts w:hint="default" w:ascii="Times New Roman" w:hAnsi="Times New Roman" w:cs="Times New Roman"/>
          <w:color w:val="auto"/>
          <w:szCs w:val="21"/>
          <w:highlight w:val="none"/>
        </w:rPr>
        <w:t>．</w:t>
      </w:r>
      <w:r>
        <w:rPr>
          <w:rFonts w:hint="default" w:ascii="Times New Roman" w:hAnsi="Times New Roman" w:cs="Times New Roman"/>
          <w:bCs/>
          <w:color w:val="auto"/>
          <w:szCs w:val="21"/>
          <w:highlight w:val="none"/>
        </w:rPr>
        <w:t>潜在供应商访问政府采购管理交易系统（苏采云）的网络地址和方法：</w:t>
      </w:r>
    </w:p>
    <w:p w14:paraId="25B09D2C">
      <w:pPr>
        <w:adjustRightInd w:val="0"/>
        <w:snapToGrid w:val="0"/>
        <w:spacing w:line="44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2FE9A01">
      <w:pPr>
        <w:adjustRightInd w:val="0"/>
        <w:snapToGrid w:val="0"/>
        <w:spacing w:line="44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（2）“CA数字证书”的获取：供应商需办理CA锁，“苏采云”系统目前仅支持“苏采云”系统下的政务CA，省内各地区办理的“苏采云”系统下的政务CA全省通用。</w:t>
      </w:r>
    </w:p>
    <w:p w14:paraId="380892ED">
      <w:pPr>
        <w:adjustRightInd w:val="0"/>
        <w:snapToGrid w:val="0"/>
        <w:spacing w:line="44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（3）“CA数字证书”的办理材料以及供应商操作手册详见：http://jsxcmm.com/help/gys.html。</w:t>
      </w:r>
    </w:p>
    <w:p w14:paraId="2BD55A16">
      <w:pPr>
        <w:adjustRightInd w:val="0"/>
        <w:snapToGrid w:val="0"/>
        <w:spacing w:line="44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（4）潜在供应商访问“苏采云”系统的网络地址和方法：“苏采云”系统的网址：http://jszfcg.jsczt.cn/jszc/login。</w:t>
      </w:r>
    </w:p>
    <w:p w14:paraId="1A89BF81">
      <w:pPr>
        <w:adjustRightInd w:val="0"/>
        <w:snapToGrid w:val="0"/>
        <w:spacing w:line="44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（5）采购文件（后缀名为“.kedt”）、供应商操作手册及政府采购客户端工具也可通过“苏采云”系统--已报名项目--报名详情页面内相应链接进行下载。</w:t>
      </w:r>
    </w:p>
    <w:p w14:paraId="18FD100C">
      <w:pPr>
        <w:adjustRightInd w:val="0"/>
        <w:snapToGrid w:val="0"/>
        <w:spacing w:line="44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（6）招标代理机构（采购代理机构）将数据电文形式的采购文件加载至“苏采云”系统，供潜在供应商下载或者查阅。</w:t>
      </w:r>
    </w:p>
    <w:p w14:paraId="79B9BA42">
      <w:pPr>
        <w:adjustRightInd w:val="0"/>
        <w:snapToGrid w:val="0"/>
        <w:spacing w:line="44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（7）苏采云系统使用谷歌浏览器参与不见面开标。</w:t>
      </w:r>
    </w:p>
    <w:p w14:paraId="29E15466">
      <w:pPr>
        <w:adjustRightInd w:val="0"/>
        <w:snapToGrid w:val="0"/>
        <w:spacing w:line="44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（8）“苏采云”南京地区客服热线025-83633744、025-83633743。</w:t>
      </w:r>
    </w:p>
    <w:p w14:paraId="2510F7A1">
      <w:pPr>
        <w:adjustRightInd w:val="0"/>
        <w:snapToGrid w:val="0"/>
        <w:spacing w:line="440" w:lineRule="exact"/>
        <w:ind w:firstLine="420" w:firstLineChars="200"/>
        <w:rPr>
          <w:rFonts w:hint="default" w:ascii="Times New Roman" w:hAnsi="Times New Roman" w:cs="Times New Roman"/>
          <w:bCs/>
          <w:color w:val="auto"/>
          <w:szCs w:val="21"/>
          <w:highlight w:val="none"/>
        </w:rPr>
      </w:pPr>
      <w:r>
        <w:rPr>
          <w:rFonts w:hint="eastAsia" w:cs="Times New Roman"/>
          <w:bCs/>
          <w:color w:val="auto"/>
          <w:szCs w:val="21"/>
          <w:highlight w:val="none"/>
          <w:lang w:val="en-US" w:eastAsia="zh-CN"/>
        </w:rPr>
        <w:t>4</w:t>
      </w:r>
      <w:r>
        <w:rPr>
          <w:rFonts w:hint="default" w:ascii="Times New Roman" w:hAnsi="Times New Roman" w:cs="Times New Roman"/>
          <w:bCs/>
          <w:color w:val="auto"/>
          <w:szCs w:val="21"/>
          <w:highlight w:val="none"/>
        </w:rPr>
        <w:t>．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p>
    <w:p w14:paraId="4276634A">
      <w:pPr>
        <w:adjustRightInd w:val="0"/>
        <w:snapToGrid w:val="0"/>
        <w:spacing w:line="440" w:lineRule="exact"/>
        <w:rPr>
          <w:rFonts w:hint="default" w:ascii="Times New Roman" w:hAnsi="Times New Roman" w:cs="Times New Roman"/>
          <w:bCs/>
          <w:color w:val="auto"/>
          <w:szCs w:val="21"/>
          <w:highlight w:val="none"/>
        </w:rPr>
      </w:pPr>
      <w:r>
        <w:rPr>
          <w:rFonts w:hint="default" w:ascii="Times New Roman" w:hAnsi="Times New Roman" w:cs="Times New Roman"/>
          <w:b/>
          <w:bCs/>
          <w:color w:val="auto"/>
          <w:kern w:val="44"/>
          <w:szCs w:val="44"/>
          <w:highlight w:val="none"/>
        </w:rPr>
        <w:t>七、</w:t>
      </w:r>
      <w:bookmarkEnd w:id="26"/>
      <w:bookmarkEnd w:id="27"/>
      <w:r>
        <w:rPr>
          <w:rFonts w:hint="default" w:ascii="Times New Roman" w:hAnsi="Times New Roman" w:cs="Times New Roman"/>
          <w:b/>
          <w:bCs/>
          <w:color w:val="auto"/>
          <w:kern w:val="44"/>
          <w:szCs w:val="44"/>
          <w:highlight w:val="none"/>
        </w:rPr>
        <w:t>对本次招标提出询问，请按以下方式联系。</w:t>
      </w:r>
      <w:bookmarkEnd w:id="28"/>
      <w:bookmarkEnd w:id="29"/>
    </w:p>
    <w:p w14:paraId="5CB717D2">
      <w:pPr>
        <w:adjustRightInd w:val="0"/>
        <w:snapToGrid w:val="0"/>
        <w:spacing w:line="360" w:lineRule="auto"/>
        <w:ind w:firstLine="525" w:firstLineChars="250"/>
        <w:rPr>
          <w:rFonts w:hint="default" w:ascii="Times New Roman" w:hAnsi="Times New Roman" w:cs="Times New Roman"/>
          <w:snapToGrid w:val="0"/>
          <w:color w:val="auto"/>
          <w:kern w:val="0"/>
          <w:szCs w:val="21"/>
          <w:highlight w:val="none"/>
        </w:rPr>
      </w:pPr>
      <w:bookmarkStart w:id="30" w:name="_Toc28359085"/>
      <w:r>
        <w:rPr>
          <w:rFonts w:hint="default" w:ascii="Times New Roman" w:hAnsi="Times New Roman" w:cs="Times New Roman"/>
          <w:color w:val="auto"/>
          <w:szCs w:val="21"/>
          <w:highlight w:val="none"/>
        </w:rPr>
        <w:t>1．</w:t>
      </w:r>
      <w:r>
        <w:rPr>
          <w:rFonts w:hint="default" w:ascii="Times New Roman" w:hAnsi="Times New Roman" w:cs="Times New Roman"/>
          <w:snapToGrid w:val="0"/>
          <w:color w:val="auto"/>
          <w:kern w:val="0"/>
          <w:szCs w:val="21"/>
          <w:highlight w:val="none"/>
        </w:rPr>
        <w:t>采购人信息</w:t>
      </w:r>
    </w:p>
    <w:p w14:paraId="74B9136C">
      <w:pPr>
        <w:adjustRightInd w:val="0"/>
        <w:snapToGrid w:val="0"/>
        <w:spacing w:line="360" w:lineRule="auto"/>
        <w:ind w:firstLine="525" w:firstLineChars="250"/>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单位名称：南京红十字血液中心</w:t>
      </w:r>
    </w:p>
    <w:p w14:paraId="170D3CC5">
      <w:pPr>
        <w:adjustRightInd w:val="0"/>
        <w:snapToGrid w:val="0"/>
        <w:spacing w:line="360" w:lineRule="auto"/>
        <w:ind w:firstLine="525" w:firstLineChars="250"/>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单位地址：南京市鼓楼区紫竹林3号</w:t>
      </w:r>
    </w:p>
    <w:p w14:paraId="7BC24183">
      <w:pPr>
        <w:adjustRightInd w:val="0"/>
        <w:snapToGrid w:val="0"/>
        <w:spacing w:line="360" w:lineRule="auto"/>
        <w:ind w:firstLine="525" w:firstLineChars="250"/>
        <w:rPr>
          <w:rFonts w:hint="default" w:ascii="Times New Roman" w:hAnsi="Times New Roman" w:eastAsia="宋体" w:cs="Times New Roman"/>
          <w:snapToGrid w:val="0"/>
          <w:color w:val="auto"/>
          <w:kern w:val="0"/>
          <w:szCs w:val="21"/>
          <w:highlight w:val="none"/>
          <w:lang w:val="en-US" w:eastAsia="zh-CN"/>
        </w:rPr>
      </w:pPr>
      <w:r>
        <w:rPr>
          <w:rFonts w:hint="default" w:ascii="Times New Roman" w:hAnsi="Times New Roman" w:cs="Times New Roman"/>
          <w:snapToGrid w:val="0"/>
          <w:color w:val="auto"/>
          <w:kern w:val="0"/>
          <w:szCs w:val="21"/>
          <w:highlight w:val="none"/>
        </w:rPr>
        <w:t>联系人：</w:t>
      </w:r>
      <w:r>
        <w:rPr>
          <w:rFonts w:hint="default" w:ascii="Times New Roman" w:hAnsi="Times New Roman" w:cs="Times New Roman"/>
          <w:snapToGrid w:val="0"/>
          <w:color w:val="auto"/>
          <w:kern w:val="0"/>
          <w:szCs w:val="21"/>
          <w:highlight w:val="none"/>
          <w:lang w:val="en-US" w:eastAsia="zh-CN"/>
        </w:rPr>
        <w:t>秦科长</w:t>
      </w:r>
    </w:p>
    <w:p w14:paraId="122EC49E">
      <w:pPr>
        <w:adjustRightInd w:val="0"/>
        <w:snapToGrid w:val="0"/>
        <w:spacing w:line="360" w:lineRule="auto"/>
        <w:ind w:firstLine="525" w:firstLineChars="250"/>
        <w:rPr>
          <w:rFonts w:hint="default" w:ascii="Times New Roman" w:hAnsi="Times New Roman" w:eastAsia="Microsoft YaHei UI" w:cs="Times New Roman"/>
          <w:snapToGrid w:val="0"/>
          <w:color w:val="auto"/>
          <w:kern w:val="0"/>
          <w:szCs w:val="21"/>
          <w:highlight w:val="none"/>
          <w:lang w:val="en-US" w:eastAsia="zh-CN"/>
        </w:rPr>
      </w:pPr>
      <w:r>
        <w:rPr>
          <w:rFonts w:hint="default" w:ascii="Times New Roman" w:hAnsi="Times New Roman" w:cs="Times New Roman"/>
          <w:snapToGrid w:val="0"/>
          <w:color w:val="auto"/>
          <w:kern w:val="0"/>
          <w:szCs w:val="21"/>
          <w:highlight w:val="none"/>
        </w:rPr>
        <w:t>联系电话：</w:t>
      </w:r>
      <w:r>
        <w:rPr>
          <w:rStyle w:val="92"/>
          <w:rFonts w:hint="default" w:ascii="Times New Roman" w:hAnsi="Times New Roman" w:cs="Times New Roman"/>
          <w:color w:val="auto"/>
          <w:highlight w:val="none"/>
        </w:rPr>
        <w:t>18951768</w:t>
      </w:r>
      <w:r>
        <w:rPr>
          <w:rStyle w:val="92"/>
          <w:rFonts w:hint="default" w:ascii="Times New Roman" w:hAnsi="Times New Roman" w:eastAsia="Microsoft YaHei UI" w:cs="Times New Roman"/>
          <w:color w:val="auto"/>
          <w:highlight w:val="none"/>
          <w:lang w:val="en-US" w:eastAsia="zh-CN"/>
        </w:rPr>
        <w:t>061</w:t>
      </w:r>
    </w:p>
    <w:p w14:paraId="65300AE7">
      <w:pPr>
        <w:adjustRightInd w:val="0"/>
        <w:snapToGrid w:val="0"/>
        <w:spacing w:line="360" w:lineRule="auto"/>
        <w:ind w:firstLine="525" w:firstLineChars="250"/>
        <w:rPr>
          <w:rFonts w:hint="default" w:ascii="Times New Roman" w:hAnsi="Times New Roman" w:cs="Times New Roman"/>
          <w:snapToGrid w:val="0"/>
          <w:color w:val="auto"/>
          <w:kern w:val="0"/>
          <w:szCs w:val="21"/>
          <w:highlight w:val="none"/>
        </w:rPr>
      </w:pPr>
      <w:r>
        <w:rPr>
          <w:rFonts w:hint="default" w:ascii="Times New Roman" w:hAnsi="Times New Roman" w:cs="Times New Roman"/>
          <w:color w:val="auto"/>
          <w:szCs w:val="21"/>
          <w:highlight w:val="none"/>
        </w:rPr>
        <w:t>2．</w:t>
      </w:r>
      <w:r>
        <w:rPr>
          <w:rFonts w:hint="default" w:ascii="Times New Roman" w:hAnsi="Times New Roman" w:cs="Times New Roman"/>
          <w:snapToGrid w:val="0"/>
          <w:color w:val="auto"/>
          <w:kern w:val="0"/>
          <w:szCs w:val="21"/>
          <w:highlight w:val="none"/>
        </w:rPr>
        <w:t>采购代理机构信息（如有）</w:t>
      </w:r>
    </w:p>
    <w:p w14:paraId="14759BA0">
      <w:pPr>
        <w:adjustRightInd w:val="0"/>
        <w:snapToGrid w:val="0"/>
        <w:spacing w:line="360" w:lineRule="auto"/>
        <w:ind w:firstLine="525" w:firstLineChars="250"/>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单位名称：江苏省招标中心有限公司</w:t>
      </w:r>
    </w:p>
    <w:p w14:paraId="5273D913">
      <w:pPr>
        <w:adjustRightInd w:val="0"/>
        <w:snapToGrid w:val="0"/>
        <w:spacing w:line="360" w:lineRule="auto"/>
        <w:ind w:firstLine="525" w:firstLineChars="250"/>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单位地址：南京市鼓楼区郑和中路118号</w:t>
      </w:r>
    </w:p>
    <w:p w14:paraId="4B22FA75">
      <w:pPr>
        <w:adjustRightInd w:val="0"/>
        <w:snapToGrid w:val="0"/>
        <w:spacing w:line="360" w:lineRule="auto"/>
        <w:ind w:firstLine="525" w:firstLineChars="250"/>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联系人：</w:t>
      </w:r>
      <w:r>
        <w:rPr>
          <w:rFonts w:hint="default" w:ascii="Times New Roman" w:hAnsi="Times New Roman" w:cs="Times New Roman"/>
          <w:color w:val="auto"/>
          <w:szCs w:val="21"/>
          <w:highlight w:val="none"/>
        </w:rPr>
        <w:t>王牌、孙宁、孙雯雯、于海涛</w:t>
      </w:r>
    </w:p>
    <w:p w14:paraId="0C7F13A7">
      <w:pPr>
        <w:adjustRightInd w:val="0"/>
        <w:snapToGrid w:val="0"/>
        <w:spacing w:line="360" w:lineRule="auto"/>
        <w:ind w:firstLine="525" w:firstLineChars="250"/>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联系方式：025-82281899</w:t>
      </w:r>
    </w:p>
    <w:p w14:paraId="2FC683FA">
      <w:pPr>
        <w:adjustRightInd w:val="0"/>
        <w:snapToGrid w:val="0"/>
        <w:spacing w:line="360" w:lineRule="auto"/>
        <w:ind w:firstLine="525" w:firstLineChars="250"/>
        <w:rPr>
          <w:rFonts w:hint="default" w:ascii="Times New Roman" w:hAnsi="Times New Roman" w:cs="Times New Roman"/>
          <w:color w:val="auto"/>
          <w:highlight w:val="none"/>
        </w:rPr>
      </w:pPr>
      <w:r>
        <w:rPr>
          <w:rFonts w:hint="default" w:ascii="Times New Roman" w:hAnsi="Times New Roman" w:cs="Times New Roman"/>
          <w:color w:val="auto"/>
          <w:highlight w:val="none"/>
        </w:rPr>
        <w:t>电子邮箱：jstcc0509@163.com</w:t>
      </w:r>
    </w:p>
    <w:p w14:paraId="4DCDAAEE">
      <w:pPr>
        <w:adjustRightInd w:val="0"/>
        <w:snapToGrid w:val="0"/>
        <w:spacing w:line="360" w:lineRule="auto"/>
        <w:ind w:firstLine="525" w:firstLineChars="250"/>
        <w:rPr>
          <w:rFonts w:hint="default" w:ascii="Times New Roman" w:hAnsi="Times New Roman" w:cs="Times New Roman"/>
          <w:snapToGrid w:val="0"/>
          <w:color w:val="auto"/>
          <w:kern w:val="0"/>
          <w:szCs w:val="21"/>
          <w:highlight w:val="none"/>
        </w:rPr>
      </w:pPr>
      <w:r>
        <w:rPr>
          <w:rFonts w:hint="default" w:ascii="Times New Roman" w:hAnsi="Times New Roman" w:cs="Times New Roman"/>
          <w:color w:val="auto"/>
          <w:szCs w:val="21"/>
          <w:highlight w:val="none"/>
        </w:rPr>
        <w:t>3．</w:t>
      </w:r>
      <w:r>
        <w:rPr>
          <w:rFonts w:hint="default" w:ascii="Times New Roman" w:hAnsi="Times New Roman" w:cs="Times New Roman"/>
          <w:snapToGrid w:val="0"/>
          <w:color w:val="auto"/>
          <w:kern w:val="0"/>
          <w:szCs w:val="21"/>
          <w:highlight w:val="none"/>
        </w:rPr>
        <w:t>项目联系方式</w:t>
      </w:r>
    </w:p>
    <w:p w14:paraId="7F60E78D">
      <w:pPr>
        <w:adjustRightInd w:val="0"/>
        <w:snapToGrid w:val="0"/>
        <w:spacing w:line="360" w:lineRule="auto"/>
        <w:ind w:firstLine="525" w:firstLineChars="250"/>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项目联系人：</w:t>
      </w:r>
      <w:r>
        <w:rPr>
          <w:rFonts w:hint="default" w:ascii="Times New Roman" w:hAnsi="Times New Roman" w:cs="Times New Roman"/>
          <w:color w:val="auto"/>
          <w:szCs w:val="21"/>
          <w:highlight w:val="none"/>
        </w:rPr>
        <w:t>王牌、孙宁、孙雯雯、于海涛</w:t>
      </w:r>
    </w:p>
    <w:p w14:paraId="1E710F61">
      <w:pPr>
        <w:adjustRightInd w:val="0"/>
        <w:snapToGrid w:val="0"/>
        <w:spacing w:line="360" w:lineRule="auto"/>
        <w:ind w:firstLine="525" w:firstLineChars="250"/>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电 话：025-82281899</w:t>
      </w:r>
    </w:p>
    <w:bookmarkEnd w:id="30"/>
    <w:p w14:paraId="4F17FA71">
      <w:pPr>
        <w:pStyle w:val="34"/>
        <w:numPr>
          <w:ilvl w:val="0"/>
          <w:numId w:val="1"/>
        </w:numPr>
        <w:rPr>
          <w:rFonts w:hint="default" w:ascii="Times New Roman" w:hAnsi="Times New Roman" w:cs="Times New Roman"/>
          <w:color w:val="auto"/>
          <w:highlight w:val="none"/>
        </w:rPr>
      </w:pPr>
      <w:bookmarkStart w:id="31" w:name="_Toc71561877"/>
      <w:bookmarkStart w:id="32" w:name="_Toc80264704"/>
      <w:r>
        <w:rPr>
          <w:rFonts w:hint="default" w:ascii="Times New Roman" w:hAnsi="Times New Roman" w:cs="Times New Roman"/>
          <w:color w:val="auto"/>
          <w:highlight w:val="none"/>
        </w:rPr>
        <w:br w:type="page"/>
      </w:r>
      <w:bookmarkEnd w:id="31"/>
      <w:bookmarkStart w:id="33" w:name="_Toc26448"/>
      <w:r>
        <w:rPr>
          <w:rFonts w:hint="default" w:ascii="Times New Roman" w:hAnsi="Times New Roman" w:cs="Times New Roman"/>
          <w:color w:val="auto"/>
          <w:highlight w:val="none"/>
        </w:rPr>
        <w:t>投标人须知</w:t>
      </w:r>
      <w:bookmarkEnd w:id="33"/>
    </w:p>
    <w:bookmarkEnd w:id="32"/>
    <w:p w14:paraId="0BB6FEFD">
      <w:pPr>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投标人须知前附表</w:t>
      </w:r>
    </w:p>
    <w:p w14:paraId="2D9C8D76">
      <w:pPr>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本表是对《投标人须知》正文的具体补充和修改，如有矛盾，以本《前附表》为准。</w:t>
      </w:r>
    </w:p>
    <w:tbl>
      <w:tblPr>
        <w:tblStyle w:val="3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850"/>
        <w:gridCol w:w="2314"/>
        <w:gridCol w:w="5499"/>
      </w:tblGrid>
      <w:tr w14:paraId="14433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32482460">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b/>
                <w:color w:val="auto"/>
                <w:kern w:val="2"/>
                <w:sz w:val="21"/>
                <w:szCs w:val="21"/>
                <w:highlight w:val="none"/>
              </w:rPr>
            </w:pPr>
            <w:r>
              <w:rPr>
                <w:rFonts w:hint="default" w:ascii="Times New Roman" w:hAnsi="Times New Roman" w:cs="Times New Roman"/>
                <w:b/>
                <w:color w:val="auto"/>
                <w:kern w:val="2"/>
                <w:sz w:val="21"/>
                <w:szCs w:val="21"/>
                <w:highlight w:val="none"/>
              </w:rPr>
              <w:t>序号</w:t>
            </w:r>
          </w:p>
        </w:tc>
        <w:tc>
          <w:tcPr>
            <w:tcW w:w="850" w:type="dxa"/>
            <w:noWrap w:val="0"/>
            <w:vAlign w:val="center"/>
          </w:tcPr>
          <w:p w14:paraId="1FD1A941">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b/>
                <w:color w:val="auto"/>
                <w:kern w:val="2"/>
                <w:sz w:val="21"/>
                <w:szCs w:val="21"/>
                <w:highlight w:val="none"/>
              </w:rPr>
            </w:pPr>
            <w:r>
              <w:rPr>
                <w:rFonts w:hint="default" w:ascii="Times New Roman" w:hAnsi="Times New Roman" w:cs="Times New Roman"/>
                <w:b/>
                <w:color w:val="auto"/>
                <w:kern w:val="2"/>
                <w:sz w:val="21"/>
                <w:szCs w:val="21"/>
                <w:highlight w:val="none"/>
              </w:rPr>
              <w:t>条款号</w:t>
            </w:r>
          </w:p>
        </w:tc>
        <w:tc>
          <w:tcPr>
            <w:tcW w:w="2314" w:type="dxa"/>
            <w:noWrap w:val="0"/>
            <w:vAlign w:val="center"/>
          </w:tcPr>
          <w:p w14:paraId="14C98AA9">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b/>
                <w:color w:val="auto"/>
                <w:kern w:val="2"/>
                <w:sz w:val="21"/>
                <w:szCs w:val="21"/>
                <w:highlight w:val="none"/>
              </w:rPr>
            </w:pPr>
            <w:r>
              <w:rPr>
                <w:rFonts w:hint="default" w:ascii="Times New Roman" w:hAnsi="Times New Roman" w:cs="Times New Roman"/>
                <w:b/>
                <w:color w:val="auto"/>
                <w:kern w:val="2"/>
                <w:sz w:val="21"/>
                <w:szCs w:val="21"/>
                <w:highlight w:val="none"/>
              </w:rPr>
              <w:t>条款名称</w:t>
            </w:r>
          </w:p>
        </w:tc>
        <w:tc>
          <w:tcPr>
            <w:tcW w:w="5499" w:type="dxa"/>
            <w:noWrap w:val="0"/>
            <w:vAlign w:val="center"/>
          </w:tcPr>
          <w:p w14:paraId="052AFFEA">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b/>
                <w:color w:val="auto"/>
                <w:kern w:val="2"/>
                <w:sz w:val="21"/>
                <w:szCs w:val="21"/>
                <w:highlight w:val="none"/>
              </w:rPr>
            </w:pPr>
            <w:r>
              <w:rPr>
                <w:rFonts w:hint="default" w:ascii="Times New Roman" w:hAnsi="Times New Roman" w:cs="Times New Roman"/>
                <w:b/>
                <w:color w:val="auto"/>
                <w:kern w:val="2"/>
                <w:sz w:val="21"/>
                <w:szCs w:val="21"/>
                <w:highlight w:val="none"/>
              </w:rPr>
              <w:t>编列内容规定</w:t>
            </w:r>
          </w:p>
        </w:tc>
      </w:tr>
      <w:tr w14:paraId="0C89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3C9B72C1">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1</w:t>
            </w:r>
          </w:p>
        </w:tc>
        <w:tc>
          <w:tcPr>
            <w:tcW w:w="850" w:type="dxa"/>
            <w:noWrap w:val="0"/>
            <w:vAlign w:val="center"/>
          </w:tcPr>
          <w:p w14:paraId="36B1354D">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2.1</w:t>
            </w:r>
          </w:p>
        </w:tc>
        <w:tc>
          <w:tcPr>
            <w:tcW w:w="2314" w:type="dxa"/>
            <w:noWrap w:val="0"/>
            <w:vAlign w:val="center"/>
          </w:tcPr>
          <w:p w14:paraId="7A662545">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采购人</w:t>
            </w:r>
          </w:p>
        </w:tc>
        <w:tc>
          <w:tcPr>
            <w:tcW w:w="5499" w:type="dxa"/>
            <w:noWrap w:val="0"/>
            <w:vAlign w:val="center"/>
          </w:tcPr>
          <w:p w14:paraId="5AF2D242">
            <w:pPr>
              <w:pStyle w:val="76"/>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kern w:val="2"/>
                <w:sz w:val="21"/>
                <w:szCs w:val="21"/>
                <w:highlight w:val="none"/>
                <w:lang w:val="en-US" w:bidi="ar-SA"/>
              </w:rPr>
            </w:pPr>
            <w:r>
              <w:rPr>
                <w:rFonts w:hint="default" w:ascii="Times New Roman" w:hAnsi="Times New Roman" w:cs="Times New Roman"/>
                <w:color w:val="auto"/>
                <w:kern w:val="2"/>
                <w:sz w:val="21"/>
                <w:szCs w:val="21"/>
                <w:highlight w:val="none"/>
                <w:lang w:val="en-US" w:bidi="ar-SA"/>
              </w:rPr>
              <w:t>名称：南京红十字血液中心</w:t>
            </w:r>
          </w:p>
          <w:p w14:paraId="6DF293E7">
            <w:pPr>
              <w:pStyle w:val="76"/>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kern w:val="2"/>
                <w:sz w:val="21"/>
                <w:szCs w:val="21"/>
                <w:highlight w:val="none"/>
                <w:lang w:val="en-US" w:bidi="ar-SA"/>
              </w:rPr>
            </w:pPr>
            <w:r>
              <w:rPr>
                <w:rFonts w:hint="default" w:ascii="Times New Roman" w:hAnsi="Times New Roman" w:cs="Times New Roman"/>
                <w:color w:val="auto"/>
                <w:kern w:val="2"/>
                <w:sz w:val="21"/>
                <w:szCs w:val="21"/>
                <w:highlight w:val="none"/>
                <w:lang w:val="en-US" w:bidi="ar-SA"/>
              </w:rPr>
              <w:t>地址：南京市鼓楼区紫竹林3号</w:t>
            </w:r>
          </w:p>
          <w:p w14:paraId="0DB97A6C">
            <w:pPr>
              <w:keepNext w:val="0"/>
              <w:keepLines w:val="0"/>
              <w:pageBreakBefore w:val="0"/>
              <w:widowControl w:val="0"/>
              <w:kinsoku/>
              <w:wordWrap/>
              <w:overflowPunct/>
              <w:topLinePunct w:val="0"/>
              <w:bidi w:val="0"/>
              <w:adjustRightInd w:val="0"/>
              <w:snapToGrid w:val="0"/>
              <w:spacing w:line="360" w:lineRule="auto"/>
              <w:ind w:left="0" w:leftChars="0" w:firstLine="0" w:firstLineChars="0"/>
              <w:textAlignment w:val="auto"/>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cs="Times New Roman"/>
                <w:snapToGrid w:val="0"/>
                <w:color w:val="auto"/>
                <w:kern w:val="0"/>
                <w:sz w:val="21"/>
                <w:szCs w:val="21"/>
                <w:highlight w:val="none"/>
              </w:rPr>
              <w:t>联系人：</w:t>
            </w:r>
            <w:r>
              <w:rPr>
                <w:rFonts w:hint="default" w:ascii="Times New Roman" w:hAnsi="Times New Roman" w:cs="Times New Roman"/>
                <w:snapToGrid w:val="0"/>
                <w:color w:val="auto"/>
                <w:kern w:val="0"/>
                <w:sz w:val="21"/>
                <w:szCs w:val="21"/>
                <w:highlight w:val="none"/>
                <w:lang w:val="en-US" w:eastAsia="zh-CN"/>
              </w:rPr>
              <w:t>秦科长</w:t>
            </w:r>
          </w:p>
          <w:p w14:paraId="34BF2827">
            <w:pPr>
              <w:keepNext w:val="0"/>
              <w:keepLines w:val="0"/>
              <w:pageBreakBefore w:val="0"/>
              <w:widowControl w:val="0"/>
              <w:kinsoku/>
              <w:wordWrap/>
              <w:overflowPunct/>
              <w:topLinePunct w:val="0"/>
              <w:bidi w:val="0"/>
              <w:adjustRightInd w:val="0"/>
              <w:snapToGrid w:val="0"/>
              <w:spacing w:line="360" w:lineRule="auto"/>
              <w:ind w:left="0" w:leftChars="0" w:firstLine="0" w:firstLineChars="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snapToGrid w:val="0"/>
                <w:color w:val="auto"/>
                <w:kern w:val="0"/>
                <w:sz w:val="21"/>
                <w:szCs w:val="21"/>
                <w:highlight w:val="none"/>
              </w:rPr>
              <w:t>联系电话：</w:t>
            </w:r>
            <w:r>
              <w:rPr>
                <w:rFonts w:hint="default" w:ascii="Times New Roman" w:hAnsi="Times New Roman" w:cs="Times New Roman"/>
                <w:snapToGrid w:val="0"/>
                <w:color w:val="auto"/>
                <w:kern w:val="0"/>
                <w:sz w:val="21"/>
                <w:szCs w:val="21"/>
                <w:highlight w:val="none"/>
                <w:lang w:val="en-US" w:eastAsia="zh-CN"/>
              </w:rPr>
              <w:t>18951768061</w:t>
            </w:r>
          </w:p>
        </w:tc>
      </w:tr>
      <w:tr w14:paraId="686BF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65280AFA">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2</w:t>
            </w:r>
          </w:p>
        </w:tc>
        <w:tc>
          <w:tcPr>
            <w:tcW w:w="850" w:type="dxa"/>
            <w:noWrap w:val="0"/>
            <w:vAlign w:val="center"/>
          </w:tcPr>
          <w:p w14:paraId="3619EF33">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2.2</w:t>
            </w:r>
          </w:p>
        </w:tc>
        <w:tc>
          <w:tcPr>
            <w:tcW w:w="2314" w:type="dxa"/>
            <w:noWrap w:val="0"/>
            <w:vAlign w:val="center"/>
          </w:tcPr>
          <w:p w14:paraId="0341B3BC">
            <w:pPr>
              <w:pStyle w:val="76"/>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kern w:val="2"/>
                <w:sz w:val="21"/>
                <w:szCs w:val="21"/>
                <w:highlight w:val="none"/>
                <w:lang w:val="en-US" w:bidi="ar-SA"/>
              </w:rPr>
            </w:pPr>
            <w:r>
              <w:rPr>
                <w:rFonts w:hint="default" w:ascii="Times New Roman" w:hAnsi="Times New Roman" w:cs="Times New Roman"/>
                <w:color w:val="auto"/>
                <w:kern w:val="2"/>
                <w:sz w:val="21"/>
                <w:szCs w:val="21"/>
                <w:highlight w:val="none"/>
                <w:lang w:val="en-US" w:bidi="ar-SA"/>
              </w:rPr>
              <w:t>采购代理机构</w:t>
            </w:r>
          </w:p>
        </w:tc>
        <w:tc>
          <w:tcPr>
            <w:tcW w:w="5499" w:type="dxa"/>
            <w:noWrap w:val="0"/>
            <w:vAlign w:val="center"/>
          </w:tcPr>
          <w:p w14:paraId="5961773B">
            <w:pPr>
              <w:pStyle w:val="76"/>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kern w:val="2"/>
                <w:sz w:val="21"/>
                <w:szCs w:val="21"/>
                <w:highlight w:val="none"/>
                <w:lang w:val="en-US" w:bidi="ar-SA"/>
              </w:rPr>
            </w:pPr>
            <w:r>
              <w:rPr>
                <w:rFonts w:hint="default" w:ascii="Times New Roman" w:hAnsi="Times New Roman" w:cs="Times New Roman"/>
                <w:color w:val="auto"/>
                <w:kern w:val="2"/>
                <w:sz w:val="21"/>
                <w:szCs w:val="21"/>
                <w:highlight w:val="none"/>
                <w:lang w:val="en-US" w:bidi="ar-SA"/>
              </w:rPr>
              <w:t>名称 ：江苏省招标中心有限公司</w:t>
            </w:r>
          </w:p>
          <w:p w14:paraId="122B3EB9">
            <w:pPr>
              <w:pStyle w:val="76"/>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kern w:val="2"/>
                <w:sz w:val="21"/>
                <w:szCs w:val="21"/>
                <w:highlight w:val="none"/>
                <w:lang w:val="en-US" w:bidi="ar-SA"/>
              </w:rPr>
            </w:pPr>
            <w:r>
              <w:rPr>
                <w:rFonts w:hint="default" w:ascii="Times New Roman" w:hAnsi="Times New Roman" w:cs="Times New Roman"/>
                <w:color w:val="auto"/>
                <w:kern w:val="2"/>
                <w:sz w:val="21"/>
                <w:szCs w:val="21"/>
                <w:highlight w:val="none"/>
                <w:lang w:val="en-US" w:bidi="ar-SA"/>
              </w:rPr>
              <w:t>地址 ：南京市鼓楼区郑和中路118号</w:t>
            </w:r>
          </w:p>
          <w:p w14:paraId="6F3C0BA1">
            <w:pPr>
              <w:pStyle w:val="76"/>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kern w:val="2"/>
                <w:sz w:val="21"/>
                <w:szCs w:val="21"/>
                <w:highlight w:val="none"/>
                <w:lang w:val="en-US" w:bidi="ar-SA"/>
              </w:rPr>
            </w:pPr>
            <w:r>
              <w:rPr>
                <w:rFonts w:hint="default" w:ascii="Times New Roman" w:hAnsi="Times New Roman" w:cs="Times New Roman"/>
                <w:color w:val="auto"/>
                <w:kern w:val="2"/>
                <w:sz w:val="21"/>
                <w:szCs w:val="21"/>
                <w:highlight w:val="none"/>
                <w:lang w:val="en-US" w:bidi="ar-SA"/>
              </w:rPr>
              <w:t>联系人：王牌、孙宁、孙雯雯、于海涛</w:t>
            </w:r>
          </w:p>
          <w:p w14:paraId="203F6BEB">
            <w:pPr>
              <w:pStyle w:val="76"/>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kern w:val="2"/>
                <w:sz w:val="21"/>
                <w:szCs w:val="21"/>
                <w:highlight w:val="none"/>
                <w:lang w:val="en-US" w:bidi="ar-SA"/>
              </w:rPr>
            </w:pPr>
            <w:r>
              <w:rPr>
                <w:rFonts w:hint="default" w:ascii="Times New Roman" w:hAnsi="Times New Roman" w:cs="Times New Roman"/>
                <w:color w:val="auto"/>
                <w:kern w:val="2"/>
                <w:sz w:val="21"/>
                <w:szCs w:val="21"/>
                <w:highlight w:val="none"/>
                <w:lang w:val="en-US" w:bidi="ar-SA"/>
              </w:rPr>
              <w:t>联系方式：025-82281899</w:t>
            </w:r>
          </w:p>
          <w:p w14:paraId="72C56265">
            <w:pPr>
              <w:pStyle w:val="76"/>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kern w:val="2"/>
                <w:sz w:val="21"/>
                <w:szCs w:val="21"/>
                <w:highlight w:val="none"/>
                <w:lang w:val="en-US" w:bidi="ar-SA"/>
              </w:rPr>
            </w:pPr>
            <w:r>
              <w:rPr>
                <w:rFonts w:hint="default" w:ascii="Times New Roman" w:hAnsi="Times New Roman" w:cs="Times New Roman"/>
                <w:color w:val="auto"/>
                <w:kern w:val="2"/>
                <w:sz w:val="21"/>
                <w:szCs w:val="21"/>
                <w:highlight w:val="none"/>
                <w:lang w:val="en-US" w:bidi="ar-SA"/>
              </w:rPr>
              <w:t>电子邮箱：jstcc0509@163.com</w:t>
            </w:r>
          </w:p>
        </w:tc>
      </w:tr>
      <w:tr w14:paraId="1DBCF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0AF8B830">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3</w:t>
            </w:r>
          </w:p>
        </w:tc>
        <w:tc>
          <w:tcPr>
            <w:tcW w:w="850" w:type="dxa"/>
            <w:noWrap w:val="0"/>
            <w:vAlign w:val="center"/>
          </w:tcPr>
          <w:p w14:paraId="79877A9F">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4</w:t>
            </w:r>
          </w:p>
        </w:tc>
        <w:tc>
          <w:tcPr>
            <w:tcW w:w="2314" w:type="dxa"/>
            <w:noWrap w:val="0"/>
            <w:vAlign w:val="center"/>
          </w:tcPr>
          <w:p w14:paraId="03B0B40F">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本项目执行的政府采购政策</w:t>
            </w:r>
          </w:p>
        </w:tc>
        <w:tc>
          <w:tcPr>
            <w:tcW w:w="5499" w:type="dxa"/>
            <w:noWrap w:val="0"/>
            <w:vAlign w:val="center"/>
          </w:tcPr>
          <w:p w14:paraId="473524F8">
            <w:pPr>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详见</w:t>
            </w:r>
            <w:r>
              <w:rPr>
                <w:rFonts w:hint="default" w:ascii="Times New Roman" w:hAnsi="Times New Roman" w:cs="Times New Roman"/>
                <w:color w:val="auto"/>
                <w:sz w:val="21"/>
                <w:szCs w:val="21"/>
                <w:highlight w:val="none"/>
              </w:rPr>
              <w:t>招标文件第一章《招标公告》</w:t>
            </w:r>
          </w:p>
        </w:tc>
      </w:tr>
      <w:tr w14:paraId="232F8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11EF0EB4">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4</w:t>
            </w:r>
          </w:p>
        </w:tc>
        <w:tc>
          <w:tcPr>
            <w:tcW w:w="850" w:type="dxa"/>
            <w:noWrap w:val="0"/>
            <w:vAlign w:val="center"/>
          </w:tcPr>
          <w:p w14:paraId="27605E0D">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8.1</w:t>
            </w:r>
          </w:p>
        </w:tc>
        <w:tc>
          <w:tcPr>
            <w:tcW w:w="2314" w:type="dxa"/>
            <w:noWrap w:val="0"/>
            <w:vAlign w:val="center"/>
          </w:tcPr>
          <w:p w14:paraId="46BB3930">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现场考察</w:t>
            </w:r>
          </w:p>
        </w:tc>
        <w:tc>
          <w:tcPr>
            <w:tcW w:w="5499" w:type="dxa"/>
            <w:noWrap w:val="0"/>
            <w:vAlign w:val="center"/>
          </w:tcPr>
          <w:p w14:paraId="382D9B64">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不组织</w:t>
            </w:r>
          </w:p>
        </w:tc>
      </w:tr>
      <w:tr w14:paraId="63370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17E109D0">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5</w:t>
            </w:r>
          </w:p>
        </w:tc>
        <w:tc>
          <w:tcPr>
            <w:tcW w:w="850" w:type="dxa"/>
            <w:noWrap w:val="0"/>
            <w:vAlign w:val="center"/>
          </w:tcPr>
          <w:p w14:paraId="0494592D">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9.1</w:t>
            </w:r>
          </w:p>
        </w:tc>
        <w:tc>
          <w:tcPr>
            <w:tcW w:w="2314" w:type="dxa"/>
            <w:noWrap w:val="0"/>
            <w:vAlign w:val="center"/>
          </w:tcPr>
          <w:p w14:paraId="57EF84F8">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开标前答疑会</w:t>
            </w:r>
          </w:p>
        </w:tc>
        <w:tc>
          <w:tcPr>
            <w:tcW w:w="5499" w:type="dxa"/>
            <w:noWrap w:val="0"/>
            <w:vAlign w:val="center"/>
          </w:tcPr>
          <w:p w14:paraId="2C2ABB73">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rPr>
              <w:t>不召开</w:t>
            </w:r>
          </w:p>
        </w:tc>
      </w:tr>
      <w:tr w14:paraId="440F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042FFEB3">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6</w:t>
            </w:r>
          </w:p>
        </w:tc>
        <w:tc>
          <w:tcPr>
            <w:tcW w:w="850" w:type="dxa"/>
            <w:noWrap w:val="0"/>
            <w:vAlign w:val="center"/>
          </w:tcPr>
          <w:p w14:paraId="6590EE22">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10.1</w:t>
            </w:r>
          </w:p>
        </w:tc>
        <w:tc>
          <w:tcPr>
            <w:tcW w:w="2314" w:type="dxa"/>
            <w:noWrap w:val="0"/>
            <w:vAlign w:val="center"/>
          </w:tcPr>
          <w:p w14:paraId="1B1233B0">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联合体投标</w:t>
            </w:r>
          </w:p>
        </w:tc>
        <w:tc>
          <w:tcPr>
            <w:tcW w:w="5499" w:type="dxa"/>
            <w:noWrap w:val="0"/>
            <w:vAlign w:val="center"/>
          </w:tcPr>
          <w:p w14:paraId="2AC661AC">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不接受</w:t>
            </w:r>
          </w:p>
        </w:tc>
      </w:tr>
      <w:tr w14:paraId="4CB88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2A73FE9F">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7</w:t>
            </w:r>
          </w:p>
        </w:tc>
        <w:tc>
          <w:tcPr>
            <w:tcW w:w="850" w:type="dxa"/>
            <w:noWrap w:val="0"/>
            <w:vAlign w:val="center"/>
          </w:tcPr>
          <w:p w14:paraId="4C3A0743">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11.1</w:t>
            </w:r>
          </w:p>
        </w:tc>
        <w:tc>
          <w:tcPr>
            <w:tcW w:w="2314" w:type="dxa"/>
            <w:noWrap w:val="0"/>
            <w:vAlign w:val="center"/>
          </w:tcPr>
          <w:p w14:paraId="53D0A756">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分包</w:t>
            </w:r>
          </w:p>
        </w:tc>
        <w:tc>
          <w:tcPr>
            <w:tcW w:w="5499" w:type="dxa"/>
            <w:noWrap w:val="0"/>
            <w:vAlign w:val="center"/>
          </w:tcPr>
          <w:p w14:paraId="57BFCB14">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本项目的非主体、非关键性工作是否允许分包：不允许</w:t>
            </w:r>
          </w:p>
        </w:tc>
      </w:tr>
      <w:tr w14:paraId="7ADC8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078C6956">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eastAsia="zh-CN"/>
              </w:rPr>
            </w:pPr>
            <w:r>
              <w:rPr>
                <w:rFonts w:hint="default" w:ascii="Times New Roman" w:hAnsi="Times New Roman" w:cs="Times New Roman"/>
                <w:color w:val="auto"/>
                <w:kern w:val="2"/>
                <w:sz w:val="21"/>
                <w:szCs w:val="21"/>
                <w:highlight w:val="none"/>
                <w:lang w:val="en-US" w:eastAsia="zh-CN"/>
              </w:rPr>
              <w:t>8</w:t>
            </w:r>
          </w:p>
        </w:tc>
        <w:tc>
          <w:tcPr>
            <w:tcW w:w="850" w:type="dxa"/>
            <w:noWrap w:val="0"/>
            <w:vAlign w:val="center"/>
          </w:tcPr>
          <w:p w14:paraId="0CA2B022">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13.1</w:t>
            </w:r>
          </w:p>
        </w:tc>
        <w:tc>
          <w:tcPr>
            <w:tcW w:w="2314" w:type="dxa"/>
            <w:noWrap w:val="0"/>
            <w:vAlign w:val="center"/>
          </w:tcPr>
          <w:p w14:paraId="1E1F670F">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采购进口产品</w:t>
            </w:r>
          </w:p>
        </w:tc>
        <w:tc>
          <w:tcPr>
            <w:tcW w:w="5499" w:type="dxa"/>
            <w:noWrap w:val="0"/>
            <w:vAlign w:val="center"/>
          </w:tcPr>
          <w:p w14:paraId="1245A359">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本项目不接受进口产品投标</w:t>
            </w:r>
          </w:p>
        </w:tc>
      </w:tr>
      <w:tr w14:paraId="27F83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57CC5849">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eastAsia="zh-CN"/>
              </w:rPr>
            </w:pPr>
            <w:r>
              <w:rPr>
                <w:rFonts w:hint="default" w:ascii="Times New Roman" w:hAnsi="Times New Roman" w:cs="Times New Roman"/>
                <w:color w:val="auto"/>
                <w:kern w:val="2"/>
                <w:sz w:val="21"/>
                <w:szCs w:val="21"/>
                <w:highlight w:val="none"/>
                <w:lang w:val="en-US" w:eastAsia="zh-CN"/>
              </w:rPr>
              <w:t>9</w:t>
            </w:r>
          </w:p>
        </w:tc>
        <w:tc>
          <w:tcPr>
            <w:tcW w:w="850" w:type="dxa"/>
            <w:noWrap w:val="0"/>
            <w:vAlign w:val="center"/>
          </w:tcPr>
          <w:p w14:paraId="767FE013">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14.1</w:t>
            </w:r>
          </w:p>
        </w:tc>
        <w:tc>
          <w:tcPr>
            <w:tcW w:w="2314" w:type="dxa"/>
            <w:noWrap w:val="0"/>
            <w:vAlign w:val="center"/>
          </w:tcPr>
          <w:p w14:paraId="07A7A777">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采购预算</w:t>
            </w:r>
          </w:p>
        </w:tc>
        <w:tc>
          <w:tcPr>
            <w:tcW w:w="5499" w:type="dxa"/>
            <w:noWrap w:val="0"/>
            <w:vAlign w:val="center"/>
          </w:tcPr>
          <w:p w14:paraId="2991B767">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详见招标文件第一章《招标公告》</w:t>
            </w:r>
          </w:p>
        </w:tc>
      </w:tr>
      <w:tr w14:paraId="4029E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2BCBEBB8">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10</w:t>
            </w:r>
          </w:p>
        </w:tc>
        <w:tc>
          <w:tcPr>
            <w:tcW w:w="850" w:type="dxa"/>
            <w:noWrap w:val="0"/>
            <w:vAlign w:val="center"/>
          </w:tcPr>
          <w:p w14:paraId="08EB4632">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14.2</w:t>
            </w:r>
          </w:p>
        </w:tc>
        <w:tc>
          <w:tcPr>
            <w:tcW w:w="2314" w:type="dxa"/>
            <w:noWrap w:val="0"/>
            <w:vAlign w:val="center"/>
          </w:tcPr>
          <w:p w14:paraId="1E729EAC">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本项目设定的最高限价</w:t>
            </w:r>
          </w:p>
        </w:tc>
        <w:tc>
          <w:tcPr>
            <w:tcW w:w="5499" w:type="dxa"/>
            <w:noWrap w:val="0"/>
            <w:vAlign w:val="center"/>
          </w:tcPr>
          <w:p w14:paraId="368502DC">
            <w:pPr>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bCs/>
                <w:color w:val="auto"/>
                <w:sz w:val="21"/>
                <w:szCs w:val="21"/>
                <w:highlight w:val="none"/>
              </w:rPr>
              <w:t>详见</w:t>
            </w:r>
            <w:r>
              <w:rPr>
                <w:rFonts w:hint="default" w:ascii="Times New Roman" w:hAnsi="Times New Roman" w:cs="Times New Roman"/>
                <w:color w:val="auto"/>
                <w:sz w:val="21"/>
                <w:szCs w:val="21"/>
                <w:highlight w:val="none"/>
              </w:rPr>
              <w:t>招标文件第一章《招标公告》</w:t>
            </w:r>
          </w:p>
        </w:tc>
      </w:tr>
      <w:tr w14:paraId="1EF33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02163C87">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11</w:t>
            </w:r>
          </w:p>
        </w:tc>
        <w:tc>
          <w:tcPr>
            <w:tcW w:w="850" w:type="dxa"/>
            <w:noWrap w:val="0"/>
            <w:vAlign w:val="center"/>
          </w:tcPr>
          <w:p w14:paraId="5CC6145B">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15.1</w:t>
            </w:r>
          </w:p>
        </w:tc>
        <w:tc>
          <w:tcPr>
            <w:tcW w:w="2314" w:type="dxa"/>
            <w:noWrap w:val="0"/>
            <w:vAlign w:val="center"/>
          </w:tcPr>
          <w:p w14:paraId="2E321A65">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投标人资格条件</w:t>
            </w:r>
          </w:p>
        </w:tc>
        <w:tc>
          <w:tcPr>
            <w:tcW w:w="5499" w:type="dxa"/>
            <w:noWrap w:val="0"/>
            <w:vAlign w:val="center"/>
          </w:tcPr>
          <w:p w14:paraId="0E348C67">
            <w:pPr>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详见招标文件第一章《招标公告》</w:t>
            </w:r>
          </w:p>
        </w:tc>
      </w:tr>
      <w:tr w14:paraId="3CC59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0EF66589">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12</w:t>
            </w:r>
          </w:p>
        </w:tc>
        <w:tc>
          <w:tcPr>
            <w:tcW w:w="850" w:type="dxa"/>
            <w:noWrap w:val="0"/>
            <w:vAlign w:val="center"/>
          </w:tcPr>
          <w:p w14:paraId="737F7281">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20.5</w:t>
            </w:r>
          </w:p>
        </w:tc>
        <w:tc>
          <w:tcPr>
            <w:tcW w:w="2314" w:type="dxa"/>
            <w:noWrap w:val="0"/>
            <w:vAlign w:val="center"/>
          </w:tcPr>
          <w:p w14:paraId="49249824">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b/>
                <w:bCs/>
                <w:color w:val="auto"/>
                <w:kern w:val="2"/>
                <w:sz w:val="21"/>
                <w:szCs w:val="21"/>
                <w:highlight w:val="none"/>
              </w:rPr>
            </w:pPr>
            <w:r>
              <w:rPr>
                <w:rFonts w:hint="default" w:ascii="Times New Roman" w:hAnsi="Times New Roman" w:cs="Times New Roman"/>
                <w:b/>
                <w:bCs/>
                <w:color w:val="auto"/>
                <w:kern w:val="2"/>
                <w:sz w:val="21"/>
                <w:szCs w:val="21"/>
                <w:highlight w:val="none"/>
              </w:rPr>
              <w:t>投标报价</w:t>
            </w:r>
          </w:p>
        </w:tc>
        <w:tc>
          <w:tcPr>
            <w:tcW w:w="5499" w:type="dxa"/>
            <w:noWrap w:val="0"/>
            <w:vAlign w:val="center"/>
          </w:tcPr>
          <w:p w14:paraId="5C77715E">
            <w:pPr>
              <w:keepNext w:val="0"/>
              <w:keepLines w:val="0"/>
              <w:pageBreakBefore w:val="0"/>
              <w:widowControl w:val="0"/>
              <w:tabs>
                <w:tab w:val="left" w:pos="840"/>
              </w:tabs>
              <w:kinsoku/>
              <w:wordWrap/>
              <w:overflowPunct/>
              <w:topLinePunct w:val="0"/>
              <w:bidi w:val="0"/>
              <w:spacing w:line="360" w:lineRule="auto"/>
              <w:ind w:left="0" w:leftChars="0" w:firstLine="0" w:firstLineChars="0"/>
              <w:textAlignment w:val="auto"/>
              <w:rPr>
                <w:rFonts w:hint="default" w:ascii="Times New Roman" w:hAnsi="Times New Roman" w:cs="Times New Roman"/>
                <w:bCs/>
                <w:color w:val="auto"/>
                <w:sz w:val="21"/>
                <w:szCs w:val="21"/>
                <w:highlight w:val="none"/>
                <w:lang w:eastAsia="zh-CN"/>
              </w:rPr>
            </w:pPr>
            <w:r>
              <w:rPr>
                <w:rFonts w:hint="default" w:ascii="Times New Roman" w:hAnsi="Times New Roman" w:cs="Times New Roman"/>
                <w:bCs/>
                <w:color w:val="auto"/>
                <w:sz w:val="21"/>
                <w:szCs w:val="21"/>
                <w:highlight w:val="none"/>
                <w:lang w:eastAsia="zh-CN"/>
              </w:rPr>
              <w:t>本项目为固定价格采购项目，采购预算为390万元，合同期内预算全部使用完毕则合同终止。投标人报价须为390万元，不得偏离。</w:t>
            </w:r>
          </w:p>
          <w:p w14:paraId="06E61B65">
            <w:pPr>
              <w:keepNext w:val="0"/>
              <w:keepLines w:val="0"/>
              <w:pageBreakBefore w:val="0"/>
              <w:widowControl w:val="0"/>
              <w:tabs>
                <w:tab w:val="left" w:pos="840"/>
              </w:tabs>
              <w:kinsoku/>
              <w:wordWrap/>
              <w:overflowPunct/>
              <w:topLinePunct w:val="0"/>
              <w:bidi w:val="0"/>
              <w:spacing w:line="360" w:lineRule="auto"/>
              <w:ind w:left="0" w:leftChars="0" w:firstLine="0" w:firstLineChars="0"/>
              <w:textAlignment w:val="auto"/>
              <w:rPr>
                <w:rFonts w:hint="default" w:ascii="Times New Roman" w:hAnsi="Times New Roman" w:cs="Times New Roman"/>
                <w:bCs/>
                <w:color w:val="auto"/>
                <w:sz w:val="21"/>
                <w:szCs w:val="21"/>
                <w:highlight w:val="none"/>
                <w:lang w:eastAsia="zh-CN"/>
              </w:rPr>
            </w:pPr>
            <w:r>
              <w:rPr>
                <w:rFonts w:hint="default" w:ascii="Times New Roman" w:hAnsi="Times New Roman" w:cs="Times New Roman"/>
                <w:bCs/>
                <w:color w:val="auto"/>
                <w:sz w:val="21"/>
                <w:szCs w:val="21"/>
                <w:highlight w:val="none"/>
                <w:lang w:eastAsia="zh-CN"/>
              </w:rPr>
              <w:t>本项目为交钥匙项目，投标人的报价中应包括完成本项工作所需的一切费用，包括但不限于人工（包括工资、奖金、社保、节假日加班）、纪念品、配送费用、平台搭建费用、保险、各种税费、利润、政策性文件规定及合同包含的所有风险、责任等费用。</w:t>
            </w:r>
          </w:p>
        </w:tc>
      </w:tr>
      <w:tr w14:paraId="46369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0E068EC6">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13</w:t>
            </w:r>
          </w:p>
        </w:tc>
        <w:tc>
          <w:tcPr>
            <w:tcW w:w="850" w:type="dxa"/>
            <w:noWrap w:val="0"/>
            <w:vAlign w:val="center"/>
          </w:tcPr>
          <w:p w14:paraId="18C20DC1">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21.1</w:t>
            </w:r>
          </w:p>
        </w:tc>
        <w:tc>
          <w:tcPr>
            <w:tcW w:w="2314" w:type="dxa"/>
            <w:noWrap w:val="0"/>
            <w:vAlign w:val="center"/>
          </w:tcPr>
          <w:p w14:paraId="70206CF0">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投标有效期</w:t>
            </w:r>
          </w:p>
        </w:tc>
        <w:tc>
          <w:tcPr>
            <w:tcW w:w="5499" w:type="dxa"/>
            <w:noWrap w:val="0"/>
            <w:vAlign w:val="center"/>
          </w:tcPr>
          <w:p w14:paraId="637A2F15">
            <w:pPr>
              <w:pStyle w:val="79"/>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bCs/>
                <w:color w:val="auto"/>
                <w:kern w:val="2"/>
                <w:sz w:val="21"/>
                <w:szCs w:val="21"/>
                <w:highlight w:val="none"/>
              </w:rPr>
            </w:pPr>
            <w:r>
              <w:rPr>
                <w:rFonts w:hint="default" w:ascii="Times New Roman" w:hAnsi="Times New Roman" w:cs="Times New Roman"/>
                <w:bCs/>
                <w:color w:val="auto"/>
                <w:kern w:val="2"/>
                <w:sz w:val="21"/>
                <w:szCs w:val="21"/>
                <w:highlight w:val="none"/>
              </w:rPr>
              <w:t>自提交投标文件的截止之日起算90日历天</w:t>
            </w:r>
          </w:p>
        </w:tc>
      </w:tr>
      <w:tr w14:paraId="24C4D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0E9EA9DF">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14</w:t>
            </w:r>
          </w:p>
        </w:tc>
        <w:tc>
          <w:tcPr>
            <w:tcW w:w="850" w:type="dxa"/>
            <w:noWrap w:val="0"/>
            <w:vAlign w:val="center"/>
          </w:tcPr>
          <w:p w14:paraId="1B432FDA">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22.1</w:t>
            </w:r>
          </w:p>
        </w:tc>
        <w:tc>
          <w:tcPr>
            <w:tcW w:w="2314" w:type="dxa"/>
            <w:noWrap w:val="0"/>
            <w:vAlign w:val="center"/>
          </w:tcPr>
          <w:p w14:paraId="3A1D8961">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投标保证金</w:t>
            </w:r>
          </w:p>
        </w:tc>
        <w:tc>
          <w:tcPr>
            <w:tcW w:w="5499" w:type="dxa"/>
            <w:noWrap w:val="0"/>
            <w:vAlign w:val="center"/>
          </w:tcPr>
          <w:p w14:paraId="7C8DD721">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不需要</w:t>
            </w:r>
          </w:p>
        </w:tc>
      </w:tr>
      <w:tr w14:paraId="31AD0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7867BFA8">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15</w:t>
            </w:r>
          </w:p>
        </w:tc>
        <w:tc>
          <w:tcPr>
            <w:tcW w:w="850" w:type="dxa"/>
            <w:noWrap w:val="0"/>
            <w:vAlign w:val="center"/>
          </w:tcPr>
          <w:p w14:paraId="5328F1E5">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23.1</w:t>
            </w:r>
          </w:p>
        </w:tc>
        <w:tc>
          <w:tcPr>
            <w:tcW w:w="2314" w:type="dxa"/>
            <w:noWrap w:val="0"/>
            <w:vAlign w:val="center"/>
          </w:tcPr>
          <w:p w14:paraId="1DC3A369">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b/>
                <w:bCs/>
                <w:color w:val="auto"/>
                <w:kern w:val="2"/>
                <w:sz w:val="21"/>
                <w:szCs w:val="21"/>
                <w:highlight w:val="none"/>
              </w:rPr>
            </w:pPr>
            <w:r>
              <w:rPr>
                <w:rFonts w:hint="default" w:ascii="Times New Roman" w:hAnsi="Times New Roman" w:cs="Times New Roman"/>
                <w:b/>
                <w:bCs/>
                <w:color w:val="auto"/>
                <w:kern w:val="2"/>
                <w:sz w:val="21"/>
                <w:szCs w:val="21"/>
                <w:highlight w:val="none"/>
              </w:rPr>
              <w:t>投标文件份数</w:t>
            </w:r>
          </w:p>
        </w:tc>
        <w:tc>
          <w:tcPr>
            <w:tcW w:w="5499" w:type="dxa"/>
            <w:noWrap w:val="0"/>
            <w:vAlign w:val="center"/>
          </w:tcPr>
          <w:p w14:paraId="29AB9D8A">
            <w:pPr>
              <w:pStyle w:val="79"/>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b/>
                <w:bCs/>
                <w:color w:val="auto"/>
                <w:kern w:val="2"/>
                <w:sz w:val="21"/>
                <w:szCs w:val="21"/>
                <w:highlight w:val="none"/>
              </w:rPr>
            </w:pPr>
            <w:r>
              <w:rPr>
                <w:rFonts w:hint="default" w:ascii="Times New Roman" w:hAnsi="Times New Roman" w:cs="Times New Roman"/>
                <w:b/>
                <w:bCs/>
                <w:color w:val="auto"/>
                <w:kern w:val="2"/>
                <w:sz w:val="21"/>
                <w:szCs w:val="21"/>
                <w:highlight w:val="none"/>
              </w:rPr>
              <w:t>投标人应当按照《操作手册》规定，在招标公告规定的投标截止时间前制作并上传电子投标文件。招标代理机构拒绝接收提交投标文件截止时间后上传的任何电子投标文件。</w:t>
            </w:r>
          </w:p>
        </w:tc>
      </w:tr>
      <w:tr w14:paraId="5DF5F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4403E756">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16</w:t>
            </w:r>
          </w:p>
        </w:tc>
        <w:tc>
          <w:tcPr>
            <w:tcW w:w="850" w:type="dxa"/>
            <w:noWrap w:val="0"/>
            <w:vAlign w:val="center"/>
          </w:tcPr>
          <w:p w14:paraId="1E4EC634">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25.1</w:t>
            </w:r>
          </w:p>
        </w:tc>
        <w:tc>
          <w:tcPr>
            <w:tcW w:w="2314" w:type="dxa"/>
            <w:noWrap w:val="0"/>
            <w:vAlign w:val="center"/>
          </w:tcPr>
          <w:p w14:paraId="498DFECE">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提交投标文件的截止时间、地点</w:t>
            </w:r>
          </w:p>
        </w:tc>
        <w:tc>
          <w:tcPr>
            <w:tcW w:w="5499" w:type="dxa"/>
            <w:noWrap w:val="0"/>
            <w:vAlign w:val="center"/>
          </w:tcPr>
          <w:p w14:paraId="3F8566EB">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详见招标文件第一章《招标公告》</w:t>
            </w:r>
          </w:p>
        </w:tc>
      </w:tr>
      <w:tr w14:paraId="5E20B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3EC01A7C">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17</w:t>
            </w:r>
          </w:p>
        </w:tc>
        <w:tc>
          <w:tcPr>
            <w:tcW w:w="850" w:type="dxa"/>
            <w:noWrap w:val="0"/>
            <w:vAlign w:val="center"/>
          </w:tcPr>
          <w:p w14:paraId="510D059A">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28.1</w:t>
            </w:r>
          </w:p>
        </w:tc>
        <w:tc>
          <w:tcPr>
            <w:tcW w:w="2314" w:type="dxa"/>
            <w:noWrap w:val="0"/>
            <w:vAlign w:val="center"/>
          </w:tcPr>
          <w:p w14:paraId="6DEFB749">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开标时间、地点</w:t>
            </w:r>
          </w:p>
        </w:tc>
        <w:tc>
          <w:tcPr>
            <w:tcW w:w="5499" w:type="dxa"/>
            <w:noWrap w:val="0"/>
            <w:vAlign w:val="center"/>
          </w:tcPr>
          <w:p w14:paraId="1E8B6BB1">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详见招标文件第一章《招标公告》</w:t>
            </w:r>
          </w:p>
        </w:tc>
      </w:tr>
      <w:tr w14:paraId="551B7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09E34869">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18</w:t>
            </w:r>
          </w:p>
        </w:tc>
        <w:tc>
          <w:tcPr>
            <w:tcW w:w="850" w:type="dxa"/>
            <w:noWrap w:val="0"/>
            <w:vAlign w:val="center"/>
          </w:tcPr>
          <w:p w14:paraId="7D5A4DC8">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29.2.1</w:t>
            </w:r>
          </w:p>
        </w:tc>
        <w:tc>
          <w:tcPr>
            <w:tcW w:w="2314" w:type="dxa"/>
            <w:noWrap w:val="0"/>
            <w:vAlign w:val="center"/>
          </w:tcPr>
          <w:p w14:paraId="67CFF2B3">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信用查询</w:t>
            </w:r>
          </w:p>
        </w:tc>
        <w:tc>
          <w:tcPr>
            <w:tcW w:w="5499" w:type="dxa"/>
            <w:noWrap w:val="0"/>
            <w:vAlign w:val="center"/>
          </w:tcPr>
          <w:p w14:paraId="74FEA46F">
            <w:pPr>
              <w:pStyle w:val="79"/>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kern w:val="2"/>
                <w:sz w:val="21"/>
                <w:szCs w:val="21"/>
                <w:highlight w:val="none"/>
              </w:rPr>
              <w:t>采购人或采购代理机构将通过“信用中国”网站(www.creditchina.gov.cn)、中国政府采购网(www.ccgp.gov.cn)查询相关主体信用记录。本次查询的信用记录打印的网页版将留存在评标报告中。截止时点：</w:t>
            </w:r>
            <w:r>
              <w:rPr>
                <w:rFonts w:hint="default" w:ascii="Times New Roman" w:hAnsi="Times New Roman" w:cs="Times New Roman"/>
                <w:b/>
                <w:color w:val="auto"/>
                <w:kern w:val="2"/>
                <w:sz w:val="21"/>
                <w:szCs w:val="21"/>
                <w:highlight w:val="none"/>
              </w:rPr>
              <w:t>投标截止时间以后、资格审查阶段采购人或采购代理机构的实际查询时间。</w:t>
            </w:r>
          </w:p>
        </w:tc>
      </w:tr>
      <w:tr w14:paraId="7FEDA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3E3DBBC9">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19</w:t>
            </w:r>
          </w:p>
        </w:tc>
        <w:tc>
          <w:tcPr>
            <w:tcW w:w="850" w:type="dxa"/>
            <w:noWrap w:val="0"/>
            <w:vAlign w:val="center"/>
          </w:tcPr>
          <w:p w14:paraId="16CDECE4">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30.1.1</w:t>
            </w:r>
          </w:p>
        </w:tc>
        <w:tc>
          <w:tcPr>
            <w:tcW w:w="2314" w:type="dxa"/>
            <w:noWrap w:val="0"/>
            <w:vAlign w:val="center"/>
          </w:tcPr>
          <w:p w14:paraId="4A69F53C">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评标委员会</w:t>
            </w:r>
          </w:p>
        </w:tc>
        <w:tc>
          <w:tcPr>
            <w:tcW w:w="5499" w:type="dxa"/>
            <w:noWrap w:val="0"/>
            <w:vAlign w:val="center"/>
          </w:tcPr>
          <w:p w14:paraId="27AC10F0">
            <w:pPr>
              <w:pStyle w:val="79"/>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bCs/>
                <w:color w:val="auto"/>
                <w:kern w:val="2"/>
                <w:sz w:val="21"/>
                <w:szCs w:val="21"/>
                <w:highlight w:val="none"/>
              </w:rPr>
            </w:pPr>
            <w:r>
              <w:rPr>
                <w:rFonts w:hint="default" w:ascii="Times New Roman" w:hAnsi="Times New Roman" w:cs="Times New Roman"/>
                <w:bCs/>
                <w:color w:val="auto"/>
                <w:kern w:val="2"/>
                <w:sz w:val="21"/>
                <w:szCs w:val="21"/>
                <w:highlight w:val="none"/>
              </w:rPr>
              <w:t>5人以上单数。</w:t>
            </w:r>
          </w:p>
        </w:tc>
      </w:tr>
      <w:tr w14:paraId="18FEF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0AF4F1C7">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20</w:t>
            </w:r>
          </w:p>
        </w:tc>
        <w:tc>
          <w:tcPr>
            <w:tcW w:w="850" w:type="dxa"/>
            <w:noWrap w:val="0"/>
            <w:vAlign w:val="center"/>
          </w:tcPr>
          <w:p w14:paraId="36808A34">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31.3</w:t>
            </w:r>
          </w:p>
        </w:tc>
        <w:tc>
          <w:tcPr>
            <w:tcW w:w="2314" w:type="dxa"/>
            <w:noWrap w:val="0"/>
            <w:vAlign w:val="center"/>
          </w:tcPr>
          <w:p w14:paraId="7DA75C1C">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bCs/>
                <w:color w:val="auto"/>
                <w:kern w:val="2"/>
                <w:sz w:val="21"/>
                <w:szCs w:val="21"/>
                <w:highlight w:val="none"/>
              </w:rPr>
            </w:pPr>
            <w:r>
              <w:rPr>
                <w:rFonts w:hint="default" w:ascii="Times New Roman" w:hAnsi="Times New Roman" w:cs="Times New Roman"/>
                <w:bCs/>
                <w:color w:val="auto"/>
                <w:kern w:val="2"/>
                <w:sz w:val="21"/>
                <w:szCs w:val="21"/>
                <w:highlight w:val="none"/>
              </w:rPr>
              <w:t>确定中标单位</w:t>
            </w:r>
          </w:p>
        </w:tc>
        <w:tc>
          <w:tcPr>
            <w:tcW w:w="5499" w:type="dxa"/>
            <w:noWrap w:val="0"/>
            <w:vAlign w:val="center"/>
          </w:tcPr>
          <w:p w14:paraId="47776532">
            <w:pPr>
              <w:keepNext w:val="0"/>
              <w:keepLines w:val="0"/>
              <w:pageBreakBefore w:val="0"/>
              <w:widowControl w:val="0"/>
              <w:kinsoku/>
              <w:wordWrap/>
              <w:overflowPunct/>
              <w:topLinePunct w:val="0"/>
              <w:bidi w:val="0"/>
              <w:adjustRightInd w:val="0"/>
              <w:snapToGrid w:val="0"/>
              <w:spacing w:line="360" w:lineRule="auto"/>
              <w:ind w:left="0" w:leftChars="0" w:firstLine="0" w:firstLineChars="0"/>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1.评委会根据本采购文件规定评分办法与评分标准综合打分，并按综合得分由高到低顺序向项目采购人推荐3名中标候选人。</w:t>
            </w:r>
          </w:p>
          <w:p w14:paraId="21984663">
            <w:pPr>
              <w:keepNext w:val="0"/>
              <w:keepLines w:val="0"/>
              <w:pageBreakBefore w:val="0"/>
              <w:widowControl w:val="0"/>
              <w:kinsoku/>
              <w:wordWrap/>
              <w:overflowPunct/>
              <w:topLinePunct w:val="0"/>
              <w:bidi w:val="0"/>
              <w:adjustRightInd w:val="0"/>
              <w:snapToGrid w:val="0"/>
              <w:spacing w:line="360" w:lineRule="auto"/>
              <w:ind w:left="0" w:leftChars="0" w:firstLine="0" w:firstLineChars="0"/>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tc>
      </w:tr>
      <w:tr w14:paraId="6B3A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0B038CF0">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21</w:t>
            </w:r>
          </w:p>
        </w:tc>
        <w:tc>
          <w:tcPr>
            <w:tcW w:w="850" w:type="dxa"/>
            <w:noWrap w:val="0"/>
            <w:vAlign w:val="center"/>
          </w:tcPr>
          <w:p w14:paraId="1764D21A">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31.4</w:t>
            </w:r>
          </w:p>
        </w:tc>
        <w:tc>
          <w:tcPr>
            <w:tcW w:w="2314" w:type="dxa"/>
            <w:noWrap w:val="0"/>
            <w:vAlign w:val="center"/>
          </w:tcPr>
          <w:p w14:paraId="5BBCC5D1">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公告媒体</w:t>
            </w:r>
          </w:p>
        </w:tc>
        <w:tc>
          <w:tcPr>
            <w:tcW w:w="5499" w:type="dxa"/>
            <w:noWrap w:val="0"/>
            <w:vAlign w:val="center"/>
          </w:tcPr>
          <w:p w14:paraId="7F8EE43B">
            <w:pPr>
              <w:keepNext w:val="0"/>
              <w:keepLines w:val="0"/>
              <w:pageBreakBefore w:val="0"/>
              <w:widowControl w:val="0"/>
              <w:kinsoku/>
              <w:wordWrap/>
              <w:overflowPunct/>
              <w:topLinePunct w:val="0"/>
              <w:bidi w:val="0"/>
              <w:adjustRightInd w:val="0"/>
              <w:snapToGrid w:val="0"/>
              <w:spacing w:line="360" w:lineRule="auto"/>
              <w:ind w:left="0" w:leftChars="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江苏省政府采购网（http://www.ccgp-jiangsu.gov.cn/）</w:t>
            </w:r>
          </w:p>
        </w:tc>
      </w:tr>
      <w:tr w14:paraId="73F6B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27F2D530">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22</w:t>
            </w:r>
          </w:p>
        </w:tc>
        <w:tc>
          <w:tcPr>
            <w:tcW w:w="850" w:type="dxa"/>
            <w:noWrap w:val="0"/>
            <w:vAlign w:val="center"/>
          </w:tcPr>
          <w:p w14:paraId="3452C614">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35.1</w:t>
            </w:r>
          </w:p>
        </w:tc>
        <w:tc>
          <w:tcPr>
            <w:tcW w:w="2314" w:type="dxa"/>
            <w:noWrap w:val="0"/>
            <w:vAlign w:val="center"/>
          </w:tcPr>
          <w:p w14:paraId="44CDCAB7">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履约保证金</w:t>
            </w:r>
          </w:p>
        </w:tc>
        <w:tc>
          <w:tcPr>
            <w:tcW w:w="5499" w:type="dxa"/>
            <w:noWrap w:val="0"/>
            <w:vAlign w:val="center"/>
          </w:tcPr>
          <w:p w14:paraId="79EB3253">
            <w:pPr>
              <w:pStyle w:val="79"/>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bCs/>
                <w:color w:val="auto"/>
                <w:kern w:val="2"/>
                <w:sz w:val="21"/>
                <w:szCs w:val="21"/>
                <w:highlight w:val="none"/>
              </w:rPr>
            </w:pPr>
            <w:r>
              <w:rPr>
                <w:rFonts w:hint="default" w:ascii="Times New Roman" w:hAnsi="Times New Roman" w:cs="Times New Roman"/>
                <w:bCs/>
                <w:color w:val="auto"/>
                <w:kern w:val="2"/>
                <w:sz w:val="21"/>
                <w:szCs w:val="21"/>
                <w:highlight w:val="none"/>
              </w:rPr>
              <w:t>不要求提供</w:t>
            </w:r>
          </w:p>
        </w:tc>
      </w:tr>
      <w:tr w14:paraId="2BD86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61B4D919">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23</w:t>
            </w:r>
          </w:p>
        </w:tc>
        <w:tc>
          <w:tcPr>
            <w:tcW w:w="850" w:type="dxa"/>
            <w:noWrap w:val="0"/>
            <w:vAlign w:val="center"/>
          </w:tcPr>
          <w:p w14:paraId="16332150">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36.1</w:t>
            </w:r>
          </w:p>
        </w:tc>
        <w:tc>
          <w:tcPr>
            <w:tcW w:w="2314" w:type="dxa"/>
            <w:noWrap w:val="0"/>
            <w:vAlign w:val="center"/>
          </w:tcPr>
          <w:p w14:paraId="01F06695">
            <w:pPr>
              <w:keepNext w:val="0"/>
              <w:keepLines w:val="0"/>
              <w:pageBreakBefore w:val="0"/>
              <w:widowControl w:val="0"/>
              <w:kinsoku/>
              <w:wordWrap/>
              <w:overflowPunct/>
              <w:topLinePunct w:val="0"/>
              <w:bidi w:val="0"/>
              <w:adjustRightInd w:val="0"/>
              <w:snapToGrid w:val="0"/>
              <w:spacing w:line="360" w:lineRule="auto"/>
              <w:ind w:left="0" w:leftChars="0" w:firstLine="0" w:firstLineChars="0"/>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投标人对采购文件提的质疑</w:t>
            </w:r>
          </w:p>
        </w:tc>
        <w:tc>
          <w:tcPr>
            <w:tcW w:w="5499" w:type="dxa"/>
            <w:noWrap w:val="0"/>
            <w:vAlign w:val="center"/>
          </w:tcPr>
          <w:p w14:paraId="595F2B70">
            <w:pPr>
              <w:pStyle w:val="21"/>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时间：递交投标文件截止时间前15日</w:t>
            </w:r>
          </w:p>
          <w:p w14:paraId="3594B253">
            <w:pPr>
              <w:pStyle w:val="21"/>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bCs/>
                <w:color w:val="auto"/>
                <w:sz w:val="21"/>
                <w:szCs w:val="21"/>
                <w:highlight w:val="none"/>
              </w:rPr>
              <w:t>形式：以书面形式通知采购人或采购代理机构。如采用邮件形式（盖章扫描件及WPS兼容格式文件发至</w:t>
            </w:r>
            <w:r>
              <w:rPr>
                <w:rFonts w:hint="default" w:ascii="Times New Roman" w:hAnsi="Times New Roman" w:cs="Times New Roman"/>
                <w:bCs/>
                <w:color w:val="auto"/>
                <w:sz w:val="21"/>
                <w:szCs w:val="21"/>
                <w:highlight w:val="none"/>
                <w:u w:val="single"/>
              </w:rPr>
              <w:t>jstcc0509@163.com</w:t>
            </w:r>
            <w:r>
              <w:rPr>
                <w:rFonts w:hint="default" w:ascii="Times New Roman" w:hAnsi="Times New Roman" w:cs="Times New Roman"/>
                <w:bCs/>
                <w:color w:val="auto"/>
                <w:sz w:val="21"/>
                <w:szCs w:val="21"/>
                <w:highlight w:val="none"/>
              </w:rPr>
              <w:t>邮箱）通知，采购人或采购代理机构将以邮件形式进行答复。</w:t>
            </w:r>
          </w:p>
        </w:tc>
      </w:tr>
      <w:tr w14:paraId="76186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noWrap w:val="0"/>
            <w:vAlign w:val="center"/>
          </w:tcPr>
          <w:p w14:paraId="0263BB30">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24</w:t>
            </w:r>
          </w:p>
        </w:tc>
        <w:tc>
          <w:tcPr>
            <w:tcW w:w="850" w:type="dxa"/>
            <w:noWrap w:val="0"/>
            <w:vAlign w:val="center"/>
          </w:tcPr>
          <w:p w14:paraId="5309C472">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37.1</w:t>
            </w:r>
          </w:p>
        </w:tc>
        <w:tc>
          <w:tcPr>
            <w:tcW w:w="2314" w:type="dxa"/>
            <w:noWrap w:val="0"/>
            <w:vAlign w:val="center"/>
          </w:tcPr>
          <w:p w14:paraId="46DF7944">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招标代理服务费</w:t>
            </w:r>
          </w:p>
        </w:tc>
        <w:tc>
          <w:tcPr>
            <w:tcW w:w="5499" w:type="dxa"/>
            <w:noWrap w:val="0"/>
            <w:vAlign w:val="center"/>
          </w:tcPr>
          <w:p w14:paraId="28BA7982">
            <w:pPr>
              <w:pStyle w:val="21"/>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按《国家计委关于印发&lt;招标代理服务收费管理暂行办法&gt;的通知》(计价格[200211980号)文件规定的标准费率×70%收取代理服务费</w:t>
            </w:r>
            <w:r>
              <w:rPr>
                <w:rFonts w:hint="default" w:ascii="Times New Roman" w:hAnsi="Times New Roman" w:cs="Times New Roman"/>
                <w:color w:val="auto"/>
                <w:sz w:val="21"/>
                <w:szCs w:val="21"/>
                <w:highlight w:val="none"/>
                <w:lang w:eastAsia="zh-CN"/>
              </w:rPr>
              <w:t>；</w:t>
            </w:r>
          </w:p>
          <w:p w14:paraId="488BEC9B">
            <w:pPr>
              <w:pStyle w:val="21"/>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p>
        </w:tc>
      </w:tr>
      <w:tr w14:paraId="52497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vMerge w:val="restart"/>
            <w:noWrap w:val="0"/>
            <w:vAlign w:val="center"/>
          </w:tcPr>
          <w:p w14:paraId="3AD455C0">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cs="Times New Roman"/>
                <w:color w:val="auto"/>
                <w:kern w:val="2"/>
                <w:sz w:val="21"/>
                <w:szCs w:val="21"/>
                <w:highlight w:val="none"/>
                <w:lang w:val="en-US" w:eastAsia="zh-CN"/>
              </w:rPr>
              <w:t>25</w:t>
            </w:r>
          </w:p>
        </w:tc>
        <w:tc>
          <w:tcPr>
            <w:tcW w:w="850" w:type="dxa"/>
            <w:vMerge w:val="restart"/>
            <w:noWrap w:val="0"/>
            <w:vAlign w:val="center"/>
          </w:tcPr>
          <w:p w14:paraId="422B090D">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38.1</w:t>
            </w:r>
          </w:p>
        </w:tc>
        <w:tc>
          <w:tcPr>
            <w:tcW w:w="2314" w:type="dxa"/>
            <w:vMerge w:val="restart"/>
            <w:noWrap w:val="0"/>
            <w:vAlign w:val="center"/>
          </w:tcPr>
          <w:p w14:paraId="69150296">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其他规定</w:t>
            </w:r>
          </w:p>
        </w:tc>
        <w:tc>
          <w:tcPr>
            <w:tcW w:w="5499" w:type="dxa"/>
            <w:noWrap w:val="0"/>
            <w:vAlign w:val="center"/>
          </w:tcPr>
          <w:p w14:paraId="73AACED1">
            <w:pPr>
              <w:pStyle w:val="21"/>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cs="Times New Roman"/>
                <w:color w:val="auto"/>
                <w:sz w:val="21"/>
                <w:szCs w:val="21"/>
                <w:highlight w:val="none"/>
              </w:rPr>
              <w:t>采购项目类型：</w:t>
            </w:r>
            <w:r>
              <w:rPr>
                <w:rFonts w:hint="default" w:ascii="Times New Roman" w:hAnsi="Times New Roman" w:cs="Times New Roman"/>
                <w:color w:val="auto"/>
                <w:sz w:val="21"/>
                <w:szCs w:val="21"/>
                <w:highlight w:val="none"/>
                <w:lang w:val="en-US" w:eastAsia="zh-CN"/>
              </w:rPr>
              <w:t>服务</w:t>
            </w:r>
          </w:p>
        </w:tc>
      </w:tr>
      <w:tr w14:paraId="442F2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vMerge w:val="continue"/>
            <w:noWrap w:val="0"/>
            <w:vAlign w:val="center"/>
          </w:tcPr>
          <w:p w14:paraId="048B7ACD">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p>
        </w:tc>
        <w:tc>
          <w:tcPr>
            <w:tcW w:w="850" w:type="dxa"/>
            <w:vMerge w:val="continue"/>
            <w:noWrap w:val="0"/>
            <w:vAlign w:val="center"/>
          </w:tcPr>
          <w:p w14:paraId="75319512">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p>
        </w:tc>
        <w:tc>
          <w:tcPr>
            <w:tcW w:w="2314" w:type="dxa"/>
            <w:vMerge w:val="continue"/>
            <w:noWrap w:val="0"/>
            <w:vAlign w:val="center"/>
          </w:tcPr>
          <w:p w14:paraId="0D8B6C38">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p>
        </w:tc>
        <w:tc>
          <w:tcPr>
            <w:tcW w:w="5499" w:type="dxa"/>
            <w:noWrap w:val="0"/>
            <w:vAlign w:val="center"/>
          </w:tcPr>
          <w:p w14:paraId="73234983">
            <w:pPr>
              <w:pStyle w:val="21"/>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cs="Times New Roman"/>
                <w:color w:val="auto"/>
                <w:sz w:val="21"/>
                <w:szCs w:val="21"/>
                <w:highlight w:val="none"/>
              </w:rPr>
              <w:t>标的对应的中小企业划分标准所属行业：软件和信息技术服务业</w:t>
            </w:r>
          </w:p>
        </w:tc>
      </w:tr>
      <w:tr w14:paraId="32F69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vMerge w:val="continue"/>
            <w:noWrap w:val="0"/>
            <w:vAlign w:val="center"/>
          </w:tcPr>
          <w:p w14:paraId="59646032">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p>
        </w:tc>
        <w:tc>
          <w:tcPr>
            <w:tcW w:w="850" w:type="dxa"/>
            <w:vMerge w:val="continue"/>
            <w:noWrap w:val="0"/>
            <w:vAlign w:val="center"/>
          </w:tcPr>
          <w:p w14:paraId="74BD5849">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p>
        </w:tc>
        <w:tc>
          <w:tcPr>
            <w:tcW w:w="2314" w:type="dxa"/>
            <w:vMerge w:val="continue"/>
            <w:noWrap w:val="0"/>
            <w:vAlign w:val="center"/>
          </w:tcPr>
          <w:p w14:paraId="66BBF895">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p>
        </w:tc>
        <w:tc>
          <w:tcPr>
            <w:tcW w:w="5499" w:type="dxa"/>
            <w:noWrap w:val="0"/>
            <w:vAlign w:val="center"/>
          </w:tcPr>
          <w:p w14:paraId="23AC39B1">
            <w:pPr>
              <w:pStyle w:val="79"/>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kern w:val="2"/>
                <w:sz w:val="21"/>
                <w:szCs w:val="21"/>
                <w:highlight w:val="none"/>
              </w:rPr>
            </w:pPr>
            <w:r>
              <w:rPr>
                <w:rFonts w:hint="default" w:ascii="Times New Roman" w:hAnsi="Times New Roman" w:cs="Times New Roman"/>
                <w:bCs/>
                <w:color w:val="auto"/>
                <w:kern w:val="2"/>
                <w:sz w:val="21"/>
                <w:szCs w:val="21"/>
                <w:highlight w:val="none"/>
              </w:rPr>
              <w:t>其他规定：</w:t>
            </w:r>
            <w:r>
              <w:rPr>
                <w:rFonts w:hint="eastAsia" w:ascii="Times New Roman" w:hAnsi="Times New Roman" w:cs="Times New Roman"/>
                <w:bCs/>
                <w:color w:val="auto"/>
                <w:kern w:val="2"/>
                <w:sz w:val="21"/>
                <w:szCs w:val="21"/>
                <w:highlight w:val="none"/>
                <w:lang w:val="en-US" w:eastAsia="zh-CN"/>
              </w:rPr>
              <w:t>1.</w:t>
            </w:r>
            <w:r>
              <w:rPr>
                <w:rFonts w:hint="default" w:ascii="Times New Roman" w:hAnsi="Times New Roman" w:cs="Times New Roman"/>
                <w:color w:val="auto"/>
                <w:kern w:val="2"/>
                <w:sz w:val="21"/>
                <w:szCs w:val="21"/>
                <w:highlight w:val="none"/>
              </w:rPr>
              <w:t>依据《政府采购促进中小企业发展管理办法》规定享受扶持政策获得政府采购合同的，小微企业不得将合同分包给大中型企业，中型企业不得将合同分包给大型企业。</w:t>
            </w:r>
          </w:p>
          <w:p w14:paraId="65DC847D">
            <w:pPr>
              <w:pStyle w:val="79"/>
              <w:spacing w:line="360" w:lineRule="auto"/>
              <w:rPr>
                <w:rFonts w:hint="default"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bidi="ar-SA"/>
              </w:rPr>
              <w:t>2.</w:t>
            </w:r>
            <w:r>
              <w:rPr>
                <w:rFonts w:hint="default" w:ascii="Times New Roman" w:hAnsi="Times New Roman" w:eastAsia="宋体" w:cs="Times New Roman"/>
                <w:b/>
                <w:bCs/>
                <w:color w:val="auto"/>
                <w:sz w:val="21"/>
                <w:szCs w:val="21"/>
                <w:highlight w:val="none"/>
                <w:lang w:val="en-US" w:eastAsia="zh-CN" w:bidi="ar-SA"/>
              </w:rPr>
              <w:t>异常低价处理：</w:t>
            </w:r>
          </w:p>
          <w:p w14:paraId="4CBDD2AB">
            <w:pPr>
              <w:pStyle w:val="79"/>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（一）采购评审中出现下列情形之一的，评审委员会应当启动异常低价投标（响应）审查程序：</w:t>
            </w:r>
          </w:p>
          <w:p w14:paraId="618BC911">
            <w:pPr>
              <w:pStyle w:val="79"/>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1.投标（响应）报价低于全部通过符合性审查供应商投标（响应）报价平均值50%的，即投标（响应）报价&lt;全部通过符合性审查供应商投标（响应）报价平均值×50%；</w:t>
            </w:r>
          </w:p>
          <w:p w14:paraId="00C43B8A">
            <w:pPr>
              <w:pStyle w:val="79"/>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2.投标（响应）报价低于通过符合性审查的次低报价供应商投标（响应）报价50%的，即投标（响应）报价&lt;通过符合性审查的次低报价供应商投标（响应）报价×50%；</w:t>
            </w:r>
          </w:p>
          <w:p w14:paraId="0A503CCC">
            <w:pPr>
              <w:pStyle w:val="79"/>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3.投标（响应）报价低于采购项目最高限价45%的，即投标（响应）报价&lt;采购项目最高限价×45%（未设定最高限价的采购项目，以采购项目预算金额作为最高限价）；</w:t>
            </w:r>
          </w:p>
          <w:p w14:paraId="6B8E691D">
            <w:pPr>
              <w:pStyle w:val="79"/>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4.评审委员会基于专业判断，认为供应商报价过低，有可能影响产品质量或者不能诚信履约的其他情形。</w:t>
            </w:r>
          </w:p>
          <w:p w14:paraId="39055A63">
            <w:pPr>
              <w:pStyle w:val="79"/>
              <w:spacing w:line="360"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2FB4024">
            <w:pPr>
              <w:pStyle w:val="79"/>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kern w:val="2"/>
                <w:sz w:val="21"/>
                <w:szCs w:val="21"/>
                <w:highlight w:val="none"/>
              </w:rPr>
            </w:pPr>
            <w:r>
              <w:rPr>
                <w:rFonts w:hint="default" w:ascii="Times New Roman" w:hAnsi="Times New Roman" w:eastAsia="宋体" w:cs="Times New Roman"/>
                <w:color w:val="auto"/>
                <w:sz w:val="21"/>
                <w:szCs w:val="21"/>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eastAsia="宋体" w:cs="Times New Roman"/>
                <w:b/>
                <w:bCs/>
                <w:color w:val="auto"/>
                <w:sz w:val="21"/>
                <w:szCs w:val="21"/>
                <w:highlight w:val="none"/>
                <w:lang w:val="en-US" w:eastAsia="zh-CN" w:bidi="ar-SA"/>
              </w:rPr>
              <w:t>投标（响应）供应商不能提供书面说明、证明材料，或者提供的书面说明、证明材料不能证明其报价合理性的，评审委员会应当将其作为无效投标（响应）处理。</w:t>
            </w:r>
          </w:p>
        </w:tc>
      </w:tr>
      <w:tr w14:paraId="24405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vMerge w:val="continue"/>
            <w:noWrap w:val="0"/>
            <w:vAlign w:val="center"/>
          </w:tcPr>
          <w:p w14:paraId="4082C633">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p>
        </w:tc>
        <w:tc>
          <w:tcPr>
            <w:tcW w:w="850" w:type="dxa"/>
            <w:vMerge w:val="continue"/>
            <w:noWrap w:val="0"/>
            <w:vAlign w:val="center"/>
          </w:tcPr>
          <w:p w14:paraId="37720811">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p>
        </w:tc>
        <w:tc>
          <w:tcPr>
            <w:tcW w:w="2314" w:type="dxa"/>
            <w:vMerge w:val="continue"/>
            <w:noWrap w:val="0"/>
            <w:vAlign w:val="center"/>
          </w:tcPr>
          <w:p w14:paraId="2E4715DF">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p>
        </w:tc>
        <w:tc>
          <w:tcPr>
            <w:tcW w:w="5499" w:type="dxa"/>
            <w:noWrap w:val="0"/>
            <w:vAlign w:val="center"/>
          </w:tcPr>
          <w:p w14:paraId="176BEB42">
            <w:pPr>
              <w:widowControl w:val="0"/>
              <w:spacing w:line="360" w:lineRule="auto"/>
              <w:jc w:val="both"/>
              <w:rPr>
                <w:rFonts w:hint="default" w:ascii="Times New Roman" w:hAnsi="Times New Roman" w:eastAsia="宋体" w:cs="Times New Roman"/>
                <w:b/>
                <w:bCs w:val="0"/>
                <w:color w:val="auto"/>
                <w:sz w:val="21"/>
                <w:szCs w:val="21"/>
                <w:highlight w:val="none"/>
                <w:lang w:val="en-US" w:eastAsia="zh-CN" w:bidi="ar-SA"/>
              </w:rPr>
            </w:pPr>
            <w:r>
              <w:rPr>
                <w:rFonts w:hint="default" w:ascii="Times New Roman" w:hAnsi="Times New Roman" w:eastAsia="宋体" w:cs="Times New Roman"/>
                <w:b/>
                <w:bCs w:val="0"/>
                <w:color w:val="auto"/>
                <w:sz w:val="21"/>
                <w:szCs w:val="21"/>
                <w:highlight w:val="none"/>
                <w:lang w:val="en-US" w:eastAsia="zh-CN" w:bidi="ar-SA"/>
              </w:rPr>
              <w:t>对本国产品的支持政策：</w:t>
            </w:r>
          </w:p>
          <w:p w14:paraId="37871704">
            <w:pPr>
              <w:widowControl w:val="0"/>
              <w:spacing w:line="360" w:lineRule="auto"/>
              <w:jc w:val="both"/>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1.政府采购活动中既有本国产品又有非本国产品参与竞争的，依法对本国产品给予价格评审优惠，对本国产品的报价给予20%的价格扣除，用扣除后的价格参与评审。</w:t>
            </w:r>
          </w:p>
          <w:p w14:paraId="564C7B64">
            <w:pPr>
              <w:widowControl w:val="0"/>
              <w:spacing w:line="360" w:lineRule="auto"/>
              <w:jc w:val="both"/>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A2A58BE">
            <w:pPr>
              <w:widowControl w:val="0"/>
              <w:spacing w:line="360" w:lineRule="auto"/>
              <w:jc w:val="both"/>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585A388">
            <w:pPr>
              <w:widowControl w:val="0"/>
              <w:spacing w:line="360" w:lineRule="auto"/>
              <w:jc w:val="both"/>
              <w:rPr>
                <w:rFonts w:hint="default" w:ascii="Times New Roman" w:hAnsi="Times New Roman" w:eastAsia="宋体" w:cs="Times New Roman"/>
                <w:b/>
                <w:color w:val="auto"/>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bidi="ar-SA"/>
              </w:rPr>
              <w:t>注：</w:t>
            </w:r>
          </w:p>
          <w:p w14:paraId="0E34883D">
            <w:pPr>
              <w:widowControl w:val="0"/>
              <w:spacing w:line="360" w:lineRule="auto"/>
              <w:jc w:val="both"/>
              <w:rPr>
                <w:rFonts w:hint="default" w:ascii="Times New Roman" w:hAnsi="Times New Roman" w:eastAsia="宋体" w:cs="Times New Roman"/>
                <w:b/>
                <w:color w:val="auto"/>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bidi="ar-SA"/>
              </w:rPr>
              <w:t>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FC1D09C">
            <w:pPr>
              <w:pStyle w:val="79"/>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b/>
                <w:color w:val="auto"/>
                <w:sz w:val="21"/>
                <w:szCs w:val="21"/>
                <w:highlight w:val="none"/>
                <w:lang w:val="en-US" w:eastAsia="zh-CN" w:bidi="ar-SA"/>
              </w:rPr>
              <w:t>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tc>
      </w:tr>
      <w:tr w14:paraId="23A18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9" w:type="dxa"/>
            <w:vMerge w:val="continue"/>
            <w:noWrap w:val="0"/>
            <w:vAlign w:val="center"/>
          </w:tcPr>
          <w:p w14:paraId="1FE59487">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p>
        </w:tc>
        <w:tc>
          <w:tcPr>
            <w:tcW w:w="850" w:type="dxa"/>
            <w:vMerge w:val="continue"/>
            <w:noWrap w:val="0"/>
            <w:vAlign w:val="center"/>
          </w:tcPr>
          <w:p w14:paraId="4DBCCADA">
            <w:pPr>
              <w:pStyle w:val="79"/>
              <w:keepNext w:val="0"/>
              <w:keepLines w:val="0"/>
              <w:pageBreakBefore w:val="0"/>
              <w:widowControl w:val="0"/>
              <w:kinsoku/>
              <w:wordWrap/>
              <w:overflowPunct/>
              <w:topLinePunct w:val="0"/>
              <w:bidi w:val="0"/>
              <w:spacing w:line="360" w:lineRule="auto"/>
              <w:ind w:left="0" w:leftChars="0" w:firstLine="0" w:firstLineChars="0"/>
              <w:jc w:val="center"/>
              <w:textAlignment w:val="auto"/>
              <w:rPr>
                <w:rFonts w:hint="default" w:ascii="Times New Roman" w:hAnsi="Times New Roman" w:cs="Times New Roman"/>
                <w:color w:val="auto"/>
                <w:kern w:val="2"/>
                <w:sz w:val="21"/>
                <w:szCs w:val="21"/>
                <w:highlight w:val="none"/>
              </w:rPr>
            </w:pPr>
          </w:p>
        </w:tc>
        <w:tc>
          <w:tcPr>
            <w:tcW w:w="2314" w:type="dxa"/>
            <w:vMerge w:val="continue"/>
            <w:noWrap w:val="0"/>
            <w:vAlign w:val="center"/>
          </w:tcPr>
          <w:p w14:paraId="3B9EC843">
            <w:pPr>
              <w:pStyle w:val="79"/>
              <w:keepNext w:val="0"/>
              <w:keepLines w:val="0"/>
              <w:pageBreakBefore w:val="0"/>
              <w:widowControl w:val="0"/>
              <w:kinsoku/>
              <w:wordWrap/>
              <w:overflowPunct/>
              <w:topLinePunct w:val="0"/>
              <w:bidi w:val="0"/>
              <w:spacing w:line="360" w:lineRule="auto"/>
              <w:ind w:left="0" w:leftChars="0" w:firstLine="0" w:firstLineChars="0"/>
              <w:jc w:val="left"/>
              <w:textAlignment w:val="auto"/>
              <w:rPr>
                <w:rFonts w:hint="default" w:ascii="Times New Roman" w:hAnsi="Times New Roman" w:cs="Times New Roman"/>
                <w:color w:val="auto"/>
                <w:kern w:val="2"/>
                <w:sz w:val="21"/>
                <w:szCs w:val="21"/>
                <w:highlight w:val="none"/>
              </w:rPr>
            </w:pPr>
          </w:p>
        </w:tc>
        <w:tc>
          <w:tcPr>
            <w:tcW w:w="5499" w:type="dxa"/>
            <w:noWrap w:val="0"/>
            <w:vAlign w:val="center"/>
          </w:tcPr>
          <w:p w14:paraId="1BB2327D">
            <w:pPr>
              <w:pStyle w:val="79"/>
              <w:keepNext w:val="0"/>
              <w:keepLines w:val="0"/>
              <w:pageBreakBefore w:val="0"/>
              <w:widowControl w:val="0"/>
              <w:kinsoku/>
              <w:wordWrap/>
              <w:overflowPunct/>
              <w:topLinePunct w:val="0"/>
              <w:bidi w:val="0"/>
              <w:spacing w:line="360" w:lineRule="auto"/>
              <w:ind w:left="0" w:leftChars="0" w:firstLine="0" w:firstLineChars="0"/>
              <w:textAlignment w:val="auto"/>
              <w:rPr>
                <w:rFonts w:hint="default" w:ascii="Times New Roman" w:hAnsi="Times New Roman" w:cs="Times New Roman"/>
                <w:bCs/>
                <w:color w:val="auto"/>
                <w:kern w:val="2"/>
                <w:sz w:val="21"/>
                <w:szCs w:val="21"/>
                <w:highlight w:val="none"/>
              </w:rPr>
            </w:pPr>
            <w:r>
              <w:rPr>
                <w:rFonts w:hint="default" w:ascii="Times New Roman" w:hAnsi="Times New Roman" w:cs="Times New Roman"/>
                <w:bCs/>
                <w:color w:val="auto"/>
                <w:kern w:val="2"/>
                <w:sz w:val="21"/>
                <w:szCs w:val="21"/>
                <w:highlight w:val="none"/>
              </w:rPr>
              <w:t>中标人须于中标通知书发出之日起10个工作日内，向</w:t>
            </w:r>
            <w:r>
              <w:rPr>
                <w:rFonts w:hint="eastAsia" w:ascii="Times New Roman" w:hAnsi="Times New Roman" w:cs="Times New Roman"/>
                <w:bCs/>
                <w:color w:val="auto"/>
                <w:kern w:val="2"/>
                <w:sz w:val="21"/>
                <w:szCs w:val="21"/>
                <w:highlight w:val="none"/>
                <w:lang w:eastAsia="zh-CN"/>
              </w:rPr>
              <w:t>采购人</w:t>
            </w:r>
            <w:r>
              <w:rPr>
                <w:rFonts w:hint="default" w:ascii="Times New Roman" w:hAnsi="Times New Roman" w:cs="Times New Roman"/>
                <w:bCs/>
                <w:color w:val="auto"/>
                <w:kern w:val="2"/>
                <w:sz w:val="21"/>
                <w:szCs w:val="21"/>
                <w:highlight w:val="none"/>
              </w:rPr>
              <w:t>提交经签字盖章的投标文件正本贰份及完整电子副本壹套，作为项目档案备案存查之用。</w:t>
            </w:r>
          </w:p>
        </w:tc>
      </w:tr>
    </w:tbl>
    <w:p w14:paraId="2173BA14">
      <w:pPr>
        <w:rPr>
          <w:rFonts w:hint="default" w:ascii="Times New Roman" w:hAnsi="Times New Roman" w:cs="Times New Roman"/>
          <w:color w:val="auto"/>
          <w:highlight w:val="none"/>
        </w:rPr>
      </w:pPr>
    </w:p>
    <w:p w14:paraId="16DB3C46">
      <w:pPr>
        <w:pStyle w:val="21"/>
        <w:adjustRightInd w:val="0"/>
        <w:snapToGrid w:val="0"/>
        <w:spacing w:line="360" w:lineRule="auto"/>
        <w:rPr>
          <w:rFonts w:hint="default" w:ascii="Times New Roman" w:hAnsi="Times New Roman" w:cs="Times New Roman"/>
          <w:b/>
          <w:bCs/>
          <w:color w:val="auto"/>
          <w:spacing w:val="100"/>
          <w:sz w:val="72"/>
          <w:highlight w:val="none"/>
        </w:rPr>
        <w:sectPr>
          <w:footerReference r:id="rId5" w:type="default"/>
          <w:pgSz w:w="11906" w:h="16838"/>
          <w:pgMar w:top="1474" w:right="1531" w:bottom="1474" w:left="1531" w:header="737" w:footer="992" w:gutter="0"/>
          <w:pgNumType w:start="1"/>
          <w:cols w:space="720" w:num="1"/>
          <w:docGrid w:type="lines" w:linePitch="312" w:charSpace="0"/>
        </w:sectPr>
      </w:pPr>
    </w:p>
    <w:p w14:paraId="6915737D">
      <w:pPr>
        <w:pStyle w:val="34"/>
        <w:rPr>
          <w:rFonts w:hint="default" w:ascii="Times New Roman" w:hAnsi="Times New Roman" w:cs="Times New Roman"/>
          <w:color w:val="auto"/>
          <w:highlight w:val="none"/>
        </w:rPr>
      </w:pPr>
      <w:bookmarkStart w:id="34" w:name="_Toc107246213"/>
      <w:bookmarkStart w:id="35" w:name="_Toc104560837"/>
      <w:bookmarkStart w:id="36" w:name="_Toc103848526"/>
      <w:bookmarkStart w:id="37" w:name="_Toc100905199"/>
      <w:bookmarkStart w:id="38" w:name="_Toc20314"/>
      <w:r>
        <w:rPr>
          <w:rFonts w:hint="default" w:ascii="Times New Roman" w:hAnsi="Times New Roman" w:cs="Times New Roman"/>
          <w:color w:val="auto"/>
          <w:highlight w:val="none"/>
        </w:rPr>
        <w:t>投标人须知</w:t>
      </w:r>
      <w:bookmarkEnd w:id="34"/>
      <w:bookmarkEnd w:id="35"/>
      <w:bookmarkEnd w:id="36"/>
      <w:bookmarkEnd w:id="37"/>
      <w:bookmarkEnd w:id="38"/>
    </w:p>
    <w:p w14:paraId="4F44E048">
      <w:pPr>
        <w:pStyle w:val="4"/>
        <w:spacing w:before="0" w:after="0" w:line="360" w:lineRule="auto"/>
        <w:ind w:left="0" w:leftChars="0" w:right="210"/>
        <w:rPr>
          <w:rFonts w:hint="default" w:ascii="Times New Roman" w:hAnsi="Times New Roman" w:cs="Times New Roman"/>
          <w:color w:val="auto"/>
          <w:highlight w:val="none"/>
        </w:rPr>
      </w:pPr>
      <w:bookmarkStart w:id="39" w:name="_Toc80264706"/>
      <w:bookmarkStart w:id="40" w:name="_Toc9257"/>
      <w:r>
        <w:rPr>
          <w:rFonts w:hint="default" w:ascii="Times New Roman" w:hAnsi="Times New Roman" w:cs="Times New Roman"/>
          <w:color w:val="auto"/>
          <w:highlight w:val="none"/>
        </w:rPr>
        <w:t>一．</w:t>
      </w:r>
      <w:bookmarkEnd w:id="39"/>
      <w:r>
        <w:rPr>
          <w:rFonts w:hint="default" w:ascii="Times New Roman" w:hAnsi="Times New Roman" w:cs="Times New Roman"/>
          <w:color w:val="auto"/>
          <w:highlight w:val="none"/>
        </w:rPr>
        <w:t>总则</w:t>
      </w:r>
      <w:bookmarkEnd w:id="40"/>
    </w:p>
    <w:p w14:paraId="257C3E44">
      <w:pPr>
        <w:pStyle w:val="4"/>
        <w:spacing w:before="0" w:after="0" w:line="360" w:lineRule="auto"/>
        <w:ind w:left="0" w:leftChars="0" w:right="210"/>
        <w:rPr>
          <w:rFonts w:hint="default" w:ascii="Times New Roman" w:hAnsi="Times New Roman" w:cs="Times New Roman"/>
          <w:color w:val="auto"/>
          <w:highlight w:val="none"/>
        </w:rPr>
      </w:pPr>
      <w:bookmarkStart w:id="41" w:name="_Toc100905201"/>
      <w:bookmarkStart w:id="42" w:name="_Toc96347862"/>
      <w:bookmarkStart w:id="43" w:name="_Toc107246215"/>
      <w:bookmarkStart w:id="44" w:name="_Toc7392"/>
      <w:bookmarkStart w:id="45" w:name="_Toc103848528"/>
      <w:bookmarkStart w:id="46" w:name="_Toc104560839"/>
      <w:r>
        <w:rPr>
          <w:rFonts w:hint="default" w:ascii="Times New Roman" w:hAnsi="Times New Roman" w:cs="Times New Roman"/>
          <w:color w:val="auto"/>
          <w:highlight w:val="none"/>
        </w:rPr>
        <w:t>1.采购方式</w:t>
      </w:r>
      <w:bookmarkEnd w:id="41"/>
      <w:bookmarkEnd w:id="42"/>
      <w:bookmarkEnd w:id="43"/>
      <w:bookmarkEnd w:id="44"/>
      <w:bookmarkEnd w:id="45"/>
      <w:bookmarkEnd w:id="46"/>
    </w:p>
    <w:p w14:paraId="55B48006">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1.1</w:t>
      </w:r>
      <w:r>
        <w:rPr>
          <w:rFonts w:hint="default" w:ascii="Times New Roman" w:hAnsi="Times New Roman" w:cs="Times New Roman"/>
          <w:color w:val="auto"/>
          <w:highlight w:val="none"/>
        </w:rPr>
        <w:t xml:space="preserve"> </w:t>
      </w:r>
      <w:r>
        <w:rPr>
          <w:rFonts w:hint="default" w:ascii="Times New Roman" w:hAnsi="Times New Roman" w:cs="Times New Roman"/>
          <w:color w:val="auto"/>
          <w:szCs w:val="21"/>
          <w:highlight w:val="none"/>
        </w:rPr>
        <w:t>本次招标采取公开招标方式，本招标文件仅适用于招标公告中所述项目。</w:t>
      </w:r>
    </w:p>
    <w:p w14:paraId="7ADB3BB7">
      <w:pPr>
        <w:pStyle w:val="4"/>
        <w:spacing w:before="0" w:after="0" w:line="360" w:lineRule="auto"/>
        <w:ind w:left="0" w:leftChars="0" w:right="210"/>
        <w:rPr>
          <w:rFonts w:hint="default" w:ascii="Times New Roman" w:hAnsi="Times New Roman" w:cs="Times New Roman"/>
          <w:color w:val="auto"/>
          <w:highlight w:val="none"/>
        </w:rPr>
      </w:pPr>
      <w:bookmarkStart w:id="47" w:name="_Toc96347863"/>
      <w:bookmarkStart w:id="48" w:name="_Toc13184"/>
      <w:bookmarkStart w:id="49" w:name="_Toc107246216"/>
      <w:bookmarkStart w:id="50" w:name="_Toc103848529"/>
      <w:bookmarkStart w:id="51" w:name="_Toc100905202"/>
      <w:bookmarkStart w:id="52" w:name="_Toc104560840"/>
      <w:r>
        <w:rPr>
          <w:rFonts w:hint="default" w:ascii="Times New Roman" w:hAnsi="Times New Roman" w:cs="Times New Roman"/>
          <w:color w:val="auto"/>
          <w:highlight w:val="none"/>
        </w:rPr>
        <w:t>2.定义</w:t>
      </w:r>
      <w:bookmarkEnd w:id="47"/>
      <w:bookmarkEnd w:id="48"/>
      <w:bookmarkEnd w:id="49"/>
      <w:bookmarkEnd w:id="50"/>
      <w:bookmarkEnd w:id="51"/>
      <w:bookmarkEnd w:id="52"/>
    </w:p>
    <w:p w14:paraId="25E3F98C">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2.1“采购人”是指依法进行政府采购的国家机关、事业单位、团体组织。本次政府采购的采购人名称、地址、电话、联系人见</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w:t>
      </w:r>
    </w:p>
    <w:p w14:paraId="4EBF9CA9">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2.2</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采购代理机构</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是指集中采购机构和集中采购机构以外的采购代理机构。本次政府采购的采购代理机构名称、地址、电话、联系人见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5629850B">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2.3“采购方”是指采购人和</w:t>
      </w:r>
      <w:r>
        <w:rPr>
          <w:rFonts w:hint="default" w:ascii="Times New Roman" w:hAnsi="Times New Roman" w:cs="Times New Roman"/>
          <w:color w:val="auto"/>
          <w:szCs w:val="21"/>
          <w:highlight w:val="none"/>
        </w:rPr>
        <w:t>采购代理机构的合称。</w:t>
      </w:r>
    </w:p>
    <w:p w14:paraId="0775A3B8">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2.4</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投标人</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是指向采购人提供货物、工程或者服务的法人、其他组织或者自然人。</w:t>
      </w:r>
    </w:p>
    <w:p w14:paraId="74D061E6">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2.5</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中标投标人</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是指在投标过程中获得采购项目合同签订资格的投标人。中标投标人是由专家经过评审后推荐并经采购人确认的。本招标文件中中标投标人也称中标人。</w:t>
      </w:r>
    </w:p>
    <w:p w14:paraId="4362FCF5">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2.6</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评标委员会</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是依据政府采购相关法律法规规定组建，依法履行评审采购活动职责的评审成员。</w:t>
      </w:r>
    </w:p>
    <w:p w14:paraId="78E2760C">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2.7</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货物</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是指各种形态和种类的物品，包括原材料、燃料、设备、产品等。</w:t>
      </w:r>
    </w:p>
    <w:p w14:paraId="5B6B761E">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2.8</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工程</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是指建设工程，包括建筑物和构筑物的新建、改建、扩建、装修、拆除、修缮等。</w:t>
      </w:r>
    </w:p>
    <w:p w14:paraId="057A427E">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2.9</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服务</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是指除货物和工程以外的其他政府采购对象。</w:t>
      </w:r>
    </w:p>
    <w:p w14:paraId="2E087C93">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2.10</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节能产品</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或者</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环保产品</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是指国务院有关部门发布的最新一期《节能产品政府采购品目清单》或者《环境标志产品政府采购品目清单》内的产品。</w:t>
      </w:r>
    </w:p>
    <w:p w14:paraId="6B64DEEA">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2.11</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进口产品</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是指通过中国海关报关验放进入中国境内且产自关境外的产品。</w:t>
      </w:r>
    </w:p>
    <w:p w14:paraId="224F73AE">
      <w:pPr>
        <w:pStyle w:val="4"/>
        <w:spacing w:before="0" w:after="0" w:line="360" w:lineRule="auto"/>
        <w:ind w:left="0" w:leftChars="0" w:right="210"/>
        <w:rPr>
          <w:rFonts w:hint="default" w:ascii="Times New Roman" w:hAnsi="Times New Roman" w:cs="Times New Roman"/>
          <w:color w:val="auto"/>
          <w:highlight w:val="none"/>
        </w:rPr>
      </w:pPr>
      <w:bookmarkStart w:id="53" w:name="_Toc104560841"/>
      <w:bookmarkStart w:id="54" w:name="_Toc31426"/>
      <w:bookmarkStart w:id="55" w:name="_Toc103848530"/>
      <w:bookmarkStart w:id="56" w:name="_Toc100905203"/>
      <w:bookmarkStart w:id="57" w:name="_Toc96347864"/>
      <w:bookmarkStart w:id="58" w:name="_Toc107246217"/>
      <w:r>
        <w:rPr>
          <w:rFonts w:hint="default" w:ascii="Times New Roman" w:hAnsi="Times New Roman" w:cs="Times New Roman"/>
          <w:color w:val="auto"/>
          <w:highlight w:val="none"/>
        </w:rPr>
        <w:t>3.适用法律</w:t>
      </w:r>
      <w:bookmarkEnd w:id="53"/>
      <w:bookmarkEnd w:id="54"/>
      <w:bookmarkEnd w:id="55"/>
      <w:bookmarkEnd w:id="56"/>
      <w:bookmarkEnd w:id="57"/>
      <w:bookmarkEnd w:id="58"/>
    </w:p>
    <w:p w14:paraId="469B0D9A">
      <w:pPr>
        <w:adjustRightInd w:val="0"/>
        <w:snapToGrid w:val="0"/>
        <w:spacing w:line="360" w:lineRule="auto"/>
        <w:ind w:firstLine="420" w:firstLineChars="200"/>
        <w:rPr>
          <w:rFonts w:hint="default" w:ascii="Times New Roman" w:hAnsi="Times New Roman" w:cs="Times New Roman"/>
          <w:color w:val="auto"/>
          <w:szCs w:val="21"/>
          <w:highlight w:val="none"/>
        </w:rPr>
      </w:pPr>
      <w:bookmarkStart w:id="59" w:name="_Toc100905204"/>
      <w:r>
        <w:rPr>
          <w:rFonts w:hint="default" w:ascii="Times New Roman" w:hAnsi="Times New Roman" w:cs="Times New Roman"/>
          <w:color w:val="auto"/>
          <w:szCs w:val="21"/>
          <w:highlight w:val="non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E34ADC5">
      <w:pPr>
        <w:pStyle w:val="4"/>
        <w:spacing w:before="0" w:after="0" w:line="360" w:lineRule="auto"/>
        <w:ind w:left="0" w:leftChars="0" w:right="210"/>
        <w:rPr>
          <w:rFonts w:hint="default" w:ascii="Times New Roman" w:hAnsi="Times New Roman" w:cs="Times New Roman"/>
          <w:color w:val="auto"/>
          <w:highlight w:val="none"/>
        </w:rPr>
      </w:pPr>
      <w:bookmarkStart w:id="60" w:name="_Toc103848531"/>
      <w:bookmarkStart w:id="61" w:name="_Toc6983"/>
      <w:bookmarkStart w:id="62" w:name="_Toc104560842"/>
      <w:bookmarkStart w:id="63" w:name="_Toc107246218"/>
      <w:r>
        <w:rPr>
          <w:rFonts w:hint="default" w:ascii="Times New Roman" w:hAnsi="Times New Roman" w:cs="Times New Roman"/>
          <w:color w:val="auto"/>
          <w:highlight w:val="none"/>
        </w:rPr>
        <w:t>4.</w:t>
      </w:r>
      <w:bookmarkEnd w:id="60"/>
      <w:r>
        <w:rPr>
          <w:rFonts w:hint="default" w:ascii="Times New Roman" w:hAnsi="Times New Roman" w:cs="Times New Roman"/>
          <w:color w:val="auto"/>
          <w:highlight w:val="none"/>
        </w:rPr>
        <w:t>政府采购政策（包括但不限于下列具体政策要求）</w:t>
      </w:r>
      <w:bookmarkEnd w:id="61"/>
      <w:bookmarkEnd w:id="62"/>
      <w:bookmarkEnd w:id="63"/>
    </w:p>
    <w:p w14:paraId="17E223D9">
      <w:pPr>
        <w:adjustRightInd w:val="0"/>
        <w:snapToGrid w:val="0"/>
        <w:spacing w:line="360" w:lineRule="auto"/>
        <w:ind w:firstLine="422" w:firstLineChars="200"/>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4.1中小企业、监狱企业及残疾人福利性单位</w:t>
      </w:r>
    </w:p>
    <w:p w14:paraId="0FB8C2DB">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4.1.1中小企业定义：</w:t>
      </w:r>
    </w:p>
    <w:p w14:paraId="6DBA56DC">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0678E65">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4.1.1.2投标人提供的货物、工程或者服务符合下列情形的，享受中小企业扶持政策：</w:t>
      </w:r>
    </w:p>
    <w:p w14:paraId="747582B0">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（1）在货物采购项目中，货物由中小企业制造，即货物由中小企业生产且使用该中小企业商号或者注册商标；</w:t>
      </w:r>
    </w:p>
    <w:p w14:paraId="0A01DEF3">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（2）在工程采购项目中，工程由中小企业承建，即工程施工单位为中小企业；</w:t>
      </w:r>
    </w:p>
    <w:p w14:paraId="52C5D487">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（3）在服务采购项目中，服务由中小企业承接，即提供服务的人员为中小企业依照《中华人民共和国劳动合同法》订立劳动合同的从业人员。</w:t>
      </w:r>
    </w:p>
    <w:p w14:paraId="23A25FE5">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4.1.1.3在货物采购项目中，投标人提供的货物既有中小企业制造货物，也有大型企业制造货物的，不享受中小企业扶持政策。</w:t>
      </w:r>
    </w:p>
    <w:p w14:paraId="244EC575">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4.1.1.4以联合体形式参加政府采购活动，联合体各方均为中小企业的，联合体视同中小企业。其中，联合体各方均为小微企业的，联合体视同小微企业。</w:t>
      </w:r>
    </w:p>
    <w:p w14:paraId="79A13216">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FABAA1A">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4.1.3残疾人福利单位定义：享受政府采购支持政策的残疾人福利性单位应当同时满足以下条件：</w:t>
      </w:r>
    </w:p>
    <w:p w14:paraId="39EF2610">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（1）安置的残疾人占本单位在职职工人数的比例不低于25%（含25%），并且安置的残疾人人数不少于10 人（含10 人）；</w:t>
      </w:r>
    </w:p>
    <w:p w14:paraId="690C59E4">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（2）依法与安置的每位残疾人签订了一年以上（含一年）的劳动合同或服务协议；</w:t>
      </w:r>
    </w:p>
    <w:p w14:paraId="041FF629">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（3）为安置的每位残疾人按月足额缴纳了基本养老保险、基本医疗保险、失业保险、工伤保险和生育保险等社会保险费；</w:t>
      </w:r>
    </w:p>
    <w:p w14:paraId="52F58E88">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（4）通过银行等金融机构向安置的每位残疾人，按月支付了不低于单位所在区县适用的经省级人民政府批准的月最低工资标准的工资；</w:t>
      </w:r>
    </w:p>
    <w:p w14:paraId="65AFC09C">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（5）提供本单位制造的货物、承担的工程或者服务（以下简称产品），或者提供其他残疾人福利性单位制造的货物（不包括使用非残疾人福利性单位注册商标的货物）；</w:t>
      </w:r>
    </w:p>
    <w:p w14:paraId="7664F470">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E5F3D1C">
      <w:pPr>
        <w:adjustRightInd w:val="0"/>
        <w:snapToGrid w:val="0"/>
        <w:spacing w:line="360" w:lineRule="auto"/>
        <w:ind w:firstLine="420" w:firstLineChars="200"/>
        <w:rPr>
          <w:rFonts w:hint="default" w:ascii="Times New Roman" w:hAnsi="Times New Roman" w:cs="Times New Roman"/>
          <w:b/>
          <w:color w:val="auto"/>
          <w:szCs w:val="21"/>
          <w:highlight w:val="none"/>
        </w:rPr>
      </w:pPr>
      <w:r>
        <w:rPr>
          <w:rFonts w:hint="default" w:ascii="Times New Roman" w:hAnsi="Times New Roman" w:cs="Times New Roman"/>
          <w:color w:val="auto"/>
          <w:szCs w:val="21"/>
          <w:highlight w:val="none"/>
        </w:rPr>
        <w:t>4.1.4小微企业价格评审优惠的政策调整：见第五章《评标方法与评标标准》（如涉及）。</w:t>
      </w:r>
    </w:p>
    <w:p w14:paraId="78DFF123">
      <w:pPr>
        <w:adjustRightInd w:val="0"/>
        <w:snapToGrid w:val="0"/>
        <w:spacing w:line="360" w:lineRule="auto"/>
        <w:ind w:firstLine="422" w:firstLineChars="200"/>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4.2政府采购节能产品、环境标志产品</w:t>
      </w:r>
    </w:p>
    <w:p w14:paraId="4E73C313">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6FD93BA">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9704213">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4.2.3如本项目采购产品属于实施政府强制采购品目清单范围的节能产品，则投标人所报产品必须获得国家确定的认证机构出具的、处于有效期之内的节能产品认证证书，否则投标无效；</w:t>
      </w:r>
    </w:p>
    <w:p w14:paraId="4231E124">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4.2.4非政府强制采购的节能产品或环境标志产品，依据品目清单和认证证书实施政府优先采购。优先采购的具体规定见第五章《评标方法与评标标准》（如涉及）。</w:t>
      </w:r>
    </w:p>
    <w:p w14:paraId="19474DBC">
      <w:pPr>
        <w:adjustRightInd w:val="0"/>
        <w:snapToGrid w:val="0"/>
        <w:spacing w:line="360" w:lineRule="auto"/>
        <w:ind w:firstLine="422" w:firstLineChars="200"/>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4.3信息安全产品</w:t>
      </w:r>
    </w:p>
    <w:p w14:paraId="3FE066AC">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4.3.1依据《关于信息安全产品实施政府采购的通知》（财库〔2010〕48 号），所投产品属于《关于调整信息安全产品强制性认证实施要求的公告》（2009 年第33 号）范围的，应采用经国家认证的信息安全产品，否则投标无效。</w:t>
      </w:r>
    </w:p>
    <w:p w14:paraId="2726E346">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4.4未按要求提供相关材料的，不享受相关政策。</w:t>
      </w:r>
    </w:p>
    <w:bookmarkEnd w:id="59"/>
    <w:p w14:paraId="21A67800">
      <w:pPr>
        <w:pStyle w:val="4"/>
        <w:spacing w:before="0" w:after="0" w:line="360" w:lineRule="auto"/>
        <w:ind w:left="0" w:leftChars="0" w:right="210"/>
        <w:rPr>
          <w:rFonts w:hint="default" w:ascii="Times New Roman" w:hAnsi="Times New Roman" w:cs="Times New Roman"/>
          <w:color w:val="auto"/>
          <w:highlight w:val="none"/>
        </w:rPr>
      </w:pPr>
      <w:bookmarkStart w:id="64" w:name="_Toc20429"/>
      <w:bookmarkStart w:id="65" w:name="_Toc96347865"/>
      <w:bookmarkStart w:id="66" w:name="_Toc107246219"/>
      <w:bookmarkStart w:id="67" w:name="_Toc100905205"/>
      <w:bookmarkStart w:id="68" w:name="_Toc104560843"/>
      <w:bookmarkStart w:id="69" w:name="_Toc103848532"/>
      <w:r>
        <w:rPr>
          <w:rFonts w:hint="default" w:ascii="Times New Roman" w:hAnsi="Times New Roman" w:cs="Times New Roman"/>
          <w:color w:val="auto"/>
          <w:highlight w:val="none"/>
        </w:rPr>
        <w:t>5.相关费用</w:t>
      </w:r>
      <w:bookmarkEnd w:id="64"/>
      <w:bookmarkEnd w:id="65"/>
      <w:bookmarkEnd w:id="66"/>
      <w:bookmarkEnd w:id="67"/>
      <w:bookmarkEnd w:id="68"/>
      <w:bookmarkEnd w:id="69"/>
    </w:p>
    <w:p w14:paraId="0A209E1C">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5.1</w:t>
      </w:r>
      <w:bookmarkStart w:id="70" w:name="_Toc80264707"/>
      <w:r>
        <w:rPr>
          <w:rFonts w:hint="default" w:ascii="Times New Roman" w:hAnsi="Times New Roman" w:cs="Times New Roman"/>
          <w:color w:val="auto"/>
          <w:szCs w:val="21"/>
          <w:highlight w:val="none"/>
        </w:rPr>
        <w:t>参加投标活动的投标人应自行承担所有与参加投标有关的费用，无论投标过程中的做法和结果如何，采购人在任何情况下均无义务和责任承担这些费用。</w:t>
      </w:r>
    </w:p>
    <w:p w14:paraId="0B2291B0">
      <w:pPr>
        <w:pStyle w:val="4"/>
        <w:spacing w:before="0" w:after="0" w:line="360" w:lineRule="auto"/>
        <w:ind w:left="0" w:leftChars="0" w:right="210"/>
        <w:rPr>
          <w:rFonts w:hint="default" w:ascii="Times New Roman" w:hAnsi="Times New Roman" w:cs="Times New Roman"/>
          <w:color w:val="auto"/>
          <w:highlight w:val="none"/>
        </w:rPr>
      </w:pPr>
      <w:bookmarkStart w:id="71" w:name="_Toc107246220"/>
      <w:bookmarkStart w:id="72" w:name="_Toc103848533"/>
      <w:bookmarkStart w:id="73" w:name="_Toc104560844"/>
      <w:bookmarkStart w:id="74" w:name="_Toc96347866"/>
      <w:bookmarkStart w:id="75" w:name="_Toc100905206"/>
      <w:bookmarkStart w:id="76" w:name="_Toc17712"/>
      <w:r>
        <w:rPr>
          <w:rFonts w:hint="default" w:ascii="Times New Roman" w:hAnsi="Times New Roman" w:cs="Times New Roman"/>
          <w:color w:val="auto"/>
          <w:highlight w:val="none"/>
        </w:rPr>
        <w:t>6.保密</w:t>
      </w:r>
      <w:bookmarkEnd w:id="71"/>
      <w:bookmarkEnd w:id="72"/>
      <w:bookmarkEnd w:id="73"/>
      <w:bookmarkEnd w:id="74"/>
      <w:bookmarkEnd w:id="75"/>
      <w:bookmarkEnd w:id="76"/>
    </w:p>
    <w:p w14:paraId="02E2D344">
      <w:pPr>
        <w:adjustRightInd w:val="0"/>
        <w:snapToGrid w:val="0"/>
        <w:spacing w:line="360" w:lineRule="auto"/>
        <w:ind w:firstLine="420" w:firstLineChars="200"/>
        <w:rPr>
          <w:rFonts w:hint="default" w:ascii="Times New Roman" w:hAnsi="Times New Roman" w:cs="Times New Roman"/>
          <w:color w:val="auto"/>
          <w:szCs w:val="21"/>
          <w:highlight w:val="none"/>
        </w:rPr>
      </w:pPr>
      <w:bookmarkStart w:id="77" w:name="_Toc96347867"/>
      <w:bookmarkStart w:id="78" w:name="_Toc100905207"/>
      <w:r>
        <w:rPr>
          <w:rFonts w:hint="default" w:ascii="Times New Roman" w:hAnsi="Times New Roman" w:cs="Times New Roman"/>
          <w:color w:val="auto"/>
          <w:szCs w:val="21"/>
          <w:highlight w:val="none"/>
        </w:rPr>
        <w:t>6.1本招标文件所包含的信息属于保密信息，无采购人书面许可，任何单位或个人都无权披露、复制、使用、转让或者允许他人使用。获取招标文件的投标人被视为无条件对本招标文件的内容负有保密义务。</w:t>
      </w:r>
    </w:p>
    <w:p w14:paraId="3F0B1828">
      <w:pPr>
        <w:pStyle w:val="4"/>
        <w:spacing w:before="0" w:after="0" w:line="360" w:lineRule="auto"/>
        <w:ind w:left="0" w:leftChars="0" w:right="210"/>
        <w:rPr>
          <w:rFonts w:hint="default" w:ascii="Times New Roman" w:hAnsi="Times New Roman" w:cs="Times New Roman"/>
          <w:color w:val="auto"/>
          <w:highlight w:val="none"/>
        </w:rPr>
      </w:pPr>
      <w:bookmarkStart w:id="79" w:name="_Toc103848534"/>
      <w:bookmarkStart w:id="80" w:name="_Toc104560845"/>
      <w:bookmarkStart w:id="81" w:name="_Toc27799"/>
      <w:bookmarkStart w:id="82" w:name="_Toc107246221"/>
      <w:r>
        <w:rPr>
          <w:rFonts w:hint="default" w:ascii="Times New Roman" w:hAnsi="Times New Roman" w:cs="Times New Roman"/>
          <w:color w:val="auto"/>
          <w:highlight w:val="none"/>
        </w:rPr>
        <w:t>7.语言文字、计量单位</w:t>
      </w:r>
      <w:bookmarkEnd w:id="77"/>
      <w:bookmarkEnd w:id="78"/>
      <w:bookmarkEnd w:id="79"/>
      <w:bookmarkEnd w:id="80"/>
      <w:bookmarkEnd w:id="81"/>
      <w:bookmarkEnd w:id="82"/>
    </w:p>
    <w:p w14:paraId="5D5FCAC5">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7.1所有文件使用的语言文字为中文。专用术语使用外文的，应附有中文注释。</w:t>
      </w:r>
    </w:p>
    <w:p w14:paraId="2B935422">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7.2所有文件中的计量单位，除招标文件有特殊要求外，应采用国家法定计量单位。</w:t>
      </w:r>
    </w:p>
    <w:p w14:paraId="7D29C286">
      <w:pPr>
        <w:pStyle w:val="4"/>
        <w:spacing w:before="0" w:after="0" w:line="360" w:lineRule="auto"/>
        <w:ind w:left="0" w:leftChars="0" w:right="210"/>
        <w:rPr>
          <w:rFonts w:hint="default" w:ascii="Times New Roman" w:hAnsi="Times New Roman" w:cs="Times New Roman"/>
          <w:color w:val="auto"/>
          <w:highlight w:val="none"/>
        </w:rPr>
      </w:pPr>
      <w:bookmarkStart w:id="83" w:name="_Toc103848535"/>
      <w:bookmarkStart w:id="84" w:name="_Toc104560846"/>
      <w:bookmarkStart w:id="85" w:name="_Toc100905208"/>
      <w:bookmarkStart w:id="86" w:name="_Toc24162"/>
      <w:bookmarkStart w:id="87" w:name="_Toc107246222"/>
      <w:bookmarkStart w:id="88" w:name="_Toc96347868"/>
      <w:r>
        <w:rPr>
          <w:rFonts w:hint="default" w:ascii="Times New Roman" w:hAnsi="Times New Roman" w:cs="Times New Roman"/>
          <w:color w:val="auto"/>
          <w:highlight w:val="none"/>
        </w:rPr>
        <w:t>8.现场考察</w:t>
      </w:r>
      <w:bookmarkEnd w:id="83"/>
      <w:bookmarkEnd w:id="84"/>
      <w:bookmarkEnd w:id="85"/>
      <w:bookmarkEnd w:id="86"/>
      <w:bookmarkEnd w:id="87"/>
      <w:bookmarkEnd w:id="88"/>
    </w:p>
    <w:p w14:paraId="3412DC74">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8.1</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规定现场考察的，投标人须按照</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规定的时间、地点参加踏勘，以获得有关编制投标文件和签署合同所涉及现场的资料。投标人承担现场考察所发生的自身费用、责任和风险。</w:t>
      </w:r>
    </w:p>
    <w:p w14:paraId="0FB2E048">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8.2投标人不按照</w:t>
      </w:r>
      <w:r>
        <w:rPr>
          <w:rFonts w:hint="default" w:ascii="Times New Roman" w:hAnsi="Times New Roman" w:cs="Times New Roman"/>
          <w:bCs/>
          <w:color w:val="auto"/>
          <w:szCs w:val="21"/>
          <w:highlight w:val="none"/>
        </w:rPr>
        <w:t>本须知的规定</w:t>
      </w:r>
      <w:r>
        <w:rPr>
          <w:rFonts w:hint="default" w:ascii="Times New Roman" w:hAnsi="Times New Roman" w:cs="Times New Roman"/>
          <w:color w:val="auto"/>
          <w:szCs w:val="21"/>
          <w:highlight w:val="none"/>
        </w:rPr>
        <w:t>参加项目现场考察的，视同放弃现场考察，采购方将不再另行组织现场考察。以此为由，影响后期投标文件相关的投标、签约、履约条件的，是投标人自身的风险，采购方对此不承担责任。</w:t>
      </w:r>
    </w:p>
    <w:p w14:paraId="2BF29EFE">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8.3除非有特殊要求，招标文件不提供项目所在地的自然环境、气候条件、公用设施等情况，投标人被视为熟悉上述与履行合同有关的一切情况。</w:t>
      </w:r>
    </w:p>
    <w:p w14:paraId="17BAAA09">
      <w:pPr>
        <w:pStyle w:val="4"/>
        <w:spacing w:before="0" w:after="0" w:line="360" w:lineRule="auto"/>
        <w:ind w:left="0" w:leftChars="0" w:right="210"/>
        <w:rPr>
          <w:rFonts w:hint="default" w:ascii="Times New Roman" w:hAnsi="Times New Roman" w:cs="Times New Roman"/>
          <w:color w:val="auto"/>
          <w:highlight w:val="none"/>
        </w:rPr>
      </w:pPr>
      <w:bookmarkStart w:id="89" w:name="_Toc107246223"/>
      <w:bookmarkStart w:id="90" w:name="_Toc102117275"/>
      <w:bookmarkStart w:id="91" w:name="_Toc5361"/>
      <w:r>
        <w:rPr>
          <w:rFonts w:hint="default" w:ascii="Times New Roman" w:hAnsi="Times New Roman" w:cs="Times New Roman"/>
          <w:color w:val="auto"/>
          <w:highlight w:val="none"/>
        </w:rPr>
        <w:t>9.开标前答疑会</w:t>
      </w:r>
      <w:bookmarkEnd w:id="89"/>
      <w:bookmarkEnd w:id="90"/>
      <w:bookmarkEnd w:id="91"/>
    </w:p>
    <w:p w14:paraId="2FCD2FAA">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9.1</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规定召开开标前答疑会的，采购方按</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规定的时间和地点召开开标前答疑会，澄清投标人提出的询问。</w:t>
      </w:r>
    </w:p>
    <w:p w14:paraId="6000700D">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9.2投标人应按</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规定的时间和形式将提出的询问送达采购方，以便采购方在会议期间澄清，逾期的询问将不被接受。</w:t>
      </w:r>
    </w:p>
    <w:p w14:paraId="5CB35DF3">
      <w:pPr>
        <w:pStyle w:val="4"/>
        <w:spacing w:before="0" w:after="0" w:line="360" w:lineRule="auto"/>
        <w:ind w:left="0" w:leftChars="0" w:right="210"/>
        <w:rPr>
          <w:rFonts w:hint="default" w:ascii="Times New Roman" w:hAnsi="Times New Roman" w:cs="Times New Roman"/>
          <w:color w:val="auto"/>
          <w:highlight w:val="none"/>
        </w:rPr>
      </w:pPr>
      <w:bookmarkStart w:id="92" w:name="_Toc103848536"/>
      <w:bookmarkStart w:id="93" w:name="_Toc100905210"/>
      <w:bookmarkStart w:id="94" w:name="_Toc107246224"/>
      <w:bookmarkStart w:id="95" w:name="_Toc16805"/>
      <w:bookmarkStart w:id="96" w:name="_Toc104560847"/>
      <w:bookmarkStart w:id="97" w:name="_Toc96347869"/>
      <w:r>
        <w:rPr>
          <w:rFonts w:hint="default" w:ascii="Times New Roman" w:hAnsi="Times New Roman" w:cs="Times New Roman"/>
          <w:color w:val="auto"/>
          <w:szCs w:val="21"/>
          <w:highlight w:val="none"/>
        </w:rPr>
        <w:t>10.联合体投标</w:t>
      </w:r>
      <w:bookmarkEnd w:id="92"/>
      <w:bookmarkEnd w:id="93"/>
      <w:bookmarkEnd w:id="94"/>
      <w:bookmarkEnd w:id="95"/>
      <w:bookmarkEnd w:id="96"/>
    </w:p>
    <w:p w14:paraId="03DD4FEC">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10.1本项目是否接受联合体形式参与详见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53A5C430">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10.2投标人为联合体形式的，应遵守以下规定：</w:t>
      </w:r>
    </w:p>
    <w:p w14:paraId="12F82F6F">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（1）联合体各方必须签订联合体协议书，明确联合体牵头人和各方权利、义务及分工、合同工作量比例；</w:t>
      </w:r>
    </w:p>
    <w:p w14:paraId="1B953D01">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（2）联合体各方均应当符合《政府采购法》第二十二条第一款规定的条件；</w:t>
      </w:r>
    </w:p>
    <w:p w14:paraId="2B435D58">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（3）除另有规定外，联合体各方中至少有一方应当符合采购人规定的特定资格条件；</w:t>
      </w:r>
    </w:p>
    <w:p w14:paraId="5A743BF9">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（4）联合体中有同类资质的投标人按照联合体分工承担相同工作的，应当按照资质等级较低的投标人确定资质等级；</w:t>
      </w:r>
    </w:p>
    <w:p w14:paraId="310975A6">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（5）以联合体形式参加政府采购活动的，联合体各方不得再单独参加或者与其他投标人另外组成联合体参加同一合同项下的政府采购活动。</w:t>
      </w:r>
    </w:p>
    <w:p w14:paraId="71634575">
      <w:pPr>
        <w:pStyle w:val="4"/>
        <w:spacing w:before="0" w:after="0" w:line="360" w:lineRule="auto"/>
        <w:ind w:left="0" w:leftChars="0" w:right="210"/>
        <w:rPr>
          <w:rFonts w:hint="default" w:ascii="Times New Roman" w:hAnsi="Times New Roman" w:cs="Times New Roman"/>
          <w:color w:val="auto"/>
          <w:highlight w:val="none"/>
        </w:rPr>
      </w:pPr>
      <w:bookmarkStart w:id="98" w:name="_Toc103848537"/>
      <w:bookmarkStart w:id="99" w:name="_Toc107246225"/>
      <w:bookmarkStart w:id="100" w:name="_Toc11729"/>
      <w:bookmarkStart w:id="101" w:name="_Toc100905213"/>
      <w:bookmarkStart w:id="102" w:name="_Toc104560848"/>
      <w:bookmarkStart w:id="103" w:name="_Toc100905211"/>
      <w:r>
        <w:rPr>
          <w:rFonts w:hint="default" w:ascii="Times New Roman" w:hAnsi="Times New Roman" w:cs="Times New Roman"/>
          <w:color w:val="auto"/>
          <w:highlight w:val="none"/>
        </w:rPr>
        <w:t>11.分包</w:t>
      </w:r>
      <w:bookmarkEnd w:id="98"/>
      <w:bookmarkEnd w:id="99"/>
      <w:bookmarkEnd w:id="100"/>
      <w:bookmarkEnd w:id="101"/>
      <w:bookmarkEnd w:id="102"/>
    </w:p>
    <w:p w14:paraId="59A31369">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11.1</w:t>
      </w:r>
      <w:r>
        <w:rPr>
          <w:rFonts w:hint="default" w:ascii="Times New Roman" w:hAnsi="Times New Roman" w:cs="Times New Roman"/>
          <w:color w:val="auto"/>
          <w:szCs w:val="21"/>
          <w:highlight w:val="none"/>
        </w:rPr>
        <w:tab/>
      </w:r>
      <w:r>
        <w:rPr>
          <w:rFonts w:hint="default" w:ascii="Times New Roman" w:hAnsi="Times New Roman" w:cs="Times New Roman"/>
          <w:color w:val="auto"/>
          <w:szCs w:val="21"/>
          <w:highlight w:val="none"/>
        </w:rPr>
        <w:t>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08220C81">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11.2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14:paraId="09F90D74">
      <w:pPr>
        <w:pStyle w:val="4"/>
        <w:spacing w:before="0" w:after="0" w:line="360" w:lineRule="auto"/>
        <w:ind w:left="0" w:leftChars="0" w:right="210"/>
        <w:rPr>
          <w:rFonts w:hint="default" w:ascii="Times New Roman" w:hAnsi="Times New Roman" w:cs="Times New Roman"/>
          <w:color w:val="auto"/>
          <w:highlight w:val="none"/>
        </w:rPr>
      </w:pPr>
      <w:bookmarkStart w:id="104" w:name="_Toc107246226"/>
      <w:bookmarkStart w:id="105" w:name="_Toc104560849"/>
      <w:bookmarkStart w:id="106" w:name="_Toc10274"/>
      <w:r>
        <w:rPr>
          <w:rFonts w:hint="default" w:ascii="Times New Roman" w:hAnsi="Times New Roman" w:cs="Times New Roman"/>
          <w:color w:val="auto"/>
          <w:highlight w:val="none"/>
        </w:rPr>
        <w:t>12.样品</w:t>
      </w:r>
      <w:bookmarkEnd w:id="104"/>
      <w:bookmarkEnd w:id="105"/>
      <w:bookmarkEnd w:id="106"/>
    </w:p>
    <w:p w14:paraId="6B49668D">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12.1本项目是否要求投标人提供样品，以及样品制作的标准和要求、是否需要随样品提交相关检测报告、样品的提交要求等详见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5CA8E703">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12.2样品的评审方法以及评审标准等内容见第五章《评标方法与评标标准》。</w:t>
      </w:r>
    </w:p>
    <w:bookmarkEnd w:id="97"/>
    <w:bookmarkEnd w:id="103"/>
    <w:p w14:paraId="63DA5C97">
      <w:pPr>
        <w:pStyle w:val="4"/>
        <w:spacing w:before="0" w:after="0" w:line="360" w:lineRule="auto"/>
        <w:ind w:left="0" w:leftChars="0" w:right="210"/>
        <w:rPr>
          <w:rFonts w:hint="default" w:ascii="Times New Roman" w:hAnsi="Times New Roman" w:cs="Times New Roman"/>
          <w:color w:val="auto"/>
          <w:highlight w:val="none"/>
        </w:rPr>
      </w:pPr>
      <w:bookmarkStart w:id="107" w:name="_Toc104560850"/>
      <w:bookmarkStart w:id="108" w:name="_Toc100905214"/>
      <w:bookmarkStart w:id="109" w:name="_Toc31653"/>
      <w:bookmarkStart w:id="110" w:name="_Toc107246227"/>
      <w:bookmarkStart w:id="111" w:name="_Toc103848538"/>
      <w:r>
        <w:rPr>
          <w:rFonts w:hint="default" w:ascii="Times New Roman" w:hAnsi="Times New Roman" w:cs="Times New Roman"/>
          <w:color w:val="auto"/>
          <w:highlight w:val="none"/>
        </w:rPr>
        <w:t>13.采购进口产品</w:t>
      </w:r>
      <w:bookmarkEnd w:id="107"/>
      <w:bookmarkEnd w:id="108"/>
      <w:bookmarkEnd w:id="109"/>
      <w:bookmarkEnd w:id="110"/>
      <w:bookmarkEnd w:id="111"/>
    </w:p>
    <w:p w14:paraId="374A23D7">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13.1本项目是否采购进口产品及相关要求见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4C179ED5">
      <w:pPr>
        <w:pStyle w:val="4"/>
        <w:spacing w:before="0" w:after="0" w:line="360" w:lineRule="auto"/>
        <w:ind w:left="0" w:leftChars="0" w:right="210"/>
        <w:rPr>
          <w:rFonts w:hint="default" w:ascii="Times New Roman" w:hAnsi="Times New Roman" w:cs="Times New Roman"/>
          <w:color w:val="auto"/>
          <w:highlight w:val="none"/>
        </w:rPr>
      </w:pPr>
      <w:bookmarkStart w:id="112" w:name="_Toc31974"/>
      <w:bookmarkStart w:id="113" w:name="_Toc107246228"/>
      <w:bookmarkStart w:id="114" w:name="_Toc104560851"/>
      <w:r>
        <w:rPr>
          <w:rFonts w:hint="default" w:ascii="Times New Roman" w:hAnsi="Times New Roman" w:cs="Times New Roman"/>
          <w:color w:val="auto"/>
          <w:highlight w:val="none"/>
        </w:rPr>
        <w:t>14.采购项目预算及最高限价</w:t>
      </w:r>
      <w:bookmarkEnd w:id="112"/>
      <w:bookmarkEnd w:id="113"/>
      <w:bookmarkEnd w:id="114"/>
    </w:p>
    <w:p w14:paraId="7704B40A">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14.1本项目采购资金已列入政府采购预算，预算金额见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762B5B1A">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14.2本项目最高限价要求见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02C6DCA8">
      <w:pPr>
        <w:pStyle w:val="4"/>
        <w:spacing w:before="0" w:after="0" w:line="360" w:lineRule="auto"/>
        <w:ind w:left="0" w:leftChars="0" w:right="210"/>
        <w:rPr>
          <w:rFonts w:hint="default" w:ascii="Times New Roman" w:hAnsi="Times New Roman" w:cs="Times New Roman"/>
          <w:color w:val="auto"/>
          <w:highlight w:val="none"/>
        </w:rPr>
      </w:pPr>
      <w:bookmarkStart w:id="115" w:name="_Toc31795"/>
      <w:bookmarkStart w:id="116" w:name="_Toc104560852"/>
      <w:bookmarkStart w:id="117" w:name="_Toc107246229"/>
      <w:r>
        <w:rPr>
          <w:rFonts w:hint="default" w:ascii="Times New Roman" w:hAnsi="Times New Roman" w:cs="Times New Roman"/>
          <w:color w:val="auto"/>
          <w:highlight w:val="none"/>
        </w:rPr>
        <w:t>15.</w:t>
      </w:r>
      <w:r>
        <w:rPr>
          <w:rFonts w:hint="default" w:ascii="Times New Roman" w:hAnsi="Times New Roman" w:cs="Times New Roman"/>
          <w:bCs w:val="0"/>
          <w:color w:val="auto"/>
          <w:szCs w:val="21"/>
          <w:highlight w:val="none"/>
        </w:rPr>
        <w:t xml:space="preserve"> 投标人</w:t>
      </w:r>
      <w:r>
        <w:rPr>
          <w:rFonts w:hint="default" w:ascii="Times New Roman" w:hAnsi="Times New Roman" w:cs="Times New Roman"/>
          <w:color w:val="auto"/>
          <w:highlight w:val="none"/>
        </w:rPr>
        <w:t>资格条件</w:t>
      </w:r>
      <w:bookmarkEnd w:id="115"/>
      <w:bookmarkEnd w:id="116"/>
      <w:bookmarkEnd w:id="117"/>
    </w:p>
    <w:p w14:paraId="77A25FC6">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15.1</w:t>
      </w:r>
      <w:r>
        <w:rPr>
          <w:rFonts w:hint="default" w:ascii="Times New Roman" w:hAnsi="Times New Roman" w:cs="Times New Roman"/>
          <w:bCs/>
          <w:color w:val="auto"/>
          <w:szCs w:val="21"/>
          <w:highlight w:val="none"/>
        </w:rPr>
        <w:t>投标人</w:t>
      </w:r>
      <w:r>
        <w:rPr>
          <w:rFonts w:hint="default" w:ascii="Times New Roman" w:hAnsi="Times New Roman" w:cs="Times New Roman"/>
          <w:color w:val="auto"/>
          <w:szCs w:val="21"/>
          <w:highlight w:val="none"/>
        </w:rPr>
        <w:t>资格条件见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134A7C6E">
      <w:pPr>
        <w:pStyle w:val="4"/>
        <w:spacing w:before="0" w:after="0" w:line="360" w:lineRule="auto"/>
        <w:ind w:left="0" w:leftChars="0" w:right="210"/>
        <w:rPr>
          <w:rFonts w:hint="default" w:ascii="Times New Roman" w:hAnsi="Times New Roman" w:cs="Times New Roman"/>
          <w:color w:val="auto"/>
          <w:highlight w:val="none"/>
        </w:rPr>
      </w:pPr>
      <w:bookmarkStart w:id="118" w:name="_Toc20942"/>
      <w:r>
        <w:rPr>
          <w:rFonts w:hint="default" w:ascii="Times New Roman" w:hAnsi="Times New Roman" w:cs="Times New Roman"/>
          <w:color w:val="auto"/>
          <w:highlight w:val="none"/>
        </w:rPr>
        <w:t>二．招标文件</w:t>
      </w:r>
      <w:bookmarkEnd w:id="70"/>
      <w:bookmarkEnd w:id="118"/>
    </w:p>
    <w:p w14:paraId="07A1581C">
      <w:pPr>
        <w:pStyle w:val="4"/>
        <w:spacing w:before="0" w:after="0" w:line="360" w:lineRule="auto"/>
        <w:ind w:left="0" w:leftChars="0" w:right="210"/>
        <w:rPr>
          <w:rFonts w:hint="default" w:ascii="Times New Roman" w:hAnsi="Times New Roman" w:cs="Times New Roman"/>
          <w:color w:val="auto"/>
          <w:highlight w:val="none"/>
        </w:rPr>
      </w:pPr>
      <w:bookmarkStart w:id="119" w:name="_Toc104560854"/>
      <w:bookmarkStart w:id="120" w:name="_Toc100905217"/>
      <w:bookmarkStart w:id="121" w:name="_Toc103848540"/>
      <w:bookmarkStart w:id="122" w:name="_Toc107246231"/>
      <w:bookmarkStart w:id="123" w:name="_Toc105"/>
      <w:bookmarkStart w:id="124" w:name="_Toc96347871"/>
      <w:r>
        <w:rPr>
          <w:rFonts w:hint="default" w:ascii="Times New Roman" w:hAnsi="Times New Roman" w:cs="Times New Roman"/>
          <w:color w:val="auto"/>
          <w:highlight w:val="none"/>
        </w:rPr>
        <w:t>16.招标文件的构成</w:t>
      </w:r>
      <w:bookmarkEnd w:id="119"/>
      <w:bookmarkEnd w:id="120"/>
      <w:bookmarkEnd w:id="121"/>
      <w:bookmarkEnd w:id="122"/>
      <w:bookmarkEnd w:id="123"/>
      <w:bookmarkEnd w:id="124"/>
    </w:p>
    <w:p w14:paraId="70F7FC7B">
      <w:pPr>
        <w:pStyle w:val="79"/>
        <w:spacing w:line="360" w:lineRule="auto"/>
        <w:ind w:firstLine="420" w:firstLineChars="200"/>
        <w:rPr>
          <w:rFonts w:hint="default" w:ascii="Times New Roman" w:hAnsi="Times New Roman" w:cs="Times New Roman"/>
          <w:bCs/>
          <w:color w:val="auto"/>
          <w:kern w:val="2"/>
          <w:sz w:val="21"/>
          <w:highlight w:val="none"/>
        </w:rPr>
      </w:pPr>
      <w:r>
        <w:rPr>
          <w:rFonts w:hint="default" w:ascii="Times New Roman" w:hAnsi="Times New Roman" w:cs="Times New Roman"/>
          <w:bCs/>
          <w:color w:val="auto"/>
          <w:kern w:val="2"/>
          <w:sz w:val="21"/>
          <w:highlight w:val="none"/>
        </w:rPr>
        <w:t>16.1招标文件各章节的内容如下：</w:t>
      </w:r>
    </w:p>
    <w:p w14:paraId="5570C86F">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第一章：招标公告</w:t>
      </w:r>
    </w:p>
    <w:p w14:paraId="533673D9">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第二章：投标人须知</w:t>
      </w:r>
    </w:p>
    <w:p w14:paraId="3C1EDC24">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第三章：政府采购合同条款及格式</w:t>
      </w:r>
    </w:p>
    <w:p w14:paraId="2807546F">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第四章：采购需求</w:t>
      </w:r>
    </w:p>
    <w:p w14:paraId="47331F5E">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第五章：评标方法与评标标准</w:t>
      </w:r>
    </w:p>
    <w:p w14:paraId="2F2CC9B0">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第六章：</w:t>
      </w:r>
      <w:bookmarkStart w:id="125" w:name="_Toc96347872"/>
      <w:r>
        <w:rPr>
          <w:rFonts w:hint="default" w:ascii="Times New Roman" w:hAnsi="Times New Roman" w:cs="Times New Roman"/>
          <w:color w:val="auto"/>
          <w:szCs w:val="21"/>
          <w:highlight w:val="none"/>
        </w:rPr>
        <w:t>投标文件格式</w:t>
      </w:r>
    </w:p>
    <w:p w14:paraId="500ED13D">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对招标文件所作的澄清、修改，构成招标文件的组成部分。</w:t>
      </w:r>
    </w:p>
    <w:p w14:paraId="34F70A81">
      <w:pPr>
        <w:adjustRightInd w:val="0"/>
        <w:snapToGrid w:val="0"/>
        <w:spacing w:line="360" w:lineRule="auto"/>
        <w:ind w:firstLine="422" w:firstLineChars="200"/>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★招标文件中标注</w:t>
      </w:r>
      <w:r>
        <w:rPr>
          <w:rFonts w:hint="default" w:ascii="Times New Roman" w:hAnsi="Times New Roman" w:cs="Times New Roman"/>
          <w:bCs/>
          <w:color w:val="auto"/>
          <w:szCs w:val="21"/>
          <w:highlight w:val="none"/>
        </w:rPr>
        <w:t>“</w:t>
      </w:r>
      <w:r>
        <w:rPr>
          <w:rFonts w:hint="default" w:ascii="Times New Roman" w:hAnsi="Times New Roman" w:cs="Times New Roman"/>
          <w:b/>
          <w:color w:val="auto"/>
          <w:szCs w:val="21"/>
          <w:highlight w:val="none"/>
        </w:rPr>
        <w:t>★</w:t>
      </w:r>
      <w:r>
        <w:rPr>
          <w:rFonts w:hint="default" w:ascii="Times New Roman" w:hAnsi="Times New Roman" w:cs="Times New Roman"/>
          <w:bCs/>
          <w:color w:val="auto"/>
          <w:szCs w:val="21"/>
          <w:highlight w:val="none"/>
        </w:rPr>
        <w:t>”</w:t>
      </w:r>
      <w:r>
        <w:rPr>
          <w:rFonts w:hint="default" w:ascii="Times New Roman" w:hAnsi="Times New Roman" w:cs="Times New Roman"/>
          <w:b/>
          <w:color w:val="auto"/>
          <w:szCs w:val="21"/>
          <w:highlight w:val="none"/>
        </w:rPr>
        <w:t>符号的条款为实质性要求条款（即关键条款）。</w:t>
      </w:r>
    </w:p>
    <w:p w14:paraId="4CDBB165">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16.2投标人应仔细阅读和检查招标文件的全部内容。如发现招标文件内容不全，应及时向采购方提出，以便补齐。</w:t>
      </w:r>
    </w:p>
    <w:p w14:paraId="2237BDC9">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16.3</w:t>
      </w:r>
      <w:r>
        <w:rPr>
          <w:rFonts w:hint="default" w:ascii="Times New Roman" w:hAnsi="Times New Roman" w:cs="Times New Roman"/>
          <w:color w:val="auto"/>
          <w:szCs w:val="21"/>
          <w:highlight w:val="none"/>
        </w:rPr>
        <w:t>投标人</w:t>
      </w:r>
      <w:r>
        <w:rPr>
          <w:rFonts w:hint="default" w:ascii="Times New Roman" w:hAnsi="Times New Roman" w:cs="Times New Roman"/>
          <w:bCs/>
          <w:color w:val="auto"/>
          <w:szCs w:val="21"/>
          <w:highlight w:val="none"/>
        </w:rPr>
        <w:t>按照招标文件要求编制投标文件。任何对招标文件的忽略或误解，不能作为投标文件存在缺陷或瑕疵的理由，其风险由</w:t>
      </w:r>
      <w:r>
        <w:rPr>
          <w:rFonts w:hint="default" w:ascii="Times New Roman" w:hAnsi="Times New Roman" w:cs="Times New Roman"/>
          <w:color w:val="auto"/>
          <w:szCs w:val="21"/>
          <w:highlight w:val="none"/>
        </w:rPr>
        <w:t>投标人</w:t>
      </w:r>
      <w:r>
        <w:rPr>
          <w:rFonts w:hint="default" w:ascii="Times New Roman" w:hAnsi="Times New Roman" w:cs="Times New Roman"/>
          <w:bCs/>
          <w:color w:val="auto"/>
          <w:szCs w:val="21"/>
          <w:highlight w:val="none"/>
        </w:rPr>
        <w:t>承担。</w:t>
      </w:r>
    </w:p>
    <w:p w14:paraId="0263FAD8">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16.4本项目招标文件如包括多个分包，则除非特别说明，招标文件所列各项要求均为各分包通用要求。</w:t>
      </w:r>
    </w:p>
    <w:bookmarkEnd w:id="125"/>
    <w:p w14:paraId="45DA1218">
      <w:pPr>
        <w:pStyle w:val="4"/>
        <w:spacing w:before="0" w:after="0" w:line="360" w:lineRule="auto"/>
        <w:ind w:left="0" w:leftChars="0" w:right="210"/>
        <w:rPr>
          <w:rFonts w:hint="default" w:ascii="Times New Roman" w:hAnsi="Times New Roman" w:cs="Times New Roman"/>
          <w:color w:val="auto"/>
          <w:highlight w:val="none"/>
        </w:rPr>
      </w:pPr>
      <w:bookmarkStart w:id="126" w:name="_Toc96347873"/>
      <w:bookmarkStart w:id="127" w:name="_Toc104560855"/>
      <w:bookmarkStart w:id="128" w:name="_Toc103848541"/>
      <w:bookmarkStart w:id="129" w:name="_Toc10374"/>
      <w:bookmarkStart w:id="130" w:name="_Toc100905218"/>
      <w:bookmarkStart w:id="131" w:name="_Toc107246232"/>
      <w:r>
        <w:rPr>
          <w:rFonts w:hint="default" w:ascii="Times New Roman" w:hAnsi="Times New Roman" w:cs="Times New Roman"/>
          <w:color w:val="auto"/>
          <w:highlight w:val="none"/>
        </w:rPr>
        <w:t>17.招标文件的澄清或者修改</w:t>
      </w:r>
      <w:bookmarkEnd w:id="126"/>
      <w:bookmarkEnd w:id="127"/>
      <w:bookmarkEnd w:id="128"/>
      <w:bookmarkEnd w:id="129"/>
      <w:bookmarkEnd w:id="130"/>
      <w:bookmarkEnd w:id="131"/>
    </w:p>
    <w:p w14:paraId="723049D5">
      <w:pPr>
        <w:adjustRightInd w:val="0"/>
        <w:snapToGrid w:val="0"/>
        <w:spacing w:line="360" w:lineRule="auto"/>
        <w:ind w:firstLine="420" w:firstLineChars="200"/>
        <w:rPr>
          <w:rFonts w:hint="default" w:ascii="Times New Roman" w:hAnsi="Times New Roman" w:cs="Times New Roman"/>
          <w:color w:val="auto"/>
          <w:szCs w:val="21"/>
          <w:highlight w:val="none"/>
        </w:rPr>
      </w:pPr>
      <w:bookmarkStart w:id="132" w:name="_Toc100905219"/>
      <w:r>
        <w:rPr>
          <w:rFonts w:hint="default" w:ascii="Times New Roman" w:hAnsi="Times New Roman" w:cs="Times New Roman"/>
          <w:color w:val="auto"/>
          <w:szCs w:val="21"/>
          <w:highlight w:val="none"/>
        </w:rPr>
        <w:t>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28BBC5F8">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17.2澄清或者修改的内容可能影响投标文件编制的，采购方应当在投标截止时间至少15日前，以书面形式通知所有获取招标文件的潜在投标人；不足15日的，采购方应当顺延提交投标文件的截止时间。</w:t>
      </w:r>
    </w:p>
    <w:bookmarkEnd w:id="132"/>
    <w:p w14:paraId="11C8579F">
      <w:pPr>
        <w:pStyle w:val="4"/>
        <w:spacing w:before="0" w:after="0" w:line="360" w:lineRule="auto"/>
        <w:ind w:left="0" w:leftChars="0" w:right="210"/>
        <w:rPr>
          <w:rFonts w:hint="default" w:ascii="Times New Roman" w:hAnsi="Times New Roman" w:cs="Times New Roman"/>
          <w:color w:val="auto"/>
          <w:highlight w:val="none"/>
        </w:rPr>
      </w:pPr>
      <w:bookmarkStart w:id="133" w:name="_Toc3537"/>
      <w:bookmarkStart w:id="134" w:name="_Toc91836558"/>
      <w:bookmarkStart w:id="135" w:name="_Toc104560856"/>
      <w:bookmarkStart w:id="136" w:name="_Toc80264708"/>
      <w:r>
        <w:rPr>
          <w:rFonts w:hint="default" w:ascii="Times New Roman" w:hAnsi="Times New Roman" w:cs="Times New Roman"/>
          <w:color w:val="auto"/>
          <w:highlight w:val="none"/>
        </w:rPr>
        <w:t>三．投标文件</w:t>
      </w:r>
      <w:bookmarkEnd w:id="133"/>
      <w:bookmarkEnd w:id="134"/>
      <w:bookmarkEnd w:id="135"/>
    </w:p>
    <w:p w14:paraId="4BDE619E">
      <w:pPr>
        <w:pStyle w:val="4"/>
        <w:spacing w:before="0" w:after="0" w:line="360" w:lineRule="auto"/>
        <w:ind w:left="0" w:leftChars="0" w:right="210"/>
        <w:rPr>
          <w:rFonts w:hint="default" w:ascii="Times New Roman" w:hAnsi="Times New Roman" w:cs="Times New Roman"/>
          <w:color w:val="auto"/>
          <w:highlight w:val="none"/>
        </w:rPr>
      </w:pPr>
      <w:bookmarkStart w:id="137" w:name="_Toc107246234"/>
      <w:bookmarkStart w:id="138" w:name="_Toc104560857"/>
      <w:bookmarkStart w:id="139" w:name="_Toc6333"/>
      <w:bookmarkStart w:id="140" w:name="_Toc103848543"/>
      <w:bookmarkStart w:id="141" w:name="_Toc96347875"/>
      <w:bookmarkStart w:id="142" w:name="_Toc100905221"/>
      <w:r>
        <w:rPr>
          <w:rFonts w:hint="default" w:ascii="Times New Roman" w:hAnsi="Times New Roman" w:cs="Times New Roman"/>
          <w:color w:val="auto"/>
          <w:highlight w:val="none"/>
        </w:rPr>
        <w:t>18.投标文件的组成</w:t>
      </w:r>
      <w:bookmarkEnd w:id="137"/>
      <w:bookmarkEnd w:id="138"/>
      <w:bookmarkEnd w:id="139"/>
      <w:bookmarkEnd w:id="140"/>
    </w:p>
    <w:p w14:paraId="397B5450">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格式见招标文件第六章《投标文件格式》。</w:t>
      </w:r>
    </w:p>
    <w:p w14:paraId="2C4CA720">
      <w:pPr>
        <w:pStyle w:val="4"/>
        <w:spacing w:before="0" w:after="0" w:line="360" w:lineRule="auto"/>
        <w:ind w:left="0" w:leftChars="0" w:right="210"/>
        <w:rPr>
          <w:rFonts w:hint="default" w:ascii="Times New Roman" w:hAnsi="Times New Roman" w:cs="Times New Roman"/>
          <w:color w:val="auto"/>
          <w:szCs w:val="21"/>
          <w:highlight w:val="none"/>
        </w:rPr>
      </w:pPr>
      <w:bookmarkStart w:id="143" w:name="_Toc107246235"/>
      <w:bookmarkStart w:id="144" w:name="_Toc3204"/>
      <w:bookmarkStart w:id="145" w:name="_Toc104560858"/>
      <w:r>
        <w:rPr>
          <w:rFonts w:hint="default" w:ascii="Times New Roman" w:hAnsi="Times New Roman" w:cs="Times New Roman"/>
          <w:color w:val="auto"/>
          <w:highlight w:val="none"/>
        </w:rPr>
        <w:t>19.投标文件编制的原则</w:t>
      </w:r>
      <w:bookmarkEnd w:id="143"/>
      <w:bookmarkEnd w:id="144"/>
    </w:p>
    <w:bookmarkEnd w:id="145"/>
    <w:p w14:paraId="0FE7804C">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19.1</w:t>
      </w:r>
      <w:r>
        <w:rPr>
          <w:rFonts w:hint="default" w:ascii="Times New Roman" w:hAnsi="Times New Roman" w:cs="Times New Roman"/>
          <w:color w:val="auto"/>
          <w:szCs w:val="21"/>
          <w:highlight w:val="none"/>
        </w:rPr>
        <w:t>投标人应在认真阅读招标文件所有内容的基础上，按照招标文件的要求编制完整的投标文件。招标文件中对投标文件格式有要求的，投标人应按格式逐项填写内容。</w:t>
      </w:r>
    </w:p>
    <w:p w14:paraId="79E02C62">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19.2</w:t>
      </w:r>
      <w:r>
        <w:rPr>
          <w:rFonts w:hint="default" w:ascii="Times New Roman" w:hAnsi="Times New Roman" w:cs="Times New Roman"/>
          <w:color w:val="auto"/>
          <w:szCs w:val="21"/>
          <w:highlight w:val="none"/>
        </w:rPr>
        <w:t>投标人必须保证投标文件所提供的全部资料真实可靠。</w:t>
      </w:r>
    </w:p>
    <w:p w14:paraId="66088675">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19.3</w:t>
      </w:r>
      <w:r>
        <w:rPr>
          <w:rFonts w:hint="default" w:ascii="Times New Roman" w:hAnsi="Times New Roman" w:cs="Times New Roman"/>
          <w:color w:val="auto"/>
          <w:szCs w:val="21"/>
          <w:highlight w:val="none"/>
        </w:rPr>
        <w:t>投标文件须对招标文件中的内容做出实质性和完整的响应。</w:t>
      </w:r>
    </w:p>
    <w:p w14:paraId="762BE8F9">
      <w:pPr>
        <w:pStyle w:val="4"/>
        <w:spacing w:before="0" w:after="0" w:line="360" w:lineRule="auto"/>
        <w:ind w:left="0" w:leftChars="0" w:right="210"/>
        <w:rPr>
          <w:rFonts w:hint="default" w:ascii="Times New Roman" w:hAnsi="Times New Roman" w:cs="Times New Roman"/>
          <w:color w:val="auto"/>
          <w:szCs w:val="21"/>
          <w:highlight w:val="none"/>
        </w:rPr>
      </w:pPr>
      <w:bookmarkStart w:id="146" w:name="_Toc107246236"/>
      <w:bookmarkStart w:id="147" w:name="_Toc25790"/>
      <w:r>
        <w:rPr>
          <w:rFonts w:hint="default" w:ascii="Times New Roman" w:hAnsi="Times New Roman" w:cs="Times New Roman"/>
          <w:color w:val="auto"/>
          <w:highlight w:val="none"/>
        </w:rPr>
        <w:t>20.投标报价</w:t>
      </w:r>
      <w:bookmarkEnd w:id="146"/>
      <w:bookmarkEnd w:id="147"/>
    </w:p>
    <w:p w14:paraId="2FD7CF4E">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20.1</w:t>
      </w:r>
      <w:r>
        <w:rPr>
          <w:rFonts w:hint="default" w:ascii="Times New Roman" w:hAnsi="Times New Roman" w:cs="Times New Roman"/>
          <w:color w:val="auto"/>
          <w:szCs w:val="21"/>
          <w:highlight w:val="none"/>
        </w:rPr>
        <w:t>所有投标均以人民币报价，应包括国家规定的增值税税金。</w:t>
      </w:r>
    </w:p>
    <w:p w14:paraId="5D3753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20.2</w:t>
      </w:r>
      <w:r>
        <w:rPr>
          <w:rFonts w:hint="default" w:ascii="Times New Roman" w:hAnsi="Times New Roman" w:cs="Times New Roman"/>
          <w:b/>
          <w:color w:val="auto"/>
          <w:szCs w:val="21"/>
          <w:highlight w:val="none"/>
        </w:rPr>
        <w:t>投标文件的价格部分是对采购标的价格构成的说明，招标文件如无特别说明，每项货物、服务或工程等只允许有一个报价，任何有选择的报价将不予接受，将作为无效投标文件处理</w:t>
      </w:r>
      <w:r>
        <w:rPr>
          <w:rFonts w:hint="default" w:ascii="Times New Roman" w:hAnsi="Times New Roman" w:cs="Times New Roman"/>
          <w:color w:val="auto"/>
          <w:szCs w:val="21"/>
          <w:highlight w:val="none"/>
        </w:rPr>
        <w:t>。</w:t>
      </w:r>
    </w:p>
    <w:p w14:paraId="7D315BF2">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20.3</w:t>
      </w:r>
      <w:r>
        <w:rPr>
          <w:rFonts w:hint="default" w:ascii="Times New Roman" w:hAnsi="Times New Roman" w:cs="Times New Roman"/>
          <w:color w:val="auto"/>
          <w:szCs w:val="21"/>
          <w:highlight w:val="none"/>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4D84C0C7">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20.4</w:t>
      </w:r>
      <w:r>
        <w:rPr>
          <w:rFonts w:hint="default" w:ascii="Times New Roman" w:hAnsi="Times New Roman" w:cs="Times New Roman"/>
          <w:color w:val="auto"/>
          <w:szCs w:val="21"/>
          <w:highlight w:val="none"/>
        </w:rPr>
        <w:t>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p>
    <w:p w14:paraId="3E920B3F">
      <w:pPr>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20.5</w:t>
      </w:r>
      <w:r>
        <w:rPr>
          <w:rFonts w:hint="default" w:ascii="Times New Roman" w:hAnsi="Times New Roman" w:cs="Times New Roman"/>
          <w:color w:val="auto"/>
          <w:szCs w:val="21"/>
          <w:highlight w:val="none"/>
        </w:rPr>
        <w:t>投标报价的其他要求见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bookmarkEnd w:id="141"/>
    <w:bookmarkEnd w:id="142"/>
    <w:p w14:paraId="04711C5C">
      <w:pPr>
        <w:pStyle w:val="4"/>
        <w:spacing w:before="0" w:after="0" w:line="360" w:lineRule="auto"/>
        <w:ind w:left="0" w:leftChars="0" w:right="210"/>
        <w:rPr>
          <w:rFonts w:hint="default" w:ascii="Times New Roman" w:hAnsi="Times New Roman" w:cs="Times New Roman"/>
          <w:color w:val="auto"/>
          <w:highlight w:val="none"/>
        </w:rPr>
      </w:pPr>
      <w:bookmarkStart w:id="148" w:name="_Toc104560859"/>
      <w:bookmarkStart w:id="149" w:name="_Toc100905224"/>
      <w:bookmarkStart w:id="150" w:name="_Toc103848545"/>
      <w:bookmarkStart w:id="151" w:name="_Toc11728"/>
      <w:bookmarkStart w:id="152" w:name="_Toc107246237"/>
      <w:bookmarkStart w:id="153" w:name="_Toc96347878"/>
      <w:bookmarkStart w:id="154" w:name="_Toc100905223"/>
      <w:bookmarkStart w:id="155" w:name="_Toc103848544"/>
      <w:r>
        <w:rPr>
          <w:rFonts w:hint="default" w:ascii="Times New Roman" w:hAnsi="Times New Roman" w:cs="Times New Roman"/>
          <w:color w:val="auto"/>
          <w:highlight w:val="none"/>
        </w:rPr>
        <w:t>21.投标有效期</w:t>
      </w:r>
      <w:bookmarkEnd w:id="148"/>
      <w:bookmarkEnd w:id="149"/>
      <w:bookmarkEnd w:id="150"/>
      <w:bookmarkEnd w:id="151"/>
      <w:bookmarkEnd w:id="152"/>
    </w:p>
    <w:p w14:paraId="00BDB48E">
      <w:pPr>
        <w:adjustRightInd w:val="0"/>
        <w:snapToGrid w:val="0"/>
        <w:spacing w:line="360" w:lineRule="auto"/>
        <w:ind w:firstLine="422" w:firstLineChars="200"/>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bCs/>
          <w:color w:val="auto"/>
          <w:szCs w:val="21"/>
          <w:highlight w:val="none"/>
        </w:rPr>
        <w:t>21.1投标有效期见</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，在此期间投标文件对投标人具有法律约束力，以保证采购人有足够的时间完成评标、定标以及签订合同。投标有效期从</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规定的投标截止之日起计算。</w:t>
      </w:r>
      <w:r>
        <w:rPr>
          <w:rFonts w:hint="default" w:ascii="Times New Roman" w:hAnsi="Times New Roman" w:cs="Times New Roman"/>
          <w:b/>
          <w:bCs/>
          <w:color w:val="auto"/>
          <w:szCs w:val="21"/>
          <w:highlight w:val="none"/>
        </w:rPr>
        <w:t>投标有效期不足的，在评标时将其视为无效投标。</w:t>
      </w:r>
    </w:p>
    <w:p w14:paraId="4C03DC53">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4B431C65">
      <w:pPr>
        <w:pStyle w:val="4"/>
        <w:spacing w:before="0" w:after="0" w:line="360" w:lineRule="auto"/>
        <w:ind w:left="0" w:leftChars="0" w:right="210"/>
        <w:rPr>
          <w:rFonts w:hint="default" w:ascii="Times New Roman" w:hAnsi="Times New Roman" w:cs="Times New Roman"/>
          <w:color w:val="auto"/>
          <w:highlight w:val="none"/>
        </w:rPr>
      </w:pPr>
      <w:bookmarkStart w:id="156" w:name="_Toc107246238"/>
      <w:bookmarkStart w:id="157" w:name="_Toc22541"/>
      <w:bookmarkStart w:id="158" w:name="_Toc104560860"/>
      <w:r>
        <w:rPr>
          <w:rFonts w:hint="default" w:ascii="Times New Roman" w:hAnsi="Times New Roman" w:cs="Times New Roman"/>
          <w:color w:val="auto"/>
          <w:highlight w:val="none"/>
        </w:rPr>
        <w:t>22.投标保证金</w:t>
      </w:r>
      <w:bookmarkEnd w:id="153"/>
      <w:bookmarkEnd w:id="154"/>
      <w:bookmarkEnd w:id="155"/>
      <w:bookmarkEnd w:id="156"/>
      <w:bookmarkEnd w:id="157"/>
      <w:bookmarkEnd w:id="158"/>
    </w:p>
    <w:p w14:paraId="393EF746">
      <w:pPr>
        <w:adjustRightInd w:val="0"/>
        <w:snapToGrid w:val="0"/>
        <w:spacing w:line="360" w:lineRule="auto"/>
        <w:ind w:firstLine="420" w:firstLineChars="200"/>
        <w:rPr>
          <w:rFonts w:hint="default" w:ascii="Times New Roman" w:hAnsi="Times New Roman" w:cs="Times New Roman"/>
          <w:bCs/>
          <w:color w:val="auto"/>
          <w:szCs w:val="21"/>
          <w:highlight w:val="none"/>
        </w:rPr>
      </w:pPr>
      <w:bookmarkStart w:id="159" w:name="_Toc68159552"/>
      <w:bookmarkStart w:id="160" w:name="_Toc420657357"/>
      <w:bookmarkStart w:id="161" w:name="_Toc519241651"/>
      <w:bookmarkStart w:id="162" w:name="_Toc466452044"/>
      <w:bookmarkStart w:id="163" w:name="_Toc96347879"/>
      <w:bookmarkStart w:id="164" w:name="_Toc420487862"/>
      <w:r>
        <w:rPr>
          <w:rFonts w:hint="default" w:ascii="Times New Roman" w:hAnsi="Times New Roman" w:cs="Times New Roman"/>
          <w:bCs/>
          <w:color w:val="auto"/>
          <w:szCs w:val="21"/>
          <w:highlight w:val="none"/>
        </w:rPr>
        <w:t>22.1本项目是否交纳投标保证金见</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w:t>
      </w:r>
    </w:p>
    <w:p w14:paraId="5EC9777B">
      <w:pPr>
        <w:adjustRightInd w:val="0"/>
        <w:snapToGrid w:val="0"/>
        <w:spacing w:line="360" w:lineRule="auto"/>
        <w:ind w:firstLine="422" w:firstLineChars="200"/>
        <w:rPr>
          <w:rFonts w:hint="default" w:ascii="Times New Roman" w:hAnsi="Times New Roman" w:cs="Times New Roman"/>
          <w:bCs/>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bCs/>
          <w:color w:val="auto"/>
          <w:szCs w:val="21"/>
          <w:highlight w:val="none"/>
        </w:rPr>
        <w:t>22.2投标人按照</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要求的形式，在</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规定的投标截止时间前，向采购方提交</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规定的投标保证金(数额采用四舍五入，计算至元)。投标保证金有效期应与</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规定的投标有效期一致。</w:t>
      </w:r>
      <w:r>
        <w:rPr>
          <w:rFonts w:hint="default" w:ascii="Times New Roman" w:hAnsi="Times New Roman" w:cs="Times New Roman"/>
          <w:b/>
          <w:color w:val="auto"/>
          <w:szCs w:val="21"/>
          <w:highlight w:val="none"/>
        </w:rPr>
        <w:t>投标人未按规定缴纳投标保证金的或</w:t>
      </w:r>
      <w:r>
        <w:rPr>
          <w:rFonts w:hint="default" w:ascii="Times New Roman" w:hAnsi="Times New Roman" w:cs="Times New Roman"/>
          <w:b/>
          <w:bCs/>
          <w:color w:val="auto"/>
          <w:szCs w:val="21"/>
          <w:highlight w:val="none"/>
        </w:rPr>
        <w:t>由于到账时间晚于投标截止时间的，或者票据错误、印鉴不清等原因导致不能到账的，其投标无效。</w:t>
      </w:r>
    </w:p>
    <w:p w14:paraId="1862DF32">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22.3联合体投标的，可以由联合体中的一方或者共同提交投标保证金。以一方名义提交投标保证金的，对联合体各方均具有约束力。</w:t>
      </w:r>
    </w:p>
    <w:p w14:paraId="3918B465">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22.4未中标的投标人的投标保证金，将在中标通知书发出后5个工作日内退还，但因投标人自身原因导致无法及时退还的除外。</w:t>
      </w:r>
    </w:p>
    <w:p w14:paraId="35FF60CB">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22.5中标的投标人的投标保证金，将在政府采购合同签订后5个工作日内退还中标人。</w:t>
      </w:r>
    </w:p>
    <w:p w14:paraId="6CC41ADC">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22.6投标人有以下情形之一的，投标保证金可以不予退还：</w:t>
      </w:r>
    </w:p>
    <w:bookmarkEnd w:id="159"/>
    <w:bookmarkEnd w:id="160"/>
    <w:bookmarkEnd w:id="161"/>
    <w:bookmarkEnd w:id="162"/>
    <w:bookmarkEnd w:id="163"/>
    <w:bookmarkEnd w:id="164"/>
    <w:p w14:paraId="30DA4C06">
      <w:pPr>
        <w:spacing w:line="360" w:lineRule="auto"/>
        <w:ind w:firstLine="315" w:firstLineChars="150"/>
        <w:jc w:val="left"/>
        <w:rPr>
          <w:rFonts w:hint="default" w:ascii="Times New Roman" w:hAnsi="Times New Roman" w:cs="Times New Roman"/>
          <w:color w:val="auto"/>
          <w:szCs w:val="21"/>
          <w:highlight w:val="none"/>
        </w:rPr>
      </w:pPr>
      <w:bookmarkStart w:id="165" w:name="_Toc103848546"/>
      <w:bookmarkStart w:id="166" w:name="_Toc96347880"/>
      <w:bookmarkStart w:id="167" w:name="_Toc104560861"/>
      <w:bookmarkStart w:id="168" w:name="_Toc100905225"/>
      <w:r>
        <w:rPr>
          <w:rFonts w:hint="default" w:ascii="Times New Roman" w:hAnsi="Times New Roman" w:cs="Times New Roman"/>
          <w:color w:val="auto"/>
          <w:szCs w:val="21"/>
          <w:highlight w:val="none"/>
        </w:rPr>
        <w:t>（1）投标人在招标文件规定的投标有效期内撤销其投标文件；</w:t>
      </w:r>
    </w:p>
    <w:p w14:paraId="28AE17BB">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（2）投标人在投标文件中提供虚假材料的；</w:t>
      </w:r>
    </w:p>
    <w:p w14:paraId="0EBBEC98">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（3）投标人在本次采购活动中存在恶意串通行为的；</w:t>
      </w:r>
    </w:p>
    <w:p w14:paraId="3A510EA7">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（4）中标人未能按规定交纳采购代理服务费；</w:t>
      </w:r>
    </w:p>
    <w:p w14:paraId="792C4D71">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（5）中标人在收到中标通知书后，无正当理由不与采购人订立合同，在签订合同时向采购人提出附加条件，或者不按照招标文件要求提交履约保证金（如有）；</w:t>
      </w:r>
    </w:p>
    <w:p w14:paraId="678EFA1C">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（6）招标文件规定的其他可以不予退还投标保证金的情形。</w:t>
      </w:r>
    </w:p>
    <w:p w14:paraId="1CFBD9E4">
      <w:pPr>
        <w:pStyle w:val="4"/>
        <w:spacing w:before="0" w:after="0" w:line="360" w:lineRule="auto"/>
        <w:ind w:left="0" w:leftChars="0" w:right="210"/>
        <w:rPr>
          <w:rFonts w:hint="default" w:ascii="Times New Roman" w:hAnsi="Times New Roman" w:cs="Times New Roman"/>
          <w:color w:val="auto"/>
          <w:highlight w:val="none"/>
        </w:rPr>
      </w:pPr>
      <w:bookmarkStart w:id="169" w:name="_Toc107246239"/>
      <w:bookmarkStart w:id="170" w:name="_Toc6379"/>
      <w:r>
        <w:rPr>
          <w:rFonts w:hint="default" w:ascii="Times New Roman" w:hAnsi="Times New Roman" w:cs="Times New Roman"/>
          <w:color w:val="auto"/>
          <w:highlight w:val="none"/>
        </w:rPr>
        <w:t>23.投标文件的制作和签署</w:t>
      </w:r>
      <w:bookmarkEnd w:id="165"/>
      <w:bookmarkEnd w:id="166"/>
      <w:bookmarkEnd w:id="167"/>
      <w:bookmarkEnd w:id="168"/>
      <w:bookmarkEnd w:id="169"/>
      <w:bookmarkEnd w:id="170"/>
    </w:p>
    <w:p w14:paraId="54CF4E11">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23.1投标人应当按照《操作手册》规定，在招标公告规定的投标截止时间前制作并上传电子投标文件。</w:t>
      </w:r>
      <w:r>
        <w:rPr>
          <w:rFonts w:hint="default" w:ascii="Times New Roman" w:hAnsi="Times New Roman" w:cs="Times New Roman"/>
          <w:bCs/>
          <w:color w:val="auto"/>
          <w:szCs w:val="21"/>
          <w:highlight w:val="none"/>
          <w:lang w:val="zh-CN"/>
        </w:rPr>
        <w:t>招标代理机构拒绝接收提交</w:t>
      </w:r>
      <w:r>
        <w:rPr>
          <w:rFonts w:hint="default" w:ascii="Times New Roman" w:hAnsi="Times New Roman" w:cs="Times New Roman"/>
          <w:bCs/>
          <w:color w:val="auto"/>
          <w:szCs w:val="21"/>
          <w:highlight w:val="none"/>
        </w:rPr>
        <w:t>投标</w:t>
      </w:r>
      <w:r>
        <w:rPr>
          <w:rFonts w:hint="default" w:ascii="Times New Roman" w:hAnsi="Times New Roman" w:cs="Times New Roman"/>
          <w:bCs/>
          <w:color w:val="auto"/>
          <w:szCs w:val="21"/>
          <w:highlight w:val="none"/>
          <w:lang w:val="zh-CN"/>
        </w:rPr>
        <w:t>文件截止时间后上传的任何电子</w:t>
      </w:r>
      <w:r>
        <w:rPr>
          <w:rFonts w:hint="default" w:ascii="Times New Roman" w:hAnsi="Times New Roman" w:cs="Times New Roman"/>
          <w:bCs/>
          <w:color w:val="auto"/>
          <w:szCs w:val="21"/>
          <w:highlight w:val="none"/>
        </w:rPr>
        <w:t>投标</w:t>
      </w:r>
      <w:r>
        <w:rPr>
          <w:rFonts w:hint="default" w:ascii="Times New Roman" w:hAnsi="Times New Roman" w:cs="Times New Roman"/>
          <w:bCs/>
          <w:color w:val="auto"/>
          <w:szCs w:val="21"/>
          <w:highlight w:val="none"/>
          <w:lang w:val="zh-CN"/>
        </w:rPr>
        <w:t>文件。</w:t>
      </w:r>
    </w:p>
    <w:p w14:paraId="0E2673C5">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23.2★投标文件应加盖公章并由投标人法定代表人（单位负责人）或其授权代表签字。授权代表须提供法定代表人以书面形式出具的“法定代表人授权书”（由法定代表人签章并加盖企业公章。）授权其负责本项目投标。</w:t>
      </w:r>
    </w:p>
    <w:p w14:paraId="26D03B87">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23.3投标文件规定盖章的地方，应盖单位公章（文件中的单位盖章、印章、公章等处均仅指与投标人名称全称相一致的标准公章，如投标人为自然人可不加盖公章，仅由本人签字）。</w:t>
      </w:r>
    </w:p>
    <w:p w14:paraId="1A5AE82E">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23.4如投标过程中投标人使用其他形式的印章（如电子印章、带有“专用章”等字样的印章），须提供“公章授权书”</w:t>
      </w:r>
      <w:r>
        <w:rPr>
          <w:rFonts w:hint="default" w:ascii="Times New Roman" w:hAnsi="Times New Roman" w:cs="Times New Roman"/>
          <w:color w:val="auto"/>
          <w:highlight w:val="none"/>
        </w:rPr>
        <w:t>（见附件）</w:t>
      </w:r>
      <w:r>
        <w:rPr>
          <w:rFonts w:hint="default" w:ascii="Times New Roman" w:hAnsi="Times New Roman" w:cs="Times New Roman"/>
          <w:bCs/>
          <w:color w:val="auto"/>
          <w:szCs w:val="21"/>
          <w:highlight w:val="none"/>
        </w:rPr>
        <w:t>，明确“针对本次项目，该投标人电子印章或专用章作为直接参与投标时相关文件的签章，其效力等同于公章”，特别说明函须同时加盖投标人公章及电子印章或专用章。</w:t>
      </w:r>
    </w:p>
    <w:p w14:paraId="15285D26">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23.5除投标人对错处做必要修改外，投标文件不得行间插字、涂改或增删。如有修改错漏处，必须由法定代表人或其授权代表签字或盖章方有效。</w:t>
      </w:r>
    </w:p>
    <w:p w14:paraId="05E40F9B">
      <w:pPr>
        <w:pStyle w:val="4"/>
        <w:spacing w:before="0" w:after="0" w:line="360" w:lineRule="auto"/>
        <w:ind w:left="0" w:leftChars="0" w:right="210"/>
        <w:rPr>
          <w:rFonts w:hint="default" w:ascii="Times New Roman" w:hAnsi="Times New Roman" w:cs="Times New Roman"/>
          <w:color w:val="auto"/>
          <w:highlight w:val="none"/>
        </w:rPr>
      </w:pPr>
      <w:bookmarkStart w:id="171" w:name="_Toc26559"/>
      <w:r>
        <w:rPr>
          <w:rFonts w:hint="default" w:ascii="Times New Roman" w:hAnsi="Times New Roman" w:cs="Times New Roman"/>
          <w:color w:val="auto"/>
          <w:highlight w:val="none"/>
        </w:rPr>
        <w:t>四．投标文件的递交</w:t>
      </w:r>
      <w:bookmarkEnd w:id="171"/>
    </w:p>
    <w:p w14:paraId="505DEDDB">
      <w:pPr>
        <w:pStyle w:val="4"/>
        <w:spacing w:before="0" w:after="0" w:line="360" w:lineRule="auto"/>
        <w:ind w:left="0" w:leftChars="0" w:right="210"/>
        <w:rPr>
          <w:rFonts w:hint="default" w:ascii="Times New Roman" w:hAnsi="Times New Roman" w:cs="Times New Roman"/>
          <w:color w:val="auto"/>
          <w:highlight w:val="none"/>
        </w:rPr>
      </w:pPr>
      <w:bookmarkStart w:id="172" w:name="_Toc96347881"/>
      <w:bookmarkStart w:id="173" w:name="_Toc104560863"/>
      <w:bookmarkStart w:id="174" w:name="_Toc100905226"/>
      <w:bookmarkStart w:id="175" w:name="_Toc5741"/>
      <w:bookmarkStart w:id="176" w:name="_Toc107246241"/>
      <w:bookmarkStart w:id="177" w:name="_Toc103848548"/>
      <w:r>
        <w:rPr>
          <w:rFonts w:hint="default" w:ascii="Times New Roman" w:hAnsi="Times New Roman" w:cs="Times New Roman"/>
          <w:color w:val="auto"/>
          <w:highlight w:val="none"/>
        </w:rPr>
        <w:t>24.投标文件的密封和标记</w:t>
      </w:r>
      <w:bookmarkEnd w:id="172"/>
      <w:bookmarkEnd w:id="173"/>
      <w:bookmarkEnd w:id="174"/>
      <w:bookmarkEnd w:id="175"/>
      <w:bookmarkEnd w:id="176"/>
      <w:bookmarkEnd w:id="177"/>
    </w:p>
    <w:p w14:paraId="51DFBCE9">
      <w:pPr>
        <w:spacing w:line="360" w:lineRule="auto"/>
        <w:ind w:firstLine="420"/>
        <w:rPr>
          <w:rFonts w:hint="default" w:ascii="Times New Roman" w:hAnsi="Times New Roman" w:cs="Times New Roman"/>
          <w:bCs/>
          <w:color w:val="auto"/>
          <w:kern w:val="0"/>
          <w:szCs w:val="21"/>
          <w:highlight w:val="none"/>
        </w:rPr>
      </w:pPr>
      <w:bookmarkStart w:id="178" w:name="_Toc48151397"/>
      <w:bookmarkStart w:id="179" w:name="_Toc96347882"/>
      <w:bookmarkStart w:id="180" w:name="_Toc97561941"/>
      <w:bookmarkStart w:id="181" w:name="_Toc103848549"/>
      <w:bookmarkStart w:id="182" w:name="_Toc4536"/>
      <w:bookmarkStart w:id="183" w:name="_Toc11952"/>
      <w:bookmarkStart w:id="184" w:name="_Toc46219699"/>
      <w:bookmarkStart w:id="185" w:name="_Toc40202948"/>
      <w:bookmarkStart w:id="186" w:name="_Toc89586904"/>
      <w:bookmarkStart w:id="187" w:name="_Toc50528805"/>
      <w:bookmarkStart w:id="188" w:name="_Toc469850063"/>
      <w:bookmarkStart w:id="189" w:name="_Toc91399404"/>
      <w:bookmarkStart w:id="190" w:name="_Toc38933357"/>
      <w:bookmarkStart w:id="191" w:name="_Toc46960670"/>
      <w:bookmarkStart w:id="192" w:name="_Toc19963"/>
      <w:bookmarkStart w:id="193" w:name="_Toc5042"/>
      <w:bookmarkStart w:id="194" w:name="_Toc100905227"/>
      <w:bookmarkStart w:id="195" w:name="_Toc46939510"/>
      <w:bookmarkStart w:id="196" w:name="_Toc51928343"/>
      <w:bookmarkStart w:id="197" w:name="_Toc38931614"/>
      <w:bookmarkStart w:id="198" w:name="_Toc11464"/>
      <w:bookmarkStart w:id="199" w:name="_Toc38931800"/>
      <w:r>
        <w:rPr>
          <w:rFonts w:hint="default" w:ascii="Times New Roman" w:hAnsi="Times New Roman" w:cs="Times New Roman"/>
          <w:bCs/>
          <w:color w:val="auto"/>
          <w:kern w:val="0"/>
          <w:szCs w:val="21"/>
          <w:highlight w:val="none"/>
        </w:rPr>
        <w:t>投标人应当按照《操作手册》规定，在招标公告规定的投标截止时间前制作并上传电子投标文件。</w:t>
      </w:r>
      <w:r>
        <w:rPr>
          <w:rFonts w:hint="default" w:ascii="Times New Roman" w:hAnsi="Times New Roman" w:cs="Times New Roman"/>
          <w:bCs/>
          <w:color w:val="auto"/>
          <w:kern w:val="0"/>
          <w:szCs w:val="21"/>
          <w:highlight w:val="none"/>
          <w:lang w:val="zh-CN"/>
        </w:rPr>
        <w:t>招标代理机构拒绝接收提交</w:t>
      </w:r>
      <w:r>
        <w:rPr>
          <w:rFonts w:hint="default" w:ascii="Times New Roman" w:hAnsi="Times New Roman" w:cs="Times New Roman"/>
          <w:bCs/>
          <w:color w:val="auto"/>
          <w:kern w:val="0"/>
          <w:szCs w:val="21"/>
          <w:highlight w:val="none"/>
        </w:rPr>
        <w:t>投标</w:t>
      </w:r>
      <w:r>
        <w:rPr>
          <w:rFonts w:hint="default" w:ascii="Times New Roman" w:hAnsi="Times New Roman" w:cs="Times New Roman"/>
          <w:bCs/>
          <w:color w:val="auto"/>
          <w:kern w:val="0"/>
          <w:szCs w:val="21"/>
          <w:highlight w:val="none"/>
          <w:lang w:val="zh-CN"/>
        </w:rPr>
        <w:t>文件截止时间后上传的任何电子</w:t>
      </w:r>
      <w:r>
        <w:rPr>
          <w:rFonts w:hint="default" w:ascii="Times New Roman" w:hAnsi="Times New Roman" w:cs="Times New Roman"/>
          <w:bCs/>
          <w:color w:val="auto"/>
          <w:kern w:val="0"/>
          <w:szCs w:val="21"/>
          <w:highlight w:val="none"/>
        </w:rPr>
        <w:t>投标</w:t>
      </w:r>
      <w:r>
        <w:rPr>
          <w:rFonts w:hint="default" w:ascii="Times New Roman" w:hAnsi="Times New Roman" w:cs="Times New Roman"/>
          <w:bCs/>
          <w:color w:val="auto"/>
          <w:kern w:val="0"/>
          <w:szCs w:val="21"/>
          <w:highlight w:val="none"/>
          <w:lang w:val="zh-CN"/>
        </w:rPr>
        <w:t>文件。</w:t>
      </w:r>
    </w:p>
    <w:p w14:paraId="43930D36">
      <w:pPr>
        <w:pStyle w:val="4"/>
        <w:spacing w:before="0" w:after="0" w:line="360" w:lineRule="auto"/>
        <w:ind w:left="0" w:leftChars="0" w:right="210"/>
        <w:rPr>
          <w:rFonts w:hint="default" w:ascii="Times New Roman" w:hAnsi="Times New Roman" w:eastAsia="宋体" w:cs="Times New Roman"/>
          <w:color w:val="auto"/>
          <w:highlight w:val="none"/>
          <w:lang w:val="en-US" w:eastAsia="zh-CN"/>
        </w:rPr>
      </w:pPr>
      <w:bookmarkStart w:id="200" w:name="_Toc104560864"/>
      <w:bookmarkStart w:id="201" w:name="_Toc107246242"/>
      <w:bookmarkStart w:id="202" w:name="_Toc2712"/>
      <w:r>
        <w:rPr>
          <w:rFonts w:hint="default" w:ascii="Times New Roman" w:hAnsi="Times New Roman" w:cs="Times New Roman"/>
          <w:color w:val="auto"/>
          <w:highlight w:val="none"/>
        </w:rPr>
        <w:t>25.</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rFonts w:hint="default" w:ascii="Times New Roman" w:hAnsi="Times New Roman" w:cs="Times New Roman"/>
          <w:color w:val="auto"/>
          <w:highlight w:val="none"/>
        </w:rPr>
        <w:t>投标</w:t>
      </w:r>
      <w:bookmarkEnd w:id="201"/>
      <w:r>
        <w:rPr>
          <w:rFonts w:hint="eastAsia" w:cs="Times New Roman"/>
          <w:color w:val="auto"/>
          <w:highlight w:val="none"/>
          <w:lang w:val="en-US" w:eastAsia="zh-CN"/>
        </w:rPr>
        <w:t>文件解密</w:t>
      </w:r>
      <w:bookmarkEnd w:id="202"/>
    </w:p>
    <w:p w14:paraId="45AAC284">
      <w:pPr>
        <w:spacing w:line="360" w:lineRule="auto"/>
        <w:ind w:firstLine="420"/>
        <w:rPr>
          <w:rFonts w:hint="default" w:ascii="Times New Roman" w:hAnsi="Times New Roman" w:cs="Times New Roman"/>
          <w:bCs/>
          <w:color w:val="auto"/>
          <w:kern w:val="0"/>
          <w:szCs w:val="21"/>
          <w:highlight w:val="none"/>
          <w:lang w:val="zh-CN"/>
        </w:rPr>
      </w:pPr>
      <w:bookmarkStart w:id="203" w:name="_Toc96347883"/>
      <w:r>
        <w:rPr>
          <w:rFonts w:hint="default" w:ascii="Times New Roman" w:hAnsi="Times New Roman" w:cs="Times New Roman"/>
          <w:bCs/>
          <w:color w:val="auto"/>
          <w:kern w:val="0"/>
          <w:szCs w:val="21"/>
          <w:highlight w:val="none"/>
        </w:rPr>
        <w:t>25.1投标人</w:t>
      </w:r>
      <w:r>
        <w:rPr>
          <w:rFonts w:hint="default" w:ascii="Times New Roman" w:hAnsi="Times New Roman" w:cs="Times New Roman"/>
          <w:bCs/>
          <w:color w:val="auto"/>
          <w:kern w:val="0"/>
          <w:szCs w:val="21"/>
          <w:highlight w:val="none"/>
          <w:lang w:val="zh-CN"/>
        </w:rPr>
        <w:t>应当按照《操作手册》规定，在“苏采云”系统规定的时间内对</w:t>
      </w:r>
      <w:r>
        <w:rPr>
          <w:rFonts w:hint="default" w:ascii="Times New Roman" w:hAnsi="Times New Roman" w:cs="Times New Roman"/>
          <w:bCs/>
          <w:color w:val="auto"/>
          <w:kern w:val="0"/>
          <w:szCs w:val="21"/>
          <w:highlight w:val="none"/>
        </w:rPr>
        <w:t>投标</w:t>
      </w:r>
      <w:r>
        <w:rPr>
          <w:rFonts w:hint="default" w:ascii="Times New Roman" w:hAnsi="Times New Roman" w:cs="Times New Roman"/>
          <w:bCs/>
          <w:color w:val="auto"/>
          <w:kern w:val="0"/>
          <w:szCs w:val="21"/>
          <w:highlight w:val="none"/>
          <w:lang w:val="zh-CN"/>
        </w:rPr>
        <w:t>文件进行解密。</w:t>
      </w:r>
    </w:p>
    <w:p w14:paraId="56C84BB1">
      <w:pPr>
        <w:spacing w:line="360" w:lineRule="auto"/>
        <w:ind w:firstLine="420"/>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25.2投标人应充分考虑网络环境、网络带宽等因素可能对投标产生的影响，如因投标人自身原因造成的电子投标文件解密不成功的，做无效投标处理。</w:t>
      </w:r>
    </w:p>
    <w:p w14:paraId="5208AB7E">
      <w:pPr>
        <w:pStyle w:val="4"/>
        <w:spacing w:before="0" w:after="0" w:line="360" w:lineRule="auto"/>
        <w:ind w:left="0" w:leftChars="0" w:right="210"/>
        <w:rPr>
          <w:rFonts w:hint="default" w:ascii="Times New Roman" w:hAnsi="Times New Roman" w:cs="Times New Roman"/>
          <w:color w:val="auto"/>
          <w:highlight w:val="none"/>
        </w:rPr>
      </w:pPr>
      <w:bookmarkStart w:id="204" w:name="_Toc107246243"/>
      <w:bookmarkStart w:id="205" w:name="_Toc104560865"/>
      <w:bookmarkStart w:id="206" w:name="_Toc30820"/>
      <w:bookmarkStart w:id="207" w:name="_Toc100905228"/>
      <w:bookmarkStart w:id="208" w:name="_Toc103848550"/>
      <w:r>
        <w:rPr>
          <w:rFonts w:hint="default" w:ascii="Times New Roman" w:hAnsi="Times New Roman" w:cs="Times New Roman"/>
          <w:color w:val="auto"/>
          <w:highlight w:val="none"/>
        </w:rPr>
        <w:t>26.投标文件的修改和撤回</w:t>
      </w:r>
      <w:bookmarkEnd w:id="203"/>
      <w:bookmarkEnd w:id="204"/>
      <w:bookmarkEnd w:id="205"/>
      <w:bookmarkEnd w:id="206"/>
      <w:bookmarkEnd w:id="207"/>
      <w:bookmarkEnd w:id="208"/>
    </w:p>
    <w:bookmarkEnd w:id="136"/>
    <w:p w14:paraId="3DAA892D">
      <w:pPr>
        <w:adjustRightInd w:val="0"/>
        <w:snapToGrid w:val="0"/>
        <w:spacing w:line="360" w:lineRule="auto"/>
        <w:ind w:firstLine="420" w:firstLineChars="200"/>
        <w:rPr>
          <w:rFonts w:hint="default" w:ascii="Times New Roman" w:hAnsi="Times New Roman" w:cs="Times New Roman"/>
          <w:bCs/>
          <w:color w:val="auto"/>
          <w:szCs w:val="21"/>
          <w:highlight w:val="none"/>
        </w:rPr>
      </w:pPr>
      <w:bookmarkStart w:id="209" w:name="_Toc80264714"/>
      <w:r>
        <w:rPr>
          <w:rFonts w:hint="default" w:ascii="Times New Roman" w:hAnsi="Times New Roman" w:cs="Times New Roman"/>
          <w:bCs/>
          <w:color w:val="auto"/>
          <w:szCs w:val="21"/>
          <w:highlight w:val="none"/>
        </w:rPr>
        <w:t>26.1投标人在递交投标文件后，可以修改或撤回其投标文件，但这种修改和撤回，必须在规定的投标截止时间前，以书面形式通知采购方。</w:t>
      </w:r>
    </w:p>
    <w:p w14:paraId="5B7158A0">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26.2</w:t>
      </w:r>
      <w:r>
        <w:rPr>
          <w:rFonts w:hint="default" w:ascii="Times New Roman" w:hAnsi="Times New Roman" w:cs="Times New Roman"/>
          <w:color w:val="auto"/>
          <w:szCs w:val="21"/>
          <w:highlight w:val="none"/>
        </w:rPr>
        <w:t>投标人对投标文件的补充、修改的内容应当按照采购文件要求签署、盖章、密封后，作为投标文件的组成部分。</w:t>
      </w:r>
    </w:p>
    <w:p w14:paraId="06AD8D99">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26.3 在投标截止时间之后，投标人不得对其投标文件作任何修改。</w:t>
      </w:r>
    </w:p>
    <w:p w14:paraId="5F68F0A1">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26.4 在投标截止时间至采购文件中规定的投标有效期满之间的这段时间内，投标人不得撤回其投标。</w:t>
      </w:r>
    </w:p>
    <w:p w14:paraId="0E881DE3">
      <w:pPr>
        <w:pStyle w:val="4"/>
        <w:spacing w:before="0" w:after="0" w:line="360" w:lineRule="auto"/>
        <w:ind w:left="0" w:leftChars="0" w:right="210"/>
        <w:rPr>
          <w:rFonts w:hint="default" w:ascii="Times New Roman" w:hAnsi="Times New Roman" w:cs="Times New Roman"/>
          <w:color w:val="auto"/>
          <w:highlight w:val="none"/>
        </w:rPr>
      </w:pPr>
      <w:bookmarkStart w:id="210" w:name="_Toc107246244"/>
      <w:bookmarkStart w:id="211" w:name="_Toc104560866"/>
      <w:bookmarkStart w:id="212" w:name="_Toc103848551"/>
      <w:bookmarkStart w:id="213" w:name="_Toc12101"/>
      <w:r>
        <w:rPr>
          <w:rFonts w:hint="default" w:ascii="Times New Roman" w:hAnsi="Times New Roman" w:cs="Times New Roman"/>
          <w:color w:val="auto"/>
          <w:highlight w:val="none"/>
        </w:rPr>
        <w:t>27.诚实信用</w:t>
      </w:r>
      <w:bookmarkEnd w:id="210"/>
      <w:bookmarkEnd w:id="211"/>
      <w:bookmarkEnd w:id="212"/>
      <w:bookmarkEnd w:id="213"/>
    </w:p>
    <w:p w14:paraId="728A25F7">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27.1投标人应当遵循公平竞争的原则，不得恶意串通，不得妨碍其他投标人的竞争行为，不得损害采购人或者其他投标人的合法权益。</w:t>
      </w:r>
    </w:p>
    <w:p w14:paraId="6C95D7F8">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27.2在评标过程中发现投标人有上述情形的，评标委员会应当认定其投标无效，并书面报告本级财政部门。</w:t>
      </w:r>
    </w:p>
    <w:p w14:paraId="49489A2A">
      <w:pPr>
        <w:pStyle w:val="4"/>
        <w:spacing w:before="0" w:after="0" w:line="360" w:lineRule="auto"/>
        <w:ind w:left="0" w:leftChars="0" w:right="210"/>
        <w:rPr>
          <w:rFonts w:hint="default" w:ascii="Times New Roman" w:hAnsi="Times New Roman" w:cs="Times New Roman"/>
          <w:color w:val="auto"/>
          <w:highlight w:val="none"/>
        </w:rPr>
      </w:pPr>
      <w:bookmarkStart w:id="214" w:name="_Toc11328"/>
      <w:r>
        <w:rPr>
          <w:rFonts w:hint="default" w:ascii="Times New Roman" w:hAnsi="Times New Roman" w:cs="Times New Roman"/>
          <w:color w:val="auto"/>
          <w:highlight w:val="none"/>
        </w:rPr>
        <w:t>五．开标和评标</w:t>
      </w:r>
      <w:bookmarkEnd w:id="214"/>
      <w:bookmarkStart w:id="215" w:name="_Toc96347885"/>
    </w:p>
    <w:p w14:paraId="1CA5111B">
      <w:pPr>
        <w:pStyle w:val="4"/>
        <w:spacing w:before="0" w:after="0" w:line="360" w:lineRule="auto"/>
        <w:ind w:left="0" w:leftChars="0" w:right="210"/>
        <w:rPr>
          <w:rFonts w:hint="default" w:ascii="Times New Roman" w:hAnsi="Times New Roman" w:cs="Times New Roman"/>
          <w:color w:val="auto"/>
          <w:highlight w:val="none"/>
        </w:rPr>
      </w:pPr>
      <w:bookmarkStart w:id="216" w:name="_Toc100905230"/>
      <w:bookmarkStart w:id="217" w:name="_Toc104560868"/>
      <w:bookmarkStart w:id="218" w:name="_Toc103848553"/>
      <w:bookmarkStart w:id="219" w:name="_Toc107246246"/>
      <w:bookmarkStart w:id="220" w:name="_Toc10532"/>
      <w:r>
        <w:rPr>
          <w:rFonts w:hint="default" w:ascii="Times New Roman" w:hAnsi="Times New Roman" w:cs="Times New Roman"/>
          <w:color w:val="auto"/>
          <w:highlight w:val="none"/>
        </w:rPr>
        <w:t>28.开标</w:t>
      </w:r>
      <w:bookmarkEnd w:id="215"/>
      <w:bookmarkEnd w:id="216"/>
      <w:bookmarkEnd w:id="217"/>
      <w:bookmarkEnd w:id="218"/>
      <w:bookmarkEnd w:id="219"/>
      <w:bookmarkEnd w:id="220"/>
    </w:p>
    <w:p w14:paraId="46B882B3">
      <w:pPr>
        <w:adjustRightInd/>
        <w:snapToGrid/>
        <w:spacing w:line="360" w:lineRule="auto"/>
        <w:ind w:firstLine="420" w:firstLineChars="0"/>
        <w:rPr>
          <w:rFonts w:hint="default" w:ascii="Times New Roman" w:hAnsi="Times New Roman" w:cs="Times New Roman"/>
          <w:bCs/>
          <w:color w:val="auto"/>
          <w:szCs w:val="21"/>
          <w:highlight w:val="none"/>
        </w:rPr>
      </w:pPr>
      <w:bookmarkStart w:id="221" w:name="_Toc96347886"/>
      <w:r>
        <w:rPr>
          <w:rFonts w:hint="default" w:ascii="Times New Roman" w:hAnsi="Times New Roman" w:cs="Times New Roman"/>
          <w:bCs/>
          <w:color w:val="auto"/>
          <w:szCs w:val="21"/>
          <w:highlight w:val="none"/>
        </w:rPr>
        <w:t>28.1采购方在</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规定的开标时间和开标地点组织公开开标</w:t>
      </w:r>
      <w:r>
        <w:rPr>
          <w:rFonts w:hint="eastAsia" w:cs="Times New Roman"/>
          <w:bCs/>
          <w:color w:val="auto"/>
          <w:szCs w:val="21"/>
          <w:highlight w:val="none"/>
          <w:lang w:eastAsia="zh-CN"/>
        </w:rPr>
        <w:t>。</w:t>
      </w:r>
      <w:r>
        <w:rPr>
          <w:rFonts w:hint="default" w:ascii="Times New Roman" w:hAnsi="Times New Roman" w:cs="Times New Roman"/>
          <w:bCs/>
          <w:color w:val="auto"/>
          <w:kern w:val="0"/>
          <w:szCs w:val="21"/>
          <w:highlight w:val="none"/>
        </w:rPr>
        <w:t>投标人按照《操作手册》规定参加开标活动，并在“苏采云”系统规定的时间内对投标文件进行解密。“苏采云”系统公布各投标人名称和投标价格。</w:t>
      </w:r>
    </w:p>
    <w:p w14:paraId="744619FE">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28.2投标人在开标过程中涉及到的投标文件解密、开标结果确认等工作，应按照《操作手册》规定执行。</w:t>
      </w:r>
    </w:p>
    <w:p w14:paraId="5C7782C3">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28.</w:t>
      </w:r>
      <w:r>
        <w:rPr>
          <w:rFonts w:hint="eastAsia" w:cs="Times New Roman"/>
          <w:bCs/>
          <w:color w:val="auto"/>
          <w:szCs w:val="21"/>
          <w:highlight w:val="none"/>
          <w:lang w:val="en-US" w:eastAsia="zh-CN"/>
        </w:rPr>
        <w:t>3</w:t>
      </w:r>
      <w:r>
        <w:rPr>
          <w:rFonts w:hint="default" w:ascii="Times New Roman" w:hAnsi="Times New Roman" w:cs="Times New Roman"/>
          <w:bCs/>
          <w:color w:val="auto"/>
          <w:szCs w:val="21"/>
          <w:highlight w:val="none"/>
        </w:rPr>
        <w:t>投标人不足3家的，不得开标。</w:t>
      </w:r>
    </w:p>
    <w:bookmarkEnd w:id="221"/>
    <w:p w14:paraId="5E2B3CB3">
      <w:pPr>
        <w:adjustRightInd w:val="0"/>
        <w:snapToGrid w:val="0"/>
        <w:spacing w:line="360" w:lineRule="auto"/>
        <w:ind w:firstLine="420" w:firstLineChars="200"/>
        <w:rPr>
          <w:rFonts w:hint="default" w:ascii="Times New Roman" w:hAnsi="Times New Roman" w:cs="Times New Roman"/>
          <w:bCs/>
          <w:color w:val="auto"/>
          <w:szCs w:val="21"/>
          <w:highlight w:val="none"/>
        </w:rPr>
      </w:pPr>
      <w:bookmarkStart w:id="222" w:name="_Toc100905231"/>
      <w:r>
        <w:rPr>
          <w:rFonts w:hint="default" w:ascii="Times New Roman" w:hAnsi="Times New Roman" w:cs="Times New Roman"/>
          <w:bCs/>
          <w:color w:val="auto"/>
          <w:szCs w:val="21"/>
          <w:highlight w:val="none"/>
        </w:rPr>
        <w:t>28.</w:t>
      </w:r>
      <w:r>
        <w:rPr>
          <w:rFonts w:hint="eastAsia" w:cs="Times New Roman"/>
          <w:bCs/>
          <w:color w:val="auto"/>
          <w:szCs w:val="21"/>
          <w:highlight w:val="none"/>
          <w:lang w:val="en-US" w:eastAsia="zh-CN"/>
        </w:rPr>
        <w:t>4</w:t>
      </w:r>
      <w:r>
        <w:rPr>
          <w:rFonts w:hint="default" w:ascii="Times New Roman" w:hAnsi="Times New Roman" w:cs="Times New Roman"/>
          <w:bCs/>
          <w:color w:val="auto"/>
          <w:szCs w:val="21"/>
          <w:highlight w:val="none"/>
        </w:rPr>
        <w:t>投标人代表对开标过程和开标记录有疑义，以及认为采购方相关工作人员有需要回避的情形的，应当根据《操作手册》规定提出。</w:t>
      </w:r>
    </w:p>
    <w:p w14:paraId="6AAF54B4">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28.</w:t>
      </w:r>
      <w:r>
        <w:rPr>
          <w:rFonts w:hint="eastAsia" w:cs="Times New Roman"/>
          <w:bCs/>
          <w:color w:val="auto"/>
          <w:szCs w:val="21"/>
          <w:highlight w:val="none"/>
          <w:lang w:val="en-US" w:eastAsia="zh-CN"/>
        </w:rPr>
        <w:t>5</w:t>
      </w:r>
      <w:r>
        <w:rPr>
          <w:rFonts w:hint="default" w:ascii="Times New Roman" w:hAnsi="Times New Roman" w:cs="Times New Roman"/>
          <w:bCs/>
          <w:color w:val="auto"/>
          <w:szCs w:val="21"/>
          <w:highlight w:val="none"/>
        </w:rPr>
        <w:t>投标人未参加开标的，视同认可开标结果。</w:t>
      </w:r>
    </w:p>
    <w:p w14:paraId="1D11A359">
      <w:pPr>
        <w:pStyle w:val="4"/>
        <w:spacing w:before="0" w:after="0" w:line="360" w:lineRule="auto"/>
        <w:ind w:left="0" w:leftChars="0" w:right="210"/>
        <w:rPr>
          <w:rFonts w:hint="default" w:ascii="Times New Roman" w:hAnsi="Times New Roman" w:cs="Times New Roman"/>
          <w:color w:val="auto"/>
          <w:highlight w:val="none"/>
        </w:rPr>
      </w:pPr>
      <w:bookmarkStart w:id="223" w:name="_Toc3307"/>
      <w:bookmarkStart w:id="224" w:name="_Toc107246247"/>
      <w:r>
        <w:rPr>
          <w:rFonts w:hint="default" w:ascii="Times New Roman" w:hAnsi="Times New Roman" w:cs="Times New Roman"/>
          <w:color w:val="auto"/>
          <w:highlight w:val="none"/>
        </w:rPr>
        <w:t>29.资格性审查</w:t>
      </w:r>
      <w:bookmarkEnd w:id="223"/>
      <w:bookmarkEnd w:id="224"/>
    </w:p>
    <w:p w14:paraId="00F61E36">
      <w:pPr>
        <w:adjustRightInd w:val="0"/>
        <w:snapToGrid w:val="0"/>
        <w:spacing w:line="360" w:lineRule="auto"/>
        <w:ind w:firstLine="420" w:firstLineChars="200"/>
        <w:rPr>
          <w:rFonts w:hint="default" w:ascii="Times New Roman" w:hAnsi="Times New Roman" w:cs="Times New Roman"/>
          <w:bCs/>
          <w:color w:val="auto"/>
          <w:szCs w:val="21"/>
          <w:highlight w:val="none"/>
        </w:rPr>
      </w:pPr>
      <w:bookmarkStart w:id="225" w:name="_Toc103848554"/>
      <w:bookmarkStart w:id="226" w:name="_Toc104560869"/>
      <w:r>
        <w:rPr>
          <w:rFonts w:hint="default" w:ascii="Times New Roman" w:hAnsi="Times New Roman" w:cs="Times New Roman"/>
          <w:bCs/>
          <w:color w:val="auto"/>
          <w:szCs w:val="21"/>
          <w:highlight w:val="none"/>
        </w:rPr>
        <w:t>29.1投标文件的资格性检查。公开招标采购项目开标结束后，采购人或采购代理机构应依法对投标人的资格进行审查。资格审查合格的投标人不足3家的，不进行评标。</w:t>
      </w:r>
    </w:p>
    <w:p w14:paraId="010F90DC">
      <w:pPr>
        <w:adjustRightInd w:val="0"/>
        <w:snapToGrid w:val="0"/>
        <w:spacing w:line="360" w:lineRule="auto"/>
        <w:ind w:firstLine="422" w:firstLineChars="200"/>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29.2</w:t>
      </w:r>
      <w:r>
        <w:rPr>
          <w:rFonts w:hint="default" w:ascii="Times New Roman" w:hAnsi="Times New Roman" w:cs="Times New Roman"/>
          <w:b/>
          <w:color w:val="auto"/>
          <w:szCs w:val="21"/>
          <w:highlight w:val="none"/>
        </w:rPr>
        <w:t>投标人不具备招标文件规定的投标人资格条件的</w:t>
      </w:r>
      <w:r>
        <w:rPr>
          <w:rFonts w:hint="default" w:ascii="Times New Roman" w:hAnsi="Times New Roman" w:cs="Times New Roman"/>
          <w:b/>
          <w:bCs/>
          <w:color w:val="auto"/>
          <w:szCs w:val="21"/>
          <w:highlight w:val="none"/>
        </w:rPr>
        <w:t>，应在资格审查时按照无效投标处理。</w:t>
      </w:r>
    </w:p>
    <w:p w14:paraId="675B85A6">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29.3已经进行资格预审的，可以不再对投标人资格进行审查，资格预审合格的投标人在评标阶段资格发生变化的，应当通知采购方。</w:t>
      </w:r>
    </w:p>
    <w:p w14:paraId="7851FA6B">
      <w:pPr>
        <w:pStyle w:val="4"/>
        <w:spacing w:before="0" w:after="0" w:line="360" w:lineRule="auto"/>
        <w:ind w:left="0" w:leftChars="0" w:right="210"/>
        <w:rPr>
          <w:rFonts w:hint="default" w:ascii="Times New Roman" w:hAnsi="Times New Roman" w:cs="Times New Roman"/>
          <w:color w:val="auto"/>
          <w:highlight w:val="none"/>
        </w:rPr>
      </w:pPr>
      <w:bookmarkStart w:id="227" w:name="_Toc28784"/>
      <w:bookmarkStart w:id="228" w:name="_Toc107246248"/>
      <w:r>
        <w:rPr>
          <w:rFonts w:hint="default" w:ascii="Times New Roman" w:hAnsi="Times New Roman" w:cs="Times New Roman"/>
          <w:color w:val="auto"/>
          <w:highlight w:val="none"/>
        </w:rPr>
        <w:t>30.评标</w:t>
      </w:r>
      <w:bookmarkEnd w:id="225"/>
      <w:bookmarkEnd w:id="226"/>
      <w:bookmarkEnd w:id="227"/>
      <w:bookmarkEnd w:id="228"/>
    </w:p>
    <w:p w14:paraId="071520D6">
      <w:pPr>
        <w:pStyle w:val="4"/>
        <w:spacing w:before="0" w:after="0" w:line="360" w:lineRule="auto"/>
        <w:ind w:left="0" w:leftChars="0" w:right="210"/>
        <w:rPr>
          <w:rFonts w:hint="default" w:ascii="Times New Roman" w:hAnsi="Times New Roman" w:cs="Times New Roman"/>
          <w:color w:val="auto"/>
          <w:highlight w:val="none"/>
        </w:rPr>
      </w:pPr>
      <w:bookmarkStart w:id="229" w:name="_Toc103848555"/>
      <w:bookmarkStart w:id="230" w:name="_Toc32450"/>
      <w:bookmarkStart w:id="231" w:name="_Toc104560870"/>
      <w:bookmarkStart w:id="232" w:name="_Toc107246249"/>
      <w:r>
        <w:rPr>
          <w:rFonts w:hint="default" w:ascii="Times New Roman" w:hAnsi="Times New Roman" w:cs="Times New Roman"/>
          <w:color w:val="auto"/>
          <w:highlight w:val="none"/>
        </w:rPr>
        <w:t>30.1评标委员会</w:t>
      </w:r>
      <w:bookmarkEnd w:id="229"/>
      <w:bookmarkEnd w:id="230"/>
      <w:bookmarkEnd w:id="231"/>
      <w:bookmarkEnd w:id="232"/>
    </w:p>
    <w:p w14:paraId="2008761B">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30.1.1评标委员会成员组成见</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，负责具体评标事务，并独立履行职责。</w:t>
      </w:r>
    </w:p>
    <w:p w14:paraId="452D0237">
      <w:pPr>
        <w:pStyle w:val="4"/>
        <w:spacing w:before="0" w:after="0" w:line="360" w:lineRule="auto"/>
        <w:ind w:left="0" w:leftChars="0" w:right="210"/>
        <w:rPr>
          <w:rFonts w:hint="default" w:ascii="Times New Roman" w:hAnsi="Times New Roman" w:cs="Times New Roman"/>
          <w:color w:val="auto"/>
          <w:highlight w:val="none"/>
        </w:rPr>
      </w:pPr>
      <w:bookmarkStart w:id="233" w:name="_Toc103848556"/>
      <w:bookmarkStart w:id="234" w:name="_Toc104560871"/>
      <w:bookmarkStart w:id="235" w:name="_Toc14554"/>
      <w:bookmarkStart w:id="236" w:name="_Toc107246250"/>
      <w:r>
        <w:rPr>
          <w:rFonts w:hint="default" w:ascii="Times New Roman" w:hAnsi="Times New Roman" w:cs="Times New Roman"/>
          <w:color w:val="auto"/>
          <w:highlight w:val="none"/>
        </w:rPr>
        <w:t>30.2</w:t>
      </w:r>
      <w:bookmarkEnd w:id="233"/>
      <w:bookmarkEnd w:id="234"/>
      <w:r>
        <w:rPr>
          <w:rFonts w:hint="default" w:ascii="Times New Roman" w:hAnsi="Times New Roman" w:cs="Times New Roman"/>
          <w:color w:val="auto"/>
          <w:highlight w:val="none"/>
        </w:rPr>
        <w:t>符合性审查</w:t>
      </w:r>
      <w:bookmarkEnd w:id="235"/>
      <w:bookmarkEnd w:id="236"/>
      <w:r>
        <w:rPr>
          <w:rFonts w:hint="default" w:ascii="Times New Roman" w:hAnsi="Times New Roman" w:cs="Times New Roman"/>
          <w:color w:val="auto"/>
          <w:highlight w:val="none"/>
        </w:rPr>
        <w:t xml:space="preserve"> </w:t>
      </w:r>
    </w:p>
    <w:p w14:paraId="33C24FAC">
      <w:pPr>
        <w:adjustRightInd w:val="0"/>
        <w:snapToGrid w:val="0"/>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221CCECC">
      <w:pPr>
        <w:adjustRightInd w:val="0"/>
        <w:snapToGrid w:val="0"/>
        <w:spacing w:line="360" w:lineRule="auto"/>
        <w:ind w:firstLine="422" w:firstLineChars="200"/>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30.2.2如果投标文件没有响应招标文件实质性要求，评标委员会将予以拒绝，投标人不得通过修改或撤销不合要求的偏离或保留而使其投标成为实质性响应的投标。</w:t>
      </w:r>
    </w:p>
    <w:p w14:paraId="2BB60609">
      <w:pPr>
        <w:adjustRightInd w:val="0"/>
        <w:snapToGrid w:val="0"/>
        <w:spacing w:line="360" w:lineRule="auto"/>
        <w:ind w:firstLine="422" w:firstLineChars="200"/>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30.2.3投标文件有下列情况之一的，在符合性检查时按照无效投标处理：</w:t>
      </w:r>
    </w:p>
    <w:p w14:paraId="5F3E8975">
      <w:pPr>
        <w:spacing w:line="360" w:lineRule="auto"/>
        <w:ind w:firstLine="315" w:firstLineChars="150"/>
        <w:jc w:val="left"/>
        <w:rPr>
          <w:rFonts w:hint="default" w:ascii="Times New Roman" w:hAnsi="Times New Roman" w:cs="Times New Roman"/>
          <w:bCs w:val="0"/>
          <w:color w:val="auto"/>
          <w:kern w:val="2"/>
          <w:szCs w:val="21"/>
          <w:highlight w:val="none"/>
        </w:rPr>
      </w:pPr>
      <w:r>
        <w:rPr>
          <w:rFonts w:hint="default" w:ascii="Times New Roman" w:hAnsi="Times New Roman" w:cs="Times New Roman"/>
          <w:bCs w:val="0"/>
          <w:color w:val="auto"/>
          <w:kern w:val="2"/>
          <w:szCs w:val="21"/>
          <w:highlight w:val="none"/>
        </w:rPr>
        <w:t>（1）投标人在“苏采云”系统规定的时间内未成功解密电子投标文件的；</w:t>
      </w:r>
    </w:p>
    <w:p w14:paraId="480ADA56">
      <w:pPr>
        <w:spacing w:line="360" w:lineRule="auto"/>
        <w:ind w:firstLine="315" w:firstLineChars="150"/>
        <w:jc w:val="left"/>
        <w:rPr>
          <w:rFonts w:hint="default" w:ascii="Times New Roman" w:hAnsi="Times New Roman" w:eastAsia="宋体" w:cs="Times New Roman"/>
          <w:bCs w:val="0"/>
          <w:color w:val="auto"/>
          <w:kern w:val="2"/>
          <w:szCs w:val="21"/>
          <w:highlight w:val="none"/>
          <w:lang w:eastAsia="zh-CN"/>
        </w:rPr>
      </w:pPr>
      <w:r>
        <w:rPr>
          <w:rFonts w:hint="default" w:ascii="Times New Roman" w:hAnsi="Times New Roman" w:cs="Times New Roman"/>
          <w:bCs w:val="0"/>
          <w:color w:val="auto"/>
          <w:kern w:val="2"/>
          <w:szCs w:val="21"/>
          <w:highlight w:val="none"/>
        </w:rPr>
        <w:t>（2）投标人未按照招标文件要求上传电子投标文件的</w:t>
      </w:r>
      <w:r>
        <w:rPr>
          <w:rFonts w:hint="default" w:cs="Times New Roman"/>
          <w:bCs w:val="0"/>
          <w:color w:val="auto"/>
          <w:kern w:val="2"/>
          <w:szCs w:val="21"/>
          <w:highlight w:val="none"/>
          <w:lang w:eastAsia="zh-CN"/>
        </w:rPr>
        <w:t>；</w:t>
      </w:r>
    </w:p>
    <w:p w14:paraId="71B69192">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default" w:cs="Times New Roman"/>
          <w:color w:val="auto"/>
          <w:szCs w:val="21"/>
          <w:highlight w:val="none"/>
          <w:lang w:val="en-US" w:eastAsia="zh-CN"/>
        </w:rPr>
        <w:t>3</w:t>
      </w:r>
      <w:r>
        <w:rPr>
          <w:rFonts w:hint="default" w:ascii="Times New Roman" w:hAnsi="Times New Roman" w:cs="Times New Roman"/>
          <w:color w:val="auto"/>
          <w:szCs w:val="21"/>
          <w:highlight w:val="none"/>
        </w:rPr>
        <w:t>）未按照招标文件规定要求签署、盖章的；</w:t>
      </w:r>
    </w:p>
    <w:p w14:paraId="5B0D15A0">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4</w:t>
      </w:r>
      <w:r>
        <w:rPr>
          <w:rFonts w:hint="default" w:ascii="Times New Roman" w:hAnsi="Times New Roman" w:cs="Times New Roman"/>
          <w:color w:val="auto"/>
          <w:szCs w:val="21"/>
          <w:highlight w:val="none"/>
        </w:rPr>
        <w:t>）报价超过招标文件中规定的预算金额或者最高限价的；</w:t>
      </w:r>
    </w:p>
    <w:p w14:paraId="68A57222">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5</w:t>
      </w:r>
      <w:r>
        <w:rPr>
          <w:rFonts w:hint="default" w:ascii="Times New Roman" w:hAnsi="Times New Roman" w:cs="Times New Roman"/>
          <w:color w:val="auto"/>
          <w:szCs w:val="21"/>
          <w:highlight w:val="none"/>
        </w:rPr>
        <w:t>）投标文件中承诺的投标有效期不满足招标文件中载明的投标有效期的；</w:t>
      </w:r>
    </w:p>
    <w:p w14:paraId="479B8524">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6</w:t>
      </w:r>
      <w:r>
        <w:rPr>
          <w:rFonts w:hint="default" w:ascii="Times New Roman" w:hAnsi="Times New Roman" w:cs="Times New Roman"/>
          <w:color w:val="auto"/>
          <w:szCs w:val="21"/>
          <w:highlight w:val="none"/>
        </w:rPr>
        <w:t>）未按照招标文件规定提交投标保证金的；</w:t>
      </w:r>
    </w:p>
    <w:p w14:paraId="42B444C1">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7</w:t>
      </w:r>
      <w:r>
        <w:rPr>
          <w:rFonts w:hint="default" w:ascii="Times New Roman" w:hAnsi="Times New Roman" w:cs="Times New Roman"/>
          <w:color w:val="auto"/>
          <w:szCs w:val="21"/>
          <w:highlight w:val="none"/>
        </w:rPr>
        <w:t>）投标文件含有采购人不能接受的附加条件的；</w:t>
      </w:r>
    </w:p>
    <w:p w14:paraId="432708CB">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8</w:t>
      </w:r>
      <w:r>
        <w:rPr>
          <w:rFonts w:hint="default" w:ascii="Times New Roman" w:hAnsi="Times New Roman" w:cs="Times New Roman"/>
          <w:color w:val="auto"/>
          <w:szCs w:val="21"/>
          <w:highlight w:val="none"/>
        </w:rPr>
        <w:t>）投标文件不符合招标文件中规定的其它实质性要求的；</w:t>
      </w:r>
    </w:p>
    <w:p w14:paraId="4996AE52">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9</w:t>
      </w:r>
      <w:r>
        <w:rPr>
          <w:rFonts w:hint="default" w:ascii="Times New Roman" w:hAnsi="Times New Roman" w:cs="Times New Roman"/>
          <w:color w:val="auto"/>
          <w:szCs w:val="21"/>
          <w:highlight w:val="none"/>
        </w:rPr>
        <w:t>）现行法律、法规、规章和招标文件规定的其他无效情形。</w:t>
      </w:r>
    </w:p>
    <w:bookmarkEnd w:id="222"/>
    <w:p w14:paraId="30B5776A">
      <w:pPr>
        <w:pStyle w:val="4"/>
        <w:spacing w:before="0" w:after="0" w:line="360" w:lineRule="auto"/>
        <w:ind w:left="0" w:leftChars="0" w:right="210"/>
        <w:rPr>
          <w:rFonts w:hint="default" w:ascii="Times New Roman" w:hAnsi="Times New Roman" w:cs="Times New Roman"/>
          <w:color w:val="auto"/>
          <w:highlight w:val="none"/>
        </w:rPr>
      </w:pPr>
      <w:bookmarkStart w:id="237" w:name="_Toc103848557"/>
      <w:bookmarkStart w:id="238" w:name="_Toc107246251"/>
      <w:bookmarkStart w:id="239" w:name="_Toc27733"/>
      <w:bookmarkStart w:id="240" w:name="_Toc104560872"/>
      <w:r>
        <w:rPr>
          <w:rFonts w:hint="default" w:ascii="Times New Roman" w:hAnsi="Times New Roman" w:cs="Times New Roman"/>
          <w:color w:val="auto"/>
          <w:highlight w:val="none"/>
        </w:rPr>
        <w:t>30.3投标文件澄清</w:t>
      </w:r>
      <w:bookmarkEnd w:id="237"/>
      <w:bookmarkEnd w:id="238"/>
      <w:bookmarkEnd w:id="239"/>
      <w:bookmarkEnd w:id="240"/>
    </w:p>
    <w:p w14:paraId="007E296F">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30.3.1对于投标文件中含义不明确、同类问题表述不一致或者有明显文字和计算错误的内容，评标委员会应当以书面形式要求投标人作出必要的澄清、说明或者补正。</w:t>
      </w:r>
    </w:p>
    <w:p w14:paraId="0581AE6F">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30.3.2投标人的澄清、说明或者补正应当采用书面形式，并加盖公章，或者由法定代表人或其授权的代表签字。投标人的澄清、说明或者补正不得超出投标文件的范围或者改变投标文件的实质性内容。</w:t>
      </w:r>
    </w:p>
    <w:p w14:paraId="7B2E3E4D">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30.3.3评标委员会不接受投标人主动提出的澄清、说明。</w:t>
      </w:r>
    </w:p>
    <w:p w14:paraId="25AADBD8">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30.3.4有效的书面澄清材料，是投标文件的补充材料，成为投标文件的组成部分。</w:t>
      </w:r>
    </w:p>
    <w:p w14:paraId="07D4C371">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30.3.5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ABC7DA7">
      <w:pPr>
        <w:pStyle w:val="4"/>
        <w:spacing w:before="0" w:after="0" w:line="360" w:lineRule="auto"/>
        <w:ind w:left="0" w:leftChars="0" w:right="210"/>
        <w:rPr>
          <w:rFonts w:hint="default" w:ascii="Times New Roman" w:hAnsi="Times New Roman" w:cs="Times New Roman"/>
          <w:color w:val="auto"/>
          <w:highlight w:val="none"/>
        </w:rPr>
      </w:pPr>
      <w:bookmarkStart w:id="241" w:name="_Toc107246252"/>
      <w:bookmarkStart w:id="242" w:name="_Toc14800"/>
      <w:r>
        <w:rPr>
          <w:rFonts w:hint="default" w:ascii="Times New Roman" w:hAnsi="Times New Roman" w:cs="Times New Roman"/>
          <w:color w:val="auto"/>
          <w:highlight w:val="none"/>
        </w:rPr>
        <w:t>30.4</w:t>
      </w:r>
      <w:bookmarkEnd w:id="241"/>
      <w:r>
        <w:rPr>
          <w:rFonts w:hint="default" w:ascii="Times New Roman" w:hAnsi="Times New Roman" w:cs="Times New Roman"/>
          <w:color w:val="auto"/>
          <w:highlight w:val="none"/>
        </w:rPr>
        <w:t>报价修正</w:t>
      </w:r>
      <w:bookmarkEnd w:id="242"/>
    </w:p>
    <w:p w14:paraId="4691918C">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30.4.1投标文件报价出现前后不一致的，除招标文件另有规定外，按照下列规定修正：</w:t>
      </w:r>
    </w:p>
    <w:p w14:paraId="1A5EA101">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（1）投标文件中开标一览表（报价表）内容与投标文件中相应内容不一致的，以开标一览表（报价表）为准；</w:t>
      </w:r>
    </w:p>
    <w:p w14:paraId="4010F5A8">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（2）大写金额和小写金额不一致的，以大写金额为准；</w:t>
      </w:r>
    </w:p>
    <w:p w14:paraId="399BD429">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（3）单价金额小数点或者百分比有明显错位的，以开标一览表的总价为准，并修改单价；</w:t>
      </w:r>
    </w:p>
    <w:p w14:paraId="70FE2A70">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（4）总价金额与按单价汇总金额不一致的，以单价金额计算结果为准。</w:t>
      </w:r>
    </w:p>
    <w:p w14:paraId="253FE957">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同时出现两种以上不一致的，按照前款规定的顺序修正。修正后的报价按照上述规定经投标人确认后产生约束力，投标人不确认的，其投标无效。</w:t>
      </w:r>
    </w:p>
    <w:p w14:paraId="343321AB">
      <w:pPr>
        <w:pStyle w:val="4"/>
        <w:spacing w:before="0" w:after="0" w:line="360" w:lineRule="auto"/>
        <w:ind w:left="0" w:leftChars="0" w:right="210"/>
        <w:rPr>
          <w:rFonts w:hint="default" w:ascii="Times New Roman" w:hAnsi="Times New Roman" w:cs="Times New Roman"/>
          <w:color w:val="auto"/>
          <w:highlight w:val="none"/>
        </w:rPr>
      </w:pPr>
      <w:bookmarkStart w:id="243" w:name="_Toc103848558"/>
      <w:bookmarkStart w:id="244" w:name="_Toc104560873"/>
      <w:bookmarkStart w:id="245" w:name="_Toc107246253"/>
      <w:bookmarkStart w:id="246" w:name="_Toc12814"/>
      <w:r>
        <w:rPr>
          <w:rFonts w:hint="default" w:ascii="Times New Roman" w:hAnsi="Times New Roman" w:cs="Times New Roman"/>
          <w:color w:val="auto"/>
          <w:highlight w:val="none"/>
        </w:rPr>
        <w:t>30.5同品牌多家投标人处理原则</w:t>
      </w:r>
      <w:bookmarkEnd w:id="243"/>
      <w:bookmarkEnd w:id="244"/>
      <w:bookmarkEnd w:id="245"/>
      <w:bookmarkEnd w:id="246"/>
    </w:p>
    <w:p w14:paraId="34714D3A">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B747331">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27984C5">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30.5.3非单一产品采购项目，根据采购项目技术构成、产品价格比重等合理确定核心产品，核心产品见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。多家投标人提供的核心产品品牌相同的，按前两款规定处理。</w:t>
      </w:r>
    </w:p>
    <w:p w14:paraId="38CBA0FA">
      <w:pPr>
        <w:pStyle w:val="4"/>
        <w:spacing w:before="0" w:after="0" w:line="360" w:lineRule="auto"/>
        <w:ind w:left="0" w:leftChars="0" w:right="210"/>
        <w:rPr>
          <w:rFonts w:hint="default" w:ascii="Times New Roman" w:hAnsi="Times New Roman" w:cs="Times New Roman"/>
          <w:color w:val="auto"/>
          <w:highlight w:val="none"/>
        </w:rPr>
      </w:pPr>
      <w:bookmarkStart w:id="247" w:name="_Toc104560874"/>
      <w:bookmarkStart w:id="248" w:name="_Toc103848559"/>
      <w:bookmarkStart w:id="249" w:name="_Toc7674"/>
      <w:bookmarkStart w:id="250" w:name="_Toc107246254"/>
      <w:r>
        <w:rPr>
          <w:rFonts w:hint="default" w:ascii="Times New Roman" w:hAnsi="Times New Roman" w:cs="Times New Roman"/>
          <w:color w:val="auto"/>
          <w:highlight w:val="none"/>
        </w:rPr>
        <w:t>30.6比较与评价</w:t>
      </w:r>
      <w:bookmarkEnd w:id="247"/>
      <w:bookmarkEnd w:id="248"/>
      <w:bookmarkEnd w:id="249"/>
      <w:bookmarkEnd w:id="250"/>
    </w:p>
    <w:p w14:paraId="42E44A41">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30.6.1评标委员会应当按照招标文件中第五章《评标方法和评标标准》，对符合性审查合格的投标文件进行比较与评价。</w:t>
      </w:r>
    </w:p>
    <w:p w14:paraId="0362CCE3">
      <w:pPr>
        <w:pStyle w:val="4"/>
        <w:spacing w:before="0" w:after="0" w:line="360" w:lineRule="auto"/>
        <w:ind w:left="0" w:leftChars="0" w:right="210"/>
        <w:rPr>
          <w:rFonts w:hint="default" w:ascii="Times New Roman" w:hAnsi="Times New Roman" w:cs="Times New Roman"/>
          <w:color w:val="auto"/>
          <w:highlight w:val="none"/>
        </w:rPr>
      </w:pPr>
      <w:bookmarkStart w:id="251" w:name="_Toc14387"/>
      <w:bookmarkStart w:id="252" w:name="_Toc107246255"/>
      <w:r>
        <w:rPr>
          <w:rFonts w:hint="default" w:ascii="Times New Roman" w:hAnsi="Times New Roman" w:cs="Times New Roman"/>
          <w:color w:val="auto"/>
          <w:highlight w:val="none"/>
        </w:rPr>
        <w:t>30.7编写评标报告</w:t>
      </w:r>
      <w:bookmarkEnd w:id="251"/>
      <w:bookmarkEnd w:id="252"/>
    </w:p>
    <w:p w14:paraId="7B067A26">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30.7.1评标委员会根据全体评标成员签字的原始评标记录和评标结果编写评标报告。</w:t>
      </w:r>
    </w:p>
    <w:p w14:paraId="7E4F7466">
      <w:pPr>
        <w:pStyle w:val="4"/>
        <w:tabs>
          <w:tab w:val="left" w:pos="5882"/>
        </w:tabs>
        <w:spacing w:before="0" w:after="0" w:line="360" w:lineRule="auto"/>
        <w:ind w:left="0" w:leftChars="0" w:right="210"/>
        <w:rPr>
          <w:rFonts w:hint="default" w:ascii="Times New Roman" w:hAnsi="Times New Roman" w:cs="Times New Roman"/>
          <w:color w:val="auto"/>
          <w:highlight w:val="none"/>
        </w:rPr>
      </w:pPr>
      <w:bookmarkStart w:id="253" w:name="_Toc107246256"/>
      <w:bookmarkStart w:id="254" w:name="_Toc103848561"/>
      <w:bookmarkStart w:id="255" w:name="_Toc104560876"/>
      <w:bookmarkStart w:id="256" w:name="_Toc31678"/>
      <w:r>
        <w:rPr>
          <w:rFonts w:hint="default" w:ascii="Times New Roman" w:hAnsi="Times New Roman" w:cs="Times New Roman"/>
          <w:color w:val="auto"/>
          <w:highlight w:val="none"/>
        </w:rPr>
        <w:t>30.8评标过程的保密</w:t>
      </w:r>
      <w:bookmarkEnd w:id="253"/>
      <w:bookmarkEnd w:id="254"/>
      <w:bookmarkEnd w:id="255"/>
      <w:bookmarkEnd w:id="256"/>
      <w:r>
        <w:rPr>
          <w:rFonts w:hint="default" w:ascii="Times New Roman" w:hAnsi="Times New Roman" w:cs="Times New Roman"/>
          <w:color w:val="auto"/>
          <w:highlight w:val="none"/>
        </w:rPr>
        <w:tab/>
      </w:r>
    </w:p>
    <w:p w14:paraId="1AAC17E2">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30.8.1评标委员会成员名单在评标结果公示前应当保密。</w:t>
      </w:r>
    </w:p>
    <w:p w14:paraId="41996276">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30.8.2采购方应当采取必要的措施，保证评标在严格保密的情况下进行。</w:t>
      </w:r>
    </w:p>
    <w:p w14:paraId="4FAEEB71">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30.8.3有关人员对评标情况以及在评标过程中获悉的国家秘密、商业秘密负有保密责任。</w:t>
      </w:r>
    </w:p>
    <w:p w14:paraId="066126ED">
      <w:pPr>
        <w:pStyle w:val="4"/>
        <w:spacing w:before="0" w:after="0" w:line="360" w:lineRule="auto"/>
        <w:ind w:left="0" w:leftChars="0" w:right="210"/>
        <w:rPr>
          <w:rFonts w:hint="default" w:ascii="Times New Roman" w:hAnsi="Times New Roman" w:cs="Times New Roman"/>
          <w:color w:val="auto"/>
          <w:highlight w:val="none"/>
        </w:rPr>
      </w:pPr>
      <w:bookmarkStart w:id="257" w:name="_Toc13796"/>
      <w:r>
        <w:rPr>
          <w:rFonts w:hint="default" w:ascii="Times New Roman" w:hAnsi="Times New Roman" w:cs="Times New Roman"/>
          <w:color w:val="auto"/>
          <w:highlight w:val="none"/>
        </w:rPr>
        <w:t>六．确定中标</w:t>
      </w:r>
      <w:bookmarkEnd w:id="257"/>
    </w:p>
    <w:p w14:paraId="0A67129C">
      <w:pPr>
        <w:pStyle w:val="4"/>
        <w:spacing w:before="0" w:after="0" w:line="360" w:lineRule="auto"/>
        <w:ind w:left="0" w:leftChars="0" w:right="210"/>
        <w:rPr>
          <w:rFonts w:hint="default" w:ascii="Times New Roman" w:hAnsi="Times New Roman" w:cs="Times New Roman"/>
          <w:color w:val="auto"/>
          <w:highlight w:val="none"/>
        </w:rPr>
      </w:pPr>
      <w:bookmarkStart w:id="258" w:name="_Toc103848563"/>
      <w:bookmarkStart w:id="259" w:name="_Toc104560878"/>
      <w:bookmarkStart w:id="260" w:name="_Toc107246258"/>
      <w:bookmarkStart w:id="261" w:name="_Toc1740"/>
      <w:r>
        <w:rPr>
          <w:rFonts w:hint="default" w:ascii="Times New Roman" w:hAnsi="Times New Roman" w:cs="Times New Roman"/>
          <w:color w:val="auto"/>
          <w:highlight w:val="none"/>
        </w:rPr>
        <w:t>31.确定中标</w:t>
      </w:r>
      <w:bookmarkEnd w:id="258"/>
      <w:bookmarkEnd w:id="259"/>
      <w:r>
        <w:rPr>
          <w:rFonts w:hint="default" w:ascii="Times New Roman" w:hAnsi="Times New Roman" w:cs="Times New Roman"/>
          <w:color w:val="auto"/>
          <w:highlight w:val="none"/>
        </w:rPr>
        <w:t>人</w:t>
      </w:r>
      <w:bookmarkEnd w:id="260"/>
      <w:bookmarkEnd w:id="261"/>
    </w:p>
    <w:p w14:paraId="5AC2F8B1">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31.1采用最低评标价法的，评标结果按投标报价由低到高顺序排列。投标报价相同的并列。投标文件满足招标文件全部实质性要求且投标报价最低的投标人为排名第一的中标候选人。</w:t>
      </w:r>
    </w:p>
    <w:p w14:paraId="3C8FC5B7">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8CC89C7">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p w14:paraId="4AE0ACEC">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31.4评审结束后，中标人名单</w:t>
      </w:r>
      <w:r>
        <w:rPr>
          <w:rFonts w:hint="eastAsia" w:cs="Times New Roman"/>
          <w:color w:val="auto"/>
          <w:szCs w:val="21"/>
          <w:highlight w:val="none"/>
          <w:lang w:eastAsia="zh-CN"/>
        </w:rPr>
        <w:t>将在</w:t>
      </w:r>
      <w:r>
        <w:rPr>
          <w:rFonts w:hint="default" w:ascii="Times New Roman" w:hAnsi="Times New Roman" w:cs="Times New Roman"/>
          <w:color w:val="auto"/>
          <w:szCs w:val="21"/>
          <w:highlight w:val="none"/>
        </w:rPr>
        <w:t>省级以上财政部门指定的媒体上公告中标结果，中标公告期为1个工作日，公告媒体见</w:t>
      </w:r>
      <w:r>
        <w:rPr>
          <w:rFonts w:hint="default" w:ascii="Times New Roman" w:hAnsi="Times New Roman" w:cs="Times New Roman"/>
          <w:b/>
          <w:color w:val="auto"/>
          <w:szCs w:val="21"/>
          <w:highlight w:val="none"/>
        </w:rPr>
        <w:t>投标人须知前附表。</w:t>
      </w:r>
    </w:p>
    <w:p w14:paraId="4AD32205">
      <w:pPr>
        <w:pStyle w:val="4"/>
        <w:spacing w:before="0" w:after="0" w:line="360" w:lineRule="auto"/>
        <w:ind w:left="0" w:leftChars="0" w:right="210"/>
        <w:rPr>
          <w:rFonts w:hint="default" w:ascii="Times New Roman" w:hAnsi="Times New Roman" w:cs="Times New Roman"/>
          <w:color w:val="auto"/>
          <w:highlight w:val="none"/>
        </w:rPr>
      </w:pPr>
      <w:bookmarkStart w:id="262" w:name="_Toc11513"/>
      <w:bookmarkStart w:id="263" w:name="_Toc104560879"/>
      <w:bookmarkStart w:id="264" w:name="_Toc107246259"/>
      <w:bookmarkStart w:id="265" w:name="_Toc103848564"/>
      <w:r>
        <w:rPr>
          <w:rFonts w:hint="default" w:ascii="Times New Roman" w:hAnsi="Times New Roman" w:cs="Times New Roman"/>
          <w:color w:val="auto"/>
          <w:highlight w:val="none"/>
        </w:rPr>
        <w:t>32.中标通知书</w:t>
      </w:r>
      <w:bookmarkEnd w:id="262"/>
      <w:bookmarkEnd w:id="263"/>
      <w:bookmarkEnd w:id="264"/>
      <w:bookmarkEnd w:id="265"/>
    </w:p>
    <w:p w14:paraId="2A4CEE48">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32.1采购代理机构将在中标公告发布的同时向中标人发出中标通知书。</w:t>
      </w:r>
    </w:p>
    <w:p w14:paraId="44241D0B">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32.2中标通知书将是合同的组成部分。对采购人和中标人均具有法律效力。</w:t>
      </w:r>
    </w:p>
    <w:p w14:paraId="5E998F25">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32.3</w:t>
      </w:r>
      <w:bookmarkStart w:id="266" w:name="_Toc103848560"/>
      <w:bookmarkStart w:id="267" w:name="_Toc104560875"/>
      <w:r>
        <w:rPr>
          <w:rFonts w:hint="default" w:ascii="Times New Roman" w:hAnsi="Times New Roman" w:cs="Times New Roman"/>
          <w:color w:val="auto"/>
          <w:szCs w:val="21"/>
          <w:highlight w:val="none"/>
        </w:rPr>
        <w:t>中标通知书发出后，中标人无正当理由不得放弃中标，否则将依法承担法律责任。</w:t>
      </w:r>
    </w:p>
    <w:p w14:paraId="071D4AC7">
      <w:pPr>
        <w:pStyle w:val="4"/>
        <w:spacing w:before="0" w:after="0" w:line="360" w:lineRule="auto"/>
        <w:ind w:left="0" w:leftChars="0" w:right="210"/>
        <w:rPr>
          <w:rFonts w:hint="default" w:ascii="Times New Roman" w:hAnsi="Times New Roman" w:cs="Times New Roman"/>
          <w:color w:val="auto"/>
          <w:highlight w:val="none"/>
        </w:rPr>
      </w:pPr>
      <w:bookmarkStart w:id="268" w:name="_Toc27379"/>
      <w:bookmarkStart w:id="269" w:name="_Toc107246260"/>
      <w:r>
        <w:rPr>
          <w:rFonts w:hint="default" w:ascii="Times New Roman" w:hAnsi="Times New Roman" w:cs="Times New Roman"/>
          <w:color w:val="auto"/>
          <w:highlight w:val="none"/>
        </w:rPr>
        <w:t>33.废标</w:t>
      </w:r>
      <w:bookmarkEnd w:id="266"/>
      <w:bookmarkEnd w:id="267"/>
      <w:bookmarkEnd w:id="268"/>
      <w:bookmarkEnd w:id="269"/>
    </w:p>
    <w:p w14:paraId="0A0C25BE">
      <w:pPr>
        <w:spacing w:line="360" w:lineRule="auto"/>
        <w:ind w:firstLine="316" w:firstLineChars="150"/>
        <w:jc w:val="lef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★33.1出现下列情形之一的，应予废标：</w:t>
      </w:r>
    </w:p>
    <w:p w14:paraId="563AE535">
      <w:pPr>
        <w:spacing w:line="360" w:lineRule="auto"/>
        <w:ind w:firstLine="315" w:firstLineChars="150"/>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（1）符合专业条件的投标人或者对招标文件作实质响应的投标人不足三家的；</w:t>
      </w:r>
    </w:p>
    <w:p w14:paraId="1D2143DB">
      <w:pPr>
        <w:spacing w:line="360" w:lineRule="auto"/>
        <w:ind w:firstLine="315" w:firstLineChars="150"/>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（2）出现影响采购公正的违法、违规行为的；</w:t>
      </w:r>
    </w:p>
    <w:p w14:paraId="22DBD200">
      <w:pPr>
        <w:spacing w:line="360" w:lineRule="auto"/>
        <w:ind w:firstLine="315" w:firstLineChars="150"/>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（3）投标人的报价均超过了采购预算，采购人不能支付的；</w:t>
      </w:r>
    </w:p>
    <w:p w14:paraId="1E78EF4F">
      <w:pPr>
        <w:spacing w:line="360" w:lineRule="auto"/>
        <w:ind w:firstLine="315" w:firstLineChars="150"/>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（4）因重大变故，采购任务取消的。</w:t>
      </w:r>
    </w:p>
    <w:p w14:paraId="519FD170">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33.2废标后，采购人将废标理由通知所有投标人。</w:t>
      </w:r>
    </w:p>
    <w:p w14:paraId="6DAF6235">
      <w:pPr>
        <w:pStyle w:val="4"/>
        <w:spacing w:before="0" w:after="0" w:line="360" w:lineRule="auto"/>
        <w:ind w:left="0" w:leftChars="0" w:right="210"/>
        <w:rPr>
          <w:rFonts w:hint="default" w:ascii="Times New Roman" w:hAnsi="Times New Roman" w:cs="Times New Roman"/>
          <w:color w:val="auto"/>
          <w:highlight w:val="none"/>
        </w:rPr>
      </w:pPr>
      <w:bookmarkStart w:id="270" w:name="_Toc103848565"/>
      <w:bookmarkStart w:id="271" w:name="_Toc28147"/>
      <w:bookmarkStart w:id="272" w:name="_Toc104560880"/>
      <w:bookmarkStart w:id="273" w:name="_Toc107246261"/>
      <w:bookmarkStart w:id="274" w:name="_Toc20823309"/>
      <w:bookmarkStart w:id="275" w:name="_Toc16938553"/>
      <w:bookmarkStart w:id="276" w:name="_Toc513029237"/>
      <w:r>
        <w:rPr>
          <w:rFonts w:hint="default" w:ascii="Times New Roman" w:hAnsi="Times New Roman" w:cs="Times New Roman"/>
          <w:color w:val="auto"/>
          <w:highlight w:val="none"/>
        </w:rPr>
        <w:t>34.签订合同</w:t>
      </w:r>
      <w:bookmarkEnd w:id="270"/>
      <w:bookmarkEnd w:id="271"/>
      <w:bookmarkEnd w:id="272"/>
      <w:bookmarkEnd w:id="273"/>
    </w:p>
    <w:p w14:paraId="5AC1DE3C">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34.1中标人、采购人应当自中标通知书发出之日起30日内，按照招标文件和中标人投标文件的规定签订书面合同。所签订的合同不得对招标文件确定的事项和中标人投标文件作实质性修改。</w:t>
      </w:r>
    </w:p>
    <w:p w14:paraId="0D6FE3AC">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34.2中标人拒绝与采购人签订合同的，采购人可以按照评标报告推荐的中标候选人名单排序，确定下一候选人为中标人，也可以重新开展政府采购活动。</w:t>
      </w:r>
    </w:p>
    <w:p w14:paraId="04683E0B">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34.3联合体中标的，联合体各方应当共同与采购人签订合同，就中标项目向采购人承担连带责任。</w:t>
      </w:r>
    </w:p>
    <w:p w14:paraId="161341D4">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34.4政府采购合同不能转包。未经采购人同意，中标人也不得采用分包的形式履行合同，否则采购人有权终止合同。转包或分包造成采购人损失的，中标人应承担相应赔偿责任。</w:t>
      </w:r>
    </w:p>
    <w:p w14:paraId="28E976C9">
      <w:pPr>
        <w:pStyle w:val="4"/>
        <w:spacing w:before="0" w:after="0" w:line="360" w:lineRule="auto"/>
        <w:ind w:left="0" w:leftChars="0" w:right="210"/>
        <w:rPr>
          <w:rFonts w:hint="default" w:ascii="Times New Roman" w:hAnsi="Times New Roman" w:cs="Times New Roman"/>
          <w:color w:val="auto"/>
          <w:szCs w:val="21"/>
          <w:highlight w:val="none"/>
        </w:rPr>
      </w:pPr>
      <w:bookmarkStart w:id="277" w:name="_Toc107246262"/>
      <w:bookmarkStart w:id="278" w:name="_Toc103848567"/>
      <w:bookmarkStart w:id="279" w:name="_Toc104560881"/>
      <w:bookmarkStart w:id="280" w:name="_Toc730"/>
      <w:r>
        <w:rPr>
          <w:rFonts w:hint="default" w:ascii="Times New Roman" w:hAnsi="Times New Roman" w:cs="Times New Roman"/>
          <w:color w:val="auto"/>
          <w:szCs w:val="21"/>
          <w:highlight w:val="none"/>
        </w:rPr>
        <w:t>35.履约保证金</w:t>
      </w:r>
      <w:bookmarkEnd w:id="277"/>
      <w:bookmarkEnd w:id="278"/>
      <w:bookmarkEnd w:id="279"/>
      <w:bookmarkEnd w:id="280"/>
    </w:p>
    <w:p w14:paraId="5DC74246">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35.1本项目是否缴纳履约保证金见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4D0514B6">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35.2</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规定交纳履约保证金的，中标人在签订采购合同前，向采购人提交履约保证金。联合体成交的，履约保证金以联合体各方或联合体中牵头人的名义提交。</w:t>
      </w:r>
    </w:p>
    <w:p w14:paraId="33CEFDA2">
      <w:pPr>
        <w:spacing w:line="360" w:lineRule="auto"/>
        <w:ind w:firstLine="422" w:firstLineChars="200"/>
        <w:jc w:val="left"/>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color w:val="auto"/>
          <w:szCs w:val="21"/>
          <w:highlight w:val="none"/>
        </w:rPr>
        <w:t>35.3中标人没有按照</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的规定提交履约保证金的，视为放弃中标，其投标保证金不予退还。</w:t>
      </w:r>
    </w:p>
    <w:bookmarkEnd w:id="274"/>
    <w:bookmarkEnd w:id="275"/>
    <w:bookmarkEnd w:id="276"/>
    <w:p w14:paraId="586759CA">
      <w:pPr>
        <w:pStyle w:val="4"/>
        <w:spacing w:before="0" w:after="0" w:line="360" w:lineRule="auto"/>
        <w:ind w:left="0" w:leftChars="0" w:right="210"/>
        <w:rPr>
          <w:rFonts w:hint="default" w:ascii="Times New Roman" w:hAnsi="Times New Roman" w:cs="Times New Roman"/>
          <w:color w:val="auto"/>
          <w:highlight w:val="none"/>
        </w:rPr>
      </w:pPr>
      <w:bookmarkStart w:id="281" w:name="_Toc11360"/>
      <w:r>
        <w:rPr>
          <w:rFonts w:hint="default" w:ascii="Times New Roman" w:hAnsi="Times New Roman" w:cs="Times New Roman"/>
          <w:color w:val="auto"/>
          <w:highlight w:val="none"/>
        </w:rPr>
        <w:t>七．</w:t>
      </w:r>
      <w:bookmarkStart w:id="282" w:name="_Toc103848569"/>
      <w:r>
        <w:rPr>
          <w:rFonts w:hint="default" w:ascii="Times New Roman" w:hAnsi="Times New Roman" w:cs="Times New Roman"/>
          <w:color w:val="auto"/>
          <w:highlight w:val="none"/>
        </w:rPr>
        <w:t>询问与质疑</w:t>
      </w:r>
      <w:bookmarkEnd w:id="281"/>
    </w:p>
    <w:bookmarkEnd w:id="282"/>
    <w:p w14:paraId="09A98F05">
      <w:pPr>
        <w:pStyle w:val="4"/>
        <w:spacing w:before="0" w:after="0" w:line="360" w:lineRule="auto"/>
        <w:ind w:left="0" w:leftChars="0" w:right="210"/>
        <w:rPr>
          <w:rFonts w:hint="default" w:ascii="Times New Roman" w:hAnsi="Times New Roman" w:cs="Times New Roman"/>
          <w:color w:val="auto"/>
          <w:szCs w:val="21"/>
          <w:highlight w:val="none"/>
        </w:rPr>
      </w:pPr>
      <w:bookmarkStart w:id="283" w:name="_Toc107246264"/>
      <w:bookmarkStart w:id="284" w:name="_Toc104560883"/>
      <w:bookmarkStart w:id="285" w:name="_Toc29011"/>
      <w:bookmarkStart w:id="286" w:name="_Toc102117305"/>
      <w:r>
        <w:rPr>
          <w:rFonts w:hint="default" w:ascii="Times New Roman" w:hAnsi="Times New Roman" w:cs="Times New Roman"/>
          <w:color w:val="auto"/>
          <w:szCs w:val="21"/>
          <w:highlight w:val="none"/>
        </w:rPr>
        <w:t>36.询问</w:t>
      </w:r>
      <w:bookmarkEnd w:id="283"/>
      <w:bookmarkEnd w:id="284"/>
      <w:bookmarkEnd w:id="285"/>
      <w:bookmarkEnd w:id="286"/>
    </w:p>
    <w:p w14:paraId="2B6769F0">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36.1投标人对政府采购活动事项有疑问的，可依法提出询问。</w:t>
      </w:r>
    </w:p>
    <w:p w14:paraId="7E73FE2D">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36.2采购方对投标人依法提出的询问，在3个工作日内作出答复，但答复的内容不得涉及商业秘密。</w:t>
      </w:r>
    </w:p>
    <w:p w14:paraId="5AA158D3">
      <w:pPr>
        <w:pStyle w:val="4"/>
        <w:spacing w:before="0" w:after="0" w:line="360" w:lineRule="auto"/>
        <w:ind w:left="0" w:leftChars="0" w:right="210"/>
        <w:rPr>
          <w:rFonts w:hint="default" w:ascii="Times New Roman" w:hAnsi="Times New Roman" w:cs="Times New Roman"/>
          <w:color w:val="auto"/>
          <w:szCs w:val="21"/>
          <w:highlight w:val="none"/>
        </w:rPr>
      </w:pPr>
      <w:bookmarkStart w:id="287" w:name="_Toc104560884"/>
      <w:bookmarkStart w:id="288" w:name="_Toc12120"/>
      <w:bookmarkStart w:id="289" w:name="_Toc107246265"/>
      <w:bookmarkStart w:id="290" w:name="_Toc102117306"/>
      <w:r>
        <w:rPr>
          <w:rFonts w:hint="default" w:ascii="Times New Roman" w:hAnsi="Times New Roman" w:cs="Times New Roman"/>
          <w:color w:val="auto"/>
          <w:szCs w:val="21"/>
          <w:highlight w:val="none"/>
        </w:rPr>
        <w:t>37.质疑</w:t>
      </w:r>
      <w:bookmarkEnd w:id="287"/>
      <w:bookmarkEnd w:id="288"/>
      <w:bookmarkEnd w:id="289"/>
      <w:bookmarkEnd w:id="290"/>
    </w:p>
    <w:p w14:paraId="18955CFE">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37.1投标人认为采购文件、采购过程和成交结果使自己的权益受到损害的，可以在知道或者应知其权益受到损害之日起7个工作日内，以</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的要求向采购方提出质疑。采购方将以书面形式答复质疑投标人，但答复的内容不涉及商业秘密。投标人在法定质疑期内针对同一采购程序环节的质疑必须一次性提出。</w:t>
      </w:r>
    </w:p>
    <w:p w14:paraId="0F4A9A0D">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37.2以联合体形式参加投标的，应当由组成联合体的所有投标人共同提出。</w:t>
      </w:r>
    </w:p>
    <w:p w14:paraId="761A486A">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37.3质疑函应使用财政部制定的范本文件。</w:t>
      </w:r>
    </w:p>
    <w:p w14:paraId="0709FB8B">
      <w:pPr>
        <w:pStyle w:val="4"/>
        <w:spacing w:before="0" w:after="0" w:line="360" w:lineRule="auto"/>
        <w:ind w:left="0" w:leftChars="0" w:right="210"/>
        <w:rPr>
          <w:rFonts w:hint="default" w:ascii="Times New Roman" w:hAnsi="Times New Roman" w:cs="Times New Roman"/>
          <w:color w:val="auto"/>
          <w:highlight w:val="none"/>
        </w:rPr>
      </w:pPr>
      <w:bookmarkStart w:id="291" w:name="_Toc6748"/>
      <w:r>
        <w:rPr>
          <w:rFonts w:hint="default" w:ascii="Times New Roman" w:hAnsi="Times New Roman" w:cs="Times New Roman"/>
          <w:color w:val="auto"/>
          <w:highlight w:val="none"/>
        </w:rPr>
        <w:t>八．其他</w:t>
      </w:r>
      <w:bookmarkEnd w:id="291"/>
    </w:p>
    <w:p w14:paraId="11EB6BC8">
      <w:pPr>
        <w:pStyle w:val="4"/>
        <w:spacing w:before="0" w:after="0" w:line="360" w:lineRule="auto"/>
        <w:ind w:left="0" w:leftChars="0" w:right="210"/>
        <w:rPr>
          <w:rFonts w:hint="default" w:ascii="Times New Roman" w:hAnsi="Times New Roman" w:cs="Times New Roman"/>
          <w:color w:val="auto"/>
          <w:szCs w:val="21"/>
          <w:highlight w:val="none"/>
        </w:rPr>
      </w:pPr>
      <w:bookmarkStart w:id="292" w:name="_Toc107246267"/>
      <w:bookmarkStart w:id="293" w:name="_Toc104560886"/>
      <w:bookmarkStart w:id="294" w:name="_Toc103848572"/>
      <w:bookmarkStart w:id="295" w:name="_Toc18184"/>
      <w:r>
        <w:rPr>
          <w:rFonts w:hint="default" w:ascii="Times New Roman" w:hAnsi="Times New Roman" w:cs="Times New Roman"/>
          <w:color w:val="auto"/>
          <w:szCs w:val="21"/>
          <w:highlight w:val="none"/>
        </w:rPr>
        <w:t>38.招标代理服务费</w:t>
      </w:r>
      <w:bookmarkEnd w:id="292"/>
      <w:bookmarkEnd w:id="293"/>
      <w:bookmarkEnd w:id="294"/>
      <w:bookmarkEnd w:id="295"/>
    </w:p>
    <w:p w14:paraId="673E96A1">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38.1中标人是否交纳招标代理服务费及相关要求见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2BBEC4D4">
      <w:pPr>
        <w:pStyle w:val="4"/>
        <w:spacing w:before="0" w:after="0" w:line="360" w:lineRule="auto"/>
        <w:ind w:left="0" w:leftChars="0" w:right="210"/>
        <w:rPr>
          <w:rFonts w:hint="default" w:ascii="Times New Roman" w:hAnsi="Times New Roman" w:cs="Times New Roman"/>
          <w:color w:val="auto"/>
          <w:szCs w:val="21"/>
          <w:highlight w:val="none"/>
        </w:rPr>
      </w:pPr>
      <w:bookmarkStart w:id="296" w:name="_Toc103848573"/>
      <w:bookmarkStart w:id="297" w:name="_Toc107246268"/>
      <w:bookmarkStart w:id="298" w:name="_Toc104560887"/>
      <w:bookmarkStart w:id="299" w:name="_Toc8458"/>
      <w:r>
        <w:rPr>
          <w:rFonts w:hint="default" w:ascii="Times New Roman" w:hAnsi="Times New Roman" w:cs="Times New Roman"/>
          <w:color w:val="auto"/>
          <w:szCs w:val="21"/>
          <w:highlight w:val="none"/>
        </w:rPr>
        <w:t>39.其他规定</w:t>
      </w:r>
      <w:bookmarkEnd w:id="296"/>
      <w:bookmarkEnd w:id="297"/>
      <w:bookmarkEnd w:id="298"/>
      <w:bookmarkEnd w:id="299"/>
    </w:p>
    <w:p w14:paraId="1C9D2466">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39.1投标文件的其他规定见</w:t>
      </w:r>
      <w:r>
        <w:rPr>
          <w:rFonts w:hint="default" w:ascii="Times New Roman" w:hAnsi="Times New Roman" w:cs="Times New Roman"/>
          <w:b/>
          <w:color w:val="auto"/>
          <w:szCs w:val="21"/>
          <w:highlight w:val="none"/>
        </w:rPr>
        <w:t>投标人须知前附</w:t>
      </w:r>
      <w:r>
        <w:rPr>
          <w:rFonts w:hint="default" w:ascii="Times New Roman" w:hAnsi="Times New Roman" w:cs="Times New Roman"/>
          <w:color w:val="auto"/>
          <w:szCs w:val="21"/>
          <w:highlight w:val="none"/>
        </w:rPr>
        <w:t>表。</w:t>
      </w:r>
    </w:p>
    <w:p w14:paraId="1B0D1C95">
      <w:pPr>
        <w:pStyle w:val="4"/>
        <w:spacing w:before="0" w:after="0" w:line="360" w:lineRule="auto"/>
        <w:ind w:left="0" w:leftChars="0" w:right="210"/>
        <w:rPr>
          <w:rFonts w:hint="default" w:ascii="Times New Roman" w:hAnsi="Times New Roman" w:cs="Times New Roman"/>
          <w:color w:val="auto"/>
          <w:szCs w:val="21"/>
          <w:highlight w:val="none"/>
        </w:rPr>
      </w:pPr>
      <w:bookmarkStart w:id="300" w:name="_Toc103848574"/>
      <w:bookmarkStart w:id="301" w:name="_Toc14178"/>
      <w:bookmarkStart w:id="302" w:name="_Toc107246269"/>
      <w:bookmarkStart w:id="303" w:name="_Toc104560888"/>
      <w:r>
        <w:rPr>
          <w:rFonts w:hint="default" w:ascii="Times New Roman" w:hAnsi="Times New Roman" w:cs="Times New Roman"/>
          <w:color w:val="auto"/>
          <w:szCs w:val="21"/>
          <w:highlight w:val="none"/>
        </w:rPr>
        <w:t>40.文件解释权</w:t>
      </w:r>
      <w:bookmarkEnd w:id="300"/>
      <w:bookmarkEnd w:id="301"/>
      <w:bookmarkEnd w:id="302"/>
      <w:bookmarkEnd w:id="303"/>
    </w:p>
    <w:p w14:paraId="64AD9BE5">
      <w:pPr>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40.1本招标文件的解释权归采购人（或采购代理机构）所有。</w:t>
      </w:r>
    </w:p>
    <w:bookmarkEnd w:id="209"/>
    <w:p w14:paraId="791A83FA">
      <w:pPr>
        <w:pStyle w:val="34"/>
        <w:rPr>
          <w:rFonts w:hint="default" w:ascii="Times New Roman" w:hAnsi="Times New Roman" w:cs="Times New Roman"/>
          <w:color w:val="auto"/>
          <w:highlight w:val="none"/>
        </w:rPr>
      </w:pPr>
      <w:bookmarkStart w:id="304" w:name="_Toc91836563"/>
      <w:r>
        <w:rPr>
          <w:rFonts w:hint="default" w:ascii="Times New Roman" w:hAnsi="Times New Roman" w:cs="Times New Roman"/>
          <w:color w:val="auto"/>
          <w:highlight w:val="none"/>
        </w:rPr>
        <w:br w:type="page"/>
      </w:r>
      <w:bookmarkStart w:id="305" w:name="_Toc31220"/>
      <w:r>
        <w:rPr>
          <w:rFonts w:hint="default" w:ascii="Times New Roman" w:hAnsi="Times New Roman" w:cs="Times New Roman"/>
          <w:color w:val="auto"/>
          <w:highlight w:val="none"/>
        </w:rPr>
        <w:t>第三章 政府采购合同条款</w:t>
      </w:r>
      <w:bookmarkEnd w:id="304"/>
      <w:r>
        <w:rPr>
          <w:rFonts w:hint="default" w:ascii="Times New Roman" w:hAnsi="Times New Roman" w:cs="Times New Roman"/>
          <w:color w:val="auto"/>
          <w:highlight w:val="none"/>
        </w:rPr>
        <w:t>及格式</w:t>
      </w:r>
      <w:bookmarkEnd w:id="305"/>
    </w:p>
    <w:p w14:paraId="39A1BAE5">
      <w:pPr>
        <w:spacing w:line="360" w:lineRule="auto"/>
        <w:jc w:val="center"/>
        <w:rPr>
          <w:rFonts w:hint="default" w:ascii="Times New Roman" w:hAnsi="Times New Roman" w:eastAsia="黑体" w:cs="Times New Roman"/>
          <w:b/>
          <w:color w:val="auto"/>
          <w:sz w:val="28"/>
          <w:szCs w:val="28"/>
          <w:highlight w:val="none"/>
        </w:rPr>
      </w:pPr>
      <w:bookmarkStart w:id="306" w:name="_Toc6085"/>
      <w:r>
        <w:rPr>
          <w:rFonts w:hint="default" w:ascii="Times New Roman" w:hAnsi="Times New Roman" w:eastAsia="黑体" w:cs="Times New Roman"/>
          <w:b/>
          <w:color w:val="auto"/>
          <w:sz w:val="28"/>
          <w:szCs w:val="28"/>
          <w:highlight w:val="none"/>
        </w:rPr>
        <w:t>（参考格式，本合同内容条款在正式签署前可具体补充细化，仅作参考，最终合同以采购人法务审查通过的版本为准）</w:t>
      </w:r>
      <w:bookmarkEnd w:id="306"/>
    </w:p>
    <w:p w14:paraId="47217E4A">
      <w:pPr>
        <w:spacing w:line="360" w:lineRule="auto"/>
        <w:rPr>
          <w:rFonts w:hint="default" w:ascii="Times New Roman" w:hAnsi="Times New Roman" w:cs="Times New Roman"/>
          <w:b/>
          <w:color w:val="auto"/>
          <w:szCs w:val="21"/>
          <w:highlight w:val="none"/>
          <w:u w:val="single"/>
        </w:rPr>
      </w:pPr>
      <w:bookmarkStart w:id="307" w:name="_Hlk198052200"/>
      <w:r>
        <w:rPr>
          <w:rFonts w:hint="default" w:ascii="Times New Roman" w:hAnsi="Times New Roman" w:cs="Times New Roman"/>
          <w:b/>
          <w:color w:val="auto"/>
          <w:szCs w:val="21"/>
          <w:highlight w:val="none"/>
        </w:rPr>
        <w:t>合同编号：</w:t>
      </w:r>
      <w:r>
        <w:rPr>
          <w:rFonts w:hint="default" w:ascii="Times New Roman" w:hAnsi="Times New Roman" w:cs="Times New Roman"/>
          <w:b/>
          <w:color w:val="auto"/>
          <w:szCs w:val="21"/>
          <w:highlight w:val="none"/>
          <w:u w:val="single"/>
        </w:rPr>
        <w:t xml:space="preserve">             </w:t>
      </w:r>
    </w:p>
    <w:p w14:paraId="47016E6E">
      <w:pPr>
        <w:spacing w:line="360" w:lineRule="auto"/>
        <w:jc w:val="center"/>
        <w:outlineLvl w:val="0"/>
        <w:rPr>
          <w:rFonts w:hint="default" w:ascii="Times New Roman" w:hAnsi="Times New Roman" w:cs="Times New Roman"/>
          <w:b/>
          <w:color w:val="auto"/>
          <w:sz w:val="24"/>
          <w:highlight w:val="none"/>
        </w:rPr>
      </w:pPr>
      <w:bookmarkStart w:id="308" w:name="_Toc2402"/>
      <w:r>
        <w:rPr>
          <w:rFonts w:hint="default" w:ascii="Times New Roman" w:hAnsi="Times New Roman" w:cs="Times New Roman"/>
          <w:b/>
          <w:color w:val="auto"/>
          <w:sz w:val="24"/>
          <w:highlight w:val="none"/>
          <w:u w:val="single"/>
        </w:rPr>
        <w:t>（项目名称）</w:t>
      </w:r>
      <w:r>
        <w:rPr>
          <w:rFonts w:hint="default" w:ascii="Times New Roman" w:hAnsi="Times New Roman" w:cs="Times New Roman"/>
          <w:b/>
          <w:color w:val="auto"/>
          <w:sz w:val="24"/>
          <w:highlight w:val="none"/>
        </w:rPr>
        <w:t>采购合同</w:t>
      </w:r>
      <w:bookmarkEnd w:id="308"/>
    </w:p>
    <w:p w14:paraId="19C414EA">
      <w:pPr>
        <w:spacing w:line="360" w:lineRule="auto"/>
        <w:jc w:val="center"/>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w:t>
      </w:r>
      <w:r>
        <w:rPr>
          <w:rFonts w:hint="eastAsia" w:cs="Times New Roman"/>
          <w:b/>
          <w:color w:val="auto"/>
          <w:sz w:val="24"/>
          <w:highlight w:val="none"/>
          <w:lang w:val="en-US" w:eastAsia="zh-CN"/>
        </w:rPr>
        <w:t>服务</w:t>
      </w:r>
      <w:r>
        <w:rPr>
          <w:rFonts w:hint="default" w:ascii="Times New Roman" w:hAnsi="Times New Roman" w:cs="Times New Roman"/>
          <w:b/>
          <w:color w:val="auto"/>
          <w:sz w:val="24"/>
          <w:highlight w:val="none"/>
        </w:rPr>
        <w:t>类）</w:t>
      </w:r>
    </w:p>
    <w:p w14:paraId="0F16A28D">
      <w:pPr>
        <w:spacing w:line="360" w:lineRule="auto"/>
        <w:jc w:val="center"/>
        <w:rPr>
          <w:rFonts w:hint="default" w:ascii="Times New Roman" w:hAnsi="Times New Roman" w:cs="Times New Roman"/>
          <w:color w:val="auto"/>
          <w:szCs w:val="21"/>
          <w:highlight w:val="none"/>
        </w:rPr>
      </w:pPr>
      <w:bookmarkStart w:id="309" w:name="_Hlk196398995"/>
      <w:r>
        <w:rPr>
          <w:rFonts w:hint="default" w:ascii="Times New Roman" w:hAnsi="Times New Roman" w:cs="Times New Roman"/>
          <w:color w:val="auto"/>
          <w:szCs w:val="21"/>
          <w:highlight w:val="none"/>
        </w:rPr>
        <w:t xml:space="preserve">    </w:t>
      </w:r>
    </w:p>
    <w:bookmarkEnd w:id="309"/>
    <w:p w14:paraId="05782F92">
      <w:pPr>
        <w:widowControl/>
        <w:spacing w:line="360" w:lineRule="auto"/>
        <w:rPr>
          <w:rFonts w:hint="eastAsia" w:ascii="宋体" w:cs="宋体"/>
          <w:color w:val="auto"/>
          <w:highlight w:val="none"/>
        </w:rPr>
      </w:pPr>
      <w:r>
        <w:rPr>
          <w:rFonts w:hint="eastAsia" w:ascii="宋体" w:cs="宋体"/>
          <w:color w:val="auto"/>
          <w:highlight w:val="none"/>
        </w:rPr>
        <w:t>合同编号：</w:t>
      </w:r>
    </w:p>
    <w:p w14:paraId="5DDC3108">
      <w:pPr>
        <w:widowControl/>
        <w:spacing w:line="360" w:lineRule="auto"/>
        <w:rPr>
          <w:rFonts w:hint="eastAsia" w:ascii="宋体" w:cs="宋体"/>
          <w:color w:val="auto"/>
          <w:highlight w:val="none"/>
        </w:rPr>
      </w:pPr>
      <w:r>
        <w:rPr>
          <w:rFonts w:hint="eastAsia" w:ascii="宋体" w:cs="宋体"/>
          <w:color w:val="auto"/>
          <w:highlight w:val="none"/>
        </w:rPr>
        <w:t>政府采购计划号：</w:t>
      </w:r>
    </w:p>
    <w:tbl>
      <w:tblPr>
        <w:tblStyle w:val="37"/>
        <w:tblW w:w="5000" w:type="pct"/>
        <w:jc w:val="center"/>
        <w:tblLayout w:type="fixed"/>
        <w:tblCellMar>
          <w:top w:w="0" w:type="dxa"/>
          <w:left w:w="108" w:type="dxa"/>
          <w:bottom w:w="0" w:type="dxa"/>
          <w:right w:w="108" w:type="dxa"/>
        </w:tblCellMar>
      </w:tblPr>
      <w:tblGrid>
        <w:gridCol w:w="4483"/>
        <w:gridCol w:w="4463"/>
      </w:tblGrid>
      <w:tr w14:paraId="06008919">
        <w:tblPrEx>
          <w:tblCellMar>
            <w:top w:w="0" w:type="dxa"/>
            <w:left w:w="108" w:type="dxa"/>
            <w:bottom w:w="0" w:type="dxa"/>
            <w:right w:w="108" w:type="dxa"/>
          </w:tblCellMar>
        </w:tblPrEx>
        <w:trPr>
          <w:jc w:val="center"/>
        </w:trPr>
        <w:tc>
          <w:tcPr>
            <w:tcW w:w="4483" w:type="dxa"/>
            <w:tcBorders>
              <w:top w:val="nil"/>
              <w:left w:val="nil"/>
              <w:bottom w:val="nil"/>
              <w:right w:val="nil"/>
            </w:tcBorders>
            <w:noWrap/>
            <w:tcMar>
              <w:left w:w="108" w:type="dxa"/>
              <w:right w:w="108" w:type="dxa"/>
            </w:tcMar>
            <w:vAlign w:val="top"/>
          </w:tcPr>
          <w:p w14:paraId="048B64D5">
            <w:pPr>
              <w:widowControl/>
              <w:spacing w:line="360" w:lineRule="auto"/>
              <w:jc w:val="left"/>
              <w:rPr>
                <w:rFonts w:hint="eastAsia" w:ascii="宋体" w:cs="宋体"/>
                <w:color w:val="auto"/>
                <w:highlight w:val="none"/>
              </w:rPr>
            </w:pPr>
            <w:r>
              <w:rPr>
                <w:rFonts w:hint="eastAsia" w:ascii="宋体" w:cs="宋体"/>
                <w:color w:val="auto"/>
                <w:highlight w:val="none"/>
              </w:rPr>
              <w:t>采购人（以下称甲方）：</w:t>
            </w:r>
          </w:p>
        </w:tc>
        <w:tc>
          <w:tcPr>
            <w:tcW w:w="4463" w:type="dxa"/>
            <w:tcBorders>
              <w:top w:val="nil"/>
              <w:left w:val="nil"/>
              <w:bottom w:val="nil"/>
              <w:right w:val="nil"/>
            </w:tcBorders>
            <w:noWrap/>
            <w:tcMar>
              <w:left w:w="108" w:type="dxa"/>
              <w:right w:w="108" w:type="dxa"/>
            </w:tcMar>
            <w:vAlign w:val="top"/>
          </w:tcPr>
          <w:p w14:paraId="6DF90808">
            <w:pPr>
              <w:widowControl/>
              <w:spacing w:line="360" w:lineRule="auto"/>
              <w:jc w:val="left"/>
              <w:rPr>
                <w:rFonts w:hint="eastAsia" w:ascii="宋体" w:cs="宋体"/>
                <w:color w:val="auto"/>
                <w:highlight w:val="none"/>
              </w:rPr>
            </w:pPr>
            <w:r>
              <w:rPr>
                <w:rFonts w:hint="eastAsia" w:ascii="宋体" w:cs="宋体"/>
                <w:color w:val="auto"/>
                <w:highlight w:val="none"/>
              </w:rPr>
              <w:t>供应商：（以下称乙方）</w:t>
            </w:r>
          </w:p>
        </w:tc>
      </w:tr>
      <w:tr w14:paraId="00138493">
        <w:tblPrEx>
          <w:tblCellMar>
            <w:top w:w="0" w:type="dxa"/>
            <w:left w:w="108" w:type="dxa"/>
            <w:bottom w:w="0" w:type="dxa"/>
            <w:right w:w="108" w:type="dxa"/>
          </w:tblCellMar>
        </w:tblPrEx>
        <w:trPr>
          <w:jc w:val="center"/>
        </w:trPr>
        <w:tc>
          <w:tcPr>
            <w:tcW w:w="4483" w:type="dxa"/>
            <w:tcBorders>
              <w:top w:val="nil"/>
              <w:left w:val="nil"/>
              <w:bottom w:val="nil"/>
              <w:right w:val="nil"/>
            </w:tcBorders>
            <w:noWrap/>
            <w:tcMar>
              <w:left w:w="108" w:type="dxa"/>
              <w:right w:w="108" w:type="dxa"/>
            </w:tcMar>
            <w:vAlign w:val="top"/>
          </w:tcPr>
          <w:p w14:paraId="34CE17EE">
            <w:pPr>
              <w:widowControl/>
              <w:spacing w:line="360" w:lineRule="auto"/>
              <w:jc w:val="left"/>
              <w:rPr>
                <w:rFonts w:hint="eastAsia" w:ascii="宋体" w:cs="宋体"/>
                <w:color w:val="auto"/>
                <w:highlight w:val="none"/>
              </w:rPr>
            </w:pPr>
            <w:r>
              <w:rPr>
                <w:rFonts w:hint="eastAsia" w:ascii="宋体" w:cs="宋体"/>
                <w:color w:val="auto"/>
                <w:highlight w:val="none"/>
              </w:rPr>
              <w:t>住所地：</w:t>
            </w:r>
          </w:p>
        </w:tc>
        <w:tc>
          <w:tcPr>
            <w:tcW w:w="4463" w:type="dxa"/>
            <w:tcBorders>
              <w:top w:val="nil"/>
              <w:left w:val="nil"/>
              <w:bottom w:val="nil"/>
              <w:right w:val="nil"/>
            </w:tcBorders>
            <w:noWrap/>
            <w:tcMar>
              <w:left w:w="108" w:type="dxa"/>
              <w:right w:w="108" w:type="dxa"/>
            </w:tcMar>
            <w:vAlign w:val="top"/>
          </w:tcPr>
          <w:p w14:paraId="596B41C5">
            <w:pPr>
              <w:widowControl/>
              <w:spacing w:line="360" w:lineRule="auto"/>
              <w:jc w:val="left"/>
              <w:rPr>
                <w:rFonts w:hint="eastAsia" w:ascii="宋体" w:cs="宋体"/>
                <w:color w:val="auto"/>
                <w:highlight w:val="none"/>
              </w:rPr>
            </w:pPr>
            <w:r>
              <w:rPr>
                <w:rFonts w:hint="eastAsia" w:ascii="宋体" w:cs="宋体"/>
                <w:color w:val="auto"/>
                <w:highlight w:val="none"/>
              </w:rPr>
              <w:t>住所地：</w:t>
            </w:r>
          </w:p>
        </w:tc>
      </w:tr>
    </w:tbl>
    <w:p w14:paraId="695A559B">
      <w:pPr>
        <w:widowControl/>
        <w:spacing w:line="360" w:lineRule="auto"/>
        <w:jc w:val="left"/>
        <w:rPr>
          <w:rFonts w:hint="eastAsia" w:ascii="宋体" w:cs="宋体"/>
          <w:color w:val="auto"/>
          <w:highlight w:val="none"/>
        </w:rPr>
      </w:pPr>
      <w:r>
        <w:rPr>
          <w:rFonts w:hint="eastAsia" w:ascii="宋体" w:cs="宋体"/>
          <w:color w:val="auto"/>
          <w:highlight w:val="none"/>
        </w:rPr>
        <w:t>根据《中华人民共和国政府采购法》、《中华人民共和国民法典》合同编、《政府购买服务管理办法》等法律法规的规定，甲乙双方按照</w:t>
      </w:r>
      <w:r>
        <w:rPr>
          <w:rFonts w:hint="eastAsia" w:ascii="宋体" w:cs="宋体"/>
          <w:color w:val="auto"/>
          <w:highlight w:val="none"/>
          <w:u w:val="single"/>
        </w:rPr>
        <w:t xml:space="preserve">                         </w:t>
      </w:r>
      <w:r>
        <w:rPr>
          <w:rFonts w:hint="eastAsia" w:ascii="宋体" w:cs="宋体"/>
          <w:color w:val="auto"/>
          <w:highlight w:val="none"/>
        </w:rPr>
        <w:t>的采购结果签订本合同。</w:t>
      </w:r>
    </w:p>
    <w:p w14:paraId="50DF4DB0">
      <w:pPr>
        <w:widowControl/>
        <w:spacing w:line="360" w:lineRule="auto"/>
        <w:rPr>
          <w:rFonts w:hint="eastAsia" w:ascii="宋体" w:cs="宋体"/>
          <w:color w:val="auto"/>
          <w:highlight w:val="none"/>
        </w:rPr>
      </w:pPr>
      <w:r>
        <w:rPr>
          <w:rFonts w:hint="eastAsia" w:ascii="宋体" w:cs="宋体"/>
          <w:b/>
          <w:bCs/>
          <w:color w:val="auto"/>
          <w:highlight w:val="none"/>
        </w:rPr>
        <w:t>第一条合同标的</w:t>
      </w:r>
      <w:r>
        <w:rPr>
          <w:rFonts w:hint="eastAsia" w:ascii="宋体" w:cs="宋体"/>
          <w:color w:val="auto"/>
          <w:highlight w:val="none"/>
        </w:rPr>
        <w:t> </w:t>
      </w:r>
    </w:p>
    <w:p w14:paraId="5ED4E1D1">
      <w:pPr>
        <w:widowControl/>
        <w:spacing w:line="360" w:lineRule="auto"/>
        <w:rPr>
          <w:rFonts w:hint="eastAsia" w:ascii="宋体" w:cs="宋体"/>
          <w:color w:val="auto"/>
          <w:highlight w:val="none"/>
        </w:rPr>
      </w:pPr>
      <w:r>
        <w:rPr>
          <w:rFonts w:hint="eastAsia" w:ascii="宋体" w:cs="宋体"/>
          <w:color w:val="auto"/>
          <w:highlight w:val="none"/>
        </w:rPr>
        <w:t>乙方根据甲方要求提供下列服务：</w:t>
      </w:r>
      <w:r>
        <w:rPr>
          <w:rFonts w:hint="eastAsia" w:ascii="宋体" w:cs="宋体"/>
          <w:color w:val="auto"/>
          <w:highlight w:val="none"/>
          <w:u w:val="single"/>
        </w:rPr>
        <w:t>                 </w:t>
      </w:r>
    </w:p>
    <w:p w14:paraId="356D378A">
      <w:pPr>
        <w:widowControl/>
        <w:spacing w:line="360" w:lineRule="auto"/>
        <w:rPr>
          <w:rFonts w:hint="eastAsia" w:ascii="宋体" w:cs="宋体"/>
          <w:color w:val="auto"/>
          <w:highlight w:val="none"/>
        </w:rPr>
      </w:pPr>
      <w:r>
        <w:rPr>
          <w:rFonts w:hint="eastAsia" w:ascii="宋体" w:cs="宋体"/>
          <w:color w:val="auto"/>
          <w:highlight w:val="none"/>
        </w:rPr>
        <w:t>服务内容详见乙方响应性文件等。</w:t>
      </w:r>
    </w:p>
    <w:p w14:paraId="16456448">
      <w:pPr>
        <w:widowControl/>
        <w:spacing w:line="360" w:lineRule="auto"/>
        <w:jc w:val="left"/>
        <w:rPr>
          <w:rFonts w:hint="eastAsia" w:ascii="宋体" w:cs="宋体"/>
          <w:color w:val="auto"/>
          <w:highlight w:val="none"/>
        </w:rPr>
      </w:pPr>
      <w:r>
        <w:rPr>
          <w:rFonts w:hint="eastAsia" w:ascii="宋体" w:cs="宋体"/>
          <w:b/>
          <w:bCs/>
          <w:color w:val="auto"/>
          <w:highlight w:val="none"/>
        </w:rPr>
        <w:t>第二条</w:t>
      </w:r>
      <w:r>
        <w:rPr>
          <w:rFonts w:hint="eastAsia" w:ascii="宋体" w:cs="宋体"/>
          <w:b/>
          <w:bCs/>
          <w:color w:val="auto"/>
          <w:highlight w:val="none"/>
          <w:lang w:val="en-US" w:eastAsia="zh-CN"/>
        </w:rPr>
        <w:t xml:space="preserve">  </w:t>
      </w:r>
      <w:r>
        <w:rPr>
          <w:rFonts w:hint="eastAsia" w:ascii="宋体" w:cs="宋体"/>
          <w:b/>
          <w:bCs/>
          <w:color w:val="auto"/>
          <w:highlight w:val="none"/>
        </w:rPr>
        <w:t>合同总价款</w:t>
      </w:r>
    </w:p>
    <w:p w14:paraId="1689E0A9">
      <w:pPr>
        <w:widowControl/>
        <w:spacing w:line="360" w:lineRule="auto"/>
        <w:jc w:val="left"/>
        <w:rPr>
          <w:rFonts w:hint="eastAsia" w:ascii="宋体" w:cs="宋体"/>
          <w:color w:val="auto"/>
          <w:highlight w:val="none"/>
        </w:rPr>
      </w:pPr>
      <w:r>
        <w:rPr>
          <w:rFonts w:hint="eastAsia" w:ascii="宋体" w:cs="宋体"/>
          <w:color w:val="auto"/>
          <w:highlight w:val="none"/>
        </w:rPr>
        <w:t>本合同项下服务总价款为</w:t>
      </w:r>
      <w:r>
        <w:rPr>
          <w:rFonts w:hint="eastAsia" w:ascii="宋体" w:cs="宋体"/>
          <w:color w:val="auto"/>
          <w:highlight w:val="none"/>
          <w:u w:val="single"/>
        </w:rPr>
        <w:t xml:space="preserve">      </w:t>
      </w:r>
      <w:r>
        <w:rPr>
          <w:rFonts w:hint="eastAsia" w:ascii="宋体" w:cs="宋体"/>
          <w:color w:val="auto"/>
          <w:highlight w:val="none"/>
        </w:rPr>
        <w:t>（大写）人民币，分项价款在“分项报价表”中有明确规定。</w:t>
      </w:r>
    </w:p>
    <w:p w14:paraId="096E337D">
      <w:pPr>
        <w:widowControl/>
        <w:spacing w:line="360" w:lineRule="auto"/>
        <w:jc w:val="left"/>
        <w:rPr>
          <w:rFonts w:hint="eastAsia" w:ascii="宋体" w:cs="宋体"/>
          <w:color w:val="auto"/>
          <w:highlight w:val="none"/>
        </w:rPr>
      </w:pPr>
      <w:r>
        <w:rPr>
          <w:rFonts w:hint="eastAsia" w:ascii="宋体" w:cs="宋体"/>
          <w:color w:val="auto"/>
          <w:highlight w:val="none"/>
        </w:rPr>
        <w:t>甲方就本合同不再向乙方支付任何其他款项。</w:t>
      </w:r>
    </w:p>
    <w:p w14:paraId="5B223872">
      <w:pPr>
        <w:widowControl/>
        <w:spacing w:line="360" w:lineRule="auto"/>
        <w:rPr>
          <w:rFonts w:hint="eastAsia" w:ascii="宋体" w:cs="宋体"/>
          <w:color w:val="auto"/>
          <w:highlight w:val="none"/>
        </w:rPr>
      </w:pPr>
      <w:r>
        <w:rPr>
          <w:rFonts w:hint="eastAsia" w:ascii="宋体" w:cs="宋体"/>
          <w:b/>
          <w:bCs/>
          <w:color w:val="auto"/>
          <w:highlight w:val="none"/>
        </w:rPr>
        <w:t>第三条</w:t>
      </w:r>
      <w:r>
        <w:rPr>
          <w:rFonts w:hint="eastAsia" w:ascii="宋体" w:cs="宋体"/>
          <w:b/>
          <w:bCs/>
          <w:color w:val="auto"/>
          <w:highlight w:val="none"/>
          <w:lang w:val="en-US" w:eastAsia="zh-CN"/>
        </w:rPr>
        <w:t xml:space="preserve">  </w:t>
      </w:r>
      <w:r>
        <w:rPr>
          <w:rFonts w:hint="eastAsia" w:ascii="宋体" w:cs="宋体"/>
          <w:b/>
          <w:bCs/>
          <w:color w:val="auto"/>
          <w:highlight w:val="none"/>
        </w:rPr>
        <w:t>组成本合同的有关文件</w:t>
      </w:r>
    </w:p>
    <w:p w14:paraId="7A2896FC">
      <w:pPr>
        <w:widowControl/>
        <w:spacing w:line="360" w:lineRule="auto"/>
        <w:rPr>
          <w:rFonts w:hint="eastAsia" w:ascii="宋体" w:cs="宋体"/>
          <w:color w:val="auto"/>
          <w:highlight w:val="none"/>
        </w:rPr>
      </w:pPr>
      <w:r>
        <w:rPr>
          <w:rFonts w:hint="eastAsia" w:ascii="宋体" w:cs="宋体"/>
          <w:color w:val="auto"/>
          <w:highlight w:val="none"/>
        </w:rPr>
        <w:t>招标文件和有关附件是本合同不可分割的组成部分，与本合同具有同等法律效力。</w:t>
      </w:r>
    </w:p>
    <w:p w14:paraId="3EEB66F2">
      <w:pPr>
        <w:widowControl/>
        <w:spacing w:line="360" w:lineRule="auto"/>
        <w:jc w:val="left"/>
        <w:rPr>
          <w:rFonts w:hint="eastAsia" w:ascii="宋体" w:cs="宋体"/>
          <w:color w:val="auto"/>
          <w:highlight w:val="none"/>
        </w:rPr>
      </w:pPr>
      <w:r>
        <w:rPr>
          <w:rFonts w:hint="eastAsia" w:ascii="宋体" w:cs="宋体"/>
          <w:b/>
          <w:bCs/>
          <w:color w:val="auto"/>
          <w:highlight w:val="none"/>
        </w:rPr>
        <w:t>第四条</w:t>
      </w:r>
      <w:r>
        <w:rPr>
          <w:rFonts w:hint="eastAsia" w:ascii="宋体" w:cs="宋体"/>
          <w:b/>
          <w:bCs/>
          <w:color w:val="auto"/>
          <w:highlight w:val="none"/>
          <w:lang w:val="en-US" w:eastAsia="zh-CN"/>
        </w:rPr>
        <w:t xml:space="preserve">  </w:t>
      </w:r>
      <w:r>
        <w:rPr>
          <w:rFonts w:hint="eastAsia" w:ascii="宋体" w:cs="宋体"/>
          <w:b/>
          <w:bCs/>
          <w:color w:val="auto"/>
          <w:highlight w:val="none"/>
        </w:rPr>
        <w:t>权利保证</w:t>
      </w:r>
    </w:p>
    <w:p w14:paraId="363915F8">
      <w:pPr>
        <w:widowControl/>
        <w:spacing w:line="360" w:lineRule="auto"/>
        <w:jc w:val="left"/>
        <w:rPr>
          <w:rFonts w:hint="eastAsia" w:ascii="宋体" w:cs="宋体"/>
          <w:color w:val="auto"/>
          <w:highlight w:val="none"/>
        </w:rPr>
      </w:pPr>
      <w:r>
        <w:rPr>
          <w:rFonts w:hint="eastAsia" w:ascii="宋体" w:cs="宋体"/>
          <w:color w:val="auto"/>
          <w:highlight w:val="none"/>
        </w:rPr>
        <w:t>乙方应保证为甲方提供货物和服务任何一部分时不受第三方提出侵犯其专利权、版权、商标权或其他权利的起诉。一旦出现侵权，乙方应承担全部责任。</w:t>
      </w:r>
    </w:p>
    <w:p w14:paraId="48B7D598">
      <w:pPr>
        <w:widowControl/>
        <w:spacing w:line="360" w:lineRule="auto"/>
        <w:jc w:val="left"/>
        <w:rPr>
          <w:rFonts w:hint="eastAsia" w:ascii="宋体" w:cs="宋体"/>
          <w:color w:val="auto"/>
          <w:highlight w:val="none"/>
        </w:rPr>
      </w:pPr>
      <w:r>
        <w:rPr>
          <w:rFonts w:hint="eastAsia" w:ascii="宋体" w:cs="宋体"/>
          <w:b/>
          <w:bCs/>
          <w:color w:val="auto"/>
          <w:highlight w:val="none"/>
        </w:rPr>
        <w:t>第五条</w:t>
      </w:r>
      <w:r>
        <w:rPr>
          <w:rFonts w:hint="eastAsia" w:ascii="宋体" w:cs="宋体"/>
          <w:b/>
          <w:bCs/>
          <w:color w:val="auto"/>
          <w:highlight w:val="none"/>
          <w:lang w:val="en-US" w:eastAsia="zh-CN"/>
        </w:rPr>
        <w:t xml:space="preserve">  </w:t>
      </w:r>
      <w:r>
        <w:rPr>
          <w:rFonts w:hint="eastAsia" w:ascii="宋体" w:cs="宋体"/>
          <w:b/>
          <w:bCs/>
          <w:color w:val="auto"/>
          <w:highlight w:val="none"/>
        </w:rPr>
        <w:t>质量保证</w:t>
      </w:r>
    </w:p>
    <w:p w14:paraId="67B80BC6">
      <w:pPr>
        <w:widowControl/>
        <w:spacing w:line="360" w:lineRule="auto"/>
        <w:jc w:val="left"/>
        <w:rPr>
          <w:rFonts w:hint="eastAsia" w:ascii="宋体" w:cs="宋体"/>
          <w:color w:val="auto"/>
          <w:highlight w:val="none"/>
        </w:rPr>
      </w:pPr>
      <w:r>
        <w:rPr>
          <w:rFonts w:hint="eastAsia" w:ascii="宋体" w:cs="宋体"/>
          <w:color w:val="auto"/>
          <w:highlight w:val="none"/>
        </w:rPr>
        <w:t>1、乙方提供的服务必须全部达到采购文件各项要求，国家或行业有规定的，还要符合相应规定。</w:t>
      </w:r>
    </w:p>
    <w:p w14:paraId="7EB1A5C4">
      <w:pPr>
        <w:widowControl/>
        <w:spacing w:line="360" w:lineRule="auto"/>
        <w:jc w:val="left"/>
        <w:rPr>
          <w:rFonts w:hint="eastAsia"/>
          <w:color w:val="auto"/>
          <w:highlight w:val="none"/>
        </w:rPr>
      </w:pPr>
      <w:r>
        <w:rPr>
          <w:rFonts w:hint="eastAsia"/>
          <w:color w:val="auto"/>
          <w:highlight w:val="none"/>
        </w:rPr>
        <w:t>2、乙方应当建立政府购买服务项目台账，依照有关规定或合同约定记录保存并向甲方提供项目实施相关重要资料信息。</w:t>
      </w:r>
    </w:p>
    <w:p w14:paraId="511E716D">
      <w:pPr>
        <w:widowControl/>
        <w:spacing w:line="360" w:lineRule="auto"/>
        <w:jc w:val="left"/>
        <w:rPr>
          <w:rFonts w:hint="eastAsia"/>
          <w:color w:val="auto"/>
          <w:highlight w:val="none"/>
        </w:rPr>
      </w:pPr>
      <w:r>
        <w:rPr>
          <w:rFonts w:hint="eastAsia"/>
          <w:color w:val="auto"/>
          <w:highlight w:val="none"/>
        </w:rPr>
        <w:t>3、乙方应当严格遵守相关财务规定规范管理和使用项目资金，配合甲方或有关部门对项目资金使用情况进行监督检查与绩效评价评估，不受合同期限约束。</w:t>
      </w:r>
    </w:p>
    <w:p w14:paraId="7F2959E1">
      <w:pPr>
        <w:widowControl/>
        <w:spacing w:line="360" w:lineRule="auto"/>
        <w:jc w:val="left"/>
        <w:rPr>
          <w:rFonts w:hint="eastAsia" w:ascii="宋体" w:cs="宋体"/>
          <w:color w:val="auto"/>
          <w:highlight w:val="none"/>
        </w:rPr>
      </w:pPr>
      <w:r>
        <w:rPr>
          <w:rFonts w:hint="eastAsia" w:ascii="宋体" w:cs="宋体"/>
          <w:b/>
          <w:bCs/>
          <w:color w:val="auto"/>
          <w:highlight w:val="none"/>
        </w:rPr>
        <w:t>第六条</w:t>
      </w:r>
      <w:r>
        <w:rPr>
          <w:rFonts w:hint="eastAsia" w:ascii="宋体" w:cs="宋体"/>
          <w:b/>
          <w:bCs/>
          <w:color w:val="auto"/>
          <w:highlight w:val="none"/>
          <w:lang w:val="en-US" w:eastAsia="zh-CN"/>
        </w:rPr>
        <w:t xml:space="preserve">  </w:t>
      </w:r>
      <w:r>
        <w:rPr>
          <w:rFonts w:hint="eastAsia" w:ascii="宋体" w:cs="宋体"/>
          <w:b/>
          <w:bCs/>
          <w:color w:val="auto"/>
          <w:highlight w:val="none"/>
        </w:rPr>
        <w:t>交付使用和验收</w:t>
      </w:r>
    </w:p>
    <w:p w14:paraId="7B7BDDC5">
      <w:pPr>
        <w:widowControl/>
        <w:spacing w:line="360" w:lineRule="auto"/>
        <w:jc w:val="left"/>
        <w:rPr>
          <w:rFonts w:hint="eastAsia" w:ascii="宋体" w:cs="宋体"/>
          <w:color w:val="auto"/>
          <w:highlight w:val="none"/>
        </w:rPr>
      </w:pPr>
      <w:r>
        <w:rPr>
          <w:rFonts w:hint="eastAsia" w:ascii="宋体" w:cs="宋体"/>
          <w:color w:val="auto"/>
          <w:highlight w:val="none"/>
        </w:rPr>
        <w:t>1、乙方应当在合同签订后</w:t>
      </w:r>
      <w:r>
        <w:rPr>
          <w:rFonts w:hint="eastAsia" w:ascii="宋体" w:cs="宋体"/>
          <w:color w:val="auto"/>
          <w:highlight w:val="none"/>
          <w:u w:val="single"/>
        </w:rPr>
        <w:t xml:space="preserve">     </w:t>
      </w:r>
      <w:r>
        <w:rPr>
          <w:rFonts w:hint="eastAsia" w:ascii="宋体" w:cs="宋体"/>
          <w:color w:val="auto"/>
          <w:highlight w:val="none"/>
        </w:rPr>
        <w:t>天内完成采购文件规定的项目并交付甲方使用。采购文件有约定的，从其约定。</w:t>
      </w:r>
    </w:p>
    <w:p w14:paraId="090C68FA">
      <w:pPr>
        <w:widowControl/>
        <w:spacing w:line="360" w:lineRule="auto"/>
        <w:jc w:val="left"/>
        <w:rPr>
          <w:rFonts w:hint="eastAsia" w:ascii="宋体" w:cs="宋体"/>
          <w:color w:val="auto"/>
          <w:highlight w:val="none"/>
        </w:rPr>
      </w:pPr>
      <w:r>
        <w:rPr>
          <w:rFonts w:hint="eastAsia" w:ascii="宋体" w:cs="宋体"/>
          <w:color w:val="auto"/>
          <w:highlight w:val="none"/>
        </w:rPr>
        <w:t>2、甲方自行组织或视情邀请相关专家或国家认可的质量检测机构参加验收，乙方提供的服务不符合采购文件和合同规定的，甲方有权拒收，并承担验收费用等。</w:t>
      </w:r>
    </w:p>
    <w:p w14:paraId="26E43A67">
      <w:pPr>
        <w:widowControl/>
        <w:spacing w:line="360" w:lineRule="auto"/>
        <w:jc w:val="left"/>
        <w:rPr>
          <w:rFonts w:hint="eastAsia" w:ascii="宋体" w:cs="宋体"/>
          <w:color w:val="auto"/>
          <w:highlight w:val="none"/>
        </w:rPr>
      </w:pPr>
      <w:r>
        <w:rPr>
          <w:rFonts w:hint="eastAsia" w:ascii="宋体" w:cs="宋体"/>
          <w:b/>
          <w:bCs/>
          <w:color w:val="auto"/>
          <w:highlight w:val="none"/>
        </w:rPr>
        <w:t>第七条</w:t>
      </w:r>
      <w:r>
        <w:rPr>
          <w:rFonts w:hint="eastAsia" w:ascii="宋体" w:cs="宋体"/>
          <w:b/>
          <w:bCs/>
          <w:color w:val="auto"/>
          <w:highlight w:val="none"/>
          <w:lang w:val="en-US" w:eastAsia="zh-CN"/>
        </w:rPr>
        <w:t xml:space="preserve">  </w:t>
      </w:r>
      <w:r>
        <w:rPr>
          <w:rFonts w:hint="eastAsia" w:ascii="宋体" w:cs="宋体"/>
          <w:b/>
          <w:bCs/>
          <w:color w:val="auto"/>
          <w:highlight w:val="none"/>
        </w:rPr>
        <w:t>履约保证金</w:t>
      </w:r>
    </w:p>
    <w:p w14:paraId="43227976">
      <w:pPr>
        <w:widowControl/>
        <w:spacing w:line="360" w:lineRule="auto"/>
        <w:jc w:val="left"/>
        <w:rPr>
          <w:rFonts w:hint="eastAsia" w:ascii="宋体" w:cs="宋体"/>
          <w:b/>
          <w:bCs/>
          <w:color w:val="auto"/>
          <w:highlight w:val="none"/>
        </w:rPr>
      </w:pPr>
      <w:r>
        <w:rPr>
          <w:rFonts w:hint="eastAsia" w:ascii="宋体" w:cs="宋体"/>
          <w:b/>
          <w:bCs/>
          <w:color w:val="auto"/>
          <w:highlight w:val="none"/>
        </w:rPr>
        <w:t>无。</w:t>
      </w:r>
    </w:p>
    <w:p w14:paraId="1353089F">
      <w:pPr>
        <w:widowControl/>
        <w:spacing w:line="360" w:lineRule="auto"/>
        <w:jc w:val="left"/>
        <w:rPr>
          <w:rFonts w:hint="eastAsia" w:ascii="宋体" w:cs="宋体"/>
          <w:color w:val="auto"/>
          <w:highlight w:val="none"/>
        </w:rPr>
      </w:pPr>
      <w:r>
        <w:rPr>
          <w:rFonts w:hint="eastAsia" w:ascii="宋体" w:cs="宋体"/>
          <w:b/>
          <w:bCs/>
          <w:color w:val="auto"/>
          <w:highlight w:val="none"/>
        </w:rPr>
        <w:t>第八条</w:t>
      </w:r>
      <w:r>
        <w:rPr>
          <w:rFonts w:hint="eastAsia" w:ascii="宋体" w:cs="宋体"/>
          <w:b/>
          <w:bCs/>
          <w:color w:val="auto"/>
          <w:highlight w:val="none"/>
          <w:lang w:val="en-US" w:eastAsia="zh-CN"/>
        </w:rPr>
        <w:t xml:space="preserve">  </w:t>
      </w:r>
      <w:r>
        <w:rPr>
          <w:rFonts w:hint="eastAsia" w:ascii="宋体" w:cs="宋体"/>
          <w:b/>
          <w:bCs/>
          <w:color w:val="auto"/>
          <w:highlight w:val="none"/>
        </w:rPr>
        <w:t>合同款支付</w:t>
      </w:r>
    </w:p>
    <w:p w14:paraId="7BD2DA9C">
      <w:pPr>
        <w:widowControl/>
        <w:spacing w:line="360" w:lineRule="auto"/>
        <w:jc w:val="left"/>
        <w:rPr>
          <w:rFonts w:hint="eastAsia" w:ascii="宋体" w:cs="宋体"/>
          <w:color w:val="auto"/>
          <w:highlight w:val="none"/>
        </w:rPr>
      </w:pPr>
      <w:r>
        <w:rPr>
          <w:rFonts w:hint="eastAsia" w:ascii="宋体" w:cs="宋体"/>
          <w:color w:val="auto"/>
          <w:highlight w:val="none"/>
        </w:rPr>
        <w:t>1、本合同项下所有款项均以人民币支付。</w:t>
      </w:r>
    </w:p>
    <w:p w14:paraId="16D8388C">
      <w:pPr>
        <w:widowControl/>
        <w:spacing w:line="360" w:lineRule="auto"/>
        <w:jc w:val="left"/>
        <w:rPr>
          <w:rFonts w:hint="eastAsia" w:ascii="宋体" w:cs="宋体"/>
          <w:color w:val="auto"/>
          <w:highlight w:val="none"/>
        </w:rPr>
      </w:pPr>
      <w:r>
        <w:rPr>
          <w:rFonts w:hint="eastAsia" w:ascii="宋体" w:cs="宋体"/>
          <w:color w:val="auto"/>
          <w:highlight w:val="none"/>
        </w:rPr>
        <w:t>2、本合同项下的采购资金由甲方自行支付，乙方向甲方开具发票。</w:t>
      </w:r>
    </w:p>
    <w:p w14:paraId="4F563F52">
      <w:pPr>
        <w:spacing w:line="360" w:lineRule="auto"/>
        <w:jc w:val="left"/>
        <w:rPr>
          <w:rFonts w:hint="eastAsia" w:ascii="宋体" w:cs="宋体"/>
          <w:color w:val="auto"/>
          <w:highlight w:val="none"/>
        </w:rPr>
      </w:pPr>
      <w:r>
        <w:rPr>
          <w:rFonts w:hint="eastAsia" w:ascii="宋体" w:cs="宋体"/>
          <w:color w:val="auto"/>
          <w:highlight w:val="none"/>
        </w:rPr>
        <w:t>3、付款方式：</w:t>
      </w:r>
      <w:r>
        <w:rPr>
          <w:rFonts w:hint="eastAsia" w:ascii="宋体" w:hAnsi="宋体" w:cs="宋体"/>
          <w:color w:val="auto"/>
          <w:szCs w:val="21"/>
          <w:highlight w:val="none"/>
        </w:rPr>
        <w:t>项目全部完成撤展结束后20日内采购人一次性支付全部合同价款</w:t>
      </w:r>
      <w:r>
        <w:rPr>
          <w:rFonts w:hint="eastAsia" w:ascii="宋体" w:cs="宋体"/>
          <w:color w:val="auto"/>
          <w:highlight w:val="none"/>
        </w:rPr>
        <w:t>。</w:t>
      </w:r>
    </w:p>
    <w:p w14:paraId="76BCD54D">
      <w:pPr>
        <w:widowControl/>
        <w:spacing w:line="360" w:lineRule="auto"/>
        <w:jc w:val="left"/>
        <w:rPr>
          <w:rFonts w:hint="eastAsia" w:ascii="宋体" w:cs="宋体"/>
          <w:color w:val="auto"/>
          <w:highlight w:val="none"/>
        </w:rPr>
      </w:pPr>
      <w:r>
        <w:rPr>
          <w:rFonts w:hint="eastAsia" w:ascii="宋体" w:cs="宋体"/>
          <w:b/>
          <w:bCs/>
          <w:color w:val="auto"/>
          <w:highlight w:val="none"/>
        </w:rPr>
        <w:t>第九条</w:t>
      </w:r>
      <w:r>
        <w:rPr>
          <w:rFonts w:hint="eastAsia" w:ascii="宋体" w:cs="宋体"/>
          <w:b/>
          <w:bCs/>
          <w:color w:val="auto"/>
          <w:highlight w:val="none"/>
          <w:lang w:val="en-US" w:eastAsia="zh-CN"/>
        </w:rPr>
        <w:t xml:space="preserve">  </w:t>
      </w:r>
      <w:r>
        <w:rPr>
          <w:rFonts w:hint="eastAsia" w:ascii="宋体" w:cs="宋体"/>
          <w:b/>
          <w:bCs/>
          <w:color w:val="auto"/>
          <w:highlight w:val="none"/>
        </w:rPr>
        <w:t>违约责任</w:t>
      </w:r>
    </w:p>
    <w:p w14:paraId="386F29C9">
      <w:pPr>
        <w:widowControl/>
        <w:spacing w:line="360" w:lineRule="auto"/>
        <w:jc w:val="left"/>
        <w:rPr>
          <w:rFonts w:hint="eastAsia" w:ascii="宋体" w:cs="宋体"/>
          <w:color w:val="auto"/>
          <w:highlight w:val="none"/>
        </w:rPr>
      </w:pPr>
      <w:r>
        <w:rPr>
          <w:rFonts w:hint="eastAsia" w:ascii="宋体" w:cs="宋体"/>
          <w:color w:val="auto"/>
          <w:highlight w:val="none"/>
        </w:rPr>
        <w:t>１、甲方无正当理由拒绝验收或拒付款的，甲方向乙方偿付合同总价的5%违约金。</w:t>
      </w:r>
    </w:p>
    <w:p w14:paraId="5177E190">
      <w:pPr>
        <w:widowControl/>
        <w:spacing w:line="360" w:lineRule="auto"/>
        <w:jc w:val="left"/>
        <w:rPr>
          <w:rFonts w:hint="eastAsia" w:ascii="宋体" w:cs="宋体"/>
          <w:color w:val="auto"/>
          <w:highlight w:val="none"/>
        </w:rPr>
      </w:pPr>
      <w:r>
        <w:rPr>
          <w:rFonts w:hint="eastAsia" w:ascii="宋体" w:cs="宋体"/>
          <w:color w:val="auto"/>
          <w:highlight w:val="none"/>
        </w:rPr>
        <w:t>２、甲方未按合同规定的期限向乙方支付合同款的，每逾期1天甲方向乙方偿付欠款总额的5‰滞纳金，但累计滞纳金总额不超过欠款总额的5% 。</w:t>
      </w:r>
    </w:p>
    <w:p w14:paraId="65852D5F">
      <w:pPr>
        <w:widowControl/>
        <w:spacing w:line="360" w:lineRule="auto"/>
        <w:jc w:val="left"/>
        <w:rPr>
          <w:rFonts w:hint="eastAsia" w:ascii="宋体" w:cs="宋体"/>
          <w:color w:val="auto"/>
          <w:highlight w:val="none"/>
        </w:rPr>
      </w:pPr>
      <w:r>
        <w:rPr>
          <w:rFonts w:hint="eastAsia" w:ascii="宋体" w:cs="宋体"/>
          <w:color w:val="auto"/>
          <w:highlight w:val="none"/>
        </w:rPr>
        <w:t>３、如乙方不能按期交付服务的，乙方应向甲方支付合同总价5%的违约金。</w:t>
      </w:r>
    </w:p>
    <w:p w14:paraId="4CE0D3FC">
      <w:pPr>
        <w:widowControl/>
        <w:spacing w:line="360" w:lineRule="auto"/>
        <w:jc w:val="left"/>
        <w:rPr>
          <w:rFonts w:hint="eastAsia" w:ascii="宋体" w:cs="宋体"/>
          <w:color w:val="auto"/>
          <w:highlight w:val="none"/>
        </w:rPr>
      </w:pPr>
      <w:r>
        <w:rPr>
          <w:rFonts w:hint="eastAsia" w:ascii="宋体" w:cs="宋体"/>
          <w:color w:val="auto"/>
          <w:highlight w:val="none"/>
        </w:rPr>
        <w:t>４、乙方逾期交付的，每逾期1天，乙方向甲方偿付合同总额的5‰的滞纳金。如乙方逾期交付达10天，甲方有权解除合同，解除合同的通知自到达乙方时生效。乙方逾期交付的，今后参加政府采购信誉将受到影响。</w:t>
      </w:r>
    </w:p>
    <w:p w14:paraId="179B9634">
      <w:pPr>
        <w:widowControl/>
        <w:spacing w:line="360" w:lineRule="auto"/>
        <w:jc w:val="left"/>
        <w:rPr>
          <w:rFonts w:hint="eastAsia" w:ascii="宋体" w:cs="宋体"/>
          <w:color w:val="auto"/>
          <w:highlight w:val="none"/>
        </w:rPr>
      </w:pPr>
      <w:r>
        <w:rPr>
          <w:rFonts w:hint="eastAsia" w:ascii="宋体" w:cs="宋体"/>
          <w:color w:val="auto"/>
          <w:highlight w:val="none"/>
        </w:rPr>
        <w:t>5、乙方在承担违约责任后，仍应继续履行合同规定的义务（甲方解除合同的除外）。甲方未能及时追究乙方的任何一项违约责任并不表明甲方放弃追究乙方该项或其他违约责任。</w:t>
      </w:r>
    </w:p>
    <w:p w14:paraId="1B8F6F0A">
      <w:pPr>
        <w:widowControl/>
        <w:spacing w:line="360" w:lineRule="auto"/>
        <w:jc w:val="left"/>
        <w:rPr>
          <w:rFonts w:hint="eastAsia" w:ascii="宋体" w:cs="宋体"/>
          <w:color w:val="auto"/>
          <w:highlight w:val="none"/>
        </w:rPr>
      </w:pPr>
      <w:r>
        <w:rPr>
          <w:rFonts w:hint="eastAsia" w:ascii="宋体" w:cs="宋体"/>
          <w:color w:val="auto"/>
          <w:highlight w:val="none"/>
        </w:rPr>
        <w:t>6、乙方虚假承诺，或经权威部门检测提供的货物和服务不能满足采购文件要求，或是由于乙方的过错造成合同无法继续履行的，应向甲方支付不少于合同总价30%赔偿金。</w:t>
      </w:r>
    </w:p>
    <w:p w14:paraId="68531056">
      <w:pPr>
        <w:widowControl/>
        <w:spacing w:line="360" w:lineRule="auto"/>
        <w:jc w:val="left"/>
        <w:rPr>
          <w:rFonts w:hint="eastAsia" w:ascii="宋体" w:cs="宋体"/>
          <w:color w:val="auto"/>
          <w:highlight w:val="none"/>
        </w:rPr>
      </w:pPr>
      <w:r>
        <w:rPr>
          <w:rFonts w:hint="eastAsia" w:ascii="宋体" w:cs="宋体"/>
          <w:b/>
          <w:bCs/>
          <w:color w:val="auto"/>
          <w:highlight w:val="none"/>
        </w:rPr>
        <w:t>第十条</w:t>
      </w:r>
      <w:r>
        <w:rPr>
          <w:rFonts w:hint="eastAsia" w:ascii="宋体" w:cs="宋体"/>
          <w:b/>
          <w:bCs/>
          <w:color w:val="auto"/>
          <w:highlight w:val="none"/>
          <w:lang w:val="en-US" w:eastAsia="zh-CN"/>
        </w:rPr>
        <w:t xml:space="preserve">  </w:t>
      </w:r>
      <w:r>
        <w:rPr>
          <w:rFonts w:hint="eastAsia" w:ascii="宋体" w:cs="宋体"/>
          <w:b/>
          <w:bCs/>
          <w:color w:val="auto"/>
          <w:highlight w:val="none"/>
        </w:rPr>
        <w:t>合同的变更和终止</w:t>
      </w:r>
    </w:p>
    <w:p w14:paraId="0815FCBF">
      <w:pPr>
        <w:widowControl/>
        <w:spacing w:line="360" w:lineRule="auto"/>
        <w:jc w:val="left"/>
        <w:rPr>
          <w:rFonts w:hint="eastAsia" w:ascii="宋体" w:cs="宋体"/>
          <w:color w:val="auto"/>
          <w:highlight w:val="none"/>
        </w:rPr>
      </w:pPr>
      <w:r>
        <w:rPr>
          <w:rFonts w:hint="eastAsia" w:ascii="宋体" w:cs="宋体"/>
          <w:color w:val="auto"/>
          <w:highlight w:val="none"/>
        </w:rPr>
        <w:t>1、除《政府采购法》第50条第二款规定的情形外，本合同一经签订，甲乙双方不得擅自变更、中止或终止合同。</w:t>
      </w:r>
    </w:p>
    <w:p w14:paraId="710F34E6">
      <w:pPr>
        <w:widowControl/>
        <w:spacing w:line="360" w:lineRule="auto"/>
        <w:jc w:val="left"/>
        <w:rPr>
          <w:rFonts w:hint="eastAsia" w:ascii="宋体" w:cs="宋体"/>
          <w:color w:val="auto"/>
          <w:highlight w:val="none"/>
        </w:rPr>
      </w:pPr>
      <w:r>
        <w:rPr>
          <w:rFonts w:hint="eastAsia" w:ascii="宋体" w:cs="宋体"/>
          <w:color w:val="auto"/>
          <w:highlight w:val="none"/>
        </w:rPr>
        <w:t>2、除发生法律规定的不能预见、不能避免并不能克服的客观情况外，甲乙双方不得放弃或拒绝履行合同。乙方放弃或拒绝履行合同，保证金不予退还，在三年内不得参加甲方组织的政府采购活动。</w:t>
      </w:r>
    </w:p>
    <w:p w14:paraId="5BEDAF60">
      <w:pPr>
        <w:widowControl/>
        <w:spacing w:line="360" w:lineRule="auto"/>
        <w:jc w:val="left"/>
        <w:rPr>
          <w:rFonts w:hint="eastAsia" w:ascii="宋体" w:cs="宋体"/>
          <w:color w:val="auto"/>
          <w:highlight w:val="none"/>
        </w:rPr>
      </w:pPr>
      <w:r>
        <w:rPr>
          <w:rFonts w:hint="eastAsia" w:ascii="宋体" w:cs="宋体"/>
          <w:b/>
          <w:bCs/>
          <w:color w:val="auto"/>
          <w:highlight w:val="none"/>
        </w:rPr>
        <w:t>第十一条</w:t>
      </w:r>
      <w:r>
        <w:rPr>
          <w:rFonts w:hint="eastAsia" w:ascii="宋体" w:cs="宋体"/>
          <w:b/>
          <w:bCs/>
          <w:color w:val="auto"/>
          <w:highlight w:val="none"/>
          <w:lang w:val="en-US" w:eastAsia="zh-CN"/>
        </w:rPr>
        <w:t xml:space="preserve">  </w:t>
      </w:r>
      <w:r>
        <w:rPr>
          <w:rFonts w:hint="eastAsia" w:ascii="宋体" w:cs="宋体"/>
          <w:b/>
          <w:bCs/>
          <w:color w:val="auto"/>
          <w:highlight w:val="none"/>
        </w:rPr>
        <w:t>合同的转让</w:t>
      </w:r>
    </w:p>
    <w:p w14:paraId="1C72BF46">
      <w:pPr>
        <w:widowControl/>
        <w:spacing w:line="360" w:lineRule="auto"/>
        <w:jc w:val="left"/>
        <w:rPr>
          <w:rFonts w:ascii="宋体" w:cs="宋体"/>
          <w:color w:val="auto"/>
          <w:highlight w:val="none"/>
        </w:rPr>
      </w:pPr>
      <w:r>
        <w:rPr>
          <w:rFonts w:hint="eastAsia" w:ascii="宋体" w:cs="宋体"/>
          <w:color w:val="auto"/>
          <w:highlight w:val="none"/>
        </w:rPr>
        <w:t>乙方不得擅自部分或全部转让其应履行的合同义务，经甲方发现并查实，乙方须赔偿甲方因此遭受的相关的经济损失。</w:t>
      </w:r>
    </w:p>
    <w:p w14:paraId="1BF6E76B">
      <w:pPr>
        <w:widowControl/>
        <w:spacing w:line="360" w:lineRule="auto"/>
        <w:jc w:val="left"/>
        <w:rPr>
          <w:rFonts w:hint="eastAsia" w:ascii="宋体" w:cs="宋体"/>
          <w:color w:val="auto"/>
          <w:highlight w:val="none"/>
        </w:rPr>
      </w:pPr>
      <w:r>
        <w:rPr>
          <w:rFonts w:hint="eastAsia" w:ascii="宋体" w:cs="宋体"/>
          <w:b/>
          <w:bCs/>
          <w:color w:val="auto"/>
          <w:highlight w:val="none"/>
        </w:rPr>
        <w:t>第十二条</w:t>
      </w:r>
      <w:r>
        <w:rPr>
          <w:rFonts w:hint="eastAsia" w:ascii="宋体" w:cs="宋体"/>
          <w:b/>
          <w:bCs/>
          <w:color w:val="auto"/>
          <w:highlight w:val="none"/>
          <w:lang w:val="en-US" w:eastAsia="zh-CN"/>
        </w:rPr>
        <w:t xml:space="preserve">  </w:t>
      </w:r>
      <w:r>
        <w:rPr>
          <w:rFonts w:hint="eastAsia" w:ascii="宋体" w:cs="宋体"/>
          <w:b/>
          <w:bCs/>
          <w:color w:val="auto"/>
          <w:highlight w:val="none"/>
        </w:rPr>
        <w:t>争议的解决</w:t>
      </w:r>
    </w:p>
    <w:p w14:paraId="4E820B48">
      <w:pPr>
        <w:widowControl/>
        <w:spacing w:line="360" w:lineRule="auto"/>
        <w:jc w:val="left"/>
        <w:rPr>
          <w:rFonts w:hint="eastAsia" w:ascii="宋体" w:cs="宋体"/>
          <w:color w:val="auto"/>
          <w:highlight w:val="none"/>
        </w:rPr>
      </w:pPr>
      <w:r>
        <w:rPr>
          <w:rFonts w:hint="eastAsia" w:ascii="宋体" w:cs="宋体"/>
          <w:color w:val="auto"/>
          <w:highlight w:val="none"/>
        </w:rPr>
        <w:t>1、因履行本合同引起的或与本合同有关的争议，甲、乙双方应首先通过友好协商解决，如果协商不能解决争议，则采取以下第（2）种方式解决争议：</w:t>
      </w:r>
    </w:p>
    <w:p w14:paraId="07B54D76">
      <w:pPr>
        <w:widowControl/>
        <w:spacing w:line="360" w:lineRule="auto"/>
        <w:jc w:val="left"/>
        <w:rPr>
          <w:rFonts w:hint="eastAsia" w:ascii="宋体" w:cs="宋体"/>
          <w:color w:val="auto"/>
          <w:highlight w:val="none"/>
        </w:rPr>
      </w:pPr>
      <w:r>
        <w:rPr>
          <w:rFonts w:hint="eastAsia" w:ascii="宋体" w:cs="宋体"/>
          <w:color w:val="auto"/>
          <w:highlight w:val="none"/>
        </w:rPr>
        <w:t>（1）向甲方所在地有管辖权的人民法院提起诉讼；</w:t>
      </w:r>
    </w:p>
    <w:p w14:paraId="6F337E5E">
      <w:pPr>
        <w:widowControl/>
        <w:spacing w:line="360" w:lineRule="auto"/>
        <w:jc w:val="left"/>
        <w:rPr>
          <w:rFonts w:hint="eastAsia" w:ascii="宋体" w:cs="宋体"/>
          <w:color w:val="auto"/>
          <w:highlight w:val="none"/>
        </w:rPr>
      </w:pPr>
      <w:r>
        <w:rPr>
          <w:rFonts w:hint="eastAsia" w:ascii="宋体" w:cs="宋体"/>
          <w:color w:val="auto"/>
          <w:highlight w:val="none"/>
        </w:rPr>
        <w:t>（2）向南京仲裁委员会按其仲裁规则申请仲裁。</w:t>
      </w:r>
    </w:p>
    <w:p w14:paraId="130D8132">
      <w:pPr>
        <w:widowControl/>
        <w:spacing w:line="360" w:lineRule="auto"/>
        <w:jc w:val="left"/>
        <w:rPr>
          <w:rFonts w:hint="eastAsia" w:ascii="宋体" w:cs="宋体"/>
          <w:color w:val="auto"/>
          <w:highlight w:val="none"/>
        </w:rPr>
      </w:pPr>
      <w:r>
        <w:rPr>
          <w:rFonts w:hint="eastAsia" w:ascii="宋体" w:cs="宋体"/>
          <w:color w:val="auto"/>
          <w:highlight w:val="none"/>
        </w:rPr>
        <w:t>2、在仲裁期间，本合同应继续履行。</w:t>
      </w:r>
    </w:p>
    <w:p w14:paraId="73244C7D">
      <w:pPr>
        <w:widowControl/>
        <w:spacing w:line="360" w:lineRule="auto"/>
        <w:jc w:val="left"/>
        <w:rPr>
          <w:rFonts w:hint="eastAsia" w:ascii="宋体" w:cs="宋体"/>
          <w:color w:val="auto"/>
          <w:highlight w:val="none"/>
        </w:rPr>
      </w:pPr>
      <w:r>
        <w:rPr>
          <w:rFonts w:hint="eastAsia" w:ascii="宋体" w:cs="宋体"/>
          <w:b/>
          <w:bCs/>
          <w:color w:val="auto"/>
          <w:highlight w:val="none"/>
        </w:rPr>
        <w:t>第十三条</w:t>
      </w:r>
      <w:r>
        <w:rPr>
          <w:rFonts w:hint="eastAsia" w:ascii="宋体" w:cs="宋体"/>
          <w:b/>
          <w:bCs/>
          <w:color w:val="auto"/>
          <w:highlight w:val="none"/>
          <w:lang w:val="en-US" w:eastAsia="zh-CN"/>
        </w:rPr>
        <w:t xml:space="preserve">  </w:t>
      </w:r>
      <w:r>
        <w:rPr>
          <w:rFonts w:hint="eastAsia" w:ascii="宋体" w:cs="宋体"/>
          <w:b/>
          <w:bCs/>
          <w:color w:val="auto"/>
          <w:highlight w:val="none"/>
        </w:rPr>
        <w:t>诚实信用</w:t>
      </w:r>
    </w:p>
    <w:p w14:paraId="4E2A70F2">
      <w:pPr>
        <w:widowControl/>
        <w:spacing w:line="360" w:lineRule="auto"/>
        <w:jc w:val="left"/>
        <w:rPr>
          <w:rFonts w:hint="eastAsia" w:ascii="宋体" w:cs="宋体"/>
          <w:color w:val="auto"/>
          <w:highlight w:val="none"/>
        </w:rPr>
      </w:pPr>
      <w:r>
        <w:rPr>
          <w:rFonts w:hint="eastAsia" w:ascii="宋体" w:cs="宋体"/>
          <w:color w:val="auto"/>
          <w:highlight w:val="none"/>
        </w:rPr>
        <w:t>乙方应诚实信用，严格按照采购文件要求和承诺履行合同，不向甲方进行商业贿赂或者提供不正当利益。</w:t>
      </w:r>
    </w:p>
    <w:p w14:paraId="07FD1822">
      <w:pPr>
        <w:widowControl/>
        <w:spacing w:line="360" w:lineRule="auto"/>
        <w:jc w:val="left"/>
        <w:rPr>
          <w:rFonts w:hint="eastAsia" w:ascii="宋体" w:cs="宋体"/>
          <w:color w:val="auto"/>
          <w:highlight w:val="none"/>
        </w:rPr>
      </w:pPr>
      <w:r>
        <w:rPr>
          <w:rFonts w:hint="eastAsia" w:ascii="宋体" w:cs="宋体"/>
          <w:b/>
          <w:bCs/>
          <w:color w:val="auto"/>
          <w:highlight w:val="none"/>
        </w:rPr>
        <w:t>第十四条</w:t>
      </w:r>
      <w:r>
        <w:rPr>
          <w:rFonts w:hint="eastAsia" w:ascii="宋体" w:cs="宋体"/>
          <w:b/>
          <w:bCs/>
          <w:color w:val="auto"/>
          <w:highlight w:val="none"/>
          <w:lang w:val="en-US" w:eastAsia="zh-CN"/>
        </w:rPr>
        <w:t xml:space="preserve">  </w:t>
      </w:r>
      <w:r>
        <w:rPr>
          <w:rFonts w:hint="eastAsia" w:ascii="宋体" w:cs="宋体"/>
          <w:b/>
          <w:bCs/>
          <w:color w:val="auto"/>
          <w:highlight w:val="none"/>
        </w:rPr>
        <w:t>合同生效及其他</w:t>
      </w:r>
    </w:p>
    <w:p w14:paraId="1FCE8354">
      <w:pPr>
        <w:widowControl/>
        <w:spacing w:line="360" w:lineRule="auto"/>
        <w:jc w:val="left"/>
        <w:rPr>
          <w:rFonts w:hint="eastAsia" w:ascii="宋体" w:cs="宋体"/>
          <w:color w:val="auto"/>
          <w:highlight w:val="none"/>
        </w:rPr>
      </w:pPr>
      <w:r>
        <w:rPr>
          <w:rFonts w:hint="eastAsia" w:ascii="宋体" w:cs="宋体"/>
          <w:color w:val="auto"/>
          <w:highlight w:val="none"/>
        </w:rPr>
        <w:t>1、本合同自签订之日起生效。</w:t>
      </w:r>
    </w:p>
    <w:p w14:paraId="3DBEC8E2">
      <w:pPr>
        <w:widowControl/>
        <w:spacing w:line="360" w:lineRule="auto"/>
        <w:jc w:val="left"/>
        <w:rPr>
          <w:rFonts w:hint="eastAsia" w:ascii="宋体" w:cs="宋体"/>
          <w:color w:val="auto"/>
          <w:highlight w:val="none"/>
        </w:rPr>
      </w:pPr>
      <w:r>
        <w:rPr>
          <w:rFonts w:hint="eastAsia" w:ascii="宋体" w:cs="宋体"/>
          <w:color w:val="auto"/>
          <w:highlight w:val="none"/>
        </w:rPr>
        <w:t>2、本合同一式肆份，甲乙双方各执贰份。</w:t>
      </w:r>
    </w:p>
    <w:p w14:paraId="38EC3B8F">
      <w:pPr>
        <w:widowControl/>
        <w:spacing w:line="360" w:lineRule="auto"/>
        <w:jc w:val="left"/>
        <w:rPr>
          <w:rFonts w:hint="eastAsia" w:ascii="宋体" w:cs="宋体"/>
          <w:color w:val="auto"/>
          <w:highlight w:val="none"/>
        </w:rPr>
      </w:pPr>
      <w:r>
        <w:rPr>
          <w:rFonts w:hint="eastAsia" w:ascii="宋体" w:cs="宋体"/>
          <w:color w:val="auto"/>
          <w:highlight w:val="none"/>
        </w:rPr>
        <w:t>3、本合同应按照中华人民共和国的现行法律进行解释。</w:t>
      </w:r>
    </w:p>
    <w:p w14:paraId="4C726E78">
      <w:pPr>
        <w:widowControl/>
        <w:spacing w:line="360" w:lineRule="auto"/>
        <w:jc w:val="left"/>
        <w:rPr>
          <w:rFonts w:hint="eastAsia" w:ascii="宋体" w:cs="宋体"/>
          <w:color w:val="auto"/>
          <w:highlight w:val="none"/>
        </w:rPr>
      </w:pPr>
    </w:p>
    <w:tbl>
      <w:tblPr>
        <w:tblStyle w:val="37"/>
        <w:tblW w:w="9286" w:type="dxa"/>
        <w:tblInd w:w="-108" w:type="dxa"/>
        <w:tblLayout w:type="fixed"/>
        <w:tblCellMar>
          <w:top w:w="0" w:type="dxa"/>
          <w:left w:w="108" w:type="dxa"/>
          <w:bottom w:w="0" w:type="dxa"/>
          <w:right w:w="108" w:type="dxa"/>
        </w:tblCellMar>
      </w:tblPr>
      <w:tblGrid>
        <w:gridCol w:w="4643"/>
        <w:gridCol w:w="4643"/>
      </w:tblGrid>
      <w:tr w14:paraId="3BCA7306">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noWrap/>
            <w:vAlign w:val="center"/>
          </w:tcPr>
          <w:p w14:paraId="1C3C991C">
            <w:pPr>
              <w:widowControl/>
              <w:spacing w:line="360" w:lineRule="auto"/>
              <w:jc w:val="left"/>
              <w:rPr>
                <w:rFonts w:hint="eastAsia" w:ascii="宋体" w:cs="宋体"/>
                <w:color w:val="auto"/>
                <w:highlight w:val="none"/>
                <w:lang w:val="zh-CN"/>
              </w:rPr>
            </w:pPr>
            <w:r>
              <w:rPr>
                <w:rFonts w:hint="eastAsia" w:ascii="宋体" w:cs="宋体"/>
                <w:color w:val="auto"/>
                <w:highlight w:val="none"/>
                <w:lang w:val="zh-CN"/>
              </w:rPr>
              <w:t>甲方（委托方）：（盖章）</w:t>
            </w:r>
          </w:p>
        </w:tc>
        <w:tc>
          <w:tcPr>
            <w:tcW w:w="4643" w:type="dxa"/>
            <w:tcBorders>
              <w:top w:val="nil"/>
              <w:left w:val="nil"/>
              <w:bottom w:val="nil"/>
              <w:right w:val="nil"/>
            </w:tcBorders>
            <w:noWrap/>
            <w:vAlign w:val="center"/>
          </w:tcPr>
          <w:p w14:paraId="676C2C88">
            <w:pPr>
              <w:widowControl/>
              <w:spacing w:line="360" w:lineRule="auto"/>
              <w:jc w:val="left"/>
              <w:rPr>
                <w:rFonts w:hint="eastAsia" w:ascii="宋体" w:cs="宋体"/>
                <w:color w:val="auto"/>
                <w:highlight w:val="none"/>
                <w:lang w:val="zh-CN"/>
              </w:rPr>
            </w:pPr>
            <w:r>
              <w:rPr>
                <w:rFonts w:hint="eastAsia" w:ascii="宋体" w:cs="宋体"/>
                <w:color w:val="auto"/>
                <w:highlight w:val="none"/>
                <w:lang w:val="zh-CN"/>
              </w:rPr>
              <w:t>乙方：（盖章）</w:t>
            </w:r>
          </w:p>
        </w:tc>
      </w:tr>
      <w:tr w14:paraId="66AC7E5E">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noWrap/>
            <w:vAlign w:val="center"/>
          </w:tcPr>
          <w:p w14:paraId="21A9B576">
            <w:pPr>
              <w:widowControl/>
              <w:spacing w:line="360" w:lineRule="auto"/>
              <w:jc w:val="left"/>
              <w:rPr>
                <w:rFonts w:hint="eastAsia" w:ascii="宋体" w:cs="宋体"/>
                <w:color w:val="auto"/>
                <w:highlight w:val="none"/>
              </w:rPr>
            </w:pPr>
            <w:r>
              <w:rPr>
                <w:rFonts w:hint="eastAsia" w:ascii="宋体" w:cs="宋体"/>
                <w:color w:val="auto"/>
                <w:highlight w:val="none"/>
                <w:lang w:val="zh-CN"/>
              </w:rPr>
              <w:t>法定代表人：</w:t>
            </w:r>
          </w:p>
        </w:tc>
        <w:tc>
          <w:tcPr>
            <w:tcW w:w="4643" w:type="dxa"/>
            <w:tcBorders>
              <w:top w:val="nil"/>
              <w:left w:val="nil"/>
              <w:bottom w:val="nil"/>
              <w:right w:val="nil"/>
            </w:tcBorders>
            <w:noWrap/>
            <w:vAlign w:val="center"/>
          </w:tcPr>
          <w:p w14:paraId="0274B23B">
            <w:pPr>
              <w:widowControl/>
              <w:spacing w:line="360" w:lineRule="auto"/>
              <w:jc w:val="left"/>
              <w:rPr>
                <w:rFonts w:hint="eastAsia" w:ascii="宋体" w:cs="宋体"/>
                <w:color w:val="auto"/>
                <w:highlight w:val="none"/>
              </w:rPr>
            </w:pPr>
            <w:r>
              <w:rPr>
                <w:rFonts w:hint="eastAsia" w:ascii="宋体" w:cs="宋体"/>
                <w:color w:val="auto"/>
                <w:highlight w:val="none"/>
                <w:lang w:val="zh-CN"/>
              </w:rPr>
              <w:t>法定或委托代表人</w:t>
            </w:r>
            <w:r>
              <w:rPr>
                <w:rFonts w:hint="eastAsia" w:ascii="宋体" w:cs="宋体"/>
                <w:color w:val="auto"/>
                <w:highlight w:val="none"/>
              </w:rPr>
              <w:t>：</w:t>
            </w:r>
          </w:p>
        </w:tc>
      </w:tr>
      <w:tr w14:paraId="408C43F9">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noWrap/>
            <w:vAlign w:val="center"/>
          </w:tcPr>
          <w:p w14:paraId="45227C5F">
            <w:pPr>
              <w:widowControl/>
              <w:spacing w:line="360" w:lineRule="auto"/>
              <w:jc w:val="left"/>
              <w:rPr>
                <w:rFonts w:hint="eastAsia" w:ascii="宋体" w:cs="宋体"/>
                <w:color w:val="auto"/>
                <w:highlight w:val="none"/>
              </w:rPr>
            </w:pPr>
            <w:r>
              <w:rPr>
                <w:rFonts w:hint="eastAsia" w:ascii="宋体" w:cs="宋体"/>
                <w:color w:val="auto"/>
                <w:highlight w:val="none"/>
                <w:lang w:val="zh-CN"/>
              </w:rPr>
              <w:t>电话：</w:t>
            </w:r>
          </w:p>
        </w:tc>
        <w:tc>
          <w:tcPr>
            <w:tcW w:w="4643" w:type="dxa"/>
            <w:tcBorders>
              <w:top w:val="nil"/>
              <w:left w:val="nil"/>
              <w:bottom w:val="nil"/>
              <w:right w:val="nil"/>
            </w:tcBorders>
            <w:noWrap/>
            <w:vAlign w:val="center"/>
          </w:tcPr>
          <w:p w14:paraId="0FEE6A7E">
            <w:pPr>
              <w:widowControl/>
              <w:spacing w:line="360" w:lineRule="auto"/>
              <w:jc w:val="left"/>
              <w:rPr>
                <w:rFonts w:hint="eastAsia" w:ascii="宋体" w:cs="宋体"/>
                <w:color w:val="auto"/>
                <w:highlight w:val="none"/>
              </w:rPr>
            </w:pPr>
            <w:r>
              <w:rPr>
                <w:rFonts w:hint="eastAsia" w:ascii="宋体" w:cs="宋体"/>
                <w:color w:val="auto"/>
                <w:highlight w:val="none"/>
                <w:lang w:val="zh-CN"/>
              </w:rPr>
              <w:t>电话：</w:t>
            </w:r>
          </w:p>
        </w:tc>
      </w:tr>
      <w:tr w14:paraId="3491E26C">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noWrap/>
            <w:vAlign w:val="center"/>
          </w:tcPr>
          <w:p w14:paraId="53656656">
            <w:pPr>
              <w:widowControl/>
              <w:spacing w:line="360" w:lineRule="auto"/>
              <w:jc w:val="left"/>
              <w:rPr>
                <w:rFonts w:hint="eastAsia" w:ascii="宋体" w:cs="宋体"/>
                <w:color w:val="auto"/>
                <w:highlight w:val="none"/>
              </w:rPr>
            </w:pPr>
            <w:r>
              <w:rPr>
                <w:rFonts w:hint="eastAsia" w:ascii="宋体" w:cs="宋体"/>
                <w:color w:val="auto"/>
                <w:highlight w:val="none"/>
                <w:lang w:val="zh-CN"/>
              </w:rPr>
              <w:t>开户银行：</w:t>
            </w:r>
          </w:p>
        </w:tc>
        <w:tc>
          <w:tcPr>
            <w:tcW w:w="4643" w:type="dxa"/>
            <w:tcBorders>
              <w:top w:val="nil"/>
              <w:left w:val="nil"/>
              <w:bottom w:val="nil"/>
              <w:right w:val="nil"/>
            </w:tcBorders>
            <w:noWrap/>
            <w:vAlign w:val="center"/>
          </w:tcPr>
          <w:p w14:paraId="35010C14">
            <w:pPr>
              <w:widowControl/>
              <w:spacing w:line="360" w:lineRule="auto"/>
              <w:jc w:val="left"/>
              <w:rPr>
                <w:rFonts w:hint="eastAsia" w:ascii="宋体" w:cs="宋体"/>
                <w:color w:val="auto"/>
                <w:highlight w:val="none"/>
              </w:rPr>
            </w:pPr>
            <w:r>
              <w:rPr>
                <w:rFonts w:hint="eastAsia" w:ascii="宋体" w:cs="宋体"/>
                <w:color w:val="auto"/>
                <w:highlight w:val="none"/>
                <w:lang w:val="zh-CN"/>
              </w:rPr>
              <w:t>开户银行：</w:t>
            </w:r>
          </w:p>
        </w:tc>
      </w:tr>
      <w:tr w14:paraId="7861B744">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noWrap/>
            <w:vAlign w:val="center"/>
          </w:tcPr>
          <w:p w14:paraId="2CA36108">
            <w:pPr>
              <w:widowControl/>
              <w:spacing w:line="360" w:lineRule="auto"/>
              <w:jc w:val="left"/>
              <w:rPr>
                <w:rFonts w:hint="eastAsia" w:ascii="宋体" w:cs="宋体"/>
                <w:color w:val="auto"/>
                <w:highlight w:val="none"/>
              </w:rPr>
            </w:pPr>
            <w:r>
              <w:rPr>
                <w:rFonts w:hint="eastAsia" w:ascii="宋体" w:cs="宋体"/>
                <w:color w:val="auto"/>
                <w:highlight w:val="none"/>
              </w:rPr>
              <w:t>账</w:t>
            </w:r>
            <w:r>
              <w:rPr>
                <w:rFonts w:hint="eastAsia" w:ascii="宋体" w:cs="宋体"/>
                <w:color w:val="auto"/>
                <w:highlight w:val="none"/>
                <w:lang w:val="zh-CN"/>
              </w:rPr>
              <w:t>号：</w:t>
            </w:r>
          </w:p>
        </w:tc>
        <w:tc>
          <w:tcPr>
            <w:tcW w:w="4643" w:type="dxa"/>
            <w:tcBorders>
              <w:top w:val="nil"/>
              <w:left w:val="nil"/>
              <w:bottom w:val="nil"/>
              <w:right w:val="nil"/>
            </w:tcBorders>
            <w:noWrap/>
            <w:vAlign w:val="center"/>
          </w:tcPr>
          <w:p w14:paraId="7DE78FB3">
            <w:pPr>
              <w:widowControl/>
              <w:spacing w:line="360" w:lineRule="auto"/>
              <w:jc w:val="left"/>
              <w:rPr>
                <w:rFonts w:hint="eastAsia" w:ascii="宋体" w:cs="宋体"/>
                <w:color w:val="auto"/>
                <w:highlight w:val="none"/>
              </w:rPr>
            </w:pPr>
            <w:r>
              <w:rPr>
                <w:rFonts w:hint="eastAsia" w:ascii="宋体" w:cs="宋体"/>
                <w:color w:val="auto"/>
                <w:highlight w:val="none"/>
              </w:rPr>
              <w:t>账</w:t>
            </w:r>
            <w:r>
              <w:rPr>
                <w:rFonts w:hint="eastAsia" w:ascii="宋体" w:cs="宋体"/>
                <w:color w:val="auto"/>
                <w:highlight w:val="none"/>
                <w:lang w:val="zh-CN"/>
              </w:rPr>
              <w:t>号：</w:t>
            </w:r>
          </w:p>
        </w:tc>
      </w:tr>
      <w:tr w14:paraId="1A89C7CC">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noWrap/>
            <w:vAlign w:val="center"/>
          </w:tcPr>
          <w:p w14:paraId="1B3D3414">
            <w:pPr>
              <w:widowControl/>
              <w:spacing w:line="360" w:lineRule="auto"/>
              <w:jc w:val="left"/>
              <w:rPr>
                <w:rFonts w:hint="eastAsia" w:ascii="宋体" w:cs="宋体"/>
                <w:color w:val="auto"/>
                <w:highlight w:val="none"/>
                <w:lang w:val="zh-CN"/>
              </w:rPr>
            </w:pPr>
            <w:r>
              <w:rPr>
                <w:rFonts w:hint="eastAsia" w:ascii="宋体" w:cs="宋体"/>
                <w:color w:val="auto"/>
                <w:highlight w:val="none"/>
                <w:lang w:val="zh-CN"/>
              </w:rPr>
              <w:t>日期：年月日</w:t>
            </w:r>
          </w:p>
        </w:tc>
        <w:tc>
          <w:tcPr>
            <w:tcW w:w="4643" w:type="dxa"/>
            <w:tcBorders>
              <w:top w:val="nil"/>
              <w:left w:val="nil"/>
              <w:bottom w:val="nil"/>
              <w:right w:val="nil"/>
            </w:tcBorders>
            <w:noWrap/>
            <w:vAlign w:val="center"/>
          </w:tcPr>
          <w:p w14:paraId="2D2624CB">
            <w:pPr>
              <w:widowControl/>
              <w:spacing w:line="360" w:lineRule="auto"/>
              <w:jc w:val="left"/>
              <w:rPr>
                <w:rFonts w:hint="eastAsia" w:ascii="宋体" w:cs="宋体"/>
                <w:color w:val="auto"/>
                <w:highlight w:val="none"/>
                <w:lang w:val="zh-CN"/>
              </w:rPr>
            </w:pPr>
            <w:r>
              <w:rPr>
                <w:rFonts w:hint="eastAsia" w:ascii="宋体" w:cs="宋体"/>
                <w:color w:val="auto"/>
                <w:highlight w:val="none"/>
                <w:lang w:val="zh-CN"/>
              </w:rPr>
              <w:t>日期：年月日</w:t>
            </w:r>
          </w:p>
        </w:tc>
      </w:tr>
      <w:bookmarkEnd w:id="307"/>
    </w:tbl>
    <w:p w14:paraId="20926538">
      <w:pPr>
        <w:snapToGrid/>
        <w:spacing w:line="360" w:lineRule="auto"/>
        <w:jc w:val="lef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br w:type="page"/>
      </w:r>
    </w:p>
    <w:p w14:paraId="63C4BDF6">
      <w:pPr>
        <w:snapToGrid w:val="0"/>
        <w:spacing w:line="360" w:lineRule="auto"/>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合同附件</w:t>
      </w:r>
    </w:p>
    <w:p w14:paraId="2EF51D93">
      <w:pPr>
        <w:snapToGrid w:val="0"/>
        <w:spacing w:line="360" w:lineRule="auto"/>
        <w:jc w:val="center"/>
        <w:rPr>
          <w:rFonts w:hint="default" w:ascii="Times New Roman" w:hAnsi="Times New Roman" w:cs="Times New Roman"/>
          <w:b/>
          <w:color w:val="auto"/>
          <w:szCs w:val="21"/>
          <w:highlight w:val="none"/>
        </w:rPr>
      </w:pP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57"/>
        <w:gridCol w:w="4489"/>
      </w:tblGrid>
      <w:tr w14:paraId="31EEF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top w:val="single" w:color="auto" w:sz="4" w:space="0"/>
              <w:left w:val="single" w:color="auto" w:sz="4" w:space="0"/>
              <w:right w:val="single" w:color="auto" w:sz="4" w:space="0"/>
            </w:tcBorders>
            <w:noWrap w:val="0"/>
            <w:vAlign w:val="center"/>
          </w:tcPr>
          <w:p w14:paraId="71DED3E1">
            <w:pPr>
              <w:snapToGrid w:val="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1、供应商承诺具体事项：</w:t>
            </w:r>
          </w:p>
        </w:tc>
      </w:tr>
      <w:tr w14:paraId="0DDF6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right w:val="single" w:color="auto" w:sz="4" w:space="0"/>
            </w:tcBorders>
            <w:noWrap w:val="0"/>
            <w:vAlign w:val="center"/>
          </w:tcPr>
          <w:p w14:paraId="4564121D">
            <w:pPr>
              <w:snapToGrid w:val="0"/>
              <w:rPr>
                <w:rFonts w:hint="default" w:ascii="Times New Roman" w:hAnsi="Times New Roman" w:cs="Times New Roman"/>
                <w:color w:val="auto"/>
                <w:szCs w:val="21"/>
                <w:highlight w:val="none"/>
              </w:rPr>
            </w:pPr>
          </w:p>
        </w:tc>
      </w:tr>
      <w:tr w14:paraId="53F12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right w:val="single" w:color="auto" w:sz="4" w:space="0"/>
            </w:tcBorders>
            <w:noWrap w:val="0"/>
            <w:vAlign w:val="center"/>
          </w:tcPr>
          <w:p w14:paraId="02CF3D35">
            <w:pPr>
              <w:snapToGrid w:val="0"/>
              <w:rPr>
                <w:rFonts w:hint="default" w:ascii="Times New Roman" w:hAnsi="Times New Roman" w:cs="Times New Roman"/>
                <w:color w:val="auto"/>
                <w:szCs w:val="21"/>
                <w:highlight w:val="none"/>
              </w:rPr>
            </w:pPr>
          </w:p>
        </w:tc>
      </w:tr>
      <w:tr w14:paraId="1340F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right w:val="single" w:color="auto" w:sz="4" w:space="0"/>
            </w:tcBorders>
            <w:noWrap w:val="0"/>
            <w:vAlign w:val="center"/>
          </w:tcPr>
          <w:p w14:paraId="5755CE37">
            <w:pPr>
              <w:snapToGrid w:val="0"/>
              <w:rPr>
                <w:rFonts w:hint="default" w:ascii="Times New Roman" w:hAnsi="Times New Roman" w:cs="Times New Roman"/>
                <w:color w:val="auto"/>
                <w:szCs w:val="21"/>
                <w:highlight w:val="none"/>
              </w:rPr>
            </w:pPr>
          </w:p>
        </w:tc>
      </w:tr>
      <w:tr w14:paraId="3E63C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bottom w:val="single" w:color="auto" w:sz="4" w:space="0"/>
              <w:right w:val="single" w:color="auto" w:sz="4" w:space="0"/>
            </w:tcBorders>
            <w:noWrap w:val="0"/>
            <w:vAlign w:val="center"/>
          </w:tcPr>
          <w:p w14:paraId="5FDD2923">
            <w:pPr>
              <w:snapToGrid w:val="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2、售后服务具体事项：</w:t>
            </w:r>
          </w:p>
        </w:tc>
      </w:tr>
      <w:tr w14:paraId="3FB40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top w:val="single" w:color="auto" w:sz="4" w:space="0"/>
              <w:left w:val="single" w:color="auto" w:sz="4" w:space="0"/>
              <w:right w:val="single" w:color="auto" w:sz="4" w:space="0"/>
            </w:tcBorders>
            <w:noWrap w:val="0"/>
            <w:vAlign w:val="center"/>
          </w:tcPr>
          <w:p w14:paraId="22810A51">
            <w:pPr>
              <w:snapToGrid w:val="0"/>
              <w:rPr>
                <w:rFonts w:hint="default" w:ascii="Times New Roman" w:hAnsi="Times New Roman" w:cs="Times New Roman"/>
                <w:color w:val="auto"/>
                <w:szCs w:val="21"/>
                <w:highlight w:val="none"/>
              </w:rPr>
            </w:pPr>
          </w:p>
        </w:tc>
      </w:tr>
      <w:tr w14:paraId="2DA75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right w:val="single" w:color="auto" w:sz="4" w:space="0"/>
            </w:tcBorders>
            <w:noWrap w:val="0"/>
            <w:vAlign w:val="center"/>
          </w:tcPr>
          <w:p w14:paraId="39D0A9EE">
            <w:pPr>
              <w:snapToGrid w:val="0"/>
              <w:rPr>
                <w:rFonts w:hint="default" w:ascii="Times New Roman" w:hAnsi="Times New Roman" w:cs="Times New Roman"/>
                <w:color w:val="auto"/>
                <w:szCs w:val="21"/>
                <w:highlight w:val="none"/>
              </w:rPr>
            </w:pPr>
          </w:p>
        </w:tc>
      </w:tr>
      <w:tr w14:paraId="24390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right w:val="single" w:color="auto" w:sz="4" w:space="0"/>
            </w:tcBorders>
            <w:noWrap w:val="0"/>
            <w:vAlign w:val="center"/>
          </w:tcPr>
          <w:p w14:paraId="254ED787">
            <w:pPr>
              <w:snapToGrid w:val="0"/>
              <w:rPr>
                <w:rFonts w:hint="default" w:ascii="Times New Roman" w:hAnsi="Times New Roman" w:cs="Times New Roman"/>
                <w:color w:val="auto"/>
                <w:szCs w:val="21"/>
                <w:highlight w:val="none"/>
              </w:rPr>
            </w:pPr>
          </w:p>
        </w:tc>
      </w:tr>
      <w:tr w14:paraId="214FF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right w:val="single" w:color="auto" w:sz="4" w:space="0"/>
            </w:tcBorders>
            <w:noWrap w:val="0"/>
            <w:vAlign w:val="center"/>
          </w:tcPr>
          <w:p w14:paraId="6F76300A">
            <w:pPr>
              <w:snapToGrid w:val="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3、保修期责任：</w:t>
            </w:r>
          </w:p>
        </w:tc>
      </w:tr>
      <w:tr w14:paraId="04005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bottom w:val="single" w:color="auto" w:sz="4" w:space="0"/>
              <w:right w:val="single" w:color="auto" w:sz="4" w:space="0"/>
            </w:tcBorders>
            <w:noWrap w:val="0"/>
            <w:vAlign w:val="center"/>
          </w:tcPr>
          <w:p w14:paraId="6C37B2EB">
            <w:pPr>
              <w:snapToGrid w:val="0"/>
              <w:rPr>
                <w:rFonts w:hint="default" w:ascii="Times New Roman" w:hAnsi="Times New Roman" w:cs="Times New Roman"/>
                <w:color w:val="auto"/>
                <w:szCs w:val="21"/>
                <w:highlight w:val="none"/>
              </w:rPr>
            </w:pPr>
          </w:p>
        </w:tc>
      </w:tr>
      <w:tr w14:paraId="1705A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top w:val="single" w:color="auto" w:sz="4" w:space="0"/>
              <w:left w:val="single" w:color="auto" w:sz="4" w:space="0"/>
              <w:right w:val="single" w:color="auto" w:sz="4" w:space="0"/>
            </w:tcBorders>
            <w:noWrap w:val="0"/>
            <w:vAlign w:val="center"/>
          </w:tcPr>
          <w:p w14:paraId="0A91C061">
            <w:pPr>
              <w:snapToGrid w:val="0"/>
              <w:rPr>
                <w:rFonts w:hint="default" w:ascii="Times New Roman" w:hAnsi="Times New Roman" w:cs="Times New Roman"/>
                <w:color w:val="auto"/>
                <w:szCs w:val="21"/>
                <w:highlight w:val="none"/>
              </w:rPr>
            </w:pPr>
          </w:p>
        </w:tc>
      </w:tr>
      <w:tr w14:paraId="3FC6E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right w:val="single" w:color="auto" w:sz="4" w:space="0"/>
            </w:tcBorders>
            <w:noWrap w:val="0"/>
            <w:vAlign w:val="center"/>
          </w:tcPr>
          <w:p w14:paraId="014E9F88">
            <w:pPr>
              <w:snapToGrid w:val="0"/>
              <w:rPr>
                <w:rFonts w:hint="default" w:ascii="Times New Roman" w:hAnsi="Times New Roman" w:cs="Times New Roman"/>
                <w:color w:val="auto"/>
                <w:szCs w:val="21"/>
                <w:highlight w:val="none"/>
              </w:rPr>
            </w:pPr>
          </w:p>
        </w:tc>
      </w:tr>
      <w:tr w14:paraId="251A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right w:val="single" w:color="auto" w:sz="4" w:space="0"/>
            </w:tcBorders>
            <w:noWrap w:val="0"/>
            <w:vAlign w:val="center"/>
          </w:tcPr>
          <w:p w14:paraId="0D90B0B8">
            <w:pPr>
              <w:snapToGrid w:val="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4、其他具体事项：</w:t>
            </w:r>
          </w:p>
        </w:tc>
      </w:tr>
      <w:tr w14:paraId="34BFD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right w:val="single" w:color="auto" w:sz="4" w:space="0"/>
            </w:tcBorders>
            <w:noWrap w:val="0"/>
            <w:vAlign w:val="center"/>
          </w:tcPr>
          <w:p w14:paraId="7283FC6F">
            <w:pPr>
              <w:snapToGrid w:val="0"/>
              <w:rPr>
                <w:rFonts w:hint="default" w:ascii="Times New Roman" w:hAnsi="Times New Roman" w:cs="Times New Roman"/>
                <w:color w:val="auto"/>
                <w:szCs w:val="21"/>
                <w:highlight w:val="none"/>
              </w:rPr>
            </w:pPr>
          </w:p>
        </w:tc>
      </w:tr>
      <w:tr w14:paraId="0C610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right w:val="single" w:color="auto" w:sz="4" w:space="0"/>
            </w:tcBorders>
            <w:noWrap w:val="0"/>
            <w:vAlign w:val="center"/>
          </w:tcPr>
          <w:p w14:paraId="6053A510">
            <w:pPr>
              <w:snapToGrid w:val="0"/>
              <w:rPr>
                <w:rFonts w:hint="default" w:ascii="Times New Roman" w:hAnsi="Times New Roman" w:cs="Times New Roman"/>
                <w:color w:val="auto"/>
                <w:szCs w:val="21"/>
                <w:highlight w:val="none"/>
              </w:rPr>
            </w:pPr>
          </w:p>
        </w:tc>
      </w:tr>
      <w:tr w14:paraId="1A189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bottom w:val="single" w:color="auto" w:sz="4" w:space="0"/>
              <w:right w:val="single" w:color="auto" w:sz="4" w:space="0"/>
            </w:tcBorders>
            <w:noWrap w:val="0"/>
            <w:vAlign w:val="center"/>
          </w:tcPr>
          <w:p w14:paraId="636F2414">
            <w:pPr>
              <w:snapToGrid w:val="0"/>
              <w:rPr>
                <w:rFonts w:hint="default" w:ascii="Times New Roman" w:hAnsi="Times New Roman" w:cs="Times New Roman"/>
                <w:color w:val="auto"/>
                <w:szCs w:val="21"/>
                <w:highlight w:val="none"/>
              </w:rPr>
            </w:pPr>
          </w:p>
        </w:tc>
      </w:tr>
      <w:tr w14:paraId="10428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top w:val="single" w:color="auto" w:sz="4" w:space="0"/>
              <w:left w:val="single" w:color="auto" w:sz="4" w:space="0"/>
              <w:right w:val="single" w:color="auto" w:sz="4" w:space="0"/>
            </w:tcBorders>
            <w:noWrap w:val="0"/>
            <w:vAlign w:val="center"/>
          </w:tcPr>
          <w:p w14:paraId="63C15E40">
            <w:pPr>
              <w:snapToGrid w:val="0"/>
              <w:rPr>
                <w:rFonts w:hint="default" w:ascii="Times New Roman" w:hAnsi="Times New Roman" w:cs="Times New Roman"/>
                <w:color w:val="auto"/>
                <w:szCs w:val="21"/>
                <w:highlight w:val="none"/>
              </w:rPr>
            </w:pPr>
          </w:p>
        </w:tc>
      </w:tr>
      <w:tr w14:paraId="022B9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right w:val="single" w:color="auto" w:sz="4" w:space="0"/>
            </w:tcBorders>
            <w:noWrap w:val="0"/>
            <w:vAlign w:val="center"/>
          </w:tcPr>
          <w:p w14:paraId="46C90612">
            <w:pPr>
              <w:snapToGrid w:val="0"/>
              <w:rPr>
                <w:rFonts w:hint="default" w:ascii="Times New Roman" w:hAnsi="Times New Roman" w:cs="Times New Roman"/>
                <w:color w:val="auto"/>
                <w:szCs w:val="21"/>
                <w:highlight w:val="none"/>
              </w:rPr>
            </w:pPr>
          </w:p>
        </w:tc>
      </w:tr>
      <w:tr w14:paraId="03BD5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right w:val="single" w:color="auto" w:sz="4" w:space="0"/>
            </w:tcBorders>
            <w:noWrap w:val="0"/>
            <w:vAlign w:val="center"/>
          </w:tcPr>
          <w:p w14:paraId="19278C15">
            <w:pPr>
              <w:snapToGrid w:val="0"/>
              <w:rPr>
                <w:rFonts w:hint="default" w:ascii="Times New Roman" w:hAnsi="Times New Roman" w:cs="Times New Roman"/>
                <w:color w:val="auto"/>
                <w:szCs w:val="21"/>
                <w:highlight w:val="none"/>
              </w:rPr>
            </w:pPr>
          </w:p>
        </w:tc>
      </w:tr>
      <w:tr w14:paraId="48CD2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2"/>
            <w:tcBorders>
              <w:left w:val="single" w:color="auto" w:sz="4" w:space="0"/>
              <w:bottom w:val="single" w:color="auto" w:sz="4" w:space="0"/>
              <w:right w:val="single" w:color="auto" w:sz="4" w:space="0"/>
            </w:tcBorders>
            <w:noWrap w:val="0"/>
            <w:vAlign w:val="center"/>
          </w:tcPr>
          <w:p w14:paraId="7214E1EF">
            <w:pPr>
              <w:snapToGrid w:val="0"/>
              <w:rPr>
                <w:rFonts w:hint="default" w:ascii="Times New Roman" w:hAnsi="Times New Roman" w:cs="Times New Roman"/>
                <w:color w:val="auto"/>
                <w:szCs w:val="21"/>
                <w:highlight w:val="none"/>
              </w:rPr>
            </w:pPr>
          </w:p>
        </w:tc>
      </w:tr>
      <w:tr w14:paraId="618A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7" w:hRule="atLeast"/>
          <w:jc w:val="center"/>
        </w:trPr>
        <w:tc>
          <w:tcPr>
            <w:tcW w:w="2491" w:type="pct"/>
            <w:tcBorders>
              <w:top w:val="single" w:color="auto" w:sz="4" w:space="0"/>
              <w:left w:val="single" w:color="auto" w:sz="4" w:space="0"/>
              <w:bottom w:val="single" w:color="auto" w:sz="4" w:space="0"/>
              <w:right w:val="single" w:color="auto" w:sz="4" w:space="0"/>
            </w:tcBorders>
            <w:noWrap w:val="0"/>
            <w:vAlign w:val="center"/>
          </w:tcPr>
          <w:p w14:paraId="49DCA7E7">
            <w:pPr>
              <w:snapToGrid w:val="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甲方（公章）</w:t>
            </w:r>
          </w:p>
          <w:p w14:paraId="4AF55DF8">
            <w:pPr>
              <w:snapToGrid w:val="0"/>
              <w:rPr>
                <w:rFonts w:hint="default" w:ascii="Times New Roman" w:hAnsi="Times New Roman" w:cs="Times New Roman"/>
                <w:color w:val="auto"/>
                <w:szCs w:val="21"/>
                <w:highlight w:val="none"/>
              </w:rPr>
            </w:pPr>
          </w:p>
          <w:p w14:paraId="5EBB2B9A">
            <w:pPr>
              <w:snapToGrid w:val="0"/>
              <w:rPr>
                <w:rFonts w:hint="default" w:ascii="Times New Roman" w:hAnsi="Times New Roman" w:cs="Times New Roman"/>
                <w:color w:val="auto"/>
                <w:szCs w:val="21"/>
                <w:highlight w:val="none"/>
              </w:rPr>
            </w:pPr>
          </w:p>
          <w:p w14:paraId="72011DE1">
            <w:pPr>
              <w:snapToGrid w:val="0"/>
              <w:rPr>
                <w:rFonts w:hint="default" w:ascii="Times New Roman" w:hAnsi="Times New Roman" w:cs="Times New Roman"/>
                <w:color w:val="auto"/>
                <w:szCs w:val="21"/>
                <w:highlight w:val="none"/>
              </w:rPr>
            </w:pPr>
          </w:p>
          <w:p w14:paraId="37935999">
            <w:pPr>
              <w:snapToGrid w:val="0"/>
              <w:rPr>
                <w:rFonts w:hint="default" w:ascii="Times New Roman" w:hAnsi="Times New Roman" w:cs="Times New Roman"/>
                <w:color w:val="auto"/>
                <w:szCs w:val="21"/>
                <w:highlight w:val="none"/>
              </w:rPr>
            </w:pPr>
          </w:p>
          <w:p w14:paraId="7BDF42A7">
            <w:pPr>
              <w:snapToGrid w:val="0"/>
              <w:ind w:firstLine="525" w:firstLineChars="25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年   月   日</w:t>
            </w:r>
          </w:p>
        </w:tc>
        <w:tc>
          <w:tcPr>
            <w:tcW w:w="2508" w:type="pct"/>
            <w:tcBorders>
              <w:top w:val="single" w:color="auto" w:sz="4" w:space="0"/>
              <w:left w:val="single" w:color="auto" w:sz="4" w:space="0"/>
              <w:bottom w:val="single" w:color="auto" w:sz="4" w:space="0"/>
              <w:right w:val="single" w:color="auto" w:sz="4" w:space="0"/>
            </w:tcBorders>
            <w:noWrap w:val="0"/>
            <w:vAlign w:val="center"/>
          </w:tcPr>
          <w:p w14:paraId="004742AF">
            <w:pPr>
              <w:snapToGrid w:val="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乙方（公章）</w:t>
            </w:r>
          </w:p>
          <w:p w14:paraId="231DA2E9">
            <w:pPr>
              <w:snapToGrid w:val="0"/>
              <w:rPr>
                <w:rFonts w:hint="default" w:ascii="Times New Roman" w:hAnsi="Times New Roman" w:cs="Times New Roman"/>
                <w:color w:val="auto"/>
                <w:szCs w:val="21"/>
                <w:highlight w:val="none"/>
              </w:rPr>
            </w:pPr>
          </w:p>
          <w:p w14:paraId="5C6B4EAF">
            <w:pPr>
              <w:snapToGrid w:val="0"/>
              <w:rPr>
                <w:rFonts w:hint="default" w:ascii="Times New Roman" w:hAnsi="Times New Roman" w:cs="Times New Roman"/>
                <w:color w:val="auto"/>
                <w:szCs w:val="21"/>
                <w:highlight w:val="none"/>
              </w:rPr>
            </w:pPr>
          </w:p>
          <w:p w14:paraId="5F298CF6">
            <w:pPr>
              <w:snapToGrid w:val="0"/>
              <w:rPr>
                <w:rFonts w:hint="default" w:ascii="Times New Roman" w:hAnsi="Times New Roman" w:cs="Times New Roman"/>
                <w:color w:val="auto"/>
                <w:szCs w:val="21"/>
                <w:highlight w:val="none"/>
              </w:rPr>
            </w:pPr>
          </w:p>
          <w:p w14:paraId="2B123DE5">
            <w:pPr>
              <w:snapToGrid w:val="0"/>
              <w:rPr>
                <w:rFonts w:hint="default" w:ascii="Times New Roman" w:hAnsi="Times New Roman" w:cs="Times New Roman"/>
                <w:color w:val="auto"/>
                <w:szCs w:val="21"/>
                <w:highlight w:val="none"/>
              </w:rPr>
            </w:pPr>
          </w:p>
          <w:p w14:paraId="614FC3F2">
            <w:pPr>
              <w:snapToGrid w:val="0"/>
              <w:ind w:firstLine="525" w:firstLineChars="25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年   月   日</w:t>
            </w:r>
          </w:p>
        </w:tc>
      </w:tr>
    </w:tbl>
    <w:p w14:paraId="3F7219D9">
      <w:pPr>
        <w:spacing w:line="440" w:lineRule="exact"/>
        <w:ind w:firstLine="420" w:firstLineChars="200"/>
        <w:jc w:val="left"/>
        <w:rPr>
          <w:rFonts w:hint="default" w:ascii="Times New Roman" w:hAnsi="Times New Roman" w:cs="Times New Roman"/>
          <w:color w:val="auto"/>
          <w:szCs w:val="21"/>
          <w:highlight w:val="none"/>
        </w:rPr>
      </w:pPr>
      <w:bookmarkStart w:id="310" w:name="_Toc23861936"/>
      <w:r>
        <w:rPr>
          <w:rFonts w:hint="default" w:ascii="Times New Roman" w:hAnsi="Times New Roman" w:cs="Times New Roman"/>
          <w:color w:val="auto"/>
          <w:szCs w:val="21"/>
          <w:highlight w:val="none"/>
        </w:rPr>
        <w:t>注：售后服务事项填不下时可另加附页。</w:t>
      </w:r>
      <w:bookmarkEnd w:id="310"/>
    </w:p>
    <w:p w14:paraId="160C3220">
      <w:pPr>
        <w:spacing w:line="600" w:lineRule="exact"/>
        <w:ind w:firstLine="720" w:firstLineChars="200"/>
        <w:jc w:val="left"/>
        <w:rPr>
          <w:rFonts w:hint="default" w:ascii="Times New Roman" w:hAnsi="Times New Roman" w:cs="Times New Roman"/>
          <w:b/>
          <w:color w:val="auto"/>
          <w:szCs w:val="21"/>
          <w:highlight w:val="none"/>
        </w:rPr>
      </w:pPr>
      <w:r>
        <w:rPr>
          <w:rFonts w:hint="default" w:ascii="Times New Roman" w:hAnsi="Times New Roman" w:eastAsia="方正小标宋_GBK" w:cs="Times New Roman"/>
          <w:color w:val="auto"/>
          <w:sz w:val="36"/>
          <w:szCs w:val="36"/>
          <w:highlight w:val="none"/>
        </w:rPr>
        <w:br w:type="page"/>
      </w:r>
    </w:p>
    <w:p w14:paraId="70AED8B8">
      <w:pPr>
        <w:pStyle w:val="4"/>
        <w:spacing w:before="0" w:after="0" w:line="360" w:lineRule="auto"/>
        <w:ind w:left="0" w:leftChars="0" w:right="210"/>
        <w:jc w:val="center"/>
        <w:outlineLvl w:val="0"/>
        <w:rPr>
          <w:rFonts w:hint="default" w:ascii="Times New Roman" w:hAnsi="Times New Roman" w:eastAsia="宋体" w:cs="Times New Roman"/>
          <w:color w:val="auto"/>
          <w:sz w:val="32"/>
          <w:szCs w:val="32"/>
          <w:highlight w:val="none"/>
          <w:lang w:val="en-US" w:eastAsia="zh-CN"/>
        </w:rPr>
      </w:pPr>
      <w:bookmarkStart w:id="311" w:name="_Toc24026"/>
      <w:r>
        <w:rPr>
          <w:rFonts w:hint="eastAsia" w:ascii="Times New Roman" w:hAnsi="Times New Roman" w:cs="Times New Roman"/>
          <w:color w:val="auto"/>
          <w:sz w:val="32"/>
          <w:szCs w:val="32"/>
          <w:highlight w:val="none"/>
          <w:lang w:val="en-US" w:eastAsia="zh-CN"/>
        </w:rPr>
        <w:t>第四章 采购需求</w:t>
      </w:r>
      <w:bookmarkEnd w:id="311"/>
    </w:p>
    <w:p w14:paraId="372FF0C5">
      <w:pPr>
        <w:pStyle w:val="4"/>
        <w:spacing w:before="0" w:after="0" w:line="360" w:lineRule="auto"/>
        <w:ind w:left="0" w:leftChars="0" w:right="210"/>
        <w:rPr>
          <w:rFonts w:hint="default" w:ascii="Times New Roman" w:hAnsi="Times New Roman" w:cs="Times New Roman"/>
          <w:color w:val="auto"/>
          <w:szCs w:val="21"/>
          <w:highlight w:val="none"/>
        </w:rPr>
      </w:pPr>
      <w:bookmarkStart w:id="312" w:name="_Toc32664"/>
      <w:r>
        <w:rPr>
          <w:rFonts w:hint="default" w:ascii="Times New Roman" w:hAnsi="Times New Roman" w:cs="Times New Roman"/>
          <w:color w:val="auto"/>
          <w:szCs w:val="21"/>
          <w:highlight w:val="none"/>
        </w:rPr>
        <w:t>一、项目概况</w:t>
      </w:r>
      <w:bookmarkEnd w:id="312"/>
    </w:p>
    <w:p w14:paraId="5C7000BE">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lang w:eastAsia="zh-CN"/>
        </w:rPr>
      </w:pPr>
      <w:bookmarkStart w:id="313" w:name="_Toc1691"/>
      <w:r>
        <w:rPr>
          <w:rFonts w:hint="default" w:ascii="Times New Roman" w:hAnsi="Times New Roman" w:eastAsia="宋体" w:cs="Times New Roman"/>
          <w:b w:val="0"/>
          <w:bCs w:val="0"/>
          <w:color w:val="auto"/>
          <w:kern w:val="44"/>
          <w:szCs w:val="21"/>
          <w:highlight w:val="none"/>
        </w:rPr>
        <w:t>项目名称：</w:t>
      </w:r>
      <w:r>
        <w:rPr>
          <w:rFonts w:hint="eastAsia" w:cs="Times New Roman"/>
          <w:b w:val="0"/>
          <w:bCs w:val="0"/>
          <w:color w:val="auto"/>
          <w:kern w:val="44"/>
          <w:szCs w:val="21"/>
          <w:highlight w:val="none"/>
          <w:lang w:eastAsia="zh-CN"/>
        </w:rPr>
        <w:t>南京红十字血液中心献血爱心分平台及宣传推广服务采购项目</w:t>
      </w:r>
      <w:bookmarkEnd w:id="313"/>
    </w:p>
    <w:p w14:paraId="66083630">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rPr>
      </w:pPr>
      <w:bookmarkStart w:id="314" w:name="_Toc4045"/>
      <w:r>
        <w:rPr>
          <w:rFonts w:hint="default" w:ascii="Times New Roman" w:hAnsi="Times New Roman" w:eastAsia="宋体" w:cs="Times New Roman"/>
          <w:b w:val="0"/>
          <w:bCs w:val="0"/>
          <w:color w:val="auto"/>
          <w:kern w:val="44"/>
          <w:szCs w:val="21"/>
          <w:highlight w:val="none"/>
        </w:rPr>
        <w:t>预算金额：</w:t>
      </w:r>
      <w:r>
        <w:rPr>
          <w:rFonts w:hint="default" w:ascii="Times New Roman" w:hAnsi="Times New Roman" w:eastAsia="宋体" w:cs="Times New Roman"/>
          <w:b w:val="0"/>
          <w:bCs w:val="0"/>
          <w:color w:val="auto"/>
          <w:kern w:val="44"/>
          <w:szCs w:val="21"/>
          <w:highlight w:val="none"/>
          <w:lang w:val="en-US" w:eastAsia="zh-CN"/>
        </w:rPr>
        <w:t>3</w:t>
      </w:r>
      <w:r>
        <w:rPr>
          <w:rFonts w:hint="default" w:ascii="Times New Roman" w:hAnsi="Times New Roman" w:eastAsia="宋体" w:cs="Times New Roman"/>
          <w:b w:val="0"/>
          <w:bCs w:val="0"/>
          <w:color w:val="auto"/>
          <w:kern w:val="44"/>
          <w:szCs w:val="21"/>
          <w:highlight w:val="none"/>
        </w:rPr>
        <w:t>90.000000万元</w:t>
      </w:r>
      <w:bookmarkEnd w:id="314"/>
    </w:p>
    <w:p w14:paraId="6E6C1E5E">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rPr>
      </w:pPr>
      <w:bookmarkStart w:id="315" w:name="_Toc12467"/>
      <w:r>
        <w:rPr>
          <w:rFonts w:hint="default" w:ascii="Times New Roman" w:hAnsi="Times New Roman" w:eastAsia="宋体" w:cs="Times New Roman"/>
          <w:b w:val="0"/>
          <w:bCs w:val="0"/>
          <w:color w:val="auto"/>
          <w:kern w:val="44"/>
          <w:szCs w:val="21"/>
          <w:highlight w:val="none"/>
        </w:rPr>
        <w:t>最高限价（如有）：</w:t>
      </w:r>
      <w:r>
        <w:rPr>
          <w:rFonts w:hint="default" w:ascii="Times New Roman" w:hAnsi="Times New Roman" w:eastAsia="宋体" w:cs="Times New Roman"/>
          <w:b w:val="0"/>
          <w:bCs w:val="0"/>
          <w:color w:val="auto"/>
          <w:kern w:val="44"/>
          <w:szCs w:val="21"/>
          <w:highlight w:val="none"/>
          <w:lang w:val="en-US" w:eastAsia="zh-CN"/>
        </w:rPr>
        <w:t>3</w:t>
      </w:r>
      <w:r>
        <w:rPr>
          <w:rFonts w:hint="default" w:ascii="Times New Roman" w:hAnsi="Times New Roman" w:eastAsia="宋体" w:cs="Times New Roman"/>
          <w:b w:val="0"/>
          <w:bCs w:val="0"/>
          <w:color w:val="auto"/>
          <w:kern w:val="44"/>
          <w:szCs w:val="21"/>
          <w:highlight w:val="none"/>
        </w:rPr>
        <w:t>90.000000万元</w:t>
      </w:r>
      <w:bookmarkEnd w:id="315"/>
    </w:p>
    <w:p w14:paraId="77ABFC27">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rPr>
      </w:pPr>
      <w:bookmarkStart w:id="316" w:name="_Toc4861"/>
      <w:r>
        <w:rPr>
          <w:rFonts w:hint="default" w:ascii="Times New Roman" w:hAnsi="Times New Roman" w:eastAsia="宋体" w:cs="Times New Roman"/>
          <w:b w:val="0"/>
          <w:bCs w:val="0"/>
          <w:color w:val="auto"/>
          <w:kern w:val="44"/>
          <w:szCs w:val="21"/>
          <w:highlight w:val="none"/>
        </w:rPr>
        <w:t>项目</w:t>
      </w:r>
      <w:r>
        <w:rPr>
          <w:rFonts w:hint="eastAsia" w:ascii="Times New Roman" w:hAnsi="Times New Roman" w:eastAsia="宋体" w:cs="Times New Roman"/>
          <w:b w:val="0"/>
          <w:bCs w:val="0"/>
          <w:color w:val="auto"/>
          <w:kern w:val="44"/>
          <w:szCs w:val="21"/>
          <w:highlight w:val="none"/>
          <w:lang w:val="en-US" w:eastAsia="zh-CN"/>
        </w:rPr>
        <w:t>内容</w:t>
      </w:r>
      <w:r>
        <w:rPr>
          <w:rFonts w:hint="default" w:ascii="Times New Roman" w:hAnsi="Times New Roman" w:eastAsia="宋体" w:cs="Times New Roman"/>
          <w:b w:val="0"/>
          <w:bCs w:val="0"/>
          <w:color w:val="auto"/>
          <w:kern w:val="44"/>
          <w:szCs w:val="21"/>
          <w:highlight w:val="none"/>
        </w:rPr>
        <w:t>：为更好地凝聚无偿献血者队伍，提升献血的服务体验，推进血站无偿献血“互联网+”建设步伐，落实“智能化服务，数据化管理”的目标，拟搭建“南京红十字血液中心献血爱心分平台”，对无偿献血纪念品的领取方式进行全新升级。</w:t>
      </w:r>
      <w:bookmarkEnd w:id="316"/>
    </w:p>
    <w:p w14:paraId="04B5213C">
      <w:pPr>
        <w:pStyle w:val="4"/>
        <w:spacing w:before="0" w:after="0" w:line="360" w:lineRule="auto"/>
        <w:ind w:left="0" w:leftChars="0" w:right="210"/>
        <w:rPr>
          <w:rFonts w:hint="default" w:ascii="Times New Roman" w:hAnsi="Times New Roman" w:cs="Times New Roman"/>
          <w:color w:val="auto"/>
          <w:szCs w:val="21"/>
          <w:highlight w:val="none"/>
        </w:rPr>
      </w:pPr>
      <w:bookmarkStart w:id="317" w:name="_Toc28123"/>
      <w:r>
        <w:rPr>
          <w:rFonts w:hint="default" w:ascii="Times New Roman" w:hAnsi="Times New Roman" w:cs="Times New Roman"/>
          <w:color w:val="auto"/>
          <w:szCs w:val="21"/>
          <w:highlight w:val="none"/>
        </w:rPr>
        <w:t>二、</w:t>
      </w:r>
      <w:r>
        <w:rPr>
          <w:rFonts w:hint="eastAsia" w:ascii="Times New Roman" w:hAnsi="Times New Roman" w:cs="Times New Roman"/>
          <w:color w:val="auto"/>
          <w:szCs w:val="21"/>
          <w:highlight w:val="none"/>
          <w:lang w:val="en-US" w:eastAsia="zh-CN"/>
        </w:rPr>
        <w:t>项目需求</w:t>
      </w:r>
      <w:r>
        <w:rPr>
          <w:rFonts w:hint="default" w:ascii="Times New Roman" w:hAnsi="Times New Roman" w:cs="Times New Roman"/>
          <w:color w:val="auto"/>
          <w:szCs w:val="21"/>
          <w:highlight w:val="none"/>
        </w:rPr>
        <w:t>：</w:t>
      </w:r>
      <w:bookmarkEnd w:id="317"/>
    </w:p>
    <w:p w14:paraId="6389195C">
      <w:pPr>
        <w:pStyle w:val="4"/>
        <w:spacing w:before="0" w:after="0" w:line="360" w:lineRule="auto"/>
        <w:ind w:left="0" w:leftChars="0" w:right="210" w:firstLine="0" w:firstLineChars="0"/>
        <w:rPr>
          <w:rFonts w:hint="eastAsia" w:ascii="Times New Roman" w:hAnsi="Times New Roman" w:cs="Times New Roman"/>
          <w:b/>
          <w:bCs/>
          <w:color w:val="auto"/>
          <w:kern w:val="44"/>
          <w:szCs w:val="21"/>
          <w:highlight w:val="none"/>
          <w:lang w:val="en-US" w:eastAsia="zh-CN"/>
        </w:rPr>
      </w:pPr>
      <w:bookmarkStart w:id="318" w:name="_Toc9727"/>
      <w:bookmarkStart w:id="319" w:name="_Hlk179764611"/>
      <w:r>
        <w:rPr>
          <w:rFonts w:hint="eastAsia" w:ascii="Times New Roman" w:hAnsi="Times New Roman" w:cs="Times New Roman"/>
          <w:b/>
          <w:bCs/>
          <w:color w:val="auto"/>
          <w:kern w:val="44"/>
          <w:szCs w:val="21"/>
          <w:highlight w:val="none"/>
          <w:lang w:val="en-US" w:eastAsia="zh-CN"/>
        </w:rPr>
        <w:t>1、平台研发搭建及运维</w:t>
      </w:r>
      <w:bookmarkEnd w:id="318"/>
    </w:p>
    <w:p w14:paraId="5C5A1177">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lang w:val="en-US" w:eastAsia="zh-CN"/>
        </w:rPr>
      </w:pPr>
      <w:bookmarkStart w:id="320" w:name="_Toc31109"/>
      <w:r>
        <w:rPr>
          <w:rFonts w:hint="default" w:ascii="Times New Roman" w:hAnsi="Times New Roman" w:eastAsia="宋体" w:cs="Times New Roman"/>
          <w:b w:val="0"/>
          <w:bCs w:val="0"/>
          <w:color w:val="auto"/>
          <w:kern w:val="44"/>
          <w:szCs w:val="21"/>
          <w:highlight w:val="none"/>
          <w:lang w:val="en-US" w:eastAsia="zh-CN"/>
        </w:rPr>
        <w:t>搭建数字化爱心分平台，</w:t>
      </w:r>
      <w:r>
        <w:rPr>
          <w:rFonts w:hint="eastAsia" w:cs="Times New Roman"/>
          <w:b w:val="0"/>
          <w:bCs w:val="0"/>
          <w:color w:val="auto"/>
          <w:kern w:val="44"/>
          <w:szCs w:val="21"/>
          <w:highlight w:val="none"/>
          <w:lang w:val="en-US" w:eastAsia="zh-CN"/>
        </w:rPr>
        <w:t>提升</w:t>
      </w:r>
      <w:r>
        <w:rPr>
          <w:rFonts w:hint="default" w:ascii="Times New Roman" w:hAnsi="Times New Roman" w:eastAsia="宋体" w:cs="Times New Roman"/>
          <w:b w:val="0"/>
          <w:bCs w:val="0"/>
          <w:color w:val="auto"/>
          <w:kern w:val="44"/>
          <w:szCs w:val="21"/>
          <w:highlight w:val="none"/>
          <w:lang w:val="en-US" w:eastAsia="zh-CN"/>
        </w:rPr>
        <w:t>献血宣传</w:t>
      </w:r>
      <w:r>
        <w:rPr>
          <w:rFonts w:hint="eastAsia" w:cs="Times New Roman"/>
          <w:b w:val="0"/>
          <w:bCs w:val="0"/>
          <w:color w:val="auto"/>
          <w:kern w:val="44"/>
          <w:szCs w:val="21"/>
          <w:highlight w:val="none"/>
          <w:lang w:val="en-US" w:eastAsia="zh-CN"/>
        </w:rPr>
        <w:t>影响力与</w:t>
      </w:r>
      <w:r>
        <w:rPr>
          <w:rFonts w:hint="default" w:ascii="Times New Roman" w:hAnsi="Times New Roman" w:eastAsia="宋体" w:cs="Times New Roman"/>
          <w:b w:val="0"/>
          <w:bCs w:val="0"/>
          <w:color w:val="auto"/>
          <w:kern w:val="44"/>
          <w:szCs w:val="21"/>
          <w:highlight w:val="none"/>
          <w:lang w:val="en-US" w:eastAsia="zh-CN"/>
        </w:rPr>
        <w:t>献血的服务体验，实现查看献血记录、兑换纪念品（含配送）等功能。</w:t>
      </w:r>
      <w:bookmarkEnd w:id="320"/>
    </w:p>
    <w:p w14:paraId="0AD851F0">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lang w:val="en-US" w:eastAsia="zh-CN"/>
        </w:rPr>
      </w:pPr>
      <w:bookmarkStart w:id="321" w:name="_Toc18578"/>
      <w:r>
        <w:rPr>
          <w:rFonts w:hint="default" w:ascii="Times New Roman" w:hAnsi="Times New Roman" w:eastAsia="宋体" w:cs="Times New Roman"/>
          <w:b w:val="0"/>
          <w:bCs w:val="0"/>
          <w:color w:val="auto"/>
          <w:kern w:val="44"/>
          <w:szCs w:val="21"/>
          <w:highlight w:val="none"/>
          <w:lang w:val="en-US" w:eastAsia="zh-CN"/>
        </w:rPr>
        <w:t>主要功能模块包括对接献血数据和用户、展示献血记录、兑换爱心分、兑换纪念品（含配送）、私信通知等基础功能。需保证平台的良好运行</w:t>
      </w:r>
      <w:r>
        <w:rPr>
          <w:rFonts w:hint="eastAsia" w:cs="Times New Roman"/>
          <w:b w:val="0"/>
          <w:bCs w:val="0"/>
          <w:color w:val="auto"/>
          <w:kern w:val="44"/>
          <w:szCs w:val="21"/>
          <w:highlight w:val="none"/>
          <w:lang w:val="en-US" w:eastAsia="zh-CN"/>
        </w:rPr>
        <w:t>；</w:t>
      </w:r>
      <w:r>
        <w:rPr>
          <w:rFonts w:hint="default" w:ascii="Times New Roman" w:hAnsi="Times New Roman" w:eastAsia="宋体" w:cs="Times New Roman"/>
          <w:b w:val="0"/>
          <w:bCs w:val="0"/>
          <w:color w:val="auto"/>
          <w:kern w:val="44"/>
          <w:szCs w:val="21"/>
          <w:highlight w:val="none"/>
          <w:lang w:val="en-US" w:eastAsia="zh-CN"/>
        </w:rPr>
        <w:t>需提供运行平台系统所需的网络、服务器及带宽；需负责</w:t>
      </w:r>
      <w:r>
        <w:rPr>
          <w:rFonts w:hint="eastAsia" w:cs="Times New Roman"/>
          <w:b w:val="0"/>
          <w:bCs w:val="0"/>
          <w:color w:val="auto"/>
          <w:kern w:val="44"/>
          <w:szCs w:val="21"/>
          <w:highlight w:val="none"/>
          <w:lang w:val="en-US" w:eastAsia="zh-CN"/>
        </w:rPr>
        <w:t>爱心分</w:t>
      </w:r>
      <w:r>
        <w:rPr>
          <w:rFonts w:hint="default" w:ascii="Times New Roman" w:hAnsi="Times New Roman" w:eastAsia="宋体" w:cs="Times New Roman"/>
          <w:b w:val="0"/>
          <w:bCs w:val="0"/>
          <w:color w:val="auto"/>
          <w:kern w:val="44"/>
          <w:szCs w:val="21"/>
          <w:highlight w:val="none"/>
          <w:lang w:val="en-US" w:eastAsia="zh-CN"/>
        </w:rPr>
        <w:t>平台的开发及日常维护监控</w:t>
      </w:r>
      <w:r>
        <w:rPr>
          <w:rFonts w:hint="eastAsia" w:cs="Times New Roman"/>
          <w:b w:val="0"/>
          <w:bCs w:val="0"/>
          <w:color w:val="auto"/>
          <w:kern w:val="44"/>
          <w:szCs w:val="21"/>
          <w:highlight w:val="none"/>
          <w:lang w:val="en-US" w:eastAsia="zh-CN"/>
        </w:rPr>
        <w:t>；需确</w:t>
      </w:r>
      <w:r>
        <w:rPr>
          <w:rFonts w:hint="default" w:ascii="Times New Roman" w:hAnsi="Times New Roman" w:eastAsia="宋体" w:cs="Times New Roman"/>
          <w:b w:val="0"/>
          <w:bCs w:val="0"/>
          <w:color w:val="auto"/>
          <w:kern w:val="44"/>
          <w:szCs w:val="21"/>
          <w:highlight w:val="none"/>
          <w:lang w:val="en-US" w:eastAsia="zh-CN"/>
        </w:rPr>
        <w:t>保此平台可以进行7*24小时正常运行。</w:t>
      </w:r>
      <w:bookmarkEnd w:id="321"/>
    </w:p>
    <w:p w14:paraId="17E56EDB">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lang w:val="en-US" w:eastAsia="zh-CN"/>
        </w:rPr>
      </w:pPr>
      <w:bookmarkStart w:id="322" w:name="_Toc1600"/>
      <w:r>
        <w:rPr>
          <w:rFonts w:hint="eastAsia" w:ascii="Times New Roman" w:hAnsi="Times New Roman" w:eastAsia="宋体" w:cs="Times New Roman"/>
          <w:b w:val="0"/>
          <w:bCs w:val="0"/>
          <w:color w:val="auto"/>
          <w:kern w:val="44"/>
          <w:szCs w:val="21"/>
          <w:highlight w:val="none"/>
          <w:lang w:val="en-US" w:eastAsia="zh-CN"/>
        </w:rPr>
        <w:t>（1）</w:t>
      </w:r>
      <w:r>
        <w:rPr>
          <w:rFonts w:hint="default" w:ascii="Times New Roman" w:hAnsi="Times New Roman" w:eastAsia="宋体" w:cs="Times New Roman"/>
          <w:b w:val="0"/>
          <w:bCs w:val="0"/>
          <w:color w:val="auto"/>
          <w:kern w:val="44"/>
          <w:szCs w:val="21"/>
          <w:highlight w:val="none"/>
          <w:lang w:val="en-US" w:eastAsia="zh-CN"/>
        </w:rPr>
        <w:t>架构设计</w:t>
      </w:r>
      <w:bookmarkEnd w:id="322"/>
    </w:p>
    <w:p w14:paraId="45B8B31D">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lang w:val="en-US" w:eastAsia="zh-CN"/>
        </w:rPr>
      </w:pPr>
      <w:bookmarkStart w:id="323" w:name="_Toc30119"/>
      <w:r>
        <w:rPr>
          <w:rFonts w:hint="default" w:ascii="Times New Roman" w:hAnsi="Times New Roman" w:eastAsia="宋体" w:cs="Times New Roman"/>
          <w:b w:val="0"/>
          <w:bCs w:val="0"/>
          <w:color w:val="auto"/>
          <w:kern w:val="44"/>
          <w:szCs w:val="21"/>
          <w:highlight w:val="none"/>
          <w:lang w:val="en-US" w:eastAsia="zh-CN"/>
        </w:rPr>
        <w:t>作为为南京献血用户提供爱心服务的平台，在进行规划时既要考虑对当前业务形态的适配，提供必要的服务功能，又要体现互联网平台技术赋能的优势，</w:t>
      </w:r>
      <w:r>
        <w:rPr>
          <w:rFonts w:hint="eastAsia" w:cs="Times New Roman"/>
          <w:b w:val="0"/>
          <w:bCs w:val="0"/>
          <w:color w:val="auto"/>
          <w:kern w:val="44"/>
          <w:szCs w:val="21"/>
          <w:highlight w:val="none"/>
          <w:lang w:val="en-US" w:eastAsia="zh-CN"/>
        </w:rPr>
        <w:t>帮助加大献血宣传力度，</w:t>
      </w:r>
      <w:r>
        <w:rPr>
          <w:rFonts w:hint="default" w:ascii="Times New Roman" w:hAnsi="Times New Roman" w:eastAsia="宋体" w:cs="Times New Roman"/>
          <w:b w:val="0"/>
          <w:bCs w:val="0"/>
          <w:color w:val="auto"/>
          <w:kern w:val="44"/>
          <w:szCs w:val="21"/>
          <w:highlight w:val="none"/>
          <w:lang w:val="en-US" w:eastAsia="zh-CN"/>
        </w:rPr>
        <w:t>充分利用网络工具的便利，适度前瞻，规划整体技术架构与业务体系。</w:t>
      </w:r>
      <w:bookmarkEnd w:id="323"/>
    </w:p>
    <w:p w14:paraId="2A2BF1A6">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lang w:val="en-US" w:eastAsia="zh-CN"/>
        </w:rPr>
      </w:pPr>
      <w:bookmarkStart w:id="324" w:name="_Toc29522"/>
      <w:r>
        <w:rPr>
          <w:rFonts w:hint="default" w:ascii="Times New Roman" w:hAnsi="Times New Roman" w:eastAsia="宋体" w:cs="Times New Roman"/>
          <w:b w:val="0"/>
          <w:bCs w:val="0"/>
          <w:color w:val="auto"/>
          <w:kern w:val="44"/>
          <w:szCs w:val="21"/>
          <w:highlight w:val="none"/>
          <w:lang w:val="en-US" w:eastAsia="zh-CN"/>
        </w:rPr>
        <w:t>供应商需根据要求，搭建后台统计平台，需包含数据库、积分兑换、商品管理、兑换数据、财务对账等功能，并对</w:t>
      </w:r>
      <w:r>
        <w:rPr>
          <w:rFonts w:hint="eastAsia" w:cs="Times New Roman"/>
          <w:b w:val="0"/>
          <w:bCs w:val="0"/>
          <w:color w:val="auto"/>
          <w:kern w:val="44"/>
          <w:szCs w:val="21"/>
          <w:highlight w:val="none"/>
          <w:lang w:val="en-US" w:eastAsia="zh-CN"/>
        </w:rPr>
        <w:t>采购人</w:t>
      </w:r>
      <w:r>
        <w:rPr>
          <w:rFonts w:hint="default" w:ascii="Times New Roman" w:hAnsi="Times New Roman" w:eastAsia="宋体" w:cs="Times New Roman"/>
          <w:b w:val="0"/>
          <w:bCs w:val="0"/>
          <w:color w:val="auto"/>
          <w:kern w:val="44"/>
          <w:szCs w:val="21"/>
          <w:highlight w:val="none"/>
          <w:lang w:val="en-US" w:eastAsia="zh-CN"/>
        </w:rPr>
        <w:t>开放</w:t>
      </w:r>
      <w:r>
        <w:rPr>
          <w:rFonts w:hint="eastAsia" w:ascii="Times New Roman" w:hAnsi="Times New Roman" w:eastAsia="宋体" w:cs="Times New Roman"/>
          <w:b w:val="0"/>
          <w:bCs w:val="0"/>
          <w:color w:val="auto"/>
          <w:kern w:val="44"/>
          <w:szCs w:val="21"/>
          <w:highlight w:val="none"/>
          <w:lang w:val="en-US" w:eastAsia="zh-CN"/>
        </w:rPr>
        <w:t>并</w:t>
      </w:r>
      <w:r>
        <w:rPr>
          <w:rFonts w:hint="default" w:ascii="Times New Roman" w:hAnsi="Times New Roman" w:eastAsia="宋体" w:cs="Times New Roman"/>
          <w:b w:val="0"/>
          <w:bCs w:val="0"/>
          <w:color w:val="auto"/>
          <w:kern w:val="44"/>
          <w:szCs w:val="21"/>
          <w:highlight w:val="none"/>
          <w:lang w:val="en-US" w:eastAsia="zh-CN"/>
        </w:rPr>
        <w:t>提供详细的服务记录（献血者献血多少毫升、领取了什么纪念品</w:t>
      </w:r>
      <w:r>
        <w:rPr>
          <w:rFonts w:hint="eastAsia" w:cs="Times New Roman"/>
          <w:b w:val="0"/>
          <w:bCs w:val="0"/>
          <w:color w:val="auto"/>
          <w:kern w:val="44"/>
          <w:szCs w:val="21"/>
          <w:highlight w:val="none"/>
          <w:lang w:val="en-US" w:eastAsia="zh-CN"/>
        </w:rPr>
        <w:t>等数据</w:t>
      </w:r>
      <w:r>
        <w:rPr>
          <w:rFonts w:hint="default" w:ascii="Times New Roman" w:hAnsi="Times New Roman" w:eastAsia="宋体" w:cs="Times New Roman"/>
          <w:b w:val="0"/>
          <w:bCs w:val="0"/>
          <w:color w:val="auto"/>
          <w:kern w:val="44"/>
          <w:szCs w:val="21"/>
          <w:highlight w:val="none"/>
          <w:lang w:val="en-US" w:eastAsia="zh-CN"/>
        </w:rPr>
        <w:t>）、统计分析报表，做到服务流程数据可追溯。</w:t>
      </w:r>
      <w:bookmarkEnd w:id="324"/>
    </w:p>
    <w:p w14:paraId="68447B2B">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lang w:val="en-US" w:eastAsia="zh-CN"/>
        </w:rPr>
      </w:pPr>
      <w:bookmarkStart w:id="325" w:name="_Toc1821"/>
      <w:r>
        <w:rPr>
          <w:rFonts w:hint="eastAsia" w:ascii="Times New Roman" w:hAnsi="Times New Roman" w:eastAsia="宋体" w:cs="Times New Roman"/>
          <w:b w:val="0"/>
          <w:bCs w:val="0"/>
          <w:color w:val="auto"/>
          <w:kern w:val="44"/>
          <w:szCs w:val="21"/>
          <w:highlight w:val="none"/>
          <w:lang w:val="en-US" w:eastAsia="zh-CN"/>
        </w:rPr>
        <w:t>①</w:t>
      </w:r>
      <w:r>
        <w:rPr>
          <w:rFonts w:hint="default" w:ascii="Times New Roman" w:hAnsi="Times New Roman" w:eastAsia="宋体" w:cs="Times New Roman"/>
          <w:b w:val="0"/>
          <w:bCs w:val="0"/>
          <w:color w:val="auto"/>
          <w:kern w:val="44"/>
          <w:szCs w:val="21"/>
          <w:highlight w:val="none"/>
          <w:lang w:val="en-US" w:eastAsia="zh-CN"/>
        </w:rPr>
        <w:t>商品及订单维护：根据需要在平台进行商品维护、订单确认、配送等操作。</w:t>
      </w:r>
      <w:bookmarkEnd w:id="325"/>
    </w:p>
    <w:p w14:paraId="79680755">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lang w:val="en-US" w:eastAsia="zh-CN"/>
        </w:rPr>
      </w:pPr>
      <w:bookmarkStart w:id="326" w:name="_Toc5129"/>
      <w:r>
        <w:rPr>
          <w:rFonts w:hint="eastAsia" w:ascii="Times New Roman" w:hAnsi="Times New Roman" w:eastAsia="宋体" w:cs="Times New Roman"/>
          <w:b w:val="0"/>
          <w:bCs w:val="0"/>
          <w:color w:val="auto"/>
          <w:kern w:val="44"/>
          <w:szCs w:val="21"/>
          <w:highlight w:val="none"/>
          <w:lang w:val="en-US" w:eastAsia="zh-CN"/>
        </w:rPr>
        <w:t>②</w:t>
      </w:r>
      <w:r>
        <w:rPr>
          <w:rFonts w:hint="default" w:ascii="Times New Roman" w:hAnsi="Times New Roman" w:eastAsia="宋体" w:cs="Times New Roman"/>
          <w:b w:val="0"/>
          <w:bCs w:val="0"/>
          <w:color w:val="auto"/>
          <w:kern w:val="44"/>
          <w:szCs w:val="21"/>
          <w:highlight w:val="none"/>
          <w:lang w:val="en-US" w:eastAsia="zh-CN"/>
        </w:rPr>
        <w:t>客服查询服务：</w:t>
      </w:r>
      <w:r>
        <w:rPr>
          <w:rFonts w:hint="eastAsia" w:cs="Times New Roman"/>
          <w:b w:val="0"/>
          <w:bCs w:val="0"/>
          <w:color w:val="auto"/>
          <w:kern w:val="44"/>
          <w:szCs w:val="21"/>
          <w:highlight w:val="none"/>
          <w:lang w:val="en-US" w:eastAsia="zh-CN"/>
        </w:rPr>
        <w:t>投标人</w:t>
      </w:r>
      <w:r>
        <w:rPr>
          <w:rFonts w:hint="default" w:ascii="Times New Roman" w:hAnsi="Times New Roman" w:eastAsia="宋体" w:cs="Times New Roman"/>
          <w:b w:val="0"/>
          <w:bCs w:val="0"/>
          <w:color w:val="auto"/>
          <w:kern w:val="44"/>
          <w:szCs w:val="21"/>
          <w:highlight w:val="none"/>
          <w:lang w:val="en-US" w:eastAsia="zh-CN"/>
        </w:rPr>
        <w:t>向</w:t>
      </w:r>
      <w:r>
        <w:rPr>
          <w:rFonts w:hint="eastAsia" w:cs="Times New Roman"/>
          <w:b w:val="0"/>
          <w:bCs w:val="0"/>
          <w:color w:val="auto"/>
          <w:kern w:val="44"/>
          <w:szCs w:val="21"/>
          <w:highlight w:val="none"/>
          <w:lang w:val="en-US" w:eastAsia="zh-CN"/>
        </w:rPr>
        <w:t>采购人</w:t>
      </w:r>
      <w:r>
        <w:rPr>
          <w:rFonts w:hint="default" w:ascii="Times New Roman" w:hAnsi="Times New Roman" w:eastAsia="宋体" w:cs="Times New Roman"/>
          <w:b w:val="0"/>
          <w:bCs w:val="0"/>
          <w:color w:val="auto"/>
          <w:kern w:val="44"/>
          <w:szCs w:val="21"/>
          <w:highlight w:val="none"/>
          <w:lang w:val="en-US" w:eastAsia="zh-CN"/>
        </w:rPr>
        <w:t>提供在爱心分平台上与商品相关的电话服务</w:t>
      </w:r>
      <w:r>
        <w:rPr>
          <w:rFonts w:hint="eastAsia" w:cs="Times New Roman"/>
          <w:b w:val="0"/>
          <w:bCs w:val="0"/>
          <w:color w:val="auto"/>
          <w:kern w:val="44"/>
          <w:szCs w:val="21"/>
          <w:highlight w:val="none"/>
          <w:lang w:val="en-US" w:eastAsia="zh-CN"/>
        </w:rPr>
        <w:t>，</w:t>
      </w:r>
      <w:r>
        <w:rPr>
          <w:rFonts w:hint="default" w:ascii="Times New Roman" w:hAnsi="Times New Roman" w:eastAsia="宋体" w:cs="Times New Roman"/>
          <w:b w:val="0"/>
          <w:bCs w:val="0"/>
          <w:color w:val="auto"/>
          <w:kern w:val="44"/>
          <w:szCs w:val="21"/>
          <w:highlight w:val="none"/>
          <w:lang w:val="en-US" w:eastAsia="zh-CN"/>
        </w:rPr>
        <w:t>包括</w:t>
      </w:r>
      <w:r>
        <w:rPr>
          <w:rFonts w:hint="eastAsia" w:cs="Times New Roman"/>
          <w:b w:val="0"/>
          <w:bCs w:val="0"/>
          <w:color w:val="auto"/>
          <w:kern w:val="44"/>
          <w:szCs w:val="21"/>
          <w:highlight w:val="none"/>
          <w:lang w:val="en-US" w:eastAsia="zh-CN"/>
        </w:rPr>
        <w:t>但</w:t>
      </w:r>
      <w:r>
        <w:rPr>
          <w:rFonts w:hint="default" w:ascii="Times New Roman" w:hAnsi="Times New Roman" w:eastAsia="宋体" w:cs="Times New Roman"/>
          <w:b w:val="0"/>
          <w:bCs w:val="0"/>
          <w:color w:val="auto"/>
          <w:kern w:val="44"/>
          <w:szCs w:val="21"/>
          <w:highlight w:val="none"/>
          <w:lang w:val="en-US" w:eastAsia="zh-CN"/>
        </w:rPr>
        <w:t>不限于商品订单查询，物流查询。</w:t>
      </w:r>
      <w:r>
        <w:rPr>
          <w:rFonts w:hint="eastAsia" w:cs="Times New Roman"/>
          <w:b w:val="0"/>
          <w:bCs w:val="0"/>
          <w:color w:val="auto"/>
          <w:kern w:val="44"/>
          <w:szCs w:val="21"/>
          <w:highlight w:val="none"/>
          <w:lang w:val="en-US" w:eastAsia="zh-CN"/>
        </w:rPr>
        <w:t>采购人</w:t>
      </w:r>
      <w:r>
        <w:rPr>
          <w:rFonts w:hint="default" w:ascii="Times New Roman" w:hAnsi="Times New Roman" w:eastAsia="宋体" w:cs="Times New Roman"/>
          <w:b w:val="0"/>
          <w:bCs w:val="0"/>
          <w:color w:val="auto"/>
          <w:kern w:val="44"/>
          <w:szCs w:val="21"/>
          <w:highlight w:val="none"/>
          <w:lang w:val="en-US" w:eastAsia="zh-CN"/>
        </w:rPr>
        <w:t>需提供平台24小时客服电话，处理献血者兑换问题及纪念品售后等。</w:t>
      </w:r>
      <w:bookmarkEnd w:id="326"/>
    </w:p>
    <w:p w14:paraId="3E8EAEDC">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lang w:val="en-US" w:eastAsia="zh-CN"/>
        </w:rPr>
      </w:pPr>
      <w:bookmarkStart w:id="327" w:name="_Toc2128"/>
      <w:r>
        <w:rPr>
          <w:rFonts w:hint="eastAsia" w:ascii="Times New Roman" w:hAnsi="Times New Roman" w:eastAsia="宋体" w:cs="Times New Roman"/>
          <w:b w:val="0"/>
          <w:bCs w:val="0"/>
          <w:color w:val="auto"/>
          <w:kern w:val="44"/>
          <w:szCs w:val="21"/>
          <w:highlight w:val="none"/>
          <w:lang w:val="en-US" w:eastAsia="zh-CN"/>
        </w:rPr>
        <w:t>（2）</w:t>
      </w:r>
      <w:r>
        <w:rPr>
          <w:rFonts w:hint="default" w:ascii="Times New Roman" w:hAnsi="Times New Roman" w:eastAsia="宋体" w:cs="Times New Roman"/>
          <w:b w:val="0"/>
          <w:bCs w:val="0"/>
          <w:color w:val="auto"/>
          <w:kern w:val="44"/>
          <w:szCs w:val="21"/>
          <w:highlight w:val="none"/>
          <w:lang w:val="en-US" w:eastAsia="zh-CN"/>
        </w:rPr>
        <w:t>团队构成</w:t>
      </w:r>
      <w:bookmarkEnd w:id="327"/>
    </w:p>
    <w:p w14:paraId="3F0B9099">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lang w:val="en-US" w:eastAsia="zh-CN"/>
        </w:rPr>
      </w:pPr>
      <w:bookmarkStart w:id="328" w:name="_Toc16007"/>
      <w:r>
        <w:rPr>
          <w:rFonts w:hint="eastAsia" w:cs="Times New Roman"/>
          <w:b w:val="0"/>
          <w:bCs w:val="0"/>
          <w:color w:val="auto"/>
          <w:kern w:val="44"/>
          <w:szCs w:val="21"/>
          <w:highlight w:val="none"/>
          <w:lang w:val="en-US" w:eastAsia="zh-CN"/>
        </w:rPr>
        <w:t>▲投标人</w:t>
      </w:r>
      <w:r>
        <w:rPr>
          <w:rFonts w:hint="default" w:ascii="Times New Roman" w:hAnsi="Times New Roman" w:eastAsia="宋体" w:cs="Times New Roman"/>
          <w:b w:val="0"/>
          <w:bCs w:val="0"/>
          <w:color w:val="auto"/>
          <w:kern w:val="44"/>
          <w:szCs w:val="21"/>
          <w:highlight w:val="none"/>
          <w:lang w:val="en-US" w:eastAsia="zh-CN"/>
        </w:rPr>
        <w:t>需提供人数不少于5人的专班团队，其中至少一人具备新闻</w:t>
      </w:r>
      <w:r>
        <w:rPr>
          <w:rFonts w:hint="eastAsia" w:cs="Times New Roman"/>
          <w:b w:val="0"/>
          <w:bCs w:val="0"/>
          <w:color w:val="auto"/>
          <w:kern w:val="44"/>
          <w:szCs w:val="21"/>
          <w:highlight w:val="none"/>
          <w:lang w:val="en-US" w:eastAsia="zh-CN"/>
        </w:rPr>
        <w:t>专业</w:t>
      </w:r>
      <w:r>
        <w:rPr>
          <w:rFonts w:hint="default" w:ascii="Times New Roman" w:hAnsi="Times New Roman" w:eastAsia="宋体" w:cs="Times New Roman"/>
          <w:b w:val="0"/>
          <w:bCs w:val="0"/>
          <w:color w:val="auto"/>
          <w:kern w:val="44"/>
          <w:szCs w:val="21"/>
          <w:highlight w:val="none"/>
          <w:lang w:val="en-US" w:eastAsia="zh-CN"/>
        </w:rPr>
        <w:t>相关职称资质；并提供项目实施的具体阶段流程表。</w:t>
      </w:r>
      <w:bookmarkEnd w:id="328"/>
    </w:p>
    <w:p w14:paraId="4949B10F">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rPr>
      </w:pPr>
      <w:bookmarkStart w:id="329" w:name="_Toc30249"/>
      <w:r>
        <w:rPr>
          <w:rFonts w:hint="eastAsia" w:ascii="Times New Roman" w:hAnsi="Times New Roman" w:eastAsia="宋体" w:cs="Times New Roman"/>
          <w:b w:val="0"/>
          <w:bCs w:val="0"/>
          <w:color w:val="auto"/>
          <w:kern w:val="44"/>
          <w:szCs w:val="21"/>
          <w:highlight w:val="none"/>
          <w:lang w:eastAsia="zh-CN"/>
        </w:rPr>
        <w:t>（</w:t>
      </w:r>
      <w:r>
        <w:rPr>
          <w:rFonts w:hint="eastAsia" w:ascii="Times New Roman" w:hAnsi="Times New Roman" w:eastAsia="宋体" w:cs="Times New Roman"/>
          <w:b w:val="0"/>
          <w:bCs w:val="0"/>
          <w:color w:val="auto"/>
          <w:kern w:val="44"/>
          <w:szCs w:val="21"/>
          <w:highlight w:val="none"/>
          <w:lang w:val="en-US" w:eastAsia="zh-CN"/>
        </w:rPr>
        <w:t>3</w:t>
      </w:r>
      <w:r>
        <w:rPr>
          <w:rFonts w:hint="eastAsia" w:ascii="Times New Roman" w:hAnsi="Times New Roman" w:eastAsia="宋体" w:cs="Times New Roman"/>
          <w:b w:val="0"/>
          <w:bCs w:val="0"/>
          <w:color w:val="auto"/>
          <w:kern w:val="44"/>
          <w:szCs w:val="21"/>
          <w:highlight w:val="none"/>
          <w:lang w:eastAsia="zh-CN"/>
        </w:rPr>
        <w:t>）</w:t>
      </w:r>
      <w:r>
        <w:rPr>
          <w:rFonts w:hint="default" w:ascii="Times New Roman" w:hAnsi="Times New Roman" w:eastAsia="宋体" w:cs="Times New Roman"/>
          <w:b w:val="0"/>
          <w:bCs w:val="0"/>
          <w:color w:val="auto"/>
          <w:kern w:val="44"/>
          <w:szCs w:val="21"/>
          <w:highlight w:val="none"/>
        </w:rPr>
        <w:t>数据保障</w:t>
      </w:r>
      <w:bookmarkEnd w:id="329"/>
    </w:p>
    <w:p w14:paraId="637BC903">
      <w:pPr>
        <w:pStyle w:val="4"/>
        <w:spacing w:before="0" w:after="0" w:line="360" w:lineRule="auto"/>
        <w:ind w:left="0" w:leftChars="0" w:right="210" w:firstLine="422" w:firstLineChars="200"/>
        <w:rPr>
          <w:rFonts w:hint="default" w:ascii="Times New Roman" w:hAnsi="Times New Roman" w:eastAsia="宋体" w:cs="Times New Roman"/>
          <w:b w:val="0"/>
          <w:bCs w:val="0"/>
          <w:color w:val="auto"/>
          <w:kern w:val="44"/>
          <w:szCs w:val="21"/>
          <w:highlight w:val="none"/>
          <w:lang w:val="en-US" w:eastAsia="zh-CN"/>
        </w:rPr>
      </w:pPr>
      <w:bookmarkStart w:id="330" w:name="_Toc17954"/>
      <w:r>
        <w:rPr>
          <w:rFonts w:hint="eastAsia" w:ascii="宋体" w:hAnsi="宋体"/>
          <w:color w:val="auto"/>
          <w:szCs w:val="21"/>
          <w:highlight w:val="none"/>
        </w:rPr>
        <w:t>▲</w:t>
      </w:r>
      <w:r>
        <w:rPr>
          <w:rFonts w:hint="eastAsia" w:cs="Times New Roman"/>
          <w:b w:val="0"/>
          <w:bCs w:val="0"/>
          <w:color w:val="auto"/>
          <w:kern w:val="44"/>
          <w:szCs w:val="21"/>
          <w:highlight w:val="none"/>
          <w:lang w:val="en-US" w:eastAsia="zh-CN"/>
        </w:rPr>
        <w:t>投标人提供的</w:t>
      </w:r>
      <w:r>
        <w:rPr>
          <w:rFonts w:hint="eastAsia" w:ascii="Times New Roman" w:hAnsi="Times New Roman" w:eastAsia="宋体" w:cs="Times New Roman"/>
          <w:b w:val="0"/>
          <w:bCs w:val="0"/>
          <w:color w:val="auto"/>
          <w:kern w:val="44"/>
          <w:szCs w:val="21"/>
          <w:highlight w:val="none"/>
          <w:lang w:val="en-US" w:eastAsia="zh-CN"/>
        </w:rPr>
        <w:t>互联网服务平台应通过网络安全三级等级保护备案</w:t>
      </w:r>
      <w:r>
        <w:rPr>
          <w:rFonts w:hint="eastAsia" w:cs="Times New Roman"/>
          <w:b w:val="0"/>
          <w:bCs w:val="0"/>
          <w:color w:val="auto"/>
          <w:kern w:val="44"/>
          <w:szCs w:val="21"/>
          <w:highlight w:val="none"/>
          <w:lang w:val="en-US" w:eastAsia="zh-CN"/>
        </w:rPr>
        <w:t>（应提供对应备案证书复印件）</w:t>
      </w:r>
      <w:r>
        <w:rPr>
          <w:rFonts w:hint="eastAsia" w:ascii="Times New Roman" w:hAnsi="Times New Roman" w:eastAsia="宋体" w:cs="Times New Roman"/>
          <w:b w:val="0"/>
          <w:bCs w:val="0"/>
          <w:color w:val="auto"/>
          <w:kern w:val="44"/>
          <w:szCs w:val="21"/>
          <w:highlight w:val="none"/>
          <w:lang w:val="en-US" w:eastAsia="zh-CN"/>
        </w:rPr>
        <w:t>。</w:t>
      </w:r>
      <w:r>
        <w:rPr>
          <w:rFonts w:hint="default" w:ascii="Times New Roman" w:hAnsi="Times New Roman" w:eastAsia="宋体" w:cs="Times New Roman"/>
          <w:b w:val="0"/>
          <w:bCs w:val="0"/>
          <w:color w:val="auto"/>
          <w:kern w:val="44"/>
          <w:szCs w:val="21"/>
          <w:highlight w:val="none"/>
        </w:rPr>
        <w:t>保证提供给</w:t>
      </w:r>
      <w:r>
        <w:rPr>
          <w:rFonts w:hint="eastAsia" w:cs="Times New Roman"/>
          <w:b w:val="0"/>
          <w:bCs w:val="0"/>
          <w:color w:val="auto"/>
          <w:kern w:val="44"/>
          <w:szCs w:val="21"/>
          <w:highlight w:val="none"/>
          <w:lang w:val="en-US" w:eastAsia="zh-CN"/>
        </w:rPr>
        <w:t>采购人</w:t>
      </w:r>
      <w:r>
        <w:rPr>
          <w:rFonts w:hint="default" w:ascii="Times New Roman" w:hAnsi="Times New Roman" w:eastAsia="宋体" w:cs="Times New Roman"/>
          <w:b w:val="0"/>
          <w:bCs w:val="0"/>
          <w:color w:val="auto"/>
          <w:kern w:val="44"/>
          <w:szCs w:val="21"/>
          <w:highlight w:val="none"/>
        </w:rPr>
        <w:t>的所有数据均真实可靠并要承担保密义务，可提供给</w:t>
      </w:r>
      <w:r>
        <w:rPr>
          <w:rFonts w:hint="eastAsia" w:cs="Times New Roman"/>
          <w:b w:val="0"/>
          <w:bCs w:val="0"/>
          <w:color w:val="auto"/>
          <w:kern w:val="44"/>
          <w:szCs w:val="21"/>
          <w:highlight w:val="none"/>
          <w:lang w:val="en-US" w:eastAsia="zh-CN"/>
        </w:rPr>
        <w:t>采购人</w:t>
      </w:r>
      <w:r>
        <w:rPr>
          <w:rFonts w:hint="default" w:ascii="Times New Roman" w:hAnsi="Times New Roman" w:eastAsia="宋体" w:cs="Times New Roman"/>
          <w:b w:val="0"/>
          <w:bCs w:val="0"/>
          <w:color w:val="auto"/>
          <w:kern w:val="44"/>
          <w:szCs w:val="21"/>
          <w:highlight w:val="none"/>
        </w:rPr>
        <w:t>及第三方审计，并</w:t>
      </w:r>
      <w:r>
        <w:rPr>
          <w:rFonts w:hint="default" w:ascii="Times New Roman" w:hAnsi="Times New Roman" w:eastAsia="宋体" w:cs="Times New Roman"/>
          <w:b w:val="0"/>
          <w:bCs w:val="0"/>
          <w:color w:val="auto"/>
          <w:kern w:val="44"/>
          <w:szCs w:val="21"/>
          <w:highlight w:val="none"/>
          <w:lang w:val="en-US" w:eastAsia="zh-CN"/>
        </w:rPr>
        <w:t>且</w:t>
      </w:r>
      <w:r>
        <w:rPr>
          <w:rFonts w:hint="eastAsia" w:cs="Times New Roman"/>
          <w:b w:val="0"/>
          <w:bCs w:val="0"/>
          <w:color w:val="auto"/>
          <w:kern w:val="44"/>
          <w:szCs w:val="21"/>
          <w:highlight w:val="none"/>
          <w:lang w:val="en-US" w:eastAsia="zh-CN"/>
        </w:rPr>
        <w:t>投标人</w:t>
      </w:r>
      <w:r>
        <w:rPr>
          <w:rFonts w:hint="default" w:ascii="Times New Roman" w:hAnsi="Times New Roman" w:eastAsia="宋体" w:cs="Times New Roman"/>
          <w:b w:val="0"/>
          <w:bCs w:val="0"/>
          <w:color w:val="auto"/>
          <w:kern w:val="44"/>
          <w:szCs w:val="21"/>
          <w:highlight w:val="none"/>
          <w:lang w:val="en-US" w:eastAsia="zh-CN"/>
        </w:rPr>
        <w:t>应保障所有献血者数据及订单信息的安全，并承担出现数据不实、信息泄露、数据丢失等情况的法律责任。</w:t>
      </w:r>
      <w:bookmarkEnd w:id="330"/>
    </w:p>
    <w:p w14:paraId="52AF97BC">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lang w:val="en-US" w:eastAsia="zh-CN"/>
        </w:rPr>
      </w:pPr>
      <w:bookmarkStart w:id="331" w:name="_Toc8329"/>
      <w:r>
        <w:rPr>
          <w:rFonts w:hint="eastAsia" w:ascii="Times New Roman" w:hAnsi="Times New Roman" w:eastAsia="宋体" w:cs="Times New Roman"/>
          <w:b w:val="0"/>
          <w:bCs w:val="0"/>
          <w:color w:val="auto"/>
          <w:kern w:val="44"/>
          <w:szCs w:val="21"/>
          <w:highlight w:val="none"/>
          <w:lang w:val="en-US" w:eastAsia="zh-CN"/>
        </w:rPr>
        <w:t>（4）</w:t>
      </w:r>
      <w:r>
        <w:rPr>
          <w:rFonts w:hint="default" w:ascii="Times New Roman" w:hAnsi="Times New Roman" w:eastAsia="宋体" w:cs="Times New Roman"/>
          <w:b w:val="0"/>
          <w:bCs w:val="0"/>
          <w:color w:val="auto"/>
          <w:kern w:val="44"/>
          <w:szCs w:val="21"/>
          <w:highlight w:val="none"/>
          <w:lang w:val="en-US" w:eastAsia="zh-CN"/>
        </w:rPr>
        <w:t>运营支撑与技术支持</w:t>
      </w:r>
      <w:r>
        <w:rPr>
          <w:rFonts w:hint="eastAsia" w:ascii="Times New Roman" w:hAnsi="Times New Roman" w:eastAsia="宋体" w:cs="Times New Roman"/>
          <w:b w:val="0"/>
          <w:bCs w:val="0"/>
          <w:color w:val="auto"/>
          <w:kern w:val="44"/>
          <w:szCs w:val="21"/>
          <w:highlight w:val="none"/>
          <w:lang w:val="en-US" w:eastAsia="zh-CN"/>
        </w:rPr>
        <w:t>：服务</w:t>
      </w:r>
      <w:r>
        <w:rPr>
          <w:rFonts w:hint="default" w:ascii="Times New Roman" w:hAnsi="Times New Roman" w:eastAsia="宋体" w:cs="Times New Roman"/>
          <w:b w:val="0"/>
          <w:bCs w:val="0"/>
          <w:color w:val="auto"/>
          <w:kern w:val="44"/>
          <w:szCs w:val="21"/>
          <w:highlight w:val="none"/>
          <w:lang w:val="en-US" w:eastAsia="zh-CN"/>
        </w:rPr>
        <w:t>期内全程监测</w:t>
      </w:r>
      <w:r>
        <w:rPr>
          <w:rFonts w:hint="eastAsia" w:ascii="Times New Roman" w:hAnsi="Times New Roman" w:eastAsia="宋体" w:cs="Times New Roman"/>
          <w:b w:val="0"/>
          <w:bCs w:val="0"/>
          <w:color w:val="auto"/>
          <w:kern w:val="44"/>
          <w:szCs w:val="21"/>
          <w:highlight w:val="none"/>
          <w:lang w:val="en-US" w:eastAsia="zh-CN"/>
        </w:rPr>
        <w:t>恶意</w:t>
      </w:r>
      <w:r>
        <w:rPr>
          <w:rFonts w:hint="default" w:ascii="Times New Roman" w:hAnsi="Times New Roman" w:eastAsia="宋体" w:cs="Times New Roman"/>
          <w:b w:val="0"/>
          <w:bCs w:val="0"/>
          <w:color w:val="auto"/>
          <w:kern w:val="44"/>
          <w:szCs w:val="21"/>
          <w:highlight w:val="none"/>
          <w:lang w:val="en-US" w:eastAsia="zh-CN"/>
        </w:rPr>
        <w:t>刷机制</w:t>
      </w:r>
      <w:r>
        <w:rPr>
          <w:rFonts w:hint="eastAsia" w:ascii="Times New Roman" w:hAnsi="Times New Roman" w:eastAsia="宋体" w:cs="Times New Roman"/>
          <w:b w:val="0"/>
          <w:bCs w:val="0"/>
          <w:color w:val="auto"/>
          <w:kern w:val="44"/>
          <w:szCs w:val="21"/>
          <w:highlight w:val="none"/>
          <w:lang w:val="en-US" w:eastAsia="zh-CN"/>
        </w:rPr>
        <w:t>兑换行为，</w:t>
      </w:r>
      <w:r>
        <w:rPr>
          <w:rFonts w:hint="default" w:ascii="Times New Roman" w:hAnsi="Times New Roman" w:eastAsia="宋体" w:cs="Times New Roman"/>
          <w:b w:val="0"/>
          <w:bCs w:val="0"/>
          <w:color w:val="auto"/>
          <w:kern w:val="44"/>
          <w:szCs w:val="21"/>
          <w:highlight w:val="none"/>
          <w:lang w:val="en-US" w:eastAsia="zh-CN"/>
        </w:rPr>
        <w:t>建立技术运维服务</w:t>
      </w:r>
      <w:r>
        <w:rPr>
          <w:rFonts w:hint="eastAsia" w:ascii="Times New Roman" w:hAnsi="Times New Roman" w:eastAsia="宋体" w:cs="Times New Roman"/>
          <w:b w:val="0"/>
          <w:bCs w:val="0"/>
          <w:color w:val="auto"/>
          <w:kern w:val="44"/>
          <w:szCs w:val="21"/>
          <w:highlight w:val="none"/>
          <w:lang w:val="en-US" w:eastAsia="zh-CN"/>
        </w:rPr>
        <w:t>，</w:t>
      </w:r>
      <w:r>
        <w:rPr>
          <w:rFonts w:hint="default" w:ascii="Times New Roman" w:hAnsi="Times New Roman" w:eastAsia="宋体" w:cs="Times New Roman"/>
          <w:b w:val="0"/>
          <w:bCs w:val="0"/>
          <w:color w:val="auto"/>
          <w:kern w:val="44"/>
          <w:szCs w:val="21"/>
          <w:highlight w:val="none"/>
          <w:lang w:val="en-US" w:eastAsia="zh-CN"/>
        </w:rPr>
        <w:t>实时监测活动</w:t>
      </w:r>
      <w:r>
        <w:rPr>
          <w:rFonts w:hint="eastAsia" w:ascii="Times New Roman" w:hAnsi="Times New Roman" w:eastAsia="宋体" w:cs="Times New Roman"/>
          <w:b w:val="0"/>
          <w:bCs w:val="0"/>
          <w:color w:val="auto"/>
          <w:kern w:val="44"/>
          <w:szCs w:val="21"/>
          <w:highlight w:val="none"/>
          <w:lang w:val="en-US" w:eastAsia="zh-CN"/>
        </w:rPr>
        <w:t>。供应商须保证活动期间独立使用区域服务器，暂停其它大型交互活动。保证有备用程序应对突发情况。</w:t>
      </w:r>
      <w:bookmarkEnd w:id="331"/>
    </w:p>
    <w:p w14:paraId="47721EA4">
      <w:pPr>
        <w:pStyle w:val="4"/>
        <w:spacing w:before="0" w:after="0" w:line="360" w:lineRule="auto"/>
        <w:ind w:left="0" w:leftChars="0" w:right="210" w:firstLine="0" w:firstLineChars="0"/>
        <w:rPr>
          <w:rFonts w:hint="default" w:ascii="Times New Roman" w:hAnsi="Times New Roman" w:eastAsia="宋体" w:cs="Times New Roman"/>
          <w:b/>
          <w:bCs/>
          <w:color w:val="auto"/>
          <w:kern w:val="44"/>
          <w:szCs w:val="21"/>
          <w:highlight w:val="none"/>
          <w:lang w:val="en-US" w:eastAsia="zh-CN"/>
        </w:rPr>
      </w:pPr>
      <w:bookmarkStart w:id="332" w:name="_Toc25996"/>
      <w:r>
        <w:rPr>
          <w:rFonts w:hint="eastAsia" w:ascii="Times New Roman" w:hAnsi="Times New Roman" w:eastAsia="宋体" w:cs="Times New Roman"/>
          <w:b/>
          <w:bCs/>
          <w:color w:val="auto"/>
          <w:kern w:val="44"/>
          <w:szCs w:val="21"/>
          <w:highlight w:val="none"/>
          <w:lang w:val="en-US" w:eastAsia="zh-CN"/>
        </w:rPr>
        <w:t>2、纪念品供应配套服务要求</w:t>
      </w:r>
      <w:bookmarkEnd w:id="332"/>
    </w:p>
    <w:p w14:paraId="217EBD5B">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rPr>
      </w:pPr>
      <w:bookmarkStart w:id="333" w:name="_Toc16462"/>
      <w:r>
        <w:rPr>
          <w:rFonts w:hint="default" w:ascii="Times New Roman" w:hAnsi="Times New Roman" w:eastAsia="宋体" w:cs="Times New Roman"/>
          <w:b w:val="0"/>
          <w:bCs w:val="0"/>
          <w:color w:val="auto"/>
          <w:kern w:val="44"/>
          <w:szCs w:val="21"/>
          <w:highlight w:val="none"/>
        </w:rPr>
        <w:t>（1）纪念品标准：所选择的纪念品必须是正规厂商生产的合格、安全、在保质期内的商品。</w:t>
      </w:r>
      <w:bookmarkEnd w:id="333"/>
    </w:p>
    <w:p w14:paraId="53E246BF">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rPr>
      </w:pPr>
      <w:bookmarkStart w:id="334" w:name="_Toc32599"/>
      <w:r>
        <w:rPr>
          <w:rFonts w:hint="default" w:ascii="Times New Roman" w:hAnsi="Times New Roman" w:eastAsia="宋体" w:cs="Times New Roman"/>
          <w:b w:val="0"/>
          <w:bCs w:val="0"/>
          <w:color w:val="auto"/>
          <w:kern w:val="44"/>
          <w:szCs w:val="21"/>
          <w:highlight w:val="none"/>
        </w:rPr>
        <w:t>（2）供应关系：</w:t>
      </w:r>
      <w:r>
        <w:rPr>
          <w:rFonts w:hint="eastAsia" w:cs="Times New Roman"/>
          <w:b w:val="0"/>
          <w:bCs w:val="0"/>
          <w:color w:val="auto"/>
          <w:kern w:val="44"/>
          <w:szCs w:val="21"/>
          <w:highlight w:val="none"/>
          <w:lang w:val="en-US" w:eastAsia="zh-CN"/>
        </w:rPr>
        <w:t>采购人</w:t>
      </w:r>
      <w:r>
        <w:rPr>
          <w:rFonts w:hint="default" w:ascii="Times New Roman" w:hAnsi="Times New Roman" w:eastAsia="宋体" w:cs="Times New Roman"/>
          <w:b w:val="0"/>
          <w:bCs w:val="0"/>
          <w:color w:val="auto"/>
          <w:kern w:val="44"/>
          <w:szCs w:val="21"/>
          <w:highlight w:val="none"/>
        </w:rPr>
        <w:t>的积分纪念品由</w:t>
      </w:r>
      <w:r>
        <w:rPr>
          <w:rFonts w:hint="eastAsia" w:cs="Times New Roman"/>
          <w:b w:val="0"/>
          <w:bCs w:val="0"/>
          <w:color w:val="auto"/>
          <w:kern w:val="44"/>
          <w:szCs w:val="21"/>
          <w:highlight w:val="none"/>
          <w:lang w:val="en-US" w:eastAsia="zh-CN"/>
        </w:rPr>
        <w:t>投标人</w:t>
      </w:r>
      <w:r>
        <w:rPr>
          <w:rFonts w:hint="default" w:ascii="Times New Roman" w:hAnsi="Times New Roman" w:eastAsia="宋体" w:cs="Times New Roman"/>
          <w:b w:val="0"/>
          <w:bCs w:val="0"/>
          <w:color w:val="auto"/>
          <w:kern w:val="44"/>
          <w:szCs w:val="21"/>
          <w:highlight w:val="none"/>
        </w:rPr>
        <w:t>负责采购供应，下称“</w:t>
      </w:r>
      <w:r>
        <w:rPr>
          <w:rFonts w:hint="eastAsia" w:cs="Times New Roman"/>
          <w:b w:val="0"/>
          <w:bCs w:val="0"/>
          <w:color w:val="auto"/>
          <w:kern w:val="44"/>
          <w:szCs w:val="21"/>
          <w:highlight w:val="none"/>
          <w:lang w:val="en-US" w:eastAsia="zh-CN"/>
        </w:rPr>
        <w:t>投标人</w:t>
      </w:r>
      <w:r>
        <w:rPr>
          <w:rFonts w:hint="default" w:ascii="Times New Roman" w:hAnsi="Times New Roman" w:eastAsia="宋体" w:cs="Times New Roman"/>
          <w:b w:val="0"/>
          <w:bCs w:val="0"/>
          <w:color w:val="auto"/>
          <w:kern w:val="44"/>
          <w:szCs w:val="21"/>
          <w:highlight w:val="none"/>
        </w:rPr>
        <w:t>供应纪念品”。</w:t>
      </w:r>
      <w:bookmarkEnd w:id="334"/>
    </w:p>
    <w:p w14:paraId="2080384D">
      <w:pPr>
        <w:pStyle w:val="4"/>
        <w:spacing w:before="0" w:after="0" w:line="360" w:lineRule="auto"/>
        <w:ind w:left="0" w:leftChars="0" w:right="210" w:firstLine="420" w:firstLineChars="200"/>
        <w:rPr>
          <w:rFonts w:hint="default" w:ascii="Times New Roman" w:hAnsi="Times New Roman" w:eastAsia="宋体" w:cs="Times New Roman"/>
          <w:b w:val="0"/>
          <w:bCs w:val="0"/>
          <w:color w:val="auto"/>
          <w:kern w:val="44"/>
          <w:szCs w:val="21"/>
          <w:highlight w:val="none"/>
        </w:rPr>
      </w:pPr>
      <w:bookmarkStart w:id="335" w:name="_Toc11843"/>
      <w:r>
        <w:rPr>
          <w:rFonts w:hint="default" w:ascii="Times New Roman" w:hAnsi="Times New Roman" w:eastAsia="宋体" w:cs="Times New Roman"/>
          <w:b w:val="0"/>
          <w:bCs w:val="0"/>
          <w:color w:val="auto"/>
          <w:kern w:val="44"/>
          <w:szCs w:val="21"/>
          <w:highlight w:val="none"/>
        </w:rPr>
        <w:t>（3）纪念品选择：</w:t>
      </w:r>
      <w:r>
        <w:rPr>
          <w:rFonts w:hint="eastAsia" w:cs="Times New Roman"/>
          <w:b w:val="0"/>
          <w:bCs w:val="0"/>
          <w:color w:val="auto"/>
          <w:kern w:val="44"/>
          <w:szCs w:val="21"/>
          <w:highlight w:val="none"/>
          <w:lang w:val="en-US" w:eastAsia="zh-CN"/>
        </w:rPr>
        <w:t>投标人</w:t>
      </w:r>
      <w:r>
        <w:rPr>
          <w:rFonts w:hint="default" w:ascii="Times New Roman" w:hAnsi="Times New Roman" w:eastAsia="宋体" w:cs="Times New Roman"/>
          <w:b w:val="0"/>
          <w:bCs w:val="0"/>
          <w:color w:val="auto"/>
          <w:kern w:val="44"/>
          <w:szCs w:val="21"/>
          <w:highlight w:val="none"/>
        </w:rPr>
        <w:t>根据双方所签订纪念品报价单中约定的购买条件和</w:t>
      </w:r>
      <w:r>
        <w:rPr>
          <w:rFonts w:hint="eastAsia" w:cs="Times New Roman"/>
          <w:b w:val="0"/>
          <w:bCs w:val="0"/>
          <w:color w:val="auto"/>
          <w:kern w:val="44"/>
          <w:szCs w:val="21"/>
          <w:highlight w:val="none"/>
          <w:lang w:eastAsia="zh-CN"/>
        </w:rPr>
        <w:t>采购人</w:t>
      </w:r>
      <w:r>
        <w:rPr>
          <w:rFonts w:hint="default" w:ascii="Times New Roman" w:hAnsi="Times New Roman" w:eastAsia="宋体" w:cs="Times New Roman"/>
          <w:b w:val="0"/>
          <w:bCs w:val="0"/>
          <w:color w:val="auto"/>
          <w:kern w:val="44"/>
          <w:szCs w:val="21"/>
          <w:highlight w:val="none"/>
        </w:rPr>
        <w:t>的具体配送通知</w:t>
      </w:r>
      <w:r>
        <w:rPr>
          <w:rFonts w:hint="eastAsia" w:cs="Times New Roman"/>
          <w:b w:val="0"/>
          <w:bCs w:val="0"/>
          <w:color w:val="auto"/>
          <w:kern w:val="44"/>
          <w:szCs w:val="21"/>
          <w:highlight w:val="none"/>
          <w:lang w:eastAsia="zh-CN"/>
        </w:rPr>
        <w:t>，</w:t>
      </w:r>
      <w:r>
        <w:rPr>
          <w:rFonts w:hint="default" w:ascii="Times New Roman" w:hAnsi="Times New Roman" w:eastAsia="宋体" w:cs="Times New Roman"/>
          <w:b w:val="0"/>
          <w:bCs w:val="0"/>
          <w:color w:val="auto"/>
          <w:kern w:val="44"/>
          <w:szCs w:val="21"/>
          <w:highlight w:val="none"/>
        </w:rPr>
        <w:t>向</w:t>
      </w:r>
      <w:r>
        <w:rPr>
          <w:rFonts w:hint="eastAsia" w:cs="Times New Roman"/>
          <w:b w:val="0"/>
          <w:bCs w:val="0"/>
          <w:color w:val="auto"/>
          <w:kern w:val="44"/>
          <w:szCs w:val="21"/>
          <w:highlight w:val="none"/>
          <w:lang w:eastAsia="zh-CN"/>
        </w:rPr>
        <w:t>采购人</w:t>
      </w:r>
      <w:r>
        <w:rPr>
          <w:rFonts w:hint="default" w:ascii="Times New Roman" w:hAnsi="Times New Roman" w:eastAsia="宋体" w:cs="Times New Roman"/>
          <w:b w:val="0"/>
          <w:bCs w:val="0"/>
          <w:color w:val="auto"/>
          <w:kern w:val="44"/>
          <w:szCs w:val="21"/>
          <w:highlight w:val="none"/>
        </w:rPr>
        <w:t>出售特定数量、种类、规格的</w:t>
      </w:r>
      <w:r>
        <w:rPr>
          <w:rFonts w:hint="eastAsia" w:cs="Times New Roman"/>
          <w:b w:val="0"/>
          <w:bCs w:val="0"/>
          <w:color w:val="auto"/>
          <w:kern w:val="44"/>
          <w:szCs w:val="21"/>
          <w:highlight w:val="none"/>
          <w:lang w:val="en-US" w:eastAsia="zh-CN"/>
        </w:rPr>
        <w:t>投标人</w:t>
      </w:r>
      <w:r>
        <w:rPr>
          <w:rFonts w:hint="default" w:ascii="Times New Roman" w:hAnsi="Times New Roman" w:eastAsia="宋体" w:cs="Times New Roman"/>
          <w:b w:val="0"/>
          <w:bCs w:val="0"/>
          <w:color w:val="auto"/>
          <w:kern w:val="44"/>
          <w:szCs w:val="21"/>
          <w:highlight w:val="none"/>
        </w:rPr>
        <w:t>供应纪念品。采购人有权对</w:t>
      </w:r>
      <w:r>
        <w:rPr>
          <w:rFonts w:hint="eastAsia" w:cs="Times New Roman"/>
          <w:b w:val="0"/>
          <w:bCs w:val="0"/>
          <w:color w:val="auto"/>
          <w:kern w:val="44"/>
          <w:szCs w:val="21"/>
          <w:highlight w:val="none"/>
          <w:lang w:val="en-US" w:eastAsia="zh-CN"/>
        </w:rPr>
        <w:t>投标人</w:t>
      </w:r>
      <w:r>
        <w:rPr>
          <w:rFonts w:hint="default" w:ascii="Times New Roman" w:hAnsi="Times New Roman" w:eastAsia="宋体" w:cs="Times New Roman"/>
          <w:b w:val="0"/>
          <w:bCs w:val="0"/>
          <w:color w:val="auto"/>
          <w:kern w:val="44"/>
          <w:szCs w:val="21"/>
          <w:highlight w:val="none"/>
        </w:rPr>
        <w:t>供应的纪念品价值进行评估、对纪念品质量进行核查。对</w:t>
      </w:r>
      <w:r>
        <w:rPr>
          <w:rFonts w:hint="eastAsia" w:cs="Times New Roman"/>
          <w:b w:val="0"/>
          <w:bCs w:val="0"/>
          <w:color w:val="auto"/>
          <w:kern w:val="44"/>
          <w:szCs w:val="21"/>
          <w:highlight w:val="none"/>
          <w:lang w:eastAsia="zh-CN"/>
        </w:rPr>
        <w:t>采购人</w:t>
      </w:r>
      <w:r>
        <w:rPr>
          <w:rFonts w:hint="default" w:ascii="Times New Roman" w:hAnsi="Times New Roman" w:eastAsia="宋体" w:cs="Times New Roman"/>
          <w:b w:val="0"/>
          <w:bCs w:val="0"/>
          <w:color w:val="auto"/>
          <w:kern w:val="44"/>
          <w:szCs w:val="21"/>
          <w:highlight w:val="none"/>
        </w:rPr>
        <w:t>就相关纪念品提出的异议，</w:t>
      </w:r>
      <w:r>
        <w:rPr>
          <w:rFonts w:hint="eastAsia" w:cs="Times New Roman"/>
          <w:b w:val="0"/>
          <w:bCs w:val="0"/>
          <w:color w:val="auto"/>
          <w:kern w:val="44"/>
          <w:szCs w:val="21"/>
          <w:highlight w:val="none"/>
          <w:lang w:val="en-US" w:eastAsia="zh-CN"/>
        </w:rPr>
        <w:t>投标人</w:t>
      </w:r>
      <w:r>
        <w:rPr>
          <w:rFonts w:hint="default" w:ascii="Times New Roman" w:hAnsi="Times New Roman" w:eastAsia="宋体" w:cs="Times New Roman"/>
          <w:b w:val="0"/>
          <w:bCs w:val="0"/>
          <w:color w:val="auto"/>
          <w:kern w:val="44"/>
          <w:szCs w:val="21"/>
          <w:highlight w:val="none"/>
        </w:rPr>
        <w:t>应负责在5个工作日内无条件进行更改或替换，经更改或替换仍不能达到</w:t>
      </w:r>
      <w:r>
        <w:rPr>
          <w:rFonts w:hint="eastAsia" w:cs="Times New Roman"/>
          <w:b w:val="0"/>
          <w:bCs w:val="0"/>
          <w:color w:val="auto"/>
          <w:kern w:val="44"/>
          <w:szCs w:val="21"/>
          <w:highlight w:val="none"/>
          <w:lang w:eastAsia="zh-CN"/>
        </w:rPr>
        <w:t>采购人</w:t>
      </w:r>
      <w:r>
        <w:rPr>
          <w:rFonts w:hint="default" w:ascii="Times New Roman" w:hAnsi="Times New Roman" w:eastAsia="宋体" w:cs="Times New Roman"/>
          <w:b w:val="0"/>
          <w:bCs w:val="0"/>
          <w:color w:val="auto"/>
          <w:kern w:val="44"/>
          <w:szCs w:val="21"/>
          <w:highlight w:val="none"/>
        </w:rPr>
        <w:t>要求的，</w:t>
      </w:r>
      <w:r>
        <w:rPr>
          <w:rFonts w:hint="eastAsia" w:cs="Times New Roman"/>
          <w:b w:val="0"/>
          <w:bCs w:val="0"/>
          <w:color w:val="auto"/>
          <w:kern w:val="44"/>
          <w:szCs w:val="21"/>
          <w:highlight w:val="none"/>
          <w:lang w:eastAsia="zh-CN"/>
        </w:rPr>
        <w:t>采购人</w:t>
      </w:r>
      <w:r>
        <w:rPr>
          <w:rFonts w:hint="default" w:ascii="Times New Roman" w:hAnsi="Times New Roman" w:eastAsia="宋体" w:cs="Times New Roman"/>
          <w:b w:val="0"/>
          <w:bCs w:val="0"/>
          <w:color w:val="auto"/>
          <w:kern w:val="44"/>
          <w:szCs w:val="21"/>
          <w:highlight w:val="none"/>
        </w:rPr>
        <w:t>有权拒绝并可要求</w:t>
      </w:r>
      <w:r>
        <w:rPr>
          <w:rFonts w:hint="eastAsia" w:cs="Times New Roman"/>
          <w:b w:val="0"/>
          <w:bCs w:val="0"/>
          <w:color w:val="auto"/>
          <w:kern w:val="44"/>
          <w:szCs w:val="21"/>
          <w:highlight w:val="none"/>
          <w:lang w:val="en-US" w:eastAsia="zh-CN"/>
        </w:rPr>
        <w:t>投标人</w:t>
      </w:r>
      <w:r>
        <w:rPr>
          <w:rFonts w:hint="default" w:ascii="Times New Roman" w:hAnsi="Times New Roman" w:eastAsia="宋体" w:cs="Times New Roman"/>
          <w:b w:val="0"/>
          <w:bCs w:val="0"/>
          <w:color w:val="auto"/>
          <w:kern w:val="44"/>
          <w:szCs w:val="21"/>
          <w:highlight w:val="none"/>
        </w:rPr>
        <w:t>承担相应的责任。</w:t>
      </w:r>
      <w:bookmarkEnd w:id="335"/>
    </w:p>
    <w:p w14:paraId="7D5F9000">
      <w:pPr>
        <w:spacing w:line="360" w:lineRule="auto"/>
        <w:ind w:firstLine="420"/>
        <w:rPr>
          <w:rFonts w:hint="eastAsia" w:ascii="宋体" w:hAnsi="宋体"/>
          <w:color w:val="auto"/>
          <w:szCs w:val="21"/>
          <w:highlight w:val="none"/>
        </w:rPr>
      </w:pPr>
      <w:r>
        <w:rPr>
          <w:rFonts w:hint="eastAsia" w:ascii="Times New Roman" w:hAnsi="Times New Roman" w:eastAsia="宋体" w:cs="Times New Roman"/>
          <w:b w:val="0"/>
          <w:bCs w:val="0"/>
          <w:color w:val="auto"/>
          <w:kern w:val="44"/>
          <w:szCs w:val="21"/>
          <w:highlight w:val="none"/>
          <w:lang w:val="en-US" w:eastAsia="zh-CN"/>
        </w:rPr>
        <w:t>（4）纪念品种类：</w:t>
      </w:r>
      <w:r>
        <w:rPr>
          <w:rFonts w:hint="eastAsia" w:ascii="宋体" w:hAnsi="宋体"/>
          <w:color w:val="auto"/>
          <w:szCs w:val="21"/>
          <w:highlight w:val="none"/>
        </w:rPr>
        <w:t>（包括但不仅限）</w:t>
      </w:r>
    </w:p>
    <w:p w14:paraId="2189A50C">
      <w:pPr>
        <w:spacing w:line="360" w:lineRule="auto"/>
        <w:ind w:firstLine="420"/>
        <w:rPr>
          <w:rFonts w:hint="eastAsia" w:ascii="宋体" w:hAnsi="宋体"/>
          <w:color w:val="auto"/>
          <w:szCs w:val="21"/>
          <w:highlight w:val="none"/>
        </w:rPr>
      </w:pPr>
      <w:r>
        <w:rPr>
          <w:rFonts w:hint="eastAsia" w:ascii="宋体" w:hAnsi="宋体"/>
          <w:color w:val="auto"/>
          <w:szCs w:val="21"/>
          <w:highlight w:val="none"/>
          <w:lang w:val="en-US" w:eastAsia="zh-CN"/>
        </w:rPr>
        <w:t>①</w:t>
      </w:r>
      <w:r>
        <w:rPr>
          <w:rFonts w:hint="eastAsia" w:ascii="宋体" w:hAnsi="宋体"/>
          <w:color w:val="auto"/>
          <w:szCs w:val="21"/>
          <w:highlight w:val="none"/>
        </w:rPr>
        <w:t>日用品类：卫浴套装、洗护套装及用品、清洁用品、洗发护发、按摩器材等。</w:t>
      </w:r>
    </w:p>
    <w:p w14:paraId="20EE20D4">
      <w:pPr>
        <w:spacing w:line="360" w:lineRule="auto"/>
        <w:ind w:firstLine="420"/>
        <w:rPr>
          <w:rFonts w:hint="eastAsia" w:ascii="宋体" w:hAnsi="宋体"/>
          <w:color w:val="auto"/>
          <w:szCs w:val="21"/>
          <w:highlight w:val="none"/>
        </w:rPr>
      </w:pPr>
      <w:r>
        <w:rPr>
          <w:rFonts w:hint="eastAsia" w:ascii="宋体" w:hAnsi="宋体"/>
          <w:color w:val="auto"/>
          <w:szCs w:val="21"/>
          <w:highlight w:val="none"/>
          <w:lang w:val="en-US" w:eastAsia="zh-CN"/>
        </w:rPr>
        <w:t>②</w:t>
      </w:r>
      <w:r>
        <w:rPr>
          <w:rFonts w:hint="eastAsia" w:ascii="宋体" w:hAnsi="宋体"/>
          <w:color w:val="auto"/>
          <w:szCs w:val="21"/>
          <w:highlight w:val="none"/>
        </w:rPr>
        <w:t>百货类</w:t>
      </w:r>
      <w:r>
        <w:rPr>
          <w:rFonts w:hint="eastAsia" w:ascii="宋体" w:hAnsi="宋体"/>
          <w:color w:val="auto"/>
          <w:szCs w:val="21"/>
          <w:highlight w:val="none"/>
          <w:lang w:eastAsia="zh-CN"/>
        </w:rPr>
        <w:t>：</w:t>
      </w:r>
      <w:r>
        <w:rPr>
          <w:rFonts w:hint="eastAsia" w:ascii="宋体" w:hAnsi="宋体"/>
          <w:color w:val="auto"/>
          <w:szCs w:val="21"/>
          <w:highlight w:val="none"/>
        </w:rPr>
        <w:t>毛巾、丝巾围巾</w:t>
      </w:r>
      <w:r>
        <w:rPr>
          <w:rFonts w:hint="eastAsia" w:ascii="宋体" w:hAnsi="宋体"/>
          <w:color w:val="auto"/>
          <w:szCs w:val="21"/>
          <w:highlight w:val="none"/>
          <w:lang w:eastAsia="zh-CN"/>
        </w:rPr>
        <w:t>、</w:t>
      </w:r>
      <w:r>
        <w:rPr>
          <w:rFonts w:hint="eastAsia" w:ascii="宋体" w:hAnsi="宋体"/>
          <w:color w:val="auto"/>
          <w:szCs w:val="21"/>
          <w:highlight w:val="none"/>
        </w:rPr>
        <w:t>收纳袋、收纳箱、收纳盒、旅行包、休闲运动包、书包、登山包、腰包</w:t>
      </w:r>
      <w:r>
        <w:rPr>
          <w:rFonts w:hint="eastAsia" w:ascii="宋体" w:hAnsi="宋体"/>
          <w:color w:val="auto"/>
          <w:szCs w:val="21"/>
          <w:highlight w:val="none"/>
          <w:lang w:eastAsia="zh-CN"/>
        </w:rPr>
        <w:t>、</w:t>
      </w:r>
      <w:r>
        <w:rPr>
          <w:rFonts w:hint="eastAsia" w:ascii="宋体" w:hAnsi="宋体"/>
          <w:color w:val="auto"/>
          <w:szCs w:val="21"/>
          <w:highlight w:val="none"/>
        </w:rPr>
        <w:t>保温杯、水杯、餐盒、焖烧杯、储物罐、保鲜盒、滤水壶、厨房储物</w:t>
      </w:r>
      <w:r>
        <w:rPr>
          <w:rFonts w:hint="eastAsia" w:ascii="宋体" w:hAnsi="宋体"/>
          <w:color w:val="auto"/>
          <w:szCs w:val="21"/>
          <w:highlight w:val="none"/>
          <w:lang w:eastAsia="zh-CN"/>
        </w:rPr>
        <w:t>、</w:t>
      </w:r>
      <w:r>
        <w:rPr>
          <w:rFonts w:hint="eastAsia" w:ascii="宋体" w:hAnsi="宋体"/>
          <w:color w:val="auto"/>
          <w:szCs w:val="21"/>
          <w:highlight w:val="none"/>
        </w:rPr>
        <w:t>雨伞、美甲工具</w:t>
      </w:r>
      <w:r>
        <w:rPr>
          <w:rFonts w:hint="eastAsia" w:ascii="宋体" w:hAnsi="宋体"/>
          <w:color w:val="auto"/>
          <w:szCs w:val="21"/>
          <w:highlight w:val="none"/>
          <w:lang w:eastAsia="zh-CN"/>
        </w:rPr>
        <w:t>、</w:t>
      </w:r>
      <w:r>
        <w:rPr>
          <w:rFonts w:hint="eastAsia" w:ascii="宋体" w:hAnsi="宋体"/>
          <w:color w:val="auto"/>
          <w:szCs w:val="21"/>
          <w:highlight w:val="none"/>
        </w:rPr>
        <w:t>时尚数码</w:t>
      </w:r>
      <w:r>
        <w:rPr>
          <w:rFonts w:hint="eastAsia" w:ascii="宋体" w:hAnsi="宋体"/>
          <w:color w:val="auto"/>
          <w:szCs w:val="21"/>
          <w:highlight w:val="none"/>
          <w:lang w:eastAsia="zh-CN"/>
        </w:rPr>
        <w:t>、</w:t>
      </w:r>
      <w:r>
        <w:rPr>
          <w:rFonts w:hint="eastAsia" w:ascii="宋体" w:hAnsi="宋体"/>
          <w:color w:val="auto"/>
          <w:szCs w:val="21"/>
          <w:highlight w:val="none"/>
        </w:rPr>
        <w:t>影音娱乐、电子体重秤、U 盘</w:t>
      </w:r>
      <w:r>
        <w:rPr>
          <w:rFonts w:hint="eastAsia" w:ascii="宋体" w:hAnsi="宋体"/>
          <w:color w:val="auto"/>
          <w:szCs w:val="21"/>
          <w:highlight w:val="none"/>
          <w:lang w:eastAsia="zh-CN"/>
        </w:rPr>
        <w:t>、</w:t>
      </w:r>
      <w:r>
        <w:rPr>
          <w:rFonts w:hint="eastAsia" w:ascii="宋体" w:hAnsi="宋体"/>
          <w:color w:val="auto"/>
          <w:szCs w:val="21"/>
          <w:highlight w:val="none"/>
        </w:rPr>
        <w:t>羽毛球、乒乓球、网球、跳绳、运动配件等。</w:t>
      </w:r>
    </w:p>
    <w:p w14:paraId="36EAC6C1">
      <w:pPr>
        <w:spacing w:line="360" w:lineRule="auto"/>
        <w:ind w:firstLine="420"/>
        <w:rPr>
          <w:rFonts w:hint="eastAsia" w:ascii="宋体" w:hAnsi="宋体"/>
          <w:color w:val="auto"/>
          <w:szCs w:val="21"/>
          <w:highlight w:val="none"/>
        </w:rPr>
      </w:pPr>
      <w:r>
        <w:rPr>
          <w:rFonts w:hint="eastAsia" w:ascii="宋体" w:hAnsi="宋体"/>
          <w:color w:val="auto"/>
          <w:szCs w:val="21"/>
          <w:highlight w:val="none"/>
          <w:lang w:val="en-US" w:eastAsia="zh-CN"/>
        </w:rPr>
        <w:t>③</w:t>
      </w:r>
      <w:r>
        <w:rPr>
          <w:rFonts w:hint="eastAsia" w:ascii="宋体" w:hAnsi="宋体"/>
          <w:color w:val="auto"/>
          <w:szCs w:val="21"/>
          <w:highlight w:val="none"/>
        </w:rPr>
        <w:t>虚拟服务类：视频网站会员，阅读订阅会员，音乐会员等。</w:t>
      </w:r>
    </w:p>
    <w:p w14:paraId="03740280">
      <w:pPr>
        <w:spacing w:line="360" w:lineRule="auto"/>
        <w:ind w:firstLine="420"/>
        <w:rPr>
          <w:rFonts w:hint="eastAsia" w:ascii="宋体" w:hAnsi="宋体"/>
          <w:color w:val="auto"/>
          <w:szCs w:val="21"/>
          <w:highlight w:val="none"/>
        </w:rPr>
      </w:pPr>
      <w:r>
        <w:rPr>
          <w:rFonts w:hint="eastAsia" w:ascii="宋体" w:hAnsi="宋体"/>
          <w:color w:val="auto"/>
          <w:szCs w:val="21"/>
          <w:highlight w:val="none"/>
          <w:lang w:val="en-US" w:eastAsia="zh-CN"/>
        </w:rPr>
        <w:t>④交通出行卡</w:t>
      </w:r>
      <w:r>
        <w:rPr>
          <w:rFonts w:hint="eastAsia" w:ascii="宋体" w:hAnsi="宋体"/>
          <w:color w:val="auto"/>
          <w:szCs w:val="21"/>
          <w:highlight w:val="none"/>
        </w:rPr>
        <w:t>：</w:t>
      </w:r>
      <w:r>
        <w:rPr>
          <w:rFonts w:hint="eastAsia" w:ascii="宋体" w:hAnsi="宋体"/>
          <w:color w:val="auto"/>
          <w:szCs w:val="21"/>
          <w:highlight w:val="none"/>
          <w:lang w:val="en-US" w:eastAsia="zh-CN"/>
        </w:rPr>
        <w:t>公交、地铁卡等</w:t>
      </w:r>
      <w:r>
        <w:rPr>
          <w:rFonts w:hint="eastAsia" w:ascii="宋体" w:hAnsi="宋体"/>
          <w:color w:val="auto"/>
          <w:szCs w:val="21"/>
          <w:highlight w:val="none"/>
        </w:rPr>
        <w:t>。</w:t>
      </w:r>
    </w:p>
    <w:p w14:paraId="7DCF09C9">
      <w:pPr>
        <w:spacing w:line="360" w:lineRule="auto"/>
        <w:ind w:firstLine="420"/>
        <w:rPr>
          <w:rFonts w:hint="eastAsia" w:ascii="宋体" w:hAnsi="宋体"/>
          <w:color w:val="auto"/>
          <w:szCs w:val="21"/>
          <w:highlight w:val="none"/>
        </w:rPr>
      </w:pPr>
      <w:r>
        <w:rPr>
          <w:rFonts w:hint="eastAsia" w:ascii="宋体" w:hAnsi="宋体"/>
          <w:color w:val="auto"/>
          <w:szCs w:val="21"/>
          <w:highlight w:val="none"/>
          <w:lang w:val="en-US" w:eastAsia="zh-CN"/>
        </w:rPr>
        <w:t>⑤</w:t>
      </w:r>
      <w:r>
        <w:rPr>
          <w:rFonts w:hint="eastAsia" w:ascii="宋体" w:hAnsi="宋体"/>
          <w:color w:val="auto"/>
          <w:szCs w:val="21"/>
          <w:highlight w:val="none"/>
        </w:rPr>
        <w:t>文化创意纪念品：支持原创设计并定制文化创意纪念品，包括但不限于荣誉勋章、手办盲盒、挂件摆件、玩偶抱枕、水杯T恤、文具书包等。</w:t>
      </w:r>
    </w:p>
    <w:p w14:paraId="4D8BB100">
      <w:pPr>
        <w:spacing w:line="360" w:lineRule="auto"/>
        <w:ind w:firstLine="422"/>
        <w:rPr>
          <w:rFonts w:hint="default" w:eastAsia="宋体"/>
          <w:color w:val="auto"/>
          <w:highlight w:val="none"/>
          <w:lang w:val="en-US" w:eastAsia="zh-CN"/>
        </w:rPr>
      </w:pPr>
      <w:r>
        <w:rPr>
          <w:rFonts w:hint="eastAsia" w:ascii="宋体" w:hAnsi="宋体"/>
          <w:b/>
          <w:bCs/>
          <w:color w:val="auto"/>
          <w:szCs w:val="21"/>
          <w:highlight w:val="none"/>
        </w:rPr>
        <w:t>注：</w:t>
      </w:r>
      <w:r>
        <w:rPr>
          <w:rFonts w:hint="eastAsia" w:ascii="宋体" w:hAnsi="宋体"/>
          <w:color w:val="auto"/>
          <w:szCs w:val="21"/>
          <w:highlight w:val="none"/>
        </w:rPr>
        <w:t>上述提出的各项功能要求并未对一切细节做出全部详细规定，也未充分引述有关标准和规范的条文，投标人所有与本项目有关的技术标准均应不低于招标时已颁布的国家和行业标准，或相应的国际标准的有关条文。</w:t>
      </w:r>
    </w:p>
    <w:p w14:paraId="770A67A4">
      <w:pPr>
        <w:pStyle w:val="4"/>
        <w:spacing w:before="0" w:after="0" w:line="360" w:lineRule="auto"/>
        <w:ind w:left="0" w:leftChars="0" w:right="210" w:firstLine="420" w:firstLineChars="200"/>
        <w:rPr>
          <w:rFonts w:hint="eastAsia" w:eastAsia="宋体"/>
          <w:b/>
          <w:bCs/>
          <w:color w:val="auto"/>
          <w:szCs w:val="21"/>
          <w:highlight w:val="none"/>
          <w:lang w:eastAsia="zh-CN"/>
        </w:rPr>
      </w:pPr>
      <w:bookmarkStart w:id="336" w:name="_Toc3994"/>
      <w:r>
        <w:rPr>
          <w:rFonts w:hint="default" w:ascii="Times New Roman" w:hAnsi="Times New Roman" w:eastAsia="宋体" w:cs="Times New Roman"/>
          <w:b w:val="0"/>
          <w:bCs w:val="0"/>
          <w:color w:val="auto"/>
          <w:kern w:val="44"/>
          <w:szCs w:val="21"/>
          <w:highlight w:val="none"/>
        </w:rPr>
        <w:t>（</w:t>
      </w:r>
      <w:r>
        <w:rPr>
          <w:rFonts w:hint="eastAsia" w:ascii="Times New Roman" w:hAnsi="Times New Roman" w:eastAsia="宋体" w:cs="Times New Roman"/>
          <w:b w:val="0"/>
          <w:bCs w:val="0"/>
          <w:color w:val="auto"/>
          <w:kern w:val="44"/>
          <w:szCs w:val="21"/>
          <w:highlight w:val="none"/>
          <w:lang w:val="en-US" w:eastAsia="zh-CN"/>
        </w:rPr>
        <w:t>5</w:t>
      </w:r>
      <w:r>
        <w:rPr>
          <w:rFonts w:hint="default" w:ascii="Times New Roman" w:hAnsi="Times New Roman" w:eastAsia="宋体" w:cs="Times New Roman"/>
          <w:b w:val="0"/>
          <w:bCs w:val="0"/>
          <w:color w:val="auto"/>
          <w:kern w:val="44"/>
          <w:szCs w:val="21"/>
          <w:highlight w:val="none"/>
        </w:rPr>
        <w:t>）纪念品更新：</w:t>
      </w:r>
      <w:r>
        <w:rPr>
          <w:rFonts w:hint="eastAsia" w:cs="Times New Roman"/>
          <w:b w:val="0"/>
          <w:bCs w:val="0"/>
          <w:color w:val="auto"/>
          <w:kern w:val="44"/>
          <w:szCs w:val="21"/>
          <w:highlight w:val="none"/>
          <w:lang w:val="en-US" w:eastAsia="zh-CN"/>
        </w:rPr>
        <w:t>投标人</w:t>
      </w:r>
      <w:r>
        <w:rPr>
          <w:rFonts w:hint="default" w:ascii="Times New Roman" w:hAnsi="Times New Roman" w:eastAsia="宋体" w:cs="Times New Roman"/>
          <w:b w:val="0"/>
          <w:bCs w:val="0"/>
          <w:color w:val="auto"/>
          <w:kern w:val="44"/>
          <w:szCs w:val="21"/>
          <w:highlight w:val="none"/>
        </w:rPr>
        <w:t>定期进行更新和调整积分纪念品，保证积分兑换平台纪念品数量不低于日均80种。</w:t>
      </w:r>
      <w:bookmarkEnd w:id="336"/>
      <w:r>
        <w:rPr>
          <w:rFonts w:hint="default"/>
          <w:b w:val="0"/>
          <w:bCs w:val="0"/>
          <w:color w:val="auto"/>
          <w:szCs w:val="21"/>
          <w:highlight w:val="none"/>
        </w:rPr>
        <w:t>采购数量以实际订单内容为准</w:t>
      </w:r>
      <w:r>
        <w:rPr>
          <w:rFonts w:hint="eastAsia"/>
          <w:b w:val="0"/>
          <w:bCs w:val="0"/>
          <w:color w:val="auto"/>
          <w:szCs w:val="21"/>
          <w:highlight w:val="none"/>
          <w:lang w:eastAsia="zh-CN"/>
        </w:rPr>
        <w:t>。</w:t>
      </w:r>
    </w:p>
    <w:p w14:paraId="1FA5DBCC">
      <w:pPr>
        <w:adjustRightInd w:val="0"/>
        <w:snapToGrid w:val="0"/>
        <w:spacing w:line="360" w:lineRule="auto"/>
        <w:ind w:firstLine="420" w:firstLineChars="200"/>
        <w:jc w:val="left"/>
        <w:rPr>
          <w:rFonts w:hint="default"/>
          <w:color w:val="auto"/>
          <w:szCs w:val="21"/>
          <w:highlight w:val="none"/>
        </w:rPr>
      </w:pPr>
      <w:r>
        <w:rPr>
          <w:rFonts w:hint="default"/>
          <w:color w:val="auto"/>
          <w:szCs w:val="21"/>
          <w:highlight w:val="none"/>
        </w:rPr>
        <w:t>（</w:t>
      </w:r>
      <w:r>
        <w:rPr>
          <w:rFonts w:hint="eastAsia"/>
          <w:color w:val="auto"/>
          <w:szCs w:val="21"/>
          <w:highlight w:val="none"/>
          <w:lang w:eastAsia="zh-CN"/>
        </w:rPr>
        <w:t>6</w:t>
      </w:r>
      <w:r>
        <w:rPr>
          <w:rFonts w:hint="default"/>
          <w:color w:val="auto"/>
          <w:szCs w:val="21"/>
          <w:highlight w:val="none"/>
        </w:rPr>
        <w:t>）纪念品仓储及配送</w:t>
      </w:r>
    </w:p>
    <w:p w14:paraId="782FC88A">
      <w:pPr>
        <w:adjustRightInd w:val="0"/>
        <w:snapToGrid w:val="0"/>
        <w:spacing w:line="360" w:lineRule="auto"/>
        <w:ind w:firstLine="420" w:firstLineChars="200"/>
        <w:jc w:val="left"/>
        <w:rPr>
          <w:rFonts w:hint="default"/>
          <w:color w:val="auto"/>
          <w:szCs w:val="21"/>
          <w:highlight w:val="none"/>
        </w:rPr>
      </w:pPr>
      <w:r>
        <w:rPr>
          <w:rFonts w:hint="eastAsia" w:cs="Times New Roman"/>
          <w:b w:val="0"/>
          <w:bCs w:val="0"/>
          <w:color w:val="auto"/>
          <w:kern w:val="44"/>
          <w:szCs w:val="21"/>
          <w:highlight w:val="none"/>
          <w:lang w:val="en-US" w:eastAsia="zh-CN"/>
        </w:rPr>
        <w:t>投标人</w:t>
      </w:r>
      <w:r>
        <w:rPr>
          <w:rFonts w:hint="default"/>
          <w:color w:val="auto"/>
          <w:szCs w:val="21"/>
          <w:highlight w:val="none"/>
        </w:rPr>
        <w:t>应提供相应的配送服务，包括仓储、保管、配货、定制包装（按照</w:t>
      </w:r>
      <w:r>
        <w:rPr>
          <w:rFonts w:hint="eastAsia"/>
          <w:color w:val="auto"/>
          <w:szCs w:val="21"/>
          <w:highlight w:val="none"/>
          <w:lang w:eastAsia="zh-CN"/>
        </w:rPr>
        <w:t>采购人</w:t>
      </w:r>
      <w:r>
        <w:rPr>
          <w:rFonts w:hint="default"/>
          <w:color w:val="auto"/>
          <w:szCs w:val="21"/>
          <w:highlight w:val="none"/>
        </w:rPr>
        <w:t>需求的定制外包装）、保价、运送和其他与配送相关的服务，具体产生的定制包装和配送费用由</w:t>
      </w:r>
      <w:r>
        <w:rPr>
          <w:rFonts w:hint="eastAsia" w:cs="Times New Roman"/>
          <w:b w:val="0"/>
          <w:bCs w:val="0"/>
          <w:color w:val="auto"/>
          <w:kern w:val="44"/>
          <w:szCs w:val="21"/>
          <w:highlight w:val="none"/>
          <w:lang w:val="en-US" w:eastAsia="zh-CN"/>
        </w:rPr>
        <w:t>投标人</w:t>
      </w:r>
      <w:r>
        <w:rPr>
          <w:rFonts w:hint="default"/>
          <w:color w:val="auto"/>
          <w:szCs w:val="21"/>
          <w:highlight w:val="none"/>
        </w:rPr>
        <w:t>支付；</w:t>
      </w:r>
      <w:r>
        <w:rPr>
          <w:rFonts w:hint="eastAsia" w:cs="Times New Roman"/>
          <w:b w:val="0"/>
          <w:bCs w:val="0"/>
          <w:color w:val="auto"/>
          <w:kern w:val="44"/>
          <w:szCs w:val="21"/>
          <w:highlight w:val="none"/>
          <w:lang w:val="en-US" w:eastAsia="zh-CN"/>
        </w:rPr>
        <w:t>投标人</w:t>
      </w:r>
      <w:r>
        <w:rPr>
          <w:rFonts w:hint="default"/>
          <w:color w:val="auto"/>
          <w:szCs w:val="21"/>
          <w:highlight w:val="none"/>
        </w:rPr>
        <w:t>保证各项具体服务水平达到行业标准或行业标准以上的服务水平。</w:t>
      </w:r>
    </w:p>
    <w:p w14:paraId="68E4F5C8">
      <w:pPr>
        <w:adjustRightInd w:val="0"/>
        <w:snapToGrid w:val="0"/>
        <w:spacing w:line="360" w:lineRule="auto"/>
        <w:ind w:firstLine="420" w:firstLineChars="200"/>
        <w:jc w:val="left"/>
        <w:rPr>
          <w:rFonts w:hint="default"/>
          <w:color w:val="auto"/>
          <w:szCs w:val="21"/>
          <w:highlight w:val="none"/>
        </w:rPr>
      </w:pPr>
      <w:r>
        <w:rPr>
          <w:rFonts w:hint="eastAsia" w:cs="Times New Roman"/>
          <w:b w:val="0"/>
          <w:bCs w:val="0"/>
          <w:color w:val="auto"/>
          <w:kern w:val="44"/>
          <w:szCs w:val="21"/>
          <w:highlight w:val="none"/>
          <w:lang w:val="en-US" w:eastAsia="zh-CN"/>
        </w:rPr>
        <w:t>投标人</w:t>
      </w:r>
      <w:r>
        <w:rPr>
          <w:rFonts w:hint="default"/>
          <w:color w:val="auto"/>
          <w:szCs w:val="21"/>
          <w:highlight w:val="none"/>
        </w:rPr>
        <w:t>应于收到会员兑换订单次日起15日内，将</w:t>
      </w:r>
      <w:r>
        <w:rPr>
          <w:rFonts w:hint="eastAsia" w:cs="Times New Roman"/>
          <w:b w:val="0"/>
          <w:bCs w:val="0"/>
          <w:color w:val="auto"/>
          <w:kern w:val="44"/>
          <w:szCs w:val="21"/>
          <w:highlight w:val="none"/>
          <w:lang w:val="en-US" w:eastAsia="zh-CN"/>
        </w:rPr>
        <w:t>投标人</w:t>
      </w:r>
      <w:r>
        <w:rPr>
          <w:rFonts w:hint="default"/>
          <w:color w:val="auto"/>
          <w:szCs w:val="21"/>
          <w:highlight w:val="none"/>
        </w:rPr>
        <w:t>供应纪念品通过快递配送方式送达会员。</w:t>
      </w:r>
    </w:p>
    <w:p w14:paraId="26D33D22">
      <w:pPr>
        <w:adjustRightInd w:val="0"/>
        <w:snapToGrid w:val="0"/>
        <w:spacing w:line="360" w:lineRule="auto"/>
        <w:ind w:firstLine="420" w:firstLineChars="200"/>
        <w:jc w:val="left"/>
        <w:rPr>
          <w:rFonts w:hint="default"/>
          <w:color w:val="auto"/>
          <w:szCs w:val="21"/>
          <w:highlight w:val="none"/>
        </w:rPr>
      </w:pPr>
      <w:r>
        <w:rPr>
          <w:rFonts w:hint="eastAsia" w:cs="Times New Roman"/>
          <w:b w:val="0"/>
          <w:bCs w:val="0"/>
          <w:color w:val="auto"/>
          <w:kern w:val="44"/>
          <w:szCs w:val="21"/>
          <w:highlight w:val="none"/>
          <w:lang w:val="en-US" w:eastAsia="zh-CN"/>
        </w:rPr>
        <w:t>投标人</w:t>
      </w:r>
      <w:r>
        <w:rPr>
          <w:rFonts w:hint="default"/>
          <w:color w:val="auto"/>
          <w:szCs w:val="21"/>
          <w:highlight w:val="none"/>
        </w:rPr>
        <w:t>应保证每日配送时间为8：00—19：00（特殊情况可推迟到21：00）。如当日因</w:t>
      </w:r>
      <w:r>
        <w:rPr>
          <w:rFonts w:hint="eastAsia" w:cs="Times New Roman"/>
          <w:b w:val="0"/>
          <w:bCs w:val="0"/>
          <w:color w:val="auto"/>
          <w:kern w:val="44"/>
          <w:szCs w:val="21"/>
          <w:highlight w:val="none"/>
          <w:lang w:val="en-US" w:eastAsia="zh-CN"/>
        </w:rPr>
        <w:t>投标人</w:t>
      </w:r>
      <w:r>
        <w:rPr>
          <w:rFonts w:hint="default"/>
          <w:color w:val="auto"/>
          <w:szCs w:val="21"/>
          <w:highlight w:val="none"/>
        </w:rPr>
        <w:t>通知的配送地址无人接收，应保证在3日内联络会员用户另行约定时间进行配送服务。</w:t>
      </w:r>
    </w:p>
    <w:p w14:paraId="3BC35CDE">
      <w:pPr>
        <w:adjustRightInd w:val="0"/>
        <w:snapToGrid w:val="0"/>
        <w:spacing w:line="360" w:lineRule="auto"/>
        <w:ind w:firstLine="420" w:firstLineChars="200"/>
        <w:jc w:val="left"/>
        <w:rPr>
          <w:rFonts w:hint="default"/>
          <w:color w:val="auto"/>
          <w:szCs w:val="21"/>
          <w:highlight w:val="none"/>
        </w:rPr>
      </w:pPr>
      <w:r>
        <w:rPr>
          <w:rFonts w:hint="default"/>
          <w:color w:val="auto"/>
          <w:szCs w:val="21"/>
          <w:highlight w:val="none"/>
        </w:rPr>
        <w:t>由于会员提供的配送信息有误，导致纪念品不能送达的，</w:t>
      </w:r>
      <w:r>
        <w:rPr>
          <w:rFonts w:hint="eastAsia" w:cs="Times New Roman"/>
          <w:b w:val="0"/>
          <w:bCs w:val="0"/>
          <w:color w:val="auto"/>
          <w:kern w:val="44"/>
          <w:szCs w:val="21"/>
          <w:highlight w:val="none"/>
          <w:lang w:val="en-US" w:eastAsia="zh-CN"/>
        </w:rPr>
        <w:t>投标人</w:t>
      </w:r>
      <w:r>
        <w:rPr>
          <w:rFonts w:hint="default"/>
          <w:color w:val="auto"/>
          <w:szCs w:val="21"/>
          <w:highlight w:val="none"/>
        </w:rPr>
        <w:t>应及时将信息反馈给采购人及会员，等待会员提供正确配送信息后再次配送。</w:t>
      </w:r>
    </w:p>
    <w:p w14:paraId="79AF5A81">
      <w:pPr>
        <w:adjustRightInd w:val="0"/>
        <w:snapToGrid w:val="0"/>
        <w:spacing w:line="360" w:lineRule="auto"/>
        <w:ind w:firstLine="420" w:firstLineChars="200"/>
        <w:jc w:val="left"/>
        <w:rPr>
          <w:rFonts w:hint="default"/>
          <w:color w:val="auto"/>
          <w:szCs w:val="21"/>
          <w:highlight w:val="none"/>
        </w:rPr>
      </w:pPr>
      <w:r>
        <w:rPr>
          <w:rFonts w:hint="default"/>
          <w:color w:val="auto"/>
          <w:szCs w:val="21"/>
          <w:highlight w:val="none"/>
        </w:rPr>
        <w:t>（</w:t>
      </w:r>
      <w:r>
        <w:rPr>
          <w:rFonts w:hint="eastAsia"/>
          <w:color w:val="auto"/>
          <w:szCs w:val="21"/>
          <w:highlight w:val="none"/>
          <w:lang w:eastAsia="zh-CN"/>
        </w:rPr>
        <w:t>7</w:t>
      </w:r>
      <w:r>
        <w:rPr>
          <w:rFonts w:hint="default"/>
          <w:color w:val="auto"/>
          <w:szCs w:val="21"/>
          <w:highlight w:val="none"/>
        </w:rPr>
        <w:t>）纪念品售后服务：</w:t>
      </w:r>
    </w:p>
    <w:p w14:paraId="7A6745E8">
      <w:pPr>
        <w:adjustRightInd w:val="0"/>
        <w:snapToGrid w:val="0"/>
        <w:spacing w:line="360" w:lineRule="auto"/>
        <w:ind w:firstLine="420" w:firstLineChars="200"/>
        <w:jc w:val="left"/>
        <w:rPr>
          <w:rFonts w:hint="default"/>
          <w:color w:val="auto"/>
          <w:szCs w:val="21"/>
          <w:highlight w:val="none"/>
        </w:rPr>
      </w:pPr>
      <w:r>
        <w:rPr>
          <w:rFonts w:hint="default"/>
          <w:color w:val="auto"/>
          <w:szCs w:val="21"/>
          <w:highlight w:val="none"/>
        </w:rPr>
        <w:t>①纪念品送达时，</w:t>
      </w:r>
      <w:r>
        <w:rPr>
          <w:rFonts w:hint="eastAsia" w:cs="Times New Roman"/>
          <w:b w:val="0"/>
          <w:bCs w:val="0"/>
          <w:color w:val="auto"/>
          <w:kern w:val="44"/>
          <w:szCs w:val="21"/>
          <w:highlight w:val="none"/>
          <w:lang w:val="en-US" w:eastAsia="zh-CN"/>
        </w:rPr>
        <w:t>投标人</w:t>
      </w:r>
      <w:r>
        <w:rPr>
          <w:rFonts w:hint="default"/>
          <w:color w:val="auto"/>
          <w:szCs w:val="21"/>
          <w:highlight w:val="none"/>
        </w:rPr>
        <w:t>配送人员有义务主动提醒签收人验收纪念品。</w:t>
      </w:r>
    </w:p>
    <w:p w14:paraId="407DF20D">
      <w:pPr>
        <w:adjustRightInd w:val="0"/>
        <w:snapToGrid w:val="0"/>
        <w:spacing w:line="360" w:lineRule="auto"/>
        <w:ind w:firstLine="420" w:firstLineChars="200"/>
        <w:jc w:val="left"/>
        <w:rPr>
          <w:rFonts w:hint="default"/>
          <w:color w:val="auto"/>
          <w:szCs w:val="21"/>
          <w:highlight w:val="none"/>
        </w:rPr>
      </w:pPr>
      <w:r>
        <w:rPr>
          <w:rFonts w:hint="default"/>
          <w:color w:val="auto"/>
          <w:szCs w:val="21"/>
          <w:highlight w:val="none"/>
        </w:rPr>
        <w:t>②对于</w:t>
      </w:r>
      <w:r>
        <w:rPr>
          <w:rFonts w:hint="eastAsia" w:cs="Times New Roman"/>
          <w:b w:val="0"/>
          <w:bCs w:val="0"/>
          <w:color w:val="auto"/>
          <w:kern w:val="44"/>
          <w:szCs w:val="21"/>
          <w:highlight w:val="none"/>
          <w:lang w:val="en-US" w:eastAsia="zh-CN"/>
        </w:rPr>
        <w:t>投标人</w:t>
      </w:r>
      <w:r>
        <w:rPr>
          <w:rFonts w:hint="default"/>
          <w:color w:val="auto"/>
          <w:szCs w:val="21"/>
          <w:highlight w:val="none"/>
        </w:rPr>
        <w:t>供应的纪念品，会员于签收日（含）起7日内，</w:t>
      </w:r>
      <w:r>
        <w:rPr>
          <w:rFonts w:hint="eastAsia" w:cs="Times New Roman"/>
          <w:b w:val="0"/>
          <w:bCs w:val="0"/>
          <w:color w:val="auto"/>
          <w:kern w:val="44"/>
          <w:szCs w:val="21"/>
          <w:highlight w:val="none"/>
          <w:lang w:val="en-US" w:eastAsia="zh-CN"/>
        </w:rPr>
        <w:t>投标人</w:t>
      </w:r>
      <w:r>
        <w:rPr>
          <w:rFonts w:hint="default"/>
          <w:color w:val="auto"/>
          <w:szCs w:val="21"/>
          <w:highlight w:val="none"/>
        </w:rPr>
        <w:t>提供无理由退货服务。</w:t>
      </w:r>
    </w:p>
    <w:p w14:paraId="232598B9">
      <w:pPr>
        <w:adjustRightInd w:val="0"/>
        <w:snapToGrid w:val="0"/>
        <w:spacing w:line="360" w:lineRule="auto"/>
        <w:ind w:firstLine="420" w:firstLineChars="200"/>
        <w:jc w:val="left"/>
        <w:rPr>
          <w:rFonts w:hint="default"/>
          <w:color w:val="auto"/>
          <w:szCs w:val="21"/>
          <w:highlight w:val="none"/>
        </w:rPr>
      </w:pPr>
      <w:r>
        <w:rPr>
          <w:rFonts w:hint="default"/>
          <w:color w:val="auto"/>
          <w:szCs w:val="21"/>
          <w:highlight w:val="none"/>
        </w:rPr>
        <w:t>③</w:t>
      </w:r>
      <w:r>
        <w:rPr>
          <w:rFonts w:hint="eastAsia" w:cs="Times New Roman"/>
          <w:b w:val="0"/>
          <w:bCs w:val="0"/>
          <w:color w:val="auto"/>
          <w:kern w:val="44"/>
          <w:szCs w:val="21"/>
          <w:highlight w:val="none"/>
          <w:lang w:val="en-US" w:eastAsia="zh-CN"/>
        </w:rPr>
        <w:t>投标人</w:t>
      </w:r>
      <w:r>
        <w:rPr>
          <w:rFonts w:hint="default"/>
          <w:color w:val="auto"/>
          <w:szCs w:val="21"/>
          <w:highlight w:val="none"/>
        </w:rPr>
        <w:t>应保证单个收货人凭纪念品包装内的保修卡在纪念品厂商设置的当地维修网点可以进行保修。</w:t>
      </w:r>
    </w:p>
    <w:p w14:paraId="36D9E3FD">
      <w:pPr>
        <w:adjustRightInd w:val="0"/>
        <w:snapToGrid w:val="0"/>
        <w:spacing w:line="360" w:lineRule="auto"/>
        <w:ind w:firstLine="420" w:firstLineChars="200"/>
        <w:jc w:val="left"/>
        <w:rPr>
          <w:rFonts w:hint="default"/>
          <w:color w:val="auto"/>
          <w:szCs w:val="21"/>
          <w:highlight w:val="none"/>
        </w:rPr>
      </w:pPr>
      <w:r>
        <w:rPr>
          <w:rFonts w:hint="default"/>
          <w:color w:val="auto"/>
          <w:szCs w:val="21"/>
          <w:highlight w:val="none"/>
        </w:rPr>
        <w:t>④</w:t>
      </w:r>
      <w:r>
        <w:rPr>
          <w:rFonts w:hint="eastAsia" w:cs="Times New Roman"/>
          <w:b w:val="0"/>
          <w:bCs w:val="0"/>
          <w:color w:val="auto"/>
          <w:kern w:val="44"/>
          <w:szCs w:val="21"/>
          <w:highlight w:val="none"/>
          <w:lang w:val="en-US" w:eastAsia="zh-CN"/>
        </w:rPr>
        <w:t>投标人</w:t>
      </w:r>
      <w:r>
        <w:rPr>
          <w:rFonts w:hint="default"/>
          <w:color w:val="auto"/>
          <w:szCs w:val="21"/>
          <w:highlight w:val="none"/>
        </w:rPr>
        <w:t>应提供客服电话供给会员作商品咨询，售后服务。</w:t>
      </w:r>
    </w:p>
    <w:p w14:paraId="64DA448A">
      <w:pPr>
        <w:pStyle w:val="4"/>
        <w:spacing w:line="360" w:lineRule="auto"/>
        <w:ind w:right="210" w:firstLine="0" w:firstLineChars="0"/>
        <w:rPr>
          <w:rFonts w:hint="eastAsia"/>
          <w:color w:val="auto"/>
          <w:szCs w:val="21"/>
          <w:highlight w:val="none"/>
        </w:rPr>
      </w:pPr>
      <w:bookmarkStart w:id="337" w:name="_Toc19122"/>
      <w:r>
        <w:rPr>
          <w:rFonts w:hint="eastAsia"/>
          <w:color w:val="auto"/>
          <w:szCs w:val="21"/>
          <w:highlight w:val="none"/>
        </w:rPr>
        <w:t>3、献血平台媒体宣传</w:t>
      </w:r>
      <w:r>
        <w:rPr>
          <w:rFonts w:hint="eastAsia"/>
          <w:color w:val="auto"/>
          <w:szCs w:val="21"/>
          <w:highlight w:val="none"/>
          <w:lang w:val="en-US" w:eastAsia="zh-CN"/>
        </w:rPr>
        <w:t>及</w:t>
      </w:r>
      <w:r>
        <w:rPr>
          <w:rFonts w:hint="eastAsia"/>
          <w:color w:val="auto"/>
          <w:szCs w:val="21"/>
          <w:highlight w:val="none"/>
        </w:rPr>
        <w:t>推广服务要求</w:t>
      </w:r>
      <w:bookmarkEnd w:id="337"/>
    </w:p>
    <w:p w14:paraId="03E4B01C">
      <w:pPr>
        <w:adjustRightInd w:val="0"/>
        <w:snapToGrid w:val="0"/>
        <w:spacing w:line="360" w:lineRule="auto"/>
        <w:ind w:firstLine="420" w:firstLineChars="200"/>
        <w:jc w:val="left"/>
        <w:rPr>
          <w:rFonts w:hint="default"/>
          <w:color w:val="auto"/>
          <w:szCs w:val="21"/>
          <w:highlight w:val="none"/>
        </w:rPr>
      </w:pPr>
      <w:r>
        <w:rPr>
          <w:rFonts w:hint="eastAsia" w:cs="Times New Roman"/>
          <w:b w:val="0"/>
          <w:bCs w:val="0"/>
          <w:color w:val="auto"/>
          <w:kern w:val="44"/>
          <w:szCs w:val="21"/>
          <w:highlight w:val="none"/>
          <w:lang w:val="en-US" w:eastAsia="zh-CN"/>
        </w:rPr>
        <w:t>投标人</w:t>
      </w:r>
      <w:r>
        <w:rPr>
          <w:rFonts w:hint="default"/>
          <w:color w:val="auto"/>
          <w:szCs w:val="21"/>
          <w:highlight w:val="none"/>
        </w:rPr>
        <w:t>需完成</w:t>
      </w:r>
      <w:r>
        <w:rPr>
          <w:rFonts w:hint="eastAsia"/>
          <w:color w:val="auto"/>
          <w:szCs w:val="21"/>
          <w:highlight w:val="none"/>
          <w:lang w:eastAsia="zh-CN"/>
        </w:rPr>
        <w:t>采购人</w:t>
      </w:r>
      <w:r>
        <w:rPr>
          <w:rFonts w:hint="default"/>
          <w:color w:val="auto"/>
          <w:szCs w:val="21"/>
          <w:highlight w:val="none"/>
        </w:rPr>
        <w:t>全年宣传推广任务，包括但不限于献血爱心平台全媒体宣推、献血平台logo设计、献血平台活动宣传海报设计及</w:t>
      </w:r>
      <w:r>
        <w:rPr>
          <w:rFonts w:hint="eastAsia"/>
          <w:color w:val="auto"/>
          <w:szCs w:val="21"/>
          <w:highlight w:val="none"/>
          <w:lang w:eastAsia="zh-CN"/>
        </w:rPr>
        <w:t>采购人</w:t>
      </w:r>
      <w:r>
        <w:rPr>
          <w:rFonts w:hint="default"/>
          <w:color w:val="auto"/>
          <w:szCs w:val="21"/>
          <w:highlight w:val="none"/>
        </w:rPr>
        <w:t>献血工作</w:t>
      </w:r>
      <w:r>
        <w:rPr>
          <w:rFonts w:hint="eastAsia"/>
          <w:color w:val="auto"/>
          <w:szCs w:val="21"/>
          <w:highlight w:val="none"/>
          <w:lang w:val="en-US" w:eastAsia="zh-CN"/>
        </w:rPr>
        <w:t>的</w:t>
      </w:r>
      <w:r>
        <w:rPr>
          <w:rFonts w:hint="default"/>
          <w:color w:val="auto"/>
          <w:szCs w:val="21"/>
          <w:highlight w:val="none"/>
        </w:rPr>
        <w:t>宣传图文、宣传视频等，需提供相应方案。</w:t>
      </w:r>
    </w:p>
    <w:p w14:paraId="2DE7650B">
      <w:pPr>
        <w:adjustRightInd w:val="0"/>
        <w:snapToGrid w:val="0"/>
        <w:spacing w:line="360" w:lineRule="auto"/>
        <w:ind w:firstLine="420" w:firstLineChars="200"/>
        <w:jc w:val="left"/>
        <w:rPr>
          <w:rFonts w:hint="default"/>
          <w:color w:val="auto"/>
          <w:szCs w:val="21"/>
          <w:highlight w:val="none"/>
        </w:rPr>
      </w:pPr>
      <w:r>
        <w:rPr>
          <w:rFonts w:hint="default"/>
          <w:color w:val="auto"/>
          <w:szCs w:val="21"/>
          <w:highlight w:val="none"/>
        </w:rPr>
        <w:t>（1）</w:t>
      </w:r>
      <w:r>
        <w:rPr>
          <w:rFonts w:hint="eastAsia" w:cs="Times New Roman"/>
          <w:b w:val="0"/>
          <w:bCs w:val="0"/>
          <w:color w:val="auto"/>
          <w:kern w:val="44"/>
          <w:szCs w:val="21"/>
          <w:highlight w:val="none"/>
          <w:lang w:val="en-US" w:eastAsia="zh-CN"/>
        </w:rPr>
        <w:t>投标人</w:t>
      </w:r>
      <w:r>
        <w:rPr>
          <w:rFonts w:hint="default"/>
          <w:color w:val="auto"/>
          <w:szCs w:val="21"/>
          <w:highlight w:val="none"/>
        </w:rPr>
        <w:t>需具备宣传推广能力，可通过全媒体平台、线上线下活动等多种载体完成平台宣传推广要求。</w:t>
      </w:r>
    </w:p>
    <w:p w14:paraId="79CFB15B">
      <w:pPr>
        <w:adjustRightInd w:val="0"/>
        <w:snapToGrid w:val="0"/>
        <w:spacing w:line="360" w:lineRule="auto"/>
        <w:ind w:firstLine="420" w:firstLineChars="200"/>
        <w:jc w:val="left"/>
        <w:rPr>
          <w:rFonts w:hint="default"/>
          <w:color w:val="auto"/>
          <w:szCs w:val="21"/>
          <w:highlight w:val="none"/>
        </w:rPr>
      </w:pPr>
      <w:r>
        <w:rPr>
          <w:rFonts w:hint="default"/>
          <w:color w:val="auto"/>
          <w:szCs w:val="21"/>
          <w:highlight w:val="none"/>
        </w:rPr>
        <w:t>▲（2）全年针对</w:t>
      </w:r>
      <w:r>
        <w:rPr>
          <w:rFonts w:hint="eastAsia"/>
          <w:color w:val="auto"/>
          <w:szCs w:val="21"/>
          <w:highlight w:val="none"/>
          <w:lang w:val="en-US" w:eastAsia="zh-CN"/>
        </w:rPr>
        <w:t>采购人</w:t>
      </w:r>
      <w:r>
        <w:rPr>
          <w:rFonts w:hint="default"/>
          <w:color w:val="auto"/>
          <w:szCs w:val="21"/>
          <w:highlight w:val="none"/>
        </w:rPr>
        <w:t>献血等业务开展，嫁接至少3场市级以上大型活动，突出血液中心献血业务，全面宣传献血平台。</w:t>
      </w:r>
    </w:p>
    <w:p w14:paraId="3BCC9829">
      <w:pPr>
        <w:adjustRightInd w:val="0"/>
        <w:snapToGrid w:val="0"/>
        <w:spacing w:line="360" w:lineRule="auto"/>
        <w:ind w:firstLine="420" w:firstLineChars="200"/>
        <w:jc w:val="left"/>
        <w:rPr>
          <w:rFonts w:hint="default"/>
          <w:color w:val="auto"/>
          <w:szCs w:val="21"/>
          <w:highlight w:val="none"/>
        </w:rPr>
      </w:pPr>
      <w:r>
        <w:rPr>
          <w:rFonts w:hint="default"/>
          <w:color w:val="auto"/>
          <w:szCs w:val="21"/>
          <w:highlight w:val="none"/>
        </w:rPr>
        <w:t>（3）围绕平台上线运营、线上纪念品发放等，策划有亮点的短视频、海报等便于全媒体平台传播的产品不少于20个。</w:t>
      </w:r>
    </w:p>
    <w:p w14:paraId="48920126">
      <w:pPr>
        <w:adjustRightInd w:val="0"/>
        <w:snapToGrid w:val="0"/>
        <w:spacing w:line="360" w:lineRule="auto"/>
        <w:ind w:firstLine="420" w:firstLineChars="200"/>
        <w:jc w:val="left"/>
        <w:rPr>
          <w:rFonts w:hint="default"/>
          <w:color w:val="auto"/>
          <w:szCs w:val="21"/>
          <w:highlight w:val="none"/>
        </w:rPr>
      </w:pPr>
      <w:r>
        <w:rPr>
          <w:rFonts w:hint="default"/>
          <w:color w:val="auto"/>
          <w:szCs w:val="21"/>
          <w:highlight w:val="none"/>
        </w:rPr>
        <w:t>▲（4）全年围绕</w:t>
      </w:r>
      <w:r>
        <w:rPr>
          <w:rFonts w:hint="eastAsia"/>
          <w:color w:val="auto"/>
          <w:szCs w:val="21"/>
          <w:highlight w:val="none"/>
          <w:lang w:val="en-US" w:eastAsia="zh-CN"/>
        </w:rPr>
        <w:t>采购人</w:t>
      </w:r>
      <w:r>
        <w:rPr>
          <w:rFonts w:hint="default"/>
          <w:color w:val="auto"/>
          <w:szCs w:val="21"/>
          <w:highlight w:val="none"/>
        </w:rPr>
        <w:t>献血等业务，撰写宣传稿件，并在市级及以上媒体平台宣传推介不少于</w:t>
      </w:r>
      <w:r>
        <w:rPr>
          <w:rFonts w:hint="eastAsia"/>
          <w:color w:val="auto"/>
          <w:szCs w:val="21"/>
          <w:highlight w:val="none"/>
          <w:lang w:val="en-US" w:eastAsia="zh-CN"/>
        </w:rPr>
        <w:t>40</w:t>
      </w:r>
      <w:r>
        <w:rPr>
          <w:rFonts w:hint="default"/>
          <w:color w:val="auto"/>
          <w:szCs w:val="21"/>
          <w:highlight w:val="none"/>
        </w:rPr>
        <w:t>篇。</w:t>
      </w:r>
    </w:p>
    <w:p w14:paraId="6F8F7D4F">
      <w:pPr>
        <w:adjustRightInd w:val="0"/>
        <w:snapToGrid w:val="0"/>
        <w:spacing w:line="360" w:lineRule="auto"/>
        <w:ind w:firstLine="420" w:firstLineChars="200"/>
        <w:jc w:val="left"/>
        <w:rPr>
          <w:rFonts w:hint="default"/>
          <w:color w:val="auto"/>
          <w:szCs w:val="21"/>
          <w:highlight w:val="none"/>
        </w:rPr>
      </w:pPr>
      <w:r>
        <w:rPr>
          <w:rFonts w:hint="default"/>
          <w:color w:val="auto"/>
          <w:szCs w:val="21"/>
          <w:highlight w:val="none"/>
        </w:rPr>
        <w:t>（5）</w:t>
      </w:r>
      <w:r>
        <w:rPr>
          <w:rFonts w:hint="eastAsia" w:cs="Times New Roman"/>
          <w:b w:val="0"/>
          <w:bCs w:val="0"/>
          <w:color w:val="auto"/>
          <w:kern w:val="44"/>
          <w:szCs w:val="21"/>
          <w:highlight w:val="none"/>
          <w:lang w:val="en-US" w:eastAsia="zh-CN"/>
        </w:rPr>
        <w:t>投标人</w:t>
      </w:r>
      <w:r>
        <w:rPr>
          <w:rFonts w:hint="default"/>
          <w:color w:val="auto"/>
          <w:szCs w:val="21"/>
          <w:highlight w:val="none"/>
        </w:rPr>
        <w:t>需策划、执行献血爱心分平台上线启动仪式。</w:t>
      </w:r>
    </w:p>
    <w:p w14:paraId="059365A7">
      <w:pPr>
        <w:pStyle w:val="4"/>
        <w:spacing w:line="360" w:lineRule="auto"/>
        <w:ind w:left="0" w:leftChars="0" w:right="210"/>
        <w:rPr>
          <w:rFonts w:hint="eastAsia"/>
          <w:color w:val="auto"/>
          <w:szCs w:val="21"/>
          <w:highlight w:val="none"/>
        </w:rPr>
      </w:pPr>
      <w:bookmarkStart w:id="338" w:name="_Toc16322"/>
      <w:r>
        <w:rPr>
          <w:rFonts w:hint="eastAsia"/>
          <w:color w:val="auto"/>
          <w:szCs w:val="21"/>
          <w:highlight w:val="none"/>
        </w:rPr>
        <w:t>三、服务要求：</w:t>
      </w:r>
      <w:bookmarkEnd w:id="338"/>
    </w:p>
    <w:tbl>
      <w:tblPr>
        <w:tblStyle w:val="3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19"/>
        <w:gridCol w:w="7027"/>
      </w:tblGrid>
      <w:tr w14:paraId="67DF16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919" w:type="dxa"/>
            <w:tcBorders>
              <w:top w:val="single" w:color="auto" w:sz="4" w:space="0"/>
              <w:left w:val="single" w:color="auto" w:sz="4" w:space="0"/>
              <w:bottom w:val="single" w:color="auto" w:sz="4" w:space="0"/>
              <w:right w:val="single" w:color="auto" w:sz="4" w:space="0"/>
            </w:tcBorders>
            <w:noWrap w:val="0"/>
            <w:vAlign w:val="center"/>
          </w:tcPr>
          <w:p w14:paraId="0DB43415">
            <w:pPr>
              <w:spacing w:line="360" w:lineRule="auto"/>
              <w:ind w:firstLine="0" w:firstLineChars="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服务期</w:t>
            </w:r>
          </w:p>
        </w:tc>
        <w:tc>
          <w:tcPr>
            <w:tcW w:w="7027" w:type="dxa"/>
            <w:tcBorders>
              <w:top w:val="single" w:color="auto" w:sz="4" w:space="0"/>
              <w:left w:val="single" w:color="auto" w:sz="4" w:space="0"/>
              <w:bottom w:val="single" w:color="auto" w:sz="4" w:space="0"/>
              <w:right w:val="single" w:color="auto" w:sz="4" w:space="0"/>
            </w:tcBorders>
            <w:noWrap w:val="0"/>
            <w:vAlign w:val="center"/>
          </w:tcPr>
          <w:p w14:paraId="23CA3699">
            <w:pPr>
              <w:spacing w:line="360" w:lineRule="auto"/>
              <w:ind w:firstLine="0" w:firstLineChars="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eastAsia="zh-CN"/>
              </w:rPr>
              <w:t>合同期内预算全部使用完毕则合同终止。</w:t>
            </w:r>
          </w:p>
        </w:tc>
      </w:tr>
      <w:tr w14:paraId="3AEBF8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919" w:type="dxa"/>
            <w:tcBorders>
              <w:top w:val="single" w:color="auto" w:sz="4" w:space="0"/>
              <w:left w:val="single" w:color="auto" w:sz="4" w:space="0"/>
              <w:bottom w:val="single" w:color="auto" w:sz="4" w:space="0"/>
              <w:right w:val="single" w:color="auto" w:sz="4" w:space="0"/>
            </w:tcBorders>
            <w:noWrap w:val="0"/>
            <w:vAlign w:val="center"/>
          </w:tcPr>
          <w:p w14:paraId="2E1DEDB6">
            <w:pPr>
              <w:spacing w:line="360" w:lineRule="auto"/>
              <w:ind w:firstLine="0" w:firstLineChars="0"/>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运维</w:t>
            </w:r>
            <w:r>
              <w:rPr>
                <w:rFonts w:hint="default" w:ascii="Times New Roman" w:hAnsi="Times New Roman" w:eastAsia="宋体" w:cs="Times New Roman"/>
                <w:color w:val="auto"/>
                <w:szCs w:val="21"/>
                <w:highlight w:val="none"/>
              </w:rPr>
              <w:t>服务要求</w:t>
            </w:r>
          </w:p>
        </w:tc>
        <w:tc>
          <w:tcPr>
            <w:tcW w:w="7027" w:type="dxa"/>
            <w:tcBorders>
              <w:top w:val="single" w:color="auto" w:sz="4" w:space="0"/>
              <w:left w:val="single" w:color="auto" w:sz="4" w:space="0"/>
              <w:bottom w:val="single" w:color="auto" w:sz="4" w:space="0"/>
              <w:right w:val="single" w:color="auto" w:sz="4" w:space="0"/>
            </w:tcBorders>
            <w:noWrap w:val="0"/>
            <w:vAlign w:val="center"/>
          </w:tcPr>
          <w:p w14:paraId="43D03496">
            <w:pPr>
              <w:spacing w:line="360" w:lineRule="auto"/>
              <w:ind w:firstLine="0" w:firstLineChars="0"/>
              <w:jc w:val="left"/>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en-US" w:eastAsia="zh-CN"/>
              </w:rPr>
              <w:t>服务</w:t>
            </w:r>
            <w:r>
              <w:rPr>
                <w:rFonts w:hint="default" w:ascii="Times New Roman" w:hAnsi="Times New Roman" w:eastAsia="宋体" w:cs="Times New Roman"/>
                <w:color w:val="auto"/>
                <w:szCs w:val="21"/>
                <w:highlight w:val="none"/>
              </w:rPr>
              <w:t>期内免费</w:t>
            </w:r>
            <w:r>
              <w:rPr>
                <w:rFonts w:hint="default" w:ascii="Times New Roman" w:hAnsi="Times New Roman" w:eastAsia="宋体" w:cs="Times New Roman"/>
                <w:color w:val="auto"/>
                <w:szCs w:val="21"/>
                <w:highlight w:val="none"/>
                <w:lang w:val="en-US" w:eastAsia="zh-CN"/>
              </w:rPr>
              <w:t>运维</w:t>
            </w:r>
            <w:r>
              <w:rPr>
                <w:rFonts w:hint="default" w:ascii="Times New Roman" w:hAnsi="Times New Roman" w:eastAsia="宋体" w:cs="Times New Roman"/>
                <w:color w:val="auto"/>
                <w:szCs w:val="21"/>
                <w:highlight w:val="none"/>
              </w:rPr>
              <w:t>服务；响应时间为接到</w:t>
            </w:r>
            <w:r>
              <w:rPr>
                <w:rFonts w:hint="eastAsia" w:cs="Times New Roman"/>
                <w:color w:val="auto"/>
                <w:szCs w:val="21"/>
                <w:highlight w:val="none"/>
                <w:lang w:val="en-US" w:eastAsia="zh-CN"/>
              </w:rPr>
              <w:t>采购人</w:t>
            </w:r>
            <w:r>
              <w:rPr>
                <w:rFonts w:hint="default" w:ascii="Times New Roman" w:hAnsi="Times New Roman" w:eastAsia="宋体" w:cs="Times New Roman"/>
                <w:color w:val="auto"/>
                <w:szCs w:val="21"/>
                <w:highlight w:val="none"/>
              </w:rPr>
              <w:t>通知后</w:t>
            </w:r>
            <w:r>
              <w:rPr>
                <w:rFonts w:hint="default" w:ascii="Times New Roman" w:hAnsi="Times New Roman" w:eastAsia="宋体" w:cs="Times New Roman"/>
                <w:color w:val="auto"/>
                <w:szCs w:val="21"/>
                <w:highlight w:val="none"/>
                <w:lang w:val="en-US" w:eastAsia="zh-CN"/>
              </w:rPr>
              <w:t>1小时内响应</w:t>
            </w:r>
            <w:r>
              <w:rPr>
                <w:rFonts w:hint="default" w:ascii="Times New Roman" w:hAnsi="Times New Roman" w:eastAsia="宋体" w:cs="Times New Roman"/>
                <w:color w:val="auto"/>
                <w:szCs w:val="21"/>
                <w:highlight w:val="none"/>
              </w:rPr>
              <w:t>，工作日的</w:t>
            </w: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rPr>
              <w:t>小时内处理完成</w:t>
            </w:r>
            <w:r>
              <w:rPr>
                <w:rFonts w:hint="default" w:ascii="Times New Roman" w:hAnsi="Times New Roman" w:eastAsia="宋体" w:cs="Times New Roman"/>
                <w:color w:val="auto"/>
                <w:szCs w:val="21"/>
                <w:highlight w:val="none"/>
                <w:lang w:val="en-US" w:eastAsia="zh-CN"/>
              </w:rPr>
              <w:t>运维</w:t>
            </w:r>
            <w:r>
              <w:rPr>
                <w:rFonts w:hint="default" w:ascii="Times New Roman" w:hAnsi="Times New Roman" w:eastAsia="宋体" w:cs="Times New Roman"/>
                <w:color w:val="auto"/>
                <w:szCs w:val="21"/>
                <w:highlight w:val="none"/>
              </w:rPr>
              <w:t>服务。</w:t>
            </w:r>
          </w:p>
        </w:tc>
      </w:tr>
      <w:tr w14:paraId="101544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919" w:type="dxa"/>
            <w:tcBorders>
              <w:top w:val="single" w:color="auto" w:sz="4" w:space="0"/>
              <w:left w:val="single" w:color="auto" w:sz="4" w:space="0"/>
              <w:bottom w:val="single" w:color="auto" w:sz="4" w:space="0"/>
              <w:right w:val="single" w:color="auto" w:sz="4" w:space="0"/>
            </w:tcBorders>
            <w:noWrap w:val="0"/>
            <w:vAlign w:val="center"/>
          </w:tcPr>
          <w:p w14:paraId="29CE4804">
            <w:pPr>
              <w:spacing w:line="360" w:lineRule="auto"/>
              <w:ind w:firstLine="0" w:firstLineChars="0"/>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交货时间及地点</w:t>
            </w:r>
          </w:p>
        </w:tc>
        <w:tc>
          <w:tcPr>
            <w:tcW w:w="7027" w:type="dxa"/>
            <w:tcBorders>
              <w:top w:val="single" w:color="auto" w:sz="4" w:space="0"/>
              <w:left w:val="single" w:color="auto" w:sz="4" w:space="0"/>
              <w:bottom w:val="single" w:color="auto" w:sz="4" w:space="0"/>
              <w:right w:val="single" w:color="auto" w:sz="4" w:space="0"/>
            </w:tcBorders>
            <w:noWrap w:val="0"/>
            <w:vAlign w:val="center"/>
          </w:tcPr>
          <w:p w14:paraId="78842C43">
            <w:pPr>
              <w:spacing w:line="360" w:lineRule="auto"/>
              <w:ind w:firstLine="0" w:firstLineChars="0"/>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时间：</w:t>
            </w:r>
            <w:r>
              <w:rPr>
                <w:rFonts w:hint="default" w:ascii="Times New Roman" w:hAnsi="Times New Roman" w:eastAsia="宋体" w:cs="Times New Roman"/>
                <w:color w:val="auto"/>
                <w:szCs w:val="21"/>
                <w:highlight w:val="none"/>
              </w:rPr>
              <w:t>签订合同之日起30</w:t>
            </w:r>
            <w:r>
              <w:rPr>
                <w:rFonts w:hint="default" w:ascii="Times New Roman" w:hAnsi="Times New Roman" w:eastAsia="宋体" w:cs="Times New Roman"/>
                <w:color w:val="auto"/>
                <w:szCs w:val="21"/>
                <w:highlight w:val="none"/>
                <w:lang w:val="en-US" w:eastAsia="zh-CN"/>
              </w:rPr>
              <w:t>日历天</w:t>
            </w:r>
            <w:r>
              <w:rPr>
                <w:rFonts w:hint="default" w:ascii="Times New Roman" w:hAnsi="Times New Roman" w:eastAsia="宋体" w:cs="Times New Roman"/>
                <w:color w:val="auto"/>
                <w:szCs w:val="21"/>
                <w:highlight w:val="none"/>
              </w:rPr>
              <w:t>内，完成兑换平台搭建，并将所有货物按照采购人要求的展示方式上传服务器，实现献血者可以移动端同步查询到所有纪念品以及兑换后的相关订单以及物流信息，平台建设完成后需通过</w:t>
            </w:r>
            <w:r>
              <w:rPr>
                <w:rFonts w:hint="eastAsia" w:cs="Times New Roman"/>
                <w:color w:val="auto"/>
                <w:szCs w:val="21"/>
                <w:highlight w:val="none"/>
                <w:lang w:val="en-US" w:eastAsia="zh-CN"/>
              </w:rPr>
              <w:t>采购人</w:t>
            </w:r>
            <w:r>
              <w:rPr>
                <w:rFonts w:hint="default" w:ascii="Times New Roman" w:hAnsi="Times New Roman" w:eastAsia="宋体" w:cs="Times New Roman"/>
                <w:color w:val="auto"/>
                <w:szCs w:val="21"/>
                <w:highlight w:val="none"/>
              </w:rPr>
              <w:t>验收。</w:t>
            </w:r>
          </w:p>
          <w:p w14:paraId="7CB4FA61">
            <w:pPr>
              <w:spacing w:line="360" w:lineRule="auto"/>
              <w:ind w:firstLine="0" w:firstLineChars="0"/>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地点：</w:t>
            </w:r>
            <w:r>
              <w:rPr>
                <w:rFonts w:hint="eastAsia" w:cs="Times New Roman"/>
                <w:color w:val="auto"/>
                <w:szCs w:val="21"/>
                <w:highlight w:val="none"/>
                <w:lang w:val="en-US" w:eastAsia="zh-CN"/>
              </w:rPr>
              <w:t>采购人</w:t>
            </w:r>
            <w:r>
              <w:rPr>
                <w:rFonts w:hint="default" w:ascii="Times New Roman" w:hAnsi="Times New Roman" w:eastAsia="宋体" w:cs="Times New Roman"/>
                <w:color w:val="auto"/>
                <w:szCs w:val="21"/>
                <w:highlight w:val="none"/>
                <w:lang w:val="en-US" w:eastAsia="zh-CN"/>
              </w:rPr>
              <w:t>指定地点或献血者在线上指定的收货地点。</w:t>
            </w:r>
          </w:p>
        </w:tc>
      </w:tr>
    </w:tbl>
    <w:p w14:paraId="4942095F">
      <w:pPr>
        <w:pStyle w:val="4"/>
        <w:spacing w:before="0" w:after="0" w:line="360" w:lineRule="auto"/>
        <w:ind w:left="0" w:leftChars="0" w:right="210"/>
        <w:rPr>
          <w:rFonts w:hint="default" w:ascii="Times New Roman" w:hAnsi="Times New Roman" w:cs="Times New Roman"/>
          <w:color w:val="auto"/>
          <w:szCs w:val="21"/>
          <w:highlight w:val="none"/>
        </w:rPr>
      </w:pPr>
      <w:bookmarkStart w:id="339" w:name="_Toc25210"/>
      <w:r>
        <w:rPr>
          <w:rFonts w:hint="default" w:ascii="Times New Roman" w:hAnsi="Times New Roman" w:cs="Times New Roman"/>
          <w:color w:val="auto"/>
          <w:szCs w:val="21"/>
          <w:highlight w:val="none"/>
          <w:lang w:val="en-US" w:eastAsia="zh-CN"/>
        </w:rPr>
        <w:t>四</w:t>
      </w:r>
      <w:r>
        <w:rPr>
          <w:rFonts w:hint="default" w:ascii="Times New Roman" w:hAnsi="Times New Roman" w:cs="Times New Roman"/>
          <w:color w:val="auto"/>
          <w:szCs w:val="21"/>
          <w:highlight w:val="none"/>
        </w:rPr>
        <w:t>、付款方式：</w:t>
      </w:r>
      <w:bookmarkEnd w:id="339"/>
    </w:p>
    <w:p w14:paraId="7CC3BE91">
      <w:pPr>
        <w:adjustRightInd w:val="0"/>
        <w:snapToGrid w:val="0"/>
        <w:spacing w:line="360" w:lineRule="auto"/>
        <w:ind w:firstLine="420" w:firstLineChars="200"/>
        <w:jc w:val="left"/>
        <w:rPr>
          <w:rFonts w:hint="default" w:ascii="Times New Roman" w:hAnsi="Times New Roman" w:cs="Times New Roman"/>
          <w:color w:val="auto"/>
          <w:szCs w:val="21"/>
          <w:highlight w:val="none"/>
        </w:rPr>
      </w:pPr>
      <w:bookmarkStart w:id="340" w:name="_Hlk198051516"/>
      <w:r>
        <w:rPr>
          <w:rFonts w:hint="default" w:ascii="Times New Roman" w:hAnsi="Times New Roman" w:cs="Times New Roman"/>
          <w:color w:val="auto"/>
          <w:kern w:val="0"/>
          <w:szCs w:val="21"/>
          <w:highlight w:val="none"/>
        </w:rPr>
        <w:t>（1</w:t>
      </w: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投标人</w:t>
      </w:r>
      <w:r>
        <w:rPr>
          <w:rFonts w:hint="default" w:ascii="Times New Roman" w:hAnsi="Times New Roman" w:cs="Times New Roman"/>
          <w:color w:val="auto"/>
          <w:szCs w:val="21"/>
          <w:highlight w:val="none"/>
        </w:rPr>
        <w:t>向</w:t>
      </w:r>
      <w:r>
        <w:rPr>
          <w:rFonts w:hint="eastAsia" w:cs="Times New Roman"/>
          <w:color w:val="auto"/>
          <w:szCs w:val="21"/>
          <w:highlight w:val="none"/>
          <w:lang w:val="en-US" w:eastAsia="zh-CN"/>
        </w:rPr>
        <w:t>采购人</w:t>
      </w:r>
      <w:r>
        <w:rPr>
          <w:rFonts w:hint="default" w:ascii="Times New Roman" w:hAnsi="Times New Roman" w:cs="Times New Roman"/>
          <w:color w:val="auto"/>
          <w:szCs w:val="21"/>
          <w:highlight w:val="none"/>
        </w:rPr>
        <w:t>开具合法票据，发票上的服务名称须与投标文件及合同所列示的内容完全一致，发票不得由第三方代开，</w:t>
      </w:r>
      <w:r>
        <w:rPr>
          <w:rFonts w:hint="eastAsia" w:cs="Times New Roman"/>
          <w:color w:val="auto"/>
          <w:szCs w:val="21"/>
          <w:highlight w:val="none"/>
          <w:lang w:val="en-US" w:eastAsia="zh-CN"/>
        </w:rPr>
        <w:t>投标人</w:t>
      </w:r>
      <w:r>
        <w:rPr>
          <w:rFonts w:hint="default" w:ascii="Times New Roman" w:hAnsi="Times New Roman" w:cs="Times New Roman"/>
          <w:color w:val="auto"/>
          <w:szCs w:val="21"/>
          <w:highlight w:val="none"/>
        </w:rPr>
        <w:t>未提供符合上述要求票据的，</w:t>
      </w:r>
      <w:r>
        <w:rPr>
          <w:rFonts w:hint="eastAsia" w:cs="Times New Roman"/>
          <w:color w:val="auto"/>
          <w:szCs w:val="21"/>
          <w:highlight w:val="none"/>
          <w:lang w:eastAsia="zh-CN"/>
        </w:rPr>
        <w:t>采购人</w:t>
      </w:r>
      <w:r>
        <w:rPr>
          <w:rFonts w:hint="default" w:ascii="Times New Roman" w:hAnsi="Times New Roman" w:cs="Times New Roman"/>
          <w:color w:val="auto"/>
          <w:szCs w:val="21"/>
          <w:highlight w:val="none"/>
        </w:rPr>
        <w:t>有权拒绝支付合同款项，由此引起的一切责任由乙方负责。</w:t>
      </w:r>
    </w:p>
    <w:p w14:paraId="1302D999">
      <w:pPr>
        <w:adjustRightInd w:val="0"/>
        <w:snapToGrid w:val="0"/>
        <w:spacing w:line="360" w:lineRule="auto"/>
        <w:ind w:firstLine="420" w:firstLineChars="200"/>
        <w:jc w:val="left"/>
        <w:rPr>
          <w:rFonts w:hint="default" w:ascii="Times New Roman" w:hAnsi="Times New Roman" w:cs="Times New Roman"/>
          <w:color w:val="auto"/>
          <w:szCs w:val="21"/>
          <w:highlight w:val="none"/>
          <w:u w:val="none"/>
        </w:rPr>
      </w:pPr>
      <w:r>
        <w:rPr>
          <w:rFonts w:hint="default" w:ascii="Times New Roman" w:hAnsi="Times New Roman" w:cs="Times New Roman"/>
          <w:color w:val="auto"/>
          <w:kern w:val="0"/>
          <w:szCs w:val="21"/>
          <w:highlight w:val="none"/>
        </w:rPr>
        <w:t>（2</w:t>
      </w:r>
      <w:r>
        <w:rPr>
          <w:rFonts w:hint="default" w:ascii="Times New Roman" w:hAnsi="Times New Roman" w:cs="Times New Roman"/>
          <w:color w:val="auto"/>
          <w:szCs w:val="21"/>
          <w:highlight w:val="none"/>
        </w:rPr>
        <w:t>）付款条件：</w:t>
      </w:r>
      <w:r>
        <w:rPr>
          <w:rFonts w:hint="eastAsia" w:ascii="Times New Roman" w:hAnsi="Times New Roman" w:cs="Times New Roman"/>
          <w:color w:val="auto"/>
          <w:szCs w:val="21"/>
          <w:highlight w:val="none"/>
          <w:u w:val="none"/>
          <w:lang w:val="en-US" w:eastAsia="zh-CN"/>
        </w:rPr>
        <w:t>宣传活动达到要求</w:t>
      </w:r>
      <w:r>
        <w:rPr>
          <w:rFonts w:hint="default" w:ascii="Times New Roman" w:hAnsi="Times New Roman" w:cs="Times New Roman"/>
          <w:color w:val="auto"/>
          <w:szCs w:val="21"/>
          <w:highlight w:val="none"/>
          <w:u w:val="none"/>
        </w:rPr>
        <w:t>，献血者兑换完毕</w:t>
      </w:r>
      <w:r>
        <w:rPr>
          <w:rFonts w:hint="default" w:ascii="Times New Roman" w:hAnsi="Times New Roman" w:cs="Times New Roman"/>
          <w:color w:val="auto"/>
          <w:szCs w:val="21"/>
          <w:highlight w:val="none"/>
          <w:u w:val="none"/>
          <w:lang w:val="en-US" w:eastAsia="zh-CN"/>
        </w:rPr>
        <w:t>30</w:t>
      </w:r>
      <w:r>
        <w:rPr>
          <w:rFonts w:hint="default" w:ascii="Times New Roman" w:hAnsi="Times New Roman" w:cs="Times New Roman"/>
          <w:color w:val="auto"/>
          <w:szCs w:val="21"/>
          <w:highlight w:val="none"/>
          <w:u w:val="none"/>
        </w:rPr>
        <w:t>日后</w:t>
      </w:r>
      <w:r>
        <w:rPr>
          <w:rFonts w:hint="eastAsia" w:ascii="Times New Roman" w:hAnsi="Times New Roman" w:cs="Times New Roman"/>
          <w:color w:val="auto"/>
          <w:szCs w:val="21"/>
          <w:highlight w:val="none"/>
          <w:u w:val="none"/>
          <w:lang w:val="en-US" w:eastAsia="zh-CN"/>
        </w:rPr>
        <w:t>。</w:t>
      </w:r>
      <w:r>
        <w:rPr>
          <w:rFonts w:hint="eastAsia" w:cs="Times New Roman"/>
          <w:color w:val="auto"/>
          <w:szCs w:val="21"/>
          <w:highlight w:val="none"/>
          <w:u w:val="none"/>
          <w:lang w:eastAsia="zh-CN"/>
        </w:rPr>
        <w:t>采购人</w:t>
      </w:r>
      <w:r>
        <w:rPr>
          <w:rFonts w:hint="default" w:ascii="Times New Roman" w:hAnsi="Times New Roman" w:cs="Times New Roman"/>
          <w:color w:val="auto"/>
          <w:szCs w:val="21"/>
          <w:highlight w:val="none"/>
          <w:u w:val="none"/>
        </w:rPr>
        <w:t>根据实际发放数量按月结算货款。结算依据以货物清单和献血者用户名，身份信息，物流信息为依据。</w:t>
      </w:r>
    </w:p>
    <w:p w14:paraId="30F3D06A">
      <w:pPr>
        <w:adjustRightInd w:val="0"/>
        <w:snapToGrid w:val="0"/>
        <w:spacing w:line="360" w:lineRule="auto"/>
        <w:ind w:firstLine="420" w:firstLineChars="200"/>
        <w:jc w:val="left"/>
        <w:rPr>
          <w:rFonts w:hint="default" w:ascii="Times New Roman" w:hAnsi="Times New Roman" w:eastAsia="宋体" w:cs="Times New Roman"/>
          <w:color w:val="auto"/>
          <w:szCs w:val="21"/>
          <w:highlight w:val="none"/>
          <w:u w:val="none"/>
          <w:lang w:val="en-US" w:eastAsia="zh-CN"/>
        </w:rPr>
      </w:pPr>
      <w:r>
        <w:rPr>
          <w:rFonts w:hint="eastAsia" w:cs="Times New Roman"/>
          <w:color w:val="auto"/>
          <w:szCs w:val="21"/>
          <w:highlight w:val="none"/>
          <w:u w:val="none"/>
          <w:lang w:val="en-US" w:eastAsia="zh-CN"/>
        </w:rPr>
        <w:t>注：1.结算金额以实际发生数量和价格为准（含税含邮费）。2.关于价格调整：高于市场的，以市场价格为准；低于或等于市场价格的，以报价单价格为准（市场价格以京东、天猫旗舰店为准；双11、6.18、百亿补贴等重大电商节日及限时秒杀活动除外）。</w:t>
      </w:r>
    </w:p>
    <w:bookmarkEnd w:id="340"/>
    <w:p w14:paraId="5A998467">
      <w:pPr>
        <w:pStyle w:val="4"/>
        <w:spacing w:before="0" w:after="0" w:line="360" w:lineRule="auto"/>
        <w:ind w:left="0" w:leftChars="0" w:right="210"/>
        <w:rPr>
          <w:rFonts w:hint="default" w:ascii="Times New Roman" w:hAnsi="Times New Roman" w:cs="Times New Roman"/>
          <w:color w:val="auto"/>
          <w:szCs w:val="21"/>
          <w:highlight w:val="none"/>
        </w:rPr>
      </w:pPr>
      <w:bookmarkStart w:id="341" w:name="_Hlk129954448"/>
      <w:bookmarkStart w:id="342" w:name="_Toc21965"/>
      <w:r>
        <w:rPr>
          <w:rFonts w:hint="default" w:ascii="Times New Roman" w:hAnsi="Times New Roman" w:cs="Times New Roman"/>
          <w:color w:val="auto"/>
          <w:szCs w:val="21"/>
          <w:highlight w:val="none"/>
          <w:lang w:val="en-US" w:eastAsia="zh-CN"/>
        </w:rPr>
        <w:t>五</w:t>
      </w:r>
      <w:r>
        <w:rPr>
          <w:rFonts w:hint="default" w:ascii="Times New Roman" w:hAnsi="Times New Roman" w:cs="Times New Roman"/>
          <w:color w:val="auto"/>
          <w:szCs w:val="21"/>
          <w:highlight w:val="none"/>
        </w:rPr>
        <w:t>、</w:t>
      </w:r>
      <w:bookmarkEnd w:id="341"/>
      <w:r>
        <w:rPr>
          <w:rFonts w:hint="default" w:ascii="Times New Roman" w:hAnsi="Times New Roman" w:cs="Times New Roman"/>
          <w:color w:val="auto"/>
          <w:szCs w:val="21"/>
          <w:highlight w:val="none"/>
        </w:rPr>
        <w:t>其它方面：</w:t>
      </w:r>
      <w:bookmarkEnd w:id="342"/>
    </w:p>
    <w:p w14:paraId="40D63650">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2"/>
          <w:highlight w:val="none"/>
        </w:rPr>
        <w:t>1、</w:t>
      </w:r>
      <w:r>
        <w:rPr>
          <w:rFonts w:hint="eastAsia" w:cs="Times New Roman"/>
          <w:color w:val="auto"/>
          <w:szCs w:val="21"/>
          <w:highlight w:val="none"/>
          <w:lang w:val="en-US" w:eastAsia="zh-CN"/>
        </w:rPr>
        <w:t>投标人</w:t>
      </w:r>
      <w:r>
        <w:rPr>
          <w:rFonts w:hint="default" w:ascii="Times New Roman" w:hAnsi="Times New Roman" w:cs="Times New Roman"/>
          <w:color w:val="auto"/>
          <w:szCs w:val="21"/>
          <w:highlight w:val="none"/>
        </w:rPr>
        <w:t>应充分了解本项目需求，提供完整的技术方案和合格的投标产品，应对投标产品提供完整、详细的技术</w:t>
      </w:r>
      <w:r>
        <w:rPr>
          <w:rFonts w:hint="default" w:ascii="Times New Roman" w:hAnsi="Times New Roman" w:eastAsia="宋体" w:cs="Times New Roman"/>
          <w:color w:val="auto"/>
          <w:szCs w:val="21"/>
          <w:highlight w:val="none"/>
        </w:rPr>
        <w:t>说明，对于产品提供完整的技术指标，如</w:t>
      </w:r>
      <w:r>
        <w:rPr>
          <w:rFonts w:hint="eastAsia" w:cs="Times New Roman"/>
          <w:color w:val="auto"/>
          <w:szCs w:val="21"/>
          <w:highlight w:val="none"/>
          <w:lang w:val="en-US" w:eastAsia="zh-CN"/>
        </w:rPr>
        <w:t>投标人</w:t>
      </w:r>
      <w:r>
        <w:rPr>
          <w:rFonts w:hint="default" w:ascii="Times New Roman" w:hAnsi="Times New Roman" w:eastAsia="宋体" w:cs="Times New Roman"/>
          <w:color w:val="auto"/>
          <w:szCs w:val="21"/>
          <w:highlight w:val="none"/>
        </w:rPr>
        <w:t>对指定的技术要求建议做任何改动，应在投标中清楚地注明。</w:t>
      </w:r>
    </w:p>
    <w:p w14:paraId="181E92BE">
      <w:pPr>
        <w:spacing w:line="360" w:lineRule="auto"/>
        <w:ind w:firstLine="420" w:firstLineChars="20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w:t>
      </w:r>
      <w:r>
        <w:rPr>
          <w:rFonts w:hint="eastAsia" w:cs="Times New Roman"/>
          <w:color w:val="auto"/>
          <w:szCs w:val="21"/>
          <w:highlight w:val="none"/>
          <w:lang w:val="en-US" w:eastAsia="zh-CN"/>
        </w:rPr>
        <w:t>投标人</w:t>
      </w:r>
      <w:r>
        <w:rPr>
          <w:rFonts w:hint="eastAsia" w:ascii="Times New Roman" w:hAnsi="Times New Roman" w:eastAsia="宋体" w:cs="Times New Roman"/>
          <w:color w:val="auto"/>
          <w:szCs w:val="21"/>
          <w:highlight w:val="none"/>
          <w:lang w:val="en-US" w:eastAsia="zh-CN"/>
        </w:rPr>
        <w:t>应保证本项目的技术、服务成果或其任何一部分不会产生因第三方提出侵犯其专利权、商标权或其他合法权利而引起的法律和经济纠纷（包括诉讼方式和非诉讼方式）；如因第三方提出其专利权、商标权或其他知识产权的侵权之诉，则由</w:t>
      </w:r>
      <w:r>
        <w:rPr>
          <w:rFonts w:hint="eastAsia" w:cs="Times New Roman"/>
          <w:color w:val="auto"/>
          <w:szCs w:val="21"/>
          <w:highlight w:val="none"/>
          <w:lang w:val="en-US" w:eastAsia="zh-CN"/>
        </w:rPr>
        <w:t>投标人</w:t>
      </w:r>
      <w:r>
        <w:rPr>
          <w:rFonts w:hint="eastAsia" w:ascii="Times New Roman" w:hAnsi="Times New Roman" w:eastAsia="宋体" w:cs="Times New Roman"/>
          <w:color w:val="auto"/>
          <w:szCs w:val="21"/>
          <w:highlight w:val="none"/>
          <w:lang w:val="en-US" w:eastAsia="zh-CN"/>
        </w:rPr>
        <w:t>负责处理，一切法律责任也由</w:t>
      </w:r>
      <w:r>
        <w:rPr>
          <w:rFonts w:hint="eastAsia" w:cs="Times New Roman"/>
          <w:color w:val="auto"/>
          <w:szCs w:val="21"/>
          <w:highlight w:val="none"/>
          <w:lang w:val="en-US" w:eastAsia="zh-CN"/>
        </w:rPr>
        <w:t>投标人</w:t>
      </w:r>
      <w:r>
        <w:rPr>
          <w:rFonts w:hint="eastAsia" w:ascii="Times New Roman" w:hAnsi="Times New Roman" w:eastAsia="宋体" w:cs="Times New Roman"/>
          <w:color w:val="auto"/>
          <w:szCs w:val="21"/>
          <w:highlight w:val="none"/>
          <w:lang w:val="en-US" w:eastAsia="zh-CN"/>
        </w:rPr>
        <w:t>承担。如采购人因此遭受损失的，</w:t>
      </w:r>
      <w:r>
        <w:rPr>
          <w:rFonts w:hint="eastAsia" w:cs="Times New Roman"/>
          <w:color w:val="auto"/>
          <w:szCs w:val="21"/>
          <w:highlight w:val="none"/>
          <w:lang w:val="en-US" w:eastAsia="zh-CN"/>
        </w:rPr>
        <w:t>投标人</w:t>
      </w:r>
      <w:r>
        <w:rPr>
          <w:rFonts w:hint="eastAsia" w:ascii="Times New Roman" w:hAnsi="Times New Roman" w:eastAsia="宋体" w:cs="Times New Roman"/>
          <w:color w:val="auto"/>
          <w:szCs w:val="21"/>
          <w:highlight w:val="none"/>
          <w:lang w:val="en-US" w:eastAsia="zh-CN"/>
        </w:rPr>
        <w:t>需赔偿采购人的全部损失，包括但不限于索赔、罚款、诉讼费、律师费、差旅费、鉴定费、评估费等。</w:t>
      </w:r>
    </w:p>
    <w:p w14:paraId="080F19BD">
      <w:pPr>
        <w:spacing w:line="360" w:lineRule="auto"/>
        <w:ind w:firstLine="420" w:firstLineChars="200"/>
        <w:rPr>
          <w:rFonts w:hint="default" w:ascii="Times New Roman" w:hAnsi="Times New Roman" w:cs="Times New Roman"/>
          <w:color w:val="auto"/>
          <w:szCs w:val="21"/>
          <w:highlight w:val="none"/>
        </w:rPr>
      </w:pPr>
      <w:r>
        <w:rPr>
          <w:rFonts w:hint="eastAsia"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rPr>
        <w:t>、</w:t>
      </w:r>
      <w:r>
        <w:rPr>
          <w:rFonts w:hint="eastAsia" w:cs="Times New Roman"/>
          <w:color w:val="auto"/>
          <w:szCs w:val="21"/>
          <w:highlight w:val="none"/>
          <w:lang w:val="en-US" w:eastAsia="zh-CN"/>
        </w:rPr>
        <w:t>投标人</w:t>
      </w:r>
      <w:r>
        <w:rPr>
          <w:rFonts w:hint="default" w:ascii="Times New Roman" w:hAnsi="Times New Roman" w:eastAsia="宋体" w:cs="Times New Roman"/>
          <w:color w:val="auto"/>
          <w:szCs w:val="21"/>
          <w:highlight w:val="none"/>
        </w:rPr>
        <w:t>须针对上述</w:t>
      </w:r>
      <w:r>
        <w:rPr>
          <w:rFonts w:hint="default" w:ascii="Times New Roman" w:hAnsi="Times New Roman" w:cs="Times New Roman"/>
          <w:color w:val="auto"/>
          <w:szCs w:val="21"/>
          <w:highlight w:val="none"/>
        </w:rPr>
        <w:t>采购要求在偏离表（见附件）中逐条表述及承诺。</w:t>
      </w:r>
    </w:p>
    <w:p w14:paraId="518098D1">
      <w:pPr>
        <w:pStyle w:val="17"/>
        <w:ind w:left="0" w:firstLine="420" w:firstLineChars="200"/>
        <w:rPr>
          <w:rFonts w:hint="default" w:eastAsia="宋体"/>
          <w:color w:val="auto"/>
          <w:highlight w:val="none"/>
          <w:lang w:val="en-US" w:eastAsia="zh-CN"/>
        </w:rPr>
      </w:pPr>
      <w:r>
        <w:rPr>
          <w:rFonts w:hint="eastAsia" w:ascii="Times New Roman" w:hAnsi="Times New Roman" w:cs="Times New Roman"/>
          <w:color w:val="auto"/>
          <w:szCs w:val="21"/>
          <w:highlight w:val="none"/>
          <w:lang w:val="en-US" w:eastAsia="zh-CN"/>
        </w:rPr>
        <w:t>4、</w:t>
      </w:r>
      <w:r>
        <w:rPr>
          <w:rFonts w:hint="eastAsia" w:cs="Times New Roman"/>
          <w:color w:val="auto"/>
          <w:szCs w:val="21"/>
          <w:highlight w:val="none"/>
          <w:lang w:val="en-US" w:eastAsia="zh-CN"/>
        </w:rPr>
        <w:t>投标人</w:t>
      </w:r>
      <w:r>
        <w:rPr>
          <w:rFonts w:hint="eastAsia" w:ascii="Times New Roman" w:hAnsi="Times New Roman" w:cs="Times New Roman"/>
          <w:color w:val="auto"/>
          <w:szCs w:val="21"/>
          <w:highlight w:val="none"/>
          <w:lang w:val="en-US" w:eastAsia="zh-CN"/>
        </w:rPr>
        <w:t>平台与</w:t>
      </w:r>
      <w:r>
        <w:rPr>
          <w:rFonts w:hint="eastAsia" w:cs="Times New Roman"/>
          <w:color w:val="auto"/>
          <w:szCs w:val="21"/>
          <w:highlight w:val="none"/>
          <w:lang w:val="en-US" w:eastAsia="zh-CN"/>
        </w:rPr>
        <w:t>采购人</w:t>
      </w:r>
      <w:r>
        <w:rPr>
          <w:rFonts w:hint="eastAsia" w:ascii="Times New Roman" w:hAnsi="Times New Roman" w:cs="Times New Roman"/>
          <w:color w:val="auto"/>
          <w:szCs w:val="21"/>
          <w:highlight w:val="none"/>
          <w:lang w:val="en-US" w:eastAsia="zh-CN"/>
        </w:rPr>
        <w:t>系统对接产生的费用由</w:t>
      </w:r>
      <w:r>
        <w:rPr>
          <w:rFonts w:hint="eastAsia" w:cs="Times New Roman"/>
          <w:color w:val="auto"/>
          <w:szCs w:val="21"/>
          <w:highlight w:val="none"/>
          <w:lang w:val="en-US" w:eastAsia="zh-CN"/>
        </w:rPr>
        <w:t>投标人</w:t>
      </w:r>
      <w:r>
        <w:rPr>
          <w:rFonts w:hint="eastAsia" w:ascii="Times New Roman" w:hAnsi="Times New Roman" w:cs="Times New Roman"/>
          <w:color w:val="auto"/>
          <w:szCs w:val="21"/>
          <w:highlight w:val="none"/>
          <w:lang w:val="en-US" w:eastAsia="zh-CN"/>
        </w:rPr>
        <w:t>承担。</w:t>
      </w:r>
    </w:p>
    <w:p w14:paraId="147772F4">
      <w:pPr>
        <w:spacing w:line="360" w:lineRule="auto"/>
        <w:ind w:firstLine="420" w:firstLineChars="200"/>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5</w:t>
      </w: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投标人</w:t>
      </w:r>
      <w:r>
        <w:rPr>
          <w:rFonts w:hint="default" w:ascii="Times New Roman" w:hAnsi="Times New Roman" w:cs="Times New Roman"/>
          <w:color w:val="auto"/>
          <w:szCs w:val="21"/>
          <w:highlight w:val="none"/>
        </w:rPr>
        <w:t>在签订合同时，不得提出附加条件和不合理要求，否则将取消其中标资格。</w:t>
      </w:r>
      <w:bookmarkEnd w:id="319"/>
    </w:p>
    <w:p w14:paraId="6B2629E1">
      <w:pPr>
        <w:pStyle w:val="2"/>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5D5318B8">
      <w:pPr>
        <w:pStyle w:val="34"/>
        <w:rPr>
          <w:rFonts w:hint="default" w:ascii="Times New Roman" w:hAnsi="Times New Roman" w:cs="Times New Roman"/>
          <w:color w:val="auto"/>
          <w:highlight w:val="none"/>
        </w:rPr>
      </w:pPr>
      <w:bookmarkStart w:id="343" w:name="_Toc1488"/>
      <w:r>
        <w:rPr>
          <w:rFonts w:hint="default" w:ascii="Times New Roman" w:hAnsi="Times New Roman" w:cs="Times New Roman"/>
          <w:color w:val="auto"/>
          <w:highlight w:val="none"/>
        </w:rPr>
        <w:t>第五章 评标方法与评标标准</w:t>
      </w:r>
      <w:bookmarkEnd w:id="343"/>
    </w:p>
    <w:p w14:paraId="779258B8">
      <w:pPr>
        <w:spacing w:line="400" w:lineRule="exact"/>
        <w:ind w:firstLine="420" w:firstLineChars="200"/>
        <w:rPr>
          <w:rFonts w:hint="default" w:ascii="Times New Roman" w:hAnsi="Times New Roman" w:cs="Times New Roman"/>
          <w:color w:val="auto"/>
          <w:szCs w:val="21"/>
          <w:highlight w:val="none"/>
        </w:rPr>
      </w:pPr>
      <w:bookmarkStart w:id="344" w:name="_Toc91836565"/>
      <w:r>
        <w:rPr>
          <w:rFonts w:hint="default" w:ascii="Times New Roman" w:hAnsi="Times New Roman" w:cs="Times New Roman"/>
          <w:color w:val="auto"/>
          <w:szCs w:val="21"/>
          <w:highlight w:val="none"/>
        </w:rPr>
        <w:t>综合本项目的特点，根据相关法律法规的规定，本着保护竞争，维护招标工作公开、公平、公正原则，特制定本评标办法，作为选定本次招标中标人的依据。</w:t>
      </w:r>
    </w:p>
    <w:p w14:paraId="09D3D85D">
      <w:pPr>
        <w:spacing w:line="40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1、资格性审查</w:t>
      </w:r>
    </w:p>
    <w:p w14:paraId="01E7B976">
      <w:pPr>
        <w:spacing w:line="40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开标后，招标代理机构和采购人依法对供应商的资格性进行审查，若下述项缺漏或无效的或存在重大不良记录的供应商，将不通过资格性审查，且不进入后续符合性审查及详细评审。具体内容如下：</w:t>
      </w:r>
    </w:p>
    <w:p w14:paraId="5138C65A">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(一)满足《中华人民共和国政府采购法》第二十二条规定：</w:t>
      </w:r>
    </w:p>
    <w:p w14:paraId="2558E27F">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1．法人或者其他组织的营业执照等证明文件，自然人的身份证明</w:t>
      </w:r>
      <w:r>
        <w:rPr>
          <w:rFonts w:hint="default" w:ascii="Times New Roman" w:hAnsi="Times New Roman" w:cs="Times New Roman"/>
          <w:b/>
          <w:color w:val="auto"/>
          <w:szCs w:val="21"/>
          <w:highlight w:val="none"/>
        </w:rPr>
        <w:t>（提供法人或者其他组织的营业执照，自然人的身份证明复印件加盖公章）；</w:t>
      </w:r>
    </w:p>
    <w:p w14:paraId="04610D61">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2．具有良好的商业信誉和健全的财务会计制度，</w:t>
      </w:r>
      <w:r>
        <w:rPr>
          <w:rFonts w:hint="default" w:ascii="Times New Roman" w:hAnsi="Times New Roman" w:cs="Times New Roman"/>
          <w:b/>
          <w:color w:val="auto"/>
          <w:szCs w:val="21"/>
          <w:highlight w:val="none"/>
        </w:rPr>
        <w:t>提供202</w:t>
      </w:r>
      <w:r>
        <w:rPr>
          <w:rFonts w:hint="default" w:ascii="Times New Roman" w:hAnsi="Times New Roman" w:cs="Times New Roman"/>
          <w:b/>
          <w:color w:val="auto"/>
          <w:szCs w:val="21"/>
          <w:highlight w:val="none"/>
          <w:lang w:val="en-US" w:eastAsia="zh-CN"/>
        </w:rPr>
        <w:t>4</w:t>
      </w:r>
      <w:r>
        <w:rPr>
          <w:rFonts w:hint="default" w:ascii="Times New Roman" w:hAnsi="Times New Roman" w:cs="Times New Roman"/>
          <w:b/>
          <w:color w:val="auto"/>
          <w:szCs w:val="21"/>
          <w:highlight w:val="none"/>
        </w:rPr>
        <w:t>年度或202</w:t>
      </w:r>
      <w:r>
        <w:rPr>
          <w:rFonts w:hint="default" w:ascii="Times New Roman" w:hAnsi="Times New Roman" w:cs="Times New Roman"/>
          <w:b/>
          <w:color w:val="auto"/>
          <w:szCs w:val="21"/>
          <w:highlight w:val="none"/>
          <w:lang w:val="en-US" w:eastAsia="zh-CN"/>
        </w:rPr>
        <w:t>5</w:t>
      </w:r>
      <w:r>
        <w:rPr>
          <w:rFonts w:hint="default" w:ascii="Times New Roman" w:hAnsi="Times New Roman" w:cs="Times New Roman"/>
          <w:b/>
          <w:color w:val="auto"/>
          <w:szCs w:val="21"/>
          <w:highlight w:val="none"/>
        </w:rPr>
        <w:t>年度的财务报表（如为新成立的公司，应提供公司成立之后的财务报表）或响应截止时间前3个月内，由其基本开户银行出具的资信证明或财政部门认可的政府采购专业担保机构出具的磋商担保函</w:t>
      </w:r>
      <w:r>
        <w:rPr>
          <w:rFonts w:hint="default" w:ascii="Times New Roman" w:hAnsi="Times New Roman" w:cs="Times New Roman"/>
          <w:bCs/>
          <w:color w:val="auto"/>
          <w:szCs w:val="21"/>
          <w:highlight w:val="none"/>
        </w:rPr>
        <w:t>；</w:t>
      </w:r>
    </w:p>
    <w:p w14:paraId="3799307E">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3．具有履行合同所必需的设备和专业技术能力，提供具备履行合同所必需的设备和专业技术能力的证明材料或承诺函</w:t>
      </w:r>
      <w:r>
        <w:rPr>
          <w:rFonts w:hint="default" w:ascii="Times New Roman" w:hAnsi="Times New Roman" w:cs="Times New Roman"/>
          <w:b/>
          <w:color w:val="auto"/>
          <w:szCs w:val="21"/>
          <w:highlight w:val="none"/>
        </w:rPr>
        <w:t>（提供声明函原件）</w:t>
      </w:r>
      <w:r>
        <w:rPr>
          <w:rFonts w:hint="default" w:ascii="Times New Roman" w:hAnsi="Times New Roman" w:cs="Times New Roman"/>
          <w:bCs/>
          <w:color w:val="auto"/>
          <w:szCs w:val="21"/>
          <w:highlight w:val="none"/>
        </w:rPr>
        <w:t>；</w:t>
      </w:r>
    </w:p>
    <w:p w14:paraId="378D3819">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4．有依法缴纳税收和社会保障资金的良好记录，提供本次采购活动前3个月内，至少1个月缴纳税收和社会保险的凭证，依法享受免缴、缓缴的，</w:t>
      </w:r>
      <w:r>
        <w:rPr>
          <w:rFonts w:hint="default" w:ascii="Times New Roman" w:hAnsi="Times New Roman" w:cs="Times New Roman"/>
          <w:b/>
          <w:color w:val="auto"/>
          <w:szCs w:val="21"/>
          <w:highlight w:val="none"/>
        </w:rPr>
        <w:t>提供证明材料</w:t>
      </w:r>
      <w:r>
        <w:rPr>
          <w:rFonts w:hint="default" w:ascii="Times New Roman" w:hAnsi="Times New Roman" w:cs="Times New Roman"/>
          <w:bCs/>
          <w:color w:val="auto"/>
          <w:szCs w:val="21"/>
          <w:highlight w:val="none"/>
        </w:rPr>
        <w:t>；</w:t>
      </w:r>
    </w:p>
    <w:p w14:paraId="03572B50">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5．参加政府采购活动前三年内，在经营活动中没有重大违法记录，</w:t>
      </w:r>
      <w:r>
        <w:rPr>
          <w:rFonts w:hint="default" w:ascii="Times New Roman" w:hAnsi="Times New Roman" w:cs="Times New Roman"/>
          <w:b/>
          <w:color w:val="auto"/>
          <w:szCs w:val="21"/>
          <w:highlight w:val="none"/>
        </w:rPr>
        <w:t>提供声明函原件</w:t>
      </w:r>
      <w:r>
        <w:rPr>
          <w:rFonts w:hint="default" w:ascii="Times New Roman" w:hAnsi="Times New Roman" w:cs="Times New Roman"/>
          <w:bCs/>
          <w:color w:val="auto"/>
          <w:szCs w:val="21"/>
          <w:highlight w:val="none"/>
        </w:rPr>
        <w:t>（重大违法记录是指供应商因违法经营受到刑事处罚或责令停产停业、吊销许可证或者执照、较大数额罚款等行政处罚）。</w:t>
      </w:r>
    </w:p>
    <w:p w14:paraId="6856F15E">
      <w:pPr>
        <w:spacing w:line="4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bCs/>
          <w:color w:val="auto"/>
          <w:szCs w:val="21"/>
          <w:highlight w:val="none"/>
        </w:rPr>
        <w:t>6．</w:t>
      </w:r>
      <w:r>
        <w:rPr>
          <w:rFonts w:hint="default" w:ascii="Times New Roman" w:hAnsi="Times New Roman" w:cs="Times New Roman"/>
          <w:color w:val="auto"/>
          <w:highlight w:val="none"/>
        </w:rPr>
        <w:t>法律、行政法规规定的其他条件。</w:t>
      </w:r>
    </w:p>
    <w:p w14:paraId="09DAF4E1">
      <w:pPr>
        <w:spacing w:line="4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说明：根据《关于在政府采购活动中推行信用承诺制的通知》（宁财购通〔2021〕5号）的规定，适用信用承诺的供应商，对于1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p>
    <w:p w14:paraId="65F9C9E4">
      <w:pPr>
        <w:spacing w:line="360" w:lineRule="auto"/>
        <w:ind w:firstLine="420" w:firstLineChars="200"/>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rPr>
        <w:t>（二）本项目的特定资格要求：</w:t>
      </w:r>
      <w:r>
        <w:rPr>
          <w:rFonts w:hint="default" w:ascii="Times New Roman" w:hAnsi="Times New Roman" w:cs="Times New Roman"/>
          <w:bCs/>
          <w:color w:val="auto"/>
          <w:szCs w:val="21"/>
          <w:highlight w:val="none"/>
          <w:lang w:val="en-US" w:eastAsia="zh-CN"/>
        </w:rPr>
        <w:t>无</w:t>
      </w:r>
    </w:p>
    <w:p w14:paraId="55C9DE78">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三</w:t>
      </w: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rPr>
        <w:t>投标人存在下列情形的不得参加本次招标活动：</w:t>
      </w:r>
    </w:p>
    <w:p w14:paraId="7AF2AE0B">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1.单位负责人为同一人或者存在直接控股、管理关系的不同投标人，不得参加同一合同项下的政府采购活动。</w:t>
      </w:r>
      <w:r>
        <w:rPr>
          <w:rFonts w:hint="default" w:ascii="Times New Roman" w:hAnsi="Times New Roman" w:cs="Times New Roman"/>
          <w:b/>
          <w:color w:val="auto"/>
          <w:szCs w:val="21"/>
          <w:highlight w:val="none"/>
        </w:rPr>
        <w:t>（提供承诺书并加盖投标人公章）</w:t>
      </w:r>
    </w:p>
    <w:p w14:paraId="1D684FED">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2.除单一来源项目外，凡为采购项目提供整体设计、规范编制或者项目管理、监理、检测等服务的投标人不得再参加本项目的采购活动。</w:t>
      </w:r>
      <w:r>
        <w:rPr>
          <w:rFonts w:hint="default" w:ascii="Times New Roman" w:hAnsi="Times New Roman" w:cs="Times New Roman"/>
          <w:b/>
          <w:color w:val="auto"/>
          <w:szCs w:val="21"/>
          <w:highlight w:val="none"/>
        </w:rPr>
        <w:t>（提供承诺书并加盖投标人公章）</w:t>
      </w:r>
    </w:p>
    <w:p w14:paraId="7CFC2D05">
      <w:pPr>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bCs/>
          <w:color w:val="auto"/>
          <w:szCs w:val="21"/>
          <w:highlight w:val="none"/>
        </w:rPr>
        <w:t>3.通过“信用中国”网站、中国政府采购网查询投标人在投标截止时间前的信用记录，通过以上查询渠道，投标人被列入失信被执行人、重大税收违法案件当事人名单、政府采购严重违法失信行为记录。</w:t>
      </w:r>
    </w:p>
    <w:p w14:paraId="62A1D48C">
      <w:pPr>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通过资格性审查的供应商满足3家的，进入详细评审，若通过不足3家则不得进行评标。</w:t>
      </w:r>
    </w:p>
    <w:p w14:paraId="6713312D">
      <w:pPr>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2、符合性审查</w:t>
      </w:r>
    </w:p>
    <w:p w14:paraId="5D66CDD4">
      <w:pPr>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2.1评标委员会根据采购文件规定对通过资格性审查的供应商的投标文件进行符合性审查，以确定其是否满足采购文件的实质性要求。</w:t>
      </w:r>
    </w:p>
    <w:p w14:paraId="051758F1">
      <w:pPr>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2.2供应商的响应文件如被发现下列情况之一的，其响应文件将被做无效响应文件处理:</w:t>
      </w:r>
    </w:p>
    <w:p w14:paraId="482D32CB">
      <w:pPr>
        <w:spacing w:line="360" w:lineRule="auto"/>
        <w:ind w:firstLine="420" w:firstLineChars="200"/>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（1）投标人在“苏采云”系统规定的时间内未成功解密电子投标文件的；</w:t>
      </w:r>
    </w:p>
    <w:p w14:paraId="5FAE0860">
      <w:pPr>
        <w:spacing w:line="360" w:lineRule="auto"/>
        <w:ind w:firstLine="315" w:firstLineChars="150"/>
        <w:jc w:val="left"/>
        <w:rPr>
          <w:rFonts w:hint="eastAsia" w:ascii="Times New Roman" w:hAnsi="Times New Roman" w:eastAsia="宋体" w:cs="Times New Roman"/>
          <w:bCs/>
          <w:color w:val="auto"/>
          <w:kern w:val="0"/>
          <w:szCs w:val="21"/>
          <w:highlight w:val="none"/>
          <w:lang w:eastAsia="zh-CN"/>
        </w:rPr>
      </w:pPr>
      <w:r>
        <w:rPr>
          <w:rFonts w:hint="default" w:ascii="Times New Roman" w:hAnsi="Times New Roman" w:cs="Times New Roman"/>
          <w:bCs/>
          <w:color w:val="auto"/>
          <w:kern w:val="0"/>
          <w:szCs w:val="21"/>
          <w:highlight w:val="none"/>
        </w:rPr>
        <w:t>（2）投标人未按照招标文件要求上传电子投标文件的</w:t>
      </w:r>
      <w:r>
        <w:rPr>
          <w:rFonts w:hint="eastAsia" w:cs="Times New Roman"/>
          <w:bCs/>
          <w:color w:val="auto"/>
          <w:kern w:val="0"/>
          <w:szCs w:val="21"/>
          <w:highlight w:val="none"/>
          <w:lang w:eastAsia="zh-CN"/>
        </w:rPr>
        <w:t>；</w:t>
      </w:r>
    </w:p>
    <w:p w14:paraId="790B4A8D">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3</w:t>
      </w:r>
      <w:r>
        <w:rPr>
          <w:rFonts w:hint="default" w:ascii="Times New Roman" w:hAnsi="Times New Roman" w:cs="Times New Roman"/>
          <w:color w:val="auto"/>
          <w:szCs w:val="21"/>
          <w:highlight w:val="none"/>
        </w:rPr>
        <w:t>）未按照招标文件规定要求签署、盖章的；</w:t>
      </w:r>
    </w:p>
    <w:p w14:paraId="6B971073">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4</w:t>
      </w:r>
      <w:r>
        <w:rPr>
          <w:rFonts w:hint="default" w:ascii="Times New Roman" w:hAnsi="Times New Roman" w:cs="Times New Roman"/>
          <w:color w:val="auto"/>
          <w:szCs w:val="21"/>
          <w:highlight w:val="none"/>
        </w:rPr>
        <w:t>）报价超过招标文件中规定的预算金额或者最高限价的；</w:t>
      </w:r>
    </w:p>
    <w:p w14:paraId="4E14A5D5">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5</w:t>
      </w:r>
      <w:r>
        <w:rPr>
          <w:rFonts w:hint="default" w:ascii="Times New Roman" w:hAnsi="Times New Roman" w:cs="Times New Roman"/>
          <w:color w:val="auto"/>
          <w:szCs w:val="21"/>
          <w:highlight w:val="none"/>
        </w:rPr>
        <w:t>）投标文件中承诺的投标有效期不满足招标文件中载明的投标有效期的；</w:t>
      </w:r>
    </w:p>
    <w:p w14:paraId="60EFF43C">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6</w:t>
      </w:r>
      <w:r>
        <w:rPr>
          <w:rFonts w:hint="default" w:ascii="Times New Roman" w:hAnsi="Times New Roman" w:cs="Times New Roman"/>
          <w:color w:val="auto"/>
          <w:szCs w:val="21"/>
          <w:highlight w:val="none"/>
        </w:rPr>
        <w:t>）未按照招标文件规定提交投标保证金的；</w:t>
      </w:r>
    </w:p>
    <w:p w14:paraId="179AFE55">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7</w:t>
      </w:r>
      <w:r>
        <w:rPr>
          <w:rFonts w:hint="default" w:ascii="Times New Roman" w:hAnsi="Times New Roman" w:cs="Times New Roman"/>
          <w:color w:val="auto"/>
          <w:szCs w:val="21"/>
          <w:highlight w:val="none"/>
        </w:rPr>
        <w:t>）投标文件含有采购人不能接受的附加条件的；</w:t>
      </w:r>
    </w:p>
    <w:p w14:paraId="19FC25E6">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8</w:t>
      </w:r>
      <w:r>
        <w:rPr>
          <w:rFonts w:hint="default" w:ascii="Times New Roman" w:hAnsi="Times New Roman" w:cs="Times New Roman"/>
          <w:color w:val="auto"/>
          <w:szCs w:val="21"/>
          <w:highlight w:val="none"/>
        </w:rPr>
        <w:t>）投标文件不符合招标文件中规定的</w:t>
      </w:r>
      <w:r>
        <w:rPr>
          <w:rFonts w:hint="eastAsia" w:cs="Times New Roman"/>
          <w:color w:val="auto"/>
          <w:szCs w:val="21"/>
          <w:highlight w:val="none"/>
          <w:lang w:val="en-US" w:eastAsia="zh-CN"/>
        </w:rPr>
        <w:t>其他</w:t>
      </w:r>
      <w:r>
        <w:rPr>
          <w:rFonts w:hint="default" w:ascii="Times New Roman" w:hAnsi="Times New Roman" w:cs="Times New Roman"/>
          <w:color w:val="auto"/>
          <w:szCs w:val="21"/>
          <w:highlight w:val="none"/>
        </w:rPr>
        <w:t>实质性要求的；</w:t>
      </w:r>
    </w:p>
    <w:p w14:paraId="14BC450C">
      <w:pPr>
        <w:spacing w:line="360" w:lineRule="auto"/>
        <w:ind w:firstLine="315" w:firstLineChars="15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eastAsia" w:cs="Times New Roman"/>
          <w:color w:val="auto"/>
          <w:szCs w:val="21"/>
          <w:highlight w:val="none"/>
          <w:lang w:val="en-US" w:eastAsia="zh-CN"/>
        </w:rPr>
        <w:t>9</w:t>
      </w:r>
      <w:r>
        <w:rPr>
          <w:rFonts w:hint="default" w:ascii="Times New Roman" w:hAnsi="Times New Roman" w:cs="Times New Roman"/>
          <w:color w:val="auto"/>
          <w:szCs w:val="21"/>
          <w:highlight w:val="none"/>
        </w:rPr>
        <w:t>）现行法律、法规、规章和招标文件规定的其他无效情形。</w:t>
      </w:r>
    </w:p>
    <w:p w14:paraId="32E29A23">
      <w:pPr>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3、评分细则</w:t>
      </w:r>
    </w:p>
    <w:p w14:paraId="5D255152">
      <w:pPr>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本项目采用综合打分法，总分为100分，按评审后得分由高到低顺序排列，得分相同的，按技术指标优劣顺序排列，由评审委员会依次推荐三家中标候选供应商。具体打分方法如下：</w:t>
      </w:r>
    </w:p>
    <w:tbl>
      <w:tblPr>
        <w:tblStyle w:val="37"/>
        <w:tblW w:w="56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4"/>
        <w:gridCol w:w="1336"/>
        <w:gridCol w:w="6804"/>
        <w:gridCol w:w="1113"/>
      </w:tblGrid>
      <w:tr w14:paraId="2FF1F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op w:val="single" w:color="auto" w:sz="4" w:space="0"/>
              <w:left w:val="single" w:color="auto" w:sz="4" w:space="0"/>
              <w:bottom w:val="single" w:color="auto" w:sz="4" w:space="0"/>
              <w:right w:val="single" w:color="auto" w:sz="4" w:space="0"/>
            </w:tcBorders>
            <w:noWrap w:val="0"/>
            <w:vAlign w:val="center"/>
          </w:tcPr>
          <w:p w14:paraId="7CD02BF9">
            <w:pPr>
              <w:spacing w:line="360" w:lineRule="auto"/>
              <w:jc w:val="center"/>
              <w:rPr>
                <w:rFonts w:hint="default" w:ascii="Times New Roman" w:hAnsi="Times New Roman" w:cs="Times New Roman"/>
                <w:color w:val="auto"/>
                <w:szCs w:val="21"/>
                <w:highlight w:val="none"/>
              </w:rPr>
            </w:pPr>
            <w:bookmarkStart w:id="345" w:name="_Hlk179764800"/>
            <w:r>
              <w:rPr>
                <w:rFonts w:hint="default" w:ascii="Times New Roman" w:hAnsi="Times New Roman" w:cs="Times New Roman"/>
                <w:color w:val="auto"/>
                <w:szCs w:val="21"/>
                <w:highlight w:val="none"/>
              </w:rPr>
              <w:t>序号</w:t>
            </w:r>
          </w:p>
        </w:tc>
        <w:tc>
          <w:tcPr>
            <w:tcW w:w="666" w:type="pct"/>
            <w:tcBorders>
              <w:top w:val="single" w:color="auto" w:sz="4" w:space="0"/>
              <w:left w:val="single" w:color="auto" w:sz="4" w:space="0"/>
              <w:bottom w:val="single" w:color="auto" w:sz="4" w:space="0"/>
              <w:right w:val="single" w:color="auto" w:sz="4" w:space="0"/>
            </w:tcBorders>
            <w:noWrap w:val="0"/>
            <w:vAlign w:val="center"/>
          </w:tcPr>
          <w:p w14:paraId="3FBC8076">
            <w:pPr>
              <w:spacing w:line="36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评分因素</w:t>
            </w:r>
          </w:p>
        </w:tc>
        <w:tc>
          <w:tcPr>
            <w:tcW w:w="3391" w:type="pct"/>
            <w:tcBorders>
              <w:top w:val="single" w:color="auto" w:sz="4" w:space="0"/>
              <w:left w:val="single" w:color="auto" w:sz="4" w:space="0"/>
              <w:bottom w:val="single" w:color="auto" w:sz="4" w:space="0"/>
              <w:right w:val="single" w:color="auto" w:sz="4" w:space="0"/>
            </w:tcBorders>
            <w:noWrap w:val="0"/>
            <w:vAlign w:val="center"/>
          </w:tcPr>
          <w:p w14:paraId="0F3E64CB">
            <w:pPr>
              <w:spacing w:line="36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评审标准</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F562A5C">
            <w:pPr>
              <w:spacing w:line="36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分值</w:t>
            </w:r>
          </w:p>
        </w:tc>
      </w:tr>
      <w:tr w14:paraId="51B21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op w:val="single" w:color="auto" w:sz="4" w:space="0"/>
              <w:left w:val="single" w:color="auto" w:sz="4" w:space="0"/>
              <w:right w:val="single" w:color="auto" w:sz="4" w:space="0"/>
            </w:tcBorders>
            <w:noWrap w:val="0"/>
            <w:vAlign w:val="center"/>
          </w:tcPr>
          <w:p w14:paraId="74E630F7">
            <w:pPr>
              <w:spacing w:line="360" w:lineRule="auto"/>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val="en-US" w:eastAsia="zh-CN"/>
              </w:rPr>
              <w:t>1</w:t>
            </w:r>
          </w:p>
        </w:tc>
        <w:tc>
          <w:tcPr>
            <w:tcW w:w="666" w:type="pct"/>
            <w:tcBorders>
              <w:top w:val="single" w:color="auto" w:sz="4" w:space="0"/>
              <w:left w:val="single" w:color="auto" w:sz="4" w:space="0"/>
              <w:right w:val="single" w:color="auto" w:sz="4" w:space="0"/>
            </w:tcBorders>
            <w:noWrap w:val="0"/>
            <w:vAlign w:val="center"/>
          </w:tcPr>
          <w:p w14:paraId="61264382">
            <w:pPr>
              <w:spacing w:line="36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商务/技术要求</w:t>
            </w:r>
          </w:p>
        </w:tc>
        <w:tc>
          <w:tcPr>
            <w:tcW w:w="3391" w:type="pct"/>
            <w:tcBorders>
              <w:top w:val="single" w:color="auto" w:sz="4" w:space="0"/>
              <w:left w:val="single" w:color="auto" w:sz="4" w:space="0"/>
              <w:bottom w:val="single" w:color="auto" w:sz="4" w:space="0"/>
              <w:right w:val="single" w:color="auto" w:sz="4" w:space="0"/>
            </w:tcBorders>
            <w:noWrap w:val="0"/>
            <w:vAlign w:val="center"/>
          </w:tcPr>
          <w:p w14:paraId="425E65E4">
            <w:pPr>
              <w:autoSpaceDE w:val="0"/>
              <w:autoSpaceDN w:val="0"/>
              <w:spacing w:line="360" w:lineRule="auto"/>
              <w:ind w:firstLine="0" w:firstLineChars="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投标人必须制定“商务/技术偏离表”，对照采购需求中规定的商务/技术参数要求进行逐项应答。逐项应答但未提供依据或证明材料的，可能被判为不成立。</w:t>
            </w:r>
          </w:p>
          <w:p w14:paraId="7D496CC5">
            <w:pPr>
              <w:autoSpaceDE w:val="0"/>
              <w:autoSpaceDN w:val="0"/>
              <w:spacing w:line="360" w:lineRule="auto"/>
              <w:ind w:firstLine="0" w:firstLineChars="0"/>
              <w:jc w:val="left"/>
              <w:rPr>
                <w:rFonts w:hint="default" w:ascii="Times New Roman" w:hAnsi="Times New Roman" w:cs="Times New Roman"/>
                <w:b w:val="0"/>
                <w:color w:val="auto"/>
                <w:kern w:val="2"/>
                <w:szCs w:val="21"/>
                <w:highlight w:val="none"/>
              </w:rPr>
            </w:pPr>
            <w:r>
              <w:rPr>
                <w:rFonts w:hint="default" w:ascii="Times New Roman" w:hAnsi="Times New Roman" w:cs="Times New Roman"/>
                <w:color w:val="auto"/>
                <w:szCs w:val="21"/>
                <w:highlight w:val="none"/>
              </w:rPr>
              <w:t>评委根据投标人提供的货物的“商务/技术偏离表”和的相关证明材料评分，投标人所投产品技术参数和性能要求完全满足采购文件技术参数的得</w:t>
            </w:r>
            <w:r>
              <w:rPr>
                <w:rFonts w:hint="eastAsia" w:cs="Times New Roman"/>
                <w:color w:val="auto"/>
                <w:szCs w:val="21"/>
                <w:highlight w:val="none"/>
                <w:lang w:val="en-US" w:eastAsia="zh-CN"/>
              </w:rPr>
              <w:t>40</w:t>
            </w:r>
            <w:r>
              <w:rPr>
                <w:rFonts w:hint="default" w:ascii="Times New Roman" w:hAnsi="Times New Roman" w:cs="Times New Roman"/>
                <w:color w:val="auto"/>
                <w:szCs w:val="21"/>
                <w:highlight w:val="none"/>
              </w:rPr>
              <w:t>分，</w:t>
            </w:r>
            <w:r>
              <w:rPr>
                <w:rFonts w:hint="default" w:ascii="Times New Roman" w:hAnsi="Times New Roman" w:cs="Times New Roman"/>
                <w:color w:val="auto"/>
                <w:kern w:val="0"/>
                <w:szCs w:val="21"/>
                <w:highlight w:val="none"/>
              </w:rPr>
              <w:t>招标文件中标注</w:t>
            </w:r>
            <w:r>
              <w:rPr>
                <w:rFonts w:hint="default" w:ascii="Times New Roman" w:hAnsi="Times New Roman" w:cs="Times New Roman"/>
                <w:bCs w:val="0"/>
                <w:color w:val="auto"/>
                <w:szCs w:val="21"/>
                <w:highlight w:val="none"/>
              </w:rPr>
              <w:t>“</w:t>
            </w:r>
            <w:r>
              <w:rPr>
                <w:rFonts w:hint="default" w:ascii="Times New Roman" w:hAnsi="Times New Roman" w:cs="Times New Roman"/>
                <w:b w:val="0"/>
                <w:bCs w:val="0"/>
                <w:color w:val="auto"/>
                <w:sz w:val="21"/>
                <w:szCs w:val="21"/>
                <w:highlight w:val="none"/>
              </w:rPr>
              <w:t>▲</w:t>
            </w:r>
            <w:r>
              <w:rPr>
                <w:rFonts w:hint="default" w:ascii="Times New Roman" w:hAnsi="Times New Roman" w:cs="Times New Roman"/>
                <w:bCs w:val="0"/>
                <w:color w:val="auto"/>
                <w:szCs w:val="21"/>
                <w:highlight w:val="none"/>
              </w:rPr>
              <w:t>”的</w:t>
            </w:r>
            <w:r>
              <w:rPr>
                <w:rFonts w:hint="default" w:ascii="Times New Roman" w:hAnsi="Times New Roman" w:cs="Times New Roman"/>
                <w:color w:val="auto"/>
                <w:kern w:val="0"/>
                <w:szCs w:val="21"/>
                <w:highlight w:val="none"/>
              </w:rPr>
              <w:t>为重要参数，对这些重要参数负偏离的，则每项扣5分，其他参数</w:t>
            </w:r>
            <w:r>
              <w:rPr>
                <w:rFonts w:hint="default" w:ascii="Times New Roman" w:hAnsi="Times New Roman" w:cs="Times New Roman"/>
                <w:color w:val="auto"/>
                <w:szCs w:val="21"/>
                <w:highlight w:val="none"/>
              </w:rPr>
              <w:t>每有一项负偏离扣3分，扣完为止。</w:t>
            </w:r>
            <w:r>
              <w:rPr>
                <w:rFonts w:hint="default" w:ascii="Times New Roman" w:hAnsi="Times New Roman" w:cs="Times New Roman"/>
                <w:b w:val="0"/>
                <w:bCs w:val="0"/>
                <w:color w:val="auto"/>
                <w:kern w:val="2"/>
                <w:szCs w:val="21"/>
                <w:highlight w:val="none"/>
              </w:rPr>
              <w:t>注：所有</w:t>
            </w:r>
            <w:r>
              <w:rPr>
                <w:rFonts w:hint="default" w:ascii="Times New Roman" w:hAnsi="Times New Roman" w:cs="Times New Roman"/>
                <w:b w:val="0"/>
                <w:bCs w:val="0"/>
                <w:color w:val="auto"/>
                <w:szCs w:val="21"/>
                <w:highlight w:val="none"/>
              </w:rPr>
              <w:t>技术参数</w:t>
            </w:r>
            <w:r>
              <w:rPr>
                <w:rFonts w:hint="default" w:ascii="Times New Roman" w:hAnsi="Times New Roman" w:cs="Times New Roman"/>
                <w:b w:val="0"/>
                <w:color w:val="auto"/>
                <w:szCs w:val="21"/>
                <w:highlight w:val="none"/>
              </w:rPr>
              <w:t>必须在投标文件内提供</w:t>
            </w:r>
            <w:r>
              <w:rPr>
                <w:rFonts w:hint="default" w:ascii="Times New Roman" w:hAnsi="Times New Roman" w:cs="Times New Roman"/>
                <w:b w:val="0"/>
                <w:color w:val="auto"/>
                <w:kern w:val="2"/>
                <w:szCs w:val="21"/>
                <w:highlight w:val="none"/>
              </w:rPr>
              <w:t>技术支持资料（如白皮书、彩页、手册、检测报告等），未提供技术支持资料的，评审时不予认可。</w:t>
            </w:r>
          </w:p>
          <w:p w14:paraId="4EE50C8E">
            <w:pPr>
              <w:autoSpaceDE w:val="0"/>
              <w:autoSpaceDN w:val="0"/>
              <w:spacing w:line="360" w:lineRule="auto"/>
              <w:ind w:firstLine="0" w:firstLineChars="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none"/>
              </w:rPr>
              <w:t>注：项目参数、技术参数和相关要求响应情况需如实填写，不得虚假响应，否则视为提供虚假材料谋取中标。</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1227ECFF">
            <w:pPr>
              <w:spacing w:line="360" w:lineRule="auto"/>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40</w:t>
            </w:r>
          </w:p>
        </w:tc>
      </w:tr>
      <w:tr w14:paraId="3DEE4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op w:val="single" w:color="auto" w:sz="4" w:space="0"/>
              <w:left w:val="single" w:color="auto" w:sz="4" w:space="0"/>
              <w:bottom w:val="single" w:color="auto" w:sz="4" w:space="0"/>
              <w:right w:val="single" w:color="auto" w:sz="4" w:space="0"/>
            </w:tcBorders>
            <w:noWrap w:val="0"/>
            <w:vAlign w:val="center"/>
          </w:tcPr>
          <w:p w14:paraId="6B3D92B2">
            <w:pPr>
              <w:spacing w:line="360" w:lineRule="auto"/>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w:t>
            </w:r>
          </w:p>
        </w:tc>
        <w:tc>
          <w:tcPr>
            <w:tcW w:w="666" w:type="pct"/>
            <w:tcBorders>
              <w:top w:val="single" w:color="auto" w:sz="4" w:space="0"/>
              <w:left w:val="single" w:color="auto" w:sz="4" w:space="0"/>
              <w:right w:val="single" w:color="auto" w:sz="4" w:space="0"/>
            </w:tcBorders>
            <w:noWrap w:val="0"/>
            <w:vAlign w:val="center"/>
          </w:tcPr>
          <w:p w14:paraId="714A2E38">
            <w:pPr>
              <w:spacing w:line="360" w:lineRule="auto"/>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数据保密性</w:t>
            </w:r>
          </w:p>
        </w:tc>
        <w:tc>
          <w:tcPr>
            <w:tcW w:w="3391" w:type="pct"/>
            <w:tcBorders>
              <w:top w:val="single" w:color="auto" w:sz="4" w:space="0"/>
              <w:left w:val="single" w:color="auto" w:sz="4" w:space="0"/>
              <w:bottom w:val="single" w:color="auto" w:sz="4" w:space="0"/>
              <w:right w:val="single" w:color="auto" w:sz="4" w:space="0"/>
            </w:tcBorders>
            <w:noWrap w:val="0"/>
            <w:vAlign w:val="center"/>
          </w:tcPr>
          <w:p w14:paraId="6D2C6BDA">
            <w:pPr>
              <w:autoSpaceDE w:val="0"/>
              <w:autoSpaceDN w:val="0"/>
              <w:spacing w:line="360" w:lineRule="auto"/>
              <w:jc w:val="left"/>
              <w:rPr>
                <w:rFonts w:hint="default"/>
                <w:color w:val="auto"/>
                <w:szCs w:val="21"/>
                <w:highlight w:val="none"/>
              </w:rPr>
            </w:pPr>
            <w:r>
              <w:rPr>
                <w:rFonts w:hint="default" w:ascii="Times New Roman" w:hAnsi="Times New Roman" w:cs="Times New Roman"/>
                <w:color w:val="auto"/>
                <w:szCs w:val="21"/>
                <w:highlight w:val="none"/>
              </w:rPr>
              <w:t>投标人承诺对爱心分平台的用户数据进行保密的（提供承诺书，格式自拟）</w:t>
            </w:r>
            <w:r>
              <w:rPr>
                <w:rFonts w:hint="eastAsia" w:cs="Times New Roman"/>
                <w:color w:val="auto"/>
                <w:szCs w:val="21"/>
                <w:highlight w:val="none"/>
                <w:lang w:val="en-US" w:eastAsia="zh-CN"/>
              </w:rPr>
              <w:t>，得5分，本项满分5分。</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3AAB6763">
            <w:pPr>
              <w:spacing w:line="360" w:lineRule="auto"/>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highlight w:val="none"/>
                <w:lang w:val="en-US" w:eastAsia="zh-CN"/>
              </w:rPr>
              <w:t>5</w:t>
            </w:r>
          </w:p>
        </w:tc>
      </w:tr>
      <w:tr w14:paraId="1F903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op w:val="single" w:color="auto" w:sz="4" w:space="0"/>
              <w:left w:val="single" w:color="auto" w:sz="4" w:space="0"/>
              <w:bottom w:val="single" w:color="auto" w:sz="4" w:space="0"/>
              <w:right w:val="single" w:color="auto" w:sz="4" w:space="0"/>
            </w:tcBorders>
            <w:noWrap w:val="0"/>
            <w:vAlign w:val="center"/>
          </w:tcPr>
          <w:p w14:paraId="58B740AE">
            <w:pPr>
              <w:spacing w:line="360" w:lineRule="auto"/>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3</w:t>
            </w:r>
          </w:p>
        </w:tc>
        <w:tc>
          <w:tcPr>
            <w:tcW w:w="666" w:type="pct"/>
            <w:tcBorders>
              <w:left w:val="single" w:color="auto" w:sz="4" w:space="0"/>
              <w:right w:val="single" w:color="auto" w:sz="4" w:space="0"/>
            </w:tcBorders>
            <w:noWrap w:val="0"/>
            <w:vAlign w:val="center"/>
          </w:tcPr>
          <w:p w14:paraId="344D6E9A">
            <w:pPr>
              <w:spacing w:line="360" w:lineRule="auto"/>
              <w:jc w:val="center"/>
              <w:rPr>
                <w:rFonts w:hint="default" w:ascii="Times New Roman" w:hAnsi="Times New Roman" w:eastAsia="宋体" w:cs="Times New Roman"/>
                <w:color w:val="auto"/>
                <w:szCs w:val="21"/>
                <w:highlight w:val="none"/>
                <w:lang w:val="en-US" w:eastAsia="zh-CN"/>
              </w:rPr>
            </w:pPr>
            <w:r>
              <w:rPr>
                <w:rFonts w:hint="eastAsia" w:cs="Times New Roman"/>
                <w:color w:val="auto"/>
                <w:position w:val="-10"/>
                <w:szCs w:val="21"/>
                <w:highlight w:val="none"/>
                <w:lang w:val="en-US" w:eastAsia="zh-CN"/>
              </w:rPr>
              <w:t>平台</w:t>
            </w:r>
            <w:r>
              <w:rPr>
                <w:rFonts w:hint="eastAsia" w:ascii="Times New Roman" w:hAnsi="Times New Roman" w:cs="Times New Roman"/>
                <w:color w:val="auto"/>
                <w:position w:val="-10"/>
                <w:szCs w:val="21"/>
                <w:highlight w:val="none"/>
                <w:lang w:val="en-US" w:eastAsia="zh-CN"/>
              </w:rPr>
              <w:t>服务方案</w:t>
            </w:r>
          </w:p>
        </w:tc>
        <w:tc>
          <w:tcPr>
            <w:tcW w:w="3391" w:type="pct"/>
            <w:tcBorders>
              <w:top w:val="single" w:color="auto" w:sz="4" w:space="0"/>
              <w:left w:val="single" w:color="auto" w:sz="4" w:space="0"/>
              <w:bottom w:val="single" w:color="auto" w:sz="4" w:space="0"/>
              <w:right w:val="single" w:color="auto" w:sz="4" w:space="0"/>
            </w:tcBorders>
            <w:noWrap w:val="0"/>
            <w:vAlign w:val="center"/>
          </w:tcPr>
          <w:p w14:paraId="7C94B081">
            <w:pPr>
              <w:autoSpaceDE w:val="0"/>
              <w:autoSpaceDN w:val="0"/>
              <w:spacing w:line="360" w:lineRule="auto"/>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评委根据</w:t>
            </w:r>
            <w:r>
              <w:rPr>
                <w:rFonts w:hint="eastAsia" w:ascii="Times New Roman" w:hAnsi="Times New Roman" w:cs="Times New Roman"/>
                <w:color w:val="auto"/>
                <w:szCs w:val="21"/>
                <w:highlight w:val="none"/>
                <w:lang w:val="en-US" w:eastAsia="zh-CN"/>
              </w:rPr>
              <w:t>投标人</w:t>
            </w:r>
            <w:r>
              <w:rPr>
                <w:rFonts w:hint="default" w:ascii="Times New Roman" w:hAnsi="Times New Roman" w:cs="Times New Roman"/>
                <w:color w:val="auto"/>
                <w:szCs w:val="21"/>
                <w:highlight w:val="none"/>
              </w:rPr>
              <w:t>针对本项目提供的①平台系统架构设计方案；②平台系统功能实现方案；③数据安全保障及合规性方案；④积分管理规则落地方案；⑤服务团队及运维保障方案；⑥数据分析及决策支持方案等内容进行综合评审。</w:t>
            </w:r>
          </w:p>
          <w:p w14:paraId="2945FD14">
            <w:pPr>
              <w:autoSpaceDE w:val="0"/>
              <w:autoSpaceDN w:val="0"/>
              <w:spacing w:line="360" w:lineRule="auto"/>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方案设计贴合采购人需求、详尽合理、针对性强，得10分；方案设计基本贴合采购人需求、具备较强的针对性和可操作性的，得6分；方案内容空泛，针对性和可操作性一般的，得2分。本项最多10分，未提供方案的不得分。</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061DF84C">
            <w:pPr>
              <w:spacing w:line="360" w:lineRule="auto"/>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10</w:t>
            </w:r>
          </w:p>
        </w:tc>
      </w:tr>
      <w:tr w14:paraId="6CC11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op w:val="single" w:color="auto" w:sz="4" w:space="0"/>
              <w:left w:val="single" w:color="auto" w:sz="4" w:space="0"/>
              <w:bottom w:val="single" w:color="auto" w:sz="4" w:space="0"/>
              <w:right w:val="single" w:color="auto" w:sz="4" w:space="0"/>
            </w:tcBorders>
            <w:noWrap w:val="0"/>
            <w:vAlign w:val="center"/>
          </w:tcPr>
          <w:p w14:paraId="57821DE2">
            <w:pPr>
              <w:spacing w:line="360" w:lineRule="auto"/>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val="en-US" w:eastAsia="zh-CN"/>
              </w:rPr>
              <w:t>4</w:t>
            </w:r>
          </w:p>
        </w:tc>
        <w:tc>
          <w:tcPr>
            <w:tcW w:w="666" w:type="pct"/>
            <w:tcBorders>
              <w:left w:val="single" w:color="auto" w:sz="4" w:space="0"/>
              <w:right w:val="single" w:color="auto" w:sz="4" w:space="0"/>
            </w:tcBorders>
            <w:noWrap w:val="0"/>
            <w:vAlign w:val="center"/>
          </w:tcPr>
          <w:p w14:paraId="4C83E78E">
            <w:pPr>
              <w:autoSpaceDE w:val="0"/>
              <w:autoSpaceDN w:val="0"/>
              <w:spacing w:line="36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线上活动策划方案</w:t>
            </w:r>
          </w:p>
        </w:tc>
        <w:tc>
          <w:tcPr>
            <w:tcW w:w="3391" w:type="pct"/>
            <w:tcBorders>
              <w:top w:val="single" w:color="auto" w:sz="4" w:space="0"/>
              <w:left w:val="single" w:color="auto" w:sz="4" w:space="0"/>
              <w:bottom w:val="single" w:color="auto" w:sz="4" w:space="0"/>
              <w:right w:val="single" w:color="auto" w:sz="4" w:space="0"/>
            </w:tcBorders>
            <w:noWrap w:val="0"/>
            <w:vAlign w:val="center"/>
          </w:tcPr>
          <w:p w14:paraId="49E6E273">
            <w:pPr>
              <w:autoSpaceDE w:val="0"/>
              <w:autoSpaceDN w:val="0"/>
              <w:spacing w:line="360" w:lineRule="auto"/>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评委根据投标人针对本项目提供的线上活动策划方案进行综合评审。</w:t>
            </w:r>
          </w:p>
          <w:p w14:paraId="288AAB09">
            <w:pPr>
              <w:autoSpaceDE w:val="0"/>
              <w:autoSpaceDN w:val="0"/>
              <w:spacing w:line="360" w:lineRule="auto"/>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方案设计贴合采购人需求、活动创意新颖、可执行性强，得10分；方案设计基本贴合采购人需求、具备一定创意和可操作性，得6分；方案内容空泛、缺乏创意或可操作性一般，得2分。本项最多10分，未提供方案的不得分。</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1065872D">
            <w:pPr>
              <w:spacing w:line="360" w:lineRule="auto"/>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10</w:t>
            </w:r>
          </w:p>
        </w:tc>
      </w:tr>
      <w:tr w14:paraId="3146F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op w:val="single" w:color="auto" w:sz="4" w:space="0"/>
              <w:left w:val="single" w:color="auto" w:sz="4" w:space="0"/>
              <w:bottom w:val="single" w:color="auto" w:sz="4" w:space="0"/>
              <w:right w:val="single" w:color="auto" w:sz="4" w:space="0"/>
            </w:tcBorders>
            <w:noWrap w:val="0"/>
            <w:vAlign w:val="center"/>
          </w:tcPr>
          <w:p w14:paraId="57804D06">
            <w:pPr>
              <w:spacing w:line="360" w:lineRule="auto"/>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val="en-US" w:eastAsia="zh-CN"/>
              </w:rPr>
              <w:t>5</w:t>
            </w:r>
          </w:p>
        </w:tc>
        <w:tc>
          <w:tcPr>
            <w:tcW w:w="666" w:type="pct"/>
            <w:tcBorders>
              <w:left w:val="single" w:color="auto" w:sz="4" w:space="0"/>
              <w:right w:val="single" w:color="auto" w:sz="4" w:space="0"/>
            </w:tcBorders>
            <w:noWrap w:val="0"/>
            <w:vAlign w:val="center"/>
          </w:tcPr>
          <w:p w14:paraId="5F9B9232">
            <w:pPr>
              <w:autoSpaceDE w:val="0"/>
              <w:autoSpaceDN w:val="0"/>
              <w:spacing w:line="360" w:lineRule="auto"/>
              <w:jc w:val="center"/>
              <w:rPr>
                <w:rFonts w:hint="default" w:ascii="Times New Roman" w:hAnsi="Times New Roman" w:eastAsia="宋体" w:cs="Times New Roman"/>
                <w:color w:val="auto"/>
                <w:position w:val="-10"/>
                <w:szCs w:val="21"/>
                <w:highlight w:val="none"/>
                <w:lang w:val="en-US" w:eastAsia="zh-CN"/>
              </w:rPr>
            </w:pPr>
            <w:r>
              <w:rPr>
                <w:rFonts w:hint="eastAsia" w:cs="Times New Roman"/>
                <w:color w:val="auto"/>
                <w:position w:val="-10"/>
                <w:szCs w:val="21"/>
                <w:highlight w:val="none"/>
                <w:lang w:val="en-US" w:eastAsia="zh-CN"/>
              </w:rPr>
              <w:t>媒体宣传方案</w:t>
            </w:r>
          </w:p>
        </w:tc>
        <w:tc>
          <w:tcPr>
            <w:tcW w:w="3391" w:type="pct"/>
            <w:tcBorders>
              <w:top w:val="single" w:color="auto" w:sz="4" w:space="0"/>
              <w:left w:val="single" w:color="auto" w:sz="4" w:space="0"/>
              <w:bottom w:val="single" w:color="auto" w:sz="4" w:space="0"/>
              <w:right w:val="single" w:color="auto" w:sz="4" w:space="0"/>
            </w:tcBorders>
            <w:noWrap w:val="0"/>
            <w:vAlign w:val="center"/>
          </w:tcPr>
          <w:p w14:paraId="17FE9A94">
            <w:pPr>
              <w:autoSpaceDE w:val="0"/>
              <w:autoSpaceDN w:val="0"/>
              <w:spacing w:line="360" w:lineRule="auto"/>
              <w:jc w:val="left"/>
              <w:rPr>
                <w:rFonts w:hint="eastAsia"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评委根据投标人针对本项目提供的自有或合作的媒体矩阵</w:t>
            </w:r>
            <w:r>
              <w:rPr>
                <w:rFonts w:hint="eastAsia" w:cs="Times New Roman"/>
                <w:color w:val="auto"/>
                <w:szCs w:val="21"/>
                <w:highlight w:val="none"/>
                <w:lang w:val="en-US" w:eastAsia="zh-CN"/>
              </w:rPr>
              <w:t>资源</w:t>
            </w:r>
            <w:r>
              <w:rPr>
                <w:rFonts w:hint="default" w:ascii="Times New Roman" w:hAnsi="Times New Roman" w:cs="Times New Roman"/>
                <w:color w:val="auto"/>
                <w:szCs w:val="21"/>
                <w:highlight w:val="none"/>
              </w:rPr>
              <w:t>（如公众号、短视频平台、本地生活号等）</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宣传视频</w:t>
            </w:r>
            <w:r>
              <w:rPr>
                <w:rFonts w:hint="eastAsia" w:cs="Times New Roman"/>
                <w:color w:val="auto"/>
                <w:szCs w:val="21"/>
                <w:highlight w:val="none"/>
                <w:lang w:val="en-US" w:eastAsia="zh-CN"/>
              </w:rPr>
              <w:t>拍摄、</w:t>
            </w:r>
            <w:r>
              <w:rPr>
                <w:rFonts w:hint="default" w:ascii="Times New Roman" w:hAnsi="Times New Roman" w:cs="Times New Roman"/>
                <w:color w:val="auto"/>
                <w:szCs w:val="21"/>
                <w:highlight w:val="none"/>
              </w:rPr>
              <w:t>制作方案进行综合评审</w:t>
            </w:r>
            <w:r>
              <w:rPr>
                <w:rFonts w:hint="eastAsia" w:cs="Times New Roman"/>
                <w:color w:val="auto"/>
                <w:szCs w:val="21"/>
                <w:highlight w:val="none"/>
                <w:lang w:eastAsia="zh-CN"/>
              </w:rPr>
              <w:t>。</w:t>
            </w:r>
          </w:p>
          <w:p w14:paraId="1E4FD312">
            <w:pPr>
              <w:autoSpaceDE w:val="0"/>
              <w:autoSpaceDN w:val="0"/>
              <w:spacing w:line="360" w:lineRule="auto"/>
              <w:jc w:val="left"/>
              <w:rPr>
                <w:rFonts w:hint="default" w:ascii="Times New Roman" w:hAnsi="Times New Roman" w:cs="Times New Roman"/>
                <w:color w:val="auto"/>
                <w:szCs w:val="21"/>
                <w:highlight w:val="none"/>
              </w:rPr>
            </w:pPr>
            <w:r>
              <w:rPr>
                <w:rFonts w:hint="eastAsia" w:cs="Times New Roman"/>
                <w:color w:val="auto"/>
                <w:szCs w:val="21"/>
                <w:highlight w:val="none"/>
                <w:lang w:val="en-US" w:eastAsia="zh-CN"/>
              </w:rPr>
              <w:t>媒体矩阵完善，</w:t>
            </w:r>
            <w:r>
              <w:rPr>
                <w:rFonts w:hint="default" w:ascii="Times New Roman" w:hAnsi="Times New Roman" w:cs="Times New Roman"/>
                <w:color w:val="auto"/>
                <w:szCs w:val="21"/>
                <w:highlight w:val="none"/>
              </w:rPr>
              <w:t>视频脚本清晰完整，拍摄措施先进具体，方案全面合理的得</w:t>
            </w:r>
            <w:r>
              <w:rPr>
                <w:rFonts w:hint="eastAsia" w:ascii="Times New Roman" w:hAnsi="Times New Roman" w:cs="Times New Roman"/>
                <w:color w:val="auto"/>
                <w:szCs w:val="21"/>
                <w:highlight w:val="none"/>
                <w:lang w:val="en-US" w:eastAsia="zh-CN"/>
              </w:rPr>
              <w:t>10</w:t>
            </w:r>
            <w:r>
              <w:rPr>
                <w:rFonts w:hint="default" w:ascii="Times New Roman" w:hAnsi="Times New Roman" w:cs="Times New Roman"/>
                <w:color w:val="auto"/>
                <w:szCs w:val="21"/>
                <w:highlight w:val="none"/>
              </w:rPr>
              <w:t>分；媒体矩阵</w:t>
            </w:r>
            <w:r>
              <w:rPr>
                <w:rFonts w:hint="eastAsia" w:cs="Times New Roman"/>
                <w:color w:val="auto"/>
                <w:szCs w:val="21"/>
                <w:highlight w:val="none"/>
                <w:lang w:val="en-US" w:eastAsia="zh-CN"/>
              </w:rPr>
              <w:t>较为完善，</w:t>
            </w:r>
            <w:r>
              <w:rPr>
                <w:rFonts w:hint="default" w:ascii="Times New Roman" w:hAnsi="Times New Roman" w:cs="Times New Roman"/>
                <w:color w:val="auto"/>
                <w:szCs w:val="21"/>
                <w:highlight w:val="none"/>
              </w:rPr>
              <w:t>视频脚本完整</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方案具体的得</w:t>
            </w:r>
            <w:r>
              <w:rPr>
                <w:rFonts w:hint="eastAsia" w:ascii="Times New Roman" w:hAnsi="Times New Roman" w:cs="Times New Roman"/>
                <w:color w:val="auto"/>
                <w:szCs w:val="21"/>
                <w:highlight w:val="none"/>
                <w:lang w:val="en-US" w:eastAsia="zh-CN"/>
              </w:rPr>
              <w:t>6</w:t>
            </w:r>
            <w:r>
              <w:rPr>
                <w:rFonts w:hint="default" w:ascii="Times New Roman" w:hAnsi="Times New Roman" w:cs="Times New Roman"/>
                <w:color w:val="auto"/>
                <w:szCs w:val="21"/>
                <w:highlight w:val="none"/>
              </w:rPr>
              <w:t>分；媒体矩阵基本完整但存在不足</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视频脚本</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方案有瑕疵的得</w:t>
            </w:r>
            <w:r>
              <w:rPr>
                <w:rFonts w:hint="eastAsia" w:ascii="Times New Roman" w:hAnsi="Times New Roman" w:cs="Times New Roman"/>
                <w:color w:val="auto"/>
                <w:szCs w:val="21"/>
                <w:highlight w:val="none"/>
                <w:lang w:val="en-US" w:eastAsia="zh-CN"/>
              </w:rPr>
              <w:t>2</w:t>
            </w:r>
            <w:r>
              <w:rPr>
                <w:rFonts w:hint="default" w:ascii="Times New Roman" w:hAnsi="Times New Roman" w:cs="Times New Roman"/>
                <w:color w:val="auto"/>
                <w:szCs w:val="21"/>
                <w:highlight w:val="none"/>
              </w:rPr>
              <w:t>分；未提供媒体矩阵</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未提供具体的方案或方案不符合采购需求的不得分。</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608F88EE">
            <w:pPr>
              <w:spacing w:line="360" w:lineRule="auto"/>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10</w:t>
            </w:r>
          </w:p>
        </w:tc>
      </w:tr>
      <w:tr w14:paraId="13046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op w:val="single" w:color="auto" w:sz="4" w:space="0"/>
              <w:left w:val="single" w:color="auto" w:sz="4" w:space="0"/>
              <w:right w:val="single" w:color="auto" w:sz="4" w:space="0"/>
            </w:tcBorders>
            <w:noWrap w:val="0"/>
            <w:vAlign w:val="center"/>
          </w:tcPr>
          <w:p w14:paraId="7E1FC14E">
            <w:pPr>
              <w:spacing w:line="360" w:lineRule="auto"/>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7</w:t>
            </w:r>
          </w:p>
        </w:tc>
        <w:tc>
          <w:tcPr>
            <w:tcW w:w="666" w:type="pct"/>
            <w:tcBorders>
              <w:left w:val="single" w:color="auto" w:sz="4" w:space="0"/>
              <w:right w:val="single" w:color="auto" w:sz="4" w:space="0"/>
            </w:tcBorders>
            <w:noWrap w:val="0"/>
            <w:vAlign w:val="center"/>
          </w:tcPr>
          <w:p w14:paraId="39690A29">
            <w:pPr>
              <w:spacing w:line="360" w:lineRule="auto"/>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视觉宣传设计方案</w:t>
            </w:r>
          </w:p>
        </w:tc>
        <w:tc>
          <w:tcPr>
            <w:tcW w:w="3391" w:type="pct"/>
            <w:tcBorders>
              <w:top w:val="single" w:color="auto" w:sz="4" w:space="0"/>
              <w:left w:val="single" w:color="auto" w:sz="4" w:space="0"/>
              <w:bottom w:val="single" w:color="auto" w:sz="4" w:space="0"/>
              <w:right w:val="single" w:color="auto" w:sz="4" w:space="0"/>
            </w:tcBorders>
            <w:noWrap w:val="0"/>
            <w:vAlign w:val="center"/>
          </w:tcPr>
          <w:p w14:paraId="72323C36">
            <w:pPr>
              <w:spacing w:line="360" w:lineRule="auto"/>
              <w:jc w:val="left"/>
              <w:rPr>
                <w:rFonts w:hint="eastAsia" w:ascii="宋体" w:hAnsi="宋体" w:eastAsia="宋体"/>
                <w:color w:val="auto"/>
                <w:szCs w:val="21"/>
                <w:highlight w:val="none"/>
                <w:lang w:eastAsia="zh-CN"/>
              </w:rPr>
            </w:pPr>
            <w:r>
              <w:rPr>
                <w:rFonts w:hint="eastAsia" w:ascii="宋体" w:hAnsi="宋体"/>
                <w:color w:val="auto"/>
                <w:szCs w:val="21"/>
                <w:highlight w:val="none"/>
              </w:rPr>
              <w:t>评委根据投标人针对本项目提供的活动主视觉设计</w:t>
            </w:r>
            <w:r>
              <w:rPr>
                <w:rFonts w:hint="eastAsia" w:ascii="宋体" w:hAnsi="宋体"/>
                <w:color w:val="auto"/>
                <w:szCs w:val="21"/>
                <w:highlight w:val="none"/>
                <w:lang w:eastAsia="zh-CN"/>
              </w:rPr>
              <w:t>、logo设计内容</w:t>
            </w:r>
            <w:r>
              <w:rPr>
                <w:rFonts w:hint="eastAsia" w:ascii="宋体" w:hAnsi="宋体"/>
                <w:color w:val="auto"/>
                <w:szCs w:val="21"/>
                <w:highlight w:val="none"/>
                <w:lang w:val="en-US" w:eastAsia="zh-CN"/>
              </w:rPr>
              <w:t>等视觉宣传设计方案</w:t>
            </w:r>
            <w:r>
              <w:rPr>
                <w:rFonts w:hint="eastAsia" w:ascii="宋体" w:hAnsi="宋体"/>
                <w:color w:val="auto"/>
                <w:szCs w:val="21"/>
                <w:highlight w:val="none"/>
              </w:rPr>
              <w:t>进行综合评审</w:t>
            </w:r>
            <w:r>
              <w:rPr>
                <w:rFonts w:hint="eastAsia" w:ascii="宋体" w:hAnsi="宋体"/>
                <w:color w:val="auto"/>
                <w:szCs w:val="21"/>
                <w:highlight w:val="none"/>
                <w:lang w:eastAsia="zh-CN"/>
              </w:rPr>
              <w:t>。</w:t>
            </w:r>
          </w:p>
          <w:p w14:paraId="2A2E39DE">
            <w:pPr>
              <w:spacing w:line="360" w:lineRule="auto"/>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方案设计贴合采购人需求、视觉创意突出、设计完整且具有较强品牌识别度，得10分；方案设计基本贴合采购人需求、视觉风格统一且具备一定设计感，得6分；方案内容简单、缺乏创意或设计完成度一般，得2分</w:t>
            </w:r>
            <w:r>
              <w:rPr>
                <w:rFonts w:hint="eastAsia"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未提供方案的不得分。</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1410EDD7">
            <w:pPr>
              <w:spacing w:line="360" w:lineRule="auto"/>
              <w:jc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10</w:t>
            </w:r>
          </w:p>
        </w:tc>
      </w:tr>
      <w:tr w14:paraId="5680D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op w:val="single" w:color="auto" w:sz="4" w:space="0"/>
              <w:left w:val="single" w:color="auto" w:sz="4" w:space="0"/>
              <w:right w:val="single" w:color="auto" w:sz="4" w:space="0"/>
            </w:tcBorders>
            <w:noWrap w:val="0"/>
            <w:vAlign w:val="center"/>
          </w:tcPr>
          <w:p w14:paraId="5BDECF0B">
            <w:pPr>
              <w:spacing w:line="360" w:lineRule="auto"/>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8</w:t>
            </w:r>
          </w:p>
        </w:tc>
        <w:tc>
          <w:tcPr>
            <w:tcW w:w="666" w:type="pct"/>
            <w:tcBorders>
              <w:left w:val="single" w:color="auto" w:sz="4" w:space="0"/>
              <w:right w:val="single" w:color="auto" w:sz="4" w:space="0"/>
            </w:tcBorders>
            <w:noWrap w:val="0"/>
            <w:vAlign w:val="center"/>
          </w:tcPr>
          <w:p w14:paraId="18C3CACB">
            <w:pPr>
              <w:spacing w:line="36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奖品兑换与发放分配方案</w:t>
            </w:r>
          </w:p>
        </w:tc>
        <w:tc>
          <w:tcPr>
            <w:tcW w:w="3391" w:type="pct"/>
            <w:tcBorders>
              <w:top w:val="single" w:color="auto" w:sz="4" w:space="0"/>
              <w:left w:val="single" w:color="auto" w:sz="4" w:space="0"/>
              <w:bottom w:val="single" w:color="auto" w:sz="4" w:space="0"/>
              <w:right w:val="single" w:color="auto" w:sz="4" w:space="0"/>
            </w:tcBorders>
            <w:noWrap w:val="0"/>
            <w:vAlign w:val="center"/>
          </w:tcPr>
          <w:p w14:paraId="26D3B4CD">
            <w:pPr>
              <w:spacing w:line="360" w:lineRule="auto"/>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评委根据投标人针对本项目提供的奖品兑换与发放分配方案进行综合评审</w:t>
            </w:r>
            <w:r>
              <w:rPr>
                <w:rFonts w:hint="eastAsia" w:ascii="宋体" w:hAnsi="宋体" w:cs="Times New Roman"/>
                <w:color w:val="auto"/>
                <w:szCs w:val="21"/>
                <w:highlight w:val="none"/>
                <w:lang w:eastAsia="zh-CN"/>
              </w:rPr>
              <w:t>。</w:t>
            </w:r>
          </w:p>
          <w:p w14:paraId="42992D61">
            <w:pPr>
              <w:spacing w:line="360" w:lineRule="auto"/>
              <w:jc w:val="lef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方案设计贴合采购人需求、兑换流程便捷高效、发放分配合理有序、具备完善的核销与异常处理机制，得10分；方案设计基本贴合采购人需求、兑换与发放流程完整且具备一定可操作性，得6分；方案内容空泛、兑换或发放流程不清晰、可操作性一般，得2分。本项最多10分，未提供方案的不得分。</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3446FF3B">
            <w:pPr>
              <w:spacing w:line="360" w:lineRule="auto"/>
              <w:jc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10</w:t>
            </w:r>
          </w:p>
        </w:tc>
      </w:tr>
      <w:tr w14:paraId="4134B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6" w:type="pct"/>
            <w:tcBorders>
              <w:top w:val="single" w:color="auto" w:sz="4" w:space="0"/>
              <w:left w:val="single" w:color="auto" w:sz="4" w:space="0"/>
              <w:right w:val="single" w:color="auto" w:sz="4" w:space="0"/>
            </w:tcBorders>
            <w:noWrap w:val="0"/>
            <w:vAlign w:val="center"/>
          </w:tcPr>
          <w:p w14:paraId="391597A2">
            <w:pPr>
              <w:spacing w:line="360" w:lineRule="auto"/>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9</w:t>
            </w:r>
          </w:p>
        </w:tc>
        <w:tc>
          <w:tcPr>
            <w:tcW w:w="666" w:type="pct"/>
            <w:tcBorders>
              <w:left w:val="single" w:color="auto" w:sz="4" w:space="0"/>
              <w:right w:val="single" w:color="auto" w:sz="4" w:space="0"/>
            </w:tcBorders>
            <w:noWrap w:val="0"/>
            <w:vAlign w:val="center"/>
          </w:tcPr>
          <w:p w14:paraId="0A8ABDB3">
            <w:pPr>
              <w:spacing w:line="36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应急方案</w:t>
            </w:r>
          </w:p>
        </w:tc>
        <w:tc>
          <w:tcPr>
            <w:tcW w:w="3391" w:type="pct"/>
            <w:tcBorders>
              <w:top w:val="single" w:color="auto" w:sz="4" w:space="0"/>
              <w:left w:val="single" w:color="auto" w:sz="4" w:space="0"/>
              <w:bottom w:val="single" w:color="auto" w:sz="4" w:space="0"/>
              <w:right w:val="single" w:color="auto" w:sz="4" w:space="0"/>
            </w:tcBorders>
            <w:noWrap w:val="0"/>
            <w:vAlign w:val="center"/>
          </w:tcPr>
          <w:p w14:paraId="162B7F7E">
            <w:pPr>
              <w:spacing w:line="360" w:lineRule="auto"/>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评委根据投标人针对本项目提供的应急方案措施进行综合评审</w:t>
            </w:r>
            <w:r>
              <w:rPr>
                <w:rFonts w:hint="eastAsia" w:ascii="宋体" w:hAnsi="宋体" w:cs="Times New Roman"/>
                <w:color w:val="auto"/>
                <w:szCs w:val="21"/>
                <w:highlight w:val="none"/>
                <w:lang w:eastAsia="zh-CN"/>
              </w:rPr>
              <w:t>。</w:t>
            </w:r>
          </w:p>
          <w:p w14:paraId="0C1D42EF">
            <w:pPr>
              <w:spacing w:line="360" w:lineRule="auto"/>
              <w:jc w:val="lef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方案措施贴合采购人需求、响应机制健全、处置流程清晰且具备可操作性，得5分；方案措施基本贴合采购人需求、具备基本的应急响应与处置流程，得3分；方案内容空泛、应急措施不明确或可操作性一般，得1分。本项最多5分，未提供方案的不得分。</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78C56BF8">
            <w:pPr>
              <w:spacing w:line="360" w:lineRule="auto"/>
              <w:jc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5</w:t>
            </w:r>
          </w:p>
        </w:tc>
      </w:tr>
      <w:tr w14:paraId="2E24C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44" w:type="pct"/>
            <w:gridSpan w:val="3"/>
            <w:tcBorders>
              <w:top w:val="single" w:color="auto" w:sz="4" w:space="0"/>
              <w:left w:val="single" w:color="auto" w:sz="4" w:space="0"/>
              <w:bottom w:val="single" w:color="auto" w:sz="4" w:space="0"/>
              <w:right w:val="single" w:color="auto" w:sz="4" w:space="0"/>
            </w:tcBorders>
            <w:noWrap w:val="0"/>
            <w:vAlign w:val="center"/>
          </w:tcPr>
          <w:p w14:paraId="2C265F68">
            <w:pPr>
              <w:spacing w:line="36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合计</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1CF7959F">
            <w:pPr>
              <w:spacing w:line="36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100</w:t>
            </w:r>
          </w:p>
        </w:tc>
      </w:tr>
      <w:bookmarkEnd w:id="345"/>
    </w:tbl>
    <w:p w14:paraId="1CA0C9DE">
      <w:pPr>
        <w:spacing w:line="360" w:lineRule="auto"/>
        <w:rPr>
          <w:rFonts w:hint="default" w:ascii="Times New Roman" w:hAnsi="Times New Roman" w:cs="Times New Roman"/>
          <w:b/>
          <w:bCs/>
          <w:color w:val="auto"/>
          <w:kern w:val="0"/>
          <w:szCs w:val="21"/>
          <w:highlight w:val="none"/>
        </w:rPr>
      </w:pPr>
    </w:p>
    <w:p w14:paraId="56654820">
      <w:pPr>
        <w:spacing w:line="360" w:lineRule="auto"/>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注：</w:t>
      </w:r>
    </w:p>
    <w:p w14:paraId="38205C88">
      <w:pPr>
        <w:tabs>
          <w:tab w:val="left" w:pos="1080"/>
          <w:tab w:val="left" w:pos="1589"/>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落实政府采购政策的价格调整：符合第二章《投标人须知》4条规定情形的，可以享受中小企业扶持政策，用扣除后的价格参加评审。</w:t>
      </w:r>
    </w:p>
    <w:p w14:paraId="34D2AC68">
      <w:pPr>
        <w:tabs>
          <w:tab w:val="left" w:pos="1080"/>
          <w:tab w:val="left" w:pos="1589"/>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1、对于未预留份额专门面向中小企业采购的采购项目，以及预留份额项目中的非预留部分采购包，对小微企业报价给予</w:t>
      </w:r>
      <w:r>
        <w:rPr>
          <w:rFonts w:hint="default" w:ascii="Times New Roman" w:hAnsi="Times New Roman" w:cs="Times New Roman"/>
          <w:color w:val="auto"/>
          <w:szCs w:val="21"/>
          <w:highlight w:val="none"/>
          <w:u w:val="single"/>
        </w:rPr>
        <w:t>10</w:t>
      </w:r>
      <w:r>
        <w:rPr>
          <w:rFonts w:hint="default" w:ascii="Times New Roman" w:hAnsi="Times New Roman" w:cs="Times New Roman"/>
          <w:color w:val="auto"/>
          <w:szCs w:val="21"/>
          <w:highlight w:val="none"/>
        </w:rPr>
        <w:t>%的扣除，用扣除后的价格参加评审。</w:t>
      </w:r>
    </w:p>
    <w:p w14:paraId="60A3CF4E">
      <w:pPr>
        <w:tabs>
          <w:tab w:val="left" w:pos="1080"/>
          <w:tab w:val="left" w:pos="1589"/>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14930D10">
      <w:pPr>
        <w:tabs>
          <w:tab w:val="left" w:pos="1080"/>
          <w:tab w:val="left" w:pos="1589"/>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3、组成联合体或者接受分包的小微企业与联合体内其他企业、分包企业之间存在直接控股、管理关系的，不享受价格扣除优惠政策。</w:t>
      </w:r>
    </w:p>
    <w:p w14:paraId="7E472FC1">
      <w:pPr>
        <w:tabs>
          <w:tab w:val="left" w:pos="1080"/>
          <w:tab w:val="left" w:pos="1589"/>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4、价格扣除比例对小型企业和微型企业同等对待，不作区分。</w:t>
      </w:r>
    </w:p>
    <w:p w14:paraId="2AACE6F4">
      <w:pPr>
        <w:tabs>
          <w:tab w:val="left" w:pos="1080"/>
          <w:tab w:val="left" w:pos="1589"/>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5、中小企业参加政府采购活动，应当按照招标文件给定的格式出具《中小企业声明函》，否则不得享受相关中小企业扶持政策。</w:t>
      </w:r>
    </w:p>
    <w:p w14:paraId="6EE2E5AA">
      <w:pPr>
        <w:tabs>
          <w:tab w:val="left" w:pos="1080"/>
          <w:tab w:val="left" w:pos="1589"/>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6、监狱企业提供了由省级以上监狱管理局、戒毒管理局（含新疆生产建设兵团）出具的属于监狱企业的证明文件的，视同小微企业。</w:t>
      </w:r>
    </w:p>
    <w:p w14:paraId="18BC82FB">
      <w:pPr>
        <w:tabs>
          <w:tab w:val="left" w:pos="1080"/>
          <w:tab w:val="left" w:pos="1589"/>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7、残疾人福利性单位按招标文件要求提供了《残疾人福利性单位声明函》（见附件）的，视同小微企业。</w:t>
      </w:r>
    </w:p>
    <w:p w14:paraId="62CAC681">
      <w:pPr>
        <w:tabs>
          <w:tab w:val="left" w:pos="1080"/>
          <w:tab w:val="left" w:pos="1589"/>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8、若投标人同时属于小型或微型企业、监狱企业、残疾人福利性单位中的两种及以上，将不重复享受小微企业价格扣减的优惠政策。</w:t>
      </w:r>
    </w:p>
    <w:p w14:paraId="3AABB6D3">
      <w:pPr>
        <w:tabs>
          <w:tab w:val="left" w:pos="1080"/>
          <w:tab w:val="left" w:pos="1589"/>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9、非政府强制采购的节能产品或环境标志产品，依据品目清单和认证证书实施政府优先采购。优先采购的具体规定（如涉及）</w:t>
      </w:r>
      <w:r>
        <w:rPr>
          <w:rFonts w:hint="default" w:ascii="Times New Roman" w:hAnsi="Times New Roman" w:cs="Times New Roman"/>
          <w:color w:val="auto"/>
          <w:szCs w:val="21"/>
          <w:highlight w:val="none"/>
          <w:u w:val="single"/>
        </w:rPr>
        <w:t xml:space="preserve">  / </w:t>
      </w:r>
      <w:r>
        <w:rPr>
          <w:rFonts w:hint="default" w:ascii="Times New Roman" w:hAnsi="Times New Roman" w:cs="Times New Roman"/>
          <w:color w:val="auto"/>
          <w:szCs w:val="21"/>
          <w:highlight w:val="none"/>
        </w:rPr>
        <w:t xml:space="preserve"> 。</w:t>
      </w:r>
    </w:p>
    <w:p w14:paraId="6F83EC67">
      <w:pPr>
        <w:tabs>
          <w:tab w:val="left" w:pos="1080"/>
          <w:tab w:val="left" w:pos="1589"/>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10、关于无线局域网认证产品政府采购清单中的产品，优先采购的具体规定（如涉及）</w:t>
      </w:r>
      <w:r>
        <w:rPr>
          <w:rFonts w:hint="default" w:ascii="Times New Roman" w:hAnsi="Times New Roman" w:cs="Times New Roman"/>
          <w:color w:val="auto"/>
          <w:szCs w:val="21"/>
          <w:highlight w:val="none"/>
          <w:u w:val="single"/>
        </w:rPr>
        <w:t xml:space="preserve">  / </w:t>
      </w:r>
      <w:r>
        <w:rPr>
          <w:rFonts w:hint="default" w:ascii="Times New Roman" w:hAnsi="Times New Roman" w:cs="Times New Roman"/>
          <w:color w:val="auto"/>
          <w:szCs w:val="21"/>
          <w:highlight w:val="none"/>
        </w:rPr>
        <w:t>。</w:t>
      </w:r>
    </w:p>
    <w:p w14:paraId="5D5222A7">
      <w:pPr>
        <w:tabs>
          <w:tab w:val="left" w:pos="1080"/>
          <w:tab w:val="left" w:pos="1589"/>
        </w:tabs>
        <w:spacing w:line="360" w:lineRule="auto"/>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二、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p>
    <w:p w14:paraId="08C3098A">
      <w:pPr>
        <w:tabs>
          <w:tab w:val="left" w:pos="1080"/>
          <w:tab w:val="left" w:pos="1589"/>
        </w:tabs>
        <w:spacing w:line="360" w:lineRule="auto"/>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1.政府采购活动中既有本国产品又有非本国产品参与竞争的，依法对本国产品给予价格评审优惠，对本国产品的报价给予20%的价格扣除，用扣除后的价格参与评审。</w:t>
      </w:r>
    </w:p>
    <w:p w14:paraId="70EDABC4">
      <w:pPr>
        <w:tabs>
          <w:tab w:val="left" w:pos="1080"/>
          <w:tab w:val="left" w:pos="1589"/>
        </w:tabs>
        <w:spacing w:line="360" w:lineRule="auto"/>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1B88D39">
      <w:pPr>
        <w:tabs>
          <w:tab w:val="left" w:pos="1080"/>
          <w:tab w:val="left" w:pos="1589"/>
        </w:tabs>
        <w:spacing w:line="360" w:lineRule="auto"/>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A6714F6">
      <w:pPr>
        <w:tabs>
          <w:tab w:val="left" w:pos="1080"/>
          <w:tab w:val="left" w:pos="1589"/>
        </w:tabs>
        <w:spacing w:line="360" w:lineRule="auto"/>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6090ECB">
      <w:pPr>
        <w:tabs>
          <w:tab w:val="left" w:pos="1080"/>
          <w:tab w:val="left" w:pos="1589"/>
        </w:tabs>
        <w:spacing w:line="360" w:lineRule="auto"/>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p w14:paraId="1A69E913">
      <w:pPr>
        <w:pStyle w:val="34"/>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bookmarkStart w:id="346" w:name="_Toc17029"/>
      <w:r>
        <w:rPr>
          <w:rFonts w:hint="default" w:ascii="Times New Roman" w:hAnsi="Times New Roman" w:cs="Times New Roman"/>
          <w:color w:val="auto"/>
          <w:highlight w:val="none"/>
        </w:rPr>
        <w:t xml:space="preserve">第六章 </w:t>
      </w:r>
      <w:bookmarkEnd w:id="344"/>
      <w:r>
        <w:rPr>
          <w:rFonts w:hint="default" w:ascii="Times New Roman" w:hAnsi="Times New Roman" w:cs="Times New Roman"/>
          <w:color w:val="auto"/>
          <w:highlight w:val="none"/>
        </w:rPr>
        <w:t>投标文件格式</w:t>
      </w:r>
      <w:bookmarkEnd w:id="346"/>
    </w:p>
    <w:p w14:paraId="3392E932">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注：请投标人按照以下文件的要求格式、内容，顺序制作投标文件，并请编制目录及页码，否则可能将影响对投标文件的评价。</w:t>
      </w:r>
    </w:p>
    <w:p w14:paraId="0EB7159A">
      <w:pPr>
        <w:pStyle w:val="81"/>
        <w:spacing w:line="265" w:lineRule="atLeast"/>
        <w:ind w:firstLine="0" w:firstLineChars="0"/>
        <w:rPr>
          <w:rFonts w:hint="default" w:ascii="Times New Roman" w:hAnsi="Times New Roman" w:eastAsia="宋体" w:cs="Times New Roman"/>
          <w:b/>
          <w:color w:val="auto"/>
          <w:sz w:val="24"/>
          <w:highlight w:val="none"/>
        </w:rPr>
      </w:pPr>
    </w:p>
    <w:p w14:paraId="579F7842">
      <w:pPr>
        <w:spacing w:before="100" w:after="100" w:line="360" w:lineRule="auto"/>
        <w:jc w:val="left"/>
        <w:rPr>
          <w:rFonts w:hint="default" w:ascii="Times New Roman" w:hAnsi="Times New Roman" w:cs="Times New Roman"/>
          <w:color w:val="auto"/>
          <w:sz w:val="24"/>
          <w:highlight w:val="none"/>
        </w:rPr>
      </w:pPr>
      <w:bookmarkStart w:id="347" w:name="_Toc96347900"/>
      <w:r>
        <w:rPr>
          <w:rFonts w:hint="default" w:ascii="Times New Roman" w:hAnsi="Times New Roman" w:cs="Times New Roman"/>
          <w:color w:val="auto"/>
          <w:sz w:val="24"/>
          <w:highlight w:val="none"/>
        </w:rPr>
        <w:br w:type="page"/>
      </w:r>
    </w:p>
    <w:p w14:paraId="5BCC1B54">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pPr>
      <w:r>
        <w:rPr>
          <w:rFonts w:ascii="宋体" w:hAnsi="宋体" w:eastAsia="宋体" w:cs="宋体"/>
          <w:b/>
          <w:bCs/>
          <w:color w:val="000000"/>
          <w:sz w:val="72"/>
          <w:szCs w:val="72"/>
        </w:rPr>
        <w:t>投标文件</w:t>
      </w:r>
    </w:p>
    <w:p w14:paraId="783CE4D4">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b/>
          <w:bCs/>
          <w:color w:val="000000"/>
          <w:sz w:val="72"/>
          <w:szCs w:val="72"/>
        </w:rPr>
      </w:pPr>
    </w:p>
    <w:p w14:paraId="1C93EB47">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b/>
          <w:bCs/>
          <w:color w:val="000000"/>
          <w:sz w:val="72"/>
          <w:szCs w:val="72"/>
        </w:rPr>
      </w:pPr>
    </w:p>
    <w:p w14:paraId="5C1602B9">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p w14:paraId="772E60D7">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p w14:paraId="0DB2B765">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p w14:paraId="433627C2">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p w14:paraId="3D00D090">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p w14:paraId="6102853A">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p w14:paraId="7B408E6C">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pPr>
      <w:r>
        <w:rPr>
          <w:rFonts w:ascii="宋体" w:hAnsi="宋体" w:eastAsia="宋体" w:cs="宋体"/>
          <w:b/>
          <w:bCs/>
          <w:color w:val="000000"/>
          <w:sz w:val="36"/>
          <w:szCs w:val="36"/>
        </w:rPr>
        <w:t>项 目 名 称：</w:t>
      </w:r>
      <w:r>
        <w:rPr>
          <w:rFonts w:ascii="宋体" w:hAnsi="宋体" w:eastAsia="宋体" w:cs="宋体"/>
          <w:b/>
          <w:bCs/>
          <w:color w:val="000000"/>
          <w:sz w:val="36"/>
          <w:szCs w:val="36"/>
          <w:u w:val="single"/>
        </w:rPr>
        <w:t>               </w:t>
      </w:r>
    </w:p>
    <w:p w14:paraId="37C64122">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pPr>
      <w:r>
        <w:rPr>
          <w:rFonts w:ascii="宋体" w:hAnsi="宋体" w:eastAsia="宋体" w:cs="宋体"/>
          <w:b/>
          <w:bCs/>
          <w:color w:val="000000"/>
          <w:sz w:val="36"/>
          <w:szCs w:val="36"/>
        </w:rPr>
        <w:t>招 标 编 号：</w:t>
      </w:r>
      <w:r>
        <w:rPr>
          <w:rFonts w:ascii="宋体" w:hAnsi="宋体" w:eastAsia="宋体" w:cs="宋体"/>
          <w:b/>
          <w:bCs/>
          <w:color w:val="000000"/>
          <w:sz w:val="36"/>
          <w:szCs w:val="36"/>
          <w:u w:val="single"/>
        </w:rPr>
        <w:t>               </w:t>
      </w:r>
    </w:p>
    <w:p w14:paraId="28A3B794">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1084" w:firstLineChars="300"/>
        <w:jc w:val="both"/>
      </w:pPr>
      <w:r>
        <w:rPr>
          <w:rFonts w:ascii="宋体" w:hAnsi="宋体" w:eastAsia="宋体" w:cs="宋体"/>
          <w:b/>
          <w:bCs/>
          <w:color w:val="000000"/>
          <w:sz w:val="36"/>
          <w:szCs w:val="36"/>
        </w:rPr>
        <w:t>投标人名称 ：</w:t>
      </w:r>
      <w:r>
        <w:rPr>
          <w:rFonts w:ascii="宋体" w:hAnsi="宋体" w:eastAsia="宋体" w:cs="宋体"/>
          <w:b/>
          <w:bCs/>
          <w:color w:val="000000"/>
          <w:sz w:val="36"/>
          <w:szCs w:val="36"/>
          <w:u w:val="single"/>
        </w:rPr>
        <w:t>（加盖CA电子公章）</w:t>
      </w:r>
    </w:p>
    <w:p w14:paraId="71A23813">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hint="eastAsia" w:ascii="宋体" w:hAnsi="宋体" w:cs="宋体"/>
          <w:b/>
          <w:bCs/>
          <w:color w:val="000000"/>
          <w:sz w:val="36"/>
          <w:szCs w:val="36"/>
          <w:lang w:val="en-US" w:eastAsia="zh-CN"/>
        </w:rPr>
        <w:t xml:space="preserve">      </w:t>
      </w:r>
      <w:r>
        <w:rPr>
          <w:rFonts w:ascii="宋体" w:hAnsi="宋体" w:eastAsia="宋体" w:cs="宋体"/>
          <w:b/>
          <w:bCs/>
          <w:color w:val="000000"/>
          <w:sz w:val="36"/>
          <w:szCs w:val="36"/>
        </w:rPr>
        <w:t>日期 ：</w:t>
      </w:r>
      <w:r>
        <w:rPr>
          <w:rFonts w:ascii="宋体" w:hAnsi="宋体" w:eastAsia="宋体" w:cs="宋体"/>
          <w:b/>
          <w:bCs/>
          <w:color w:val="000000"/>
          <w:sz w:val="36"/>
          <w:szCs w:val="36"/>
          <w:u w:val="single"/>
        </w:rPr>
        <w:t>               </w:t>
      </w:r>
    </w:p>
    <w:p w14:paraId="4310FB9F">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p>
    <w:p w14:paraId="238411EF">
      <w:pPr>
        <w:pStyle w:val="21"/>
        <w:adjustRightInd w:val="0"/>
        <w:snapToGrid w:val="0"/>
        <w:spacing w:before="156" w:beforeLines="50" w:line="360" w:lineRule="exact"/>
        <w:jc w:val="center"/>
        <w:rPr>
          <w:rFonts w:hint="default" w:ascii="Times New Roman" w:hAnsi="Times New Roman" w:cs="Times New Roman"/>
          <w:b/>
          <w:color w:val="auto"/>
          <w:highlight w:val="none"/>
        </w:rPr>
      </w:pPr>
    </w:p>
    <w:p w14:paraId="772A9D8A">
      <w:pPr>
        <w:rPr>
          <w:rFonts w:hint="default" w:ascii="Times New Roman" w:hAnsi="Times New Roman" w:cs="Times New Roman"/>
          <w:b/>
          <w:color w:val="auto"/>
          <w:highlight w:val="none"/>
        </w:rPr>
      </w:pPr>
      <w:r>
        <w:rPr>
          <w:rFonts w:hint="default" w:ascii="Times New Roman" w:hAnsi="Times New Roman" w:cs="Times New Roman"/>
          <w:b/>
          <w:color w:val="auto"/>
          <w:highlight w:val="none"/>
        </w:rPr>
        <w:br w:type="page"/>
      </w:r>
    </w:p>
    <w:p w14:paraId="20CB8360">
      <w:pPr>
        <w:pStyle w:val="4"/>
        <w:keepNext w:val="0"/>
        <w:keepLines w:val="0"/>
        <w:widowControl/>
        <w:suppressLineNumbers w:val="0"/>
        <w:jc w:val="center"/>
      </w:pPr>
      <w:r>
        <w:rPr>
          <w:rStyle w:val="40"/>
          <w:b/>
          <w:bCs/>
        </w:rPr>
        <w:t>开标一览表（总价）</w:t>
      </w:r>
    </w:p>
    <w:p w14:paraId="3F0DBD26">
      <w:pPr>
        <w:pStyle w:val="33"/>
        <w:keepNext w:val="0"/>
        <w:keepLines w:val="0"/>
        <w:widowControl/>
        <w:suppressLineNumbers w:val="0"/>
      </w:pPr>
      <w:r>
        <w:t>投标人全称（CA公章）：</w:t>
      </w:r>
      <w:r>
        <w:rPr>
          <w:rStyle w:val="99"/>
        </w:rPr>
        <w:t>供应商名称</w:t>
      </w:r>
      <w:r>
        <w:t> </w:t>
      </w:r>
    </w:p>
    <w:p w14:paraId="7006FE03">
      <w:pPr>
        <w:pStyle w:val="33"/>
        <w:keepNext w:val="0"/>
        <w:keepLines w:val="0"/>
        <w:widowControl/>
        <w:suppressLineNumbers w:val="0"/>
      </w:pPr>
      <w:r>
        <w:t xml:space="preserve">项目名称： </w:t>
      </w:r>
      <w:r>
        <w:rPr>
          <w:rStyle w:val="99"/>
        </w:rPr>
        <w:t>项目名称</w:t>
      </w:r>
    </w:p>
    <w:p w14:paraId="4C7871FB">
      <w:pPr>
        <w:pStyle w:val="33"/>
        <w:keepNext w:val="0"/>
        <w:keepLines w:val="0"/>
        <w:widowControl/>
        <w:suppressLineNumbers w:val="0"/>
      </w:pPr>
      <w:r>
        <w:t xml:space="preserve">项目编号： </w:t>
      </w:r>
      <w:r>
        <w:rPr>
          <w:rStyle w:val="99"/>
        </w:rPr>
        <w:t>项目编号</w:t>
      </w:r>
    </w:p>
    <w:p w14:paraId="4A81A19D">
      <w:pPr>
        <w:pStyle w:val="33"/>
        <w:keepNext w:val="0"/>
        <w:keepLines w:val="0"/>
        <w:widowControl/>
        <w:suppressLineNumbers w:val="0"/>
      </w:pPr>
      <w:r>
        <w:t>分包号：</w:t>
      </w:r>
      <w:r>
        <w:rPr>
          <w:rStyle w:val="99"/>
        </w:rPr>
        <w:t>分包号</w:t>
      </w:r>
    </w:p>
    <w:tbl>
      <w:tblPr>
        <w:tblStyle w:val="37"/>
        <w:tblW w:w="4515" w:type="pct"/>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186"/>
        <w:gridCol w:w="5806"/>
      </w:tblGrid>
      <w:tr w14:paraId="018FDE8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405" w:hRule="atLeast"/>
          <w:tblCellSpacing w:w="15" w:type="dxa"/>
        </w:trPr>
        <w:tc>
          <w:tcPr>
            <w:tcW w:w="898" w:type="pct"/>
            <w:shd w:val="clear" w:color="auto" w:fill="auto"/>
            <w:vAlign w:val="center"/>
          </w:tcPr>
          <w:p w14:paraId="23DBBC52">
            <w:pPr>
              <w:pStyle w:val="33"/>
              <w:keepNext w:val="0"/>
              <w:keepLines w:val="0"/>
              <w:widowControl/>
              <w:suppressLineNumbers w:val="0"/>
              <w:jc w:val="center"/>
            </w:pPr>
            <w:r>
              <w:t>投标项目名称</w:t>
            </w:r>
          </w:p>
        </w:tc>
        <w:tc>
          <w:tcPr>
            <w:tcW w:w="2416" w:type="pct"/>
            <w:shd w:val="clear" w:color="auto" w:fill="auto"/>
            <w:vAlign w:val="center"/>
          </w:tcPr>
          <w:p w14:paraId="7719A787">
            <w:pPr>
              <w:pStyle w:val="33"/>
              <w:keepNext w:val="0"/>
              <w:keepLines w:val="0"/>
              <w:widowControl/>
              <w:suppressLineNumbers w:val="0"/>
              <w:jc w:val="center"/>
            </w:pPr>
            <w:r>
              <w:t>总价（小写）</w:t>
            </w:r>
          </w:p>
        </w:tc>
      </w:tr>
      <w:tr w14:paraId="6E1EA19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413" w:hRule="atLeast"/>
          <w:tblCellSpacing w:w="15" w:type="dxa"/>
        </w:trPr>
        <w:tc>
          <w:tcPr>
            <w:tcW w:w="898" w:type="pct"/>
            <w:shd w:val="clear" w:color="auto" w:fill="auto"/>
            <w:vAlign w:val="center"/>
          </w:tcPr>
          <w:p w14:paraId="6BA42B30">
            <w:pPr>
              <w:keepNext w:val="0"/>
              <w:keepLines w:val="0"/>
              <w:widowControl/>
              <w:suppressLineNumbers w:val="0"/>
              <w:jc w:val="center"/>
            </w:pPr>
            <w:r>
              <w:rPr>
                <w:rStyle w:val="99"/>
                <w:rFonts w:ascii="宋体" w:hAnsi="宋体" w:eastAsia="宋体" w:cs="宋体"/>
                <w:kern w:val="0"/>
                <w:sz w:val="24"/>
                <w:szCs w:val="24"/>
                <w:lang w:val="en-US" w:eastAsia="zh-CN" w:bidi="ar"/>
              </w:rPr>
              <w:t>投标项目名称</w:t>
            </w:r>
          </w:p>
        </w:tc>
        <w:tc>
          <w:tcPr>
            <w:tcW w:w="2416" w:type="pct"/>
            <w:shd w:val="clear" w:color="auto" w:fill="auto"/>
            <w:vAlign w:val="center"/>
          </w:tcPr>
          <w:p w14:paraId="6DBC81BA">
            <w:pPr>
              <w:pStyle w:val="33"/>
              <w:keepNext w:val="0"/>
              <w:keepLines w:val="0"/>
              <w:widowControl/>
              <w:suppressLineNumbers w:val="0"/>
            </w:pPr>
            <w:r>
              <w:rPr>
                <w:rFonts w:hint="eastAsia"/>
                <w:lang w:val="en-US" w:eastAsia="zh-CN"/>
              </w:rPr>
              <w:t xml:space="preserve">                 </w:t>
            </w:r>
            <w:r>
              <w:t>元</w:t>
            </w:r>
          </w:p>
        </w:tc>
      </w:tr>
    </w:tbl>
    <w:p w14:paraId="707ACAF0">
      <w:pPr>
        <w:pStyle w:val="33"/>
        <w:keepNext w:val="0"/>
        <w:keepLines w:val="0"/>
        <w:widowControl/>
        <w:suppressLineNumbers w:val="0"/>
        <w:jc w:val="right"/>
      </w:pPr>
      <w:r>
        <w:rPr>
          <w:rFonts w:hint="eastAsia"/>
          <w:lang w:val="en-US" w:eastAsia="zh-CN"/>
        </w:rPr>
        <w:t xml:space="preserve">    </w:t>
      </w:r>
      <w:r>
        <w:t>年</w:t>
      </w:r>
      <w:r>
        <w:rPr>
          <w:rStyle w:val="99"/>
          <w:rFonts w:hint="eastAsia"/>
          <w:lang w:val="en-US" w:eastAsia="zh-CN"/>
        </w:rPr>
        <w:t xml:space="preserve">  </w:t>
      </w:r>
      <w:r>
        <w:t>月</w:t>
      </w:r>
      <w:r>
        <w:rPr>
          <w:rStyle w:val="99"/>
          <w:rFonts w:hint="eastAsia"/>
          <w:lang w:val="en-US" w:eastAsia="zh-CN"/>
        </w:rPr>
        <w:t xml:space="preserve">  </w:t>
      </w:r>
      <w:r>
        <w:t>日</w:t>
      </w:r>
    </w:p>
    <w:p w14:paraId="4463C6FF">
      <w:pPr>
        <w:pStyle w:val="21"/>
        <w:adjustRightInd w:val="0"/>
        <w:snapToGrid w:val="0"/>
        <w:spacing w:before="156" w:beforeLines="50" w:line="360" w:lineRule="exact"/>
        <w:jc w:val="center"/>
        <w:rPr>
          <w:rFonts w:hint="default" w:ascii="Times New Roman" w:hAnsi="Times New Roman" w:cs="Times New Roman"/>
          <w:bCs w:val="0"/>
          <w:color w:val="auto"/>
          <w:sz w:val="21"/>
          <w:szCs w:val="24"/>
          <w:highlight w:val="none"/>
        </w:rPr>
      </w:pPr>
      <w:r>
        <w:rPr>
          <w:rFonts w:hint="default" w:ascii="Times New Roman" w:hAnsi="Times New Roman" w:cs="Times New Roman"/>
          <w:b/>
          <w:color w:val="auto"/>
          <w:highlight w:val="none"/>
        </w:rPr>
        <w:br w:type="page"/>
      </w:r>
      <w:bookmarkStart w:id="348" w:name="_Toc9752"/>
      <w:r>
        <w:rPr>
          <w:rFonts w:hint="default" w:ascii="Times New Roman" w:hAnsi="Times New Roman" w:cs="Times New Roman"/>
          <w:bCs w:val="0"/>
          <w:color w:val="auto"/>
          <w:sz w:val="24"/>
          <w:szCs w:val="24"/>
          <w:highlight w:val="none"/>
        </w:rPr>
        <w:t>法定代表人（单位负责人）授权委托书（适用于法人/非法人）</w:t>
      </w:r>
      <w:bookmarkEnd w:id="348"/>
    </w:p>
    <w:p w14:paraId="65EE0B8A">
      <w:pPr>
        <w:jc w:val="center"/>
        <w:rPr>
          <w:rFonts w:hint="default" w:ascii="Times New Roman" w:hAnsi="Times New Roman" w:cs="Times New Roman"/>
          <w:b/>
          <w:bCs/>
          <w:color w:val="auto"/>
          <w:sz w:val="24"/>
          <w:highlight w:val="none"/>
        </w:rPr>
      </w:pPr>
    </w:p>
    <w:p w14:paraId="5E9ACF97">
      <w:pPr>
        <w:spacing w:line="30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本授权书声明：注册于</w:t>
      </w:r>
      <w:r>
        <w:rPr>
          <w:rFonts w:hint="default" w:ascii="Times New Roman" w:hAnsi="Times New Roman" w:cs="Times New Roman"/>
          <w:color w:val="auto"/>
          <w:szCs w:val="21"/>
          <w:highlight w:val="none"/>
          <w:u w:val="single"/>
        </w:rPr>
        <w:t>（国家或地区的名称）</w:t>
      </w:r>
      <w:r>
        <w:rPr>
          <w:rFonts w:hint="default" w:ascii="Times New Roman" w:hAnsi="Times New Roman" w:cs="Times New Roman"/>
          <w:color w:val="auto"/>
          <w:szCs w:val="21"/>
          <w:highlight w:val="none"/>
        </w:rPr>
        <w:t>的</w:t>
      </w:r>
      <w:r>
        <w:rPr>
          <w:rFonts w:hint="default" w:ascii="Times New Roman" w:hAnsi="Times New Roman" w:cs="Times New Roman"/>
          <w:color w:val="auto"/>
          <w:szCs w:val="21"/>
          <w:highlight w:val="none"/>
          <w:u w:val="single"/>
        </w:rPr>
        <w:t xml:space="preserve">         （单位名称）      </w:t>
      </w:r>
      <w:r>
        <w:rPr>
          <w:rFonts w:hint="default" w:ascii="Times New Roman" w:hAnsi="Times New Roman" w:cs="Times New Roman"/>
          <w:color w:val="auto"/>
          <w:szCs w:val="21"/>
          <w:highlight w:val="none"/>
        </w:rPr>
        <w:t>的在法定代表人（签字或盖章）处签字的</w:t>
      </w:r>
      <w:r>
        <w:rPr>
          <w:rFonts w:hint="default" w:ascii="Times New Roman" w:hAnsi="Times New Roman" w:cs="Times New Roman"/>
          <w:color w:val="auto"/>
          <w:szCs w:val="21"/>
          <w:highlight w:val="none"/>
          <w:u w:val="single"/>
        </w:rPr>
        <w:t xml:space="preserve">   （法定代表人姓名、职务）   </w:t>
      </w:r>
      <w:r>
        <w:rPr>
          <w:rFonts w:hint="default" w:ascii="Times New Roman" w:hAnsi="Times New Roman" w:cs="Times New Roman"/>
          <w:color w:val="auto"/>
          <w:szCs w:val="21"/>
          <w:highlight w:val="none"/>
        </w:rPr>
        <w:t xml:space="preserve">代表本单位授权 </w:t>
      </w:r>
      <w:r>
        <w:rPr>
          <w:rFonts w:hint="default" w:ascii="Times New Roman" w:hAnsi="Times New Roman" w:cs="Times New Roman"/>
          <w:color w:val="auto"/>
          <w:szCs w:val="21"/>
          <w:highlight w:val="none"/>
          <w:u w:val="single"/>
        </w:rPr>
        <w:t xml:space="preserve">        （单位名称）      </w:t>
      </w:r>
      <w:r>
        <w:rPr>
          <w:rFonts w:hint="default" w:ascii="Times New Roman" w:hAnsi="Times New Roman" w:cs="Times New Roman"/>
          <w:color w:val="auto"/>
          <w:szCs w:val="21"/>
          <w:highlight w:val="none"/>
        </w:rPr>
        <w:t>的在授权代表（签字）处签字的</w:t>
      </w:r>
      <w:r>
        <w:rPr>
          <w:rFonts w:hint="default" w:ascii="Times New Roman" w:hAnsi="Times New Roman" w:cs="Times New Roman"/>
          <w:color w:val="auto"/>
          <w:szCs w:val="21"/>
          <w:highlight w:val="none"/>
          <w:u w:val="single"/>
        </w:rPr>
        <w:t>（授权代表的姓名、职务）（身份证号码：             ）</w:t>
      </w:r>
      <w:r>
        <w:rPr>
          <w:rFonts w:hint="default" w:ascii="Times New Roman" w:hAnsi="Times New Roman" w:cs="Times New Roman"/>
          <w:color w:val="auto"/>
          <w:szCs w:val="21"/>
          <w:highlight w:val="none"/>
        </w:rPr>
        <w:t>为本单位的合法代理人，就</w:t>
      </w:r>
      <w:r>
        <w:rPr>
          <w:rFonts w:hint="default" w:ascii="Times New Roman" w:hAnsi="Times New Roman" w:cs="Times New Roman"/>
          <w:color w:val="auto"/>
          <w:szCs w:val="21"/>
          <w:highlight w:val="none"/>
          <w:u w:val="single"/>
        </w:rPr>
        <w:t xml:space="preserve">          （项目名称、项目编号）         </w:t>
      </w:r>
      <w:r>
        <w:rPr>
          <w:rFonts w:hint="default" w:ascii="Times New Roman" w:hAnsi="Times New Roman" w:cs="Times New Roman"/>
          <w:color w:val="auto"/>
          <w:szCs w:val="21"/>
          <w:highlight w:val="none"/>
        </w:rPr>
        <w:t>，以本单位名义处理一切与之相关的事务，其后果由我单位承担。</w:t>
      </w:r>
    </w:p>
    <w:p w14:paraId="2F5AD75E">
      <w:pPr>
        <w:spacing w:line="3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代理人无转委托权，特此委托。</w:t>
      </w:r>
    </w:p>
    <w:p w14:paraId="6EAF9A62">
      <w:pPr>
        <w:spacing w:line="30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委托期限：自本授权委托书签署之日起至投标有效期届满之日止。</w:t>
      </w:r>
    </w:p>
    <w:p w14:paraId="45518533">
      <w:pPr>
        <w:spacing w:line="30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投标人名称（</w:t>
      </w:r>
      <w:r>
        <w:rPr>
          <w:rFonts w:hint="default" w:ascii="Times New Roman" w:hAnsi="Times New Roman" w:cs="Times New Roman"/>
          <w:color w:val="auto"/>
          <w:highlight w:val="none"/>
        </w:rPr>
        <w:t>加盖ca电子公章</w:t>
      </w:r>
      <w:r>
        <w:rPr>
          <w:rFonts w:hint="default" w:ascii="Times New Roman" w:hAnsi="Times New Roman" w:cs="Times New Roman"/>
          <w:color w:val="auto"/>
          <w:szCs w:val="21"/>
          <w:highlight w:val="none"/>
        </w:rPr>
        <w:t xml:space="preserve">）：  </w:t>
      </w:r>
      <w:r>
        <w:rPr>
          <w:rFonts w:hint="default" w:ascii="Times New Roman" w:hAnsi="Times New Roman" w:cs="Times New Roman"/>
          <w:color w:val="auto"/>
          <w:szCs w:val="21"/>
          <w:highlight w:val="none"/>
          <w:u w:val="single"/>
        </w:rPr>
        <w:t xml:space="preserve">                          </w:t>
      </w:r>
    </w:p>
    <w:p w14:paraId="59C8608D">
      <w:pPr>
        <w:spacing w:line="300" w:lineRule="exact"/>
        <w:ind w:firstLine="420" w:firstLineChars="20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法定代表人： </w:t>
      </w:r>
      <w:r>
        <w:rPr>
          <w:rFonts w:hint="default" w:ascii="Times New Roman" w:hAnsi="Times New Roman" w:cs="Times New Roman"/>
          <w:color w:val="auto"/>
          <w:szCs w:val="21"/>
          <w:highlight w:val="none"/>
          <w:u w:val="single"/>
        </w:rPr>
        <w:t xml:space="preserve">                     </w:t>
      </w:r>
    </w:p>
    <w:p w14:paraId="52B88EA3">
      <w:pPr>
        <w:pStyle w:val="32"/>
        <w:spacing w:after="0" w:line="3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  </w:t>
      </w:r>
      <w:r>
        <w:rPr>
          <w:rFonts w:hint="default" w:ascii="Times New Roman" w:hAnsi="Times New Roman" w:cs="Times New Roman"/>
          <w:color w:val="auto"/>
          <w:szCs w:val="21"/>
          <w:highlight w:val="none"/>
          <w:u w:val="single"/>
        </w:rPr>
        <w:t xml:space="preserve">                                 </w:t>
      </w:r>
    </w:p>
    <w:p w14:paraId="28BCACB3">
      <w:pPr>
        <w:spacing w:line="300" w:lineRule="exact"/>
        <w:ind w:firstLine="420" w:firstLineChars="20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授权代表：</w:t>
      </w:r>
      <w:r>
        <w:rPr>
          <w:rFonts w:hint="default" w:ascii="Times New Roman" w:hAnsi="Times New Roman" w:cs="Times New Roman"/>
          <w:color w:val="auto"/>
          <w:szCs w:val="21"/>
          <w:highlight w:val="none"/>
          <w:u w:val="single"/>
        </w:rPr>
        <w:t xml:space="preserve">                            </w:t>
      </w:r>
    </w:p>
    <w:p w14:paraId="0F4E457D">
      <w:pPr>
        <w:pStyle w:val="32"/>
        <w:spacing w:after="0" w:line="3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身份证号码：</w:t>
      </w:r>
      <w:r>
        <w:rPr>
          <w:rFonts w:hint="default" w:ascii="Times New Roman" w:hAnsi="Times New Roman" w:cs="Times New Roman"/>
          <w:color w:val="auto"/>
          <w:szCs w:val="21"/>
          <w:highlight w:val="none"/>
          <w:u w:val="single"/>
        </w:rPr>
        <w:t xml:space="preserve">                                   </w:t>
      </w:r>
    </w:p>
    <w:p w14:paraId="3DB969E4">
      <w:pPr>
        <w:pStyle w:val="32"/>
        <w:spacing w:after="0" w:line="300" w:lineRule="exact"/>
        <w:ind w:firstLine="420" w:firstLineChars="200"/>
        <w:rPr>
          <w:rFonts w:hint="default" w:ascii="Times New Roman" w:hAnsi="Times New Roman" w:cs="Times New Roman"/>
          <w:color w:val="auto"/>
          <w:highlight w:val="none"/>
        </w:rPr>
      </w:pPr>
    </w:p>
    <w:p w14:paraId="15F315C0">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附：法定代表人（单位负责人）有效期内的</w:t>
      </w:r>
      <w:r>
        <w:rPr>
          <w:rFonts w:hint="default" w:ascii="Times New Roman" w:hAnsi="Times New Roman" w:cs="Times New Roman"/>
          <w:color w:val="auto"/>
          <w:highlight w:val="none"/>
        </w:rPr>
        <w:t>身份证复印件（正反面）</w:t>
      </w:r>
    </w:p>
    <w:tbl>
      <w:tblPr>
        <w:tblStyle w:val="3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1E177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05794273">
            <w:pPr>
              <w:pStyle w:val="15"/>
              <w:spacing w:line="300" w:lineRule="exact"/>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身份证正面</w:t>
            </w:r>
          </w:p>
        </w:tc>
        <w:tc>
          <w:tcPr>
            <w:tcW w:w="284" w:type="dxa"/>
            <w:tcBorders>
              <w:top w:val="nil"/>
              <w:bottom w:val="nil"/>
            </w:tcBorders>
            <w:noWrap w:val="0"/>
            <w:vAlign w:val="top"/>
          </w:tcPr>
          <w:p w14:paraId="7DD18533">
            <w:pPr>
              <w:widowControl/>
              <w:spacing w:line="300" w:lineRule="exact"/>
              <w:jc w:val="left"/>
              <w:rPr>
                <w:rFonts w:hint="default" w:ascii="Times New Roman" w:hAnsi="Times New Roman" w:cs="Times New Roman"/>
                <w:color w:val="auto"/>
                <w:sz w:val="20"/>
                <w:highlight w:val="none"/>
              </w:rPr>
            </w:pPr>
          </w:p>
        </w:tc>
        <w:tc>
          <w:tcPr>
            <w:tcW w:w="4677" w:type="dxa"/>
            <w:noWrap w:val="0"/>
            <w:vAlign w:val="center"/>
          </w:tcPr>
          <w:p w14:paraId="22C75070">
            <w:pPr>
              <w:widowControl/>
              <w:spacing w:line="300" w:lineRule="exact"/>
              <w:jc w:val="center"/>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身份证反面</w:t>
            </w:r>
          </w:p>
        </w:tc>
      </w:tr>
    </w:tbl>
    <w:p w14:paraId="67692245">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授权代表有效期内的身份证复印件</w:t>
      </w:r>
      <w:r>
        <w:rPr>
          <w:rFonts w:hint="default" w:ascii="Times New Roman" w:hAnsi="Times New Roman" w:cs="Times New Roman"/>
          <w:color w:val="auto"/>
          <w:highlight w:val="none"/>
        </w:rPr>
        <w:t>（正反面）</w:t>
      </w:r>
    </w:p>
    <w:tbl>
      <w:tblPr>
        <w:tblStyle w:val="3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76FC3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50B3B4DF">
            <w:pPr>
              <w:pStyle w:val="15"/>
              <w:spacing w:line="300" w:lineRule="exact"/>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身份证正面</w:t>
            </w:r>
          </w:p>
        </w:tc>
        <w:tc>
          <w:tcPr>
            <w:tcW w:w="278" w:type="dxa"/>
            <w:tcBorders>
              <w:top w:val="nil"/>
              <w:bottom w:val="nil"/>
            </w:tcBorders>
            <w:noWrap w:val="0"/>
            <w:vAlign w:val="top"/>
          </w:tcPr>
          <w:p w14:paraId="6463265E">
            <w:pPr>
              <w:widowControl/>
              <w:spacing w:line="300" w:lineRule="exact"/>
              <w:jc w:val="left"/>
              <w:rPr>
                <w:rFonts w:hint="default" w:ascii="Times New Roman" w:hAnsi="Times New Roman" w:cs="Times New Roman"/>
                <w:color w:val="auto"/>
                <w:sz w:val="20"/>
                <w:highlight w:val="none"/>
              </w:rPr>
            </w:pPr>
          </w:p>
        </w:tc>
        <w:tc>
          <w:tcPr>
            <w:tcW w:w="4695" w:type="dxa"/>
            <w:noWrap w:val="0"/>
            <w:vAlign w:val="center"/>
          </w:tcPr>
          <w:p w14:paraId="0E5F9BFB">
            <w:pPr>
              <w:widowControl/>
              <w:spacing w:line="300" w:lineRule="exact"/>
              <w:jc w:val="center"/>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身份证反面</w:t>
            </w:r>
          </w:p>
        </w:tc>
      </w:tr>
    </w:tbl>
    <w:p w14:paraId="2C6F2061">
      <w:pPr>
        <w:pStyle w:val="32"/>
        <w:spacing w:line="300" w:lineRule="exac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 </w:t>
      </w:r>
    </w:p>
    <w:p w14:paraId="0C86903B">
      <w:pPr>
        <w:pStyle w:val="32"/>
        <w:spacing w:line="300" w:lineRule="exac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1.</w:t>
      </w:r>
      <w:r>
        <w:rPr>
          <w:rFonts w:hint="default" w:ascii="Times New Roman" w:hAnsi="Times New Roman" w:cs="Times New Roman"/>
          <w:color w:val="auto"/>
          <w:highlight w:val="none"/>
        </w:rPr>
        <w:t xml:space="preserve"> </w:t>
      </w:r>
      <w:r>
        <w:rPr>
          <w:rFonts w:hint="default" w:ascii="Times New Roman" w:hAnsi="Times New Roman" w:cs="Times New Roman"/>
          <w:b/>
          <w:bCs/>
          <w:color w:val="auto"/>
          <w:szCs w:val="21"/>
          <w:highlight w:val="none"/>
        </w:rPr>
        <w:t>若投标人为分公司、分支机构等依法</w:t>
      </w:r>
      <w:r>
        <w:rPr>
          <w:rFonts w:hint="eastAsia" w:ascii="Times New Roman" w:hAnsi="Times New Roman" w:cs="Times New Roman"/>
          <w:b/>
          <w:bCs/>
          <w:color w:val="auto"/>
          <w:szCs w:val="21"/>
          <w:highlight w:val="none"/>
          <w:lang w:val="en-US" w:eastAsia="zh-CN"/>
        </w:rPr>
        <w:t>无须设置</w:t>
      </w:r>
      <w:r>
        <w:rPr>
          <w:rFonts w:hint="default" w:ascii="Times New Roman" w:hAnsi="Times New Roman" w:cs="Times New Roman"/>
          <w:b/>
          <w:bCs/>
          <w:color w:val="auto"/>
          <w:szCs w:val="21"/>
          <w:highlight w:val="none"/>
        </w:rPr>
        <w:t>法定代表人职务的单位（仅当招标文件注明允许上述单位投标时），法定代表人签字处可由单位负责人签署。</w:t>
      </w:r>
    </w:p>
    <w:p w14:paraId="22DDA1D8">
      <w:pPr>
        <w:pStyle w:val="32"/>
        <w:spacing w:line="300" w:lineRule="exac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2.若投标文件中签字之处均为法定代表人（单位负责人）本人签署，则可不提供本《授权委托书》，但须提供《法定代表人（单位负责人）身份证明》。</w:t>
      </w:r>
    </w:p>
    <w:p w14:paraId="2C7EB7A9">
      <w:pPr>
        <w:pStyle w:val="21"/>
        <w:adjustRightInd w:val="0"/>
        <w:snapToGrid w:val="0"/>
        <w:spacing w:before="156" w:beforeLines="50" w:line="300" w:lineRule="exac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p>
    <w:bookmarkEnd w:id="347"/>
    <w:p w14:paraId="7B3D712E">
      <w:pPr>
        <w:pStyle w:val="34"/>
        <w:spacing w:before="0" w:line="280" w:lineRule="exact"/>
        <w:jc w:val="both"/>
        <w:rPr>
          <w:rFonts w:hint="default" w:ascii="Times New Roman" w:hAnsi="Times New Roman" w:cs="Times New Roman"/>
          <w:color w:val="auto"/>
          <w:sz w:val="28"/>
          <w:szCs w:val="24"/>
          <w:highlight w:val="none"/>
        </w:rPr>
      </w:pPr>
      <w:bookmarkStart w:id="349" w:name="_Toc107246275"/>
      <w:bookmarkStart w:id="350" w:name="_Toc104560893"/>
    </w:p>
    <w:p w14:paraId="3EFCD8AC">
      <w:pPr>
        <w:pStyle w:val="34"/>
        <w:spacing w:before="0" w:line="280" w:lineRule="exact"/>
        <w:rPr>
          <w:rFonts w:hint="default" w:ascii="Times New Roman" w:hAnsi="Times New Roman" w:cs="Times New Roman"/>
          <w:color w:val="auto"/>
          <w:sz w:val="28"/>
          <w:szCs w:val="24"/>
          <w:highlight w:val="none"/>
        </w:rPr>
      </w:pPr>
      <w:bookmarkStart w:id="351" w:name="_Toc28282"/>
      <w:r>
        <w:rPr>
          <w:rFonts w:hint="eastAsia" w:ascii="Times New Roman" w:hAnsi="Times New Roman" w:cs="Times New Roman"/>
          <w:color w:val="auto"/>
          <w:sz w:val="28"/>
          <w:szCs w:val="24"/>
          <w:highlight w:val="none"/>
          <w:lang w:val="en-US" w:eastAsia="zh-CN"/>
        </w:rPr>
        <w:t>投标</w:t>
      </w:r>
      <w:r>
        <w:rPr>
          <w:rFonts w:hint="default" w:ascii="Times New Roman" w:hAnsi="Times New Roman" w:cs="Times New Roman"/>
          <w:color w:val="auto"/>
          <w:sz w:val="28"/>
          <w:szCs w:val="24"/>
          <w:highlight w:val="none"/>
        </w:rPr>
        <w:t>函</w:t>
      </w:r>
      <w:bookmarkEnd w:id="349"/>
      <w:bookmarkEnd w:id="350"/>
      <w:bookmarkEnd w:id="351"/>
    </w:p>
    <w:p w14:paraId="30A9CA75">
      <w:pPr>
        <w:adjustRightInd w:val="0"/>
        <w:snapToGrid w:val="0"/>
        <w:spacing w:before="156" w:beforeLines="50" w:line="360" w:lineRule="exact"/>
        <w:rPr>
          <w:rFonts w:hint="default" w:ascii="Times New Roman" w:hAnsi="Times New Roman" w:cs="Times New Roman"/>
          <w:color w:val="auto"/>
          <w:szCs w:val="21"/>
          <w:highlight w:val="none"/>
        </w:rPr>
      </w:pPr>
      <w:bookmarkStart w:id="352" w:name="_Toc103848580"/>
      <w:bookmarkStart w:id="353" w:name="_Toc96347902"/>
      <w:r>
        <w:rPr>
          <w:rFonts w:hint="default" w:ascii="Times New Roman" w:hAnsi="Times New Roman" w:cs="Times New Roman"/>
          <w:color w:val="auto"/>
          <w:szCs w:val="21"/>
          <w:highlight w:val="none"/>
          <w:u w:val="single"/>
        </w:rPr>
        <w:t>南京红十字血液中心</w:t>
      </w:r>
      <w:r>
        <w:rPr>
          <w:rFonts w:hint="default" w:ascii="Times New Roman" w:hAnsi="Times New Roman" w:cs="Times New Roman"/>
          <w:color w:val="auto"/>
          <w:szCs w:val="21"/>
          <w:highlight w:val="none"/>
        </w:rPr>
        <w:t>（采购人）：</w:t>
      </w:r>
    </w:p>
    <w:p w14:paraId="5FF0D210">
      <w:pPr>
        <w:adjustRightInd w:val="0"/>
        <w:snapToGrid w:val="0"/>
        <w:spacing w:before="156" w:beforeLines="50" w:line="360" w:lineRule="exact"/>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rPr>
        <w:t xml:space="preserve">       (投标人全称)   </w:t>
      </w:r>
      <w:r>
        <w:rPr>
          <w:rFonts w:hint="default" w:ascii="Times New Roman" w:hAnsi="Times New Roman" w:cs="Times New Roman"/>
          <w:color w:val="auto"/>
          <w:szCs w:val="21"/>
          <w:highlight w:val="none"/>
        </w:rPr>
        <w:t>授权</w:t>
      </w:r>
      <w:r>
        <w:rPr>
          <w:rFonts w:hint="default" w:ascii="Times New Roman" w:hAnsi="Times New Roman" w:cs="Times New Roman"/>
          <w:color w:val="auto"/>
          <w:szCs w:val="21"/>
          <w:highlight w:val="none"/>
          <w:u w:val="single"/>
        </w:rPr>
        <w:t xml:space="preserve">    （授权代表姓名）   （职位） </w:t>
      </w:r>
      <w:r>
        <w:rPr>
          <w:rFonts w:hint="default" w:ascii="Times New Roman" w:hAnsi="Times New Roman" w:cs="Times New Roman"/>
          <w:color w:val="auto"/>
          <w:szCs w:val="21"/>
          <w:highlight w:val="none"/>
        </w:rPr>
        <w:t>为全权代表，参加贵方组织的</w:t>
      </w:r>
      <w:r>
        <w:rPr>
          <w:rFonts w:hint="default" w:ascii="Times New Roman" w:hAnsi="Times New Roman" w:cs="Times New Roman"/>
          <w:color w:val="auto"/>
          <w:szCs w:val="21"/>
          <w:highlight w:val="none"/>
          <w:u w:val="single"/>
        </w:rPr>
        <w:t xml:space="preserve">         （项目名称、项目编号）   </w:t>
      </w:r>
      <w:r>
        <w:rPr>
          <w:rFonts w:hint="default" w:ascii="Times New Roman" w:hAnsi="Times New Roman" w:cs="Times New Roman"/>
          <w:color w:val="auto"/>
          <w:szCs w:val="21"/>
          <w:highlight w:val="none"/>
        </w:rPr>
        <w:t>投标的有关活动，并对此项目进行投标。</w:t>
      </w:r>
    </w:p>
    <w:p w14:paraId="4EF3704C">
      <w:pPr>
        <w:adjustRightInd w:val="0"/>
        <w:snapToGrid w:val="0"/>
        <w:spacing w:before="156" w:beforeLines="50" w:line="360" w:lineRule="exact"/>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为此：</w:t>
      </w:r>
    </w:p>
    <w:p w14:paraId="3AF46144">
      <w:pPr>
        <w:pStyle w:val="32"/>
        <w:spacing w:after="0" w:line="360" w:lineRule="exact"/>
        <w:ind w:firstLine="420" w:firstLineChars="20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1、提供投标人须知规定的全部投标文件：正本1份，副本</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份，电子版文件</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份。</w:t>
      </w:r>
    </w:p>
    <w:p w14:paraId="44C89416">
      <w:pPr>
        <w:pStyle w:val="32"/>
        <w:spacing w:after="0" w:line="360" w:lineRule="exact"/>
        <w:ind w:firstLine="420" w:firstLineChars="20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2、单独密封的开标一览表（含分项报价表，如有）</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份。</w:t>
      </w:r>
    </w:p>
    <w:p w14:paraId="74B3F672">
      <w:pPr>
        <w:pStyle w:val="32"/>
        <w:spacing w:after="0" w:line="360" w:lineRule="exact"/>
        <w:ind w:firstLine="420" w:firstLineChars="20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3、我方将按采购文件的规定履行全部责任和义务。</w:t>
      </w:r>
    </w:p>
    <w:p w14:paraId="5EC7BC9A">
      <w:pPr>
        <w:pStyle w:val="32"/>
        <w:spacing w:after="0" w:line="360" w:lineRule="exact"/>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4、我方已详细审查全部采购文件，我们完全理解并同意</w:t>
      </w:r>
      <w:r>
        <w:rPr>
          <w:rFonts w:hint="default" w:ascii="Times New Roman" w:hAnsi="Times New Roman" w:cs="Times New Roman"/>
          <w:color w:val="auto"/>
          <w:szCs w:val="21"/>
          <w:highlight w:val="none"/>
        </w:rPr>
        <w:t>放弃对采购文件提出质疑或争议的权利。</w:t>
      </w:r>
    </w:p>
    <w:p w14:paraId="1FFA2114">
      <w:pPr>
        <w:pStyle w:val="32"/>
        <w:spacing w:after="0" w:line="360" w:lineRule="exact"/>
        <w:ind w:firstLine="420" w:firstLineChars="200"/>
        <w:jc w:val="lef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5、本投标有效期为自投标日起</w:t>
      </w:r>
      <w:r>
        <w:rPr>
          <w:rFonts w:hint="default" w:ascii="Times New Roman" w:hAnsi="Times New Roman" w:cs="Times New Roman"/>
          <w:color w:val="auto"/>
          <w:szCs w:val="21"/>
          <w:highlight w:val="none"/>
          <w:u w:val="single"/>
        </w:rPr>
        <w:t xml:space="preserve"> 90  </w:t>
      </w:r>
      <w:r>
        <w:rPr>
          <w:rFonts w:hint="default" w:ascii="Times New Roman" w:hAnsi="Times New Roman" w:cs="Times New Roman"/>
          <w:color w:val="auto"/>
          <w:szCs w:val="21"/>
          <w:highlight w:val="none"/>
        </w:rPr>
        <w:t>个日历日。</w:t>
      </w:r>
    </w:p>
    <w:p w14:paraId="67CB6502">
      <w:pPr>
        <w:pStyle w:val="32"/>
        <w:spacing w:after="0" w:line="360" w:lineRule="exact"/>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6、如果在规定的提交投标文件截止时间后，我方在投标有效期内撤销投标文件，投标保证金将不予退还。</w:t>
      </w:r>
    </w:p>
    <w:p w14:paraId="5C49A6E4">
      <w:pPr>
        <w:pStyle w:val="32"/>
        <w:spacing w:after="0" w:line="360" w:lineRule="exact"/>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7、我方同意贵方查询或调查我们提交的与本投标文件有关的声明、文件和资料，并同意在贵方的要求下提供相关文件或证书的原件及其他相关书面材料。</w:t>
      </w:r>
    </w:p>
    <w:p w14:paraId="7ADFDA71">
      <w:pPr>
        <w:pStyle w:val="32"/>
        <w:spacing w:after="0" w:line="360" w:lineRule="exact"/>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8、我方在法律和财务上独立、合法运作并独立于采购方，与采购人为本项目所委托的咨询单位或其附属机构没有直接或间接的任何关联。</w:t>
      </w:r>
    </w:p>
    <w:p w14:paraId="69F51D34">
      <w:pPr>
        <w:pStyle w:val="32"/>
        <w:spacing w:after="0" w:line="360" w:lineRule="exact"/>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43D1686B">
      <w:pPr>
        <w:pStyle w:val="32"/>
        <w:spacing w:after="0" w:line="360" w:lineRule="exact"/>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w:t>
      </w:r>
      <w:r>
        <w:rPr>
          <w:rFonts w:hint="default" w:ascii="Times New Roman" w:hAnsi="Times New Roman" w:cs="Times New Roman"/>
          <w:color w:val="auto"/>
          <w:highlight w:val="none"/>
        </w:rPr>
        <w:t>我方保证投标文件所提供的全部资料真实可靠，同意提供贵方要求的与该项投标有关的数据或资料，完全理解贵方不一定接受最低价的投标或收到的任何投标。</w:t>
      </w:r>
    </w:p>
    <w:p w14:paraId="6B8389FF">
      <w:pPr>
        <w:pStyle w:val="32"/>
        <w:spacing w:after="0" w:line="360" w:lineRule="exact"/>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11、</w:t>
      </w:r>
      <w:r>
        <w:rPr>
          <w:rFonts w:hint="default" w:ascii="Times New Roman" w:hAnsi="Times New Roman" w:cs="Times New Roman"/>
          <w:color w:val="auto"/>
          <w:szCs w:val="21"/>
          <w:highlight w:val="none"/>
        </w:rPr>
        <w:t>与本投标有关的一切往来通讯请寄：</w:t>
      </w:r>
    </w:p>
    <w:p w14:paraId="05BFFE4C">
      <w:pPr>
        <w:spacing w:line="400" w:lineRule="exact"/>
        <w:ind w:firstLine="367" w:firstLineChars="17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地址：</w:t>
      </w:r>
      <w:r>
        <w:rPr>
          <w:rFonts w:hint="default" w:ascii="Times New Roman" w:hAnsi="Times New Roman" w:cs="Times New Roman"/>
          <w:color w:val="auto"/>
          <w:szCs w:val="21"/>
          <w:highlight w:val="none"/>
          <w:u w:val="single"/>
        </w:rPr>
        <w:t xml:space="preserve">                            </w:t>
      </w:r>
    </w:p>
    <w:p w14:paraId="7F223964">
      <w:pPr>
        <w:spacing w:line="360" w:lineRule="auto"/>
        <w:ind w:firstLine="367" w:firstLineChars="17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邮编：</w:t>
      </w:r>
      <w:r>
        <w:rPr>
          <w:rFonts w:hint="default" w:ascii="Times New Roman" w:hAnsi="Times New Roman" w:cs="Times New Roman"/>
          <w:color w:val="auto"/>
          <w:szCs w:val="21"/>
          <w:highlight w:val="none"/>
          <w:u w:val="single"/>
        </w:rPr>
        <w:t xml:space="preserve">                            </w:t>
      </w:r>
    </w:p>
    <w:p w14:paraId="459F9A39">
      <w:pPr>
        <w:spacing w:line="360" w:lineRule="auto"/>
        <w:ind w:firstLine="367" w:firstLineChars="17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联系人：</w:t>
      </w:r>
      <w:r>
        <w:rPr>
          <w:rFonts w:hint="default" w:ascii="Times New Roman" w:hAnsi="Times New Roman" w:cs="Times New Roman"/>
          <w:color w:val="auto"/>
          <w:szCs w:val="21"/>
          <w:highlight w:val="none"/>
          <w:u w:val="single"/>
        </w:rPr>
        <w:t xml:space="preserve">                          </w:t>
      </w:r>
    </w:p>
    <w:p w14:paraId="1E2A2929">
      <w:pPr>
        <w:spacing w:line="360" w:lineRule="auto"/>
        <w:ind w:firstLine="367" w:firstLineChars="17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手机：</w:t>
      </w:r>
      <w:r>
        <w:rPr>
          <w:rFonts w:hint="default" w:ascii="Times New Roman" w:hAnsi="Times New Roman" w:cs="Times New Roman"/>
          <w:color w:val="auto"/>
          <w:szCs w:val="21"/>
          <w:highlight w:val="none"/>
          <w:u w:val="single"/>
        </w:rPr>
        <w:t xml:space="preserve">                            </w:t>
      </w:r>
    </w:p>
    <w:p w14:paraId="79D3D5DA">
      <w:pPr>
        <w:spacing w:line="360" w:lineRule="auto"/>
        <w:ind w:firstLine="367" w:firstLineChars="175"/>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邮箱：</w:t>
      </w:r>
      <w:r>
        <w:rPr>
          <w:rFonts w:hint="default" w:ascii="Times New Roman" w:hAnsi="Times New Roman" w:cs="Times New Roman"/>
          <w:color w:val="auto"/>
          <w:szCs w:val="21"/>
          <w:highlight w:val="none"/>
          <w:u w:val="single"/>
        </w:rPr>
        <w:t xml:space="preserve">                            </w:t>
      </w:r>
    </w:p>
    <w:p w14:paraId="60F17F52">
      <w:pPr>
        <w:spacing w:before="120" w:line="360" w:lineRule="auto"/>
        <w:ind w:firstLine="315" w:firstLineChars="15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投标人名称（</w:t>
      </w:r>
      <w:r>
        <w:rPr>
          <w:rFonts w:hint="default" w:ascii="Times New Roman" w:hAnsi="Times New Roman" w:cs="Times New Roman"/>
          <w:color w:val="auto"/>
          <w:highlight w:val="none"/>
        </w:rPr>
        <w:t>加盖ca电子公章</w:t>
      </w: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p>
    <w:p w14:paraId="56DD15E6">
      <w:pPr>
        <w:spacing w:line="276" w:lineRule="auto"/>
        <w:jc w:val="left"/>
        <w:rPr>
          <w:rFonts w:hint="default" w:ascii="Times New Roman" w:hAnsi="Times New Roman" w:cs="Times New Roman"/>
          <w:bCs/>
          <w:color w:val="auto"/>
          <w:highlight w:val="none"/>
        </w:rPr>
      </w:pPr>
      <w:r>
        <w:rPr>
          <w:rFonts w:hint="default" w:ascii="Times New Roman" w:hAnsi="Times New Roman" w:cs="Times New Roman"/>
          <w:color w:val="auto"/>
          <w:spacing w:val="-3"/>
          <w:highlight w:val="none"/>
        </w:rPr>
        <w:t xml:space="preserve">   </w:t>
      </w:r>
      <w:r>
        <w:rPr>
          <w:rFonts w:hint="default" w:ascii="Times New Roman" w:hAnsi="Times New Roman" w:cs="Times New Roman"/>
          <w:bCs/>
          <w:color w:val="auto"/>
          <w:highlight w:val="none"/>
        </w:rPr>
        <w:t>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7B282ADD">
      <w:pPr>
        <w:rPr>
          <w:rFonts w:hint="default" w:ascii="Times New Roman" w:hAnsi="Times New Roman" w:cs="Times New Roman"/>
          <w:bCs w:val="0"/>
          <w:color w:val="auto"/>
          <w:sz w:val="24"/>
          <w:szCs w:val="24"/>
          <w:highlight w:val="none"/>
        </w:rPr>
      </w:pPr>
      <w:r>
        <w:rPr>
          <w:rFonts w:hint="default" w:ascii="Times New Roman" w:hAnsi="Times New Roman" w:cs="Times New Roman"/>
          <w:color w:val="auto"/>
          <w:highlight w:val="none"/>
        </w:rPr>
        <w:br w:type="page"/>
      </w:r>
    </w:p>
    <w:p w14:paraId="59DAD586">
      <w:pPr>
        <w:pStyle w:val="2"/>
        <w:jc w:val="center"/>
        <w:rPr>
          <w:rFonts w:hint="default" w:ascii="Times New Roman" w:hAnsi="Times New Roman" w:cs="Times New Roman"/>
          <w:color w:val="auto"/>
          <w:highlight w:val="none"/>
        </w:rPr>
      </w:pPr>
      <w:r>
        <w:rPr>
          <w:rFonts w:hint="default" w:ascii="Times New Roman" w:hAnsi="Times New Roman" w:cs="Times New Roman"/>
          <w:b/>
          <w:bCs/>
          <w:color w:val="auto"/>
          <w:sz w:val="32"/>
          <w:szCs w:val="40"/>
          <w:highlight w:val="none"/>
        </w:rPr>
        <w:t>其他部分</w:t>
      </w:r>
    </w:p>
    <w:p w14:paraId="0793887E">
      <w:pPr>
        <w:pStyle w:val="34"/>
        <w:spacing w:before="0"/>
        <w:rPr>
          <w:rFonts w:hint="default" w:ascii="Times New Roman" w:hAnsi="Times New Roman" w:cs="Times New Roman"/>
          <w:color w:val="auto"/>
          <w:highlight w:val="none"/>
        </w:rPr>
      </w:pPr>
      <w:bookmarkStart w:id="354" w:name="_Toc104560921"/>
      <w:bookmarkStart w:id="355" w:name="_Toc103848604"/>
      <w:bookmarkStart w:id="356" w:name="_Toc107246304"/>
      <w:bookmarkStart w:id="357" w:name="_Toc30742"/>
      <w:bookmarkStart w:id="358" w:name="_Toc104560919"/>
      <w:bookmarkStart w:id="359" w:name="_Toc107246302"/>
      <w:bookmarkStart w:id="360" w:name="_Toc103848602"/>
      <w:r>
        <w:rPr>
          <w:rFonts w:hint="default" w:ascii="Times New Roman" w:hAnsi="Times New Roman" w:cs="Times New Roman"/>
          <w:bCs w:val="0"/>
          <w:color w:val="auto"/>
          <w:sz w:val="24"/>
          <w:szCs w:val="24"/>
          <w:highlight w:val="none"/>
        </w:rPr>
        <w:t>投标标的物符合招标文件规定的证明文件</w:t>
      </w:r>
      <w:bookmarkEnd w:id="354"/>
      <w:bookmarkEnd w:id="355"/>
      <w:bookmarkEnd w:id="356"/>
      <w:bookmarkEnd w:id="357"/>
    </w:p>
    <w:p w14:paraId="230B3C07">
      <w:pPr>
        <w:pStyle w:val="83"/>
        <w:ind w:firstLine="0" w:firstLineChars="0"/>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注：提供第二章</w:t>
      </w:r>
      <w:r>
        <w:rPr>
          <w:rFonts w:hint="default" w:ascii="Times New Roman" w:hAnsi="Times New Roman" w:cs="Times New Roman"/>
          <w:b/>
          <w:bCs/>
          <w:color w:val="auto"/>
          <w:szCs w:val="21"/>
          <w:highlight w:val="none"/>
        </w:rPr>
        <w:t>“</w:t>
      </w:r>
      <w:r>
        <w:rPr>
          <w:rFonts w:hint="default" w:ascii="Times New Roman" w:hAnsi="Times New Roman" w:cs="Times New Roman"/>
          <w:b/>
          <w:color w:val="auto"/>
          <w:sz w:val="21"/>
          <w:szCs w:val="21"/>
          <w:highlight w:val="none"/>
        </w:rPr>
        <w:t>投标人须知</w:t>
      </w:r>
      <w:r>
        <w:rPr>
          <w:rFonts w:hint="default" w:ascii="Times New Roman" w:hAnsi="Times New Roman" w:cs="Times New Roman"/>
          <w:b/>
          <w:bCs/>
          <w:color w:val="auto"/>
          <w:highlight w:val="none"/>
        </w:rPr>
        <w:t>”</w:t>
      </w:r>
      <w:r>
        <w:rPr>
          <w:rFonts w:hint="default" w:ascii="Times New Roman" w:hAnsi="Times New Roman" w:cs="Times New Roman"/>
          <w:b/>
          <w:color w:val="auto"/>
          <w:sz w:val="21"/>
          <w:szCs w:val="21"/>
          <w:highlight w:val="none"/>
        </w:rPr>
        <w:t>和第四章</w:t>
      </w:r>
      <w:r>
        <w:rPr>
          <w:rFonts w:hint="default" w:ascii="Times New Roman" w:hAnsi="Times New Roman" w:cs="Times New Roman"/>
          <w:b/>
          <w:bCs/>
          <w:color w:val="auto"/>
          <w:szCs w:val="21"/>
          <w:highlight w:val="none"/>
        </w:rPr>
        <w:t>“</w:t>
      </w:r>
      <w:r>
        <w:rPr>
          <w:rFonts w:hint="default" w:ascii="Times New Roman" w:hAnsi="Times New Roman" w:cs="Times New Roman"/>
          <w:b/>
          <w:color w:val="auto"/>
          <w:sz w:val="21"/>
          <w:szCs w:val="21"/>
          <w:highlight w:val="none"/>
        </w:rPr>
        <w:t>采购需求</w:t>
      </w:r>
      <w:r>
        <w:rPr>
          <w:rFonts w:hint="default" w:ascii="Times New Roman" w:hAnsi="Times New Roman" w:cs="Times New Roman"/>
          <w:b/>
          <w:bCs/>
          <w:color w:val="auto"/>
          <w:highlight w:val="none"/>
        </w:rPr>
        <w:t>”</w:t>
      </w:r>
      <w:r>
        <w:rPr>
          <w:rFonts w:hint="default" w:ascii="Times New Roman" w:hAnsi="Times New Roman" w:cs="Times New Roman"/>
          <w:b/>
          <w:color w:val="auto"/>
          <w:sz w:val="21"/>
          <w:szCs w:val="21"/>
          <w:highlight w:val="none"/>
        </w:rPr>
        <w:t>规定(包括强制性认证、注册等)的证明材料复印件。</w:t>
      </w:r>
    </w:p>
    <w:bookmarkEnd w:id="358"/>
    <w:bookmarkEnd w:id="359"/>
    <w:bookmarkEnd w:id="360"/>
    <w:p w14:paraId="51A6E30C">
      <w:pPr>
        <w:pStyle w:val="34"/>
        <w:spacing w:before="0"/>
        <w:jc w:val="both"/>
        <w:rPr>
          <w:rFonts w:hint="default" w:ascii="Times New Roman" w:hAnsi="Times New Roman" w:cs="Times New Roman"/>
          <w:color w:val="auto"/>
          <w:highlight w:val="none"/>
        </w:rPr>
      </w:pPr>
      <w:bookmarkStart w:id="361" w:name="_Hlk180967062"/>
      <w:r>
        <w:rPr>
          <w:rFonts w:hint="default" w:ascii="Times New Roman" w:hAnsi="Times New Roman" w:cs="Times New Roman"/>
          <w:color w:val="auto"/>
          <w:highlight w:val="none"/>
        </w:rPr>
        <w:br w:type="page"/>
      </w:r>
    </w:p>
    <w:bookmarkEnd w:id="361"/>
    <w:p w14:paraId="37EF95C5">
      <w:pPr>
        <w:pStyle w:val="34"/>
        <w:spacing w:before="0"/>
        <w:rPr>
          <w:rFonts w:hint="default" w:ascii="Times New Roman" w:hAnsi="Times New Roman" w:cs="Times New Roman"/>
          <w:bCs w:val="0"/>
          <w:color w:val="auto"/>
          <w:sz w:val="24"/>
          <w:szCs w:val="24"/>
          <w:highlight w:val="none"/>
        </w:rPr>
      </w:pPr>
      <w:bookmarkStart w:id="362" w:name="_Toc8898"/>
      <w:r>
        <w:rPr>
          <w:rFonts w:hint="default" w:ascii="Times New Roman" w:hAnsi="Times New Roman" w:cs="Times New Roman"/>
          <w:bCs w:val="0"/>
          <w:color w:val="auto"/>
          <w:sz w:val="24"/>
          <w:szCs w:val="24"/>
          <w:highlight w:val="none"/>
        </w:rPr>
        <w:t>拟任执行管理及人员配置情况</w:t>
      </w:r>
      <w:bookmarkEnd w:id="362"/>
    </w:p>
    <w:p w14:paraId="3E5FECB3">
      <w:pPr>
        <w:pStyle w:val="6"/>
        <w:spacing w:line="400" w:lineRule="exact"/>
        <w:ind w:left="720" w:hanging="720"/>
        <w:jc w:val="center"/>
        <w:rPr>
          <w:rFonts w:hint="default" w:ascii="Times New Roman" w:hAnsi="Times New Roman" w:cs="Times New Roman"/>
          <w:color w:val="auto"/>
          <w:sz w:val="24"/>
          <w:szCs w:val="24"/>
          <w:highlight w:val="none"/>
        </w:rPr>
      </w:pPr>
      <w:bookmarkStart w:id="363" w:name="_Toc32279"/>
      <w:r>
        <w:rPr>
          <w:rFonts w:hint="default" w:ascii="Times New Roman" w:hAnsi="Times New Roman" w:cs="Times New Roman"/>
          <w:color w:val="auto"/>
          <w:sz w:val="24"/>
          <w:szCs w:val="24"/>
          <w:highlight w:val="none"/>
        </w:rPr>
        <w:t>项目负责人情况</w:t>
      </w:r>
      <w:bookmarkEnd w:id="363"/>
    </w:p>
    <w:tbl>
      <w:tblPr>
        <w:tblStyle w:val="37"/>
        <w:tblW w:w="96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094"/>
        <w:gridCol w:w="1667"/>
        <w:gridCol w:w="1727"/>
        <w:gridCol w:w="1294"/>
        <w:gridCol w:w="2447"/>
        <w:gridCol w:w="1387"/>
      </w:tblGrid>
      <w:tr w14:paraId="79F1FB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604" w:hRule="atLeast"/>
          <w:jc w:val="center"/>
        </w:trPr>
        <w:tc>
          <w:tcPr>
            <w:tcW w:w="1094" w:type="dxa"/>
            <w:tcBorders>
              <w:top w:val="single" w:color="auto" w:sz="12" w:space="0"/>
            </w:tcBorders>
            <w:noWrap w:val="0"/>
            <w:vAlign w:val="center"/>
          </w:tcPr>
          <w:p w14:paraId="13379804">
            <w:pPr>
              <w:snapToGrid w:val="0"/>
              <w:spacing w:line="400" w:lineRule="exac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姓名</w:t>
            </w:r>
          </w:p>
        </w:tc>
        <w:tc>
          <w:tcPr>
            <w:tcW w:w="1667" w:type="dxa"/>
            <w:tcBorders>
              <w:top w:val="single" w:color="auto" w:sz="12" w:space="0"/>
            </w:tcBorders>
            <w:noWrap w:val="0"/>
            <w:vAlign w:val="center"/>
          </w:tcPr>
          <w:p w14:paraId="7CDCF858">
            <w:pPr>
              <w:snapToGrid w:val="0"/>
              <w:spacing w:line="400" w:lineRule="exact"/>
              <w:jc w:val="center"/>
              <w:rPr>
                <w:rFonts w:hint="default" w:ascii="Times New Roman" w:hAnsi="Times New Roman" w:cs="Times New Roman"/>
                <w:color w:val="auto"/>
                <w:szCs w:val="21"/>
                <w:highlight w:val="none"/>
              </w:rPr>
            </w:pPr>
          </w:p>
        </w:tc>
        <w:tc>
          <w:tcPr>
            <w:tcW w:w="1727" w:type="dxa"/>
            <w:tcBorders>
              <w:top w:val="single" w:color="auto" w:sz="12" w:space="0"/>
            </w:tcBorders>
            <w:noWrap w:val="0"/>
            <w:vAlign w:val="center"/>
          </w:tcPr>
          <w:p w14:paraId="3C2CB900">
            <w:pPr>
              <w:snapToGrid w:val="0"/>
              <w:spacing w:line="400" w:lineRule="exac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年龄</w:t>
            </w:r>
          </w:p>
        </w:tc>
        <w:tc>
          <w:tcPr>
            <w:tcW w:w="1294" w:type="dxa"/>
            <w:tcBorders>
              <w:top w:val="single" w:color="auto" w:sz="12" w:space="0"/>
            </w:tcBorders>
            <w:noWrap w:val="0"/>
            <w:vAlign w:val="center"/>
          </w:tcPr>
          <w:p w14:paraId="00BA2000">
            <w:pPr>
              <w:snapToGrid w:val="0"/>
              <w:spacing w:line="400" w:lineRule="exact"/>
              <w:jc w:val="center"/>
              <w:rPr>
                <w:rFonts w:hint="default" w:ascii="Times New Roman" w:hAnsi="Times New Roman" w:cs="Times New Roman"/>
                <w:color w:val="auto"/>
                <w:szCs w:val="21"/>
                <w:highlight w:val="none"/>
              </w:rPr>
            </w:pPr>
          </w:p>
        </w:tc>
        <w:tc>
          <w:tcPr>
            <w:tcW w:w="2447" w:type="dxa"/>
            <w:tcBorders>
              <w:top w:val="single" w:color="auto" w:sz="12" w:space="0"/>
            </w:tcBorders>
            <w:noWrap w:val="0"/>
            <w:vAlign w:val="center"/>
          </w:tcPr>
          <w:p w14:paraId="02BA832A">
            <w:pPr>
              <w:snapToGrid w:val="0"/>
              <w:spacing w:line="400" w:lineRule="exact"/>
              <w:ind w:left="57"/>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专业</w:t>
            </w:r>
          </w:p>
        </w:tc>
        <w:tc>
          <w:tcPr>
            <w:tcW w:w="1385" w:type="dxa"/>
            <w:tcBorders>
              <w:top w:val="single" w:color="auto" w:sz="12" w:space="0"/>
            </w:tcBorders>
            <w:noWrap w:val="0"/>
            <w:vAlign w:val="center"/>
          </w:tcPr>
          <w:p w14:paraId="36F50A27">
            <w:pPr>
              <w:snapToGrid w:val="0"/>
              <w:spacing w:line="400" w:lineRule="exact"/>
              <w:jc w:val="center"/>
              <w:rPr>
                <w:rFonts w:hint="default" w:ascii="Times New Roman" w:hAnsi="Times New Roman" w:cs="Times New Roman"/>
                <w:color w:val="auto"/>
                <w:szCs w:val="21"/>
                <w:highlight w:val="none"/>
              </w:rPr>
            </w:pPr>
          </w:p>
        </w:tc>
      </w:tr>
      <w:tr w14:paraId="59DA34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660" w:hRule="atLeast"/>
          <w:jc w:val="center"/>
        </w:trPr>
        <w:tc>
          <w:tcPr>
            <w:tcW w:w="1094" w:type="dxa"/>
            <w:noWrap w:val="0"/>
            <w:vAlign w:val="center"/>
          </w:tcPr>
          <w:p w14:paraId="241DD065">
            <w:pPr>
              <w:snapToGrid w:val="0"/>
              <w:spacing w:line="400" w:lineRule="exac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学历</w:t>
            </w:r>
          </w:p>
        </w:tc>
        <w:tc>
          <w:tcPr>
            <w:tcW w:w="1667" w:type="dxa"/>
            <w:noWrap w:val="0"/>
            <w:vAlign w:val="center"/>
          </w:tcPr>
          <w:p w14:paraId="29DC7F75">
            <w:pPr>
              <w:snapToGrid w:val="0"/>
              <w:spacing w:line="400" w:lineRule="exact"/>
              <w:jc w:val="center"/>
              <w:rPr>
                <w:rFonts w:hint="default" w:ascii="Times New Roman" w:hAnsi="Times New Roman" w:cs="Times New Roman"/>
                <w:color w:val="auto"/>
                <w:szCs w:val="21"/>
                <w:highlight w:val="none"/>
              </w:rPr>
            </w:pPr>
          </w:p>
        </w:tc>
        <w:tc>
          <w:tcPr>
            <w:tcW w:w="1727" w:type="dxa"/>
            <w:noWrap w:val="0"/>
            <w:vAlign w:val="center"/>
          </w:tcPr>
          <w:p w14:paraId="2B9D8F0C">
            <w:pPr>
              <w:snapToGrid w:val="0"/>
              <w:spacing w:line="400" w:lineRule="exac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职务</w:t>
            </w:r>
          </w:p>
        </w:tc>
        <w:tc>
          <w:tcPr>
            <w:tcW w:w="1294" w:type="dxa"/>
            <w:noWrap w:val="0"/>
            <w:vAlign w:val="center"/>
          </w:tcPr>
          <w:p w14:paraId="450AC619">
            <w:pPr>
              <w:snapToGrid w:val="0"/>
              <w:spacing w:line="400" w:lineRule="exact"/>
              <w:jc w:val="center"/>
              <w:rPr>
                <w:rFonts w:hint="default" w:ascii="Times New Roman" w:hAnsi="Times New Roman" w:cs="Times New Roman"/>
                <w:color w:val="auto"/>
                <w:szCs w:val="21"/>
                <w:highlight w:val="none"/>
              </w:rPr>
            </w:pPr>
          </w:p>
        </w:tc>
        <w:tc>
          <w:tcPr>
            <w:tcW w:w="2447" w:type="dxa"/>
            <w:noWrap w:val="0"/>
            <w:vAlign w:val="center"/>
          </w:tcPr>
          <w:p w14:paraId="30EB65A7">
            <w:pPr>
              <w:widowControl/>
              <w:spacing w:line="400" w:lineRule="exac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执业资格</w:t>
            </w:r>
          </w:p>
        </w:tc>
        <w:tc>
          <w:tcPr>
            <w:tcW w:w="1385" w:type="dxa"/>
            <w:noWrap w:val="0"/>
            <w:vAlign w:val="center"/>
          </w:tcPr>
          <w:p w14:paraId="512C4B6A">
            <w:pPr>
              <w:snapToGrid w:val="0"/>
              <w:spacing w:line="400" w:lineRule="exact"/>
              <w:jc w:val="center"/>
              <w:rPr>
                <w:rFonts w:hint="default" w:ascii="Times New Roman" w:hAnsi="Times New Roman" w:cs="Times New Roman"/>
                <w:color w:val="auto"/>
                <w:szCs w:val="21"/>
                <w:highlight w:val="none"/>
              </w:rPr>
            </w:pPr>
          </w:p>
        </w:tc>
      </w:tr>
      <w:tr w14:paraId="5A50A0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660" w:hRule="atLeast"/>
          <w:jc w:val="center"/>
        </w:trPr>
        <w:tc>
          <w:tcPr>
            <w:tcW w:w="1094" w:type="dxa"/>
            <w:noWrap w:val="0"/>
            <w:vAlign w:val="center"/>
          </w:tcPr>
          <w:p w14:paraId="4A5EB4C5">
            <w:pPr>
              <w:snapToGrid w:val="0"/>
              <w:spacing w:line="400" w:lineRule="exac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拟任职</w:t>
            </w:r>
          </w:p>
        </w:tc>
        <w:tc>
          <w:tcPr>
            <w:tcW w:w="1667" w:type="dxa"/>
            <w:noWrap w:val="0"/>
            <w:vAlign w:val="center"/>
          </w:tcPr>
          <w:p w14:paraId="7825F995">
            <w:pPr>
              <w:snapToGrid w:val="0"/>
              <w:spacing w:line="400" w:lineRule="exact"/>
              <w:jc w:val="center"/>
              <w:rPr>
                <w:rFonts w:hint="default" w:ascii="Times New Roman" w:hAnsi="Times New Roman" w:cs="Times New Roman"/>
                <w:color w:val="auto"/>
                <w:szCs w:val="21"/>
                <w:highlight w:val="none"/>
              </w:rPr>
            </w:pPr>
          </w:p>
        </w:tc>
        <w:tc>
          <w:tcPr>
            <w:tcW w:w="1727" w:type="dxa"/>
            <w:noWrap w:val="0"/>
            <w:vAlign w:val="center"/>
          </w:tcPr>
          <w:p w14:paraId="6F166C6D">
            <w:pPr>
              <w:snapToGrid w:val="0"/>
              <w:spacing w:line="400" w:lineRule="exact"/>
              <w:ind w:firstLine="105" w:firstLineChars="5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相关工作年限</w:t>
            </w:r>
          </w:p>
        </w:tc>
        <w:tc>
          <w:tcPr>
            <w:tcW w:w="1294" w:type="dxa"/>
            <w:noWrap w:val="0"/>
            <w:vAlign w:val="center"/>
          </w:tcPr>
          <w:p w14:paraId="02C0ACA0">
            <w:pPr>
              <w:snapToGrid w:val="0"/>
              <w:spacing w:line="400" w:lineRule="exact"/>
              <w:jc w:val="center"/>
              <w:rPr>
                <w:rFonts w:hint="default" w:ascii="Times New Roman" w:hAnsi="Times New Roman" w:cs="Times New Roman"/>
                <w:color w:val="auto"/>
                <w:szCs w:val="21"/>
                <w:highlight w:val="none"/>
              </w:rPr>
            </w:pPr>
          </w:p>
        </w:tc>
        <w:tc>
          <w:tcPr>
            <w:tcW w:w="2447" w:type="dxa"/>
            <w:noWrap w:val="0"/>
            <w:vAlign w:val="center"/>
          </w:tcPr>
          <w:p w14:paraId="3B200112">
            <w:pPr>
              <w:snapToGrid w:val="0"/>
              <w:spacing w:line="400" w:lineRule="exac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在本单位工作年限</w:t>
            </w:r>
          </w:p>
        </w:tc>
        <w:tc>
          <w:tcPr>
            <w:tcW w:w="1385" w:type="dxa"/>
            <w:noWrap w:val="0"/>
            <w:vAlign w:val="center"/>
          </w:tcPr>
          <w:p w14:paraId="03579D38">
            <w:pPr>
              <w:snapToGrid w:val="0"/>
              <w:spacing w:line="400" w:lineRule="exact"/>
              <w:jc w:val="center"/>
              <w:rPr>
                <w:rFonts w:hint="default" w:ascii="Times New Roman" w:hAnsi="Times New Roman" w:cs="Times New Roman"/>
                <w:color w:val="auto"/>
                <w:szCs w:val="21"/>
                <w:highlight w:val="none"/>
              </w:rPr>
            </w:pPr>
          </w:p>
        </w:tc>
      </w:tr>
      <w:tr w14:paraId="2FFCBE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665" w:hRule="atLeast"/>
          <w:jc w:val="center"/>
        </w:trPr>
        <w:tc>
          <w:tcPr>
            <w:tcW w:w="9616" w:type="dxa"/>
            <w:gridSpan w:val="6"/>
            <w:noWrap w:val="0"/>
            <w:vAlign w:val="top"/>
          </w:tcPr>
          <w:p w14:paraId="1D512F21">
            <w:pPr>
              <w:snapToGrid w:val="0"/>
              <w:spacing w:line="400" w:lineRule="exact"/>
              <w:rPr>
                <w:rFonts w:hint="default" w:ascii="Times New Roman" w:hAnsi="Times New Roman" w:cs="Times New Roman"/>
                <w:color w:val="auto"/>
                <w:szCs w:val="21"/>
                <w:highlight w:val="none"/>
              </w:rPr>
            </w:pPr>
          </w:p>
          <w:p w14:paraId="51250683">
            <w:pPr>
              <w:snapToGrid w:val="0"/>
              <w:spacing w:line="400" w:lineRule="exact"/>
              <w:rPr>
                <w:rFonts w:hint="default" w:ascii="Times New Roman" w:hAnsi="Times New Roman" w:cs="Times New Roman"/>
                <w:color w:val="auto"/>
                <w:szCs w:val="21"/>
                <w:highlight w:val="none"/>
              </w:rPr>
            </w:pPr>
          </w:p>
          <w:p w14:paraId="2F62D64C">
            <w:pPr>
              <w:snapToGrid w:val="0"/>
              <w:spacing w:line="400" w:lineRule="exact"/>
              <w:rPr>
                <w:rFonts w:hint="default" w:ascii="Times New Roman" w:hAnsi="Times New Roman" w:cs="Times New Roman"/>
                <w:color w:val="auto"/>
                <w:szCs w:val="21"/>
                <w:highlight w:val="none"/>
              </w:rPr>
            </w:pPr>
          </w:p>
          <w:p w14:paraId="0D5CD1FD">
            <w:pPr>
              <w:snapToGrid w:val="0"/>
              <w:spacing w:line="400" w:lineRule="exact"/>
              <w:rPr>
                <w:rFonts w:hint="default" w:ascii="Times New Roman" w:hAnsi="Times New Roman" w:cs="Times New Roman"/>
                <w:color w:val="auto"/>
                <w:szCs w:val="21"/>
                <w:highlight w:val="none"/>
              </w:rPr>
            </w:pPr>
          </w:p>
          <w:p w14:paraId="39832EF4">
            <w:pPr>
              <w:snapToGrid w:val="0"/>
              <w:spacing w:line="400" w:lineRule="exact"/>
              <w:rPr>
                <w:rFonts w:hint="default" w:ascii="Times New Roman" w:hAnsi="Times New Roman" w:cs="Times New Roman"/>
                <w:color w:val="auto"/>
                <w:szCs w:val="21"/>
                <w:highlight w:val="none"/>
              </w:rPr>
            </w:pPr>
          </w:p>
          <w:p w14:paraId="58FC29FE">
            <w:pPr>
              <w:snapToGrid w:val="0"/>
              <w:spacing w:line="400" w:lineRule="exact"/>
              <w:rPr>
                <w:rFonts w:hint="default" w:ascii="Times New Roman" w:hAnsi="Times New Roman" w:cs="Times New Roman"/>
                <w:color w:val="auto"/>
                <w:szCs w:val="21"/>
                <w:highlight w:val="none"/>
              </w:rPr>
            </w:pPr>
          </w:p>
          <w:p w14:paraId="4653BB34">
            <w:pPr>
              <w:snapToGrid w:val="0"/>
              <w:spacing w:line="400" w:lineRule="exact"/>
              <w:rPr>
                <w:rFonts w:hint="default" w:ascii="Times New Roman" w:hAnsi="Times New Roman" w:cs="Times New Roman"/>
                <w:color w:val="auto"/>
                <w:szCs w:val="21"/>
                <w:highlight w:val="none"/>
              </w:rPr>
            </w:pPr>
          </w:p>
        </w:tc>
      </w:tr>
      <w:tr w14:paraId="5BC80C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2" w:hRule="atLeast"/>
          <w:jc w:val="center"/>
        </w:trPr>
        <w:tc>
          <w:tcPr>
            <w:tcW w:w="9616" w:type="dxa"/>
            <w:gridSpan w:val="6"/>
            <w:noWrap w:val="0"/>
            <w:vAlign w:val="center"/>
          </w:tcPr>
          <w:p w14:paraId="44DA8D59">
            <w:pPr>
              <w:snapToGrid w:val="0"/>
              <w:spacing w:line="400" w:lineRule="exact"/>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担任过项目负责人的项目名称</w:t>
            </w:r>
          </w:p>
        </w:tc>
      </w:tr>
      <w:tr w14:paraId="279F4C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61" w:hRule="atLeast"/>
          <w:jc w:val="center"/>
        </w:trPr>
        <w:tc>
          <w:tcPr>
            <w:tcW w:w="9616" w:type="dxa"/>
            <w:gridSpan w:val="6"/>
            <w:noWrap w:val="0"/>
            <w:vAlign w:val="center"/>
          </w:tcPr>
          <w:p w14:paraId="1031CB0D">
            <w:pPr>
              <w:snapToGrid w:val="0"/>
              <w:spacing w:line="400" w:lineRule="exact"/>
              <w:rPr>
                <w:rFonts w:hint="default" w:ascii="Times New Roman" w:hAnsi="Times New Roman" w:cs="Times New Roman"/>
                <w:color w:val="auto"/>
                <w:szCs w:val="21"/>
                <w:highlight w:val="none"/>
              </w:rPr>
            </w:pPr>
          </w:p>
        </w:tc>
      </w:tr>
      <w:tr w14:paraId="208DFB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566" w:hRule="atLeast"/>
          <w:jc w:val="center"/>
        </w:trPr>
        <w:tc>
          <w:tcPr>
            <w:tcW w:w="9616" w:type="dxa"/>
            <w:gridSpan w:val="6"/>
            <w:noWrap w:val="0"/>
            <w:vAlign w:val="top"/>
          </w:tcPr>
          <w:p w14:paraId="5D5298B6">
            <w:pPr>
              <w:spacing w:line="400" w:lineRule="exact"/>
              <w:rPr>
                <w:rFonts w:hint="default" w:ascii="Times New Roman" w:hAnsi="Times New Roman" w:cs="Times New Roman"/>
                <w:color w:val="auto"/>
                <w:szCs w:val="21"/>
                <w:highlight w:val="none"/>
              </w:rPr>
            </w:pPr>
          </w:p>
        </w:tc>
      </w:tr>
      <w:tr w14:paraId="0A2B1D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699" w:hRule="atLeast"/>
          <w:jc w:val="center"/>
        </w:trPr>
        <w:tc>
          <w:tcPr>
            <w:tcW w:w="9616" w:type="dxa"/>
            <w:gridSpan w:val="6"/>
            <w:noWrap w:val="0"/>
            <w:vAlign w:val="top"/>
          </w:tcPr>
          <w:p w14:paraId="581DC805">
            <w:pPr>
              <w:spacing w:line="400" w:lineRule="exact"/>
              <w:rPr>
                <w:rFonts w:hint="default" w:ascii="Times New Roman" w:hAnsi="Times New Roman" w:cs="Times New Roman"/>
                <w:color w:val="auto"/>
                <w:szCs w:val="21"/>
                <w:highlight w:val="none"/>
              </w:rPr>
            </w:pPr>
          </w:p>
        </w:tc>
      </w:tr>
    </w:tbl>
    <w:p w14:paraId="7B4D4555">
      <w:pPr>
        <w:spacing w:line="400" w:lineRule="exact"/>
        <w:ind w:left="480" w:hanging="480" w:hanging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备注：</w:t>
      </w:r>
      <w:r>
        <w:rPr>
          <w:rFonts w:hint="default" w:ascii="Times New Roman" w:hAnsi="Times New Roman" w:cs="Times New Roman"/>
          <w:b/>
          <w:color w:val="auto"/>
          <w:sz w:val="24"/>
          <w:highlight w:val="none"/>
        </w:rPr>
        <w:t>结合评标办法要求提供相关资料</w:t>
      </w:r>
      <w:r>
        <w:rPr>
          <w:rFonts w:hint="default" w:ascii="Times New Roman" w:hAnsi="Times New Roman" w:cs="Times New Roman"/>
          <w:color w:val="auto"/>
          <w:sz w:val="24"/>
          <w:highlight w:val="none"/>
        </w:rPr>
        <w:t>。</w:t>
      </w:r>
    </w:p>
    <w:p w14:paraId="16F3F37D">
      <w:pPr>
        <w:spacing w:line="400" w:lineRule="exact"/>
        <w:ind w:left="480" w:hanging="480" w:hangingChars="200"/>
        <w:rPr>
          <w:rFonts w:hint="default" w:ascii="Times New Roman" w:hAnsi="Times New Roman" w:cs="Times New Roman"/>
          <w:color w:val="auto"/>
          <w:sz w:val="24"/>
          <w:highlight w:val="none"/>
        </w:rPr>
      </w:pPr>
    </w:p>
    <w:p w14:paraId="6E25BE1D">
      <w:pPr>
        <w:spacing w:line="400" w:lineRule="exact"/>
        <w:ind w:left="480" w:hanging="480" w:hangingChars="200"/>
        <w:rPr>
          <w:rFonts w:hint="default" w:ascii="Times New Roman" w:hAnsi="Times New Roman" w:cs="Times New Roman"/>
          <w:color w:val="auto"/>
          <w:sz w:val="24"/>
          <w:highlight w:val="none"/>
        </w:rPr>
      </w:pPr>
    </w:p>
    <w:p w14:paraId="4A1AA0CC">
      <w:pPr>
        <w:pStyle w:val="83"/>
        <w:ind w:firstLine="3769" w:firstLineChars="1795"/>
        <w:rPr>
          <w:rFonts w:hint="default" w:ascii="Times New Roman" w:hAnsi="Times New Roman" w:cs="Times New Roman"/>
          <w:color w:val="auto"/>
          <w:sz w:val="21"/>
          <w:szCs w:val="21"/>
          <w:highlight w:val="none"/>
        </w:rPr>
      </w:pPr>
      <w:bookmarkStart w:id="364" w:name="_Toc502651672"/>
      <w:bookmarkStart w:id="365" w:name="_Toc530747345"/>
      <w:r>
        <w:rPr>
          <w:rFonts w:hint="default" w:ascii="Times New Roman" w:hAnsi="Times New Roman" w:cs="Times New Roman"/>
          <w:color w:val="auto"/>
          <w:sz w:val="21"/>
          <w:szCs w:val="21"/>
          <w:highlight w:val="none"/>
        </w:rPr>
        <w:t>投标人名称（</w:t>
      </w:r>
      <w:r>
        <w:rPr>
          <w:rFonts w:hint="default" w:ascii="Times New Roman" w:hAnsi="Times New Roman" w:cs="Times New Roman"/>
          <w:color w:val="auto"/>
          <w:highlight w:val="none"/>
        </w:rPr>
        <w:t>加盖ca电子公章</w:t>
      </w:r>
      <w:r>
        <w:rPr>
          <w:rFonts w:hint="default" w:ascii="Times New Roman" w:hAnsi="Times New Roman" w:cs="Times New Roman"/>
          <w:color w:val="auto"/>
          <w:sz w:val="21"/>
          <w:szCs w:val="21"/>
          <w:highlight w:val="none"/>
        </w:rPr>
        <w:t>）：____________</w:t>
      </w:r>
      <w:r>
        <w:rPr>
          <w:rFonts w:hint="default" w:ascii="Times New Roman" w:hAnsi="Times New Roman" w:cs="Times New Roman"/>
          <w:color w:val="auto"/>
          <w:sz w:val="21"/>
          <w:szCs w:val="21"/>
          <w:highlight w:val="none"/>
          <w:u w:val="single"/>
        </w:rPr>
        <w:t xml:space="preserve">                </w:t>
      </w:r>
    </w:p>
    <w:p w14:paraId="6313A224">
      <w:pPr>
        <w:pStyle w:val="83"/>
        <w:ind w:firstLine="3780" w:firstLineChars="18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日期：______年____月____日</w:t>
      </w:r>
    </w:p>
    <w:p w14:paraId="64E49CF4">
      <w:pPr>
        <w:rPr>
          <w:rFonts w:hint="default" w:ascii="Times New Roman" w:hAnsi="Times New Roman" w:cs="Times New Roman"/>
          <w:color w:val="auto"/>
          <w:highlight w:val="none"/>
        </w:rPr>
      </w:pPr>
    </w:p>
    <w:p w14:paraId="5C0E46D4">
      <w:pPr>
        <w:pStyle w:val="6"/>
        <w:spacing w:line="400" w:lineRule="exact"/>
        <w:ind w:left="720" w:hanging="72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br w:type="page"/>
      </w:r>
      <w:bookmarkEnd w:id="364"/>
      <w:bookmarkStart w:id="366" w:name="_Toc8888"/>
      <w:r>
        <w:rPr>
          <w:rFonts w:hint="default" w:ascii="Times New Roman" w:hAnsi="Times New Roman" w:cs="Times New Roman"/>
          <w:color w:val="auto"/>
          <w:sz w:val="24"/>
          <w:szCs w:val="24"/>
          <w:highlight w:val="none"/>
        </w:rPr>
        <w:t>其他主要人员</w:t>
      </w:r>
      <w:bookmarkEnd w:id="365"/>
      <w:bookmarkEnd w:id="366"/>
    </w:p>
    <w:tbl>
      <w:tblPr>
        <w:tblStyle w:val="37"/>
        <w:tblW w:w="9333" w:type="dxa"/>
        <w:jc w:val="center"/>
        <w:tblLayout w:type="fixed"/>
        <w:tblCellMar>
          <w:top w:w="0" w:type="dxa"/>
          <w:left w:w="108" w:type="dxa"/>
          <w:bottom w:w="0" w:type="dxa"/>
          <w:right w:w="108" w:type="dxa"/>
        </w:tblCellMar>
      </w:tblPr>
      <w:tblGrid>
        <w:gridCol w:w="670"/>
        <w:gridCol w:w="1134"/>
        <w:gridCol w:w="992"/>
        <w:gridCol w:w="1647"/>
        <w:gridCol w:w="1246"/>
        <w:gridCol w:w="1366"/>
        <w:gridCol w:w="1138"/>
        <w:gridCol w:w="1140"/>
      </w:tblGrid>
      <w:tr w14:paraId="453FC781">
        <w:tblPrEx>
          <w:tblCellMar>
            <w:top w:w="0" w:type="dxa"/>
            <w:left w:w="108" w:type="dxa"/>
            <w:bottom w:w="0" w:type="dxa"/>
            <w:right w:w="108" w:type="dxa"/>
          </w:tblCellMar>
        </w:tblPrEx>
        <w:trPr>
          <w:trHeight w:val="1472"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center"/>
          </w:tcPr>
          <w:p w14:paraId="23A32058">
            <w:pPr>
              <w:widowControl/>
              <w:spacing w:line="400" w:lineRule="exact"/>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序号</w:t>
            </w:r>
          </w:p>
        </w:tc>
        <w:tc>
          <w:tcPr>
            <w:tcW w:w="1134" w:type="dxa"/>
            <w:tcBorders>
              <w:top w:val="single" w:color="000000" w:sz="4" w:space="0"/>
              <w:left w:val="nil"/>
              <w:bottom w:val="single" w:color="000000" w:sz="4" w:space="0"/>
              <w:right w:val="single" w:color="000000" w:sz="4" w:space="0"/>
            </w:tcBorders>
            <w:noWrap w:val="0"/>
            <w:vAlign w:val="center"/>
          </w:tcPr>
          <w:p w14:paraId="307A14F2">
            <w:pPr>
              <w:widowControl/>
              <w:spacing w:line="400" w:lineRule="exact"/>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姓名</w:t>
            </w:r>
          </w:p>
        </w:tc>
        <w:tc>
          <w:tcPr>
            <w:tcW w:w="992" w:type="dxa"/>
            <w:tcBorders>
              <w:top w:val="single" w:color="000000" w:sz="4" w:space="0"/>
              <w:left w:val="nil"/>
              <w:bottom w:val="single" w:color="000000" w:sz="4" w:space="0"/>
              <w:right w:val="single" w:color="000000" w:sz="4" w:space="0"/>
            </w:tcBorders>
            <w:noWrap w:val="0"/>
            <w:vAlign w:val="center"/>
          </w:tcPr>
          <w:p w14:paraId="77B8D456">
            <w:pPr>
              <w:widowControl/>
              <w:spacing w:line="400" w:lineRule="exact"/>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年龄</w:t>
            </w:r>
          </w:p>
        </w:tc>
        <w:tc>
          <w:tcPr>
            <w:tcW w:w="1647" w:type="dxa"/>
            <w:tcBorders>
              <w:top w:val="single" w:color="000000" w:sz="4" w:space="0"/>
              <w:left w:val="nil"/>
              <w:bottom w:val="single" w:color="000000" w:sz="4" w:space="0"/>
              <w:right w:val="single" w:color="000000" w:sz="4" w:space="0"/>
            </w:tcBorders>
            <w:noWrap w:val="0"/>
            <w:vAlign w:val="center"/>
          </w:tcPr>
          <w:p w14:paraId="6DF1C11E">
            <w:pPr>
              <w:widowControl/>
              <w:spacing w:line="400" w:lineRule="exact"/>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在本项目中担任的职务</w:t>
            </w:r>
          </w:p>
        </w:tc>
        <w:tc>
          <w:tcPr>
            <w:tcW w:w="1246" w:type="dxa"/>
            <w:tcBorders>
              <w:top w:val="single" w:color="000000" w:sz="4" w:space="0"/>
              <w:left w:val="nil"/>
              <w:bottom w:val="single" w:color="000000" w:sz="4" w:space="0"/>
              <w:right w:val="single" w:color="000000" w:sz="4" w:space="0"/>
            </w:tcBorders>
            <w:noWrap w:val="0"/>
            <w:vAlign w:val="center"/>
          </w:tcPr>
          <w:p w14:paraId="70E04AFB">
            <w:pPr>
              <w:widowControl/>
              <w:spacing w:line="400" w:lineRule="exact"/>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专业</w:t>
            </w:r>
          </w:p>
        </w:tc>
        <w:tc>
          <w:tcPr>
            <w:tcW w:w="1366" w:type="dxa"/>
            <w:tcBorders>
              <w:top w:val="single" w:color="000000" w:sz="4" w:space="0"/>
              <w:left w:val="nil"/>
              <w:bottom w:val="single" w:color="000000" w:sz="4" w:space="0"/>
              <w:right w:val="single" w:color="000000" w:sz="4" w:space="0"/>
            </w:tcBorders>
            <w:noWrap w:val="0"/>
            <w:vAlign w:val="center"/>
          </w:tcPr>
          <w:p w14:paraId="42C2A41F">
            <w:pPr>
              <w:widowControl/>
              <w:spacing w:line="400" w:lineRule="exact"/>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学历</w:t>
            </w:r>
          </w:p>
        </w:tc>
        <w:tc>
          <w:tcPr>
            <w:tcW w:w="1138" w:type="dxa"/>
            <w:tcBorders>
              <w:top w:val="single" w:color="000000" w:sz="4" w:space="0"/>
              <w:left w:val="nil"/>
              <w:bottom w:val="single" w:color="000000" w:sz="4" w:space="0"/>
              <w:right w:val="single" w:color="000000" w:sz="4" w:space="0"/>
            </w:tcBorders>
            <w:noWrap w:val="0"/>
            <w:vAlign w:val="center"/>
          </w:tcPr>
          <w:p w14:paraId="67CFDFCE">
            <w:pPr>
              <w:widowControl/>
              <w:spacing w:line="400" w:lineRule="exact"/>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相关工作年限</w:t>
            </w:r>
          </w:p>
        </w:tc>
        <w:tc>
          <w:tcPr>
            <w:tcW w:w="1140" w:type="dxa"/>
            <w:tcBorders>
              <w:top w:val="single" w:color="000000" w:sz="4" w:space="0"/>
              <w:left w:val="nil"/>
              <w:bottom w:val="single" w:color="000000" w:sz="4" w:space="0"/>
              <w:right w:val="single" w:color="000000" w:sz="4" w:space="0"/>
            </w:tcBorders>
            <w:noWrap w:val="0"/>
            <w:vAlign w:val="center"/>
          </w:tcPr>
          <w:p w14:paraId="5A451100">
            <w:pPr>
              <w:widowControl/>
              <w:spacing w:line="400" w:lineRule="exact"/>
              <w:jc w:val="cente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备注</w:t>
            </w:r>
          </w:p>
        </w:tc>
      </w:tr>
      <w:tr w14:paraId="069F3469">
        <w:tblPrEx>
          <w:tblCellMar>
            <w:top w:w="0" w:type="dxa"/>
            <w:left w:w="108" w:type="dxa"/>
            <w:bottom w:w="0" w:type="dxa"/>
            <w:right w:w="108" w:type="dxa"/>
          </w:tblCellMar>
        </w:tblPrEx>
        <w:trPr>
          <w:trHeight w:val="476"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04309982">
            <w:pPr>
              <w:widowControl/>
              <w:spacing w:line="400" w:lineRule="exact"/>
              <w:rPr>
                <w:rFonts w:hint="default" w:ascii="Times New Roman" w:hAnsi="Times New Roman" w:cs="Times New Roman"/>
                <w:color w:val="auto"/>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A38D7AB">
            <w:pPr>
              <w:widowControl/>
              <w:spacing w:line="400" w:lineRule="exact"/>
              <w:rPr>
                <w:rFonts w:hint="default" w:ascii="Times New Roman" w:hAnsi="Times New Roman" w:cs="Times New Roman"/>
                <w:color w:val="auto"/>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9B42A9E">
            <w:pPr>
              <w:widowControl/>
              <w:spacing w:line="400" w:lineRule="exact"/>
              <w:rPr>
                <w:rFonts w:hint="default" w:ascii="Times New Roman" w:hAnsi="Times New Roman" w:cs="Times New Roman"/>
                <w:color w:val="auto"/>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565B1B64">
            <w:pPr>
              <w:widowControl/>
              <w:spacing w:line="400" w:lineRule="exact"/>
              <w:rPr>
                <w:rFonts w:hint="default" w:ascii="Times New Roman" w:hAnsi="Times New Roman" w:cs="Times New Roman"/>
                <w:color w:val="auto"/>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5E6063EC">
            <w:pPr>
              <w:widowControl/>
              <w:spacing w:line="400" w:lineRule="exact"/>
              <w:rPr>
                <w:rFonts w:hint="default" w:ascii="Times New Roman" w:hAnsi="Times New Roman" w:cs="Times New Roman"/>
                <w:color w:val="auto"/>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694CF035">
            <w:pPr>
              <w:widowControl/>
              <w:spacing w:line="400" w:lineRule="exact"/>
              <w:rPr>
                <w:rFonts w:hint="default" w:ascii="Times New Roman" w:hAnsi="Times New Roman" w:cs="Times New Roman"/>
                <w:color w:val="auto"/>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6C2A0159">
            <w:pPr>
              <w:widowControl/>
              <w:spacing w:line="400" w:lineRule="exact"/>
              <w:rPr>
                <w:rFonts w:hint="default" w:ascii="Times New Roman" w:hAnsi="Times New Roman" w:cs="Times New Roman"/>
                <w:color w:val="auto"/>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42C27E35">
            <w:pPr>
              <w:widowControl/>
              <w:spacing w:line="400" w:lineRule="exact"/>
              <w:rPr>
                <w:rFonts w:hint="default" w:ascii="Times New Roman" w:hAnsi="Times New Roman" w:cs="Times New Roman"/>
                <w:color w:val="auto"/>
                <w:sz w:val="24"/>
                <w:highlight w:val="none"/>
              </w:rPr>
            </w:pPr>
          </w:p>
        </w:tc>
      </w:tr>
      <w:tr w14:paraId="3EDFCAB3">
        <w:tblPrEx>
          <w:tblCellMar>
            <w:top w:w="0" w:type="dxa"/>
            <w:left w:w="108" w:type="dxa"/>
            <w:bottom w:w="0" w:type="dxa"/>
            <w:right w:w="108" w:type="dxa"/>
          </w:tblCellMar>
        </w:tblPrEx>
        <w:trPr>
          <w:trHeight w:val="497"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5F797E6F">
            <w:pPr>
              <w:widowControl/>
              <w:spacing w:line="400" w:lineRule="exact"/>
              <w:rPr>
                <w:rFonts w:hint="default" w:ascii="Times New Roman" w:hAnsi="Times New Roman" w:cs="Times New Roman"/>
                <w:color w:val="auto"/>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47C6055">
            <w:pPr>
              <w:widowControl/>
              <w:spacing w:line="400" w:lineRule="exact"/>
              <w:rPr>
                <w:rFonts w:hint="default" w:ascii="Times New Roman" w:hAnsi="Times New Roman" w:cs="Times New Roman"/>
                <w:color w:val="auto"/>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1DA3DE0">
            <w:pPr>
              <w:widowControl/>
              <w:spacing w:line="400" w:lineRule="exact"/>
              <w:rPr>
                <w:rFonts w:hint="default" w:ascii="Times New Roman" w:hAnsi="Times New Roman" w:cs="Times New Roman"/>
                <w:color w:val="auto"/>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32F920B9">
            <w:pPr>
              <w:widowControl/>
              <w:spacing w:line="400" w:lineRule="exact"/>
              <w:rPr>
                <w:rFonts w:hint="default" w:ascii="Times New Roman" w:hAnsi="Times New Roman" w:cs="Times New Roman"/>
                <w:color w:val="auto"/>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3F39A2F1">
            <w:pPr>
              <w:widowControl/>
              <w:spacing w:line="400" w:lineRule="exact"/>
              <w:rPr>
                <w:rFonts w:hint="default" w:ascii="Times New Roman" w:hAnsi="Times New Roman" w:cs="Times New Roman"/>
                <w:color w:val="auto"/>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0EE0B64C">
            <w:pPr>
              <w:widowControl/>
              <w:spacing w:line="400" w:lineRule="exact"/>
              <w:rPr>
                <w:rFonts w:hint="default" w:ascii="Times New Roman" w:hAnsi="Times New Roman" w:cs="Times New Roman"/>
                <w:color w:val="auto"/>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563CEF47">
            <w:pPr>
              <w:widowControl/>
              <w:spacing w:line="400" w:lineRule="exact"/>
              <w:rPr>
                <w:rFonts w:hint="default" w:ascii="Times New Roman" w:hAnsi="Times New Roman" w:cs="Times New Roman"/>
                <w:color w:val="auto"/>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6210CA9A">
            <w:pPr>
              <w:widowControl/>
              <w:spacing w:line="400" w:lineRule="exact"/>
              <w:rPr>
                <w:rFonts w:hint="default" w:ascii="Times New Roman" w:hAnsi="Times New Roman" w:cs="Times New Roman"/>
                <w:color w:val="auto"/>
                <w:sz w:val="24"/>
                <w:highlight w:val="none"/>
              </w:rPr>
            </w:pPr>
          </w:p>
        </w:tc>
      </w:tr>
      <w:tr w14:paraId="1C10CFA2">
        <w:tblPrEx>
          <w:tblCellMar>
            <w:top w:w="0" w:type="dxa"/>
            <w:left w:w="108" w:type="dxa"/>
            <w:bottom w:w="0" w:type="dxa"/>
            <w:right w:w="108" w:type="dxa"/>
          </w:tblCellMar>
        </w:tblPrEx>
        <w:trPr>
          <w:trHeight w:val="476"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05B5FAD6">
            <w:pPr>
              <w:widowControl/>
              <w:spacing w:line="400" w:lineRule="exact"/>
              <w:rPr>
                <w:rFonts w:hint="default" w:ascii="Times New Roman" w:hAnsi="Times New Roman" w:cs="Times New Roman"/>
                <w:color w:val="auto"/>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C796639">
            <w:pPr>
              <w:widowControl/>
              <w:spacing w:line="400" w:lineRule="exact"/>
              <w:rPr>
                <w:rFonts w:hint="default" w:ascii="Times New Roman" w:hAnsi="Times New Roman" w:cs="Times New Roman"/>
                <w:color w:val="auto"/>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420B176">
            <w:pPr>
              <w:widowControl/>
              <w:spacing w:line="400" w:lineRule="exact"/>
              <w:rPr>
                <w:rFonts w:hint="default" w:ascii="Times New Roman" w:hAnsi="Times New Roman" w:cs="Times New Roman"/>
                <w:color w:val="auto"/>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56FDB09B">
            <w:pPr>
              <w:widowControl/>
              <w:spacing w:line="400" w:lineRule="exact"/>
              <w:rPr>
                <w:rFonts w:hint="default" w:ascii="Times New Roman" w:hAnsi="Times New Roman" w:cs="Times New Roman"/>
                <w:color w:val="auto"/>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2BA15F50">
            <w:pPr>
              <w:widowControl/>
              <w:spacing w:line="400" w:lineRule="exact"/>
              <w:rPr>
                <w:rFonts w:hint="default" w:ascii="Times New Roman" w:hAnsi="Times New Roman" w:cs="Times New Roman"/>
                <w:color w:val="auto"/>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6A21A167">
            <w:pPr>
              <w:widowControl/>
              <w:spacing w:line="400" w:lineRule="exact"/>
              <w:rPr>
                <w:rFonts w:hint="default" w:ascii="Times New Roman" w:hAnsi="Times New Roman" w:cs="Times New Roman"/>
                <w:color w:val="auto"/>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016461F9">
            <w:pPr>
              <w:widowControl/>
              <w:spacing w:line="400" w:lineRule="exact"/>
              <w:rPr>
                <w:rFonts w:hint="default" w:ascii="Times New Roman" w:hAnsi="Times New Roman" w:cs="Times New Roman"/>
                <w:color w:val="auto"/>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2B967EA7">
            <w:pPr>
              <w:widowControl/>
              <w:spacing w:line="400" w:lineRule="exact"/>
              <w:rPr>
                <w:rFonts w:hint="default" w:ascii="Times New Roman" w:hAnsi="Times New Roman" w:cs="Times New Roman"/>
                <w:color w:val="auto"/>
                <w:sz w:val="24"/>
                <w:highlight w:val="none"/>
              </w:rPr>
            </w:pPr>
          </w:p>
        </w:tc>
      </w:tr>
      <w:tr w14:paraId="7925C089">
        <w:tblPrEx>
          <w:tblCellMar>
            <w:top w:w="0" w:type="dxa"/>
            <w:left w:w="108" w:type="dxa"/>
            <w:bottom w:w="0" w:type="dxa"/>
            <w:right w:w="108" w:type="dxa"/>
          </w:tblCellMar>
        </w:tblPrEx>
        <w:trPr>
          <w:trHeight w:val="497"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481FD054">
            <w:pPr>
              <w:widowControl/>
              <w:spacing w:line="400" w:lineRule="exact"/>
              <w:rPr>
                <w:rFonts w:hint="default" w:ascii="Times New Roman" w:hAnsi="Times New Roman" w:cs="Times New Roman"/>
                <w:color w:val="auto"/>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96970CA">
            <w:pPr>
              <w:widowControl/>
              <w:spacing w:line="400" w:lineRule="exact"/>
              <w:rPr>
                <w:rFonts w:hint="default" w:ascii="Times New Roman" w:hAnsi="Times New Roman" w:cs="Times New Roman"/>
                <w:color w:val="auto"/>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A107271">
            <w:pPr>
              <w:widowControl/>
              <w:spacing w:line="400" w:lineRule="exact"/>
              <w:rPr>
                <w:rFonts w:hint="default" w:ascii="Times New Roman" w:hAnsi="Times New Roman" w:cs="Times New Roman"/>
                <w:color w:val="auto"/>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18C0EDE0">
            <w:pPr>
              <w:widowControl/>
              <w:spacing w:line="400" w:lineRule="exact"/>
              <w:rPr>
                <w:rFonts w:hint="default" w:ascii="Times New Roman" w:hAnsi="Times New Roman" w:cs="Times New Roman"/>
                <w:color w:val="auto"/>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68B589A5">
            <w:pPr>
              <w:widowControl/>
              <w:spacing w:line="400" w:lineRule="exact"/>
              <w:rPr>
                <w:rFonts w:hint="default" w:ascii="Times New Roman" w:hAnsi="Times New Roman" w:cs="Times New Roman"/>
                <w:color w:val="auto"/>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532F83A7">
            <w:pPr>
              <w:widowControl/>
              <w:spacing w:line="400" w:lineRule="exact"/>
              <w:rPr>
                <w:rFonts w:hint="default" w:ascii="Times New Roman" w:hAnsi="Times New Roman" w:cs="Times New Roman"/>
                <w:color w:val="auto"/>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1641CCC9">
            <w:pPr>
              <w:widowControl/>
              <w:spacing w:line="400" w:lineRule="exact"/>
              <w:rPr>
                <w:rFonts w:hint="default" w:ascii="Times New Roman" w:hAnsi="Times New Roman" w:cs="Times New Roman"/>
                <w:color w:val="auto"/>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19FD6C37">
            <w:pPr>
              <w:widowControl/>
              <w:spacing w:line="400" w:lineRule="exact"/>
              <w:rPr>
                <w:rFonts w:hint="default" w:ascii="Times New Roman" w:hAnsi="Times New Roman" w:cs="Times New Roman"/>
                <w:color w:val="auto"/>
                <w:sz w:val="24"/>
                <w:highlight w:val="none"/>
              </w:rPr>
            </w:pPr>
          </w:p>
        </w:tc>
      </w:tr>
      <w:tr w14:paraId="65DC7199">
        <w:tblPrEx>
          <w:tblCellMar>
            <w:top w:w="0" w:type="dxa"/>
            <w:left w:w="108" w:type="dxa"/>
            <w:bottom w:w="0" w:type="dxa"/>
            <w:right w:w="108" w:type="dxa"/>
          </w:tblCellMar>
        </w:tblPrEx>
        <w:trPr>
          <w:trHeight w:val="476"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01B79451">
            <w:pPr>
              <w:widowControl/>
              <w:spacing w:line="400" w:lineRule="exact"/>
              <w:rPr>
                <w:rFonts w:hint="default" w:ascii="Times New Roman" w:hAnsi="Times New Roman" w:cs="Times New Roman"/>
                <w:color w:val="auto"/>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88F386D">
            <w:pPr>
              <w:widowControl/>
              <w:spacing w:line="400" w:lineRule="exact"/>
              <w:rPr>
                <w:rFonts w:hint="default" w:ascii="Times New Roman" w:hAnsi="Times New Roman" w:cs="Times New Roman"/>
                <w:color w:val="auto"/>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4DFD5E17">
            <w:pPr>
              <w:widowControl/>
              <w:spacing w:line="400" w:lineRule="exact"/>
              <w:rPr>
                <w:rFonts w:hint="default" w:ascii="Times New Roman" w:hAnsi="Times New Roman" w:cs="Times New Roman"/>
                <w:color w:val="auto"/>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21376209">
            <w:pPr>
              <w:widowControl/>
              <w:spacing w:line="400" w:lineRule="exact"/>
              <w:rPr>
                <w:rFonts w:hint="default" w:ascii="Times New Roman" w:hAnsi="Times New Roman" w:cs="Times New Roman"/>
                <w:color w:val="auto"/>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3525A5ED">
            <w:pPr>
              <w:widowControl/>
              <w:spacing w:line="400" w:lineRule="exact"/>
              <w:rPr>
                <w:rFonts w:hint="default" w:ascii="Times New Roman" w:hAnsi="Times New Roman" w:cs="Times New Roman"/>
                <w:color w:val="auto"/>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161CC010">
            <w:pPr>
              <w:widowControl/>
              <w:spacing w:line="400" w:lineRule="exact"/>
              <w:rPr>
                <w:rFonts w:hint="default" w:ascii="Times New Roman" w:hAnsi="Times New Roman" w:cs="Times New Roman"/>
                <w:color w:val="auto"/>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57CDF4B0">
            <w:pPr>
              <w:widowControl/>
              <w:spacing w:line="400" w:lineRule="exact"/>
              <w:rPr>
                <w:rFonts w:hint="default" w:ascii="Times New Roman" w:hAnsi="Times New Roman" w:cs="Times New Roman"/>
                <w:color w:val="auto"/>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7517E949">
            <w:pPr>
              <w:widowControl/>
              <w:spacing w:line="400" w:lineRule="exact"/>
              <w:rPr>
                <w:rFonts w:hint="default" w:ascii="Times New Roman" w:hAnsi="Times New Roman" w:cs="Times New Roman"/>
                <w:color w:val="auto"/>
                <w:sz w:val="24"/>
                <w:highlight w:val="none"/>
              </w:rPr>
            </w:pPr>
          </w:p>
        </w:tc>
      </w:tr>
      <w:tr w14:paraId="7D7C05E4">
        <w:tblPrEx>
          <w:tblCellMar>
            <w:top w:w="0" w:type="dxa"/>
            <w:left w:w="108" w:type="dxa"/>
            <w:bottom w:w="0" w:type="dxa"/>
            <w:right w:w="108" w:type="dxa"/>
          </w:tblCellMar>
        </w:tblPrEx>
        <w:trPr>
          <w:trHeight w:val="497"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0F85B831">
            <w:pPr>
              <w:widowControl/>
              <w:spacing w:line="400" w:lineRule="exact"/>
              <w:rPr>
                <w:rFonts w:hint="default" w:ascii="Times New Roman" w:hAnsi="Times New Roman" w:cs="Times New Roman"/>
                <w:color w:val="auto"/>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0D91BFA">
            <w:pPr>
              <w:widowControl/>
              <w:spacing w:line="400" w:lineRule="exact"/>
              <w:rPr>
                <w:rFonts w:hint="default" w:ascii="Times New Roman" w:hAnsi="Times New Roman" w:cs="Times New Roman"/>
                <w:color w:val="auto"/>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AFC296D">
            <w:pPr>
              <w:widowControl/>
              <w:spacing w:line="400" w:lineRule="exact"/>
              <w:rPr>
                <w:rFonts w:hint="default" w:ascii="Times New Roman" w:hAnsi="Times New Roman" w:cs="Times New Roman"/>
                <w:color w:val="auto"/>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0A4CF9E2">
            <w:pPr>
              <w:widowControl/>
              <w:spacing w:line="400" w:lineRule="exact"/>
              <w:rPr>
                <w:rFonts w:hint="default" w:ascii="Times New Roman" w:hAnsi="Times New Roman" w:cs="Times New Roman"/>
                <w:color w:val="auto"/>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36FDA7B5">
            <w:pPr>
              <w:widowControl/>
              <w:spacing w:line="400" w:lineRule="exact"/>
              <w:rPr>
                <w:rFonts w:hint="default" w:ascii="Times New Roman" w:hAnsi="Times New Roman" w:cs="Times New Roman"/>
                <w:color w:val="auto"/>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40ACDD7A">
            <w:pPr>
              <w:widowControl/>
              <w:spacing w:line="400" w:lineRule="exact"/>
              <w:rPr>
                <w:rFonts w:hint="default" w:ascii="Times New Roman" w:hAnsi="Times New Roman" w:cs="Times New Roman"/>
                <w:color w:val="auto"/>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181EBF9D">
            <w:pPr>
              <w:widowControl/>
              <w:spacing w:line="400" w:lineRule="exact"/>
              <w:rPr>
                <w:rFonts w:hint="default" w:ascii="Times New Roman" w:hAnsi="Times New Roman" w:cs="Times New Roman"/>
                <w:color w:val="auto"/>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5E82074C">
            <w:pPr>
              <w:widowControl/>
              <w:spacing w:line="400" w:lineRule="exact"/>
              <w:rPr>
                <w:rFonts w:hint="default" w:ascii="Times New Roman" w:hAnsi="Times New Roman" w:cs="Times New Roman"/>
                <w:color w:val="auto"/>
                <w:sz w:val="24"/>
                <w:highlight w:val="none"/>
              </w:rPr>
            </w:pPr>
          </w:p>
        </w:tc>
      </w:tr>
      <w:tr w14:paraId="45DADAF5">
        <w:tblPrEx>
          <w:tblCellMar>
            <w:top w:w="0" w:type="dxa"/>
            <w:left w:w="108" w:type="dxa"/>
            <w:bottom w:w="0" w:type="dxa"/>
            <w:right w:w="108" w:type="dxa"/>
          </w:tblCellMar>
        </w:tblPrEx>
        <w:trPr>
          <w:trHeight w:val="476"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6827C48B">
            <w:pPr>
              <w:widowControl/>
              <w:spacing w:line="400" w:lineRule="exact"/>
              <w:rPr>
                <w:rFonts w:hint="default" w:ascii="Times New Roman" w:hAnsi="Times New Roman" w:cs="Times New Roman"/>
                <w:color w:val="auto"/>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6915F36">
            <w:pPr>
              <w:widowControl/>
              <w:spacing w:line="400" w:lineRule="exact"/>
              <w:rPr>
                <w:rFonts w:hint="default" w:ascii="Times New Roman" w:hAnsi="Times New Roman" w:cs="Times New Roman"/>
                <w:color w:val="auto"/>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6A70206">
            <w:pPr>
              <w:widowControl/>
              <w:spacing w:line="400" w:lineRule="exact"/>
              <w:rPr>
                <w:rFonts w:hint="default" w:ascii="Times New Roman" w:hAnsi="Times New Roman" w:cs="Times New Roman"/>
                <w:color w:val="auto"/>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6BC4D4DC">
            <w:pPr>
              <w:widowControl/>
              <w:spacing w:line="400" w:lineRule="exact"/>
              <w:rPr>
                <w:rFonts w:hint="default" w:ascii="Times New Roman" w:hAnsi="Times New Roman" w:cs="Times New Roman"/>
                <w:color w:val="auto"/>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1FD19D7B">
            <w:pPr>
              <w:widowControl/>
              <w:spacing w:line="400" w:lineRule="exact"/>
              <w:rPr>
                <w:rFonts w:hint="default" w:ascii="Times New Roman" w:hAnsi="Times New Roman" w:cs="Times New Roman"/>
                <w:color w:val="auto"/>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58331AB2">
            <w:pPr>
              <w:widowControl/>
              <w:spacing w:line="400" w:lineRule="exact"/>
              <w:rPr>
                <w:rFonts w:hint="default" w:ascii="Times New Roman" w:hAnsi="Times New Roman" w:cs="Times New Roman"/>
                <w:color w:val="auto"/>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31EC17F9">
            <w:pPr>
              <w:widowControl/>
              <w:spacing w:line="400" w:lineRule="exact"/>
              <w:rPr>
                <w:rFonts w:hint="default" w:ascii="Times New Roman" w:hAnsi="Times New Roman" w:cs="Times New Roman"/>
                <w:color w:val="auto"/>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0578F713">
            <w:pPr>
              <w:widowControl/>
              <w:spacing w:line="400" w:lineRule="exact"/>
              <w:rPr>
                <w:rFonts w:hint="default" w:ascii="Times New Roman" w:hAnsi="Times New Roman" w:cs="Times New Roman"/>
                <w:color w:val="auto"/>
                <w:sz w:val="24"/>
                <w:highlight w:val="none"/>
              </w:rPr>
            </w:pPr>
          </w:p>
        </w:tc>
      </w:tr>
      <w:tr w14:paraId="2EE52C21">
        <w:tblPrEx>
          <w:tblCellMar>
            <w:top w:w="0" w:type="dxa"/>
            <w:left w:w="108" w:type="dxa"/>
            <w:bottom w:w="0" w:type="dxa"/>
            <w:right w:w="108" w:type="dxa"/>
          </w:tblCellMar>
        </w:tblPrEx>
        <w:trPr>
          <w:trHeight w:val="497"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06DC563D">
            <w:pPr>
              <w:widowControl/>
              <w:spacing w:line="400" w:lineRule="exact"/>
              <w:rPr>
                <w:rFonts w:hint="default" w:ascii="Times New Roman" w:hAnsi="Times New Roman" w:cs="Times New Roman"/>
                <w:color w:val="auto"/>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1579B40">
            <w:pPr>
              <w:widowControl/>
              <w:spacing w:line="400" w:lineRule="exact"/>
              <w:rPr>
                <w:rFonts w:hint="default" w:ascii="Times New Roman" w:hAnsi="Times New Roman" w:cs="Times New Roman"/>
                <w:color w:val="auto"/>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9C56AD7">
            <w:pPr>
              <w:widowControl/>
              <w:spacing w:line="400" w:lineRule="exact"/>
              <w:rPr>
                <w:rFonts w:hint="default" w:ascii="Times New Roman" w:hAnsi="Times New Roman" w:cs="Times New Roman"/>
                <w:color w:val="auto"/>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111179AC">
            <w:pPr>
              <w:widowControl/>
              <w:spacing w:line="400" w:lineRule="exact"/>
              <w:rPr>
                <w:rFonts w:hint="default" w:ascii="Times New Roman" w:hAnsi="Times New Roman" w:cs="Times New Roman"/>
                <w:color w:val="auto"/>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278B7EB3">
            <w:pPr>
              <w:widowControl/>
              <w:spacing w:line="400" w:lineRule="exact"/>
              <w:rPr>
                <w:rFonts w:hint="default" w:ascii="Times New Roman" w:hAnsi="Times New Roman" w:cs="Times New Roman"/>
                <w:color w:val="auto"/>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23A526BC">
            <w:pPr>
              <w:widowControl/>
              <w:spacing w:line="400" w:lineRule="exact"/>
              <w:rPr>
                <w:rFonts w:hint="default" w:ascii="Times New Roman" w:hAnsi="Times New Roman" w:cs="Times New Roman"/>
                <w:color w:val="auto"/>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53D31DD5">
            <w:pPr>
              <w:widowControl/>
              <w:spacing w:line="400" w:lineRule="exact"/>
              <w:rPr>
                <w:rFonts w:hint="default" w:ascii="Times New Roman" w:hAnsi="Times New Roman" w:cs="Times New Roman"/>
                <w:color w:val="auto"/>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5A0A8A7D">
            <w:pPr>
              <w:widowControl/>
              <w:spacing w:line="400" w:lineRule="exact"/>
              <w:rPr>
                <w:rFonts w:hint="default" w:ascii="Times New Roman" w:hAnsi="Times New Roman" w:cs="Times New Roman"/>
                <w:color w:val="auto"/>
                <w:sz w:val="24"/>
                <w:highlight w:val="none"/>
              </w:rPr>
            </w:pPr>
          </w:p>
        </w:tc>
      </w:tr>
    </w:tbl>
    <w:p w14:paraId="4CBED412">
      <w:pPr>
        <w:spacing w:line="400" w:lineRule="exact"/>
        <w:ind w:left="480" w:hanging="480" w:hangingChars="200"/>
        <w:rPr>
          <w:rFonts w:hint="default" w:ascii="Times New Roman" w:hAnsi="Times New Roman" w:cs="Times New Roman"/>
          <w:color w:val="auto"/>
          <w:sz w:val="24"/>
          <w:highlight w:val="none"/>
        </w:rPr>
      </w:pPr>
    </w:p>
    <w:p w14:paraId="1798CE21">
      <w:pPr>
        <w:pStyle w:val="83"/>
        <w:ind w:firstLine="400"/>
        <w:rPr>
          <w:rFonts w:hint="default" w:ascii="Times New Roman" w:hAnsi="Times New Roman" w:eastAsia="等线" w:cs="Times New Roman"/>
          <w:color w:val="auto"/>
          <w:highlight w:val="none"/>
        </w:rPr>
      </w:pPr>
    </w:p>
    <w:p w14:paraId="78BCB6CC">
      <w:pPr>
        <w:pStyle w:val="83"/>
        <w:ind w:firstLine="3769" w:firstLineChars="1795"/>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投标人名称（</w:t>
      </w:r>
      <w:r>
        <w:rPr>
          <w:rFonts w:hint="default" w:ascii="Times New Roman" w:hAnsi="Times New Roman" w:cs="Times New Roman"/>
          <w:color w:val="auto"/>
          <w:highlight w:val="none"/>
        </w:rPr>
        <w:t>加盖ca电子公章</w:t>
      </w:r>
      <w:r>
        <w:rPr>
          <w:rFonts w:hint="default" w:ascii="Times New Roman" w:hAnsi="Times New Roman" w:cs="Times New Roman"/>
          <w:color w:val="auto"/>
          <w:sz w:val="21"/>
          <w:szCs w:val="21"/>
          <w:highlight w:val="none"/>
        </w:rPr>
        <w:t>）：____________</w:t>
      </w:r>
      <w:r>
        <w:rPr>
          <w:rFonts w:hint="default" w:ascii="Times New Roman" w:hAnsi="Times New Roman" w:cs="Times New Roman"/>
          <w:color w:val="auto"/>
          <w:sz w:val="21"/>
          <w:szCs w:val="21"/>
          <w:highlight w:val="none"/>
          <w:u w:val="single"/>
        </w:rPr>
        <w:t xml:space="preserve">                </w:t>
      </w:r>
    </w:p>
    <w:p w14:paraId="5BD22B3A">
      <w:pPr>
        <w:pStyle w:val="83"/>
        <w:ind w:firstLine="3780" w:firstLineChars="18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日期：______年____月____日</w:t>
      </w:r>
    </w:p>
    <w:p w14:paraId="4B9AC150">
      <w:pPr>
        <w:rPr>
          <w:rFonts w:hint="default" w:ascii="Times New Roman" w:hAnsi="Times New Roman" w:cs="Times New Roman"/>
          <w:b/>
          <w:color w:val="auto"/>
          <w:highlight w:val="none"/>
        </w:rPr>
      </w:pPr>
    </w:p>
    <w:p w14:paraId="7935ACBB">
      <w:pPr>
        <w:rPr>
          <w:rFonts w:hint="default" w:ascii="Times New Roman" w:hAnsi="Times New Roman" w:cs="Times New Roman"/>
          <w:color w:val="auto"/>
          <w:highlight w:val="none"/>
        </w:rPr>
      </w:pPr>
      <w:bookmarkStart w:id="367" w:name="_Toc96347904"/>
    </w:p>
    <w:p w14:paraId="0092CD93">
      <w:pPr>
        <w:pStyle w:val="2"/>
        <w:rPr>
          <w:rFonts w:hint="default" w:ascii="Times New Roman" w:hAnsi="Times New Roman" w:cs="Times New Roman"/>
          <w:color w:val="auto"/>
          <w:highlight w:val="none"/>
        </w:rPr>
      </w:pPr>
    </w:p>
    <w:p w14:paraId="3714981B">
      <w:pPr>
        <w:pStyle w:val="34"/>
        <w:jc w:val="both"/>
        <w:rPr>
          <w:rFonts w:hint="default" w:ascii="Times New Roman" w:hAnsi="Times New Roman" w:cs="Times New Roman"/>
          <w:color w:val="auto"/>
          <w:sz w:val="28"/>
          <w:szCs w:val="24"/>
          <w:highlight w:val="none"/>
        </w:rPr>
      </w:pPr>
      <w:bookmarkStart w:id="368" w:name="_Toc97467129"/>
    </w:p>
    <w:p w14:paraId="074ABB13">
      <w:pPr>
        <w:rPr>
          <w:rFonts w:hint="default" w:ascii="Times New Roman" w:hAnsi="Times New Roman" w:cs="Times New Roman"/>
          <w:color w:val="auto"/>
          <w:highlight w:val="none"/>
        </w:rPr>
      </w:pPr>
    </w:p>
    <w:p w14:paraId="24B72772">
      <w:pPr>
        <w:pStyle w:val="2"/>
        <w:rPr>
          <w:rFonts w:hint="default" w:ascii="Times New Roman" w:hAnsi="Times New Roman" w:cs="Times New Roman"/>
          <w:color w:val="auto"/>
          <w:highlight w:val="none"/>
        </w:rPr>
      </w:pPr>
    </w:p>
    <w:p w14:paraId="5FAA2CC0">
      <w:pPr>
        <w:pStyle w:val="2"/>
        <w:rPr>
          <w:rFonts w:hint="default" w:ascii="Times New Roman" w:hAnsi="Times New Roman" w:cs="Times New Roman"/>
          <w:color w:val="auto"/>
          <w:highlight w:val="none"/>
        </w:rPr>
      </w:pPr>
    </w:p>
    <w:p w14:paraId="67ED0F07">
      <w:pPr>
        <w:pStyle w:val="2"/>
        <w:rPr>
          <w:rFonts w:hint="default" w:ascii="Times New Roman" w:hAnsi="Times New Roman" w:cs="Times New Roman"/>
          <w:color w:val="auto"/>
          <w:highlight w:val="none"/>
        </w:rPr>
      </w:pPr>
    </w:p>
    <w:p w14:paraId="328AEA84">
      <w:pPr>
        <w:pStyle w:val="2"/>
        <w:rPr>
          <w:rFonts w:hint="default" w:ascii="Times New Roman" w:hAnsi="Times New Roman" w:cs="Times New Roman"/>
          <w:color w:val="auto"/>
          <w:highlight w:val="none"/>
        </w:rPr>
      </w:pPr>
    </w:p>
    <w:p w14:paraId="295DFD13">
      <w:pPr>
        <w:pStyle w:val="2"/>
        <w:rPr>
          <w:rFonts w:hint="default" w:ascii="Times New Roman" w:hAnsi="Times New Roman" w:cs="Times New Roman"/>
          <w:color w:val="auto"/>
          <w:highlight w:val="none"/>
        </w:rPr>
      </w:pPr>
    </w:p>
    <w:p w14:paraId="75DD6070">
      <w:pPr>
        <w:pStyle w:val="2"/>
        <w:rPr>
          <w:rFonts w:hint="default" w:ascii="Times New Roman" w:hAnsi="Times New Roman" w:cs="Times New Roman"/>
          <w:color w:val="auto"/>
          <w:highlight w:val="none"/>
        </w:rPr>
      </w:pPr>
    </w:p>
    <w:p w14:paraId="453A818D">
      <w:pPr>
        <w:pStyle w:val="2"/>
        <w:rPr>
          <w:rFonts w:hint="default" w:ascii="Times New Roman" w:hAnsi="Times New Roman" w:cs="Times New Roman"/>
          <w:color w:val="auto"/>
          <w:highlight w:val="none"/>
        </w:rPr>
      </w:pPr>
    </w:p>
    <w:p w14:paraId="30CAEC20">
      <w:pPr>
        <w:widowControl/>
        <w:spacing w:after="60"/>
        <w:jc w:val="center"/>
        <w:rPr>
          <w:rFonts w:hint="default" w:ascii="Times New Roman" w:hAnsi="Times New Roman" w:cs="Times New Roman"/>
          <w:color w:val="auto"/>
          <w:kern w:val="0"/>
          <w:sz w:val="24"/>
          <w:highlight w:val="none"/>
        </w:rPr>
      </w:pPr>
      <w:r>
        <w:rPr>
          <w:rFonts w:hint="default" w:ascii="Times New Roman" w:hAnsi="Times New Roman" w:cs="Times New Roman"/>
          <w:color w:val="auto"/>
          <w:highlight w:val="none"/>
        </w:rPr>
        <w:br w:type="page"/>
      </w:r>
      <w:r>
        <w:rPr>
          <w:rFonts w:hint="default" w:ascii="Times New Roman" w:hAnsi="Times New Roman" w:cs="Times New Roman"/>
          <w:b/>
          <w:bCs/>
          <w:color w:val="auto"/>
          <w:kern w:val="0"/>
          <w:sz w:val="24"/>
          <w:highlight w:val="none"/>
        </w:rPr>
        <w:t>投标人认为需提供的其他文件或证明材料</w:t>
      </w:r>
    </w:p>
    <w:p w14:paraId="09122F0A">
      <w:pPr>
        <w:pStyle w:val="2"/>
        <w:rPr>
          <w:rFonts w:hint="default" w:ascii="Times New Roman" w:hAnsi="Times New Roman" w:cs="Times New Roman"/>
          <w:color w:val="auto"/>
          <w:highlight w:val="none"/>
        </w:rPr>
      </w:pPr>
    </w:p>
    <w:bookmarkEnd w:id="367"/>
    <w:bookmarkEnd w:id="368"/>
    <w:p w14:paraId="2F044BD2">
      <w:pPr>
        <w:pStyle w:val="34"/>
        <w:spacing w:before="0"/>
        <w:rPr>
          <w:rFonts w:hint="default" w:ascii="Times New Roman" w:hAnsi="Times New Roman" w:cs="Times New Roman"/>
          <w:color w:val="auto"/>
          <w:highlight w:val="none"/>
        </w:rPr>
      </w:pPr>
      <w:r>
        <w:rPr>
          <w:rFonts w:hint="default" w:ascii="Times New Roman" w:hAnsi="Times New Roman" w:cs="Times New Roman"/>
          <w:bCs w:val="0"/>
          <w:color w:val="auto"/>
          <w:sz w:val="24"/>
          <w:szCs w:val="24"/>
          <w:highlight w:val="none"/>
        </w:rPr>
        <w:br w:type="page"/>
      </w:r>
      <w:bookmarkStart w:id="369" w:name="_Toc103848608"/>
      <w:bookmarkStart w:id="370" w:name="_Toc30436"/>
      <w:bookmarkStart w:id="371" w:name="_Toc107246308"/>
      <w:bookmarkStart w:id="372" w:name="_Toc104560925"/>
      <w:r>
        <w:rPr>
          <w:rFonts w:hint="default" w:ascii="Times New Roman" w:hAnsi="Times New Roman" w:cs="Times New Roman"/>
          <w:bCs w:val="0"/>
          <w:color w:val="auto"/>
          <w:sz w:val="24"/>
          <w:szCs w:val="24"/>
          <w:highlight w:val="none"/>
        </w:rPr>
        <w:t>要求投标人提交的其他文件材料或证明材料</w:t>
      </w:r>
      <w:bookmarkEnd w:id="369"/>
      <w:bookmarkEnd w:id="370"/>
      <w:bookmarkEnd w:id="371"/>
      <w:bookmarkEnd w:id="372"/>
    </w:p>
    <w:p w14:paraId="3E62CD32">
      <w:pPr>
        <w:rPr>
          <w:rFonts w:hint="default" w:ascii="Times New Roman" w:hAnsi="Times New Roman" w:cs="Times New Roman"/>
          <w:color w:val="auto"/>
          <w:highlight w:val="none"/>
        </w:rPr>
      </w:pPr>
    </w:p>
    <w:p w14:paraId="15709D30">
      <w:pPr>
        <w:widowControl/>
        <w:spacing w:line="500" w:lineRule="exact"/>
        <w:ind w:firstLine="280" w:firstLineChars="100"/>
        <w:jc w:val="left"/>
        <w:rPr>
          <w:rFonts w:hint="default" w:ascii="Times New Roman" w:hAnsi="Times New Roman" w:cs="Times New Roman"/>
          <w:b/>
          <w:color w:val="auto"/>
          <w:sz w:val="24"/>
          <w:highlight w:val="none"/>
        </w:rPr>
      </w:pPr>
      <w:bookmarkStart w:id="373" w:name="_Toc464574310"/>
      <w:bookmarkStart w:id="374" w:name="_Toc416183814"/>
      <w:bookmarkStart w:id="375" w:name="_Toc358016974"/>
      <w:bookmarkStart w:id="376" w:name="_Toc417458128"/>
      <w:bookmarkStart w:id="377" w:name="_Toc420657434"/>
      <w:bookmarkStart w:id="378" w:name="_Toc420487939"/>
      <w:r>
        <w:rPr>
          <w:rFonts w:hint="default" w:ascii="Times New Roman" w:hAnsi="Times New Roman" w:cs="Times New Roman"/>
          <w:color w:val="auto"/>
          <w:sz w:val="28"/>
          <w:szCs w:val="24"/>
          <w:highlight w:val="none"/>
        </w:rPr>
        <w:br w:type="page"/>
      </w:r>
      <w:bookmarkEnd w:id="373"/>
      <w:bookmarkEnd w:id="374"/>
      <w:bookmarkEnd w:id="375"/>
      <w:bookmarkEnd w:id="376"/>
      <w:bookmarkEnd w:id="377"/>
      <w:bookmarkEnd w:id="378"/>
    </w:p>
    <w:bookmarkEnd w:id="352"/>
    <w:p w14:paraId="3A68454B">
      <w:pPr>
        <w:pStyle w:val="34"/>
        <w:spacing w:line="240" w:lineRule="atLeast"/>
        <w:rPr>
          <w:rFonts w:hint="default" w:ascii="Times New Roman" w:hAnsi="Times New Roman" w:cs="Times New Roman"/>
          <w:bCs w:val="0"/>
          <w:color w:val="auto"/>
          <w:sz w:val="24"/>
          <w:szCs w:val="24"/>
          <w:highlight w:val="none"/>
        </w:rPr>
      </w:pPr>
      <w:bookmarkStart w:id="379" w:name="_Toc7481"/>
      <w:r>
        <w:rPr>
          <w:rFonts w:hint="default" w:ascii="Times New Roman" w:hAnsi="Times New Roman" w:cs="Times New Roman"/>
          <w:bCs w:val="0"/>
          <w:color w:val="auto"/>
          <w:sz w:val="24"/>
          <w:szCs w:val="24"/>
          <w:highlight w:val="none"/>
        </w:rPr>
        <w:t>资格条件</w:t>
      </w:r>
      <w:bookmarkEnd w:id="379"/>
    </w:p>
    <w:p w14:paraId="3374D012">
      <w:pPr>
        <w:pStyle w:val="34"/>
        <w:spacing w:line="240" w:lineRule="atLeast"/>
        <w:rPr>
          <w:rFonts w:hint="default" w:ascii="Times New Roman" w:hAnsi="Times New Roman" w:cs="Times New Roman"/>
          <w:bCs w:val="0"/>
          <w:color w:val="auto"/>
          <w:sz w:val="24"/>
          <w:szCs w:val="24"/>
          <w:highlight w:val="none"/>
        </w:rPr>
      </w:pPr>
      <w:bookmarkStart w:id="380" w:name="_Toc21599"/>
      <w:r>
        <w:rPr>
          <w:rFonts w:hint="default" w:ascii="Times New Roman" w:hAnsi="Times New Roman" w:cs="Times New Roman"/>
          <w:bCs w:val="0"/>
          <w:color w:val="auto"/>
          <w:sz w:val="24"/>
          <w:szCs w:val="24"/>
          <w:highlight w:val="none"/>
        </w:rPr>
        <w:t>法人或者其他组织的营业执照等证明文件，自然人的身份证明（提供法人或者其他组织的营业执照，自然人的身份证明复印件加盖公章）</w:t>
      </w:r>
      <w:bookmarkEnd w:id="380"/>
    </w:p>
    <w:p w14:paraId="71CDF642">
      <w:pPr>
        <w:spacing w:line="360" w:lineRule="auto"/>
        <w:rPr>
          <w:rFonts w:hint="default" w:ascii="Times New Roman" w:hAnsi="Times New Roman" w:cs="Times New Roman"/>
          <w:b/>
          <w:bCs/>
          <w:color w:val="auto"/>
          <w:highlight w:val="none"/>
        </w:rPr>
      </w:pPr>
      <w:bookmarkStart w:id="381" w:name="_Hlk33717720"/>
    </w:p>
    <w:p w14:paraId="342D5DEC">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注：投标人提供营业执照副本（或具有同等法律效力的证照）复印件。复印件应能清晰显示投标人名称。</w:t>
      </w:r>
      <w:bookmarkEnd w:id="381"/>
    </w:p>
    <w:p w14:paraId="4F3BEC11">
      <w:pPr>
        <w:rPr>
          <w:rFonts w:hint="default" w:ascii="Times New Roman" w:hAnsi="Times New Roman" w:cs="Times New Roman"/>
          <w:color w:val="auto"/>
          <w:highlight w:val="none"/>
        </w:rPr>
      </w:pPr>
    </w:p>
    <w:p w14:paraId="344CF23F">
      <w:pPr>
        <w:pStyle w:val="34"/>
        <w:spacing w:line="240" w:lineRule="atLeast"/>
        <w:rPr>
          <w:rFonts w:hint="default" w:ascii="Times New Roman" w:hAnsi="Times New Roman" w:eastAsia="黑体" w:cs="Times New Roman"/>
          <w:b w:val="0"/>
          <w:color w:val="auto"/>
          <w:highlight w:val="none"/>
        </w:rPr>
      </w:pPr>
      <w:bookmarkStart w:id="382" w:name="_Toc102117320"/>
      <w:bookmarkStart w:id="383" w:name="_Toc103848589"/>
      <w:r>
        <w:rPr>
          <w:rFonts w:hint="default" w:ascii="Times New Roman" w:hAnsi="Times New Roman" w:cs="Times New Roman"/>
          <w:bCs w:val="0"/>
          <w:color w:val="auto"/>
          <w:sz w:val="24"/>
          <w:szCs w:val="24"/>
          <w:highlight w:val="none"/>
        </w:rPr>
        <w:br w:type="page"/>
      </w:r>
      <w:bookmarkStart w:id="384" w:name="_Toc104560904"/>
      <w:bookmarkStart w:id="385" w:name="_Toc6411"/>
      <w:bookmarkStart w:id="386" w:name="_Toc107246284"/>
      <w:r>
        <w:rPr>
          <w:rFonts w:hint="default" w:ascii="Times New Roman" w:hAnsi="Times New Roman" w:cs="Times New Roman"/>
          <w:bCs w:val="0"/>
          <w:color w:val="auto"/>
          <w:sz w:val="24"/>
          <w:szCs w:val="24"/>
          <w:highlight w:val="none"/>
        </w:rPr>
        <w:t>工商变更登记文件（如需）</w:t>
      </w:r>
      <w:bookmarkEnd w:id="382"/>
      <w:bookmarkEnd w:id="383"/>
      <w:bookmarkEnd w:id="384"/>
      <w:bookmarkEnd w:id="385"/>
      <w:bookmarkEnd w:id="386"/>
    </w:p>
    <w:p w14:paraId="601532E4">
      <w:pPr>
        <w:spacing w:line="360" w:lineRule="auto"/>
        <w:rPr>
          <w:rFonts w:hint="default" w:ascii="Times New Roman" w:hAnsi="Times New Roman" w:cs="Times New Roman"/>
          <w:b/>
          <w:bCs/>
          <w:color w:val="auto"/>
          <w:highlight w:val="none"/>
        </w:rPr>
      </w:pPr>
    </w:p>
    <w:p w14:paraId="4D4B52CD">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注：如</w:t>
      </w:r>
      <w:r>
        <w:rPr>
          <w:rFonts w:hint="default" w:ascii="Times New Roman" w:hAnsi="Times New Roman" w:cs="Times New Roman"/>
          <w:b/>
          <w:bCs/>
          <w:color w:val="auto"/>
          <w:sz w:val="22"/>
          <w:szCs w:val="22"/>
          <w:highlight w:val="none"/>
        </w:rPr>
        <w:t>投标人</w:t>
      </w:r>
      <w:r>
        <w:rPr>
          <w:rFonts w:hint="default" w:ascii="Times New Roman" w:hAnsi="Times New Roman" w:cs="Times New Roman"/>
          <w:b/>
          <w:bCs/>
          <w:color w:val="auto"/>
          <w:highlight w:val="none"/>
        </w:rPr>
        <w:t>在招标文件资质、业绩等要求的时间期限内发生了单位名称等变更的，提供相关工商变更登记文件的复印件。如无，则可不提供。</w:t>
      </w:r>
    </w:p>
    <w:p w14:paraId="6FE9676C">
      <w:pPr>
        <w:pStyle w:val="34"/>
        <w:spacing w:line="240" w:lineRule="atLeast"/>
        <w:rPr>
          <w:rFonts w:hint="default" w:ascii="Times New Roman" w:hAnsi="Times New Roman" w:cs="Times New Roman"/>
          <w:bCs w:val="0"/>
          <w:color w:val="auto"/>
          <w:sz w:val="24"/>
          <w:szCs w:val="24"/>
          <w:highlight w:val="none"/>
        </w:rPr>
      </w:pPr>
      <w:r>
        <w:rPr>
          <w:rFonts w:hint="default" w:ascii="Times New Roman" w:hAnsi="Times New Roman" w:cs="Times New Roman"/>
          <w:b w:val="0"/>
          <w:bCs w:val="0"/>
          <w:color w:val="auto"/>
          <w:highlight w:val="none"/>
        </w:rPr>
        <w:br w:type="page"/>
      </w:r>
      <w:bookmarkStart w:id="387" w:name="_Toc104560905"/>
      <w:bookmarkStart w:id="388" w:name="_Toc2527"/>
      <w:bookmarkStart w:id="389" w:name="_Toc107246285"/>
      <w:bookmarkStart w:id="390" w:name="_Toc102117321"/>
      <w:bookmarkStart w:id="391" w:name="_Toc103848590"/>
      <w:r>
        <w:rPr>
          <w:rFonts w:hint="default" w:ascii="Times New Roman" w:hAnsi="Times New Roman" w:cs="Times New Roman"/>
          <w:bCs w:val="0"/>
          <w:color w:val="auto"/>
          <w:sz w:val="24"/>
          <w:szCs w:val="24"/>
          <w:highlight w:val="none"/>
        </w:rPr>
        <w:t>财务报表</w:t>
      </w:r>
      <w:bookmarkEnd w:id="387"/>
      <w:bookmarkEnd w:id="388"/>
      <w:bookmarkEnd w:id="389"/>
      <w:bookmarkEnd w:id="390"/>
      <w:bookmarkEnd w:id="391"/>
    </w:p>
    <w:p w14:paraId="2DBB5832">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具有良好的商业信誉和健全的财务会计制度，</w:t>
      </w:r>
      <w:r>
        <w:rPr>
          <w:rFonts w:hint="default" w:ascii="Times New Roman" w:hAnsi="Times New Roman" w:cs="Times New Roman"/>
          <w:b/>
          <w:color w:val="auto"/>
          <w:szCs w:val="21"/>
          <w:highlight w:val="none"/>
        </w:rPr>
        <w:t>提供202</w:t>
      </w:r>
      <w:r>
        <w:rPr>
          <w:rFonts w:hint="default" w:ascii="Times New Roman" w:hAnsi="Times New Roman" w:cs="Times New Roman"/>
          <w:b/>
          <w:color w:val="auto"/>
          <w:szCs w:val="21"/>
          <w:highlight w:val="none"/>
          <w:lang w:val="en-US" w:eastAsia="zh-CN"/>
        </w:rPr>
        <w:t>4</w:t>
      </w:r>
      <w:r>
        <w:rPr>
          <w:rFonts w:hint="default" w:ascii="Times New Roman" w:hAnsi="Times New Roman" w:cs="Times New Roman"/>
          <w:b/>
          <w:color w:val="auto"/>
          <w:szCs w:val="21"/>
          <w:highlight w:val="none"/>
        </w:rPr>
        <w:t>年度或202</w:t>
      </w:r>
      <w:r>
        <w:rPr>
          <w:rFonts w:hint="default" w:ascii="Times New Roman" w:hAnsi="Times New Roman" w:cs="Times New Roman"/>
          <w:b/>
          <w:color w:val="auto"/>
          <w:szCs w:val="21"/>
          <w:highlight w:val="none"/>
          <w:lang w:val="en-US" w:eastAsia="zh-CN"/>
        </w:rPr>
        <w:t>5</w:t>
      </w:r>
      <w:r>
        <w:rPr>
          <w:rFonts w:hint="default" w:ascii="Times New Roman" w:hAnsi="Times New Roman" w:cs="Times New Roman"/>
          <w:b/>
          <w:color w:val="auto"/>
          <w:szCs w:val="21"/>
          <w:highlight w:val="none"/>
        </w:rPr>
        <w:t>年度的财务报表（如为新成立的公司，应提供公司成立之后的财务报表）或响应截止时间前3个月内，由其基本开户银行出具的资信证明或财政部门认可的政府采购专业担保机构出具的磋商担保函</w:t>
      </w:r>
      <w:r>
        <w:rPr>
          <w:rFonts w:hint="default" w:ascii="Times New Roman" w:hAnsi="Times New Roman" w:cs="Times New Roman"/>
          <w:bCs/>
          <w:color w:val="auto"/>
          <w:szCs w:val="21"/>
          <w:highlight w:val="none"/>
        </w:rPr>
        <w:t>；</w:t>
      </w:r>
    </w:p>
    <w:p w14:paraId="00D941D1">
      <w:pPr>
        <w:pStyle w:val="2"/>
        <w:ind w:left="0" w:leftChars="0" w:firstLine="0" w:firstLineChars="0"/>
        <w:rPr>
          <w:rFonts w:hint="default" w:ascii="Times New Roman" w:hAnsi="Times New Roman" w:cs="Times New Roman"/>
          <w:bCs/>
          <w:color w:val="auto"/>
          <w:sz w:val="24"/>
          <w:highlight w:val="none"/>
        </w:rPr>
      </w:pPr>
      <w:r>
        <w:rPr>
          <w:rFonts w:hint="default" w:ascii="Times New Roman" w:hAnsi="Times New Roman" w:cs="Times New Roman"/>
          <w:color w:val="auto"/>
          <w:highlight w:val="none"/>
        </w:rPr>
        <w:br w:type="page"/>
      </w:r>
      <w:bookmarkStart w:id="392" w:name="_Toc102117322"/>
      <w:bookmarkStart w:id="393" w:name="_Toc103848593"/>
      <w:bookmarkStart w:id="394" w:name="_Toc104560908"/>
      <w:bookmarkStart w:id="395" w:name="_Toc107246286"/>
    </w:p>
    <w:bookmarkEnd w:id="392"/>
    <w:bookmarkEnd w:id="393"/>
    <w:bookmarkEnd w:id="394"/>
    <w:bookmarkEnd w:id="395"/>
    <w:p w14:paraId="67577042">
      <w:pPr>
        <w:pStyle w:val="34"/>
        <w:spacing w:line="240" w:lineRule="atLeast"/>
        <w:jc w:val="left"/>
        <w:rPr>
          <w:rFonts w:hint="default" w:ascii="Times New Roman" w:hAnsi="Times New Roman" w:cs="Times New Roman"/>
          <w:bCs w:val="0"/>
          <w:color w:val="auto"/>
          <w:sz w:val="24"/>
          <w:szCs w:val="24"/>
          <w:highlight w:val="none"/>
        </w:rPr>
      </w:pPr>
      <w:bookmarkStart w:id="396" w:name="_Toc17228"/>
      <w:r>
        <w:rPr>
          <w:rFonts w:hint="default" w:ascii="Times New Roman" w:hAnsi="Times New Roman" w:cs="Times New Roman"/>
          <w:bCs w:val="0"/>
          <w:color w:val="auto"/>
          <w:sz w:val="24"/>
          <w:szCs w:val="24"/>
          <w:highlight w:val="none"/>
        </w:rPr>
        <w:t>具有履行合同所必需的设备和专业技术能力，提供具备履行合同所必需的设备和专业技术能力的证明材料或承诺函（提供声明函原件）；</w:t>
      </w:r>
      <w:bookmarkEnd w:id="396"/>
    </w:p>
    <w:p w14:paraId="57E8D8D8">
      <w:pPr>
        <w:rPr>
          <w:rFonts w:hint="default" w:ascii="Times New Roman" w:hAnsi="Times New Roman" w:cs="Times New Roman"/>
          <w:color w:val="auto"/>
          <w:highlight w:val="none"/>
        </w:rPr>
      </w:pPr>
    </w:p>
    <w:p w14:paraId="56C765C8">
      <w:pPr>
        <w:rPr>
          <w:rFonts w:hint="default" w:ascii="Times New Roman" w:hAnsi="Times New Roman" w:cs="Times New Roman"/>
          <w:color w:val="auto"/>
          <w:highlight w:val="none"/>
        </w:rPr>
      </w:pPr>
    </w:p>
    <w:p w14:paraId="463D9C14">
      <w:pPr>
        <w:adjustRightInd w:val="0"/>
        <w:spacing w:before="120" w:after="120" w:line="360" w:lineRule="auto"/>
        <w:ind w:firstLine="480"/>
        <w:jc w:val="center"/>
        <w:textAlignment w:val="baseline"/>
        <w:rPr>
          <w:rFonts w:hint="default" w:ascii="Times New Roman" w:hAnsi="Times New Roman" w:cs="Times New Roman"/>
          <w:b/>
          <w:color w:val="auto"/>
          <w:sz w:val="44"/>
          <w:szCs w:val="44"/>
          <w:highlight w:val="none"/>
        </w:rPr>
      </w:pPr>
    </w:p>
    <w:p w14:paraId="07D07E4C">
      <w:pPr>
        <w:adjustRightInd w:val="0"/>
        <w:spacing w:before="120" w:after="120" w:line="360" w:lineRule="auto"/>
        <w:ind w:firstLine="480"/>
        <w:jc w:val="center"/>
        <w:textAlignment w:val="baseline"/>
        <w:rPr>
          <w:rFonts w:hint="default" w:ascii="Times New Roman" w:hAnsi="Times New Roman" w:cs="Times New Roman"/>
          <w:b/>
          <w:color w:val="auto"/>
          <w:sz w:val="44"/>
          <w:szCs w:val="44"/>
          <w:highlight w:val="none"/>
        </w:rPr>
      </w:pPr>
    </w:p>
    <w:p w14:paraId="7D218499">
      <w:pPr>
        <w:adjustRightInd w:val="0"/>
        <w:spacing w:before="120" w:after="120" w:line="360" w:lineRule="auto"/>
        <w:ind w:firstLine="480"/>
        <w:jc w:val="center"/>
        <w:textAlignment w:val="baseline"/>
        <w:rPr>
          <w:rFonts w:hint="default" w:ascii="Times New Roman" w:hAnsi="Times New Roman" w:cs="Times New Roman"/>
          <w:color w:val="auto"/>
          <w:highlight w:val="none"/>
        </w:rPr>
      </w:pPr>
      <w:r>
        <w:rPr>
          <w:rFonts w:hint="default" w:ascii="Times New Roman" w:hAnsi="Times New Roman" w:cs="Times New Roman"/>
          <w:color w:val="auto"/>
          <w:sz w:val="44"/>
          <w:szCs w:val="44"/>
          <w:highlight w:val="none"/>
        </w:rPr>
        <w:t>承 诺 函</w:t>
      </w:r>
    </w:p>
    <w:p w14:paraId="1D6B6ED1">
      <w:pPr>
        <w:adjustRightInd w:val="0"/>
        <w:spacing w:before="120" w:after="120" w:line="360" w:lineRule="auto"/>
        <w:ind w:firstLine="480"/>
        <w:jc w:val="left"/>
        <w:textAlignment w:val="baseline"/>
        <w:rPr>
          <w:rFonts w:hint="default" w:ascii="Times New Roman" w:hAnsi="Times New Roman" w:cs="Times New Roman"/>
          <w:color w:val="auto"/>
          <w:highlight w:val="none"/>
        </w:rPr>
      </w:pPr>
      <w:r>
        <w:rPr>
          <w:rFonts w:hint="default" w:ascii="Times New Roman" w:hAnsi="Times New Roman" w:cs="Times New Roman"/>
          <w:color w:val="auto"/>
          <w:highlight w:val="none"/>
        </w:rPr>
        <w:t>我单位郑重承诺：我单位具备履行本项采购合同所必需的设备和专业技术能力。</w:t>
      </w:r>
    </w:p>
    <w:p w14:paraId="1C0E2DE1">
      <w:pPr>
        <w:adjustRightInd w:val="0"/>
        <w:spacing w:before="120" w:after="120" w:line="360" w:lineRule="auto"/>
        <w:ind w:firstLine="480"/>
        <w:jc w:val="left"/>
        <w:textAlignment w:val="baseline"/>
        <w:rPr>
          <w:rFonts w:hint="default" w:ascii="Times New Roman" w:hAnsi="Times New Roman" w:cs="Times New Roman"/>
          <w:color w:val="auto"/>
          <w:highlight w:val="none"/>
        </w:rPr>
      </w:pPr>
    </w:p>
    <w:p w14:paraId="16132A6D">
      <w:pPr>
        <w:adjustRightInd w:val="0"/>
        <w:spacing w:before="120" w:after="120" w:line="360" w:lineRule="auto"/>
        <w:ind w:firstLine="480"/>
        <w:jc w:val="left"/>
        <w:textAlignment w:val="baseline"/>
        <w:rPr>
          <w:rFonts w:hint="default" w:ascii="Times New Roman" w:hAnsi="Times New Roman" w:cs="Times New Roman"/>
          <w:color w:val="auto"/>
          <w:highlight w:val="none"/>
        </w:rPr>
      </w:pPr>
    </w:p>
    <w:p w14:paraId="6C7EFA92">
      <w:pPr>
        <w:pStyle w:val="18"/>
        <w:ind w:left="1260"/>
        <w:rPr>
          <w:rFonts w:hint="default" w:ascii="Times New Roman" w:hAnsi="Times New Roman" w:cs="Times New Roman"/>
          <w:color w:val="auto"/>
          <w:highlight w:val="none"/>
        </w:rPr>
      </w:pPr>
    </w:p>
    <w:p w14:paraId="29EFBC57">
      <w:pPr>
        <w:rPr>
          <w:rFonts w:hint="default" w:ascii="Times New Roman" w:hAnsi="Times New Roman" w:cs="Times New Roman"/>
          <w:color w:val="auto"/>
          <w:highlight w:val="none"/>
        </w:rPr>
      </w:pPr>
    </w:p>
    <w:p w14:paraId="49ED0FA9">
      <w:pPr>
        <w:pStyle w:val="18"/>
        <w:ind w:left="1260"/>
        <w:rPr>
          <w:rFonts w:hint="default" w:ascii="Times New Roman" w:hAnsi="Times New Roman" w:cs="Times New Roman"/>
          <w:color w:val="auto"/>
          <w:highlight w:val="none"/>
        </w:rPr>
      </w:pPr>
    </w:p>
    <w:p w14:paraId="5B7780E6">
      <w:pPr>
        <w:rPr>
          <w:rFonts w:hint="default" w:ascii="Times New Roman" w:hAnsi="Times New Roman" w:cs="Times New Roman"/>
          <w:color w:val="auto"/>
          <w:highlight w:val="none"/>
        </w:rPr>
      </w:pPr>
    </w:p>
    <w:p w14:paraId="6C62ED9B">
      <w:pPr>
        <w:spacing w:line="276"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投标人名称（加盖ca电子公章）：______________________</w:t>
      </w:r>
    </w:p>
    <w:p w14:paraId="6C0EB2BB">
      <w:pPr>
        <w:spacing w:line="276" w:lineRule="auto"/>
        <w:ind w:firstLine="3780" w:firstLineChars="1800"/>
        <w:rPr>
          <w:rFonts w:hint="default" w:ascii="Times New Roman" w:hAnsi="Times New Roman" w:cs="Times New Roman"/>
          <w:color w:val="auto"/>
          <w:szCs w:val="21"/>
          <w:highlight w:val="none"/>
          <w:u w:val="single"/>
        </w:rPr>
      </w:pPr>
    </w:p>
    <w:p w14:paraId="3C0114B6">
      <w:pPr>
        <w:spacing w:line="276"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321E7711">
      <w:pPr>
        <w:spacing w:line="360" w:lineRule="auto"/>
        <w:rPr>
          <w:rFonts w:hint="default" w:ascii="Times New Roman" w:hAnsi="Times New Roman" w:cs="Times New Roman"/>
          <w:b/>
          <w:color w:val="auto"/>
          <w:sz w:val="24"/>
          <w:highlight w:val="none"/>
        </w:rPr>
      </w:pPr>
    </w:p>
    <w:p w14:paraId="299036F5">
      <w:pPr>
        <w:spacing w:line="360" w:lineRule="auto"/>
        <w:rPr>
          <w:rFonts w:hint="default" w:ascii="Times New Roman" w:hAnsi="Times New Roman" w:cs="Times New Roman"/>
          <w:b/>
          <w:bCs/>
          <w:color w:val="auto"/>
          <w:highlight w:val="none"/>
        </w:rPr>
      </w:pPr>
    </w:p>
    <w:p w14:paraId="0DC3451E">
      <w:pPr>
        <w:pStyle w:val="34"/>
        <w:spacing w:line="240" w:lineRule="atLeast"/>
        <w:rPr>
          <w:rFonts w:hint="default" w:ascii="Times New Roman" w:hAnsi="Times New Roman" w:eastAsia="黑体" w:cs="Times New Roman"/>
          <w:b w:val="0"/>
          <w:color w:val="auto"/>
          <w:highlight w:val="none"/>
        </w:rPr>
      </w:pPr>
      <w:bookmarkStart w:id="397" w:name="_Toc103848591"/>
      <w:bookmarkStart w:id="398" w:name="_Toc102117323"/>
      <w:r>
        <w:rPr>
          <w:rFonts w:hint="default" w:ascii="Times New Roman" w:hAnsi="Times New Roman" w:cs="Times New Roman"/>
          <w:bCs w:val="0"/>
          <w:color w:val="auto"/>
          <w:sz w:val="24"/>
          <w:szCs w:val="24"/>
          <w:highlight w:val="none"/>
        </w:rPr>
        <w:br w:type="page"/>
      </w:r>
      <w:bookmarkStart w:id="399" w:name="_Toc104560906"/>
      <w:bookmarkStart w:id="400" w:name="_Toc23031"/>
      <w:bookmarkStart w:id="401" w:name="_Toc107246287"/>
      <w:r>
        <w:rPr>
          <w:rFonts w:hint="default" w:ascii="Times New Roman" w:hAnsi="Times New Roman" w:cs="Times New Roman"/>
          <w:bCs w:val="0"/>
          <w:color w:val="auto"/>
          <w:sz w:val="24"/>
          <w:szCs w:val="24"/>
          <w:highlight w:val="none"/>
        </w:rPr>
        <w:t>依法缴纳税收的相关材料</w:t>
      </w:r>
      <w:bookmarkEnd w:id="397"/>
      <w:bookmarkEnd w:id="398"/>
      <w:bookmarkEnd w:id="399"/>
      <w:bookmarkEnd w:id="400"/>
      <w:bookmarkEnd w:id="401"/>
    </w:p>
    <w:p w14:paraId="3A6EE046">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有依法缴纳税收和社会保障资金的良好记录，提供本次采购活动前3个月内，至少1个月缴纳税收和社会保险的凭证，依法享受免缴、缓缴的，提供证明材料；</w:t>
      </w:r>
    </w:p>
    <w:p w14:paraId="7A3D6AB1">
      <w:pPr>
        <w:pStyle w:val="34"/>
        <w:spacing w:line="240" w:lineRule="atLeast"/>
        <w:rPr>
          <w:rFonts w:hint="default" w:ascii="Times New Roman" w:hAnsi="Times New Roman" w:cs="Times New Roman"/>
          <w:bCs w:val="0"/>
          <w:color w:val="auto"/>
          <w:sz w:val="24"/>
          <w:szCs w:val="24"/>
          <w:highlight w:val="none"/>
        </w:rPr>
      </w:pPr>
      <w:r>
        <w:rPr>
          <w:rFonts w:hint="default" w:ascii="Times New Roman" w:hAnsi="Times New Roman" w:cs="Times New Roman"/>
          <w:b w:val="0"/>
          <w:color w:val="auto"/>
          <w:sz w:val="24"/>
          <w:highlight w:val="none"/>
        </w:rPr>
        <w:br w:type="page"/>
      </w:r>
      <w:bookmarkStart w:id="402" w:name="_Toc22801"/>
      <w:bookmarkStart w:id="403" w:name="_Toc107246288"/>
      <w:bookmarkStart w:id="404" w:name="_Toc104560907"/>
      <w:bookmarkStart w:id="405" w:name="_Toc102117324"/>
      <w:bookmarkStart w:id="406" w:name="_Toc103848592"/>
      <w:r>
        <w:rPr>
          <w:rFonts w:hint="default" w:ascii="Times New Roman" w:hAnsi="Times New Roman" w:cs="Times New Roman"/>
          <w:bCs w:val="0"/>
          <w:color w:val="auto"/>
          <w:sz w:val="24"/>
          <w:szCs w:val="24"/>
          <w:highlight w:val="none"/>
        </w:rPr>
        <w:t>依法缴纳社会保障资金的相关材料</w:t>
      </w:r>
      <w:bookmarkEnd w:id="402"/>
      <w:bookmarkEnd w:id="403"/>
      <w:bookmarkEnd w:id="404"/>
      <w:bookmarkEnd w:id="405"/>
      <w:bookmarkEnd w:id="406"/>
    </w:p>
    <w:p w14:paraId="6B88AC24">
      <w:pPr>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有依法缴纳税收和社会保障资金的良好记录，提供本次采购活动前3个月内，至少1个月缴纳税收和社会保险的凭证，依法享受免缴、缓缴的，提供证明材料；</w:t>
      </w:r>
    </w:p>
    <w:p w14:paraId="31BC7F6E">
      <w:pPr>
        <w:spacing w:line="360" w:lineRule="auto"/>
        <w:rPr>
          <w:rFonts w:hint="default" w:ascii="Times New Roman" w:hAnsi="Times New Roman" w:cs="Times New Roman"/>
          <w:b/>
          <w:bCs/>
          <w:color w:val="auto"/>
          <w:highlight w:val="none"/>
        </w:rPr>
      </w:pPr>
    </w:p>
    <w:p w14:paraId="382B547C">
      <w:pPr>
        <w:pStyle w:val="34"/>
        <w:spacing w:line="240" w:lineRule="atLeast"/>
        <w:rPr>
          <w:rFonts w:hint="default" w:ascii="Times New Roman" w:hAnsi="Times New Roman" w:cs="Times New Roman"/>
          <w:b w:val="0"/>
          <w:bCs w:val="0"/>
          <w:color w:val="auto"/>
          <w:highlight w:val="none"/>
        </w:rPr>
      </w:pPr>
      <w:r>
        <w:rPr>
          <w:rFonts w:hint="default" w:ascii="Times New Roman" w:hAnsi="Times New Roman" w:cs="Times New Roman"/>
          <w:b w:val="0"/>
          <w:bCs w:val="0"/>
          <w:color w:val="auto"/>
          <w:highlight w:val="none"/>
        </w:rPr>
        <w:br w:type="page"/>
      </w:r>
      <w:bookmarkStart w:id="407" w:name="_Toc11943"/>
      <w:bookmarkStart w:id="408" w:name="_Toc103848594"/>
      <w:bookmarkStart w:id="409" w:name="_Toc102117325"/>
      <w:bookmarkStart w:id="410" w:name="_Toc107246289"/>
      <w:bookmarkStart w:id="411" w:name="_Toc104560909"/>
    </w:p>
    <w:p w14:paraId="37531742">
      <w:pPr>
        <w:pStyle w:val="34"/>
        <w:spacing w:line="240" w:lineRule="atLeast"/>
        <w:jc w:val="left"/>
        <w:rPr>
          <w:rFonts w:hint="default" w:ascii="Times New Roman" w:hAnsi="Times New Roman"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rPr>
        <w:t>参加政府采购活动前三年内，在经营活动中没有重大违法记录，提供声明函原件（重大违法记录是指供应商因违法经营受到刑事处罚或责令停产停业、吊销许可证或者执照、较大数额罚款等行政处罚）。</w:t>
      </w:r>
    </w:p>
    <w:p w14:paraId="092F0F24">
      <w:pPr>
        <w:pStyle w:val="34"/>
        <w:spacing w:line="240" w:lineRule="atLeast"/>
        <w:rPr>
          <w:rFonts w:hint="default" w:ascii="Times New Roman" w:hAnsi="Times New Roman" w:cs="Times New Roman"/>
          <w:b w:val="0"/>
          <w:color w:val="auto"/>
          <w:sz w:val="24"/>
          <w:highlight w:val="none"/>
        </w:rPr>
      </w:pPr>
      <w:r>
        <w:rPr>
          <w:rFonts w:hint="default" w:ascii="Times New Roman" w:hAnsi="Times New Roman" w:cs="Times New Roman"/>
          <w:bCs w:val="0"/>
          <w:color w:val="auto"/>
          <w:sz w:val="24"/>
          <w:szCs w:val="24"/>
          <w:highlight w:val="none"/>
        </w:rPr>
        <w:t>没有重大违法记录的书面声明</w:t>
      </w:r>
      <w:bookmarkEnd w:id="407"/>
      <w:bookmarkEnd w:id="408"/>
      <w:bookmarkEnd w:id="409"/>
      <w:bookmarkEnd w:id="410"/>
      <w:bookmarkEnd w:id="411"/>
    </w:p>
    <w:p w14:paraId="5F97C144">
      <w:pPr>
        <w:spacing w:line="360" w:lineRule="auto"/>
        <w:rPr>
          <w:rFonts w:hint="default" w:ascii="Times New Roman" w:hAnsi="Times New Roman" w:cs="Times New Roman"/>
          <w:b/>
          <w:bCs/>
          <w:color w:val="auto"/>
          <w:highlight w:val="none"/>
        </w:rPr>
      </w:pPr>
    </w:p>
    <w:p w14:paraId="04F90D11">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注：参加政府采购活动前3年内在经营活动中没有重大违法记录的书面声明（提供声明函原件）。</w:t>
      </w:r>
    </w:p>
    <w:p w14:paraId="09B32C1A">
      <w:pPr>
        <w:adjustRightInd w:val="0"/>
        <w:snapToGrid w:val="0"/>
        <w:spacing w:line="360" w:lineRule="auto"/>
        <w:jc w:val="center"/>
        <w:rPr>
          <w:rFonts w:hint="default" w:ascii="Times New Roman" w:hAnsi="Times New Roman" w:eastAsia="黑体" w:cs="Times New Roman"/>
          <w:b/>
          <w:color w:val="auto"/>
          <w:sz w:val="32"/>
          <w:szCs w:val="32"/>
          <w:highlight w:val="none"/>
        </w:rPr>
      </w:pPr>
    </w:p>
    <w:p w14:paraId="64438FBB">
      <w:pPr>
        <w:adjustRightInd w:val="0"/>
        <w:snapToGrid w:val="0"/>
        <w:spacing w:line="360" w:lineRule="auto"/>
        <w:jc w:val="center"/>
        <w:rPr>
          <w:rFonts w:hint="default" w:ascii="Times New Roman" w:hAnsi="Times New Roman" w:eastAsia="黑体" w:cs="Times New Roman"/>
          <w:b/>
          <w:color w:val="auto"/>
          <w:sz w:val="32"/>
          <w:szCs w:val="32"/>
          <w:highlight w:val="none"/>
        </w:rPr>
      </w:pPr>
    </w:p>
    <w:p w14:paraId="01D4FDE6">
      <w:pPr>
        <w:spacing w:line="360" w:lineRule="auto"/>
        <w:jc w:val="center"/>
        <w:rPr>
          <w:rFonts w:hint="default" w:ascii="Times New Roman" w:hAnsi="Times New Roman" w:cs="Times New Roman"/>
          <w:bCs/>
          <w:color w:val="auto"/>
          <w:sz w:val="44"/>
          <w:szCs w:val="44"/>
          <w:highlight w:val="none"/>
        </w:rPr>
      </w:pPr>
      <w:r>
        <w:rPr>
          <w:rFonts w:hint="default" w:ascii="Times New Roman" w:hAnsi="Times New Roman" w:cs="Times New Roman"/>
          <w:bCs/>
          <w:color w:val="auto"/>
          <w:sz w:val="44"/>
          <w:szCs w:val="44"/>
          <w:highlight w:val="none"/>
        </w:rPr>
        <w:t>声  明</w:t>
      </w:r>
    </w:p>
    <w:p w14:paraId="44A8B212">
      <w:pPr>
        <w:rPr>
          <w:rFonts w:hint="default" w:ascii="Times New Roman" w:hAnsi="Times New Roman" w:eastAsia="楷体_GB2312" w:cs="Times New Roman"/>
          <w:color w:val="auto"/>
          <w:sz w:val="28"/>
          <w:szCs w:val="28"/>
          <w:highlight w:val="none"/>
        </w:rPr>
      </w:pPr>
    </w:p>
    <w:p w14:paraId="4D3789EB">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我单位郑重声明：参加本次政府采购活动前 3 年内，我单位在经营活动中没有因违法经营受到刑事处罚或者责令停产停业、吊销许可证或者执照、较大数额罚款等行政处罚。</w:t>
      </w:r>
    </w:p>
    <w:p w14:paraId="5C665114">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p>
    <w:p w14:paraId="45A4912F">
      <w:pPr>
        <w:spacing w:line="360" w:lineRule="auto"/>
        <w:rPr>
          <w:rFonts w:hint="default" w:ascii="Times New Roman" w:hAnsi="Times New Roman" w:cs="Times New Roman"/>
          <w:bCs/>
          <w:color w:val="auto"/>
          <w:highlight w:val="none"/>
        </w:rPr>
      </w:pPr>
    </w:p>
    <w:p w14:paraId="59DEEECB">
      <w:pPr>
        <w:spacing w:line="360" w:lineRule="auto"/>
        <w:rPr>
          <w:rFonts w:hint="default" w:ascii="Times New Roman" w:hAnsi="Times New Roman" w:cs="Times New Roman"/>
          <w:bCs/>
          <w:color w:val="auto"/>
          <w:highlight w:val="none"/>
        </w:rPr>
      </w:pPr>
    </w:p>
    <w:p w14:paraId="7E6A08D0">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p>
    <w:p w14:paraId="7B336D45">
      <w:pPr>
        <w:spacing w:line="360" w:lineRule="auto"/>
        <w:ind w:firstLine="3990" w:firstLineChars="1900"/>
        <w:rPr>
          <w:rFonts w:hint="default" w:ascii="Times New Roman" w:hAnsi="Times New Roman" w:cs="Times New Roman"/>
          <w:color w:val="auto"/>
          <w:szCs w:val="21"/>
          <w:highlight w:val="none"/>
          <w:u w:val="single"/>
        </w:rPr>
      </w:pPr>
      <w:r>
        <w:rPr>
          <w:rFonts w:hint="default" w:ascii="Times New Roman" w:hAnsi="Times New Roman" w:cs="Times New Roman"/>
          <w:bCs/>
          <w:color w:val="auto"/>
          <w:highlight w:val="none"/>
        </w:rPr>
        <w:t>投标人名称（</w:t>
      </w:r>
      <w:r>
        <w:rPr>
          <w:rFonts w:hint="default" w:ascii="Times New Roman" w:hAnsi="Times New Roman" w:cs="Times New Roman"/>
          <w:color w:val="auto"/>
          <w:highlight w:val="none"/>
        </w:rPr>
        <w:t>加盖ca电子公章</w:t>
      </w:r>
      <w:r>
        <w:rPr>
          <w:rFonts w:hint="default" w:ascii="Times New Roman" w:hAnsi="Times New Roman" w:cs="Times New Roman"/>
          <w:bCs/>
          <w:color w:val="auto"/>
          <w:highlight w:val="none"/>
        </w:rPr>
        <w:t>）：</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p>
    <w:p w14:paraId="6ED3BE5E">
      <w:pPr>
        <w:ind w:firstLine="3990" w:firstLineChars="1900"/>
        <w:rPr>
          <w:rFonts w:hint="default" w:ascii="Times New Roman" w:hAnsi="Times New Roman" w:cs="Times New Roman"/>
          <w:color w:val="auto"/>
          <w:szCs w:val="21"/>
          <w:highlight w:val="none"/>
          <w:u w:val="single"/>
        </w:rPr>
      </w:pPr>
    </w:p>
    <w:p w14:paraId="5D39D407">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6B71430E">
      <w:pPr>
        <w:adjustRightInd w:val="0"/>
        <w:snapToGrid w:val="0"/>
        <w:spacing w:line="360" w:lineRule="auto"/>
        <w:jc w:val="center"/>
        <w:rPr>
          <w:rFonts w:hint="default" w:ascii="Times New Roman" w:hAnsi="Times New Roman" w:eastAsia="黑体" w:cs="Times New Roman"/>
          <w:b/>
          <w:color w:val="auto"/>
          <w:sz w:val="32"/>
          <w:szCs w:val="32"/>
          <w:highlight w:val="none"/>
        </w:rPr>
      </w:pPr>
    </w:p>
    <w:p w14:paraId="5E16811F">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rPr>
          <w:rFonts w:hint="default" w:ascii="Times New Roman" w:hAnsi="Times New Roman" w:eastAsia="黑体" w:cs="Times New Roman"/>
          <w:b w:val="0"/>
          <w:color w:val="auto"/>
          <w:highlight w:val="none"/>
        </w:rPr>
      </w:pPr>
      <w:r>
        <w:rPr>
          <w:rFonts w:hint="default" w:ascii="Times New Roman" w:hAnsi="Times New Roman" w:cs="Times New Roman"/>
          <w:bCs w:val="0"/>
          <w:color w:val="auto"/>
          <w:szCs w:val="21"/>
          <w:highlight w:val="none"/>
        </w:rPr>
        <w:br w:type="page"/>
      </w:r>
      <w:bookmarkStart w:id="412" w:name="_Toc104560910"/>
      <w:bookmarkStart w:id="413" w:name="_Toc107246290"/>
      <w:r>
        <w:rPr>
          <w:rFonts w:hint="default" w:ascii="Times New Roman" w:hAnsi="Times New Roman" w:cs="Times New Roman"/>
          <w:color w:val="000000"/>
          <w:sz w:val="21"/>
          <w:szCs w:val="21"/>
        </w:rPr>
        <w:t>投标人存在下列情形的不得参加本次招标活动： 1.单位负责人为同一人或者存在直接控股、管理关系的不同投标人，不得参加同一合同项下的政府采购活动。（提供承诺书并加盖投标人公章） 2.除单一来源项目外，凡为采购项目提供整体设计、规范编制或者项目管理、监理、检测等服务的投标人不得再参加本项目的采购活动。（提供承诺书并加盖投标人公章） 3.通过“信用中国”网站、中国政府采购网查询投标人在投标截止时间前的信用记录，通过以上查询渠道，投标人被列入失信被执行人、重大税收违法案件当事人名单、政府采购严重违法失信行为记录。</w:t>
      </w:r>
    </w:p>
    <w:p w14:paraId="30BBEF3D">
      <w:pPr>
        <w:pStyle w:val="34"/>
        <w:spacing w:line="240" w:lineRule="atLeast"/>
        <w:rPr>
          <w:rFonts w:hint="default" w:ascii="Times New Roman" w:hAnsi="Times New Roman" w:cs="Times New Roman"/>
          <w:b w:val="0"/>
          <w:color w:val="auto"/>
          <w:sz w:val="24"/>
          <w:szCs w:val="24"/>
          <w:highlight w:val="none"/>
        </w:rPr>
      </w:pPr>
      <w:bookmarkStart w:id="414" w:name="_Toc28685"/>
      <w:r>
        <w:rPr>
          <w:rFonts w:hint="default" w:ascii="Times New Roman" w:hAnsi="Times New Roman" w:cs="Times New Roman"/>
          <w:bCs w:val="0"/>
          <w:color w:val="auto"/>
          <w:sz w:val="24"/>
          <w:szCs w:val="24"/>
          <w:highlight w:val="none"/>
        </w:rPr>
        <w:t>承诺函</w:t>
      </w:r>
      <w:bookmarkEnd w:id="412"/>
      <w:bookmarkEnd w:id="413"/>
      <w:bookmarkEnd w:id="414"/>
    </w:p>
    <w:p w14:paraId="7A635578">
      <w:pPr>
        <w:spacing w:line="360" w:lineRule="auto"/>
        <w:ind w:firstLine="420" w:firstLineChars="200"/>
        <w:rPr>
          <w:rFonts w:hint="default" w:ascii="Times New Roman" w:hAnsi="Times New Roman" w:cs="Times New Roman"/>
          <w:bCs/>
          <w:color w:val="auto"/>
          <w:szCs w:val="21"/>
          <w:highlight w:val="none"/>
        </w:rPr>
      </w:pPr>
    </w:p>
    <w:p w14:paraId="0A0E66B1">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一、本单位郑重承诺：</w:t>
      </w:r>
    </w:p>
    <w:p w14:paraId="74AF9FE7">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1、单位负责人为同一人或者存在直接控股、管理关系的不同投标人，不得参加同一合同项下的政府采购活动。</w:t>
      </w:r>
    </w:p>
    <w:p w14:paraId="0819DB3F">
      <w:pPr>
        <w:spacing w:line="360" w:lineRule="auto"/>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2、除单一来源项目外，凡为采购项目提供整体设计、规范编制或者项目管理、监理、检测等服务的投标人不得再参加本项目的采购活动。</w:t>
      </w:r>
    </w:p>
    <w:p w14:paraId="6268AE77">
      <w:pPr>
        <w:pStyle w:val="83"/>
        <w:spacing w:line="480" w:lineRule="auto"/>
        <w:ind w:firstLine="4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通过“信用中国”网站（http://www.creditchina.gov.cn）、中国政府采购网（www.ccgp.gov.cn）查询投标人在投标截止时间前的信用记录，通过以上查询渠道，未被列入失信被执行人、重大税收违法案件当事人名单、政府采购严重违法失信行为记录。</w:t>
      </w:r>
    </w:p>
    <w:p w14:paraId="62FC30D1">
      <w:pPr>
        <w:pStyle w:val="83"/>
        <w:spacing w:line="480" w:lineRule="auto"/>
        <w:ind w:firstLine="400"/>
        <w:rPr>
          <w:rFonts w:hint="default" w:ascii="Times New Roman" w:hAnsi="Times New Roman" w:cs="Times New Roman"/>
          <w:color w:val="auto"/>
          <w:sz w:val="21"/>
          <w:szCs w:val="21"/>
          <w:highlight w:val="none"/>
        </w:rPr>
      </w:pPr>
      <w:r>
        <w:rPr>
          <w:rFonts w:hint="default" w:ascii="Times New Roman" w:hAnsi="Times New Roman" w:cs="Times New Roman"/>
          <w:bCs/>
          <w:color w:val="auto"/>
          <w:szCs w:val="21"/>
          <w:highlight w:val="none"/>
        </w:rPr>
        <w:t>二、</w:t>
      </w:r>
      <w:r>
        <w:rPr>
          <w:rFonts w:hint="default" w:ascii="Times New Roman" w:hAnsi="Times New Roman" w:cs="Times New Roman"/>
          <w:color w:val="auto"/>
          <w:sz w:val="21"/>
          <w:szCs w:val="21"/>
          <w:highlight w:val="none"/>
        </w:rPr>
        <w:t>本单位郑重承诺，我单位无以下不良信用记录情形：</w:t>
      </w:r>
    </w:p>
    <w:p w14:paraId="114EB331">
      <w:pPr>
        <w:pStyle w:val="83"/>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1.被人民法院列入失信被执行人；</w:t>
      </w:r>
    </w:p>
    <w:p w14:paraId="6EB4755D">
      <w:pPr>
        <w:pStyle w:val="83"/>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2.被税务部门列入重大税收违法案件当事人名单；</w:t>
      </w:r>
    </w:p>
    <w:p w14:paraId="192D1FAE">
      <w:pPr>
        <w:pStyle w:val="83"/>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3.被政府采购监管部门列入政府采购严重违法失信行为记录名单；</w:t>
      </w:r>
    </w:p>
    <w:p w14:paraId="5A961045">
      <w:pPr>
        <w:pStyle w:val="83"/>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4.不符合《政府采购法》第二十二条规定的条件。</w:t>
      </w:r>
    </w:p>
    <w:p w14:paraId="3FDE1A89">
      <w:pPr>
        <w:pStyle w:val="83"/>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4B694313">
      <w:pPr>
        <w:pStyle w:val="83"/>
        <w:ind w:firstLine="400"/>
        <w:rPr>
          <w:rFonts w:hint="default" w:ascii="Times New Roman" w:hAnsi="Times New Roman" w:eastAsia="等线" w:cs="Times New Roman"/>
          <w:color w:val="auto"/>
          <w:highlight w:val="none"/>
        </w:rPr>
      </w:pPr>
    </w:p>
    <w:p w14:paraId="4CAEFE53">
      <w:pPr>
        <w:spacing w:line="360" w:lineRule="auto"/>
        <w:ind w:firstLine="3990" w:firstLineChars="1900"/>
        <w:rPr>
          <w:rFonts w:hint="default" w:ascii="Times New Roman" w:hAnsi="Times New Roman" w:cs="Times New Roman"/>
          <w:color w:val="auto"/>
          <w:szCs w:val="21"/>
          <w:highlight w:val="none"/>
          <w:u w:val="single"/>
        </w:rPr>
      </w:pPr>
      <w:bookmarkStart w:id="415" w:name="_Toc103848596"/>
      <w:bookmarkStart w:id="416" w:name="_Toc102117326"/>
      <w:r>
        <w:rPr>
          <w:rFonts w:hint="default" w:ascii="Times New Roman" w:hAnsi="Times New Roman" w:cs="Times New Roman"/>
          <w:bCs/>
          <w:color w:val="auto"/>
          <w:highlight w:val="none"/>
        </w:rPr>
        <w:t>投标人名称（</w:t>
      </w:r>
      <w:r>
        <w:rPr>
          <w:rFonts w:hint="default" w:ascii="Times New Roman" w:hAnsi="Times New Roman" w:cs="Times New Roman"/>
          <w:color w:val="auto"/>
          <w:highlight w:val="none"/>
        </w:rPr>
        <w:t>加盖ca电子公章</w:t>
      </w:r>
      <w:r>
        <w:rPr>
          <w:rFonts w:hint="default" w:ascii="Times New Roman" w:hAnsi="Times New Roman" w:cs="Times New Roman"/>
          <w:bCs/>
          <w:color w:val="auto"/>
          <w:highlight w:val="none"/>
        </w:rPr>
        <w:t>）：</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p>
    <w:p w14:paraId="377F5AA4">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bookmarkEnd w:id="353"/>
      <w:bookmarkEnd w:id="415"/>
      <w:bookmarkEnd w:id="416"/>
    </w:p>
    <w:p w14:paraId="11109179">
      <w:pPr>
        <w:pStyle w:val="83"/>
        <w:ind w:firstLine="482"/>
        <w:jc w:val="center"/>
        <w:rPr>
          <w:rFonts w:ascii="Times New Roman" w:hAnsi="Times New Roman"/>
          <w:b/>
          <w:color w:val="000000"/>
          <w:sz w:val="24"/>
          <w:szCs w:val="24"/>
        </w:rPr>
      </w:pPr>
      <w:r>
        <w:rPr>
          <w:rFonts w:hint="default" w:ascii="Times New Roman" w:hAnsi="Times New Roman" w:cs="Times New Roman"/>
          <w:b/>
          <w:color w:val="auto"/>
          <w:sz w:val="24"/>
          <w:szCs w:val="24"/>
          <w:highlight w:val="none"/>
        </w:rPr>
        <w:br w:type="page"/>
      </w:r>
      <w:r>
        <w:rPr>
          <w:rFonts w:hint="eastAsia" w:ascii="Times New Roman" w:hAnsi="Times New Roman"/>
          <w:b/>
          <w:color w:val="000000"/>
          <w:sz w:val="24"/>
          <w:szCs w:val="24"/>
        </w:rPr>
        <w:t>综合评审评分项</w:t>
      </w:r>
    </w:p>
    <w:p w14:paraId="7B649362">
      <w:pPr>
        <w:rPr>
          <w:rFonts w:hint="eastAsia" w:ascii="Segoe UI" w:hAnsi="Segoe UI" w:eastAsia="宋体" w:cs="Segoe UI"/>
          <w:kern w:val="2"/>
          <w:sz w:val="21"/>
          <w:szCs w:val="21"/>
          <w:lang w:val="en-US" w:eastAsia="zh-CN" w:bidi="ar-SA"/>
        </w:rPr>
      </w:pPr>
      <w:r>
        <w:rPr>
          <w:rFonts w:hint="eastAsia" w:ascii="Segoe UI" w:hAnsi="Segoe UI" w:eastAsia="宋体" w:cs="Segoe UI"/>
          <w:kern w:val="2"/>
          <w:sz w:val="21"/>
          <w:szCs w:val="21"/>
          <w:lang w:val="en-US" w:eastAsia="zh-CN" w:bidi="ar-SA"/>
        </w:rPr>
        <w:t>平台服务方案</w:t>
      </w:r>
    </w:p>
    <w:p w14:paraId="078EF481">
      <w:pPr>
        <w:rPr>
          <w:rFonts w:hint="eastAsia" w:ascii="Segoe UI" w:hAnsi="Segoe UI" w:eastAsia="宋体" w:cs="Segoe UI"/>
          <w:kern w:val="2"/>
          <w:sz w:val="21"/>
          <w:szCs w:val="21"/>
          <w:lang w:val="en-US" w:eastAsia="zh-CN" w:bidi="ar-SA"/>
        </w:rPr>
      </w:pPr>
      <w:r>
        <w:rPr>
          <w:rFonts w:hint="eastAsia" w:ascii="Segoe UI" w:hAnsi="Segoe UI" w:eastAsia="宋体" w:cs="Segoe UI"/>
          <w:kern w:val="2"/>
          <w:sz w:val="21"/>
          <w:szCs w:val="21"/>
          <w:lang w:val="en-US" w:eastAsia="zh-CN" w:bidi="ar-SA"/>
        </w:rPr>
        <w:t>线上活动策划方案</w:t>
      </w:r>
    </w:p>
    <w:p w14:paraId="25D23994">
      <w:pPr>
        <w:rPr>
          <w:rFonts w:hint="eastAsia" w:ascii="Segoe UI" w:hAnsi="Segoe UI" w:eastAsia="宋体" w:cs="Segoe UI"/>
          <w:kern w:val="2"/>
          <w:sz w:val="21"/>
          <w:szCs w:val="21"/>
          <w:lang w:val="en-US" w:eastAsia="zh-CN" w:bidi="ar-SA"/>
        </w:rPr>
      </w:pPr>
      <w:r>
        <w:rPr>
          <w:rFonts w:hint="eastAsia" w:ascii="Segoe UI" w:hAnsi="Segoe UI" w:eastAsia="宋体" w:cs="Segoe UI"/>
          <w:kern w:val="2"/>
          <w:sz w:val="21"/>
          <w:szCs w:val="21"/>
          <w:lang w:val="en-US" w:eastAsia="zh-CN" w:bidi="ar-SA"/>
        </w:rPr>
        <w:t>媒体宣传方案</w:t>
      </w:r>
    </w:p>
    <w:p w14:paraId="3816B92F">
      <w:pPr>
        <w:rPr>
          <w:rFonts w:hint="eastAsia" w:ascii="Segoe UI" w:hAnsi="Segoe UI" w:eastAsia="宋体" w:cs="Segoe UI"/>
          <w:kern w:val="2"/>
          <w:sz w:val="21"/>
          <w:szCs w:val="21"/>
          <w:lang w:val="en-US" w:eastAsia="zh-CN" w:bidi="ar-SA"/>
        </w:rPr>
      </w:pPr>
      <w:r>
        <w:rPr>
          <w:rFonts w:hint="eastAsia" w:ascii="Segoe UI" w:hAnsi="Segoe UI" w:eastAsia="宋体" w:cs="Segoe UI"/>
          <w:kern w:val="2"/>
          <w:sz w:val="21"/>
          <w:szCs w:val="21"/>
          <w:lang w:val="en-US" w:eastAsia="zh-CN" w:bidi="ar-SA"/>
        </w:rPr>
        <w:t>视觉宣传设计方案</w:t>
      </w:r>
    </w:p>
    <w:p w14:paraId="485F11B5">
      <w:pPr>
        <w:rPr>
          <w:rFonts w:hint="eastAsia" w:ascii="Segoe UI" w:hAnsi="Segoe UI" w:eastAsia="宋体" w:cs="Segoe UI"/>
          <w:kern w:val="2"/>
          <w:sz w:val="21"/>
          <w:szCs w:val="21"/>
          <w:lang w:val="en-US" w:eastAsia="zh-CN" w:bidi="ar-SA"/>
        </w:rPr>
      </w:pPr>
      <w:r>
        <w:rPr>
          <w:rFonts w:hint="eastAsia" w:ascii="Segoe UI" w:hAnsi="Segoe UI" w:eastAsia="宋体" w:cs="Segoe UI"/>
          <w:kern w:val="2"/>
          <w:sz w:val="21"/>
          <w:szCs w:val="21"/>
          <w:lang w:val="en-US" w:eastAsia="zh-CN" w:bidi="ar-SA"/>
        </w:rPr>
        <w:t>奖品兑换与发放分配方案</w:t>
      </w:r>
    </w:p>
    <w:p w14:paraId="3422656F">
      <w:pPr>
        <w:rPr>
          <w:rFonts w:hint="eastAsia" w:ascii="Segoe UI" w:hAnsi="Segoe UI" w:eastAsia="宋体" w:cs="Segoe UI"/>
          <w:kern w:val="2"/>
          <w:sz w:val="21"/>
          <w:szCs w:val="21"/>
          <w:lang w:val="en-US" w:eastAsia="zh-CN" w:bidi="ar-SA"/>
        </w:rPr>
      </w:pPr>
      <w:r>
        <w:rPr>
          <w:rFonts w:hint="eastAsia" w:ascii="Segoe UI" w:hAnsi="Segoe UI" w:eastAsia="宋体" w:cs="Segoe UI"/>
          <w:kern w:val="2"/>
          <w:sz w:val="21"/>
          <w:szCs w:val="21"/>
          <w:lang w:val="en-US" w:eastAsia="zh-CN" w:bidi="ar-SA"/>
        </w:rPr>
        <w:t>应急方案</w:t>
      </w:r>
    </w:p>
    <w:p w14:paraId="2F122EFC">
      <w:pPr>
        <w:rPr>
          <w:rFonts w:hint="eastAsia" w:ascii="Segoe UI" w:hAnsi="Segoe UI" w:eastAsia="宋体" w:cs="Segoe UI"/>
          <w:kern w:val="2"/>
          <w:sz w:val="21"/>
          <w:szCs w:val="21"/>
          <w:lang w:val="en-US" w:eastAsia="zh-CN" w:bidi="ar-SA"/>
        </w:rPr>
      </w:pPr>
      <w:r>
        <w:rPr>
          <w:rFonts w:hint="eastAsia" w:ascii="Segoe UI" w:hAnsi="Segoe UI" w:eastAsia="宋体" w:cs="Segoe UI"/>
          <w:kern w:val="2"/>
          <w:sz w:val="21"/>
          <w:szCs w:val="21"/>
          <w:lang w:val="en-US" w:eastAsia="zh-CN" w:bidi="ar-SA"/>
        </w:rPr>
        <w:t>商务/技术要求</w:t>
      </w:r>
    </w:p>
    <w:p w14:paraId="127DC691">
      <w:pPr>
        <w:rPr>
          <w:rFonts w:hint="eastAsia" w:ascii="Segoe UI" w:hAnsi="Segoe UI" w:eastAsia="宋体" w:cs="Segoe UI"/>
          <w:kern w:val="2"/>
          <w:sz w:val="21"/>
          <w:szCs w:val="21"/>
          <w:lang w:val="en-US" w:eastAsia="zh-CN" w:bidi="ar-SA"/>
        </w:rPr>
      </w:pPr>
      <w:r>
        <w:rPr>
          <w:rFonts w:hint="eastAsia" w:ascii="Segoe UI" w:hAnsi="Segoe UI" w:eastAsia="宋体" w:cs="Segoe UI"/>
          <w:kern w:val="2"/>
          <w:sz w:val="21"/>
          <w:szCs w:val="21"/>
          <w:lang w:val="en-US" w:eastAsia="zh-CN" w:bidi="ar-SA"/>
        </w:rPr>
        <w:t>数据保密性</w:t>
      </w:r>
    </w:p>
    <w:p w14:paraId="66636CC9">
      <w:pPr>
        <w:rPr>
          <w:rFonts w:ascii="Segoe UI" w:hAnsi="Segoe UI" w:eastAsia="宋体" w:cs="Segoe UI"/>
          <w:kern w:val="2"/>
          <w:sz w:val="21"/>
          <w:szCs w:val="21"/>
          <w:shd w:val="clear" w:color="auto" w:fill="FAFAFA"/>
          <w:lang w:val="en-US" w:eastAsia="zh-CN" w:bidi="ar-SA"/>
        </w:rPr>
      </w:pPr>
      <w:r>
        <w:rPr>
          <w:rFonts w:ascii="Segoe UI" w:hAnsi="Segoe UI" w:eastAsia="宋体" w:cs="Segoe UI"/>
          <w:kern w:val="2"/>
          <w:sz w:val="21"/>
          <w:szCs w:val="21"/>
          <w:shd w:val="clear" w:color="auto" w:fill="FAFAFA"/>
          <w:lang w:val="en-US" w:eastAsia="zh-CN" w:bidi="ar-SA"/>
        </w:rPr>
        <w:br w:type="page"/>
      </w:r>
      <w:bookmarkStart w:id="444" w:name="_GoBack"/>
      <w:bookmarkEnd w:id="444"/>
    </w:p>
    <w:p w14:paraId="6D994956">
      <w:pPr>
        <w:pStyle w:val="2"/>
        <w:rPr>
          <w:lang w:val="en-US" w:eastAsia="zh-CN"/>
        </w:rPr>
      </w:pPr>
    </w:p>
    <w:p w14:paraId="0B8C0E0D">
      <w:pPr>
        <w:widowControl w:val="0"/>
        <w:spacing w:before="0" w:after="60"/>
        <w:jc w:val="center"/>
        <w:outlineLvl w:val="0"/>
        <w:rPr>
          <w:rFonts w:ascii="Times New Roman" w:hAnsi="Times New Roman" w:eastAsia="宋体" w:cs="Times New Roman"/>
          <w:b/>
          <w:bCs w:val="0"/>
          <w:color w:val="000000"/>
          <w:kern w:val="2"/>
          <w:sz w:val="24"/>
          <w:szCs w:val="24"/>
          <w:lang w:val="en-US" w:eastAsia="zh-CN" w:bidi="ar-SA"/>
        </w:rPr>
      </w:pPr>
      <w:r>
        <w:rPr>
          <w:rFonts w:ascii="Times New Roman" w:hAnsi="Times New Roman" w:eastAsia="宋体" w:cs="Times New Roman"/>
          <w:b/>
          <w:bCs w:val="0"/>
          <w:color w:val="000000"/>
          <w:kern w:val="2"/>
          <w:sz w:val="24"/>
          <w:szCs w:val="24"/>
          <w:lang w:val="en-US" w:eastAsia="zh-CN" w:bidi="ar-SA"/>
        </w:rPr>
        <w:t>技术条款偏离表</w:t>
      </w:r>
    </w:p>
    <w:p w14:paraId="50E5CD09">
      <w:pPr>
        <w:widowControl w:val="0"/>
        <w:spacing w:line="360" w:lineRule="auto"/>
        <w:ind w:firstLine="0" w:firstLineChars="0"/>
        <w:jc w:val="both"/>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项目名称：</w:t>
      </w:r>
      <w:r>
        <w:rPr>
          <w:rFonts w:ascii="Times New Roman" w:hAnsi="Times New Roman" w:eastAsia="宋体" w:cs="Times New Roman"/>
          <w:color w:val="000000"/>
          <w:kern w:val="0"/>
          <w:sz w:val="21"/>
          <w:szCs w:val="21"/>
          <w:lang w:val="en-US" w:eastAsia="zh-CN" w:bidi="ar-SA"/>
        </w:rPr>
        <w:tab/>
      </w:r>
      <w:r>
        <w:rPr>
          <w:rFonts w:ascii="Times New Roman" w:hAnsi="Times New Roman" w:eastAsia="宋体" w:cs="Times New Roman"/>
          <w:color w:val="000000"/>
          <w:kern w:val="0"/>
          <w:sz w:val="21"/>
          <w:szCs w:val="21"/>
          <w:lang w:val="en-US" w:eastAsia="zh-CN" w:bidi="ar-SA"/>
        </w:rPr>
        <w:tab/>
      </w:r>
      <w:r>
        <w:rPr>
          <w:rFonts w:ascii="Times New Roman" w:hAnsi="Times New Roman" w:eastAsia="宋体" w:cs="Times New Roman"/>
          <w:color w:val="000000"/>
          <w:kern w:val="0"/>
          <w:sz w:val="21"/>
          <w:szCs w:val="21"/>
          <w:lang w:val="en-US" w:eastAsia="zh-CN" w:bidi="ar-SA"/>
        </w:rPr>
        <w:tab/>
      </w:r>
      <w:r>
        <w:rPr>
          <w:rFonts w:ascii="Times New Roman" w:hAnsi="Times New Roman" w:eastAsia="宋体" w:cs="Times New Roman"/>
          <w:color w:val="000000"/>
          <w:kern w:val="0"/>
          <w:sz w:val="21"/>
          <w:szCs w:val="21"/>
          <w:lang w:val="en-US" w:eastAsia="zh-CN" w:bidi="ar-SA"/>
        </w:rPr>
        <w:tab/>
      </w:r>
      <w:r>
        <w:rPr>
          <w:rFonts w:ascii="Times New Roman" w:hAnsi="Times New Roman" w:eastAsia="宋体" w:cs="Times New Roman"/>
          <w:color w:val="000000"/>
          <w:kern w:val="0"/>
          <w:sz w:val="21"/>
          <w:szCs w:val="21"/>
          <w:lang w:val="en-US" w:eastAsia="zh-CN" w:bidi="ar-SA"/>
        </w:rPr>
        <w:tab/>
      </w:r>
      <w:r>
        <w:rPr>
          <w:rFonts w:ascii="Times New Roman" w:hAnsi="Times New Roman" w:eastAsia="宋体" w:cs="Times New Roman"/>
          <w:color w:val="000000"/>
          <w:kern w:val="0"/>
          <w:sz w:val="21"/>
          <w:szCs w:val="21"/>
          <w:lang w:val="en-US" w:eastAsia="zh-CN" w:bidi="ar-SA"/>
        </w:rPr>
        <w:tab/>
      </w:r>
      <w:r>
        <w:rPr>
          <w:rFonts w:ascii="Times New Roman" w:hAnsi="Times New Roman" w:eastAsia="宋体" w:cs="Times New Roman"/>
          <w:color w:val="000000"/>
          <w:kern w:val="0"/>
          <w:sz w:val="21"/>
          <w:szCs w:val="21"/>
          <w:lang w:val="en-US" w:eastAsia="zh-CN" w:bidi="ar-SA"/>
        </w:rPr>
        <w:tab/>
      </w:r>
      <w:r>
        <w:rPr>
          <w:rFonts w:ascii="Times New Roman" w:hAnsi="Times New Roman" w:eastAsia="宋体" w:cs="Times New Roman"/>
          <w:color w:val="000000"/>
          <w:kern w:val="0"/>
          <w:sz w:val="21"/>
          <w:szCs w:val="21"/>
          <w:lang w:val="en-US" w:eastAsia="zh-CN" w:bidi="ar-SA"/>
        </w:rPr>
        <w:tab/>
      </w:r>
      <w:r>
        <w:rPr>
          <w:rFonts w:ascii="Times New Roman" w:hAnsi="Times New Roman" w:eastAsia="宋体" w:cs="Times New Roman"/>
          <w:color w:val="000000"/>
          <w:kern w:val="0"/>
          <w:sz w:val="21"/>
          <w:szCs w:val="21"/>
          <w:lang w:val="en-US" w:eastAsia="zh-CN" w:bidi="ar-SA"/>
        </w:rPr>
        <w:tab/>
      </w:r>
      <w:r>
        <w:rPr>
          <w:rFonts w:ascii="Times New Roman" w:hAnsi="Times New Roman" w:eastAsia="宋体" w:cs="Times New Roman"/>
          <w:color w:val="000000"/>
          <w:kern w:val="0"/>
          <w:sz w:val="21"/>
          <w:szCs w:val="21"/>
          <w:lang w:val="en-US" w:eastAsia="zh-CN" w:bidi="ar-SA"/>
        </w:rPr>
        <w:tab/>
      </w:r>
      <w:r>
        <w:rPr>
          <w:rFonts w:ascii="Times New Roman" w:hAnsi="Times New Roman" w:eastAsia="宋体" w:cs="Times New Roman"/>
          <w:color w:val="000000"/>
          <w:kern w:val="0"/>
          <w:sz w:val="21"/>
          <w:szCs w:val="21"/>
          <w:lang w:val="en-US" w:eastAsia="zh-CN" w:bidi="ar-SA"/>
        </w:rPr>
        <w:tab/>
      </w:r>
      <w:r>
        <w:rPr>
          <w:rFonts w:ascii="Times New Roman" w:hAnsi="Times New Roman" w:eastAsia="宋体" w:cs="Times New Roman"/>
          <w:color w:val="000000"/>
          <w:kern w:val="0"/>
          <w:sz w:val="21"/>
          <w:szCs w:val="21"/>
          <w:lang w:val="en-US" w:eastAsia="zh-CN" w:bidi="ar-SA"/>
        </w:rPr>
        <w:t>项目编号：</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3"/>
        <w:gridCol w:w="1236"/>
        <w:gridCol w:w="1236"/>
        <w:gridCol w:w="1504"/>
        <w:gridCol w:w="1504"/>
        <w:gridCol w:w="816"/>
        <w:gridCol w:w="816"/>
      </w:tblGrid>
      <w:tr w14:paraId="6698F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03" w:type="dxa"/>
            <w:noWrap w:val="0"/>
            <w:vAlign w:val="center"/>
          </w:tcPr>
          <w:p w14:paraId="03FECEC9">
            <w:pPr>
              <w:widowControl w:val="0"/>
              <w:spacing w:line="360" w:lineRule="auto"/>
              <w:ind w:firstLine="0" w:firstLineChars="0"/>
              <w:jc w:val="distribute"/>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品目号</w:t>
            </w:r>
          </w:p>
        </w:tc>
        <w:tc>
          <w:tcPr>
            <w:tcW w:w="1236" w:type="dxa"/>
            <w:noWrap w:val="0"/>
            <w:vAlign w:val="center"/>
          </w:tcPr>
          <w:p w14:paraId="240A518F">
            <w:pPr>
              <w:widowControl w:val="0"/>
              <w:spacing w:line="360" w:lineRule="auto"/>
              <w:ind w:firstLine="0" w:firstLineChars="0"/>
              <w:jc w:val="distribute"/>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货物名称</w:t>
            </w:r>
          </w:p>
        </w:tc>
        <w:tc>
          <w:tcPr>
            <w:tcW w:w="1236" w:type="dxa"/>
            <w:noWrap w:val="0"/>
            <w:vAlign w:val="center"/>
          </w:tcPr>
          <w:p w14:paraId="05B48DEE">
            <w:pPr>
              <w:widowControl w:val="0"/>
              <w:spacing w:line="360" w:lineRule="auto"/>
              <w:ind w:firstLine="0" w:firstLineChars="0"/>
              <w:jc w:val="distribute"/>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招标规格</w:t>
            </w:r>
          </w:p>
        </w:tc>
        <w:tc>
          <w:tcPr>
            <w:tcW w:w="1504" w:type="dxa"/>
            <w:noWrap w:val="0"/>
            <w:vAlign w:val="center"/>
          </w:tcPr>
          <w:p w14:paraId="0F54E0A7">
            <w:pPr>
              <w:widowControl w:val="0"/>
              <w:spacing w:line="360" w:lineRule="auto"/>
              <w:ind w:firstLine="0" w:firstLineChars="0"/>
              <w:jc w:val="distribute"/>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技术指标要求</w:t>
            </w:r>
          </w:p>
        </w:tc>
        <w:tc>
          <w:tcPr>
            <w:tcW w:w="1504" w:type="dxa"/>
            <w:noWrap w:val="0"/>
            <w:vAlign w:val="center"/>
          </w:tcPr>
          <w:p w14:paraId="2168605A">
            <w:pPr>
              <w:widowControl w:val="0"/>
              <w:spacing w:line="360" w:lineRule="auto"/>
              <w:ind w:firstLine="0" w:firstLineChars="0"/>
              <w:jc w:val="distribute"/>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投标响应情况</w:t>
            </w:r>
          </w:p>
        </w:tc>
        <w:tc>
          <w:tcPr>
            <w:tcW w:w="816" w:type="dxa"/>
            <w:noWrap w:val="0"/>
            <w:vAlign w:val="center"/>
          </w:tcPr>
          <w:p w14:paraId="66F76D82">
            <w:pPr>
              <w:widowControl w:val="0"/>
              <w:spacing w:line="360" w:lineRule="auto"/>
              <w:ind w:firstLine="0" w:firstLineChars="0"/>
              <w:jc w:val="distribute"/>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偏离</w:t>
            </w:r>
          </w:p>
        </w:tc>
        <w:tc>
          <w:tcPr>
            <w:tcW w:w="816" w:type="dxa"/>
            <w:noWrap w:val="0"/>
            <w:vAlign w:val="center"/>
          </w:tcPr>
          <w:p w14:paraId="07E60250">
            <w:pPr>
              <w:widowControl w:val="0"/>
              <w:spacing w:line="360" w:lineRule="auto"/>
              <w:ind w:firstLine="0" w:firstLineChars="0"/>
              <w:jc w:val="distribute"/>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说明</w:t>
            </w:r>
          </w:p>
        </w:tc>
      </w:tr>
      <w:tr w14:paraId="142AE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503" w:type="dxa"/>
            <w:noWrap w:val="0"/>
            <w:vAlign w:val="center"/>
          </w:tcPr>
          <w:p w14:paraId="34E64E99">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236" w:type="dxa"/>
            <w:noWrap w:val="0"/>
            <w:vAlign w:val="center"/>
          </w:tcPr>
          <w:p w14:paraId="5CE7F04A">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236" w:type="dxa"/>
            <w:noWrap w:val="0"/>
            <w:vAlign w:val="center"/>
          </w:tcPr>
          <w:p w14:paraId="267F9586">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504" w:type="dxa"/>
            <w:noWrap w:val="0"/>
            <w:vAlign w:val="center"/>
          </w:tcPr>
          <w:p w14:paraId="1F1757F6">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504" w:type="dxa"/>
            <w:noWrap w:val="0"/>
            <w:vAlign w:val="center"/>
          </w:tcPr>
          <w:p w14:paraId="792A6F6F">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816" w:type="dxa"/>
            <w:noWrap w:val="0"/>
            <w:vAlign w:val="center"/>
          </w:tcPr>
          <w:p w14:paraId="6786EBAE">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816" w:type="dxa"/>
            <w:noWrap w:val="0"/>
            <w:vAlign w:val="center"/>
          </w:tcPr>
          <w:p w14:paraId="41572098">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r>
      <w:tr w14:paraId="1BF80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503" w:type="dxa"/>
            <w:noWrap w:val="0"/>
            <w:vAlign w:val="center"/>
          </w:tcPr>
          <w:p w14:paraId="6BC8A2CF">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236" w:type="dxa"/>
            <w:noWrap w:val="0"/>
            <w:vAlign w:val="center"/>
          </w:tcPr>
          <w:p w14:paraId="578816B2">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236" w:type="dxa"/>
            <w:noWrap w:val="0"/>
            <w:vAlign w:val="center"/>
          </w:tcPr>
          <w:p w14:paraId="4D740A91">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504" w:type="dxa"/>
            <w:noWrap w:val="0"/>
            <w:vAlign w:val="center"/>
          </w:tcPr>
          <w:p w14:paraId="11DC4AF7">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504" w:type="dxa"/>
            <w:noWrap w:val="0"/>
            <w:vAlign w:val="center"/>
          </w:tcPr>
          <w:p w14:paraId="751E126A">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816" w:type="dxa"/>
            <w:noWrap w:val="0"/>
            <w:vAlign w:val="center"/>
          </w:tcPr>
          <w:p w14:paraId="03ABF20D">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816" w:type="dxa"/>
            <w:noWrap w:val="0"/>
            <w:vAlign w:val="center"/>
          </w:tcPr>
          <w:p w14:paraId="6A1FCF0D">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r>
      <w:tr w14:paraId="44E9A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503" w:type="dxa"/>
            <w:noWrap w:val="0"/>
            <w:vAlign w:val="center"/>
          </w:tcPr>
          <w:p w14:paraId="7C2DB84B">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236" w:type="dxa"/>
            <w:noWrap w:val="0"/>
            <w:vAlign w:val="center"/>
          </w:tcPr>
          <w:p w14:paraId="0539FD25">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236" w:type="dxa"/>
            <w:noWrap w:val="0"/>
            <w:vAlign w:val="center"/>
          </w:tcPr>
          <w:p w14:paraId="09B24759">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504" w:type="dxa"/>
            <w:noWrap w:val="0"/>
            <w:vAlign w:val="center"/>
          </w:tcPr>
          <w:p w14:paraId="528335AF">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504" w:type="dxa"/>
            <w:noWrap w:val="0"/>
            <w:vAlign w:val="center"/>
          </w:tcPr>
          <w:p w14:paraId="75FD6A14">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816" w:type="dxa"/>
            <w:noWrap w:val="0"/>
            <w:vAlign w:val="center"/>
          </w:tcPr>
          <w:p w14:paraId="72DDAAE7">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816" w:type="dxa"/>
            <w:noWrap w:val="0"/>
            <w:vAlign w:val="center"/>
          </w:tcPr>
          <w:p w14:paraId="5195D733">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r>
      <w:tr w14:paraId="7B47D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503" w:type="dxa"/>
            <w:noWrap w:val="0"/>
            <w:vAlign w:val="center"/>
          </w:tcPr>
          <w:p w14:paraId="61303A0C">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236" w:type="dxa"/>
            <w:noWrap w:val="0"/>
            <w:vAlign w:val="center"/>
          </w:tcPr>
          <w:p w14:paraId="17BF0F9F">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236" w:type="dxa"/>
            <w:noWrap w:val="0"/>
            <w:vAlign w:val="center"/>
          </w:tcPr>
          <w:p w14:paraId="3C8BC8B7">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504" w:type="dxa"/>
            <w:noWrap w:val="0"/>
            <w:vAlign w:val="center"/>
          </w:tcPr>
          <w:p w14:paraId="3032728E">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504" w:type="dxa"/>
            <w:noWrap w:val="0"/>
            <w:vAlign w:val="center"/>
          </w:tcPr>
          <w:p w14:paraId="41E4B12A">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816" w:type="dxa"/>
            <w:noWrap w:val="0"/>
            <w:vAlign w:val="center"/>
          </w:tcPr>
          <w:p w14:paraId="7ED6D3AC">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816" w:type="dxa"/>
            <w:noWrap w:val="0"/>
            <w:vAlign w:val="center"/>
          </w:tcPr>
          <w:p w14:paraId="247BE97C">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r>
      <w:tr w14:paraId="76AF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503" w:type="dxa"/>
            <w:noWrap w:val="0"/>
            <w:vAlign w:val="center"/>
          </w:tcPr>
          <w:p w14:paraId="37BBF492">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236" w:type="dxa"/>
            <w:noWrap w:val="0"/>
            <w:vAlign w:val="center"/>
          </w:tcPr>
          <w:p w14:paraId="2D8C03D7">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236" w:type="dxa"/>
            <w:noWrap w:val="0"/>
            <w:vAlign w:val="center"/>
          </w:tcPr>
          <w:p w14:paraId="33DE5968">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504" w:type="dxa"/>
            <w:noWrap w:val="0"/>
            <w:vAlign w:val="center"/>
          </w:tcPr>
          <w:p w14:paraId="42564467">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504" w:type="dxa"/>
            <w:noWrap w:val="0"/>
            <w:vAlign w:val="center"/>
          </w:tcPr>
          <w:p w14:paraId="79FCFC4A">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816" w:type="dxa"/>
            <w:noWrap w:val="0"/>
            <w:vAlign w:val="center"/>
          </w:tcPr>
          <w:p w14:paraId="5B503940">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816" w:type="dxa"/>
            <w:noWrap w:val="0"/>
            <w:vAlign w:val="center"/>
          </w:tcPr>
          <w:p w14:paraId="02C615F7">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r>
      <w:tr w14:paraId="3997A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503" w:type="dxa"/>
            <w:noWrap w:val="0"/>
            <w:vAlign w:val="center"/>
          </w:tcPr>
          <w:p w14:paraId="2382E03D">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236" w:type="dxa"/>
            <w:noWrap w:val="0"/>
            <w:vAlign w:val="center"/>
          </w:tcPr>
          <w:p w14:paraId="18761FCD">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236" w:type="dxa"/>
            <w:noWrap w:val="0"/>
            <w:vAlign w:val="center"/>
          </w:tcPr>
          <w:p w14:paraId="6C13641C">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504" w:type="dxa"/>
            <w:noWrap w:val="0"/>
            <w:vAlign w:val="center"/>
          </w:tcPr>
          <w:p w14:paraId="373D1A6F">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1504" w:type="dxa"/>
            <w:noWrap w:val="0"/>
            <w:vAlign w:val="center"/>
          </w:tcPr>
          <w:p w14:paraId="238187B0">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816" w:type="dxa"/>
            <w:noWrap w:val="0"/>
            <w:vAlign w:val="center"/>
          </w:tcPr>
          <w:p w14:paraId="153BF393">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c>
          <w:tcPr>
            <w:tcW w:w="816" w:type="dxa"/>
            <w:noWrap w:val="0"/>
            <w:vAlign w:val="center"/>
          </w:tcPr>
          <w:p w14:paraId="481E4B19">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tc>
      </w:tr>
    </w:tbl>
    <w:p w14:paraId="6B5CBEFF">
      <w:pPr>
        <w:pStyle w:val="32"/>
        <w:spacing w:line="360" w:lineRule="exact"/>
        <w:rPr>
          <w:rFonts w:ascii="Times New Roman" w:hAnsi="Times New Roman"/>
          <w:b/>
          <w:bCs/>
          <w:color w:val="000000"/>
        </w:rPr>
      </w:pPr>
      <w:r>
        <w:rPr>
          <w:rFonts w:ascii="Times New Roman" w:hAnsi="Times New Roman"/>
          <w:b/>
          <w:bCs/>
          <w:color w:val="000000"/>
        </w:rPr>
        <w:t>注：</w:t>
      </w:r>
    </w:p>
    <w:p w14:paraId="05885259">
      <w:pPr>
        <w:pStyle w:val="32"/>
        <w:spacing w:line="360" w:lineRule="exact"/>
        <w:rPr>
          <w:rFonts w:ascii="Times New Roman" w:hAnsi="Times New Roman"/>
          <w:b/>
          <w:bCs/>
          <w:color w:val="000000"/>
        </w:rPr>
      </w:pPr>
      <w:r>
        <w:rPr>
          <w:rFonts w:ascii="Times New Roman" w:hAnsi="Times New Roman"/>
          <w:b/>
          <w:bCs/>
          <w:color w:val="000000"/>
        </w:rPr>
        <w:t>1. 投标人须根据第四章《采购需求》要求填写此表，并作为投标文件的组成部分。</w:t>
      </w:r>
    </w:p>
    <w:p w14:paraId="319E572C">
      <w:pPr>
        <w:pStyle w:val="32"/>
        <w:spacing w:line="360" w:lineRule="exact"/>
        <w:rPr>
          <w:rFonts w:ascii="Times New Roman" w:hAnsi="Times New Roman"/>
          <w:b/>
          <w:bCs/>
          <w:color w:val="000000"/>
        </w:rPr>
      </w:pPr>
      <w:r>
        <w:rPr>
          <w:rFonts w:ascii="Times New Roman" w:hAnsi="Times New Roman"/>
          <w:b/>
          <w:bCs/>
          <w:color w:val="000000"/>
        </w:rPr>
        <w:t>2. 所有偏离必须在本表中列出，未在本偏离表中列出偏离，将视为投标人已完全接受招标文件要求。如完全无偏离，也无其他说明，可在本表第一行填写“全部无偏离”。</w:t>
      </w:r>
    </w:p>
    <w:p w14:paraId="450A3BF5">
      <w:pPr>
        <w:pStyle w:val="32"/>
        <w:spacing w:line="360" w:lineRule="exact"/>
        <w:rPr>
          <w:rFonts w:ascii="Times New Roman" w:hAnsi="Times New Roman"/>
          <w:b/>
          <w:bCs/>
          <w:color w:val="000000"/>
        </w:rPr>
      </w:pPr>
      <w:r>
        <w:rPr>
          <w:rFonts w:ascii="Times New Roman" w:hAnsi="Times New Roman"/>
          <w:b/>
          <w:bCs/>
          <w:color w:val="000000"/>
        </w:rPr>
        <w:t>3. 偏离包括正、负偏离，正偏离指投标人的响应高于招标文件要求，负偏离指投标人的响应低于招标文件要求。</w:t>
      </w:r>
    </w:p>
    <w:p w14:paraId="0D576B03">
      <w:pPr>
        <w:pStyle w:val="32"/>
        <w:spacing w:line="360" w:lineRule="exact"/>
        <w:rPr>
          <w:rFonts w:ascii="Times New Roman" w:hAnsi="Times New Roman"/>
          <w:b/>
          <w:bCs/>
          <w:color w:val="000000"/>
        </w:rPr>
      </w:pPr>
      <w:r>
        <w:rPr>
          <w:rFonts w:ascii="Times New Roman" w:hAnsi="Times New Roman"/>
          <w:b/>
          <w:color w:val="000000"/>
        </w:rPr>
        <w:t>4. 如投标人将此表空白，视为投标人无任何偏离。</w:t>
      </w:r>
    </w:p>
    <w:p w14:paraId="72FDC319">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p w14:paraId="083C89CD">
      <w:pPr>
        <w:widowControl w:val="0"/>
        <w:spacing w:line="360" w:lineRule="auto"/>
        <w:ind w:firstLine="0" w:firstLineChars="0"/>
        <w:jc w:val="both"/>
        <w:rPr>
          <w:rFonts w:ascii="Times New Roman" w:hAnsi="Times New Roman" w:eastAsia="宋体" w:cs="Times New Roman"/>
          <w:color w:val="000000"/>
          <w:kern w:val="0"/>
          <w:sz w:val="21"/>
          <w:szCs w:val="21"/>
          <w:lang w:val="en-US" w:eastAsia="zh-CN" w:bidi="ar-SA"/>
        </w:rPr>
      </w:pPr>
    </w:p>
    <w:p w14:paraId="1D4D9ABC">
      <w:pPr>
        <w:widowControl w:val="0"/>
        <w:spacing w:line="360" w:lineRule="auto"/>
        <w:ind w:firstLine="420" w:firstLineChars="200"/>
        <w:jc w:val="both"/>
        <w:rPr>
          <w:rFonts w:ascii="Times New Roman" w:hAnsi="Times New Roman" w:eastAsia="宋体" w:cs="Times New Roman"/>
          <w:color w:val="000000"/>
          <w:kern w:val="0"/>
          <w:sz w:val="21"/>
          <w:szCs w:val="21"/>
          <w:lang w:val="en-US" w:eastAsia="zh-CN" w:bidi="ar-SA"/>
        </w:rPr>
      </w:pPr>
    </w:p>
    <w:p w14:paraId="12F6DDFA">
      <w:pPr>
        <w:widowControl w:val="0"/>
        <w:spacing w:line="360" w:lineRule="auto"/>
        <w:ind w:firstLine="3780" w:firstLineChars="1800"/>
        <w:jc w:val="both"/>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投标人名称(</w:t>
      </w:r>
      <w:r>
        <w:rPr>
          <w:rFonts w:hint="eastAsia" w:ascii="宋体" w:hAnsi="Courier New" w:eastAsia="宋体" w:cs="Times New Roman"/>
          <w:color w:val="000000"/>
          <w:kern w:val="0"/>
          <w:sz w:val="20"/>
          <w:szCs w:val="20"/>
          <w:lang w:val="en-US" w:eastAsia="zh-CN" w:bidi="ar-SA"/>
        </w:rPr>
        <w:t>加盖ca电子</w:t>
      </w:r>
      <w:r>
        <w:rPr>
          <w:rFonts w:ascii="宋体" w:hAnsi="Courier New" w:eastAsia="宋体" w:cs="Times New Roman"/>
          <w:color w:val="000000"/>
          <w:kern w:val="0"/>
          <w:sz w:val="20"/>
          <w:szCs w:val="20"/>
          <w:lang w:val="en-US" w:eastAsia="zh-CN" w:bidi="ar-SA"/>
        </w:rPr>
        <w:t>公章</w:t>
      </w:r>
      <w:r>
        <w:rPr>
          <w:rFonts w:ascii="Times New Roman" w:hAnsi="Times New Roman" w:eastAsia="宋体" w:cs="Times New Roman"/>
          <w:color w:val="000000"/>
          <w:kern w:val="0"/>
          <w:sz w:val="21"/>
          <w:szCs w:val="21"/>
          <w:lang w:val="en-US" w:eastAsia="zh-CN" w:bidi="ar-SA"/>
        </w:rPr>
        <w:t>)：____________</w:t>
      </w:r>
    </w:p>
    <w:p w14:paraId="3D794A7B">
      <w:pPr>
        <w:widowControl w:val="0"/>
        <w:spacing w:line="360" w:lineRule="auto"/>
        <w:ind w:firstLine="3780" w:firstLineChars="1800"/>
        <w:jc w:val="both"/>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日期：______年____月____日</w:t>
      </w:r>
    </w:p>
    <w:p w14:paraId="54821DD1">
      <w:pPr>
        <w:widowControl w:val="0"/>
        <w:spacing w:after="120"/>
        <w:ind w:left="420" w:leftChars="200" w:firstLine="420" w:firstLineChars="200"/>
        <w:jc w:val="both"/>
        <w:rPr>
          <w:rFonts w:ascii="Times New Roman" w:hAnsi="Times New Roman" w:eastAsia="宋体" w:cs="Times New Roman"/>
          <w:kern w:val="2"/>
          <w:sz w:val="21"/>
          <w:szCs w:val="24"/>
          <w:lang w:val="en-US" w:eastAsia="zh-CN" w:bidi="ar-SA"/>
        </w:rPr>
      </w:pPr>
    </w:p>
    <w:p w14:paraId="491AE4CE">
      <w:pPr>
        <w:widowControl w:val="0"/>
        <w:spacing w:after="120"/>
        <w:ind w:left="420" w:leftChars="200" w:firstLine="420" w:firstLineChars="200"/>
        <w:jc w:val="center"/>
        <w:rPr>
          <w:rFonts w:ascii="Times New Roman" w:hAnsi="Times New Roman" w:eastAsia="宋体" w:cs="Times New Roman"/>
          <w:b/>
          <w:color w:val="000000"/>
          <w:kern w:val="2"/>
          <w:sz w:val="24"/>
          <w:szCs w:val="24"/>
          <w:lang w:val="en-US" w:eastAsia="zh-CN" w:bidi="ar-SA"/>
        </w:rPr>
      </w:pPr>
      <w:r>
        <w:rPr>
          <w:rFonts w:ascii="Times New Roman" w:hAnsi="Times New Roman" w:eastAsia="宋体" w:cs="Times New Roman"/>
          <w:kern w:val="2"/>
          <w:sz w:val="21"/>
          <w:szCs w:val="24"/>
          <w:lang w:val="en-US" w:eastAsia="zh-CN" w:bidi="ar-SA"/>
        </w:rPr>
        <w:br w:type="page"/>
      </w:r>
      <w:r>
        <w:rPr>
          <w:rFonts w:ascii="Times New Roman" w:hAnsi="Times New Roman" w:eastAsia="宋体" w:cs="Times New Roman"/>
          <w:b/>
          <w:color w:val="000000"/>
          <w:kern w:val="2"/>
          <w:sz w:val="24"/>
          <w:szCs w:val="24"/>
          <w:lang w:val="en-US" w:eastAsia="zh-CN" w:bidi="ar-SA"/>
        </w:rPr>
        <w:t>商务条款偏离表</w:t>
      </w:r>
    </w:p>
    <w:p w14:paraId="20D1B178">
      <w:pPr>
        <w:widowControl/>
        <w:spacing w:line="500" w:lineRule="exact"/>
        <w:ind w:firstLine="210" w:firstLineChars="100"/>
        <w:jc w:val="left"/>
        <w:rPr>
          <w:bCs/>
          <w:color w:val="000000"/>
          <w:kern w:val="0"/>
          <w:szCs w:val="21"/>
        </w:rPr>
      </w:pPr>
      <w:r>
        <w:rPr>
          <w:bCs/>
          <w:color w:val="000000"/>
          <w:kern w:val="0"/>
          <w:szCs w:val="21"/>
        </w:rPr>
        <w:t>项目名称：</w:t>
      </w:r>
      <w:r>
        <w:rPr>
          <w:bCs/>
          <w:color w:val="000000"/>
          <w:kern w:val="0"/>
          <w:szCs w:val="21"/>
          <w:u w:val="single"/>
        </w:rPr>
        <w:t xml:space="preserve">                        </w:t>
      </w:r>
      <w:r>
        <w:rPr>
          <w:bCs/>
          <w:color w:val="000000"/>
          <w:kern w:val="0"/>
          <w:szCs w:val="21"/>
        </w:rPr>
        <w:t xml:space="preserve">                  </w:t>
      </w:r>
    </w:p>
    <w:p w14:paraId="5170C97E">
      <w:pPr>
        <w:widowControl/>
        <w:spacing w:line="500" w:lineRule="exact"/>
        <w:ind w:firstLine="210" w:firstLineChars="100"/>
        <w:jc w:val="left"/>
        <w:rPr>
          <w:bCs/>
          <w:color w:val="000000"/>
          <w:kern w:val="0"/>
          <w:sz w:val="24"/>
          <w:szCs w:val="21"/>
          <w:u w:val="single"/>
        </w:rPr>
      </w:pPr>
      <w:r>
        <w:rPr>
          <w:bCs/>
          <w:color w:val="000000"/>
          <w:kern w:val="0"/>
          <w:szCs w:val="21"/>
        </w:rPr>
        <w:t>项目编号</w:t>
      </w:r>
      <w:r>
        <w:rPr>
          <w:bCs/>
          <w:color w:val="000000"/>
          <w:kern w:val="0"/>
          <w:sz w:val="24"/>
          <w:szCs w:val="21"/>
        </w:rPr>
        <w:t>：</w:t>
      </w:r>
      <w:r>
        <w:rPr>
          <w:bCs/>
          <w:color w:val="000000"/>
          <w:kern w:val="0"/>
          <w:sz w:val="24"/>
          <w:szCs w:val="21"/>
          <w:u w:val="single"/>
        </w:rPr>
        <w:t xml:space="preserve">                    </w:t>
      </w:r>
    </w:p>
    <w:tbl>
      <w:tblPr>
        <w:tblStyle w:val="3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920"/>
        <w:gridCol w:w="2400"/>
        <w:gridCol w:w="2400"/>
        <w:gridCol w:w="1611"/>
      </w:tblGrid>
      <w:tr w14:paraId="4AED7A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14:paraId="65DD51C2">
            <w:pPr>
              <w:spacing w:before="240" w:after="240" w:line="400" w:lineRule="exact"/>
              <w:jc w:val="center"/>
              <w:rPr>
                <w:color w:val="000000"/>
                <w:szCs w:val="21"/>
              </w:rPr>
            </w:pPr>
            <w:r>
              <w:rPr>
                <w:color w:val="000000"/>
                <w:szCs w:val="21"/>
              </w:rPr>
              <w:t>序号</w:t>
            </w:r>
          </w:p>
        </w:tc>
        <w:tc>
          <w:tcPr>
            <w:tcW w:w="1920" w:type="dxa"/>
            <w:noWrap w:val="0"/>
            <w:vAlign w:val="top"/>
          </w:tcPr>
          <w:p w14:paraId="1756EB4C">
            <w:pPr>
              <w:spacing w:before="240" w:after="240" w:line="400" w:lineRule="exact"/>
              <w:jc w:val="center"/>
              <w:rPr>
                <w:color w:val="000000"/>
                <w:szCs w:val="21"/>
              </w:rPr>
            </w:pPr>
            <w:r>
              <w:rPr>
                <w:color w:val="000000"/>
                <w:szCs w:val="21"/>
              </w:rPr>
              <w:t>采购文件条目号</w:t>
            </w:r>
          </w:p>
        </w:tc>
        <w:tc>
          <w:tcPr>
            <w:tcW w:w="2400" w:type="dxa"/>
            <w:noWrap w:val="0"/>
            <w:vAlign w:val="top"/>
          </w:tcPr>
          <w:p w14:paraId="504652C9">
            <w:pPr>
              <w:spacing w:before="240" w:after="240" w:line="400" w:lineRule="exact"/>
              <w:jc w:val="center"/>
              <w:rPr>
                <w:color w:val="000000"/>
                <w:szCs w:val="21"/>
              </w:rPr>
            </w:pPr>
            <w:r>
              <w:rPr>
                <w:color w:val="000000"/>
                <w:szCs w:val="21"/>
              </w:rPr>
              <w:t>采购文件的商务条款</w:t>
            </w:r>
          </w:p>
        </w:tc>
        <w:tc>
          <w:tcPr>
            <w:tcW w:w="2400" w:type="dxa"/>
            <w:noWrap w:val="0"/>
            <w:vAlign w:val="top"/>
          </w:tcPr>
          <w:p w14:paraId="5C2AC2D2">
            <w:pPr>
              <w:spacing w:before="240" w:after="240" w:line="400" w:lineRule="exact"/>
              <w:jc w:val="center"/>
              <w:rPr>
                <w:color w:val="000000"/>
                <w:szCs w:val="21"/>
              </w:rPr>
            </w:pPr>
            <w:r>
              <w:rPr>
                <w:color w:val="000000"/>
                <w:szCs w:val="21"/>
              </w:rPr>
              <w:t>响应文件的商务条款</w:t>
            </w:r>
          </w:p>
        </w:tc>
        <w:tc>
          <w:tcPr>
            <w:tcW w:w="1611" w:type="dxa"/>
            <w:noWrap w:val="0"/>
            <w:vAlign w:val="top"/>
          </w:tcPr>
          <w:p w14:paraId="7C070252">
            <w:pPr>
              <w:spacing w:before="240" w:after="240" w:line="400" w:lineRule="exact"/>
              <w:rPr>
                <w:color w:val="000000"/>
                <w:szCs w:val="21"/>
              </w:rPr>
            </w:pPr>
            <w:r>
              <w:rPr>
                <w:color w:val="000000"/>
                <w:szCs w:val="21"/>
              </w:rPr>
              <w:t xml:space="preserve">  偏离情况</w:t>
            </w:r>
          </w:p>
        </w:tc>
      </w:tr>
      <w:tr w14:paraId="1013A9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5" w:type="dxa"/>
            <w:noWrap w:val="0"/>
            <w:vAlign w:val="center"/>
          </w:tcPr>
          <w:p w14:paraId="3665294F">
            <w:pPr>
              <w:spacing w:line="400" w:lineRule="exact"/>
              <w:jc w:val="center"/>
              <w:rPr>
                <w:color w:val="000000"/>
                <w:szCs w:val="21"/>
              </w:rPr>
            </w:pPr>
            <w:r>
              <w:rPr>
                <w:color w:val="000000"/>
                <w:szCs w:val="21"/>
              </w:rPr>
              <w:t>1</w:t>
            </w:r>
          </w:p>
        </w:tc>
        <w:tc>
          <w:tcPr>
            <w:tcW w:w="1920" w:type="dxa"/>
            <w:noWrap w:val="0"/>
            <w:vAlign w:val="center"/>
          </w:tcPr>
          <w:p w14:paraId="02EBE99A">
            <w:pPr>
              <w:spacing w:line="400" w:lineRule="exact"/>
              <w:jc w:val="center"/>
              <w:rPr>
                <w:color w:val="000000"/>
                <w:szCs w:val="21"/>
              </w:rPr>
            </w:pPr>
          </w:p>
        </w:tc>
        <w:tc>
          <w:tcPr>
            <w:tcW w:w="2400" w:type="dxa"/>
            <w:noWrap w:val="0"/>
            <w:vAlign w:val="center"/>
          </w:tcPr>
          <w:p w14:paraId="27A151F6">
            <w:pPr>
              <w:spacing w:line="400" w:lineRule="exact"/>
              <w:jc w:val="center"/>
              <w:rPr>
                <w:color w:val="000000"/>
                <w:szCs w:val="21"/>
              </w:rPr>
            </w:pPr>
          </w:p>
        </w:tc>
        <w:tc>
          <w:tcPr>
            <w:tcW w:w="2400" w:type="dxa"/>
            <w:noWrap w:val="0"/>
            <w:vAlign w:val="center"/>
          </w:tcPr>
          <w:p w14:paraId="2670BA08">
            <w:pPr>
              <w:spacing w:line="400" w:lineRule="exact"/>
              <w:jc w:val="center"/>
              <w:rPr>
                <w:color w:val="000000"/>
                <w:szCs w:val="21"/>
              </w:rPr>
            </w:pPr>
          </w:p>
        </w:tc>
        <w:tc>
          <w:tcPr>
            <w:tcW w:w="1611" w:type="dxa"/>
            <w:noWrap w:val="0"/>
            <w:vAlign w:val="center"/>
          </w:tcPr>
          <w:p w14:paraId="33B4E365">
            <w:pPr>
              <w:spacing w:line="400" w:lineRule="exact"/>
              <w:jc w:val="center"/>
              <w:rPr>
                <w:color w:val="000000"/>
                <w:szCs w:val="21"/>
              </w:rPr>
            </w:pPr>
          </w:p>
        </w:tc>
      </w:tr>
      <w:tr w14:paraId="7FCCE6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5" w:type="dxa"/>
            <w:noWrap w:val="0"/>
            <w:vAlign w:val="center"/>
          </w:tcPr>
          <w:p w14:paraId="0122012A">
            <w:pPr>
              <w:spacing w:line="400" w:lineRule="exact"/>
              <w:jc w:val="center"/>
              <w:rPr>
                <w:color w:val="000000"/>
                <w:szCs w:val="21"/>
              </w:rPr>
            </w:pPr>
            <w:r>
              <w:rPr>
                <w:color w:val="000000"/>
                <w:szCs w:val="21"/>
              </w:rPr>
              <w:t>2</w:t>
            </w:r>
          </w:p>
        </w:tc>
        <w:tc>
          <w:tcPr>
            <w:tcW w:w="1920" w:type="dxa"/>
            <w:noWrap w:val="0"/>
            <w:vAlign w:val="center"/>
          </w:tcPr>
          <w:p w14:paraId="6A3B6DC4">
            <w:pPr>
              <w:spacing w:line="400" w:lineRule="exact"/>
              <w:jc w:val="center"/>
              <w:rPr>
                <w:color w:val="000000"/>
                <w:szCs w:val="21"/>
              </w:rPr>
            </w:pPr>
          </w:p>
        </w:tc>
        <w:tc>
          <w:tcPr>
            <w:tcW w:w="2400" w:type="dxa"/>
            <w:noWrap w:val="0"/>
            <w:vAlign w:val="center"/>
          </w:tcPr>
          <w:p w14:paraId="3975C2DF">
            <w:pPr>
              <w:spacing w:line="400" w:lineRule="exact"/>
              <w:jc w:val="center"/>
              <w:rPr>
                <w:color w:val="000000"/>
                <w:szCs w:val="21"/>
              </w:rPr>
            </w:pPr>
          </w:p>
        </w:tc>
        <w:tc>
          <w:tcPr>
            <w:tcW w:w="2400" w:type="dxa"/>
            <w:noWrap w:val="0"/>
            <w:vAlign w:val="center"/>
          </w:tcPr>
          <w:p w14:paraId="21C30E0D">
            <w:pPr>
              <w:spacing w:line="400" w:lineRule="exact"/>
              <w:jc w:val="center"/>
              <w:rPr>
                <w:color w:val="000000"/>
                <w:szCs w:val="21"/>
              </w:rPr>
            </w:pPr>
          </w:p>
        </w:tc>
        <w:tc>
          <w:tcPr>
            <w:tcW w:w="1611" w:type="dxa"/>
            <w:noWrap w:val="0"/>
            <w:vAlign w:val="center"/>
          </w:tcPr>
          <w:p w14:paraId="76FD776A">
            <w:pPr>
              <w:spacing w:line="400" w:lineRule="exact"/>
              <w:jc w:val="center"/>
              <w:rPr>
                <w:color w:val="000000"/>
                <w:szCs w:val="21"/>
              </w:rPr>
            </w:pPr>
          </w:p>
        </w:tc>
      </w:tr>
      <w:tr w14:paraId="2E67C1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5" w:type="dxa"/>
            <w:noWrap w:val="0"/>
            <w:vAlign w:val="center"/>
          </w:tcPr>
          <w:p w14:paraId="625AB001">
            <w:pPr>
              <w:spacing w:line="400" w:lineRule="exact"/>
              <w:jc w:val="center"/>
              <w:rPr>
                <w:color w:val="000000"/>
                <w:szCs w:val="21"/>
              </w:rPr>
            </w:pPr>
            <w:r>
              <w:rPr>
                <w:color w:val="000000"/>
                <w:szCs w:val="21"/>
              </w:rPr>
              <w:t>3</w:t>
            </w:r>
          </w:p>
        </w:tc>
        <w:tc>
          <w:tcPr>
            <w:tcW w:w="1920" w:type="dxa"/>
            <w:noWrap w:val="0"/>
            <w:vAlign w:val="center"/>
          </w:tcPr>
          <w:p w14:paraId="3442BD2C">
            <w:pPr>
              <w:spacing w:line="400" w:lineRule="exact"/>
              <w:jc w:val="center"/>
              <w:rPr>
                <w:color w:val="000000"/>
                <w:szCs w:val="21"/>
              </w:rPr>
            </w:pPr>
          </w:p>
        </w:tc>
        <w:tc>
          <w:tcPr>
            <w:tcW w:w="2400" w:type="dxa"/>
            <w:noWrap w:val="0"/>
            <w:vAlign w:val="center"/>
          </w:tcPr>
          <w:p w14:paraId="4CE46A1C">
            <w:pPr>
              <w:spacing w:line="400" w:lineRule="exact"/>
              <w:jc w:val="center"/>
              <w:rPr>
                <w:color w:val="000000"/>
                <w:szCs w:val="21"/>
              </w:rPr>
            </w:pPr>
          </w:p>
        </w:tc>
        <w:tc>
          <w:tcPr>
            <w:tcW w:w="2400" w:type="dxa"/>
            <w:noWrap w:val="0"/>
            <w:vAlign w:val="center"/>
          </w:tcPr>
          <w:p w14:paraId="4060BB75">
            <w:pPr>
              <w:spacing w:line="400" w:lineRule="exact"/>
              <w:jc w:val="center"/>
              <w:rPr>
                <w:color w:val="000000"/>
                <w:szCs w:val="21"/>
              </w:rPr>
            </w:pPr>
          </w:p>
        </w:tc>
        <w:tc>
          <w:tcPr>
            <w:tcW w:w="1611" w:type="dxa"/>
            <w:noWrap w:val="0"/>
            <w:vAlign w:val="center"/>
          </w:tcPr>
          <w:p w14:paraId="33076848">
            <w:pPr>
              <w:spacing w:line="400" w:lineRule="exact"/>
              <w:jc w:val="center"/>
              <w:rPr>
                <w:color w:val="000000"/>
                <w:szCs w:val="21"/>
              </w:rPr>
            </w:pPr>
          </w:p>
        </w:tc>
      </w:tr>
      <w:tr w14:paraId="588D00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5" w:type="dxa"/>
            <w:noWrap w:val="0"/>
            <w:vAlign w:val="center"/>
          </w:tcPr>
          <w:p w14:paraId="3512A724">
            <w:pPr>
              <w:spacing w:line="400" w:lineRule="exact"/>
              <w:jc w:val="center"/>
              <w:rPr>
                <w:color w:val="000000"/>
                <w:sz w:val="24"/>
              </w:rPr>
            </w:pPr>
            <w:r>
              <w:rPr>
                <w:color w:val="000000"/>
                <w:sz w:val="24"/>
              </w:rPr>
              <w:t>…</w:t>
            </w:r>
          </w:p>
        </w:tc>
        <w:tc>
          <w:tcPr>
            <w:tcW w:w="1920" w:type="dxa"/>
            <w:noWrap w:val="0"/>
            <w:vAlign w:val="center"/>
          </w:tcPr>
          <w:p w14:paraId="569C3DB1">
            <w:pPr>
              <w:spacing w:line="400" w:lineRule="exact"/>
              <w:jc w:val="center"/>
              <w:rPr>
                <w:color w:val="000000"/>
                <w:sz w:val="24"/>
              </w:rPr>
            </w:pPr>
            <w:r>
              <w:rPr>
                <w:color w:val="000000"/>
                <w:sz w:val="24"/>
              </w:rPr>
              <w:t>…</w:t>
            </w:r>
          </w:p>
        </w:tc>
        <w:tc>
          <w:tcPr>
            <w:tcW w:w="2400" w:type="dxa"/>
            <w:noWrap w:val="0"/>
            <w:vAlign w:val="center"/>
          </w:tcPr>
          <w:p w14:paraId="266D1B65">
            <w:pPr>
              <w:spacing w:line="400" w:lineRule="exact"/>
              <w:jc w:val="center"/>
              <w:rPr>
                <w:color w:val="000000"/>
                <w:sz w:val="24"/>
              </w:rPr>
            </w:pPr>
          </w:p>
        </w:tc>
        <w:tc>
          <w:tcPr>
            <w:tcW w:w="2400" w:type="dxa"/>
            <w:noWrap w:val="0"/>
            <w:vAlign w:val="center"/>
          </w:tcPr>
          <w:p w14:paraId="1ADEE373">
            <w:pPr>
              <w:spacing w:line="400" w:lineRule="exact"/>
              <w:jc w:val="center"/>
              <w:rPr>
                <w:color w:val="000000"/>
                <w:sz w:val="24"/>
              </w:rPr>
            </w:pPr>
          </w:p>
        </w:tc>
        <w:tc>
          <w:tcPr>
            <w:tcW w:w="1611" w:type="dxa"/>
            <w:noWrap w:val="0"/>
            <w:vAlign w:val="center"/>
          </w:tcPr>
          <w:p w14:paraId="39BBCD98">
            <w:pPr>
              <w:spacing w:line="400" w:lineRule="exact"/>
              <w:jc w:val="center"/>
              <w:rPr>
                <w:color w:val="000000"/>
                <w:sz w:val="24"/>
              </w:rPr>
            </w:pPr>
          </w:p>
        </w:tc>
      </w:tr>
      <w:tr w14:paraId="41653A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5" w:type="dxa"/>
            <w:noWrap w:val="0"/>
            <w:vAlign w:val="center"/>
          </w:tcPr>
          <w:p w14:paraId="525EC564">
            <w:pPr>
              <w:spacing w:line="400" w:lineRule="exact"/>
              <w:jc w:val="center"/>
              <w:rPr>
                <w:color w:val="000000"/>
                <w:sz w:val="24"/>
              </w:rPr>
            </w:pPr>
          </w:p>
        </w:tc>
        <w:tc>
          <w:tcPr>
            <w:tcW w:w="1920" w:type="dxa"/>
            <w:noWrap w:val="0"/>
            <w:vAlign w:val="center"/>
          </w:tcPr>
          <w:p w14:paraId="4EB130F1">
            <w:pPr>
              <w:spacing w:line="400" w:lineRule="exact"/>
              <w:jc w:val="center"/>
              <w:rPr>
                <w:color w:val="000000"/>
                <w:sz w:val="24"/>
              </w:rPr>
            </w:pPr>
          </w:p>
        </w:tc>
        <w:tc>
          <w:tcPr>
            <w:tcW w:w="2400" w:type="dxa"/>
            <w:noWrap w:val="0"/>
            <w:vAlign w:val="center"/>
          </w:tcPr>
          <w:p w14:paraId="7143FFC2">
            <w:pPr>
              <w:spacing w:line="400" w:lineRule="exact"/>
              <w:jc w:val="center"/>
              <w:rPr>
                <w:color w:val="000000"/>
                <w:sz w:val="24"/>
              </w:rPr>
            </w:pPr>
          </w:p>
        </w:tc>
        <w:tc>
          <w:tcPr>
            <w:tcW w:w="2400" w:type="dxa"/>
            <w:noWrap w:val="0"/>
            <w:vAlign w:val="center"/>
          </w:tcPr>
          <w:p w14:paraId="6109C049">
            <w:pPr>
              <w:spacing w:line="400" w:lineRule="exact"/>
              <w:jc w:val="center"/>
              <w:rPr>
                <w:color w:val="000000"/>
                <w:sz w:val="24"/>
              </w:rPr>
            </w:pPr>
          </w:p>
        </w:tc>
        <w:tc>
          <w:tcPr>
            <w:tcW w:w="1611" w:type="dxa"/>
            <w:noWrap w:val="0"/>
            <w:vAlign w:val="center"/>
          </w:tcPr>
          <w:p w14:paraId="249DB057">
            <w:pPr>
              <w:spacing w:line="400" w:lineRule="exact"/>
              <w:jc w:val="center"/>
              <w:rPr>
                <w:color w:val="000000"/>
                <w:sz w:val="24"/>
              </w:rPr>
            </w:pPr>
          </w:p>
        </w:tc>
      </w:tr>
      <w:tr w14:paraId="542FAE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5" w:type="dxa"/>
            <w:noWrap w:val="0"/>
            <w:vAlign w:val="center"/>
          </w:tcPr>
          <w:p w14:paraId="7B440762">
            <w:pPr>
              <w:spacing w:line="400" w:lineRule="exact"/>
              <w:jc w:val="center"/>
              <w:rPr>
                <w:color w:val="000000"/>
                <w:sz w:val="24"/>
              </w:rPr>
            </w:pPr>
          </w:p>
        </w:tc>
        <w:tc>
          <w:tcPr>
            <w:tcW w:w="1920" w:type="dxa"/>
            <w:noWrap w:val="0"/>
            <w:vAlign w:val="center"/>
          </w:tcPr>
          <w:p w14:paraId="2B49DEF2">
            <w:pPr>
              <w:spacing w:line="400" w:lineRule="exact"/>
              <w:jc w:val="center"/>
              <w:rPr>
                <w:color w:val="000000"/>
                <w:sz w:val="24"/>
              </w:rPr>
            </w:pPr>
          </w:p>
        </w:tc>
        <w:tc>
          <w:tcPr>
            <w:tcW w:w="2400" w:type="dxa"/>
            <w:noWrap w:val="0"/>
            <w:vAlign w:val="center"/>
          </w:tcPr>
          <w:p w14:paraId="17F6B793">
            <w:pPr>
              <w:spacing w:line="400" w:lineRule="exact"/>
              <w:jc w:val="center"/>
              <w:rPr>
                <w:color w:val="000000"/>
                <w:sz w:val="24"/>
              </w:rPr>
            </w:pPr>
          </w:p>
        </w:tc>
        <w:tc>
          <w:tcPr>
            <w:tcW w:w="2400" w:type="dxa"/>
            <w:noWrap w:val="0"/>
            <w:vAlign w:val="center"/>
          </w:tcPr>
          <w:p w14:paraId="20BEC27F">
            <w:pPr>
              <w:spacing w:line="400" w:lineRule="exact"/>
              <w:jc w:val="center"/>
              <w:rPr>
                <w:color w:val="000000"/>
                <w:sz w:val="24"/>
              </w:rPr>
            </w:pPr>
          </w:p>
        </w:tc>
        <w:tc>
          <w:tcPr>
            <w:tcW w:w="1611" w:type="dxa"/>
            <w:noWrap w:val="0"/>
            <w:vAlign w:val="center"/>
          </w:tcPr>
          <w:p w14:paraId="76FDBBD9">
            <w:pPr>
              <w:spacing w:line="400" w:lineRule="exact"/>
              <w:jc w:val="center"/>
              <w:rPr>
                <w:color w:val="000000"/>
                <w:sz w:val="24"/>
              </w:rPr>
            </w:pPr>
          </w:p>
        </w:tc>
      </w:tr>
      <w:tr w14:paraId="643D2C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5" w:type="dxa"/>
            <w:noWrap w:val="0"/>
            <w:vAlign w:val="center"/>
          </w:tcPr>
          <w:p w14:paraId="71321B45">
            <w:pPr>
              <w:spacing w:line="400" w:lineRule="exact"/>
              <w:jc w:val="center"/>
              <w:rPr>
                <w:color w:val="000000"/>
                <w:sz w:val="24"/>
              </w:rPr>
            </w:pPr>
          </w:p>
        </w:tc>
        <w:tc>
          <w:tcPr>
            <w:tcW w:w="1920" w:type="dxa"/>
            <w:noWrap w:val="0"/>
            <w:vAlign w:val="center"/>
          </w:tcPr>
          <w:p w14:paraId="5A93CA02">
            <w:pPr>
              <w:spacing w:line="400" w:lineRule="exact"/>
              <w:jc w:val="center"/>
              <w:rPr>
                <w:color w:val="000000"/>
                <w:sz w:val="24"/>
              </w:rPr>
            </w:pPr>
          </w:p>
        </w:tc>
        <w:tc>
          <w:tcPr>
            <w:tcW w:w="2400" w:type="dxa"/>
            <w:noWrap w:val="0"/>
            <w:vAlign w:val="center"/>
          </w:tcPr>
          <w:p w14:paraId="7DC1A384">
            <w:pPr>
              <w:spacing w:line="400" w:lineRule="exact"/>
              <w:jc w:val="center"/>
              <w:rPr>
                <w:color w:val="000000"/>
                <w:sz w:val="24"/>
              </w:rPr>
            </w:pPr>
          </w:p>
        </w:tc>
        <w:tc>
          <w:tcPr>
            <w:tcW w:w="2400" w:type="dxa"/>
            <w:noWrap w:val="0"/>
            <w:vAlign w:val="center"/>
          </w:tcPr>
          <w:p w14:paraId="3312CC4D">
            <w:pPr>
              <w:spacing w:line="400" w:lineRule="exact"/>
              <w:jc w:val="center"/>
              <w:rPr>
                <w:color w:val="000000"/>
                <w:sz w:val="24"/>
              </w:rPr>
            </w:pPr>
          </w:p>
        </w:tc>
        <w:tc>
          <w:tcPr>
            <w:tcW w:w="1611" w:type="dxa"/>
            <w:noWrap w:val="0"/>
            <w:vAlign w:val="center"/>
          </w:tcPr>
          <w:p w14:paraId="4938FFE5">
            <w:pPr>
              <w:spacing w:line="400" w:lineRule="exact"/>
              <w:jc w:val="center"/>
              <w:rPr>
                <w:color w:val="000000"/>
                <w:sz w:val="24"/>
              </w:rPr>
            </w:pPr>
          </w:p>
        </w:tc>
      </w:tr>
    </w:tbl>
    <w:p w14:paraId="2C6AA94D">
      <w:pPr>
        <w:spacing w:line="400" w:lineRule="exact"/>
        <w:rPr>
          <w:color w:val="000000"/>
          <w:szCs w:val="21"/>
        </w:rPr>
      </w:pPr>
      <w:r>
        <w:rPr>
          <w:color w:val="000000"/>
          <w:szCs w:val="21"/>
        </w:rPr>
        <w:t>注：1.对于某项指标的数据存在证明文件内容不一致的情况，取指标较低的为准，对于可以用量化形式表示的条款，供应商必须明确回答，或以功能描述回答。</w:t>
      </w:r>
    </w:p>
    <w:p w14:paraId="2F1866A9">
      <w:pPr>
        <w:spacing w:line="400" w:lineRule="exact"/>
        <w:ind w:firstLine="420" w:firstLineChars="200"/>
        <w:rPr>
          <w:color w:val="000000"/>
          <w:szCs w:val="21"/>
        </w:rPr>
      </w:pPr>
      <w:r>
        <w:rPr>
          <w:color w:val="000000"/>
          <w:szCs w:val="21"/>
        </w:rPr>
        <w:t>2.作为响应文件重要的组成部分，不应通过简单拷贝采购文件技术要求或简单标注“符合”“满足”。</w:t>
      </w:r>
    </w:p>
    <w:p w14:paraId="2F896BF4">
      <w:pPr>
        <w:spacing w:line="400" w:lineRule="exact"/>
        <w:ind w:firstLine="420" w:firstLineChars="200"/>
        <w:rPr>
          <w:color w:val="000000"/>
          <w:szCs w:val="21"/>
        </w:rPr>
      </w:pPr>
      <w:r>
        <w:rPr>
          <w:color w:val="000000"/>
          <w:szCs w:val="21"/>
        </w:rPr>
        <w:t>3.如供应商无任何偏离，也需在上表中注明并在响应文件中递交此表。</w:t>
      </w:r>
    </w:p>
    <w:p w14:paraId="0C8597D6">
      <w:pPr>
        <w:spacing w:line="400" w:lineRule="exact"/>
        <w:ind w:firstLine="420" w:firstLineChars="200"/>
        <w:rPr>
          <w:color w:val="000000"/>
          <w:szCs w:val="21"/>
        </w:rPr>
      </w:pPr>
      <w:r>
        <w:rPr>
          <w:color w:val="000000"/>
          <w:szCs w:val="21"/>
        </w:rPr>
        <w:t>4.偏离包括正、负偏离，正偏离指供应商的响应高于采购文件要求，负偏离指供应商的响应低于采购文件要求。</w:t>
      </w:r>
    </w:p>
    <w:p w14:paraId="674A5367">
      <w:pPr>
        <w:widowControl w:val="0"/>
        <w:spacing w:line="360" w:lineRule="auto"/>
        <w:ind w:firstLine="3780" w:firstLineChars="1800"/>
        <w:jc w:val="both"/>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投标人名称(</w:t>
      </w:r>
      <w:r>
        <w:rPr>
          <w:rFonts w:hint="eastAsia" w:ascii="宋体" w:hAnsi="Courier New" w:eastAsia="宋体" w:cs="Times New Roman"/>
          <w:color w:val="000000"/>
          <w:kern w:val="0"/>
          <w:sz w:val="20"/>
          <w:szCs w:val="20"/>
          <w:lang w:val="en-US" w:eastAsia="zh-CN" w:bidi="ar-SA"/>
        </w:rPr>
        <w:t>加盖ca电子</w:t>
      </w:r>
      <w:r>
        <w:rPr>
          <w:rFonts w:ascii="宋体" w:hAnsi="Courier New" w:eastAsia="宋体" w:cs="Times New Roman"/>
          <w:color w:val="000000"/>
          <w:kern w:val="0"/>
          <w:sz w:val="20"/>
          <w:szCs w:val="20"/>
          <w:lang w:val="en-US" w:eastAsia="zh-CN" w:bidi="ar-SA"/>
        </w:rPr>
        <w:t>公章</w:t>
      </w:r>
      <w:r>
        <w:rPr>
          <w:rFonts w:ascii="Times New Roman" w:hAnsi="Times New Roman" w:eastAsia="宋体" w:cs="Times New Roman"/>
          <w:color w:val="000000"/>
          <w:kern w:val="0"/>
          <w:sz w:val="21"/>
          <w:szCs w:val="21"/>
          <w:lang w:val="en-US" w:eastAsia="zh-CN" w:bidi="ar-SA"/>
        </w:rPr>
        <w:t>)：____________</w:t>
      </w:r>
    </w:p>
    <w:p w14:paraId="21966E2C">
      <w:pPr>
        <w:widowControl w:val="0"/>
        <w:spacing w:line="360" w:lineRule="auto"/>
        <w:ind w:firstLine="3780" w:firstLineChars="1800"/>
        <w:jc w:val="both"/>
        <w:rPr>
          <w:rFonts w:ascii="Times New Roman" w:hAnsi="Times New Roman" w:eastAsia="宋体" w:cs="Times New Roman"/>
          <w:color w:val="000000"/>
          <w:kern w:val="0"/>
          <w:sz w:val="21"/>
          <w:szCs w:val="21"/>
          <w:lang w:val="en-US" w:eastAsia="zh-CN" w:bidi="ar-SA"/>
        </w:rPr>
      </w:pPr>
      <w:r>
        <w:rPr>
          <w:rFonts w:ascii="Times New Roman" w:hAnsi="Times New Roman" w:eastAsia="宋体" w:cs="Times New Roman"/>
          <w:color w:val="000000"/>
          <w:kern w:val="0"/>
          <w:sz w:val="21"/>
          <w:szCs w:val="21"/>
          <w:lang w:val="en-US" w:eastAsia="zh-CN" w:bidi="ar-SA"/>
        </w:rPr>
        <w:t>日期：______年____月____日</w:t>
      </w:r>
    </w:p>
    <w:p w14:paraId="588CC072">
      <w:pPr>
        <w:pStyle w:val="83"/>
        <w:ind w:firstLine="482"/>
        <w:jc w:val="center"/>
        <w:rPr>
          <w:rFonts w:hint="default" w:ascii="Times New Roman" w:hAnsi="Times New Roman" w:cs="Times New Roman"/>
          <w:color w:val="auto"/>
          <w:szCs w:val="24"/>
          <w:highlight w:val="none"/>
        </w:rPr>
      </w:pPr>
      <w:r>
        <w:rPr>
          <w:rFonts w:ascii="宋体" w:hAnsi="Times New Roman" w:eastAsia="宋体" w:cs="Times New Roman"/>
          <w:b/>
          <w:kern w:val="0"/>
          <w:position w:val="-10"/>
          <w:sz w:val="24"/>
          <w:szCs w:val="20"/>
          <w:lang w:val="en-US" w:eastAsia="zh-CN" w:bidi="ar-SA"/>
        </w:rPr>
        <w:br w:type="page"/>
      </w:r>
      <w:bookmarkStart w:id="417" w:name="_Toc16999"/>
      <w:r>
        <w:rPr>
          <w:rFonts w:hint="default" w:ascii="Times New Roman" w:hAnsi="Times New Roman"/>
          <w:b/>
          <w:color w:val="000000"/>
          <w:sz w:val="24"/>
          <w:szCs w:val="24"/>
        </w:rPr>
        <w:t>其他针对“第五章  评标方法与评标标准”的相关内容</w:t>
      </w:r>
      <w:bookmarkEnd w:id="417"/>
    </w:p>
    <w:p w14:paraId="4C3EE0CC">
      <w:pPr>
        <w:widowControl/>
        <w:spacing w:line="500" w:lineRule="exact"/>
        <w:ind w:firstLine="241" w:firstLineChars="100"/>
        <w:jc w:val="lef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（所有“评标方法与评标标准”中涉及，但是在响应文件格式中未提供具体目录和格式的内容。）</w:t>
      </w:r>
    </w:p>
    <w:p w14:paraId="1A150128">
      <w:pPr>
        <w:rPr>
          <w:rFonts w:ascii="Segoe UI" w:hAnsi="Segoe UI" w:eastAsia="宋体" w:cs="Segoe UI"/>
          <w:kern w:val="2"/>
          <w:sz w:val="21"/>
          <w:szCs w:val="21"/>
          <w:shd w:val="clear" w:color="auto" w:fill="FAFAFA"/>
          <w:lang w:val="en-US" w:eastAsia="zh-CN" w:bidi="ar-SA"/>
        </w:rPr>
      </w:pPr>
      <w:r>
        <w:rPr>
          <w:rFonts w:ascii="Segoe UI" w:hAnsi="Segoe UI" w:eastAsia="宋体" w:cs="Segoe UI"/>
          <w:kern w:val="2"/>
          <w:sz w:val="21"/>
          <w:szCs w:val="21"/>
          <w:shd w:val="clear" w:color="auto" w:fill="FAFAFA"/>
          <w:lang w:val="en-US" w:eastAsia="zh-CN" w:bidi="ar-SA"/>
        </w:rPr>
        <w:br w:type="page"/>
      </w:r>
    </w:p>
    <w:p w14:paraId="10280134">
      <w:pPr>
        <w:rPr>
          <w:rFonts w:hint="default" w:ascii="Times New Roman" w:hAnsi="Times New Roman" w:cs="Times New Roman"/>
          <w:color w:val="auto"/>
          <w:szCs w:val="21"/>
          <w:highlight w:val="none"/>
          <w:shd w:val="clear" w:color="auto" w:fill="FAFAFA"/>
        </w:rPr>
      </w:pPr>
    </w:p>
    <w:p w14:paraId="0C284835">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pPr>
      <w:r>
        <w:rPr>
          <w:rFonts w:hint="eastAsia" w:ascii="宋体" w:hAnsi="宋体" w:eastAsia="宋体" w:cs="宋体"/>
          <w:b/>
          <w:bCs/>
          <w:color w:val="000000"/>
          <w:sz w:val="24"/>
          <w:szCs w:val="24"/>
        </w:rPr>
        <w:t>中小微企业声明函（服务类项目）（采购包号：**）</w:t>
      </w:r>
    </w:p>
    <w:p w14:paraId="6BA75F09">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r>
        <w:t> </w:t>
      </w:r>
    </w:p>
    <w:p w14:paraId="6146B60A">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项目（项目名称）（采购包号：**）的采购活动，服务全部由符合政策的中小微企业承接。相关企业（含联合体中的中小微企业、签订采购包意向协议的中小微企业）的具体情况如下：</w:t>
      </w:r>
    </w:p>
    <w:p w14:paraId="25FF10FF">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3F926DAC">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0CF89B5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w:t>
      </w:r>
    </w:p>
    <w:p w14:paraId="123165FF">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01357F23">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本企业对上述声明内容的真实性负责。如有虚假，将依法承担相应责任</w:t>
      </w:r>
    </w:p>
    <w:p w14:paraId="18F5ADB4">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pPr>
      <w:r>
        <w:t> </w:t>
      </w:r>
    </w:p>
    <w:p w14:paraId="45B35884">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pPr>
      <w:r>
        <w:rPr>
          <w:rFonts w:hint="eastAsia" w:ascii="宋体" w:hAnsi="宋体" w:eastAsia="宋体" w:cs="宋体"/>
          <w:color w:val="000000"/>
          <w:sz w:val="24"/>
          <w:szCs w:val="24"/>
        </w:rPr>
        <w:t>                                   企业名称（加盖CA电子公章）：</w:t>
      </w:r>
    </w:p>
    <w:p w14:paraId="3CDE5AD8">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pPr>
      <w:r>
        <w:rPr>
          <w:rFonts w:hint="eastAsia" w:ascii="宋体" w:hAnsi="宋体" w:eastAsia="宋体" w:cs="宋体"/>
          <w:color w:val="000000"/>
          <w:sz w:val="24"/>
          <w:szCs w:val="24"/>
          <w:shd w:val="clear" w:fill="FFFFFF"/>
        </w:rPr>
        <w:t xml:space="preserve">            日期：___年____月____日 </w:t>
      </w:r>
    </w:p>
    <w:p w14:paraId="20A901DA">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备注：</w:t>
      </w:r>
    </w:p>
    <w:p w14:paraId="1E8EB822">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1.从业人员、营业收入、资产总额填报上一年度数据，无上一年度数据的新成立企业可不填报。</w:t>
      </w:r>
    </w:p>
    <w:p w14:paraId="044E4C6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1D8902FF">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5A00C755">
      <w:pPr>
        <w:rPr>
          <w:rFonts w:hint="default" w:ascii="Times New Roman" w:hAnsi="Times New Roman" w:cs="Times New Roman"/>
          <w:b/>
          <w:color w:val="auto"/>
          <w:szCs w:val="21"/>
          <w:highlight w:val="none"/>
        </w:rPr>
      </w:pPr>
    </w:p>
    <w:p w14:paraId="1E75ADB3">
      <w:pPr>
        <w:pStyle w:val="83"/>
        <w:ind w:firstLine="400"/>
        <w:jc w:val="center"/>
        <w:rPr>
          <w:rFonts w:hint="default" w:ascii="Times New Roman" w:hAnsi="Times New Roman" w:cs="Times New Roman"/>
          <w:b/>
          <w:color w:val="auto"/>
          <w:sz w:val="24"/>
          <w:szCs w:val="24"/>
          <w:highlight w:val="none"/>
        </w:rPr>
      </w:pPr>
      <w:r>
        <w:rPr>
          <w:rFonts w:hint="default" w:ascii="Times New Roman" w:hAnsi="Times New Roman" w:cs="Times New Roman"/>
          <w:color w:val="auto"/>
          <w:highlight w:val="none"/>
        </w:rPr>
        <w:br w:type="page"/>
      </w:r>
      <w:r>
        <w:rPr>
          <w:rFonts w:hint="default" w:ascii="Times New Roman" w:hAnsi="Times New Roman" w:cs="Times New Roman"/>
          <w:b/>
          <w:color w:val="auto"/>
          <w:sz w:val="24"/>
          <w:szCs w:val="24"/>
          <w:highlight w:val="none"/>
        </w:rPr>
        <w:t>监狱企业证明</w:t>
      </w:r>
    </w:p>
    <w:p w14:paraId="29D2E6FE">
      <w:pPr>
        <w:pStyle w:val="83"/>
        <w:spacing w:line="276" w:lineRule="auto"/>
        <w:ind w:firstLine="482"/>
        <w:jc w:val="center"/>
        <w:rPr>
          <w:rFonts w:hint="default" w:ascii="Times New Roman" w:hAnsi="Times New Roman" w:cs="Times New Roman"/>
          <w:b/>
          <w:color w:val="auto"/>
          <w:sz w:val="24"/>
          <w:szCs w:val="24"/>
          <w:highlight w:val="none"/>
        </w:rPr>
      </w:pPr>
    </w:p>
    <w:p w14:paraId="205C1022">
      <w:pPr>
        <w:pStyle w:val="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3D12ABDF">
      <w:pPr>
        <w:pStyle w:val="83"/>
        <w:ind w:firstLine="400"/>
        <w:rPr>
          <w:rFonts w:hint="default" w:ascii="Times New Roman" w:hAnsi="Times New Roman" w:cs="Times New Roman"/>
          <w:color w:val="auto"/>
          <w:highlight w:val="none"/>
        </w:rPr>
      </w:pPr>
    </w:p>
    <w:p w14:paraId="4B8F5B39">
      <w:pPr>
        <w:rPr>
          <w:rFonts w:hint="default" w:ascii="Times New Roman" w:hAnsi="Times New Roman" w:cs="Times New Roman"/>
          <w:color w:val="auto"/>
          <w:highlight w:val="none"/>
        </w:rPr>
      </w:pPr>
    </w:p>
    <w:p w14:paraId="71B14642">
      <w:pPr>
        <w:pStyle w:val="83"/>
        <w:ind w:firstLine="198" w:firstLineChars="82"/>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br w:type="page"/>
      </w:r>
      <w:r>
        <w:rPr>
          <w:rFonts w:hint="default" w:ascii="Times New Roman" w:hAnsi="Times New Roman" w:cs="Times New Roman"/>
          <w:b/>
          <w:color w:val="auto"/>
          <w:sz w:val="24"/>
          <w:szCs w:val="24"/>
          <w:highlight w:val="none"/>
        </w:rPr>
        <w:t>残疾人福利性单位声明函</w:t>
      </w:r>
    </w:p>
    <w:p w14:paraId="26EF7582">
      <w:pPr>
        <w:spacing w:line="276" w:lineRule="auto"/>
        <w:rPr>
          <w:rFonts w:hint="default" w:ascii="Times New Roman" w:hAnsi="Times New Roman" w:eastAsia="仿宋_GB2312" w:cs="Times New Roman"/>
          <w:b/>
          <w:color w:val="auto"/>
          <w:spacing w:val="6"/>
          <w:sz w:val="30"/>
          <w:szCs w:val="30"/>
          <w:highlight w:val="none"/>
        </w:rPr>
      </w:pPr>
    </w:p>
    <w:p w14:paraId="28C4CC62">
      <w:pPr>
        <w:pStyle w:val="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C7DBB17">
      <w:pPr>
        <w:pStyle w:val="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本单位对上述声明的真实性负责。如有虚假，将依法承担相应责任。</w:t>
      </w:r>
    </w:p>
    <w:p w14:paraId="27BDB5D2">
      <w:pPr>
        <w:pStyle w:val="83"/>
        <w:ind w:firstLine="420"/>
        <w:rPr>
          <w:rFonts w:hint="default" w:ascii="Times New Roman" w:hAnsi="Times New Roman" w:cs="Times New Roman"/>
          <w:color w:val="auto"/>
          <w:sz w:val="21"/>
          <w:szCs w:val="21"/>
          <w:highlight w:val="none"/>
        </w:rPr>
      </w:pPr>
    </w:p>
    <w:p w14:paraId="7FA1981F">
      <w:pPr>
        <w:pStyle w:val="83"/>
        <w:ind w:firstLine="420"/>
        <w:rPr>
          <w:rFonts w:hint="default" w:ascii="Times New Roman" w:hAnsi="Times New Roman" w:cs="Times New Roman"/>
          <w:color w:val="auto"/>
          <w:sz w:val="21"/>
          <w:szCs w:val="21"/>
          <w:highlight w:val="none"/>
        </w:rPr>
      </w:pPr>
    </w:p>
    <w:p w14:paraId="532A6245">
      <w:pPr>
        <w:pStyle w:val="83"/>
        <w:ind w:firstLine="420"/>
        <w:rPr>
          <w:rFonts w:hint="default" w:ascii="Times New Roman" w:hAnsi="Times New Roman" w:cs="Times New Roman"/>
          <w:color w:val="auto"/>
          <w:sz w:val="21"/>
          <w:szCs w:val="21"/>
          <w:highlight w:val="none"/>
        </w:rPr>
      </w:pPr>
    </w:p>
    <w:p w14:paraId="798E4759">
      <w:pPr>
        <w:pStyle w:val="83"/>
        <w:ind w:firstLine="3769" w:firstLineChars="1795"/>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单位名称（</w:t>
      </w:r>
      <w:r>
        <w:rPr>
          <w:rFonts w:hint="default" w:ascii="Times New Roman" w:hAnsi="Times New Roman" w:cs="Times New Roman"/>
          <w:color w:val="auto"/>
          <w:highlight w:val="none"/>
        </w:rPr>
        <w:t>加盖ca电子公章</w:t>
      </w:r>
      <w:r>
        <w:rPr>
          <w:rFonts w:hint="default" w:ascii="Times New Roman" w:hAnsi="Times New Roman" w:cs="Times New Roman"/>
          <w:color w:val="auto"/>
          <w:sz w:val="21"/>
          <w:szCs w:val="21"/>
          <w:highlight w:val="none"/>
        </w:rPr>
        <w:t>）：____________</w:t>
      </w:r>
    </w:p>
    <w:p w14:paraId="490B9BC5">
      <w:pPr>
        <w:spacing w:line="360" w:lineRule="auto"/>
        <w:ind w:firstLine="3780" w:firstLineChars="1800"/>
        <w:jc w:val="lef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日期：</w:t>
      </w:r>
      <w:r>
        <w:rPr>
          <w:rFonts w:hint="default" w:ascii="Times New Roman" w:hAnsi="Times New Roman" w:cs="Times New Roman"/>
          <w:bCs/>
          <w:color w:val="auto"/>
          <w:kern w:val="0"/>
          <w:szCs w:val="21"/>
          <w:highlight w:val="none"/>
          <w:u w:val="single"/>
        </w:rPr>
        <w:tab/>
      </w:r>
      <w:r>
        <w:rPr>
          <w:rFonts w:hint="default" w:ascii="Times New Roman" w:hAnsi="Times New Roman" w:cs="Times New Roman"/>
          <w:bCs/>
          <w:color w:val="auto"/>
          <w:kern w:val="0"/>
          <w:szCs w:val="21"/>
          <w:highlight w:val="none"/>
          <w:u w:val="single"/>
        </w:rPr>
        <w:t xml:space="preserve">     </w:t>
      </w:r>
      <w:r>
        <w:rPr>
          <w:rFonts w:hint="default" w:ascii="Times New Roman" w:hAnsi="Times New Roman" w:cs="Times New Roman"/>
          <w:bCs/>
          <w:color w:val="auto"/>
          <w:kern w:val="0"/>
          <w:szCs w:val="21"/>
          <w:highlight w:val="none"/>
        </w:rPr>
        <w:t>年</w:t>
      </w:r>
      <w:r>
        <w:rPr>
          <w:rFonts w:hint="default" w:ascii="Times New Roman" w:hAnsi="Times New Roman" w:cs="Times New Roman"/>
          <w:bCs/>
          <w:color w:val="auto"/>
          <w:kern w:val="0"/>
          <w:szCs w:val="21"/>
          <w:highlight w:val="none"/>
          <w:u w:val="single"/>
        </w:rPr>
        <w:t xml:space="preserve"> </w:t>
      </w:r>
      <w:r>
        <w:rPr>
          <w:rFonts w:hint="default" w:ascii="Times New Roman" w:hAnsi="Times New Roman" w:cs="Times New Roman"/>
          <w:bCs/>
          <w:color w:val="auto"/>
          <w:kern w:val="0"/>
          <w:szCs w:val="21"/>
          <w:highlight w:val="none"/>
          <w:u w:val="single"/>
        </w:rPr>
        <w:tab/>
      </w:r>
      <w:r>
        <w:rPr>
          <w:rFonts w:hint="default" w:ascii="Times New Roman" w:hAnsi="Times New Roman" w:cs="Times New Roman"/>
          <w:bCs/>
          <w:color w:val="auto"/>
          <w:kern w:val="0"/>
          <w:szCs w:val="21"/>
          <w:highlight w:val="none"/>
        </w:rPr>
        <w:t>月</w:t>
      </w:r>
      <w:r>
        <w:rPr>
          <w:rFonts w:hint="default" w:ascii="Times New Roman" w:hAnsi="Times New Roman" w:cs="Times New Roman"/>
          <w:bCs/>
          <w:color w:val="auto"/>
          <w:kern w:val="0"/>
          <w:szCs w:val="21"/>
          <w:highlight w:val="none"/>
          <w:u w:val="single"/>
        </w:rPr>
        <w:t xml:space="preserve">   </w:t>
      </w:r>
      <w:r>
        <w:rPr>
          <w:rFonts w:hint="default" w:ascii="Times New Roman" w:hAnsi="Times New Roman" w:cs="Times New Roman"/>
          <w:bCs/>
          <w:color w:val="auto"/>
          <w:kern w:val="0"/>
          <w:szCs w:val="21"/>
          <w:highlight w:val="none"/>
          <w:u w:val="single"/>
        </w:rPr>
        <w:tab/>
      </w:r>
      <w:r>
        <w:rPr>
          <w:rFonts w:hint="default" w:ascii="Times New Roman" w:hAnsi="Times New Roman" w:cs="Times New Roman"/>
          <w:bCs/>
          <w:color w:val="auto"/>
          <w:kern w:val="0"/>
          <w:szCs w:val="21"/>
          <w:highlight w:val="none"/>
        </w:rPr>
        <w:t>日</w:t>
      </w:r>
    </w:p>
    <w:p w14:paraId="7793E6D2">
      <w:pPr>
        <w:pStyle w:val="2"/>
        <w:rPr>
          <w:rFonts w:hint="default" w:ascii="Times New Roman" w:hAnsi="Times New Roman" w:cs="Times New Roman"/>
          <w:color w:val="auto"/>
          <w:highlight w:val="none"/>
        </w:rPr>
      </w:pPr>
    </w:p>
    <w:p w14:paraId="6B9FBC58">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right="0"/>
        <w:jc w:val="center"/>
      </w:pPr>
      <w:r>
        <w:rPr>
          <w:rFonts w:hint="default" w:ascii="Times New Roman" w:hAnsi="Times New Roman" w:cs="Times New Roman"/>
          <w:color w:val="auto"/>
          <w:highlight w:val="none"/>
        </w:rPr>
        <w:br w:type="page"/>
      </w:r>
      <w:r>
        <w:rPr>
          <w:rFonts w:hint="eastAsia" w:ascii="宋体" w:hAnsi="宋体" w:eastAsia="宋体" w:cs="宋体"/>
          <w:b/>
          <w:bCs/>
          <w:color w:val="333333"/>
          <w:sz w:val="30"/>
          <w:szCs w:val="30"/>
          <w:shd w:val="clear" w:fill="FFFFFF"/>
        </w:rPr>
        <w:t>关于符合本国产品标准的声明函</w:t>
      </w:r>
    </w:p>
    <w:p w14:paraId="397C166B">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firstLine="420"/>
      </w:pPr>
      <w:r>
        <w:rPr>
          <w:shd w:val="clear" w:fill="FFFFFF"/>
        </w:rPr>
        <w:t> </w:t>
      </w:r>
    </w:p>
    <w:p w14:paraId="5EF543C3">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2AF000B2">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1.</w:t>
      </w:r>
      <w:r>
        <w:rPr>
          <w:rFonts w:hint="eastAsia" w:ascii="宋体" w:hAnsi="宋体" w:eastAsia="宋体" w:cs="宋体"/>
          <w:color w:val="000000"/>
          <w:sz w:val="24"/>
          <w:szCs w:val="24"/>
          <w:u w:val="single"/>
          <w:shd w:val="clear" w:fill="FFFFFF"/>
        </w:rPr>
        <w:t>（产品名称1）</w:t>
      </w:r>
      <w:r>
        <w:rPr>
          <w:rFonts w:hint="eastAsia" w:ascii="宋体" w:hAnsi="宋体" w:eastAsia="宋体" w:cs="宋体"/>
          <w:color w:val="000000"/>
          <w:sz w:val="24"/>
          <w:szCs w:val="24"/>
          <w:shd w:val="clear" w:fill="FFFFFF"/>
          <w:vertAlign w:val="superscript"/>
        </w:rPr>
        <w:t>1</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vertAlign w:val="superscript"/>
        </w:rPr>
        <w:t>2</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3</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4</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5</w:t>
      </w:r>
      <w:r>
        <w:rPr>
          <w:rFonts w:hint="eastAsia" w:ascii="宋体" w:hAnsi="宋体" w:eastAsia="宋体" w:cs="宋体"/>
          <w:color w:val="000000"/>
          <w:sz w:val="24"/>
          <w:szCs w:val="24"/>
          <w:shd w:val="clear" w:fill="FFFFFF"/>
        </w:rPr>
        <w:t>在中国境内完成。</w:t>
      </w:r>
    </w:p>
    <w:p w14:paraId="7F80E42E">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2.</w:t>
      </w:r>
      <w:r>
        <w:rPr>
          <w:rFonts w:hint="eastAsia" w:ascii="宋体" w:hAnsi="宋体" w:eastAsia="宋体" w:cs="宋体"/>
          <w:color w:val="000000"/>
          <w:sz w:val="24"/>
          <w:szCs w:val="24"/>
          <w:u w:val="single"/>
          <w:shd w:val="clear" w:fill="FFFFFF"/>
        </w:rPr>
        <w:t>（产品名称2）</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在中国境内完成。</w:t>
      </w:r>
    </w:p>
    <w:p w14:paraId="0480CC57">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w:t>
      </w:r>
    </w:p>
    <w:p w14:paraId="6024CCFE">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本公司（单位）对上述声明内容的真实性负责。如有虚假，愿承担相应法律责任。</w:t>
      </w:r>
    </w:p>
    <w:p w14:paraId="55645037">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7964C858">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right"/>
      </w:pPr>
      <w:r>
        <w:rPr>
          <w:rFonts w:hint="eastAsia" w:ascii="宋体" w:hAnsi="宋体" w:eastAsia="宋体" w:cs="宋体"/>
          <w:color w:val="000000"/>
          <w:sz w:val="24"/>
          <w:szCs w:val="24"/>
          <w:shd w:val="clear" w:fill="FFFFFF"/>
        </w:rPr>
        <w:t xml:space="preserve">   公司（单位）名称（加盖CA电子公章）：         </w:t>
      </w:r>
    </w:p>
    <w:p w14:paraId="16D50CF6">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center"/>
      </w:pPr>
      <w:r>
        <w:rPr>
          <w:rFonts w:hint="eastAsia" w:ascii="宋体" w:hAnsi="宋体" w:eastAsia="宋体" w:cs="宋体"/>
          <w:color w:val="000000"/>
          <w:sz w:val="24"/>
          <w:szCs w:val="24"/>
          <w:shd w:val="clear" w:fill="FFFFFF"/>
        </w:rPr>
        <w:t xml:space="preserve">           日期：      年   月   日         </w:t>
      </w:r>
    </w:p>
    <w:p w14:paraId="1B8C828B">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6F03315B">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shd w:val="clear" w:fill="FFFFFF"/>
        </w:rPr>
        <w:t> </w:t>
      </w:r>
    </w:p>
    <w:p w14:paraId="02429121">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rFonts w:hint="eastAsia" w:ascii="宋体" w:hAnsi="宋体" w:eastAsia="宋体" w:cs="宋体"/>
          <w:color w:val="000000"/>
          <w:sz w:val="24"/>
          <w:szCs w:val="24"/>
          <w:shd w:val="clear" w:fill="FFFFFF"/>
        </w:rPr>
        <w:t>_________________</w:t>
      </w:r>
    </w:p>
    <w:p w14:paraId="1138BA65">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1.产品如有型号，请在“产品名称”栏一并填写。</w:t>
      </w:r>
    </w:p>
    <w:p w14:paraId="74472A13">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2.生产厂名与厂址应与生产厂营业执照载明的相关信息保持一致。</w:t>
      </w:r>
    </w:p>
    <w:p w14:paraId="57EF1CD9">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3.该产品的中国境内生产的组件成本占比相关要求实施前，“规定比例”栏可不填，下同。</w:t>
      </w:r>
    </w:p>
    <w:p w14:paraId="2223A756">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4.该产品的关键组件要求实施前，“关键组件”栏可不填，下同。</w:t>
      </w:r>
    </w:p>
    <w:p w14:paraId="2CD24180">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5.该产品的关键工序要求实施前，“关键工序”栏可不填，下同。</w:t>
      </w:r>
    </w:p>
    <w:p w14:paraId="6647F60F">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6.《声明函》中标注“</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”的地方无需填写。</w:t>
      </w:r>
    </w:p>
    <w:p w14:paraId="47FFA5D5">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2E0C522F">
      <w:pPr>
        <w:rPr>
          <w:rFonts w:hint="default" w:ascii="Times New Roman" w:hAnsi="Times New Roman" w:eastAsia="宋体" w:cs="Times New Roman"/>
          <w:b/>
          <w:color w:val="auto"/>
          <w:sz w:val="24"/>
          <w:szCs w:val="24"/>
          <w:highlight w:val="none"/>
          <w:lang w:val="en-US" w:eastAsia="zh" w:bidi="ar-SA"/>
        </w:rPr>
      </w:pPr>
      <w:r>
        <w:rPr>
          <w:rFonts w:hint="default" w:ascii="Times New Roman" w:hAnsi="Times New Roman" w:eastAsia="宋体" w:cs="Times New Roman"/>
          <w:b/>
          <w:color w:val="auto"/>
          <w:sz w:val="24"/>
          <w:szCs w:val="24"/>
          <w:highlight w:val="none"/>
          <w:lang w:val="en-US" w:eastAsia="zh" w:bidi="ar-SA"/>
        </w:rPr>
        <w:br w:type="page"/>
      </w:r>
    </w:p>
    <w:p w14:paraId="4ED478D2">
      <w:pPr>
        <w:widowControl/>
        <w:spacing w:before="0" w:beforeAutospacing="0" w:after="156" w:afterAutospacing="0" w:line="360" w:lineRule="auto"/>
        <w:jc w:val="center"/>
        <w:rPr>
          <w:rFonts w:hint="default" w:ascii="Times New Roman" w:hAnsi="Times New Roman" w:eastAsia="宋体" w:cs="Times New Roman"/>
          <w:b/>
          <w:color w:val="auto"/>
          <w:sz w:val="24"/>
          <w:szCs w:val="24"/>
          <w:highlight w:val="none"/>
          <w:lang w:val="en-US" w:eastAsia="zh" w:bidi="ar-SA"/>
        </w:rPr>
      </w:pPr>
      <w:r>
        <w:rPr>
          <w:rFonts w:hint="default" w:ascii="Times New Roman" w:hAnsi="Times New Roman" w:eastAsia="宋体" w:cs="Times New Roman"/>
          <w:b/>
          <w:color w:val="auto"/>
          <w:sz w:val="24"/>
          <w:szCs w:val="24"/>
          <w:highlight w:val="none"/>
          <w:lang w:val="en-US" w:eastAsia="zh" w:bidi="ar-SA"/>
        </w:rPr>
        <w:t>成本比例声明函</w:t>
      </w:r>
    </w:p>
    <w:p w14:paraId="60BBE819">
      <w:pPr>
        <w:widowControl/>
        <w:spacing w:before="0" w:beforeAutospacing="0" w:after="156" w:afterAutospacing="0" w:line="360" w:lineRule="auto"/>
        <w:jc w:val="center"/>
        <w:rPr>
          <w:rFonts w:hint="default" w:ascii="Times New Roman" w:hAnsi="Times New Roman" w:eastAsia="宋体" w:cs="Times New Roman"/>
          <w:color w:val="auto"/>
          <w:sz w:val="21"/>
          <w:szCs w:val="24"/>
          <w:highlight w:val="none"/>
          <w:lang w:val="en-US" w:eastAsia="zh" w:bidi="ar-SA"/>
        </w:rPr>
      </w:pPr>
      <w:r>
        <w:rPr>
          <w:rFonts w:hint="default" w:ascii="Times New Roman" w:hAnsi="Times New Roman" w:eastAsia="宋体" w:cs="Times New Roman"/>
          <w:color w:val="auto"/>
          <w:sz w:val="21"/>
          <w:szCs w:val="24"/>
          <w:highlight w:val="none"/>
          <w:lang w:val="en-US" w:eastAsia="zh" w:bidi="ar-SA"/>
        </w:rPr>
        <w:t>（适用于采购项目或者采购包中含有多种产品时，不提供或者提供声明的比例达不到要求时，不享受价格扣除）</w:t>
      </w:r>
    </w:p>
    <w:p w14:paraId="70E1529E">
      <w:pPr>
        <w:spacing w:line="360" w:lineRule="auto"/>
        <w:ind w:right="-20" w:firstLine="420"/>
        <w:rPr>
          <w:rFonts w:hint="default" w:ascii="Times New Roman" w:hAnsi="Times New Roman" w:cs="Times New Roman"/>
          <w:color w:val="auto"/>
          <w:kern w:val="0"/>
          <w:position w:val="-2"/>
          <w:szCs w:val="21"/>
          <w:highlight w:val="none"/>
        </w:rPr>
      </w:pPr>
      <w:r>
        <w:rPr>
          <w:rFonts w:hint="default" w:ascii="Times New Roman" w:hAnsi="Times New Roman" w:cs="Times New Roman"/>
          <w:color w:val="auto"/>
          <w:kern w:val="0"/>
          <w:position w:val="-2"/>
          <w:szCs w:val="21"/>
          <w:highlight w:val="none"/>
        </w:rPr>
        <w:t>本公司（单位）郑重声明，根据《国务院办公厅关于在政府采购中实施本国产品标准及相关政策的通知》（国办发〔2025〕34号）的规定，本公司（单位）</w:t>
      </w:r>
      <w:r>
        <w:rPr>
          <w:rFonts w:hint="default" w:ascii="Times New Roman" w:hAnsi="Times New Roman" w:cs="Times New Roman"/>
          <w:color w:val="auto"/>
          <w:kern w:val="0"/>
          <w:position w:val="-2"/>
          <w:szCs w:val="21"/>
          <w:highlight w:val="none"/>
          <w:lang w:eastAsia="zh"/>
        </w:rPr>
        <w:t>提供的全部产品中，</w:t>
      </w:r>
      <w:r>
        <w:rPr>
          <w:rFonts w:hint="default" w:ascii="Times New Roman" w:hAnsi="Times New Roman" w:cs="Times New Roman"/>
          <w:color w:val="auto"/>
          <w:kern w:val="0"/>
          <w:position w:val="-2"/>
          <w:szCs w:val="21"/>
          <w:highlight w:val="none"/>
        </w:rPr>
        <w:t>符合本国产品标准的产品成本之和占本公司（单位）提供的全部产品成本之和的比例达到（填写具体百分比）。</w:t>
      </w:r>
    </w:p>
    <w:p w14:paraId="6A012D3B">
      <w:pPr>
        <w:spacing w:line="360" w:lineRule="auto"/>
        <w:ind w:right="-20" w:firstLine="420"/>
        <w:rPr>
          <w:rFonts w:hint="default" w:ascii="Times New Roman" w:hAnsi="Times New Roman" w:cs="Times New Roman"/>
          <w:color w:val="auto"/>
          <w:kern w:val="0"/>
          <w:position w:val="-2"/>
          <w:szCs w:val="21"/>
          <w:highlight w:val="none"/>
        </w:rPr>
      </w:pPr>
      <w:r>
        <w:rPr>
          <w:rFonts w:hint="default" w:ascii="Times New Roman" w:hAnsi="Times New Roman" w:cs="Times New Roman"/>
          <w:color w:val="auto"/>
          <w:kern w:val="0"/>
          <w:position w:val="-2"/>
          <w:szCs w:val="21"/>
          <w:highlight w:val="none"/>
        </w:rPr>
        <w:t>本公司（单位）对上述声明内容的真实性负责。如有虚假，愿承担相应法律责任。</w:t>
      </w:r>
    </w:p>
    <w:p w14:paraId="644FAD72">
      <w:pPr>
        <w:spacing w:line="360" w:lineRule="auto"/>
        <w:ind w:right="-20" w:firstLine="420"/>
        <w:jc w:val="center"/>
        <w:rPr>
          <w:rFonts w:hint="default" w:ascii="Times New Roman" w:hAnsi="Times New Roman" w:cs="Times New Roman"/>
          <w:color w:val="auto"/>
          <w:kern w:val="0"/>
          <w:position w:val="-2"/>
          <w:szCs w:val="21"/>
          <w:highlight w:val="none"/>
        </w:rPr>
      </w:pPr>
    </w:p>
    <w:p w14:paraId="7A21FE3D">
      <w:pPr>
        <w:spacing w:line="360" w:lineRule="auto"/>
        <w:ind w:right="-20" w:firstLine="420"/>
        <w:jc w:val="center"/>
        <w:rPr>
          <w:rFonts w:hint="default" w:ascii="Times New Roman" w:hAnsi="Times New Roman" w:cs="Times New Roman"/>
          <w:color w:val="auto"/>
          <w:kern w:val="0"/>
          <w:position w:val="-2"/>
          <w:szCs w:val="21"/>
          <w:highlight w:val="none"/>
        </w:rPr>
      </w:pPr>
    </w:p>
    <w:p w14:paraId="79C8CB54">
      <w:pPr>
        <w:pStyle w:val="83"/>
        <w:ind w:firstLine="3590" w:firstLineChars="1795"/>
        <w:rPr>
          <w:rFonts w:hint="default" w:ascii="Times New Roman" w:hAnsi="Times New Roman" w:cs="Times New Roman"/>
          <w:color w:val="auto"/>
          <w:sz w:val="21"/>
          <w:szCs w:val="21"/>
          <w:highlight w:val="none"/>
        </w:rPr>
      </w:pPr>
      <w:r>
        <w:rPr>
          <w:rFonts w:hint="default" w:ascii="Times New Roman" w:hAnsi="Times New Roman" w:cs="Times New Roman"/>
          <w:color w:val="auto"/>
          <w:kern w:val="0"/>
          <w:position w:val="-2"/>
          <w:szCs w:val="21"/>
          <w:highlight w:val="none"/>
        </w:rPr>
        <w:t xml:space="preserve"> </w:t>
      </w:r>
      <w:r>
        <w:rPr>
          <w:rFonts w:hint="default" w:ascii="Times New Roman" w:hAnsi="Times New Roman" w:cs="Times New Roman"/>
          <w:color w:val="auto"/>
          <w:sz w:val="21"/>
          <w:szCs w:val="21"/>
          <w:highlight w:val="none"/>
        </w:rPr>
        <w:t>单位名称（</w:t>
      </w:r>
      <w:r>
        <w:rPr>
          <w:rFonts w:hint="default" w:ascii="Times New Roman" w:hAnsi="Times New Roman" w:cs="Times New Roman"/>
          <w:color w:val="auto"/>
          <w:highlight w:val="none"/>
        </w:rPr>
        <w:t>加盖ca电子公章</w:t>
      </w:r>
      <w:r>
        <w:rPr>
          <w:rFonts w:hint="default" w:ascii="Times New Roman" w:hAnsi="Times New Roman" w:cs="Times New Roman"/>
          <w:color w:val="auto"/>
          <w:sz w:val="21"/>
          <w:szCs w:val="21"/>
          <w:highlight w:val="none"/>
        </w:rPr>
        <w:t>）：____________</w:t>
      </w:r>
    </w:p>
    <w:p w14:paraId="3E811830">
      <w:pPr>
        <w:spacing w:line="360" w:lineRule="auto"/>
        <w:ind w:firstLine="3780" w:firstLineChars="1800"/>
        <w:jc w:val="lef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日期：</w:t>
      </w:r>
      <w:r>
        <w:rPr>
          <w:rFonts w:hint="default" w:ascii="Times New Roman" w:hAnsi="Times New Roman" w:cs="Times New Roman"/>
          <w:bCs/>
          <w:color w:val="auto"/>
          <w:kern w:val="0"/>
          <w:szCs w:val="21"/>
          <w:highlight w:val="none"/>
          <w:u w:val="single"/>
        </w:rPr>
        <w:tab/>
      </w:r>
      <w:r>
        <w:rPr>
          <w:rFonts w:hint="default" w:ascii="Times New Roman" w:hAnsi="Times New Roman" w:cs="Times New Roman"/>
          <w:bCs/>
          <w:color w:val="auto"/>
          <w:kern w:val="0"/>
          <w:szCs w:val="21"/>
          <w:highlight w:val="none"/>
          <w:u w:val="single"/>
        </w:rPr>
        <w:t xml:space="preserve">     </w:t>
      </w:r>
      <w:r>
        <w:rPr>
          <w:rFonts w:hint="default" w:ascii="Times New Roman" w:hAnsi="Times New Roman" w:cs="Times New Roman"/>
          <w:bCs/>
          <w:color w:val="auto"/>
          <w:kern w:val="0"/>
          <w:szCs w:val="21"/>
          <w:highlight w:val="none"/>
        </w:rPr>
        <w:t>年</w:t>
      </w:r>
      <w:r>
        <w:rPr>
          <w:rFonts w:hint="default" w:ascii="Times New Roman" w:hAnsi="Times New Roman" w:cs="Times New Roman"/>
          <w:bCs/>
          <w:color w:val="auto"/>
          <w:kern w:val="0"/>
          <w:szCs w:val="21"/>
          <w:highlight w:val="none"/>
          <w:u w:val="single"/>
        </w:rPr>
        <w:t xml:space="preserve"> </w:t>
      </w:r>
      <w:r>
        <w:rPr>
          <w:rFonts w:hint="default" w:ascii="Times New Roman" w:hAnsi="Times New Roman" w:cs="Times New Roman"/>
          <w:bCs/>
          <w:color w:val="auto"/>
          <w:kern w:val="0"/>
          <w:szCs w:val="21"/>
          <w:highlight w:val="none"/>
          <w:u w:val="single"/>
        </w:rPr>
        <w:tab/>
      </w:r>
      <w:r>
        <w:rPr>
          <w:rFonts w:hint="default" w:ascii="Times New Roman" w:hAnsi="Times New Roman" w:cs="Times New Roman"/>
          <w:bCs/>
          <w:color w:val="auto"/>
          <w:kern w:val="0"/>
          <w:szCs w:val="21"/>
          <w:highlight w:val="none"/>
        </w:rPr>
        <w:t>月</w:t>
      </w:r>
      <w:r>
        <w:rPr>
          <w:rFonts w:hint="default" w:ascii="Times New Roman" w:hAnsi="Times New Roman" w:cs="Times New Roman"/>
          <w:bCs/>
          <w:color w:val="auto"/>
          <w:kern w:val="0"/>
          <w:szCs w:val="21"/>
          <w:highlight w:val="none"/>
          <w:u w:val="single"/>
        </w:rPr>
        <w:t xml:space="preserve">   </w:t>
      </w:r>
      <w:r>
        <w:rPr>
          <w:rFonts w:hint="default" w:ascii="Times New Roman" w:hAnsi="Times New Roman" w:cs="Times New Roman"/>
          <w:bCs/>
          <w:color w:val="auto"/>
          <w:kern w:val="0"/>
          <w:szCs w:val="21"/>
          <w:highlight w:val="none"/>
          <w:u w:val="single"/>
        </w:rPr>
        <w:tab/>
      </w:r>
      <w:r>
        <w:rPr>
          <w:rFonts w:hint="default" w:ascii="Times New Roman" w:hAnsi="Times New Roman" w:cs="Times New Roman"/>
          <w:bCs/>
          <w:color w:val="auto"/>
          <w:kern w:val="0"/>
          <w:szCs w:val="21"/>
          <w:highlight w:val="none"/>
        </w:rPr>
        <w:t>日</w:t>
      </w:r>
    </w:p>
    <w:p w14:paraId="49CFB5E2">
      <w:pPr>
        <w:spacing w:line="360" w:lineRule="auto"/>
        <w:ind w:right="-20" w:firstLine="420"/>
        <w:jc w:val="center"/>
        <w:rPr>
          <w:rFonts w:hint="default" w:ascii="Times New Roman" w:hAnsi="Times New Roman" w:cs="Times New Roman"/>
          <w:color w:val="auto"/>
          <w:kern w:val="0"/>
          <w:position w:val="-2"/>
          <w:szCs w:val="21"/>
          <w:highlight w:val="none"/>
        </w:rPr>
      </w:pPr>
    </w:p>
    <w:p w14:paraId="2985CA7E">
      <w:pPr>
        <w:widowControl/>
        <w:spacing w:before="0" w:beforeAutospacing="0" w:after="156" w:afterAutospacing="0" w:line="560" w:lineRule="atLeast"/>
        <w:jc w:val="left"/>
        <w:rPr>
          <w:rFonts w:hint="default" w:ascii="Times New Roman" w:hAnsi="Times New Roman" w:eastAsia="宋体" w:cs="Times New Roman"/>
          <w:color w:val="auto"/>
          <w:sz w:val="24"/>
          <w:szCs w:val="24"/>
          <w:highlight w:val="none"/>
          <w:shd w:val="clear" w:color="auto" w:fill="FFFFFF"/>
          <w:lang w:val="en-US" w:eastAsia="zh-CN" w:bidi="ar-SA"/>
        </w:rPr>
      </w:pPr>
    </w:p>
    <w:p w14:paraId="0BC60A0F">
      <w:pPr>
        <w:widowControl/>
        <w:spacing w:before="0" w:beforeAutospacing="0" w:after="156" w:afterAutospacing="0" w:line="560" w:lineRule="atLeast"/>
        <w:jc w:val="left"/>
        <w:rPr>
          <w:rFonts w:hint="default" w:ascii="Times New Roman" w:hAnsi="Times New Roman" w:eastAsia="宋体" w:cs="Times New Roman"/>
          <w:b/>
          <w:bCs/>
          <w:color w:val="auto"/>
          <w:position w:val="-2"/>
          <w:sz w:val="21"/>
          <w:szCs w:val="21"/>
          <w:highlight w:val="none"/>
          <w:lang w:val="en-US" w:eastAsia="zh-CN" w:bidi="ar-SA"/>
        </w:rPr>
      </w:pPr>
    </w:p>
    <w:p w14:paraId="1E0D6A8D">
      <w:pPr>
        <w:widowControl/>
        <w:spacing w:before="0" w:beforeAutospacing="0" w:after="156" w:afterAutospacing="0" w:line="560" w:lineRule="atLeast"/>
        <w:jc w:val="left"/>
        <w:rPr>
          <w:rFonts w:hint="default" w:ascii="Times New Roman" w:hAnsi="Times New Roman" w:eastAsia="宋体" w:cs="Times New Roman"/>
          <w:b/>
          <w:bCs/>
          <w:color w:val="auto"/>
          <w:position w:val="-2"/>
          <w:sz w:val="21"/>
          <w:szCs w:val="21"/>
          <w:highlight w:val="none"/>
          <w:lang w:val="en-US" w:eastAsia="zh-CN" w:bidi="ar-SA"/>
        </w:rPr>
      </w:pPr>
    </w:p>
    <w:p w14:paraId="03F83B0C">
      <w:pPr>
        <w:widowControl/>
        <w:spacing w:before="0" w:beforeAutospacing="0" w:after="156" w:afterAutospacing="0" w:line="560" w:lineRule="atLeast"/>
        <w:jc w:val="left"/>
        <w:rPr>
          <w:rFonts w:hint="default" w:ascii="Times New Roman" w:hAnsi="Times New Roman" w:eastAsia="宋体" w:cs="Times New Roman"/>
          <w:b/>
          <w:bCs/>
          <w:color w:val="auto"/>
          <w:position w:val="-2"/>
          <w:sz w:val="21"/>
          <w:szCs w:val="21"/>
          <w:highlight w:val="none"/>
          <w:lang w:val="en-US" w:eastAsia="zh-CN" w:bidi="ar-SA"/>
        </w:rPr>
      </w:pPr>
    </w:p>
    <w:p w14:paraId="485B7F09">
      <w:pPr>
        <w:widowControl/>
        <w:spacing w:before="0" w:beforeAutospacing="0" w:after="156" w:afterAutospacing="0" w:line="560" w:lineRule="atLeast"/>
        <w:jc w:val="left"/>
        <w:rPr>
          <w:rFonts w:hint="default" w:ascii="Times New Roman" w:hAnsi="Times New Roman" w:eastAsia="宋体" w:cs="Times New Roman"/>
          <w:b/>
          <w:bCs/>
          <w:color w:val="auto"/>
          <w:position w:val="-2"/>
          <w:sz w:val="21"/>
          <w:szCs w:val="21"/>
          <w:highlight w:val="none"/>
          <w:lang w:val="en-US" w:eastAsia="zh-CN" w:bidi="ar-SA"/>
        </w:rPr>
      </w:pPr>
    </w:p>
    <w:p w14:paraId="4BB423B7">
      <w:pPr>
        <w:widowControl/>
        <w:spacing w:before="0" w:beforeAutospacing="0" w:after="156" w:afterAutospacing="0" w:line="560" w:lineRule="atLeast"/>
        <w:jc w:val="left"/>
        <w:rPr>
          <w:rFonts w:hint="default" w:ascii="Times New Roman" w:hAnsi="Times New Roman" w:eastAsia="宋体" w:cs="Times New Roman"/>
          <w:b/>
          <w:bCs/>
          <w:color w:val="auto"/>
          <w:position w:val="-2"/>
          <w:sz w:val="21"/>
          <w:szCs w:val="21"/>
          <w:highlight w:val="none"/>
          <w:lang w:val="en-US" w:eastAsia="zh-CN" w:bidi="ar-SA"/>
        </w:rPr>
      </w:pPr>
      <w:r>
        <w:rPr>
          <w:rFonts w:hint="default" w:ascii="Times New Roman" w:hAnsi="Times New Roman" w:eastAsia="宋体" w:cs="Times New Roman"/>
          <w:b/>
          <w:bCs/>
          <w:color w:val="auto"/>
          <w:position w:val="-2"/>
          <w:sz w:val="21"/>
          <w:szCs w:val="21"/>
          <w:highlight w:val="none"/>
          <w:lang w:val="en-US" w:eastAsia="zh-CN" w:bidi="ar-SA"/>
        </w:rPr>
        <w:t>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B9DA989">
      <w:pPr>
        <w:rPr>
          <w:rFonts w:hint="default" w:ascii="Times New Roman" w:hAnsi="Times New Roman" w:cs="Times New Roman"/>
          <w:color w:val="auto"/>
          <w:szCs w:val="21"/>
          <w:highlight w:val="none"/>
          <w:shd w:val="clear" w:color="auto" w:fill="FAFAFA"/>
        </w:rPr>
      </w:pPr>
      <w:r>
        <w:rPr>
          <w:rFonts w:hint="default" w:ascii="Times New Roman" w:hAnsi="Times New Roman" w:cs="Times New Roman"/>
          <w:color w:val="auto"/>
          <w:szCs w:val="21"/>
          <w:highlight w:val="none"/>
          <w:shd w:val="clear" w:color="auto" w:fill="FAFAFA"/>
        </w:rPr>
        <w:br w:type="page"/>
      </w:r>
    </w:p>
    <w:p w14:paraId="66FE152D">
      <w:pPr>
        <w:pStyle w:val="2"/>
        <w:ind w:left="0" w:leftChars="0" w:firstLine="0" w:firstLineChars="0"/>
        <w:jc w:val="center"/>
        <w:rPr>
          <w:rFonts w:hint="default" w:ascii="Times New Roman" w:hAnsi="Times New Roman" w:cs="Times New Roman"/>
          <w:b/>
          <w:color w:val="auto"/>
          <w:sz w:val="24"/>
          <w:highlight w:val="none"/>
        </w:rPr>
      </w:pPr>
      <w:bookmarkStart w:id="418" w:name="_Toc10472943"/>
      <w:bookmarkStart w:id="419" w:name="_Toc522290174"/>
      <w:bookmarkStart w:id="420" w:name="_Toc63695313"/>
      <w:bookmarkStart w:id="421" w:name="_Toc96347933"/>
      <w:bookmarkStart w:id="422" w:name="_Toc13233103"/>
      <w:bookmarkStart w:id="423" w:name="_Toc11678078"/>
      <w:bookmarkStart w:id="424" w:name="_Toc520719716"/>
      <w:bookmarkStart w:id="425" w:name="_Toc525720156"/>
      <w:bookmarkStart w:id="426" w:name="_Toc68159635"/>
      <w:bookmarkStart w:id="427" w:name="_Toc9515977"/>
      <w:bookmarkStart w:id="428" w:name="_Toc8742841"/>
      <w:bookmarkStart w:id="429" w:name="_Toc17097051"/>
      <w:r>
        <w:rPr>
          <w:rFonts w:hint="default" w:ascii="Times New Roman" w:hAnsi="Times New Roman" w:cs="Times New Roman"/>
          <w:b/>
          <w:color w:val="auto"/>
          <w:sz w:val="24"/>
          <w:highlight w:val="none"/>
        </w:rPr>
        <w:t>政府采购节能产品政策</w:t>
      </w:r>
      <w:bookmarkEnd w:id="418"/>
      <w:bookmarkEnd w:id="419"/>
      <w:bookmarkEnd w:id="420"/>
      <w:bookmarkEnd w:id="421"/>
      <w:bookmarkEnd w:id="422"/>
      <w:bookmarkEnd w:id="423"/>
      <w:bookmarkEnd w:id="424"/>
      <w:bookmarkEnd w:id="425"/>
      <w:bookmarkEnd w:id="426"/>
      <w:bookmarkEnd w:id="427"/>
      <w:bookmarkEnd w:id="428"/>
      <w:bookmarkEnd w:id="429"/>
      <w:r>
        <w:rPr>
          <w:rFonts w:hint="default" w:ascii="Times New Roman" w:hAnsi="Times New Roman" w:cs="Times New Roman"/>
          <w:b/>
          <w:color w:val="auto"/>
          <w:sz w:val="24"/>
          <w:highlight w:val="none"/>
        </w:rPr>
        <w:t>（不适用可不提供）</w:t>
      </w:r>
    </w:p>
    <w:p w14:paraId="4C1332EE">
      <w:pPr>
        <w:rPr>
          <w:rFonts w:hint="default" w:ascii="Times New Roman" w:hAnsi="Times New Roman" w:cs="Times New Roman"/>
          <w:color w:val="auto"/>
          <w:highlight w:val="none"/>
        </w:rPr>
      </w:pPr>
    </w:p>
    <w:p w14:paraId="16440EC2">
      <w:pPr>
        <w:pStyle w:val="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1、根据财政部、发展改革委、生态环境部、市场监管总局《关于调整优化节能产品、环境标志产品政府采购执行机制的通知》，投标产品（不含政府强制采购节能产品</w:t>
      </w:r>
      <w:r>
        <w:rPr>
          <w:rFonts w:hint="default" w:ascii="Times New Roman" w:hAnsi="Times New Roman" w:cs="Times New Roman"/>
          <w:bCs/>
          <w:color w:val="auto"/>
          <w:szCs w:val="21"/>
          <w:highlight w:val="none"/>
        </w:rPr>
        <w:t>“</w:t>
      </w:r>
      <w:r>
        <w:rPr>
          <w:rFonts w:hint="default" w:ascii="Times New Roman" w:hAnsi="Times New Roman" w:cs="Times New Roman"/>
          <w:color w:val="auto"/>
          <w:sz w:val="21"/>
          <w:szCs w:val="21"/>
          <w:highlight w:val="none"/>
        </w:rPr>
        <w:t>图形建模工作站和配套的显示器”）属于《节能产品政府采购品目清单》（最新一期）内的产品，对相应产品的价格给予1%的扣除，用扣除后的价格参与评审。</w:t>
      </w:r>
    </w:p>
    <w:p w14:paraId="2A0BBCD0">
      <w:pPr>
        <w:pStyle w:val="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2、评标委员会根据投标人填制的《节能产品报价表》，计算其所投节能产品享受价格折扣部分的多少。</w:t>
      </w:r>
    </w:p>
    <w:p w14:paraId="0EC2340A">
      <w:pPr>
        <w:pStyle w:val="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投标产品属于《节能产品政府采购品目清单》（最新一期）内的产品，投标人需提供国家确定的认证机构出具的、处于有效期之内的节能产品认证证书，并提供在投标文件中提供《节能产品报价表》，如未提供，将不做价格扣除。</w:t>
      </w:r>
    </w:p>
    <w:p w14:paraId="67CD1AF8">
      <w:pPr>
        <w:pStyle w:val="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4、投标商必须保证使用节能产品参加投标的真实性，如出现虚假响应，一经查实，将按照招标文件具体规定进行处理。</w:t>
      </w:r>
    </w:p>
    <w:p w14:paraId="0F4C2978">
      <w:pPr>
        <w:spacing w:line="360" w:lineRule="auto"/>
        <w:jc w:val="center"/>
        <w:rPr>
          <w:rFonts w:hint="default" w:ascii="Times New Roman" w:hAnsi="Times New Roman" w:cs="Times New Roman"/>
          <w:b/>
          <w:color w:val="auto"/>
          <w:sz w:val="24"/>
          <w:highlight w:val="none"/>
        </w:rPr>
      </w:pPr>
    </w:p>
    <w:p w14:paraId="3869950B">
      <w:pPr>
        <w:spacing w:line="360" w:lineRule="auto"/>
        <w:jc w:val="center"/>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节能产品报价表</w:t>
      </w:r>
    </w:p>
    <w:p w14:paraId="7A53CE3D">
      <w:pPr>
        <w:spacing w:line="360" w:lineRule="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投标人名称：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     项目编号：</w:t>
      </w:r>
      <w:r>
        <w:rPr>
          <w:rFonts w:hint="default" w:ascii="Times New Roman" w:hAnsi="Times New Roman" w:cs="Times New Roman"/>
          <w:color w:val="auto"/>
          <w:szCs w:val="21"/>
          <w:highlight w:val="none"/>
          <w:u w:val="single"/>
        </w:rPr>
        <w:t xml:space="preserve">               </w:t>
      </w:r>
    </w:p>
    <w:tbl>
      <w:tblPr>
        <w:tblStyle w:val="3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1559"/>
        <w:gridCol w:w="709"/>
        <w:gridCol w:w="850"/>
        <w:gridCol w:w="709"/>
        <w:gridCol w:w="1572"/>
        <w:gridCol w:w="1514"/>
        <w:gridCol w:w="899"/>
        <w:gridCol w:w="970"/>
      </w:tblGrid>
      <w:tr w14:paraId="4C540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20" w:type="dxa"/>
            <w:noWrap w:val="0"/>
            <w:vAlign w:val="center"/>
          </w:tcPr>
          <w:p w14:paraId="1DEC9882">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序号</w:t>
            </w:r>
          </w:p>
        </w:tc>
        <w:tc>
          <w:tcPr>
            <w:tcW w:w="1559" w:type="dxa"/>
            <w:noWrap w:val="0"/>
            <w:vAlign w:val="top"/>
          </w:tcPr>
          <w:p w14:paraId="14FD0059">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在《节能产品政府采购品目清单》（最新一期）中归属的编码及名称</w:t>
            </w:r>
          </w:p>
        </w:tc>
        <w:tc>
          <w:tcPr>
            <w:tcW w:w="709" w:type="dxa"/>
            <w:noWrap w:val="0"/>
            <w:vAlign w:val="center"/>
          </w:tcPr>
          <w:p w14:paraId="298C0316">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产品名称</w:t>
            </w:r>
          </w:p>
        </w:tc>
        <w:tc>
          <w:tcPr>
            <w:tcW w:w="850" w:type="dxa"/>
            <w:noWrap w:val="0"/>
            <w:vAlign w:val="center"/>
          </w:tcPr>
          <w:p w14:paraId="6CEE7863">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型号和规格</w:t>
            </w:r>
          </w:p>
        </w:tc>
        <w:tc>
          <w:tcPr>
            <w:tcW w:w="709" w:type="dxa"/>
            <w:noWrap w:val="0"/>
            <w:vAlign w:val="center"/>
          </w:tcPr>
          <w:p w14:paraId="39E7CE76">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数量</w:t>
            </w:r>
          </w:p>
        </w:tc>
        <w:tc>
          <w:tcPr>
            <w:tcW w:w="1572" w:type="dxa"/>
            <w:noWrap w:val="0"/>
            <w:vAlign w:val="center"/>
          </w:tcPr>
          <w:p w14:paraId="70F07DDF">
            <w:pPr>
              <w:spacing w:before="12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原产地和</w:t>
            </w:r>
          </w:p>
          <w:p w14:paraId="64E92E80">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制造商名称</w:t>
            </w:r>
          </w:p>
        </w:tc>
        <w:tc>
          <w:tcPr>
            <w:tcW w:w="1514" w:type="dxa"/>
            <w:noWrap w:val="0"/>
            <w:vAlign w:val="center"/>
          </w:tcPr>
          <w:p w14:paraId="6076AB05">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节能产品认证证书证书编号</w:t>
            </w:r>
          </w:p>
        </w:tc>
        <w:tc>
          <w:tcPr>
            <w:tcW w:w="899" w:type="dxa"/>
            <w:noWrap w:val="0"/>
            <w:vAlign w:val="center"/>
          </w:tcPr>
          <w:p w14:paraId="3B6BD86C">
            <w:pPr>
              <w:spacing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单价</w:t>
            </w:r>
          </w:p>
          <w:p w14:paraId="46D9C9B1">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（元人民币）</w:t>
            </w:r>
          </w:p>
        </w:tc>
        <w:tc>
          <w:tcPr>
            <w:tcW w:w="970" w:type="dxa"/>
            <w:noWrap w:val="0"/>
            <w:vAlign w:val="center"/>
          </w:tcPr>
          <w:p w14:paraId="65AED167">
            <w:pPr>
              <w:spacing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总价</w:t>
            </w:r>
          </w:p>
          <w:p w14:paraId="7BA10EAF">
            <w:pPr>
              <w:spacing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（元人民币）</w:t>
            </w:r>
          </w:p>
        </w:tc>
      </w:tr>
      <w:tr w14:paraId="0B45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20" w:type="dxa"/>
            <w:noWrap w:val="0"/>
            <w:vAlign w:val="center"/>
          </w:tcPr>
          <w:p w14:paraId="75504E7A">
            <w:pPr>
              <w:spacing w:before="60" w:after="60" w:line="276" w:lineRule="auto"/>
              <w:jc w:val="center"/>
              <w:rPr>
                <w:rFonts w:hint="default" w:ascii="Times New Roman" w:hAnsi="Times New Roman" w:cs="Times New Roman"/>
                <w:color w:val="auto"/>
                <w:szCs w:val="21"/>
                <w:highlight w:val="none"/>
              </w:rPr>
            </w:pPr>
          </w:p>
        </w:tc>
        <w:tc>
          <w:tcPr>
            <w:tcW w:w="1559" w:type="dxa"/>
            <w:noWrap w:val="0"/>
            <w:vAlign w:val="top"/>
          </w:tcPr>
          <w:p w14:paraId="75702A23">
            <w:pPr>
              <w:spacing w:before="60" w:after="60" w:line="276" w:lineRule="auto"/>
              <w:jc w:val="center"/>
              <w:rPr>
                <w:rFonts w:hint="default" w:ascii="Times New Roman" w:hAnsi="Times New Roman" w:cs="Times New Roman"/>
                <w:color w:val="auto"/>
                <w:szCs w:val="21"/>
                <w:highlight w:val="none"/>
              </w:rPr>
            </w:pPr>
          </w:p>
        </w:tc>
        <w:tc>
          <w:tcPr>
            <w:tcW w:w="709" w:type="dxa"/>
            <w:noWrap w:val="0"/>
            <w:vAlign w:val="center"/>
          </w:tcPr>
          <w:p w14:paraId="6D725E0A">
            <w:pPr>
              <w:spacing w:before="60" w:after="60" w:line="276" w:lineRule="auto"/>
              <w:jc w:val="center"/>
              <w:rPr>
                <w:rFonts w:hint="default" w:ascii="Times New Roman" w:hAnsi="Times New Roman" w:cs="Times New Roman"/>
                <w:color w:val="auto"/>
                <w:szCs w:val="21"/>
                <w:highlight w:val="none"/>
              </w:rPr>
            </w:pPr>
          </w:p>
        </w:tc>
        <w:tc>
          <w:tcPr>
            <w:tcW w:w="850" w:type="dxa"/>
            <w:noWrap w:val="0"/>
            <w:vAlign w:val="center"/>
          </w:tcPr>
          <w:p w14:paraId="526CA4E1">
            <w:pPr>
              <w:spacing w:before="60" w:after="60" w:line="276" w:lineRule="auto"/>
              <w:jc w:val="center"/>
              <w:rPr>
                <w:rFonts w:hint="default" w:ascii="Times New Roman" w:hAnsi="Times New Roman" w:cs="Times New Roman"/>
                <w:color w:val="auto"/>
                <w:szCs w:val="21"/>
                <w:highlight w:val="none"/>
              </w:rPr>
            </w:pPr>
          </w:p>
        </w:tc>
        <w:tc>
          <w:tcPr>
            <w:tcW w:w="709" w:type="dxa"/>
            <w:noWrap w:val="0"/>
            <w:vAlign w:val="center"/>
          </w:tcPr>
          <w:p w14:paraId="24529A5A">
            <w:pPr>
              <w:spacing w:before="60" w:after="60" w:line="276" w:lineRule="auto"/>
              <w:jc w:val="center"/>
              <w:rPr>
                <w:rFonts w:hint="default" w:ascii="Times New Roman" w:hAnsi="Times New Roman" w:cs="Times New Roman"/>
                <w:color w:val="auto"/>
                <w:szCs w:val="21"/>
                <w:highlight w:val="none"/>
              </w:rPr>
            </w:pPr>
          </w:p>
        </w:tc>
        <w:tc>
          <w:tcPr>
            <w:tcW w:w="1572" w:type="dxa"/>
            <w:noWrap w:val="0"/>
            <w:vAlign w:val="center"/>
          </w:tcPr>
          <w:p w14:paraId="029AF550">
            <w:pPr>
              <w:spacing w:before="60" w:after="60" w:line="276" w:lineRule="auto"/>
              <w:jc w:val="center"/>
              <w:rPr>
                <w:rFonts w:hint="default" w:ascii="Times New Roman" w:hAnsi="Times New Roman" w:cs="Times New Roman"/>
                <w:color w:val="auto"/>
                <w:szCs w:val="21"/>
                <w:highlight w:val="none"/>
              </w:rPr>
            </w:pPr>
          </w:p>
        </w:tc>
        <w:tc>
          <w:tcPr>
            <w:tcW w:w="1514" w:type="dxa"/>
            <w:noWrap w:val="0"/>
            <w:vAlign w:val="center"/>
          </w:tcPr>
          <w:p w14:paraId="3F33BD49">
            <w:pPr>
              <w:spacing w:before="60" w:after="60" w:line="276" w:lineRule="auto"/>
              <w:jc w:val="center"/>
              <w:rPr>
                <w:rFonts w:hint="default" w:ascii="Times New Roman" w:hAnsi="Times New Roman" w:cs="Times New Roman"/>
                <w:color w:val="auto"/>
                <w:szCs w:val="21"/>
                <w:highlight w:val="none"/>
              </w:rPr>
            </w:pPr>
          </w:p>
        </w:tc>
        <w:tc>
          <w:tcPr>
            <w:tcW w:w="899" w:type="dxa"/>
            <w:noWrap w:val="0"/>
            <w:vAlign w:val="center"/>
          </w:tcPr>
          <w:p w14:paraId="3EE7176F">
            <w:pPr>
              <w:spacing w:before="60" w:after="60" w:line="276" w:lineRule="auto"/>
              <w:jc w:val="center"/>
              <w:rPr>
                <w:rFonts w:hint="default" w:ascii="Times New Roman" w:hAnsi="Times New Roman" w:cs="Times New Roman"/>
                <w:color w:val="auto"/>
                <w:szCs w:val="21"/>
                <w:highlight w:val="none"/>
              </w:rPr>
            </w:pPr>
          </w:p>
        </w:tc>
        <w:tc>
          <w:tcPr>
            <w:tcW w:w="970" w:type="dxa"/>
            <w:noWrap w:val="0"/>
            <w:vAlign w:val="center"/>
          </w:tcPr>
          <w:p w14:paraId="48FFC40C">
            <w:pPr>
              <w:spacing w:line="276" w:lineRule="auto"/>
              <w:jc w:val="center"/>
              <w:rPr>
                <w:rFonts w:hint="default" w:ascii="Times New Roman" w:hAnsi="Times New Roman" w:cs="Times New Roman"/>
                <w:color w:val="auto"/>
                <w:szCs w:val="21"/>
                <w:highlight w:val="none"/>
              </w:rPr>
            </w:pPr>
          </w:p>
        </w:tc>
      </w:tr>
      <w:tr w14:paraId="7F260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20" w:type="dxa"/>
            <w:noWrap w:val="0"/>
            <w:vAlign w:val="center"/>
          </w:tcPr>
          <w:p w14:paraId="3DC7B9CF">
            <w:pPr>
              <w:spacing w:before="60" w:after="60" w:line="276" w:lineRule="auto"/>
              <w:jc w:val="center"/>
              <w:rPr>
                <w:rFonts w:hint="default" w:ascii="Times New Roman" w:hAnsi="Times New Roman" w:cs="Times New Roman"/>
                <w:color w:val="auto"/>
                <w:szCs w:val="21"/>
                <w:highlight w:val="none"/>
              </w:rPr>
            </w:pPr>
          </w:p>
        </w:tc>
        <w:tc>
          <w:tcPr>
            <w:tcW w:w="1559" w:type="dxa"/>
            <w:noWrap w:val="0"/>
            <w:vAlign w:val="top"/>
          </w:tcPr>
          <w:p w14:paraId="49256255">
            <w:pPr>
              <w:spacing w:before="60" w:after="60" w:line="276" w:lineRule="auto"/>
              <w:jc w:val="center"/>
              <w:rPr>
                <w:rFonts w:hint="default" w:ascii="Times New Roman" w:hAnsi="Times New Roman" w:cs="Times New Roman"/>
                <w:color w:val="auto"/>
                <w:szCs w:val="21"/>
                <w:highlight w:val="none"/>
              </w:rPr>
            </w:pPr>
          </w:p>
        </w:tc>
        <w:tc>
          <w:tcPr>
            <w:tcW w:w="709" w:type="dxa"/>
            <w:noWrap w:val="0"/>
            <w:vAlign w:val="center"/>
          </w:tcPr>
          <w:p w14:paraId="49ADA07D">
            <w:pPr>
              <w:spacing w:before="60" w:after="60" w:line="276" w:lineRule="auto"/>
              <w:jc w:val="center"/>
              <w:rPr>
                <w:rFonts w:hint="default" w:ascii="Times New Roman" w:hAnsi="Times New Roman" w:cs="Times New Roman"/>
                <w:color w:val="auto"/>
                <w:szCs w:val="21"/>
                <w:highlight w:val="none"/>
              </w:rPr>
            </w:pPr>
          </w:p>
        </w:tc>
        <w:tc>
          <w:tcPr>
            <w:tcW w:w="850" w:type="dxa"/>
            <w:noWrap w:val="0"/>
            <w:vAlign w:val="center"/>
          </w:tcPr>
          <w:p w14:paraId="3E1719AD">
            <w:pPr>
              <w:spacing w:before="60" w:after="60" w:line="276" w:lineRule="auto"/>
              <w:jc w:val="center"/>
              <w:rPr>
                <w:rFonts w:hint="default" w:ascii="Times New Roman" w:hAnsi="Times New Roman" w:cs="Times New Roman"/>
                <w:color w:val="auto"/>
                <w:szCs w:val="21"/>
                <w:highlight w:val="none"/>
              </w:rPr>
            </w:pPr>
          </w:p>
        </w:tc>
        <w:tc>
          <w:tcPr>
            <w:tcW w:w="709" w:type="dxa"/>
            <w:noWrap w:val="0"/>
            <w:vAlign w:val="center"/>
          </w:tcPr>
          <w:p w14:paraId="2779849F">
            <w:pPr>
              <w:spacing w:before="60" w:after="60" w:line="276" w:lineRule="auto"/>
              <w:jc w:val="center"/>
              <w:rPr>
                <w:rFonts w:hint="default" w:ascii="Times New Roman" w:hAnsi="Times New Roman" w:cs="Times New Roman"/>
                <w:color w:val="auto"/>
                <w:szCs w:val="21"/>
                <w:highlight w:val="none"/>
              </w:rPr>
            </w:pPr>
          </w:p>
        </w:tc>
        <w:tc>
          <w:tcPr>
            <w:tcW w:w="1572" w:type="dxa"/>
            <w:noWrap w:val="0"/>
            <w:vAlign w:val="center"/>
          </w:tcPr>
          <w:p w14:paraId="5CF94000">
            <w:pPr>
              <w:spacing w:before="60" w:after="60" w:line="276" w:lineRule="auto"/>
              <w:jc w:val="center"/>
              <w:rPr>
                <w:rFonts w:hint="default" w:ascii="Times New Roman" w:hAnsi="Times New Roman" w:cs="Times New Roman"/>
                <w:color w:val="auto"/>
                <w:szCs w:val="21"/>
                <w:highlight w:val="none"/>
              </w:rPr>
            </w:pPr>
          </w:p>
        </w:tc>
        <w:tc>
          <w:tcPr>
            <w:tcW w:w="1514" w:type="dxa"/>
            <w:noWrap w:val="0"/>
            <w:vAlign w:val="center"/>
          </w:tcPr>
          <w:p w14:paraId="64D2B9F9">
            <w:pPr>
              <w:spacing w:before="60" w:after="60" w:line="276" w:lineRule="auto"/>
              <w:jc w:val="center"/>
              <w:rPr>
                <w:rFonts w:hint="default" w:ascii="Times New Roman" w:hAnsi="Times New Roman" w:cs="Times New Roman"/>
                <w:color w:val="auto"/>
                <w:szCs w:val="21"/>
                <w:highlight w:val="none"/>
              </w:rPr>
            </w:pPr>
          </w:p>
        </w:tc>
        <w:tc>
          <w:tcPr>
            <w:tcW w:w="899" w:type="dxa"/>
            <w:noWrap w:val="0"/>
            <w:vAlign w:val="center"/>
          </w:tcPr>
          <w:p w14:paraId="3F31A8DC">
            <w:pPr>
              <w:spacing w:before="60" w:after="60" w:line="276" w:lineRule="auto"/>
              <w:jc w:val="center"/>
              <w:rPr>
                <w:rFonts w:hint="default" w:ascii="Times New Roman" w:hAnsi="Times New Roman" w:cs="Times New Roman"/>
                <w:color w:val="auto"/>
                <w:szCs w:val="21"/>
                <w:highlight w:val="none"/>
              </w:rPr>
            </w:pPr>
          </w:p>
        </w:tc>
        <w:tc>
          <w:tcPr>
            <w:tcW w:w="970" w:type="dxa"/>
            <w:noWrap w:val="0"/>
            <w:vAlign w:val="center"/>
          </w:tcPr>
          <w:p w14:paraId="0F20346F">
            <w:pPr>
              <w:spacing w:line="276" w:lineRule="auto"/>
              <w:jc w:val="center"/>
              <w:rPr>
                <w:rFonts w:hint="default" w:ascii="Times New Roman" w:hAnsi="Times New Roman" w:cs="Times New Roman"/>
                <w:color w:val="auto"/>
                <w:szCs w:val="21"/>
                <w:highlight w:val="none"/>
              </w:rPr>
            </w:pPr>
          </w:p>
        </w:tc>
      </w:tr>
      <w:tr w14:paraId="01874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8432" w:type="dxa"/>
            <w:gridSpan w:val="8"/>
            <w:noWrap w:val="0"/>
            <w:vAlign w:val="top"/>
          </w:tcPr>
          <w:p w14:paraId="273B005A">
            <w:pPr>
              <w:spacing w:before="60" w:after="60" w:line="276" w:lineRule="auto"/>
              <w:ind w:right="84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其中，节能产品总计：</w:t>
            </w:r>
          </w:p>
        </w:tc>
        <w:tc>
          <w:tcPr>
            <w:tcW w:w="970" w:type="dxa"/>
            <w:noWrap w:val="0"/>
            <w:vAlign w:val="center"/>
          </w:tcPr>
          <w:p w14:paraId="793CC1D4">
            <w:pPr>
              <w:spacing w:line="276" w:lineRule="auto"/>
              <w:jc w:val="center"/>
              <w:rPr>
                <w:rFonts w:hint="default" w:ascii="Times New Roman" w:hAnsi="Times New Roman" w:cs="Times New Roman"/>
                <w:color w:val="auto"/>
                <w:szCs w:val="21"/>
                <w:highlight w:val="none"/>
              </w:rPr>
            </w:pPr>
          </w:p>
        </w:tc>
      </w:tr>
    </w:tbl>
    <w:p w14:paraId="0B43A8D9">
      <w:pPr>
        <w:pStyle w:val="83"/>
        <w:ind w:right="420" w:firstLine="0" w:firstLineChars="0"/>
        <w:jc w:val="left"/>
        <w:rPr>
          <w:rFonts w:hint="default" w:ascii="Times New Roman" w:hAnsi="Times New Roman" w:cs="Times New Roman"/>
          <w:color w:val="auto"/>
          <w:sz w:val="21"/>
          <w:szCs w:val="21"/>
          <w:highlight w:val="none"/>
        </w:rPr>
      </w:pPr>
    </w:p>
    <w:p w14:paraId="3395DBF0">
      <w:pPr>
        <w:pStyle w:val="83"/>
        <w:ind w:firstLine="3769" w:firstLineChars="1795"/>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投标人名称（</w:t>
      </w:r>
      <w:r>
        <w:rPr>
          <w:rFonts w:hint="default" w:ascii="Times New Roman" w:hAnsi="Times New Roman" w:cs="Times New Roman"/>
          <w:color w:val="auto"/>
          <w:highlight w:val="none"/>
        </w:rPr>
        <w:t>加盖ca电子公章</w:t>
      </w:r>
      <w:r>
        <w:rPr>
          <w:rFonts w:hint="default" w:ascii="Times New Roman" w:hAnsi="Times New Roman" w:cs="Times New Roman"/>
          <w:color w:val="auto"/>
          <w:sz w:val="21"/>
          <w:szCs w:val="21"/>
          <w:highlight w:val="none"/>
        </w:rPr>
        <w:t>）：____________</w:t>
      </w:r>
      <w:r>
        <w:rPr>
          <w:rFonts w:hint="default" w:ascii="Times New Roman" w:hAnsi="Times New Roman" w:cs="Times New Roman"/>
          <w:color w:val="auto"/>
          <w:sz w:val="21"/>
          <w:szCs w:val="21"/>
          <w:highlight w:val="none"/>
          <w:u w:val="single"/>
        </w:rPr>
        <w:t xml:space="preserve">             </w:t>
      </w:r>
    </w:p>
    <w:p w14:paraId="51A60604">
      <w:pPr>
        <w:spacing w:line="360" w:lineRule="auto"/>
        <w:ind w:right="420" w:firstLine="3780" w:firstLineChars="18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日</w:t>
      </w:r>
    </w:p>
    <w:p w14:paraId="4E341D20">
      <w:pPr>
        <w:pStyle w:val="83"/>
        <w:ind w:firstLine="198" w:firstLineChars="82"/>
        <w:jc w:val="center"/>
        <w:rPr>
          <w:rFonts w:hint="default" w:ascii="Times New Roman" w:hAnsi="Times New Roman" w:cs="Times New Roman"/>
          <w:b/>
          <w:color w:val="auto"/>
          <w:sz w:val="24"/>
          <w:szCs w:val="24"/>
          <w:highlight w:val="none"/>
        </w:rPr>
      </w:pPr>
      <w:bookmarkStart w:id="430" w:name="_Toc8742842"/>
      <w:bookmarkStart w:id="431" w:name="_Toc11678079"/>
      <w:bookmarkStart w:id="432" w:name="_Toc17097052"/>
      <w:bookmarkStart w:id="433" w:name="_Toc522290175"/>
      <w:bookmarkStart w:id="434" w:name="_Toc63695314"/>
      <w:bookmarkStart w:id="435" w:name="_Toc450220986"/>
      <w:bookmarkStart w:id="436" w:name="_Toc68159636"/>
      <w:bookmarkStart w:id="437" w:name="_Toc447021133"/>
      <w:bookmarkStart w:id="438" w:name="_Toc520719717"/>
      <w:bookmarkStart w:id="439" w:name="_Toc13233104"/>
      <w:bookmarkStart w:id="440" w:name="_Toc9515978"/>
      <w:bookmarkStart w:id="441" w:name="_Toc525720157"/>
      <w:bookmarkStart w:id="442" w:name="_Toc10472944"/>
      <w:bookmarkStart w:id="443" w:name="_Toc96347934"/>
      <w:r>
        <w:rPr>
          <w:rFonts w:hint="default" w:ascii="Times New Roman" w:hAnsi="Times New Roman" w:cs="Times New Roman"/>
          <w:b/>
          <w:color w:val="auto"/>
          <w:sz w:val="24"/>
          <w:szCs w:val="24"/>
          <w:highlight w:val="none"/>
        </w:rPr>
        <w:br w:type="page"/>
      </w:r>
      <w:r>
        <w:rPr>
          <w:rFonts w:hint="default" w:ascii="Times New Roman" w:hAnsi="Times New Roman" w:cs="Times New Roman"/>
          <w:b/>
          <w:color w:val="auto"/>
          <w:sz w:val="24"/>
          <w:szCs w:val="24"/>
          <w:highlight w:val="none"/>
        </w:rPr>
        <w:t>政府采购环境标志产品政策</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r>
        <w:rPr>
          <w:rFonts w:hint="default" w:ascii="Times New Roman" w:hAnsi="Times New Roman" w:cs="Times New Roman"/>
          <w:b/>
          <w:color w:val="auto"/>
          <w:sz w:val="24"/>
          <w:szCs w:val="24"/>
          <w:highlight w:val="none"/>
        </w:rPr>
        <w:t>（不适用可不提供）</w:t>
      </w:r>
    </w:p>
    <w:p w14:paraId="0FADC751">
      <w:pPr>
        <w:pStyle w:val="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p>
    <w:p w14:paraId="01E9EA5C">
      <w:pPr>
        <w:pStyle w:val="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2、评标委员会根据投标人填制的《环境标志产品报价表》，计算其所投环境标志产品享受价格折扣部分的多少。</w:t>
      </w:r>
    </w:p>
    <w:p w14:paraId="0D964861">
      <w:pPr>
        <w:pStyle w:val="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投标产品属于《环境标志产品政府采购品目清单》（最新一期）内的产品，投标人需提供国家确定的认证机构出具的、处于有效期之内的环境标志产品认证证书，并提供在投标文件中提供《环境标志产品报价表》，如未提供，将不做价格扣除。</w:t>
      </w:r>
    </w:p>
    <w:p w14:paraId="4BE1E1A4">
      <w:pPr>
        <w:pStyle w:val="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4、投标商必须保证使用环境标志产品参加投标的真实性，如出现虚假响应，一经查实，将按照招标文件具体规定进行处理。</w:t>
      </w:r>
    </w:p>
    <w:p w14:paraId="39033AA4">
      <w:pPr>
        <w:spacing w:line="360" w:lineRule="auto"/>
        <w:jc w:val="center"/>
        <w:rPr>
          <w:rFonts w:hint="default" w:ascii="Times New Roman" w:hAnsi="Times New Roman" w:cs="Times New Roman"/>
          <w:b/>
          <w:bCs/>
          <w:color w:val="auto"/>
          <w:sz w:val="24"/>
          <w:highlight w:val="none"/>
        </w:rPr>
      </w:pPr>
    </w:p>
    <w:p w14:paraId="2C2E290F">
      <w:pPr>
        <w:spacing w:line="360" w:lineRule="auto"/>
        <w:jc w:val="cente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环境标志产品报价表</w:t>
      </w:r>
    </w:p>
    <w:p w14:paraId="2FFB9EF9">
      <w:pPr>
        <w:spacing w:line="360" w:lineRule="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投标人名称：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     项目编号：</w:t>
      </w:r>
      <w:r>
        <w:rPr>
          <w:rFonts w:hint="default" w:ascii="Times New Roman" w:hAnsi="Times New Roman" w:cs="Times New Roman"/>
          <w:color w:val="auto"/>
          <w:szCs w:val="21"/>
          <w:highlight w:val="none"/>
          <w:u w:val="single"/>
        </w:rPr>
        <w:t xml:space="preserve">               </w:t>
      </w:r>
    </w:p>
    <w:tbl>
      <w:tblPr>
        <w:tblStyle w:val="3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
        <w:gridCol w:w="1694"/>
        <w:gridCol w:w="709"/>
        <w:gridCol w:w="850"/>
        <w:gridCol w:w="851"/>
        <w:gridCol w:w="1430"/>
        <w:gridCol w:w="1514"/>
        <w:gridCol w:w="899"/>
        <w:gridCol w:w="970"/>
      </w:tblGrid>
      <w:tr w14:paraId="313B3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85" w:type="dxa"/>
            <w:noWrap w:val="0"/>
            <w:vAlign w:val="center"/>
          </w:tcPr>
          <w:p w14:paraId="7C26FDF7">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序号</w:t>
            </w:r>
          </w:p>
        </w:tc>
        <w:tc>
          <w:tcPr>
            <w:tcW w:w="1694" w:type="dxa"/>
            <w:noWrap w:val="0"/>
            <w:vAlign w:val="top"/>
          </w:tcPr>
          <w:p w14:paraId="27E712D6">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在《环境标志产品政府采购品目清单》（最新一期）中归属的编码及名称</w:t>
            </w:r>
          </w:p>
        </w:tc>
        <w:tc>
          <w:tcPr>
            <w:tcW w:w="709" w:type="dxa"/>
            <w:noWrap w:val="0"/>
            <w:vAlign w:val="center"/>
          </w:tcPr>
          <w:p w14:paraId="6556E41A">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产品名称</w:t>
            </w:r>
          </w:p>
        </w:tc>
        <w:tc>
          <w:tcPr>
            <w:tcW w:w="850" w:type="dxa"/>
            <w:noWrap w:val="0"/>
            <w:vAlign w:val="center"/>
          </w:tcPr>
          <w:p w14:paraId="454688CC">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型号和规格</w:t>
            </w:r>
          </w:p>
        </w:tc>
        <w:tc>
          <w:tcPr>
            <w:tcW w:w="851" w:type="dxa"/>
            <w:noWrap w:val="0"/>
            <w:vAlign w:val="center"/>
          </w:tcPr>
          <w:p w14:paraId="17EA5512">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数量</w:t>
            </w:r>
          </w:p>
        </w:tc>
        <w:tc>
          <w:tcPr>
            <w:tcW w:w="1430" w:type="dxa"/>
            <w:noWrap w:val="0"/>
            <w:vAlign w:val="center"/>
          </w:tcPr>
          <w:p w14:paraId="0F1C4531">
            <w:pPr>
              <w:spacing w:before="12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原产地和</w:t>
            </w:r>
          </w:p>
          <w:p w14:paraId="14346B05">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制造商名称</w:t>
            </w:r>
          </w:p>
        </w:tc>
        <w:tc>
          <w:tcPr>
            <w:tcW w:w="1514" w:type="dxa"/>
            <w:noWrap w:val="0"/>
            <w:vAlign w:val="center"/>
          </w:tcPr>
          <w:p w14:paraId="395B9ED3">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环境标志产品认证证书证书编号</w:t>
            </w:r>
          </w:p>
        </w:tc>
        <w:tc>
          <w:tcPr>
            <w:tcW w:w="899" w:type="dxa"/>
            <w:noWrap w:val="0"/>
            <w:vAlign w:val="center"/>
          </w:tcPr>
          <w:p w14:paraId="14CA4467">
            <w:pPr>
              <w:spacing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单价</w:t>
            </w:r>
          </w:p>
          <w:p w14:paraId="72BDB60C">
            <w:pPr>
              <w:spacing w:before="60" w:after="60"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（元人民币）</w:t>
            </w:r>
          </w:p>
        </w:tc>
        <w:tc>
          <w:tcPr>
            <w:tcW w:w="970" w:type="dxa"/>
            <w:noWrap w:val="0"/>
            <w:vAlign w:val="center"/>
          </w:tcPr>
          <w:p w14:paraId="5D22F391">
            <w:pPr>
              <w:spacing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总价</w:t>
            </w:r>
          </w:p>
          <w:p w14:paraId="0E985713">
            <w:pPr>
              <w:spacing w:line="276"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（元人民币）</w:t>
            </w:r>
          </w:p>
        </w:tc>
      </w:tr>
      <w:tr w14:paraId="75EC0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85" w:type="dxa"/>
            <w:noWrap w:val="0"/>
            <w:vAlign w:val="center"/>
          </w:tcPr>
          <w:p w14:paraId="2657D368">
            <w:pPr>
              <w:spacing w:before="60" w:after="60" w:line="276" w:lineRule="auto"/>
              <w:jc w:val="center"/>
              <w:rPr>
                <w:rFonts w:hint="default" w:ascii="Times New Roman" w:hAnsi="Times New Roman" w:cs="Times New Roman"/>
                <w:color w:val="auto"/>
                <w:szCs w:val="21"/>
                <w:highlight w:val="none"/>
              </w:rPr>
            </w:pPr>
          </w:p>
        </w:tc>
        <w:tc>
          <w:tcPr>
            <w:tcW w:w="1694" w:type="dxa"/>
            <w:noWrap w:val="0"/>
            <w:vAlign w:val="top"/>
          </w:tcPr>
          <w:p w14:paraId="41407747">
            <w:pPr>
              <w:spacing w:before="60" w:after="60" w:line="276" w:lineRule="auto"/>
              <w:jc w:val="center"/>
              <w:rPr>
                <w:rFonts w:hint="default" w:ascii="Times New Roman" w:hAnsi="Times New Roman" w:cs="Times New Roman"/>
                <w:color w:val="auto"/>
                <w:szCs w:val="21"/>
                <w:highlight w:val="none"/>
              </w:rPr>
            </w:pPr>
          </w:p>
        </w:tc>
        <w:tc>
          <w:tcPr>
            <w:tcW w:w="709" w:type="dxa"/>
            <w:noWrap w:val="0"/>
            <w:vAlign w:val="center"/>
          </w:tcPr>
          <w:p w14:paraId="4A356FD0">
            <w:pPr>
              <w:spacing w:before="60" w:after="60" w:line="276" w:lineRule="auto"/>
              <w:jc w:val="center"/>
              <w:rPr>
                <w:rFonts w:hint="default" w:ascii="Times New Roman" w:hAnsi="Times New Roman" w:cs="Times New Roman"/>
                <w:color w:val="auto"/>
                <w:szCs w:val="21"/>
                <w:highlight w:val="none"/>
              </w:rPr>
            </w:pPr>
          </w:p>
        </w:tc>
        <w:tc>
          <w:tcPr>
            <w:tcW w:w="850" w:type="dxa"/>
            <w:noWrap w:val="0"/>
            <w:vAlign w:val="center"/>
          </w:tcPr>
          <w:p w14:paraId="57875C24">
            <w:pPr>
              <w:spacing w:before="60" w:after="60" w:line="276" w:lineRule="auto"/>
              <w:jc w:val="center"/>
              <w:rPr>
                <w:rFonts w:hint="default" w:ascii="Times New Roman" w:hAnsi="Times New Roman" w:cs="Times New Roman"/>
                <w:color w:val="auto"/>
                <w:szCs w:val="21"/>
                <w:highlight w:val="none"/>
              </w:rPr>
            </w:pPr>
          </w:p>
        </w:tc>
        <w:tc>
          <w:tcPr>
            <w:tcW w:w="851" w:type="dxa"/>
            <w:noWrap w:val="0"/>
            <w:vAlign w:val="center"/>
          </w:tcPr>
          <w:p w14:paraId="56AAF65C">
            <w:pPr>
              <w:spacing w:before="60" w:after="60" w:line="276" w:lineRule="auto"/>
              <w:jc w:val="center"/>
              <w:rPr>
                <w:rFonts w:hint="default" w:ascii="Times New Roman" w:hAnsi="Times New Roman" w:cs="Times New Roman"/>
                <w:color w:val="auto"/>
                <w:szCs w:val="21"/>
                <w:highlight w:val="none"/>
              </w:rPr>
            </w:pPr>
          </w:p>
        </w:tc>
        <w:tc>
          <w:tcPr>
            <w:tcW w:w="1430" w:type="dxa"/>
            <w:noWrap w:val="0"/>
            <w:vAlign w:val="center"/>
          </w:tcPr>
          <w:p w14:paraId="5FD80F4B">
            <w:pPr>
              <w:spacing w:before="60" w:after="60" w:line="276" w:lineRule="auto"/>
              <w:jc w:val="center"/>
              <w:rPr>
                <w:rFonts w:hint="default" w:ascii="Times New Roman" w:hAnsi="Times New Roman" w:cs="Times New Roman"/>
                <w:color w:val="auto"/>
                <w:szCs w:val="21"/>
                <w:highlight w:val="none"/>
              </w:rPr>
            </w:pPr>
          </w:p>
        </w:tc>
        <w:tc>
          <w:tcPr>
            <w:tcW w:w="1514" w:type="dxa"/>
            <w:noWrap w:val="0"/>
            <w:vAlign w:val="center"/>
          </w:tcPr>
          <w:p w14:paraId="646D71D6">
            <w:pPr>
              <w:spacing w:before="60" w:after="60" w:line="276" w:lineRule="auto"/>
              <w:jc w:val="center"/>
              <w:rPr>
                <w:rFonts w:hint="default" w:ascii="Times New Roman" w:hAnsi="Times New Roman" w:cs="Times New Roman"/>
                <w:color w:val="auto"/>
                <w:szCs w:val="21"/>
                <w:highlight w:val="none"/>
              </w:rPr>
            </w:pPr>
          </w:p>
        </w:tc>
        <w:tc>
          <w:tcPr>
            <w:tcW w:w="899" w:type="dxa"/>
            <w:noWrap w:val="0"/>
            <w:vAlign w:val="center"/>
          </w:tcPr>
          <w:p w14:paraId="5F1A1F8F">
            <w:pPr>
              <w:spacing w:before="60" w:after="60" w:line="276" w:lineRule="auto"/>
              <w:jc w:val="center"/>
              <w:rPr>
                <w:rFonts w:hint="default" w:ascii="Times New Roman" w:hAnsi="Times New Roman" w:cs="Times New Roman"/>
                <w:color w:val="auto"/>
                <w:szCs w:val="21"/>
                <w:highlight w:val="none"/>
              </w:rPr>
            </w:pPr>
          </w:p>
        </w:tc>
        <w:tc>
          <w:tcPr>
            <w:tcW w:w="970" w:type="dxa"/>
            <w:noWrap w:val="0"/>
            <w:vAlign w:val="center"/>
          </w:tcPr>
          <w:p w14:paraId="3D3874C6">
            <w:pPr>
              <w:spacing w:line="276" w:lineRule="auto"/>
              <w:jc w:val="center"/>
              <w:rPr>
                <w:rFonts w:hint="default" w:ascii="Times New Roman" w:hAnsi="Times New Roman" w:cs="Times New Roman"/>
                <w:color w:val="auto"/>
                <w:szCs w:val="21"/>
                <w:highlight w:val="none"/>
              </w:rPr>
            </w:pPr>
          </w:p>
        </w:tc>
      </w:tr>
      <w:tr w14:paraId="62E87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85" w:type="dxa"/>
            <w:noWrap w:val="0"/>
            <w:vAlign w:val="center"/>
          </w:tcPr>
          <w:p w14:paraId="3B6C5E48">
            <w:pPr>
              <w:spacing w:before="60" w:after="60" w:line="276" w:lineRule="auto"/>
              <w:jc w:val="center"/>
              <w:rPr>
                <w:rFonts w:hint="default" w:ascii="Times New Roman" w:hAnsi="Times New Roman" w:cs="Times New Roman"/>
                <w:color w:val="auto"/>
                <w:szCs w:val="21"/>
                <w:highlight w:val="none"/>
              </w:rPr>
            </w:pPr>
          </w:p>
        </w:tc>
        <w:tc>
          <w:tcPr>
            <w:tcW w:w="1694" w:type="dxa"/>
            <w:noWrap w:val="0"/>
            <w:vAlign w:val="top"/>
          </w:tcPr>
          <w:p w14:paraId="7F387A85">
            <w:pPr>
              <w:spacing w:before="60" w:after="60" w:line="276" w:lineRule="auto"/>
              <w:jc w:val="center"/>
              <w:rPr>
                <w:rFonts w:hint="default" w:ascii="Times New Roman" w:hAnsi="Times New Roman" w:cs="Times New Roman"/>
                <w:color w:val="auto"/>
                <w:szCs w:val="21"/>
                <w:highlight w:val="none"/>
              </w:rPr>
            </w:pPr>
          </w:p>
        </w:tc>
        <w:tc>
          <w:tcPr>
            <w:tcW w:w="709" w:type="dxa"/>
            <w:noWrap w:val="0"/>
            <w:vAlign w:val="center"/>
          </w:tcPr>
          <w:p w14:paraId="3593BD69">
            <w:pPr>
              <w:spacing w:before="60" w:after="60" w:line="276" w:lineRule="auto"/>
              <w:jc w:val="center"/>
              <w:rPr>
                <w:rFonts w:hint="default" w:ascii="Times New Roman" w:hAnsi="Times New Roman" w:cs="Times New Roman"/>
                <w:color w:val="auto"/>
                <w:szCs w:val="21"/>
                <w:highlight w:val="none"/>
              </w:rPr>
            </w:pPr>
          </w:p>
        </w:tc>
        <w:tc>
          <w:tcPr>
            <w:tcW w:w="850" w:type="dxa"/>
            <w:noWrap w:val="0"/>
            <w:vAlign w:val="center"/>
          </w:tcPr>
          <w:p w14:paraId="5F47CAAA">
            <w:pPr>
              <w:spacing w:before="60" w:after="60" w:line="276" w:lineRule="auto"/>
              <w:jc w:val="center"/>
              <w:rPr>
                <w:rFonts w:hint="default" w:ascii="Times New Roman" w:hAnsi="Times New Roman" w:cs="Times New Roman"/>
                <w:color w:val="auto"/>
                <w:szCs w:val="21"/>
                <w:highlight w:val="none"/>
              </w:rPr>
            </w:pPr>
          </w:p>
        </w:tc>
        <w:tc>
          <w:tcPr>
            <w:tcW w:w="851" w:type="dxa"/>
            <w:noWrap w:val="0"/>
            <w:vAlign w:val="center"/>
          </w:tcPr>
          <w:p w14:paraId="303143E1">
            <w:pPr>
              <w:spacing w:before="60" w:after="60" w:line="276" w:lineRule="auto"/>
              <w:jc w:val="center"/>
              <w:rPr>
                <w:rFonts w:hint="default" w:ascii="Times New Roman" w:hAnsi="Times New Roman" w:cs="Times New Roman"/>
                <w:color w:val="auto"/>
                <w:szCs w:val="21"/>
                <w:highlight w:val="none"/>
              </w:rPr>
            </w:pPr>
          </w:p>
        </w:tc>
        <w:tc>
          <w:tcPr>
            <w:tcW w:w="1430" w:type="dxa"/>
            <w:noWrap w:val="0"/>
            <w:vAlign w:val="center"/>
          </w:tcPr>
          <w:p w14:paraId="172C6866">
            <w:pPr>
              <w:spacing w:before="60" w:after="60" w:line="276" w:lineRule="auto"/>
              <w:jc w:val="center"/>
              <w:rPr>
                <w:rFonts w:hint="default" w:ascii="Times New Roman" w:hAnsi="Times New Roman" w:cs="Times New Roman"/>
                <w:color w:val="auto"/>
                <w:szCs w:val="21"/>
                <w:highlight w:val="none"/>
              </w:rPr>
            </w:pPr>
          </w:p>
        </w:tc>
        <w:tc>
          <w:tcPr>
            <w:tcW w:w="1514" w:type="dxa"/>
            <w:noWrap w:val="0"/>
            <w:vAlign w:val="center"/>
          </w:tcPr>
          <w:p w14:paraId="362775E3">
            <w:pPr>
              <w:spacing w:before="60" w:after="60" w:line="276" w:lineRule="auto"/>
              <w:jc w:val="center"/>
              <w:rPr>
                <w:rFonts w:hint="default" w:ascii="Times New Roman" w:hAnsi="Times New Roman" w:cs="Times New Roman"/>
                <w:color w:val="auto"/>
                <w:szCs w:val="21"/>
                <w:highlight w:val="none"/>
              </w:rPr>
            </w:pPr>
          </w:p>
        </w:tc>
        <w:tc>
          <w:tcPr>
            <w:tcW w:w="899" w:type="dxa"/>
            <w:noWrap w:val="0"/>
            <w:vAlign w:val="center"/>
          </w:tcPr>
          <w:p w14:paraId="4C99D956">
            <w:pPr>
              <w:spacing w:before="60" w:after="60" w:line="276" w:lineRule="auto"/>
              <w:jc w:val="center"/>
              <w:rPr>
                <w:rFonts w:hint="default" w:ascii="Times New Roman" w:hAnsi="Times New Roman" w:cs="Times New Roman"/>
                <w:color w:val="auto"/>
                <w:szCs w:val="21"/>
                <w:highlight w:val="none"/>
              </w:rPr>
            </w:pPr>
          </w:p>
        </w:tc>
        <w:tc>
          <w:tcPr>
            <w:tcW w:w="970" w:type="dxa"/>
            <w:noWrap w:val="0"/>
            <w:vAlign w:val="center"/>
          </w:tcPr>
          <w:p w14:paraId="6F816490">
            <w:pPr>
              <w:spacing w:line="276" w:lineRule="auto"/>
              <w:jc w:val="center"/>
              <w:rPr>
                <w:rFonts w:hint="default" w:ascii="Times New Roman" w:hAnsi="Times New Roman" w:cs="Times New Roman"/>
                <w:color w:val="auto"/>
                <w:szCs w:val="21"/>
                <w:highlight w:val="none"/>
              </w:rPr>
            </w:pPr>
          </w:p>
        </w:tc>
      </w:tr>
      <w:tr w14:paraId="5588F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8432" w:type="dxa"/>
            <w:gridSpan w:val="8"/>
            <w:noWrap w:val="0"/>
            <w:vAlign w:val="top"/>
          </w:tcPr>
          <w:p w14:paraId="67936347">
            <w:pPr>
              <w:spacing w:before="60" w:after="60" w:line="276" w:lineRule="auto"/>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其中，</w:t>
            </w:r>
            <w:r>
              <w:rPr>
                <w:rFonts w:hint="default" w:ascii="Times New Roman" w:hAnsi="Times New Roman" w:cs="Times New Roman"/>
                <w:bCs/>
                <w:color w:val="auto"/>
                <w:szCs w:val="21"/>
                <w:highlight w:val="none"/>
              </w:rPr>
              <w:t>环境标志</w:t>
            </w:r>
            <w:r>
              <w:rPr>
                <w:rFonts w:hint="default" w:ascii="Times New Roman" w:hAnsi="Times New Roman" w:cs="Times New Roman"/>
                <w:color w:val="auto"/>
                <w:szCs w:val="21"/>
                <w:highlight w:val="none"/>
              </w:rPr>
              <w:t>产品总计：</w:t>
            </w:r>
          </w:p>
        </w:tc>
        <w:tc>
          <w:tcPr>
            <w:tcW w:w="970" w:type="dxa"/>
            <w:noWrap w:val="0"/>
            <w:vAlign w:val="center"/>
          </w:tcPr>
          <w:p w14:paraId="51482BF6">
            <w:pPr>
              <w:spacing w:line="276" w:lineRule="auto"/>
              <w:jc w:val="center"/>
              <w:rPr>
                <w:rFonts w:hint="default" w:ascii="Times New Roman" w:hAnsi="Times New Roman" w:cs="Times New Roman"/>
                <w:color w:val="auto"/>
                <w:szCs w:val="21"/>
                <w:highlight w:val="none"/>
              </w:rPr>
            </w:pPr>
          </w:p>
        </w:tc>
      </w:tr>
    </w:tbl>
    <w:p w14:paraId="04C2735C">
      <w:pPr>
        <w:spacing w:line="360" w:lineRule="auto"/>
        <w:ind w:firstLine="4800" w:firstLineChars="2000"/>
        <w:rPr>
          <w:rFonts w:hint="default" w:ascii="Times New Roman" w:hAnsi="Times New Roman" w:cs="Times New Roman"/>
          <w:color w:val="auto"/>
          <w:sz w:val="24"/>
          <w:highlight w:val="none"/>
        </w:rPr>
      </w:pPr>
    </w:p>
    <w:p w14:paraId="039195A7">
      <w:pPr>
        <w:pStyle w:val="83"/>
        <w:ind w:right="840" w:firstLine="3780" w:firstLineChars="1800"/>
        <w:rPr>
          <w:rFonts w:hint="default" w:ascii="Times New Roman" w:hAnsi="Times New Roman" w:cs="Times New Roman"/>
          <w:color w:val="auto"/>
          <w:sz w:val="21"/>
          <w:szCs w:val="21"/>
          <w:highlight w:val="none"/>
        </w:rPr>
      </w:pPr>
    </w:p>
    <w:p w14:paraId="39BE8616">
      <w:pPr>
        <w:pStyle w:val="83"/>
        <w:ind w:firstLine="3769" w:firstLineChars="1795"/>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投标人名称（</w:t>
      </w:r>
      <w:r>
        <w:rPr>
          <w:rFonts w:hint="default" w:ascii="Times New Roman" w:hAnsi="Times New Roman" w:cs="Times New Roman"/>
          <w:color w:val="auto"/>
          <w:highlight w:val="none"/>
        </w:rPr>
        <w:t>加盖ca电子公章</w:t>
      </w:r>
      <w:r>
        <w:rPr>
          <w:rFonts w:hint="default" w:ascii="Times New Roman" w:hAnsi="Times New Roman" w:cs="Times New Roman"/>
          <w:color w:val="auto"/>
          <w:sz w:val="21"/>
          <w:szCs w:val="21"/>
          <w:highlight w:val="none"/>
        </w:rPr>
        <w:t>）：____________</w:t>
      </w:r>
      <w:r>
        <w:rPr>
          <w:rFonts w:hint="default" w:ascii="Times New Roman" w:hAnsi="Times New Roman" w:cs="Times New Roman"/>
          <w:color w:val="auto"/>
          <w:sz w:val="21"/>
          <w:szCs w:val="21"/>
          <w:highlight w:val="none"/>
          <w:u w:val="single"/>
        </w:rPr>
        <w:t xml:space="preserve">             </w:t>
      </w:r>
    </w:p>
    <w:p w14:paraId="3AE941D3">
      <w:pPr>
        <w:spacing w:line="360" w:lineRule="auto"/>
        <w:ind w:right="420" w:firstLine="3780" w:firstLineChars="18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日</w:t>
      </w:r>
    </w:p>
    <w:p w14:paraId="37EAE30C">
      <w:pPr>
        <w:pStyle w:val="2"/>
        <w:rPr>
          <w:rFonts w:hint="default" w:ascii="Times New Roman" w:hAnsi="Times New Roman" w:cs="Times New Roman"/>
          <w:color w:val="auto"/>
          <w:highlight w:val="none"/>
        </w:rPr>
      </w:pPr>
    </w:p>
    <w:p w14:paraId="1F1FB0C3">
      <w:pPr>
        <w:pStyle w:val="2"/>
        <w:rPr>
          <w:rFonts w:hint="default" w:ascii="Times New Roman" w:hAnsi="Times New Roman" w:cs="Times New Roman"/>
          <w:color w:val="auto"/>
          <w:highlight w:val="none"/>
        </w:rPr>
      </w:pPr>
    </w:p>
    <w:p w14:paraId="2064D516">
      <w:pPr>
        <w:pStyle w:val="34"/>
        <w:spacing w:before="0"/>
        <w:jc w:val="both"/>
        <w:rPr>
          <w:rFonts w:hint="default"/>
        </w:rPr>
      </w:pPr>
    </w:p>
    <w:sectPr>
      <w:footerReference r:id="rId6" w:type="default"/>
      <w:footerReference r:id="rId7" w:type="even"/>
      <w:pgSz w:w="11906" w:h="16838"/>
      <w:pgMar w:top="1440" w:right="1588" w:bottom="1440"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5CDB86C-8D48-42F9-A051-A54317F35ABE}"/>
  </w:font>
  <w:font w:name="Courier New">
    <w:panose1 w:val="02070309020205020404"/>
    <w:charset w:val="01"/>
    <w:family w:val="modern"/>
    <w:pitch w:val="default"/>
    <w:sig w:usb0="E0002EFF" w:usb1="C0007843" w:usb2="00000009" w:usb3="00000000" w:csb0="400001FF" w:csb1="FFFF0000"/>
    <w:embedRegular r:id="rId2" w:fontKey="{F8593A26-E743-4CD7-8C62-92658E53B47B}"/>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3" w:fontKey="{5AF82766-2A43-46A1-8E24-7258E3DC2AF1}"/>
  </w:font>
  <w:font w:name="仿宋_GB2312">
    <w:panose1 w:val="02010609030101010101"/>
    <w:charset w:val="86"/>
    <w:family w:val="roman"/>
    <w:pitch w:val="default"/>
    <w:sig w:usb0="00000001" w:usb1="080E0000" w:usb2="00000000" w:usb3="00000000" w:csb0="00040000" w:csb1="00000000"/>
    <w:embedRegular r:id="rId4" w:fontKey="{4502AF52-9FCE-4034-B871-42A33B87E409}"/>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embedRegular r:id="rId5" w:fontKey="{EBFC1872-534E-42C4-80D2-8E1E8A3658AE}"/>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Microsoft YaHei UI">
    <w:panose1 w:val="020B0503020204020204"/>
    <w:charset w:val="86"/>
    <w:family w:val="swiss"/>
    <w:pitch w:val="default"/>
    <w:sig w:usb0="80000287" w:usb1="2ACF3C50" w:usb2="00000016" w:usb3="00000000" w:csb0="0004001F" w:csb1="00000000"/>
    <w:embedRegular r:id="rId6" w:fontKey="{F83C896B-0C8F-4C26-9C16-AB68C4D073F6}"/>
  </w:font>
  <w:font w:name="方正小标宋_GBK">
    <w:panose1 w:val="03000509000000000000"/>
    <w:charset w:val="86"/>
    <w:family w:val="script"/>
    <w:pitch w:val="default"/>
    <w:sig w:usb0="00000001" w:usb1="080E0000" w:usb2="00000000" w:usb3="00000000" w:csb0="00040000" w:csb1="00000000"/>
    <w:embedRegular r:id="rId7" w:fontKey="{CD560E8F-733D-4ADC-8F6F-A23A91FA2276}"/>
  </w:font>
  <w:font w:name="Segoe UI">
    <w:panose1 w:val="020B0502040204020203"/>
    <w:charset w:val="00"/>
    <w:family w:val="swiss"/>
    <w:pitch w:val="default"/>
    <w:sig w:usb0="E4002EFF" w:usb1="C000E47F" w:usb2="00000009" w:usb3="00000000" w:csb0="200001FF" w:csb1="00000000"/>
    <w:embedRegular r:id="rId8" w:fontKey="{5DE6696D-00A9-4A90-B24D-5DFDD509B57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6F18D">
    <w:pPr>
      <w:pStyle w:val="24"/>
      <w:jc w:val="center"/>
    </w:pPr>
  </w:p>
  <w:p w14:paraId="16461AE1">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6431B">
    <w:pPr>
      <w:pStyle w:val="2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53959">
                          <w:pPr>
                            <w:pStyle w:val="24"/>
                          </w:pPr>
                          <w:r>
                            <w:fldChar w:fldCharType="begin"/>
                          </w:r>
                          <w:r>
                            <w:instrText xml:space="preserve"> PAGE  \* MERGEFORMAT </w:instrText>
                          </w:r>
                          <w:r>
                            <w:fldChar w:fldCharType="separate"/>
                          </w:r>
                          <w:r>
                            <w:t>9</w:t>
                          </w:r>
                          <w:r>
                            <w:fldChar w:fldCharType="end"/>
                          </w:r>
                        </w:p>
                      </w:txbxContent>
                    </wps:txbx>
                    <wps:bodyPr wrap="none" lIns="0" tIns="0" rIns="0" bIns="0" upright="0">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t8z0eyQEAAJoDAAAOAAAAAAAAAAEAIAAAAB4BAABkcnMvZTJvRG9j&#10;LnhtbFBLBQYAAAAABgAGAFkBAABZBQAAAAA=&#10;">
              <v:fill on="f" focussize="0,0"/>
              <v:stroke on="f"/>
              <v:imagedata o:title=""/>
              <o:lock v:ext="edit" aspectratio="f"/>
              <v:textbox inset="0mm,0mm,0mm,0mm" style="mso-fit-shape-to-text:t;">
                <w:txbxContent>
                  <w:p w14:paraId="10F53959">
                    <w:pPr>
                      <w:pStyle w:val="24"/>
                    </w:pPr>
                    <w:r>
                      <w:fldChar w:fldCharType="begin"/>
                    </w:r>
                    <w:r>
                      <w:instrText xml:space="preserve"> PAGE  \* MERGEFORMAT </w:instrText>
                    </w:r>
                    <w:r>
                      <w:fldChar w:fldCharType="separate"/>
                    </w:r>
                    <w:r>
                      <w:t>9</w:t>
                    </w:r>
                    <w:r>
                      <w:fldChar w:fldCharType="end"/>
                    </w:r>
                  </w:p>
                </w:txbxContent>
              </v:textbox>
            </v:shape>
          </w:pict>
        </mc:Fallback>
      </mc:AlternateContent>
    </w:r>
  </w:p>
  <w:p w14:paraId="5CC6046F">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9D083">
    <w:pPr>
      <w:pStyle w:val="2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1B01EC">
                          <w:pPr>
                            <w:pStyle w:val="24"/>
                          </w:pPr>
                          <w:r>
                            <w:fldChar w:fldCharType="begin"/>
                          </w:r>
                          <w:r>
                            <w:instrText xml:space="preserve"> PAGE  \* MERGEFORMAT </w:instrText>
                          </w:r>
                          <w:r>
                            <w:fldChar w:fldCharType="separate"/>
                          </w:r>
                          <w:r>
                            <w:t>24</w:t>
                          </w:r>
                          <w:r>
                            <w:fldChar w:fldCharType="end"/>
                          </w:r>
                        </w:p>
                      </w:txbxContent>
                    </wps:txbx>
                    <wps:bodyPr wrap="none" lIns="0" tIns="0" rIns="0" bIns="0" upright="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awveMkBAACaAwAADgAAAGRycy9lMm9Eb2MueG1srVPNjtMwEL4j8Q6W&#10;79TZI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NeUOG5x4OefP86//px/fyfL&#10;N1mfPkCNabcBE9Pw3g+4NbMf0JlpDyra/EVCBOOo7umirhwSEfnRarlaVRgSGJsviM/un4cI6YP0&#10;lmSjoRHHV1Tlx0+QxtQ5JVdz/kYbU0Zo3H8OxMwelnsfe8xWGnbDRGjn2xPy6XHyDXW46JSYjw6F&#10;zUsyG3E2drNxCFHvu7JFuR6Ed4eETZTecoURdiqMIyvspvXKO/HvvWTd/1Kb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JrC94yQEAAJoDAAAOAAAAAAAAAAEAIAAAAB4BAABkcnMvZTJvRG9j&#10;LnhtbFBLBQYAAAAABgAGAFkBAABZBQAAAAA=&#10;">
              <v:fill on="f" focussize="0,0"/>
              <v:stroke on="f"/>
              <v:imagedata o:title=""/>
              <o:lock v:ext="edit" aspectratio="f"/>
              <v:textbox inset="0mm,0mm,0mm,0mm" style="mso-fit-shape-to-text:t;">
                <w:txbxContent>
                  <w:p w14:paraId="7C1B01EC">
                    <w:pPr>
                      <w:pStyle w:val="24"/>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F8B54">
    <w:pPr>
      <w:pStyle w:val="24"/>
      <w:framePr w:wrap="around" w:vAnchor="text" w:hAnchor="margin" w:xAlign="outside" w:y="1"/>
      <w:rPr>
        <w:rStyle w:val="41"/>
      </w:rPr>
    </w:pPr>
    <w:r>
      <w:rPr>
        <w:rStyle w:val="41"/>
      </w:rPr>
      <w:fldChar w:fldCharType="begin"/>
    </w:r>
    <w:r>
      <w:rPr>
        <w:rStyle w:val="41"/>
      </w:rPr>
      <w:instrText xml:space="preserve">PAGE  </w:instrText>
    </w:r>
    <w:r>
      <w:rPr>
        <w:rStyle w:val="41"/>
      </w:rPr>
      <w:fldChar w:fldCharType="end"/>
    </w:r>
  </w:p>
  <w:p w14:paraId="23FF25C9">
    <w:pPr>
      <w:pStyle w:val="24"/>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83B84">
    <w:pPr>
      <w:pStyle w:val="2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6E315E"/>
    <w:multiLevelType w:val="multilevel"/>
    <w:tmpl w:val="3B6E315E"/>
    <w:lvl w:ilvl="0" w:tentative="0">
      <w:start w:val="1"/>
      <w:numFmt w:val="japaneseCounting"/>
      <w:lvlText w:val="第%1章"/>
      <w:lvlJc w:val="left"/>
      <w:pPr>
        <w:ind w:left="1125" w:hanging="112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4"/>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g1MjdhMDI3OTYxMjkwMWEzZjA0ZThjNTBkYmRkYzUifQ=="/>
    <w:docVar w:name="KSO_WPS_MARK_KEY" w:val="f500e268-f0ab-4fc5-b223-de1210f184ee"/>
  </w:docVars>
  <w:rsids>
    <w:rsidRoot w:val="00DD0DD6"/>
    <w:rsid w:val="000017B7"/>
    <w:rsid w:val="000018CA"/>
    <w:rsid w:val="00001CE4"/>
    <w:rsid w:val="00001E0C"/>
    <w:rsid w:val="00002566"/>
    <w:rsid w:val="00003745"/>
    <w:rsid w:val="00004332"/>
    <w:rsid w:val="00005996"/>
    <w:rsid w:val="00007E66"/>
    <w:rsid w:val="000102E9"/>
    <w:rsid w:val="00011741"/>
    <w:rsid w:val="000119EA"/>
    <w:rsid w:val="00012618"/>
    <w:rsid w:val="00013C5E"/>
    <w:rsid w:val="00014509"/>
    <w:rsid w:val="000147C4"/>
    <w:rsid w:val="000155F5"/>
    <w:rsid w:val="00016130"/>
    <w:rsid w:val="00016D06"/>
    <w:rsid w:val="00016EB2"/>
    <w:rsid w:val="00016FCE"/>
    <w:rsid w:val="0001757A"/>
    <w:rsid w:val="00020349"/>
    <w:rsid w:val="00020A54"/>
    <w:rsid w:val="00020E4D"/>
    <w:rsid w:val="0002152B"/>
    <w:rsid w:val="000238D8"/>
    <w:rsid w:val="0002394A"/>
    <w:rsid w:val="000243C4"/>
    <w:rsid w:val="00025219"/>
    <w:rsid w:val="00025C24"/>
    <w:rsid w:val="00025D41"/>
    <w:rsid w:val="00026A51"/>
    <w:rsid w:val="00026F05"/>
    <w:rsid w:val="0003036F"/>
    <w:rsid w:val="000310C9"/>
    <w:rsid w:val="0003110D"/>
    <w:rsid w:val="00031248"/>
    <w:rsid w:val="000317BD"/>
    <w:rsid w:val="00032450"/>
    <w:rsid w:val="00032B74"/>
    <w:rsid w:val="000344D6"/>
    <w:rsid w:val="000344E7"/>
    <w:rsid w:val="000354F8"/>
    <w:rsid w:val="000356B6"/>
    <w:rsid w:val="0003707F"/>
    <w:rsid w:val="0003769A"/>
    <w:rsid w:val="000408A4"/>
    <w:rsid w:val="00040A3C"/>
    <w:rsid w:val="00041CB7"/>
    <w:rsid w:val="000432C8"/>
    <w:rsid w:val="00043AEA"/>
    <w:rsid w:val="000450CC"/>
    <w:rsid w:val="0004532B"/>
    <w:rsid w:val="000461DF"/>
    <w:rsid w:val="00047CA0"/>
    <w:rsid w:val="00050306"/>
    <w:rsid w:val="00053380"/>
    <w:rsid w:val="00054915"/>
    <w:rsid w:val="00055020"/>
    <w:rsid w:val="000554C8"/>
    <w:rsid w:val="0005557A"/>
    <w:rsid w:val="000555AF"/>
    <w:rsid w:val="00055C3B"/>
    <w:rsid w:val="000565E0"/>
    <w:rsid w:val="000567D5"/>
    <w:rsid w:val="00056D1A"/>
    <w:rsid w:val="000572AD"/>
    <w:rsid w:val="00061DBB"/>
    <w:rsid w:val="00063A5F"/>
    <w:rsid w:val="00063EB9"/>
    <w:rsid w:val="00064004"/>
    <w:rsid w:val="000644E9"/>
    <w:rsid w:val="00064BA1"/>
    <w:rsid w:val="00065A8C"/>
    <w:rsid w:val="00065DF4"/>
    <w:rsid w:val="00066C11"/>
    <w:rsid w:val="00066CDD"/>
    <w:rsid w:val="00071922"/>
    <w:rsid w:val="00072507"/>
    <w:rsid w:val="00072741"/>
    <w:rsid w:val="00072BB7"/>
    <w:rsid w:val="0007378E"/>
    <w:rsid w:val="000738E7"/>
    <w:rsid w:val="00074C1B"/>
    <w:rsid w:val="00076280"/>
    <w:rsid w:val="0007707A"/>
    <w:rsid w:val="00080165"/>
    <w:rsid w:val="0008030D"/>
    <w:rsid w:val="00080645"/>
    <w:rsid w:val="0008077C"/>
    <w:rsid w:val="00081816"/>
    <w:rsid w:val="00081C7E"/>
    <w:rsid w:val="00082016"/>
    <w:rsid w:val="00082100"/>
    <w:rsid w:val="0008219F"/>
    <w:rsid w:val="00082414"/>
    <w:rsid w:val="00082AD0"/>
    <w:rsid w:val="0008522F"/>
    <w:rsid w:val="0008664F"/>
    <w:rsid w:val="000867E9"/>
    <w:rsid w:val="00087702"/>
    <w:rsid w:val="000903DD"/>
    <w:rsid w:val="00090550"/>
    <w:rsid w:val="00090CE8"/>
    <w:rsid w:val="00091BC7"/>
    <w:rsid w:val="0009211F"/>
    <w:rsid w:val="0009293A"/>
    <w:rsid w:val="00094C65"/>
    <w:rsid w:val="00094C9F"/>
    <w:rsid w:val="00095BF0"/>
    <w:rsid w:val="000978DA"/>
    <w:rsid w:val="000A0A88"/>
    <w:rsid w:val="000A1B05"/>
    <w:rsid w:val="000A1F90"/>
    <w:rsid w:val="000A2457"/>
    <w:rsid w:val="000A6C79"/>
    <w:rsid w:val="000A7792"/>
    <w:rsid w:val="000A7A5C"/>
    <w:rsid w:val="000B0A03"/>
    <w:rsid w:val="000B13C9"/>
    <w:rsid w:val="000B21B1"/>
    <w:rsid w:val="000B22E8"/>
    <w:rsid w:val="000B27A3"/>
    <w:rsid w:val="000B4881"/>
    <w:rsid w:val="000B494F"/>
    <w:rsid w:val="000B4FD5"/>
    <w:rsid w:val="000B5795"/>
    <w:rsid w:val="000B5A31"/>
    <w:rsid w:val="000B7901"/>
    <w:rsid w:val="000C0112"/>
    <w:rsid w:val="000C01BB"/>
    <w:rsid w:val="000C02BA"/>
    <w:rsid w:val="000C1010"/>
    <w:rsid w:val="000C1851"/>
    <w:rsid w:val="000C1E7C"/>
    <w:rsid w:val="000C297D"/>
    <w:rsid w:val="000C4DEC"/>
    <w:rsid w:val="000C4F26"/>
    <w:rsid w:val="000C5A56"/>
    <w:rsid w:val="000C5E63"/>
    <w:rsid w:val="000C625D"/>
    <w:rsid w:val="000D0EEE"/>
    <w:rsid w:val="000D16B8"/>
    <w:rsid w:val="000D176F"/>
    <w:rsid w:val="000D288B"/>
    <w:rsid w:val="000D3826"/>
    <w:rsid w:val="000D39B1"/>
    <w:rsid w:val="000D4A44"/>
    <w:rsid w:val="000D4A95"/>
    <w:rsid w:val="000D51C5"/>
    <w:rsid w:val="000D575A"/>
    <w:rsid w:val="000D619C"/>
    <w:rsid w:val="000E02E7"/>
    <w:rsid w:val="000E032D"/>
    <w:rsid w:val="000E1663"/>
    <w:rsid w:val="000E1F07"/>
    <w:rsid w:val="000E2170"/>
    <w:rsid w:val="000E277E"/>
    <w:rsid w:val="000E476C"/>
    <w:rsid w:val="000E4973"/>
    <w:rsid w:val="000E65F1"/>
    <w:rsid w:val="000E786A"/>
    <w:rsid w:val="000F0CF6"/>
    <w:rsid w:val="000F301A"/>
    <w:rsid w:val="000F47BF"/>
    <w:rsid w:val="000F4A57"/>
    <w:rsid w:val="000F5056"/>
    <w:rsid w:val="000F50AD"/>
    <w:rsid w:val="000F5D62"/>
    <w:rsid w:val="000F6AB0"/>
    <w:rsid w:val="000F744F"/>
    <w:rsid w:val="000F7D47"/>
    <w:rsid w:val="00100FA9"/>
    <w:rsid w:val="0010116A"/>
    <w:rsid w:val="00101D03"/>
    <w:rsid w:val="0010228C"/>
    <w:rsid w:val="0010241F"/>
    <w:rsid w:val="001041A5"/>
    <w:rsid w:val="00104548"/>
    <w:rsid w:val="00105F06"/>
    <w:rsid w:val="00106E40"/>
    <w:rsid w:val="00107146"/>
    <w:rsid w:val="00107238"/>
    <w:rsid w:val="00107797"/>
    <w:rsid w:val="00107F23"/>
    <w:rsid w:val="001124C4"/>
    <w:rsid w:val="00113FBD"/>
    <w:rsid w:val="00114CE3"/>
    <w:rsid w:val="00116BF1"/>
    <w:rsid w:val="00116CD6"/>
    <w:rsid w:val="00116ED1"/>
    <w:rsid w:val="001170E8"/>
    <w:rsid w:val="00117935"/>
    <w:rsid w:val="001209F2"/>
    <w:rsid w:val="00120E45"/>
    <w:rsid w:val="00122895"/>
    <w:rsid w:val="0012400D"/>
    <w:rsid w:val="001254BA"/>
    <w:rsid w:val="0013092D"/>
    <w:rsid w:val="00131AF3"/>
    <w:rsid w:val="00131FD9"/>
    <w:rsid w:val="001324E3"/>
    <w:rsid w:val="00136E7F"/>
    <w:rsid w:val="0013748B"/>
    <w:rsid w:val="00137B17"/>
    <w:rsid w:val="00140D6E"/>
    <w:rsid w:val="00141388"/>
    <w:rsid w:val="001422B6"/>
    <w:rsid w:val="001453B6"/>
    <w:rsid w:val="0014543F"/>
    <w:rsid w:val="00146105"/>
    <w:rsid w:val="001478A2"/>
    <w:rsid w:val="00147C07"/>
    <w:rsid w:val="00147E68"/>
    <w:rsid w:val="001507ED"/>
    <w:rsid w:val="00151543"/>
    <w:rsid w:val="001516A3"/>
    <w:rsid w:val="001516EB"/>
    <w:rsid w:val="0015238A"/>
    <w:rsid w:val="001526FE"/>
    <w:rsid w:val="00152DA4"/>
    <w:rsid w:val="00153264"/>
    <w:rsid w:val="0015373A"/>
    <w:rsid w:val="001542CE"/>
    <w:rsid w:val="00156C0E"/>
    <w:rsid w:val="001571DB"/>
    <w:rsid w:val="0016055F"/>
    <w:rsid w:val="00160699"/>
    <w:rsid w:val="00161270"/>
    <w:rsid w:val="00161587"/>
    <w:rsid w:val="001629A1"/>
    <w:rsid w:val="00162BD1"/>
    <w:rsid w:val="0016319A"/>
    <w:rsid w:val="001634F1"/>
    <w:rsid w:val="0016432E"/>
    <w:rsid w:val="001655C6"/>
    <w:rsid w:val="00166067"/>
    <w:rsid w:val="00170869"/>
    <w:rsid w:val="00171075"/>
    <w:rsid w:val="0017171D"/>
    <w:rsid w:val="00171A07"/>
    <w:rsid w:val="00171FB0"/>
    <w:rsid w:val="00172F1D"/>
    <w:rsid w:val="001735A8"/>
    <w:rsid w:val="00174A20"/>
    <w:rsid w:val="0017631B"/>
    <w:rsid w:val="00180552"/>
    <w:rsid w:val="0018098D"/>
    <w:rsid w:val="00181297"/>
    <w:rsid w:val="00181574"/>
    <w:rsid w:val="001818EE"/>
    <w:rsid w:val="001828AD"/>
    <w:rsid w:val="00182FF5"/>
    <w:rsid w:val="001830CF"/>
    <w:rsid w:val="00184BDF"/>
    <w:rsid w:val="00184E26"/>
    <w:rsid w:val="00185282"/>
    <w:rsid w:val="0018601D"/>
    <w:rsid w:val="00190107"/>
    <w:rsid w:val="00190183"/>
    <w:rsid w:val="00191B5E"/>
    <w:rsid w:val="0019200C"/>
    <w:rsid w:val="00194241"/>
    <w:rsid w:val="0019427F"/>
    <w:rsid w:val="00195C21"/>
    <w:rsid w:val="00195E95"/>
    <w:rsid w:val="0019640A"/>
    <w:rsid w:val="00196D94"/>
    <w:rsid w:val="00197133"/>
    <w:rsid w:val="00197635"/>
    <w:rsid w:val="001A4A2F"/>
    <w:rsid w:val="001A4A35"/>
    <w:rsid w:val="001A5C27"/>
    <w:rsid w:val="001A635F"/>
    <w:rsid w:val="001A6941"/>
    <w:rsid w:val="001A72B0"/>
    <w:rsid w:val="001B178B"/>
    <w:rsid w:val="001B2327"/>
    <w:rsid w:val="001B2467"/>
    <w:rsid w:val="001B24C0"/>
    <w:rsid w:val="001B303F"/>
    <w:rsid w:val="001B3772"/>
    <w:rsid w:val="001B4C93"/>
    <w:rsid w:val="001B6424"/>
    <w:rsid w:val="001B6BBE"/>
    <w:rsid w:val="001B71E4"/>
    <w:rsid w:val="001B7D88"/>
    <w:rsid w:val="001B7DB4"/>
    <w:rsid w:val="001C1638"/>
    <w:rsid w:val="001C1CCA"/>
    <w:rsid w:val="001C4359"/>
    <w:rsid w:val="001C5EC1"/>
    <w:rsid w:val="001C6BAA"/>
    <w:rsid w:val="001C70EB"/>
    <w:rsid w:val="001C7EF2"/>
    <w:rsid w:val="001D02ED"/>
    <w:rsid w:val="001D0B07"/>
    <w:rsid w:val="001D0E6C"/>
    <w:rsid w:val="001D0E81"/>
    <w:rsid w:val="001D1166"/>
    <w:rsid w:val="001D2BB0"/>
    <w:rsid w:val="001D4756"/>
    <w:rsid w:val="001D5226"/>
    <w:rsid w:val="001D5CC0"/>
    <w:rsid w:val="001D5D12"/>
    <w:rsid w:val="001D78C6"/>
    <w:rsid w:val="001D7AFC"/>
    <w:rsid w:val="001E3D13"/>
    <w:rsid w:val="001E3DD9"/>
    <w:rsid w:val="001E4000"/>
    <w:rsid w:val="001E4187"/>
    <w:rsid w:val="001E4342"/>
    <w:rsid w:val="001E4B12"/>
    <w:rsid w:val="001E537B"/>
    <w:rsid w:val="001E5D35"/>
    <w:rsid w:val="001E5D7A"/>
    <w:rsid w:val="001E6025"/>
    <w:rsid w:val="001E71BF"/>
    <w:rsid w:val="001F0357"/>
    <w:rsid w:val="001F0CF6"/>
    <w:rsid w:val="001F2115"/>
    <w:rsid w:val="001F35AF"/>
    <w:rsid w:val="001F39DC"/>
    <w:rsid w:val="001F5CCF"/>
    <w:rsid w:val="001F7147"/>
    <w:rsid w:val="001F7FF7"/>
    <w:rsid w:val="00201745"/>
    <w:rsid w:val="00202121"/>
    <w:rsid w:val="002024A5"/>
    <w:rsid w:val="00203902"/>
    <w:rsid w:val="00203D84"/>
    <w:rsid w:val="00203F63"/>
    <w:rsid w:val="002040F3"/>
    <w:rsid w:val="002050A6"/>
    <w:rsid w:val="0020594B"/>
    <w:rsid w:val="00205BEE"/>
    <w:rsid w:val="00207252"/>
    <w:rsid w:val="0020744A"/>
    <w:rsid w:val="00207E1E"/>
    <w:rsid w:val="0021215D"/>
    <w:rsid w:val="00213D8E"/>
    <w:rsid w:val="0021489C"/>
    <w:rsid w:val="00214A8D"/>
    <w:rsid w:val="00214E82"/>
    <w:rsid w:val="00214EEF"/>
    <w:rsid w:val="00215182"/>
    <w:rsid w:val="00215E35"/>
    <w:rsid w:val="002165B2"/>
    <w:rsid w:val="002174E9"/>
    <w:rsid w:val="00220DC4"/>
    <w:rsid w:val="00220DCD"/>
    <w:rsid w:val="00223155"/>
    <w:rsid w:val="00223DC3"/>
    <w:rsid w:val="0022556D"/>
    <w:rsid w:val="002256C3"/>
    <w:rsid w:val="00225F10"/>
    <w:rsid w:val="002272C7"/>
    <w:rsid w:val="002301B5"/>
    <w:rsid w:val="00230E6F"/>
    <w:rsid w:val="00231C51"/>
    <w:rsid w:val="00231F3C"/>
    <w:rsid w:val="00232AEC"/>
    <w:rsid w:val="0023454A"/>
    <w:rsid w:val="00236C0C"/>
    <w:rsid w:val="002402B6"/>
    <w:rsid w:val="00240592"/>
    <w:rsid w:val="002415CB"/>
    <w:rsid w:val="002426E3"/>
    <w:rsid w:val="0024377E"/>
    <w:rsid w:val="002440F0"/>
    <w:rsid w:val="00245277"/>
    <w:rsid w:val="00246560"/>
    <w:rsid w:val="00246AA7"/>
    <w:rsid w:val="0024716F"/>
    <w:rsid w:val="002474D0"/>
    <w:rsid w:val="00253373"/>
    <w:rsid w:val="00253811"/>
    <w:rsid w:val="00253C45"/>
    <w:rsid w:val="00254482"/>
    <w:rsid w:val="002545FD"/>
    <w:rsid w:val="002551F1"/>
    <w:rsid w:val="00257AB9"/>
    <w:rsid w:val="00257C14"/>
    <w:rsid w:val="00261BC8"/>
    <w:rsid w:val="002635B6"/>
    <w:rsid w:val="00263C6B"/>
    <w:rsid w:val="00265341"/>
    <w:rsid w:val="0026639F"/>
    <w:rsid w:val="00267073"/>
    <w:rsid w:val="00267577"/>
    <w:rsid w:val="002701CF"/>
    <w:rsid w:val="00270C25"/>
    <w:rsid w:val="00270C4D"/>
    <w:rsid w:val="00270D8F"/>
    <w:rsid w:val="00272C03"/>
    <w:rsid w:val="00272E41"/>
    <w:rsid w:val="0027318B"/>
    <w:rsid w:val="002733F5"/>
    <w:rsid w:val="002749B6"/>
    <w:rsid w:val="00274D63"/>
    <w:rsid w:val="00275E66"/>
    <w:rsid w:val="0028034C"/>
    <w:rsid w:val="002824AA"/>
    <w:rsid w:val="00285C3A"/>
    <w:rsid w:val="002867D5"/>
    <w:rsid w:val="002867D7"/>
    <w:rsid w:val="0028692C"/>
    <w:rsid w:val="00286DD5"/>
    <w:rsid w:val="00287442"/>
    <w:rsid w:val="00287637"/>
    <w:rsid w:val="002879D3"/>
    <w:rsid w:val="00287D03"/>
    <w:rsid w:val="0029003A"/>
    <w:rsid w:val="00291D15"/>
    <w:rsid w:val="002947E6"/>
    <w:rsid w:val="00295159"/>
    <w:rsid w:val="00295816"/>
    <w:rsid w:val="00295F1A"/>
    <w:rsid w:val="00296039"/>
    <w:rsid w:val="00297162"/>
    <w:rsid w:val="002A1EA2"/>
    <w:rsid w:val="002A3C0E"/>
    <w:rsid w:val="002A52BD"/>
    <w:rsid w:val="002A626B"/>
    <w:rsid w:val="002A72E9"/>
    <w:rsid w:val="002B013D"/>
    <w:rsid w:val="002B1EDF"/>
    <w:rsid w:val="002B2496"/>
    <w:rsid w:val="002B2AAC"/>
    <w:rsid w:val="002B2EA3"/>
    <w:rsid w:val="002B3468"/>
    <w:rsid w:val="002B3541"/>
    <w:rsid w:val="002B3F92"/>
    <w:rsid w:val="002B4A0A"/>
    <w:rsid w:val="002B4CAA"/>
    <w:rsid w:val="002B502C"/>
    <w:rsid w:val="002B507F"/>
    <w:rsid w:val="002C0450"/>
    <w:rsid w:val="002C2193"/>
    <w:rsid w:val="002C37AE"/>
    <w:rsid w:val="002C3826"/>
    <w:rsid w:val="002C3B9A"/>
    <w:rsid w:val="002C41C0"/>
    <w:rsid w:val="002C4500"/>
    <w:rsid w:val="002C45C9"/>
    <w:rsid w:val="002C4A55"/>
    <w:rsid w:val="002C5CBF"/>
    <w:rsid w:val="002C6986"/>
    <w:rsid w:val="002C6EE0"/>
    <w:rsid w:val="002C7B5A"/>
    <w:rsid w:val="002D0585"/>
    <w:rsid w:val="002D113D"/>
    <w:rsid w:val="002D23CD"/>
    <w:rsid w:val="002D2D46"/>
    <w:rsid w:val="002D31C5"/>
    <w:rsid w:val="002D4198"/>
    <w:rsid w:val="002D58D9"/>
    <w:rsid w:val="002D6043"/>
    <w:rsid w:val="002D7B92"/>
    <w:rsid w:val="002E0580"/>
    <w:rsid w:val="002E23F9"/>
    <w:rsid w:val="002E34DB"/>
    <w:rsid w:val="002E43D0"/>
    <w:rsid w:val="002E569D"/>
    <w:rsid w:val="002E6610"/>
    <w:rsid w:val="002E6A62"/>
    <w:rsid w:val="002F05AF"/>
    <w:rsid w:val="002F0A49"/>
    <w:rsid w:val="002F1ADE"/>
    <w:rsid w:val="002F1EC3"/>
    <w:rsid w:val="002F3E17"/>
    <w:rsid w:val="002F537E"/>
    <w:rsid w:val="002F57DE"/>
    <w:rsid w:val="002F5E84"/>
    <w:rsid w:val="002F72F8"/>
    <w:rsid w:val="0030018F"/>
    <w:rsid w:val="0030051B"/>
    <w:rsid w:val="00300C8B"/>
    <w:rsid w:val="00301FFB"/>
    <w:rsid w:val="00302B51"/>
    <w:rsid w:val="003031C2"/>
    <w:rsid w:val="003034CD"/>
    <w:rsid w:val="00303540"/>
    <w:rsid w:val="003042FD"/>
    <w:rsid w:val="00304C4E"/>
    <w:rsid w:val="00305222"/>
    <w:rsid w:val="00306037"/>
    <w:rsid w:val="00306D8A"/>
    <w:rsid w:val="003107CC"/>
    <w:rsid w:val="00310910"/>
    <w:rsid w:val="00310AD8"/>
    <w:rsid w:val="00311782"/>
    <w:rsid w:val="00311E43"/>
    <w:rsid w:val="00312D1D"/>
    <w:rsid w:val="00312D64"/>
    <w:rsid w:val="00314D90"/>
    <w:rsid w:val="00315DE4"/>
    <w:rsid w:val="00317613"/>
    <w:rsid w:val="0032033A"/>
    <w:rsid w:val="0032098D"/>
    <w:rsid w:val="0032101C"/>
    <w:rsid w:val="00321315"/>
    <w:rsid w:val="00321431"/>
    <w:rsid w:val="00321A0E"/>
    <w:rsid w:val="00321E33"/>
    <w:rsid w:val="0032215F"/>
    <w:rsid w:val="00323EDF"/>
    <w:rsid w:val="003247D4"/>
    <w:rsid w:val="00325FF6"/>
    <w:rsid w:val="00326304"/>
    <w:rsid w:val="00326888"/>
    <w:rsid w:val="00326ABE"/>
    <w:rsid w:val="003270D8"/>
    <w:rsid w:val="00327240"/>
    <w:rsid w:val="00330030"/>
    <w:rsid w:val="003302C1"/>
    <w:rsid w:val="00332046"/>
    <w:rsid w:val="00332281"/>
    <w:rsid w:val="00332941"/>
    <w:rsid w:val="00333A40"/>
    <w:rsid w:val="00334761"/>
    <w:rsid w:val="00335104"/>
    <w:rsid w:val="00337144"/>
    <w:rsid w:val="00337277"/>
    <w:rsid w:val="003401CC"/>
    <w:rsid w:val="00340669"/>
    <w:rsid w:val="00341E63"/>
    <w:rsid w:val="00343409"/>
    <w:rsid w:val="00344662"/>
    <w:rsid w:val="00344B98"/>
    <w:rsid w:val="00346436"/>
    <w:rsid w:val="003466C3"/>
    <w:rsid w:val="0034677E"/>
    <w:rsid w:val="00347909"/>
    <w:rsid w:val="003526DD"/>
    <w:rsid w:val="00352A2E"/>
    <w:rsid w:val="00354166"/>
    <w:rsid w:val="00354221"/>
    <w:rsid w:val="00356C62"/>
    <w:rsid w:val="00360D65"/>
    <w:rsid w:val="00363811"/>
    <w:rsid w:val="00363BDE"/>
    <w:rsid w:val="00363EFE"/>
    <w:rsid w:val="00364594"/>
    <w:rsid w:val="0036628B"/>
    <w:rsid w:val="003704A7"/>
    <w:rsid w:val="00371433"/>
    <w:rsid w:val="0037157C"/>
    <w:rsid w:val="003715C3"/>
    <w:rsid w:val="003730C9"/>
    <w:rsid w:val="003732CB"/>
    <w:rsid w:val="00376AD0"/>
    <w:rsid w:val="00376D2F"/>
    <w:rsid w:val="00376F47"/>
    <w:rsid w:val="00377E3F"/>
    <w:rsid w:val="00377FDC"/>
    <w:rsid w:val="00380878"/>
    <w:rsid w:val="00382127"/>
    <w:rsid w:val="00384D63"/>
    <w:rsid w:val="0038510F"/>
    <w:rsid w:val="00386173"/>
    <w:rsid w:val="00386F65"/>
    <w:rsid w:val="00390B45"/>
    <w:rsid w:val="00390BD9"/>
    <w:rsid w:val="00390ED0"/>
    <w:rsid w:val="00393D9B"/>
    <w:rsid w:val="0039471D"/>
    <w:rsid w:val="003950B6"/>
    <w:rsid w:val="003961EF"/>
    <w:rsid w:val="00396276"/>
    <w:rsid w:val="003A12C9"/>
    <w:rsid w:val="003A14C9"/>
    <w:rsid w:val="003A18F3"/>
    <w:rsid w:val="003A34E8"/>
    <w:rsid w:val="003A3B6F"/>
    <w:rsid w:val="003A4461"/>
    <w:rsid w:val="003A495A"/>
    <w:rsid w:val="003A52EF"/>
    <w:rsid w:val="003A5608"/>
    <w:rsid w:val="003A5691"/>
    <w:rsid w:val="003A5778"/>
    <w:rsid w:val="003A6AC0"/>
    <w:rsid w:val="003A6EF3"/>
    <w:rsid w:val="003A74EE"/>
    <w:rsid w:val="003A7C3A"/>
    <w:rsid w:val="003B119D"/>
    <w:rsid w:val="003B1274"/>
    <w:rsid w:val="003B15AE"/>
    <w:rsid w:val="003B176F"/>
    <w:rsid w:val="003B2FD7"/>
    <w:rsid w:val="003B436D"/>
    <w:rsid w:val="003B5C5B"/>
    <w:rsid w:val="003B6212"/>
    <w:rsid w:val="003B67D3"/>
    <w:rsid w:val="003B67E7"/>
    <w:rsid w:val="003B724F"/>
    <w:rsid w:val="003C06EA"/>
    <w:rsid w:val="003C0B8F"/>
    <w:rsid w:val="003C1225"/>
    <w:rsid w:val="003C15A3"/>
    <w:rsid w:val="003C16A6"/>
    <w:rsid w:val="003C1D5C"/>
    <w:rsid w:val="003C306B"/>
    <w:rsid w:val="003C331D"/>
    <w:rsid w:val="003C34E6"/>
    <w:rsid w:val="003C3706"/>
    <w:rsid w:val="003C463D"/>
    <w:rsid w:val="003C55C2"/>
    <w:rsid w:val="003C55EF"/>
    <w:rsid w:val="003D15A2"/>
    <w:rsid w:val="003D350C"/>
    <w:rsid w:val="003D579B"/>
    <w:rsid w:val="003D6C43"/>
    <w:rsid w:val="003E101E"/>
    <w:rsid w:val="003E23EB"/>
    <w:rsid w:val="003E2443"/>
    <w:rsid w:val="003E30AB"/>
    <w:rsid w:val="003E3115"/>
    <w:rsid w:val="003E5996"/>
    <w:rsid w:val="003F1824"/>
    <w:rsid w:val="003F1834"/>
    <w:rsid w:val="003F2228"/>
    <w:rsid w:val="003F31FA"/>
    <w:rsid w:val="003F58BB"/>
    <w:rsid w:val="003F67FB"/>
    <w:rsid w:val="00400DAC"/>
    <w:rsid w:val="00402649"/>
    <w:rsid w:val="00402A46"/>
    <w:rsid w:val="00403332"/>
    <w:rsid w:val="004033B4"/>
    <w:rsid w:val="004045F1"/>
    <w:rsid w:val="004056F4"/>
    <w:rsid w:val="00405832"/>
    <w:rsid w:val="00407DAB"/>
    <w:rsid w:val="004100DA"/>
    <w:rsid w:val="00411A84"/>
    <w:rsid w:val="00411B73"/>
    <w:rsid w:val="00411BDE"/>
    <w:rsid w:val="004128C1"/>
    <w:rsid w:val="00412B4A"/>
    <w:rsid w:val="004130FC"/>
    <w:rsid w:val="00413C28"/>
    <w:rsid w:val="0041423C"/>
    <w:rsid w:val="00414AF2"/>
    <w:rsid w:val="0041532F"/>
    <w:rsid w:val="0041536C"/>
    <w:rsid w:val="00415CD4"/>
    <w:rsid w:val="00417127"/>
    <w:rsid w:val="00420094"/>
    <w:rsid w:val="004222EC"/>
    <w:rsid w:val="004229A6"/>
    <w:rsid w:val="00424DED"/>
    <w:rsid w:val="00425CC5"/>
    <w:rsid w:val="0042793B"/>
    <w:rsid w:val="00427F8C"/>
    <w:rsid w:val="00430456"/>
    <w:rsid w:val="0043107D"/>
    <w:rsid w:val="00431989"/>
    <w:rsid w:val="00433D4D"/>
    <w:rsid w:val="00436458"/>
    <w:rsid w:val="00441A34"/>
    <w:rsid w:val="004456B6"/>
    <w:rsid w:val="004474D8"/>
    <w:rsid w:val="0045091E"/>
    <w:rsid w:val="00451C59"/>
    <w:rsid w:val="00451E2F"/>
    <w:rsid w:val="0045315D"/>
    <w:rsid w:val="00453800"/>
    <w:rsid w:val="004543BD"/>
    <w:rsid w:val="00454730"/>
    <w:rsid w:val="00455AD1"/>
    <w:rsid w:val="004560C1"/>
    <w:rsid w:val="004563FA"/>
    <w:rsid w:val="004567ED"/>
    <w:rsid w:val="00457800"/>
    <w:rsid w:val="00457B4E"/>
    <w:rsid w:val="00457BE2"/>
    <w:rsid w:val="00457D01"/>
    <w:rsid w:val="00460AA8"/>
    <w:rsid w:val="00460AC8"/>
    <w:rsid w:val="004630BD"/>
    <w:rsid w:val="004642FE"/>
    <w:rsid w:val="00464302"/>
    <w:rsid w:val="00464645"/>
    <w:rsid w:val="0046471D"/>
    <w:rsid w:val="00467A88"/>
    <w:rsid w:val="00470ADC"/>
    <w:rsid w:val="004743A0"/>
    <w:rsid w:val="0047575E"/>
    <w:rsid w:val="00475B5D"/>
    <w:rsid w:val="004761D6"/>
    <w:rsid w:val="0048008F"/>
    <w:rsid w:val="00481602"/>
    <w:rsid w:val="00482275"/>
    <w:rsid w:val="004825BA"/>
    <w:rsid w:val="00487461"/>
    <w:rsid w:val="00487DDB"/>
    <w:rsid w:val="00487E6A"/>
    <w:rsid w:val="00491517"/>
    <w:rsid w:val="004926C9"/>
    <w:rsid w:val="00493B9E"/>
    <w:rsid w:val="00494E36"/>
    <w:rsid w:val="0049557D"/>
    <w:rsid w:val="00495859"/>
    <w:rsid w:val="0049607B"/>
    <w:rsid w:val="004962EF"/>
    <w:rsid w:val="0049658A"/>
    <w:rsid w:val="00496CDA"/>
    <w:rsid w:val="004972CB"/>
    <w:rsid w:val="004A00AE"/>
    <w:rsid w:val="004A01FE"/>
    <w:rsid w:val="004A0ABD"/>
    <w:rsid w:val="004A1081"/>
    <w:rsid w:val="004A282B"/>
    <w:rsid w:val="004A2EAD"/>
    <w:rsid w:val="004A4582"/>
    <w:rsid w:val="004A4E12"/>
    <w:rsid w:val="004A533F"/>
    <w:rsid w:val="004A58D7"/>
    <w:rsid w:val="004A6120"/>
    <w:rsid w:val="004A682A"/>
    <w:rsid w:val="004B00E1"/>
    <w:rsid w:val="004B02E1"/>
    <w:rsid w:val="004B0B0B"/>
    <w:rsid w:val="004B0D6B"/>
    <w:rsid w:val="004B1581"/>
    <w:rsid w:val="004B3D68"/>
    <w:rsid w:val="004B6C28"/>
    <w:rsid w:val="004B7D0C"/>
    <w:rsid w:val="004B7E04"/>
    <w:rsid w:val="004C013F"/>
    <w:rsid w:val="004C0269"/>
    <w:rsid w:val="004C0B0C"/>
    <w:rsid w:val="004C0B3E"/>
    <w:rsid w:val="004C12A1"/>
    <w:rsid w:val="004C14CB"/>
    <w:rsid w:val="004C4D73"/>
    <w:rsid w:val="004C674D"/>
    <w:rsid w:val="004C6BB5"/>
    <w:rsid w:val="004D0372"/>
    <w:rsid w:val="004D224F"/>
    <w:rsid w:val="004D2461"/>
    <w:rsid w:val="004D28A7"/>
    <w:rsid w:val="004D31C1"/>
    <w:rsid w:val="004D36BB"/>
    <w:rsid w:val="004D67EC"/>
    <w:rsid w:val="004D76D9"/>
    <w:rsid w:val="004E15C1"/>
    <w:rsid w:val="004E1A0B"/>
    <w:rsid w:val="004E2164"/>
    <w:rsid w:val="004E221F"/>
    <w:rsid w:val="004E3BC0"/>
    <w:rsid w:val="004E43BF"/>
    <w:rsid w:val="004E6B5F"/>
    <w:rsid w:val="004F0EDB"/>
    <w:rsid w:val="004F104B"/>
    <w:rsid w:val="004F1106"/>
    <w:rsid w:val="004F110C"/>
    <w:rsid w:val="004F3944"/>
    <w:rsid w:val="004F3BDD"/>
    <w:rsid w:val="004F3FF2"/>
    <w:rsid w:val="004F42D8"/>
    <w:rsid w:val="004F4951"/>
    <w:rsid w:val="004F5015"/>
    <w:rsid w:val="004F6DEA"/>
    <w:rsid w:val="004F72BA"/>
    <w:rsid w:val="004F7A91"/>
    <w:rsid w:val="004F7C9E"/>
    <w:rsid w:val="00500D76"/>
    <w:rsid w:val="005024D6"/>
    <w:rsid w:val="00503B0F"/>
    <w:rsid w:val="00503B86"/>
    <w:rsid w:val="00505668"/>
    <w:rsid w:val="00506426"/>
    <w:rsid w:val="00506FC8"/>
    <w:rsid w:val="005074E6"/>
    <w:rsid w:val="0050773B"/>
    <w:rsid w:val="00507D9B"/>
    <w:rsid w:val="00507F13"/>
    <w:rsid w:val="0051022E"/>
    <w:rsid w:val="005109FB"/>
    <w:rsid w:val="005110DC"/>
    <w:rsid w:val="00511856"/>
    <w:rsid w:val="00511D52"/>
    <w:rsid w:val="00513C8E"/>
    <w:rsid w:val="00513D50"/>
    <w:rsid w:val="005144B5"/>
    <w:rsid w:val="00514E17"/>
    <w:rsid w:val="00515135"/>
    <w:rsid w:val="00515212"/>
    <w:rsid w:val="00515D29"/>
    <w:rsid w:val="005162D4"/>
    <w:rsid w:val="00516920"/>
    <w:rsid w:val="00516C14"/>
    <w:rsid w:val="0051761A"/>
    <w:rsid w:val="00520306"/>
    <w:rsid w:val="005234FA"/>
    <w:rsid w:val="00524B9B"/>
    <w:rsid w:val="0052510D"/>
    <w:rsid w:val="005255D3"/>
    <w:rsid w:val="005262E6"/>
    <w:rsid w:val="005268A8"/>
    <w:rsid w:val="005274D2"/>
    <w:rsid w:val="0053070A"/>
    <w:rsid w:val="00530CEE"/>
    <w:rsid w:val="00530E0E"/>
    <w:rsid w:val="00530FA1"/>
    <w:rsid w:val="005316EF"/>
    <w:rsid w:val="00531F70"/>
    <w:rsid w:val="00532575"/>
    <w:rsid w:val="00532E44"/>
    <w:rsid w:val="00533CE6"/>
    <w:rsid w:val="00534295"/>
    <w:rsid w:val="005362A9"/>
    <w:rsid w:val="005378EA"/>
    <w:rsid w:val="005400BA"/>
    <w:rsid w:val="00541D3B"/>
    <w:rsid w:val="00542625"/>
    <w:rsid w:val="00543064"/>
    <w:rsid w:val="005448D0"/>
    <w:rsid w:val="005470CB"/>
    <w:rsid w:val="005512F3"/>
    <w:rsid w:val="005522D6"/>
    <w:rsid w:val="0055264C"/>
    <w:rsid w:val="005530D7"/>
    <w:rsid w:val="0055334C"/>
    <w:rsid w:val="0055401F"/>
    <w:rsid w:val="0055467C"/>
    <w:rsid w:val="0055485E"/>
    <w:rsid w:val="005563F9"/>
    <w:rsid w:val="00556E60"/>
    <w:rsid w:val="005571C0"/>
    <w:rsid w:val="00557BCF"/>
    <w:rsid w:val="005610E3"/>
    <w:rsid w:val="00561ADC"/>
    <w:rsid w:val="00561BE9"/>
    <w:rsid w:val="0056287C"/>
    <w:rsid w:val="00564D28"/>
    <w:rsid w:val="005670B0"/>
    <w:rsid w:val="00567521"/>
    <w:rsid w:val="00567C4D"/>
    <w:rsid w:val="00567F48"/>
    <w:rsid w:val="0057099B"/>
    <w:rsid w:val="00571DDC"/>
    <w:rsid w:val="005734B9"/>
    <w:rsid w:val="00573D1C"/>
    <w:rsid w:val="00574393"/>
    <w:rsid w:val="00574EE2"/>
    <w:rsid w:val="00574FEC"/>
    <w:rsid w:val="005751C4"/>
    <w:rsid w:val="00575FF5"/>
    <w:rsid w:val="00577A9A"/>
    <w:rsid w:val="00580B03"/>
    <w:rsid w:val="00580EEF"/>
    <w:rsid w:val="0058136D"/>
    <w:rsid w:val="00581D75"/>
    <w:rsid w:val="00582787"/>
    <w:rsid w:val="00583300"/>
    <w:rsid w:val="00583680"/>
    <w:rsid w:val="00583F77"/>
    <w:rsid w:val="005853F6"/>
    <w:rsid w:val="005854C3"/>
    <w:rsid w:val="005856C8"/>
    <w:rsid w:val="005858E7"/>
    <w:rsid w:val="00585C65"/>
    <w:rsid w:val="005876AA"/>
    <w:rsid w:val="005918B5"/>
    <w:rsid w:val="005920C0"/>
    <w:rsid w:val="005925E3"/>
    <w:rsid w:val="00592B2C"/>
    <w:rsid w:val="00592E06"/>
    <w:rsid w:val="00594A73"/>
    <w:rsid w:val="005954D0"/>
    <w:rsid w:val="00595DE9"/>
    <w:rsid w:val="005963D5"/>
    <w:rsid w:val="005978DB"/>
    <w:rsid w:val="005A12F7"/>
    <w:rsid w:val="005A488E"/>
    <w:rsid w:val="005A6080"/>
    <w:rsid w:val="005A665D"/>
    <w:rsid w:val="005A729F"/>
    <w:rsid w:val="005A78B6"/>
    <w:rsid w:val="005A7AA2"/>
    <w:rsid w:val="005A7D80"/>
    <w:rsid w:val="005B11D9"/>
    <w:rsid w:val="005B16EF"/>
    <w:rsid w:val="005B1C63"/>
    <w:rsid w:val="005B2F30"/>
    <w:rsid w:val="005B3B25"/>
    <w:rsid w:val="005B4305"/>
    <w:rsid w:val="005B44AB"/>
    <w:rsid w:val="005B63EA"/>
    <w:rsid w:val="005B6F90"/>
    <w:rsid w:val="005B75EA"/>
    <w:rsid w:val="005B7ACA"/>
    <w:rsid w:val="005C04E8"/>
    <w:rsid w:val="005C09F8"/>
    <w:rsid w:val="005C22E8"/>
    <w:rsid w:val="005C2305"/>
    <w:rsid w:val="005C3B2D"/>
    <w:rsid w:val="005C4BB2"/>
    <w:rsid w:val="005C4D01"/>
    <w:rsid w:val="005C50CF"/>
    <w:rsid w:val="005C5B17"/>
    <w:rsid w:val="005C6740"/>
    <w:rsid w:val="005D2C69"/>
    <w:rsid w:val="005D4331"/>
    <w:rsid w:val="005D711C"/>
    <w:rsid w:val="005E1CD6"/>
    <w:rsid w:val="005E240C"/>
    <w:rsid w:val="005E31AC"/>
    <w:rsid w:val="005E6098"/>
    <w:rsid w:val="005E6A8B"/>
    <w:rsid w:val="005E7E61"/>
    <w:rsid w:val="005F06B4"/>
    <w:rsid w:val="005F155E"/>
    <w:rsid w:val="005F3238"/>
    <w:rsid w:val="005F4000"/>
    <w:rsid w:val="005F4888"/>
    <w:rsid w:val="005F4D20"/>
    <w:rsid w:val="005F5390"/>
    <w:rsid w:val="005F6546"/>
    <w:rsid w:val="006018FB"/>
    <w:rsid w:val="00606648"/>
    <w:rsid w:val="00606989"/>
    <w:rsid w:val="00610BA9"/>
    <w:rsid w:val="00611634"/>
    <w:rsid w:val="00611913"/>
    <w:rsid w:val="00611BC9"/>
    <w:rsid w:val="0061220C"/>
    <w:rsid w:val="00612F4C"/>
    <w:rsid w:val="0061372E"/>
    <w:rsid w:val="00613825"/>
    <w:rsid w:val="00614646"/>
    <w:rsid w:val="006159C4"/>
    <w:rsid w:val="00617FE0"/>
    <w:rsid w:val="00622EC6"/>
    <w:rsid w:val="00624C7F"/>
    <w:rsid w:val="006265AA"/>
    <w:rsid w:val="00626649"/>
    <w:rsid w:val="00626A04"/>
    <w:rsid w:val="00630936"/>
    <w:rsid w:val="00630DBB"/>
    <w:rsid w:val="006318F0"/>
    <w:rsid w:val="00631D7F"/>
    <w:rsid w:val="00632A53"/>
    <w:rsid w:val="006336AD"/>
    <w:rsid w:val="00633A2B"/>
    <w:rsid w:val="00634537"/>
    <w:rsid w:val="00634D8A"/>
    <w:rsid w:val="00636701"/>
    <w:rsid w:val="00636C09"/>
    <w:rsid w:val="0063727E"/>
    <w:rsid w:val="00641325"/>
    <w:rsid w:val="006425AF"/>
    <w:rsid w:val="00642901"/>
    <w:rsid w:val="00642BC1"/>
    <w:rsid w:val="00644E22"/>
    <w:rsid w:val="00646196"/>
    <w:rsid w:val="006461D4"/>
    <w:rsid w:val="0064644C"/>
    <w:rsid w:val="00646F9C"/>
    <w:rsid w:val="00647F83"/>
    <w:rsid w:val="006511EA"/>
    <w:rsid w:val="00651BAD"/>
    <w:rsid w:val="00653D17"/>
    <w:rsid w:val="00654DDA"/>
    <w:rsid w:val="006553EC"/>
    <w:rsid w:val="006559AA"/>
    <w:rsid w:val="00662C4D"/>
    <w:rsid w:val="006635FF"/>
    <w:rsid w:val="0066378F"/>
    <w:rsid w:val="00663ABF"/>
    <w:rsid w:val="00663F60"/>
    <w:rsid w:val="0066450E"/>
    <w:rsid w:val="00667B6F"/>
    <w:rsid w:val="00671045"/>
    <w:rsid w:val="006711AE"/>
    <w:rsid w:val="00671DAF"/>
    <w:rsid w:val="00672656"/>
    <w:rsid w:val="0067450F"/>
    <w:rsid w:val="00680B53"/>
    <w:rsid w:val="00682665"/>
    <w:rsid w:val="00683B85"/>
    <w:rsid w:val="0068516A"/>
    <w:rsid w:val="0068631C"/>
    <w:rsid w:val="0068792D"/>
    <w:rsid w:val="006901C0"/>
    <w:rsid w:val="00690763"/>
    <w:rsid w:val="00691953"/>
    <w:rsid w:val="00691EBC"/>
    <w:rsid w:val="006921B5"/>
    <w:rsid w:val="00692F09"/>
    <w:rsid w:val="00695EF0"/>
    <w:rsid w:val="006A0F73"/>
    <w:rsid w:val="006A14BE"/>
    <w:rsid w:val="006A2C52"/>
    <w:rsid w:val="006A38B6"/>
    <w:rsid w:val="006A42D4"/>
    <w:rsid w:val="006A4C5B"/>
    <w:rsid w:val="006A5B1F"/>
    <w:rsid w:val="006A6627"/>
    <w:rsid w:val="006A6AEC"/>
    <w:rsid w:val="006A7A59"/>
    <w:rsid w:val="006A7FA7"/>
    <w:rsid w:val="006B08B6"/>
    <w:rsid w:val="006B0DC2"/>
    <w:rsid w:val="006B1261"/>
    <w:rsid w:val="006B1511"/>
    <w:rsid w:val="006B1FBD"/>
    <w:rsid w:val="006B3F85"/>
    <w:rsid w:val="006B45CE"/>
    <w:rsid w:val="006B4FD3"/>
    <w:rsid w:val="006B7610"/>
    <w:rsid w:val="006C146C"/>
    <w:rsid w:val="006C2C13"/>
    <w:rsid w:val="006C324C"/>
    <w:rsid w:val="006C352E"/>
    <w:rsid w:val="006C3895"/>
    <w:rsid w:val="006C4E09"/>
    <w:rsid w:val="006C50C2"/>
    <w:rsid w:val="006C615E"/>
    <w:rsid w:val="006D0ECD"/>
    <w:rsid w:val="006D106F"/>
    <w:rsid w:val="006D1E6A"/>
    <w:rsid w:val="006D27C2"/>
    <w:rsid w:val="006D2EFB"/>
    <w:rsid w:val="006D4A12"/>
    <w:rsid w:val="006E179F"/>
    <w:rsid w:val="006E193F"/>
    <w:rsid w:val="006E2930"/>
    <w:rsid w:val="006E2938"/>
    <w:rsid w:val="006E29C1"/>
    <w:rsid w:val="006E2AD0"/>
    <w:rsid w:val="006E4235"/>
    <w:rsid w:val="006E7211"/>
    <w:rsid w:val="006E79E3"/>
    <w:rsid w:val="006E7A99"/>
    <w:rsid w:val="006F2100"/>
    <w:rsid w:val="006F21A5"/>
    <w:rsid w:val="006F27BF"/>
    <w:rsid w:val="006F3775"/>
    <w:rsid w:val="006F37F8"/>
    <w:rsid w:val="006F6DCE"/>
    <w:rsid w:val="006F70C0"/>
    <w:rsid w:val="006F7B21"/>
    <w:rsid w:val="00700B2A"/>
    <w:rsid w:val="007011E3"/>
    <w:rsid w:val="007015BF"/>
    <w:rsid w:val="00701681"/>
    <w:rsid w:val="0070171F"/>
    <w:rsid w:val="007023FB"/>
    <w:rsid w:val="0070247B"/>
    <w:rsid w:val="00703376"/>
    <w:rsid w:val="0070381C"/>
    <w:rsid w:val="007048B0"/>
    <w:rsid w:val="007051EB"/>
    <w:rsid w:val="00705267"/>
    <w:rsid w:val="00705E9B"/>
    <w:rsid w:val="0070623E"/>
    <w:rsid w:val="007066F0"/>
    <w:rsid w:val="00706F41"/>
    <w:rsid w:val="00710886"/>
    <w:rsid w:val="00710B55"/>
    <w:rsid w:val="00711DC3"/>
    <w:rsid w:val="007142DA"/>
    <w:rsid w:val="007154F5"/>
    <w:rsid w:val="007159E8"/>
    <w:rsid w:val="00715E2A"/>
    <w:rsid w:val="007160FC"/>
    <w:rsid w:val="00716191"/>
    <w:rsid w:val="007165D1"/>
    <w:rsid w:val="0071662D"/>
    <w:rsid w:val="00720033"/>
    <w:rsid w:val="0072068A"/>
    <w:rsid w:val="007206FA"/>
    <w:rsid w:val="00720C10"/>
    <w:rsid w:val="00720CDF"/>
    <w:rsid w:val="007220BD"/>
    <w:rsid w:val="00724594"/>
    <w:rsid w:val="0072775E"/>
    <w:rsid w:val="007309F4"/>
    <w:rsid w:val="00731137"/>
    <w:rsid w:val="00731212"/>
    <w:rsid w:val="00731E1A"/>
    <w:rsid w:val="00731EDA"/>
    <w:rsid w:val="007324DD"/>
    <w:rsid w:val="007339B6"/>
    <w:rsid w:val="00734CE7"/>
    <w:rsid w:val="00735461"/>
    <w:rsid w:val="00736ADE"/>
    <w:rsid w:val="007375C3"/>
    <w:rsid w:val="007411D3"/>
    <w:rsid w:val="00744861"/>
    <w:rsid w:val="007478D6"/>
    <w:rsid w:val="00747BB1"/>
    <w:rsid w:val="0075124E"/>
    <w:rsid w:val="00751B6B"/>
    <w:rsid w:val="007528C2"/>
    <w:rsid w:val="0075497B"/>
    <w:rsid w:val="00755145"/>
    <w:rsid w:val="0075617D"/>
    <w:rsid w:val="00756D27"/>
    <w:rsid w:val="0076199F"/>
    <w:rsid w:val="00762158"/>
    <w:rsid w:val="007630B3"/>
    <w:rsid w:val="00764B39"/>
    <w:rsid w:val="00764E5F"/>
    <w:rsid w:val="00765195"/>
    <w:rsid w:val="0076647D"/>
    <w:rsid w:val="0076683F"/>
    <w:rsid w:val="00767A49"/>
    <w:rsid w:val="00770052"/>
    <w:rsid w:val="0077065C"/>
    <w:rsid w:val="00770F73"/>
    <w:rsid w:val="00771183"/>
    <w:rsid w:val="0077125D"/>
    <w:rsid w:val="00771F77"/>
    <w:rsid w:val="00772A14"/>
    <w:rsid w:val="00772C5B"/>
    <w:rsid w:val="00772EB8"/>
    <w:rsid w:val="007739D8"/>
    <w:rsid w:val="00773C6F"/>
    <w:rsid w:val="00774CA4"/>
    <w:rsid w:val="00774FA3"/>
    <w:rsid w:val="00775861"/>
    <w:rsid w:val="00776226"/>
    <w:rsid w:val="00776769"/>
    <w:rsid w:val="0077784E"/>
    <w:rsid w:val="0078090C"/>
    <w:rsid w:val="0078190C"/>
    <w:rsid w:val="00781D2E"/>
    <w:rsid w:val="00781D60"/>
    <w:rsid w:val="00782A6A"/>
    <w:rsid w:val="00782B3C"/>
    <w:rsid w:val="00783429"/>
    <w:rsid w:val="00784765"/>
    <w:rsid w:val="00785F3B"/>
    <w:rsid w:val="00786EFE"/>
    <w:rsid w:val="007873B4"/>
    <w:rsid w:val="007877DB"/>
    <w:rsid w:val="00790D4C"/>
    <w:rsid w:val="00790EDE"/>
    <w:rsid w:val="0079316F"/>
    <w:rsid w:val="007946EF"/>
    <w:rsid w:val="007A023F"/>
    <w:rsid w:val="007A1CCF"/>
    <w:rsid w:val="007A1CFB"/>
    <w:rsid w:val="007A3C9C"/>
    <w:rsid w:val="007A3CED"/>
    <w:rsid w:val="007A50AA"/>
    <w:rsid w:val="007A62FF"/>
    <w:rsid w:val="007A65D5"/>
    <w:rsid w:val="007A66F7"/>
    <w:rsid w:val="007B14A3"/>
    <w:rsid w:val="007B17B9"/>
    <w:rsid w:val="007B1C82"/>
    <w:rsid w:val="007B4671"/>
    <w:rsid w:val="007B5FE6"/>
    <w:rsid w:val="007B6BD8"/>
    <w:rsid w:val="007B70A0"/>
    <w:rsid w:val="007B7145"/>
    <w:rsid w:val="007B718D"/>
    <w:rsid w:val="007C1599"/>
    <w:rsid w:val="007C171A"/>
    <w:rsid w:val="007C3312"/>
    <w:rsid w:val="007C39B5"/>
    <w:rsid w:val="007C5797"/>
    <w:rsid w:val="007C5806"/>
    <w:rsid w:val="007C6026"/>
    <w:rsid w:val="007C650D"/>
    <w:rsid w:val="007C68B0"/>
    <w:rsid w:val="007C68B5"/>
    <w:rsid w:val="007D264C"/>
    <w:rsid w:val="007D2ABA"/>
    <w:rsid w:val="007D3AC0"/>
    <w:rsid w:val="007D4AB3"/>
    <w:rsid w:val="007D53F3"/>
    <w:rsid w:val="007D634D"/>
    <w:rsid w:val="007D68F6"/>
    <w:rsid w:val="007D6C02"/>
    <w:rsid w:val="007D7A8F"/>
    <w:rsid w:val="007D7DD5"/>
    <w:rsid w:val="007E0077"/>
    <w:rsid w:val="007E14F1"/>
    <w:rsid w:val="007E1784"/>
    <w:rsid w:val="007E3015"/>
    <w:rsid w:val="007E38AB"/>
    <w:rsid w:val="007E4103"/>
    <w:rsid w:val="007E48C6"/>
    <w:rsid w:val="007E4F94"/>
    <w:rsid w:val="007E55A5"/>
    <w:rsid w:val="007E5E6D"/>
    <w:rsid w:val="007E7143"/>
    <w:rsid w:val="007F2366"/>
    <w:rsid w:val="007F31AE"/>
    <w:rsid w:val="007F3EDB"/>
    <w:rsid w:val="007F410D"/>
    <w:rsid w:val="007F6084"/>
    <w:rsid w:val="007F6250"/>
    <w:rsid w:val="007F6B0A"/>
    <w:rsid w:val="007F6F40"/>
    <w:rsid w:val="007F7135"/>
    <w:rsid w:val="00800CF1"/>
    <w:rsid w:val="008018D4"/>
    <w:rsid w:val="00801A45"/>
    <w:rsid w:val="00803A78"/>
    <w:rsid w:val="008040C2"/>
    <w:rsid w:val="00805056"/>
    <w:rsid w:val="0080581F"/>
    <w:rsid w:val="00805AC4"/>
    <w:rsid w:val="0080662B"/>
    <w:rsid w:val="008069E9"/>
    <w:rsid w:val="00806CB9"/>
    <w:rsid w:val="00807374"/>
    <w:rsid w:val="008074EF"/>
    <w:rsid w:val="008105F1"/>
    <w:rsid w:val="0081081A"/>
    <w:rsid w:val="00811992"/>
    <w:rsid w:val="00812F77"/>
    <w:rsid w:val="008139E5"/>
    <w:rsid w:val="008147D7"/>
    <w:rsid w:val="00815CA2"/>
    <w:rsid w:val="00816D8F"/>
    <w:rsid w:val="00816EB9"/>
    <w:rsid w:val="00820C32"/>
    <w:rsid w:val="00821787"/>
    <w:rsid w:val="00822A8C"/>
    <w:rsid w:val="00823608"/>
    <w:rsid w:val="00823940"/>
    <w:rsid w:val="00823DE8"/>
    <w:rsid w:val="008247C9"/>
    <w:rsid w:val="00824BFE"/>
    <w:rsid w:val="0082512F"/>
    <w:rsid w:val="00826162"/>
    <w:rsid w:val="00826E90"/>
    <w:rsid w:val="00827967"/>
    <w:rsid w:val="00827EC1"/>
    <w:rsid w:val="00830583"/>
    <w:rsid w:val="00831047"/>
    <w:rsid w:val="00831340"/>
    <w:rsid w:val="0083144D"/>
    <w:rsid w:val="008314EA"/>
    <w:rsid w:val="00832F95"/>
    <w:rsid w:val="00834720"/>
    <w:rsid w:val="008361D8"/>
    <w:rsid w:val="00836572"/>
    <w:rsid w:val="008409D1"/>
    <w:rsid w:val="00841780"/>
    <w:rsid w:val="00842117"/>
    <w:rsid w:val="00843AEA"/>
    <w:rsid w:val="00846852"/>
    <w:rsid w:val="00847790"/>
    <w:rsid w:val="00850AAF"/>
    <w:rsid w:val="008520B3"/>
    <w:rsid w:val="00852AD4"/>
    <w:rsid w:val="00853082"/>
    <w:rsid w:val="00853C3C"/>
    <w:rsid w:val="00853EB6"/>
    <w:rsid w:val="00855CF2"/>
    <w:rsid w:val="00856915"/>
    <w:rsid w:val="0086048E"/>
    <w:rsid w:val="00861D08"/>
    <w:rsid w:val="00862CD7"/>
    <w:rsid w:val="0086634E"/>
    <w:rsid w:val="008675B1"/>
    <w:rsid w:val="00870CA4"/>
    <w:rsid w:val="00870EED"/>
    <w:rsid w:val="00873DCB"/>
    <w:rsid w:val="00875524"/>
    <w:rsid w:val="00875900"/>
    <w:rsid w:val="00875DF8"/>
    <w:rsid w:val="0088138E"/>
    <w:rsid w:val="00881843"/>
    <w:rsid w:val="00881D0A"/>
    <w:rsid w:val="00881F47"/>
    <w:rsid w:val="00884125"/>
    <w:rsid w:val="0088705B"/>
    <w:rsid w:val="00887C7F"/>
    <w:rsid w:val="0089275A"/>
    <w:rsid w:val="0089426D"/>
    <w:rsid w:val="00894BD4"/>
    <w:rsid w:val="00894C37"/>
    <w:rsid w:val="008951F1"/>
    <w:rsid w:val="008961A2"/>
    <w:rsid w:val="008A1014"/>
    <w:rsid w:val="008A325C"/>
    <w:rsid w:val="008A4217"/>
    <w:rsid w:val="008A5FED"/>
    <w:rsid w:val="008B021E"/>
    <w:rsid w:val="008B087F"/>
    <w:rsid w:val="008B120C"/>
    <w:rsid w:val="008B2F1F"/>
    <w:rsid w:val="008B3B5D"/>
    <w:rsid w:val="008B50EF"/>
    <w:rsid w:val="008B6803"/>
    <w:rsid w:val="008C1A56"/>
    <w:rsid w:val="008C28E2"/>
    <w:rsid w:val="008C4389"/>
    <w:rsid w:val="008C4754"/>
    <w:rsid w:val="008C5001"/>
    <w:rsid w:val="008C5A25"/>
    <w:rsid w:val="008C5B46"/>
    <w:rsid w:val="008C5FA1"/>
    <w:rsid w:val="008D062B"/>
    <w:rsid w:val="008D142A"/>
    <w:rsid w:val="008D193A"/>
    <w:rsid w:val="008D3991"/>
    <w:rsid w:val="008D41EE"/>
    <w:rsid w:val="008D4A5B"/>
    <w:rsid w:val="008D4B97"/>
    <w:rsid w:val="008D5BCE"/>
    <w:rsid w:val="008E2034"/>
    <w:rsid w:val="008E20C5"/>
    <w:rsid w:val="008E351C"/>
    <w:rsid w:val="008E6236"/>
    <w:rsid w:val="008E733B"/>
    <w:rsid w:val="008E7B24"/>
    <w:rsid w:val="008F0E06"/>
    <w:rsid w:val="008F190C"/>
    <w:rsid w:val="008F3B5A"/>
    <w:rsid w:val="008F487D"/>
    <w:rsid w:val="008F4ADA"/>
    <w:rsid w:val="008F55B2"/>
    <w:rsid w:val="008F5919"/>
    <w:rsid w:val="008F7D4E"/>
    <w:rsid w:val="009001D2"/>
    <w:rsid w:val="00900711"/>
    <w:rsid w:val="0090124B"/>
    <w:rsid w:val="00903C30"/>
    <w:rsid w:val="00904160"/>
    <w:rsid w:val="009059F5"/>
    <w:rsid w:val="00905AE4"/>
    <w:rsid w:val="00905CAA"/>
    <w:rsid w:val="00905CDD"/>
    <w:rsid w:val="009062BC"/>
    <w:rsid w:val="0091123D"/>
    <w:rsid w:val="00911B77"/>
    <w:rsid w:val="00913C1E"/>
    <w:rsid w:val="00913E51"/>
    <w:rsid w:val="009141B7"/>
    <w:rsid w:val="009149EA"/>
    <w:rsid w:val="00915263"/>
    <w:rsid w:val="00915708"/>
    <w:rsid w:val="00916093"/>
    <w:rsid w:val="00916198"/>
    <w:rsid w:val="009163E7"/>
    <w:rsid w:val="00916608"/>
    <w:rsid w:val="009202E2"/>
    <w:rsid w:val="0092036C"/>
    <w:rsid w:val="00920C15"/>
    <w:rsid w:val="0092114D"/>
    <w:rsid w:val="009213D9"/>
    <w:rsid w:val="009221CA"/>
    <w:rsid w:val="00922D40"/>
    <w:rsid w:val="00922EF3"/>
    <w:rsid w:val="00923168"/>
    <w:rsid w:val="0092406D"/>
    <w:rsid w:val="009244BA"/>
    <w:rsid w:val="00924561"/>
    <w:rsid w:val="00926305"/>
    <w:rsid w:val="00926358"/>
    <w:rsid w:val="009267EF"/>
    <w:rsid w:val="00926880"/>
    <w:rsid w:val="009268B5"/>
    <w:rsid w:val="009268FD"/>
    <w:rsid w:val="00927374"/>
    <w:rsid w:val="0093032D"/>
    <w:rsid w:val="009303A5"/>
    <w:rsid w:val="0093190D"/>
    <w:rsid w:val="009342FB"/>
    <w:rsid w:val="00934BBF"/>
    <w:rsid w:val="00934EDC"/>
    <w:rsid w:val="00935FA5"/>
    <w:rsid w:val="00940F58"/>
    <w:rsid w:val="00941014"/>
    <w:rsid w:val="00942721"/>
    <w:rsid w:val="00942AA6"/>
    <w:rsid w:val="00942ADD"/>
    <w:rsid w:val="00942FC2"/>
    <w:rsid w:val="00943CCB"/>
    <w:rsid w:val="0094434B"/>
    <w:rsid w:val="009462C4"/>
    <w:rsid w:val="009466F4"/>
    <w:rsid w:val="009467DC"/>
    <w:rsid w:val="009471B9"/>
    <w:rsid w:val="0094743E"/>
    <w:rsid w:val="0095080F"/>
    <w:rsid w:val="009511A7"/>
    <w:rsid w:val="00953319"/>
    <w:rsid w:val="009549CF"/>
    <w:rsid w:val="009556EC"/>
    <w:rsid w:val="009559BC"/>
    <w:rsid w:val="0095607C"/>
    <w:rsid w:val="0095683B"/>
    <w:rsid w:val="00956B4D"/>
    <w:rsid w:val="009575F1"/>
    <w:rsid w:val="0095797A"/>
    <w:rsid w:val="00957AE6"/>
    <w:rsid w:val="00960A08"/>
    <w:rsid w:val="00960E44"/>
    <w:rsid w:val="009613C1"/>
    <w:rsid w:val="0096140D"/>
    <w:rsid w:val="009629FB"/>
    <w:rsid w:val="009635B4"/>
    <w:rsid w:val="009655F3"/>
    <w:rsid w:val="00965AC1"/>
    <w:rsid w:val="00965B8F"/>
    <w:rsid w:val="009726FE"/>
    <w:rsid w:val="00972C59"/>
    <w:rsid w:val="0097383F"/>
    <w:rsid w:val="00974939"/>
    <w:rsid w:val="00975182"/>
    <w:rsid w:val="009755AB"/>
    <w:rsid w:val="00976367"/>
    <w:rsid w:val="00976454"/>
    <w:rsid w:val="009768D3"/>
    <w:rsid w:val="009770A7"/>
    <w:rsid w:val="009778F2"/>
    <w:rsid w:val="00980937"/>
    <w:rsid w:val="00980CBA"/>
    <w:rsid w:val="00982954"/>
    <w:rsid w:val="009862C2"/>
    <w:rsid w:val="00986754"/>
    <w:rsid w:val="0098747D"/>
    <w:rsid w:val="009875FA"/>
    <w:rsid w:val="0098799C"/>
    <w:rsid w:val="009905CB"/>
    <w:rsid w:val="00990A75"/>
    <w:rsid w:val="0099104D"/>
    <w:rsid w:val="00991CF0"/>
    <w:rsid w:val="00992400"/>
    <w:rsid w:val="0099403C"/>
    <w:rsid w:val="00994C61"/>
    <w:rsid w:val="0099525C"/>
    <w:rsid w:val="0099620A"/>
    <w:rsid w:val="00996351"/>
    <w:rsid w:val="009970CF"/>
    <w:rsid w:val="0099748E"/>
    <w:rsid w:val="009979B3"/>
    <w:rsid w:val="009A0DB0"/>
    <w:rsid w:val="009A476C"/>
    <w:rsid w:val="009A4DAC"/>
    <w:rsid w:val="009A57BF"/>
    <w:rsid w:val="009A64C7"/>
    <w:rsid w:val="009B0B3C"/>
    <w:rsid w:val="009B0CC8"/>
    <w:rsid w:val="009B1AD8"/>
    <w:rsid w:val="009B293B"/>
    <w:rsid w:val="009B4E88"/>
    <w:rsid w:val="009B605D"/>
    <w:rsid w:val="009B697B"/>
    <w:rsid w:val="009B6C2D"/>
    <w:rsid w:val="009B6FC6"/>
    <w:rsid w:val="009B7CEE"/>
    <w:rsid w:val="009C0853"/>
    <w:rsid w:val="009C090D"/>
    <w:rsid w:val="009C27C0"/>
    <w:rsid w:val="009C3017"/>
    <w:rsid w:val="009C44A4"/>
    <w:rsid w:val="009C55AE"/>
    <w:rsid w:val="009C6BA1"/>
    <w:rsid w:val="009C7DB3"/>
    <w:rsid w:val="009D012C"/>
    <w:rsid w:val="009D3CC3"/>
    <w:rsid w:val="009D4561"/>
    <w:rsid w:val="009D4574"/>
    <w:rsid w:val="009D5DC1"/>
    <w:rsid w:val="009D6C81"/>
    <w:rsid w:val="009E1B91"/>
    <w:rsid w:val="009E24D0"/>
    <w:rsid w:val="009E37C3"/>
    <w:rsid w:val="009E435A"/>
    <w:rsid w:val="009E5195"/>
    <w:rsid w:val="009E5678"/>
    <w:rsid w:val="009E5768"/>
    <w:rsid w:val="009E5F51"/>
    <w:rsid w:val="009E6836"/>
    <w:rsid w:val="009E6E7B"/>
    <w:rsid w:val="009F0482"/>
    <w:rsid w:val="009F1610"/>
    <w:rsid w:val="009F17BD"/>
    <w:rsid w:val="009F2889"/>
    <w:rsid w:val="009F417D"/>
    <w:rsid w:val="009F6011"/>
    <w:rsid w:val="009F60D5"/>
    <w:rsid w:val="009F7899"/>
    <w:rsid w:val="009F7E8A"/>
    <w:rsid w:val="00A003AD"/>
    <w:rsid w:val="00A0097C"/>
    <w:rsid w:val="00A00F08"/>
    <w:rsid w:val="00A01DE2"/>
    <w:rsid w:val="00A02D48"/>
    <w:rsid w:val="00A03EB6"/>
    <w:rsid w:val="00A0440A"/>
    <w:rsid w:val="00A06409"/>
    <w:rsid w:val="00A06C40"/>
    <w:rsid w:val="00A079DB"/>
    <w:rsid w:val="00A11636"/>
    <w:rsid w:val="00A11672"/>
    <w:rsid w:val="00A12468"/>
    <w:rsid w:val="00A12800"/>
    <w:rsid w:val="00A12CDF"/>
    <w:rsid w:val="00A136F3"/>
    <w:rsid w:val="00A159AC"/>
    <w:rsid w:val="00A1613F"/>
    <w:rsid w:val="00A1682A"/>
    <w:rsid w:val="00A16BFA"/>
    <w:rsid w:val="00A16F31"/>
    <w:rsid w:val="00A17B29"/>
    <w:rsid w:val="00A22D30"/>
    <w:rsid w:val="00A2425E"/>
    <w:rsid w:val="00A24AA7"/>
    <w:rsid w:val="00A255D8"/>
    <w:rsid w:val="00A255F7"/>
    <w:rsid w:val="00A273AF"/>
    <w:rsid w:val="00A276E6"/>
    <w:rsid w:val="00A27C90"/>
    <w:rsid w:val="00A30B92"/>
    <w:rsid w:val="00A314F5"/>
    <w:rsid w:val="00A32C21"/>
    <w:rsid w:val="00A33094"/>
    <w:rsid w:val="00A3343F"/>
    <w:rsid w:val="00A33709"/>
    <w:rsid w:val="00A33FB2"/>
    <w:rsid w:val="00A348E2"/>
    <w:rsid w:val="00A349E5"/>
    <w:rsid w:val="00A36037"/>
    <w:rsid w:val="00A367CD"/>
    <w:rsid w:val="00A368A6"/>
    <w:rsid w:val="00A36B26"/>
    <w:rsid w:val="00A370D1"/>
    <w:rsid w:val="00A37C0A"/>
    <w:rsid w:val="00A37D7D"/>
    <w:rsid w:val="00A41316"/>
    <w:rsid w:val="00A42598"/>
    <w:rsid w:val="00A43BB1"/>
    <w:rsid w:val="00A4476D"/>
    <w:rsid w:val="00A44A69"/>
    <w:rsid w:val="00A45431"/>
    <w:rsid w:val="00A45566"/>
    <w:rsid w:val="00A46B2E"/>
    <w:rsid w:val="00A478F4"/>
    <w:rsid w:val="00A479AB"/>
    <w:rsid w:val="00A47B94"/>
    <w:rsid w:val="00A47FF6"/>
    <w:rsid w:val="00A51032"/>
    <w:rsid w:val="00A523B3"/>
    <w:rsid w:val="00A52F3E"/>
    <w:rsid w:val="00A54FFF"/>
    <w:rsid w:val="00A554A7"/>
    <w:rsid w:val="00A55B91"/>
    <w:rsid w:val="00A56F0D"/>
    <w:rsid w:val="00A57F29"/>
    <w:rsid w:val="00A60DD3"/>
    <w:rsid w:val="00A60F46"/>
    <w:rsid w:val="00A61C15"/>
    <w:rsid w:val="00A620A4"/>
    <w:rsid w:val="00A6252E"/>
    <w:rsid w:val="00A629E1"/>
    <w:rsid w:val="00A64F76"/>
    <w:rsid w:val="00A67098"/>
    <w:rsid w:val="00A67B81"/>
    <w:rsid w:val="00A7047E"/>
    <w:rsid w:val="00A73ACD"/>
    <w:rsid w:val="00A778E3"/>
    <w:rsid w:val="00A8265C"/>
    <w:rsid w:val="00A82843"/>
    <w:rsid w:val="00A83839"/>
    <w:rsid w:val="00A83AC2"/>
    <w:rsid w:val="00A8564B"/>
    <w:rsid w:val="00A85902"/>
    <w:rsid w:val="00A8598B"/>
    <w:rsid w:val="00A86186"/>
    <w:rsid w:val="00A86560"/>
    <w:rsid w:val="00A86847"/>
    <w:rsid w:val="00A874EB"/>
    <w:rsid w:val="00A8773B"/>
    <w:rsid w:val="00A901D8"/>
    <w:rsid w:val="00A9081E"/>
    <w:rsid w:val="00A90CD3"/>
    <w:rsid w:val="00A90F67"/>
    <w:rsid w:val="00A94B97"/>
    <w:rsid w:val="00A94F9F"/>
    <w:rsid w:val="00A97BAB"/>
    <w:rsid w:val="00AA0383"/>
    <w:rsid w:val="00AA0D01"/>
    <w:rsid w:val="00AA14F9"/>
    <w:rsid w:val="00AA1DEE"/>
    <w:rsid w:val="00AA2A02"/>
    <w:rsid w:val="00AA2A65"/>
    <w:rsid w:val="00AA3030"/>
    <w:rsid w:val="00AA30EF"/>
    <w:rsid w:val="00AA3AFF"/>
    <w:rsid w:val="00AA55DA"/>
    <w:rsid w:val="00AA5DAC"/>
    <w:rsid w:val="00AA6BF1"/>
    <w:rsid w:val="00AA766E"/>
    <w:rsid w:val="00AB1867"/>
    <w:rsid w:val="00AB2E63"/>
    <w:rsid w:val="00AB3630"/>
    <w:rsid w:val="00AB582D"/>
    <w:rsid w:val="00AB68B8"/>
    <w:rsid w:val="00AB7717"/>
    <w:rsid w:val="00AC253C"/>
    <w:rsid w:val="00AC2804"/>
    <w:rsid w:val="00AC367C"/>
    <w:rsid w:val="00AC450D"/>
    <w:rsid w:val="00AC63FC"/>
    <w:rsid w:val="00AC74A2"/>
    <w:rsid w:val="00AD212B"/>
    <w:rsid w:val="00AD2148"/>
    <w:rsid w:val="00AD2536"/>
    <w:rsid w:val="00AD2847"/>
    <w:rsid w:val="00AD2A67"/>
    <w:rsid w:val="00AD2C5D"/>
    <w:rsid w:val="00AD2CBA"/>
    <w:rsid w:val="00AD4F64"/>
    <w:rsid w:val="00AD6AC2"/>
    <w:rsid w:val="00AD6D98"/>
    <w:rsid w:val="00AD747D"/>
    <w:rsid w:val="00AE0267"/>
    <w:rsid w:val="00AE189F"/>
    <w:rsid w:val="00AE5273"/>
    <w:rsid w:val="00AE5B1F"/>
    <w:rsid w:val="00AE5D8A"/>
    <w:rsid w:val="00AF07DE"/>
    <w:rsid w:val="00AF11F5"/>
    <w:rsid w:val="00AF14D3"/>
    <w:rsid w:val="00AF3847"/>
    <w:rsid w:val="00AF3D10"/>
    <w:rsid w:val="00AF3F20"/>
    <w:rsid w:val="00AF459C"/>
    <w:rsid w:val="00AF4F13"/>
    <w:rsid w:val="00AF5994"/>
    <w:rsid w:val="00AF63B4"/>
    <w:rsid w:val="00AF6900"/>
    <w:rsid w:val="00AF7FFB"/>
    <w:rsid w:val="00B00201"/>
    <w:rsid w:val="00B0070D"/>
    <w:rsid w:val="00B00D37"/>
    <w:rsid w:val="00B01CDF"/>
    <w:rsid w:val="00B0331A"/>
    <w:rsid w:val="00B052AD"/>
    <w:rsid w:val="00B055AA"/>
    <w:rsid w:val="00B05BDB"/>
    <w:rsid w:val="00B05C5F"/>
    <w:rsid w:val="00B05EBC"/>
    <w:rsid w:val="00B05F49"/>
    <w:rsid w:val="00B06593"/>
    <w:rsid w:val="00B06B60"/>
    <w:rsid w:val="00B06DF7"/>
    <w:rsid w:val="00B07335"/>
    <w:rsid w:val="00B07B4E"/>
    <w:rsid w:val="00B10F6F"/>
    <w:rsid w:val="00B11D3A"/>
    <w:rsid w:val="00B11EE0"/>
    <w:rsid w:val="00B134CD"/>
    <w:rsid w:val="00B145E9"/>
    <w:rsid w:val="00B15597"/>
    <w:rsid w:val="00B15F56"/>
    <w:rsid w:val="00B1697D"/>
    <w:rsid w:val="00B17314"/>
    <w:rsid w:val="00B2001D"/>
    <w:rsid w:val="00B22F76"/>
    <w:rsid w:val="00B233D6"/>
    <w:rsid w:val="00B24489"/>
    <w:rsid w:val="00B24F39"/>
    <w:rsid w:val="00B25D5F"/>
    <w:rsid w:val="00B26320"/>
    <w:rsid w:val="00B27002"/>
    <w:rsid w:val="00B27320"/>
    <w:rsid w:val="00B300A2"/>
    <w:rsid w:val="00B320B1"/>
    <w:rsid w:val="00B33B6D"/>
    <w:rsid w:val="00B348B8"/>
    <w:rsid w:val="00B35205"/>
    <w:rsid w:val="00B357EA"/>
    <w:rsid w:val="00B402C0"/>
    <w:rsid w:val="00B4176C"/>
    <w:rsid w:val="00B42B39"/>
    <w:rsid w:val="00B42F78"/>
    <w:rsid w:val="00B432CA"/>
    <w:rsid w:val="00B4397C"/>
    <w:rsid w:val="00B439F2"/>
    <w:rsid w:val="00B477A3"/>
    <w:rsid w:val="00B47D49"/>
    <w:rsid w:val="00B50148"/>
    <w:rsid w:val="00B50E5C"/>
    <w:rsid w:val="00B51231"/>
    <w:rsid w:val="00B51FCE"/>
    <w:rsid w:val="00B52027"/>
    <w:rsid w:val="00B520F6"/>
    <w:rsid w:val="00B5214B"/>
    <w:rsid w:val="00B53EC7"/>
    <w:rsid w:val="00B53F02"/>
    <w:rsid w:val="00B540C6"/>
    <w:rsid w:val="00B54979"/>
    <w:rsid w:val="00B5538E"/>
    <w:rsid w:val="00B566BE"/>
    <w:rsid w:val="00B56ED0"/>
    <w:rsid w:val="00B57FD1"/>
    <w:rsid w:val="00B6157E"/>
    <w:rsid w:val="00B61C84"/>
    <w:rsid w:val="00B6345F"/>
    <w:rsid w:val="00B64EB7"/>
    <w:rsid w:val="00B651FE"/>
    <w:rsid w:val="00B652F1"/>
    <w:rsid w:val="00B653F7"/>
    <w:rsid w:val="00B656F3"/>
    <w:rsid w:val="00B65F83"/>
    <w:rsid w:val="00B71391"/>
    <w:rsid w:val="00B7291F"/>
    <w:rsid w:val="00B72B04"/>
    <w:rsid w:val="00B74706"/>
    <w:rsid w:val="00B76940"/>
    <w:rsid w:val="00B7728B"/>
    <w:rsid w:val="00B8041F"/>
    <w:rsid w:val="00B8072E"/>
    <w:rsid w:val="00B81155"/>
    <w:rsid w:val="00B812D3"/>
    <w:rsid w:val="00B81CC1"/>
    <w:rsid w:val="00B82023"/>
    <w:rsid w:val="00B84A20"/>
    <w:rsid w:val="00B84AD2"/>
    <w:rsid w:val="00B85046"/>
    <w:rsid w:val="00B854B6"/>
    <w:rsid w:val="00B85D3B"/>
    <w:rsid w:val="00B8703C"/>
    <w:rsid w:val="00B87CE0"/>
    <w:rsid w:val="00B90E80"/>
    <w:rsid w:val="00B9142B"/>
    <w:rsid w:val="00B91D72"/>
    <w:rsid w:val="00B92917"/>
    <w:rsid w:val="00B943B1"/>
    <w:rsid w:val="00B94831"/>
    <w:rsid w:val="00B94EF3"/>
    <w:rsid w:val="00B9588A"/>
    <w:rsid w:val="00B96160"/>
    <w:rsid w:val="00B968E7"/>
    <w:rsid w:val="00B96D6E"/>
    <w:rsid w:val="00BA0EF5"/>
    <w:rsid w:val="00BA0F76"/>
    <w:rsid w:val="00BA2311"/>
    <w:rsid w:val="00BA4129"/>
    <w:rsid w:val="00BA4DA2"/>
    <w:rsid w:val="00BA582C"/>
    <w:rsid w:val="00BA61D6"/>
    <w:rsid w:val="00BA65AF"/>
    <w:rsid w:val="00BA6E26"/>
    <w:rsid w:val="00BA78D2"/>
    <w:rsid w:val="00BA79FA"/>
    <w:rsid w:val="00BA7A8C"/>
    <w:rsid w:val="00BB4A73"/>
    <w:rsid w:val="00BB5351"/>
    <w:rsid w:val="00BB54BA"/>
    <w:rsid w:val="00BC0794"/>
    <w:rsid w:val="00BC1B16"/>
    <w:rsid w:val="00BC213D"/>
    <w:rsid w:val="00BC3C28"/>
    <w:rsid w:val="00BC4082"/>
    <w:rsid w:val="00BC6DB5"/>
    <w:rsid w:val="00BC6E62"/>
    <w:rsid w:val="00BC7C97"/>
    <w:rsid w:val="00BC7D94"/>
    <w:rsid w:val="00BD01FF"/>
    <w:rsid w:val="00BD04BB"/>
    <w:rsid w:val="00BD2645"/>
    <w:rsid w:val="00BD5F8E"/>
    <w:rsid w:val="00BD7049"/>
    <w:rsid w:val="00BD7C61"/>
    <w:rsid w:val="00BE01F6"/>
    <w:rsid w:val="00BE0DC9"/>
    <w:rsid w:val="00BE178F"/>
    <w:rsid w:val="00BE1D1A"/>
    <w:rsid w:val="00BE3EF1"/>
    <w:rsid w:val="00BE5B4D"/>
    <w:rsid w:val="00BE5D6D"/>
    <w:rsid w:val="00BE5EB4"/>
    <w:rsid w:val="00BF11E1"/>
    <w:rsid w:val="00BF160A"/>
    <w:rsid w:val="00BF3920"/>
    <w:rsid w:val="00BF3A99"/>
    <w:rsid w:val="00BF3B71"/>
    <w:rsid w:val="00BF3F45"/>
    <w:rsid w:val="00BF4D9A"/>
    <w:rsid w:val="00BF50B1"/>
    <w:rsid w:val="00BF5424"/>
    <w:rsid w:val="00BF6223"/>
    <w:rsid w:val="00BF7919"/>
    <w:rsid w:val="00BF7EC6"/>
    <w:rsid w:val="00C01BAE"/>
    <w:rsid w:val="00C035B7"/>
    <w:rsid w:val="00C03900"/>
    <w:rsid w:val="00C06A5B"/>
    <w:rsid w:val="00C06B03"/>
    <w:rsid w:val="00C1000B"/>
    <w:rsid w:val="00C10953"/>
    <w:rsid w:val="00C1110E"/>
    <w:rsid w:val="00C11C69"/>
    <w:rsid w:val="00C12DFF"/>
    <w:rsid w:val="00C15438"/>
    <w:rsid w:val="00C15713"/>
    <w:rsid w:val="00C15B86"/>
    <w:rsid w:val="00C16833"/>
    <w:rsid w:val="00C170DB"/>
    <w:rsid w:val="00C17D8F"/>
    <w:rsid w:val="00C20722"/>
    <w:rsid w:val="00C20C15"/>
    <w:rsid w:val="00C22766"/>
    <w:rsid w:val="00C241D9"/>
    <w:rsid w:val="00C24DBF"/>
    <w:rsid w:val="00C25A34"/>
    <w:rsid w:val="00C25BEF"/>
    <w:rsid w:val="00C25C72"/>
    <w:rsid w:val="00C25EF4"/>
    <w:rsid w:val="00C26011"/>
    <w:rsid w:val="00C275F4"/>
    <w:rsid w:val="00C30F0A"/>
    <w:rsid w:val="00C31841"/>
    <w:rsid w:val="00C33F57"/>
    <w:rsid w:val="00C362FE"/>
    <w:rsid w:val="00C37E07"/>
    <w:rsid w:val="00C40B7D"/>
    <w:rsid w:val="00C40DC9"/>
    <w:rsid w:val="00C458D2"/>
    <w:rsid w:val="00C46587"/>
    <w:rsid w:val="00C465C8"/>
    <w:rsid w:val="00C468B6"/>
    <w:rsid w:val="00C47879"/>
    <w:rsid w:val="00C503E4"/>
    <w:rsid w:val="00C50BC4"/>
    <w:rsid w:val="00C52699"/>
    <w:rsid w:val="00C52ABB"/>
    <w:rsid w:val="00C5369B"/>
    <w:rsid w:val="00C54EE7"/>
    <w:rsid w:val="00C54F41"/>
    <w:rsid w:val="00C55278"/>
    <w:rsid w:val="00C558D2"/>
    <w:rsid w:val="00C56E10"/>
    <w:rsid w:val="00C60AAE"/>
    <w:rsid w:val="00C60F62"/>
    <w:rsid w:val="00C6165A"/>
    <w:rsid w:val="00C629B9"/>
    <w:rsid w:val="00C63979"/>
    <w:rsid w:val="00C639D2"/>
    <w:rsid w:val="00C64F77"/>
    <w:rsid w:val="00C65BA0"/>
    <w:rsid w:val="00C67FEF"/>
    <w:rsid w:val="00C7024B"/>
    <w:rsid w:val="00C72678"/>
    <w:rsid w:val="00C73653"/>
    <w:rsid w:val="00C73BCA"/>
    <w:rsid w:val="00C742DA"/>
    <w:rsid w:val="00C77C4F"/>
    <w:rsid w:val="00C80FC7"/>
    <w:rsid w:val="00C8142B"/>
    <w:rsid w:val="00C82ACB"/>
    <w:rsid w:val="00C866A7"/>
    <w:rsid w:val="00C8676F"/>
    <w:rsid w:val="00C86E18"/>
    <w:rsid w:val="00C87A0C"/>
    <w:rsid w:val="00C9015E"/>
    <w:rsid w:val="00C91997"/>
    <w:rsid w:val="00C9257C"/>
    <w:rsid w:val="00C92DED"/>
    <w:rsid w:val="00C9360F"/>
    <w:rsid w:val="00C93853"/>
    <w:rsid w:val="00C95D05"/>
    <w:rsid w:val="00C95F5F"/>
    <w:rsid w:val="00CA0D31"/>
    <w:rsid w:val="00CA128B"/>
    <w:rsid w:val="00CA202B"/>
    <w:rsid w:val="00CA3036"/>
    <w:rsid w:val="00CA3697"/>
    <w:rsid w:val="00CA5C9A"/>
    <w:rsid w:val="00CA5FAA"/>
    <w:rsid w:val="00CA6723"/>
    <w:rsid w:val="00CB1EF3"/>
    <w:rsid w:val="00CB3F06"/>
    <w:rsid w:val="00CB4FD5"/>
    <w:rsid w:val="00CB5CDE"/>
    <w:rsid w:val="00CB604C"/>
    <w:rsid w:val="00CB65DF"/>
    <w:rsid w:val="00CB671D"/>
    <w:rsid w:val="00CB6D73"/>
    <w:rsid w:val="00CB7F4E"/>
    <w:rsid w:val="00CC3AC5"/>
    <w:rsid w:val="00CC614D"/>
    <w:rsid w:val="00CD0418"/>
    <w:rsid w:val="00CD0482"/>
    <w:rsid w:val="00CD07BB"/>
    <w:rsid w:val="00CD1BEC"/>
    <w:rsid w:val="00CD236E"/>
    <w:rsid w:val="00CD2DCE"/>
    <w:rsid w:val="00CD366D"/>
    <w:rsid w:val="00CD3EBB"/>
    <w:rsid w:val="00CD3FC0"/>
    <w:rsid w:val="00CD4545"/>
    <w:rsid w:val="00CD6649"/>
    <w:rsid w:val="00CD6804"/>
    <w:rsid w:val="00CD6DAE"/>
    <w:rsid w:val="00CD7172"/>
    <w:rsid w:val="00CE2F24"/>
    <w:rsid w:val="00CE3C32"/>
    <w:rsid w:val="00CE46C8"/>
    <w:rsid w:val="00CE4D8D"/>
    <w:rsid w:val="00CE54BB"/>
    <w:rsid w:val="00CE55D7"/>
    <w:rsid w:val="00CE57A4"/>
    <w:rsid w:val="00CE6FA8"/>
    <w:rsid w:val="00CE7D0D"/>
    <w:rsid w:val="00CF02FA"/>
    <w:rsid w:val="00CF0DB7"/>
    <w:rsid w:val="00CF1A43"/>
    <w:rsid w:val="00CF2BFF"/>
    <w:rsid w:val="00CF4CDE"/>
    <w:rsid w:val="00CF5160"/>
    <w:rsid w:val="00CF68F1"/>
    <w:rsid w:val="00CF71F9"/>
    <w:rsid w:val="00CF7B42"/>
    <w:rsid w:val="00CF7EDF"/>
    <w:rsid w:val="00D00058"/>
    <w:rsid w:val="00D00479"/>
    <w:rsid w:val="00D01B91"/>
    <w:rsid w:val="00D0218E"/>
    <w:rsid w:val="00D02F33"/>
    <w:rsid w:val="00D03119"/>
    <w:rsid w:val="00D0361F"/>
    <w:rsid w:val="00D05796"/>
    <w:rsid w:val="00D076A0"/>
    <w:rsid w:val="00D07BC7"/>
    <w:rsid w:val="00D07ED4"/>
    <w:rsid w:val="00D10344"/>
    <w:rsid w:val="00D109A3"/>
    <w:rsid w:val="00D12C67"/>
    <w:rsid w:val="00D13B70"/>
    <w:rsid w:val="00D14C87"/>
    <w:rsid w:val="00D14CAF"/>
    <w:rsid w:val="00D151C3"/>
    <w:rsid w:val="00D1584C"/>
    <w:rsid w:val="00D17446"/>
    <w:rsid w:val="00D17528"/>
    <w:rsid w:val="00D17C5F"/>
    <w:rsid w:val="00D2095C"/>
    <w:rsid w:val="00D20F53"/>
    <w:rsid w:val="00D21404"/>
    <w:rsid w:val="00D2144D"/>
    <w:rsid w:val="00D21850"/>
    <w:rsid w:val="00D219DA"/>
    <w:rsid w:val="00D2238D"/>
    <w:rsid w:val="00D22651"/>
    <w:rsid w:val="00D2275C"/>
    <w:rsid w:val="00D2285D"/>
    <w:rsid w:val="00D2348A"/>
    <w:rsid w:val="00D235A3"/>
    <w:rsid w:val="00D24064"/>
    <w:rsid w:val="00D252F8"/>
    <w:rsid w:val="00D26170"/>
    <w:rsid w:val="00D2660F"/>
    <w:rsid w:val="00D27186"/>
    <w:rsid w:val="00D2790C"/>
    <w:rsid w:val="00D30B93"/>
    <w:rsid w:val="00D30D27"/>
    <w:rsid w:val="00D31C0A"/>
    <w:rsid w:val="00D31C1C"/>
    <w:rsid w:val="00D32C32"/>
    <w:rsid w:val="00D33152"/>
    <w:rsid w:val="00D3375D"/>
    <w:rsid w:val="00D33BB1"/>
    <w:rsid w:val="00D36030"/>
    <w:rsid w:val="00D371B0"/>
    <w:rsid w:val="00D3721B"/>
    <w:rsid w:val="00D4002F"/>
    <w:rsid w:val="00D402AD"/>
    <w:rsid w:val="00D40C9D"/>
    <w:rsid w:val="00D41D31"/>
    <w:rsid w:val="00D44B0A"/>
    <w:rsid w:val="00D44E89"/>
    <w:rsid w:val="00D45780"/>
    <w:rsid w:val="00D468C5"/>
    <w:rsid w:val="00D46C4C"/>
    <w:rsid w:val="00D46C76"/>
    <w:rsid w:val="00D46E60"/>
    <w:rsid w:val="00D4790A"/>
    <w:rsid w:val="00D50A9A"/>
    <w:rsid w:val="00D514CA"/>
    <w:rsid w:val="00D5158E"/>
    <w:rsid w:val="00D55FC1"/>
    <w:rsid w:val="00D56B49"/>
    <w:rsid w:val="00D57A58"/>
    <w:rsid w:val="00D60009"/>
    <w:rsid w:val="00D60146"/>
    <w:rsid w:val="00D612A8"/>
    <w:rsid w:val="00D6202D"/>
    <w:rsid w:val="00D6211C"/>
    <w:rsid w:val="00D65EB8"/>
    <w:rsid w:val="00D66737"/>
    <w:rsid w:val="00D70CE9"/>
    <w:rsid w:val="00D71E4F"/>
    <w:rsid w:val="00D722D4"/>
    <w:rsid w:val="00D727C6"/>
    <w:rsid w:val="00D72CF8"/>
    <w:rsid w:val="00D7332E"/>
    <w:rsid w:val="00D73496"/>
    <w:rsid w:val="00D73F7F"/>
    <w:rsid w:val="00D74AC0"/>
    <w:rsid w:val="00D754BA"/>
    <w:rsid w:val="00D774F3"/>
    <w:rsid w:val="00D77B4D"/>
    <w:rsid w:val="00D77C07"/>
    <w:rsid w:val="00D80362"/>
    <w:rsid w:val="00D8039E"/>
    <w:rsid w:val="00D80B8C"/>
    <w:rsid w:val="00D81C36"/>
    <w:rsid w:val="00D83751"/>
    <w:rsid w:val="00D83D08"/>
    <w:rsid w:val="00D860C4"/>
    <w:rsid w:val="00D8698D"/>
    <w:rsid w:val="00D869B2"/>
    <w:rsid w:val="00D86CCC"/>
    <w:rsid w:val="00D87B1E"/>
    <w:rsid w:val="00D90596"/>
    <w:rsid w:val="00D91DEE"/>
    <w:rsid w:val="00D91F07"/>
    <w:rsid w:val="00D9246F"/>
    <w:rsid w:val="00D939AD"/>
    <w:rsid w:val="00D9461D"/>
    <w:rsid w:val="00D9463C"/>
    <w:rsid w:val="00D94D4F"/>
    <w:rsid w:val="00D95255"/>
    <w:rsid w:val="00D95562"/>
    <w:rsid w:val="00D955F7"/>
    <w:rsid w:val="00D97A75"/>
    <w:rsid w:val="00D97C34"/>
    <w:rsid w:val="00DA34D5"/>
    <w:rsid w:val="00DA39FD"/>
    <w:rsid w:val="00DA41FB"/>
    <w:rsid w:val="00DA6390"/>
    <w:rsid w:val="00DA6833"/>
    <w:rsid w:val="00DA73FB"/>
    <w:rsid w:val="00DB0CB2"/>
    <w:rsid w:val="00DB43C0"/>
    <w:rsid w:val="00DB4701"/>
    <w:rsid w:val="00DB554A"/>
    <w:rsid w:val="00DB5B95"/>
    <w:rsid w:val="00DB6830"/>
    <w:rsid w:val="00DB7967"/>
    <w:rsid w:val="00DC1B59"/>
    <w:rsid w:val="00DC29C5"/>
    <w:rsid w:val="00DC453A"/>
    <w:rsid w:val="00DC6052"/>
    <w:rsid w:val="00DC6EE0"/>
    <w:rsid w:val="00DC7DA0"/>
    <w:rsid w:val="00DC7E8A"/>
    <w:rsid w:val="00DD078C"/>
    <w:rsid w:val="00DD0803"/>
    <w:rsid w:val="00DD0DD6"/>
    <w:rsid w:val="00DD0EA7"/>
    <w:rsid w:val="00DD1D4E"/>
    <w:rsid w:val="00DD1F07"/>
    <w:rsid w:val="00DD2E1C"/>
    <w:rsid w:val="00DD3AC1"/>
    <w:rsid w:val="00DD404A"/>
    <w:rsid w:val="00DD5135"/>
    <w:rsid w:val="00DD56F8"/>
    <w:rsid w:val="00DD5B76"/>
    <w:rsid w:val="00DD72E5"/>
    <w:rsid w:val="00DE0600"/>
    <w:rsid w:val="00DE0E1D"/>
    <w:rsid w:val="00DE0E57"/>
    <w:rsid w:val="00DE1267"/>
    <w:rsid w:val="00DE1607"/>
    <w:rsid w:val="00DE32CD"/>
    <w:rsid w:val="00DE3452"/>
    <w:rsid w:val="00DE4675"/>
    <w:rsid w:val="00DE5183"/>
    <w:rsid w:val="00DE5EEC"/>
    <w:rsid w:val="00DE7C78"/>
    <w:rsid w:val="00DE7FF8"/>
    <w:rsid w:val="00DF14BC"/>
    <w:rsid w:val="00DF189C"/>
    <w:rsid w:val="00DF1D60"/>
    <w:rsid w:val="00DF254A"/>
    <w:rsid w:val="00DF286A"/>
    <w:rsid w:val="00DF356D"/>
    <w:rsid w:val="00DF4CA0"/>
    <w:rsid w:val="00DF5983"/>
    <w:rsid w:val="00DF63B4"/>
    <w:rsid w:val="00DF6899"/>
    <w:rsid w:val="00DF69BC"/>
    <w:rsid w:val="00DF6B09"/>
    <w:rsid w:val="00DF721B"/>
    <w:rsid w:val="00E0029C"/>
    <w:rsid w:val="00E007CE"/>
    <w:rsid w:val="00E007E2"/>
    <w:rsid w:val="00E02065"/>
    <w:rsid w:val="00E029E4"/>
    <w:rsid w:val="00E02CC8"/>
    <w:rsid w:val="00E02D99"/>
    <w:rsid w:val="00E02EB5"/>
    <w:rsid w:val="00E02EEA"/>
    <w:rsid w:val="00E03CEF"/>
    <w:rsid w:val="00E03CFF"/>
    <w:rsid w:val="00E049B1"/>
    <w:rsid w:val="00E05768"/>
    <w:rsid w:val="00E05A39"/>
    <w:rsid w:val="00E060B8"/>
    <w:rsid w:val="00E06548"/>
    <w:rsid w:val="00E108A5"/>
    <w:rsid w:val="00E11391"/>
    <w:rsid w:val="00E1301C"/>
    <w:rsid w:val="00E13721"/>
    <w:rsid w:val="00E13D19"/>
    <w:rsid w:val="00E1552D"/>
    <w:rsid w:val="00E166B6"/>
    <w:rsid w:val="00E22BEC"/>
    <w:rsid w:val="00E23602"/>
    <w:rsid w:val="00E247D7"/>
    <w:rsid w:val="00E25FCF"/>
    <w:rsid w:val="00E26F36"/>
    <w:rsid w:val="00E27719"/>
    <w:rsid w:val="00E34960"/>
    <w:rsid w:val="00E351A5"/>
    <w:rsid w:val="00E35793"/>
    <w:rsid w:val="00E357F2"/>
    <w:rsid w:val="00E367B1"/>
    <w:rsid w:val="00E36E0B"/>
    <w:rsid w:val="00E3711B"/>
    <w:rsid w:val="00E40DBC"/>
    <w:rsid w:val="00E40E4E"/>
    <w:rsid w:val="00E41249"/>
    <w:rsid w:val="00E41985"/>
    <w:rsid w:val="00E42B93"/>
    <w:rsid w:val="00E42C16"/>
    <w:rsid w:val="00E43165"/>
    <w:rsid w:val="00E43281"/>
    <w:rsid w:val="00E444E0"/>
    <w:rsid w:val="00E4521A"/>
    <w:rsid w:val="00E45ACF"/>
    <w:rsid w:val="00E45D1B"/>
    <w:rsid w:val="00E47F00"/>
    <w:rsid w:val="00E508BA"/>
    <w:rsid w:val="00E509B2"/>
    <w:rsid w:val="00E50B28"/>
    <w:rsid w:val="00E51054"/>
    <w:rsid w:val="00E51EEF"/>
    <w:rsid w:val="00E524AF"/>
    <w:rsid w:val="00E529C6"/>
    <w:rsid w:val="00E53A08"/>
    <w:rsid w:val="00E55727"/>
    <w:rsid w:val="00E56045"/>
    <w:rsid w:val="00E60452"/>
    <w:rsid w:val="00E61585"/>
    <w:rsid w:val="00E617D6"/>
    <w:rsid w:val="00E63B0F"/>
    <w:rsid w:val="00E644DD"/>
    <w:rsid w:val="00E6557D"/>
    <w:rsid w:val="00E65949"/>
    <w:rsid w:val="00E65F1E"/>
    <w:rsid w:val="00E66386"/>
    <w:rsid w:val="00E665E3"/>
    <w:rsid w:val="00E668A5"/>
    <w:rsid w:val="00E67AF1"/>
    <w:rsid w:val="00E70AA5"/>
    <w:rsid w:val="00E70B08"/>
    <w:rsid w:val="00E71037"/>
    <w:rsid w:val="00E72630"/>
    <w:rsid w:val="00E7274E"/>
    <w:rsid w:val="00E729CC"/>
    <w:rsid w:val="00E739C4"/>
    <w:rsid w:val="00E742E6"/>
    <w:rsid w:val="00E74914"/>
    <w:rsid w:val="00E75476"/>
    <w:rsid w:val="00E7666B"/>
    <w:rsid w:val="00E76FF0"/>
    <w:rsid w:val="00E774DE"/>
    <w:rsid w:val="00E77C83"/>
    <w:rsid w:val="00E77C91"/>
    <w:rsid w:val="00E814B1"/>
    <w:rsid w:val="00E82A10"/>
    <w:rsid w:val="00E83B9E"/>
    <w:rsid w:val="00E86340"/>
    <w:rsid w:val="00E86389"/>
    <w:rsid w:val="00E86834"/>
    <w:rsid w:val="00E9063F"/>
    <w:rsid w:val="00E90663"/>
    <w:rsid w:val="00E90E61"/>
    <w:rsid w:val="00E918FE"/>
    <w:rsid w:val="00E92372"/>
    <w:rsid w:val="00E937EA"/>
    <w:rsid w:val="00E93C01"/>
    <w:rsid w:val="00E955A6"/>
    <w:rsid w:val="00E95A77"/>
    <w:rsid w:val="00E96557"/>
    <w:rsid w:val="00E96EA9"/>
    <w:rsid w:val="00E97EEB"/>
    <w:rsid w:val="00EA03B4"/>
    <w:rsid w:val="00EA0ADD"/>
    <w:rsid w:val="00EA1BBC"/>
    <w:rsid w:val="00EA1ED3"/>
    <w:rsid w:val="00EA272B"/>
    <w:rsid w:val="00EA3862"/>
    <w:rsid w:val="00EA404F"/>
    <w:rsid w:val="00EA41D0"/>
    <w:rsid w:val="00EA4364"/>
    <w:rsid w:val="00EA4444"/>
    <w:rsid w:val="00EA45BE"/>
    <w:rsid w:val="00EA6D78"/>
    <w:rsid w:val="00EA7067"/>
    <w:rsid w:val="00EB01A0"/>
    <w:rsid w:val="00EB0DED"/>
    <w:rsid w:val="00EB13BB"/>
    <w:rsid w:val="00EB13E6"/>
    <w:rsid w:val="00EB1796"/>
    <w:rsid w:val="00EB3DC1"/>
    <w:rsid w:val="00EB57FA"/>
    <w:rsid w:val="00EB5BB3"/>
    <w:rsid w:val="00EB6B38"/>
    <w:rsid w:val="00EB6D72"/>
    <w:rsid w:val="00EC024E"/>
    <w:rsid w:val="00EC04E7"/>
    <w:rsid w:val="00EC106A"/>
    <w:rsid w:val="00EC18FC"/>
    <w:rsid w:val="00EC4177"/>
    <w:rsid w:val="00EC5DC6"/>
    <w:rsid w:val="00EC68AD"/>
    <w:rsid w:val="00ED019E"/>
    <w:rsid w:val="00ED2C25"/>
    <w:rsid w:val="00ED35AF"/>
    <w:rsid w:val="00ED3DA1"/>
    <w:rsid w:val="00ED3F30"/>
    <w:rsid w:val="00ED4D45"/>
    <w:rsid w:val="00ED51C1"/>
    <w:rsid w:val="00EE0058"/>
    <w:rsid w:val="00EE0FA5"/>
    <w:rsid w:val="00EE170D"/>
    <w:rsid w:val="00EE26D5"/>
    <w:rsid w:val="00EE28EC"/>
    <w:rsid w:val="00EE4484"/>
    <w:rsid w:val="00EE500D"/>
    <w:rsid w:val="00EE5599"/>
    <w:rsid w:val="00EE6CD4"/>
    <w:rsid w:val="00EE7B9E"/>
    <w:rsid w:val="00EE7C3C"/>
    <w:rsid w:val="00EF0291"/>
    <w:rsid w:val="00EF11C0"/>
    <w:rsid w:val="00EF1D72"/>
    <w:rsid w:val="00EF34E5"/>
    <w:rsid w:val="00EF392E"/>
    <w:rsid w:val="00EF4393"/>
    <w:rsid w:val="00EF447E"/>
    <w:rsid w:val="00EF5364"/>
    <w:rsid w:val="00EF56C2"/>
    <w:rsid w:val="00EF5C98"/>
    <w:rsid w:val="00EF6BF1"/>
    <w:rsid w:val="00EF75B6"/>
    <w:rsid w:val="00EF76D8"/>
    <w:rsid w:val="00F00855"/>
    <w:rsid w:val="00F009D6"/>
    <w:rsid w:val="00F00FA9"/>
    <w:rsid w:val="00F01488"/>
    <w:rsid w:val="00F0195A"/>
    <w:rsid w:val="00F039E1"/>
    <w:rsid w:val="00F0454C"/>
    <w:rsid w:val="00F0489C"/>
    <w:rsid w:val="00F06E81"/>
    <w:rsid w:val="00F06F11"/>
    <w:rsid w:val="00F107E0"/>
    <w:rsid w:val="00F108E1"/>
    <w:rsid w:val="00F134DE"/>
    <w:rsid w:val="00F144E8"/>
    <w:rsid w:val="00F15309"/>
    <w:rsid w:val="00F153B0"/>
    <w:rsid w:val="00F1642D"/>
    <w:rsid w:val="00F172C0"/>
    <w:rsid w:val="00F173D5"/>
    <w:rsid w:val="00F17AFF"/>
    <w:rsid w:val="00F17FC0"/>
    <w:rsid w:val="00F2043F"/>
    <w:rsid w:val="00F209F1"/>
    <w:rsid w:val="00F25D73"/>
    <w:rsid w:val="00F260F7"/>
    <w:rsid w:val="00F26575"/>
    <w:rsid w:val="00F30196"/>
    <w:rsid w:val="00F31E3F"/>
    <w:rsid w:val="00F3299B"/>
    <w:rsid w:val="00F33CF5"/>
    <w:rsid w:val="00F33F6B"/>
    <w:rsid w:val="00F3423F"/>
    <w:rsid w:val="00F3442D"/>
    <w:rsid w:val="00F34FFA"/>
    <w:rsid w:val="00F355BA"/>
    <w:rsid w:val="00F358CF"/>
    <w:rsid w:val="00F3717D"/>
    <w:rsid w:val="00F40741"/>
    <w:rsid w:val="00F40BCB"/>
    <w:rsid w:val="00F40E25"/>
    <w:rsid w:val="00F41078"/>
    <w:rsid w:val="00F41C5C"/>
    <w:rsid w:val="00F41CA6"/>
    <w:rsid w:val="00F41E7D"/>
    <w:rsid w:val="00F42841"/>
    <w:rsid w:val="00F4345B"/>
    <w:rsid w:val="00F43F29"/>
    <w:rsid w:val="00F440E4"/>
    <w:rsid w:val="00F46B92"/>
    <w:rsid w:val="00F477B6"/>
    <w:rsid w:val="00F47E42"/>
    <w:rsid w:val="00F47EB1"/>
    <w:rsid w:val="00F501AA"/>
    <w:rsid w:val="00F51842"/>
    <w:rsid w:val="00F5197B"/>
    <w:rsid w:val="00F519F8"/>
    <w:rsid w:val="00F5216E"/>
    <w:rsid w:val="00F52851"/>
    <w:rsid w:val="00F52F47"/>
    <w:rsid w:val="00F539F9"/>
    <w:rsid w:val="00F543F7"/>
    <w:rsid w:val="00F566A3"/>
    <w:rsid w:val="00F5753D"/>
    <w:rsid w:val="00F6065F"/>
    <w:rsid w:val="00F608EB"/>
    <w:rsid w:val="00F615AB"/>
    <w:rsid w:val="00F61A6E"/>
    <w:rsid w:val="00F633F9"/>
    <w:rsid w:val="00F6365D"/>
    <w:rsid w:val="00F64084"/>
    <w:rsid w:val="00F676E2"/>
    <w:rsid w:val="00F676F8"/>
    <w:rsid w:val="00F67DBE"/>
    <w:rsid w:val="00F70468"/>
    <w:rsid w:val="00F70922"/>
    <w:rsid w:val="00F70DD8"/>
    <w:rsid w:val="00F715A9"/>
    <w:rsid w:val="00F717B5"/>
    <w:rsid w:val="00F72882"/>
    <w:rsid w:val="00F73353"/>
    <w:rsid w:val="00F741CA"/>
    <w:rsid w:val="00F74D2B"/>
    <w:rsid w:val="00F805AE"/>
    <w:rsid w:val="00F817E7"/>
    <w:rsid w:val="00F819A6"/>
    <w:rsid w:val="00F82376"/>
    <w:rsid w:val="00F83B96"/>
    <w:rsid w:val="00F83E8D"/>
    <w:rsid w:val="00F841DF"/>
    <w:rsid w:val="00F8544A"/>
    <w:rsid w:val="00F86C97"/>
    <w:rsid w:val="00F86E3D"/>
    <w:rsid w:val="00F87A3A"/>
    <w:rsid w:val="00F90AB2"/>
    <w:rsid w:val="00F90CA0"/>
    <w:rsid w:val="00F916BE"/>
    <w:rsid w:val="00F9302F"/>
    <w:rsid w:val="00F93D17"/>
    <w:rsid w:val="00F9406F"/>
    <w:rsid w:val="00F95395"/>
    <w:rsid w:val="00F9658D"/>
    <w:rsid w:val="00F96884"/>
    <w:rsid w:val="00F96958"/>
    <w:rsid w:val="00F976D9"/>
    <w:rsid w:val="00F97A0B"/>
    <w:rsid w:val="00FA001F"/>
    <w:rsid w:val="00FA1D0B"/>
    <w:rsid w:val="00FA42CF"/>
    <w:rsid w:val="00FA5D2B"/>
    <w:rsid w:val="00FA645B"/>
    <w:rsid w:val="00FA6715"/>
    <w:rsid w:val="00FA6EB9"/>
    <w:rsid w:val="00FA7763"/>
    <w:rsid w:val="00FB0C82"/>
    <w:rsid w:val="00FB0F26"/>
    <w:rsid w:val="00FB2F69"/>
    <w:rsid w:val="00FB3846"/>
    <w:rsid w:val="00FB538E"/>
    <w:rsid w:val="00FB6CC6"/>
    <w:rsid w:val="00FC1AC9"/>
    <w:rsid w:val="00FC3421"/>
    <w:rsid w:val="00FC4E06"/>
    <w:rsid w:val="00FC4E18"/>
    <w:rsid w:val="00FC672B"/>
    <w:rsid w:val="00FC739F"/>
    <w:rsid w:val="00FC7822"/>
    <w:rsid w:val="00FC7F72"/>
    <w:rsid w:val="00FD2325"/>
    <w:rsid w:val="00FD2EBA"/>
    <w:rsid w:val="00FD30D4"/>
    <w:rsid w:val="00FD385B"/>
    <w:rsid w:val="00FD45B0"/>
    <w:rsid w:val="00FD5368"/>
    <w:rsid w:val="00FD6019"/>
    <w:rsid w:val="00FD681D"/>
    <w:rsid w:val="00FE1943"/>
    <w:rsid w:val="00FE3E3D"/>
    <w:rsid w:val="00FE3E53"/>
    <w:rsid w:val="00FE6498"/>
    <w:rsid w:val="00FE68D4"/>
    <w:rsid w:val="00FE6931"/>
    <w:rsid w:val="00FE7445"/>
    <w:rsid w:val="00FF01DE"/>
    <w:rsid w:val="00FF047C"/>
    <w:rsid w:val="00FF1B3A"/>
    <w:rsid w:val="00FF1FBD"/>
    <w:rsid w:val="00FF26E4"/>
    <w:rsid w:val="00FF2E52"/>
    <w:rsid w:val="00FF3748"/>
    <w:rsid w:val="00FF3C3B"/>
    <w:rsid w:val="00FF4F0F"/>
    <w:rsid w:val="00FF4F5E"/>
    <w:rsid w:val="00FF4F8A"/>
    <w:rsid w:val="00FF5490"/>
    <w:rsid w:val="00FF5AE0"/>
    <w:rsid w:val="00FF5AFC"/>
    <w:rsid w:val="00FF6489"/>
    <w:rsid w:val="00FF6FEB"/>
    <w:rsid w:val="01331AA5"/>
    <w:rsid w:val="014C11BF"/>
    <w:rsid w:val="01851755"/>
    <w:rsid w:val="020B07BA"/>
    <w:rsid w:val="023A0E4B"/>
    <w:rsid w:val="02493810"/>
    <w:rsid w:val="02AE0153"/>
    <w:rsid w:val="02B26296"/>
    <w:rsid w:val="02E972D2"/>
    <w:rsid w:val="02F719CA"/>
    <w:rsid w:val="034321D6"/>
    <w:rsid w:val="039C60A0"/>
    <w:rsid w:val="03D3457C"/>
    <w:rsid w:val="04AE5569"/>
    <w:rsid w:val="04DF47E1"/>
    <w:rsid w:val="05922FA0"/>
    <w:rsid w:val="063F1FB7"/>
    <w:rsid w:val="06CE7FEB"/>
    <w:rsid w:val="07591FC8"/>
    <w:rsid w:val="07952793"/>
    <w:rsid w:val="08365E65"/>
    <w:rsid w:val="098168E4"/>
    <w:rsid w:val="09B24D16"/>
    <w:rsid w:val="09C54F4F"/>
    <w:rsid w:val="0A5C4C58"/>
    <w:rsid w:val="0A5E16A3"/>
    <w:rsid w:val="0A6F38B0"/>
    <w:rsid w:val="0A8C3FD1"/>
    <w:rsid w:val="0A9556B6"/>
    <w:rsid w:val="0B1B25CA"/>
    <w:rsid w:val="0B5E5DFE"/>
    <w:rsid w:val="0B712E9F"/>
    <w:rsid w:val="0BDF4972"/>
    <w:rsid w:val="0C057E37"/>
    <w:rsid w:val="0CA02447"/>
    <w:rsid w:val="0CA217EA"/>
    <w:rsid w:val="0CA30F4D"/>
    <w:rsid w:val="0CAD420B"/>
    <w:rsid w:val="0CB437FC"/>
    <w:rsid w:val="0D754379"/>
    <w:rsid w:val="0F0A106F"/>
    <w:rsid w:val="0FE1164D"/>
    <w:rsid w:val="101446B1"/>
    <w:rsid w:val="10847EDD"/>
    <w:rsid w:val="10C24925"/>
    <w:rsid w:val="11263F8C"/>
    <w:rsid w:val="11635869"/>
    <w:rsid w:val="117A5014"/>
    <w:rsid w:val="117C585D"/>
    <w:rsid w:val="11923561"/>
    <w:rsid w:val="12175C35"/>
    <w:rsid w:val="12504999"/>
    <w:rsid w:val="12775477"/>
    <w:rsid w:val="12FC0372"/>
    <w:rsid w:val="144B0EEA"/>
    <w:rsid w:val="14724569"/>
    <w:rsid w:val="14755F67"/>
    <w:rsid w:val="149F4D92"/>
    <w:rsid w:val="16333618"/>
    <w:rsid w:val="163836F0"/>
    <w:rsid w:val="166003EB"/>
    <w:rsid w:val="16D74CB7"/>
    <w:rsid w:val="173E2583"/>
    <w:rsid w:val="175C6F6A"/>
    <w:rsid w:val="176027A5"/>
    <w:rsid w:val="1781043A"/>
    <w:rsid w:val="184A729C"/>
    <w:rsid w:val="188F284E"/>
    <w:rsid w:val="19A03EC6"/>
    <w:rsid w:val="19B71113"/>
    <w:rsid w:val="1A023DF9"/>
    <w:rsid w:val="1A8B7067"/>
    <w:rsid w:val="1BC25F36"/>
    <w:rsid w:val="1C433A6B"/>
    <w:rsid w:val="1C7A6D9B"/>
    <w:rsid w:val="1C874183"/>
    <w:rsid w:val="1C921D24"/>
    <w:rsid w:val="1D4B24DF"/>
    <w:rsid w:val="1DA71058"/>
    <w:rsid w:val="1E2A322D"/>
    <w:rsid w:val="1E3E2007"/>
    <w:rsid w:val="1F6A2B6C"/>
    <w:rsid w:val="20390790"/>
    <w:rsid w:val="203F39D0"/>
    <w:rsid w:val="204D5A18"/>
    <w:rsid w:val="206A6B9C"/>
    <w:rsid w:val="20C610AA"/>
    <w:rsid w:val="20CE39FC"/>
    <w:rsid w:val="20E702AE"/>
    <w:rsid w:val="21D13627"/>
    <w:rsid w:val="21F23B90"/>
    <w:rsid w:val="21F8789E"/>
    <w:rsid w:val="22BA56A5"/>
    <w:rsid w:val="22CA6849"/>
    <w:rsid w:val="23542BAD"/>
    <w:rsid w:val="24282908"/>
    <w:rsid w:val="2498788A"/>
    <w:rsid w:val="24A951FC"/>
    <w:rsid w:val="255D0A7D"/>
    <w:rsid w:val="2575072D"/>
    <w:rsid w:val="257C5B4B"/>
    <w:rsid w:val="25832DF9"/>
    <w:rsid w:val="25977973"/>
    <w:rsid w:val="25F623DD"/>
    <w:rsid w:val="25FF2AF6"/>
    <w:rsid w:val="262E0B04"/>
    <w:rsid w:val="27052A61"/>
    <w:rsid w:val="275639D6"/>
    <w:rsid w:val="27F914D4"/>
    <w:rsid w:val="28093FD2"/>
    <w:rsid w:val="2861730E"/>
    <w:rsid w:val="286C43A7"/>
    <w:rsid w:val="28CE48F6"/>
    <w:rsid w:val="29331ECF"/>
    <w:rsid w:val="29543F45"/>
    <w:rsid w:val="29672F8A"/>
    <w:rsid w:val="2990498D"/>
    <w:rsid w:val="2A201A9E"/>
    <w:rsid w:val="2A686578"/>
    <w:rsid w:val="2A8D6368"/>
    <w:rsid w:val="2B0D274B"/>
    <w:rsid w:val="2B4D64E1"/>
    <w:rsid w:val="2BB81C6E"/>
    <w:rsid w:val="2BE6660F"/>
    <w:rsid w:val="2C4B7881"/>
    <w:rsid w:val="2C591B65"/>
    <w:rsid w:val="2CEF21C5"/>
    <w:rsid w:val="2D75227F"/>
    <w:rsid w:val="2DEF1A8C"/>
    <w:rsid w:val="2E2D4DEB"/>
    <w:rsid w:val="2EFE507F"/>
    <w:rsid w:val="2F2163AC"/>
    <w:rsid w:val="2FC43258"/>
    <w:rsid w:val="2FD12188"/>
    <w:rsid w:val="2FD406A1"/>
    <w:rsid w:val="2FF206EC"/>
    <w:rsid w:val="302A1468"/>
    <w:rsid w:val="30971339"/>
    <w:rsid w:val="30E16A06"/>
    <w:rsid w:val="31252F48"/>
    <w:rsid w:val="31F710E3"/>
    <w:rsid w:val="322A1B90"/>
    <w:rsid w:val="32731C58"/>
    <w:rsid w:val="327D57AC"/>
    <w:rsid w:val="3282040D"/>
    <w:rsid w:val="32925AC9"/>
    <w:rsid w:val="32B141B6"/>
    <w:rsid w:val="32D028D3"/>
    <w:rsid w:val="32DA5D79"/>
    <w:rsid w:val="334868C9"/>
    <w:rsid w:val="33E735DA"/>
    <w:rsid w:val="34261D8B"/>
    <w:rsid w:val="358E5E91"/>
    <w:rsid w:val="360F4D20"/>
    <w:rsid w:val="363A311F"/>
    <w:rsid w:val="36592B9B"/>
    <w:rsid w:val="36EA7550"/>
    <w:rsid w:val="376670A8"/>
    <w:rsid w:val="376D2DA2"/>
    <w:rsid w:val="379B63A7"/>
    <w:rsid w:val="386E4D5D"/>
    <w:rsid w:val="387238C0"/>
    <w:rsid w:val="38734A1A"/>
    <w:rsid w:val="387C7014"/>
    <w:rsid w:val="388F37E7"/>
    <w:rsid w:val="38A96601"/>
    <w:rsid w:val="38D72315"/>
    <w:rsid w:val="39D16077"/>
    <w:rsid w:val="39E60BE9"/>
    <w:rsid w:val="39F0567D"/>
    <w:rsid w:val="39FF0C26"/>
    <w:rsid w:val="3A21152C"/>
    <w:rsid w:val="3A453FB1"/>
    <w:rsid w:val="3A9E7716"/>
    <w:rsid w:val="3C1934F8"/>
    <w:rsid w:val="3CA631A7"/>
    <w:rsid w:val="3CF31527"/>
    <w:rsid w:val="3D0A362A"/>
    <w:rsid w:val="3D483969"/>
    <w:rsid w:val="3D491BBB"/>
    <w:rsid w:val="3DB6584A"/>
    <w:rsid w:val="3E3573A0"/>
    <w:rsid w:val="3E4C1002"/>
    <w:rsid w:val="3E9622D1"/>
    <w:rsid w:val="3EFE4C27"/>
    <w:rsid w:val="3F20694C"/>
    <w:rsid w:val="3F591E5E"/>
    <w:rsid w:val="3FA446F6"/>
    <w:rsid w:val="404448BC"/>
    <w:rsid w:val="40A06041"/>
    <w:rsid w:val="40C91210"/>
    <w:rsid w:val="40DA44F3"/>
    <w:rsid w:val="40F938F8"/>
    <w:rsid w:val="41A53511"/>
    <w:rsid w:val="41BF2D24"/>
    <w:rsid w:val="42622FD8"/>
    <w:rsid w:val="427F6252"/>
    <w:rsid w:val="42834542"/>
    <w:rsid w:val="43193DDE"/>
    <w:rsid w:val="43B379E1"/>
    <w:rsid w:val="43B81E37"/>
    <w:rsid w:val="43F94470"/>
    <w:rsid w:val="446C4801"/>
    <w:rsid w:val="44832315"/>
    <w:rsid w:val="44F93EC7"/>
    <w:rsid w:val="450B1E4C"/>
    <w:rsid w:val="45390FA1"/>
    <w:rsid w:val="45393F81"/>
    <w:rsid w:val="4540507E"/>
    <w:rsid w:val="4559776B"/>
    <w:rsid w:val="456072CD"/>
    <w:rsid w:val="459A0EC9"/>
    <w:rsid w:val="46461113"/>
    <w:rsid w:val="46E10837"/>
    <w:rsid w:val="46E324FB"/>
    <w:rsid w:val="47363471"/>
    <w:rsid w:val="48071FE6"/>
    <w:rsid w:val="484A3DA7"/>
    <w:rsid w:val="484B4250"/>
    <w:rsid w:val="486037B2"/>
    <w:rsid w:val="48717162"/>
    <w:rsid w:val="489A776F"/>
    <w:rsid w:val="495825DA"/>
    <w:rsid w:val="49C40A02"/>
    <w:rsid w:val="49EC6ECA"/>
    <w:rsid w:val="4A0368E5"/>
    <w:rsid w:val="4A447FC4"/>
    <w:rsid w:val="4BC609D6"/>
    <w:rsid w:val="4BF61160"/>
    <w:rsid w:val="4C212AFC"/>
    <w:rsid w:val="4C245A73"/>
    <w:rsid w:val="4CFC6BFA"/>
    <w:rsid w:val="4D5C1497"/>
    <w:rsid w:val="4D7E0BC2"/>
    <w:rsid w:val="4DE04B10"/>
    <w:rsid w:val="4DF6743A"/>
    <w:rsid w:val="4E113ACA"/>
    <w:rsid w:val="4E256AC3"/>
    <w:rsid w:val="4E626CF8"/>
    <w:rsid w:val="4EB840EE"/>
    <w:rsid w:val="4EF33773"/>
    <w:rsid w:val="4F692941"/>
    <w:rsid w:val="4FAE457D"/>
    <w:rsid w:val="4FB921DF"/>
    <w:rsid w:val="4FCC64AB"/>
    <w:rsid w:val="4FDA1B1D"/>
    <w:rsid w:val="4FDE6A62"/>
    <w:rsid w:val="50411A70"/>
    <w:rsid w:val="50697964"/>
    <w:rsid w:val="509E5F86"/>
    <w:rsid w:val="51F21C88"/>
    <w:rsid w:val="52C26DA8"/>
    <w:rsid w:val="53112993"/>
    <w:rsid w:val="53AD2E37"/>
    <w:rsid w:val="54A766B1"/>
    <w:rsid w:val="55350244"/>
    <w:rsid w:val="553F0F5D"/>
    <w:rsid w:val="56252A1B"/>
    <w:rsid w:val="567077D2"/>
    <w:rsid w:val="56C776AA"/>
    <w:rsid w:val="573F2D77"/>
    <w:rsid w:val="5755542B"/>
    <w:rsid w:val="57952763"/>
    <w:rsid w:val="57DD27E3"/>
    <w:rsid w:val="58982FE2"/>
    <w:rsid w:val="58CE435E"/>
    <w:rsid w:val="59527BF2"/>
    <w:rsid w:val="59797E57"/>
    <w:rsid w:val="59BB2B5D"/>
    <w:rsid w:val="59E720E8"/>
    <w:rsid w:val="5A9102A6"/>
    <w:rsid w:val="5AED0367"/>
    <w:rsid w:val="5B1840AB"/>
    <w:rsid w:val="5B86358F"/>
    <w:rsid w:val="5B8B4F81"/>
    <w:rsid w:val="5B9C5AAD"/>
    <w:rsid w:val="5C1D4883"/>
    <w:rsid w:val="5C211A37"/>
    <w:rsid w:val="5C90746F"/>
    <w:rsid w:val="5CF56286"/>
    <w:rsid w:val="5D136571"/>
    <w:rsid w:val="5D6410B1"/>
    <w:rsid w:val="5E1B1008"/>
    <w:rsid w:val="5E2F641B"/>
    <w:rsid w:val="5EA12E72"/>
    <w:rsid w:val="5ED3773B"/>
    <w:rsid w:val="5F025399"/>
    <w:rsid w:val="5F593A88"/>
    <w:rsid w:val="5FD43192"/>
    <w:rsid w:val="5FDF3861"/>
    <w:rsid w:val="6037369D"/>
    <w:rsid w:val="60793CB6"/>
    <w:rsid w:val="60E36A0D"/>
    <w:rsid w:val="6123293C"/>
    <w:rsid w:val="62585231"/>
    <w:rsid w:val="626A7FAB"/>
    <w:rsid w:val="62C03E1E"/>
    <w:rsid w:val="62D33B51"/>
    <w:rsid w:val="62FA4A88"/>
    <w:rsid w:val="63956AF9"/>
    <w:rsid w:val="63D556A7"/>
    <w:rsid w:val="63F7561D"/>
    <w:rsid w:val="641E7E23"/>
    <w:rsid w:val="64C25C2B"/>
    <w:rsid w:val="64E14C06"/>
    <w:rsid w:val="65016C82"/>
    <w:rsid w:val="655D3646"/>
    <w:rsid w:val="655F1DF7"/>
    <w:rsid w:val="656A1E1F"/>
    <w:rsid w:val="65992F3F"/>
    <w:rsid w:val="65DE2082"/>
    <w:rsid w:val="661324B7"/>
    <w:rsid w:val="66347A5C"/>
    <w:rsid w:val="673029BC"/>
    <w:rsid w:val="67D703F9"/>
    <w:rsid w:val="684D4EE7"/>
    <w:rsid w:val="68815DFE"/>
    <w:rsid w:val="68D501EF"/>
    <w:rsid w:val="69293914"/>
    <w:rsid w:val="69985ABE"/>
    <w:rsid w:val="6A04633D"/>
    <w:rsid w:val="6A070EBF"/>
    <w:rsid w:val="6A2D7FEB"/>
    <w:rsid w:val="6A527785"/>
    <w:rsid w:val="6A6264FE"/>
    <w:rsid w:val="6A7F77BB"/>
    <w:rsid w:val="6B2161F7"/>
    <w:rsid w:val="6B621223"/>
    <w:rsid w:val="6B8A321B"/>
    <w:rsid w:val="6BEB1F0C"/>
    <w:rsid w:val="6C3E5973"/>
    <w:rsid w:val="6CB11B23"/>
    <w:rsid w:val="6CF74795"/>
    <w:rsid w:val="6D250B16"/>
    <w:rsid w:val="6D3D73C4"/>
    <w:rsid w:val="6D5A6422"/>
    <w:rsid w:val="6D5F2451"/>
    <w:rsid w:val="6E5B49FB"/>
    <w:rsid w:val="6E7D6FB2"/>
    <w:rsid w:val="6F6A75EB"/>
    <w:rsid w:val="6F751AEC"/>
    <w:rsid w:val="701B3B02"/>
    <w:rsid w:val="70222E76"/>
    <w:rsid w:val="70ED74B0"/>
    <w:rsid w:val="71804EA4"/>
    <w:rsid w:val="71A10AF3"/>
    <w:rsid w:val="71BF106B"/>
    <w:rsid w:val="71C176EC"/>
    <w:rsid w:val="71E103E2"/>
    <w:rsid w:val="71F13EFF"/>
    <w:rsid w:val="720E6189"/>
    <w:rsid w:val="7221183F"/>
    <w:rsid w:val="72614A63"/>
    <w:rsid w:val="72C7098D"/>
    <w:rsid w:val="72D37E76"/>
    <w:rsid w:val="73561C1E"/>
    <w:rsid w:val="73F97F83"/>
    <w:rsid w:val="74BD5AAC"/>
    <w:rsid w:val="759078B1"/>
    <w:rsid w:val="759A4C8A"/>
    <w:rsid w:val="76D14E5C"/>
    <w:rsid w:val="772762A4"/>
    <w:rsid w:val="77B43E3A"/>
    <w:rsid w:val="7854794A"/>
    <w:rsid w:val="78884980"/>
    <w:rsid w:val="79065229"/>
    <w:rsid w:val="79AE671A"/>
    <w:rsid w:val="79DB02DF"/>
    <w:rsid w:val="7A46072A"/>
    <w:rsid w:val="7AA64929"/>
    <w:rsid w:val="7AB224EA"/>
    <w:rsid w:val="7B130B0E"/>
    <w:rsid w:val="7BF7214D"/>
    <w:rsid w:val="7D2D5128"/>
    <w:rsid w:val="7DB755F7"/>
    <w:rsid w:val="7DC46119"/>
    <w:rsid w:val="7DD53421"/>
    <w:rsid w:val="7E5D707E"/>
    <w:rsid w:val="7E5EC268"/>
    <w:rsid w:val="7EB40605"/>
    <w:rsid w:val="7F5421AD"/>
    <w:rsid w:val="7F9E7A45"/>
    <w:rsid w:val="7FB204F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99"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45"/>
    <w:qFormat/>
    <w:uiPriority w:val="0"/>
    <w:pPr>
      <w:keepNext/>
      <w:keepLines/>
      <w:spacing w:before="120" w:after="120"/>
      <w:ind w:left="100" w:leftChars="100" w:right="100" w:rightChars="100"/>
      <w:outlineLvl w:val="0"/>
    </w:pPr>
    <w:rPr>
      <w:b/>
      <w:bCs/>
      <w:kern w:val="44"/>
      <w:szCs w:val="44"/>
    </w:rPr>
  </w:style>
  <w:style w:type="paragraph" w:styleId="5">
    <w:name w:val="heading 2"/>
    <w:basedOn w:val="1"/>
    <w:next w:val="1"/>
    <w:link w:val="46"/>
    <w:qFormat/>
    <w:uiPriority w:val="0"/>
    <w:pPr>
      <w:keepNext/>
      <w:keepLines/>
      <w:spacing w:before="260" w:after="260" w:line="416" w:lineRule="auto"/>
      <w:outlineLvl w:val="1"/>
    </w:pPr>
    <w:rPr>
      <w:rFonts w:ascii="等线 Light" w:hAnsi="等线 Light" w:eastAsia="等线 Light" w:cs="Times New Roman"/>
      <w:b/>
      <w:bCs/>
      <w:sz w:val="32"/>
      <w:szCs w:val="32"/>
    </w:rPr>
  </w:style>
  <w:style w:type="paragraph" w:styleId="6">
    <w:name w:val="heading 3"/>
    <w:basedOn w:val="1"/>
    <w:next w:val="1"/>
    <w:link w:val="47"/>
    <w:qFormat/>
    <w:uiPriority w:val="9"/>
    <w:pPr>
      <w:keepNext/>
      <w:keepLines/>
      <w:spacing w:before="260" w:after="260" w:line="416" w:lineRule="auto"/>
      <w:outlineLvl w:val="2"/>
    </w:pPr>
    <w:rPr>
      <w:b/>
      <w:bCs/>
      <w:sz w:val="32"/>
      <w:szCs w:val="32"/>
    </w:rPr>
  </w:style>
  <w:style w:type="paragraph" w:styleId="7">
    <w:name w:val="heading 4"/>
    <w:basedOn w:val="1"/>
    <w:next w:val="1"/>
    <w:link w:val="48"/>
    <w:qFormat/>
    <w:uiPriority w:val="0"/>
    <w:pPr>
      <w:keepNext/>
      <w:keepLines/>
      <w:spacing w:before="280" w:after="290" w:line="376" w:lineRule="auto"/>
      <w:outlineLvl w:val="3"/>
    </w:pPr>
    <w:rPr>
      <w:rFonts w:ascii="等线 Light" w:hAnsi="等线 Light" w:eastAsia="等线 Light" w:cs="Times New Roman"/>
      <w:b/>
      <w:bCs/>
      <w:sz w:val="28"/>
      <w:szCs w:val="28"/>
    </w:rPr>
  </w:style>
  <w:style w:type="paragraph" w:styleId="8">
    <w:name w:val="heading 6"/>
    <w:basedOn w:val="1"/>
    <w:next w:val="1"/>
    <w:link w:val="49"/>
    <w:qFormat/>
    <w:uiPriority w:val="0"/>
    <w:pPr>
      <w:keepNext/>
      <w:keepLines/>
      <w:spacing w:before="240" w:after="64" w:line="320" w:lineRule="auto"/>
      <w:outlineLvl w:val="5"/>
    </w:pPr>
    <w:rPr>
      <w:rFonts w:ascii="等线 Light" w:hAnsi="等线 Light" w:eastAsia="等线 Light" w:cs="Times New Roman"/>
      <w:b/>
      <w:bCs/>
      <w:sz w:val="24"/>
    </w:rPr>
  </w:style>
  <w:style w:type="paragraph" w:styleId="9">
    <w:name w:val="heading 8"/>
    <w:basedOn w:val="1"/>
    <w:next w:val="1"/>
    <w:link w:val="50"/>
    <w:qFormat/>
    <w:uiPriority w:val="0"/>
    <w:pPr>
      <w:keepNext/>
      <w:keepLines/>
      <w:spacing w:before="240" w:after="64" w:line="320" w:lineRule="auto"/>
      <w:outlineLvl w:val="7"/>
    </w:pPr>
    <w:rPr>
      <w:rFonts w:ascii="等线 Light" w:hAnsi="等线 Light" w:eastAsia="等线 Light" w:cs="Times New Roman"/>
      <w:sz w:val="24"/>
    </w:rPr>
  </w:style>
  <w:style w:type="character" w:default="1" w:styleId="39">
    <w:name w:val="Default Paragraph Font"/>
    <w:semiHidden/>
    <w:qFormat/>
    <w:uiPriority w:val="0"/>
  </w:style>
  <w:style w:type="table" w:default="1" w:styleId="3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qFormat/>
    <w:uiPriority w:val="0"/>
    <w:pPr>
      <w:spacing w:after="120"/>
      <w:ind w:left="420" w:leftChars="200"/>
    </w:pPr>
  </w:style>
  <w:style w:type="paragraph" w:styleId="10">
    <w:name w:val="List 3"/>
    <w:basedOn w:val="1"/>
    <w:qFormat/>
    <w:uiPriority w:val="0"/>
    <w:pPr>
      <w:widowControl/>
      <w:ind w:left="100" w:leftChars="400" w:hanging="200" w:hangingChars="200"/>
      <w:contextualSpacing/>
      <w:jc w:val="left"/>
    </w:pPr>
    <w:rPr>
      <w:kern w:val="0"/>
      <w:sz w:val="20"/>
      <w:szCs w:val="20"/>
    </w:rPr>
  </w:style>
  <w:style w:type="paragraph" w:styleId="11">
    <w:name w:val="toc 7"/>
    <w:basedOn w:val="1"/>
    <w:next w:val="1"/>
    <w:unhideWhenUsed/>
    <w:qFormat/>
    <w:uiPriority w:val="39"/>
    <w:pPr>
      <w:ind w:left="2520" w:leftChars="1200"/>
    </w:pPr>
    <w:rPr>
      <w:rFonts w:ascii="等线" w:hAnsi="等线" w:eastAsia="等线" w:cs="Times New Roman"/>
      <w:szCs w:val="22"/>
    </w:rPr>
  </w:style>
  <w:style w:type="paragraph" w:styleId="12">
    <w:name w:val="Normal Indent"/>
    <w:basedOn w:val="1"/>
    <w:link w:val="51"/>
    <w:qFormat/>
    <w:uiPriority w:val="99"/>
    <w:pPr>
      <w:ind w:firstLine="420"/>
    </w:pPr>
    <w:rPr>
      <w:szCs w:val="20"/>
    </w:rPr>
  </w:style>
  <w:style w:type="paragraph" w:styleId="13">
    <w:name w:val="Document Map"/>
    <w:basedOn w:val="1"/>
    <w:link w:val="52"/>
    <w:qFormat/>
    <w:uiPriority w:val="0"/>
    <w:pPr>
      <w:shd w:val="clear" w:color="auto" w:fill="000080"/>
    </w:pPr>
  </w:style>
  <w:style w:type="paragraph" w:styleId="14">
    <w:name w:val="annotation text"/>
    <w:basedOn w:val="1"/>
    <w:link w:val="53"/>
    <w:qFormat/>
    <w:uiPriority w:val="0"/>
    <w:pPr>
      <w:jc w:val="left"/>
    </w:pPr>
  </w:style>
  <w:style w:type="paragraph" w:styleId="15">
    <w:name w:val="Body Text"/>
    <w:basedOn w:val="1"/>
    <w:next w:val="16"/>
    <w:link w:val="54"/>
    <w:qFormat/>
    <w:uiPriority w:val="0"/>
    <w:pPr>
      <w:spacing w:after="120"/>
    </w:pPr>
  </w:style>
  <w:style w:type="paragraph" w:styleId="16">
    <w:name w:val="Date"/>
    <w:basedOn w:val="1"/>
    <w:next w:val="1"/>
    <w:link w:val="55"/>
    <w:qFormat/>
    <w:uiPriority w:val="0"/>
    <w:rPr>
      <w:sz w:val="24"/>
      <w:szCs w:val="20"/>
    </w:rPr>
  </w:style>
  <w:style w:type="paragraph" w:styleId="17">
    <w:name w:val="Block Text"/>
    <w:basedOn w:val="1"/>
    <w:unhideWhenUsed/>
    <w:qFormat/>
    <w:uiPriority w:val="99"/>
    <w:pPr>
      <w:spacing w:after="120"/>
      <w:ind w:left="1440" w:right="1440"/>
    </w:pPr>
  </w:style>
  <w:style w:type="paragraph" w:styleId="18">
    <w:name w:val="index 4"/>
    <w:basedOn w:val="1"/>
    <w:next w:val="1"/>
    <w:unhideWhenUsed/>
    <w:qFormat/>
    <w:uiPriority w:val="99"/>
    <w:pPr>
      <w:ind w:left="600" w:leftChars="600"/>
    </w:pPr>
    <w:rPr>
      <w:rFonts w:ascii="宋体"/>
      <w:b/>
      <w:kern w:val="0"/>
      <w:position w:val="-10"/>
      <w:sz w:val="24"/>
      <w:szCs w:val="20"/>
    </w:rPr>
  </w:style>
  <w:style w:type="paragraph" w:styleId="19">
    <w:name w:val="toc 5"/>
    <w:basedOn w:val="1"/>
    <w:next w:val="1"/>
    <w:unhideWhenUsed/>
    <w:qFormat/>
    <w:uiPriority w:val="39"/>
    <w:pPr>
      <w:ind w:left="1680" w:leftChars="800"/>
    </w:pPr>
    <w:rPr>
      <w:rFonts w:ascii="等线" w:hAnsi="等线" w:eastAsia="等线" w:cs="Times New Roman"/>
      <w:szCs w:val="22"/>
    </w:rPr>
  </w:style>
  <w:style w:type="paragraph" w:styleId="20">
    <w:name w:val="toc 3"/>
    <w:basedOn w:val="1"/>
    <w:next w:val="1"/>
    <w:unhideWhenUsed/>
    <w:qFormat/>
    <w:uiPriority w:val="39"/>
    <w:pPr>
      <w:widowControl/>
      <w:spacing w:after="100" w:line="259" w:lineRule="auto"/>
      <w:ind w:left="440"/>
      <w:jc w:val="left"/>
    </w:pPr>
    <w:rPr>
      <w:rFonts w:ascii="等线" w:hAnsi="等线" w:eastAsia="等线"/>
      <w:kern w:val="0"/>
      <w:sz w:val="22"/>
      <w:szCs w:val="22"/>
    </w:rPr>
  </w:style>
  <w:style w:type="paragraph" w:styleId="21">
    <w:name w:val="Plain Text"/>
    <w:basedOn w:val="1"/>
    <w:link w:val="56"/>
    <w:qFormat/>
    <w:uiPriority w:val="0"/>
    <w:rPr>
      <w:rFonts w:ascii="宋体" w:hAnsi="Courier New" w:cs="Courier New"/>
      <w:szCs w:val="21"/>
    </w:rPr>
  </w:style>
  <w:style w:type="paragraph" w:styleId="22">
    <w:name w:val="toc 8"/>
    <w:basedOn w:val="1"/>
    <w:next w:val="1"/>
    <w:unhideWhenUsed/>
    <w:qFormat/>
    <w:uiPriority w:val="39"/>
    <w:pPr>
      <w:ind w:left="2940" w:leftChars="1400"/>
    </w:pPr>
    <w:rPr>
      <w:rFonts w:ascii="等线" w:hAnsi="等线" w:eastAsia="等线" w:cs="Times New Roman"/>
      <w:szCs w:val="22"/>
    </w:rPr>
  </w:style>
  <w:style w:type="paragraph" w:styleId="23">
    <w:name w:val="Balloon Text"/>
    <w:basedOn w:val="1"/>
    <w:link w:val="57"/>
    <w:qFormat/>
    <w:uiPriority w:val="0"/>
    <w:rPr>
      <w:sz w:val="18"/>
      <w:szCs w:val="18"/>
    </w:rPr>
  </w:style>
  <w:style w:type="paragraph" w:styleId="24">
    <w:name w:val="footer"/>
    <w:basedOn w:val="1"/>
    <w:link w:val="58"/>
    <w:qFormat/>
    <w:uiPriority w:val="0"/>
    <w:pPr>
      <w:tabs>
        <w:tab w:val="center" w:pos="4153"/>
        <w:tab w:val="right" w:pos="8306"/>
      </w:tabs>
      <w:snapToGrid w:val="0"/>
      <w:jc w:val="left"/>
    </w:pPr>
    <w:rPr>
      <w:sz w:val="18"/>
      <w:szCs w:val="18"/>
    </w:rPr>
  </w:style>
  <w:style w:type="paragraph" w:styleId="25">
    <w:name w:val="header"/>
    <w:basedOn w:val="1"/>
    <w:link w:val="59"/>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rPr>
      <w:rFonts w:ascii="仿宋_GB2312" w:eastAsia="仿宋_GB2312"/>
      <w:sz w:val="24"/>
    </w:rPr>
  </w:style>
  <w:style w:type="paragraph" w:styleId="27">
    <w:name w:val="toc 4"/>
    <w:basedOn w:val="1"/>
    <w:next w:val="1"/>
    <w:unhideWhenUsed/>
    <w:qFormat/>
    <w:uiPriority w:val="39"/>
    <w:pPr>
      <w:ind w:left="1260" w:leftChars="600"/>
    </w:pPr>
    <w:rPr>
      <w:rFonts w:ascii="等线" w:hAnsi="等线" w:eastAsia="等线" w:cs="Times New Roman"/>
      <w:szCs w:val="22"/>
    </w:rPr>
  </w:style>
  <w:style w:type="paragraph" w:styleId="28">
    <w:name w:val="Subtitle"/>
    <w:basedOn w:val="1"/>
    <w:next w:val="1"/>
    <w:link w:val="60"/>
    <w:qFormat/>
    <w:uiPriority w:val="99"/>
    <w:pPr>
      <w:autoSpaceDE w:val="0"/>
      <w:autoSpaceDN w:val="0"/>
      <w:adjustRightInd w:val="0"/>
      <w:spacing w:line="312" w:lineRule="auto"/>
      <w:jc w:val="center"/>
      <w:outlineLvl w:val="1"/>
    </w:pPr>
    <w:rPr>
      <w:rFonts w:ascii="Cambria" w:hAnsi="Cambria"/>
      <w:b/>
      <w:bCs/>
      <w:kern w:val="28"/>
      <w:sz w:val="32"/>
      <w:szCs w:val="32"/>
    </w:rPr>
  </w:style>
  <w:style w:type="paragraph" w:styleId="29">
    <w:name w:val="toc 6"/>
    <w:basedOn w:val="1"/>
    <w:next w:val="1"/>
    <w:unhideWhenUsed/>
    <w:qFormat/>
    <w:uiPriority w:val="39"/>
    <w:pPr>
      <w:ind w:left="2100" w:leftChars="1000"/>
    </w:pPr>
    <w:rPr>
      <w:rFonts w:ascii="等线" w:hAnsi="等线" w:eastAsia="等线" w:cs="Times New Roman"/>
      <w:szCs w:val="22"/>
    </w:rPr>
  </w:style>
  <w:style w:type="paragraph" w:styleId="30">
    <w:name w:val="toc 2"/>
    <w:basedOn w:val="1"/>
    <w:next w:val="1"/>
    <w:unhideWhenUsed/>
    <w:qFormat/>
    <w:uiPriority w:val="39"/>
    <w:pPr>
      <w:widowControl/>
      <w:spacing w:after="100" w:line="259" w:lineRule="auto"/>
      <w:ind w:left="220"/>
      <w:jc w:val="left"/>
    </w:pPr>
    <w:rPr>
      <w:rFonts w:ascii="等线" w:hAnsi="等线" w:eastAsia="等线"/>
      <w:kern w:val="0"/>
      <w:sz w:val="22"/>
      <w:szCs w:val="22"/>
    </w:rPr>
  </w:style>
  <w:style w:type="paragraph" w:styleId="31">
    <w:name w:val="toc 9"/>
    <w:basedOn w:val="1"/>
    <w:next w:val="1"/>
    <w:unhideWhenUsed/>
    <w:qFormat/>
    <w:uiPriority w:val="39"/>
    <w:pPr>
      <w:ind w:left="3360" w:leftChars="1600"/>
    </w:pPr>
    <w:rPr>
      <w:rFonts w:ascii="等线" w:hAnsi="等线" w:eastAsia="等线" w:cs="Times New Roman"/>
      <w:szCs w:val="22"/>
    </w:rPr>
  </w:style>
  <w:style w:type="paragraph" w:styleId="32">
    <w:name w:val="Body Text 2"/>
    <w:basedOn w:val="1"/>
    <w:link w:val="61"/>
    <w:qFormat/>
    <w:uiPriority w:val="0"/>
    <w:pPr>
      <w:spacing w:after="120" w:line="480" w:lineRule="auto"/>
    </w:pPr>
    <w:rPr>
      <w:rFonts w:ascii="Calibri" w:hAnsi="Calibri" w:eastAsia="宋体" w:cs="Times New Roman"/>
    </w:rPr>
  </w:style>
  <w:style w:type="paragraph" w:styleId="33">
    <w:name w:val="Normal (Web)"/>
    <w:basedOn w:val="1"/>
    <w:qFormat/>
    <w:uiPriority w:val="99"/>
    <w:pPr>
      <w:widowControl/>
      <w:spacing w:before="100" w:beforeAutospacing="1" w:after="100" w:afterAutospacing="1"/>
      <w:jc w:val="left"/>
    </w:pPr>
    <w:rPr>
      <w:kern w:val="0"/>
      <w:sz w:val="24"/>
    </w:rPr>
  </w:style>
  <w:style w:type="paragraph" w:styleId="34">
    <w:name w:val="Title"/>
    <w:basedOn w:val="1"/>
    <w:next w:val="1"/>
    <w:link w:val="62"/>
    <w:qFormat/>
    <w:uiPriority w:val="0"/>
    <w:pPr>
      <w:spacing w:before="240" w:after="60"/>
      <w:jc w:val="center"/>
      <w:outlineLvl w:val="0"/>
    </w:pPr>
    <w:rPr>
      <w:rFonts w:ascii="等线 Light" w:hAnsi="等线 Light" w:cs="Times New Roman"/>
      <w:b/>
      <w:bCs/>
      <w:sz w:val="32"/>
      <w:szCs w:val="32"/>
    </w:rPr>
  </w:style>
  <w:style w:type="paragraph" w:styleId="35">
    <w:name w:val="annotation subject"/>
    <w:basedOn w:val="14"/>
    <w:next w:val="14"/>
    <w:link w:val="63"/>
    <w:qFormat/>
    <w:uiPriority w:val="0"/>
    <w:rPr>
      <w:b/>
      <w:bCs/>
    </w:rPr>
  </w:style>
  <w:style w:type="paragraph" w:styleId="36">
    <w:name w:val="Body Text First Indent"/>
    <w:basedOn w:val="15"/>
    <w:qFormat/>
    <w:uiPriority w:val="0"/>
    <w:pPr>
      <w:spacing w:line="360" w:lineRule="auto"/>
      <w:ind w:firstLine="420" w:firstLineChars="100"/>
    </w:pPr>
    <w:rPr>
      <w:rFonts w:ascii="Times New Roman"/>
      <w:szCs w:val="21"/>
    </w:rPr>
  </w:style>
  <w:style w:type="table" w:styleId="38">
    <w:name w:val="Table Grid"/>
    <w:basedOn w:val="3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bCs/>
    </w:rPr>
  </w:style>
  <w:style w:type="character" w:styleId="41">
    <w:name w:val="page number"/>
    <w:qFormat/>
    <w:uiPriority w:val="0"/>
  </w:style>
  <w:style w:type="character" w:styleId="42">
    <w:name w:val="Emphasis"/>
    <w:qFormat/>
    <w:uiPriority w:val="0"/>
    <w:rPr>
      <w:i/>
      <w:iCs/>
    </w:rPr>
  </w:style>
  <w:style w:type="character" w:styleId="43">
    <w:name w:val="Hyperlink"/>
    <w:qFormat/>
    <w:uiPriority w:val="99"/>
    <w:rPr>
      <w:color w:val="auto"/>
      <w:u w:val="none"/>
    </w:rPr>
  </w:style>
  <w:style w:type="character" w:styleId="44">
    <w:name w:val="annotation reference"/>
    <w:qFormat/>
    <w:uiPriority w:val="0"/>
    <w:rPr>
      <w:sz w:val="21"/>
      <w:szCs w:val="21"/>
    </w:rPr>
  </w:style>
  <w:style w:type="character" w:customStyle="1" w:styleId="45">
    <w:name w:val="标题 1 字符"/>
    <w:link w:val="4"/>
    <w:qFormat/>
    <w:uiPriority w:val="0"/>
    <w:rPr>
      <w:b/>
      <w:bCs/>
      <w:kern w:val="44"/>
      <w:sz w:val="21"/>
      <w:szCs w:val="44"/>
    </w:rPr>
  </w:style>
  <w:style w:type="character" w:customStyle="1" w:styleId="46">
    <w:name w:val="标题 2 字符"/>
    <w:link w:val="5"/>
    <w:semiHidden/>
    <w:qFormat/>
    <w:uiPriority w:val="0"/>
    <w:rPr>
      <w:rFonts w:ascii="等线 Light" w:hAnsi="等线 Light" w:eastAsia="等线 Light" w:cs="Times New Roman"/>
      <w:b/>
      <w:bCs/>
      <w:kern w:val="2"/>
      <w:sz w:val="32"/>
      <w:szCs w:val="32"/>
    </w:rPr>
  </w:style>
  <w:style w:type="character" w:customStyle="1" w:styleId="47">
    <w:name w:val="标题 3 字符"/>
    <w:link w:val="6"/>
    <w:qFormat/>
    <w:uiPriority w:val="9"/>
    <w:rPr>
      <w:rFonts w:eastAsia="宋体"/>
      <w:b/>
      <w:bCs/>
      <w:kern w:val="2"/>
      <w:sz w:val="32"/>
      <w:szCs w:val="32"/>
      <w:lang w:val="en-US" w:eastAsia="zh-CN" w:bidi="ar-SA"/>
    </w:rPr>
  </w:style>
  <w:style w:type="character" w:customStyle="1" w:styleId="48">
    <w:name w:val="标题 4 字符"/>
    <w:link w:val="7"/>
    <w:semiHidden/>
    <w:qFormat/>
    <w:uiPriority w:val="0"/>
    <w:rPr>
      <w:rFonts w:ascii="等线 Light" w:hAnsi="等线 Light" w:eastAsia="等线 Light" w:cs="Times New Roman"/>
      <w:b/>
      <w:bCs/>
      <w:kern w:val="2"/>
      <w:sz w:val="28"/>
      <w:szCs w:val="28"/>
    </w:rPr>
  </w:style>
  <w:style w:type="character" w:customStyle="1" w:styleId="49">
    <w:name w:val="标题 6 字符"/>
    <w:link w:val="8"/>
    <w:qFormat/>
    <w:uiPriority w:val="0"/>
    <w:rPr>
      <w:rFonts w:ascii="等线 Light" w:hAnsi="等线 Light" w:eastAsia="等线 Light" w:cs="Times New Roman"/>
      <w:b/>
      <w:bCs/>
      <w:kern w:val="2"/>
      <w:sz w:val="24"/>
      <w:szCs w:val="24"/>
    </w:rPr>
  </w:style>
  <w:style w:type="character" w:customStyle="1" w:styleId="50">
    <w:name w:val="标题 8 字符"/>
    <w:link w:val="9"/>
    <w:semiHidden/>
    <w:qFormat/>
    <w:uiPriority w:val="0"/>
    <w:rPr>
      <w:rFonts w:ascii="等线 Light" w:hAnsi="等线 Light" w:eastAsia="等线 Light" w:cs="Times New Roman"/>
      <w:kern w:val="2"/>
      <w:sz w:val="24"/>
      <w:szCs w:val="24"/>
    </w:rPr>
  </w:style>
  <w:style w:type="character" w:customStyle="1" w:styleId="51">
    <w:name w:val="正文缩进 字符"/>
    <w:link w:val="12"/>
    <w:qFormat/>
    <w:uiPriority w:val="0"/>
    <w:rPr>
      <w:kern w:val="2"/>
      <w:sz w:val="21"/>
    </w:rPr>
  </w:style>
  <w:style w:type="character" w:customStyle="1" w:styleId="52">
    <w:name w:val="文档结构图 字符"/>
    <w:link w:val="13"/>
    <w:qFormat/>
    <w:uiPriority w:val="0"/>
    <w:rPr>
      <w:kern w:val="2"/>
      <w:sz w:val="21"/>
      <w:szCs w:val="24"/>
      <w:shd w:val="clear" w:color="auto" w:fill="000080"/>
    </w:rPr>
  </w:style>
  <w:style w:type="character" w:customStyle="1" w:styleId="53">
    <w:name w:val="批注文字 字符"/>
    <w:link w:val="14"/>
    <w:qFormat/>
    <w:uiPriority w:val="0"/>
    <w:rPr>
      <w:kern w:val="2"/>
      <w:sz w:val="21"/>
      <w:szCs w:val="24"/>
    </w:rPr>
  </w:style>
  <w:style w:type="character" w:customStyle="1" w:styleId="54">
    <w:name w:val="正文文本 字符"/>
    <w:link w:val="15"/>
    <w:qFormat/>
    <w:uiPriority w:val="1"/>
    <w:rPr>
      <w:kern w:val="2"/>
      <w:sz w:val="21"/>
      <w:szCs w:val="24"/>
    </w:rPr>
  </w:style>
  <w:style w:type="character" w:customStyle="1" w:styleId="55">
    <w:name w:val="日期 字符"/>
    <w:link w:val="16"/>
    <w:qFormat/>
    <w:uiPriority w:val="0"/>
    <w:rPr>
      <w:kern w:val="2"/>
      <w:sz w:val="24"/>
    </w:rPr>
  </w:style>
  <w:style w:type="character" w:customStyle="1" w:styleId="56">
    <w:name w:val="纯文本 字符"/>
    <w:link w:val="21"/>
    <w:qFormat/>
    <w:uiPriority w:val="0"/>
    <w:rPr>
      <w:rFonts w:ascii="宋体" w:hAnsi="Courier New" w:cs="Courier New"/>
      <w:kern w:val="2"/>
      <w:sz w:val="21"/>
      <w:szCs w:val="21"/>
    </w:rPr>
  </w:style>
  <w:style w:type="character" w:customStyle="1" w:styleId="57">
    <w:name w:val="批注框文本 字符"/>
    <w:link w:val="23"/>
    <w:qFormat/>
    <w:uiPriority w:val="0"/>
    <w:rPr>
      <w:kern w:val="2"/>
      <w:sz w:val="18"/>
      <w:szCs w:val="18"/>
    </w:rPr>
  </w:style>
  <w:style w:type="character" w:customStyle="1" w:styleId="58">
    <w:name w:val="页脚 字符"/>
    <w:link w:val="24"/>
    <w:qFormat/>
    <w:uiPriority w:val="99"/>
    <w:rPr>
      <w:kern w:val="2"/>
      <w:sz w:val="18"/>
      <w:szCs w:val="18"/>
    </w:rPr>
  </w:style>
  <w:style w:type="character" w:customStyle="1" w:styleId="59">
    <w:name w:val="页眉 字符"/>
    <w:link w:val="25"/>
    <w:qFormat/>
    <w:uiPriority w:val="0"/>
    <w:rPr>
      <w:kern w:val="2"/>
      <w:sz w:val="18"/>
      <w:szCs w:val="18"/>
    </w:rPr>
  </w:style>
  <w:style w:type="character" w:customStyle="1" w:styleId="60">
    <w:name w:val="副标题 字符"/>
    <w:link w:val="28"/>
    <w:qFormat/>
    <w:uiPriority w:val="99"/>
    <w:rPr>
      <w:rFonts w:ascii="Cambria" w:hAnsi="Cambria"/>
      <w:b/>
      <w:bCs/>
      <w:kern w:val="28"/>
      <w:sz w:val="32"/>
      <w:szCs w:val="32"/>
    </w:rPr>
  </w:style>
  <w:style w:type="character" w:customStyle="1" w:styleId="61">
    <w:name w:val="正文文本 2 字符"/>
    <w:link w:val="32"/>
    <w:qFormat/>
    <w:uiPriority w:val="0"/>
    <w:rPr>
      <w:rFonts w:ascii="Calibri" w:hAnsi="Calibri"/>
      <w:kern w:val="2"/>
      <w:sz w:val="21"/>
      <w:szCs w:val="24"/>
    </w:rPr>
  </w:style>
  <w:style w:type="character" w:customStyle="1" w:styleId="62">
    <w:name w:val="标题 字符"/>
    <w:link w:val="34"/>
    <w:qFormat/>
    <w:uiPriority w:val="0"/>
    <w:rPr>
      <w:rFonts w:ascii="等线 Light" w:hAnsi="等线 Light" w:cs="Times New Roman"/>
      <w:b/>
      <w:bCs/>
      <w:kern w:val="2"/>
      <w:sz w:val="32"/>
      <w:szCs w:val="32"/>
    </w:rPr>
  </w:style>
  <w:style w:type="character" w:customStyle="1" w:styleId="63">
    <w:name w:val="批注主题 字符"/>
    <w:link w:val="35"/>
    <w:qFormat/>
    <w:uiPriority w:val="0"/>
    <w:rPr>
      <w:b/>
      <w:bCs/>
      <w:kern w:val="2"/>
      <w:sz w:val="21"/>
      <w:szCs w:val="24"/>
    </w:rPr>
  </w:style>
  <w:style w:type="character" w:customStyle="1" w:styleId="64">
    <w:name w:val="p0 Char"/>
    <w:link w:val="65"/>
    <w:qFormat/>
    <w:uiPriority w:val="0"/>
    <w:rPr>
      <w:rFonts w:eastAsia="宋体"/>
      <w:sz w:val="21"/>
      <w:szCs w:val="21"/>
      <w:lang w:val="en-US" w:eastAsia="zh-CN" w:bidi="ar-SA"/>
    </w:rPr>
  </w:style>
  <w:style w:type="paragraph" w:customStyle="1" w:styleId="65">
    <w:name w:val="p0"/>
    <w:basedOn w:val="1"/>
    <w:link w:val="64"/>
    <w:qFormat/>
    <w:uiPriority w:val="0"/>
    <w:pPr>
      <w:widowControl/>
    </w:pPr>
    <w:rPr>
      <w:kern w:val="0"/>
      <w:szCs w:val="21"/>
    </w:rPr>
  </w:style>
  <w:style w:type="character" w:customStyle="1" w:styleId="66">
    <w:name w:val="标题 2 Char Char Char"/>
    <w:qFormat/>
    <w:uiPriority w:val="0"/>
    <w:rPr>
      <w:rFonts w:ascii="Arial" w:hAnsi="Arial" w:eastAsia="黑体"/>
      <w:b/>
      <w:bCs/>
      <w:kern w:val="2"/>
      <w:sz w:val="32"/>
      <w:szCs w:val="32"/>
      <w:lang w:val="en-US" w:eastAsia="zh-CN" w:bidi="ar-SA"/>
    </w:rPr>
  </w:style>
  <w:style w:type="character" w:customStyle="1" w:styleId="67">
    <w:name w:val="NormalCharacter"/>
    <w:semiHidden/>
    <w:qFormat/>
    <w:uiPriority w:val="0"/>
  </w:style>
  <w:style w:type="paragraph" w:customStyle="1" w:styleId="68">
    <w:name w:val="Heading2"/>
    <w:basedOn w:val="1"/>
    <w:next w:val="1"/>
    <w:qFormat/>
    <w:uiPriority w:val="0"/>
    <w:pPr>
      <w:keepNext/>
      <w:widowControl/>
      <w:jc w:val="center"/>
      <w:textAlignment w:val="baseline"/>
    </w:pPr>
    <w:rPr>
      <w:rFonts w:ascii="楷体_GB2312" w:eastAsia="楷体_GB2312"/>
      <w:sz w:val="18"/>
      <w:szCs w:val="20"/>
    </w:rPr>
  </w:style>
  <w:style w:type="paragraph" w:customStyle="1" w:styleId="69">
    <w:name w:val="_Style 68"/>
    <w:basedOn w:val="4"/>
    <w:next w:val="1"/>
    <w:qFormat/>
    <w:uiPriority w:val="39"/>
    <w:pPr>
      <w:widowControl/>
      <w:spacing w:before="240" w:after="0" w:line="259" w:lineRule="auto"/>
      <w:jc w:val="left"/>
      <w:outlineLvl w:val="9"/>
    </w:pPr>
    <w:rPr>
      <w:rFonts w:ascii="等线 Light" w:hAnsi="等线 Light" w:eastAsia="等线 Light" w:cs="Times New Roman"/>
      <w:b w:val="0"/>
      <w:bCs w:val="0"/>
      <w:color w:val="2E74B5"/>
      <w:kern w:val="0"/>
      <w:sz w:val="32"/>
      <w:szCs w:val="32"/>
    </w:rPr>
  </w:style>
  <w:style w:type="paragraph" w:styleId="70">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71">
    <w:name w:val="样式1"/>
    <w:basedOn w:val="4"/>
    <w:link w:val="72"/>
    <w:qFormat/>
    <w:uiPriority w:val="0"/>
    <w:pPr>
      <w:ind w:left="210" w:right="210"/>
    </w:pPr>
  </w:style>
  <w:style w:type="character" w:customStyle="1" w:styleId="72">
    <w:name w:val="样式1 字符"/>
    <w:link w:val="71"/>
    <w:qFormat/>
    <w:uiPriority w:val="0"/>
  </w:style>
  <w:style w:type="paragraph" w:customStyle="1" w:styleId="73">
    <w:name w:val="标题 21"/>
    <w:basedOn w:val="1"/>
    <w:qFormat/>
    <w:uiPriority w:val="1"/>
    <w:pPr>
      <w:autoSpaceDE w:val="0"/>
      <w:autoSpaceDN w:val="0"/>
      <w:ind w:left="801" w:hanging="401"/>
      <w:jc w:val="left"/>
      <w:outlineLvl w:val="2"/>
    </w:pPr>
    <w:rPr>
      <w:rFonts w:ascii="Microsoft JhengHei" w:hAnsi="Microsoft JhengHei" w:eastAsia="Microsoft JhengHei" w:cs="Microsoft JhengHei"/>
      <w:b/>
      <w:bCs/>
      <w:kern w:val="0"/>
      <w:sz w:val="32"/>
      <w:szCs w:val="32"/>
      <w:lang w:val="zh-CN" w:bidi="zh-CN"/>
    </w:rPr>
  </w:style>
  <w:style w:type="paragraph" w:styleId="74">
    <w:name w:val="List Paragraph"/>
    <w:basedOn w:val="1"/>
    <w:link w:val="75"/>
    <w:qFormat/>
    <w:uiPriority w:val="34"/>
    <w:pPr>
      <w:autoSpaceDE w:val="0"/>
      <w:autoSpaceDN w:val="0"/>
      <w:ind w:left="400" w:firstLine="420"/>
      <w:jc w:val="left"/>
    </w:pPr>
    <w:rPr>
      <w:rFonts w:ascii="宋体" w:hAnsi="宋体" w:cs="宋体"/>
      <w:kern w:val="0"/>
      <w:sz w:val="22"/>
      <w:szCs w:val="22"/>
      <w:lang w:val="zh-CN" w:bidi="zh-CN"/>
    </w:rPr>
  </w:style>
  <w:style w:type="character" w:customStyle="1" w:styleId="75">
    <w:name w:val="列表段落 字符"/>
    <w:link w:val="74"/>
    <w:qFormat/>
    <w:uiPriority w:val="99"/>
    <w:rPr>
      <w:rFonts w:ascii="宋体" w:hAnsi="宋体" w:cs="宋体"/>
      <w:sz w:val="22"/>
      <w:szCs w:val="22"/>
      <w:lang w:val="zh-CN" w:bidi="zh-CN"/>
    </w:rPr>
  </w:style>
  <w:style w:type="paragraph" w:customStyle="1" w:styleId="76">
    <w:name w:val="Table Paragraph"/>
    <w:basedOn w:val="1"/>
    <w:qFormat/>
    <w:uiPriority w:val="99"/>
    <w:pPr>
      <w:autoSpaceDE w:val="0"/>
      <w:autoSpaceDN w:val="0"/>
      <w:jc w:val="left"/>
    </w:pPr>
    <w:rPr>
      <w:rFonts w:ascii="宋体" w:hAnsi="宋体" w:cs="宋体"/>
      <w:kern w:val="0"/>
      <w:sz w:val="22"/>
      <w:szCs w:val="22"/>
      <w:lang w:val="zh-CN" w:bidi="zh-CN"/>
    </w:rPr>
  </w:style>
  <w:style w:type="character" w:customStyle="1" w:styleId="77">
    <w:name w:val="ask-title2"/>
    <w:qFormat/>
    <w:uiPriority w:val="0"/>
  </w:style>
  <w:style w:type="paragraph" w:customStyle="1" w:styleId="78">
    <w:name w:val="列出段落2"/>
    <w:basedOn w:val="1"/>
    <w:unhideWhenUsed/>
    <w:qFormat/>
    <w:uiPriority w:val="99"/>
    <w:pPr>
      <w:autoSpaceDE w:val="0"/>
      <w:autoSpaceDN w:val="0"/>
      <w:adjustRightInd w:val="0"/>
      <w:ind w:firstLine="420" w:firstLineChars="200"/>
      <w:jc w:val="left"/>
    </w:pPr>
    <w:rPr>
      <w:rFonts w:ascii="宋体"/>
      <w:kern w:val="0"/>
      <w:sz w:val="20"/>
      <w:szCs w:val="20"/>
    </w:rPr>
  </w:style>
  <w:style w:type="paragraph" w:customStyle="1" w:styleId="79">
    <w:name w:val="纯文本1"/>
    <w:basedOn w:val="1"/>
    <w:qFormat/>
    <w:uiPriority w:val="0"/>
    <w:rPr>
      <w:rFonts w:ascii="宋体" w:hAnsi="Courier New"/>
      <w:kern w:val="0"/>
      <w:sz w:val="20"/>
      <w:szCs w:val="21"/>
    </w:rPr>
  </w:style>
  <w:style w:type="character" w:customStyle="1" w:styleId="80">
    <w:name w:val="纯文本 Char2"/>
    <w:qFormat/>
    <w:uiPriority w:val="0"/>
    <w:rPr>
      <w:rFonts w:ascii="宋体" w:hAnsi="Courier New"/>
      <w:sz w:val="21"/>
    </w:rPr>
  </w:style>
  <w:style w:type="paragraph" w:customStyle="1" w:styleId="81">
    <w:name w:val="列出段落1"/>
    <w:basedOn w:val="1"/>
    <w:qFormat/>
    <w:uiPriority w:val="0"/>
    <w:pPr>
      <w:spacing w:line="0" w:lineRule="atLeast"/>
      <w:ind w:firstLine="420" w:firstLineChars="200"/>
    </w:pPr>
    <w:rPr>
      <w:rFonts w:eastAsia="微软雅黑"/>
      <w:sz w:val="20"/>
      <w:szCs w:val="20"/>
    </w:rPr>
  </w:style>
  <w:style w:type="character" w:customStyle="1" w:styleId="82">
    <w:name w:val="纯文本 Char"/>
    <w:link w:val="83"/>
    <w:qFormat/>
    <w:uiPriority w:val="0"/>
    <w:rPr>
      <w:rFonts w:ascii="宋体" w:hAnsi="Courier New"/>
    </w:rPr>
  </w:style>
  <w:style w:type="paragraph" w:customStyle="1" w:styleId="83">
    <w:name w:val="Plain Text"/>
    <w:basedOn w:val="1"/>
    <w:link w:val="82"/>
    <w:qFormat/>
    <w:uiPriority w:val="0"/>
    <w:pPr>
      <w:spacing w:line="360" w:lineRule="auto"/>
      <w:ind w:firstLine="200" w:firstLineChars="200"/>
    </w:pPr>
    <w:rPr>
      <w:rFonts w:ascii="宋体" w:hAnsi="Courier New"/>
      <w:kern w:val="0"/>
      <w:sz w:val="20"/>
      <w:szCs w:val="20"/>
    </w:rPr>
  </w:style>
  <w:style w:type="character" w:customStyle="1" w:styleId="84">
    <w:name w:val="页脚 Char"/>
    <w:qFormat/>
    <w:uiPriority w:val="0"/>
    <w:rPr>
      <w:sz w:val="18"/>
      <w:szCs w:val="18"/>
    </w:rPr>
  </w:style>
  <w:style w:type="paragraph" w:customStyle="1" w:styleId="85">
    <w:name w:val="_Style 83"/>
    <w:basedOn w:val="1"/>
    <w:next w:val="74"/>
    <w:qFormat/>
    <w:uiPriority w:val="99"/>
    <w:pPr>
      <w:ind w:firstLine="420" w:firstLineChars="200"/>
    </w:pPr>
  </w:style>
  <w:style w:type="paragraph" w:customStyle="1" w:styleId="86">
    <w:name w:val="表格文字"/>
    <w:basedOn w:val="1"/>
    <w:qFormat/>
    <w:uiPriority w:val="0"/>
    <w:pPr>
      <w:autoSpaceDE w:val="0"/>
      <w:autoSpaceDN w:val="0"/>
      <w:adjustRightInd w:val="0"/>
      <w:spacing w:before="25" w:after="25"/>
      <w:jc w:val="left"/>
    </w:pPr>
    <w:rPr>
      <w:bCs/>
      <w:spacing w:val="10"/>
      <w:kern w:val="0"/>
      <w:sz w:val="24"/>
      <w:szCs w:val="20"/>
    </w:rPr>
  </w:style>
  <w:style w:type="character" w:customStyle="1" w:styleId="87">
    <w:name w:val="font21"/>
    <w:qFormat/>
    <w:uiPriority w:val="0"/>
    <w:rPr>
      <w:rFonts w:hint="eastAsia" w:ascii="宋体" w:hAnsi="宋体" w:eastAsia="宋体" w:cs="宋体"/>
      <w:color w:val="000000"/>
      <w:sz w:val="20"/>
      <w:szCs w:val="20"/>
      <w:u w:val="none"/>
      <w:vertAlign w:val="superscript"/>
    </w:rPr>
  </w:style>
  <w:style w:type="paragraph" w:customStyle="1" w:styleId="88">
    <w:name w:val="_Style 9"/>
    <w:basedOn w:val="1"/>
    <w:next w:val="74"/>
    <w:qFormat/>
    <w:uiPriority w:val="0"/>
    <w:pPr>
      <w:ind w:firstLine="420" w:firstLineChars="200"/>
    </w:pPr>
    <w:rPr>
      <w:rFonts w:ascii="Calibri" w:hAnsi="Calibri" w:cs="Calibri"/>
      <w:szCs w:val="21"/>
    </w:rPr>
  </w:style>
  <w:style w:type="paragraph" w:customStyle="1" w:styleId="89">
    <w:name w:val="_Style 88"/>
    <w:unhideWhenUsed/>
    <w:qFormat/>
    <w:uiPriority w:val="99"/>
    <w:rPr>
      <w:rFonts w:ascii="Times New Roman" w:hAnsi="Times New Roman" w:eastAsia="宋体" w:cs="Times New Roman"/>
      <w:kern w:val="2"/>
      <w:sz w:val="21"/>
      <w:szCs w:val="24"/>
      <w:lang w:val="en-US" w:eastAsia="zh-CN" w:bidi="ar-SA"/>
    </w:rPr>
  </w:style>
  <w:style w:type="paragraph" w:customStyle="1" w:styleId="90">
    <w:name w:val="_Style 92"/>
    <w:basedOn w:val="1"/>
    <w:next w:val="74"/>
    <w:qFormat/>
    <w:uiPriority w:val="34"/>
    <w:pPr>
      <w:spacing w:line="360" w:lineRule="auto"/>
      <w:ind w:firstLine="200" w:firstLineChars="200"/>
    </w:pPr>
    <w:rPr>
      <w:rFonts w:eastAsia="楷体_GB2312"/>
      <w:sz w:val="24"/>
    </w:rPr>
  </w:style>
  <w:style w:type="paragraph" w:customStyle="1" w:styleId="91">
    <w:name w:val="_Style 93"/>
    <w:basedOn w:val="1"/>
    <w:next w:val="74"/>
    <w:qFormat/>
    <w:uiPriority w:val="34"/>
    <w:pPr>
      <w:spacing w:line="360" w:lineRule="auto"/>
      <w:ind w:firstLine="200" w:firstLineChars="200"/>
    </w:pPr>
    <w:rPr>
      <w:rFonts w:eastAsia="楷体_GB2312"/>
      <w:sz w:val="24"/>
    </w:rPr>
  </w:style>
  <w:style w:type="character" w:customStyle="1" w:styleId="92">
    <w:name w:val="cf01"/>
    <w:qFormat/>
    <w:uiPriority w:val="0"/>
    <w:rPr>
      <w:rFonts w:hint="eastAsia" w:ascii="Microsoft YaHei UI" w:hAnsi="Microsoft YaHei UI" w:eastAsia="Microsoft YaHei UI"/>
      <w:sz w:val="18"/>
      <w:szCs w:val="18"/>
    </w:rPr>
  </w:style>
  <w:style w:type="paragraph" w:customStyle="1" w:styleId="93">
    <w:name w:val="彩色列表1"/>
    <w:basedOn w:val="1"/>
    <w:qFormat/>
    <w:uiPriority w:val="0"/>
    <w:pPr>
      <w:ind w:firstLine="420" w:firstLineChars="200"/>
    </w:pPr>
    <w:rPr>
      <w:rFonts w:ascii="Calibri" w:hAnsi="Calibri"/>
      <w:szCs w:val="22"/>
    </w:rPr>
  </w:style>
  <w:style w:type="paragraph" w:customStyle="1" w:styleId="94">
    <w:name w:val="_Style 2"/>
    <w:basedOn w:val="1"/>
    <w:qFormat/>
    <w:uiPriority w:val="34"/>
    <w:pPr>
      <w:ind w:firstLine="420" w:firstLineChars="200"/>
    </w:pPr>
    <w:rPr>
      <w:szCs w:val="24"/>
    </w:rPr>
  </w:style>
  <w:style w:type="paragraph" w:customStyle="1" w:styleId="95">
    <w:name w:val="Normal_14_0"/>
    <w:qFormat/>
    <w:uiPriority w:val="0"/>
    <w:rPr>
      <w:rFonts w:ascii="黑体" w:hAnsi="黑体" w:eastAsia="黑体" w:cs="Times New Roman"/>
      <w:b/>
      <w:sz w:val="32"/>
      <w:szCs w:val="24"/>
      <w:lang w:val="en-US" w:eastAsia="zh-CN" w:bidi="ar-SA"/>
    </w:rPr>
  </w:style>
  <w:style w:type="paragraph" w:customStyle="1" w:styleId="96">
    <w:name w:val="正文_14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7">
    <w:name w:val="正文_9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8">
    <w:name w:val="正文_4_0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9">
    <w:name w:val="custom-tag-placeholder-class"/>
    <w:basedOn w:val="3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68</Pages>
  <Words>15168</Words>
  <Characters>16374</Characters>
  <Lines>1702</Lines>
  <Paragraphs>1646</Paragraphs>
  <TotalTime>24</TotalTime>
  <ScaleCrop>false</ScaleCrop>
  <LinksUpToDate>false</LinksUpToDate>
  <CharactersWithSpaces>16423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2025-05-08T15:41:00Z</dcterms:created>
  <dc:creator>island</dc:creator>
  <cp:lastModifiedBy>天一生水</cp:lastModifiedBy>
  <cp:lastPrinted>2024-11-12T16:11:00Z</cp:lastPrinted>
  <dcterms:modified xsi:type="dcterms:W3CDTF">2026-04-23T07:04:09Z</dcterms:modified>
  <dc:title>第五章 单一来源操作规程</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7E02F433EBB94A35A8C8019A17769564_13</vt:lpwstr>
  </property>
  <property fmtid="{D5CDD505-2E9C-101B-9397-08002B2CF9AE}" pid="4" name="KSOTemplateDocerSaveRecord">
    <vt:lpwstr>eyJoZGlkIjoiMWM1MTU2ZmEzM2U5NDYxMDY5NDFiZmQ5OWZiM2QwM2YiLCJ1c2VySWQiOiIxMjE0ODE1MzY4In0=</vt:lpwstr>
  </property>
</Properties>
</file>