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25"/>
        <w:jc w:val="both"/>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25"/>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925"/>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925"/>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常泰大桥泰兴进出口技防监控及综合</w:t>
      </w:r>
      <w:r>
        <w:rPr>
          <w:rFonts w:hint="eastAsia" w:ascii="Arial" w:hAnsi="Arial"/>
          <w:b/>
          <w:bCs/>
          <w:color w:val="000000"/>
          <w:sz w:val="32"/>
          <w:szCs w:val="24"/>
          <w:highlight w:val="none"/>
          <w:lang w:eastAsia="zh-CN"/>
        </w:rPr>
      </w:r>
      <w:r/>
    </w:p>
    <w:p>
      <w:pPr>
        <w:pStyle w:val="92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lang w:eastAsia="zh-CN"/>
        </w:rPr>
        <w:t xml:space="preserve">方舱设备采购项目</w:t>
      </w:r>
      <w:r>
        <w:rPr>
          <w:rFonts w:hint="eastAsia" w:ascii="Arial" w:hAnsi="Arial" w:eastAsia="宋体"/>
          <w:b/>
          <w:bCs/>
          <w:color w:val="000000"/>
          <w:sz w:val="32"/>
          <w:szCs w:val="24"/>
          <w:highlight w:val="none"/>
          <w:lang w:eastAsia="zh-CN"/>
        </w:rPr>
      </w:r>
      <w:r/>
    </w:p>
    <w:p>
      <w:pPr>
        <w:pStyle w:val="925"/>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JSZC-321283-CZJA-G2026-0001</w:t>
      </w:r>
      <w:r>
        <w:rPr>
          <w:rFonts w:hint="eastAsia" w:ascii="Arial" w:hAnsi="Arial" w:eastAsia="宋体"/>
          <w:b/>
          <w:bCs/>
          <w:sz w:val="32"/>
          <w:szCs w:val="24"/>
          <w:highlight w:val="none"/>
          <w:lang w:eastAsia="zh-CN"/>
        </w:rPr>
      </w:r>
      <w:r/>
    </w:p>
    <w:p>
      <w:pPr>
        <w:pStyle w:val="925"/>
        <w:ind w:left="2800" w:hanging="2800"/>
        <w:rPr>
          <w:b/>
          <w:sz w:val="28"/>
          <w:szCs w:val="28"/>
          <w:highlight w:val="none"/>
        </w:rPr>
      </w:pPr>
      <w:r>
        <w:rPr>
          <w:rFonts w:hint="eastAsia"/>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b/>
          <w:sz w:val="28"/>
          <w:szCs w:val="28"/>
          <w:highlight w:val="none"/>
        </w:rPr>
      </w:r>
      <w:r/>
    </w:p>
    <w:p>
      <w:pPr>
        <w:pStyle w:val="925"/>
        <w:rPr>
          <w:rFonts w:hint="eastAsia"/>
          <w:b/>
          <w:color w:val="ff0000"/>
          <w:sz w:val="24"/>
          <w:szCs w:val="24"/>
          <w:highlight w:val="none"/>
        </w:rPr>
      </w:pPr>
      <w:r>
        <w:rPr>
          <w:rFonts w:hint="eastAsia"/>
          <w:b/>
          <w:color w:val="ff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jc w:val="center"/>
        <w:spacing w:line="360" w:lineRule="auto"/>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泰兴市公安局</w:t>
      </w:r>
      <w:r>
        <w:rPr>
          <w:rFonts w:hint="eastAsia" w:ascii="宋体" w:hAnsi="宋体" w:eastAsia="宋体" w:cs="宋体"/>
          <w:b/>
          <w:color w:val="000000"/>
          <w:sz w:val="36"/>
          <w:szCs w:val="36"/>
          <w:highlight w:val="none"/>
          <w:lang w:eastAsia="zh-CN"/>
        </w:rPr>
      </w:r>
      <w:r/>
    </w:p>
    <w:p>
      <w:pPr>
        <w:pStyle w:val="92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lang w:val="en-US" w:eastAsia="zh-CN"/>
        </w:rPr>
        <w:t xml:space="preserve">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3</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9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5"/>
        <w:jc w:val="center"/>
        <w:spacing w:line="480" w:lineRule="auto"/>
        <w:rPr>
          <w:rFonts w:hint="eastAsia" w:ascii="黑体" w:hAnsi="Arial" w:eastAsia="黑体"/>
          <w:b/>
          <w:color w:val="000000"/>
          <w:sz w:val="44"/>
          <w:szCs w:val="21"/>
          <w:highlight w:val="none"/>
        </w:rPr>
        <w:outlineLvl w:val="9"/>
      </w:pPr>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977"/>
        <w:tabs>
          <w:tab w:val="right" w:pos="8312" w:leader="dot"/>
        </w:tabs>
        <w:rPr>
          <w:highlight w:val="none"/>
        </w:rPr>
      </w:pPr>
      <w:r>
        <w:rPr>
          <w:rFonts w:hint="eastAsia" w:ascii="黑体" w:hAnsi="Arial" w:eastAsia="黑体"/>
          <w:b/>
          <w:color w:val="000000"/>
          <w:sz w:val="44"/>
          <w:szCs w:val="21"/>
          <w:highlight w:val="none"/>
        </w:rPr>
        <w:fldChar w:fldCharType="begin"/>
      </w:r>
      <w:r>
        <w:rPr>
          <w:rFonts w:hint="eastAsia" w:ascii="黑体" w:hAnsi="Arial" w:eastAsia="黑体"/>
          <w:b/>
          <w:color w:val="000000"/>
          <w:sz w:val="44"/>
          <w:szCs w:val="21"/>
          <w:highlight w:val="none"/>
        </w:rPr>
        <w:instrText xml:space="preserve">TOC \o "1-1" \h \u </w:instrText>
      </w:r>
      <w:r>
        <w:rPr>
          <w:rFonts w:hint="eastAsia" w:ascii="黑体" w:hAnsi="Arial" w:eastAsia="黑体"/>
          <w:b/>
          <w:color w:val="000000"/>
          <w:sz w:val="44"/>
          <w:szCs w:val="21"/>
          <w:highlight w:val="none"/>
        </w:rPr>
        <w:fldChar w:fldCharType="separate"/>
      </w: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_Toc5079 </w:instrText>
      </w:r>
      <w:r>
        <w:rPr>
          <w:rFonts w:hint="eastAsia" w:ascii="黑体" w:hAnsi="Arial" w:eastAsia="黑体"/>
          <w:szCs w:val="21"/>
          <w:highlight w:val="none"/>
        </w:rPr>
        <w:fldChar w:fldCharType="separate"/>
      </w:r>
      <w:r>
        <w:rPr>
          <w:rFonts w:hint="eastAsia" w:ascii="黑体" w:eastAsia="黑体"/>
          <w:szCs w:val="44"/>
          <w:highlight w:val="none"/>
        </w:rPr>
        <w:t xml:space="preserve">第一章  </w:t>
      </w:r>
      <w:r>
        <w:rPr>
          <w:rFonts w:hint="eastAsia" w:ascii="黑体" w:eastAsia="黑体"/>
          <w:szCs w:val="44"/>
          <w:highlight w:val="none"/>
          <w:lang w:val="en-US" w:eastAsia="zh-CN"/>
        </w:rPr>
        <w:t xml:space="preserve">招标公告</w:t>
      </w:r>
      <w:r>
        <w:rPr>
          <w:highlight w:val="none"/>
        </w:rPr>
        <w:tab/>
      </w:r>
      <w:r>
        <w:rPr>
          <w:highlight w:val="none"/>
        </w:rPr>
        <w:fldChar w:fldCharType="begin"/>
      </w:r>
      <w:r>
        <w:rPr>
          <w:highlight w:val="none"/>
        </w:rPr>
        <w:instrText xml:space="preserve"> PAGEREF _Toc5079 \h </w:instrText>
      </w:r>
      <w:r>
        <w:rPr>
          <w:highlight w:val="none"/>
        </w:rPr>
        <w:fldChar w:fldCharType="separate"/>
      </w:r>
      <w:r>
        <w:rPr>
          <w:highlight w:val="none"/>
        </w:rPr>
        <w:t xml:space="preserve">1</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_Toc15929 </w:instrText>
      </w:r>
      <w:r>
        <w:rPr>
          <w:rFonts w:hint="eastAsia" w:ascii="黑体" w:hAnsi="Arial" w:eastAsia="黑体"/>
          <w:szCs w:val="21"/>
          <w:highlight w:val="none"/>
        </w:rPr>
        <w:fldChar w:fldCharType="separate"/>
      </w:r>
      <w:r>
        <w:rPr>
          <w:rFonts w:hint="eastAsia"/>
          <w:bCs/>
          <w:szCs w:val="32"/>
          <w:highlight w:val="none"/>
        </w:rPr>
        <w:t xml:space="preserve">一、项目基本情况</w:t>
      </w:r>
      <w:r>
        <w:rPr>
          <w:highlight w:val="none"/>
        </w:rPr>
        <w:tab/>
      </w:r>
      <w:r>
        <w:rPr>
          <w:highlight w:val="none"/>
        </w:rPr>
        <w:fldChar w:fldCharType="begin"/>
      </w:r>
      <w:r>
        <w:rPr>
          <w:highlight w:val="none"/>
        </w:rPr>
        <w:instrText xml:space="preserve"> PAGEREF _Toc15929 \h </w:instrText>
      </w:r>
      <w:r>
        <w:rPr>
          <w:highlight w:val="none"/>
        </w:rPr>
        <w:fldChar w:fldCharType="separate"/>
      </w:r>
      <w:r>
        <w:rPr>
          <w:highlight w:val="none"/>
        </w:rPr>
        <w:t xml:space="preserve">1</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_Toc4973 </w:instrText>
      </w:r>
      <w:r>
        <w:rPr>
          <w:rFonts w:hint="eastAsia" w:ascii="黑体" w:hAnsi="Arial" w:eastAsia="黑体"/>
          <w:szCs w:val="21"/>
          <w:highlight w:val="none"/>
        </w:rPr>
        <w:fldChar w:fldCharType="separate"/>
      </w:r>
      <w:r>
        <w:rPr>
          <w:rFonts w:hint="eastAsia"/>
          <w:bCs/>
          <w:szCs w:val="32"/>
          <w:highlight w:val="none"/>
        </w:rPr>
        <w:t xml:space="preserve">二、申请人的资格要求</w:t>
      </w:r>
      <w:r>
        <w:rPr>
          <w:highlight w:val="none"/>
        </w:rPr>
        <w:tab/>
      </w:r>
      <w:r>
        <w:rPr>
          <w:highlight w:val="none"/>
        </w:rPr>
        <w:fldChar w:fldCharType="begin"/>
      </w:r>
      <w:r>
        <w:rPr>
          <w:highlight w:val="none"/>
        </w:rPr>
        <w:instrText xml:space="preserve"> PAGEREF _Toc4973 \h </w:instrText>
      </w:r>
      <w:r>
        <w:rPr>
          <w:highlight w:val="none"/>
        </w:rPr>
        <w:fldChar w:fldCharType="separate"/>
      </w:r>
      <w:r>
        <w:rPr>
          <w:highlight w:val="none"/>
        </w:rPr>
        <w:t xml:space="preserve">1</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_Toc20406 </w:instrText>
      </w:r>
      <w:r>
        <w:rPr>
          <w:rFonts w:hint="eastAsia" w:ascii="黑体" w:hAnsi="Arial" w:eastAsia="黑体"/>
          <w:szCs w:val="21"/>
          <w:highlight w:val="none"/>
        </w:rPr>
        <w:fldChar w:fldCharType="separate"/>
      </w:r>
      <w:r>
        <w:rPr>
          <w:rFonts w:hint="eastAsia"/>
          <w:bCs/>
          <w:szCs w:val="32"/>
          <w:highlight w:val="none"/>
        </w:rPr>
        <w:t xml:space="preserve">三、获取招标文件</w:t>
      </w:r>
      <w:r>
        <w:rPr>
          <w:highlight w:val="none"/>
        </w:rPr>
        <w:tab/>
      </w:r>
      <w:r>
        <w:rPr>
          <w:highlight w:val="none"/>
        </w:rPr>
        <w:fldChar w:fldCharType="begin"/>
      </w:r>
      <w:r>
        <w:rPr>
          <w:highlight w:val="none"/>
        </w:rPr>
        <w:instrText xml:space="preserve"> PAGEREF _Toc20406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_Toc31841 </w:instrText>
      </w:r>
      <w:r>
        <w:rPr>
          <w:rFonts w:hint="eastAsia" w:ascii="黑体" w:hAnsi="Arial" w:eastAsia="黑体"/>
          <w:szCs w:val="21"/>
          <w:highlight w:val="none"/>
        </w:rPr>
        <w:fldChar w:fldCharType="separate"/>
      </w:r>
      <w:r>
        <w:rPr>
          <w:rFonts w:hint="eastAsia"/>
          <w:bCs/>
          <w:szCs w:val="32"/>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_Toc31841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_Toc21054 </w:instrText>
      </w:r>
      <w:r>
        <w:rPr>
          <w:rFonts w:hint="eastAsia" w:ascii="黑体" w:hAnsi="Arial" w:eastAsia="黑体"/>
          <w:szCs w:val="21"/>
          <w:highlight w:val="none"/>
        </w:rPr>
        <w:fldChar w:fldCharType="separate"/>
      </w:r>
      <w:r>
        <w:rPr>
          <w:rFonts w:hint="eastAsia"/>
          <w:bCs/>
          <w:szCs w:val="32"/>
          <w:highlight w:val="none"/>
        </w:rPr>
        <w:t xml:space="preserve">五、公告期限</w:t>
      </w:r>
      <w:r>
        <w:rPr>
          <w:highlight w:val="none"/>
        </w:rPr>
        <w:tab/>
      </w:r>
      <w:r>
        <w:rPr>
          <w:highlight w:val="none"/>
        </w:rPr>
        <w:fldChar w:fldCharType="begin"/>
      </w:r>
      <w:r>
        <w:rPr>
          <w:highlight w:val="none"/>
        </w:rPr>
        <w:instrText xml:space="preserve"> PAGEREF _Toc21054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_Toc31672 </w:instrText>
      </w:r>
      <w:r>
        <w:rPr>
          <w:rFonts w:hint="eastAsia" w:ascii="黑体" w:hAnsi="Arial" w:eastAsia="黑体"/>
          <w:szCs w:val="21"/>
          <w:highlight w:val="none"/>
        </w:rPr>
        <w:fldChar w:fldCharType="separate"/>
      </w:r>
      <w:r>
        <w:rPr>
          <w:rFonts w:hint="eastAsia"/>
          <w:bCs/>
          <w:szCs w:val="32"/>
          <w:highlight w:val="none"/>
        </w:rPr>
        <w:t xml:space="preserve">六、其他补充事宜</w:t>
      </w:r>
      <w:r>
        <w:rPr>
          <w:highlight w:val="none"/>
        </w:rPr>
        <w:tab/>
      </w:r>
      <w:r>
        <w:rPr>
          <w:highlight w:val="none"/>
        </w:rPr>
        <w:fldChar w:fldCharType="begin"/>
      </w:r>
      <w:r>
        <w:rPr>
          <w:highlight w:val="none"/>
        </w:rPr>
        <w:instrText xml:space="preserve"> PAGEREF _Toc31672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_Toc521 </w:instrText>
      </w:r>
      <w:r>
        <w:rPr>
          <w:rFonts w:hint="eastAsia" w:ascii="黑体" w:hAnsi="Arial" w:eastAsia="黑体"/>
          <w:szCs w:val="21"/>
          <w:highlight w:val="none"/>
        </w:rPr>
        <w:fldChar w:fldCharType="separate"/>
      </w:r>
      <w:r>
        <w:rPr>
          <w:rFonts w:hint="eastAsia"/>
          <w:bCs/>
          <w:szCs w:val="32"/>
          <w:highlight w:val="none"/>
        </w:rPr>
        <w:t xml:space="preserve">七、本次招标联系方式</w:t>
      </w:r>
      <w:r>
        <w:rPr>
          <w:highlight w:val="none"/>
        </w:rPr>
        <w:tab/>
      </w:r>
      <w:r>
        <w:rPr>
          <w:highlight w:val="none"/>
        </w:rPr>
        <w:fldChar w:fldCharType="begin"/>
      </w:r>
      <w:r>
        <w:rPr>
          <w:highlight w:val="none"/>
        </w:rPr>
        <w:instrText xml:space="preserve"> PAGEREF _Toc521 \h </w:instrText>
      </w:r>
      <w:r>
        <w:rPr>
          <w:highlight w:val="none"/>
        </w:rPr>
        <w:fldChar w:fldCharType="separate"/>
      </w:r>
      <w:r>
        <w:rPr>
          <w:highlight w:val="none"/>
        </w:rPr>
        <w:t xml:space="preserve">3</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_Toc6921 </w:instrText>
      </w:r>
      <w:r>
        <w:rPr>
          <w:rFonts w:hint="eastAsia" w:ascii="黑体" w:hAnsi="Arial" w:eastAsia="黑体"/>
          <w:szCs w:val="21"/>
          <w:highlight w:val="none"/>
        </w:rPr>
        <w:fldChar w:fldCharType="separate"/>
      </w:r>
      <w:r>
        <w:rPr>
          <w:rFonts w:hint="eastAsia" w:ascii="黑体" w:hAnsi="Arial" w:eastAsia="黑体" w:cs="Arial"/>
          <w:bCs/>
          <w:szCs w:val="44"/>
          <w:highlight w:val="none"/>
        </w:rPr>
        <w:t xml:space="preserve">第二章  投标人须知</w:t>
      </w:r>
      <w:r>
        <w:rPr>
          <w:highlight w:val="none"/>
        </w:rPr>
        <w:tab/>
      </w:r>
      <w:r>
        <w:rPr>
          <w:highlight w:val="none"/>
        </w:rPr>
        <w:fldChar w:fldCharType="begin"/>
      </w:r>
      <w:r>
        <w:rPr>
          <w:highlight w:val="none"/>
        </w:rPr>
        <w:instrText xml:space="preserve"> PAGEREF _Toc6921 \h </w:instrText>
      </w:r>
      <w:r>
        <w:rPr>
          <w:highlight w:val="none"/>
        </w:rPr>
        <w:fldChar w:fldCharType="separate"/>
      </w:r>
      <w:r>
        <w:rPr>
          <w:highlight w:val="none"/>
        </w:rPr>
        <w:t xml:space="preserve">4</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_Toc5138 </w:instrText>
      </w:r>
      <w:r>
        <w:rPr>
          <w:rFonts w:hint="eastAsia" w:ascii="黑体" w:hAnsi="Arial" w:eastAsia="黑体"/>
          <w:szCs w:val="21"/>
          <w:highlight w:val="none"/>
        </w:rPr>
        <w:fldChar w:fldCharType="separate"/>
      </w:r>
      <w:r>
        <w:rPr>
          <w:rFonts w:hint="eastAsia" w:ascii="黑体" w:eastAsia="黑体"/>
          <w:bCs/>
          <w:szCs w:val="28"/>
          <w:highlight w:val="none"/>
        </w:rPr>
        <w:t xml:space="preserve">第三章  合同文本</w:t>
      </w:r>
      <w:r>
        <w:rPr>
          <w:highlight w:val="none"/>
        </w:rPr>
        <w:tab/>
      </w:r>
      <w:r>
        <w:rPr>
          <w:highlight w:val="none"/>
        </w:rPr>
        <w:fldChar w:fldCharType="begin"/>
      </w:r>
      <w:r>
        <w:rPr>
          <w:highlight w:val="none"/>
        </w:rPr>
        <w:instrText xml:space="preserve"> PAGEREF _Toc5138 \h </w:instrText>
      </w:r>
      <w:r>
        <w:rPr>
          <w:highlight w:val="none"/>
        </w:rPr>
        <w:fldChar w:fldCharType="separate"/>
      </w:r>
      <w:r>
        <w:rPr>
          <w:highlight w:val="none"/>
        </w:rPr>
        <w:t xml:space="preserve">15</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_Toc926 </w:instrText>
      </w:r>
      <w:r>
        <w:rPr>
          <w:rFonts w:hint="eastAsia" w:ascii="黑体" w:hAnsi="Arial" w:eastAsia="黑体"/>
          <w:szCs w:val="21"/>
          <w:highlight w:val="none"/>
        </w:rPr>
        <w:fldChar w:fldCharType="separate"/>
      </w:r>
      <w:r>
        <w:rPr>
          <w:rFonts w:hint="eastAsia" w:ascii="黑体" w:hAnsi="Courier New" w:eastAsia="黑体" w:cs="Courier New"/>
          <w:bCs/>
          <w:szCs w:val="21"/>
          <w:highlight w:val="none"/>
        </w:rPr>
        <w:t xml:space="preserve">第四章 </w:t>
      </w:r>
      <w:r>
        <w:rPr>
          <w:rFonts w:hint="eastAsia" w:ascii="黑体" w:hAnsi="Courier New" w:eastAsia="黑体" w:cs="Courier New"/>
          <w:bCs/>
          <w:szCs w:val="21"/>
          <w:highlight w:val="none"/>
          <w:lang w:val="en-US" w:eastAsia="zh-CN"/>
        </w:rPr>
        <w:t xml:space="preserve"> </w:t>
      </w:r>
      <w:r>
        <w:rPr>
          <w:rFonts w:hint="eastAsia" w:ascii="黑体" w:hAnsi="Courier New" w:eastAsia="黑体" w:cs="Courier New"/>
          <w:bCs/>
          <w:szCs w:val="21"/>
          <w:highlight w:val="none"/>
        </w:rPr>
        <w:t xml:space="preserve">采购需求</w:t>
      </w:r>
      <w:r>
        <w:rPr>
          <w:highlight w:val="none"/>
        </w:rPr>
        <w:tab/>
      </w:r>
      <w:r>
        <w:rPr>
          <w:highlight w:val="none"/>
        </w:rPr>
        <w:fldChar w:fldCharType="begin"/>
      </w:r>
      <w:r>
        <w:rPr>
          <w:highlight w:val="none"/>
        </w:rPr>
        <w:instrText xml:space="preserve"> PAGEREF _Toc926 \h </w:instrText>
      </w:r>
      <w:r>
        <w:rPr>
          <w:highlight w:val="none"/>
        </w:rPr>
        <w:fldChar w:fldCharType="separate"/>
      </w:r>
      <w:r>
        <w:rPr>
          <w:highlight w:val="none"/>
        </w:rPr>
        <w:t xml:space="preserve">22</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_Toc29666 </w:instrText>
      </w:r>
      <w:r>
        <w:rPr>
          <w:rFonts w:hint="eastAsia" w:ascii="黑体" w:hAnsi="Arial" w:eastAsia="黑体"/>
          <w:szCs w:val="21"/>
          <w:highlight w:val="none"/>
        </w:rPr>
        <w:fldChar w:fldCharType="separate"/>
      </w:r>
      <w:r>
        <w:rPr>
          <w:rFonts w:hint="eastAsia" w:ascii="黑体" w:eastAsia="黑体"/>
          <w:bCs/>
          <w:szCs w:val="28"/>
          <w:highlight w:val="none"/>
        </w:rPr>
        <w:t xml:space="preserve">第五章  评标方法与评标标准</w:t>
      </w:r>
      <w:r>
        <w:rPr>
          <w:highlight w:val="none"/>
        </w:rPr>
        <w:tab/>
      </w:r>
      <w:r>
        <w:rPr>
          <w:highlight w:val="none"/>
        </w:rPr>
        <w:fldChar w:fldCharType="begin"/>
      </w:r>
      <w:r>
        <w:rPr>
          <w:highlight w:val="none"/>
        </w:rPr>
        <w:instrText xml:space="preserve"> PAGEREF _Toc29666 \h </w:instrText>
      </w:r>
      <w:r>
        <w:rPr>
          <w:highlight w:val="none"/>
        </w:rPr>
        <w:fldChar w:fldCharType="separate"/>
      </w:r>
      <w:r>
        <w:rPr>
          <w:highlight w:val="none"/>
        </w:rPr>
        <w:t xml:space="preserve">70</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77"/>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_Toc1983 </w:instrText>
      </w:r>
      <w:r>
        <w:rPr>
          <w:rFonts w:hint="eastAsia" w:ascii="黑体" w:hAnsi="Arial" w:eastAsia="黑体"/>
          <w:szCs w:val="21"/>
          <w:highlight w:val="none"/>
        </w:rPr>
        <w:fldChar w:fldCharType="separate"/>
      </w:r>
      <w:r>
        <w:rPr>
          <w:rFonts w:hint="eastAsia" w:ascii="黑体" w:eastAsia="黑体"/>
          <w:bCs/>
          <w:szCs w:val="28"/>
          <w:highlight w:val="none"/>
        </w:rPr>
        <w:t xml:space="preserve">第六章  投标文件格式</w:t>
      </w:r>
      <w:r>
        <w:rPr>
          <w:highlight w:val="none"/>
        </w:rPr>
        <w:tab/>
      </w:r>
      <w:r>
        <w:rPr>
          <w:highlight w:val="none"/>
        </w:rPr>
        <w:fldChar w:fldCharType="begin"/>
      </w:r>
      <w:r>
        <w:rPr>
          <w:highlight w:val="none"/>
        </w:rPr>
        <w:instrText xml:space="preserve"> PAGEREF _Toc1983 \h </w:instrText>
      </w:r>
      <w:r>
        <w:rPr>
          <w:highlight w:val="none"/>
        </w:rPr>
        <w:fldChar w:fldCharType="separate"/>
      </w:r>
      <w:r>
        <w:rPr>
          <w:highlight w:val="none"/>
        </w:rPr>
        <w:t xml:space="preserve">74</w:t>
      </w:r>
      <w:r>
        <w:rPr>
          <w:highlight w:val="none"/>
        </w:rPr>
        <w:fldChar w:fldCharType="end"/>
      </w:r>
      <w:r>
        <w:rPr>
          <w:rFonts w:hint="eastAsia" w:ascii="黑体" w:hAnsi="Arial" w:eastAsia="黑体"/>
          <w:color w:val="000000"/>
          <w:szCs w:val="21"/>
          <w:highlight w:val="none"/>
        </w:rPr>
        <w:fldChar w:fldCharType="end"/>
      </w:r>
      <w:r>
        <w:rPr>
          <w:highlight w:val="none"/>
        </w:rPr>
      </w:r>
      <w:r/>
    </w:p>
    <w:p>
      <w:pPr>
        <w:pStyle w:val="925"/>
        <w:jc w:val="center"/>
        <w:spacing w:line="480" w:lineRule="auto"/>
        <w:rPr>
          <w:rFonts w:hint="eastAsia"/>
          <w:color w:val="000000"/>
          <w:szCs w:val="21"/>
          <w:highlight w:val="none"/>
        </w:rPr>
        <w:outlineLvl w:val="9"/>
      </w:pPr>
      <w:r>
        <w:rPr>
          <w:rFonts w:hint="eastAsia" w:ascii="黑体" w:hAnsi="Arial" w:eastAsia="黑体"/>
          <w:color w:val="000000"/>
          <w:szCs w:val="21"/>
          <w:highlight w:val="none"/>
        </w:rPr>
        <w:fldChar w:fldCharType="end"/>
      </w: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rPr>
          <w:rFonts w:hint="eastAsia"/>
          <w:color w:val="000000"/>
          <w:szCs w:val="21"/>
          <w:highlight w:val="none"/>
        </w:rPr>
      </w:pPr>
      <w:r>
        <w:rPr>
          <w:rFonts w:hint="eastAsia"/>
          <w:color w:val="000000"/>
          <w:szCs w:val="21"/>
          <w:highlight w:val="none"/>
        </w:rPr>
      </w:r>
      <w:r/>
    </w:p>
    <w:p>
      <w:pPr>
        <w:pStyle w:val="925"/>
        <w:jc w:val="center"/>
        <w:keepNext/>
        <w:rPr>
          <w:rFonts w:hint="eastAsia" w:ascii="黑体" w:eastAsia="黑体"/>
          <w:color w:val="000000"/>
          <w:sz w:val="44"/>
          <w:szCs w:val="44"/>
          <w:highlight w:val="none"/>
        </w:rPr>
        <w:sectPr>
          <w:headerReference w:type="default" r:id="rId9"/>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黑体" w:eastAsia="黑体"/>
          <w:color w:val="000000"/>
          <w:sz w:val="44"/>
          <w:szCs w:val="44"/>
          <w:highlight w:val="none"/>
        </w:rPr>
      </w:r>
      <w:r/>
    </w:p>
    <w:p>
      <w:pPr>
        <w:pStyle w:val="925"/>
        <w:jc w:val="center"/>
        <w:keepNext/>
        <w:rPr>
          <w:rFonts w:ascii="黑体" w:eastAsia="黑体"/>
          <w:bCs/>
          <w:color w:val="000000"/>
          <w:sz w:val="44"/>
          <w:szCs w:val="44"/>
          <w:highlight w:val="none"/>
          <w:lang w:val="en-US" w:eastAsia="zh-CN"/>
        </w:rPr>
        <w:outlineLvl w:val="0"/>
      </w:pPr>
      <w:r/>
      <w:bookmarkStart w:id="6" w:name="_Toc10879"/>
      <w:r/>
      <w:bookmarkStart w:id="7" w:name="_Toc5079"/>
      <w:r>
        <w:rPr>
          <w:rFonts w:hint="eastAsia" w:ascii="黑体" w:eastAsia="黑体"/>
          <w:color w:val="000000"/>
          <w:sz w:val="44"/>
          <w:szCs w:val="44"/>
          <w:highlight w:val="none"/>
        </w:rPr>
        <w:t xml:space="preserve">第一章  </w:t>
      </w:r>
      <w:bookmarkEnd w:id="0"/>
      <w:r/>
      <w:bookmarkEnd w:id="6"/>
      <w:r/>
      <w:bookmarkEnd w:id="7"/>
      <w:r>
        <w:rPr>
          <w:rFonts w:hint="eastAsia" w:ascii="黑体" w:eastAsia="黑体"/>
          <w:color w:val="000000"/>
          <w:sz w:val="44"/>
          <w:szCs w:val="44"/>
          <w:highlight w:val="none"/>
          <w:lang w:val="en-US" w:eastAsia="zh-CN"/>
        </w:rPr>
        <w:t xml:space="preserve">招标公告</w:t>
      </w:r>
      <w:r>
        <w:rPr>
          <w:rFonts w:ascii="黑体" w:eastAsia="黑体"/>
          <w:bCs/>
          <w:color w:val="000000"/>
          <w:sz w:val="44"/>
          <w:szCs w:val="44"/>
          <w:highlight w:val="none"/>
          <w:lang w:val="en-US" w:eastAsia="zh-CN"/>
        </w:rPr>
      </w:r>
      <w:r/>
    </w:p>
    <w:p>
      <w:pPr>
        <w:pStyle w:val="925"/>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常泰大桥泰兴进出口技防监控及综合方舱设备采购项目</w:t>
      </w:r>
      <w:r>
        <w:rPr>
          <w:rFonts w:hint="eastAsia" w:ascii="宋体" w:hAnsi="宋体"/>
          <w:color w:val="000000"/>
          <w:sz w:val="24"/>
          <w:szCs w:val="24"/>
          <w:highlight w:val="none"/>
          <w:u w:val="single"/>
          <w:lang w:val="en-US" w:eastAsia="zh-CN"/>
        </w:rPr>
        <w:t xml:space="preserve">JSZC-321283-CZJA-G2026-0001</w:t>
      </w:r>
      <w:r>
        <w:rPr>
          <w:rFonts w:hint="eastAsia" w:ascii="宋体" w:hAnsi="宋体"/>
          <w:color w:val="000000"/>
          <w:sz w:val="24"/>
          <w:szCs w:val="24"/>
          <w:highlight w:val="none"/>
        </w:rPr>
        <w:t xml:space="preserve">招标项目的潜在投标人</w:t>
      </w:r>
      <w:r>
        <w:rPr>
          <w:rFonts w:hint="eastAsia" w:ascii="宋体" w:hAnsi="宋体" w:eastAsia="宋体" w:cs="宋体"/>
          <w:color w:val="000000"/>
          <w:spacing w:val="0"/>
          <w:sz w:val="24"/>
          <w:szCs w:val="24"/>
          <w:highlight w:val="none"/>
          <w:lang w:val="en-US" w:eastAsia="zh-CN"/>
        </w:rPr>
        <w:t xml:space="preserve">应</w:t>
      </w:r>
      <w:r>
        <w:rPr>
          <w:rFonts w:hint="eastAsia" w:ascii="宋体" w:hAnsi="宋体" w:eastAsia="宋体" w:cs="宋体"/>
          <w:color w:val="000000"/>
          <w:spacing w:val="0"/>
          <w:sz w:val="24"/>
          <w:szCs w:val="24"/>
          <w:highlight w:val="none"/>
        </w:rPr>
        <w:t xml:space="preserve">在江苏政府采购“苏采云”系统</w:t>
      </w:r>
      <w:r>
        <w:rPr>
          <w:rFonts w:hint="eastAsia" w:ascii="宋体" w:hAnsi="宋体" w:eastAsia="宋体" w:cs="宋体"/>
          <w:color w:val="000000"/>
          <w:spacing w:val="0"/>
          <w:sz w:val="24"/>
          <w:szCs w:val="24"/>
          <w:highlight w:val="none"/>
          <w:lang w:val="en-US" w:eastAsia="zh-CN"/>
        </w:rPr>
        <w:t xml:space="preserve">获取</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4</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25"/>
        <w:ind w:firstLine="496"/>
        <w:keepLines/>
        <w:keepNext/>
        <w:spacing w:before="156" w:after="156" w:line="400" w:lineRule="exact"/>
        <w:rPr>
          <w:b/>
          <w:bCs/>
          <w:color w:val="000000"/>
          <w:sz w:val="32"/>
          <w:szCs w:val="32"/>
          <w:highlight w:val="none"/>
        </w:rPr>
        <w:outlineLvl w:val="0"/>
      </w:pPr>
      <w:r/>
      <w:bookmarkStart w:id="8" w:name="_Toc15929"/>
      <w:r/>
      <w:bookmarkStart w:id="9" w:name="_Toc28359002"/>
      <w:r/>
      <w:bookmarkStart w:id="10" w:name="_Toc25083"/>
      <w:r/>
      <w:bookmarkStart w:id="11" w:name="_Toc3136"/>
      <w:r/>
      <w:bookmarkStart w:id="12" w:name="_Toc35393790"/>
      <w:r/>
      <w:bookmarkStart w:id="13" w:name="_Toc35393621"/>
      <w:r/>
      <w:bookmarkStart w:id="14" w:name="_Toc28359079"/>
      <w:r/>
      <w:bookmarkStart w:id="15" w:name="_Toc38985263"/>
      <w:r/>
      <w:bookmarkStart w:id="16" w:name="_Hlk24379207"/>
      <w:r>
        <w:rPr>
          <w:rFonts w:hint="eastAsia"/>
          <w:b/>
          <w:bCs/>
          <w:color w:val="000000"/>
          <w:sz w:val="32"/>
          <w:szCs w:val="32"/>
          <w:highlight w:val="none"/>
        </w:rPr>
        <w:t xml:space="preserve">一、项目基本情况</w:t>
      </w:r>
      <w:bookmarkEnd w:id="8"/>
      <w:r/>
      <w:bookmarkEnd w:id="9"/>
      <w:r/>
      <w:bookmarkEnd w:id="10"/>
      <w:r/>
      <w:bookmarkEnd w:id="11"/>
      <w:r/>
      <w:bookmarkEnd w:id="12"/>
      <w:r/>
      <w:bookmarkEnd w:id="13"/>
      <w:r/>
      <w:bookmarkEnd w:id="14"/>
      <w:r/>
      <w:bookmarkEnd w:id="15"/>
      <w:r>
        <w:rPr>
          <w:b/>
          <w:bCs/>
          <w:color w:val="000000"/>
          <w:sz w:val="32"/>
          <w:szCs w:val="32"/>
          <w:highlight w:val="none"/>
        </w:rPr>
      </w:r>
      <w:r/>
    </w:p>
    <w:p>
      <w:pPr>
        <w:pStyle w:val="925"/>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JSZC-321283-CZJA-G2026-0001</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r>
      <w:r/>
    </w:p>
    <w:p>
      <w:pPr>
        <w:pStyle w:val="925"/>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常泰大桥泰兴进出口技防监控及综合方舱设备采购项目；</w:t>
      </w:r>
      <w:r>
        <w:rPr>
          <w:rFonts w:hint="eastAsia" w:ascii="宋体" w:hAnsi="宋体" w:eastAsia="宋体"/>
          <w:color w:val="000000"/>
          <w:sz w:val="24"/>
          <w:szCs w:val="24"/>
          <w:highlight w:val="none"/>
          <w:lang w:eastAsia="zh-CN"/>
        </w:rPr>
      </w:r>
      <w:r/>
    </w:p>
    <w:p>
      <w:pPr>
        <w:pStyle w:val="992"/>
        <w:keepLines w:val="0"/>
        <w:keepNext w:val="0"/>
        <w:pageBreakBefore w:val="0"/>
        <w:spacing w:line="400" w:lineRule="exact"/>
        <w:widowControl w:val="off"/>
        <w:rPr>
          <w:highlight w:val="none"/>
          <w:lang w:val="en-US"/>
        </w:rPr>
      </w:pPr>
      <w:r>
        <w:rPr>
          <w:rFonts w:hint="eastAsia" w:ascii="宋体" w:hAnsi="宋体" w:eastAsia="宋体" w:cs="Times New Roman"/>
          <w:color w:val="000000"/>
          <w:sz w:val="24"/>
          <w:szCs w:val="24"/>
          <w:highlight w:val="none"/>
          <w:lang w:val="en-US" w:eastAsia="zh-CN" w:bidi="ar-SA"/>
        </w:rPr>
        <w:t xml:space="preserve">  3.采购方式：公开招标；  </w:t>
      </w:r>
      <w:r>
        <w:rPr>
          <w:highlight w:val="none"/>
          <w:lang w:val="en-US"/>
        </w:rPr>
      </w:r>
      <w:r/>
    </w:p>
    <w:p>
      <w:pPr>
        <w:pStyle w:val="925"/>
        <w:ind w:firstLine="480"/>
        <w:spacing w:line="400" w:lineRule="exact"/>
        <w:rPr>
          <w:rFonts w:ascii="宋体" w:hAnsi="宋体" w:eastAsia="宋体"/>
          <w:sz w:val="24"/>
          <w:szCs w:val="24"/>
          <w:highlight w:val="none"/>
          <w:lang w:val="en-US" w:eastAsia="zh-CN"/>
        </w:rPr>
      </w:pPr>
      <w:r/>
      <w:bookmarkEnd w:id="16"/>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.预算金额</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305.52万元；</w:t>
      </w:r>
      <w:r>
        <w:rPr>
          <w:rFonts w:ascii="宋体" w:hAnsi="宋体" w:eastAsia="宋体"/>
          <w:sz w:val="24"/>
          <w:szCs w:val="24"/>
          <w:highlight w:val="none"/>
          <w:lang w:val="en-US" w:eastAsia="zh-CN"/>
        </w:rPr>
      </w:r>
      <w:r/>
    </w:p>
    <w:p>
      <w:pPr>
        <w:pStyle w:val="925"/>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268.66万</w:t>
      </w:r>
      <w:r>
        <w:rPr>
          <w:rFonts w:hint="eastAsia" w:ascii="宋体" w:hAnsi="宋体"/>
          <w:sz w:val="24"/>
          <w:szCs w:val="24"/>
          <w:highlight w:val="none"/>
          <w:lang w:eastAsia="zh-CN"/>
        </w:rPr>
        <w:t xml:space="preserve">元（超过最高限价报价的，作为无效响应处理）；</w:t>
      </w:r>
      <w:r>
        <w:rPr>
          <w:rFonts w:hint="eastAsia" w:ascii="宋体" w:hAnsi="宋体"/>
          <w:sz w:val="24"/>
          <w:szCs w:val="24"/>
          <w:highlight w:val="none"/>
          <w:lang w:val="en-US" w:eastAsia="zh-CN"/>
        </w:rPr>
      </w:r>
      <w:r/>
    </w:p>
    <w:p>
      <w:pPr>
        <w:pStyle w:val="925"/>
        <w:ind w:firstLine="480"/>
        <w:spacing w:line="40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lang w:val="en-US" w:eastAsia="zh-CN"/>
        </w:rPr>
        <w:t xml:space="preserve">本项目拟对</w:t>
      </w:r>
      <w:r>
        <w:rPr>
          <w:rFonts w:hint="eastAsia" w:ascii="宋体" w:hAnsi="宋体"/>
          <w:color w:val="000000"/>
          <w:sz w:val="24"/>
          <w:szCs w:val="24"/>
          <w:highlight w:val="none"/>
          <w:lang w:eastAsia="zh-CN"/>
        </w:rPr>
        <w:t xml:space="preserve">常泰大桥泰兴进出口</w:t>
      </w:r>
      <w:r>
        <w:rPr>
          <w:rFonts w:hint="eastAsia" w:ascii="宋体" w:hAnsi="宋体"/>
          <w:color w:val="000000"/>
          <w:sz w:val="24"/>
          <w:szCs w:val="24"/>
          <w:highlight w:val="none"/>
          <w:lang w:val="en-US" w:eastAsia="zh-CN"/>
        </w:rPr>
        <w:t xml:space="preserve">进行监控设备、监控配套设备、探测设备、350M电台基站、警务</w:t>
      </w:r>
      <w:r>
        <w:rPr>
          <w:rFonts w:hint="eastAsia" w:ascii="宋体" w:hAnsi="宋体"/>
          <w:color w:val="000000"/>
          <w:sz w:val="24"/>
          <w:szCs w:val="24"/>
          <w:highlight w:val="none"/>
          <w:lang w:eastAsia="zh-CN"/>
        </w:rPr>
        <w:t xml:space="preserve">方舱</w:t>
      </w:r>
      <w:r>
        <w:rPr>
          <w:rFonts w:hint="eastAsia" w:ascii="宋体" w:hAnsi="宋体"/>
          <w:color w:val="000000"/>
          <w:sz w:val="24"/>
          <w:szCs w:val="24"/>
          <w:highlight w:val="none"/>
          <w:lang w:val="en-US" w:eastAsia="zh-CN"/>
        </w:rPr>
        <w:t xml:space="preserve">等</w:t>
      </w:r>
      <w:r>
        <w:rPr>
          <w:rFonts w:hint="eastAsia" w:ascii="宋体" w:hAnsi="宋体"/>
          <w:color w:val="000000"/>
          <w:sz w:val="24"/>
          <w:szCs w:val="24"/>
          <w:highlight w:val="none"/>
          <w:lang w:eastAsia="zh-CN"/>
        </w:rPr>
        <w:t xml:space="preserve">采购</w:t>
      </w:r>
      <w:r>
        <w:rPr>
          <w:rFonts w:hint="eastAsia" w:ascii="宋体" w:hAnsi="宋体"/>
          <w:color w:val="000000"/>
          <w:sz w:val="24"/>
          <w:szCs w:val="24"/>
          <w:highlight w:val="none"/>
          <w:lang w:val="en-US" w:eastAsia="zh-CN"/>
        </w:rPr>
        <w:t xml:space="preserve">及安装</w:t>
      </w:r>
      <w:r>
        <w:rPr>
          <w:rFonts w:hint="eastAsia" w:ascii="宋体" w:hAnsi="宋体" w:cs="宋体"/>
          <w:color w:val="000000"/>
          <w:sz w:val="24"/>
          <w:szCs w:val="24"/>
          <w:highlight w:val="none"/>
        </w:rPr>
        <w:t xml:space="preserve">（详细内容见本招标文件第四章</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925"/>
        <w:ind w:firstLine="480"/>
        <w:spacing w:line="400" w:lineRule="exact"/>
        <w:rPr>
          <w:rFonts w:hint="eastAsia" w:ascii="宋体" w:hAnsi="宋体" w:eastAsia="宋体" w:cs="Times New Roman"/>
          <w:sz w:val="24"/>
          <w:szCs w:val="24"/>
          <w:highlight w:val="none"/>
          <w:lang w:val="en-US" w:eastAsia="zh-CN"/>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.合同履行期限：</w:t>
      </w:r>
      <w:r>
        <w:rPr>
          <w:rFonts w:hint="eastAsia" w:ascii="宋体" w:hAnsi="宋体" w:eastAsia="宋体" w:cs="Times New Roman"/>
          <w:sz w:val="24"/>
          <w:szCs w:val="24"/>
          <w:highlight w:val="none"/>
          <w:lang w:val="en-US" w:eastAsia="zh-CN"/>
        </w:rPr>
        <w:t xml:space="preserve">合同签订之日起，90日历天内完成供货安装、调试并交付使用；</w:t>
      </w:r>
      <w:r>
        <w:rPr>
          <w:rFonts w:hint="eastAsia" w:ascii="宋体" w:hAnsi="宋体" w:eastAsia="宋体" w:cs="Times New Roman"/>
          <w:sz w:val="24"/>
          <w:szCs w:val="24"/>
          <w:highlight w:val="none"/>
          <w:lang w:val="en-US" w:eastAsia="zh-CN"/>
        </w:rPr>
      </w:r>
      <w:r/>
    </w:p>
    <w:p>
      <w:pPr>
        <w:pStyle w:val="925"/>
        <w:ind w:firstLine="480"/>
        <w:spacing w:line="400" w:lineRule="exact"/>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lang w:val="en-US" w:eastAsia="zh-CN"/>
        </w:rPr>
        <w:t xml:space="preserve">.本项目接受联合体投标。</w:t>
      </w:r>
      <w:r>
        <w:rPr>
          <w:rFonts w:ascii="宋体" w:hAnsi="宋体"/>
          <w:color w:val="000000"/>
          <w:sz w:val="24"/>
          <w:szCs w:val="24"/>
          <w:highlight w:val="none"/>
          <w:lang w:val="en-US" w:eastAsia="zh-CN"/>
        </w:rPr>
      </w:r>
      <w:r/>
    </w:p>
    <w:p>
      <w:pPr>
        <w:pStyle w:val="925"/>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17" w:name="_Toc27766"/>
      <w:r/>
      <w:bookmarkStart w:id="18" w:name="_Toc16049"/>
      <w:r/>
      <w:bookmarkStart w:id="19" w:name="_Toc28359080"/>
      <w:r/>
      <w:bookmarkStart w:id="20" w:name="_Toc35393791"/>
      <w:r/>
      <w:bookmarkStart w:id="21" w:name="_Toc4973"/>
      <w:r/>
      <w:bookmarkStart w:id="22" w:name="_Toc35393622"/>
      <w:r/>
      <w:bookmarkStart w:id="23" w:name="_Toc38985264"/>
      <w:r/>
      <w:bookmarkStart w:id="24" w:name="_Toc28359003"/>
      <w:r>
        <w:rPr>
          <w:rFonts w:hint="eastAsia" w:ascii="Times New Roman" w:hAnsi="Times New Roman" w:eastAsia="宋体" w:cs="Times New Roman"/>
          <w:b/>
          <w:bCs/>
          <w:color w:val="000000"/>
          <w:sz w:val="32"/>
          <w:szCs w:val="32"/>
          <w:highlight w:val="none"/>
        </w:rPr>
        <w:t xml:space="preserve">二、申请人的资格要求</w:t>
      </w:r>
      <w:bookmarkEnd w:id="17"/>
      <w:r/>
      <w:bookmarkEnd w:id="18"/>
      <w:r/>
      <w:bookmarkEnd w:id="19"/>
      <w:r/>
      <w:bookmarkEnd w:id="20"/>
      <w:r/>
      <w:bookmarkEnd w:id="21"/>
      <w:r/>
      <w:bookmarkEnd w:id="22"/>
      <w:r/>
      <w:bookmarkEnd w:id="23"/>
      <w:r/>
      <w:bookmarkEnd w:id="24"/>
      <w:r>
        <w:rPr>
          <w:rFonts w:hint="eastAsia" w:ascii="Times New Roman" w:hAnsi="Times New Roman" w:eastAsia="宋体" w:cs="Times New Roman"/>
          <w:b/>
          <w:bCs/>
          <w:color w:val="000000"/>
          <w:sz w:val="32"/>
          <w:szCs w:val="32"/>
          <w:highlight w:val="none"/>
        </w:rPr>
      </w:r>
      <w:r/>
    </w:p>
    <w:p>
      <w:pPr>
        <w:pStyle w:val="925"/>
        <w:ind w:firstLine="480"/>
        <w:spacing w:line="400" w:lineRule="exact"/>
        <w:rPr>
          <w:rFonts w:hint="eastAsia" w:ascii="宋体" w:hAnsi="宋体" w:eastAsia="宋体" w:cs="宋体"/>
          <w:color w:val="000000"/>
          <w:sz w:val="24"/>
          <w:highlight w:val="none"/>
        </w:rPr>
        <w:outlineLvl w:val="1"/>
      </w:pPr>
      <w:r/>
      <w:bookmarkStart w:id="25" w:name="_Toc35393623"/>
      <w:r/>
      <w:bookmarkStart w:id="26" w:name="_Toc38985265"/>
      <w:r/>
      <w:bookmarkStart w:id="27" w:name="_Toc35393792"/>
      <w:r/>
      <w:bookmarkStart w:id="28" w:name="_Toc28359004"/>
      <w:r/>
      <w:bookmarkStart w:id="29" w:name="_Toc24895"/>
      <w:r/>
      <w:bookmarkStart w:id="30" w:name="_Toc28359081"/>
      <w:r>
        <w:rPr>
          <w:rFonts w:hint="eastAsia" w:ascii="宋体" w:hAnsi="宋体" w:eastAsia="宋体" w:cs="宋体"/>
          <w:color w:val="000000"/>
          <w:sz w:val="24"/>
          <w:highlight w:val="none"/>
        </w:rPr>
        <w:t xml:space="preserve">（一）</w:t>
      </w:r>
      <w:bookmarkEnd w:id="29"/>
      <w:r/>
      <w:bookmarkStart w:id="31" w:name="_Toc30558"/>
      <w:r>
        <w:rPr>
          <w:rFonts w:hint="eastAsia" w:ascii="宋体" w:hAnsi="宋体" w:eastAsia="宋体" w:cs="宋体"/>
          <w:color w:val="000000"/>
          <w:sz w:val="24"/>
          <w:highlight w:val="none"/>
        </w:rPr>
        <w:t xml:space="preserve">满足《中</w:t>
      </w:r>
      <w:r>
        <w:rPr>
          <w:rFonts w:hint="eastAsia" w:ascii="宋体" w:hAnsi="宋体" w:eastAsia="宋体" w:cs="宋体"/>
          <w:color w:val="000000"/>
          <w:sz w:val="24"/>
          <w:highlight w:val="none"/>
        </w:rPr>
        <w:t xml:space="preserve">华人民共和国政府采购法》第二十二条的规定：</w:t>
      </w:r>
      <w:r>
        <w:rPr>
          <w:rFonts w:hint="eastAsia" w:ascii="宋体" w:hAnsi="宋体" w:eastAsia="宋体" w:cs="宋体"/>
          <w:color w:val="000000"/>
          <w:sz w:val="24"/>
          <w:highlight w:val="none"/>
        </w:rPr>
      </w:r>
      <w:r/>
    </w:p>
    <w:p>
      <w:pPr>
        <w:pStyle w:val="9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9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.具有良好的商业信誉和健全的财务会计制度；</w:t>
      </w:r>
      <w:r>
        <w:rPr>
          <w:rFonts w:hint="eastAsia" w:ascii="宋体" w:hAnsi="宋体" w:eastAsia="宋体" w:cs="宋体"/>
          <w:color w:val="000000"/>
          <w:sz w:val="24"/>
          <w:highlight w:val="none"/>
        </w:rPr>
      </w:r>
      <w:r/>
    </w:p>
    <w:p>
      <w:pPr>
        <w:pStyle w:val="9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.具有依法缴纳税收和社会保障资金的良好记录；</w:t>
      </w:r>
      <w:r>
        <w:rPr>
          <w:rFonts w:hint="eastAsia" w:ascii="宋体" w:hAnsi="宋体" w:eastAsia="宋体" w:cs="宋体"/>
          <w:color w:val="000000"/>
          <w:sz w:val="24"/>
          <w:highlight w:val="none"/>
        </w:rPr>
      </w:r>
      <w:r/>
    </w:p>
    <w:p>
      <w:pPr>
        <w:pStyle w:val="9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.具备履行合同所必需的设备和专业技术能力；</w:t>
      </w:r>
      <w:r>
        <w:rPr>
          <w:rFonts w:hint="eastAsia" w:ascii="宋体" w:hAnsi="宋体" w:eastAsia="宋体" w:cs="宋体"/>
          <w:color w:val="000000"/>
          <w:sz w:val="24"/>
          <w:highlight w:val="none"/>
        </w:rPr>
      </w:r>
      <w:r/>
    </w:p>
    <w:p>
      <w:pPr>
        <w:pStyle w:val="9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.参加政府采购活动前三年内，在经营活动中没有重大违法记录；</w:t>
      </w:r>
      <w:r>
        <w:rPr>
          <w:rFonts w:hint="eastAsia" w:ascii="宋体" w:hAnsi="宋体" w:eastAsia="宋体" w:cs="宋体"/>
          <w:color w:val="000000"/>
          <w:sz w:val="24"/>
          <w:highlight w:val="none"/>
        </w:rPr>
      </w:r>
      <w:r/>
    </w:p>
    <w:p>
      <w:pPr>
        <w:pStyle w:val="9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.法律、行政法规规定的其他条件。</w:t>
      </w:r>
      <w:r>
        <w:rPr>
          <w:rFonts w:hint="eastAsia" w:ascii="宋体" w:hAnsi="宋体" w:eastAsia="宋体" w:cs="宋体"/>
          <w:color w:val="000000"/>
          <w:sz w:val="24"/>
          <w:highlight w:val="none"/>
        </w:rPr>
      </w:r>
      <w:r/>
    </w:p>
    <w:p>
      <w:pPr>
        <w:pStyle w:val="925"/>
        <w:ind w:firstLine="480"/>
        <w:spacing w:line="400" w:lineRule="exact"/>
        <w:rPr>
          <w:rFonts w:hint="eastAsia" w:ascii="宋体" w:hAnsi="宋体"/>
          <w:sz w:val="24"/>
          <w:szCs w:val="24"/>
          <w:highlight w:val="none"/>
        </w:rPr>
        <w:outlineLvl w:val="2"/>
      </w:pPr>
      <w:r>
        <w:rPr>
          <w:rFonts w:hint="eastAsia" w:ascii="宋体" w:hAnsi="宋体"/>
          <w:sz w:val="24"/>
          <w:szCs w:val="24"/>
          <w:highlight w:val="none"/>
        </w:rPr>
        <w:t xml:space="preserve">（二）落实政府采购政策需满足的资格要求：</w:t>
      </w:r>
      <w:bookmarkEnd w:id="31"/>
      <w:r>
        <w:rPr>
          <w:rFonts w:hint="eastAsia" w:ascii="宋体" w:hAnsi="宋体"/>
          <w:sz w:val="24"/>
          <w:szCs w:val="24"/>
          <w:highlight w:val="none"/>
        </w:rPr>
        <w:t xml:space="preserve">本项目对小型和微型企业、残疾人福利单位、监狱和戒毒企业提供的货物、服务给予</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0%的价格扣除。</w:t>
      </w:r>
      <w:r>
        <w:rPr>
          <w:rFonts w:hint="eastAsia" w:ascii="宋体" w:hAnsi="宋体"/>
          <w:sz w:val="24"/>
          <w:szCs w:val="24"/>
          <w:highlight w:val="none"/>
        </w:rPr>
      </w:r>
      <w:r/>
    </w:p>
    <w:p>
      <w:pPr>
        <w:pStyle w:val="925"/>
        <w:ind w:firstLine="480"/>
        <w:spacing w:line="400" w:lineRule="exact"/>
        <w:rPr>
          <w:rFonts w:ascii="宋体" w:hAnsi="宋体" w:cs="宋体"/>
          <w:sz w:val="24"/>
          <w:szCs w:val="24"/>
          <w:highlight w:val="none"/>
        </w:rPr>
        <w:outlineLvl w:val="2"/>
      </w:pPr>
      <w:r>
        <w:rPr>
          <w:rFonts w:hint="eastAsia" w:ascii="宋体" w:hAnsi="宋体"/>
          <w:sz w:val="24"/>
          <w:szCs w:val="24"/>
          <w:highlight w:val="none"/>
        </w:rPr>
        <w:t xml:space="preserve">本项目采购标的按中小企业划分标准所属行业区分为：工业</w:t>
      </w:r>
      <w:r>
        <w:rPr>
          <w:rFonts w:ascii="宋体" w:hAnsi="宋体" w:cs="宋体"/>
          <w:sz w:val="24"/>
          <w:szCs w:val="24"/>
          <w:highlight w:val="none"/>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bookmarkStart w:id="32" w:name="_Toc111"/>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lang w:eastAsia="zh-CN"/>
        </w:rPr>
        <w:t xml:space="preserve">：</w:t>
      </w:r>
      <w:bookmarkEnd w:id="32"/>
      <w:r>
        <w:rPr>
          <w:rFonts w:hint="eastAsia" w:ascii="宋体" w:hAnsi="宋体" w:eastAsia="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（四）参加本次采购活动的投标人不得存在下述情形：</w:t>
      </w:r>
      <w:r>
        <w:rPr>
          <w:rFonts w:hint="eastAsia" w:ascii="宋体" w:hAnsi="宋体" w:eastAsia="宋体" w:cs="宋体"/>
          <w:color w:val="000000"/>
          <w:sz w:val="24"/>
          <w:highlight w:val="none"/>
          <w:lang w:val="en-US" w:eastAsia="zh-CN"/>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1.不同投标人的单位负责人为同一人或者存在直接控股、管理关系的。</w:t>
      </w:r>
      <w:r>
        <w:rPr>
          <w:rFonts w:hint="eastAsia" w:ascii="宋体" w:hAnsi="宋体" w:eastAsia="宋体" w:cs="宋体"/>
          <w:color w:val="000000"/>
          <w:sz w:val="24"/>
          <w:highlight w:val="none"/>
          <w:lang w:val="en-US" w:eastAsia="zh-CN"/>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2.除单一来源采购项目外，为采购项目提供整体设计、规范编制或者项目管理、监理、检测等服务的。</w:t>
      </w:r>
      <w:r>
        <w:rPr>
          <w:rFonts w:hint="eastAsia" w:ascii="宋体" w:hAnsi="宋体" w:eastAsia="宋体" w:cs="宋体"/>
          <w:color w:val="000000"/>
          <w:sz w:val="24"/>
          <w:highlight w:val="none"/>
          <w:lang w:val="en-US" w:eastAsia="zh-CN"/>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rPr>
          <w:rFonts w:hint="eastAsia" w:ascii="宋体" w:hAnsi="宋体" w:eastAsia="宋体" w:cs="宋体"/>
          <w:color w:val="000000"/>
          <w:sz w:val="24"/>
          <w:highlight w:val="none"/>
          <w:lang w:val="en-US" w:eastAsia="zh-CN"/>
        </w:rPr>
      </w:r>
      <w:r/>
    </w:p>
    <w:p>
      <w:pPr>
        <w:pStyle w:val="925"/>
        <w:ind w:firstLine="480"/>
        <w:spacing w:line="400" w:lineRule="exact"/>
        <w:rPr>
          <w:rFonts w:ascii="宋体" w:hAnsi="宋体" w:eastAsia="宋体"/>
          <w:color w:val="ff0000"/>
          <w:sz w:val="24"/>
          <w:szCs w:val="24"/>
          <w:highlight w:val="none"/>
          <w:lang w:val="en-US" w:eastAsia="zh-CN"/>
        </w:rPr>
        <w:outlineLvl w:val="1"/>
      </w:pPr>
      <w:r>
        <w:rPr>
          <w:rFonts w:hint="eastAsia" w:ascii="宋体" w:hAnsi="宋体" w:eastAsia="宋体" w:cs="宋体"/>
          <w:color w:val="000000"/>
          <w:sz w:val="24"/>
          <w:highlight w:val="none"/>
          <w:lang w:val="en-US" w:eastAsia="zh-CN"/>
        </w:rPr>
        <w:t xml:space="preserve">4.法人的分支机构不得参加政府采购活动（银行、保险、石油石化、电力、电信等有行业特殊情况的除外）。</w:t>
      </w:r>
      <w:r>
        <w:rPr>
          <w:rFonts w:ascii="宋体" w:hAnsi="宋体" w:eastAsia="宋体"/>
          <w:color w:val="ff0000"/>
          <w:sz w:val="24"/>
          <w:szCs w:val="24"/>
          <w:highlight w:val="none"/>
          <w:lang w:val="en-US" w:eastAsia="zh-CN"/>
        </w:rPr>
      </w:r>
      <w:r/>
    </w:p>
    <w:p>
      <w:pPr>
        <w:pStyle w:val="925"/>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33" w:name="_Toc20406"/>
      <w:r/>
      <w:bookmarkStart w:id="34" w:name="_Toc9412"/>
      <w:r/>
      <w:bookmarkStart w:id="35" w:name="_Toc6541"/>
      <w:r>
        <w:rPr>
          <w:rFonts w:hint="eastAsia" w:ascii="Times New Roman" w:hAnsi="Times New Roman" w:eastAsia="宋体" w:cs="Times New Roman"/>
          <w:b/>
          <w:bCs/>
          <w:color w:val="000000"/>
          <w:sz w:val="32"/>
          <w:szCs w:val="32"/>
          <w:highlight w:val="none"/>
        </w:rPr>
        <w:t xml:space="preserve">三、获取招标文件</w:t>
      </w:r>
      <w:bookmarkEnd w:id="33"/>
      <w:r/>
      <w:bookmarkEnd w:id="34"/>
      <w:r/>
      <w:bookmarkEnd w:id="35"/>
      <w:r>
        <w:rPr>
          <w:rFonts w:hint="eastAsia" w:ascii="Times New Roman" w:hAnsi="Times New Roman" w:eastAsia="宋体" w:cs="Times New Roman"/>
          <w:b/>
          <w:bCs/>
          <w:color w:val="000000"/>
          <w:sz w:val="32"/>
          <w:szCs w:val="32"/>
          <w:highlight w:val="none"/>
        </w:rPr>
      </w:r>
      <w:r/>
    </w:p>
    <w:p>
      <w:pPr>
        <w:pStyle w:val="925"/>
        <w:ind w:firstLine="540"/>
        <w:spacing w:line="360" w:lineRule="auto"/>
        <w:rPr>
          <w:rFonts w:hint="eastAsia" w:ascii="宋体" w:hAnsi="宋体" w:cs="宋体"/>
          <w:color w:val="000000"/>
          <w:sz w:val="24"/>
          <w:szCs w:val="24"/>
          <w:highlight w:val="none"/>
          <w:u w:val="none"/>
        </w:rPr>
      </w:pPr>
      <w:r/>
      <w:bookmarkStart w:id="36" w:name="_Toc28359092"/>
      <w:r/>
      <w:bookmarkStart w:id="37" w:name="_Toc28359015"/>
      <w:r/>
      <w:bookmarkStart w:id="38" w:name="_Toc35393801"/>
      <w:r/>
      <w:bookmarkStart w:id="39" w:name="_Toc35393632"/>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时间：自公告发布之日起5个工作日</w:t>
      </w:r>
      <w:r>
        <w:rPr>
          <w:rFonts w:hint="eastAsia" w:ascii="宋体" w:hAnsi="宋体" w:cs="宋体"/>
          <w:color w:val="000000"/>
          <w:sz w:val="24"/>
          <w:szCs w:val="24"/>
          <w:highlight w:val="none"/>
          <w:u w:val="none"/>
        </w:rPr>
      </w:r>
      <w:r/>
    </w:p>
    <w:p>
      <w:pPr>
        <w:pStyle w:val="925"/>
        <w:ind w:firstLine="54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地点：江苏政府采购“苏采云”系统 </w:t>
      </w:r>
      <w:r>
        <w:rPr>
          <w:rFonts w:hint="eastAsia" w:ascii="宋体" w:hAnsi="宋体" w:cs="宋体"/>
          <w:color w:val="000000"/>
          <w:sz w:val="24"/>
          <w:szCs w:val="24"/>
          <w:highlight w:val="none"/>
          <w:u w:val="none"/>
        </w:rPr>
      </w:r>
      <w:r/>
    </w:p>
    <w:p>
      <w:pPr>
        <w:pStyle w:val="925"/>
        <w:ind w:firstLine="54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3.</w:t>
      </w:r>
      <w:r>
        <w:rPr>
          <w:rFonts w:hint="eastAsia" w:ascii="宋体" w:hAnsi="宋体" w:cs="宋体"/>
          <w:color w:val="000000"/>
          <w:sz w:val="24"/>
          <w:szCs w:val="24"/>
          <w:highlight w:val="none"/>
          <w:u w:val="none"/>
        </w:rPr>
        <w:t xml:space="preserve">方式：投标人完成注册并办理CA证书后登录江苏政府采购“苏采云”系统下载本项目采购文件。</w:t>
      </w:r>
      <w:r>
        <w:rPr>
          <w:rFonts w:hint="eastAsia" w:ascii="宋体" w:hAnsi="宋体" w:cs="宋体"/>
          <w:color w:val="000000"/>
          <w:sz w:val="24"/>
          <w:szCs w:val="24"/>
          <w:highlight w:val="none"/>
          <w:u w:val="none"/>
        </w:rPr>
      </w:r>
      <w:r/>
    </w:p>
    <w:p>
      <w:pPr>
        <w:pStyle w:val="925"/>
        <w:ind w:firstLine="54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4.</w:t>
      </w:r>
      <w:r>
        <w:rPr>
          <w:rFonts w:hint="eastAsia" w:ascii="宋体" w:hAnsi="宋体" w:cs="宋体"/>
          <w:color w:val="000000"/>
          <w:sz w:val="24"/>
          <w:szCs w:val="24"/>
          <w:highlight w:val="none"/>
          <w:u w:val="none"/>
        </w:rPr>
        <w:t xml:space="preserve">售价：0.00元</w:t>
      </w:r>
      <w:bookmarkEnd w:id="36"/>
      <w:r/>
      <w:bookmarkEnd w:id="37"/>
      <w:r/>
      <w:bookmarkEnd w:id="38"/>
      <w:r/>
      <w:bookmarkEnd w:id="39"/>
      <w:r>
        <w:rPr>
          <w:rFonts w:hint="eastAsia" w:ascii="宋体" w:hAnsi="宋体" w:cs="宋体"/>
          <w:color w:val="000000"/>
          <w:sz w:val="24"/>
          <w:szCs w:val="24"/>
          <w:highlight w:val="none"/>
          <w:u w:val="none"/>
        </w:rPr>
      </w:r>
      <w:r/>
    </w:p>
    <w:p>
      <w:pPr>
        <w:pStyle w:val="925"/>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End w:id="25"/>
      <w:r/>
      <w:bookmarkEnd w:id="26"/>
      <w:r/>
      <w:bookmarkEnd w:id="27"/>
      <w:r/>
      <w:bookmarkEnd w:id="28"/>
      <w:r/>
      <w:bookmarkEnd w:id="30"/>
      <w:r/>
      <w:bookmarkStart w:id="40" w:name="_Toc28359005"/>
      <w:r/>
      <w:bookmarkStart w:id="41" w:name="_Toc38985266"/>
      <w:r/>
      <w:bookmarkStart w:id="42" w:name="_Toc31841"/>
      <w:r/>
      <w:bookmarkStart w:id="43" w:name="_Toc35393624"/>
      <w:r/>
      <w:bookmarkStart w:id="44" w:name="_Toc7602"/>
      <w:r/>
      <w:bookmarkStart w:id="45" w:name="_Toc28359082"/>
      <w:r/>
      <w:bookmarkStart w:id="46" w:name="_Toc24628"/>
      <w:r/>
      <w:bookmarkStart w:id="47" w:name="_Toc35393793"/>
      <w:r>
        <w:rPr>
          <w:rFonts w:hint="eastAsia" w:ascii="Times New Roman" w:hAnsi="Times New Roman" w:eastAsia="宋体" w:cs="Times New Roman"/>
          <w:b/>
          <w:bCs/>
          <w:color w:val="000000"/>
          <w:sz w:val="32"/>
          <w:szCs w:val="32"/>
          <w:highlight w:val="none"/>
        </w:rPr>
        <w:t xml:space="preserve">四、提交投标文件</w:t>
      </w:r>
      <w:bookmarkEnd w:id="40"/>
      <w:r/>
      <w:bookmarkEnd w:id="45"/>
      <w:r>
        <w:rPr>
          <w:rFonts w:hint="eastAsia" w:ascii="Times New Roman" w:hAnsi="Times New Roman" w:eastAsia="宋体" w:cs="Times New Roman"/>
          <w:b/>
          <w:bCs/>
          <w:color w:val="000000"/>
          <w:sz w:val="32"/>
          <w:szCs w:val="32"/>
          <w:highlight w:val="none"/>
        </w:rPr>
        <w:t xml:space="preserve">截止时间、开标时间和地点</w:t>
      </w:r>
      <w:bookmarkEnd w:id="41"/>
      <w:r/>
      <w:bookmarkEnd w:id="42"/>
      <w:r/>
      <w:bookmarkEnd w:id="43"/>
      <w:r/>
      <w:bookmarkEnd w:id="44"/>
      <w:r/>
      <w:bookmarkEnd w:id="46"/>
      <w:r/>
      <w:bookmarkEnd w:id="47"/>
      <w:r>
        <w:rPr>
          <w:rFonts w:hint="eastAsia" w:ascii="Times New Roman" w:hAnsi="Times New Roman" w:eastAsia="宋体" w:cs="Times New Roman"/>
          <w:b/>
          <w:bCs/>
          <w:color w:val="000000"/>
          <w:sz w:val="32"/>
          <w:szCs w:val="32"/>
          <w:highlight w:val="none"/>
        </w:rPr>
      </w:r>
      <w:r/>
    </w:p>
    <w:p>
      <w:pPr>
        <w:pStyle w:val="92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1.提交投标文件截止时间、开标时间</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日9</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0</w:t>
      </w:r>
      <w:r>
        <w:rPr>
          <w:rFonts w:hint="eastAsia" w:ascii="宋体" w:hAnsi="宋体"/>
          <w:sz w:val="24"/>
          <w:szCs w:val="24"/>
          <w:highlight w:val="none"/>
        </w:rPr>
        <w:t xml:space="preserve">（北京时间）</w:t>
      </w:r>
      <w:r>
        <w:rPr>
          <w:rFonts w:hint="eastAsia" w:ascii="宋体" w:hAnsi="宋体"/>
          <w:sz w:val="24"/>
          <w:szCs w:val="24"/>
          <w:highlight w:val="none"/>
        </w:rPr>
      </w:r>
      <w:r/>
    </w:p>
    <w:p>
      <w:pPr>
        <w:pStyle w:val="925"/>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2.地点：“苏采云”系统（网址：http://jszfcg.jsczt.cn/）“开标大厅”</w:t>
      </w:r>
      <w:r>
        <w:rPr>
          <w:rFonts w:ascii="宋体" w:hAnsi="宋体"/>
          <w:sz w:val="24"/>
          <w:szCs w:val="24"/>
          <w:highlight w:val="none"/>
        </w:rPr>
      </w:r>
      <w:r/>
    </w:p>
    <w:p>
      <w:pPr>
        <w:pStyle w:val="925"/>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48" w:name="_Toc38985267"/>
      <w:r/>
      <w:bookmarkStart w:id="49" w:name="_Toc21054"/>
      <w:r/>
      <w:bookmarkStart w:id="50" w:name="_Toc28359084"/>
      <w:r/>
      <w:bookmarkStart w:id="51" w:name="_Toc29512"/>
      <w:r/>
      <w:bookmarkStart w:id="52" w:name="_Toc7543"/>
      <w:r/>
      <w:bookmarkStart w:id="53" w:name="_Toc35393794"/>
      <w:r/>
      <w:bookmarkStart w:id="54" w:name="_Toc28359007"/>
      <w:r/>
      <w:bookmarkStart w:id="55" w:name="_Toc35393625"/>
      <w:r>
        <w:rPr>
          <w:rFonts w:hint="eastAsia" w:ascii="Times New Roman" w:hAnsi="Times New Roman" w:eastAsia="宋体" w:cs="Times New Roman"/>
          <w:b/>
          <w:bCs/>
          <w:color w:val="000000"/>
          <w:sz w:val="32"/>
          <w:szCs w:val="32"/>
          <w:highlight w:val="none"/>
        </w:rPr>
        <w:t xml:space="preserve">五、公告期限</w:t>
      </w:r>
      <w:bookmarkEnd w:id="48"/>
      <w:r/>
      <w:bookmarkEnd w:id="49"/>
      <w:r/>
      <w:bookmarkEnd w:id="50"/>
      <w:r/>
      <w:bookmarkEnd w:id="51"/>
      <w:r/>
      <w:bookmarkEnd w:id="52"/>
      <w:r/>
      <w:bookmarkEnd w:id="53"/>
      <w:r/>
      <w:bookmarkEnd w:id="54"/>
      <w:r/>
      <w:bookmarkEnd w:id="55"/>
      <w:r>
        <w:rPr>
          <w:rFonts w:hint="eastAsia" w:ascii="Times New Roman" w:hAnsi="Times New Roman" w:eastAsia="宋体" w:cs="Times New Roman"/>
          <w:b/>
          <w:bCs/>
          <w:color w:val="000000"/>
          <w:sz w:val="32"/>
          <w:szCs w:val="32"/>
          <w:highlight w:val="none"/>
        </w:rPr>
      </w:r>
      <w:r/>
    </w:p>
    <w:p>
      <w:pPr>
        <w:pStyle w:val="925"/>
        <w:ind w:firstLine="480"/>
        <w:rPr>
          <w:rFonts w:hint="eastAsia" w:ascii="宋体" w:hAnsi="宋体" w:cs="宋体"/>
          <w:color w:val="000000"/>
          <w:sz w:val="24"/>
          <w:szCs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pacing w:val="0"/>
          <w:sz w:val="24"/>
          <w:szCs w:val="24"/>
          <w:highlight w:val="none"/>
        </w:rPr>
        <w:t xml:space="preserve">。</w:t>
      </w:r>
      <w:r>
        <w:rPr>
          <w:rFonts w:hint="eastAsia" w:ascii="宋体" w:hAnsi="宋体" w:cs="宋体"/>
          <w:color w:val="000000"/>
          <w:sz w:val="24"/>
          <w:szCs w:val="24"/>
          <w:highlight w:val="none"/>
        </w:rPr>
      </w:r>
      <w:r/>
    </w:p>
    <w:p>
      <w:pPr>
        <w:pStyle w:val="925"/>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56" w:name="_Toc18813"/>
      <w:r/>
      <w:bookmarkStart w:id="57" w:name="_Toc21139"/>
      <w:r/>
      <w:bookmarkStart w:id="58" w:name="_Toc38985268"/>
      <w:r/>
      <w:bookmarkStart w:id="59" w:name="_Toc35393795"/>
      <w:r/>
      <w:bookmarkStart w:id="60" w:name="_Toc31672"/>
      <w:r/>
      <w:bookmarkStart w:id="61" w:name="_Toc35393626"/>
      <w:r>
        <w:rPr>
          <w:rFonts w:hint="eastAsia" w:ascii="Times New Roman" w:hAnsi="Times New Roman" w:eastAsia="宋体" w:cs="Times New Roman"/>
          <w:b/>
          <w:bCs/>
          <w:color w:val="000000"/>
          <w:sz w:val="32"/>
          <w:szCs w:val="32"/>
          <w:highlight w:val="none"/>
        </w:rPr>
        <w:t xml:space="preserve">六、其他补充事宜</w:t>
      </w:r>
      <w:bookmarkEnd w:id="56"/>
      <w:r/>
      <w:bookmarkEnd w:id="57"/>
      <w:r/>
      <w:bookmarkEnd w:id="58"/>
      <w:r/>
      <w:bookmarkEnd w:id="59"/>
      <w:r/>
      <w:bookmarkEnd w:id="60"/>
      <w:r/>
      <w:bookmarkEnd w:id="61"/>
      <w:r>
        <w:rPr>
          <w:rFonts w:hint="eastAsia" w:ascii="Times New Roman" w:hAnsi="Times New Roman" w:eastAsia="宋体" w:cs="Times New Roman"/>
          <w:b/>
          <w:bCs/>
          <w:color w:val="000000"/>
          <w:sz w:val="32"/>
          <w:szCs w:val="32"/>
          <w:highlight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bookmarkStart w:id="62" w:name="_Toc28359008"/>
      <w:r/>
      <w:bookmarkStart w:id="63" w:name="_Toc35393796"/>
      <w:r/>
      <w:bookmarkStart w:id="64" w:name="_Toc38985269"/>
      <w:r/>
      <w:bookmarkStart w:id="65" w:name="_Toc35393627"/>
      <w:r/>
      <w:bookmarkStart w:id="66" w:name="_Toc28359085"/>
      <w:r>
        <w:rPr>
          <w:rFonts w:hint="eastAsia" w:ascii="宋体" w:hAnsi="宋体" w:eastAsia="宋体" w:cs="宋体"/>
          <w:color w:val="000000"/>
          <w:sz w:val="24"/>
          <w:szCs w:val="24"/>
          <w:highlight w:val="none"/>
          <w:u w:val="none"/>
        </w:rPr>
        <w:t xml:space="preserve">1.投标保证金：无。</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2.公告发布媒介：江苏政府采购网（www.ccgp-jiangsu.gov.cn）</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3.本次招标接受联合体投标，联合体投标的，应满足下列要求：</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①联合体数量不得超过2家；</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②联合体的资格（资质）条件必须符合要求，并附有联合体协议书，联合体协议书明确联合体牵头人和各方权利义务（否则该联合体无效）；</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③授权委托人必须为联合体牵头人方面的人员；</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④响应文件中所有签字盖章只需联合体牵头人签字盖章（联合体协议书除外）。</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000000"/>
          <w:sz w:val="24"/>
          <w:szCs w:val="24"/>
          <w:highlight w:val="none"/>
          <w:u w:val="none"/>
        </w:rPr>
        <w:t xml:space="preserve">投标人</w:t>
      </w:r>
      <w:r>
        <w:rPr>
          <w:rFonts w:hint="eastAsia" w:ascii="宋体" w:hAnsi="宋体" w:eastAsia="宋体" w:cs="宋体"/>
          <w:color w:val="000000"/>
          <w:sz w:val="24"/>
          <w:szCs w:val="24"/>
          <w:highlight w:val="none"/>
          <w:u w:val="none"/>
          <w:lang w:val="en-US" w:eastAsia="zh-CN"/>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5.</w:t>
      </w:r>
      <w:r>
        <w:rPr>
          <w:rFonts w:hint="eastAsia" w:ascii="宋体" w:hAnsi="宋体" w:cs="宋体"/>
          <w:color w:val="000000"/>
          <w:sz w:val="24"/>
          <w:szCs w:val="24"/>
          <w:highlight w:val="none"/>
          <w:u w:val="none"/>
        </w:rPr>
        <w:t xml:space="preserve">投标人</w:t>
      </w:r>
      <w:r>
        <w:rPr>
          <w:rFonts w:hint="eastAsia" w:ascii="宋体" w:hAnsi="宋体" w:eastAsia="宋体" w:cs="宋体"/>
          <w:color w:val="000000"/>
          <w:sz w:val="24"/>
          <w:szCs w:val="24"/>
          <w:highlight w:val="none"/>
          <w:u w:val="none"/>
          <w:lang w:val="en-US" w:eastAsia="zh-CN"/>
        </w:rPr>
        <w:t xml:space="preserve">对于投标产品的包装应按照“财办库〔2020〕123号《关于印发《商品包装政府采购需求标准（试行）》、《快递包装政府采购需求标准（试行）》的通知》”执行。</w:t>
      </w:r>
      <w:r>
        <w:rPr>
          <w:rFonts w:hint="eastAsia" w:ascii="宋体" w:hAnsi="宋体" w:eastAsia="宋体" w:cs="宋体"/>
          <w:color w:val="000000"/>
          <w:sz w:val="24"/>
          <w:szCs w:val="24"/>
          <w:highlight w:val="none"/>
          <w:u w:val="none"/>
          <w:lang w:val="en-US"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注意事项：</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（1）潜在投标人登录“江苏省政府采购管理交易系统（苏采云）”须持经注册的CA证书。未注册、领取CA和办理电子签章的潜在投标人，请至泰州市高港区泰州大道188号</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中国医药城会展交易中心W3馆西南角</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公共资源交易大厅政务CA窗口办理，电话：0523-81568158。</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（3）有关本次招标的事项若存在变动或修改，敬请及时关注“江苏政府采购网”发布的更正公告。</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如潜在投标人未按上述要求操作，将自行承担所产生的风险。</w:t>
      </w:r>
      <w:r>
        <w:rPr>
          <w:rFonts w:hint="eastAsia" w:ascii="宋体" w:hAnsi="宋体" w:eastAsia="宋体" w:cs="宋体"/>
          <w:color w:val="000000"/>
          <w:sz w:val="24"/>
          <w:szCs w:val="24"/>
          <w:highlight w:val="none"/>
          <w:u w:val="none"/>
        </w:rPr>
      </w:r>
      <w:r/>
    </w:p>
    <w:p>
      <w:pPr>
        <w:pStyle w:val="925"/>
        <w:ind w:firstLine="496"/>
        <w:keepLines/>
        <w:keepNext/>
        <w:spacing w:before="156" w:after="156" w:line="400" w:lineRule="exact"/>
        <w:rPr>
          <w:b/>
          <w:bCs/>
          <w:color w:val="000000"/>
          <w:sz w:val="32"/>
          <w:szCs w:val="32"/>
          <w:highlight w:val="none"/>
        </w:rPr>
        <w:outlineLvl w:val="0"/>
      </w:pPr>
      <w:r/>
      <w:bookmarkStart w:id="67" w:name="_Toc521"/>
      <w:r/>
      <w:bookmarkStart w:id="68" w:name="_Toc28937"/>
      <w:r/>
      <w:bookmarkStart w:id="69" w:name="_Toc5016"/>
      <w:r>
        <w:rPr>
          <w:rFonts w:hint="eastAsia"/>
          <w:b/>
          <w:bCs/>
          <w:color w:val="000000"/>
          <w:sz w:val="32"/>
          <w:szCs w:val="32"/>
          <w:highlight w:val="none"/>
        </w:rPr>
        <w:t xml:space="preserve">七、本次招标联系方式</w:t>
      </w:r>
      <w:bookmarkEnd w:id="62"/>
      <w:r/>
      <w:bookmarkEnd w:id="63"/>
      <w:r/>
      <w:bookmarkEnd w:id="64"/>
      <w:r/>
      <w:bookmarkEnd w:id="65"/>
      <w:r/>
      <w:bookmarkEnd w:id="66"/>
      <w:r/>
      <w:bookmarkEnd w:id="67"/>
      <w:r/>
      <w:bookmarkEnd w:id="68"/>
      <w:r/>
      <w:bookmarkEnd w:id="69"/>
      <w:r>
        <w:rPr>
          <w:b/>
          <w:bCs/>
          <w:color w:val="000000"/>
          <w:sz w:val="32"/>
          <w:szCs w:val="32"/>
          <w:highlight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bookmarkStart w:id="70" w:name="_Toc6704"/>
      <w:r>
        <w:rPr>
          <w:rFonts w:hint="eastAsia" w:ascii="宋体" w:hAnsi="宋体" w:eastAsia="宋体" w:cs="宋体"/>
          <w:color w:val="000000"/>
          <w:sz w:val="24"/>
          <w:szCs w:val="24"/>
          <w:highlight w:val="none"/>
          <w:u w:val="none"/>
        </w:rPr>
        <w:t xml:space="preserve">1.采购人信息</w:t>
      </w:r>
      <w:bookmarkEnd w:id="70"/>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rPr>
        <w:t xml:space="preserve">名称：</w:t>
      </w:r>
      <w:r>
        <w:rPr>
          <w:rFonts w:hint="eastAsia" w:ascii="宋体" w:hAnsi="宋体" w:eastAsia="宋体" w:cs="宋体"/>
          <w:color w:val="000000"/>
          <w:sz w:val="24"/>
          <w:szCs w:val="24"/>
          <w:highlight w:val="none"/>
          <w:u w:val="none"/>
          <w:lang w:eastAsia="zh-CN"/>
        </w:rPr>
        <w:t xml:space="preserve">泰兴市公安局</w:t>
      </w:r>
      <w:r>
        <w:rPr>
          <w:rFonts w:hint="eastAsia" w:ascii="宋体" w:hAnsi="宋体" w:eastAsia="宋体" w:cs="宋体"/>
          <w:color w:val="000000"/>
          <w:sz w:val="24"/>
          <w:szCs w:val="24"/>
          <w:highlight w:val="none"/>
          <w:u w:val="none"/>
          <w:lang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地址：泰兴市国庆中路6号</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联系人：</w:t>
      </w:r>
      <w:r>
        <w:rPr>
          <w:rFonts w:hint="eastAsia" w:ascii="宋体" w:hAnsi="宋体" w:eastAsia="宋体" w:cs="宋体"/>
          <w:color w:val="000000"/>
          <w:sz w:val="24"/>
          <w:szCs w:val="24"/>
          <w:highlight w:val="none"/>
          <w:u w:val="none"/>
          <w:lang w:val="en-US" w:eastAsia="zh-CN"/>
        </w:rPr>
        <w:t xml:space="preserve">印先生</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联系电话</w:t>
      </w:r>
      <w:r>
        <w:rPr>
          <w:rFonts w:hint="eastAsia" w:ascii="宋体" w:hAnsi="宋体" w:eastAsia="宋体" w:cs="宋体"/>
          <w:color w:val="000000"/>
          <w:sz w:val="24"/>
          <w:szCs w:val="24"/>
          <w:highlight w:val="none"/>
          <w:u w:val="none"/>
          <w:lang w:eastAsia="zh-CN"/>
        </w:rPr>
        <w:t xml:space="preserve">：0523-87955299</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bookmarkStart w:id="71" w:name="_Toc10590"/>
      <w:r>
        <w:rPr>
          <w:rFonts w:hint="eastAsia" w:ascii="宋体" w:hAnsi="宋体" w:eastAsia="宋体" w:cs="宋体"/>
          <w:color w:val="000000"/>
          <w:sz w:val="24"/>
          <w:szCs w:val="24"/>
          <w:highlight w:val="none"/>
          <w:u w:val="none"/>
        </w:rPr>
        <w:t xml:space="preserve">2.采购代理机构信息</w:t>
      </w:r>
      <w:bookmarkEnd w:id="71"/>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rPr>
        <w:t xml:space="preserve">名 称：</w:t>
      </w:r>
      <w:r>
        <w:rPr>
          <w:rFonts w:hint="eastAsia" w:ascii="宋体" w:hAnsi="宋体" w:eastAsia="宋体" w:cs="宋体"/>
          <w:color w:val="000000"/>
          <w:sz w:val="24"/>
          <w:szCs w:val="24"/>
          <w:highlight w:val="none"/>
          <w:u w:val="none"/>
          <w:lang w:eastAsia="zh-CN"/>
        </w:rPr>
        <w:t xml:space="preserve">江苏建安造价师事务所有限公司</w:t>
      </w:r>
      <w:r>
        <w:rPr>
          <w:rFonts w:hint="eastAsia" w:ascii="宋体" w:hAnsi="宋体" w:eastAsia="宋体" w:cs="宋体"/>
          <w:color w:val="000000"/>
          <w:sz w:val="24"/>
          <w:szCs w:val="24"/>
          <w:highlight w:val="none"/>
          <w:u w:val="none"/>
          <w:lang w:eastAsia="zh-CN"/>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址：泰州市凤凰西路168号</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联系人：</w:t>
      </w:r>
      <w:r>
        <w:rPr>
          <w:rFonts w:hint="eastAsia" w:ascii="宋体" w:hAnsi="宋体" w:eastAsia="宋体" w:cs="宋体"/>
          <w:color w:val="000000"/>
          <w:sz w:val="24"/>
          <w:szCs w:val="24"/>
          <w:highlight w:val="none"/>
          <w:u w:val="none"/>
        </w:rPr>
        <w:t xml:space="preserve">沈</w:t>
      </w:r>
      <w:r>
        <w:rPr>
          <w:rFonts w:hint="eastAsia" w:ascii="宋体" w:hAnsi="宋体" w:eastAsia="宋体" w:cs="宋体"/>
          <w:color w:val="000000"/>
          <w:sz w:val="24"/>
          <w:szCs w:val="24"/>
          <w:highlight w:val="none"/>
          <w:u w:val="none"/>
        </w:rPr>
        <w:t xml:space="preserve">女士</w:t>
      </w:r>
      <w:r>
        <w:rPr>
          <w:rFonts w:hint="eastAsia" w:ascii="宋体" w:hAnsi="宋体" w:eastAsia="宋体" w:cs="宋体"/>
          <w:color w:val="000000"/>
          <w:sz w:val="24"/>
          <w:szCs w:val="24"/>
          <w:highlight w:val="none"/>
          <w:u w:val="none"/>
        </w:rPr>
      </w:r>
      <w:r/>
    </w:p>
    <w:p>
      <w:pPr>
        <w:pStyle w:val="925"/>
        <w:ind w:firstLine="539"/>
        <w:keepLines w:val="0"/>
        <w:keepNext w:val="0"/>
        <w:pageBreakBefore w:val="0"/>
        <w:spacing w:line="400" w:lineRule="exact"/>
        <w:widowControl w:val="off"/>
        <w:rPr>
          <w:rFonts w:hint="eastAsia" w:ascii="黑体" w:hAnsi="Arial" w:eastAsia="黑体" w:cs="Arial"/>
          <w:b/>
          <w:bCs/>
          <w:color w:val="000000"/>
          <w:sz w:val="44"/>
          <w:szCs w:val="44"/>
          <w:highlight w:val="non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color w:val="000000"/>
          <w:sz w:val="24"/>
          <w:szCs w:val="24"/>
          <w:highlight w:val="none"/>
          <w:u w:val="none"/>
        </w:rPr>
        <w:t xml:space="preserve">13401233535</w:t>
      </w:r>
      <w:r>
        <w:rPr>
          <w:rFonts w:hint="eastAsia" w:ascii="宋体" w:hAnsi="宋体" w:eastAsia="宋体" w:cs="宋体"/>
          <w:color w:val="000000"/>
          <w:sz w:val="24"/>
          <w:szCs w:val="24"/>
          <w:highlight w:val="none"/>
          <w:u w:val="none"/>
        </w:rPr>
      </w:r>
      <w:bookmarkStart w:id="74" w:name="_Toc120614211"/>
      <w:r>
        <w:rPr>
          <w:rFonts w:hint="eastAsia" w:ascii="黑体" w:hAnsi="Arial" w:eastAsia="黑体" w:cs="Arial"/>
          <w:b/>
          <w:bCs/>
          <w:color w:val="000000"/>
          <w:sz w:val="44"/>
          <w:szCs w:val="44"/>
          <w:highlight w:val="none"/>
        </w:rPr>
      </w:r>
      <w:r/>
    </w:p>
    <w:p>
      <w:pPr>
        <w:pStyle w:val="925"/>
        <w:ind w:firstLine="2420"/>
        <w:keepLines/>
        <w:keepNext/>
        <w:spacing w:before="260" w:after="260" w:line="416" w:lineRule="auto"/>
        <w:rPr>
          <w:rFonts w:hint="eastAsia" w:ascii="黑体" w:hAnsi="Arial" w:eastAsia="黑体" w:cs="Arial"/>
          <w:b/>
          <w:bCs/>
          <w:color w:val="000000"/>
          <w:sz w:val="44"/>
          <w:szCs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黑体" w:hAnsi="Arial" w:eastAsia="黑体" w:cs="Arial"/>
          <w:b/>
          <w:bCs/>
          <w:color w:val="000000"/>
          <w:sz w:val="44"/>
          <w:szCs w:val="44"/>
          <w:highlight w:val="none"/>
        </w:rPr>
      </w:r>
      <w:r/>
    </w:p>
    <w:p>
      <w:pPr>
        <w:pStyle w:val="925"/>
        <w:ind w:firstLine="2420"/>
        <w:keepLines/>
        <w:keepNext/>
        <w:spacing w:before="260" w:after="260" w:line="416" w:lineRule="auto"/>
        <w:rPr>
          <w:rFonts w:hint="eastAsia" w:ascii="黑体" w:hAnsi="Arial" w:eastAsia="黑体" w:cs="Arial"/>
          <w:color w:val="000000"/>
          <w:sz w:val="44"/>
          <w:szCs w:val="44"/>
          <w:highlight w:val="none"/>
        </w:rPr>
        <w:outlineLvl w:val="0"/>
      </w:pPr>
      <w:r/>
      <w:bookmarkStart w:id="75" w:name="_Toc31069"/>
      <w:r/>
      <w:bookmarkStart w:id="76" w:name="_Toc692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74"/>
      <w:r/>
      <w:bookmarkStart w:id="77" w:name="_Toc20823274"/>
      <w:r/>
      <w:bookmarkStart w:id="78" w:name="_Toc120614213"/>
      <w:r/>
      <w:bookmarkStart w:id="79" w:name="_Toc16938518"/>
      <w:r/>
      <w:bookmarkStart w:id="80" w:name="_Toc513029202"/>
      <w:r>
        <w:rPr>
          <w:rFonts w:hint="eastAsia" w:ascii="黑体" w:hAnsi="Arial" w:eastAsia="黑体" w:cs="Arial"/>
          <w:b/>
          <w:bCs/>
          <w:color w:val="000000"/>
          <w:sz w:val="44"/>
          <w:szCs w:val="44"/>
          <w:highlight w:val="none"/>
        </w:rPr>
        <w:t xml:space="preserve">投标人须知</w:t>
      </w:r>
      <w:bookmarkEnd w:id="75"/>
      <w:r/>
      <w:bookmarkEnd w:id="76"/>
      <w:r/>
      <w:bookmarkEnd w:id="77"/>
      <w:r/>
      <w:bookmarkEnd w:id="78"/>
      <w:r/>
      <w:bookmarkEnd w:id="79"/>
      <w:r/>
      <w:bookmarkEnd w:id="80"/>
      <w:r>
        <w:rPr>
          <w:rFonts w:hint="eastAsia" w:ascii="黑体" w:hAnsi="Arial" w:eastAsia="黑体" w:cs="Arial"/>
          <w:color w:val="000000"/>
          <w:sz w:val="44"/>
          <w:szCs w:val="44"/>
          <w:highlight w:val="none"/>
        </w:rPr>
      </w:r>
      <w:r/>
    </w:p>
    <w:p>
      <w:pPr>
        <w:pStyle w:val="925"/>
        <w:ind w:firstLine="496"/>
        <w:keepLines/>
        <w:keepNext/>
        <w:spacing w:before="156" w:after="156" w:line="400" w:lineRule="exact"/>
        <w:rPr>
          <w:rFonts w:hint="eastAsia"/>
          <w:b/>
          <w:bCs/>
          <w:color w:val="000000"/>
          <w:sz w:val="32"/>
          <w:szCs w:val="32"/>
          <w:highlight w:val="none"/>
        </w:rPr>
        <w:outlineLvl w:val="0"/>
      </w:pPr>
      <w:r/>
      <w:bookmarkStart w:id="81" w:name="_Toc20823275"/>
      <w:r/>
      <w:bookmarkStart w:id="82" w:name="_Toc32595"/>
      <w:r/>
      <w:bookmarkStart w:id="83" w:name="_Toc7753"/>
      <w:r/>
      <w:bookmarkStart w:id="84" w:name="_Toc28579"/>
      <w:r/>
      <w:bookmarkStart w:id="85" w:name="_Toc120614214"/>
      <w:r/>
      <w:bookmarkStart w:id="86" w:name="_Toc513029203"/>
      <w:r/>
      <w:bookmarkStart w:id="87" w:name="_Toc16938519"/>
      <w:r>
        <w:rPr>
          <w:rFonts w:hint="eastAsia"/>
          <w:b/>
          <w:bCs/>
          <w:color w:val="000000"/>
          <w:sz w:val="32"/>
          <w:szCs w:val="32"/>
          <w:highlight w:val="none"/>
        </w:rPr>
        <w:t xml:space="preserve">一、总则</w:t>
      </w:r>
      <w:bookmarkEnd w:id="81"/>
      <w:r/>
      <w:bookmarkEnd w:id="82"/>
      <w:r/>
      <w:bookmarkEnd w:id="83"/>
      <w:r/>
      <w:bookmarkEnd w:id="84"/>
      <w:r/>
      <w:bookmarkEnd w:id="85"/>
      <w:r/>
      <w:bookmarkEnd w:id="86"/>
      <w:r/>
      <w:bookmarkEnd w:id="87"/>
      <w:r>
        <w:rPr>
          <w:rFonts w:hint="eastAsia"/>
          <w:b/>
          <w:bCs/>
          <w:color w:val="000000"/>
          <w:sz w:val="32"/>
          <w:szCs w:val="32"/>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88" w:name="_Hlt16619475"/>
      <w:r/>
      <w:bookmarkEnd w:id="88"/>
      <w:r/>
      <w:bookmarkStart w:id="89" w:name="_Toc458694821"/>
      <w:r/>
      <w:bookmarkStart w:id="90" w:name="_Toc513029204"/>
      <w:r/>
      <w:bookmarkStart w:id="91" w:name="_Toc20823276"/>
      <w:r/>
      <w:bookmarkStart w:id="92" w:name="_Toc8730"/>
      <w:r/>
      <w:bookmarkStart w:id="93" w:name="_Toc16938520"/>
      <w:r>
        <w:rPr>
          <w:rFonts w:hint="eastAsia" w:ascii="Arial" w:hAnsi="Arial" w:eastAsia="黑体" w:cs="Arial"/>
          <w:color w:val="000000"/>
          <w:sz w:val="28"/>
          <w:szCs w:val="28"/>
          <w:highlight w:val="none"/>
        </w:rPr>
        <w:t xml:space="preserve">1</w:t>
      </w:r>
      <w:bookmarkEnd w:id="89"/>
      <w:r>
        <w:rPr>
          <w:rFonts w:hint="eastAsia" w:ascii="Arial" w:hAnsi="Arial" w:eastAsia="黑体" w:cs="Arial"/>
          <w:color w:val="000000"/>
          <w:sz w:val="28"/>
          <w:szCs w:val="28"/>
          <w:highlight w:val="none"/>
        </w:rPr>
        <w:t xml:space="preserve">、招标方式</w:t>
      </w:r>
      <w:bookmarkEnd w:id="90"/>
      <w:r/>
      <w:bookmarkEnd w:id="91"/>
      <w:r/>
      <w:bookmarkEnd w:id="92"/>
      <w:r/>
      <w:bookmarkEnd w:id="93"/>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1.1本次招标采取公开招标方式，本招标文件仅适用于招标公告中所述项目。</w:t>
      </w:r>
      <w:r>
        <w:rPr>
          <w:rFonts w:hint="eastAsia" w:ascii="宋体" w:hAnsi="宋体"/>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94" w:name="_Toc513029205"/>
      <w:r/>
      <w:bookmarkStart w:id="95" w:name="_Toc16938521"/>
      <w:r/>
      <w:bookmarkStart w:id="96" w:name="_Toc29912"/>
      <w:r/>
      <w:bookmarkStart w:id="97" w:name="_Toc20823277"/>
      <w:r>
        <w:rPr>
          <w:rFonts w:hint="eastAsia" w:ascii="Arial" w:hAnsi="Arial" w:eastAsia="黑体" w:cs="Arial"/>
          <w:color w:val="000000"/>
          <w:sz w:val="28"/>
          <w:szCs w:val="28"/>
          <w:highlight w:val="none"/>
        </w:rPr>
        <w:t xml:space="preserve">2、合格的投标人</w:t>
      </w:r>
      <w:bookmarkEnd w:id="94"/>
      <w:r/>
      <w:bookmarkEnd w:id="95"/>
      <w:r/>
      <w:bookmarkEnd w:id="96"/>
      <w:r/>
      <w:bookmarkEnd w:id="97"/>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98" w:name="_Toc513029206"/>
      <w:r/>
      <w:bookmarkStart w:id="99" w:name="_Toc20823278"/>
      <w:r/>
      <w:bookmarkStart w:id="100" w:name="_Toc16938522"/>
      <w:r/>
      <w:bookmarkStart w:id="101" w:name="_Toc58"/>
      <w:r>
        <w:rPr>
          <w:rFonts w:hint="eastAsia" w:ascii="Arial" w:hAnsi="Arial" w:eastAsia="黑体" w:cs="Arial"/>
          <w:color w:val="000000"/>
          <w:sz w:val="28"/>
          <w:szCs w:val="28"/>
          <w:highlight w:val="none"/>
        </w:rPr>
        <w:t xml:space="preserve">3、适用法律</w:t>
      </w:r>
      <w:bookmarkEnd w:id="98"/>
      <w:r/>
      <w:bookmarkEnd w:id="99"/>
      <w:r/>
      <w:bookmarkEnd w:id="100"/>
      <w:r>
        <w:rPr>
          <w:rFonts w:hint="eastAsia" w:ascii="Arial" w:hAnsi="Arial" w:eastAsia="黑体" w:cs="Arial"/>
          <w:color w:val="000000"/>
          <w:sz w:val="28"/>
          <w:szCs w:val="28"/>
          <w:highlight w:val="none"/>
        </w:rPr>
        <w:t xml:space="preserve">和标准</w:t>
      </w:r>
      <w:bookmarkEnd w:id="101"/>
      <w:r>
        <w:rPr>
          <w:rFonts w:hint="eastAsia" w:ascii="Arial" w:hAnsi="Arial" w:eastAsia="黑体" w:cs="Arial"/>
          <w:color w:val="000000"/>
          <w:sz w:val="28"/>
          <w:szCs w:val="28"/>
          <w:highlight w:val="none"/>
        </w:rPr>
      </w:r>
      <w:r/>
    </w:p>
    <w:p>
      <w:pPr>
        <w:pStyle w:val="925"/>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925"/>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3.2在本项目政府采购活动过程中，如果所执行的标准有更新的，按照最新标准执行。</w:t>
      </w:r>
      <w:r>
        <w:rPr>
          <w:rFonts w:hint="eastAsia" w:ascii="方正魏碑_GBK" w:hAnsi="方正魏碑_GBK" w:eastAsia="方正魏碑_GBK" w:cs="方正魏碑_GBK"/>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02" w:name="_Toc20823279"/>
      <w:r/>
      <w:bookmarkStart w:id="103" w:name="_Toc14516"/>
      <w:r/>
      <w:bookmarkStart w:id="104" w:name="_Toc462564067"/>
      <w:r/>
      <w:bookmarkStart w:id="105" w:name="_Toc16938523"/>
      <w:r/>
      <w:bookmarkStart w:id="106" w:name="_Toc513029207"/>
      <w:r>
        <w:rPr>
          <w:rFonts w:hint="eastAsia" w:ascii="Arial" w:hAnsi="Arial" w:eastAsia="黑体" w:cs="Arial"/>
          <w:color w:val="000000"/>
          <w:sz w:val="28"/>
          <w:szCs w:val="28"/>
          <w:highlight w:val="none"/>
        </w:rPr>
        <w:t xml:space="preserve">4、投标费用</w:t>
      </w:r>
      <w:bookmarkEnd w:id="102"/>
      <w:r/>
      <w:bookmarkEnd w:id="103"/>
      <w:r/>
      <w:bookmarkEnd w:id="104"/>
      <w:r/>
      <w:bookmarkEnd w:id="105"/>
      <w:r/>
      <w:bookmarkEnd w:id="106"/>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投标人应自行承担所有与参加投标有关的费用，无论投标过程中的做法和结果如何，</w:t>
      </w:r>
      <w:r>
        <w:rPr>
          <w:rFonts w:hint="eastAsia" w:ascii="宋体" w:hAnsi="宋体"/>
          <w:color w:val="000000"/>
          <w:sz w:val="24"/>
          <w:szCs w:val="21"/>
          <w:highlight w:val="none"/>
          <w:lang w:val="en-US" w:eastAsia="zh-CN"/>
        </w:rPr>
        <w:t xml:space="preserve">采购人</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25"/>
        <w:ind w:firstLine="480"/>
        <w:spacing w:line="40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4.2</w:t>
      </w:r>
      <w:r>
        <w:rPr>
          <w:rFonts w:hint="eastAsia" w:ascii="宋体" w:hAnsi="宋体"/>
          <w:color w:val="ff0000"/>
          <w:sz w:val="24"/>
          <w:szCs w:val="21"/>
          <w:highlight w:val="none"/>
          <w:lang w:val="en-US" w:eastAsia="zh-CN"/>
        </w:rPr>
        <w:t xml:space="preserve">本项目的招标代理费由中标人支付，招标代理费按照&lt;&lt;关于降低部分建设项目收费标准规范收费行为等有关问题的通知&gt;&gt;(发改价格〔2011〕534号）执行，金额为5000.00元。投标单位在投标报价时应将该费用综合考虑在投标报价中，采购人不再另外支付。上述费用由中标单位在领取中标通知书前一次性支付给招标代理机构代理服务费。</w:t>
      </w:r>
      <w:r>
        <w:rPr>
          <w:rFonts w:hint="eastAsia" w:ascii="宋体" w:hAnsi="宋体"/>
          <w:color w:val="000000"/>
          <w:sz w:val="24"/>
          <w:szCs w:val="21"/>
          <w:highlight w:val="none"/>
          <w:lang w:val="en-US" w:eastAsia="zh-CN"/>
        </w:rPr>
      </w:r>
      <w:r/>
    </w:p>
    <w:p>
      <w:pPr>
        <w:pStyle w:val="925"/>
        <w:ind w:firstLine="450"/>
        <w:keepLines/>
        <w:keepNext/>
        <w:spacing w:line="400" w:lineRule="exact"/>
        <w:rPr>
          <w:rFonts w:hint="eastAsia" w:ascii="黑体" w:hAnsi="宋体" w:eastAsia="黑体" w:cs="Arial"/>
          <w:color w:val="000000"/>
          <w:sz w:val="28"/>
          <w:szCs w:val="28"/>
          <w:highlight w:val="none"/>
        </w:rPr>
        <w:outlineLvl w:val="1"/>
      </w:pPr>
      <w:r/>
      <w:bookmarkStart w:id="107" w:name="_Toc3861"/>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07"/>
      <w:r>
        <w:rPr>
          <w:rFonts w:hint="eastAsia" w:ascii="黑体" w:hAnsi="宋体" w:eastAsia="黑体" w:cs="Arial"/>
          <w:color w:val="000000"/>
          <w:sz w:val="28"/>
          <w:szCs w:val="28"/>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925"/>
        <w:ind w:firstLine="320"/>
        <w:keepLines/>
        <w:keepNext/>
        <w:spacing w:before="156" w:after="156" w:line="400" w:lineRule="exact"/>
        <w:rPr>
          <w:rFonts w:hint="eastAsia"/>
          <w:b/>
          <w:bCs/>
          <w:color w:val="000000"/>
          <w:sz w:val="32"/>
          <w:szCs w:val="32"/>
          <w:highlight w:val="none"/>
        </w:rPr>
        <w:outlineLvl w:val="0"/>
      </w:pPr>
      <w:r/>
      <w:bookmarkStart w:id="108" w:name="_Toc7541"/>
      <w:r/>
      <w:bookmarkStart w:id="109" w:name="_Toc28639"/>
      <w:r/>
      <w:bookmarkStart w:id="110" w:name="_Toc120614215"/>
      <w:r/>
      <w:bookmarkStart w:id="111" w:name="_Toc513029209"/>
      <w:r/>
      <w:bookmarkStart w:id="112" w:name="_Toc20823281"/>
      <w:r/>
      <w:bookmarkStart w:id="113" w:name="_Toc26808"/>
      <w:r/>
      <w:bookmarkStart w:id="114" w:name="_Toc16938525"/>
      <w:r>
        <w:rPr>
          <w:rFonts w:hint="eastAsia"/>
          <w:b/>
          <w:bCs/>
          <w:color w:val="000000"/>
          <w:sz w:val="32"/>
          <w:szCs w:val="32"/>
          <w:highlight w:val="none"/>
        </w:rPr>
        <w:t xml:space="preserve">二、招标文件</w:t>
      </w:r>
      <w:bookmarkEnd w:id="108"/>
      <w:r/>
      <w:bookmarkEnd w:id="109"/>
      <w:r/>
      <w:bookmarkEnd w:id="110"/>
      <w:r/>
      <w:bookmarkEnd w:id="111"/>
      <w:r/>
      <w:bookmarkEnd w:id="112"/>
      <w:r/>
      <w:bookmarkEnd w:id="113"/>
      <w:r/>
      <w:bookmarkEnd w:id="114"/>
      <w:r>
        <w:rPr>
          <w:rFonts w:hint="eastAsia"/>
          <w:b/>
          <w:bCs/>
          <w:color w:val="000000"/>
          <w:sz w:val="32"/>
          <w:szCs w:val="32"/>
          <w:highlight w:val="none"/>
        </w:rPr>
      </w:r>
      <w:r/>
    </w:p>
    <w:p>
      <w:pPr>
        <w:pStyle w:val="925"/>
        <w:ind w:firstLine="560"/>
        <w:keepLines/>
        <w:keepNext/>
        <w:pageBreakBefore w:val="0"/>
        <w:spacing w:line="400" w:lineRule="exact"/>
        <w:widowControl w:val="off"/>
        <w:rPr>
          <w:rFonts w:hint="eastAsia" w:ascii="Arial" w:hAnsi="Arial" w:eastAsia="黑体" w:cs="Arial"/>
          <w:color w:val="000000"/>
          <w:sz w:val="28"/>
          <w:szCs w:val="28"/>
          <w:highlight w:val="none"/>
        </w:rPr>
        <w:outlineLvl w:val="1"/>
      </w:pPr>
      <w:r/>
      <w:bookmarkStart w:id="115" w:name="_Toc19200"/>
      <w:r/>
      <w:bookmarkStart w:id="116" w:name="_Toc513029210"/>
      <w:r/>
      <w:bookmarkStart w:id="117" w:name="_Toc16938526"/>
      <w:r/>
      <w:bookmarkStart w:id="118" w:name="_Toc20823282"/>
      <w:r>
        <w:rPr>
          <w:rFonts w:hint="eastAsia" w:ascii="Arial" w:hAnsi="Arial" w:eastAsia="黑体" w:cs="Arial"/>
          <w:color w:val="000000"/>
          <w:sz w:val="28"/>
          <w:szCs w:val="28"/>
          <w:highlight w:val="none"/>
        </w:rPr>
        <w:t xml:space="preserve">6、招标文件构成</w:t>
      </w:r>
      <w:bookmarkEnd w:id="115"/>
      <w:r/>
      <w:bookmarkEnd w:id="116"/>
      <w:r/>
      <w:bookmarkEnd w:id="117"/>
      <w:r/>
      <w:bookmarkEnd w:id="118"/>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25"/>
        <w:ind w:firstLine="36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招标公告</w:t>
      </w:r>
      <w:r>
        <w:rPr>
          <w:rFonts w:ascii="宋体" w:hAnsi="宋体" w:eastAsia="宋体"/>
          <w:color w:val="000000"/>
          <w:sz w:val="24"/>
          <w:szCs w:val="24"/>
          <w:highlight w:val="none"/>
          <w:lang w:val="en-US" w:eastAsia="zh-CN"/>
        </w:rPr>
      </w:r>
      <w:r/>
    </w:p>
    <w:p>
      <w:pPr>
        <w:pStyle w:val="9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25"/>
        <w:ind w:firstLine="360"/>
        <w:spacing w:line="4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25"/>
        <w:ind w:firstLine="48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szCs w:val="21"/>
          <w:highlight w:val="none"/>
        </w:rPr>
      </w:r>
      <w:r/>
    </w:p>
    <w:p>
      <w:pPr>
        <w:pStyle w:val="925"/>
        <w:ind w:firstLine="560"/>
        <w:keepLines/>
        <w:keepNext/>
        <w:spacing w:line="400" w:lineRule="exact"/>
        <w:rPr>
          <w:rFonts w:hint="eastAsia" w:ascii="Arial" w:hAnsi="Arial" w:eastAsia="黑体" w:cs="Arial"/>
          <w:color w:val="000000"/>
          <w:sz w:val="28"/>
          <w:szCs w:val="28"/>
          <w:highlight w:val="none"/>
        </w:rPr>
        <w:outlineLvl w:val="1"/>
      </w:pPr>
      <w:r/>
      <w:bookmarkStart w:id="119" w:name="_Toc16938528"/>
      <w:r/>
      <w:bookmarkStart w:id="120" w:name="_Toc20685"/>
      <w:r/>
      <w:bookmarkStart w:id="121" w:name="_Toc462564071"/>
      <w:r/>
      <w:bookmarkStart w:id="122" w:name="_Toc20823284"/>
      <w:r/>
      <w:bookmarkStart w:id="123" w:name="_Toc513029212"/>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119"/>
      <w:r/>
      <w:bookmarkEnd w:id="120"/>
      <w:r/>
      <w:bookmarkEnd w:id="121"/>
      <w:r/>
      <w:bookmarkEnd w:id="122"/>
      <w:r/>
      <w:bookmarkEnd w:id="123"/>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925"/>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9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25"/>
        <w:ind w:firstLine="480"/>
        <w:keepLines/>
        <w:keepNext/>
        <w:spacing w:before="156" w:after="156" w:line="400" w:lineRule="exact"/>
        <w:rPr>
          <w:rFonts w:hint="eastAsia"/>
          <w:b/>
          <w:bCs/>
          <w:color w:val="000000"/>
          <w:sz w:val="32"/>
          <w:szCs w:val="32"/>
          <w:highlight w:val="none"/>
        </w:rPr>
        <w:outlineLvl w:val="0"/>
      </w:pPr>
      <w:r/>
      <w:bookmarkStart w:id="124" w:name="_Toc14626"/>
      <w:r/>
      <w:bookmarkStart w:id="125" w:name="_Toc20823285"/>
      <w:r/>
      <w:bookmarkStart w:id="126" w:name="_Toc2765"/>
      <w:r/>
      <w:bookmarkStart w:id="127" w:name="_Toc16938529"/>
      <w:r/>
      <w:bookmarkStart w:id="128" w:name="_Toc22464"/>
      <w:r/>
      <w:bookmarkStart w:id="129" w:name="_Toc120614216"/>
      <w:r/>
      <w:bookmarkStart w:id="130" w:name="_Toc462564072"/>
      <w:r/>
      <w:bookmarkStart w:id="131" w:name="_Toc513029213"/>
      <w:r>
        <w:rPr>
          <w:rFonts w:hint="eastAsia"/>
          <w:b/>
          <w:bCs/>
          <w:color w:val="000000"/>
          <w:sz w:val="32"/>
          <w:szCs w:val="32"/>
          <w:highlight w:val="none"/>
        </w:rPr>
        <w:t xml:space="preserve">三、投标文件的编制</w:t>
      </w:r>
      <w:bookmarkEnd w:id="124"/>
      <w:r/>
      <w:bookmarkEnd w:id="125"/>
      <w:r/>
      <w:bookmarkEnd w:id="126"/>
      <w:r/>
      <w:bookmarkEnd w:id="127"/>
      <w:r/>
      <w:bookmarkEnd w:id="128"/>
      <w:r/>
      <w:bookmarkEnd w:id="129"/>
      <w:r/>
      <w:bookmarkEnd w:id="130"/>
      <w:r/>
      <w:bookmarkEnd w:id="131"/>
      <w:r>
        <w:rPr>
          <w:rFonts w:hint="eastAsia"/>
          <w:b/>
          <w:bCs/>
          <w:color w:val="000000"/>
          <w:sz w:val="32"/>
          <w:szCs w:val="32"/>
          <w:highlight w:val="none"/>
        </w:rPr>
      </w:r>
      <w:r/>
    </w:p>
    <w:p>
      <w:pPr>
        <w:pStyle w:val="925"/>
        <w:ind w:firstLine="420"/>
        <w:keepLines/>
        <w:keepNext/>
        <w:pageBreakBefore w:val="0"/>
        <w:spacing w:line="400" w:lineRule="exact"/>
        <w:widowControl w:val="off"/>
        <w:rPr>
          <w:rFonts w:hint="eastAsia" w:ascii="Arial" w:hAnsi="Arial" w:eastAsia="黑体" w:cs="Arial"/>
          <w:b/>
          <w:color w:val="000000"/>
          <w:sz w:val="28"/>
          <w:szCs w:val="28"/>
          <w:highlight w:val="none"/>
        </w:rPr>
        <w:outlineLvl w:val="1"/>
      </w:pPr>
      <w:r/>
      <w:bookmarkStart w:id="132" w:name="_Toc22154"/>
      <w:r/>
      <w:bookmarkStart w:id="133" w:name="_Toc16938530"/>
      <w:r/>
      <w:bookmarkStart w:id="134" w:name="_Toc462564073"/>
      <w:r/>
      <w:bookmarkStart w:id="135" w:name="_Toc20823286"/>
      <w:r/>
      <w:bookmarkStart w:id="136" w:name="_Toc513029214"/>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132"/>
      <w:r/>
      <w:bookmarkEnd w:id="133"/>
      <w:r/>
      <w:bookmarkEnd w:id="134"/>
      <w:r/>
      <w:bookmarkEnd w:id="135"/>
      <w:r/>
      <w:bookmarkEnd w:id="136"/>
      <w:r>
        <w:rPr>
          <w:rFonts w:hint="eastAsia" w:ascii="Arial" w:hAnsi="Arial" w:eastAsia="黑体" w:cs="Arial"/>
          <w:b/>
          <w:color w:val="000000"/>
          <w:sz w:val="28"/>
          <w:szCs w:val="28"/>
          <w:highlight w:val="none"/>
        </w:rPr>
      </w:r>
      <w:r/>
    </w:p>
    <w:p>
      <w:pPr>
        <w:pStyle w:val="9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投标人提交的投标文件以及投标人与采购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除技术性能另有规定外，投标文件所使用的度量衡单位，均须采用国家法定计量单位。</w:t>
      </w:r>
      <w:r>
        <w:rPr>
          <w:rFonts w:hint="eastAsia" w:ascii="宋体" w:hAnsi="宋体"/>
          <w:color w:val="000000"/>
          <w:sz w:val="24"/>
          <w:szCs w:val="21"/>
          <w:highlight w:val="none"/>
        </w:rPr>
      </w:r>
      <w:r/>
    </w:p>
    <w:p>
      <w:pPr>
        <w:pStyle w:val="925"/>
        <w:ind w:firstLine="420"/>
        <w:keepLines/>
        <w:keepNext/>
        <w:pageBreakBefore w:val="0"/>
        <w:spacing w:line="400" w:lineRule="exact"/>
        <w:widowControl w:val="off"/>
        <w:rPr>
          <w:rFonts w:hint="eastAsia" w:ascii="Arial" w:hAnsi="Arial" w:eastAsia="黑体" w:cs="Arial"/>
          <w:color w:val="000000"/>
          <w:sz w:val="28"/>
          <w:szCs w:val="28"/>
          <w:highlight w:val="none"/>
        </w:rPr>
        <w:outlineLvl w:val="1"/>
      </w:pPr>
      <w:r/>
      <w:bookmarkStart w:id="137" w:name="_Toc12873"/>
      <w:r/>
      <w:bookmarkStart w:id="138" w:name="_Toc513029215"/>
      <w:r/>
      <w:bookmarkStart w:id="139" w:name="_Toc16938531"/>
      <w:r/>
      <w:bookmarkStart w:id="140" w:name="_Toc462564074"/>
      <w:r/>
      <w:bookmarkStart w:id="141" w:name="_Toc20823287"/>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137"/>
      <w:r/>
      <w:bookmarkEnd w:id="138"/>
      <w:r/>
      <w:bookmarkEnd w:id="139"/>
      <w:r/>
      <w:bookmarkEnd w:id="140"/>
      <w:r/>
      <w:bookmarkEnd w:id="141"/>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投标人编写的投标文件应包括资格证明文件、投标分项报价表、技术条款响应及偏离表、其他证明文件、投标函、开标一览表等部分。</w:t>
      </w:r>
      <w:r>
        <w:rPr>
          <w:rFonts w:hint="eastAsia" w:ascii="宋体" w:hAnsi="宋体"/>
          <w:sz w:val="24"/>
          <w:szCs w:val="21"/>
          <w:highlight w:val="none"/>
        </w:rPr>
      </w:r>
      <w:r/>
    </w:p>
    <w:p>
      <w:pPr>
        <w:pStyle w:val="925"/>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42" w:name="_Hlt26668975"/>
      <w:r/>
      <w:bookmarkEnd w:id="142"/>
      <w:r/>
      <w:bookmarkStart w:id="143" w:name="_Hlt26670360"/>
      <w:r/>
      <w:bookmarkEnd w:id="143"/>
      <w:r/>
      <w:bookmarkStart w:id="144" w:name="_Hlt26954838"/>
      <w:r/>
      <w:bookmarkEnd w:id="144"/>
      <w:r/>
      <w:bookmarkStart w:id="145" w:name="_Toc49090509"/>
      <w:r/>
      <w:bookmarkStart w:id="146" w:name="_Toc14577357"/>
      <w:r/>
      <w:bookmarkStart w:id="147" w:name="_Toc513029219"/>
      <w:r/>
      <w:bookmarkStart w:id="148" w:name="_Toc7572"/>
      <w:r/>
      <w:bookmarkStart w:id="149" w:name="_Toc49090507"/>
      <w:r/>
      <w:bookmarkStart w:id="150" w:name="_Toc14577354"/>
      <w:r/>
      <w:bookmarkStart w:id="151" w:name="_Toc513029216"/>
      <w:r/>
      <w:bookmarkStart w:id="152" w:name="_Toc14577355"/>
      <w:r/>
      <w:bookmarkStart w:id="153"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145"/>
      <w:r/>
      <w:bookmarkEnd w:id="146"/>
      <w:r/>
      <w:bookmarkEnd w:id="147"/>
      <w:r/>
      <w:bookmarkEnd w:id="148"/>
      <w:r>
        <w:rPr>
          <w:rFonts w:hint="eastAsia" w:ascii="Arial" w:hAnsi="Arial" w:eastAsia="黑体" w:cs="Arial"/>
          <w:color w:val="000000"/>
          <w:sz w:val="28"/>
          <w:szCs w:val="28"/>
          <w:highlight w:val="none"/>
        </w:rPr>
      </w:r>
      <w:r/>
    </w:p>
    <w:p>
      <w:pPr>
        <w:pStyle w:val="925"/>
        <w:spacing w:line="400" w:lineRule="exact"/>
        <w:rPr>
          <w:rFonts w:hint="eastAsia" w:ascii="宋体" w:hAnsi="宋体"/>
          <w:color w:val="000000"/>
          <w:sz w:val="24"/>
          <w:szCs w:val="24"/>
          <w:highlight w:val="none"/>
        </w:rPr>
      </w:pPr>
      <w:r/>
      <w:bookmarkEnd w:id="149"/>
      <w:r/>
      <w:bookmarkEnd w:id="150"/>
      <w:r/>
      <w:bookmarkEnd w:id="151"/>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.1投标人应按照招标文件要求提交证明文件，证明其及投标标的符合招标文件规定。</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End w:id="152"/>
      <w:r/>
      <w:bookmarkEnd w:id="153"/>
      <w:r/>
      <w:bookmarkStart w:id="154" w:name="_Toc2810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bookmarkEnd w:id="154"/>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投</w:t>
      </w:r>
      <w:bookmarkStart w:id="155" w:name="_Hlt26954840"/>
      <w:r/>
      <w:bookmarkEnd w:id="155"/>
      <w:r>
        <w:rPr>
          <w:rFonts w:hint="eastAsia" w:ascii="宋体" w:hAnsi="宋体"/>
          <w:sz w:val="24"/>
          <w:szCs w:val="21"/>
          <w:highlight w:val="none"/>
        </w:rPr>
        <w:t xml:space="preserve">标人按照招标文件规定格式填报投标分项报价表</w:t>
      </w:r>
      <w:bookmarkStart w:id="156" w:name="_Hlt26670399"/>
      <w:r/>
      <w:bookmarkEnd w:id="156"/>
      <w:r>
        <w:rPr>
          <w:rFonts w:hint="eastAsia" w:ascii="宋体" w:hAnsi="宋体"/>
          <w:sz w:val="24"/>
          <w:szCs w:val="21"/>
          <w:highlight w:val="none"/>
        </w:rPr>
        <w:t xml:space="preserve">。</w:t>
      </w:r>
      <w:r>
        <w:rPr>
          <w:rFonts w:hint="eastAsia" w:ascii="宋体" w:hAnsi="宋体"/>
          <w:bCs/>
          <w:sz w:val="24"/>
          <w:szCs w:val="21"/>
          <w:highlight w:val="none"/>
        </w:rPr>
      </w:r>
      <w:r/>
    </w:p>
    <w:p>
      <w:pPr>
        <w:pStyle w:val="925"/>
        <w:ind w:firstLine="480"/>
        <w:spacing w:line="4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925"/>
        <w:ind w:firstLine="420"/>
        <w:keepLines/>
        <w:keepNext/>
        <w:spacing w:line="400" w:lineRule="exact"/>
        <w:rPr>
          <w:rFonts w:hint="eastAsia" w:ascii="Arial" w:hAnsi="Arial" w:eastAsia="黑体" w:cs="Arial"/>
          <w:sz w:val="28"/>
          <w:szCs w:val="28"/>
          <w:highlight w:val="none"/>
          <w:lang w:eastAsia="zh-CN"/>
        </w:rPr>
        <w:outlineLvl w:val="1"/>
      </w:pPr>
      <w:r/>
      <w:bookmarkStart w:id="157" w:name="_Hlt26954848"/>
      <w:r/>
      <w:bookmarkEnd w:id="157"/>
      <w:r/>
      <w:bookmarkStart w:id="158" w:name="_Hlt26670482"/>
      <w:r/>
      <w:bookmarkEnd w:id="158"/>
      <w:r/>
      <w:bookmarkStart w:id="159" w:name="_Hlt26954846"/>
      <w:r/>
      <w:bookmarkEnd w:id="159"/>
      <w:r/>
      <w:bookmarkStart w:id="160" w:name="_Hlt26670486"/>
      <w:r/>
      <w:bookmarkEnd w:id="160"/>
      <w:r/>
      <w:bookmarkStart w:id="161" w:name="_Hlt26954731"/>
      <w:r/>
      <w:bookmarkEnd w:id="161"/>
      <w:r/>
      <w:bookmarkStart w:id="162" w:name="_Toc24012"/>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w:t>
      </w:r>
      <w:bookmarkEnd w:id="162"/>
      <w:r>
        <w:rPr>
          <w:rFonts w:hint="eastAsia" w:ascii="Arial" w:hAnsi="Arial" w:eastAsia="黑体" w:cs="Arial"/>
          <w:sz w:val="28"/>
          <w:szCs w:val="28"/>
          <w:highlight w:val="none"/>
          <w:lang w:eastAsia="zh-CN"/>
        </w:rPr>
        <w:t xml:space="preserve">（</w:t>
      </w:r>
      <w:r>
        <w:rPr>
          <w:rFonts w:hint="eastAsia" w:ascii="Arial" w:hAnsi="Arial" w:eastAsia="黑体" w:cs="Arial"/>
          <w:sz w:val="28"/>
          <w:szCs w:val="28"/>
          <w:highlight w:val="none"/>
          <w:lang w:val="en-US" w:eastAsia="zh-CN"/>
        </w:rPr>
        <w:t xml:space="preserve">若有</w:t>
      </w:r>
      <w:r>
        <w:rPr>
          <w:rFonts w:hint="eastAsia" w:ascii="Arial" w:hAnsi="Arial" w:eastAsia="黑体" w:cs="Arial"/>
          <w:sz w:val="28"/>
          <w:szCs w:val="28"/>
          <w:highlight w:val="none"/>
          <w:lang w:eastAsia="zh-CN"/>
        </w:rPr>
        <w:t xml:space="preserve">）</w:t>
      </w:r>
      <w:r>
        <w:rPr>
          <w:rFonts w:hint="eastAsia" w:ascii="Arial" w:hAnsi="Arial" w:eastAsia="黑体" w:cs="Arial"/>
          <w:sz w:val="28"/>
          <w:szCs w:val="28"/>
          <w:highlight w:val="none"/>
          <w:lang w:eastAsia="zh-CN"/>
        </w:rPr>
      </w:r>
      <w:r/>
    </w:p>
    <w:p>
      <w:pPr>
        <w:pStyle w:val="925"/>
        <w:ind w:firstLine="480"/>
        <w:spacing w:line="4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投标人需对招标文件中的技术要求逐项作出响应或偏离，并说明原因。</w:t>
      </w:r>
      <w:r>
        <w:rPr>
          <w:rFonts w:hint="eastAsia" w:ascii="宋体" w:hAnsi="Arial" w:cs="宋体"/>
          <w:sz w:val="24"/>
          <w:szCs w:val="21"/>
          <w:highlight w:val="none"/>
          <w:lang w:val="zh-CN"/>
        </w:rPr>
      </w:r>
      <w:r/>
    </w:p>
    <w:p>
      <w:pPr>
        <w:pStyle w:val="925"/>
        <w:ind w:firstLine="480"/>
        <w:spacing w:line="4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.2投标人需按照招标文件要求，在投标文件中提供与技术要求相关的证明材料。</w:t>
      </w:r>
      <w:r>
        <w:rPr>
          <w:rFonts w:hint="eastAsia" w:ascii="宋体" w:hAnsi="Arial" w:cs="宋体"/>
          <w:sz w:val="24"/>
          <w:szCs w:val="21"/>
          <w:highlight w:val="none"/>
          <w:lang w:val="zh-CN"/>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63" w:name="_Toc2638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bookmarkEnd w:id="163"/>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.2投标人需根据招标文件要求提供培训计划。</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64" w:name="_Toc3577"/>
      <w:r/>
      <w:bookmarkStart w:id="165" w:name="_Toc14577359"/>
      <w:r/>
      <w:bookmarkStart w:id="166"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bookmarkEnd w:id="164"/>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投标人应按照招标文件中提供的格式完整、正确填写投标函、开标一览表。</w:t>
      </w:r>
      <w:r>
        <w:rPr>
          <w:rFonts w:hint="eastAsia" w:ascii="宋体" w:hAnsi="宋体"/>
          <w:color w:val="000000"/>
          <w:sz w:val="24"/>
          <w:szCs w:val="21"/>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End w:id="165"/>
      <w:r/>
      <w:bookmarkEnd w:id="166"/>
      <w:r/>
      <w:bookmarkStart w:id="167" w:name="_Toc14577360"/>
      <w:r/>
      <w:bookmarkStart w:id="168" w:name="_Toc49090511"/>
      <w:r/>
      <w:bookmarkStart w:id="169" w:name="_Toc968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67"/>
      <w:r/>
      <w:bookmarkEnd w:id="168"/>
      <w:r/>
      <w:bookmarkEnd w:id="169"/>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w:t>
      </w:r>
      <w:r>
        <w:rPr>
          <w:rFonts w:hint="eastAsia" w:ascii="宋体" w:hAnsi="宋体"/>
          <w:bCs/>
          <w:color w:val="000000"/>
          <w:sz w:val="24"/>
          <w:szCs w:val="21"/>
          <w:highlight w:val="none"/>
          <w:lang w:val="en-US" w:eastAsia="zh-CN"/>
        </w:rPr>
        <w:t xml:space="preserve">人或代理机构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70" w:name="_Toc3128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bookmarkEnd w:id="170"/>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25"/>
        <w:keepLines/>
        <w:keepNext/>
        <w:spacing w:before="156" w:after="156" w:line="400" w:lineRule="exact"/>
        <w:rPr>
          <w:rFonts w:hint="eastAsia"/>
          <w:b/>
          <w:bCs/>
          <w:color w:val="000000"/>
          <w:sz w:val="32"/>
          <w:szCs w:val="32"/>
          <w:highlight w:val="none"/>
        </w:rPr>
        <w:outlineLvl w:val="0"/>
      </w:pPr>
      <w:r/>
      <w:bookmarkStart w:id="171" w:name="_Hlt26954739"/>
      <w:r/>
      <w:bookmarkEnd w:id="171"/>
      <w:r/>
      <w:bookmarkStart w:id="172" w:name="_Hlt26954852"/>
      <w:r/>
      <w:bookmarkEnd w:id="172"/>
      <w:r/>
      <w:bookmarkStart w:id="173" w:name="_Toc9070"/>
      <w:r/>
      <w:bookmarkStart w:id="174" w:name="_Toc32514"/>
      <w:r/>
      <w:bookmarkStart w:id="175" w:name="_Toc10712"/>
      <w:r/>
      <w:bookmarkStart w:id="176" w:name="_Toc20823296"/>
      <w:r/>
      <w:bookmarkStart w:id="177" w:name="_Toc120614217"/>
      <w:r/>
      <w:bookmarkStart w:id="178" w:name="_Toc16938540"/>
      <w:r/>
      <w:bookmarkStart w:id="179" w:name="_Toc513029224"/>
      <w:r>
        <w:rPr>
          <w:rFonts w:hint="eastAsia"/>
          <w:b/>
          <w:bCs/>
          <w:color w:val="000000"/>
          <w:sz w:val="32"/>
          <w:szCs w:val="32"/>
          <w:highlight w:val="none"/>
        </w:rPr>
        <w:t xml:space="preserve">四、投标文件的递交</w:t>
      </w:r>
      <w:bookmarkEnd w:id="173"/>
      <w:r/>
      <w:bookmarkEnd w:id="174"/>
      <w:r/>
      <w:bookmarkEnd w:id="175"/>
      <w:r/>
      <w:bookmarkEnd w:id="176"/>
      <w:r/>
      <w:bookmarkEnd w:id="177"/>
      <w:r/>
      <w:bookmarkEnd w:id="178"/>
      <w:r/>
      <w:bookmarkEnd w:id="179"/>
      <w:r>
        <w:rPr>
          <w:rFonts w:hint="eastAsia"/>
          <w:b/>
          <w:bCs/>
          <w:color w:val="000000"/>
          <w:sz w:val="32"/>
          <w:szCs w:val="32"/>
          <w:highlight w:val="none"/>
        </w:rPr>
      </w:r>
      <w:r/>
    </w:p>
    <w:p>
      <w:pPr>
        <w:pStyle w:val="925"/>
        <w:ind w:firstLine="420"/>
        <w:keepLines/>
        <w:keepNext/>
        <w:spacing w:line="400" w:lineRule="exact"/>
        <w:rPr>
          <w:rFonts w:hint="eastAsia" w:ascii="黑体" w:hAnsi="Arial" w:eastAsia="黑体" w:cs="Arial"/>
          <w:color w:val="000000"/>
          <w:sz w:val="28"/>
          <w:szCs w:val="28"/>
          <w:highlight w:val="none"/>
        </w:rPr>
        <w:outlineLvl w:val="1"/>
      </w:pPr>
      <w:r/>
      <w:bookmarkStart w:id="180" w:name="_Toc513029225"/>
      <w:r/>
      <w:bookmarkStart w:id="181" w:name="_Toc16938541"/>
      <w:r/>
      <w:bookmarkStart w:id="182" w:name="_Toc20823297"/>
      <w:r/>
      <w:bookmarkStart w:id="183" w:name="_Toc462564084"/>
      <w:r/>
      <w:bookmarkStart w:id="184" w:name="_Toc1623"/>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80"/>
      <w:r/>
      <w:bookmarkEnd w:id="181"/>
      <w:r/>
      <w:bookmarkEnd w:id="182"/>
      <w:r/>
      <w:bookmarkEnd w:id="183"/>
      <w:r>
        <w:rPr>
          <w:rFonts w:hint="eastAsia" w:ascii="黑体" w:hAnsi="Arial" w:eastAsia="黑体" w:cs="Arial"/>
          <w:color w:val="000000"/>
          <w:sz w:val="28"/>
          <w:szCs w:val="28"/>
          <w:highlight w:val="none"/>
        </w:rPr>
        <w:t xml:space="preserve">的递交</w:t>
      </w:r>
      <w:bookmarkEnd w:id="184"/>
      <w:r>
        <w:rPr>
          <w:rFonts w:hint="eastAsia" w:ascii="黑体" w:hAnsi="Arial" w:eastAsia="黑体" w:cs="Arial"/>
          <w:color w:val="000000"/>
          <w:sz w:val="28"/>
          <w:szCs w:val="28"/>
          <w:highlight w:val="none"/>
        </w:rPr>
      </w:r>
      <w:r/>
    </w:p>
    <w:p>
      <w:pPr>
        <w:pStyle w:val="925"/>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9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85" w:name="_Toc20823298"/>
      <w:r/>
      <w:bookmarkStart w:id="186" w:name="_Toc513029226"/>
      <w:r/>
      <w:bookmarkStart w:id="187" w:name="_Toc16938542"/>
      <w:r>
        <w:rPr>
          <w:rFonts w:ascii="宋体" w:hAnsi="宋体"/>
          <w:bCs/>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88" w:name="_Toc3440"/>
      <w:r>
        <w:rPr>
          <w:rFonts w:hint="eastAsia" w:ascii="Arial" w:hAnsi="Arial" w:eastAsia="黑体" w:cs="Arial"/>
          <w:color w:val="000000"/>
          <w:sz w:val="28"/>
          <w:szCs w:val="28"/>
          <w:highlight w:val="none"/>
        </w:rPr>
        <w:t xml:space="preserve">18、投标截止日期</w:t>
      </w:r>
      <w:bookmarkEnd w:id="185"/>
      <w:r/>
      <w:bookmarkEnd w:id="186"/>
      <w:r/>
      <w:bookmarkEnd w:id="187"/>
      <w:r/>
      <w:bookmarkEnd w:id="188"/>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投标人上传电子投标文件的时间不得迟于招标公告中规定的投标截止时间。</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89" w:name="_Toc20823299"/>
      <w:r/>
      <w:bookmarkStart w:id="190" w:name="_Toc513029227"/>
      <w:r/>
      <w:bookmarkStart w:id="191" w:name="_Toc16938543"/>
      <w:r/>
      <w:bookmarkStart w:id="192" w:name="_Toc17821"/>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89"/>
      <w:r/>
      <w:bookmarkEnd w:id="190"/>
      <w:r/>
      <w:bookmarkEnd w:id="191"/>
      <w:r>
        <w:rPr>
          <w:rFonts w:hint="eastAsia" w:ascii="Arial" w:hAnsi="Arial" w:eastAsia="黑体" w:cs="Arial"/>
          <w:color w:val="000000"/>
          <w:sz w:val="28"/>
          <w:szCs w:val="28"/>
          <w:highlight w:val="none"/>
        </w:rPr>
        <w:t xml:space="preserve">的拒收</w:t>
      </w:r>
      <w:bookmarkEnd w:id="192"/>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193" w:name="_Toc24027"/>
      <w:r/>
      <w:bookmarkStart w:id="194" w:name="_Toc16938544"/>
      <w:r/>
      <w:bookmarkStart w:id="195" w:name="_Toc20823300"/>
      <w:r/>
      <w:bookmarkStart w:id="196"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93"/>
      <w:r/>
      <w:bookmarkEnd w:id="194"/>
      <w:r/>
      <w:bookmarkEnd w:id="195"/>
      <w:r/>
      <w:bookmarkEnd w:id="196"/>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color w:val="000000"/>
          <w:sz w:val="24"/>
          <w:szCs w:val="21"/>
          <w:highlight w:val="none"/>
        </w:rPr>
        <w:outlineLvl w:val="2"/>
      </w:pPr>
      <w:r/>
      <w:bookmarkStart w:id="197" w:name="_Toc59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.1投标文件的撤回</w:t>
      </w:r>
      <w:bookmarkEnd w:id="197"/>
      <w:r>
        <w:rPr>
          <w:rFonts w:hint="eastAsia" w:ascii="宋体" w:hAnsi="宋体"/>
          <w:color w:val="000000"/>
          <w:sz w:val="24"/>
          <w:szCs w:val="21"/>
          <w:highlight w:val="none"/>
        </w:rPr>
      </w:r>
      <w:r/>
    </w:p>
    <w:p>
      <w:pPr>
        <w:pStyle w:val="925"/>
        <w:ind w:firstLine="480"/>
        <w:spacing w:line="400" w:lineRule="exact"/>
        <w:rPr>
          <w:rFonts w:hint="eastAsia" w:ascii="宋体" w:hAnsi="宋体"/>
          <w:color w:val="000000"/>
          <w:sz w:val="24"/>
          <w:szCs w:val="21"/>
          <w:highlight w:val="none"/>
        </w:rPr>
        <w:outlineLvl w:val="3"/>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.1.1电子投标文件的撤回</w:t>
      </w:r>
      <w:r>
        <w:rPr>
          <w:rFonts w:hint="eastAsia" w:ascii="宋体" w:hAnsi="宋体"/>
          <w:color w:val="000000"/>
          <w:sz w:val="24"/>
          <w:szCs w:val="21"/>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25"/>
        <w:ind w:firstLine="480"/>
        <w:spacing w:line="400" w:lineRule="exact"/>
        <w:rPr>
          <w:rFonts w:hint="eastAsia" w:ascii="宋体" w:hAnsi="宋体"/>
          <w:color w:val="000000"/>
          <w:sz w:val="24"/>
          <w:szCs w:val="24"/>
          <w:highlight w:val="none"/>
        </w:rPr>
        <w:outlineLvl w:val="3"/>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outlineLvl w:val="2"/>
      </w:pPr>
      <w:r/>
      <w:bookmarkStart w:id="198" w:name="_Toc22384"/>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bookmarkEnd w:id="198"/>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outlineLvl w:val="2"/>
      </w:pPr>
      <w:r/>
      <w:bookmarkStart w:id="199" w:name="_Toc14782"/>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bookmarkEnd w:id="199"/>
      <w:r>
        <w:rPr>
          <w:rFonts w:hint="eastAsia" w:ascii="宋体" w:hAnsi="宋体"/>
          <w:bCs/>
          <w:color w:val="000000"/>
          <w:sz w:val="24"/>
          <w:szCs w:val="21"/>
          <w:highlight w:val="none"/>
        </w:rPr>
      </w:r>
      <w:r/>
    </w:p>
    <w:p>
      <w:pPr>
        <w:pStyle w:val="925"/>
        <w:ind w:firstLine="480"/>
        <w:keepLines/>
        <w:keepNext/>
        <w:spacing w:before="156" w:after="156" w:line="400" w:lineRule="exact"/>
        <w:rPr>
          <w:rFonts w:hint="eastAsia"/>
          <w:b/>
          <w:bCs/>
          <w:color w:val="000000"/>
          <w:sz w:val="32"/>
          <w:szCs w:val="32"/>
          <w:highlight w:val="none"/>
        </w:rPr>
        <w:outlineLvl w:val="0"/>
      </w:pPr>
      <w:r/>
      <w:bookmarkStart w:id="200" w:name="_Toc120614218"/>
      <w:r/>
      <w:bookmarkStart w:id="201" w:name="_Toc25243"/>
      <w:r/>
      <w:bookmarkStart w:id="202" w:name="_Toc513029229"/>
      <w:r/>
      <w:bookmarkStart w:id="203" w:name="_Toc16938545"/>
      <w:r/>
      <w:bookmarkStart w:id="204" w:name="_Toc12886"/>
      <w:r/>
      <w:bookmarkStart w:id="205" w:name="_Toc20823301"/>
      <w:r/>
      <w:bookmarkStart w:id="206" w:name="_Toc23207"/>
      <w:r>
        <w:rPr>
          <w:rFonts w:hint="eastAsia"/>
          <w:b/>
          <w:bCs/>
          <w:color w:val="000000"/>
          <w:sz w:val="32"/>
          <w:szCs w:val="32"/>
          <w:highlight w:val="none"/>
        </w:rPr>
        <w:t xml:space="preserve">五、开标与评标</w:t>
      </w:r>
      <w:bookmarkEnd w:id="200"/>
      <w:r/>
      <w:bookmarkEnd w:id="201"/>
      <w:r/>
      <w:bookmarkEnd w:id="202"/>
      <w:r/>
      <w:bookmarkEnd w:id="203"/>
      <w:r/>
      <w:bookmarkEnd w:id="204"/>
      <w:r/>
      <w:bookmarkEnd w:id="205"/>
      <w:r/>
      <w:bookmarkEnd w:id="206"/>
      <w:r>
        <w:rPr>
          <w:rFonts w:hint="eastAsia"/>
          <w:b/>
          <w:bCs/>
          <w:color w:val="000000"/>
          <w:sz w:val="32"/>
          <w:szCs w:val="32"/>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207" w:name="_Toc20823302"/>
      <w:r/>
      <w:bookmarkStart w:id="208" w:name="_Toc16938546"/>
      <w:r/>
      <w:bookmarkStart w:id="209" w:name="_Toc513029230"/>
      <w:r/>
      <w:bookmarkStart w:id="210" w:name="_Toc4469"/>
      <w:r>
        <w:rPr>
          <w:rFonts w:hint="eastAsia" w:ascii="Arial" w:hAnsi="Arial" w:eastAsia="黑体" w:cs="Arial"/>
          <w:color w:val="000000"/>
          <w:sz w:val="28"/>
          <w:szCs w:val="28"/>
          <w:highlight w:val="none"/>
        </w:rPr>
        <w:t xml:space="preserve">21、开标</w:t>
      </w:r>
      <w:bookmarkEnd w:id="207"/>
      <w:r/>
      <w:bookmarkEnd w:id="208"/>
      <w:r/>
      <w:bookmarkEnd w:id="209"/>
      <w:r/>
      <w:bookmarkEnd w:id="210"/>
      <w:r>
        <w:rPr>
          <w:rFonts w:hint="eastAsia" w:ascii="Arial" w:hAnsi="Arial" w:eastAsia="黑体" w:cs="Arial"/>
          <w:color w:val="000000"/>
          <w:sz w:val="28"/>
          <w:szCs w:val="28"/>
          <w:highlight w:val="none"/>
        </w:rPr>
      </w:r>
      <w:r/>
    </w:p>
    <w:p>
      <w:pPr>
        <w:pStyle w:val="925"/>
        <w:ind w:firstLine="480"/>
        <w:spacing w:line="4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lang w:eastAsia="zh-CN"/>
        </w:rPr>
        <w:t xml:space="preserve">采购人或代理机构</w:t>
      </w:r>
      <w:r>
        <w:rPr>
          <w:rFonts w:hint="eastAsia" w:ascii="宋体" w:hAnsi="宋体"/>
          <w:bCs/>
          <w:sz w:val="24"/>
          <w:szCs w:val="21"/>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szCs w:val="21"/>
          <w:highlight w:val="none"/>
        </w:rPr>
      </w:r>
      <w:r/>
    </w:p>
    <w:p>
      <w:pPr>
        <w:pStyle w:val="925"/>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w:t>
      </w:r>
      <w:r>
        <w:rPr>
          <w:rFonts w:hint="eastAsia" w:ascii="宋体" w:hAnsi="宋体"/>
          <w:sz w:val="24"/>
          <w:szCs w:val="24"/>
          <w:highlight w:val="none"/>
          <w:lang w:eastAsia="zh-CN"/>
        </w:rPr>
        <w:t xml:space="preserve">采购人或代理机构</w:t>
      </w:r>
      <w:r>
        <w:rPr>
          <w:rFonts w:hint="eastAsia" w:ascii="宋体" w:hAnsi="宋体"/>
          <w:sz w:val="24"/>
          <w:szCs w:val="24"/>
          <w:highlight w:val="none"/>
        </w:rPr>
        <w:t xml:space="preserve">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rPr>
          <w:rFonts w:hint="eastAsia" w:ascii="宋体" w:hAnsi="宋体"/>
          <w:sz w:val="24"/>
          <w:szCs w:val="24"/>
          <w:highlight w:val="none"/>
        </w:rPr>
      </w:r>
      <w:r/>
    </w:p>
    <w:p>
      <w:pPr>
        <w:pStyle w:val="925"/>
        <w:ind w:firstLine="480"/>
        <w:spacing w:line="400" w:lineRule="exact"/>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925"/>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highlight w:val="none"/>
        </w:rPr>
      </w:r>
      <w:r/>
    </w:p>
    <w:p>
      <w:pPr>
        <w:pStyle w:val="925"/>
        <w:ind w:firstLine="420"/>
        <w:keepLines/>
        <w:keepNext/>
        <w:spacing w:line="400" w:lineRule="exact"/>
        <w:rPr>
          <w:rFonts w:hint="eastAsia" w:ascii="Arial" w:hAnsi="Arial" w:eastAsia="黑体" w:cs="Arial"/>
          <w:sz w:val="28"/>
          <w:szCs w:val="28"/>
          <w:highlight w:val="none"/>
        </w:rPr>
        <w:outlineLvl w:val="1"/>
      </w:pPr>
      <w:r/>
      <w:bookmarkStart w:id="211" w:name="_Toc25363"/>
      <w:r/>
      <w:bookmarkStart w:id="212" w:name="_Toc20823303"/>
      <w:r/>
      <w:bookmarkStart w:id="213" w:name="_Toc16938547"/>
      <w:r/>
      <w:bookmarkStart w:id="214"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bookmarkEnd w:id="211"/>
      <w:r>
        <w:rPr>
          <w:rFonts w:hint="eastAsia" w:ascii="Arial" w:hAnsi="Arial" w:eastAsia="黑体" w:cs="Arial"/>
          <w:sz w:val="28"/>
          <w:szCs w:val="28"/>
          <w:highlight w:val="none"/>
        </w:rPr>
      </w:r>
      <w:r/>
    </w:p>
    <w:p>
      <w:pPr>
        <w:pStyle w:val="925"/>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925"/>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.2评委会由采购人代表和有关技术、经济等方面的专家组成，且人员构成符合政府采购有关规定。</w:t>
      </w:r>
      <w:r>
        <w:rPr>
          <w:rFonts w:hint="eastAsia" w:ascii="宋体" w:hAnsi="宋体"/>
          <w:color w:val="000000"/>
          <w:sz w:val="24"/>
          <w:szCs w:val="24"/>
          <w:highlight w:val="none"/>
        </w:rPr>
      </w:r>
      <w:r/>
    </w:p>
    <w:p>
      <w:pPr>
        <w:pStyle w:val="925"/>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5"/>
        <w:ind w:firstLine="420"/>
        <w:keepLines/>
        <w:keepNext/>
        <w:spacing w:line="400" w:lineRule="exact"/>
        <w:rPr>
          <w:rFonts w:hint="eastAsia" w:ascii="黑体" w:hAnsi="Arial" w:eastAsia="黑体" w:cs="Arial"/>
          <w:color w:val="000000"/>
          <w:sz w:val="28"/>
          <w:szCs w:val="28"/>
          <w:highlight w:val="none"/>
        </w:rPr>
        <w:outlineLvl w:val="1"/>
      </w:pPr>
      <w:r/>
      <w:bookmarkStart w:id="215" w:name="_Toc1076"/>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215"/>
      <w:r>
        <w:rPr>
          <w:rFonts w:hint="eastAsia" w:ascii="黑体" w:hAnsi="Arial" w:eastAsia="黑体" w:cs="Arial"/>
          <w:color w:val="000000"/>
          <w:sz w:val="28"/>
          <w:szCs w:val="28"/>
          <w:highlight w:val="none"/>
        </w:rPr>
      </w:r>
      <w:r/>
    </w:p>
    <w:p>
      <w:pPr>
        <w:pStyle w:val="925"/>
        <w:ind w:firstLine="480"/>
        <w:spacing w:line="400" w:lineRule="exact"/>
        <w:rPr>
          <w:rFonts w:hint="eastAsia" w:ascii="宋体" w:hAnsi="宋体"/>
          <w:bCs/>
          <w:color w:val="000000"/>
          <w:sz w:val="24"/>
          <w:szCs w:val="21"/>
          <w:highlight w:val="none"/>
        </w:rPr>
      </w:pPr>
      <w:r/>
      <w:bookmarkEnd w:id="212"/>
      <w:r/>
      <w:bookmarkEnd w:id="213"/>
      <w:r/>
      <w:bookmarkEnd w:id="214"/>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925"/>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216" w:name="_Toc30221"/>
      <w:r/>
      <w:bookmarkStart w:id="217" w:name="_Toc20823304"/>
      <w:r/>
      <w:bookmarkStart w:id="218" w:name="_Toc513029232"/>
      <w:r/>
      <w:bookmarkStart w:id="219"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216"/>
      <w:r/>
      <w:bookmarkEnd w:id="217"/>
      <w:r/>
      <w:bookmarkEnd w:id="218"/>
      <w:r/>
      <w:bookmarkEnd w:id="219"/>
      <w:r>
        <w:rPr>
          <w:rFonts w:hint="eastAsia" w:ascii="Arial" w:hAnsi="Arial" w:eastAsia="黑体" w:cs="Arial"/>
          <w:color w:val="000000"/>
          <w:sz w:val="28"/>
          <w:szCs w:val="28"/>
          <w:highlight w:val="none"/>
        </w:rPr>
      </w:r>
      <w:r/>
    </w:p>
    <w:p>
      <w:pPr>
        <w:pStyle w:val="925"/>
        <w:ind w:firstLine="480"/>
        <w:spacing w:line="400" w:lineRule="exact"/>
        <w:rPr>
          <w:rFonts w:ascii="宋体" w:hAnsi="宋体"/>
          <w:color w:val="000000"/>
          <w:sz w:val="24"/>
          <w:szCs w:val="24"/>
          <w:highlight w:val="none"/>
        </w:rPr>
      </w:pPr>
      <w:r/>
      <w:bookmarkStart w:id="220" w:name="_Toc20823305"/>
      <w:r/>
      <w:bookmarkStart w:id="221" w:name="_Toc16938549"/>
      <w:r/>
      <w:bookmarkStart w:id="222"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.3接到评委会澄清、说明和补正要求的投标人如未按规定</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rPr>
          <w:rFonts w:hint="eastAsia" w:ascii="宋体" w:hAnsi="宋体"/>
          <w:color w:val="000000"/>
          <w:sz w:val="24"/>
          <w:szCs w:val="24"/>
          <w:highlight w:val="none"/>
        </w:rPr>
      </w:r>
      <w:r/>
    </w:p>
    <w:p>
      <w:pPr>
        <w:pStyle w:val="925"/>
        <w:ind w:firstLine="420"/>
        <w:keepLines/>
        <w:keepNext/>
        <w:spacing w:line="400" w:lineRule="exact"/>
        <w:rPr>
          <w:rFonts w:hint="eastAsia" w:ascii="Arial" w:hAnsi="Arial" w:eastAsia="黑体" w:cs="Arial"/>
          <w:color w:val="000000"/>
          <w:sz w:val="28"/>
          <w:szCs w:val="28"/>
          <w:highlight w:val="none"/>
        </w:rPr>
        <w:outlineLvl w:val="1"/>
      </w:pPr>
      <w:r/>
      <w:bookmarkStart w:id="223" w:name="_Toc697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220"/>
      <w:r/>
      <w:bookmarkEnd w:id="221"/>
      <w:r/>
      <w:bookmarkEnd w:id="222"/>
      <w:r/>
      <w:bookmarkEnd w:id="223"/>
      <w:r>
        <w:rPr>
          <w:rFonts w:hint="eastAsia" w:ascii="Arial" w:hAnsi="Arial" w:eastAsia="黑体" w:cs="Arial"/>
          <w:color w:val="000000"/>
          <w:sz w:val="28"/>
          <w:szCs w:val="28"/>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25"/>
        <w:ind w:firstLine="480"/>
        <w:spacing w:line="400" w:lineRule="exact"/>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.1.3未通过资格审查或符合性审查的投标人，</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w:t>
      </w:r>
      <w:r>
        <w:rPr>
          <w:rFonts w:hint="eastAsia" w:ascii="宋体" w:hAnsi="宋体"/>
          <w:bCs/>
          <w:sz w:val="24"/>
          <w:szCs w:val="21"/>
          <w:highlight w:val="none"/>
          <w:lang w:eastAsia="zh-CN"/>
        </w:rPr>
        <w:t xml:space="preserve">采购人或代理机构</w:t>
      </w:r>
      <w:r>
        <w:rPr>
          <w:rFonts w:hint="eastAsia" w:ascii="宋体" w:hAnsi="宋体"/>
          <w:bCs/>
          <w:sz w:val="24"/>
          <w:szCs w:val="21"/>
          <w:highlight w:val="none"/>
        </w:rPr>
        <w:t xml:space="preserve">将不再告知未通过资格审查或符合性审查的原因。</w:t>
      </w:r>
      <w:r>
        <w:rPr>
          <w:rFonts w:hint="eastAsia" w:ascii="宋体" w:hAnsi="宋体"/>
          <w:bCs/>
          <w:sz w:val="24"/>
          <w:szCs w:val="21"/>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25"/>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925"/>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25"/>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25"/>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925"/>
        <w:ind w:firstLine="480"/>
        <w:spacing w:line="400" w:lineRule="exact"/>
        <w:rPr>
          <w:rFonts w:ascii="宋体" w:hAnsi="宋体"/>
          <w:color w:val="000000"/>
          <w:sz w:val="24"/>
          <w:szCs w:val="21"/>
          <w:highlight w:val="none"/>
        </w:rPr>
      </w:pPr>
      <w:r/>
      <w:bookmarkStart w:id="224" w:name="_Toc16938550"/>
      <w:r/>
      <w:bookmarkStart w:id="225" w:name="_Toc20823306"/>
      <w:r/>
      <w:bookmarkStart w:id="226"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25"/>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25"/>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25"/>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w:t>
      </w:r>
      <w:r>
        <w:rPr>
          <w:rFonts w:hint="eastAsia" w:ascii="宋体" w:hAnsi="宋体"/>
          <w:sz w:val="24"/>
          <w:szCs w:val="21"/>
          <w:highlight w:val="none"/>
          <w:lang w:eastAsia="zh-CN"/>
        </w:rPr>
        <w:t xml:space="preserve">采购人或代理机构</w:t>
      </w:r>
      <w:r>
        <w:rPr>
          <w:rFonts w:hint="eastAsia" w:ascii="宋体" w:hAnsi="宋体"/>
          <w:sz w:val="24"/>
          <w:szCs w:val="21"/>
          <w:highlight w:val="none"/>
        </w:rPr>
        <w:t xml:space="preserve">及评标委员会联系。</w:t>
      </w:r>
      <w:r>
        <w:rPr>
          <w:rFonts w:ascii="宋体" w:hAnsi="宋体"/>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25.8 异常低价投标审查</w:t>
      </w:r>
      <w:r>
        <w:rPr>
          <w:rFonts w:hint="eastAsia" w:ascii="宋体" w:hAnsi="宋体"/>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25.8.1评标过程中出现下列情形之一的，评标委员会应当启动异常低价投标审查程序：</w:t>
      </w:r>
      <w:r>
        <w:rPr>
          <w:rFonts w:hint="eastAsia" w:ascii="宋体" w:hAnsi="宋体"/>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lang w:eastAsia="zh-CN"/>
        </w:rPr>
        <w:t xml:space="preserve">（</w:t>
      </w:r>
      <w:r>
        <w:rPr>
          <w:rFonts w:hint="eastAsia" w:ascii="宋体" w:hAnsi="宋体"/>
          <w:sz w:val="24"/>
          <w:szCs w:val="21"/>
          <w:highlight w:val="none"/>
        </w:rPr>
        <w:t xml:space="preserve">1</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报价低于全部通过符合性审查供应商投标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报价平均值50%的，即投标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报价&lt;全部通过符合性审查供应商投标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报价平均值×50%；</w:t>
      </w:r>
      <w:r>
        <w:rPr>
          <w:rFonts w:hint="eastAsia" w:ascii="宋体" w:hAnsi="宋体"/>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lang w:eastAsia="zh-CN"/>
        </w:rPr>
        <w:t xml:space="preserve">（</w:t>
      </w:r>
      <w:r>
        <w:rPr>
          <w:rFonts w:hint="eastAsia" w:ascii="宋体" w:hAnsi="宋体"/>
          <w:sz w:val="24"/>
          <w:szCs w:val="21"/>
          <w:highlight w:val="none"/>
        </w:rPr>
        <w:t xml:space="preserve">2</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报价低于通过符合性审查的次低报价供应商投标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报价50%的，即投标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报价&lt;通过符合性审查的次低报价供应商投标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报价×50%；</w:t>
      </w:r>
      <w:r>
        <w:rPr>
          <w:rFonts w:hint="eastAsia" w:ascii="宋体" w:hAnsi="宋体"/>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lang w:eastAsia="zh-CN"/>
        </w:rPr>
        <w:t xml:space="preserve">（</w:t>
      </w:r>
      <w:r>
        <w:rPr>
          <w:rFonts w:hint="eastAsia" w:ascii="宋体" w:hAnsi="宋体"/>
          <w:sz w:val="24"/>
          <w:szCs w:val="21"/>
          <w:highlight w:val="none"/>
        </w:rPr>
        <w:t xml:space="preserve">3</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报价低于采购项目最高限价45%的，即投标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报价&lt;采购项目最高限价×45%。</w:t>
      </w:r>
      <w:r>
        <w:rPr>
          <w:rFonts w:hint="eastAsia" w:ascii="宋体" w:hAnsi="宋体"/>
          <w:sz w:val="24"/>
          <w:szCs w:val="21"/>
          <w:highlight w:val="none"/>
        </w:rPr>
      </w:r>
      <w:r/>
    </w:p>
    <w:p>
      <w:pPr>
        <w:pStyle w:val="925"/>
        <w:ind w:firstLine="420"/>
        <w:spacing w:line="400" w:lineRule="exact"/>
        <w:rPr>
          <w:rFonts w:hint="eastAsia" w:ascii="宋体" w:hAnsi="宋体"/>
          <w:sz w:val="24"/>
          <w:szCs w:val="21"/>
          <w:highlight w:val="none"/>
          <w:lang w:val="en-US" w:eastAsia="zh-CN"/>
        </w:rPr>
      </w:pPr>
      <w:r>
        <w:rPr>
          <w:rFonts w:hint="eastAsia" w:ascii="宋体" w:hAnsi="宋体"/>
          <w:sz w:val="24"/>
          <w:szCs w:val="21"/>
          <w:highlight w:val="none"/>
          <w:lang w:eastAsia="zh-CN"/>
        </w:rPr>
        <w:t xml:space="preserve">（</w:t>
      </w:r>
      <w:r>
        <w:rPr>
          <w:rFonts w:hint="eastAsia" w:ascii="宋体" w:hAnsi="宋体"/>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sz w:val="24"/>
          <w:szCs w:val="21"/>
          <w:highlight w:val="none"/>
          <w:lang w:val="en-US" w:eastAsia="zh-CN"/>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2.评审委员会启动异常低价投标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审查后，属于前述第</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1</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项至第</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4</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项情形的，应当要求相关供应商在评审现场合理的时间内对投标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文件一并提交相关书面说明及必要的证明材料的，在评审现场可不再重复提交。</w:t>
      </w:r>
      <w:r>
        <w:rPr>
          <w:rFonts w:hint="eastAsia" w:ascii="宋体" w:hAnsi="宋体"/>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评审委员会依据专业经验，参考同类项目中标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成交</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价格、类似产品市场价格水平、行业人工费用标准、国家有关部门指导行业协会发布的行业平均成本等情况，对报价合理性进行判断。投标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供应商不能提供书面说明、证明材料，或者提供的书面说明、证明材料不能证明其报价合理性的，评审委员会应当将其作为无效投标</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响应</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处理。</w:t>
      </w:r>
      <w:r>
        <w:rPr>
          <w:rFonts w:hint="eastAsia" w:ascii="宋体" w:hAnsi="宋体"/>
          <w:sz w:val="24"/>
          <w:szCs w:val="21"/>
          <w:highlight w:val="none"/>
        </w:rPr>
      </w:r>
      <w:r/>
    </w:p>
    <w:p>
      <w:pPr>
        <w:pStyle w:val="925"/>
        <w:ind w:firstLine="420"/>
        <w:keepLines/>
        <w:keepNext/>
        <w:spacing w:line="400" w:lineRule="exact"/>
        <w:rPr>
          <w:rFonts w:hint="eastAsia" w:ascii="Arial" w:hAnsi="Arial" w:eastAsia="黑体" w:cs="Arial"/>
          <w:sz w:val="28"/>
          <w:szCs w:val="28"/>
          <w:highlight w:val="none"/>
        </w:rPr>
        <w:outlineLvl w:val="1"/>
      </w:pPr>
      <w:r/>
      <w:bookmarkStart w:id="227" w:name="_Toc310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224"/>
      <w:r/>
      <w:bookmarkEnd w:id="225"/>
      <w:r/>
      <w:bookmarkEnd w:id="226"/>
      <w:r>
        <w:rPr>
          <w:rFonts w:hint="eastAsia" w:ascii="Arial" w:hAnsi="Arial" w:eastAsia="黑体" w:cs="Arial"/>
          <w:sz w:val="28"/>
          <w:szCs w:val="28"/>
          <w:highlight w:val="none"/>
        </w:rPr>
        <w:t xml:space="preserve">无效投标条款和废标条款</w:t>
      </w:r>
      <w:bookmarkEnd w:id="227"/>
      <w:r>
        <w:rPr>
          <w:rFonts w:hint="eastAsia" w:ascii="Arial" w:hAnsi="Arial" w:eastAsia="黑体" w:cs="Arial"/>
          <w:sz w:val="28"/>
          <w:szCs w:val="28"/>
          <w:highlight w:val="none"/>
        </w:rPr>
      </w:r>
      <w:r/>
    </w:p>
    <w:p>
      <w:pPr>
        <w:pStyle w:val="925"/>
        <w:ind w:left="478"/>
        <w:spacing w:line="400" w:lineRule="exact"/>
        <w:rPr>
          <w:rFonts w:hint="eastAsia" w:ascii="宋体" w:hAnsi="宋体"/>
          <w:bCs/>
          <w:sz w:val="24"/>
          <w:szCs w:val="21"/>
          <w:highlight w:val="none"/>
        </w:rPr>
        <w:outlineLvl w:val="2"/>
      </w:pPr>
      <w:r/>
      <w:bookmarkStart w:id="228" w:name="_Toc26102"/>
      <w:r/>
      <w:bookmarkStart w:id="229" w:name="_Toc513029235"/>
      <w:r/>
      <w:bookmarkStart w:id="230" w:name="_Toc16938551"/>
      <w:r/>
      <w:bookmarkStart w:id="231" w:name="_Toc20823307"/>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bookmarkEnd w:id="228"/>
      <w:r>
        <w:rPr>
          <w:rFonts w:hint="eastAsia" w:ascii="宋体" w:hAnsi="宋体"/>
          <w:bCs/>
          <w:sz w:val="24"/>
          <w:szCs w:val="21"/>
          <w:highlight w:val="none"/>
        </w:rPr>
      </w:r>
      <w:r/>
    </w:p>
    <w:p>
      <w:pPr>
        <w:pStyle w:val="925"/>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rPr>
          <w:rFonts w:hint="eastAsia" w:ascii="宋体" w:hAnsi="宋体"/>
          <w:bCs/>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925"/>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25"/>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25"/>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25"/>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i/>
          <w:color w:val="000000"/>
          <w:sz w:val="24"/>
          <w:szCs w:val="21"/>
          <w:highlight w:val="none"/>
          <w:u w:val="singl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投标文件含有采购人不能接受的附加条件的。</w:t>
      </w:r>
      <w:r>
        <w:rPr>
          <w:rFonts w:hint="eastAsia" w:ascii="宋体" w:hAnsi="宋体"/>
          <w:bCs/>
          <w:color w:val="000000"/>
          <w:sz w:val="24"/>
          <w:szCs w:val="21"/>
          <w:highlight w:val="none"/>
        </w:rPr>
      </w:r>
      <w:r/>
    </w:p>
    <w:p>
      <w:pPr>
        <w:pStyle w:val="925"/>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26.1.10评标委员会按照本招标文件规定对投标人进行异常低价投标审查后，认为投标人不能证明其报价合理性的。</w:t>
      </w:r>
      <w:r>
        <w:rPr>
          <w:rFonts w:hint="eastAsia" w:ascii="宋体" w:hAnsi="宋体"/>
          <w:sz w:val="24"/>
          <w:szCs w:val="21"/>
          <w:highlight w:val="none"/>
        </w:rPr>
      </w:r>
      <w:r/>
    </w:p>
    <w:p>
      <w:pPr>
        <w:pStyle w:val="925"/>
        <w:ind w:firstLine="560"/>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t xml:space="preserve">26.1.11如本项目采购产品被财政部、</w:t>
      </w:r>
      <w:r>
        <w:rPr>
          <w:rFonts w:hint="eastAsia" w:ascii="方正魏碑_GBK" w:hAnsi="方正魏碑_GBK" w:eastAsia="方正魏碑_GBK" w:cs="方正魏碑_GBK"/>
          <w:bCs/>
          <w:color w:val="ff0000"/>
          <w:sz w:val="28"/>
          <w:szCs w:val="28"/>
          <w:highlight w:val="none"/>
          <w:lang w:eastAsia="zh-CN"/>
        </w:rPr>
        <w:t xml:space="preserve">国家发展改革委</w:t>
      </w:r>
      <w:r>
        <w:rPr>
          <w:rFonts w:hint="eastAsia" w:ascii="方正魏碑_GBK" w:hAnsi="方正魏碑_GBK" w:eastAsia="方正魏碑_GBK" w:cs="方正魏碑_GBK"/>
          <w:bCs/>
          <w:color w:val="ff0000"/>
          <w:sz w:val="28"/>
          <w:szCs w:val="28"/>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color w:val="ff0000"/>
          <w:sz w:val="28"/>
          <w:szCs w:val="28"/>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投标文件未按照招标文件要求加盖CA电子公章的。</w:t>
      </w:r>
      <w:r>
        <w:rPr>
          <w:rFonts w:hint="eastAsia" w:ascii="宋体" w:hAnsi="宋体"/>
          <w:bCs/>
          <w:color w:val="000000"/>
          <w:sz w:val="24"/>
          <w:szCs w:val="21"/>
          <w:highlight w:val="none"/>
        </w:rPr>
      </w:r>
      <w:r/>
    </w:p>
    <w:p>
      <w:pPr>
        <w:pStyle w:val="925"/>
        <w:ind w:firstLine="480"/>
        <w:spacing w:line="4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26.1.13投标人所投标产品不符合招标文件中所列国家强制性标准的。</w:t>
      </w:r>
      <w:r>
        <w:rPr>
          <w:rFonts w:hint="eastAsia" w:ascii="宋体" w:hAnsi="宋体" w:eastAsia="宋体" w:cs="Times New Roman"/>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w:t>
      </w:r>
      <w:r>
        <w:rPr>
          <w:rFonts w:hint="eastAsia" w:ascii="宋体" w:hAnsi="宋体"/>
          <w:bCs/>
          <w:color w:val="000000"/>
          <w:sz w:val="24"/>
          <w:szCs w:val="21"/>
          <w:highlight w:val="none"/>
          <w:lang w:eastAsia="zh-CN"/>
        </w:rPr>
        <w:t xml:space="preserve">属于</w:t>
      </w:r>
      <w:r>
        <w:rPr>
          <w:rFonts w:hint="eastAsia" w:ascii="宋体" w:hAnsi="宋体"/>
          <w:bCs/>
          <w:color w:val="000000"/>
          <w:sz w:val="24"/>
          <w:szCs w:val="21"/>
          <w:highlight w:val="none"/>
        </w:rPr>
        <w:t xml:space="preserve">无效投标的情形。</w:t>
      </w:r>
      <w:r>
        <w:rPr>
          <w:rFonts w:hint="eastAsia" w:ascii="宋体" w:hAnsi="宋体"/>
          <w:bCs/>
          <w:color w:val="000000"/>
          <w:sz w:val="24"/>
          <w:szCs w:val="21"/>
          <w:highlight w:val="none"/>
        </w:rPr>
      </w:r>
      <w:r/>
    </w:p>
    <w:p>
      <w:pPr>
        <w:pStyle w:val="925"/>
        <w:ind w:left="478"/>
        <w:spacing w:line="400" w:lineRule="exact"/>
        <w:rPr>
          <w:rFonts w:hint="eastAsia" w:ascii="宋体" w:hAnsi="宋体"/>
          <w:bCs/>
          <w:color w:val="000000"/>
          <w:sz w:val="24"/>
          <w:szCs w:val="21"/>
          <w:highlight w:val="none"/>
        </w:rPr>
        <w:outlineLvl w:val="2"/>
      </w:pPr>
      <w:r/>
      <w:bookmarkStart w:id="232" w:name="_Toc10545"/>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w:t>
      </w:r>
      <w:bookmarkEnd w:id="232"/>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25"/>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9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25"/>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25"/>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9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925"/>
        <w:ind w:left="478"/>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rPr>
          <w:rFonts w:ascii="宋体" w:hAnsi="宋体"/>
          <w:bCs/>
          <w:sz w:val="24"/>
          <w:szCs w:val="21"/>
          <w:highlight w:val="none"/>
        </w:rPr>
      </w:r>
      <w:r/>
    </w:p>
    <w:p>
      <w:pPr>
        <w:pStyle w:val="925"/>
        <w:ind w:left="478"/>
        <w:spacing w:line="400" w:lineRule="exact"/>
        <w:rPr>
          <w:rFonts w:hint="eastAsia" w:ascii="宋体" w:hAnsi="宋体"/>
          <w:bCs/>
          <w:color w:val="000000"/>
          <w:sz w:val="24"/>
          <w:szCs w:val="21"/>
          <w:highlight w:val="none"/>
        </w:rPr>
        <w:outlineLvl w:val="2"/>
      </w:pPr>
      <w:r/>
      <w:bookmarkStart w:id="233" w:name="_Toc10974"/>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bookmarkEnd w:id="233"/>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925"/>
        <w:ind w:firstLine="480"/>
        <w:keepLines/>
        <w:keepNext/>
        <w:spacing w:before="156" w:after="156" w:line="400" w:lineRule="exact"/>
        <w:rPr>
          <w:rFonts w:hint="eastAsia"/>
          <w:b/>
          <w:bCs/>
          <w:color w:val="000000"/>
          <w:sz w:val="32"/>
          <w:szCs w:val="32"/>
          <w:highlight w:val="none"/>
        </w:rPr>
        <w:outlineLvl w:val="0"/>
      </w:pPr>
      <w:r/>
      <w:bookmarkStart w:id="234" w:name="_Toc19308"/>
      <w:r/>
      <w:bookmarkStart w:id="235" w:name="_Toc120614219"/>
      <w:r/>
      <w:bookmarkStart w:id="236" w:name="_Toc18530"/>
      <w:r/>
      <w:bookmarkStart w:id="237" w:name="_Toc17941"/>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4"/>
      <w:r/>
      <w:bookmarkEnd w:id="235"/>
      <w:r/>
      <w:bookmarkEnd w:id="236"/>
      <w:r/>
      <w:bookmarkEnd w:id="237"/>
      <w:r>
        <w:rPr>
          <w:rFonts w:hint="eastAsia"/>
          <w:b/>
          <w:bCs/>
          <w:color w:val="000000"/>
          <w:sz w:val="32"/>
          <w:szCs w:val="32"/>
          <w:highlight w:val="none"/>
        </w:rPr>
      </w:r>
      <w:r/>
    </w:p>
    <w:p>
      <w:pPr>
        <w:pStyle w:val="925"/>
        <w:ind w:firstLine="600"/>
        <w:keepLines/>
        <w:keepNext/>
        <w:spacing w:line="400" w:lineRule="exact"/>
        <w:rPr>
          <w:rFonts w:hint="eastAsia" w:ascii="黑体" w:hAnsi="宋体" w:eastAsia="黑体"/>
          <w:bCs/>
          <w:color w:val="000000"/>
          <w:sz w:val="30"/>
          <w:szCs w:val="30"/>
          <w:highlight w:val="none"/>
        </w:rPr>
        <w:outlineLvl w:val="1"/>
      </w:pPr>
      <w:r/>
      <w:bookmarkStart w:id="238" w:name="_Toc513029238"/>
      <w:r/>
      <w:bookmarkStart w:id="239" w:name="_Toc20823310"/>
      <w:r/>
      <w:bookmarkStart w:id="240" w:name="_Toc16938554"/>
      <w:r/>
      <w:bookmarkStart w:id="241" w:name="_Toc8689"/>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238"/>
      <w:r>
        <w:rPr>
          <w:rFonts w:hint="eastAsia" w:ascii="黑体" w:hAnsi="宋体" w:eastAsia="黑体"/>
          <w:bCs/>
          <w:color w:val="000000"/>
          <w:sz w:val="30"/>
          <w:szCs w:val="30"/>
          <w:highlight w:val="none"/>
        </w:rPr>
        <w:t xml:space="preserve">确定</w:t>
      </w:r>
      <w:bookmarkEnd w:id="239"/>
      <w:r/>
      <w:bookmarkEnd w:id="240"/>
      <w:r>
        <w:rPr>
          <w:rFonts w:hint="eastAsia" w:ascii="黑体" w:hAnsi="宋体" w:eastAsia="黑体"/>
          <w:bCs/>
          <w:color w:val="000000"/>
          <w:sz w:val="30"/>
          <w:szCs w:val="30"/>
          <w:highlight w:val="none"/>
        </w:rPr>
        <w:t xml:space="preserve">中标单位</w:t>
      </w:r>
      <w:bookmarkEnd w:id="241"/>
      <w:r>
        <w:rPr>
          <w:rFonts w:hint="eastAsia" w:ascii="黑体" w:hAnsi="宋体" w:eastAsia="黑体"/>
          <w:bCs/>
          <w:color w:val="000000"/>
          <w:sz w:val="30"/>
          <w:szCs w:val="30"/>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9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27.2采购人应根据评委会推荐的中标候选人确定中标供应商。</w:t>
      </w:r>
      <w:r>
        <w:rPr>
          <w:rFonts w:hint="eastAsia" w:ascii="宋体" w:hAnsi="宋体"/>
          <w:bCs/>
          <w:color w:val="000000"/>
          <w:sz w:val="24"/>
          <w:szCs w:val="21"/>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将在“江苏政府采购网”发布中标公告，公告期限为1个工作日。</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27.4若有充分证据证明，中标供应商出现下列情况之一的，一经查实，将被取消中标资格：</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bookmarkStart w:id="24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27.5.3不同投标人的投标文件载明的项目管理成员或者联系人员为同一人。</w:t>
      </w:r>
      <w:r>
        <w:rPr>
          <w:rFonts w:ascii="宋体" w:hAnsi="宋体"/>
          <w:color w:val="000000"/>
          <w:sz w:val="24"/>
          <w:szCs w:val="24"/>
          <w:highlight w:val="none"/>
        </w:rPr>
      </w:r>
      <w:r/>
    </w:p>
    <w:p>
      <w:pPr>
        <w:pStyle w:val="9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25"/>
        <w:ind w:firstLine="600"/>
        <w:keepLines/>
        <w:keepNext/>
        <w:spacing w:line="400" w:lineRule="exact"/>
        <w:rPr>
          <w:rFonts w:hint="eastAsia" w:ascii="黑体" w:hAnsi="宋体" w:eastAsia="黑体"/>
          <w:bCs/>
          <w:color w:val="000000"/>
          <w:sz w:val="30"/>
          <w:szCs w:val="30"/>
          <w:highlight w:val="none"/>
        </w:rPr>
        <w:outlineLvl w:val="1"/>
      </w:pPr>
      <w:r/>
      <w:bookmarkStart w:id="243" w:name="_Toc15108"/>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242"/>
      <w:r/>
      <w:bookmarkEnd w:id="243"/>
      <w:r>
        <w:rPr>
          <w:rFonts w:hint="eastAsia" w:ascii="黑体" w:hAnsi="宋体" w:eastAsia="黑体"/>
          <w:bCs/>
          <w:color w:val="000000"/>
          <w:sz w:val="30"/>
          <w:szCs w:val="30"/>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或采购人提出质疑。上述应知其权益受到损害之日，是指：</w:t>
      </w:r>
      <w:r>
        <w:rPr>
          <w:rFonts w:hint="eastAsia" w:ascii="宋体" w:hAnsi="宋体"/>
          <w:color w:val="000000"/>
          <w:sz w:val="24"/>
          <w:szCs w:val="24"/>
          <w:highlight w:val="none"/>
        </w:rPr>
      </w:r>
      <w:r/>
    </w:p>
    <w:p>
      <w:pPr>
        <w:pStyle w:val="925"/>
        <w:ind w:firstLine="480"/>
        <w:spacing w:line="400" w:lineRule="exact"/>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925"/>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highlight w:val="none"/>
          <w:lang w:eastAsia="zh-CN"/>
        </w:rPr>
        <w:t xml:space="preserve">采购人或代理机构</w:t>
      </w:r>
      <w:r>
        <w:rPr>
          <w:rFonts w:hint="eastAsia" w:hAnsi="宋体" w:cs="宋体"/>
          <w:color w:val="000000"/>
          <w:sz w:val="24"/>
          <w:szCs w:val="24"/>
          <w:highlight w:val="none"/>
        </w:rPr>
        <w:t xml:space="preserve">、</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25"/>
        <w:ind w:firstLine="480"/>
        <w:spacing w:line="40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供应商（含潜在</w:t>
      </w:r>
      <w:r>
        <w:rPr>
          <w:rFonts w:ascii="宋体" w:hAnsi="宋体"/>
          <w:sz w:val="24"/>
          <w:szCs w:val="24"/>
          <w:highlight w:val="none"/>
        </w:rPr>
        <w:t xml:space="preserve">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招标文件中采购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w:t>
      </w:r>
      <w:r>
        <w:rPr>
          <w:rFonts w:hint="eastAsia" w:ascii="宋体" w:hAnsi="宋体"/>
          <w:sz w:val="24"/>
          <w:szCs w:val="24"/>
          <w:highlight w:val="none"/>
          <w:lang w:eastAsia="zh-CN"/>
        </w:rPr>
        <w:t xml:space="preserve">采购人或代理机构</w:t>
      </w:r>
      <w:r>
        <w:rPr>
          <w:rFonts w:ascii="宋体" w:hAnsi="宋体"/>
          <w:sz w:val="24"/>
          <w:szCs w:val="24"/>
          <w:highlight w:val="none"/>
        </w:rPr>
        <w:t xml:space="preserve">提出，由</w:t>
      </w:r>
      <w:r>
        <w:rPr>
          <w:rFonts w:hint="eastAsia" w:ascii="宋体" w:hAnsi="宋体"/>
          <w:sz w:val="24"/>
          <w:szCs w:val="24"/>
          <w:highlight w:val="none"/>
          <w:lang w:eastAsia="zh-CN"/>
        </w:rPr>
        <w:t xml:space="preserve">采购人或代理机构</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ascii="宋体" w:hAnsi="宋体"/>
          <w:b/>
          <w:sz w:val="24"/>
          <w:szCs w:val="24"/>
          <w:highlight w:val="none"/>
        </w:rPr>
      </w:r>
      <w:r/>
    </w:p>
    <w:p>
      <w:pPr>
        <w:pStyle w:val="925"/>
        <w:ind w:firstLine="480"/>
        <w:spacing w:line="400" w:lineRule="exact"/>
        <w:rPr>
          <w:rFonts w:ascii="宋体" w:hAnsi="宋体"/>
          <w:b/>
          <w:sz w:val="24"/>
          <w:szCs w:val="24"/>
          <w:highlight w:val="none"/>
        </w:rPr>
      </w:pPr>
      <w:r>
        <w:rPr>
          <w:rFonts w:hint="eastAsia" w:ascii="宋体" w:hAnsi="宋体"/>
          <w:sz w:val="24"/>
          <w:szCs w:val="24"/>
          <w:highlight w:val="none"/>
        </w:rPr>
        <w:t xml:space="preserve">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rPr>
          <w:rFonts w:ascii="宋体" w:hAnsi="宋体"/>
          <w:b/>
          <w:sz w:val="24"/>
          <w:szCs w:val="24"/>
          <w:highlight w:val="none"/>
        </w:rPr>
      </w:r>
      <w:r/>
    </w:p>
    <w:p>
      <w:pPr>
        <w:pStyle w:val="92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或代理机构</w:t>
      </w:r>
      <w:r>
        <w:rPr>
          <w:rFonts w:hint="eastAsia" w:ascii="宋体" w:hAnsi="宋体"/>
          <w:sz w:val="24"/>
          <w:szCs w:val="24"/>
          <w:highlight w:val="none"/>
        </w:rPr>
        <w:t xml:space="preserve">只接收以纸质原件形式送达的质疑,建议供应商尽量通过邮寄方式提交质疑（采购人</w:t>
      </w:r>
      <w:r>
        <w:rPr>
          <w:rFonts w:hint="eastAsia" w:ascii="宋体" w:hAnsi="宋体"/>
          <w:sz w:val="24"/>
          <w:szCs w:val="24"/>
          <w:highlight w:val="none"/>
          <w:lang w:eastAsia="zh-CN"/>
        </w:rPr>
        <w:t xml:space="preserve">或代理机构</w:t>
      </w:r>
      <w:r>
        <w:rPr>
          <w:rFonts w:hint="eastAsia" w:ascii="宋体" w:hAnsi="宋体"/>
          <w:sz w:val="24"/>
          <w:szCs w:val="24"/>
          <w:highlight w:val="none"/>
        </w:rPr>
        <w:t xml:space="preserve">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rPr>
          <w:rFonts w:hint="eastAsia" w:ascii="宋体" w:hAnsi="宋体"/>
          <w:sz w:val="24"/>
          <w:szCs w:val="24"/>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5.1内容不符合《政府采购质疑和投诉办法》第十二条规定的质疑。</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5.2超出政府采购法定期限的质疑。</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5.3以传真、电子邮件等方式递交的非原件形式的质疑。</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5.4未参加投标活动的供应商或在投标活动中自身权益未受到损害的供应商所提出的质疑。</w:t>
      </w:r>
      <w:r>
        <w:rPr>
          <w:rFonts w:hint="eastAsia" w:ascii="宋体" w:hAnsi="宋体"/>
          <w:color w:val="000000"/>
          <w:sz w:val="24"/>
          <w:szCs w:val="24"/>
          <w:highlight w:val="none"/>
        </w:rPr>
      </w:r>
      <w:r/>
    </w:p>
    <w:p>
      <w:pPr>
        <w:pStyle w:val="9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925"/>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25"/>
        <w:ind w:firstLine="600"/>
        <w:keepLines/>
        <w:keepNext/>
        <w:spacing w:line="400" w:lineRule="exact"/>
        <w:rPr>
          <w:rFonts w:hint="eastAsia" w:ascii="黑体" w:hAnsi="宋体" w:eastAsia="黑体"/>
          <w:bCs/>
          <w:color w:val="000000"/>
          <w:sz w:val="30"/>
          <w:szCs w:val="30"/>
          <w:highlight w:val="none"/>
        </w:rPr>
        <w:outlineLvl w:val="1"/>
      </w:pPr>
      <w:r/>
      <w:bookmarkStart w:id="244" w:name="_Toc2646"/>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bookmarkEnd w:id="244"/>
      <w:r>
        <w:rPr>
          <w:rFonts w:hint="eastAsia" w:ascii="黑体" w:hAnsi="宋体" w:eastAsia="黑体"/>
          <w:bCs/>
          <w:color w:val="000000"/>
          <w:sz w:val="30"/>
          <w:szCs w:val="30"/>
          <w:highlight w:val="none"/>
        </w:rPr>
      </w:r>
      <w:r/>
    </w:p>
    <w:p>
      <w:pPr>
        <w:pStyle w:val="925"/>
        <w:ind w:firstLine="600"/>
        <w:spacing w:line="400" w:lineRule="exact"/>
        <w:rPr>
          <w:rFonts w:hint="eastAsia"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925"/>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925"/>
        <w:keepLines/>
        <w:keepNext/>
        <w:spacing w:before="156" w:after="156" w:line="400" w:lineRule="exact"/>
        <w:rPr>
          <w:rFonts w:hint="eastAsia"/>
          <w:b/>
          <w:bCs/>
          <w:color w:val="000000"/>
          <w:sz w:val="32"/>
          <w:szCs w:val="32"/>
          <w:highlight w:val="none"/>
        </w:rPr>
        <w:outlineLvl w:val="0"/>
      </w:pPr>
      <w:r/>
      <w:bookmarkStart w:id="245" w:name="_Toc13869"/>
      <w:r/>
      <w:bookmarkStart w:id="246" w:name="_Toc20297"/>
      <w:r/>
      <w:bookmarkStart w:id="247" w:name="_Toc120614220"/>
      <w:r/>
      <w:bookmarkStart w:id="248" w:name="_Toc15214"/>
      <w:r/>
      <w:bookmarkStart w:id="249" w:name="_Toc16938552"/>
      <w:r/>
      <w:bookmarkStart w:id="250" w:name="_Toc20823308"/>
      <w:r/>
      <w:bookmarkStart w:id="251" w:name="_Toc513029236"/>
      <w:r>
        <w:rPr>
          <w:rFonts w:hint="eastAsia"/>
          <w:b/>
          <w:bCs/>
          <w:color w:val="000000"/>
          <w:sz w:val="32"/>
          <w:szCs w:val="32"/>
          <w:highlight w:val="none"/>
        </w:rPr>
        <w:t xml:space="preserve">七、授予合同</w:t>
      </w:r>
      <w:bookmarkEnd w:id="245"/>
      <w:r/>
      <w:bookmarkEnd w:id="246"/>
      <w:r/>
      <w:bookmarkEnd w:id="247"/>
      <w:r/>
      <w:bookmarkEnd w:id="248"/>
      <w:r>
        <w:rPr>
          <w:rFonts w:hint="eastAsia"/>
          <w:b/>
          <w:bCs/>
          <w:color w:val="000000"/>
          <w:sz w:val="32"/>
          <w:szCs w:val="32"/>
          <w:highlight w:val="none"/>
        </w:rPr>
      </w:r>
      <w:r/>
    </w:p>
    <w:p>
      <w:pPr>
        <w:pStyle w:val="925"/>
        <w:ind w:firstLine="600"/>
        <w:keepLines/>
        <w:keepNext/>
        <w:spacing w:line="400" w:lineRule="exact"/>
        <w:rPr>
          <w:rFonts w:hint="eastAsia" w:ascii="黑体" w:hAnsi="宋体" w:eastAsia="黑体"/>
          <w:bCs/>
          <w:color w:val="000000"/>
          <w:sz w:val="30"/>
          <w:szCs w:val="30"/>
          <w:highlight w:val="none"/>
        </w:rPr>
        <w:outlineLvl w:val="1"/>
      </w:pPr>
      <w:r/>
      <w:bookmarkEnd w:id="249"/>
      <w:r/>
      <w:bookmarkEnd w:id="250"/>
      <w:r/>
      <w:bookmarkEnd w:id="251"/>
      <w:r/>
      <w:bookmarkStart w:id="252" w:name="_Toc16114"/>
      <w:r/>
      <w:bookmarkStart w:id="253" w:name="_Toc16938553"/>
      <w:r/>
      <w:bookmarkStart w:id="254" w:name="_Toc20823309"/>
      <w:r/>
      <w:bookmarkStart w:id="255"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bookmarkEnd w:id="252"/>
      <w:r>
        <w:rPr>
          <w:rFonts w:hint="eastAsia" w:ascii="黑体" w:hAnsi="宋体" w:eastAsia="黑体"/>
          <w:bCs/>
          <w:color w:val="000000"/>
          <w:sz w:val="30"/>
          <w:szCs w:val="30"/>
          <w:highlight w:val="none"/>
        </w:rPr>
      </w:r>
      <w:r/>
    </w:p>
    <w:p>
      <w:pPr>
        <w:pStyle w:val="925"/>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w:t>
      </w:r>
      <w:r>
        <w:rPr>
          <w:rFonts w:hint="eastAsia" w:ascii="宋体" w:hAnsi="宋体"/>
          <w:color w:val="000000"/>
          <w:sz w:val="24"/>
          <w:szCs w:val="24"/>
          <w:highlight w:val="none"/>
          <w:u w:val="single"/>
        </w:rPr>
        <w:t xml:space="preserve">三十日</w:t>
      </w:r>
      <w:r>
        <w:rPr>
          <w:rFonts w:hint="eastAsia" w:ascii="宋体" w:hAnsi="宋体"/>
          <w:color w:val="000000"/>
          <w:sz w:val="24"/>
          <w:szCs w:val="24"/>
          <w:highlight w:val="none"/>
        </w:rPr>
        <w:t xml:space="preserve">内，按照招标文件确定的事项与采购人签订政府采购合同。</w:t>
      </w:r>
      <w:r>
        <w:rPr>
          <w:rFonts w:hint="eastAsia" w:ascii="宋体" w:hAnsi="宋体"/>
          <w:color w:val="000000"/>
          <w:sz w:val="24"/>
          <w:szCs w:val="24"/>
          <w:highlight w:val="none"/>
        </w:rPr>
      </w:r>
      <w:r/>
    </w:p>
    <w:p>
      <w:pPr>
        <w:pStyle w:val="925"/>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925"/>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925"/>
        <w:ind w:firstLine="600"/>
        <w:keepLines/>
        <w:keepNext/>
        <w:spacing w:line="400" w:lineRule="exact"/>
        <w:rPr>
          <w:rFonts w:hint="eastAsia" w:ascii="黑体" w:hAnsi="宋体" w:eastAsia="黑体" w:cs="Times New Roman"/>
          <w:bCs/>
          <w:color w:val="000000"/>
          <w:sz w:val="30"/>
          <w:szCs w:val="30"/>
          <w:highlight w:val="none"/>
        </w:rPr>
        <w:outlineLvl w:val="1"/>
      </w:pPr>
      <w:r/>
      <w:bookmarkStart w:id="256" w:name="_Toc21556"/>
      <w:r>
        <w:rPr>
          <w:rFonts w:hint="eastAsia" w:ascii="黑体" w:hAnsi="宋体" w:eastAsia="黑体" w:cs="Times New Roman"/>
          <w:bCs/>
          <w:color w:val="000000"/>
          <w:sz w:val="30"/>
          <w:szCs w:val="30"/>
          <w:highlight w:val="none"/>
        </w:rPr>
        <w:t xml:space="preserve">31、货物（包含与货物相关的服务）的追加</w:t>
      </w:r>
      <w:bookmarkEnd w:id="256"/>
      <w:r>
        <w:rPr>
          <w:rFonts w:hint="eastAsia" w:ascii="黑体" w:hAnsi="宋体" w:eastAsia="黑体" w:cs="Times New Roman"/>
          <w:bCs/>
          <w:color w:val="000000"/>
          <w:sz w:val="30"/>
          <w:szCs w:val="30"/>
          <w:highlight w:val="none"/>
        </w:rPr>
      </w:r>
      <w:r/>
    </w:p>
    <w:p>
      <w:pPr>
        <w:pStyle w:val="9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925"/>
        <w:ind w:firstLine="600"/>
        <w:keepLines/>
        <w:keepNext/>
        <w:spacing w:line="400" w:lineRule="exact"/>
        <w:rPr>
          <w:rFonts w:ascii="黑体" w:hAnsi="宋体" w:eastAsia="黑体"/>
          <w:bCs/>
          <w:color w:val="000000"/>
          <w:sz w:val="30"/>
          <w:szCs w:val="30"/>
          <w:highlight w:val="none"/>
        </w:rPr>
        <w:outlineLvl w:val="1"/>
      </w:pPr>
      <w:r/>
      <w:bookmarkEnd w:id="253"/>
      <w:r/>
      <w:bookmarkEnd w:id="254"/>
      <w:r/>
      <w:bookmarkEnd w:id="255"/>
      <w:r/>
      <w:bookmarkStart w:id="257" w:name="_Toc18547"/>
      <w:r/>
      <w:bookmarkStart w:id="258" w:name="_Toc479757207"/>
      <w:r/>
      <w:bookmarkStart w:id="259" w:name="_Toc20823314"/>
      <w:r/>
      <w:bookmarkStart w:id="260" w:name="_Toc16938558"/>
      <w:r/>
      <w:bookmarkStart w:id="261" w:name="_Toc120614221"/>
      <w:r/>
      <w:bookmarkStart w:id="262" w:name="_Toc513029242"/>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bookmarkEnd w:id="257"/>
      <w:r>
        <w:rPr>
          <w:rFonts w:ascii="黑体" w:hAnsi="宋体" w:eastAsia="黑体"/>
          <w:bCs/>
          <w:color w:val="000000"/>
          <w:sz w:val="30"/>
          <w:szCs w:val="30"/>
          <w:highlight w:val="none"/>
        </w:rPr>
      </w:r>
      <w:r/>
    </w:p>
    <w:p>
      <w:pPr>
        <w:pStyle w:val="925"/>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925"/>
        <w:keepLines/>
        <w:keepNext/>
        <w:spacing w:before="156" w:after="156" w:line="400" w:lineRule="exact"/>
        <w:rPr>
          <w:rFonts w:hint="eastAsia" w:ascii="Times New Roman" w:hAnsi="Times New Roman" w:eastAsia="宋体" w:cs="Times New Roman"/>
          <w:b/>
          <w:bCs/>
          <w:color w:val="000000"/>
          <w:sz w:val="32"/>
          <w:szCs w:val="32"/>
          <w:highlight w:val="none"/>
          <w:lang w:val="en-US" w:eastAsia="zh-CN"/>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263" w:name="_Toc21844"/>
      <w:r>
        <w:rPr>
          <w:rFonts w:hint="eastAsia" w:ascii="Times New Roman" w:hAnsi="Times New Roman" w:eastAsia="宋体" w:cs="Times New Roman"/>
          <w:b/>
          <w:bCs/>
          <w:color w:val="000000"/>
          <w:sz w:val="32"/>
          <w:szCs w:val="32"/>
          <w:highlight w:val="none"/>
          <w:lang w:val="en-US" w:eastAsia="zh-CN"/>
        </w:rPr>
      </w:r>
      <w:r/>
    </w:p>
    <w:p>
      <w:pPr>
        <w:pStyle w:val="925"/>
        <w:ind w:firstLine="2640"/>
        <w:jc w:val="left"/>
        <w:keepNext/>
        <w:rPr>
          <w:rFonts w:hint="eastAsia" w:ascii="黑体" w:eastAsia="黑体"/>
          <w:bCs/>
          <w:color w:val="000000"/>
          <w:sz w:val="44"/>
          <w:szCs w:val="28"/>
          <w:highlight w:val="none"/>
        </w:rPr>
        <w:outlineLvl w:val="0"/>
      </w:pPr>
      <w:r/>
      <w:bookmarkStart w:id="264" w:name="_Toc5138"/>
      <w:r>
        <w:rPr>
          <w:rFonts w:hint="eastAsia" w:ascii="黑体" w:eastAsia="黑体"/>
          <w:bCs/>
          <w:color w:val="000000"/>
          <w:sz w:val="44"/>
          <w:szCs w:val="28"/>
          <w:highlight w:val="none"/>
        </w:rPr>
        <w:t xml:space="preserve">第三章  合同</w:t>
      </w:r>
      <w:bookmarkEnd w:id="258"/>
      <w:r/>
      <w:bookmarkEnd w:id="259"/>
      <w:r/>
      <w:bookmarkEnd w:id="260"/>
      <w:r/>
      <w:bookmarkEnd w:id="261"/>
      <w:r/>
      <w:bookmarkEnd w:id="262"/>
      <w:r>
        <w:rPr>
          <w:rFonts w:hint="eastAsia" w:ascii="黑体" w:eastAsia="黑体"/>
          <w:bCs/>
          <w:color w:val="000000"/>
          <w:sz w:val="44"/>
          <w:szCs w:val="28"/>
          <w:highlight w:val="none"/>
        </w:rPr>
        <w:t xml:space="preserve">文本</w:t>
      </w:r>
      <w:bookmarkEnd w:id="263"/>
      <w:r/>
      <w:bookmarkEnd w:id="264"/>
      <w:r>
        <w:rPr>
          <w:rFonts w:hint="eastAsia" w:ascii="黑体" w:eastAsia="黑体"/>
          <w:bCs/>
          <w:color w:val="000000"/>
          <w:sz w:val="44"/>
          <w:szCs w:val="28"/>
          <w:highlight w:val="none"/>
        </w:rPr>
      </w:r>
      <w:r/>
    </w:p>
    <w:p>
      <w:pPr>
        <w:pStyle w:val="925"/>
        <w:jc w:val="center"/>
        <w:pageBreakBefore w:val="0"/>
        <w:spacing w:line="360" w:lineRule="auto"/>
        <w:rPr>
          <w:rFonts w:hint="eastAsia" w:ascii="宋体" w:hAnsi="宋体" w:eastAsia="宋体" w:cs="宋体"/>
          <w:b/>
          <w:bCs/>
          <w:sz w:val="24"/>
          <w:szCs w:val="24"/>
          <w:highlight w:val="none"/>
        </w:rPr>
      </w:pPr>
      <w:r/>
      <w:bookmarkStart w:id="265" w:name="_Toc3995"/>
      <w:r/>
      <w:bookmarkStart w:id="266" w:name="_Toc20823315"/>
      <w:r/>
      <w:bookmarkStart w:id="267" w:name="_Toc16938559"/>
      <w:r/>
      <w:bookmarkStart w:id="268" w:name="_Toc513029243"/>
      <w:r/>
      <w:bookmarkStart w:id="269" w:name="_Hlt16619350"/>
      <w:r/>
      <w:bookmarkStart w:id="270" w:name="_Toc16938590"/>
      <w:r/>
      <w:bookmarkStart w:id="271" w:name="_Toc120614244"/>
      <w:r/>
      <w:bookmarkStart w:id="272" w:name="_Toc20823346"/>
      <w:r/>
      <w:bookmarkStart w:id="273" w:name="_Toc462564139"/>
      <w:r/>
      <w:bookmarkStart w:id="274" w:name="_Toc479757211"/>
      <w:r>
        <w:rPr>
          <w:rFonts w:hint="eastAsia" w:ascii="宋体" w:hAnsi="宋体" w:eastAsia="宋体" w:cs="宋体"/>
          <w:b/>
          <w:bCs/>
          <w:sz w:val="24"/>
          <w:szCs w:val="24"/>
          <w:highlight w:val="none"/>
        </w:rPr>
        <w:t xml:space="preserve">合同条款表</w:t>
      </w:r>
      <w:r>
        <w:rPr>
          <w:rFonts w:hint="eastAsia" w:ascii="宋体" w:hAnsi="宋体" w:eastAsia="宋体" w:cs="宋体"/>
          <w:b/>
          <w:bCs/>
          <w:sz w:val="24"/>
          <w:szCs w:val="24"/>
          <w:highlight w:val="none"/>
        </w:rPr>
      </w:r>
      <w:r/>
    </w:p>
    <w:tbl>
      <w:tblPr>
        <w:tblpPr w:horzAnchor="page" w:tblpX="1199" w:vertAnchor="text" w:tblpY="398" w:leftFromText="180" w:topFromText="0" w:rightFromText="180" w:bottomFromText="0"/>
        <w:tblW w:w="96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8812"/>
      </w:tblGrid>
      <w:tr>
        <w:trPr>
          <w:trHeight w:val="604"/>
          <w:tblHeader/>
        </w:trPr>
        <w:tc>
          <w:tcPr>
            <w:tcW w:w="863" w:type="dxa"/>
            <w:vAlign w:val="center"/>
            <w:textDirection w:val="lrTb"/>
            <w:noWrap w:val="false"/>
          </w:tcPr>
          <w:p>
            <w:pPr>
              <w:pStyle w:val="925"/>
              <w:ind w:right="-11"/>
              <w:jc w:val="center"/>
              <w:pageBreakBefore w:val="0"/>
              <w:spacing w:line="360" w:lineRule="auto"/>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8812" w:type="dxa"/>
            <w:vAlign w:val="center"/>
            <w:textDirection w:val="lrTb"/>
            <w:noWrap w:val="false"/>
          </w:tcPr>
          <w:p>
            <w:pPr>
              <w:pStyle w:val="925"/>
              <w:ind w:right="-11"/>
              <w:jc w:val="center"/>
              <w:pageBreakBefore w:val="0"/>
              <w:spacing w:line="360" w:lineRule="auto"/>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内             容</w:t>
            </w:r>
            <w:r>
              <w:rPr>
                <w:rFonts w:hint="eastAsia" w:ascii="宋体" w:hAnsi="宋体" w:eastAsia="宋体" w:cs="宋体"/>
                <w:sz w:val="24"/>
                <w:szCs w:val="24"/>
                <w:highlight w:val="none"/>
              </w:rPr>
            </w:r>
            <w:r/>
          </w:p>
        </w:tc>
      </w:tr>
      <w:tr>
        <w:trPr>
          <w:trHeight w:val="930"/>
        </w:trPr>
        <w:tc>
          <w:tcPr>
            <w:tcW w:w="863" w:type="dxa"/>
            <w:vAlign w:val="center"/>
            <w:textDirection w:val="lrTb"/>
            <w:noWrap w:val="false"/>
          </w:tcPr>
          <w:p>
            <w:pPr>
              <w:pStyle w:val="925"/>
              <w:ind w:right="-11"/>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8812" w:type="dxa"/>
            <w:vAlign w:val="center"/>
            <w:textDirection w:val="lrTb"/>
            <w:noWrap w:val="false"/>
          </w:tcPr>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买方名称：</w:t>
            </w:r>
            <w:r>
              <w:rPr>
                <w:rFonts w:hint="eastAsia" w:ascii="宋体" w:hAnsi="宋体" w:eastAsia="宋体" w:cs="宋体"/>
                <w:sz w:val="24"/>
                <w:szCs w:val="24"/>
                <w:highlight w:val="none"/>
                <w:lang w:eastAsia="zh-CN"/>
              </w:rPr>
              <w:t xml:space="preserve">泰兴市公安局 </w:t>
            </w:r>
            <w:r>
              <w:rPr>
                <w:rFonts w:hint="eastAsia" w:ascii="宋体" w:hAnsi="宋体" w:eastAsia="宋体" w:cs="宋体"/>
                <w:sz w:val="24"/>
                <w:szCs w:val="24"/>
                <w:highlight w:val="none"/>
              </w:rPr>
              <w:t xml:space="preserve">（签订合同前称招标人）</w:t>
            </w:r>
            <w:r>
              <w:rPr>
                <w:rFonts w:hint="eastAsia" w:ascii="宋体" w:hAnsi="宋体" w:eastAsia="宋体" w:cs="宋体"/>
                <w:sz w:val="24"/>
                <w:szCs w:val="24"/>
                <w:highlight w:val="none"/>
              </w:rPr>
            </w:r>
            <w:r/>
          </w:p>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卖方名称：与买方签订合同协议书的当事人</w:t>
            </w:r>
            <w:r>
              <w:rPr>
                <w:rFonts w:hint="eastAsia" w:ascii="宋体" w:hAnsi="宋体" w:eastAsia="宋体" w:cs="宋体"/>
                <w:sz w:val="24"/>
                <w:szCs w:val="24"/>
                <w:highlight w:val="none"/>
              </w:rPr>
            </w:r>
            <w:r/>
          </w:p>
        </w:tc>
      </w:tr>
      <w:tr>
        <w:trPr>
          <w:trHeight w:val="1234"/>
        </w:trPr>
        <w:tc>
          <w:tcPr>
            <w:tcW w:w="863" w:type="dxa"/>
            <w:vAlign w:val="center"/>
            <w:textDirection w:val="lrTb"/>
            <w:noWrap w:val="false"/>
          </w:tcPr>
          <w:p>
            <w:pPr>
              <w:pStyle w:val="925"/>
              <w:ind w:right="-11"/>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8812" w:type="dxa"/>
            <w:vAlign w:val="center"/>
            <w:textDirection w:val="lrTb"/>
            <w:noWrap w:val="false"/>
          </w:tcPr>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履约保证金金额：合同签订前汇入合同总价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的履约保证金至</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人指定账户</w:t>
            </w:r>
            <w:r>
              <w:rPr>
                <w:rFonts w:hint="eastAsia" w:ascii="宋体" w:hAnsi="宋体" w:eastAsia="宋体" w:cs="宋体"/>
                <w:sz w:val="24"/>
                <w:szCs w:val="24"/>
                <w:highlight w:val="none"/>
              </w:rPr>
            </w:r>
            <w:r/>
          </w:p>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币种：人民币</w:t>
            </w:r>
            <w:r>
              <w:rPr>
                <w:rFonts w:hint="eastAsia" w:ascii="宋体" w:hAnsi="宋体" w:eastAsia="宋体" w:cs="宋体"/>
                <w:sz w:val="24"/>
                <w:szCs w:val="24"/>
                <w:highlight w:val="none"/>
              </w:rPr>
            </w:r>
            <w:r/>
          </w:p>
          <w:p>
            <w:pPr>
              <w:pStyle w:val="925"/>
              <w:ind w:right="-11"/>
              <w:jc w:val="both"/>
              <w:keepLines w:val="0"/>
              <w:keepNext w:val="0"/>
              <w:pageBreakBefore w:val="0"/>
              <w:spacing w:line="400" w:lineRule="exact"/>
              <w:rPr>
                <w:rFonts w:hint="eastAsia" w:ascii="宋体" w:hAnsi="宋体" w:eastAsia="宋体" w:cs="宋体"/>
                <w:bCs/>
                <w:sz w:val="24"/>
                <w:szCs w:val="24"/>
                <w:highlight w:val="none"/>
              </w:rPr>
              <w:framePr w:vAnchor="text" w:hAnchor="page" w:x="1199" w:y="398"/>
            </w:pPr>
            <w:r>
              <w:rPr>
                <w:rFonts w:hint="eastAsia" w:ascii="宋体" w:hAnsi="宋体" w:eastAsia="宋体" w:cs="宋体"/>
                <w:bCs/>
                <w:sz w:val="24"/>
                <w:szCs w:val="24"/>
                <w:highlight w:val="none"/>
              </w:rPr>
              <w:t xml:space="preserve">履约保证金形式：支票、汇票、本票或者金融机构、担保机构出具的保函、保证保险、电子履约保函等非现金形式提交；</w:t>
            </w:r>
            <w:r>
              <w:rPr>
                <w:rFonts w:hint="eastAsia" w:ascii="宋体" w:hAnsi="宋体" w:eastAsia="宋体" w:cs="宋体"/>
                <w:bCs/>
                <w:sz w:val="24"/>
                <w:szCs w:val="24"/>
                <w:highlight w:val="none"/>
              </w:rPr>
            </w:r>
            <w:r/>
          </w:p>
          <w:p>
            <w:pPr>
              <w:pStyle w:val="925"/>
              <w:ind w:right="-11"/>
              <w:jc w:val="both"/>
              <w:keepLines w:val="0"/>
              <w:keepNext w:val="0"/>
              <w:pageBreakBefore w:val="0"/>
              <w:spacing w:line="400" w:lineRule="exact"/>
              <w:rPr>
                <w:rFonts w:hint="eastAsia" w:ascii="宋体" w:hAnsi="宋体" w:eastAsia="宋体" w:cs="宋体"/>
                <w:bCs/>
                <w:sz w:val="24"/>
                <w:szCs w:val="24"/>
                <w:highlight w:val="none"/>
              </w:rPr>
              <w:framePr w:vAnchor="text" w:hAnchor="page" w:x="1199" w:y="398"/>
            </w:pPr>
            <w:r>
              <w:rPr>
                <w:rFonts w:hint="eastAsia" w:ascii="宋体" w:hAnsi="宋体" w:eastAsia="宋体" w:cs="宋体"/>
                <w:b/>
                <w:bCs w:val="0"/>
                <w:sz w:val="24"/>
                <w:szCs w:val="24"/>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rPr>
                <w:rFonts w:hint="eastAsia" w:ascii="宋体" w:hAnsi="宋体" w:eastAsia="宋体" w:cs="宋体"/>
                <w:bCs/>
                <w:sz w:val="24"/>
                <w:szCs w:val="24"/>
                <w:highlight w:val="none"/>
              </w:rPr>
            </w:r>
            <w:r/>
          </w:p>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履约保证金有效期：</w:t>
            </w:r>
            <w:r>
              <w:rPr>
                <w:rFonts w:hint="eastAsia" w:ascii="宋体" w:hAnsi="宋体" w:eastAsia="宋体" w:cs="宋体"/>
                <w:sz w:val="24"/>
                <w:szCs w:val="24"/>
                <w:highlight w:val="none"/>
                <w:lang w:val="zh-CN"/>
              </w:rPr>
              <w:t xml:space="preserve">自提交之日起至项目验收合格止，</w:t>
            </w:r>
            <w:r>
              <w:rPr>
                <w:rFonts w:hint="eastAsia" w:ascii="宋体" w:hAnsi="宋体" w:eastAsia="宋体" w:cs="宋体"/>
                <w:sz w:val="24"/>
                <w:szCs w:val="24"/>
                <w:highlight w:val="none"/>
              </w:rPr>
              <w:t xml:space="preserve">无息退还。</w:t>
            </w:r>
            <w:r>
              <w:rPr>
                <w:rFonts w:hint="eastAsia" w:ascii="宋体" w:hAnsi="宋体" w:eastAsia="宋体" w:cs="宋体"/>
                <w:sz w:val="24"/>
                <w:szCs w:val="24"/>
                <w:highlight w:val="none"/>
              </w:rPr>
            </w:r>
            <w:r/>
          </w:p>
          <w:p>
            <w:pPr>
              <w:pStyle w:val="925"/>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b/>
                <w:bCs/>
                <w:sz w:val="24"/>
                <w:szCs w:val="24"/>
                <w:highlight w:val="none"/>
              </w:rPr>
              <w:t xml:space="preserve">政府采购履约资金扶持政策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中标</w:t>
            </w:r>
            <w:r>
              <w:rPr>
                <w:rFonts w:hint="eastAsia" w:ascii="宋体" w:hAnsi="宋体" w:eastAsia="宋体" w:cs="宋体"/>
                <w:b/>
                <w:bCs/>
                <w:sz w:val="24"/>
                <w:szCs w:val="24"/>
                <w:highlight w:val="none"/>
              </w:rPr>
              <w:t xml:space="preserve">供应商可凭政府采购合同办理融资贷款，详情请见江苏政府采购网“政采贷”专栏。</w:t>
            </w:r>
            <w:r>
              <w:rPr>
                <w:rFonts w:hint="eastAsia" w:ascii="宋体" w:hAnsi="宋体" w:eastAsia="宋体" w:cs="宋体"/>
                <w:sz w:val="24"/>
                <w:szCs w:val="24"/>
                <w:highlight w:val="none"/>
              </w:rPr>
            </w:r>
            <w:r/>
          </w:p>
        </w:tc>
      </w:tr>
      <w:tr>
        <w:trPr>
          <w:trHeight w:val="466"/>
        </w:trPr>
        <w:tc>
          <w:tcPr>
            <w:tcW w:w="863" w:type="dxa"/>
            <w:vAlign w:val="center"/>
            <w:textDirection w:val="lrTb"/>
            <w:noWrap w:val="false"/>
          </w:tcPr>
          <w:p>
            <w:pPr>
              <w:pStyle w:val="925"/>
              <w:ind w:right="-11"/>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8812" w:type="dxa"/>
            <w:vAlign w:val="center"/>
            <w:textDirection w:val="lrTb"/>
            <w:noWrap w:val="false"/>
          </w:tcPr>
          <w:p>
            <w:pPr>
              <w:pStyle w:val="925"/>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val="en-US" w:eastAsia="zh-CN"/>
              </w:rPr>
              <w:t xml:space="preserve">合同签订之日起，90日历天内完成供货安装、调试并交付使用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764"/>
        </w:trPr>
        <w:tc>
          <w:tcPr>
            <w:tcW w:w="863" w:type="dxa"/>
            <w:vAlign w:val="center"/>
            <w:textDirection w:val="lrTb"/>
            <w:noWrap w:val="false"/>
          </w:tcPr>
          <w:p>
            <w:pPr>
              <w:pStyle w:val="925"/>
              <w:ind w:right="-11"/>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8812" w:type="dxa"/>
            <w:vAlign w:val="center"/>
            <w:textDirection w:val="lrTb"/>
            <w:noWrap w:val="false"/>
          </w:tcPr>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卖方应提供的服务：免费咨询、免费培训等卖方提供的所有服务已包括在投标报价中。</w:t>
            </w:r>
            <w:r>
              <w:rPr>
                <w:rFonts w:hint="eastAsia" w:ascii="宋体" w:hAnsi="宋体" w:eastAsia="宋体" w:cs="宋体"/>
                <w:sz w:val="24"/>
                <w:szCs w:val="24"/>
                <w:highlight w:val="none"/>
              </w:rPr>
            </w:r>
            <w:r/>
          </w:p>
        </w:tc>
      </w:tr>
      <w:tr>
        <w:trPr>
          <w:trHeight w:val="585"/>
        </w:trPr>
        <w:tc>
          <w:tcPr>
            <w:tcW w:w="863" w:type="dxa"/>
            <w:vAlign w:val="center"/>
            <w:textDirection w:val="lrTb"/>
            <w:noWrap w:val="false"/>
          </w:tcPr>
          <w:p>
            <w:pPr>
              <w:pStyle w:val="925"/>
              <w:ind w:right="-11"/>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8812" w:type="dxa"/>
            <w:vAlign w:val="center"/>
            <w:textDirection w:val="lrTb"/>
            <w:noWrap w:val="false"/>
          </w:tcPr>
          <w:p>
            <w:pPr>
              <w:pStyle w:val="925"/>
              <w:ind w:right="-11"/>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所有产品安装所需人工、辅材等包含在产品报价中。</w:t>
            </w:r>
            <w:r>
              <w:rPr>
                <w:rFonts w:hint="eastAsia" w:ascii="宋体" w:hAnsi="宋体" w:eastAsia="宋体" w:cs="宋体"/>
                <w:sz w:val="24"/>
                <w:szCs w:val="24"/>
                <w:highlight w:val="none"/>
              </w:rPr>
            </w:r>
            <w:r/>
          </w:p>
        </w:tc>
      </w:tr>
      <w:tr>
        <w:trPr>
          <w:trHeight w:val="565"/>
        </w:trPr>
        <w:tc>
          <w:tcPr>
            <w:tcW w:w="863" w:type="dxa"/>
            <w:vAlign w:val="center"/>
            <w:textDirection w:val="lrTb"/>
            <w:noWrap w:val="false"/>
          </w:tcPr>
          <w:p>
            <w:pPr>
              <w:pStyle w:val="925"/>
              <w:ind w:right="-11"/>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bookmarkStart w:id="275" w:name="_Hlk513629757"/>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812" w:type="dxa"/>
            <w:vAlign w:val="center"/>
            <w:textDirection w:val="lrTb"/>
            <w:noWrap w:val="false"/>
          </w:tcPr>
          <w:p>
            <w:pPr>
              <w:pStyle w:val="925"/>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质保期（自验收合格之日起开始计算）：</w:t>
            </w:r>
            <w:r>
              <w:rPr>
                <w:rFonts w:hint="eastAsia" w:ascii="宋体" w:hAnsi="宋体" w:eastAsia="宋体" w:cs="宋体"/>
                <w:color w:val="0000ff"/>
                <w:sz w:val="24"/>
                <w:szCs w:val="24"/>
                <w:highlight w:val="none"/>
              </w:rPr>
              <w:t xml:space="preserve">质保期</w:t>
            </w:r>
            <w:r>
              <w:rPr>
                <w:rFonts w:hint="eastAsia" w:ascii="宋体" w:hAnsi="宋体" w:eastAsia="宋体" w:cs="宋体"/>
                <w:color w:val="0000ff"/>
                <w:sz w:val="24"/>
                <w:szCs w:val="24"/>
                <w:highlight w:val="none"/>
                <w:lang w:val="en-US" w:eastAsia="zh-CN"/>
              </w:rPr>
              <w:t xml:space="preserve">五</w:t>
            </w:r>
            <w:r>
              <w:rPr>
                <w:rFonts w:hint="eastAsia" w:ascii="宋体" w:hAnsi="宋体" w:eastAsia="宋体" w:cs="宋体"/>
                <w:color w:val="0000ff"/>
                <w:sz w:val="24"/>
                <w:szCs w:val="24"/>
                <w:highlight w:val="none"/>
              </w:rPr>
              <w:t xml:space="preserve">年。</w:t>
            </w:r>
            <w:bookmarkEnd w:id="275"/>
            <w:r>
              <w:rPr>
                <w:rFonts w:hint="eastAsia" w:ascii="宋体" w:hAnsi="宋体" w:eastAsia="宋体" w:cs="宋体"/>
                <w:sz w:val="24"/>
                <w:szCs w:val="24"/>
                <w:highlight w:val="none"/>
              </w:rPr>
            </w:r>
            <w:r/>
          </w:p>
        </w:tc>
      </w:tr>
      <w:tr>
        <w:trPr>
          <w:trHeight w:val="1290"/>
        </w:trPr>
        <w:tc>
          <w:tcPr>
            <w:tcW w:w="863" w:type="dxa"/>
            <w:vAlign w:val="center"/>
            <w:textDirection w:val="lrTb"/>
            <w:noWrap w:val="false"/>
          </w:tcPr>
          <w:p>
            <w:pPr>
              <w:pStyle w:val="925"/>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8812" w:type="dxa"/>
            <w:vAlign w:val="center"/>
            <w:textDirection w:val="lrTb"/>
            <w:noWrap w:val="false"/>
          </w:tcPr>
          <w:p>
            <w:pPr>
              <w:pStyle w:val="925"/>
              <w:jc w:val="both"/>
              <w:keepLines w:val="0"/>
              <w:keepNext w:val="0"/>
              <w:pageBreakBefore w:val="0"/>
              <w:spacing w:line="400" w:lineRule="exact"/>
              <w:widowControl/>
              <w:rPr>
                <w:rFonts w:hint="eastAsia" w:ascii="宋体" w:hAnsi="宋体" w:eastAsia="宋体" w:cs="宋体"/>
                <w:sz w:val="24"/>
                <w:szCs w:val="24"/>
                <w:highlight w:val="none"/>
                <w:lang w:eastAsia="zh-CN"/>
              </w:rPr>
              <w:framePr w:vAnchor="text" w:hAnchor="page" w:x="1199" w:y="398"/>
            </w:pP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eastAsia="zh-CN"/>
              </w:rPr>
              <w:t xml:space="preserve">合同签订后，甲方支付合同总价款的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%作为预付款，</w:t>
            </w:r>
            <w:r>
              <w:rPr>
                <w:rFonts w:hint="eastAsia" w:ascii="宋体" w:hAnsi="宋体" w:eastAsia="宋体" w:cs="宋体"/>
                <w:sz w:val="24"/>
                <w:szCs w:val="24"/>
                <w:highlight w:val="none"/>
                <w:lang w:val="en-US" w:eastAsia="zh-CN"/>
              </w:rPr>
              <w:t xml:space="preserve">主要设备进场且安装验收合格后付至</w:t>
            </w:r>
            <w:r>
              <w:rPr>
                <w:rFonts w:hint="eastAsia" w:ascii="宋体" w:hAnsi="宋体" w:eastAsia="宋体" w:cs="宋体"/>
                <w:sz w:val="24"/>
                <w:szCs w:val="24"/>
                <w:highlight w:val="none"/>
                <w:lang w:eastAsia="zh-CN"/>
              </w:rPr>
              <w:t xml:space="preserve">合同总价款</w:t>
            </w:r>
            <w:r>
              <w:rPr>
                <w:rFonts w:hint="eastAsia" w:ascii="宋体" w:hAnsi="宋体" w:eastAsia="宋体" w:cs="宋体"/>
                <w:sz w:val="24"/>
                <w:szCs w:val="24"/>
                <w:highlight w:val="none"/>
                <w:lang w:val="en-US" w:eastAsia="zh-CN"/>
              </w:rPr>
              <w:t xml:space="preserve">的60%，</w:t>
            </w:r>
            <w:r>
              <w:rPr>
                <w:rFonts w:hint="eastAsia" w:ascii="宋体" w:hAnsi="宋体" w:eastAsia="宋体" w:cs="宋体"/>
                <w:sz w:val="24"/>
                <w:szCs w:val="24"/>
                <w:highlight w:val="none"/>
                <w:lang w:eastAsia="zh-CN"/>
              </w:rPr>
              <w:t xml:space="preserve">财政审核完成后付至审</w:t>
            </w:r>
            <w:r>
              <w:rPr>
                <w:rFonts w:hint="eastAsia" w:ascii="宋体" w:hAnsi="宋体" w:eastAsia="宋体" w:cs="宋体"/>
                <w:sz w:val="24"/>
                <w:szCs w:val="24"/>
                <w:highlight w:val="none"/>
                <w:lang w:val="en-US" w:eastAsia="zh-CN"/>
              </w:rPr>
              <w:t xml:space="preserve">核</w:t>
            </w:r>
            <w:r>
              <w:rPr>
                <w:rFonts w:hint="eastAsia" w:ascii="宋体" w:hAnsi="宋体" w:eastAsia="宋体" w:cs="宋体"/>
                <w:sz w:val="24"/>
                <w:szCs w:val="24"/>
                <w:highlight w:val="none"/>
                <w:lang w:eastAsia="zh-CN"/>
              </w:rPr>
              <w:t xml:space="preserve">价的95%，余款待项目验收合格满五年后付清（所有款项均不计利息）。</w:t>
            </w:r>
            <w:r>
              <w:rPr>
                <w:rFonts w:hint="eastAsia" w:ascii="宋体" w:hAnsi="宋体" w:eastAsia="宋体" w:cs="宋体"/>
                <w:sz w:val="24"/>
                <w:szCs w:val="24"/>
                <w:highlight w:val="none"/>
                <w:lang w:eastAsia="zh-CN"/>
              </w:rPr>
            </w:r>
            <w:r/>
          </w:p>
        </w:tc>
      </w:tr>
      <w:tr>
        <w:trPr>
          <w:trHeight w:val="517"/>
        </w:trPr>
        <w:tc>
          <w:tcPr>
            <w:tcW w:w="863" w:type="dxa"/>
            <w:vAlign w:val="center"/>
            <w:textDirection w:val="lrTb"/>
            <w:noWrap w:val="false"/>
          </w:tcPr>
          <w:p>
            <w:pPr>
              <w:pStyle w:val="925"/>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8812" w:type="dxa"/>
            <w:vAlign w:val="center"/>
            <w:textDirection w:val="lrTb"/>
            <w:noWrap w:val="false"/>
          </w:tcPr>
          <w:p>
            <w:pPr>
              <w:pStyle w:val="925"/>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val="en-US" w:eastAsia="zh-CN"/>
              </w:rPr>
              <w:t xml:space="preserve">形式</w:t>
            </w:r>
            <w:r>
              <w:rPr>
                <w:rFonts w:hint="eastAsia" w:ascii="宋体" w:hAnsi="宋体" w:eastAsia="宋体" w:cs="宋体"/>
                <w:sz w:val="24"/>
                <w:szCs w:val="24"/>
                <w:highlight w:val="none"/>
              </w:rPr>
              <w:t xml:space="preserve">：固定</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778"/>
        </w:trPr>
        <w:tc>
          <w:tcPr>
            <w:tcW w:w="863" w:type="dxa"/>
            <w:vAlign w:val="center"/>
            <w:textDirection w:val="lrTb"/>
            <w:noWrap w:val="false"/>
          </w:tcPr>
          <w:p>
            <w:pPr>
              <w:pStyle w:val="925"/>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8812" w:type="dxa"/>
            <w:vAlign w:val="center"/>
            <w:textDirection w:val="lrTb"/>
            <w:noWrap w:val="false"/>
          </w:tcPr>
          <w:p>
            <w:pPr>
              <w:pStyle w:val="925"/>
              <w:jc w:val="both"/>
              <w:keepLines w:val="0"/>
              <w:keepNext w:val="0"/>
              <w:pageBreakBefore w:val="0"/>
              <w:spacing w:line="400" w:lineRule="exact"/>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中标人不得私自将本项目转包给第三方，否则将作违约处理，招标人有权撤销合同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拒付货款，且中标人还要承担给招标人造成的损失。</w:t>
            </w:r>
            <w:r>
              <w:rPr>
                <w:rFonts w:hint="eastAsia" w:ascii="宋体" w:hAnsi="宋体" w:eastAsia="宋体" w:cs="宋体"/>
                <w:sz w:val="24"/>
                <w:szCs w:val="24"/>
                <w:highlight w:val="none"/>
              </w:rPr>
            </w:r>
            <w:r/>
          </w:p>
        </w:tc>
      </w:tr>
      <w:tr>
        <w:trPr>
          <w:trHeight w:val="517"/>
        </w:trPr>
        <w:tc>
          <w:tcPr>
            <w:tcW w:w="863" w:type="dxa"/>
            <w:vAlign w:val="center"/>
            <w:textDirection w:val="lrTb"/>
            <w:noWrap w:val="false"/>
          </w:tcPr>
          <w:p>
            <w:pPr>
              <w:pStyle w:val="925"/>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1199" w:y="398"/>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8812" w:type="dxa"/>
            <w:vAlign w:val="center"/>
            <w:textDirection w:val="lrTb"/>
            <w:noWrap w:val="false"/>
          </w:tcPr>
          <w:p>
            <w:pPr>
              <w:pStyle w:val="925"/>
              <w:jc w:val="both"/>
              <w:keepLines w:val="0"/>
              <w:keepNext w:val="0"/>
              <w:pageBreakBefore w:val="0"/>
              <w:spacing w:line="400" w:lineRule="exact"/>
              <w:rPr>
                <w:rFonts w:hint="eastAsia" w:ascii="宋体" w:hAnsi="宋体" w:eastAsia="宋体" w:cs="宋体"/>
                <w:sz w:val="24"/>
                <w:szCs w:val="24"/>
                <w:highlight w:val="none"/>
                <w:lang w:eastAsia="zh-CN"/>
              </w:rPr>
              <w:framePr w:vAnchor="text" w:hAnchor="page" w:x="1199" w:y="398"/>
            </w:pPr>
            <w:r>
              <w:rPr>
                <w:rFonts w:hint="eastAsia" w:ascii="宋体" w:hAnsi="宋体" w:eastAsia="宋体" w:cs="宋体"/>
                <w:sz w:val="24"/>
                <w:szCs w:val="24"/>
                <w:highlight w:val="none"/>
              </w:rPr>
              <w:t xml:space="preserve">仲裁所在地：</w:t>
            </w:r>
            <w:r>
              <w:rPr>
                <w:rFonts w:hint="eastAsia" w:ascii="宋体" w:hAnsi="宋体" w:eastAsia="宋体" w:cs="宋体"/>
                <w:sz w:val="24"/>
                <w:szCs w:val="24"/>
                <w:highlight w:val="none"/>
                <w:lang w:val="en-US" w:eastAsia="zh-CN"/>
              </w:rPr>
              <w:t xml:space="preserve">泰兴</w:t>
            </w:r>
            <w:r>
              <w:rPr>
                <w:rFonts w:hint="eastAsia" w:ascii="宋体" w:hAnsi="宋体" w:eastAsia="宋体" w:cs="宋体"/>
                <w:sz w:val="24"/>
                <w:szCs w:val="24"/>
                <w:highlight w:val="none"/>
                <w:lang w:eastAsia="zh-CN"/>
              </w:rPr>
            </w:r>
            <w:r/>
          </w:p>
        </w:tc>
      </w:tr>
    </w:tbl>
    <w:p>
      <w:pPr>
        <w:pStyle w:val="977"/>
        <w:jc w:val="center"/>
        <w:pageBreakBefore w:val="0"/>
        <w:spacing w:before="0" w:after="0" w:line="360" w:lineRule="auto"/>
        <w:tabs>
          <w:tab w:val="right" w:pos="9440" w:leader="dot"/>
        </w:tabs>
        <w:rPr>
          <w:rFonts w:hint="eastAsia" w:ascii="宋体" w:hAnsi="宋体" w:eastAsia="宋体" w:cs="宋体"/>
          <w:b w:val="0"/>
          <w:bCs/>
          <w:caps w:val="0"/>
          <w:sz w:val="24"/>
          <w:szCs w:val="24"/>
          <w:highlight w:val="none"/>
        </w:rPr>
      </w:pPr>
      <w:r>
        <w:rPr>
          <w:rFonts w:hint="eastAsia" w:ascii="宋体" w:hAnsi="宋体" w:eastAsia="宋体" w:cs="宋体"/>
          <w:b w:val="0"/>
          <w:bCs/>
          <w:caps w:val="0"/>
          <w:sz w:val="24"/>
          <w:szCs w:val="24"/>
          <w:highlight w:val="none"/>
        </w:rPr>
      </w:r>
      <w:r/>
    </w:p>
    <w:p>
      <w:pPr>
        <w:pStyle w:val="925"/>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7"/>
        <w:jc w:val="center"/>
        <w:pageBreakBefore w:val="0"/>
        <w:spacing w:before="0" w:after="0" w:line="360" w:lineRule="auto"/>
        <w:tabs>
          <w:tab w:val="right" w:pos="9440" w:leader="dot"/>
        </w:tabs>
        <w:rPr>
          <w:rFonts w:hint="eastAsia" w:ascii="宋体" w:hAnsi="宋体" w:eastAsia="宋体" w:cs="宋体"/>
          <w:b w:val="0"/>
          <w:caps w:val="0"/>
          <w:sz w:val="24"/>
          <w:szCs w:val="24"/>
          <w:highlight w:val="none"/>
        </w:rPr>
      </w:pPr>
      <w:r>
        <w:rPr>
          <w:rFonts w:hint="eastAsia" w:ascii="宋体" w:hAnsi="宋体" w:eastAsia="宋体" w:cs="宋体"/>
          <w:sz w:val="24"/>
          <w:szCs w:val="24"/>
          <w:highlight w:val="none"/>
        </w:rPr>
        <w:t xml:space="preserve">合同</w:t>
      </w:r>
      <w:r>
        <w:rPr>
          <w:rFonts w:hint="eastAsia" w:ascii="宋体" w:hAnsi="宋体" w:eastAsia="宋体" w:cs="宋体"/>
          <w:b w:val="0"/>
          <w:caps w:val="0"/>
          <w:sz w:val="24"/>
          <w:szCs w:val="24"/>
          <w:highlight w:val="none"/>
        </w:rPr>
        <w:t xml:space="preserve">（参考文本）</w:t>
      </w:r>
      <w:r>
        <w:rPr>
          <w:rFonts w:hint="eastAsia" w:ascii="宋体" w:hAnsi="宋体" w:eastAsia="宋体" w:cs="宋体"/>
          <w:b w:val="0"/>
          <w:caps w:val="0"/>
          <w:sz w:val="24"/>
          <w:szCs w:val="24"/>
          <w:highlight w:val="none"/>
        </w:rPr>
      </w:r>
      <w:r/>
    </w:p>
    <w:p>
      <w:pPr>
        <w:pStyle w:val="1013"/>
        <w:ind w:firstLine="3780"/>
        <w:jc w:val="both"/>
        <w:pageBreakBefore w:val="0"/>
        <w:spacing w:before="0"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5"/>
        <w:ind w:left="420" w:hanging="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5"/>
        <w:ind w:left="420" w:hanging="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（以</w:t>
      </w:r>
      <w:r>
        <w:rPr>
          <w:rFonts w:hint="eastAsia" w:ascii="宋体" w:hAnsi="宋体" w:eastAsia="宋体" w:cs="宋体"/>
          <w:sz w:val="24"/>
          <w:szCs w:val="24"/>
          <w:highlight w:val="none"/>
          <w:lang w:eastAsia="zh-CN"/>
        </w:rPr>
        <w:t xml:space="preserve">下简</w:t>
      </w:r>
      <w:r>
        <w:rPr>
          <w:rFonts w:hint="eastAsia" w:ascii="宋体" w:hAnsi="宋体" w:eastAsia="宋体" w:cs="宋体"/>
          <w:sz w:val="24"/>
          <w:szCs w:val="24"/>
          <w:highlight w:val="none"/>
        </w:rPr>
        <w:t xml:space="preserve">称甲方）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rPr>
      </w:r>
      <w:r/>
    </w:p>
    <w:p>
      <w:pPr>
        <w:pStyle w:val="925"/>
        <w:ind w:left="420" w:hanging="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（以</w:t>
      </w:r>
      <w:r>
        <w:rPr>
          <w:rFonts w:hint="eastAsia" w:ascii="宋体" w:hAnsi="宋体" w:eastAsia="宋体" w:cs="宋体"/>
          <w:sz w:val="24"/>
          <w:szCs w:val="24"/>
          <w:highlight w:val="none"/>
          <w:lang w:eastAsia="zh-CN"/>
        </w:rPr>
        <w:t xml:space="preserve">下简</w:t>
      </w:r>
      <w:r>
        <w:rPr>
          <w:rFonts w:hint="eastAsia" w:ascii="宋体" w:hAnsi="宋体" w:eastAsia="宋体" w:cs="宋体"/>
          <w:sz w:val="24"/>
          <w:szCs w:val="24"/>
          <w:highlight w:val="none"/>
        </w:rPr>
        <w:t xml:space="preserve">称乙方）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rPr>
      </w:r>
      <w:r/>
    </w:p>
    <w:p>
      <w:pPr>
        <w:pStyle w:val="925"/>
        <w:ind w:left="420" w:hanging="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（以</w:t>
      </w:r>
      <w:r>
        <w:rPr>
          <w:rFonts w:hint="eastAsia" w:ascii="宋体" w:hAnsi="宋体" w:eastAsia="宋体" w:cs="宋体"/>
          <w:sz w:val="24"/>
          <w:szCs w:val="24"/>
          <w:highlight w:val="none"/>
          <w:lang w:eastAsia="zh-CN"/>
        </w:rPr>
        <w:t xml:space="preserve">下简</w:t>
      </w:r>
      <w:r>
        <w:rPr>
          <w:rFonts w:hint="eastAsia" w:ascii="宋体" w:hAnsi="宋体" w:eastAsia="宋体" w:cs="宋体"/>
          <w:sz w:val="24"/>
          <w:szCs w:val="24"/>
          <w:highlight w:val="none"/>
        </w:rPr>
        <w:t xml:space="preserve">称乙方）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rPr>
      </w:r>
      <w:r/>
    </w:p>
    <w:p>
      <w:pPr>
        <w:pStyle w:val="925"/>
        <w:ind w:left="420" w:hanging="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集建方：泰兴市工程集中建设项目管理有限公司</w:t>
      </w:r>
      <w:r>
        <w:rPr>
          <w:rFonts w:hint="eastAsia" w:ascii="宋体" w:hAnsi="宋体" w:eastAsia="宋体" w:cs="宋体"/>
          <w:sz w:val="24"/>
          <w:szCs w:val="24"/>
          <w:highlight w:val="none"/>
          <w:lang w:val="en-US" w:eastAsia="zh-CN"/>
        </w:rPr>
        <w:t xml:space="preserve">（以下称丙方） </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rPr>
      </w:r>
      <w:r/>
    </w:p>
    <w:p>
      <w:pPr>
        <w:pStyle w:val="1013"/>
        <w:ind w:left="0" w:firstLine="480"/>
        <w:jc w:val="both"/>
        <w:pageBreakBefore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中华人民共和国民法典》等法律法规的规定，甲乙</w:t>
      </w:r>
      <w:r>
        <w:rPr>
          <w:rFonts w:hint="eastAsia" w:ascii="宋体" w:hAnsi="宋体" w:eastAsia="宋体" w:cs="宋体"/>
          <w:sz w:val="24"/>
          <w:szCs w:val="24"/>
          <w:highlight w:val="none"/>
          <w:lang w:val="en-US" w:eastAsia="zh-CN"/>
        </w:rPr>
        <w:t xml:space="preserve">丙三</w:t>
      </w:r>
      <w:r>
        <w:rPr>
          <w:rFonts w:hint="eastAsia" w:ascii="宋体" w:hAnsi="宋体" w:eastAsia="宋体" w:cs="宋体"/>
          <w:sz w:val="24"/>
          <w:szCs w:val="24"/>
          <w:highlight w:val="none"/>
        </w:rPr>
        <w:t xml:space="preserve">方按照项目的招标结果签订本合同。</w:t>
      </w:r>
      <w:r>
        <w:rPr>
          <w:rFonts w:hint="eastAsia" w:ascii="宋体" w:hAnsi="宋体" w:eastAsia="宋体" w:cs="宋体"/>
          <w:sz w:val="24"/>
          <w:szCs w:val="24"/>
          <w:highlight w:val="none"/>
        </w:rPr>
      </w:r>
      <w:r/>
    </w:p>
    <w:p>
      <w:pPr>
        <w:pStyle w:val="925"/>
        <w:ind w:left="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第一条：合同标的</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供货一览表：</w:t>
      </w:r>
      <w:r>
        <w:rPr>
          <w:rFonts w:hint="eastAsia" w:ascii="宋体" w:hAnsi="宋体" w:eastAsia="宋体" w:cs="宋体"/>
          <w:sz w:val="24"/>
          <w:szCs w:val="24"/>
          <w:highlight w:val="none"/>
        </w:rPr>
      </w:r>
      <w:r/>
    </w:p>
    <w:tbl>
      <w:tblPr>
        <w:tblW w:w="82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18"/>
        <w:gridCol w:w="1465"/>
        <w:gridCol w:w="1114"/>
        <w:gridCol w:w="1212"/>
        <w:gridCol w:w="975"/>
        <w:gridCol w:w="852"/>
      </w:tblGrid>
      <w:tr>
        <w:trPr>
          <w:trHeight w:val="872" w:hRule="exact"/>
        </w:trPr>
        <w:tc>
          <w:tcPr>
            <w:tcW w:w="844" w:type="dxa"/>
            <w:vAlign w:val="center"/>
            <w:textDirection w:val="lrTb"/>
            <w:noWrap w:val="false"/>
          </w:tcPr>
          <w:p>
            <w:pPr>
              <w:pStyle w:val="925"/>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1818" w:type="dxa"/>
            <w:vAlign w:val="center"/>
            <w:textDirection w:val="lrTb"/>
            <w:noWrap w:val="false"/>
          </w:tcPr>
          <w:p>
            <w:pPr>
              <w:pStyle w:val="925"/>
              <w:jc w:val="center"/>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rPr>
                <w:rFonts w:hint="eastAsia" w:ascii="宋体" w:hAnsi="宋体" w:eastAsia="宋体" w:cs="宋体"/>
                <w:b/>
                <w:sz w:val="24"/>
                <w:szCs w:val="24"/>
                <w:highlight w:val="none"/>
              </w:rPr>
            </w:r>
            <w:r/>
          </w:p>
        </w:tc>
        <w:tc>
          <w:tcPr>
            <w:tcW w:w="1465" w:type="dxa"/>
            <w:vAlign w:val="center"/>
            <w:textDirection w:val="lrTb"/>
            <w:noWrap w:val="false"/>
          </w:tcPr>
          <w:p>
            <w:pPr>
              <w:pStyle w:val="925"/>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规格型号</w:t>
            </w:r>
            <w:r>
              <w:rPr>
                <w:rFonts w:hint="eastAsia" w:ascii="宋体" w:hAnsi="宋体" w:eastAsia="宋体" w:cs="宋体"/>
                <w:b/>
                <w:sz w:val="24"/>
                <w:szCs w:val="24"/>
                <w:highlight w:val="none"/>
              </w:rPr>
            </w:r>
            <w:r/>
          </w:p>
        </w:tc>
        <w:tc>
          <w:tcPr>
            <w:tcW w:w="1114" w:type="dxa"/>
            <w:vAlign w:val="center"/>
            <w:textDirection w:val="lrTb"/>
            <w:noWrap w:val="false"/>
          </w:tcPr>
          <w:p>
            <w:pPr>
              <w:pStyle w:val="925"/>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tcW w:w="1212" w:type="dxa"/>
            <w:vAlign w:val="center"/>
            <w:textDirection w:val="lrTb"/>
            <w:noWrap w:val="false"/>
          </w:tcPr>
          <w:p>
            <w:pPr>
              <w:pStyle w:val="925"/>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W w:w="975" w:type="dxa"/>
            <w:vAlign w:val="center"/>
            <w:textDirection w:val="lrTb"/>
            <w:noWrap w:val="false"/>
          </w:tcPr>
          <w:p>
            <w:pPr>
              <w:pStyle w:val="925"/>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w:t>
            </w:r>
            <w:r>
              <w:rPr>
                <w:rFonts w:hint="eastAsia" w:ascii="宋体" w:hAnsi="宋体" w:eastAsia="宋体" w:cs="宋体"/>
                <w:b/>
                <w:bCs/>
                <w:sz w:val="24"/>
                <w:szCs w:val="24"/>
                <w:highlight w:val="none"/>
              </w:rPr>
            </w:r>
            <w:r/>
          </w:p>
        </w:tc>
        <w:tc>
          <w:tcPr>
            <w:tcW w:w="852" w:type="dxa"/>
            <w:vAlign w:val="center"/>
            <w:textDirection w:val="lrTb"/>
            <w:noWrap w:val="false"/>
          </w:tcPr>
          <w:p>
            <w:pPr>
              <w:pStyle w:val="925"/>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总价</w:t>
            </w:r>
            <w:r>
              <w:rPr>
                <w:rFonts w:hint="eastAsia" w:ascii="宋体" w:hAnsi="宋体" w:eastAsia="宋体" w:cs="宋体"/>
                <w:b/>
                <w:bCs/>
                <w:sz w:val="24"/>
                <w:szCs w:val="24"/>
                <w:highlight w:val="none"/>
              </w:rPr>
            </w:r>
            <w:r/>
          </w:p>
        </w:tc>
      </w:tr>
      <w:tr>
        <w:trPr>
          <w:trHeight w:val="567" w:hRule="exact"/>
        </w:trPr>
        <w:tc>
          <w:tcPr>
            <w:tcW w:w="844" w:type="dxa"/>
            <w:vAlign w:val="center"/>
            <w:textDirection w:val="lrTb"/>
            <w:noWrap w:val="false"/>
          </w:tcPr>
          <w:p>
            <w:pPr>
              <w:pStyle w:val="925"/>
              <w:ind w:firstLine="21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18"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4" w:type="dxa"/>
            <w:vAlign w:val="center"/>
            <w:textDirection w:val="lrTb"/>
            <w:noWrap w:val="false"/>
          </w:tcPr>
          <w:p>
            <w:pPr>
              <w:pStyle w:val="925"/>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12" w:type="dxa"/>
            <w:vAlign w:val="top"/>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2"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844" w:type="dxa"/>
            <w:vAlign w:val="center"/>
            <w:textDirection w:val="lrTb"/>
            <w:noWrap w:val="false"/>
          </w:tcPr>
          <w:p>
            <w:pPr>
              <w:pStyle w:val="925"/>
              <w:ind w:firstLine="21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818"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4" w:type="dxa"/>
            <w:vAlign w:val="center"/>
            <w:textDirection w:val="lrTb"/>
            <w:noWrap w:val="false"/>
          </w:tcPr>
          <w:p>
            <w:pPr>
              <w:pStyle w:val="925"/>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12" w:type="dxa"/>
            <w:vAlign w:val="top"/>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2"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844" w:type="dxa"/>
            <w:vAlign w:val="center"/>
            <w:textDirection w:val="lrTb"/>
            <w:noWrap w:val="false"/>
          </w:tcPr>
          <w:p>
            <w:pPr>
              <w:pStyle w:val="925"/>
              <w:ind w:firstLine="21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818"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4" w:type="dxa"/>
            <w:vAlign w:val="center"/>
            <w:textDirection w:val="lrTb"/>
            <w:noWrap w:val="false"/>
          </w:tcPr>
          <w:p>
            <w:pPr>
              <w:pStyle w:val="925"/>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12" w:type="dxa"/>
            <w:vAlign w:val="top"/>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2"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844" w:type="dxa"/>
            <w:vAlign w:val="center"/>
            <w:textDirection w:val="lrTb"/>
            <w:noWrap w:val="false"/>
          </w:tcPr>
          <w:p>
            <w:pPr>
              <w:pStyle w:val="925"/>
              <w:ind w:firstLine="21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818"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4" w:type="dxa"/>
            <w:vAlign w:val="center"/>
            <w:textDirection w:val="lrTb"/>
            <w:noWrap w:val="false"/>
          </w:tcPr>
          <w:p>
            <w:pPr>
              <w:pStyle w:val="925"/>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12" w:type="dxa"/>
            <w:vAlign w:val="top"/>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2"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844" w:type="dxa"/>
            <w:vAlign w:val="center"/>
            <w:textDirection w:val="lrTb"/>
            <w:noWrap w:val="false"/>
          </w:tcPr>
          <w:p>
            <w:pPr>
              <w:pStyle w:val="925"/>
              <w:ind w:firstLine="21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818"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dxa"/>
            <w:vAlign w:val="center"/>
            <w:textDirection w:val="lrTb"/>
            <w:noWrap w:val="false"/>
          </w:tcPr>
          <w:p>
            <w:pPr>
              <w:pStyle w:val="925"/>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4" w:type="dxa"/>
            <w:vAlign w:val="center"/>
            <w:textDirection w:val="lrTb"/>
            <w:noWrap w:val="false"/>
          </w:tcPr>
          <w:p>
            <w:pPr>
              <w:pStyle w:val="925"/>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12" w:type="dxa"/>
            <w:vAlign w:val="top"/>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75"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2" w:type="dxa"/>
            <w:vAlign w:val="center"/>
            <w:textDirection w:val="lrTb"/>
            <w:noWrap w:val="false"/>
          </w:tcPr>
          <w:p>
            <w:pPr>
              <w:pStyle w:val="925"/>
              <w:ind w:firstLine="8"/>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25"/>
        <w:ind w:left="420"/>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第二条：合同价款</w:t>
      </w:r>
      <w:r>
        <w:rPr>
          <w:rFonts w:hint="eastAsia" w:ascii="宋体" w:hAnsi="宋体" w:eastAsia="宋体" w:cs="宋体"/>
          <w:sz w:val="24"/>
          <w:szCs w:val="24"/>
          <w:highlight w:val="none"/>
          <w:lang w:val="en-US" w:eastAsia="zh-CN"/>
        </w:rPr>
        <w:t xml:space="preserve">及合同形式</w:t>
      </w:r>
      <w:r>
        <w:rPr>
          <w:rFonts w:hint="eastAsia" w:ascii="宋体" w:hAnsi="宋体" w:eastAsia="宋体" w:cs="宋体"/>
          <w:sz w:val="24"/>
          <w:szCs w:val="24"/>
          <w:highlight w:val="none"/>
          <w:lang w:val="en-US" w:eastAsia="zh-CN"/>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本合同项下货物价款为人民币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本合同价款是</w:t>
      </w:r>
      <w:r>
        <w:rPr>
          <w:rFonts w:hint="eastAsia" w:ascii="宋体" w:hAnsi="宋体" w:eastAsia="宋体" w:cs="宋体"/>
          <w:sz w:val="24"/>
          <w:szCs w:val="24"/>
          <w:highlight w:val="none"/>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本合同价款还包含乙方应当提供的伴随服务/售后服务费用。</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不变。</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合同形式：固定单价。</w:t>
      </w:r>
      <w:r>
        <w:rPr>
          <w:rFonts w:hint="eastAsia" w:ascii="宋体" w:hAnsi="宋体" w:eastAsia="宋体" w:cs="宋体"/>
          <w:sz w:val="24"/>
          <w:szCs w:val="24"/>
          <w:highlight w:val="none"/>
          <w:lang w:val="en-US" w:eastAsia="zh-CN"/>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第三条：组成本合同的有关文件</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下列关于泰州市政府采购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或与本次采购活动方式相适应的文件及有关附件是本合同不可分割的组成部分，与本合同具有同等法律效力，这些文件包括但不限于： </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乙方提供的投标文件和投标报价表； </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供货一览表；</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技术规格响应表；</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有关投标承诺、服务承诺；</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中标或成交通知书；</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甲乙双方商定的其他文件；</w:t>
      </w:r>
      <w:r>
        <w:rPr>
          <w:rFonts w:hint="eastAsia" w:ascii="宋体" w:hAnsi="宋体" w:eastAsia="宋体" w:cs="宋体"/>
          <w:sz w:val="24"/>
          <w:szCs w:val="24"/>
          <w:highlight w:val="none"/>
        </w:rPr>
      </w:r>
      <w:r/>
    </w:p>
    <w:p>
      <w:pPr>
        <w:pStyle w:val="925"/>
        <w:numPr>
          <w:ilvl w:val="0"/>
          <w:numId w:val="5"/>
        </w:numPr>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rPr>
      </w:r>
      <w:r/>
    </w:p>
    <w:p>
      <w:pPr>
        <w:pStyle w:val="925"/>
        <w:ind w:left="420" w:hanging="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第四条：权利保证</w:t>
      </w:r>
      <w:r>
        <w:rPr>
          <w:rFonts w:hint="eastAsia" w:ascii="宋体" w:hAnsi="宋体" w:eastAsia="宋体" w:cs="宋体"/>
          <w:sz w:val="24"/>
          <w:szCs w:val="24"/>
          <w:highlight w:val="none"/>
        </w:rPr>
      </w:r>
      <w:r/>
    </w:p>
    <w:p>
      <w:pPr>
        <w:pStyle w:val="925"/>
        <w:ind w:firstLine="42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w:t>
      </w:r>
      <w:r>
        <w:rPr>
          <w:rFonts w:hint="eastAsia" w:ascii="宋体" w:hAnsi="宋体" w:eastAsia="宋体" w:cs="宋体"/>
          <w:sz w:val="24"/>
          <w:szCs w:val="24"/>
          <w:highlight w:val="none"/>
          <w:lang w:eastAsia="zh-CN"/>
        </w:rPr>
        <w:t xml:space="preserve">保证</w:t>
      </w:r>
      <w:r>
        <w:rPr>
          <w:rFonts w:hint="eastAsia" w:ascii="宋体" w:hAnsi="宋体" w:eastAsia="宋体" w:cs="宋体"/>
          <w:sz w:val="24"/>
          <w:szCs w:val="24"/>
          <w:highlight w:val="none"/>
        </w:rPr>
        <w:t xml:space="preserve">甲方在使用该货物或其任何一部分时不受第三方提出侵犯其专利权、版权、商标权或其他权利的起诉。一旦出现侵权，乙方应承担全部责任。 </w:t>
      </w:r>
      <w:r>
        <w:rPr>
          <w:rFonts w:hint="eastAsia" w:ascii="宋体" w:hAnsi="宋体" w:eastAsia="宋体" w:cs="宋体"/>
          <w:sz w:val="24"/>
          <w:szCs w:val="24"/>
          <w:highlight w:val="none"/>
        </w:rPr>
      </w:r>
      <w:r/>
    </w:p>
    <w:p>
      <w:pPr>
        <w:pStyle w:val="925"/>
        <w:ind w:left="420" w:hanging="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第五条：质量保证</w:t>
      </w:r>
      <w:r>
        <w:rPr>
          <w:rFonts w:hint="eastAsia" w:ascii="宋体" w:hAnsi="宋体" w:eastAsia="宋体" w:cs="宋体"/>
          <w:sz w:val="24"/>
          <w:szCs w:val="24"/>
          <w:highlight w:val="none"/>
        </w:rPr>
      </w:r>
      <w:r/>
    </w:p>
    <w:p>
      <w:pPr>
        <w:pStyle w:val="925"/>
        <w:ind w:firstLine="42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规定的技术规格及所附的“技术规格响应表”相一致；若技术性能无特殊说明，则按国家有关部门最新颁布的标准及规范为准。</w:t>
      </w:r>
      <w:r>
        <w:rPr>
          <w:rFonts w:hint="eastAsia" w:ascii="宋体" w:hAnsi="宋体" w:eastAsia="宋体" w:cs="宋体"/>
          <w:sz w:val="24"/>
          <w:szCs w:val="24"/>
          <w:highlight w:val="none"/>
        </w:rPr>
      </w:r>
      <w:r/>
    </w:p>
    <w:p>
      <w:pPr>
        <w:pStyle w:val="925"/>
        <w:ind w:firstLine="42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车辆验收后，在质量保证期内，乙方应对由于设计、工艺或材料的缺陷所发生的任何不足或故障负责，所需费用由乙方承担。 </w:t>
      </w:r>
      <w:r>
        <w:rPr>
          <w:rFonts w:hint="eastAsia" w:ascii="宋体" w:hAnsi="宋体" w:eastAsia="宋体" w:cs="宋体"/>
          <w:sz w:val="24"/>
          <w:szCs w:val="24"/>
          <w:highlight w:val="none"/>
        </w:rPr>
      </w:r>
      <w:r/>
    </w:p>
    <w:p>
      <w:pPr>
        <w:pStyle w:val="925"/>
        <w:ind w:firstLine="42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第六条：交货和验收</w:t>
      </w:r>
      <w:r>
        <w:rPr>
          <w:rFonts w:hint="eastAsia" w:ascii="宋体" w:hAnsi="宋体" w:eastAsia="宋体" w:cs="宋体"/>
          <w:sz w:val="24"/>
          <w:szCs w:val="24"/>
          <w:highlight w:val="none"/>
        </w:rPr>
      </w:r>
      <w:r/>
    </w:p>
    <w:p>
      <w:pPr>
        <w:pStyle w:val="925"/>
        <w:ind w:firstLine="42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乙方应按照本合同或</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规定的时间和方式向甲方交付货物。交货地点由甲方指定，乙方应当在_________（期间）前将货物交付甲方。 </w:t>
      </w:r>
      <w:r>
        <w:rPr>
          <w:rFonts w:hint="eastAsia" w:ascii="宋体" w:hAnsi="宋体" w:eastAsia="宋体" w:cs="宋体"/>
          <w:sz w:val="24"/>
          <w:szCs w:val="24"/>
          <w:highlight w:val="none"/>
        </w:rPr>
      </w:r>
      <w:r/>
    </w:p>
    <w:p>
      <w:pPr>
        <w:pStyle w:val="925"/>
        <w:ind w:firstLine="42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乙方交付的货物应当完全符合本合同或者</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所规定的货物、数量和规格要求。乙方不得少交或多交货物。乙方提供的货物不符合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和合同规定的，甲方有权拒收货物，由此引起的风险，由乙方承担。</w:t>
      </w:r>
      <w:r>
        <w:rPr>
          <w:rFonts w:hint="eastAsia" w:ascii="宋体" w:hAnsi="宋体" w:eastAsia="宋体" w:cs="宋体"/>
          <w:sz w:val="24"/>
          <w:szCs w:val="24"/>
          <w:highlight w:val="none"/>
        </w:rPr>
      </w:r>
      <w:r/>
    </w:p>
    <w:p>
      <w:pPr>
        <w:pStyle w:val="925"/>
        <w:ind w:firstLine="42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货物的到货验收包括：型号、规格、数量、外观质量</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使用性能是否符合要求等。</w:t>
      </w:r>
      <w:r>
        <w:rPr>
          <w:rFonts w:hint="eastAsia" w:ascii="宋体" w:hAnsi="宋体" w:eastAsia="宋体" w:cs="宋体"/>
          <w:sz w:val="24"/>
          <w:szCs w:val="24"/>
          <w:highlight w:val="none"/>
        </w:rPr>
      </w:r>
      <w:r/>
    </w:p>
    <w:p>
      <w:pPr>
        <w:pStyle w:val="925"/>
        <w:ind w:firstLine="42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乙方不能完整交付货物及本款规定的单证和工具的，视为未按合同约定交货，乙方负责补齐，因此导致逾期交付的，由乙方承担相关的违约责任。</w:t>
      </w:r>
      <w:r>
        <w:rPr>
          <w:rFonts w:hint="eastAsia" w:ascii="宋体" w:hAnsi="宋体" w:eastAsia="宋体" w:cs="宋体"/>
          <w:sz w:val="24"/>
          <w:szCs w:val="24"/>
          <w:highlight w:val="none"/>
        </w:rPr>
      </w:r>
      <w:r/>
    </w:p>
    <w:p>
      <w:pPr>
        <w:pStyle w:val="925"/>
        <w:ind w:firstLine="42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甲方应当在到货后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个工作日内对货物进行验收；需要乙方对货物或系统进行安装调试的，甲方应在货物安装调试完毕后的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个工作日内进行质量验收。验收合格的，由甲方签署验收单并加盖单位公章。</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对检验期限另有规定的，从其规定。</w:t>
      </w:r>
      <w:r>
        <w:rPr>
          <w:rFonts w:hint="eastAsia" w:ascii="宋体" w:hAnsi="宋体" w:eastAsia="宋体" w:cs="宋体"/>
          <w:sz w:val="24"/>
          <w:szCs w:val="24"/>
          <w:highlight w:val="none"/>
        </w:rPr>
      </w:r>
      <w:r/>
    </w:p>
    <w:p>
      <w:pPr>
        <w:pStyle w:val="925"/>
        <w:ind w:firstLine="42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货物和系统调试验收的标准：按行业通行标准、厂方出厂标准和乙方投标文件的承诺（不低于国家相关标准）。</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第七条：伴随服务／售后服务</w:t>
      </w:r>
      <w:r>
        <w:rPr>
          <w:rFonts w:hint="eastAsia" w:ascii="宋体" w:hAnsi="宋体" w:eastAsia="宋体" w:cs="宋体"/>
          <w:sz w:val="24"/>
          <w:szCs w:val="24"/>
          <w:highlight w:val="none"/>
        </w:rPr>
      </w:r>
      <w:r/>
    </w:p>
    <w:p>
      <w:pPr>
        <w:pStyle w:val="925"/>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质保期</w:t>
      </w:r>
      <w:r>
        <w:rPr>
          <w:rFonts w:hint="eastAsia" w:ascii="宋体" w:hAnsi="宋体" w:eastAsia="宋体" w:cs="宋体"/>
          <w:sz w:val="24"/>
          <w:szCs w:val="24"/>
          <w:highlight w:val="none"/>
        </w:rPr>
        <w:t xml:space="preserve">：</w:t>
      </w:r>
      <w:r>
        <w:rPr>
          <w:rFonts w:hint="eastAsia" w:ascii="宋体" w:hAnsi="宋体" w:eastAsia="宋体" w:cs="宋体"/>
          <w:spacing w:val="-2"/>
          <w:sz w:val="24"/>
          <w:szCs w:val="24"/>
          <w:highlight w:val="none"/>
          <w:lang w:val="en-US" w:eastAsia="zh-CN"/>
        </w:rPr>
        <w:t xml:space="preserve">五</w:t>
      </w:r>
      <w:r>
        <w:rPr>
          <w:rFonts w:hint="eastAsia" w:ascii="宋体" w:hAnsi="宋体" w:eastAsia="宋体" w:cs="宋体"/>
          <w:spacing w:val="-3"/>
          <w:sz w:val="24"/>
          <w:szCs w:val="24"/>
          <w:highlight w:val="none"/>
        </w:rPr>
        <w:t xml:space="preserve">年</w:t>
      </w:r>
      <w:r>
        <w:rPr>
          <w:rFonts w:hint="eastAsia" w:ascii="宋体" w:hAnsi="宋体" w:eastAsia="宋体" w:cs="宋体"/>
          <w:sz w:val="24"/>
          <w:szCs w:val="24"/>
          <w:highlight w:val="none"/>
        </w:rPr>
        <w:t xml:space="preserve">（自验收合格之日起开始计算）</w:t>
      </w:r>
      <w:r>
        <w:rPr>
          <w:rFonts w:hint="eastAsia" w:ascii="宋体" w:hAnsi="宋体" w:eastAsia="宋体" w:cs="宋体"/>
          <w:spacing w:val="-3"/>
          <w:sz w:val="24"/>
          <w:szCs w:val="24"/>
          <w:highlight w:val="none"/>
        </w:rPr>
        <w:t xml:space="preserve">。</w:t>
      </w:r>
      <w:r>
        <w:rPr>
          <w:rFonts w:hint="eastAsia" w:ascii="宋体" w:hAnsi="宋体" w:eastAsia="宋体" w:cs="宋体"/>
          <w:sz w:val="24"/>
          <w:szCs w:val="24"/>
          <w:highlight w:val="none"/>
        </w:rPr>
      </w:r>
      <w:r/>
    </w:p>
    <w:p>
      <w:pPr>
        <w:pStyle w:val="925"/>
        <w:ind w:firstLine="42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rPr>
          <w:rFonts w:hint="eastAsia" w:ascii="宋体" w:hAnsi="宋体" w:eastAsia="宋体" w:cs="宋体"/>
          <w:sz w:val="24"/>
          <w:szCs w:val="24"/>
          <w:highlight w:val="none"/>
        </w:rPr>
      </w:r>
      <w:r/>
    </w:p>
    <w:p>
      <w:pPr>
        <w:pStyle w:val="925"/>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（1）更换：由乙方承担所发生的全部费用。</w:t>
      </w:r>
      <w:r>
        <w:rPr>
          <w:rFonts w:hint="eastAsia" w:ascii="宋体" w:hAnsi="宋体" w:eastAsia="宋体" w:cs="宋体"/>
          <w:sz w:val="24"/>
          <w:szCs w:val="24"/>
          <w:highlight w:val="none"/>
        </w:rPr>
      </w:r>
      <w:r/>
    </w:p>
    <w:p>
      <w:pPr>
        <w:pStyle w:val="925"/>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（2）退货处理：乙方应退还甲方支付的合同款，同时应承担该货物的直接费用（运输、保险、检验）。</w:t>
      </w:r>
      <w:r>
        <w:rPr>
          <w:rFonts w:hint="eastAsia" w:ascii="宋体" w:hAnsi="宋体" w:eastAsia="宋体" w:cs="宋体"/>
          <w:sz w:val="24"/>
          <w:szCs w:val="24"/>
          <w:highlight w:val="none"/>
        </w:rPr>
      </w:r>
      <w:r/>
    </w:p>
    <w:p>
      <w:pPr>
        <w:pStyle w:val="925"/>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rPr>
          <w:rFonts w:hint="eastAsia" w:ascii="宋体" w:hAnsi="宋体" w:eastAsia="宋体" w:cs="宋体"/>
          <w:sz w:val="24"/>
          <w:szCs w:val="24"/>
          <w:highlight w:val="none"/>
        </w:rPr>
      </w:r>
      <w:r/>
    </w:p>
    <w:p>
      <w:pPr>
        <w:pStyle w:val="925"/>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3.若</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中不包含有关伴随服务或售后服务的承诺，双方</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如下约定：</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质保</w:t>
      </w:r>
      <w:r>
        <w:rPr>
          <w:rFonts w:hint="eastAsia" w:ascii="宋体" w:hAnsi="宋体" w:eastAsia="宋体" w:cs="宋体"/>
          <w:sz w:val="24"/>
          <w:szCs w:val="24"/>
          <w:highlight w:val="none"/>
          <w:lang w:val="zh-CN"/>
        </w:rPr>
        <w:t xml:space="preserve">期内，乙方负责对其提供的货物整机进行维修和系统维护，不再收取任何费用，但不可抗力（如火灾、雷击等）造成的故障除外。</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）货物故障报修的响应时间按乙方投标承诺执行。</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）若货物故障在检修8工作小时后仍无法排除，乙方应在48小时内免费提供不低于故障货物规格型号档次的备用货物供甲方使用，直至故障货物修复。</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）所有货物保修服务方式均为乙方上门保修，即由乙方派员到货物使用现场维修，由此产生的一切费用均由乙方承担。</w:t>
      </w:r>
      <w:r>
        <w:rPr>
          <w:rFonts w:hint="eastAsia" w:ascii="宋体" w:hAnsi="宋体" w:eastAsia="宋体" w:cs="宋体"/>
          <w:sz w:val="24"/>
          <w:szCs w:val="24"/>
          <w:highlight w:val="none"/>
          <w:lang w:val="zh-CN"/>
        </w:rPr>
      </w:r>
      <w:r/>
    </w:p>
    <w:p>
      <w:pPr>
        <w:pStyle w:val="925"/>
        <w:ind w:firstLine="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货物送达甲方指定地点并经验收合格后，履约保证金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元整无息退还。</w:t>
      </w:r>
      <w:r>
        <w:rPr>
          <w:rFonts w:hint="eastAsia" w:ascii="宋体" w:hAnsi="宋体" w:eastAsia="宋体" w:cs="宋体"/>
          <w:sz w:val="24"/>
          <w:szCs w:val="24"/>
          <w:highlight w:val="none"/>
        </w:rPr>
      </w:r>
      <w:r/>
    </w:p>
    <w:p>
      <w:pPr>
        <w:pStyle w:val="925"/>
        <w:ind w:firstLine="21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货款支付</w:t>
      </w:r>
      <w:r>
        <w:rPr>
          <w:rFonts w:hint="eastAsia" w:ascii="宋体" w:hAnsi="宋体" w:eastAsia="宋体" w:cs="宋体"/>
          <w:sz w:val="24"/>
          <w:szCs w:val="24"/>
          <w:highlight w:val="none"/>
        </w:rPr>
      </w:r>
      <w:r/>
    </w:p>
    <w:p>
      <w:pPr>
        <w:pStyle w:val="925"/>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本合同项下所有款项均以人民币支付。</w:t>
      </w:r>
      <w:r>
        <w:rPr>
          <w:rFonts w:hint="eastAsia" w:ascii="宋体" w:hAnsi="宋体" w:eastAsia="宋体" w:cs="宋体"/>
          <w:sz w:val="24"/>
          <w:szCs w:val="24"/>
          <w:highlight w:val="none"/>
        </w:rPr>
      </w:r>
      <w:r/>
    </w:p>
    <w:p>
      <w:pPr>
        <w:pStyle w:val="925"/>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本合同项下的采购资金由甲方自行支付，乙方向甲方开具发票。</w:t>
      </w:r>
      <w:r>
        <w:rPr>
          <w:rFonts w:hint="eastAsia" w:ascii="宋体" w:hAnsi="宋体" w:eastAsia="宋体" w:cs="宋体"/>
          <w:sz w:val="24"/>
          <w:szCs w:val="24"/>
          <w:highlight w:val="none"/>
        </w:rPr>
      </w:r>
      <w:r/>
    </w:p>
    <w:p>
      <w:pPr>
        <w:pStyle w:val="925"/>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合同签订后，甲方支付合同总价款的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%作为预付款，</w:t>
      </w:r>
      <w:r>
        <w:rPr>
          <w:rFonts w:hint="eastAsia" w:ascii="宋体" w:hAnsi="宋体" w:eastAsia="宋体" w:cs="宋体"/>
          <w:sz w:val="24"/>
          <w:szCs w:val="24"/>
          <w:highlight w:val="none"/>
          <w:lang w:val="en-US" w:eastAsia="zh-CN"/>
        </w:rPr>
        <w:t xml:space="preserve">主要设备进场且安装验收合格后付至</w:t>
      </w:r>
      <w:r>
        <w:rPr>
          <w:rFonts w:hint="eastAsia" w:ascii="宋体" w:hAnsi="宋体" w:eastAsia="宋体" w:cs="宋体"/>
          <w:sz w:val="24"/>
          <w:szCs w:val="24"/>
          <w:highlight w:val="none"/>
          <w:lang w:eastAsia="zh-CN"/>
        </w:rPr>
        <w:t xml:space="preserve">合同总价款</w:t>
      </w:r>
      <w:r>
        <w:rPr>
          <w:rFonts w:hint="eastAsia" w:ascii="宋体" w:hAnsi="宋体" w:eastAsia="宋体" w:cs="宋体"/>
          <w:sz w:val="24"/>
          <w:szCs w:val="24"/>
          <w:highlight w:val="none"/>
          <w:lang w:val="en-US" w:eastAsia="zh-CN"/>
        </w:rPr>
        <w:t xml:space="preserve">的60%，</w:t>
      </w:r>
      <w:r>
        <w:rPr>
          <w:rFonts w:hint="eastAsia" w:ascii="宋体" w:hAnsi="宋体" w:eastAsia="宋体" w:cs="宋体"/>
          <w:sz w:val="24"/>
          <w:szCs w:val="24"/>
          <w:highlight w:val="none"/>
          <w:lang w:eastAsia="zh-CN"/>
        </w:rPr>
        <w:t xml:space="preserve">财政审核完成后付至审</w:t>
      </w:r>
      <w:r>
        <w:rPr>
          <w:rFonts w:hint="eastAsia" w:ascii="宋体" w:hAnsi="宋体" w:eastAsia="宋体" w:cs="宋体"/>
          <w:sz w:val="24"/>
          <w:szCs w:val="24"/>
          <w:highlight w:val="none"/>
          <w:lang w:val="en-US" w:eastAsia="zh-CN"/>
        </w:rPr>
        <w:t xml:space="preserve">核</w:t>
      </w:r>
      <w:r>
        <w:rPr>
          <w:rFonts w:hint="eastAsia" w:ascii="宋体" w:hAnsi="宋体" w:eastAsia="宋体" w:cs="宋体"/>
          <w:sz w:val="24"/>
          <w:szCs w:val="24"/>
          <w:highlight w:val="none"/>
          <w:lang w:eastAsia="zh-CN"/>
        </w:rPr>
        <w:t xml:space="preserve">价的95%，余款待项目验收合格满五年后付清（所有款项均不计利息）。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25"/>
        <w:ind w:firstLine="42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第十条：违约责任</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．甲方无正当理由拒收货物、拒付货物款的，由甲方向乙方偿付合同总价的5%违约金。</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．甲方未按合同规定的期限向乙方支付货款的，每逾期1天甲方向乙方偿付欠款总额的5‰滞纳金，但累计滞纳金总额不超过欠款总额的5%。</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．如乙方不能交付货物或完成安装调试的，甲方有权扣留全部履约保证金；同时乙方应向甲方支付合同总价5%的违约金。</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乙方逾期交付的，每逾期1天，乙方向甲方偿付合同总额的5‰的滞纳金。如乙方逾期交付达10天，甲方有权解除合同，解除合同的通知自到达乙方时生效，同时甲方有权扣留全部履约保证金；并由乙方按合同总价的5%承担违约金。</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7．乙方未按本合同第</w:t>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lang w:val="zh-CN"/>
        </w:rPr>
        <w:t xml:space="preserve">条的规定向甲方交付履约保证金的，应按应交付履约保证金的100%向甲方支付违约金，该违约金的支付不影响乙方应承担的其他违约责任。</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8．乙方未按本合同的规定和“服务承诺”提供伴随服务/售后服务的，应按合同总价款的5 %向甲方承担违约责任。</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10．乙方投标属虚假承诺，或经权威部门监测提供的货物不能满足</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zh-CN"/>
        </w:rPr>
        <w:t xml:space="preserve">文件要求，或是由于乙方的过错造成合同无法继续履行的，除乙方履约保证金不予退还外，还应向甲方支付不少于合同总价30%赔偿金。</w:t>
      </w:r>
      <w:r>
        <w:rPr>
          <w:rFonts w:hint="eastAsia" w:ascii="宋体" w:hAnsi="宋体" w:eastAsia="宋体" w:cs="宋体"/>
          <w:sz w:val="24"/>
          <w:szCs w:val="24"/>
          <w:highlight w:val="none"/>
          <w:lang w:val="zh-CN"/>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维护与巡检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从发生故障开始计时，乙方如不能在规定的时间内完成故障修复和设备保养工作，故障修复每超时1次，扣款100元/点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设备保养工作每缺少1次，扣款100元/点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不按时上报后台维护日志和清洗保养记录的，每次扣款200元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擅自拆除或变化安装位置，每点扣款500元。</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甲方对乙方负责建设维护的监控系统每月考核通报，前端摄像机在线率须达到98%以上，达不到98%，每低一个百分点每月扣5000元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乙方安排专人对图像解析中心和后端平台每天巡检，做好巡检记录，巡检情况每月考核，每少一次扣200元。</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8.因乙方责任不能按合同履约，甲方有权追究乙方所造成的经济、法律和社会责任。签署本合同即视同乙方认可本条款。</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第十一条：合同的变更和终止</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w:t>
      </w:r>
      <w:r>
        <w:rPr>
          <w:rFonts w:hint="eastAsia" w:ascii="宋体" w:hAnsi="宋体" w:eastAsia="宋体" w:cs="宋体"/>
          <w:sz w:val="24"/>
          <w:szCs w:val="24"/>
          <w:highlight w:val="none"/>
          <w:lang w:eastAsia="zh-CN"/>
        </w:rPr>
        <w:t xml:space="preserve">中华人民共和国政府采购法</w:t>
      </w:r>
      <w:r>
        <w:rPr>
          <w:rFonts w:hint="eastAsia" w:ascii="宋体" w:hAnsi="宋体" w:eastAsia="宋体" w:cs="宋体"/>
          <w:sz w:val="24"/>
          <w:szCs w:val="24"/>
          <w:highlight w:val="none"/>
        </w:rPr>
        <w:t xml:space="preserve">》规定的情形外，本合同一经签订，甲乙双方不得擅自变更、中止或终止合同。</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第十二条：合同的转让</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第十三条：争议的解决</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2.因履行本合同引起的或与本合同有关的争议，甲、乙双方应首先通过友好协商解决，如果协商不能解决争议，则采取以下第（2）种方式解决争议：</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（1）向甲方所在地有管辖权的人民法院提起诉讼；</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（2）向泰</w:t>
      </w:r>
      <w:r>
        <w:rPr>
          <w:rFonts w:hint="eastAsia" w:ascii="宋体" w:hAnsi="宋体" w:eastAsia="宋体" w:cs="宋体"/>
          <w:sz w:val="24"/>
          <w:szCs w:val="24"/>
          <w:highlight w:val="none"/>
          <w:lang w:val="en-US" w:eastAsia="zh-CN"/>
        </w:rPr>
        <w:t xml:space="preserve">兴</w:t>
      </w:r>
      <w:r>
        <w:rPr>
          <w:rFonts w:hint="eastAsia" w:ascii="宋体" w:hAnsi="宋体" w:eastAsia="宋体" w:cs="宋体"/>
          <w:sz w:val="24"/>
          <w:szCs w:val="24"/>
          <w:highlight w:val="none"/>
        </w:rPr>
        <w:t xml:space="preserve">仲裁委员会按其仲裁规则申请仲裁。</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3.在诉讼期间，本合同应继续履行。</w:t>
      </w:r>
      <w:r>
        <w:rPr>
          <w:rFonts w:hint="eastAsia" w:ascii="宋体" w:hAnsi="宋体" w:eastAsia="宋体" w:cs="宋体"/>
          <w:sz w:val="24"/>
          <w:szCs w:val="24"/>
          <w:highlight w:val="none"/>
        </w:rPr>
      </w:r>
      <w:r/>
    </w:p>
    <w:p>
      <w:pPr>
        <w:pStyle w:val="925"/>
        <w:ind w:firstLine="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第十四条：合同生效及其他</w:t>
      </w:r>
      <w:r>
        <w:rPr>
          <w:rFonts w:hint="eastAsia" w:ascii="宋体" w:hAnsi="宋体" w:eastAsia="宋体" w:cs="宋体"/>
          <w:sz w:val="24"/>
          <w:szCs w:val="24"/>
          <w:highlight w:val="none"/>
        </w:rPr>
      </w:r>
      <w:r/>
    </w:p>
    <w:p>
      <w:pPr>
        <w:pStyle w:val="925"/>
        <w:numPr>
          <w:ilvl w:val="0"/>
          <w:numId w:val="0"/>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本合同自签订之日起生效。</w:t>
      </w:r>
      <w:r>
        <w:rPr>
          <w:rFonts w:hint="eastAsia" w:ascii="宋体" w:hAnsi="宋体" w:eastAsia="宋体" w:cs="宋体"/>
          <w:sz w:val="24"/>
          <w:szCs w:val="24"/>
          <w:highlight w:val="none"/>
        </w:rPr>
      </w:r>
      <w:r/>
    </w:p>
    <w:p>
      <w:pPr>
        <w:pStyle w:val="925"/>
        <w:numPr>
          <w:ilvl w:val="0"/>
          <w:numId w:val="0"/>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份，甲方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集建方</w:t>
      </w:r>
      <w:r>
        <w:rPr>
          <w:rFonts w:hint="eastAsia" w:ascii="宋体" w:hAnsi="宋体" w:eastAsia="宋体" w:cs="宋体"/>
          <w:sz w:val="24"/>
          <w:szCs w:val="24"/>
          <w:highlight w:val="none"/>
        </w:rPr>
        <w:t xml:space="preserve">各执贰份。</w:t>
      </w:r>
      <w:r>
        <w:rPr>
          <w:rFonts w:hint="eastAsia" w:ascii="宋体" w:hAnsi="宋体" w:eastAsia="宋体" w:cs="宋体"/>
          <w:sz w:val="24"/>
          <w:szCs w:val="24"/>
          <w:highlight w:val="none"/>
        </w:rPr>
      </w:r>
      <w:r/>
    </w:p>
    <w:p>
      <w:pPr>
        <w:pStyle w:val="925"/>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3.本合同应按照中华人民共和国的现行法律进行解释。</w:t>
      </w:r>
      <w:r>
        <w:rPr>
          <w:rFonts w:hint="eastAsia" w:ascii="宋体" w:hAnsi="宋体" w:eastAsia="宋体" w:cs="宋体"/>
          <w:sz w:val="24"/>
          <w:szCs w:val="24"/>
          <w:highlight w:val="none"/>
        </w:rPr>
      </w:r>
      <w:r/>
    </w:p>
    <w:p>
      <w:pPr>
        <w:pStyle w:val="925"/>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甲方（采购人盖章）：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乙方（供应商盖章）：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25"/>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法定代表人（委托代理人）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法定代表人（委托代理人）：</w:t>
      </w:r>
      <w:r>
        <w:rPr>
          <w:rFonts w:hint="eastAsia" w:ascii="宋体" w:hAnsi="宋体" w:eastAsia="宋体" w:cs="宋体"/>
          <w:sz w:val="24"/>
          <w:szCs w:val="24"/>
          <w:highlight w:val="none"/>
        </w:rPr>
      </w:r>
      <w:r/>
    </w:p>
    <w:p>
      <w:pPr>
        <w:pStyle w:val="925"/>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开户银行：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925"/>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账号：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925"/>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25"/>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集建方</w:t>
      </w:r>
      <w:r>
        <w:rPr>
          <w:rFonts w:hint="eastAsia" w:ascii="宋体" w:hAnsi="宋体" w:eastAsia="宋体" w:cs="宋体"/>
          <w:sz w:val="24"/>
          <w:szCs w:val="24"/>
          <w:highlight w:val="none"/>
        </w:rPr>
        <w:t xml:space="preserve">（盖章）：  </w:t>
      </w:r>
      <w:r>
        <w:rPr>
          <w:rFonts w:hint="eastAsia" w:ascii="宋体" w:hAnsi="宋体" w:eastAsia="宋体" w:cs="宋体"/>
          <w:sz w:val="24"/>
          <w:szCs w:val="24"/>
          <w:highlight w:val="none"/>
        </w:rPr>
      </w:r>
      <w:r/>
    </w:p>
    <w:p>
      <w:pPr>
        <w:pStyle w:val="925"/>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法定代表人（委托代理人）：</w:t>
      </w:r>
      <w:r>
        <w:rPr>
          <w:rFonts w:hint="eastAsia" w:ascii="宋体" w:hAnsi="宋体" w:eastAsia="宋体" w:cs="宋体"/>
          <w:sz w:val="24"/>
          <w:szCs w:val="24"/>
          <w:highlight w:val="none"/>
        </w:rPr>
      </w:r>
      <w:r/>
    </w:p>
    <w:p>
      <w:pPr>
        <w:pStyle w:val="925"/>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rPr>
      </w:r>
      <w:r/>
    </w:p>
    <w:p>
      <w:pPr>
        <w:pStyle w:val="925"/>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925"/>
        <w:spacing w:line="50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bCs/>
          <w:color w:val="000000"/>
          <w:sz w:val="24"/>
          <w:szCs w:val="24"/>
          <w:highlight w:val="none"/>
        </w:rPr>
      </w:r>
      <w:r/>
    </w:p>
    <w:p>
      <w:pPr>
        <w:pStyle w:val="925"/>
        <w:jc w:val="center"/>
        <w:spacing w:before="120" w:after="120" w:line="0" w:lineRule="atLeast"/>
        <w:rPr>
          <w:rFonts w:hint="eastAsia" w:ascii="宋体" w:hAnsi="宋体" w:cs="Courier New"/>
          <w:color w:val="000000"/>
          <w:sz w:val="24"/>
          <w:szCs w:val="24"/>
          <w:highlight w:val="none"/>
        </w:rPr>
        <w:outlineLvl w:val="0"/>
      </w:pPr>
      <w:r/>
      <w:bookmarkEnd w:id="265"/>
      <w:r/>
      <w:bookmarkEnd w:id="266"/>
      <w:r/>
      <w:bookmarkEnd w:id="267"/>
      <w:r/>
      <w:bookmarkEnd w:id="268"/>
      <w:r/>
      <w:bookmarkStart w:id="276" w:name="_Toc926"/>
      <w:r/>
      <w:bookmarkStart w:id="277" w:name="_Toc12994"/>
      <w:r>
        <w:rPr>
          <w:rFonts w:hint="eastAsia" w:ascii="黑体" w:hAnsi="Courier New" w:eastAsia="黑体" w:cs="Courier New"/>
          <w:bCs/>
          <w:color w:val="000000"/>
          <w:sz w:val="44"/>
          <w:szCs w:val="21"/>
          <w:highlight w:val="none"/>
        </w:rPr>
        <w:t xml:space="preserve">第</w:t>
      </w:r>
      <w:bookmarkEnd w:id="269"/>
      <w:r>
        <w:rPr>
          <w:rFonts w:hint="eastAsia" w:ascii="黑体" w:hAnsi="Courier New" w:eastAsia="黑体" w:cs="Courier New"/>
          <w:bCs/>
          <w:color w:val="000000"/>
          <w:sz w:val="44"/>
          <w:szCs w:val="21"/>
          <w:highlight w:val="none"/>
        </w:rPr>
        <w:t xml:space="preserve">四章 采购需求</w:t>
      </w:r>
      <w:bookmarkEnd w:id="270"/>
      <w:r/>
      <w:bookmarkEnd w:id="271"/>
      <w:r/>
      <w:bookmarkEnd w:id="272"/>
      <w:r/>
      <w:bookmarkEnd w:id="276"/>
      <w:r/>
      <w:bookmarkEnd w:id="277"/>
      <w:r>
        <w:rPr>
          <w:rFonts w:hint="eastAsia" w:ascii="宋体" w:hAnsi="宋体" w:cs="Courier New"/>
          <w:color w:val="000000"/>
          <w:sz w:val="24"/>
          <w:szCs w:val="24"/>
          <w:highlight w:val="none"/>
        </w:rPr>
      </w:r>
      <w:r/>
    </w:p>
    <w:p>
      <w:pPr>
        <w:pStyle w:val="925"/>
        <w:pageBreakBefore w:val="0"/>
        <w:spacing w:line="360" w:lineRule="auto"/>
        <w:rPr>
          <w:rFonts w:hint="eastAsia" w:ascii="宋体" w:hAnsi="宋体" w:cs="宋体"/>
          <w:b/>
          <w:bCs/>
          <w:color w:val="000000"/>
          <w:sz w:val="24"/>
          <w:szCs w:val="24"/>
          <w:highlight w:val="none"/>
          <w:lang w:val="en-US" w:eastAsia="zh-CN"/>
        </w:rPr>
      </w:pPr>
      <w:r/>
      <w:bookmarkStart w:id="278" w:name="_Toc49090575"/>
      <w:r/>
      <w:bookmarkStart w:id="279" w:name="_Toc26554093"/>
      <w:r>
        <w:rPr>
          <w:rFonts w:hint="eastAsia" w:ascii="宋体" w:hAnsi="宋体" w:cs="宋体"/>
          <w:b/>
          <w:bCs/>
          <w:color w:val="000000"/>
          <w:sz w:val="24"/>
          <w:szCs w:val="24"/>
          <w:highlight w:val="none"/>
          <w:lang w:val="en-US" w:eastAsia="zh-CN"/>
        </w:rPr>
        <w:t xml:space="preserve">一、政府采购中实施本国产品标准及相关政策</w:t>
      </w:r>
      <w:r>
        <w:rPr>
          <w:rFonts w:hint="eastAsia" w:ascii="宋体" w:hAnsi="宋体" w:cs="宋体"/>
          <w:b/>
          <w:bCs/>
          <w:color w:val="000000"/>
          <w:sz w:val="24"/>
          <w:szCs w:val="24"/>
          <w:highlight w:val="none"/>
          <w:lang w:val="en-US" w:eastAsia="zh-CN"/>
        </w:rPr>
      </w:r>
      <w:r/>
    </w:p>
    <w:p>
      <w:pPr>
        <w:pStyle w:val="925"/>
        <w:ind w:firstLine="422"/>
        <w:pageBreakBefore w:val="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1.本项目对采购本国产品给予政策支持，具体内容见招标文件“第五章 评标方法与评标标准”。</w:t>
      </w:r>
      <w:r>
        <w:rPr>
          <w:rFonts w:hint="eastAsia" w:ascii="宋体" w:hAnsi="宋体" w:eastAsia="宋体" w:cs="宋体"/>
          <w:color w:val="0000ff"/>
          <w:highlight w:val="none"/>
          <w:lang w:val="en-US" w:eastAsia="zh-CN"/>
        </w:rPr>
      </w:r>
      <w:r/>
    </w:p>
    <w:p>
      <w:pPr>
        <w:pStyle w:val="925"/>
        <w:ind w:firstLine="422"/>
        <w:pageBreakBefore w:val="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ff"/>
          <w:highlight w:val="none"/>
          <w:lang w:val="en-US" w:eastAsia="zh-CN"/>
        </w:rPr>
      </w:r>
      <w:r/>
    </w:p>
    <w:p>
      <w:pPr>
        <w:pStyle w:val="925"/>
        <w:ind w:firstLine="422"/>
        <w:pageBreakBefore w:val="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ff"/>
          <w:highlight w:val="none"/>
          <w:lang w:val="en-US" w:eastAsia="zh-CN"/>
        </w:rPr>
      </w:r>
      <w:r/>
    </w:p>
    <w:p>
      <w:pPr>
        <w:pStyle w:val="925"/>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项目基本情况</w:t>
      </w:r>
      <w:r>
        <w:rPr>
          <w:rFonts w:hint="eastAsia" w:ascii="宋体" w:hAnsi="宋体" w:eastAsia="宋体" w:cs="宋体"/>
          <w:color w:val="000000"/>
          <w:sz w:val="24"/>
          <w:szCs w:val="24"/>
          <w:highlight w:val="none"/>
          <w:lang w:eastAsia="zh-CN"/>
        </w:rPr>
      </w:r>
      <w:r/>
    </w:p>
    <w:p>
      <w:pPr>
        <w:pStyle w:val="925"/>
        <w:ind w:firstLine="422"/>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项目名称：</w:t>
      </w:r>
      <w:r>
        <w:rPr>
          <w:rFonts w:hint="eastAsia" w:ascii="宋体" w:hAnsi="宋体" w:cs="宋体"/>
          <w:color w:val="0000ff"/>
          <w:szCs w:val="21"/>
          <w:highlight w:val="none"/>
          <w:lang w:eastAsia="zh-CN"/>
        </w:rPr>
        <w:t xml:space="preserve">常泰大桥泰兴进出口技防监控及综合方舱设备采购项目；</w:t>
      </w:r>
      <w:r>
        <w:rPr>
          <w:rFonts w:hint="eastAsia" w:ascii="宋体" w:hAnsi="宋体" w:eastAsia="宋体" w:cs="宋体"/>
          <w:color w:val="000000"/>
          <w:szCs w:val="21"/>
          <w:highlight w:val="none"/>
          <w:lang w:eastAsia="zh-CN"/>
        </w:rPr>
      </w:r>
      <w:r/>
    </w:p>
    <w:p>
      <w:pPr>
        <w:pStyle w:val="925"/>
        <w:ind w:firstLine="422"/>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预算金额：</w:t>
      </w:r>
      <w:r>
        <w:rPr>
          <w:rFonts w:hint="eastAsia" w:ascii="宋体" w:hAnsi="宋体" w:cs="宋体"/>
          <w:b w:val="0"/>
          <w:bCs w:val="0"/>
          <w:color w:val="0000ff"/>
          <w:szCs w:val="21"/>
          <w:highlight w:val="none"/>
          <w:lang w:val="en-US" w:eastAsia="zh-CN"/>
        </w:rPr>
        <w:t xml:space="preserve">305.52万</w:t>
      </w:r>
      <w:r>
        <w:rPr>
          <w:rFonts w:hint="eastAsia" w:ascii="宋体" w:hAnsi="宋体" w:cs="宋体"/>
          <w:color w:val="0000ff"/>
          <w:szCs w:val="21"/>
          <w:highlight w:val="none"/>
          <w:lang w:eastAsia="zh-CN"/>
        </w:rPr>
        <w:t xml:space="preserve">元；</w:t>
      </w:r>
      <w:r>
        <w:rPr>
          <w:rFonts w:hint="eastAsia" w:ascii="宋体" w:hAnsi="宋体" w:eastAsia="宋体" w:cs="宋体"/>
          <w:color w:val="000000"/>
          <w:szCs w:val="21"/>
          <w:highlight w:val="none"/>
          <w:lang w:eastAsia="zh-CN"/>
        </w:rPr>
      </w:r>
      <w:r/>
    </w:p>
    <w:p>
      <w:pPr>
        <w:pStyle w:val="925"/>
        <w:ind w:firstLine="422"/>
        <w:pageBreakBefore w:val="0"/>
        <w:spacing w:line="360" w:lineRule="auto"/>
        <w:rPr>
          <w:rFonts w:hint="eastAsia" w:ascii="宋体" w:hAnsi="宋体" w:eastAsia="宋体" w:cs="宋体"/>
          <w:color w:val="000000"/>
          <w:highlight w:val="none"/>
          <w:lang w:eastAsia="zh-CN"/>
        </w:rPr>
      </w:pPr>
      <w:r>
        <w:rPr>
          <w:rFonts w:hint="eastAsia" w:ascii="宋体" w:hAnsi="宋体" w:cs="宋体"/>
          <w:b/>
          <w:bCs/>
          <w:color w:val="000000"/>
          <w:highlight w:val="none"/>
          <w:lang w:val="en-US" w:eastAsia="zh-CN"/>
        </w:rPr>
        <w:t xml:space="preserve">3.</w:t>
      </w:r>
      <w:r>
        <w:rPr>
          <w:rFonts w:hint="eastAsia" w:ascii="宋体" w:hAnsi="宋体" w:eastAsia="宋体" w:cs="宋体"/>
          <w:b/>
          <w:bCs/>
          <w:color w:val="000000"/>
          <w:highlight w:val="none"/>
        </w:rPr>
        <w:t xml:space="preserve">最高限价</w:t>
      </w:r>
      <w:r>
        <w:rPr>
          <w:rFonts w:hint="eastAsia" w:ascii="宋体" w:hAnsi="宋体" w:cs="宋体"/>
          <w:b/>
          <w:bCs/>
          <w:color w:val="000000"/>
          <w:highlight w:val="none"/>
          <w:lang w:eastAsia="zh-CN"/>
        </w:rPr>
        <w:t xml:space="preserve">：</w:t>
      </w:r>
      <w:r>
        <w:rPr>
          <w:rFonts w:hint="eastAsia" w:ascii="宋体" w:hAnsi="宋体" w:cs="宋体"/>
          <w:b w:val="0"/>
          <w:bCs w:val="0"/>
          <w:color w:val="0000ff"/>
          <w:szCs w:val="21"/>
          <w:highlight w:val="none"/>
          <w:lang w:val="en-US" w:eastAsia="zh-CN"/>
        </w:rPr>
        <w:t xml:space="preserve">268.66万</w:t>
      </w:r>
      <w:r>
        <w:rPr>
          <w:rFonts w:hint="eastAsia" w:ascii="宋体" w:hAnsi="宋体" w:cs="宋体"/>
          <w:color w:val="0000ff"/>
          <w:szCs w:val="21"/>
          <w:highlight w:val="none"/>
          <w:lang w:eastAsia="zh-CN"/>
        </w:rPr>
        <w:t xml:space="preserve">元</w:t>
      </w:r>
      <w:r>
        <w:rPr>
          <w:rFonts w:hint="eastAsia" w:ascii="宋体" w:hAnsi="宋体" w:eastAsia="宋体" w:cs="宋体"/>
          <w:color w:val="0000ff"/>
          <w:highlight w:val="none"/>
        </w:rPr>
        <w:t xml:space="preserve">（超过限价报价的，作为无效响应处理）</w:t>
      </w:r>
      <w:r>
        <w:rPr>
          <w:rFonts w:hint="eastAsia" w:ascii="宋体" w:hAnsi="宋体" w:cs="宋体"/>
          <w:color w:val="0000ff"/>
          <w:highlight w:val="none"/>
          <w:lang w:eastAsia="zh-CN"/>
        </w:rPr>
        <w:t xml:space="preserve">；</w:t>
      </w:r>
      <w:r>
        <w:rPr>
          <w:rFonts w:hint="eastAsia" w:ascii="宋体" w:hAnsi="宋体" w:eastAsia="宋体" w:cs="宋体"/>
          <w:color w:val="000000"/>
          <w:highlight w:val="none"/>
          <w:lang w:eastAsia="zh-CN"/>
        </w:rPr>
      </w:r>
      <w:r/>
    </w:p>
    <w:p>
      <w:pPr>
        <w:pStyle w:val="925"/>
        <w:ind w:firstLine="422"/>
        <w:pageBreakBefore w:val="0"/>
        <w:spacing w:line="360" w:lineRule="auto"/>
        <w:rPr>
          <w:rFonts w:hint="eastAsia" w:ascii="宋体" w:hAnsi="宋体" w:eastAsia="宋体" w:cs="宋体"/>
          <w:color w:val="000000"/>
          <w:highlight w:val="none"/>
          <w:lang w:eastAsia="zh-CN"/>
        </w:rPr>
      </w:pPr>
      <w:r>
        <w:rPr>
          <w:rFonts w:hint="eastAsia" w:ascii="宋体" w:hAnsi="宋体" w:cs="宋体"/>
          <w:b/>
          <w:bCs/>
          <w:color w:val="000000"/>
          <w:highlight w:val="none"/>
          <w:lang w:val="en-US" w:eastAsia="zh-CN"/>
        </w:rPr>
        <w:t xml:space="preserve">4.</w:t>
      </w:r>
      <w:r>
        <w:rPr>
          <w:rFonts w:hint="eastAsia" w:ascii="宋体" w:hAnsi="宋体" w:eastAsia="宋体" w:cs="宋体"/>
          <w:b/>
          <w:bCs/>
          <w:color w:val="000000"/>
          <w:highlight w:val="none"/>
        </w:rPr>
        <w:t xml:space="preserve">采购需求：</w:t>
      </w:r>
      <w:r>
        <w:rPr>
          <w:rFonts w:hint="eastAsia" w:ascii="宋体" w:hAnsi="宋体" w:cs="宋体"/>
          <w:color w:val="0000ff"/>
          <w:highlight w:val="none"/>
          <w:lang w:val="en-US" w:eastAsia="zh-CN"/>
        </w:rPr>
        <w:t xml:space="preserve">本项目拟对</w:t>
      </w:r>
      <w:r>
        <w:rPr>
          <w:rFonts w:hint="eastAsia" w:ascii="宋体" w:hAnsi="宋体" w:cs="仿宋_GB2312"/>
          <w:color w:val="0000ff"/>
          <w:szCs w:val="21"/>
          <w:highlight w:val="none"/>
          <w:u w:val="none"/>
          <w:lang w:eastAsia="zh-CN"/>
        </w:rPr>
        <w:t xml:space="preserve">常泰大桥泰兴进出口</w:t>
      </w:r>
      <w:r>
        <w:rPr>
          <w:rFonts w:hint="eastAsia" w:ascii="宋体" w:hAnsi="宋体" w:cs="仿宋_GB2312"/>
          <w:color w:val="0000ff"/>
          <w:szCs w:val="21"/>
          <w:highlight w:val="none"/>
          <w:u w:val="none"/>
          <w:lang w:val="en-US" w:eastAsia="zh-CN"/>
        </w:rPr>
        <w:t xml:space="preserve">进行监控设备、监控配套设备、探测设备、350M电台基站、警务</w:t>
      </w:r>
      <w:r>
        <w:rPr>
          <w:rFonts w:hint="eastAsia" w:ascii="宋体" w:hAnsi="宋体" w:cs="仿宋_GB2312"/>
          <w:color w:val="0000ff"/>
          <w:szCs w:val="21"/>
          <w:highlight w:val="none"/>
          <w:u w:val="none"/>
          <w:lang w:eastAsia="zh-CN"/>
        </w:rPr>
        <w:t xml:space="preserve">方舱</w:t>
      </w:r>
      <w:r>
        <w:rPr>
          <w:rFonts w:hint="eastAsia" w:ascii="宋体" w:hAnsi="宋体" w:cs="仿宋_GB2312"/>
          <w:color w:val="0000ff"/>
          <w:szCs w:val="21"/>
          <w:highlight w:val="none"/>
          <w:u w:val="none"/>
          <w:lang w:val="en-US" w:eastAsia="zh-CN"/>
        </w:rPr>
        <w:t xml:space="preserve">等</w:t>
      </w:r>
      <w:r>
        <w:rPr>
          <w:rFonts w:hint="eastAsia" w:ascii="宋体" w:hAnsi="宋体" w:cs="仿宋_GB2312"/>
          <w:color w:val="0000ff"/>
          <w:szCs w:val="21"/>
          <w:highlight w:val="none"/>
          <w:u w:val="none"/>
          <w:lang w:eastAsia="zh-CN"/>
        </w:rPr>
        <w:t xml:space="preserve">采购</w:t>
      </w:r>
      <w:r>
        <w:rPr>
          <w:rFonts w:hint="eastAsia" w:ascii="宋体" w:hAnsi="宋体" w:cs="仿宋_GB2312"/>
          <w:color w:val="0000ff"/>
          <w:szCs w:val="21"/>
          <w:highlight w:val="none"/>
          <w:u w:val="none"/>
          <w:lang w:val="en-US" w:eastAsia="zh-CN"/>
        </w:rPr>
        <w:t xml:space="preserve">及安装</w:t>
      </w:r>
      <w:r>
        <w:rPr>
          <w:rFonts w:hint="eastAsia" w:ascii="宋体" w:hAnsi="宋体" w:cs="宋体"/>
          <w:color w:val="0000ff"/>
          <w:highlight w:val="none"/>
          <w:lang w:eastAsia="zh-CN"/>
        </w:rPr>
        <w:t xml:space="preserve">；</w:t>
      </w:r>
      <w:r>
        <w:rPr>
          <w:rFonts w:hint="eastAsia" w:ascii="宋体" w:hAnsi="宋体" w:eastAsia="宋体" w:cs="宋体"/>
          <w:color w:val="000000"/>
          <w:highlight w:val="none"/>
          <w:lang w:eastAsia="zh-CN"/>
        </w:rPr>
      </w:r>
      <w:r/>
    </w:p>
    <w:p>
      <w:pPr>
        <w:pStyle w:val="925"/>
        <w:ind w:firstLine="420"/>
        <w:jc w:val="both"/>
        <w:keepLines/>
        <w:keepNext/>
        <w:pageBreakBefore w:val="0"/>
        <w:spacing w:line="360" w:lineRule="auto"/>
        <w:rPr>
          <w:rFonts w:hint="eastAsia" w:ascii="宋体" w:hAnsi="宋体" w:cs="宋体"/>
          <w:color w:val="0000ff"/>
          <w:highlight w:val="none"/>
          <w:lang w:val="en-US" w:eastAsia="zh-CN"/>
        </w:rPr>
        <w:outlineLvl w:val="1"/>
      </w:pPr>
      <w:r>
        <w:rPr>
          <w:rFonts w:hint="eastAsia" w:ascii="宋体" w:hAnsi="宋体" w:cs="宋体"/>
          <w:b/>
          <w:bCs/>
          <w:color w:val="000000"/>
          <w:highlight w:val="none"/>
          <w:lang w:val="en-US" w:eastAsia="zh-CN"/>
        </w:rPr>
        <w:t xml:space="preserve">5.</w:t>
      </w:r>
      <w:r>
        <w:rPr>
          <w:rFonts w:hint="eastAsia" w:ascii="宋体" w:hAnsi="宋体" w:eastAsia="宋体" w:cs="宋体"/>
          <w:b/>
          <w:bCs/>
          <w:color w:val="000000"/>
          <w:highlight w:val="none"/>
        </w:rPr>
        <w:t xml:space="preserve">合同履行期限：</w:t>
      </w:r>
      <w:r>
        <w:rPr>
          <w:rFonts w:hint="eastAsia" w:ascii="宋体" w:hAnsi="宋体" w:cs="宋体"/>
          <w:color w:val="0000ff"/>
          <w:highlight w:val="none"/>
          <w:lang w:val="en-US" w:eastAsia="zh-CN"/>
        </w:rPr>
        <w:t xml:space="preserve">合同签订之日起，90日历天内完成供货安装、调试并交付使用；</w:t>
      </w:r>
      <w:r>
        <w:rPr>
          <w:rFonts w:hint="eastAsia" w:ascii="宋体" w:hAnsi="宋体" w:cs="宋体"/>
          <w:color w:val="0000ff"/>
          <w:highlight w:val="none"/>
          <w:lang w:val="en-US" w:eastAsia="zh-CN"/>
        </w:rPr>
      </w:r>
      <w:r/>
    </w:p>
    <w:p>
      <w:pPr>
        <w:pStyle w:val="925"/>
        <w:pageBreakBefore w:val="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三、点位及设备清单</w:t>
      </w:r>
      <w:r>
        <w:rPr>
          <w:rFonts w:hint="eastAsia" w:ascii="宋体" w:hAnsi="宋体" w:cs="宋体"/>
          <w:b/>
          <w:bCs/>
          <w:color w:val="000000"/>
          <w:sz w:val="24"/>
          <w:szCs w:val="24"/>
          <w:highlight w:val="none"/>
          <w:lang w:val="en-US" w:eastAsia="zh-CN"/>
        </w:rPr>
      </w:r>
      <w:r/>
    </w:p>
    <w:tbl>
      <w:tblPr>
        <w:tblStyle w:val="9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
        <w:gridCol w:w="2429"/>
        <w:gridCol w:w="42"/>
        <w:gridCol w:w="3403"/>
        <w:gridCol w:w="27"/>
        <w:gridCol w:w="986"/>
        <w:gridCol w:w="35"/>
        <w:gridCol w:w="895"/>
      </w:tblGrid>
      <w:tr>
        <w:trPr>
          <w:trHeight w:val="362"/>
        </w:trPr>
        <w:tc>
          <w:tcPr>
            <w:gridSpan w:val="9"/>
            <w:tcW w:w="9429"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color w:val="000000"/>
                <w:sz w:val="21"/>
                <w:szCs w:val="21"/>
                <w:highlight w:val="none"/>
                <w:vertAlign w:val="baseline"/>
                <w:lang w:val="en-US" w:eastAsia="zh-CN" w:bidi="en-US"/>
              </w:rPr>
              <w:t xml:space="preserve"> 土方工程</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gridSpan w:val="2"/>
            <w:tcW w:w="794" w:type="dxa"/>
            <w:vAlign w:val="center"/>
            <w:textDirection w:val="lrTb"/>
            <w:noWrap w:val="false"/>
          </w:tcPr>
          <w:p>
            <w:pPr>
              <w:pStyle w:val="925"/>
              <w:jc w:val="center"/>
              <w:spacing w:after="0" w:line="240" w:lineRule="auto"/>
              <w:widowControl/>
              <w:rPr>
                <w:rFonts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序号</w:t>
            </w:r>
            <w:r>
              <w:rPr>
                <w:rFonts w:ascii="宋体" w:hAnsi="宋体" w:cs="宋体"/>
                <w:b/>
                <w:bCs/>
                <w:color w:val="000000"/>
                <w:sz w:val="21"/>
                <w:szCs w:val="21"/>
                <w:highlight w:val="none"/>
                <w:vertAlign w:val="baseline"/>
                <w:lang w:val="en-US" w:eastAsia="zh-CN"/>
              </w:rPr>
            </w:r>
            <w:r/>
          </w:p>
        </w:tc>
        <w:tc>
          <w:tcPr>
            <w:gridSpan w:val="2"/>
            <w:tcW w:w="291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lang w:val="en-US" w:eastAsia="zh-CN" w:bidi="ar"/>
              </w:rPr>
            </w:r>
            <w:r/>
          </w:p>
        </w:tc>
        <w:tc>
          <w:tcPr>
            <w:gridSpan w:val="2"/>
            <w:tcW w:w="373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cs="宋体"/>
                <w:b/>
                <w:bCs/>
                <w:color w:val="000000"/>
                <w:highlight w:val="none"/>
              </w:rPr>
              <w:t xml:space="preserve">规格、型号</w:t>
            </w:r>
            <w:r>
              <w:rPr>
                <w:rFonts w:hint="eastAsia" w:ascii="宋体" w:hAnsi="宋体" w:eastAsia="宋体" w:cs="宋体"/>
                <w:i w:val="0"/>
                <w:iCs w:val="0"/>
                <w:color w:val="000000"/>
                <w:sz w:val="21"/>
                <w:szCs w:val="21"/>
                <w:highlight w:val="none"/>
                <w:u w:val="none"/>
                <w:lang w:val="en-US" w:eastAsia="zh-CN" w:bidi="ar"/>
              </w:rPr>
            </w:r>
            <w:r/>
          </w:p>
        </w:tc>
        <w:tc>
          <w:tcPr>
            <w:gridSpan w:val="2"/>
            <w:tcW w:w="1075"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cs="宋体"/>
                <w:b/>
                <w:bCs/>
                <w:color w:val="000000"/>
                <w:highlight w:val="none"/>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910"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cs="宋体"/>
                <w:b/>
                <w:bCs/>
                <w:color w:val="000000"/>
                <w:highlight w:val="none"/>
              </w:rPr>
              <w:t xml:space="preserve">数量</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gridSpan w:val="2"/>
            <w:tcW w:w="794"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cs="宋体"/>
                <w:b w:val="0"/>
                <w:bCs w:val="0"/>
                <w:color w:val="000000"/>
                <w:sz w:val="21"/>
                <w:szCs w:val="21"/>
                <w:highlight w:val="none"/>
                <w:vertAlign w:val="baseline"/>
                <w:lang w:val="en-US" w:eastAsia="zh-CN"/>
              </w:rPr>
            </w:r>
            <w:r/>
          </w:p>
        </w:tc>
        <w:tc>
          <w:tcPr>
            <w:gridSpan w:val="2"/>
            <w:tcW w:w="291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i w:val="0"/>
                <w:iCs w:val="0"/>
                <w:color w:val="000000"/>
                <w:sz w:val="21"/>
                <w:szCs w:val="21"/>
                <w:highlight w:val="none"/>
                <w:u w:val="none"/>
                <w:lang w:val="en-US" w:eastAsia="zh-CN" w:bidi="ar"/>
              </w:rPr>
            </w:r>
            <w:r/>
          </w:p>
        </w:tc>
        <w:tc>
          <w:tcPr>
            <w:gridSpan w:val="2"/>
            <w:tcW w:w="3737"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土壤类别：一、二类土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挖土深度：2m以内</w:t>
            </w:r>
            <w:r>
              <w:rPr>
                <w:rFonts w:hint="eastAsia" w:ascii="宋体" w:hAnsi="宋体" w:eastAsia="宋体" w:cs="宋体"/>
                <w:i w:val="0"/>
                <w:iCs w:val="0"/>
                <w:color w:val="000000"/>
                <w:sz w:val="21"/>
                <w:szCs w:val="21"/>
                <w:highlight w:val="none"/>
                <w:u w:val="none"/>
                <w:lang w:val="en-US" w:eastAsia="zh-CN" w:bidi="ar"/>
              </w:rPr>
            </w:r>
            <w:r/>
          </w:p>
        </w:tc>
        <w:tc>
          <w:tcPr>
            <w:gridSpan w:val="2"/>
            <w:tcW w:w="1075"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tcW w:w="910"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186.55</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gridSpan w:val="2"/>
            <w:tcW w:w="794"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ascii="宋体" w:hAnsi="宋体" w:cs="宋体"/>
                <w:b w:val="0"/>
                <w:bCs w:val="0"/>
                <w:color w:val="000000"/>
                <w:sz w:val="21"/>
                <w:szCs w:val="21"/>
                <w:highlight w:val="none"/>
                <w:vertAlign w:val="baseline"/>
                <w:lang w:val="en-US" w:eastAsia="zh-CN"/>
              </w:rPr>
            </w:r>
            <w:r/>
          </w:p>
        </w:tc>
        <w:tc>
          <w:tcPr>
            <w:gridSpan w:val="2"/>
            <w:tcW w:w="291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挖基坑土方</w:t>
            </w:r>
            <w:r>
              <w:rPr>
                <w:rFonts w:hint="eastAsia" w:ascii="宋体" w:hAnsi="宋体" w:eastAsia="宋体" w:cs="宋体"/>
                <w:i w:val="0"/>
                <w:iCs w:val="0"/>
                <w:color w:val="000000"/>
                <w:sz w:val="21"/>
                <w:szCs w:val="21"/>
                <w:highlight w:val="none"/>
                <w:u w:val="none"/>
                <w:lang w:val="en-US" w:eastAsia="zh-CN" w:bidi="ar"/>
              </w:rPr>
            </w:r>
            <w:r/>
          </w:p>
        </w:tc>
        <w:tc>
          <w:tcPr>
            <w:gridSpan w:val="2"/>
            <w:tcW w:w="3737"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土壤类别：一、二类土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挖土深度：2m以内</w:t>
            </w:r>
            <w:r>
              <w:rPr>
                <w:rFonts w:hint="eastAsia" w:ascii="宋体" w:hAnsi="宋体" w:eastAsia="宋体" w:cs="宋体"/>
                <w:i w:val="0"/>
                <w:iCs w:val="0"/>
                <w:color w:val="000000"/>
                <w:sz w:val="21"/>
                <w:szCs w:val="21"/>
                <w:highlight w:val="none"/>
                <w:u w:val="none"/>
                <w:lang w:val="en-US" w:eastAsia="zh-CN" w:bidi="ar"/>
              </w:rPr>
            </w:r>
            <w:r/>
          </w:p>
        </w:tc>
        <w:tc>
          <w:tcPr>
            <w:gridSpan w:val="2"/>
            <w:tcW w:w="1075"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tcW w:w="910"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216.29</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gridSpan w:val="2"/>
            <w:tcW w:w="794"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w:t>
            </w:r>
            <w:r>
              <w:rPr>
                <w:rFonts w:ascii="宋体" w:hAnsi="宋体" w:cs="宋体"/>
                <w:b w:val="0"/>
                <w:bCs w:val="0"/>
                <w:color w:val="000000"/>
                <w:sz w:val="21"/>
                <w:szCs w:val="21"/>
                <w:highlight w:val="none"/>
                <w:vertAlign w:val="baseline"/>
                <w:lang w:val="en-US" w:eastAsia="zh-CN"/>
              </w:rPr>
            </w:r>
            <w:r/>
          </w:p>
        </w:tc>
        <w:tc>
          <w:tcPr>
            <w:gridSpan w:val="2"/>
            <w:tcW w:w="291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lang w:val="en-US" w:eastAsia="zh-CN" w:bidi="ar"/>
              </w:rPr>
            </w:r>
            <w:r/>
          </w:p>
        </w:tc>
        <w:tc>
          <w:tcPr>
            <w:gridSpan w:val="2"/>
            <w:tcW w:w="3737"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密实度要求：符合规范要求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填方材料品种：原土回填</w:t>
            </w:r>
            <w:r>
              <w:rPr>
                <w:rFonts w:hint="eastAsia" w:ascii="宋体" w:hAnsi="宋体" w:eastAsia="宋体" w:cs="宋体"/>
                <w:i w:val="0"/>
                <w:iCs w:val="0"/>
                <w:color w:val="000000"/>
                <w:sz w:val="21"/>
                <w:szCs w:val="21"/>
                <w:highlight w:val="none"/>
                <w:u w:val="none"/>
                <w:lang w:val="en-US" w:eastAsia="zh-CN" w:bidi="ar"/>
              </w:rPr>
            </w:r>
            <w:r/>
          </w:p>
        </w:tc>
        <w:tc>
          <w:tcPr>
            <w:gridSpan w:val="2"/>
            <w:tcW w:w="1075"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tcW w:w="910"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365.69</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gridSpan w:val="2"/>
            <w:tcW w:w="794"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ascii="宋体" w:hAnsi="宋体" w:cs="宋体"/>
                <w:b w:val="0"/>
                <w:bCs w:val="0"/>
                <w:color w:val="000000"/>
                <w:sz w:val="21"/>
                <w:szCs w:val="21"/>
                <w:highlight w:val="none"/>
                <w:vertAlign w:val="baseline"/>
                <w:lang w:val="en-US" w:eastAsia="zh-CN"/>
              </w:rPr>
            </w:r>
            <w:r/>
          </w:p>
        </w:tc>
        <w:tc>
          <w:tcPr>
            <w:gridSpan w:val="2"/>
            <w:tcW w:w="291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cs="宋体"/>
                <w:b/>
                <w:bCs/>
                <w:color w:val="000000"/>
                <w:sz w:val="21"/>
                <w:szCs w:val="21"/>
                <w:highlight w:val="none"/>
                <w:vertAlign w:val="baseline"/>
                <w:lang w:val="en-US" w:eastAsia="zh-CN"/>
              </w:rPr>
            </w:r>
            <w:r/>
          </w:p>
        </w:tc>
        <w:tc>
          <w:tcPr>
            <w:gridSpan w:val="2"/>
            <w:tcW w:w="3737"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废弃料品种：开挖土方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运距：投标人自行考虑</w:t>
            </w:r>
            <w:r>
              <w:rPr>
                <w:rFonts w:hint="eastAsia" w:ascii="宋体" w:hAnsi="宋体" w:cs="宋体"/>
                <w:b/>
                <w:bCs/>
                <w:color w:val="000000"/>
                <w:sz w:val="21"/>
                <w:szCs w:val="21"/>
                <w:highlight w:val="none"/>
                <w:vertAlign w:val="baseline"/>
                <w:lang w:val="en-US" w:eastAsia="zh-CN"/>
              </w:rPr>
            </w:r>
            <w:r/>
          </w:p>
        </w:tc>
        <w:tc>
          <w:tcPr>
            <w:gridSpan w:val="2"/>
            <w:tcW w:w="1075"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cs="宋体"/>
                <w:b/>
                <w:bCs/>
                <w:color w:val="000000"/>
                <w:sz w:val="21"/>
                <w:szCs w:val="21"/>
                <w:highlight w:val="none"/>
                <w:vertAlign w:val="baseline"/>
                <w:lang w:val="en-US" w:eastAsia="zh-CN"/>
              </w:rPr>
            </w:r>
            <w:r/>
          </w:p>
        </w:tc>
        <w:tc>
          <w:tcPr>
            <w:tcW w:w="910"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37.15</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1050"/>
              <w:numPr>
                <w:ilvl w:val="0"/>
                <w:numId w:val="0"/>
              </w:numPr>
              <w:ind w:right="238"/>
              <w:jc w:val="both"/>
              <w:keepLines/>
              <w:keepNext/>
              <w:pageBreakBefore w:val="0"/>
              <w:spacing w:after="0" w:line="400" w:lineRule="exact"/>
              <w:widowControl w:val="off"/>
              <w:rPr>
                <w:rFonts w:hint="eastAsia" w:ascii="宋体" w:hAnsi="宋体" w:cs="宋体"/>
                <w:b/>
                <w:bCs/>
                <w:color w:val="000000"/>
                <w:sz w:val="21"/>
                <w:szCs w:val="21"/>
                <w:highlight w:val="none"/>
                <w:vertAlign w:val="baseline"/>
                <w:lang w:val="en-US" w:eastAsia="zh-CN"/>
              </w:rPr>
              <w:outlineLvl w:val="2"/>
            </w:pPr>
            <w:r>
              <w:rPr>
                <w:rFonts w:hint="eastAsia" w:ascii="宋体" w:hAnsi="宋体" w:cs="宋体"/>
                <w:b/>
                <w:bCs/>
                <w:color w:val="000000"/>
                <w:sz w:val="21"/>
                <w:szCs w:val="21"/>
                <w:highlight w:val="none"/>
                <w:vertAlign w:val="baseline"/>
                <w:lang w:val="en-US" w:eastAsia="zh-CN"/>
              </w:rPr>
              <w:t xml:space="preserve">虹桥区域摄像头点位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900W环保车辆人脸卡口</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新国标环保多合一补光灯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套</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ascii="宋体" w:hAnsi="宋体" w:cs="宋体"/>
                <w:b w:val="0"/>
                <w:bCs w:val="0"/>
                <w:color w:val="000000"/>
                <w:sz w:val="21"/>
                <w:szCs w:val="21"/>
                <w:highlight w:val="none"/>
                <w:vertAlign w:val="baseline"/>
                <w:lang w:val="en-US" w:eastAsia="zh-CN"/>
              </w:rPr>
            </w:r>
            <w:r/>
          </w:p>
        </w:tc>
      </w:tr>
      <w:tr>
        <w:trPr>
          <w:trHeight w:val="387"/>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全景监控球机（含支架）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路口监控终端机（用于前端汇聚存储、16T）</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抱杆箱（含电源及网络防雷）</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6</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抱杆大箱（含电源及网络防雷）</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7</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8口工业光纤交换机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电子围栏</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套</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9</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车辆采集仪</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套</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10</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雷达和视频检测器</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11</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监控区域指示牌</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t xml:space="preserve">材质、规格尺寸：1450*1810mm，铝板厚度2mm</w:t>
            </w:r>
            <w:r>
              <w:rPr>
                <w:rFonts w:hint="eastAsia" w:ascii="宋体" w:hAnsi="宋体" w:eastAsia="宋体" w:cs="宋体"/>
                <w:b w:val="0"/>
                <w:bCs w:val="0"/>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t xml:space="preserve">板面反光膜等级：Ⅲ反光膜</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块</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12</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高空瞭望球（鹰眼）</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13</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千兆交换机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功能：提供4个RJ45端口，工业级交换机</w:t>
            </w:r>
            <w:r>
              <w:rPr>
                <w:rFonts w:hint="eastAsia" w:ascii="宋体" w:hAnsi="宋体" w:eastAsia="宋体" w:cs="宋体"/>
                <w:b w:val="0"/>
                <w:bCs w:val="0"/>
                <w:i w:val="0"/>
                <w:iCs w:val="0"/>
                <w:color w:val="000000"/>
                <w:sz w:val="21"/>
                <w:szCs w:val="21"/>
                <w:highlight w:val="none"/>
                <w:u w:val="none"/>
                <w:lang w:val="en-US" w:eastAsia="zh-CN" w:bidi="ar"/>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cs="宋体"/>
                <w:b w:val="0"/>
                <w:bCs w:val="0"/>
                <w:color w:val="000000"/>
                <w:sz w:val="21"/>
                <w:szCs w:val="21"/>
                <w:highlight w:val="none"/>
                <w:vertAlign w:val="baseline"/>
                <w:lang w:val="en-US" w:eastAsia="zh-CN"/>
              </w:rPr>
            </w:r>
            <w:r/>
          </w:p>
        </w:tc>
      </w:tr>
      <w:tr>
        <w:trPr>
          <w:trHeight w:val="398"/>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14</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铜芯电力电缆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规格：ZR-RVV22-3*4</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m</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40</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15</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铜芯电力电缆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规格：ZR-RVV22-3*6</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m</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865</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16</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PE管</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1.规格：φ50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2.配置形式：明配</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m</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145</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17</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电缆排管</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1.名称：PE管</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2.规格：2*φ50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3.上敷警示红砖</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m</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385</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18</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接地极</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1.材质：镀锌角钢</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2.规格：L50*5*2500mm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3.土质：普通土</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根</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19</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杆件及基础</w:t>
            </w:r>
            <w:r>
              <w:rPr>
                <w:rFonts w:hint="eastAsia" w:ascii="宋体" w:hAnsi="宋体" w:eastAsia="宋体" w:cs="宋体"/>
                <w:b w:val="0"/>
                <w:bCs w:val="0"/>
                <w:color w:val="000000"/>
                <w:sz w:val="24"/>
                <w:szCs w:val="24"/>
                <w:highlight w:val="none"/>
                <w:lang w:val="en-US" w:eastAsia="zh-CN" w:bidi="ar-SA"/>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1.类型：T型杆件（8米）</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3.规格尺寸：主杆210-300-T6/横臂90-200-5</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4.基础、垫层：材料品种、厚度：C25砼基础，1500*1500*1800mm，上法兰400*400*18/底法兰 φ550*20，螺栓8M27；具体做法详见图纸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根</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20</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人（手）孔井</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1.材料品种：M10水泥砂浆砌筑标准机制砖，1:2水泥砂浆抹灰</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2.规格尺寸：400*400*600mm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3.盖板材质、规格：400*400mm钢纤维井盖，盖上注明“公安交警”</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4.基础、垫层：材料品种、厚度：100mm厚砂砾垫层</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座</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9</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泰兴北岸区域摄像头点位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900W环保车辆人脸卡口</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新国标环保多合一补光灯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套</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6</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全景监控球机（含支架）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套</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路口监控终端机（用于前端汇聚存储、16T）</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抱杆大箱（含电源及网络防雷）</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16口千兆工业交换机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电子围栏</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套</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车辆采集仪</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套</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雷达和视频检测器</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交通语音宣传喇叭（含授权）</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监控区域指示牌</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1.材质、规格尺寸：1450*1810mm，铝板厚度2mm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2.板面反光膜等级：Ⅲ反光膜</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块</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执法站鹰眼监控球机（含支架）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both"/>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具体要求详见技术参数中的高空瞭望球（鹰眼）</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抱杆箱（含电源及网络防雷）</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8口工业光纤交换机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台</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铜芯电力电缆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规格：ZR-RVV22-3*4</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m</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50</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铜芯电力电缆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规格：ZR-RVV22-3*6</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m</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380</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PE管</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1.规格：φ50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2.配置形式：明配</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m</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65</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电缆排管</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1.名称：PE管</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2.规格：2*φ50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3.上敷警示红砖</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m</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365</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接地极</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1.材质：镀锌角钢</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2.规格：L50*5*2500mm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3.土质：普通土</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根</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22</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杆件及基础</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1.类型：L型杆件（3米）</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3.规格尺寸：主杆210-300-T6/横臂90-160-4</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4.基础、垫层：材料品种、厚度：C25砼基础，1500*1500*1800mm，上法兰400*400*18/底法兰 φ550*20，螺栓8M27；具体做法详见图纸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根</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23</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杆件及基础</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1.类型：T型杆件（9米）</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3.规格尺寸：主杆210-300-T6/横臂90-200-5</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4.基础、垫层：材料品种、厚度：C25砼基础，1500*1500*1800mm，上法兰400*400*18/底法兰 φ550*20，螺栓8M27；具体做法详见图纸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根</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24</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人（手）孔井</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1.材料品种：M10水泥砂浆砌筑标准机制砖，1:2水泥砂浆抹灰</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2.规格尺寸：400*400*600mm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3.盖板材质、规格：400*400mm钢纤维井盖，盖上注明“公安交警”</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4.基础、垫层：材料品种、厚度：100mm厚砂砾垫层</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座</w:t>
            </w:r>
            <w:r>
              <w:rPr>
                <w:rFonts w:hint="eastAsia" w:ascii="宋体" w:hAnsi="宋体" w:eastAsia="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泰兴南出入口区域摄像头点位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900W环保车辆人脸卡口</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新国标环保多合一补光灯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全景监控球机（含支架）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路口监控终端机（用于前端汇聚存储、16T）</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抱杆箱（含电源及网络防雷）</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抱杆大箱（含电源及网络防雷）</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8口工业光纤交换机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电子围栏</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车辆采集仪</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雷达和视频检测器</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监控区域指示牌</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1.材质、规格尺寸：1450*1810mm，铝板厚度2mm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2.板面反光膜等级：Ⅲ反光膜</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高空瞭望球（鹰眼）</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千兆交换机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功能：提供4个RJ45端口，工业级交换机</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铜芯电力电缆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规格：ZR-RVV22-3*4</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PE管</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1.规格：φ50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2.配置形式：明配</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电缆排管</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1.规格：2*φ50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2.上敷警示红砖</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接地极</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1.材质：镀锌角钢</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2.规格：L50*5*2500mm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3.土质：普通土</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杆件及基础</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1.类型：T型杆件（8米）</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3.规格尺寸：主杆210-300-T6/横臂90-200-5</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4.基础、垫层：材料品种、厚度：C25砼基础，1500*1500*1800mm，上法兰400*400*18/底法兰 φ550*20，螺栓8M27；具体做法详见图纸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杆件及基础</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1.类型：L型杆件（13m）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3.规格尺寸：主杆对角290mm/400mm，厚度8mm/横臂对角140mm/280mm，厚度5mm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4.基础、垫层：材料品种、厚度：C25砼基础，1700*1700*2000mm，连接法兰450*450*18/底法兰 φ650*20，螺栓8M27；具体做法详见图纸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人（手）孔井</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1.材料品种：M10水泥砂浆砌筑标准机制砖，1:2水泥砂浆抹灰</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2.规格尺寸：400*400*600mm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3.盖板材质、规格：400*400mm钢纤维井盖，盖上注明“公安交警”</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4.基础、垫层：材料品种、厚度：100mm厚砂砾垫层</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356省道与六圩港大道路口区域摄像头点位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监控区域指示牌</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1.材质、规格尺寸：1450*1810mm，铝板厚度2mm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2.板面反光膜等级：Ⅲ反光膜</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交通语音宣传喇叭（含授权）</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全景监控球机（含支架）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标杆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非机动车道结构化相机短挑臂（含抱箍）</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腾飞路与六圩港大道路口区域摄像头点位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交通语音宣传喇叭（含授权）</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全景监控球机（含支架）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标杆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both"/>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非机动车道结构化相机短挑臂（含抱箍）</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504省道与六圩港大道路口区域摄像头点位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交通语音宣传喇叭（含授权）</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全景监控球机（含支架）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非机动车道结构化相机补光灯</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标杆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非机动车道结构化相机短挑臂（含抱箍）</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根</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cs="宋体"/>
                <w:b w:val="0"/>
                <w:bCs w:val="0"/>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504省道与江城大道路口区域摄像头点位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路段诱导屏（含屏体支架）</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诱导屏监控相机</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铜芯电力电缆</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规格：ZR-RVV22-3*6</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PE管</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2.配置形式：明配</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6</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电缆排管</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1.名称：PE管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2.规格：2*φ50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3.上敷警示红砖</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7</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材质：镀锌角钢</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规格：L50*5*2500mm</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土质：普通土</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8</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杆件及基础</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1.类型：交通诱导屏F型架</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3.规格尺寸：立柱φ402*12-10440，横梁300*200*8*8-5000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4.基础、垫层：材料品种、厚度：100mm厚C20砼垫层；C30钢筋砼基础；800*800*20mm法兰板，14M36螺栓；具体做法详见图纸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5.含钢筋、模板等全套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9</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人（手）孔井</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1.材料品种：M10水泥砂浆砌筑标准机制砖，1:2水泥砂浆抹灰</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2.规格尺寸：400*400*600mm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3.盖板材质、规格：400*400mm钢纤维井盖，盖上注明“公安交警”</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4.基础、垫层：材料品种、厚度：100mm厚砂砾垫层</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504省道与六圩港大道路口区域摄像头点位</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路段诱导屏（含屏体支架）</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诱导屏监控相机</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光纤收发器</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铜芯电力电缆</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规格：ZR-RVV22-3*10</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595</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PE管</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2.配置形式：明配</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电缆排管</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1.名称：PE管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2.规格：2*φ50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3.上敷警示红砖</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1.材质：镀锌角钢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2.规格：L50*5*</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3.土质：普通土</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1.名称：接地装置调试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2.类别：6根接地极以内</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杆件及基础</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1.类型：交通诱导屏F型架</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2.材质：Q235钢材，表面热镀锌防腐处理</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3.规格尺寸：立柱φ402*12-10440，横梁300*200*8*8-5000</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4.基础、垫层：材料品种、厚度：100mm厚C20砼垫层；C30钢筋砼基础；800*800*20mm法兰板，14M36螺栓；具体做法详见图纸</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5.含钢筋、模板等全套</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10</w:t>
            </w:r>
            <w:r>
              <w:rPr>
                <w:rFonts w:ascii="宋体" w:hAnsi="宋体" w:cs="宋体"/>
                <w:b/>
                <w:bCs/>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人（手）孔井</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1.材料品种：M10水泥砂浆砌筑标准机制砖，1:2水泥砂浆抹灰</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2.规格尺寸：400*400*600mm</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3.盖板材质、规格：400*400mm钢纤维井盖，盖上注明“公安交警”</w:t>
            </w:r>
            <w:r>
              <w:rPr>
                <w:rFonts w:hint="eastAsia" w:ascii="宋体" w:hAnsi="宋体" w:cs="宋体"/>
                <w:b w:val="0"/>
                <w:bCs w:val="0"/>
                <w:color w:val="000000"/>
                <w:sz w:val="21"/>
                <w:szCs w:val="21"/>
                <w:highlight w:val="none"/>
                <w:vertAlign w:val="baseline"/>
                <w:lang w:val="en-US" w:eastAsia="zh-CN"/>
              </w:rPr>
            </w:r>
            <w:r/>
          </w:p>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4.基础、垫层：材料品种、厚度：100mm厚砂砾垫层</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 泰常大桥</w:t>
            </w:r>
            <w:bookmarkStart w:id="280" w:name="_Toc218522914"/>
            <w:r>
              <w:rPr>
                <w:rFonts w:hint="eastAsia" w:ascii="宋体" w:hAnsi="宋体" w:cs="宋体"/>
                <w:b/>
                <w:bCs/>
                <w:color w:val="000000"/>
                <w:sz w:val="21"/>
                <w:szCs w:val="21"/>
                <w:highlight w:val="none"/>
                <w:vertAlign w:val="baseline"/>
                <w:lang w:val="en-US" w:eastAsia="zh-CN"/>
              </w:rPr>
              <w:t xml:space="preserve">350M电台基站</w:t>
            </w:r>
            <w:bookmarkEnd w:id="280"/>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bCs/>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基站设备</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名称：信道机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CHU621U3 信道机整机 U(3) 330-400MHz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i w:val="0"/>
                <w:iCs w:val="0"/>
                <w:color w:val="000000"/>
                <w:sz w:val="21"/>
                <w:szCs w:val="21"/>
                <w:highlight w:val="none"/>
                <w:u w:val="none"/>
                <w:lang w:val="en-US" w:eastAsia="zh-CN" w:bidi="ar"/>
              </w:rPr>
              <w:t xml:space="preserve">）</w:t>
            </w:r>
            <w:r>
              <w:rPr>
                <w:rFonts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基站控制器、编码器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名称：BSCU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BSC-P1B00 非群组 BSCU</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研华 COM-e平台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单元整机 P5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名称：基站控制器软件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规格：基站控制器软件V1.0(DS-6210)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直流供电单元（支持备份）</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名称：直流供电单元（支持备份）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PSU-PDA100 供电单元整机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支持备份</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DC-40～-60V输入 DC13.2V输出 12HP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基站监控配线箱</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名称：信道单元插箱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CAS-P1201 PDT基站12U屏蔽插箱</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含ICB背板单元 风扇连接板 2个走线架 支持电源热备份</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名称：FAN风扇单元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FAN-P1101 风扇单元整机 1U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机柜、机架</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名称：四载频机柜</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DC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CAB-PD29100 四载频机柜整机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含木箱、真空包装、适配12U插箱</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DC-40～-60V 29U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分路系统</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分路器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规格：DS-6210 DIU-P6D800 分路器单元整机 3U 351-356MHz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分路系统</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U3频段4载频电调合路器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规格：腔体合路器 SGR-X-CF413 高度＜8U 国人通信 频段：361-366MHz 载波带宽：25KHz 插入损耗≤3.3dB 4CH 端口隔离≥60dB 反向隔离≥50dB 功率容量≥100W/CH -20～+75℃ 电调谐型 (RoHS)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玻璃钢天线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 全向玻璃钢天线 TQJ-350C 351-368MHz 16MHz 驻波≤1.5 增益：10.1dBi 最大功率：125W N-Female Φ51*4971mm，双节 Clamp 090M（夹具另购） (RoHS) (REACH)</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馈线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名称：7/8"馈线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规格：射频线 7/8"普通馈线 50ohm 10-3000MHz 黑色 外层直径27.50mm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12</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接口卡</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名称：7/8"馈线接地件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类别：7/8自锁式室外防雷接地卡</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单孔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FIK-01-7/8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含胶泥 胶带</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13</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7/8"馈线接头</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规格：N6141G2-ATS-78-50 N型母头射频连接器 适用7/8"馈线 (RoHS) (REACH)</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14</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名称：高互调天馈避雷器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规格：ZGTT3～5N-20M 频率范围：300-520MHz 互调（2×20W）:≤-140dBc 功率：500W 最大放点电流：20KA 接头：N(F)/N(M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防护等级：IP67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15</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卫星全球定位系统天线（GPS）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规格：GPS天线 TSA1575AT4 F:1575.42±5MHz G:38dBi VSWR≤2.5 Z：50Ω V:4~6V N-F 40~75℃ (RoHS)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不带配件）</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16</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馈线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名称：1/2"馈线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规格：射频线 1/2"普通馈线 50ohm 10-3000MHz 黑色 外层直径15.80mm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接口卡</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名称：1/2"馈线接地件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类别：1/2自锁式室外防雷接地卡</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单孔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FIK-01-1/2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含胶泥 胶带</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18</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1/2"馈线接头</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规格：N射频连接器 N1141G4-001-NXATS-50 50ohm 0-11GHz -55~155℃ N型公头 62.7*21.7mm 1/2电缆头</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19</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规格：GPS天馈防雷器 MHT-N5-2 工作电压5VDC 冲击耐受能力4kV,1.2/50us 放电电流20kA,8/20us -40~70℃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射频连接器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规格：转接头射频连接器 N2071A2-NT3G-50 NM-NM Amphenol RF</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 xml:space="preserve">21</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射频线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规格：射频线 黑色 -45℃～85℃ 1/2"超柔电缆 3米 N型公头 N型公头 NM-NM-SF12-3m  50Ω DC-3GHz   VSWR≤1.15  三阶互调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≤-160dBc (RoHS) (REACH)</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gridSpan w:val="9"/>
            <w:tcW w:w="9429"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ascii="宋体" w:hAnsi="宋体" w:cs="宋体"/>
                <w:b/>
                <w:bCs/>
                <w:color w:val="000000"/>
                <w:sz w:val="21"/>
                <w:szCs w:val="21"/>
                <w:highlight w:val="none"/>
                <w:vertAlign w:val="baseline"/>
                <w:lang w:val="en-US" w:eastAsia="zh-CN"/>
              </w:rPr>
              <w:t xml:space="preserve">天星基站搬迁</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馈线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名称：7/8"馈线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规格：射频线 7/8"普通馈线 50ohm 10-3000MHz 黑色 外层直径27.50mm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b w:val="0"/>
                <w:bCs w:val="0"/>
                <w:color w:val="000000"/>
                <w:sz w:val="21"/>
                <w:szCs w:val="21"/>
                <w:highlight w:val="none"/>
                <w:vertAlign w:val="baseline"/>
                <w:lang w:val="en-US" w:eastAsia="zh-CN" w:bidi="ar-SA"/>
              </w:rPr>
            </w:r>
            <w:r/>
          </w:p>
        </w:tc>
      </w:tr>
      <w:tr>
        <w:trPr>
          <w:trHeight w:val="907"/>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接口卡</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名称：7/8"馈线接地件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类别：7/8自锁式室外防雷接地卡</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单孔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FIK-01-7/8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含胶泥胶带</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7/8"馈线接头</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规格：N6141G2-ATS-78-50 N型母头射频连接器 适用7/8"馈线 (RoHS) (REACH)</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名称：高互调天馈避雷器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规格：ZGTT3～5N-20M 频率范围：300-520MHz 互调（2×20W）</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≤-140dBc 功率：500W 最大放点电流：20KA 接头：N(F)/N(M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防护等级：IP67</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5</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卫星全球定位系统天线（GPS）</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规格：GPS天线 TSA1575AT4 F:1575.42±5MHz G:38dBi VSWR≤2.5 Z：50Ω V:4~6V N-F 40~75℃ (RoHS)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不带配件）</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6</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馈线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名称：1/2"馈线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规格：射频线 1/2"普通馈线 50ohm 10-3000MHz 黑色 外层直径15.80mm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7</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接口卡</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名称：1/2"馈线接地件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类别：1/2自锁式室外防雷接地卡(单孔) FIK-01-1/2 (含胶泥 胶带)</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1/2"馈线接头</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规格：N射频连接器 N1141G4-001-NXATS-50 50ohm 0-11GHz -55~155℃ N型公头 62.7*21.7mm 1/2电缆头</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9</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1、规格：GPS天馈防雷器 MHT-N5-2 工作电压5VDC 冲击耐受能力4kV,1.2/50us 放电电流20kA,8/20us -40~70℃</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10</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射频连接器</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规格：转接头射频连接器 N2071A2-NT3G-50 NM-NM Amphenol RF</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11</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射频线</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规格：射频线 黑色 -45℃～85℃ 1/2"超柔电缆 3米 N型公头 N型公头 NM-NM-SF12-3m  50Ω DC-3GHz   VSWR≤1.15  三阶互调:≤-160dBc (RoHS) (REACH)</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b w:val="0"/>
                <w:bCs w:val="0"/>
                <w:color w:val="000000"/>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color w:val="000000"/>
                <w:sz w:val="21"/>
                <w:szCs w:val="21"/>
                <w:highlight w:val="none"/>
                <w:vertAlign w:val="baseline"/>
                <w:lang w:val="en-US" w:eastAsia="zh-CN" w:bidi="ar-SA"/>
              </w:rPr>
            </w:r>
            <w:r/>
          </w:p>
        </w:tc>
      </w:tr>
      <w:tr>
        <w:trPr>
          <w:trHeight w:val="420"/>
        </w:trPr>
        <w:tc>
          <w:tcPr>
            <w:gridSpan w:val="9"/>
            <w:tcW w:w="9429"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警务方舱</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序号</w:t>
            </w:r>
            <w:r>
              <w:rPr>
                <w:rFonts w:hint="eastAsia" w:ascii="宋体" w:hAnsi="宋体" w:eastAsia="宋体" w:cs="宋体"/>
                <w:b/>
                <w:bCs/>
                <w:color w:val="000000"/>
                <w:sz w:val="21"/>
                <w:szCs w:val="21"/>
                <w:highlight w:val="none"/>
                <w:vertAlign w:val="baseline"/>
                <w:lang w:val="en-US" w:eastAsia="zh-CN" w:bidi="ar-SA"/>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设备名称</w:t>
            </w:r>
            <w:r>
              <w:rPr>
                <w:rFonts w:hint="eastAsia" w:ascii="宋体" w:hAnsi="宋体" w:eastAsia="宋体" w:cs="宋体"/>
                <w:b/>
                <w:bCs/>
                <w:color w:val="000000"/>
                <w:sz w:val="21"/>
                <w:szCs w:val="21"/>
                <w:highlight w:val="none"/>
                <w:vertAlign w:val="baseline"/>
                <w:lang w:val="en-US" w:eastAsia="zh-CN" w:bidi="ar-SA"/>
              </w:rPr>
            </w:r>
            <w:r/>
          </w:p>
        </w:tc>
        <w:tc>
          <w:tcPr>
            <w:gridSpan w:val="2"/>
            <w:tcW w:w="3750"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规格、型号</w:t>
            </w:r>
            <w:r>
              <w:rPr>
                <w:rFonts w:hint="eastAsia" w:ascii="宋体" w:hAnsi="宋体" w:eastAsia="宋体" w:cs="宋体"/>
                <w:b/>
                <w:bCs/>
                <w:color w:val="000000"/>
                <w:sz w:val="21"/>
                <w:szCs w:val="21"/>
                <w:highlight w:val="none"/>
                <w:vertAlign w:val="baseline"/>
                <w:lang w:val="en-US" w:eastAsia="zh-CN" w:bidi="ar-SA"/>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gridSpan w:val="2"/>
            <w:tcW w:w="952" w:type="dxa"/>
            <w:vAlign w:val="center"/>
            <w:textDirection w:val="lrTb"/>
            <w:noWrap w:val="false"/>
          </w:tcPr>
          <w:p>
            <w:pPr>
              <w:pStyle w:val="925"/>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pPr>
            <w:r>
              <w:rPr>
                <w:rFonts w:hint="eastAsia" w:cs="宋体"/>
                <w:b/>
                <w:bCs/>
                <w:color w:val="000000"/>
                <w:highlight w:val="none"/>
              </w:rPr>
              <w:t xml:space="preserve">数量</w:t>
            </w:r>
            <w:r>
              <w:rPr>
                <w:rFonts w:hint="eastAsia" w:ascii="宋体" w:hAnsi="宋体" w:eastAsia="宋体" w:cs="宋体"/>
                <w:b/>
                <w:bCs/>
                <w:color w:val="000000"/>
                <w:sz w:val="21"/>
                <w:szCs w:val="21"/>
                <w:highlight w:val="none"/>
                <w:vertAlign w:val="baseline"/>
                <w:lang w:val="en-US" w:eastAsia="zh-CN" w:bidi="ar-SA"/>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警务方舱</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具体要求详见《技术参数》</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1.土壤类别：一、二类土</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768</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1.垫层材料种类、配合比、厚度：300mm厚砖渣垫层</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230.4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4</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1.垫层材料种类、配合比、厚度：100mm厚碎石垫层</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76.8</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5</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水泥混凝土路面</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2.厚度：25cm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3.含随捣随抹、模板、养护、锯缝等</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768</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6</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标线</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1.材料品种：冷漆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2.线型：15cm实线</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7</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明沟</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沟截面尺寸：400*295mm</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垫层材料种类、厚度：50mm厚再生碎石</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石料种类、规格：块石</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砂浆强度等级、配合比：30mm厚1:3水泥砂浆</w:t>
            </w:r>
            <w:r>
              <w:rPr>
                <w:rFonts w:hint="eastAsia" w:ascii="宋体" w:hAnsi="宋体" w:eastAsia="宋体" w:cs="宋体"/>
                <w:i w:val="0"/>
                <w:iCs w:val="0"/>
                <w:color w:val="000000"/>
                <w:sz w:val="21"/>
                <w:szCs w:val="21"/>
                <w:highlight w:val="none"/>
                <w:u w:val="none"/>
                <w:lang w:val="en-US" w:eastAsia="zh-CN" w:bidi="ar"/>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r>
            <w:r/>
          </w:p>
        </w:tc>
        <w:tc>
          <w:tcPr>
            <w:gridSpan w:val="2"/>
            <w:tcW w:w="952" w:type="dxa"/>
            <w:vAlign w:val="center"/>
            <w:textDirection w:val="lrTb"/>
            <w:noWrap w:val="false"/>
          </w:tcPr>
          <w:p>
            <w:pPr>
              <w:pStyle w:val="925"/>
              <w:jc w:val="center"/>
              <w:keepLines w:val="0"/>
              <w:keepNext w:val="0"/>
              <w:spacing w:after="0"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ascii="宋体" w:hAnsi="宋体" w:eastAsia="宋体" w:cs="宋体"/>
                <w:i w:val="0"/>
                <w:iCs w:val="0"/>
                <w:color w:val="000000"/>
                <w:sz w:val="21"/>
                <w:szCs w:val="21"/>
                <w:highlight w:val="none"/>
                <w:u w:val="none"/>
                <w:lang w:val="en-US" w:eastAsia="zh-CN" w:bidi="ar"/>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8</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挖基坑土方</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土壤类别：一、二类土</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挖土深度：2m内</w:t>
            </w:r>
            <w:r>
              <w:rPr>
                <w:rFonts w:hint="eastAsia" w:ascii="宋体" w:hAnsi="宋体" w:eastAsia="宋体" w:cs="宋体"/>
                <w:i w:val="0"/>
                <w:iCs w:val="0"/>
                <w:color w:val="000000"/>
                <w:sz w:val="21"/>
                <w:szCs w:val="21"/>
                <w:highlight w:val="none"/>
                <w:u w:val="none"/>
                <w:lang w:val="en-US" w:eastAsia="zh-CN" w:bidi="ar"/>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32.18</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9</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密实度要求：基（槽）坑夯填，满足设计和规范的要求</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填方来源、运距：原土回填</w:t>
            </w:r>
            <w:r>
              <w:rPr>
                <w:rFonts w:hint="eastAsia" w:ascii="宋体" w:hAnsi="宋体" w:eastAsia="宋体" w:cs="宋体"/>
                <w:i w:val="0"/>
                <w:iCs w:val="0"/>
                <w:color w:val="000000"/>
                <w:sz w:val="21"/>
                <w:szCs w:val="21"/>
                <w:highlight w:val="none"/>
                <w:u w:val="none"/>
                <w:lang w:val="en-US" w:eastAsia="zh-CN" w:bidi="ar"/>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13.32</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10</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垫层材料种类、配合比、厚度：100mm厚再生碎石垫层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部位：化粪池垫层</w:t>
            </w:r>
            <w:r>
              <w:rPr>
                <w:rFonts w:hint="eastAsia" w:ascii="宋体" w:hAnsi="宋体" w:eastAsia="宋体" w:cs="宋体"/>
                <w:i w:val="0"/>
                <w:iCs w:val="0"/>
                <w:color w:val="000000"/>
                <w:sz w:val="21"/>
                <w:szCs w:val="21"/>
                <w:highlight w:val="none"/>
                <w:u w:val="none"/>
                <w:lang w:val="en-US" w:eastAsia="zh-CN" w:bidi="ar"/>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0.92</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11</w:t>
            </w:r>
            <w:r>
              <w:rPr>
                <w:rFonts w:ascii="宋体" w:hAnsi="宋体" w:eastAsia="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化粪池</w:t>
            </w:r>
            <w:r>
              <w:rPr>
                <w:rFonts w:hint="eastAsia" w:ascii="宋体" w:hAnsi="宋体" w:eastAsia="宋体" w:cs="宋体"/>
                <w:i w:val="0"/>
                <w:iCs w:val="0"/>
                <w:color w:val="000000"/>
                <w:sz w:val="21"/>
                <w:szCs w:val="21"/>
                <w:highlight w:val="none"/>
                <w:u w:val="none"/>
                <w:lang w:val="en-US" w:eastAsia="zh-CN" w:bidi="ar"/>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6#玻璃钢化粪池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含配套井筒、井盖、连接管道等所有费用等全套</w:t>
            </w:r>
            <w:r>
              <w:rPr>
                <w:rFonts w:hint="eastAsia" w:ascii="宋体" w:hAnsi="宋体" w:eastAsia="宋体" w:cs="宋体"/>
                <w:i w:val="0"/>
                <w:iCs w:val="0"/>
                <w:color w:val="000000"/>
                <w:sz w:val="21"/>
                <w:szCs w:val="21"/>
                <w:highlight w:val="none"/>
                <w:u w:val="none"/>
                <w:lang w:val="en-US" w:eastAsia="zh-CN" w:bidi="ar"/>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lang w:val="en-US" w:eastAsia="zh-CN" w:bidi="ar"/>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12</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名称：方舱配电箱(含电表)</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安装方式：挂墙安装</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60A/220V输入,输出不少于32A/220V*2,16A/220V*8</w:t>
            </w:r>
            <w:r>
              <w:rPr>
                <w:rFonts w:hint="eastAsia" w:ascii="宋体" w:hAnsi="宋体" w:eastAsia="宋体" w:cs="宋体"/>
                <w:i w:val="0"/>
                <w:iCs w:val="0"/>
                <w:color w:val="000000"/>
                <w:sz w:val="21"/>
                <w:szCs w:val="21"/>
                <w:highlight w:val="none"/>
                <w:u w:val="none"/>
                <w:lang w:val="en-US" w:eastAsia="zh-CN" w:bidi="ar"/>
              </w:rPr>
            </w:r>
            <w:r/>
          </w:p>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含箱体内部所有元器件、仪表、电力智能表等；接地，含浪涌保护及保护器；箱内部接线；含接线端子等</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13</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名称：铜芯电力电缆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规格：ZR-RVV22-3*25</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14</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名称：PE管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配置形式：明配</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15</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电缆排管</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名称：PE管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规格：2*φ50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上敷警示红砖</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16</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人（手）孔井</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材料品种：M10水泥砂浆砌筑标准机制砖,1:2水泥砂浆抹灰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规格尺寸：400*400*600mm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盖板材质、规格：400*400mm钢纤维井盖,盖上注明“公安交警”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基础、垫层：材料品种、厚度：100mm厚砂砾垫层</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17</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管沟土方</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土壤类别：一、二类土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挖沟深度：1m内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回填要求：夯填</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71.4</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18</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安装部位：室外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介质：给水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材质、规格：PE给水管,DN32,含管件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连接形式：热熔连接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压力试验及吹、洗设计要求：管道消毒、冲洗</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560</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19</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螺纹阀门</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类型：止回阀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规格、压力等级：DN32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连接形式：螺纹连接</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20</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水表</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1、安装部位（室内外）：室外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2、型号、规格：DN32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3、连接形式：螺纹连接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4、附件配置：配套1个截止阀</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组(个)</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21</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水表井</w:t>
            </w:r>
            <w:r>
              <w:rPr>
                <w:rFonts w:hint="eastAsia"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材料品种：PE水表井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规格尺寸：500*300*250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盖板材质、规格：500*500复合井盖（标注交警）</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gridSpan w:val="9"/>
            <w:tcW w:w="9429" w:type="dxa"/>
            <w:vAlign w:val="center"/>
            <w:textDirection w:val="lrTb"/>
            <w:noWrap w:val="false"/>
          </w:tcPr>
          <w:p>
            <w:pPr>
              <w:pStyle w:val="925"/>
              <w:jc w:val="both"/>
              <w:spacing w:after="0" w:line="240" w:lineRule="auto"/>
              <w:widowControl/>
              <w:rPr>
                <w:rFonts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其他</w:t>
            </w:r>
            <w:r>
              <w:rPr>
                <w:rFonts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cs="宋体"/>
                <w:b/>
                <w:bCs/>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ascii="宋体" w:hAnsi="宋体" w:cs="宋体"/>
                <w:b/>
                <w:bCs/>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建筑安装费</w:t>
            </w:r>
            <w:r>
              <w:rPr>
                <w:rFonts w:ascii="宋体" w:hAnsi="宋体" w:cs="宋体"/>
                <w:b/>
                <w:bCs/>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both"/>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包含土方开挖、土方回填、余方弃置、设备安装调试、升降车、吊车费用、脚手架搭拆、排水、降水、基站搬迁调试费及为完成该项目的其他辅材等费用</w:t>
            </w:r>
            <w:r>
              <w:rPr>
                <w:rFonts w:hint="eastAsia" w:ascii="宋体" w:hAnsi="宋体" w:cs="宋体"/>
                <w:b/>
                <w:bCs/>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项</w:t>
            </w:r>
            <w:r>
              <w:rPr>
                <w:rFonts w:hint="eastAsia" w:ascii="宋体" w:hAnsi="宋体" w:cs="宋体"/>
                <w:b/>
                <w:bCs/>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spacing w:after="0" w:line="240" w:lineRule="auto"/>
              <w:widowControl/>
              <w:rPr>
                <w:rFonts w:hint="eastAsia" w:ascii="宋体" w:hAnsi="宋体" w:cs="宋体"/>
                <w:b/>
                <w:bCs/>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hint="eastAsia" w:ascii="宋体" w:hAnsi="宋体" w:cs="宋体"/>
                <w:b/>
                <w:bCs/>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网络费</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网络租赁（5年）</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条</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cs="宋体"/>
                <w:b w:val="0"/>
                <w:bCs w:val="0"/>
                <w:color w:val="000000"/>
                <w:sz w:val="21"/>
                <w:szCs w:val="21"/>
                <w:highlight w:val="none"/>
                <w:vertAlign w:val="baseline"/>
                <w:lang w:val="en-US" w:eastAsia="zh-CN"/>
              </w:rPr>
            </w:r>
            <w:r/>
          </w:p>
        </w:tc>
      </w:tr>
      <w:tr>
        <w:trPr>
          <w:trHeight w:val="420"/>
        </w:trPr>
        <w:tc>
          <w:tcPr>
            <w:tcW w:w="777" w:type="dxa"/>
            <w:vAlign w:val="center"/>
            <w:textDirection w:val="lrTb"/>
            <w:noWrap w:val="false"/>
          </w:tcPr>
          <w:p>
            <w:pPr>
              <w:pStyle w:val="925"/>
              <w:jc w:val="center"/>
              <w:spacing w:after="0" w:line="240" w:lineRule="auto"/>
              <w:widowControl/>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3</w:t>
            </w:r>
            <w:r>
              <w:rPr>
                <w:rFonts w:ascii="宋体" w:hAnsi="宋体" w:cs="宋体"/>
                <w:b w:val="0"/>
                <w:bCs w:val="0"/>
                <w:color w:val="000000"/>
                <w:sz w:val="21"/>
                <w:szCs w:val="21"/>
                <w:highlight w:val="none"/>
                <w:vertAlign w:val="baseline"/>
                <w:lang w:val="en-US" w:eastAsia="zh-CN"/>
              </w:rPr>
            </w:r>
            <w:r/>
          </w:p>
        </w:tc>
        <w:tc>
          <w:tcPr>
            <w:gridSpan w:val="2"/>
            <w:tcW w:w="2887" w:type="dxa"/>
            <w:vAlign w:val="center"/>
            <w:textDirection w:val="lrTb"/>
            <w:noWrap w:val="false"/>
          </w:tcPr>
          <w:p>
            <w:pPr>
              <w:pStyle w:val="925"/>
              <w:jc w:val="center"/>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维保费</w:t>
            </w:r>
            <w:r>
              <w:rPr>
                <w:rFonts w:hint="eastAsia" w:ascii="宋体" w:hAnsi="宋体" w:cs="宋体"/>
                <w:b w:val="0"/>
                <w:bCs w:val="0"/>
                <w:color w:val="000000"/>
                <w:sz w:val="21"/>
                <w:szCs w:val="21"/>
                <w:highlight w:val="none"/>
                <w:vertAlign w:val="baseline"/>
                <w:lang w:val="en-US" w:eastAsia="zh-CN"/>
              </w:rPr>
            </w:r>
            <w:r/>
          </w:p>
        </w:tc>
        <w:tc>
          <w:tcPr>
            <w:gridSpan w:val="2"/>
            <w:tcW w:w="3750" w:type="dxa"/>
            <w:vAlign w:val="center"/>
            <w:textDirection w:val="lrTb"/>
            <w:noWrap w:val="false"/>
          </w:tcPr>
          <w:p>
            <w:pPr>
              <w:pStyle w:val="925"/>
              <w:jc w:val="left"/>
              <w:spacing w:after="0" w:line="240" w:lineRule="auto"/>
              <w:widowControl/>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前端设备维保费（5年）</w:t>
            </w:r>
            <w:r>
              <w:rPr>
                <w:rFonts w:hint="eastAsia" w:ascii="宋体" w:hAnsi="宋体" w:cs="宋体"/>
                <w:b w:val="0"/>
                <w:bCs w:val="0"/>
                <w:color w:val="000000"/>
                <w:sz w:val="21"/>
                <w:szCs w:val="21"/>
                <w:highlight w:val="none"/>
                <w:vertAlign w:val="baseline"/>
                <w:lang w:val="en-US" w:eastAsia="zh-CN"/>
              </w:rPr>
            </w:r>
            <w:r/>
          </w:p>
        </w:tc>
        <w:tc>
          <w:tcPr>
            <w:gridSpan w:val="2"/>
            <w:tcW w:w="1063"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点</w:t>
            </w:r>
            <w:r>
              <w:rPr>
                <w:rFonts w:hint="eastAsia" w:ascii="宋体" w:hAnsi="宋体" w:cs="宋体"/>
                <w:b w:val="0"/>
                <w:bCs w:val="0"/>
                <w:color w:val="000000"/>
                <w:sz w:val="21"/>
                <w:szCs w:val="21"/>
                <w:highlight w:val="none"/>
                <w:vertAlign w:val="baseline"/>
                <w:lang w:val="en-US" w:eastAsia="zh-CN"/>
              </w:rPr>
            </w:r>
            <w:r/>
          </w:p>
        </w:tc>
        <w:tc>
          <w:tcPr>
            <w:gridSpan w:val="2"/>
            <w:tcW w:w="952" w:type="dxa"/>
            <w:vAlign w:val="center"/>
            <w:textDirection w:val="lrTb"/>
            <w:noWrap w:val="false"/>
          </w:tcPr>
          <w:p>
            <w:pPr>
              <w:pStyle w:val="925"/>
              <w:jc w:val="center"/>
              <w:keepLines w:val="0"/>
              <w:keepNext w:val="0"/>
              <w:spacing w:after="0" w:line="240" w:lineRule="auto"/>
              <w:widowControl/>
              <w:rPr>
                <w:rFonts w:hint="eastAsia" w:ascii="宋体" w:hAnsi="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45</w:t>
            </w:r>
            <w:r>
              <w:rPr>
                <w:rFonts w:hint="eastAsia" w:ascii="宋体" w:hAnsi="宋体" w:cs="宋体"/>
                <w:b w:val="0"/>
                <w:bCs w:val="0"/>
                <w:color w:val="000000"/>
                <w:sz w:val="21"/>
                <w:szCs w:val="21"/>
                <w:highlight w:val="none"/>
                <w:vertAlign w:val="baseline"/>
                <w:lang w:val="en-US" w:eastAsia="zh-CN"/>
              </w:rPr>
            </w:r>
            <w:r/>
          </w:p>
        </w:tc>
      </w:tr>
    </w:tbl>
    <w:p>
      <w:pPr>
        <w:pStyle w:val="1050"/>
        <w:numPr>
          <w:ilvl w:val="0"/>
          <w:numId w:val="0"/>
        </w:numPr>
        <w:ind w:right="238"/>
        <w:jc w:val="both"/>
        <w:keepLines/>
        <w:keepNext/>
        <w:pageBreakBefore w:val="0"/>
        <w:spacing w:line="360" w:lineRule="auto"/>
        <w:widowControl w:val="off"/>
        <w:rPr>
          <w:rFonts w:hint="eastAsia"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四、技术参数</w:t>
      </w:r>
      <w:r>
        <w:rPr>
          <w:rFonts w:hint="eastAsia" w:ascii="宋体" w:hAnsi="宋体" w:cs="宋体"/>
          <w:b/>
          <w:bCs/>
          <w:color w:val="000000"/>
          <w:sz w:val="24"/>
          <w:szCs w:val="24"/>
          <w:highlight w:val="none"/>
          <w:lang w:val="en-US" w:eastAsia="zh-CN"/>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0"/>
      </w:pPr>
      <w:r/>
      <w:bookmarkStart w:id="281" w:name="_Toc218522890"/>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一</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rPr>
        <w:t xml:space="preserve">监控设备</w:t>
      </w:r>
      <w:bookmarkEnd w:id="281"/>
      <w:r>
        <w:rPr>
          <w:rFonts w:hint="eastAsia" w:ascii="宋体" w:hAnsi="宋体" w:eastAsia="宋体"/>
          <w:b/>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2" w:name="_Toc218522891"/>
      <w:r>
        <w:rPr>
          <w:rFonts w:hint="eastAsia" w:ascii="宋体" w:hAnsi="宋体" w:eastAsia="宋体"/>
          <w:b/>
          <w:sz w:val="21"/>
          <w:szCs w:val="21"/>
          <w:highlight w:val="none"/>
          <w:lang w:val="en-US" w:eastAsia="zh-CN"/>
        </w:rPr>
        <w:t xml:space="preserve">1.1   </w:t>
      </w:r>
      <w:r>
        <w:rPr>
          <w:rFonts w:hint="eastAsia" w:ascii="宋体" w:hAnsi="宋体" w:eastAsia="宋体"/>
          <w:b/>
          <w:sz w:val="21"/>
          <w:szCs w:val="21"/>
          <w:highlight w:val="none"/>
        </w:rPr>
        <w:t xml:space="preserve">900W环保车辆人脸卡口</w:t>
      </w:r>
      <w:bookmarkEnd w:id="282"/>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包含900万高清智能摄像机、高清镜头、单元防护罩、内置LED补光灯、相机内置网络防雷器、电源适配器等。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图像传感器：采用1英寸GMOS。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设备应采用深度学习芯片。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366091"/>
          <w:sz w:val="21"/>
          <w:szCs w:val="21"/>
          <w:highlight w:val="none"/>
        </w:rPr>
        <w:t xml:space="preserve">★</w:t>
      </w:r>
      <w:r>
        <w:rPr>
          <w:rFonts w:hint="eastAsia" w:ascii="宋体" w:hAnsi="宋体" w:eastAsia="宋体"/>
          <w:bCs/>
          <w:color w:val="000000"/>
          <w:sz w:val="21"/>
          <w:szCs w:val="21"/>
          <w:highlight w:val="none"/>
        </w:rPr>
        <w:t xml:space="preserve">设备的镜头和两个sensor一体化设计，具有独立三角分光棱镜分光结构装置，分别接收可见光和红外光。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支持主码流同时输出不少于30路4096×2160、2Mbps的25帧/s图像以提供客户端浏览。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最大图像尺寸：≥4096×2160像素；字符叠加时最大可支持4096×2800。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抓拍支持输出三张同时刻目标图片，包括可见光路图片（全彩），红外路图片（黑白）和融合图片（全彩），三张图片抓拍时间为同一时刻，抓拍运动目标，三张图片中目标位置相同无位移。</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支持车辆抓拍，支持抓拍输出车牌局部照片、车窗局部照片、非机动车局部照片、场景全景图片。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支持不系安全带违法抓拍，可配置是否抓拍大型车。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护罩玻璃透光率≥99%。</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lang w:eastAsia="zh-CN"/>
        </w:rPr>
      </w:pPr>
      <w:r>
        <w:rPr>
          <w:rFonts w:hint="eastAsia" w:ascii="宋体" w:hAnsi="宋体" w:eastAsia="宋体"/>
          <w:bCs/>
          <w:color w:val="366091"/>
          <w:sz w:val="21"/>
          <w:szCs w:val="21"/>
          <w:highlight w:val="none"/>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bCs/>
          <w:color w:val="366091"/>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未叠加字符信息抓图分辨率：4096像素×2160像素；叠加字符信息抓图分辨率：4096像素×4312像素。</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支持车牌黑/白名单设置，最大可设置90万条黑/ 白名单。</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366091"/>
          <w:sz w:val="21"/>
          <w:szCs w:val="21"/>
          <w:highlight w:val="none"/>
        </w:rPr>
        <w:t xml:space="preserve">★</w:t>
      </w:r>
      <w:r>
        <w:rPr>
          <w:rFonts w:hint="eastAsia" w:ascii="宋体" w:hAnsi="宋体" w:eastAsia="宋体"/>
          <w:bCs/>
          <w:color w:val="000000"/>
          <w:sz w:val="21"/>
          <w:szCs w:val="21"/>
          <w:highlight w:val="none"/>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支持识别不少于50种车型，识别车标类型≥460种；在天气晴朗无雾，车辆无遮挡，白天环境光照度不低于200lx，夜晚辅助光照度不高于30lx的情况下进行测试；白天车标识别准确率≥99%；晚上车标识别准确率≥99%。</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设备可在左右45°范围内识别机动车车辆特征，包括车牌号码、车身颜色、车辆类型。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支持黄标车标志检测、异常车牌、夜间未开车灯、行人人脸检测、非机动车驾驶员属性、车窗内挂件识别、年检贴检测、危险品车检测、车身副颜色等多种检测识别功能。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支持抓拍图OSD时间信息和对应视频画面OSD时间信息一致。支持抓拍图OSD时间信息和对应视频画面OSD时间信息一致，新能源车辆抓拍图支持叠加“黄绿”和“渐绿”车牌颜色信息。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正常违章行为优先级抓拍功能，支持根据现场违章抓拍需求通过web界面设置事件优先度，事件优先度1-18可设，设置后可按事件优先度进行违章抓拍及图片存储。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抓拍图片具备智能压缩技术，可以保证在主体目标清晰的情况下压缩图片整体大小，平均压缩率可达到原图大小的30%。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支持车辆子品牌识别并显示相应的年款，车头≥7500种，车尾≥3900种。</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支持按车道和时间段配置机动车违法检测抓拍规则，包括压线、违法变道、不按导向行驶</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支持设置车辆抓拍位置到立杆的架设距离、设备架设高度，并在视频图像中显示位置信息。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车牌识别功能检查 ：支持对25×10 像素～1100×3000 像素的机动车车牌进行抓拍并识别号码； 支持抓拍并识别垂直倾斜角度≤45°、水平倾斜角度≤35°、俯仰角度≤40°的机动车车牌号码。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★支持检测并跟踪指定区域内不少于 245 个目标，目标包括机动车、非机动车以及行人。 </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占用非机动车道、倒车、闯红灯、不按规定车道行驶、占用公交车道、逆行、违反禁止左/右转、违法掉头、违反禁货车通行。</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外壳防护等级应不低于IP66。</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3" w:name="_Hlk218501462"/>
      <w:r/>
      <w:bookmarkStart w:id="284" w:name="_Toc218522892"/>
      <w:r>
        <w:rPr>
          <w:rFonts w:hint="eastAsia" w:ascii="宋体" w:hAnsi="宋体" w:eastAsia="宋体"/>
          <w:b/>
          <w:sz w:val="21"/>
          <w:szCs w:val="21"/>
          <w:highlight w:val="none"/>
          <w:lang w:val="en-US" w:eastAsia="zh-CN"/>
        </w:rPr>
        <w:t xml:space="preserve">1.2   </w:t>
      </w:r>
      <w:r>
        <w:rPr>
          <w:rFonts w:hint="eastAsia" w:ascii="宋体" w:hAnsi="宋体" w:eastAsia="宋体"/>
          <w:b/>
          <w:sz w:val="21"/>
          <w:szCs w:val="21"/>
          <w:highlight w:val="none"/>
        </w:rPr>
        <w:t xml:space="preserve">新国标环保多合一补光灯</w:t>
      </w:r>
      <w:bookmarkEnd w:id="283"/>
      <w:r/>
      <w:bookmarkEnd w:id="284"/>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符合GA/T 1202-2022《交通技术监控成像补光装置通用技术条件》要求。</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铝合金灯体，鳍片式散热结构，面罩采用特殊工艺的耐高温的PC材料，透光效果好。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采用24颗原装高亮度暖光LED光源，寿命长，稳定性好，发光效率高。</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气体灯管采用大尺寸高功率氙气灯管，质量可靠，寿命长。</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经专业光学设计，发光均匀，目标光斑显明，有效减少光污染。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LED控制采用先进的恒流驱动技术，电流控制准确、稳定，产品稳定性好、可靠性高，有效减少光衰。</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气体光源回电时间≤50ms，支持超速连拍。</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气体补光控制具有峰值抑制功能。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支持LED频闪、LED爆闪、白光气体爆闪。</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支持相机误触发保护功能，触发信号输入异常时自动保护、且自动恢复。</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灯体自主设计，设计新颖别致、适应性强，安装简单，调节方便。</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结构采用IP65设计，增加透气孔，保持内外压强均衡，可靠防水、防尘。</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不含有害金属铅、汞，绿色环保。</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佩带LED光栅，可有效减少光污染。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具有光敏，支持白天和晚上两档亮度，可通过RS485调节亮度值。</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电平量触发（可定制开关量触发）。</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电源：220VAC±10%。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防护等级IP66。</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为保证系统兼容，与卡口抓拍单元同一品牌。</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5" w:name="_Toc218522893"/>
      <w:r>
        <w:rPr>
          <w:rFonts w:hint="eastAsia" w:ascii="宋体" w:hAnsi="宋体" w:eastAsia="宋体"/>
          <w:b/>
          <w:sz w:val="21"/>
          <w:szCs w:val="21"/>
          <w:highlight w:val="none"/>
          <w:lang w:val="en-US" w:eastAsia="zh-CN"/>
        </w:rPr>
        <w:t xml:space="preserve">1.3   </w:t>
      </w:r>
      <w:r>
        <w:rPr>
          <w:rFonts w:hint="eastAsia" w:ascii="宋体" w:hAnsi="宋体" w:eastAsia="宋体"/>
          <w:b/>
          <w:sz w:val="21"/>
          <w:szCs w:val="21"/>
          <w:highlight w:val="none"/>
        </w:rPr>
        <w:t xml:space="preserve">全景监控球机（含支架，支持公安及交警2种使用场景）</w:t>
      </w:r>
      <w:bookmarkEnd w:id="285"/>
      <w:r>
        <w:rPr>
          <w:rFonts w:hint="eastAsia" w:ascii="宋体" w:hAnsi="宋体" w:eastAsia="宋体"/>
          <w:b/>
          <w:sz w:val="21"/>
          <w:szCs w:val="21"/>
          <w:highlight w:val="none"/>
        </w:rPr>
      </w:r>
      <w:r/>
    </w:p>
    <w:p>
      <w:pPr>
        <w:pStyle w:val="1024"/>
        <w:ind w:left="440" w:firstLine="0"/>
        <w:jc w:val="left"/>
        <w:keepLines w:val="0"/>
        <w:keepNext w:val="0"/>
        <w:pageBreakBefore w:val="0"/>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公安场景：</w:t>
      </w:r>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600万全景400万细节拼接全景枪球，采用全景双镜头拼接设计，兼顾全景细节。</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内置不少于2个GPU芯片。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摄像机内置不少于3个镜头，可输出至少1路全景视频图像和1路细节视频图像，全景视频图像内置2个镜头，细节视频图像内置1个镜头</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★全景摄像机分辨率不低于3680 × 1656，细节摄像机分辨率不低于2688 × 1520。</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全景通道和细节通道镜头支持最低照度可达彩色0.0002 lx，黑白0.0001 lx。</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全景视频图像内置2个镜头，光圈不小于F1.0，具有不小于1/1.8靶面尺寸，内置4颗补光灯。细节视频图像内置1个镜头，具有不小于1/1.8靶面尺寸，内置10颗红外补光灯及1颗白光灯</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细节通道内置镜头，支持不小于33倍光学变倍，镜头最大焦距不小于200mm。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全景通道可进行垂直旋转，旋转范围不低于12°可调。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红外距离不小于250米。</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支持水平旋转范围360°连续旋转，垂直旋转范围-20°~90°。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全景通道可输出两个镜头无缝拼接的全景图像，拼接偏差像素不大于4个像素，全景画面水平视场角不小于190°，垂直视场角不小于80°。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可从诊断信息中导出云台控制历史记录，包括：手动键控PTZ、3D定位、手动调用预置点、手动调用花扫、手动调用巡航。</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具备闪光灯报警输出功能，可设置闪光灯闪烁时间（1-300），闪烁频率（高、中、低、常亮），亮度（1-100），当监控画面中有目标触发区域入侵侦测、越界侦测、进入区域侦测、离开区域侦测等报警时，可联动白光灯闪烁进行报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设备全景通道可对设定区域进行布防，当检测到目标时联动细节摄像机可对目标进行跟踪及报警。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在设备上方使用手持喷淋装置对设备进行喷水操作，水流方向与水平方向夹角大于等于42°时，设备视窗应无水流直接接触。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设备具备布控接力跟踪功能，多台设备外接平台并布控成功后，当布控人脸和车牌目标经过监控区域内时，监控区域所属的设备应按照人脸和车牌目标经过顺序进行跟踪，并可通过平台持续显示视频图像。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设备可通过预置位设置16个预置违法检测场景，每个场景内可设置8条违法检测规则。</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设备全景通道支持拼接畸变矫正，可分别对全景拼接画面的畸变、姿态角、旋转角进行调节（1-100可调），优化拼接效果。</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支持违法取证图片单张上传或者多张合成上传，合成图片的数量（1~4张可选）可配置。道路事件检测：（1）高速、高架场景道路事件检测：支持细节路抛洒物检测、行人检测、拥堵检测、路障检测、施工检测、交通事故检测；（2）城市道路场景道路事件检测：支持细节路拥堵检测、路障检测、施工检测、交通事故检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支持7路报警输入接口，2路报警输出接口，支持1路音频输入和输出接口。</w:t>
      </w:r>
      <w:r>
        <w:rPr>
          <w:rFonts w:hint="eastAsia" w:ascii="宋体" w:hAnsi="宋体" w:eastAsia="宋体"/>
          <w:bCs/>
          <w:color w:val="000000"/>
          <w:sz w:val="21"/>
          <w:szCs w:val="21"/>
          <w:highlight w:val="none"/>
        </w:rPr>
      </w:r>
      <w:r/>
    </w:p>
    <w:p>
      <w:pPr>
        <w:pStyle w:val="1024"/>
        <w:ind w:left="440" w:firstLine="0"/>
        <w:jc w:val="left"/>
        <w:keepLines w:val="0"/>
        <w:keepNext w:val="0"/>
        <w:pageBreakBefore w:val="0"/>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交警场景：</w:t>
      </w:r>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全景摄像机分辨率不低于3680 × 1656，细节摄像机分辨率不低于2688 × 1520</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摄像机内置不少于3个镜头，可输出至少1路全景视频图像和1路细节视频图像，全景视频图像内置2个镜头，细节视频图像内置1个镜头</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全景视频图像内置2个镜头，光圈不小于F1.0，具有不小于1/1.8靶面尺寸，内置4颗补光灯。细节视频图像内置1个镜头，具有不小于1/1.8靶面尺寸，内置10颗红外补光灯及1颗白光灯</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全景通道、细节通道最低照度：彩色≤0.0002lx，黑白≤0.0001lx</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摄像机内置镜头，支持不小于25倍光学变倍，镜头最大焦距不小于147mm</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支持水平旋转范围360°连续旋转，垂直旋转范围-20°~90°，全景通道可进行垂直旋转，旋转角度范围不低于12°，并可进行调节</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可设置300个预置位，8条巡航路径。支持预置位视频冻结功能</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具有 H.265、H.264、MJPEG设置选项</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内置不少于2颗GPU芯片，全景通道可输出两个镜头无缝拼接的全景图像，纵向拼接偏差像素不大于4个像素，全景画面水平视场角不小于190°，垂直视场角不小于80°</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lang w:eastAsia="zh-CN"/>
        </w:rPr>
      </w:pPr>
      <w:r>
        <w:rPr>
          <w:rFonts w:hint="eastAsia" w:ascii="宋体" w:hAnsi="宋体" w:eastAsia="宋体"/>
          <w:bCs/>
          <w:color w:val="366091"/>
          <w:sz w:val="21"/>
          <w:szCs w:val="21"/>
          <w:highlight w:val="none"/>
        </w:rPr>
        <w:t xml:space="preserve">★全景通道支持人员密度检测功能，并可输出显示实时人数及拥堵等级，可通过IE浏览器或客户端软件根据人数和占空比配置密度等级。全景通道可对设定区域进行布防，当检测到目标时联动细节摄像机可对目标进行跟踪及报警，可对距离设备50m处发生的智能行为分析事件进行检测并给出报警提示</w:t>
      </w:r>
      <w:r>
        <w:rPr>
          <w:rFonts w:hint="eastAsia" w:ascii="宋体" w:hAnsi="宋体" w:eastAsia="宋体"/>
          <w:bCs/>
          <w:color w:val="366091"/>
          <w:sz w:val="21"/>
          <w:szCs w:val="21"/>
          <w:highlight w:val="none"/>
          <w:lang w:eastAsia="zh-CN"/>
        </w:rPr>
        <w:t xml:space="preserve">。</w:t>
      </w:r>
      <w:r>
        <w:rPr>
          <w:rFonts w:hint="eastAsia" w:ascii="宋体" w:hAnsi="宋体" w:eastAsia="宋体"/>
          <w:bCs/>
          <w:color w:val="366091"/>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在设备上方使用手持喷淋装置对设备进行喷水操作，水流方向与水平方向夹角大于等于42°时，设备视窗应无水流直接接触</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可从诊断信息中导出云台控制历史记录，包括：手动键控PTZ、3D定位、手动调用预置点、手动调用花扫、手动调用巡航</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设备全景通道支持拼接畸变矫正，可分别对全景拼接画面的畸变、姿态角、旋转角进行调节（1-100可调），优化拼接效果</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支持人员布控功能和车辆布控跟踪功能</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当有停车、逆行、压线、变道、掉头、机动车占用非机动车道现象被触发时，设备可分别发出不同的语音提示</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设备可同时对行人、非机动车、机动车进行检测、跟踪、抓拍,可支持人脸与人体、车牌与车辆关联显示。目标属性显示功能支持人脸属性、人体属性、非机动车属性、机动车属性</w:t>
      </w:r>
      <w:r>
        <w:rPr>
          <w:rFonts w:hint="eastAsia" w:ascii="宋体" w:hAnsi="宋体" w:eastAsia="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lang w:eastAsia="zh-CN"/>
        </w:rPr>
      </w:pPr>
      <w:r>
        <w:rPr>
          <w:rFonts w:hint="eastAsia" w:ascii="宋体" w:hAnsi="宋体" w:eastAsia="宋体"/>
          <w:bCs/>
          <w:color w:val="366091"/>
          <w:sz w:val="21"/>
          <w:szCs w:val="21"/>
          <w:highlight w:val="none"/>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宋体" w:hAnsi="宋体" w:eastAsia="宋体"/>
          <w:bCs/>
          <w:color w:val="366091"/>
          <w:sz w:val="21"/>
          <w:szCs w:val="21"/>
          <w:highlight w:val="none"/>
          <w:lang w:eastAsia="zh-CN"/>
        </w:rPr>
        <w:t xml:space="preserve">。</w:t>
      </w:r>
      <w:r>
        <w:rPr>
          <w:rFonts w:hint="eastAsia" w:ascii="宋体" w:hAnsi="宋体" w:eastAsia="宋体"/>
          <w:bCs/>
          <w:color w:val="366091"/>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可识别距设备250m处的人体轮廓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具有7路报警输入、2路报警输出、1路音频输入、1路音频输出</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外壳防护等级不低于IP67</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支持在-30 °C~55 °C范围内功能应正常</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6" w:name="_Toc218522894"/>
      <w:r>
        <w:rPr>
          <w:rFonts w:hint="eastAsia" w:ascii="宋体" w:hAnsi="宋体" w:eastAsia="宋体"/>
          <w:b/>
          <w:sz w:val="21"/>
          <w:szCs w:val="21"/>
          <w:highlight w:val="none"/>
          <w:lang w:val="en-US" w:eastAsia="zh-CN"/>
        </w:rPr>
        <w:t xml:space="preserve">1.4   </w:t>
      </w:r>
      <w:r>
        <w:rPr>
          <w:rFonts w:hint="eastAsia" w:ascii="宋体" w:hAnsi="宋体" w:eastAsia="宋体"/>
          <w:b/>
          <w:sz w:val="21"/>
          <w:szCs w:val="21"/>
          <w:highlight w:val="none"/>
        </w:rPr>
        <w:t xml:space="preserve">非机动车道结构化相机（支持公安及交警2种使用场景）</w:t>
      </w:r>
      <w:bookmarkEnd w:id="286"/>
      <w:r>
        <w:rPr>
          <w:rFonts w:hint="eastAsia" w:ascii="宋体" w:hAnsi="宋体" w:eastAsia="宋体"/>
          <w:b/>
          <w:sz w:val="21"/>
          <w:szCs w:val="21"/>
          <w:highlight w:val="none"/>
        </w:rPr>
      </w:r>
      <w:r/>
    </w:p>
    <w:p>
      <w:pPr>
        <w:pStyle w:val="1024"/>
        <w:ind w:left="440" w:firstLine="0"/>
        <w:jc w:val="left"/>
        <w:keepLines w:val="0"/>
        <w:keepNext w:val="0"/>
        <w:pageBreakBefore w:val="0"/>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公安场景：</w:t>
      </w:r>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800万AI多摄双舱全结构化一体机。上通道看细节，下通道看全景。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聚合多种复杂场景设计的深度学习算法，实现全结构化数据精准采集，具备多场景数据融合分析能力，实现全方位态势感知。</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通道1分辨率设置为3840×2160@25fps，通道2分辨率设置为2560×1440@25fps，镜头1和镜头2分辨力不小于1400TVL。</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细节通道靶面尺寸不小于1/1.8"，全景通道靶面尺寸不小于1/1.8"靶面尺寸。</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内置2颗CPU、GPU、NPU三合一芯片。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最低照度：彩色不大于0.0002 lx，黑白不大于0.0001 lx。</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同一场景相同图像质量下，开启Smart264功能和不开启Smart264功能相比，码率节约≥80%。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在分辨率1920x1080 @ 25fps，码流设置为1Mbps时，视频图像传输延时不大于60ms。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★样机内置鳞镜式补光灯，灯杯为半弧形鳞片状。</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幂影功能，可同时对不同速度、明亮度、反光度的行人、非机动车、机动车分类曝光，可实时检测、跟踪、抓拍行进的行人人脸、人体、非机动车及车上人员、机动车车牌、机动车；可识别人脸及车牌号码，同时抓拍的人脸和车牌号码图片应清晰可辨，无过曝、过暗情况。</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lang w:eastAsia="zh-CN"/>
        </w:rPr>
      </w:pPr>
      <w:r>
        <w:rPr>
          <w:rFonts w:hint="eastAsia" w:ascii="宋体" w:hAnsi="宋体" w:eastAsia="宋体"/>
          <w:bCs/>
          <w:color w:val="366091"/>
          <w:sz w:val="21"/>
          <w:szCs w:val="21"/>
          <w:highlight w:val="none"/>
        </w:rPr>
        <w:t xml:space="preserve">★</w:t>
      </w:r>
      <w:r>
        <w:rPr>
          <w:rFonts w:hint="eastAsia" w:ascii="宋体" w:hAnsi="宋体" w:eastAsia="宋体"/>
          <w:bCs/>
          <w:color w:val="000000"/>
          <w:sz w:val="21"/>
          <w:szCs w:val="21"/>
          <w:highlight w:val="none"/>
        </w:rPr>
        <w:t xml:space="preserve">灯珠朝向与样机照射方向不同，补光灯开启后正面不可见补光灯灯珠。补光灯开启后补光应均匀，无明显波纹状、圆环状、麻点条纹状及不规则亮斑。</w:t>
      </w:r>
      <w:r>
        <w:rPr>
          <w:rFonts w:hint="eastAsia" w:ascii="宋体" w:hAnsi="宋体" w:eastAsia="宋体"/>
          <w:bCs/>
          <w:color w:val="000000"/>
          <w:sz w:val="21"/>
          <w:szCs w:val="21"/>
          <w:highlight w:val="none"/>
          <w:lang w:eastAsia="zh-CN"/>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可开启瞳孔亮斑消除功能，功能开启后，环境照度≤20 lx时，开启白光灯补光情况下，可消除预览、抓拍或录像时白光对行人造成的瞳孔亮斑。</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具备随影补光功能，当监控场景无目标时，补光灯处于低亮模式；当设备全景采集通道检测到目标后，可自动将补光灯调节至高亮模式，并支持目标检测、跟踪、筛选、抓拍、分析属性信息及上报功能。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采用金属外壳，下置藏线盒。</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细节通道支持检测两眼瞳距不小于20像素的人脸图片。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细节通道为电动变焦镜头，最小焦距≤10mm，最大焦距≥50mm。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支持对镜头前盖玻璃加热，去除玻璃上的冰状和水状附着物。</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支持电压、功耗异常检测报警。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支持不少于3路报警输入，2路报警输出，2路音频输入，1路音频输出，1个SD卡槽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外部接线口（含电源输入输出接口、音频输入输出接口、报警输入输出接口、RJ45网络接口、RS485接口）未封闭、破损或截断情况下测试，应符合GB/T 4208-2017中IP68 等级的要求(水下 2m，1h)。</w:t>
      </w:r>
      <w:r>
        <w:rPr>
          <w:rFonts w:hint="eastAsia" w:ascii="宋体" w:hAnsi="宋体" w:eastAsia="宋体"/>
          <w:bCs/>
          <w:color w:val="000000"/>
          <w:sz w:val="21"/>
          <w:szCs w:val="21"/>
          <w:highlight w:val="none"/>
        </w:rPr>
      </w:r>
      <w:r/>
    </w:p>
    <w:p>
      <w:pPr>
        <w:pStyle w:val="1024"/>
        <w:ind w:left="440" w:firstLine="0"/>
        <w:jc w:val="left"/>
        <w:keepLines w:val="0"/>
        <w:keepNext w:val="0"/>
        <w:pageBreakBefore w:val="0"/>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交警场景：</w:t>
      </w:r>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全景和细节镜头均采用背照式传感器，改善成像质量，全景镜头采用1/8”400 W CMOS，4 mm，F1.0定焦镜头，细节镜头采用1/2”800 W CMOS，1050 mm，F1.6变焦镜头</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最大分辨率：通道1：3840 × 2160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通道2：2688 × 1520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视频压缩标准：H.265/H.264/MJPEG/Smart264/Smart265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宽动态：120 dB</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定位功能：支持单北斗定位功能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视频输出：1 Vp-p复合输出（75 Ω/CVBS）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网络：1个RJ45 10 M/100 M/1000 M自适应以太网口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音频：2个内置麦克风，2路输入（Line in）</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1个内置扬声器，1路输出（Line out）</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存储温湿度：-30 ℃~60 ℃，湿度小于95%（无凝结）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启动和工作温湿度：-30 ℃~60 ℃，湿度小于95%（无凝结）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电流及功耗：DC：36 V，0.88 A，最大功耗：31.4 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供电方式：DC：36 V ± 20%；摄像机出厂配备电源适配器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防护：IP67</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细节通道靶面尺寸不小于1/1.8"，全景通道靶面尺寸不小于1/1.8"靶面尺寸。</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内置2颗CPU、GPU、NPU三合一芯片。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最低照度：彩色不大于0.0002 lx，黑白不大于0.0001 lx。</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同一场景相同图像质量下，开启Smart264功能和不开启Smart264功能相比，码率节约≥80%。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在分辨率1920x1080 @ 25fps，码流设置为1Mbps时，视频图像传输延时不大于60ms。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幂影功能，可同时对不同速度、明亮度、反光度的行人、非机动车、机动车分类曝光，可实时检测、跟踪、抓拍行进的行人人脸、人体、非机动车及车上人员、机动车车牌、机动车；可识别人脸及车牌号码，同时抓拍的人脸和车牌号码图片应清晰可辨，无过曝、过暗情况。</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样机内置鳞镜式补光灯，灯杯为半弧形鳞片状。</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灯珠朝向与样机照射方向不同，补光灯开启后正面不可见补光灯灯珠。补光灯开启后补光应均匀，无明显波纹状、圆环状、麻点条纹状及不规则亮斑。</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可开启瞳孔亮斑消除功能，功能开启后，环境照度≤20 lx时，开启白光灯补光情况下，可消除预览、抓拍或录像时白光对行人造成的瞳孔亮斑。</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366091"/>
          <w:sz w:val="21"/>
          <w:szCs w:val="21"/>
          <w:highlight w:val="none"/>
        </w:rPr>
        <w:t xml:space="preserve">★具备随影补光功能，当监控场景无目标时，补光灯处于低亮模式；当设备全景采集通道检测到目标后，可自动将补光灯调节至高亮模式，并支持目标检测、跟踪、筛选、抓拍、分析属性信息及上报功能。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细节通道支持检测两眼瞳距不小于20像素的人脸图片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细节通道为电动变焦镜头，最小焦距≤10mm，最大焦距≥50mm。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支持对镜头前盖玻璃加热，去除玻璃上的冰状和水状附着物。</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支持不少于3路报警输入，2路报警输出，2路音频输入，1路音频输出，1个SD卡槽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支持三级用户权限管理，支持授权的用户和密码，支持IP地址过滤，支持GB35114安全加密</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7" w:name="_Toc218522895"/>
      <w:r>
        <w:rPr>
          <w:rFonts w:hint="eastAsia" w:ascii="宋体" w:hAnsi="宋体" w:eastAsia="宋体"/>
          <w:b/>
          <w:sz w:val="21"/>
          <w:szCs w:val="21"/>
          <w:highlight w:val="none"/>
          <w:lang w:val="en-US" w:eastAsia="zh-CN"/>
        </w:rPr>
        <w:t xml:space="preserve">1.5   </w:t>
      </w:r>
      <w:r>
        <w:rPr>
          <w:rFonts w:hint="eastAsia" w:ascii="宋体" w:hAnsi="宋体" w:eastAsia="宋体"/>
          <w:b/>
          <w:sz w:val="21"/>
          <w:szCs w:val="21"/>
          <w:highlight w:val="none"/>
        </w:rPr>
        <w:t xml:space="preserve">非机动车道结构化相机补光灯</w:t>
      </w:r>
      <w:bookmarkEnd w:id="287"/>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光源类型：16颗高性能暖光LED</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发光角度：32°</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色温：3000K</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补光距离：16米～25米</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光栅：可选配</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覆盖范围：不少于三车道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电源：220V±20%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功率：35W MAX</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响应时间：小于20us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亮度调节：通过RS485可调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触发方式：默认光敏控制，可切换485模式由外部设备控制亮灭</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工作温度：-40℃～70℃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工作湿度：湿度5%～95%@40℃，无凝结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电源：220VAC±10%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防护等级：不低于IP65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外壳材质：铝</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8" w:name="_Toc218522896"/>
      <w:r>
        <w:rPr>
          <w:rFonts w:hint="eastAsia" w:ascii="宋体" w:hAnsi="宋体" w:eastAsia="宋体"/>
          <w:b/>
          <w:sz w:val="21"/>
          <w:szCs w:val="21"/>
          <w:highlight w:val="none"/>
          <w:lang w:val="en-US" w:eastAsia="zh-CN"/>
        </w:rPr>
        <w:t xml:space="preserve">1.6   </w:t>
      </w:r>
      <w:r>
        <w:rPr>
          <w:rFonts w:hint="eastAsia" w:ascii="宋体" w:hAnsi="宋体" w:eastAsia="宋体"/>
          <w:b/>
          <w:sz w:val="21"/>
          <w:szCs w:val="21"/>
          <w:highlight w:val="none"/>
        </w:rPr>
        <w:t xml:space="preserve">路口监控终端机（用于前端汇聚存储、16T）</w:t>
      </w:r>
      <w:bookmarkEnd w:id="288"/>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可接入不低于16路网络摄像机进行视音频存储、图片存储与上传。</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★具有18个10M/100M/1000M自适应RJ45接口，其中P1～P16与G1处于同一网段、G2处于另一网段；2个1000M SFP光端接口，分别与G1、G2处于同一网段。</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具有2个RS-232接口、2个RS-485接口、1个USB 3.0接口、2路报警输入接口、2路报警输出接口、1个音频输入接口、1个音频输出接口、4个SATA接口、4个状态指示灯、1个接地端子。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设备均应具备权限管理、数据加密、运行日志功能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设备应设置操作口令，宜有图像加密，</w:t>
      </w:r>
      <w:r>
        <w:rPr>
          <w:rFonts w:hint="eastAsia" w:ascii="宋体" w:hAnsi="宋体"/>
          <w:bCs/>
          <w:color w:val="000000"/>
          <w:sz w:val="21"/>
          <w:szCs w:val="21"/>
          <w:highlight w:val="none"/>
          <w:lang w:eastAsia="zh-CN"/>
        </w:rPr>
        <w:t xml:space="preserve">防</w:t>
      </w:r>
      <w:r>
        <w:rPr>
          <w:rFonts w:hint="eastAsia" w:ascii="宋体" w:hAnsi="宋体" w:eastAsia="宋体"/>
          <w:bCs/>
          <w:color w:val="000000"/>
          <w:sz w:val="21"/>
          <w:szCs w:val="21"/>
          <w:highlight w:val="none"/>
        </w:rPr>
        <w:t xml:space="preserve">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366091"/>
          <w:sz w:val="21"/>
          <w:szCs w:val="21"/>
          <w:highlight w:val="none"/>
        </w:rPr>
        <w:t xml:space="preserve">★</w:t>
      </w:r>
      <w:r>
        <w:rPr>
          <w:rFonts w:hint="eastAsia" w:ascii="宋体" w:hAnsi="宋体" w:eastAsia="宋体"/>
          <w:bCs/>
          <w:color w:val="000000"/>
          <w:sz w:val="21"/>
          <w:szCs w:val="21"/>
          <w:highlight w:val="none"/>
        </w:rPr>
        <w:t xml:space="preserve">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摄像机与客户端分别连接样机的不同网段时，客户端可以通过端口映射，跨网段直接访问摄像机，对摄像机进行操作，包括进行参数配置、录像实时预览等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支持将1张、2张、3张、4张、5张、6张图片合成，支持选择图片形状，修改顺序，支持原始图片去黑边。</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支持4块3.5或2.5英寸硬盘接入，每块盘位最大兼容12TB硬盘，支持硬盘自动切换，当一块硬盘损坏后，能自动切换至</w:t>
      </w:r>
      <w:r>
        <w:rPr>
          <w:rFonts w:hint="eastAsia" w:ascii="宋体" w:hAnsi="宋体"/>
          <w:bCs/>
          <w:color w:val="000000"/>
          <w:sz w:val="21"/>
          <w:szCs w:val="21"/>
          <w:highlight w:val="none"/>
          <w:lang w:eastAsia="zh-CN"/>
        </w:rPr>
        <w:t xml:space="preserve">其他</w:t>
      </w:r>
      <w:r>
        <w:rPr>
          <w:rFonts w:hint="eastAsia" w:ascii="宋体" w:hAnsi="宋体" w:eastAsia="宋体"/>
          <w:bCs/>
          <w:color w:val="000000"/>
          <w:sz w:val="21"/>
          <w:szCs w:val="21"/>
          <w:highlight w:val="none"/>
        </w:rPr>
        <w:t xml:space="preserve">硬盘进行存储。支持SSD</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rPr>
        <w:t xml:space="preserve">机械硬盘和SSD可以混合使用。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外接机柜门时，通过连接开关量信号及相应的设置，当机柜门打开后，联动声音报警。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支持相同车牌号去重功能，多相机抓拍同一车牌号仅上传一条该车牌条记录到平台。</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可对IP通道进行图像虚焦、亮度异常、图像偏色、雪花干扰、条纹干扰等类型视频质量进行诊断，可生成诊断信息并导出查看。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bCs/>
          <w:color w:val="366091"/>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89" w:name="_Toc218522897"/>
      <w:r>
        <w:rPr>
          <w:rFonts w:hint="eastAsia" w:ascii="宋体" w:hAnsi="宋体" w:eastAsia="宋体"/>
          <w:b/>
          <w:sz w:val="21"/>
          <w:szCs w:val="21"/>
          <w:highlight w:val="none"/>
          <w:lang w:val="en-US" w:eastAsia="zh-CN"/>
        </w:rPr>
        <w:t xml:space="preserve">1.7   </w:t>
      </w:r>
      <w:r>
        <w:rPr>
          <w:rFonts w:hint="eastAsia" w:ascii="宋体" w:hAnsi="宋体" w:eastAsia="宋体"/>
          <w:b/>
          <w:sz w:val="21"/>
          <w:szCs w:val="21"/>
          <w:highlight w:val="none"/>
        </w:rPr>
        <w:t xml:space="preserve">高空瞭望球（鹰眼）</w:t>
      </w:r>
      <w:bookmarkEnd w:id="289"/>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全景通道最高分辨率不小于6072 x 2640，细节通道最高分辨率不小于2688 × 1520。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全景通道内置4个镜头、靶面尺寸不小于1/1.8英寸的CMOS传感器，细节通道内置1个镜头，靶面尺寸不小于1/1.8英寸的CMOS传感器。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设备在全景拼接模式下，垂直视场角不小于110°，水平视场角不小于180°。可将4个全景视频图像进行拼接，实现不小于180°拼接画面显示，并抓拍拼接后的图片。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内置细节镜头，支持不小于40倍光学变倍，镜头最大焦距不小于240mm。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设备具备双安装接口，一个为快速旋转安装接口，一个为多孔稳定安装接口。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支持不小于300个预置位，支持预置位冻结功能。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内置不少于3个GPU芯片。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支持智能行为分析功能，智能分析行为类型为区域入侵、越界入侵、进入区域、离开区域等，支持行为分析触发后联动聚焦、联动目标跟踪、报警上传等多种报警触发方式。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在全景视频图像中点击或框选移动目标至设备开始转动的时间小于0.3s，全景图像检测到且框选出移动目标至设备开始转动时间小于0.3s。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设备支持画中画功能，可通过IE浏览器在细节图像中叠加全景视频图像进行预览。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设备具有偏色矫正功能，可通过手动或自动的方式对采集到的视频进行偏色矫正。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开启补光灯，可识别距设备不小于300m处的人体轮廓。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设备具有1个北斗模块、1个RJ45网络接口、1个光纤接口、1个SD卡槽、7路报警输入、2路报警输出、1路音频输入、1路音频输出、1个RS485接口。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设备防护等级不低于IP67。</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bookmarkStart w:id="290" w:name="_Toc218522898"/>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二</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监控配套设备</w:t>
      </w:r>
      <w:bookmarkEnd w:id="290"/>
      <w:r>
        <w:rPr>
          <w:rFonts w:hint="eastAsia" w:ascii="宋体" w:hAnsi="宋体" w:eastAsia="宋体"/>
          <w:b/>
          <w:sz w:val="24"/>
          <w:szCs w:val="24"/>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1" w:name="_Toc218522899"/>
      <w:r>
        <w:rPr>
          <w:rFonts w:hint="eastAsia" w:ascii="宋体" w:hAnsi="宋体" w:eastAsia="宋体"/>
          <w:b/>
          <w:sz w:val="21"/>
          <w:szCs w:val="21"/>
          <w:highlight w:val="none"/>
          <w:lang w:val="en-US" w:eastAsia="zh-CN"/>
        </w:rPr>
        <w:t xml:space="preserve">2.1   </w:t>
      </w:r>
      <w:r>
        <w:rPr>
          <w:rFonts w:hint="eastAsia" w:ascii="宋体" w:hAnsi="宋体" w:eastAsia="宋体"/>
          <w:b/>
          <w:sz w:val="21"/>
          <w:szCs w:val="21"/>
          <w:highlight w:val="none"/>
        </w:rPr>
        <w:t xml:space="preserve">抱杆箱（含电源及网络防雷）</w:t>
      </w:r>
      <w:bookmarkEnd w:id="291"/>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结构：整体采用焊接工艺，牢固、钢性好、安全可靠</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采用专用户外柜锁，具有良好的防水、防盗性能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环境适应性好，能最大限度地降低设备对环境的要求接地系统安全可靠</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机柜底部进出线缆，有效实现防水、防尘</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机柜采用抱杆安装方式，具有防虫、防鼠功效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外壳材质：优质冷轧钢板；机箱厚度不低于1.0mm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外形尺寸：不小于480mm(宽)×580mm(高)×230mm(深)（含帽檐）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防护等级：不低于IP54</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功能配置：内置不少于：双路电源防雷1个及接地排，两路10A空气开关1个，单路10A空气开关1个，三芯和两芯插座各一个</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工作环境温度：-30℃～+60℃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工作环境湿度：5%~95%@40℃，无凝结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安装方式：抱杆安装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源防雷配置：额定工作电压：220V/50Hz，最大持续运行电压：385V/50Hz，每种保护模式的试验类别和放电参数：40kA，Ⅰ级和Ⅱ级的标称放电电流：L/N-PE:20kA，电压保护水平：L/N-PE:1.8kV，短路电流耐受能力：300A，电流类型：交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网络防雷配置：额定工作电压Un：5V，额定放电电流：5KA，最大放电电流：10KA，极限电压：≤15V，界面模型：RJ45，保护芯线：1,2,3,4,5,6,7,8线，传输速率：1000M，插入损耗：≤0.2dB，工作环境：温度-40℃～+70℃</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2" w:name="_Toc218522900"/>
      <w:r>
        <w:rPr>
          <w:rFonts w:hint="eastAsia" w:ascii="宋体" w:hAnsi="宋体" w:eastAsia="宋体"/>
          <w:b/>
          <w:sz w:val="21"/>
          <w:szCs w:val="21"/>
          <w:highlight w:val="none"/>
          <w:lang w:val="en-US" w:eastAsia="zh-CN"/>
        </w:rPr>
        <w:t xml:space="preserve">2.2   </w:t>
      </w:r>
      <w:r>
        <w:rPr>
          <w:rFonts w:hint="eastAsia" w:ascii="宋体" w:hAnsi="宋体" w:eastAsia="宋体"/>
          <w:b/>
          <w:sz w:val="21"/>
          <w:szCs w:val="21"/>
          <w:highlight w:val="none"/>
        </w:rPr>
        <w:t xml:space="preserve">抱杆大箱（含电源及网络防雷）</w:t>
      </w:r>
      <w:bookmarkEnd w:id="292"/>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结构：整体结构采用焊接工艺，牢固、钢性好、可靠性好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设备安装基于 19 英寸标准结构设计，有18U 安装空间，具有良好的安装通用性，层板可调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机柜采用工业级风扇，散热性能稳定可靠、寿命长、风道设计合理，通风散热效果好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门锁采用户外机柜防水锁，为机柜提供可靠的安全保护</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机柜底部进出线缆，有效实现防水、防尘</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机柜采用抱杆安装方式，接地系统安全可靠，具有防虫、防鼠功效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外壳材质：优质冷轧钢板，机箱厚度不低于1.2mm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外形尺寸：不小于900mm（高）×700mm（宽）×459mm（深）(含帽檐)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防护等级：不低于IP54</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功能配置：不少于：220V电源防雷器1个及接地排，2P/25A空开1个，单路10A空开8个，8路220V输出</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工作环境温度：-30℃～+60℃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工作环境湿度：5%~95%@40℃，无凝结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安装方式：抱杆安装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电源防雷配置：额定工作电压：220V/50Hz，最大持续运行电压：385V/50Hz，每种保护模式的试验类别和放电参数：40kA，Ⅰ级和Ⅱ级的标称放电电流：L/N-PE:20kA，电压保护水平：L/N-PE:1.8kV，短路电流耐受能力：300A，电流类型：交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网络防雷配置：额定工作电压Un：5V，额定放电电流：5KA，最大放电电流：10KA，极限电压：≤15V，界面模型：RJ45，保护芯线：1,2,3,4,5,6,7,8线，传输速率：1000M，插入损耗：≤0.2dB，工作环境：温度-40℃～+70℃</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3" w:name="_Toc218522901"/>
      <w:r>
        <w:rPr>
          <w:rFonts w:hint="eastAsia" w:ascii="宋体" w:hAnsi="宋体" w:eastAsia="宋体"/>
          <w:b/>
          <w:sz w:val="21"/>
          <w:szCs w:val="21"/>
          <w:highlight w:val="none"/>
          <w:lang w:val="en-US" w:eastAsia="zh-CN"/>
        </w:rPr>
        <w:t xml:space="preserve">2.3   </w:t>
      </w:r>
      <w:r>
        <w:rPr>
          <w:rFonts w:hint="eastAsia" w:ascii="宋体" w:hAnsi="宋体" w:eastAsia="宋体"/>
          <w:b/>
          <w:sz w:val="21"/>
          <w:szCs w:val="21"/>
          <w:highlight w:val="none"/>
        </w:rPr>
        <w:t xml:space="preserve">4口千兆工业交换机</w:t>
      </w:r>
      <w:bookmarkEnd w:id="293"/>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1.安装方式：导轨式安装；</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2.电源接口：凤凰端子；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3.配置口：≥1个RJ45 Console端口；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4.防护等级：不低于IP40、IK05；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5.业务端口：具备≥4个10/100/1000BASE-T电口、≥1个100/1000BASE-X SFP端口；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6.环网协议：STP、RSTP、MSTP、PVST、ERPS、EAPS；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7.VLAN功能：支持基于端口VLAN、基于MAC VLAN、基于IPv4子网VLAN、基于协议类型VLAN、Super VLAN、Guest vlan、QinQ、灵活QinQ；</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8.链路聚合：支持LACP、支持动态、静态链路聚合；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9.路由功能：支持静态路由、RIPv1、RIPv2、RIPng、OSPF、等价路由；</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10.IPv6：支持；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11.散热方式：无风扇，自然散热；</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12.工作湿度：5%～95%（无凝结）；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13.工作温度：-40℃～85℃；</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4" w:name="_Toc218522902"/>
      <w:r>
        <w:rPr>
          <w:rFonts w:hint="eastAsia" w:ascii="宋体" w:hAnsi="宋体" w:eastAsia="宋体"/>
          <w:b/>
          <w:sz w:val="21"/>
          <w:szCs w:val="21"/>
          <w:highlight w:val="none"/>
          <w:lang w:val="en-US" w:eastAsia="zh-CN"/>
        </w:rPr>
        <w:t xml:space="preserve">2.4   </w:t>
      </w:r>
      <w:r>
        <w:rPr>
          <w:rFonts w:hint="eastAsia" w:ascii="宋体" w:hAnsi="宋体" w:eastAsia="宋体"/>
          <w:b/>
          <w:sz w:val="21"/>
          <w:szCs w:val="21"/>
          <w:highlight w:val="none"/>
        </w:rPr>
        <w:t xml:space="preserve">8口千兆工业交换机</w:t>
      </w:r>
      <w:bookmarkEnd w:id="294"/>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1.交换容量：≥336Gbps；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2.包转发率：≥126Mpps；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3.安装方式：导轨式安装；</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4.电源接口：凤凰端子；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5.配置口：≥1个RJ45 Console端口；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6.防护等级：不低于IP40、IK05；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7.业务端口：具备≥8个10/100/1000BASE-T电口、≥4个100/1000BASE-X SFP端口；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8.环网协议：STP、RSTP、MSTP、PVST、ERPS、EAPS；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9.VLAN功能：支持基于端口VLAN、基于MAC VLAN、基于IPv4子网VLAN、基于协议类型VLAN、Super VLAN、Guest vlan、QinQ、灵活QinQ；</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10.链路聚合：支持LACP、支持动态、静态链路聚合；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11.路由功能：支持静态路由、RIPv1、RIPv2、RIPng、OSPF、等价路由；</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12.IPv6：支持；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13.供电方式：支持双电源；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14.散热方式：无风扇，自然散热；</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15.工作湿度：5%～95%（无凝结）；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16.工作温度：-40℃～85℃；</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5" w:name="_Toc218522903"/>
      <w:r>
        <w:rPr>
          <w:rFonts w:hint="eastAsia" w:ascii="宋体" w:hAnsi="宋体" w:eastAsia="宋体"/>
          <w:b/>
          <w:sz w:val="21"/>
          <w:szCs w:val="21"/>
          <w:highlight w:val="none"/>
          <w:lang w:val="en-US" w:eastAsia="zh-CN"/>
        </w:rPr>
        <w:t xml:space="preserve">2.5   </w:t>
      </w:r>
      <w:r>
        <w:rPr>
          <w:rFonts w:hint="eastAsia" w:ascii="宋体" w:hAnsi="宋体" w:eastAsia="宋体"/>
          <w:b/>
          <w:sz w:val="21"/>
          <w:szCs w:val="21"/>
          <w:highlight w:val="none"/>
        </w:rPr>
        <w:t xml:space="preserve">16口千兆工业交换机</w:t>
      </w:r>
      <w:bookmarkEnd w:id="295"/>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端口：不少于16个千兆电口，4个千兆光口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工作温度：-40 °C~75 °C</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工作湿度：5%~95%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存储温度：-40 °C~85 °C</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存储湿度：5%~95%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安装方式：导轨式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供电方式：双电源DC 12 V~36 V</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风扇：无风扇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整机功耗：≤20 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浪涌防护：6 kV</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供电电压：DC 12 V~36 V</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供电电流：1.7 A Max</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交换方式：存储转发</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网络标准：IEEE802.3,IEEE802.3u,IEEE802.3x</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VLAN：支持VLAN</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链路聚合：支持链路聚合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端口统计：支持端口实时收发速率统计，7天收发峰值速率统计</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端口镜像：支持端口镜像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端口限速：支持所有端口收、发方向限速</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端口隔离：支持端口隔离</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风暴控制：支持风暴控制</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LLDP：支持LLDP协议</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SNMP：支持SNMPv1、SNMPv2协议</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STP：支持STP/RSTP</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ERPS：支持ERPS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DHCP：支持DHCP CLIENT</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SSH：支持SSH</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web管理：支持web管理</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统一管理平台：支持统一管理平台</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SADP：支持SADP</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MAC地址表获取：支持MAC地址表获取</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线缆检测：支持线缆检测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终端安全防护：支持终端安全防护</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QoS：支持QoS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交换容量：不低于56 Gbps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包转发率：不低于41.66 Mpps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MAC地址容量：不低于8 K</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缓存：4.1 Mbits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设备维护：支持远程升级，默认参数恢复，日志查看，基本网络参数配置</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端口配置：支持端口的速率，流控配置，端口使能配置</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拓扑展示：支持拓扑页面展示</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设备状态告警：支持端口通断告警，非法终端接入告警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DDM：光口支持DDM</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bookmarkStart w:id="296" w:name="_Toc218522904"/>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三</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探测设备</w:t>
      </w:r>
      <w:bookmarkEnd w:id="296"/>
      <w:r>
        <w:rPr>
          <w:rFonts w:hint="eastAsia" w:ascii="宋体" w:hAnsi="宋体" w:eastAsia="宋体"/>
          <w:b/>
          <w:sz w:val="24"/>
          <w:szCs w:val="24"/>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7" w:name="_Toc218522905"/>
      <w:r>
        <w:rPr>
          <w:rFonts w:hint="eastAsia" w:ascii="宋体" w:hAnsi="宋体" w:eastAsia="宋体"/>
          <w:b/>
          <w:sz w:val="21"/>
          <w:szCs w:val="21"/>
          <w:highlight w:val="none"/>
          <w:lang w:val="en-US" w:eastAsia="zh-CN"/>
        </w:rPr>
        <w:t xml:space="preserve">3.1   </w:t>
      </w:r>
      <w:r>
        <w:rPr>
          <w:rFonts w:hint="eastAsia" w:ascii="宋体" w:hAnsi="宋体" w:eastAsia="宋体"/>
          <w:b/>
          <w:sz w:val="21"/>
          <w:szCs w:val="21"/>
          <w:highlight w:val="none"/>
        </w:rPr>
        <w:t xml:space="preserve">电子围栏</w:t>
      </w:r>
      <w:bookmarkEnd w:id="297"/>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支持对中国移动、联通、电信、广电的4G/5G 网络下手机IMSI</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设备支持B1/B40/N41/N78 四个载波，产品可无缝对接现有的热点平台，统一站点管理、统一数据格式，实现2G/3G/4G/5G/MAC的数据综合分析。</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支持B1/B40/N41/N78 频段</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手机进入覆盖范围1s 内抓取，释放周期为0.1s；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设备告警自动上报后台，支持远程维护、远程版本升级、远程告警处理；</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实时修改功率及频点，无需要重启设备；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支持掉电告警功能；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支持MAC 采集功能；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工作频段：5G：N41：2496～2690MHz，N78：3400～3600MHz</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          4G：B1：2110～2170MHz，B40：2300～2390MHz</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载波数：四载波</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采集方式：5G/4G 直采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覆盖范围：5G：＞300m(公网信号强度-80dBm～-90dBm)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          4G：＞500m(公网信号强度-80dBm～-90dBm)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工作带宽：5G：100MHz ，4G：5MHz</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天线频段及增益</w:t>
      </w:r>
      <w:r>
        <w:rPr>
          <w:rFonts w:hint="eastAsia" w:ascii="宋体" w:hAnsi="宋体" w:eastAsia="宋体"/>
          <w:bCs/>
          <w:color w:val="000000"/>
          <w:sz w:val="21"/>
          <w:szCs w:val="21"/>
          <w:highlight w:val="none"/>
        </w:rPr>
      </w:r>
      <w:r/>
    </w:p>
    <w:tbl>
      <w:tblPr>
        <w:tblStyle w:val="99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2243"/>
        <w:gridCol w:w="2243"/>
        <w:gridCol w:w="2270"/>
      </w:tblGrid>
      <w:tr>
        <w:trPr>
          <w:trHeight w:val="288"/>
        </w:trPr>
        <w:tc>
          <w:tcPr>
            <w:tcW w:w="1039"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类别</w:t>
            </w:r>
            <w:r>
              <w:rPr>
                <w:rFonts w:hint="eastAsia" w:ascii="宋体" w:hAnsi="宋体" w:eastAsia="宋体"/>
                <w:bCs/>
                <w:sz w:val="21"/>
                <w:szCs w:val="21"/>
                <w:highlight w:val="none"/>
              </w:rPr>
            </w:r>
            <w:r/>
          </w:p>
        </w:tc>
        <w:tc>
          <w:tcPr>
            <w:gridSpan w:val="2"/>
            <w:tcW w:w="4486"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5G</w:t>
            </w:r>
            <w:r>
              <w:rPr>
                <w:rFonts w:hint="eastAsia" w:ascii="宋体" w:hAnsi="宋体" w:eastAsia="宋体"/>
                <w:bCs/>
                <w:sz w:val="21"/>
                <w:szCs w:val="21"/>
                <w:highlight w:val="none"/>
              </w:rPr>
            </w:r>
            <w:r/>
          </w:p>
        </w:tc>
        <w:tc>
          <w:tcPr>
            <w:tcW w:w="1331"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4G</w:t>
            </w:r>
            <w:r>
              <w:rPr>
                <w:rFonts w:hint="eastAsia" w:ascii="宋体" w:hAnsi="宋体" w:eastAsia="宋体"/>
                <w:bCs/>
                <w:sz w:val="21"/>
                <w:szCs w:val="21"/>
                <w:highlight w:val="none"/>
              </w:rPr>
            </w:r>
            <w:r/>
          </w:p>
        </w:tc>
      </w:tr>
      <w:tr>
        <w:trPr>
          <w:trHeight w:val="288"/>
        </w:trPr>
        <w:tc>
          <w:tcPr>
            <w:tcW w:w="1039"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天线频段</w:t>
            </w:r>
            <w:r>
              <w:rPr>
                <w:rFonts w:hint="eastAsia" w:ascii="宋体" w:hAnsi="宋体" w:eastAsia="宋体"/>
                <w:bCs/>
                <w:sz w:val="21"/>
                <w:szCs w:val="21"/>
                <w:highlight w:val="none"/>
              </w:rPr>
            </w:r>
            <w:r/>
          </w:p>
        </w:tc>
        <w:tc>
          <w:tcPr>
            <w:tcW w:w="1315"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2500～2700MHz</w:t>
            </w:r>
            <w:r>
              <w:rPr>
                <w:rFonts w:hint="eastAsia" w:ascii="宋体" w:hAnsi="宋体" w:eastAsia="宋体"/>
                <w:bCs/>
                <w:sz w:val="21"/>
                <w:szCs w:val="21"/>
                <w:highlight w:val="none"/>
              </w:rPr>
            </w:r>
            <w:r/>
          </w:p>
        </w:tc>
        <w:tc>
          <w:tcPr>
            <w:tcW w:w="1315"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3400～3600MHz</w:t>
            </w:r>
            <w:r>
              <w:rPr>
                <w:rFonts w:hint="eastAsia" w:ascii="宋体" w:hAnsi="宋体" w:eastAsia="宋体"/>
                <w:bCs/>
                <w:sz w:val="21"/>
                <w:szCs w:val="21"/>
                <w:highlight w:val="none"/>
              </w:rPr>
            </w:r>
            <w:r/>
          </w:p>
        </w:tc>
        <w:tc>
          <w:tcPr>
            <w:tcW w:w="1331"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1710～2700MHz</w:t>
            </w:r>
            <w:r>
              <w:rPr>
                <w:rFonts w:hint="eastAsia" w:ascii="宋体" w:hAnsi="宋体" w:eastAsia="宋体"/>
                <w:bCs/>
                <w:sz w:val="21"/>
                <w:szCs w:val="21"/>
                <w:highlight w:val="none"/>
              </w:rPr>
            </w:r>
            <w:r/>
          </w:p>
        </w:tc>
      </w:tr>
      <w:tr>
        <w:trPr>
          <w:trHeight w:val="288"/>
        </w:trPr>
        <w:tc>
          <w:tcPr>
            <w:tcW w:w="1039"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天线增益</w:t>
            </w:r>
            <w:r>
              <w:rPr>
                <w:rFonts w:hint="eastAsia" w:ascii="宋体" w:hAnsi="宋体" w:eastAsia="宋体"/>
                <w:bCs/>
                <w:sz w:val="21"/>
                <w:szCs w:val="21"/>
                <w:highlight w:val="none"/>
              </w:rPr>
            </w:r>
            <w:r/>
          </w:p>
        </w:tc>
        <w:tc>
          <w:tcPr>
            <w:tcW w:w="1315"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9dBi</w:t>
            </w:r>
            <w:r>
              <w:rPr>
                <w:rFonts w:hint="eastAsia" w:ascii="宋体" w:hAnsi="宋体" w:eastAsia="宋体"/>
                <w:bCs/>
                <w:sz w:val="21"/>
                <w:szCs w:val="21"/>
                <w:highlight w:val="none"/>
              </w:rPr>
            </w:r>
            <w:r/>
          </w:p>
        </w:tc>
        <w:tc>
          <w:tcPr>
            <w:tcW w:w="1315"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10dBi</w:t>
            </w:r>
            <w:r>
              <w:rPr>
                <w:rFonts w:hint="eastAsia" w:ascii="宋体" w:hAnsi="宋体" w:eastAsia="宋体"/>
                <w:bCs/>
                <w:sz w:val="21"/>
                <w:szCs w:val="21"/>
                <w:highlight w:val="none"/>
              </w:rPr>
            </w:r>
            <w:r/>
          </w:p>
        </w:tc>
        <w:tc>
          <w:tcPr>
            <w:tcW w:w="1331" w:type="dxa"/>
            <w:vAlign w:val="top"/>
            <w:textDirection w:val="lrTb"/>
            <w:noWrap/>
          </w:tcPr>
          <w:p>
            <w:pPr>
              <w:pStyle w:val="925"/>
              <w:jc w:val="center"/>
              <w:keepLines w:val="0"/>
              <w:keepNext w:val="0"/>
              <w:pageBreakBefore w:val="0"/>
              <w:spacing w:after="0"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13dBi</w:t>
            </w:r>
            <w:r>
              <w:rPr>
                <w:rFonts w:hint="eastAsia" w:ascii="宋体" w:hAnsi="宋体" w:eastAsia="宋体"/>
                <w:bCs/>
                <w:sz w:val="21"/>
                <w:szCs w:val="21"/>
                <w:highlight w:val="none"/>
              </w:rPr>
            </w:r>
            <w:r/>
          </w:p>
        </w:tc>
      </w:tr>
    </w:tbl>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目标捕获率：&gt;95%(公网环境-80dbm，车速80km）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目标捕获速度：&gt;3000 组/分钟(人流密集区)</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接收灵敏度：-98dBm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发射功率：0-10W，多级可调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同步方式：GPS 同步</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断网续传：支持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存储能力：不低于180 天</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回传方式：3G、4G、WIFI、有线传输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掉电告警：支持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MAC 采集2.4G/5.8G</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外部接口：2.4/5.8GWIFI 接口*2、WAN 接口、LAN 接口、GPS 接口、VENT 接口、GND 接口、ANT 接口、3G/4G 回传接口、SIM 卡槽口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防护等级：IP68</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功耗：≤260W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工作电压：AC 220V(90V～300V,50Hz)</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散热方式：自然散热</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工作温度：-25℃～+55℃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工作湿度：5%～95%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平均无故障工作</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时间</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MTBF＞10000h</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298" w:name="_Toc218522906"/>
      <w:r>
        <w:rPr>
          <w:rFonts w:hint="eastAsia" w:ascii="宋体" w:hAnsi="宋体" w:eastAsia="宋体"/>
          <w:b/>
          <w:sz w:val="21"/>
          <w:szCs w:val="21"/>
          <w:highlight w:val="none"/>
          <w:lang w:val="en-US" w:eastAsia="zh-CN"/>
        </w:rPr>
        <w:t xml:space="preserve">3.2   </w:t>
      </w:r>
      <w:r>
        <w:rPr>
          <w:rFonts w:hint="eastAsia" w:ascii="宋体" w:hAnsi="宋体" w:eastAsia="宋体"/>
          <w:b/>
          <w:sz w:val="21"/>
          <w:szCs w:val="21"/>
          <w:highlight w:val="none"/>
        </w:rPr>
        <w:t xml:space="preserve">车辆采集仪</w:t>
      </w:r>
      <w:bookmarkEnd w:id="298"/>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防护等级：IP67；</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安装方式：支持抱杆式、支持挂壁式；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供电方式：支持12V/1.5A POE供电；</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功耗：≤10W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发射功率：≤3W，支持0~44级可调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天线：ETC平板天线、2.4G棒状天线、5.8G棒状天线、LTE天线</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通信区域：不小于100米（长）×4米（宽）</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ETC采集内容：卡片发行信息、持卡人信息、联网收费复合消费记录等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CPC采集：支持高速CPC卡采集</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WIFI采集：2.4G和5.8G wifi全信道采集；</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蓝牙采集：经典蓝牙、低功耗蓝牙；</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数据传输：以太网、4G网络传输；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工作环境: 温度：-40℃至65℃，湿度：5%至95%RH不凝结；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采集信息：除包含过车时间、点位、车牌号码、车牌颜色等基本信息，还有实名身份信息、高速出入记录、车载蓝牙和车载热点信息</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bookmarkStart w:id="299" w:name="_Toc218522907"/>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四</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交通语音宣传喇叭（含授权）</w:t>
      </w:r>
      <w:bookmarkEnd w:id="299"/>
      <w:r>
        <w:rPr>
          <w:rFonts w:hint="eastAsia" w:ascii="宋体" w:hAnsi="宋体" w:eastAsia="宋体"/>
          <w:b/>
          <w:sz w:val="24"/>
          <w:szCs w:val="24"/>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IP网络音柱60W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1.一体化壁挂式设计。</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2.高档铝制外壳，高强度防水设计。</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3.国产核心芯片，自主可控。</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4.内置D类数字功放，最大输出功率不低于60W。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5.支持网络广播，本地线路输入扩音广播方式。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6.具有1路报警输入，被触发可联动服务器任务播放。</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7.支持网络调试配置管理模式。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8.标准RJ45接口，有以太网口的地方即可接入，跨网段和跨路由。</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9.输出功率不小于 60W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10.箱体灵敏度 86dB±2dB（1m/w）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11.电源 DC24V/1.5A DC24V/2.7A</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12.待机功耗 ≤2W</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13.网络通讯协议 TCP/IP（IPv4）、UDP、HTTP、SIP/NAS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14.协议网络芯片速率 10/100Mbps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15.音频采样 8kHz～44kHz, 16bit</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16.信噪比 ≥83dB</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17.频响 45Hz-18KHz（±3dB）</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18.工作温度 -10℃～+55℃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19.工作湿度 10%～90%RH（无结露）</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bookmarkStart w:id="300" w:name="_Toc218522908"/>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五</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雷达和视频检测器</w:t>
      </w:r>
      <w:bookmarkEnd w:id="300"/>
      <w:r>
        <w:rPr>
          <w:rFonts w:hint="eastAsia" w:ascii="宋体" w:hAnsi="宋体" w:eastAsia="宋体"/>
          <w:b/>
          <w:sz w:val="24"/>
          <w:szCs w:val="24"/>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250m8M雷视车检器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适用于信号控制系统、交通信息服务系统、道路交通监测等应用场景。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高精度毫米波雷达 &amp; 800万低照度摄像机。</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最大支持8车道多目标机动车检测，纵向250米。</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支持全天候环境下工作，不受雨、雾、大风、灰尘、光照等影响。</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内置深度学习算法，支持智能识别功能，支持车牌识别及目标全结构化。</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支持多目标的位置，车道，速度、方向等信息检测。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支持分车道统计，车流量、速度、状态、队列、时距、间距、区域停车数、平均延误、空间占有率以及时间占有率数据，支持1-3600秒统计上传。</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支持交通评价数据输出，包括拥堵、排队长度等。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每个车道支持2个虚拟线圈（最大可支持6个），输出车辆的进入和离开信号，虚拟线圈位置可以配置。</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支持透雾、强光抑制、宽动态，并具有多种白平衡模式，适合各种场景需求。</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支持网络与RS-485数据上传。</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传感器类型：1/1.8"CMOS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测速范围：0~250km/h</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性能特点：空间分辨率高、穿透能力强，支持全天候环境下工作，不受雨、雾、大风、灰尘、光照等影响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扫频带宽： 136.5MHz</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调制波形：FMCW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水平角：-15°~ +15°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俯仰角：-3°~ +3°</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作用距离：40m ~250m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串口：1个RS-485接口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图片格式：JPEG</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图片分辨率：3840×2160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智能识别：卡口抓拍、车牌识别、车型识别、车身颜色识别、品牌识别、子品牌识别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网络接口：2 个RJ45 100M /1000M自适应以太网口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视频分辨率：3840×2160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帧率：25fps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图像设置：饱和度，亮度，对比度，白平衡，增益通过软件可调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工作温度：-30℃~70℃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工作湿度：5%~95%@40℃，无凝结</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防护等级：IP67</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支持雷达检测和视频检测结果坐标融合，支持手动标定，自动标定</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支持实时显示目标的相对位置坐标输出、车道号、速度、航向角</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支持实时输出检测目标的经纬度信息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支持对雷达参数进行设置，包括检测速度、原点坐标、车道数、车道宽度、方向、架设高度、距离修正参数、角度修正参数</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支持目标轨迹跟踪和显示，可在WEB端展示目标轨迹</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支持实时输出目标的结构化信息，结构化信息包括车牌号、车牌颜色、车辆类型、车辆颜色、速度、车道号等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支持在抓拍图片上叠加车型、车速、车牌等过车信息。支持将视频OSD信息展示在抓拍图片中。</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支持对行车方向进行设置，并可通过客户端软件显示车辆行驶方向，包括来向，去向和双向，并支持分时段配置</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★应支持车辆信息上报功能检查：支持周期上报车型、车牌号、车头坐标/车尾坐标、车辆坐标、车牌颜色、车身颜色、车辆品牌等道路数字化信息。上报频率≥12.5Hz，延时≤200ms</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支持检测的机动车车道数量≥12个</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支持对距离样机≥100米处的行人进行检测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支持区分距离≤0.5m的相邻交通目标</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支持对≥400个交通目标进行检测，可对交通目标进行轨迹跟踪监测</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车辆捕获率≥99.5%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车牌图像识别准确率≥99%</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在夜间环境照度较低的情况下，通过雷达视频融合检测车辆目标，抓拍率≥99%</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支持交通信号评价数据输出，包括周期停车次数、排队长度等</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支持区域状态数据输出，包括秒级排队长度、车辆数、队首/队尾车辆信息，车道车辆分布信息等</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bookmarkStart w:id="301" w:name="_Toc218522909"/>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六</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路段诱导屏</w:t>
      </w:r>
      <w:bookmarkEnd w:id="301"/>
      <w:r>
        <w:rPr>
          <w:rFonts w:hint="eastAsia" w:ascii="宋体" w:hAnsi="宋体" w:eastAsia="宋体"/>
          <w:b/>
          <w:sz w:val="24"/>
          <w:szCs w:val="24"/>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02" w:name="_Toc218522910"/>
      <w:r>
        <w:rPr>
          <w:rFonts w:hint="eastAsia" w:ascii="宋体" w:hAnsi="宋体" w:eastAsia="宋体"/>
          <w:b/>
          <w:sz w:val="21"/>
          <w:szCs w:val="21"/>
          <w:highlight w:val="none"/>
          <w:lang w:val="en-US" w:eastAsia="zh-CN"/>
        </w:rPr>
        <w:t xml:space="preserve">6.1   </w:t>
      </w:r>
      <w:r>
        <w:rPr>
          <w:rFonts w:hint="eastAsia" w:ascii="宋体" w:hAnsi="宋体" w:eastAsia="宋体"/>
          <w:b/>
          <w:sz w:val="21"/>
          <w:szCs w:val="21"/>
          <w:highlight w:val="none"/>
        </w:rPr>
        <w:t xml:space="preserve">路段诱导屏（含屏体支架）</w:t>
      </w:r>
      <w:bookmarkEnd w:id="302"/>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像素间距:5mm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显示尺寸:4160mm(宽)*2880mm(高)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单元板尺寸:320mm*160mm 像素点密度:40000点/m2</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像素组成:表贴三合一</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显示颜色:全彩色</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亮度(nits):≥5500cd/m2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水平视角/垂直视角160度/120度，平整度≥97%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亮度调节方式:自动/手动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通信方式:以太网、RS232、RS485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工作环境温度:-40℃~+55℃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环境湿度:98%±2%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工作电压:AC380V土7%/AC220,50HZ;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最大功率:≤800W/m2 重量:≤360KG </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平均无故障时间:≥10000小时寿命:≥100000小时</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像素失控率:&lt;0.0001,连续失控点为0 雷接地电阻:&lt;10Q</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03" w:name="_Toc218522911"/>
      <w:r>
        <w:rPr>
          <w:rFonts w:hint="eastAsia" w:ascii="宋体" w:hAnsi="宋体" w:eastAsia="宋体"/>
          <w:b/>
          <w:sz w:val="21"/>
          <w:szCs w:val="21"/>
          <w:highlight w:val="none"/>
          <w:lang w:val="en-US" w:eastAsia="zh-CN"/>
        </w:rPr>
        <w:t xml:space="preserve">6.2   </w:t>
      </w:r>
      <w:r>
        <w:rPr>
          <w:rFonts w:hint="eastAsia" w:ascii="宋体" w:hAnsi="宋体" w:eastAsia="宋体"/>
          <w:b/>
          <w:sz w:val="21"/>
          <w:szCs w:val="21"/>
          <w:highlight w:val="none"/>
        </w:rPr>
        <w:t xml:space="preserve">诱导屏监控相机</w:t>
      </w:r>
      <w:bookmarkEnd w:id="303"/>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传感器类型：1/1.8" Progressive Scan CMOS</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最大图像尺寸：2560 × 2560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最低照度：彩色：0.03 Lux @（F2.4，AGC ON）</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黑白：0.007 Lux @（F2.4，AGC ON），0 Lux with IR</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焦距&amp;视场角：2 mm，水平视场角：172°，垂直视场角：172°</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景深范围：0.2 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DORI：D（发现）：43.2 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O（观察）：17.2 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R（认出）：8.6 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I（识别）：4.3 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补光灯类型：红外灯</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补光距离：最远可达15 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补光灯数量：3颗</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防补光过曝：支持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红外波长范围：850 nm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视频压缩标准：主码流：H.265/H.264</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子码流：H.265/H.264/MJPEG</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网络：1个RJ45 10 M/100 M/1000 M自适应以太网口</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SD卡扩展：内置MicroSD/MicroSDHC/MicroSDXC 插槽，最大支持256 GB</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内置麦克风：2个内置麦克风，支持降噪算法</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内置扬声器：支持</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音频：1路3.5 mm音频输入（Line in），1路3.5 mm音频输出（Line out），2个内置麦克风，1个内置扬声器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报警：1路输入，1路输出（报警输入支持开关量，报警输出最大支持DC24 V，1 A），接口类型端子座</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RS-485：1个RS-485（半双工模式，支持自适应HIKVISION，Pelco-P，Pelco-D协议），接口类型端子座</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防护：IP67</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★支持AR半球预览功能，预览画面为3D半球状，支持任意方向的无极旋转和实时预览。</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★支持鱼眼、180度全景、360度全景、360度全景+PTZ等多种显示模式。支持路口分析配置功能，可配置路口的位置、区域和岔路的数量、方向。</w:t>
      </w:r>
      <w:r>
        <w:rPr>
          <w:rFonts w:hint="eastAsia" w:ascii="宋体" w:hAnsi="宋体" w:eastAsia="宋体"/>
          <w:bCs/>
          <w:color w:val="366091"/>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04" w:name="_Toc218522912"/>
      <w:r>
        <w:rPr>
          <w:rFonts w:hint="eastAsia" w:ascii="宋体" w:hAnsi="宋体" w:eastAsia="宋体"/>
          <w:b/>
          <w:sz w:val="21"/>
          <w:szCs w:val="21"/>
          <w:highlight w:val="none"/>
          <w:lang w:val="en-US" w:eastAsia="zh-CN"/>
        </w:rPr>
        <w:t xml:space="preserve">6.3   </w:t>
      </w:r>
      <w:r>
        <w:rPr>
          <w:rFonts w:hint="eastAsia" w:ascii="宋体" w:hAnsi="宋体" w:eastAsia="宋体"/>
          <w:b/>
          <w:sz w:val="21"/>
          <w:szCs w:val="21"/>
          <w:highlight w:val="none"/>
        </w:rPr>
        <w:t xml:space="preserve">光纤收发器</w:t>
      </w:r>
      <w:bookmarkEnd w:id="304"/>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1.产品规格等级：工业；</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2.产品形态：导轨式；</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3.网络接口：具备1个1000Mbps光口(FC)、1个10/100/1000Mbps自协商以太网口(RJ-45)；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4.光纤类型：单模单纤；</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5.光接口类型：FC；</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6.发送端/接收端：发送端；波长：1310nm发送,1550nm接收；</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7.发送端/接收端：接收端；波长：1550nm发送,1310nm接收；</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8.光传输距离：≤20km；</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9.安装方式：卡轨安装；</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10.供电方式：支持双电源输入，输入电压9-48VDC；</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bookmarkStart w:id="305" w:name="_Toc218522913"/>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七</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监控杆件及基础</w:t>
      </w:r>
      <w:bookmarkEnd w:id="305"/>
      <w:r>
        <w:rPr>
          <w:rFonts w:hint="eastAsia" w:ascii="宋体" w:hAnsi="宋体" w:eastAsia="宋体"/>
          <w:b/>
          <w:sz w:val="24"/>
          <w:szCs w:val="24"/>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本项目中所有监控杆件及基础（含诱导屏杆件及基础）制造安装需满足包括但不限于以下规范要求：</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1)建筑结构荷载规范（GB50009-2012）</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2)建筑抗震设计标准(GB/T 50011-2010)(2024版)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3)钢结构设计标准（GB50017-2017）</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4)钢结构焊接规范（GB50661-2011）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5)钢结构高强度螺栓连接技术规程（JGJ82-2011）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6)冷弯薄壁型钢结构技术规范（GB50018-2016）</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7)钢结构工程施工质量验收标准（GB50205-2020）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8)一般工程用铸造碳钢件（GB/T 11352）</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9)六角头螺栓C级（GB/T 5780）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10)非合金钢及细晶粒钢焊条（GB/T 5117 2012版）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11)热强钢焊条（GB/T 5118 2012版）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12)建筑地基基础设计规范（GB50007-2011）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13)建筑地基处理技术规范（JGJ79-2012）</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14)建筑结构可靠性设计统一标准（GB50068-2018）</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15)混凝土结构设计标准(GB/T50010-2010)(2024年版)</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16)建筑与市政地基基础通用规范（GB55003-2021）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17)建筑与市政工程抗震通用规范（GB55002-2021）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18)混凝土结构通用规范（GB55008-2021）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19)工程结构通用规范 (GB55001-2021)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20)钢结构通用规范(GB55006-2021)</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21)国家、地方及其他规范、设计条例、规定</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满足设计文件要求</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4"/>
          <w:szCs w:val="24"/>
          <w:highlight w:val="none"/>
        </w:rPr>
        <w:outlineLvl w:val="0"/>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八</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350M电台基站</w:t>
      </w:r>
      <w:r>
        <w:rPr>
          <w:rFonts w:hint="eastAsia" w:ascii="宋体" w:hAnsi="宋体" w:eastAsia="宋体"/>
          <w:b/>
          <w:sz w:val="24"/>
          <w:szCs w:val="24"/>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06" w:name="_Toc406941303"/>
      <w:r/>
      <w:bookmarkStart w:id="307" w:name="_Toc373485666"/>
      <w:r>
        <w:rPr>
          <w:rFonts w:hint="eastAsia" w:ascii="宋体" w:hAnsi="宋体" w:eastAsia="宋体"/>
          <w:b/>
          <w:sz w:val="21"/>
          <w:szCs w:val="21"/>
          <w:highlight w:val="none"/>
          <w:lang w:val="en-US" w:eastAsia="zh-CN"/>
        </w:rPr>
        <w:t xml:space="preserve">8.1   </w:t>
      </w:r>
      <w:r>
        <w:rPr>
          <w:rFonts w:hint="eastAsia" w:ascii="宋体" w:hAnsi="宋体" w:eastAsia="宋体"/>
          <w:b/>
          <w:sz w:val="21"/>
          <w:szCs w:val="21"/>
          <w:highlight w:val="none"/>
        </w:rPr>
        <w:t xml:space="preserve">数字基站性能指标</w:t>
      </w:r>
      <w:bookmarkEnd w:id="306"/>
      <w:r/>
      <w:bookmarkEnd w:id="307"/>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呼叫建立时间：按照空中接口协议与无线移动台建立通信，基站内部呼叫同交换机呼叫建立时间≤300ms，跨交换机呼叫建立时间≤500ms。</w:t>
      </w:r>
      <w:r>
        <w:rPr>
          <w:rFonts w:hint="eastAsia" w:ascii="宋体" w:hAnsi="宋体" w:eastAsia="宋体"/>
          <w:bCs/>
          <w:color w:val="000000"/>
          <w:sz w:val="21"/>
          <w:szCs w:val="21"/>
          <w:highlight w:val="none"/>
        </w:rPr>
      </w:r>
      <w:r/>
    </w:p>
    <w:tbl>
      <w:tblPr>
        <w:tblW w:w="4880" w:type="pct"/>
        <w:jc w:val="center"/>
        <w:tblInd w:w="-108" w:type="dxa"/>
        <w:tblBorders>
          <w:top w:val="single" w:color="000000" w:sz="8"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2082"/>
        <w:gridCol w:w="4861"/>
      </w:tblGrid>
      <w:tr>
        <w:trPr/>
        <w:tc>
          <w:tcPr>
            <w:gridSpan w:val="3"/>
            <w:tcW w:w="8323" w:type="dxa"/>
            <w:vAlign w:val="center"/>
            <w:textDirection w:val="lrTb"/>
            <w:noWrap w:val="false"/>
          </w:tcPr>
          <w:p>
            <w:pPr>
              <w:pStyle w:val="925"/>
              <w:jc w:val="center"/>
              <w:spacing w:before="79"/>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基本性能要求</w:t>
            </w:r>
            <w:r>
              <w:rPr>
                <w:rFonts w:hint="eastAsia" w:ascii="宋体" w:hAnsi="宋体" w:eastAsia="宋体" w:cs="宋体"/>
                <w:b/>
                <w:szCs w:val="21"/>
                <w:highlight w:val="none"/>
              </w:rPr>
            </w:r>
            <w:r/>
          </w:p>
        </w:tc>
      </w:tr>
      <w:tr>
        <w:trPr>
          <w:trHeight w:val="492"/>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工作频率</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350～370MHz</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载频数量</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2-16</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载频间隔</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250kHz</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多址方式</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FDMA/TDMA/FDD</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双工间隔</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10MHz</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调制方式</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4FSK，调制指数为0.27</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传输速率</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9.6kbps</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满负荷功耗</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400W-3200W（2</w:t>
            </w:r>
            <w:r>
              <w:rPr>
                <w:rFonts w:ascii="宋体" w:hAnsi="宋体" w:eastAsia="宋体" w:cs="宋体"/>
                <w:szCs w:val="21"/>
                <w:highlight w:val="none"/>
              </w:rPr>
              <w:t xml:space="preserve">—</w:t>
            </w:r>
            <w:r>
              <w:rPr>
                <w:rFonts w:hint="eastAsia" w:ascii="宋体" w:hAnsi="宋体" w:eastAsia="宋体" w:cs="宋体"/>
                <w:szCs w:val="21"/>
                <w:highlight w:val="none"/>
              </w:rPr>
              <w:t xml:space="preserve">16载频）</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工作温度</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-30</w:t>
            </w:r>
            <w:r>
              <w:rPr>
                <w:rFonts w:hint="eastAsia" w:ascii="宋体" w:hAnsi="宋体" w:eastAsia="宋体" w:cs="宋体"/>
                <w:szCs w:val="21"/>
                <w:highlight w:val="none"/>
              </w:rPr>
              <w:t xml:space="preserve">～</w:t>
            </w:r>
            <w:r>
              <w:rPr>
                <w:rFonts w:ascii="宋体" w:hAnsi="宋体" w:eastAsia="宋体" w:cs="宋体"/>
                <w:szCs w:val="21"/>
                <w:highlight w:val="none"/>
              </w:rPr>
              <w:t xml:space="preserve">60</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存储温度</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-40</w:t>
            </w:r>
            <w:r>
              <w:rPr>
                <w:rFonts w:hint="eastAsia" w:ascii="宋体" w:hAnsi="宋体" w:eastAsia="宋体" w:cs="宋体"/>
                <w:szCs w:val="21"/>
                <w:highlight w:val="none"/>
              </w:rPr>
              <w:t xml:space="preserve">～</w:t>
            </w:r>
            <w:r>
              <w:rPr>
                <w:rFonts w:ascii="宋体" w:hAnsi="宋体" w:eastAsia="宋体" w:cs="宋体"/>
                <w:szCs w:val="21"/>
                <w:highlight w:val="none"/>
              </w:rPr>
              <w:t xml:space="preserve">85</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tc>
      </w:tr>
      <w:tr>
        <w:trPr/>
        <w:tc>
          <w:tcPr>
            <w:gridSpan w:val="3"/>
            <w:tcW w:w="8323"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接收指标</w:t>
            </w:r>
            <w:r>
              <w:rPr>
                <w:rFonts w:hint="eastAsia" w:ascii="宋体" w:hAnsi="宋体" w:eastAsia="宋体" w:cs="宋体"/>
                <w:szCs w:val="21"/>
                <w:highlight w:val="none"/>
              </w:rPr>
            </w:r>
            <w:r/>
          </w:p>
        </w:tc>
      </w:tr>
      <w:tr>
        <w:trPr/>
        <w:tc>
          <w:tcPr>
            <w:tcW w:w="829" w:type="dxa"/>
            <w:vAlign w:val="center"/>
            <w:vMerge w:val="restart"/>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接收灵敏度</w:t>
            </w:r>
            <w:r>
              <w:rPr>
                <w:rFonts w:hint="eastAsia" w:ascii="宋体" w:hAnsi="宋体" w:eastAsia="宋体" w:cs="宋体"/>
                <w:szCs w:val="21"/>
                <w:highlight w:val="none"/>
              </w:rPr>
            </w:r>
            <w:r/>
          </w:p>
        </w:tc>
        <w:tc>
          <w:tcPr>
            <w:tcW w:w="1251"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静态灵敏度</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-119dBm</w:t>
            </w:r>
            <w:r>
              <w:rPr>
                <w:rFonts w:hint="eastAsia" w:ascii="宋体" w:hAnsi="宋体" w:eastAsia="宋体" w:cs="宋体"/>
                <w:szCs w:val="21"/>
                <w:highlight w:val="none"/>
              </w:rPr>
            </w:r>
            <w:r/>
          </w:p>
        </w:tc>
      </w:tr>
      <w:tr>
        <w:trPr/>
        <w:tc>
          <w:tcPr>
            <w:tcW w:w="829" w:type="dxa"/>
            <w:vAlign w:val="center"/>
            <w:vMerge w:val="continue"/>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251"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动态灵敏度</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-114dBm</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接收通道</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每个信道机具有三路独立接收通道，最大可支持三分集接收。</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接收输入电平范围</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119～-7</w:t>
            </w:r>
            <w:r>
              <w:rPr>
                <w:rFonts w:ascii="宋体" w:hAnsi="宋体" w:eastAsia="宋体" w:cs="宋体"/>
                <w:szCs w:val="21"/>
                <w:highlight w:val="none"/>
              </w:rPr>
              <w:t xml:space="preserve">dB</w:t>
            </w:r>
            <w:r>
              <w:rPr>
                <w:rFonts w:hint="eastAsia" w:ascii="宋体" w:hAnsi="宋体" w:eastAsia="宋体" w:cs="宋体"/>
                <w:szCs w:val="21"/>
                <w:highlight w:val="none"/>
              </w:rPr>
              <w:t xml:space="preserve">m</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阻塞</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84dB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共信道抑制</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≤-12dB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领道选择性</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60dB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接收机互调响应抑制</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≥70dB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杂散发射</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≤-57dBm</w:t>
            </w:r>
            <w:r>
              <w:rPr>
                <w:rFonts w:hint="eastAsia" w:ascii="宋体" w:hAnsi="宋体" w:eastAsia="宋体" w:cs="宋体"/>
                <w:szCs w:val="21"/>
                <w:highlight w:val="none"/>
              </w:rPr>
              <w:t xml:space="preserve">@100kHz</w:t>
            </w:r>
            <w:r>
              <w:rPr>
                <w:rFonts w:hint="eastAsia" w:ascii="宋体" w:hAnsi="宋体" w:eastAsia="宋体" w:cs="宋体"/>
                <w:szCs w:val="21"/>
                <w:highlight w:val="none"/>
              </w:rPr>
            </w:r>
            <w:r/>
          </w:p>
        </w:tc>
      </w:tr>
      <w:tr>
        <w:trPr/>
        <w:tc>
          <w:tcPr>
            <w:gridSpan w:val="3"/>
            <w:tcW w:w="8323"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发射指标</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发射功率</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≤50W</w:t>
            </w:r>
            <w:r>
              <w:rPr>
                <w:rFonts w:hint="eastAsia" w:ascii="宋体" w:hAnsi="宋体" w:eastAsia="宋体" w:cs="宋体"/>
                <w:szCs w:val="21"/>
                <w:highlight w:val="none"/>
              </w:rPr>
              <w:t xml:space="preserve">（每个载频）</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输出功率变化容限</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±1.5dB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功率调整范围</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5～50W（调整步长1dB）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占用带宽</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8.5kHz@3dB</w:t>
            </w:r>
            <w:r>
              <w:rPr>
                <w:rFonts w:hint="eastAsia" w:ascii="宋体" w:hAnsi="宋体" w:eastAsia="宋体" w:cs="宋体"/>
                <w:szCs w:val="21"/>
                <w:highlight w:val="none"/>
              </w:rPr>
            </w:r>
            <w:r/>
          </w:p>
        </w:tc>
      </w:tr>
      <w:tr>
        <w:trPr/>
        <w:tc>
          <w:tcPr>
            <w:gridSpan w:val="2"/>
            <w:tcW w:w="3462" w:type="dxa"/>
            <w:vAlign w:val="center"/>
            <w:vMerge w:val="restart"/>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调制精度</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常温：</w:t>
            </w:r>
            <w:r>
              <w:rPr>
                <w:rFonts w:ascii="宋体" w:hAnsi="宋体" w:eastAsia="宋体" w:cs="宋体"/>
                <w:szCs w:val="21"/>
                <w:highlight w:val="none"/>
              </w:rPr>
              <w:t xml:space="preserve">≤</w:t>
            </w: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r>
      <w:tr>
        <w:trPr/>
        <w:tc>
          <w:tcPr>
            <w:gridSpan w:val="2"/>
            <w:tcW w:w="3462" w:type="dxa"/>
            <w:vAlign w:val="center"/>
            <w:vMerge w:val="continue"/>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极限温度：</w:t>
            </w:r>
            <w:r>
              <w:rPr>
                <w:rFonts w:ascii="宋体" w:hAnsi="宋体" w:eastAsia="宋体" w:cs="宋体"/>
                <w:szCs w:val="21"/>
                <w:highlight w:val="none"/>
              </w:rPr>
              <w:t xml:space="preserve">≤</w:t>
            </w: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频率误差</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1.0ppm（300～600MHz）</w:t>
            </w:r>
            <w:r>
              <w:rPr>
                <w:rFonts w:hint="eastAsia" w:ascii="宋体" w:hAnsi="宋体" w:eastAsia="宋体" w:cs="宋体"/>
                <w:szCs w:val="21"/>
                <w:highlight w:val="none"/>
              </w:rPr>
            </w:r>
            <w:r/>
          </w:p>
        </w:tc>
      </w:tr>
      <w:tr>
        <w:trPr/>
        <w:tc>
          <w:tcPr>
            <w:gridSpan w:val="2"/>
            <w:tcW w:w="3462" w:type="dxa"/>
            <w:vAlign w:val="center"/>
            <w:vMerge w:val="restart"/>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互调衰减</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正常：</w:t>
            </w:r>
            <w:r>
              <w:rPr>
                <w:rFonts w:ascii="宋体" w:hAnsi="宋体" w:eastAsia="宋体" w:cs="宋体"/>
                <w:szCs w:val="21"/>
                <w:highlight w:val="none"/>
              </w:rPr>
              <w:t xml:space="preserve">≥</w:t>
            </w:r>
            <w:r>
              <w:rPr>
                <w:rFonts w:hint="eastAsia" w:ascii="宋体" w:hAnsi="宋体" w:eastAsia="宋体" w:cs="宋体"/>
                <w:szCs w:val="21"/>
                <w:highlight w:val="none"/>
              </w:rPr>
              <w:t xml:space="preserve">40dB</w:t>
            </w:r>
            <w:r>
              <w:rPr>
                <w:rFonts w:hint="eastAsia" w:ascii="宋体" w:hAnsi="宋体" w:eastAsia="宋体" w:cs="宋体"/>
                <w:szCs w:val="21"/>
                <w:highlight w:val="none"/>
              </w:rPr>
            </w:r>
            <w:r/>
          </w:p>
        </w:tc>
      </w:tr>
      <w:tr>
        <w:trPr/>
        <w:tc>
          <w:tcPr>
            <w:gridSpan w:val="2"/>
            <w:tcW w:w="3462" w:type="dxa"/>
            <w:vAlign w:val="center"/>
            <w:vMerge w:val="continue"/>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极限：70dB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邻道功率抑制</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≥60dB</w:t>
            </w:r>
            <w:r>
              <w:rPr>
                <w:rFonts w:hint="eastAsia" w:ascii="宋体" w:hAnsi="宋体" w:eastAsia="宋体" w:cs="宋体"/>
                <w:szCs w:val="21"/>
                <w:highlight w:val="none"/>
              </w:rPr>
              <w:t xml:space="preserve">（12.5kHz）</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瞬态切换邻道功率抑制</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12.5kHz</w:t>
            </w:r>
            <w:r>
              <w:rPr>
                <w:rFonts w:hint="eastAsia" w:ascii="宋体" w:hAnsi="宋体" w:eastAsia="宋体" w:cs="宋体"/>
                <w:szCs w:val="21"/>
                <w:highlight w:val="none"/>
              </w:rPr>
              <w:t xml:space="preserve">：</w:t>
            </w:r>
            <w:r>
              <w:rPr>
                <w:rFonts w:ascii="宋体" w:hAnsi="宋体" w:eastAsia="宋体" w:cs="宋体"/>
                <w:szCs w:val="21"/>
                <w:highlight w:val="none"/>
              </w:rPr>
              <w:t xml:space="preserve">≥50dB</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杂散发射</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-36dBm@100kHz</w:t>
            </w:r>
            <w:r>
              <w:rPr>
                <w:rFonts w:hint="eastAsia" w:ascii="宋体" w:hAnsi="宋体" w:eastAsia="宋体" w:cs="宋体"/>
                <w:szCs w:val="21"/>
                <w:highlight w:val="none"/>
              </w:rPr>
            </w:r>
            <w:r/>
          </w:p>
        </w:tc>
      </w:tr>
      <w:tr>
        <w:trPr/>
        <w:tc>
          <w:tcPr>
            <w:gridSpan w:val="3"/>
            <w:tcW w:w="8323" w:type="dxa"/>
            <w:vAlign w:val="center"/>
            <w:textDirection w:val="lrTb"/>
            <w:noWrap w:val="false"/>
          </w:tcPr>
          <w:p>
            <w:pPr>
              <w:pStyle w:val="925"/>
              <w:jc w:val="center"/>
              <w:spacing w:before="79"/>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输入输出接口指标</w:t>
            </w:r>
            <w:r>
              <w:rPr>
                <w:rFonts w:hint="eastAsia" w:ascii="宋体" w:hAnsi="宋体" w:eastAsia="宋体" w:cs="宋体"/>
                <w:b/>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射频收发接口</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四路N-Female</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同步接口</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定位接口SMA-Female</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与MSO接口</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CC4B-Female（E1接口）/RJ-45（以太网接口）</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本地操作维护接口</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RS-232/以太网</w:t>
            </w:r>
            <w:r>
              <w:rPr>
                <w:rFonts w:hint="eastAsia" w:ascii="宋体" w:hAnsi="宋体" w:eastAsia="宋体" w:cs="宋体"/>
                <w:szCs w:val="21"/>
                <w:highlight w:val="none"/>
              </w:rPr>
            </w:r>
            <w:r/>
          </w:p>
        </w:tc>
      </w:tr>
      <w:tr>
        <w:trPr/>
        <w:tc>
          <w:tcPr>
            <w:gridSpan w:val="2"/>
            <w:tcW w:w="3462" w:type="dxa"/>
            <w:vAlign w:val="center"/>
            <w:vMerge w:val="restart"/>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供电接口</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AC：90～260V（45～55Hz）</w:t>
            </w:r>
            <w:r>
              <w:rPr>
                <w:rFonts w:hint="eastAsia" w:ascii="宋体" w:hAnsi="宋体" w:eastAsia="宋体" w:cs="宋体"/>
                <w:szCs w:val="21"/>
                <w:highlight w:val="none"/>
              </w:rPr>
            </w:r>
            <w:r/>
          </w:p>
        </w:tc>
      </w:tr>
      <w:tr>
        <w:trPr/>
        <w:tc>
          <w:tcPr>
            <w:gridSpan w:val="2"/>
            <w:tcW w:w="3462" w:type="dxa"/>
            <w:vAlign w:val="center"/>
            <w:vMerge w:val="continue"/>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DC：-40～</w:t>
            </w:r>
            <w:r>
              <w:rPr>
                <w:rFonts w:ascii="宋体" w:hAnsi="宋体" w:eastAsia="宋体" w:cs="宋体"/>
                <w:szCs w:val="21"/>
                <w:highlight w:val="none"/>
              </w:rPr>
              <w:t xml:space="preserve">-</w:t>
            </w:r>
            <w:r>
              <w:rPr>
                <w:rFonts w:hint="eastAsia" w:ascii="宋体" w:hAnsi="宋体" w:eastAsia="宋体" w:cs="宋体"/>
                <w:szCs w:val="21"/>
                <w:highlight w:val="none"/>
              </w:rPr>
              <w:t xml:space="preserve">55V</w:t>
            </w:r>
            <w:r>
              <w:rPr>
                <w:rFonts w:hint="eastAsia" w:ascii="宋体" w:hAnsi="宋体" w:eastAsia="宋体" w:cs="宋体"/>
                <w:szCs w:val="21"/>
                <w:highlight w:val="none"/>
              </w:rPr>
            </w:r>
            <w:r/>
          </w:p>
        </w:tc>
      </w:tr>
      <w:tr>
        <w:trPr/>
        <w:tc>
          <w:tcPr>
            <w:gridSpan w:val="3"/>
            <w:tcW w:w="8323" w:type="dxa"/>
            <w:vAlign w:val="center"/>
            <w:textDirection w:val="lrTb"/>
            <w:noWrap w:val="false"/>
          </w:tcPr>
          <w:p>
            <w:pPr>
              <w:pStyle w:val="925"/>
              <w:jc w:val="center"/>
              <w:spacing w:before="79"/>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可靠性指标</w:t>
            </w:r>
            <w:r>
              <w:rPr>
                <w:rFonts w:hint="eastAsia" w:ascii="宋体" w:hAnsi="宋体" w:eastAsia="宋体" w:cs="宋体"/>
                <w:b/>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系统平均故障间隔时间MTBF</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10万小时</w:t>
            </w:r>
            <w:r>
              <w:rPr>
                <w:rFonts w:hint="eastAsia" w:ascii="宋体" w:hAnsi="宋体" w:eastAsia="宋体" w:cs="宋体"/>
                <w:szCs w:val="21"/>
                <w:highlight w:val="none"/>
              </w:rPr>
            </w:r>
            <w:r/>
          </w:p>
        </w:tc>
      </w:tr>
      <w:tr>
        <w:trPr/>
        <w:tc>
          <w:tcPr>
            <w:gridSpan w:val="2"/>
            <w:tcW w:w="3462"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hint="eastAsia" w:ascii="宋体" w:hAnsi="宋体" w:eastAsia="宋体" w:cs="宋体"/>
                <w:szCs w:val="21"/>
                <w:highlight w:val="none"/>
              </w:rPr>
              <w:t xml:space="preserve">系统平均故障修复时间MTTR</w:t>
            </w:r>
            <w:r>
              <w:rPr>
                <w:rFonts w:hint="eastAsia" w:ascii="宋体" w:hAnsi="宋体" w:eastAsia="宋体" w:cs="宋体"/>
                <w:szCs w:val="21"/>
                <w:highlight w:val="none"/>
              </w:rPr>
            </w:r>
            <w:r/>
          </w:p>
        </w:tc>
        <w:tc>
          <w:tcPr>
            <w:tcW w:w="2919" w:type="dxa"/>
            <w:vAlign w:val="center"/>
            <w:textDirection w:val="lrTb"/>
            <w:noWrap w:val="false"/>
          </w:tcPr>
          <w:p>
            <w:pPr>
              <w:pStyle w:val="925"/>
              <w:jc w:val="center"/>
              <w:spacing w:before="79"/>
              <w:widowControl/>
              <w:rPr>
                <w:rFonts w:hint="eastAsia" w:ascii="宋体" w:hAnsi="宋体" w:eastAsia="宋体" w:cs="宋体"/>
                <w:szCs w:val="21"/>
                <w:highlight w:val="none"/>
              </w:rPr>
            </w:pPr>
            <w:r>
              <w:rPr>
                <w:rFonts w:ascii="宋体" w:hAnsi="宋体" w:eastAsia="宋体" w:cs="宋体"/>
                <w:szCs w:val="21"/>
                <w:highlight w:val="none"/>
              </w:rPr>
              <w:t xml:space="preserve">≤</w:t>
            </w:r>
            <w:r>
              <w:rPr>
                <w:rFonts w:hint="eastAsia" w:ascii="宋体" w:hAnsi="宋体" w:eastAsia="宋体" w:cs="宋体"/>
                <w:szCs w:val="21"/>
                <w:highlight w:val="none"/>
              </w:rPr>
              <w:t xml:space="preserve">10分钟</w:t>
            </w:r>
            <w:r>
              <w:rPr>
                <w:rFonts w:hint="eastAsia" w:ascii="宋体" w:hAnsi="宋体" w:eastAsia="宋体" w:cs="宋体"/>
                <w:szCs w:val="21"/>
                <w:highlight w:val="none"/>
              </w:rPr>
            </w:r>
            <w:r/>
          </w:p>
        </w:tc>
      </w:tr>
    </w:tbl>
    <w:p>
      <w:pPr>
        <w:pStyle w:val="1024"/>
        <w:numPr>
          <w:ilvl w:val="0"/>
          <w:numId w:val="0"/>
        </w:numPr>
        <w:rPr>
          <w:rFonts w:hint="eastAsia" w:ascii="宋体" w:hAnsi="宋体" w:eastAsia="宋体"/>
          <w:b/>
          <w:sz w:val="24"/>
          <w:szCs w:val="24"/>
          <w:highlight w:val="none"/>
        </w:rPr>
        <w:outlineLvl w:val="2"/>
      </w:pPr>
      <w:r>
        <w:rPr>
          <w:rFonts w:hint="eastAsia" w:ascii="宋体" w:hAnsi="宋体" w:eastAsia="宋体"/>
          <w:b/>
          <w:sz w:val="24"/>
          <w:szCs w:val="24"/>
          <w:highlight w:val="none"/>
          <w:lang w:val="en-US" w:eastAsia="zh-CN"/>
        </w:rPr>
        <w:t xml:space="preserve">8.2   </w:t>
      </w:r>
      <w:r>
        <w:rPr>
          <w:rFonts w:hint="eastAsia" w:ascii="宋体" w:hAnsi="宋体" w:eastAsia="宋体"/>
          <w:b/>
          <w:sz w:val="24"/>
          <w:szCs w:val="24"/>
          <w:highlight w:val="none"/>
        </w:rPr>
        <w:t xml:space="preserve">相应设备参数指标</w:t>
      </w:r>
      <w:r>
        <w:rPr>
          <w:rFonts w:hint="eastAsia" w:ascii="宋体" w:hAnsi="宋体" w:eastAsia="宋体"/>
          <w:b/>
          <w:sz w:val="24"/>
          <w:szCs w:val="24"/>
          <w:highlight w:val="none"/>
        </w:rPr>
      </w:r>
      <w:r/>
    </w:p>
    <w:p>
      <w:pPr>
        <w:pStyle w:val="925"/>
        <w:jc w:val="left"/>
        <w:keepLines w:val="0"/>
        <w:keepNext w:val="0"/>
        <w:pageBreakBefore w:val="0"/>
        <w:spacing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信道机 </w:t>
      </w:r>
      <w:r>
        <w:rPr>
          <w:rFonts w:hint="eastAsia" w:ascii="宋体" w:hAnsi="宋体" w:eastAsia="宋体"/>
          <w:bCs/>
          <w:sz w:val="21"/>
          <w:szCs w:val="21"/>
          <w:highlight w:val="none"/>
        </w:rPr>
      </w:r>
      <w:r/>
    </w:p>
    <w:tbl>
      <w:tblPr>
        <w:tblW w:w="4891" w:type="pct"/>
        <w:tblInd w:w="0" w:type="dxa"/>
        <w:tblBorders>
          <w:top w:val="single" w:color="333333" w:sz="8" w:space="0"/>
          <w:left w:val="single" w:color="333333" w:sz="8" w:space="0"/>
          <w:bottom w:val="single" w:color="333333" w:sz="8" w:space="0"/>
          <w:right w:val="single" w:color="333333" w:sz="8" w:space="0"/>
          <w:insideH w:val="single" w:color="333333" w:sz="4" w:space="0"/>
          <w:insideV w:val="single" w:color="333333" w:sz="4" w:space="0"/>
        </w:tblBorders>
        <w:tblLayout w:type="autofit"/>
        <w:tblCellMar>
          <w:left w:w="108" w:type="dxa"/>
          <w:top w:w="0" w:type="dxa"/>
          <w:right w:w="108" w:type="dxa"/>
          <w:bottom w:w="0" w:type="dxa"/>
        </w:tblCellMar>
        <w:tblLook w:val="04A0" w:firstRow="1" w:lastRow="0" w:firstColumn="1" w:lastColumn="0" w:noHBand="0" w:noVBand="1"/>
      </w:tblPr>
      <w:tblGrid>
        <w:gridCol w:w="3699"/>
        <w:gridCol w:w="4643"/>
      </w:tblGrid>
      <w:tr>
        <w:trPr>
          <w:cantSplit/>
          <w:trHeight w:val="603"/>
        </w:trPr>
        <w:tc>
          <w:tcPr>
            <w:gridSpan w:val="2"/>
            <w:shd w:val="clear" w:color="auto" w:fill="d9d9d9"/>
            <w:tcW w:w="8342"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发射指标</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工作频段</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360.8MHz</w:t>
            </w:r>
            <w:r>
              <w:rPr>
                <w:rFonts w:ascii="宋体" w:hAnsi="宋体" w:eastAsia="宋体"/>
                <w:szCs w:val="21"/>
                <w:highlight w:val="none"/>
                <w:lang w:val="zh-TW" w:eastAsia="zh-TW"/>
              </w:rPr>
              <w:t xml:space="preserve">～</w:t>
            </w:r>
            <w:r>
              <w:rPr>
                <w:rFonts w:ascii="宋体" w:hAnsi="宋体" w:eastAsia="宋体"/>
                <w:szCs w:val="21"/>
                <w:highlight w:val="none"/>
              </w:rPr>
              <w:t xml:space="preserve">366.2MHz</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频率带宽</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12.5kHz</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每载波输出功率</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5-50W可调</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载波频率稳定度</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≤±1ppm</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邻道功率</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≥60dB@12.5kHz</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rPr>
              <w:t xml:space="preserve">传导/辐射</w:t>
            </w:r>
            <w:r>
              <w:rPr>
                <w:rFonts w:ascii="宋体" w:hAnsi="宋体" w:eastAsia="宋体"/>
                <w:szCs w:val="21"/>
                <w:highlight w:val="none"/>
                <w:lang w:val="zh-TW" w:eastAsia="zh-TW"/>
              </w:rPr>
              <w:t xml:space="preserve">杂散</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≤-36dBm</w:t>
            </w:r>
            <w:r>
              <w:rPr>
                <w:rFonts w:ascii="宋体" w:hAnsi="宋体" w:eastAsia="宋体"/>
                <w:szCs w:val="21"/>
                <w:highlight w:val="none"/>
                <w:lang w:val="zh-TW" w:eastAsia="zh-TW"/>
              </w:rPr>
              <w:t xml:space="preserve">（</w:t>
            </w:r>
            <w:r>
              <w:rPr>
                <w:rFonts w:ascii="宋体" w:hAnsi="宋体" w:eastAsia="宋体"/>
                <w:szCs w:val="21"/>
                <w:highlight w:val="none"/>
              </w:rPr>
              <w:t xml:space="preserve">9kHz—1GHz 运行</w:t>
            </w:r>
            <w:r>
              <w:rPr>
                <w:rFonts w:ascii="宋体" w:hAnsi="宋体" w:eastAsia="宋体"/>
                <w:szCs w:val="21"/>
                <w:highlight w:val="none"/>
                <w:lang w:val="zh-TW" w:eastAsia="zh-TW"/>
              </w:rPr>
              <w:t xml:space="preserve">）</w:t>
            </w:r>
            <w:r>
              <w:rPr>
                <w:rFonts w:hint="eastAsia" w:ascii="宋体" w:hAnsi="宋体" w:eastAsia="宋体"/>
                <w:szCs w:val="21"/>
                <w:highlight w:val="none"/>
              </w:rPr>
            </w:r>
            <w:r/>
          </w:p>
        </w:tc>
      </w:tr>
      <w:tr>
        <w:trPr>
          <w:cantSplit/>
          <w:trHeight w:val="603"/>
        </w:trPr>
        <w:tc>
          <w:tcPr>
            <w:tcW w:w="2217"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互调衰减</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≤-60dB</w:t>
            </w:r>
            <w:r>
              <w:rPr>
                <w:rFonts w:hint="eastAsia" w:ascii="宋体" w:hAnsi="宋体" w:eastAsia="宋体"/>
                <w:szCs w:val="21"/>
                <w:highlight w:val="none"/>
              </w:rPr>
            </w:r>
            <w:r/>
          </w:p>
        </w:tc>
      </w:tr>
      <w:tr>
        <w:trPr>
          <w:cantSplit/>
          <w:trHeight w:val="603"/>
        </w:trPr>
        <w:tc>
          <w:tcPr>
            <w:tcW w:w="2217"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发射电流</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rPr>
              <w:t xml:space="preserve">≤12A（50W）</w:t>
            </w:r>
            <w:r>
              <w:rPr>
                <w:rFonts w:hint="eastAsia" w:ascii="宋体" w:hAnsi="宋体" w:eastAsia="宋体"/>
                <w:szCs w:val="21"/>
                <w:highlight w:val="none"/>
              </w:rPr>
            </w:r>
            <w:r/>
          </w:p>
        </w:tc>
      </w:tr>
      <w:tr>
        <w:trPr>
          <w:cantSplit/>
          <w:trHeight w:val="603"/>
        </w:trPr>
        <w:tc>
          <w:tcPr>
            <w:gridSpan w:val="2"/>
            <w:shd w:val="clear" w:color="auto" w:fill="d9d9d9"/>
            <w:tcW w:w="8342"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接收指标</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工作频段</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350.8MHz</w:t>
            </w:r>
            <w:r>
              <w:rPr>
                <w:rFonts w:ascii="宋体" w:hAnsi="宋体" w:eastAsia="宋体"/>
                <w:szCs w:val="21"/>
                <w:highlight w:val="none"/>
                <w:lang w:val="zh-TW" w:eastAsia="zh-TW"/>
              </w:rPr>
              <w:t xml:space="preserve">～</w:t>
            </w:r>
            <w:r>
              <w:rPr>
                <w:rFonts w:ascii="宋体" w:hAnsi="宋体" w:eastAsia="宋体"/>
                <w:szCs w:val="21"/>
                <w:highlight w:val="none"/>
              </w:rPr>
              <w:t xml:space="preserve">356.2MHz</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频率带宽</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12.5kHz</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接收灵敏度</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≤-118dBm</w:t>
            </w:r>
            <w:r>
              <w:rPr>
                <w:rFonts w:ascii="宋体" w:hAnsi="宋体" w:eastAsia="宋体"/>
                <w:szCs w:val="21"/>
                <w:highlight w:val="none"/>
                <w:lang w:val="zh-TW" w:eastAsia="zh-TW"/>
              </w:rPr>
              <w:t xml:space="preserve">（误码率为</w:t>
            </w:r>
            <w:r>
              <w:rPr>
                <w:rFonts w:ascii="宋体" w:hAnsi="宋体" w:eastAsia="宋体"/>
                <w:szCs w:val="21"/>
                <w:highlight w:val="none"/>
              </w:rPr>
              <w:t xml:space="preserve">5%</w:t>
            </w:r>
            <w:r>
              <w:rPr>
                <w:rFonts w:ascii="宋体" w:hAnsi="宋体" w:eastAsia="宋体"/>
                <w:szCs w:val="21"/>
                <w:highlight w:val="none"/>
                <w:lang w:val="zh-TW" w:eastAsia="zh-TW"/>
              </w:rPr>
              <w:t xml:space="preserve">）</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共道抑制</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-12dB-0dB</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邻道选择性</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≥60dB@12.5kHz（常温15-35摄氏度）</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杂散响应抗</w:t>
            </w:r>
            <w:r>
              <w:rPr>
                <w:rFonts w:ascii="宋体" w:hAnsi="宋体" w:eastAsia="宋体"/>
                <w:szCs w:val="21"/>
                <w:highlight w:val="none"/>
                <w:lang w:val="zh-TW"/>
              </w:rPr>
              <w:t xml:space="preserve">干扰</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≥70dB</w:t>
            </w:r>
            <w:r>
              <w:rPr>
                <w:rFonts w:hint="eastAsia" w:ascii="宋体" w:hAnsi="宋体" w:eastAsia="宋体"/>
                <w:szCs w:val="21"/>
                <w:highlight w:val="none"/>
              </w:rPr>
            </w:r>
            <w:r/>
          </w:p>
        </w:tc>
      </w:tr>
      <w:tr>
        <w:trPr>
          <w:cantSplit/>
          <w:trHeight w:val="603"/>
        </w:trPr>
        <w:tc>
          <w:tcPr>
            <w:tcW w:w="2217"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阻塞</w:t>
            </w:r>
            <w:r>
              <w:rPr>
                <w:rFonts w:hint="eastAsia" w:ascii="宋体" w:hAnsi="宋体" w:eastAsia="宋体"/>
                <w:szCs w:val="21"/>
                <w:highlight w:val="none"/>
              </w:rPr>
            </w:r>
            <w:r/>
          </w:p>
        </w:tc>
        <w:tc>
          <w:tcPr>
            <w:tcW w:w="2782"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≥84dB</w:t>
            </w:r>
            <w:r>
              <w:rPr>
                <w:rFonts w:hint="eastAsia" w:ascii="宋体" w:hAnsi="宋体" w:eastAsia="宋体"/>
                <w:szCs w:val="21"/>
                <w:highlight w:val="none"/>
              </w:rPr>
            </w:r>
            <w:r/>
          </w:p>
        </w:tc>
      </w:tr>
      <w:tr>
        <w:trPr>
          <w:cantSplit/>
          <w:trHeight w:val="603"/>
        </w:trPr>
        <w:tc>
          <w:tcPr>
            <w:tcW w:w="2217"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传导</w:t>
            </w:r>
            <w:r>
              <w:rPr>
                <w:rFonts w:ascii="宋体" w:hAnsi="宋体" w:eastAsia="宋体"/>
                <w:szCs w:val="21"/>
                <w:highlight w:val="none"/>
                <w:lang w:val="zh-TW"/>
              </w:rPr>
              <w:t xml:space="preserve">杂散</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≤-57dBm</w:t>
            </w:r>
            <w:r>
              <w:rPr>
                <w:rFonts w:ascii="宋体" w:hAnsi="宋体" w:eastAsia="宋体"/>
                <w:szCs w:val="21"/>
                <w:highlight w:val="none"/>
                <w:lang w:val="zh-TW" w:eastAsia="zh-TW"/>
              </w:rPr>
              <w:t xml:space="preserve">（频率范围</w:t>
            </w:r>
            <w:r>
              <w:rPr>
                <w:rFonts w:ascii="宋体" w:hAnsi="宋体" w:eastAsia="宋体"/>
                <w:szCs w:val="21"/>
                <w:highlight w:val="none"/>
              </w:rPr>
              <w:t xml:space="preserve">9KHz</w:t>
            </w:r>
            <w:r>
              <w:rPr>
                <w:rFonts w:ascii="宋体" w:hAnsi="宋体" w:eastAsia="宋体"/>
                <w:szCs w:val="21"/>
                <w:highlight w:val="none"/>
                <w:lang w:val="zh-TW" w:eastAsia="zh-TW"/>
              </w:rPr>
              <w:t xml:space="preserve">～</w:t>
            </w:r>
            <w:r>
              <w:rPr>
                <w:rFonts w:ascii="宋体" w:hAnsi="宋体" w:eastAsia="宋体"/>
                <w:szCs w:val="21"/>
                <w:highlight w:val="none"/>
              </w:rPr>
              <w:t xml:space="preserve">1GHz</w:t>
            </w:r>
            <w:r>
              <w:rPr>
                <w:rFonts w:ascii="宋体" w:hAnsi="宋体" w:eastAsia="宋体"/>
                <w:szCs w:val="21"/>
                <w:highlight w:val="none"/>
                <w:lang w:val="zh-TW" w:eastAsia="zh-TW"/>
              </w:rPr>
              <w:t xml:space="preserve">）</w:t>
            </w:r>
            <w:r>
              <w:rPr>
                <w:rFonts w:hint="eastAsia" w:ascii="宋体" w:hAnsi="宋体" w:eastAsia="宋体"/>
                <w:szCs w:val="21"/>
                <w:highlight w:val="none"/>
              </w:rPr>
            </w:r>
            <w:r/>
          </w:p>
        </w:tc>
      </w:tr>
    </w:tbl>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基站控制器</w:t>
      </w:r>
      <w:r>
        <w:rPr>
          <w:rFonts w:hint="eastAsia" w:ascii="宋体" w:hAnsi="宋体" w:eastAsia="宋体"/>
          <w:bCs/>
          <w:color w:val="000000"/>
          <w:sz w:val="21"/>
          <w:szCs w:val="21"/>
          <w:highlight w:val="none"/>
        </w:rPr>
      </w:r>
      <w:r/>
    </w:p>
    <w:tbl>
      <w:tblPr>
        <w:tblW w:w="8318" w:type="dxa"/>
        <w:jc w:val="center"/>
        <w:tblInd w:w="412" w:type="dxa"/>
        <w:tblBorders>
          <w:top w:val="single" w:color="333333" w:sz="8" w:space="0"/>
          <w:left w:val="single" w:color="333333" w:sz="8" w:space="0"/>
          <w:bottom w:val="single" w:color="333333" w:sz="8" w:space="0"/>
          <w:right w:val="single" w:color="333333" w:sz="8" w:space="0"/>
          <w:insideH w:val="single" w:color="333333" w:sz="4" w:space="0"/>
          <w:insideV w:val="single" w:color="333333" w:sz="4" w:space="0"/>
        </w:tblBorders>
        <w:tblLayout w:type="fixed"/>
        <w:tblCellMar>
          <w:left w:w="108" w:type="dxa"/>
          <w:top w:w="0" w:type="dxa"/>
          <w:right w:w="108" w:type="dxa"/>
          <w:bottom w:w="0" w:type="dxa"/>
        </w:tblCellMar>
        <w:tblLook w:val="04A0" w:firstRow="1" w:lastRow="0" w:firstColumn="1" w:lastColumn="0" w:noHBand="0" w:noVBand="1"/>
      </w:tblPr>
      <w:tblGrid>
        <w:gridCol w:w="4753"/>
        <w:gridCol w:w="3565"/>
      </w:tblGrid>
      <w:tr>
        <w:trPr>
          <w:cantSplit/>
        </w:trPr>
        <w:tc>
          <w:tcPr>
            <w:gridSpan w:val="2"/>
            <w:shd w:val="clear" w:color="auto" w:fill="d9d9d9"/>
            <w:tcW w:w="8318"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输入输出接口指标</w:t>
            </w:r>
            <w:r>
              <w:rPr>
                <w:rFonts w:hint="eastAsia" w:ascii="宋体" w:hAnsi="宋体" w:eastAsia="宋体"/>
                <w:szCs w:val="21"/>
                <w:highlight w:val="none"/>
              </w:rPr>
            </w:r>
            <w:r/>
          </w:p>
        </w:tc>
      </w:tr>
      <w:tr>
        <w:trPr>
          <w:cantSplit/>
        </w:trPr>
        <w:tc>
          <w:tcPr>
            <w:tcW w:w="4753"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收发射频接口</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四路N-Female</w:t>
            </w:r>
            <w:r>
              <w:rPr>
                <w:rFonts w:hint="eastAsia" w:ascii="宋体" w:hAnsi="宋体" w:eastAsia="宋体"/>
                <w:szCs w:val="21"/>
                <w:highlight w:val="none"/>
              </w:rPr>
            </w:r>
            <w:r/>
          </w:p>
        </w:tc>
      </w:tr>
      <w:tr>
        <w:trPr>
          <w:cantSplit/>
        </w:trPr>
        <w:tc>
          <w:tcPr>
            <w:tcW w:w="4753"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GPS同步接口</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GPS接口SMA-Female</w:t>
            </w:r>
            <w:r>
              <w:rPr>
                <w:rFonts w:hint="eastAsia" w:ascii="宋体" w:hAnsi="宋体" w:eastAsia="宋体"/>
                <w:szCs w:val="21"/>
                <w:highlight w:val="none"/>
              </w:rPr>
            </w:r>
            <w:r/>
          </w:p>
        </w:tc>
      </w:tr>
      <w:tr>
        <w:trPr>
          <w:cantSplit/>
        </w:trPr>
        <w:tc>
          <w:tcPr>
            <w:tcW w:w="4753" w:type="dxa"/>
            <w:vAlign w:val="center"/>
            <w:vMerge w:val="restart"/>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与MSO接口</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E1接口：CC4B-Female</w:t>
            </w:r>
            <w:r>
              <w:rPr>
                <w:rFonts w:hint="eastAsia" w:ascii="宋体" w:hAnsi="宋体" w:eastAsia="宋体"/>
                <w:szCs w:val="21"/>
                <w:highlight w:val="none"/>
              </w:rPr>
            </w:r>
            <w:r/>
          </w:p>
        </w:tc>
      </w:tr>
      <w:tr>
        <w:trPr>
          <w:cantSplit/>
        </w:trPr>
        <w:tc>
          <w:tcPr>
            <w:tcW w:w="4753" w:type="dxa"/>
            <w:vAlign w:val="center"/>
            <w:vMerge w:val="continue"/>
            <w:textDirection w:val="lrTb"/>
            <w:noWrap w:val="false"/>
          </w:tcPr>
          <w:p>
            <w:pPr>
              <w:pStyle w:val="925"/>
              <w:spacing w:before="156"/>
              <w:rPr>
                <w:rFonts w:hint="eastAsia" w:ascii="宋体" w:hAnsi="宋体" w:eastAsia="宋体"/>
                <w:szCs w:val="21"/>
                <w:highlight w:val="none"/>
              </w:rPr>
            </w:pP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以太网接口：RJ-45</w:t>
            </w:r>
            <w:r>
              <w:rPr>
                <w:rFonts w:hint="eastAsia" w:ascii="宋体" w:hAnsi="宋体" w:eastAsia="宋体"/>
                <w:szCs w:val="21"/>
                <w:highlight w:val="none"/>
              </w:rPr>
            </w:r>
            <w:r/>
          </w:p>
        </w:tc>
      </w:tr>
      <w:tr>
        <w:trPr>
          <w:cantSplit/>
        </w:trPr>
        <w:tc>
          <w:tcPr>
            <w:tcW w:w="4753"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本地操作维护接口</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RS-232/以太网</w:t>
            </w:r>
            <w:r>
              <w:rPr>
                <w:rFonts w:hint="eastAsia" w:ascii="宋体" w:hAnsi="宋体" w:eastAsia="宋体"/>
                <w:szCs w:val="21"/>
                <w:highlight w:val="none"/>
              </w:rPr>
            </w:r>
            <w:r/>
          </w:p>
        </w:tc>
      </w:tr>
      <w:tr>
        <w:trPr>
          <w:cantSplit/>
          <w:trHeight w:val="522"/>
        </w:trPr>
        <w:tc>
          <w:tcPr>
            <w:tcW w:w="4753" w:type="dxa"/>
            <w:vAlign w:val="center"/>
            <w:vMerge w:val="restart"/>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供电接口</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AC：90～260V（45～55Hz）</w:t>
            </w:r>
            <w:r>
              <w:rPr>
                <w:rFonts w:hint="eastAsia" w:ascii="宋体" w:hAnsi="宋体" w:eastAsia="宋体"/>
                <w:szCs w:val="21"/>
                <w:highlight w:val="none"/>
              </w:rPr>
            </w:r>
            <w:r/>
          </w:p>
        </w:tc>
      </w:tr>
      <w:tr>
        <w:trPr>
          <w:cantSplit/>
          <w:trHeight w:val="522"/>
        </w:trPr>
        <w:tc>
          <w:tcPr>
            <w:tcW w:w="4753" w:type="dxa"/>
            <w:vAlign w:val="center"/>
            <w:vMerge w:val="continue"/>
            <w:textDirection w:val="lrTb"/>
            <w:noWrap w:val="false"/>
          </w:tcPr>
          <w:p>
            <w:pPr>
              <w:pStyle w:val="925"/>
              <w:spacing w:before="156"/>
              <w:rPr>
                <w:rFonts w:hint="eastAsia" w:ascii="宋体" w:hAnsi="宋体" w:eastAsia="宋体"/>
                <w:szCs w:val="21"/>
                <w:highlight w:val="none"/>
              </w:rPr>
            </w:pP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DC：-40～-55V</w:t>
            </w:r>
            <w:r>
              <w:rPr>
                <w:rFonts w:hint="eastAsia" w:ascii="宋体" w:hAnsi="宋体" w:eastAsia="宋体"/>
                <w:szCs w:val="21"/>
                <w:highlight w:val="none"/>
              </w:rPr>
            </w:r>
            <w:r/>
          </w:p>
        </w:tc>
      </w:tr>
      <w:tr>
        <w:trPr>
          <w:cantSplit/>
        </w:trPr>
        <w:tc>
          <w:tcPr>
            <w:gridSpan w:val="2"/>
            <w:shd w:val="clear" w:color="auto" w:fill="d9d9d9"/>
            <w:tcW w:w="8318"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可靠性指标</w:t>
            </w:r>
            <w:r>
              <w:rPr>
                <w:rFonts w:hint="eastAsia" w:ascii="宋体" w:hAnsi="宋体" w:eastAsia="宋体"/>
                <w:szCs w:val="21"/>
                <w:highlight w:val="none"/>
              </w:rPr>
            </w:r>
            <w:r/>
          </w:p>
        </w:tc>
      </w:tr>
      <w:tr>
        <w:trPr>
          <w:cantSplit/>
          <w:trHeight w:val="311"/>
        </w:trPr>
        <w:tc>
          <w:tcPr>
            <w:tcW w:w="4753"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系统平均故障间隔时间MTBF</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10万小时</w:t>
            </w:r>
            <w:r>
              <w:rPr>
                <w:rFonts w:hint="eastAsia" w:ascii="宋体" w:hAnsi="宋体" w:eastAsia="宋体"/>
                <w:szCs w:val="21"/>
                <w:highlight w:val="none"/>
              </w:rPr>
            </w:r>
            <w:r/>
          </w:p>
        </w:tc>
      </w:tr>
      <w:tr>
        <w:trPr>
          <w:cantSplit/>
        </w:trPr>
        <w:tc>
          <w:tcPr>
            <w:tcW w:w="4753"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系统平均故障修复时间MTTR</w:t>
            </w:r>
            <w:r>
              <w:rPr>
                <w:rFonts w:hint="eastAsia" w:ascii="宋体" w:hAnsi="宋体" w:eastAsia="宋体"/>
                <w:szCs w:val="21"/>
                <w:highlight w:val="none"/>
              </w:rPr>
            </w:r>
            <w:r/>
          </w:p>
        </w:tc>
        <w:tc>
          <w:tcPr>
            <w:tcW w:w="3565"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10分钟</w:t>
            </w:r>
            <w:r>
              <w:rPr>
                <w:rFonts w:hint="eastAsia" w:ascii="宋体" w:hAnsi="宋体" w:eastAsia="宋体"/>
                <w:szCs w:val="21"/>
                <w:highlight w:val="none"/>
              </w:rPr>
            </w:r>
            <w:r/>
          </w:p>
        </w:tc>
      </w:tr>
    </w:tbl>
    <w:p>
      <w:pPr>
        <w:pStyle w:val="1024"/>
        <w:ind w:left="442" w:firstLine="0"/>
        <w:jc w:val="left"/>
        <w:keepLines w:val="0"/>
        <w:keepNext w:val="0"/>
        <w:pageBreakBefore w:val="0"/>
        <w:spacing w:line="360" w:lineRule="auto"/>
        <w:widowControl/>
        <w:rPr>
          <w:rFonts w:hint="eastAsia" w:ascii="宋体" w:hAnsi="宋体" w:eastAsia="宋体"/>
          <w:bCs/>
          <w:sz w:val="21"/>
          <w:szCs w:val="21"/>
          <w:highlight w:val="none"/>
        </w:rPr>
      </w:pPr>
      <w:r>
        <w:rPr>
          <w:rFonts w:ascii="宋体" w:hAnsi="宋体" w:eastAsia="宋体"/>
          <w:bCs/>
          <w:sz w:val="21"/>
          <w:szCs w:val="21"/>
          <w:highlight w:val="none"/>
        </w:rPr>
        <w:t xml:space="preserve">供电单元</w:t>
      </w:r>
      <w:r>
        <w:rPr>
          <w:rFonts w:hint="eastAsia" w:ascii="宋体" w:hAnsi="宋体" w:eastAsia="宋体"/>
          <w:bCs/>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该供电单元可以给各个模块提供稳定的输入电源，其输入为DC40-55V直流电源。为基站控制单元和信道机提供AC220转DC电源供电，输出为13.8V，电源实现热备，1块电源能够给4块信道机和基站控制单元供电。</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风扇单元</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该风扇单元采用1U的结构设计，并由两个独立的可拔插风扇抽箱组成，为基站控制单元、电源和信道机提供散热。</w:t>
      </w:r>
      <w:r>
        <w:rPr>
          <w:rFonts w:hint="eastAsia" w:ascii="宋体" w:hAnsi="宋体" w:eastAsia="宋体"/>
          <w:bCs/>
          <w:color w:val="000000"/>
          <w:sz w:val="21"/>
          <w:szCs w:val="21"/>
          <w:highlight w:val="none"/>
        </w:rPr>
      </w:r>
      <w:r/>
    </w:p>
    <w:p>
      <w:pPr>
        <w:pStyle w:val="1024"/>
        <w:ind w:left="442" w:firstLine="0"/>
        <w:jc w:val="left"/>
        <w:keepLines w:val="0"/>
        <w:keepNext w:val="0"/>
        <w:pageBreakBefore w:val="0"/>
        <w:spacing w:line="360" w:lineRule="auto"/>
        <w:widowControl/>
        <w:rPr>
          <w:rFonts w:hint="eastAsia" w:ascii="宋体" w:hAnsi="宋体"/>
          <w:b/>
          <w:bCs/>
          <w:sz w:val="21"/>
          <w:szCs w:val="21"/>
          <w:highlight w:val="none"/>
        </w:rPr>
      </w:pPr>
      <w:r>
        <w:rPr>
          <w:rFonts w:ascii="宋体" w:hAnsi="宋体" w:eastAsia="宋体"/>
          <w:bCs/>
          <w:sz w:val="21"/>
          <w:szCs w:val="21"/>
          <w:highlight w:val="none"/>
        </w:rPr>
        <w:t xml:space="preserve">分路器</w:t>
      </w:r>
      <w:r>
        <w:rPr>
          <w:rFonts w:hint="eastAsia" w:ascii="宋体" w:hAnsi="宋体"/>
          <w:b/>
          <w:bCs/>
          <w:sz w:val="21"/>
          <w:szCs w:val="21"/>
          <w:highlight w:val="none"/>
        </w:rPr>
      </w:r>
      <w:r/>
    </w:p>
    <w:tbl>
      <w:tblPr>
        <w:tblW w:w="4878" w:type="pct"/>
        <w:tblInd w:w="12" w:type="dxa"/>
        <w:tblBorders>
          <w:top w:val="single" w:color="333333" w:sz="8" w:space="0"/>
          <w:left w:val="single" w:color="333333" w:sz="8" w:space="0"/>
          <w:bottom w:val="single" w:color="333333" w:sz="8" w:space="0"/>
          <w:right w:val="single" w:color="333333" w:sz="8" w:space="0"/>
          <w:insideH w:val="single" w:color="333333" w:sz="4" w:space="0"/>
          <w:insideV w:val="single" w:color="333333" w:sz="4" w:space="0"/>
        </w:tblBorders>
        <w:tblLayout w:type="autofit"/>
        <w:tblCellMar>
          <w:left w:w="108" w:type="dxa"/>
          <w:top w:w="0" w:type="dxa"/>
          <w:right w:w="108" w:type="dxa"/>
          <w:bottom w:w="0" w:type="dxa"/>
        </w:tblCellMar>
        <w:tblLook w:val="04A0" w:firstRow="1" w:lastRow="0" w:firstColumn="1" w:lastColumn="0" w:noHBand="0" w:noVBand="1"/>
      </w:tblPr>
      <w:tblGrid>
        <w:gridCol w:w="3690"/>
        <w:gridCol w:w="4630"/>
      </w:tblGrid>
      <w:tr>
        <w:trPr>
          <w:cantSplit/>
          <w:trHeight w:val="603"/>
        </w:trPr>
        <w:tc>
          <w:tcPr>
            <w:tcW w:w="2217" w:type="dxa"/>
            <w:vAlign w:val="top"/>
            <w:textDirection w:val="lrTb"/>
            <w:noWrap w:val="false"/>
          </w:tcPr>
          <w:p>
            <w:pPr>
              <w:pStyle w:val="925"/>
              <w:jc w:val="center"/>
              <w:spacing w:before="156"/>
              <w:rPr>
                <w:rFonts w:hint="eastAsia" w:ascii="宋体" w:hAnsi="宋体" w:eastAsia="宋体"/>
                <w:szCs w:val="21"/>
                <w:highlight w:val="none"/>
                <w:lang w:val="zh-TW"/>
              </w:rPr>
            </w:pPr>
            <w:r>
              <w:rPr>
                <w:rFonts w:ascii="宋体" w:hAnsi="宋体" w:eastAsia="宋体"/>
                <w:szCs w:val="21"/>
                <w:highlight w:val="none"/>
                <w:lang w:val="zh-TW"/>
              </w:rPr>
              <w:t xml:space="preserve">项目</w:t>
            </w:r>
            <w:r>
              <w:rPr>
                <w:rFonts w:hint="eastAsia" w:ascii="宋体" w:hAnsi="宋体" w:eastAsia="宋体"/>
                <w:szCs w:val="21"/>
                <w:highlight w:val="none"/>
                <w:lang w:val="zh-TW"/>
              </w:rPr>
            </w:r>
            <w:r/>
          </w:p>
        </w:tc>
        <w:tc>
          <w:tcPr>
            <w:tcW w:w="2782" w:type="dxa"/>
            <w:vAlign w:val="top"/>
            <w:textDirection w:val="lrTb"/>
            <w:noWrap w:val="false"/>
          </w:tcPr>
          <w:p>
            <w:pPr>
              <w:pStyle w:val="925"/>
              <w:jc w:val="center"/>
              <w:spacing w:before="156"/>
              <w:rPr>
                <w:rFonts w:hint="eastAsia" w:ascii="宋体" w:hAnsi="宋体" w:eastAsia="宋体"/>
                <w:szCs w:val="21"/>
                <w:highlight w:val="none"/>
                <w:shd w:val="clear" w:color="auto" w:fill="ffffff"/>
              </w:rPr>
            </w:pPr>
            <w:r>
              <w:rPr>
                <w:rFonts w:ascii="宋体" w:hAnsi="宋体" w:eastAsia="宋体"/>
                <w:szCs w:val="21"/>
                <w:highlight w:val="none"/>
                <w:shd w:val="clear" w:color="auto" w:fill="ffffff"/>
              </w:rPr>
              <w:t xml:space="preserve">指标</w:t>
            </w:r>
            <w:r>
              <w:rPr>
                <w:rFonts w:hint="eastAsia" w:ascii="宋体" w:hAnsi="宋体" w:eastAsia="宋体"/>
                <w:szCs w:val="21"/>
                <w:highlight w:val="none"/>
                <w:shd w:val="clear" w:color="auto" w:fill="ffffff"/>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lang w:val="zh-TW" w:eastAsia="zh-TW"/>
              </w:rPr>
              <w:t xml:space="preserve">工作频段</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5MHz (350MHz-360MHz)</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通道数</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3（A/B/C）</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工作温度</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-30℃～+60℃</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接口阻抗</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50Ω</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增益调节范围</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0-10dB</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带内波动(P-P)</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≤0.7dB</w:t>
            </w:r>
            <w:r>
              <w:rPr>
                <w:rFonts w:hint="eastAsia" w:ascii="宋体" w:hAnsi="宋体" w:eastAsia="宋体"/>
                <w:szCs w:val="21"/>
                <w:highlight w:val="none"/>
              </w:rPr>
            </w:r>
            <w:r/>
          </w:p>
        </w:tc>
      </w:tr>
      <w:tr>
        <w:trPr>
          <w:cantSplit/>
          <w:trHeight w:val="603"/>
        </w:trPr>
        <w:tc>
          <w:tcPr>
            <w:tcW w:w="2217"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驻波比</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≤1.5</w:t>
            </w:r>
            <w:r>
              <w:rPr>
                <w:rFonts w:hint="eastAsia" w:ascii="宋体" w:hAnsi="宋体" w:eastAsia="宋体"/>
                <w:szCs w:val="21"/>
                <w:highlight w:val="none"/>
              </w:rPr>
            </w:r>
            <w:r/>
          </w:p>
        </w:tc>
      </w:tr>
      <w:tr>
        <w:trPr>
          <w:cantSplit/>
          <w:trHeight w:val="603"/>
        </w:trPr>
        <w:tc>
          <w:tcPr>
            <w:tcW w:w="2217"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噪声系数</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≤1.5dB</w:t>
            </w:r>
            <w:r>
              <w:rPr>
                <w:rFonts w:hint="eastAsia" w:ascii="宋体" w:hAnsi="宋体" w:eastAsia="宋体"/>
                <w:szCs w:val="21"/>
                <w:highlight w:val="none"/>
              </w:rPr>
            </w:r>
            <w:r/>
          </w:p>
        </w:tc>
      </w:tr>
      <w:tr>
        <w:trPr>
          <w:cantSplit/>
          <w:trHeight w:val="603"/>
        </w:trPr>
        <w:tc>
          <w:tcPr>
            <w:tcW w:w="2217"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带外抑制</w:t>
            </w:r>
            <w:r>
              <w:rPr>
                <w:rFonts w:hint="eastAsia" w:ascii="宋体" w:hAnsi="宋体" w:eastAsia="宋体"/>
                <w:szCs w:val="21"/>
                <w:highlight w:val="none"/>
              </w:rPr>
            </w:r>
            <w:r/>
          </w:p>
        </w:tc>
        <w:tc>
          <w:tcPr>
            <w:tcW w:w="2782" w:type="dxa"/>
            <w:vAlign w:val="top"/>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shd w:val="clear" w:color="auto" w:fill="ffffff"/>
              </w:rPr>
              <w:t xml:space="preserve">≥65dB@5MHz</w:t>
            </w:r>
            <w:r>
              <w:rPr>
                <w:rFonts w:hint="eastAsia" w:ascii="宋体" w:hAnsi="宋体" w:eastAsia="宋体"/>
                <w:szCs w:val="21"/>
                <w:highlight w:val="none"/>
              </w:rPr>
            </w:r>
            <w:r/>
          </w:p>
        </w:tc>
      </w:tr>
    </w:tbl>
    <w:p>
      <w:pPr>
        <w:pStyle w:val="1024"/>
        <w:ind w:left="440" w:firstLine="0"/>
        <w:jc w:val="left"/>
        <w:keepLines w:val="0"/>
        <w:keepNext w:val="0"/>
        <w:pageBreakBefore w:val="0"/>
        <w:spacing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电调</w:t>
      </w:r>
      <w:r>
        <w:rPr>
          <w:rFonts w:ascii="宋体" w:hAnsi="宋体" w:eastAsia="宋体"/>
          <w:bCs/>
          <w:sz w:val="21"/>
          <w:szCs w:val="21"/>
          <w:highlight w:val="none"/>
        </w:rPr>
        <w:t xml:space="preserve">合路器</w:t>
      </w:r>
      <w:r>
        <w:rPr>
          <w:rFonts w:hint="eastAsia" w:ascii="宋体" w:hAnsi="宋体" w:eastAsia="宋体"/>
          <w:bCs/>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高度＜8U 频段：361-366MHz 载波带宽：25KHz 插入损耗≤3.3dB 4CH 端口隔离≥60dB 反向隔离≥50dB 功率容量≥100W/CH -20～+75℃ 电调谐型</w:t>
      </w:r>
      <w:r>
        <w:rPr>
          <w:rFonts w:hint="eastAsia" w:ascii="宋体" w:hAnsi="宋体" w:eastAsia="宋体"/>
          <w:bCs/>
          <w:color w:val="000000"/>
          <w:sz w:val="21"/>
          <w:szCs w:val="21"/>
          <w:highlight w:val="none"/>
        </w:rPr>
      </w:r>
      <w:r/>
    </w:p>
    <w:p>
      <w:pPr>
        <w:pStyle w:val="1024"/>
        <w:ind w:left="440" w:firstLine="0"/>
        <w:jc w:val="left"/>
        <w:keepLines w:val="0"/>
        <w:keepNext w:val="0"/>
        <w:pageBreakBefore w:val="0"/>
        <w:spacing w:line="360" w:lineRule="auto"/>
        <w:widowControl/>
        <w:rPr>
          <w:rFonts w:hint="eastAsia" w:ascii="宋体" w:hAnsi="宋体" w:eastAsia="宋体"/>
          <w:bCs/>
          <w:sz w:val="21"/>
          <w:szCs w:val="21"/>
          <w:highlight w:val="none"/>
        </w:rPr>
      </w:pPr>
      <w:r>
        <w:rPr>
          <w:rFonts w:ascii="宋体" w:hAnsi="宋体" w:eastAsia="宋体"/>
          <w:bCs/>
          <w:sz w:val="21"/>
          <w:szCs w:val="21"/>
          <w:highlight w:val="none"/>
        </w:rPr>
        <w:t xml:space="preserve">天馈系统</w:t>
      </w:r>
      <w:r>
        <w:rPr>
          <w:rFonts w:hint="eastAsia" w:ascii="宋体" w:hAnsi="宋体" w:eastAsia="宋体"/>
          <w:bCs/>
          <w:sz w:val="21"/>
          <w:szCs w:val="21"/>
          <w:highlight w:val="none"/>
        </w:rPr>
      </w:r>
      <w:r/>
    </w:p>
    <w:p>
      <w:pPr>
        <w:pStyle w:val="925"/>
        <w:jc w:val="left"/>
        <w:keepLines w:val="0"/>
        <w:keepNext w:val="0"/>
        <w:pageBreakBefore w:val="0"/>
        <w:spacing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（1）天线</w:t>
      </w:r>
      <w:r>
        <w:rPr>
          <w:rFonts w:hint="eastAsia" w:ascii="宋体" w:hAnsi="宋体" w:eastAsia="宋体"/>
          <w:bCs/>
          <w:sz w:val="21"/>
          <w:szCs w:val="21"/>
          <w:highlight w:val="none"/>
        </w:rPr>
      </w:r>
      <w:r/>
    </w:p>
    <w:tbl>
      <w:tblPr>
        <w:tblW w:w="5000" w:type="pct"/>
        <w:tblInd w:w="-15" w:type="dxa"/>
        <w:tblLayout w:type="autofit"/>
        <w:tblCellMar>
          <w:left w:w="15" w:type="dxa"/>
          <w:top w:w="15" w:type="dxa"/>
          <w:right w:w="15" w:type="dxa"/>
          <w:bottom w:w="0" w:type="dxa"/>
        </w:tblCellMar>
        <w:tblLook w:val="04A0" w:firstRow="1" w:lastRow="0" w:firstColumn="1" w:lastColumn="0" w:noHBand="0" w:noVBand="1"/>
      </w:tblPr>
      <w:tblGrid>
        <w:gridCol w:w="4170"/>
        <w:gridCol w:w="4172"/>
      </w:tblGrid>
      <w:tr>
        <w:trPr>
          <w:trHeight w:val="2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jc w:val="center"/>
              <w:spacing w:before="156"/>
              <w:rPr>
                <w:rFonts w:hint="eastAsia" w:ascii="宋体" w:hAnsi="宋体" w:eastAsia="宋体"/>
                <w:szCs w:val="21"/>
                <w:highlight w:val="none"/>
              </w:rPr>
            </w:pPr>
            <w:r>
              <w:rPr>
                <w:rFonts w:ascii="宋体" w:hAnsi="宋体" w:eastAsia="宋体"/>
                <w:szCs w:val="21"/>
                <w:highlight w:val="none"/>
              </w:rPr>
              <w:t xml:space="preserve">项目</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jc w:val="center"/>
              <w:spacing w:before="156"/>
              <w:rPr>
                <w:rFonts w:hint="eastAsia" w:ascii="宋体" w:hAnsi="宋体" w:eastAsia="宋体"/>
                <w:szCs w:val="21"/>
                <w:highlight w:val="none"/>
              </w:rPr>
            </w:pPr>
            <w:r>
              <w:rPr>
                <w:rFonts w:ascii="宋体" w:hAnsi="宋体" w:eastAsia="宋体"/>
                <w:szCs w:val="21"/>
                <w:highlight w:val="none"/>
              </w:rPr>
              <w:t xml:space="preserve">指标</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center"/>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频段</w:t>
            </w:r>
            <w:r>
              <w:rPr>
                <w:rFonts w:hint="eastAsia" w:ascii="宋体" w:hAnsi="宋体" w:eastAsia="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center"/>
            <w:textDirection w:val="lrTb"/>
            <w:noWrap w:val="false"/>
          </w:tcPr>
          <w:p>
            <w:pPr>
              <w:pStyle w:val="925"/>
              <w:spacing w:before="156"/>
              <w:rPr>
                <w:rFonts w:hint="eastAsia" w:ascii="宋体" w:hAnsi="宋体" w:eastAsia="宋体"/>
                <w:color w:val="000000"/>
                <w:szCs w:val="21"/>
                <w:highlight w:val="none"/>
              </w:rPr>
            </w:pPr>
            <w:r>
              <w:rPr>
                <w:rFonts w:ascii="宋体" w:hAnsi="宋体" w:eastAsia="宋体"/>
                <w:szCs w:val="21"/>
                <w:highlight w:val="none"/>
                <w:shd w:val="clear" w:color="auto" w:fill="ffffff"/>
              </w:rPr>
              <w:t xml:space="preserve">RX:350MHz-356MHz/TX:360MHz-366MHz</w:t>
            </w:r>
            <w:r>
              <w:rPr>
                <w:rFonts w:hint="eastAsia" w:ascii="宋体" w:hAnsi="宋体" w:eastAsia="宋体"/>
                <w:color w:val="000000"/>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增益</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10.2dBi</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阻抗</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50Ω</w:t>
            </w:r>
            <w:r>
              <w:rPr>
                <w:rFonts w:hint="eastAsia" w:ascii="宋体" w:hAnsi="宋体" w:eastAsia="宋体"/>
                <w:szCs w:val="21"/>
                <w:highlight w:val="none"/>
              </w:rPr>
            </w:r>
            <w:r/>
          </w:p>
        </w:tc>
      </w:tr>
      <w:tr>
        <w:trPr>
          <w:trHeight w:val="27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电压驻波比</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≤1.5</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最大功率</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100W</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极化</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垂直</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方向</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全向</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长度</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4.7m</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重量</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3.5Kg</w:t>
            </w:r>
            <w:r>
              <w:rPr>
                <w:rFonts w:hint="eastAsia" w:ascii="宋体" w:hAnsi="宋体" w:eastAsia="宋体"/>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99"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支撑杆直径</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40-50mm</w:t>
            </w:r>
            <w:r>
              <w:rPr>
                <w:rFonts w:hint="eastAsia" w:ascii="宋体" w:hAnsi="宋体" w:eastAsia="宋体"/>
                <w:szCs w:val="21"/>
                <w:highlight w:val="none"/>
              </w:rPr>
            </w:r>
            <w:r/>
          </w:p>
        </w:tc>
      </w:tr>
    </w:tbl>
    <w:p>
      <w:pPr>
        <w:pStyle w:val="925"/>
        <w:jc w:val="left"/>
        <w:keepLines w:val="0"/>
        <w:keepNext w:val="0"/>
        <w:pageBreakBefore w:val="0"/>
        <w:spacing w:line="36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7/8馈管</w:t>
      </w:r>
      <w:r>
        <w:rPr>
          <w:rFonts w:hint="eastAsia" w:ascii="宋体" w:hAnsi="宋体" w:eastAsia="宋体"/>
          <w:bCs/>
          <w:sz w:val="21"/>
          <w:szCs w:val="21"/>
          <w:highlight w:val="none"/>
        </w:rPr>
      </w:r>
      <w:r/>
    </w:p>
    <w:tbl>
      <w:tblPr>
        <w:tblW w:w="5000" w:type="pct"/>
        <w:tblInd w:w="-15" w:type="dxa"/>
        <w:tblLayout w:type="autofit"/>
        <w:tblCellMar>
          <w:left w:w="15" w:type="dxa"/>
          <w:top w:w="15" w:type="dxa"/>
          <w:right w:w="15" w:type="dxa"/>
          <w:bottom w:w="0" w:type="dxa"/>
        </w:tblCellMar>
        <w:tblLook w:val="04A0" w:firstRow="1" w:lastRow="0" w:firstColumn="1" w:lastColumn="0" w:noHBand="0" w:noVBand="1"/>
      </w:tblPr>
      <w:tblGrid>
        <w:gridCol w:w="4171"/>
        <w:gridCol w:w="4171"/>
      </w:tblGrid>
      <w:tr>
        <w:trPr>
          <w:trHeight w:val="2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项目</w:t>
            </w:r>
            <w:r>
              <w:rPr>
                <w:rFonts w:hint="eastAsia" w:ascii="宋体" w:hAnsi="宋体" w:eastAsia="宋体"/>
                <w:szCs w:val="21"/>
                <w:highlight w:val="none"/>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指标</w:t>
            </w:r>
            <w:r>
              <w:rPr>
                <w:rFonts w:hint="eastAsia" w:ascii="宋体" w:hAnsi="宋体" w:eastAsia="宋体"/>
                <w:szCs w:val="21"/>
                <w:highlight w:val="none"/>
              </w:rPr>
            </w:r>
            <w:r/>
          </w:p>
        </w:tc>
      </w:tr>
      <w:tr>
        <w:trPr>
          <w:trHeight w:val="3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插损</w:t>
            </w:r>
            <w:r>
              <w:rPr>
                <w:rFonts w:hint="eastAsia" w:ascii="宋体" w:hAnsi="宋体" w:eastAsia="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2.2dB@(100米)</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功率容限</w:t>
            </w:r>
            <w:r>
              <w:rPr>
                <w:rFonts w:hint="eastAsia" w:ascii="宋体" w:hAnsi="宋体" w:eastAsia="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4KW</w:t>
            </w:r>
            <w:r>
              <w:rPr>
                <w:rFonts w:hint="eastAsia" w:ascii="宋体" w:hAnsi="宋体" w:eastAsia="宋体"/>
                <w:szCs w:val="21"/>
                <w:highlight w:val="none"/>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阻抗</w:t>
            </w:r>
            <w:r>
              <w:rPr>
                <w:rFonts w:hint="eastAsia" w:ascii="宋体" w:hAnsi="宋体" w:eastAsia="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500" w:type="dxa"/>
            <w:vAlign w:val="bottom"/>
            <w:textDirection w:val="lrTb"/>
            <w:noWrap w:val="false"/>
          </w:tcPr>
          <w:p>
            <w:pPr>
              <w:pStyle w:val="925"/>
              <w:spacing w:before="156"/>
              <w:rPr>
                <w:rFonts w:hint="eastAsia" w:ascii="宋体" w:hAnsi="宋体" w:eastAsia="宋体"/>
                <w:szCs w:val="21"/>
                <w:highlight w:val="none"/>
              </w:rPr>
            </w:pPr>
            <w:r>
              <w:rPr>
                <w:rFonts w:ascii="宋体" w:hAnsi="宋体" w:eastAsia="宋体"/>
                <w:szCs w:val="21"/>
                <w:highlight w:val="none"/>
              </w:rPr>
              <w:t xml:space="preserve">50Ω</w:t>
            </w:r>
            <w:r>
              <w:rPr>
                <w:rFonts w:hint="eastAsia" w:ascii="宋体" w:hAnsi="宋体" w:eastAsia="宋体"/>
                <w:szCs w:val="21"/>
                <w:highlight w:val="none"/>
              </w:rPr>
            </w:r>
            <w:r/>
          </w:p>
        </w:tc>
      </w:tr>
    </w:tbl>
    <w:p>
      <w:pPr>
        <w:pStyle w:val="1024"/>
        <w:ind w:left="442" w:firstLine="0"/>
        <w:jc w:val="left"/>
        <w:keepLines w:val="0"/>
        <w:keepNext w:val="0"/>
        <w:pageBreakBefore w:val="0"/>
        <w:spacing w:line="360" w:lineRule="auto"/>
        <w:widowControl/>
        <w:rPr>
          <w:rFonts w:hint="eastAsia" w:ascii="宋体" w:hAnsi="宋体" w:eastAsia="宋体"/>
          <w:bCs/>
          <w:sz w:val="21"/>
          <w:szCs w:val="21"/>
          <w:highlight w:val="none"/>
        </w:rPr>
      </w:pPr>
      <w:r>
        <w:rPr>
          <w:rFonts w:ascii="宋体" w:hAnsi="宋体" w:eastAsia="宋体"/>
          <w:bCs/>
          <w:sz w:val="21"/>
          <w:szCs w:val="21"/>
          <w:highlight w:val="none"/>
        </w:rPr>
        <w:t xml:space="preserve">GPS天线</w:t>
      </w:r>
      <w:r>
        <w:rPr>
          <w:rFonts w:hint="eastAsia" w:ascii="宋体" w:hAnsi="宋体" w:eastAsia="宋体"/>
          <w:bCs/>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eastAsia="zh-CN"/>
        </w:rPr>
        <w:t xml:space="preserve">该GPS接收天线为基站控制单元提供标准时钟源。GPS天线为1.575GHz、增益38dBi并使用</w:t>
      </w:r>
      <w:r>
        <w:rPr>
          <w:rFonts w:hint="eastAsia" w:ascii="宋体" w:hAnsi="宋体" w:eastAsia="宋体"/>
          <w:bCs/>
          <w:color w:val="000000"/>
          <w:sz w:val="21"/>
          <w:szCs w:val="21"/>
          <w:highlight w:val="none"/>
        </w:rPr>
        <w:t xml:space="preserve">电压驻波&lt;2.5的N(母)形接头。同时，GPS天馈线系统配置有接地件和接头等配套组件。</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widowControl w:val="off"/>
        <w:rPr>
          <w:rFonts w:hint="eastAsia" w:ascii="宋体" w:hAnsi="宋体" w:eastAsia="宋体"/>
          <w:b/>
          <w:sz w:val="24"/>
          <w:szCs w:val="24"/>
          <w:highlight w:val="none"/>
        </w:rPr>
        <w:outlineLvl w:val="0"/>
      </w:pPr>
      <w:r/>
      <w:bookmarkStart w:id="308" w:name="_Toc218522915"/>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九</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警务方舱</w:t>
      </w:r>
      <w:bookmarkEnd w:id="308"/>
      <w:r>
        <w:rPr>
          <w:rFonts w:hint="eastAsia" w:ascii="宋体" w:hAnsi="宋体" w:eastAsia="宋体"/>
          <w:b/>
          <w:sz w:val="24"/>
          <w:szCs w:val="24"/>
          <w:highlight w:val="none"/>
        </w:rPr>
      </w:r>
      <w:r/>
    </w:p>
    <w:p>
      <w:pPr>
        <w:pStyle w:val="1024"/>
        <w:numPr>
          <w:ilvl w:val="0"/>
          <w:numId w:val="0"/>
        </w:numPr>
        <w:keepLines w:val="0"/>
        <w:keepNext w:val="0"/>
        <w:pageBreakBefore w:val="0"/>
        <w:spacing w:line="360" w:lineRule="auto"/>
        <w:widowControl w:val="off"/>
        <w:rPr>
          <w:rFonts w:hint="eastAsia" w:ascii="宋体" w:hAnsi="宋体" w:eastAsia="宋体"/>
          <w:b/>
          <w:sz w:val="21"/>
          <w:szCs w:val="21"/>
          <w:highlight w:val="none"/>
        </w:rPr>
        <w:outlineLvl w:val="2"/>
      </w:pPr>
      <w:r/>
      <w:bookmarkStart w:id="309" w:name="_Toc218522916"/>
      <w:r>
        <w:rPr>
          <w:rFonts w:hint="eastAsia" w:ascii="宋体" w:hAnsi="宋体" w:eastAsia="宋体"/>
          <w:b/>
          <w:sz w:val="21"/>
          <w:szCs w:val="21"/>
          <w:highlight w:val="none"/>
          <w:lang w:val="en-US" w:eastAsia="zh-CN"/>
        </w:rPr>
        <w:t xml:space="preserve">9.1   </w:t>
      </w:r>
      <w:r>
        <w:rPr>
          <w:rFonts w:hint="eastAsia" w:ascii="宋体" w:hAnsi="宋体" w:eastAsia="宋体"/>
          <w:b/>
          <w:sz w:val="21"/>
          <w:szCs w:val="21"/>
          <w:highlight w:val="none"/>
        </w:rPr>
        <w:t xml:space="preserve">舱体外观</w:t>
      </w:r>
      <w:bookmarkEnd w:id="309"/>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规格尺寸（长*宽*高）：长 </w:t>
      </w:r>
      <w:r>
        <w:rPr>
          <w:rFonts w:hint="eastAsia" w:ascii="宋体" w:hAnsi="宋体"/>
          <w:bCs/>
          <w:color w:val="000000"/>
          <w:sz w:val="21"/>
          <w:szCs w:val="21"/>
          <w:highlight w:val="none"/>
          <w:lang w:val="en-US" w:eastAsia="zh-CN"/>
        </w:rPr>
        <w:t xml:space="preserve">11</w:t>
      </w:r>
      <w:r>
        <w:rPr>
          <w:rFonts w:hint="eastAsia" w:ascii="宋体" w:hAnsi="宋体" w:eastAsia="宋体"/>
          <w:bCs/>
          <w:color w:val="000000"/>
          <w:sz w:val="21"/>
          <w:szCs w:val="21"/>
          <w:highlight w:val="none"/>
        </w:rPr>
        <w:t xml:space="preserve">米*宽</w:t>
      </w:r>
      <w:r>
        <w:rPr>
          <w:rFonts w:hint="eastAsia" w:ascii="宋体" w:hAnsi="宋体"/>
          <w:bCs/>
          <w:color w:val="000000"/>
          <w:sz w:val="21"/>
          <w:szCs w:val="21"/>
          <w:highlight w:val="none"/>
          <w:lang w:val="en-US" w:eastAsia="zh-CN"/>
        </w:rPr>
        <w:t xml:space="preserve">6</w:t>
      </w:r>
      <w:r>
        <w:rPr>
          <w:rFonts w:hint="eastAsia" w:ascii="宋体" w:hAnsi="宋体" w:eastAsia="宋体"/>
          <w:bCs/>
          <w:color w:val="000000"/>
          <w:sz w:val="21"/>
          <w:szCs w:val="21"/>
          <w:highlight w:val="none"/>
        </w:rPr>
        <w:t xml:space="preserve">米*高4米装配式单层</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警务方舱产品外观设计须符合《公安派出所建筑外观形象设计规范》、《警务方舱外观形象设计规范》， 警务方舱主体结构安防标准符合中华人民共和国公共安全行业标准《GA38-2021》标准。警务方舱整体外部涂装均采用金属氟碳漆，标识及颜色符合公安部发布的公安部Ⅵ标准。确保 5 年内不出现严重褪色、锈蚀、开裂、气泡等情况。正面顶部设置“公安+警徽+ POLICE”静态标识，正面下部设置“公安警务工作站”静态标识，警务方舱顶部配置高亮度贴片式平板爆闪警灯并安装时控开关控制。</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10" w:name="_Toc218522917"/>
      <w:r>
        <w:rPr>
          <w:rFonts w:hint="eastAsia" w:ascii="宋体" w:hAnsi="宋体" w:eastAsia="宋体"/>
          <w:b/>
          <w:sz w:val="21"/>
          <w:szCs w:val="21"/>
          <w:highlight w:val="none"/>
          <w:lang w:val="en-US" w:eastAsia="zh-CN"/>
        </w:rPr>
        <w:t xml:space="preserve">9.2   </w:t>
      </w:r>
      <w:r>
        <w:rPr>
          <w:rFonts w:hint="eastAsia" w:ascii="宋体" w:hAnsi="宋体" w:eastAsia="宋体"/>
          <w:b/>
          <w:sz w:val="21"/>
          <w:szCs w:val="21"/>
          <w:highlight w:val="none"/>
        </w:rPr>
        <w:t xml:space="preserve">舱体要求：</w:t>
      </w:r>
      <w:bookmarkEnd w:id="310"/>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1.警务方舱钢结构主框架：警务方舱底座边框采用 150×100×5mm 热镀锌管为主框架，主框架内部采用 100×50×4mm 热镀锌管为副框架，主框架、副框架与厚1.5mm 镀锌楼承板、圆钢、混凝土等相结合组成整体框架，坚固耐用；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2.警务方舱四周框架：警务方舱四周框架采用 100×100×4mm 镀锌方管为主框架，副框架采用 100×50×4mm 热镀锌管，次框架采用 80×40×3mm、60×40×3mm、50×30×2mm 镀锌钢管，主框、副框及次框与墙体紧密连接，结构性强、坚固耐用；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3.警务方舱阻燃隔热保温墙板、阻燃隔热保温顶板须采用≥80mm 厚复合板材，复合板材要求牢固、结实、耐用。</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★（1）警务方舱为适应长期户外使用，复合板材要具备一定的耐腐蚀性能，表面漆膜平均膜厚≥40um，最小局部膜厚≥34um，中性盐雾试验（NSS，100h），保护级别≥10 级。</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（2）复合板材要具备一定的抗压、抗弯、抗冲击性能，确保在使用过程中墙面不会破裂或自然损坏，抗压强度≥3.5MPa，抗弯破坏荷载/板自重倍数≥1.5 倍；经 5 次抗冲击试验后,板面无裂纹；复合板材采用环保材料，确保对环境和人体无害， 甲醛释放量≤E0级(≤0.5mg/L）；复合板材具备良好的耐水防潮性能，确保在潮湿环境及长期雨淋下正常使用， 复合板材含水量≤5%。</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★（3）警务方舱要具备良好的防火性能，复合板材须具有一定的耐火时间和阻燃效果，阻燃性能须≥B1级。</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（4）复合板材具备良好的隔热、保温性能，导热系数（W/ (m・ K) 平均温度23℃±2℃)≤0.027；复合板材须能有效隔绝噪音，具备良好的隔音性能，空气声隔音量≥30 分贝（dB）。</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★（5）复合板材须具备耐开裂、耐划痕、耐污染、耐龟裂等性能，耐开裂性≥4 级，耐划痕≥3 级，耐污染≥4 级，耐龟裂性能≥4 级。</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（6）警务方舱防护顶板外表面铺设丁基防水胶带。</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4.警务方舱防护门、平开窗：警务方舱防护门侧面单开门形式，边框采用 2.0mm 铝合金材质，门玻璃采用钢化夹胶玻璃， 门轴面安装方形加强装置，门锁采用 C 级防撬锁具；警务方舱平开窗采用 2.0mm 断桥铝合金型材、钢化中空保温隔热玻璃；平开窗框外设置不锈钢防盗网。</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400" w:lineRule="exact"/>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5.警务方舱室内外综合布线：警务方舱室内综合布线要求符合安全用电技术标准，内部电路采用防雷设计，配置防雷模块；强电、弱电分开布线，配电箱、开关、插座、控制器、网口、LED 屏网线、USB 接口等不允许出现明线。布局合理、安全，在相应位置预留足够的五孔（或 15 孔）插座、网络接口、光纤入口、配电箱等完善的供电设施。配电箱进线为铜芯绝缘电缆 WDZC-YJY-3×10mm2 电力电缆，插座采用铜芯聚氯乙烯绝缘导线 ZR-BV-4mm2 电线，照明线采用铜芯聚氯乙烯绝缘导线 ZR-BV-2.5mm2 电线。</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400" w:lineRule="exact"/>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6.警务方舱室内配备单独隔间单坑位洗手间*2、洗手台*1、拖把池*1、蹲便器*2、冲水系统均采用国内知名品牌。</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400" w:lineRule="exact"/>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7.警务方舱室内地板：室内地面铺设防滑地砖</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11" w:name="_Toc218522918"/>
      <w:r>
        <w:rPr>
          <w:rFonts w:hint="eastAsia" w:ascii="宋体" w:hAnsi="宋体" w:eastAsia="宋体"/>
          <w:b/>
          <w:sz w:val="21"/>
          <w:szCs w:val="21"/>
          <w:highlight w:val="none"/>
          <w:lang w:val="en-US" w:eastAsia="zh-CN"/>
        </w:rPr>
        <w:t xml:space="preserve">9.3   </w:t>
      </w:r>
      <w:r>
        <w:rPr>
          <w:rFonts w:hint="eastAsia" w:ascii="宋体" w:hAnsi="宋体" w:eastAsia="宋体"/>
          <w:b/>
          <w:sz w:val="21"/>
          <w:szCs w:val="21"/>
          <w:highlight w:val="none"/>
        </w:rPr>
        <w:t xml:space="preserve">舱体电源性能要求：</w:t>
      </w:r>
      <w:bookmarkEnd w:id="311"/>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400" w:lineRule="exact"/>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★1.警务方舱在正常工作条件下，亭体内安防设备电源引入端与金属壳体之间的绝缘电阻≥100MΩ</w:t>
      </w:r>
      <w:r>
        <w:rPr>
          <w:rFonts w:hint="eastAsia" w:ascii="宋体" w:hAnsi="宋体" w:eastAsia="宋体"/>
          <w:bCs/>
          <w:color w:val="366091"/>
          <w:sz w:val="21"/>
          <w:szCs w:val="21"/>
          <w:highlight w:val="none"/>
          <w:lang w:eastAsia="zh-CN"/>
        </w:rPr>
        <w:t xml:space="preserve">；</w:t>
      </w:r>
      <w:r>
        <w:rPr>
          <w:rFonts w:hint="eastAsia" w:ascii="宋体" w:hAnsi="宋体" w:eastAsia="宋体"/>
          <w:bCs/>
          <w:color w:val="366091"/>
          <w:sz w:val="21"/>
          <w:szCs w:val="21"/>
          <w:highlight w:val="none"/>
        </w:rPr>
        <w:t xml:space="preserve">警务方舱内采用交流电源供电的各种安防设备的泄漏电流≤5MA。</w:t>
      </w:r>
      <w:r>
        <w:rPr>
          <w:rFonts w:hint="eastAsia" w:ascii="宋体" w:hAnsi="宋体" w:eastAsia="宋体"/>
          <w:bCs/>
          <w:color w:val="366091"/>
          <w:sz w:val="21"/>
          <w:szCs w:val="21"/>
          <w:highlight w:val="none"/>
        </w:rPr>
      </w:r>
      <w:r/>
    </w:p>
    <w:p>
      <w:pPr>
        <w:pStyle w:val="1024"/>
        <w:numPr>
          <w:ilvl w:val="0"/>
          <w:numId w:val="0"/>
        </w:numPr>
        <w:ind w:firstLine="420"/>
        <w:jc w:val="left"/>
        <w:keepLines w:val="0"/>
        <w:keepNext w:val="0"/>
        <w:pageBreakBefore w:val="0"/>
        <w:spacing w:line="400" w:lineRule="exact"/>
        <w:widowControl/>
        <w:rPr>
          <w:rFonts w:hint="eastAsia" w:ascii="宋体" w:hAnsi="宋体" w:eastAsia="宋体"/>
          <w:bCs/>
          <w:color w:val="366091"/>
          <w:sz w:val="21"/>
          <w:szCs w:val="21"/>
          <w:highlight w:val="none"/>
        </w:rPr>
      </w:pPr>
      <w:r>
        <w:rPr>
          <w:rFonts w:hint="eastAsia" w:ascii="宋体" w:hAnsi="宋体" w:eastAsia="宋体"/>
          <w:bCs/>
          <w:color w:val="366091"/>
          <w:sz w:val="21"/>
          <w:szCs w:val="21"/>
          <w:highlight w:val="none"/>
        </w:rPr>
        <w:t xml:space="preserve">★</w:t>
      </w:r>
      <w:r>
        <w:rPr>
          <w:rFonts w:hint="eastAsia" w:ascii="宋体" w:hAnsi="宋体" w:eastAsia="宋体"/>
          <w:bCs/>
          <w:color w:val="366091"/>
          <w:sz w:val="21"/>
          <w:szCs w:val="21"/>
          <w:highlight w:val="none"/>
          <w:lang w:val="en-US" w:eastAsia="zh-CN"/>
        </w:rPr>
        <w:t xml:space="preserve">2</w:t>
      </w:r>
      <w:r>
        <w:rPr>
          <w:rFonts w:hint="eastAsia" w:ascii="宋体" w:hAnsi="宋体" w:eastAsia="宋体"/>
          <w:bCs/>
          <w:color w:val="366091"/>
          <w:sz w:val="21"/>
          <w:szCs w:val="21"/>
          <w:highlight w:val="none"/>
        </w:rPr>
        <w:t xml:space="preserve">.警务方舱内采用交流供电的各种电子设备的电流引入端与外壳裸露金属之间应能承受 50Hz 交流 1500V 历时 1min 的耐压试验，应无击穿和飞弧现象。</w:t>
      </w:r>
      <w:r>
        <w:rPr>
          <w:rFonts w:hint="eastAsia" w:ascii="宋体" w:hAnsi="宋体" w:eastAsia="宋体"/>
          <w:bCs/>
          <w:color w:val="366091"/>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12" w:name="_Toc218522919"/>
      <w:r>
        <w:rPr>
          <w:rFonts w:hint="eastAsia" w:ascii="宋体" w:hAnsi="宋体" w:eastAsia="宋体"/>
          <w:b/>
          <w:sz w:val="21"/>
          <w:szCs w:val="21"/>
          <w:highlight w:val="none"/>
          <w:lang w:val="en-US" w:eastAsia="zh-CN"/>
        </w:rPr>
        <w:t xml:space="preserve">9.4   </w:t>
      </w:r>
      <w:r>
        <w:rPr>
          <w:rFonts w:hint="eastAsia" w:ascii="宋体" w:hAnsi="宋体" w:eastAsia="宋体"/>
          <w:b/>
          <w:sz w:val="21"/>
          <w:szCs w:val="21"/>
          <w:highlight w:val="none"/>
        </w:rPr>
        <w:t xml:space="preserve">警务办公配置：</w:t>
      </w:r>
      <w:bookmarkEnd w:id="312"/>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400" w:lineRule="exact"/>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执勤调解桌（1.4米*0.7米）1张、执勤操作台（1.2米*0.6米）4张、单人执勤椅10把、多人执勤椅2把、文件柜（0.85米*0.39米*1.8米）1组、装备柜（0.85米*0.39米*1.8米）2组、装备架2组、1.5P壁挂式恒温器3台、更衣柜1组、开水器2台、双层床2组。</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13" w:name="_Toc218522920"/>
      <w:r>
        <w:rPr>
          <w:rFonts w:hint="eastAsia" w:ascii="宋体" w:hAnsi="宋体" w:eastAsia="宋体"/>
          <w:b/>
          <w:sz w:val="21"/>
          <w:szCs w:val="21"/>
          <w:highlight w:val="none"/>
          <w:lang w:val="en-US" w:eastAsia="zh-CN"/>
        </w:rPr>
        <w:t xml:space="preserve">9.5   </w:t>
      </w:r>
      <w:r>
        <w:rPr>
          <w:rFonts w:hint="eastAsia" w:ascii="宋体" w:hAnsi="宋体" w:eastAsia="宋体"/>
          <w:b/>
          <w:sz w:val="21"/>
          <w:szCs w:val="21"/>
          <w:highlight w:val="none"/>
        </w:rPr>
        <w:t xml:space="preserve">警务电子配置：</w:t>
      </w:r>
      <w:bookmarkEnd w:id="313"/>
      <w:r>
        <w:rPr>
          <w:rFonts w:hint="eastAsia" w:ascii="宋体" w:hAnsi="宋体" w:eastAsia="宋体"/>
          <w:b/>
          <w:sz w:val="21"/>
          <w:szCs w:val="21"/>
          <w:highlight w:val="none"/>
        </w:rPr>
      </w:r>
      <w:r/>
    </w:p>
    <w:tbl>
      <w:tblPr>
        <w:tblW w:w="4890" w:type="pct"/>
        <w:tblInd w:w="0" w:type="dxa"/>
        <w:tblLayout w:type="autofit"/>
        <w:tblCellMar>
          <w:left w:w="108" w:type="dxa"/>
          <w:top w:w="0" w:type="dxa"/>
          <w:right w:w="108" w:type="dxa"/>
          <w:bottom w:w="0" w:type="dxa"/>
        </w:tblCellMar>
        <w:tblLook w:val="04A0" w:firstRow="1" w:lastRow="0" w:firstColumn="1" w:lastColumn="0" w:noHBand="0" w:noVBand="1"/>
      </w:tblPr>
      <w:tblGrid>
        <w:gridCol w:w="1230"/>
        <w:gridCol w:w="6135"/>
        <w:gridCol w:w="497"/>
        <w:gridCol w:w="478"/>
      </w:tblGrid>
      <w:tr>
        <w:trPr>
          <w:trHeight w:val="80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监控显示屏</w:t>
            </w:r>
            <w:r>
              <w:rPr>
                <w:rFonts w:hint="eastAsia" w:ascii="宋体" w:hAnsi="宋体" w:eastAsia="宋体" w:cs="Times New Roman"/>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677" w:type="dxa"/>
            <w:vAlign w:val="center"/>
            <w:textDirection w:val="lrTb"/>
            <w:noWrap w:val="false"/>
          </w:tcPr>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屏幕尺寸：55 寸，分辨率：3840*2160（dpi）；采用工业屏，高亮度，高对比度</w:t>
            </w:r>
            <w:r>
              <w:rPr>
                <w:rFonts w:hint="eastAsia" w:ascii="宋体" w:hAnsi="宋体" w:eastAsia="宋体" w:cs="Times New Roman"/>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298"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台</w:t>
            </w:r>
            <w:r>
              <w:rPr>
                <w:rFonts w:hint="eastAsia" w:ascii="宋体" w:hAnsi="宋体" w:eastAsia="宋体" w:cs="Times New Roman"/>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286"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r>
            <w:r/>
          </w:p>
        </w:tc>
      </w:tr>
      <w:tr>
        <w:trPr>
          <w:trHeight w:val="618"/>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16 路硬盘录像机</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677" w:type="dxa"/>
            <w:vAlign w:val="center"/>
            <w:textDirection w:val="lrTb"/>
            <w:noWrap w:val="false"/>
          </w:tcPr>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1.5U 机架式 4 盘位嵌入式网络硬盘录像机，采用短机箱设计，搭载高性能 ATX 电源存储接口：4 个 SATA 接口，可满配 8TB 硬盘，网络接口：</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2×RJ45 10/100/1000Mbps 自适应以太网口，串行接口：1 路 RS-232 接口， 1 路半双工 RS-485 接口，报警接口：16 路报警输入，4 路报警输出；显示能力：最大支持 4K 输出</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具有 1 个 HDMI 接口、 1 个 VGA 接口、2 个千兆以太网口、3 个 USB2.0 接口（其中 2 个为前置）、内置 4 个SATA 硬盘接口；1 路 RCA 音频输入接口、 1 路 RCA 音频输出接口； 16 路报警输入接口、4 路报警输出接口。</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支持开启 SVC 解码功能，可同时回放 5 路 400W 分辨率H.264/H.265 编码格式的视频图像，解码总资源为10 个 1920×1080 格式的视频图像。</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可同时显示输出 10 路 H.265/H.264 编码、25fps、1920×1080 格式的视频图像。</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支持接入高级移动侦测的相机，移动侦测报警能够区分是人、车还是</w:t>
            </w:r>
            <w:r>
              <w:rPr>
                <w:rFonts w:hint="eastAsia" w:ascii="宋体" w:hAnsi="宋体" w:cs="Times New Roman"/>
                <w:bCs/>
                <w:color w:val="000000"/>
                <w:sz w:val="21"/>
                <w:szCs w:val="21"/>
                <w:highlight w:val="none"/>
                <w:lang w:val="en-US" w:eastAsia="zh-CN" w:bidi="ar-SA"/>
              </w:rPr>
              <w:t xml:space="preserve">其他</w:t>
            </w:r>
            <w:r>
              <w:rPr>
                <w:rFonts w:hint="eastAsia" w:ascii="宋体" w:hAnsi="宋体" w:eastAsia="宋体" w:cs="Times New Roman"/>
                <w:bCs/>
                <w:color w:val="000000"/>
                <w:sz w:val="21"/>
                <w:szCs w:val="21"/>
                <w:highlight w:val="none"/>
                <w:lang w:val="en-US" w:eastAsia="zh-CN" w:bidi="ar-SA"/>
              </w:rPr>
              <w:t xml:space="preserve">目标产生，可录像和记录报警信息；</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台</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86"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 </w:t>
            </w:r>
            <w:r>
              <w:rPr>
                <w:rFonts w:hint="eastAsia" w:ascii="宋体" w:hAnsi="宋体" w:eastAsia="宋体" w:cs="Times New Roman"/>
                <w:bCs/>
                <w:color w:val="000000"/>
                <w:sz w:val="21"/>
                <w:szCs w:val="21"/>
                <w:highlight w:val="none"/>
                <w:lang w:val="en-US" w:eastAsia="zh-CN" w:bidi="ar-SA"/>
              </w:rPr>
            </w:r>
            <w:r/>
          </w:p>
        </w:tc>
      </w:tr>
      <w:tr>
        <w:trPr>
          <w:trHeight w:val="1239"/>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录像机硬盘</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677" w:type="dxa"/>
            <w:vAlign w:val="center"/>
            <w:textDirection w:val="lrTb"/>
            <w:noWrap w:val="false"/>
          </w:tcPr>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高品质监控硬盘 4TB/64MB(6Gb/NCQ)/5900RPM/SATA3；</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接口类型：SATA3.0；平均读写功率（W）：7.76W‘接口传输速率（最大值）：6.0 Gbit/s’‘MTBF：2000000 h ’</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本次配置硬盘容量需保证方舱区域摄像存储时间不低于30天。</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块</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86"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2 </w:t>
            </w:r>
            <w:r>
              <w:rPr>
                <w:rFonts w:hint="eastAsia" w:ascii="宋体" w:hAnsi="宋体" w:eastAsia="宋体" w:cs="Times New Roman"/>
                <w:bCs/>
                <w:color w:val="000000"/>
                <w:sz w:val="21"/>
                <w:szCs w:val="21"/>
                <w:highlight w:val="none"/>
                <w:lang w:val="en-US" w:eastAsia="zh-CN" w:bidi="ar-SA"/>
              </w:rPr>
            </w:r>
            <w:r/>
          </w:p>
        </w:tc>
      </w:tr>
      <w:tr>
        <w:trPr>
          <w:trHeight w:val="1432"/>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交换机</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677" w:type="dxa"/>
            <w:vAlign w:val="center"/>
            <w:textDirection w:val="lrTb"/>
            <w:noWrap w:val="false"/>
          </w:tcPr>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可用千兆电接口数量≥16，可用千兆光接口数量≥2，交换容量≥336Gbps/3.36Tbps，包转发率≥96Mpps/108Mpps</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支持 STP、RSTP、MSTP、ERPS 功能</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支持端口节能功能</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支持 IRF 本地负载分担、IRF 单点管理功能</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支持 IPv4 路由≥500 条；IPv6 路由≥250 条；</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台</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86"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 </w:t>
            </w:r>
            <w:r>
              <w:rPr>
                <w:rFonts w:hint="eastAsia" w:ascii="宋体" w:hAnsi="宋体" w:eastAsia="宋体" w:cs="Times New Roman"/>
                <w:bCs/>
                <w:color w:val="000000"/>
                <w:sz w:val="21"/>
                <w:szCs w:val="21"/>
                <w:highlight w:val="none"/>
                <w:lang w:val="en-US" w:eastAsia="zh-CN" w:bidi="ar-SA"/>
              </w:rPr>
            </w:r>
            <w:r/>
          </w:p>
        </w:tc>
      </w:tr>
      <w:tr>
        <w:trPr>
          <w:trHeight w:val="24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室内半球式摄像机</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677" w:type="dxa"/>
            <w:vAlign w:val="center"/>
            <w:textDirection w:val="lrTb"/>
            <w:noWrap w:val="false"/>
          </w:tcPr>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600 万星光级半球型网络摄像机；视频格式 H.265，支持 PoE，红外补光（30 米）呈对角分布；Smart 录像：支持断网续传功能保证录像不丢失，配合 Smart NVR/SD 卡实现事件录像的智能后检索、分析和浓缩播放，Smart 编码：支持低码率、低延时、ROI 感兴趣区域增强编码、SVC 自适应编码技术，支持 Smart265 编码</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具有不小于 1/1.8"靶面尺寸。</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内置 GPU 芯片。</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支持分辨率不小于 3200×1800@25fps，分辨力不小于1800TVL。</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内置 3 颗半弧形鳞片状补光灯，补光灯开启后正面不可见补光灯灯珠，灯光均匀无波纹、圆环状、麻点状、条纹状及不规则亮斑。</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报警检测目标设置为人体和/或车辆时，在设定的检测区域内如出现如下情况时，不触发报警： 光线明暗变化、篮球滚动、狗行走、树摇晃。</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具有 1 个 RS485 接口、1 个报警输入接口、1 个报警输出接口、 1 个音频输入接口、1 个音频输出接口。</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台</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86"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2 </w:t>
            </w:r>
            <w:r>
              <w:rPr>
                <w:rFonts w:hint="eastAsia" w:ascii="宋体" w:hAnsi="宋体" w:eastAsia="宋体" w:cs="Times New Roman"/>
                <w:bCs/>
                <w:color w:val="000000"/>
                <w:sz w:val="21"/>
                <w:szCs w:val="21"/>
                <w:highlight w:val="none"/>
                <w:lang w:val="en-US" w:eastAsia="zh-CN" w:bidi="ar-SA"/>
              </w:rPr>
            </w:r>
            <w:r/>
          </w:p>
        </w:tc>
      </w:tr>
      <w:tr>
        <w:trPr>
          <w:trHeight w:val="1158"/>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户外枪式摄像机</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677" w:type="dxa"/>
            <w:vAlign w:val="center"/>
            <w:textDirection w:val="lrTb"/>
            <w:noWrap w:val="false"/>
          </w:tcPr>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600 万星光级枪式网络摄像机视频格式 H.265，支持 PoE，红外补光（30 米）支持 Smart 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最大分辨率 3200 × 1800，水平分辨率不低于 1800线。</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具备区域入侵、越界入侵、进入区域、离开区域、人员聚集、快速移动、徘徊、物品移除、物品遗留、停车智能分析功能， 当以上智能分析行为达到设定的阈值时，可通过客户端软件或 IE 浏览器给出报警提示</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具有 1 个 RJ45 网口、1 路音频输入、1 路音频输出、1 路警输入、1 路报警输出、1 个 SD 卡卡槽、1 个 DC12V 电源输入接口、1 个 DC12V 电源输出接口、 1 个麦克风。</w:t>
            </w:r>
            <w:r>
              <w:rPr>
                <w:rFonts w:hint="eastAsia" w:ascii="宋体" w:hAnsi="宋体" w:eastAsia="宋体" w:cs="Times New Roman"/>
                <w:bCs/>
                <w:color w:val="000000"/>
                <w:sz w:val="21"/>
                <w:szCs w:val="21"/>
                <w:highlight w:val="none"/>
                <w:lang w:val="en-US" w:eastAsia="zh-CN" w:bidi="ar-SA"/>
              </w:rPr>
            </w:r>
            <w:r/>
          </w:p>
          <w:p>
            <w:pPr>
              <w:pStyle w:val="925"/>
              <w:jc w:val="left"/>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支持 DC12V 和PoE 供电，任何一路供电停止后，设备均可连续工作。</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台</w:t>
            </w:r>
            <w:r>
              <w:rPr>
                <w:rFonts w:hint="eastAsia" w:ascii="宋体" w:hAnsi="宋体" w:eastAsia="宋体" w:cs="Times New Roman"/>
                <w:bCs/>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86" w:type="dxa"/>
            <w:vAlign w:val="center"/>
            <w:textDirection w:val="lrTb"/>
            <w:noWrap w:val="false"/>
          </w:tcPr>
          <w:p>
            <w:pPr>
              <w:pStyle w:val="925"/>
              <w:jc w:val="center"/>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4 </w:t>
            </w:r>
            <w:r>
              <w:rPr>
                <w:rFonts w:hint="eastAsia" w:ascii="宋体" w:hAnsi="宋体" w:eastAsia="宋体" w:cs="Times New Roman"/>
                <w:bCs/>
                <w:color w:val="000000"/>
                <w:sz w:val="21"/>
                <w:szCs w:val="21"/>
                <w:highlight w:val="none"/>
                <w:lang w:val="en-US" w:eastAsia="zh-CN" w:bidi="ar-SA"/>
              </w:rPr>
            </w:r>
            <w:r/>
          </w:p>
        </w:tc>
      </w:tr>
    </w:tbl>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14" w:name="_Toc218522921"/>
      <w:r>
        <w:rPr>
          <w:rFonts w:hint="eastAsia" w:ascii="宋体" w:hAnsi="宋体" w:eastAsia="宋体"/>
          <w:b/>
          <w:sz w:val="21"/>
          <w:szCs w:val="21"/>
          <w:highlight w:val="none"/>
          <w:lang w:val="en-US" w:eastAsia="zh-CN"/>
        </w:rPr>
        <w:t xml:space="preserve">9.6   </w:t>
      </w:r>
      <w:r>
        <w:rPr>
          <w:rFonts w:hint="eastAsia" w:ascii="宋体" w:hAnsi="宋体" w:eastAsia="宋体"/>
          <w:b/>
          <w:sz w:val="21"/>
          <w:szCs w:val="21"/>
          <w:highlight w:val="none"/>
        </w:rPr>
        <w:t xml:space="preserve">警务宣传配置：</w:t>
      </w:r>
      <w:bookmarkEnd w:id="314"/>
      <w:r>
        <w:rPr>
          <w:rFonts w:hint="eastAsia" w:ascii="宋体" w:hAnsi="宋体" w:eastAsia="宋体"/>
          <w:b/>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单色宣传窗口，动态</w:t>
      </w:r>
      <w:r>
        <w:rPr>
          <w:rFonts w:hint="eastAsia" w:ascii="宋体" w:hAnsi="宋体"/>
          <w:bCs/>
          <w:color w:val="000000"/>
          <w:sz w:val="21"/>
          <w:szCs w:val="21"/>
          <w:highlight w:val="none"/>
          <w:lang w:eastAsia="zh-CN"/>
        </w:rPr>
        <w:t xml:space="preserve">发布</w:t>
      </w:r>
      <w:r>
        <w:rPr>
          <w:rFonts w:hint="eastAsia" w:ascii="宋体" w:hAnsi="宋体" w:eastAsia="宋体"/>
          <w:bCs/>
          <w:color w:val="000000"/>
          <w:sz w:val="21"/>
          <w:szCs w:val="21"/>
          <w:highlight w:val="none"/>
        </w:rPr>
        <w:t xml:space="preserve">相关信息，户外 P10 恒压四扫单红模组，宣传窗口高320mm*宽 9920mm，1 块。</w:t>
      </w:r>
      <w:bookmarkStart w:id="315" w:name="_Hlk218757096"/>
      <w:r>
        <w:rPr>
          <w:rFonts w:hint="eastAsia" w:ascii="宋体" w:hAnsi="宋体" w:eastAsia="宋体"/>
          <w:bCs/>
          <w:color w:val="000000"/>
          <w:sz w:val="21"/>
          <w:szCs w:val="21"/>
          <w:highlight w:val="none"/>
        </w:rPr>
        <w:t xml:space="preserve">方舱宣传电子屏仅可采用有线连接方式发布，不得采用无线连接方式发布。</w:t>
      </w:r>
      <w:bookmarkEnd w:id="315"/>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1、像素组成：1R</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2、像素结构：DIP546</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3、像素间距（mm）：10</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4、模组分辨率（W*H）：32*16</w:t>
      </w:r>
      <w:r>
        <w:rPr>
          <w:rFonts w:hint="eastAsia" w:ascii="宋体" w:hAnsi="宋体" w:eastAsia="宋体"/>
          <w:bCs/>
          <w:color w:val="000000"/>
          <w:sz w:val="21"/>
          <w:szCs w:val="21"/>
          <w:highlight w:val="none"/>
        </w:rPr>
      </w:r>
      <w:r/>
    </w:p>
    <w:p>
      <w:pPr>
        <w:pStyle w:val="1024"/>
        <w:numPr>
          <w:ilvl w:val="0"/>
          <w:numId w:val="0"/>
        </w:numPr>
        <w:ind w:firstLine="420"/>
        <w:jc w:val="left"/>
        <w:keepLines w:val="0"/>
        <w:keepNext w:val="0"/>
        <w:pageBreakBefore w:val="0"/>
        <w:spacing w:line="360" w:lineRule="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5、模组尺寸（mm）（W*H*D）：320*160*21</w:t>
      </w:r>
      <w:r>
        <w:rPr>
          <w:rFonts w:hint="eastAsia" w:ascii="宋体" w:hAnsi="宋体" w:eastAsia="宋体"/>
          <w:bCs/>
          <w:color w:val="000000"/>
          <w:sz w:val="21"/>
          <w:szCs w:val="21"/>
          <w:highlight w:val="none"/>
        </w:rPr>
      </w:r>
      <w:r/>
    </w:p>
    <w:p>
      <w:pPr>
        <w:pStyle w:val="1024"/>
        <w:numPr>
          <w:ilvl w:val="0"/>
          <w:numId w:val="0"/>
        </w:numPr>
        <w:keepLines w:val="0"/>
        <w:keepNext w:val="0"/>
        <w:pageBreakBefore w:val="0"/>
        <w:spacing w:line="360" w:lineRule="auto"/>
        <w:rPr>
          <w:rFonts w:hint="eastAsia" w:ascii="宋体" w:hAnsi="宋体" w:eastAsia="宋体"/>
          <w:b/>
          <w:sz w:val="21"/>
          <w:szCs w:val="21"/>
          <w:highlight w:val="none"/>
        </w:rPr>
        <w:outlineLvl w:val="2"/>
      </w:pPr>
      <w:r/>
      <w:bookmarkStart w:id="316" w:name="_Toc218522922"/>
      <w:r>
        <w:rPr>
          <w:rFonts w:hint="eastAsia" w:ascii="宋体" w:hAnsi="宋体" w:eastAsia="宋体"/>
          <w:b/>
          <w:sz w:val="21"/>
          <w:szCs w:val="21"/>
          <w:highlight w:val="none"/>
          <w:lang w:val="en-US" w:eastAsia="zh-CN"/>
        </w:rPr>
        <w:t xml:space="preserve">9.7   </w:t>
      </w:r>
      <w:r>
        <w:rPr>
          <w:rFonts w:hint="eastAsia" w:ascii="宋体" w:hAnsi="宋体" w:eastAsia="宋体"/>
          <w:b/>
          <w:sz w:val="21"/>
          <w:szCs w:val="21"/>
          <w:highlight w:val="none"/>
        </w:rPr>
        <w:t xml:space="preserve">效果图（仅供参考）</w:t>
      </w:r>
      <w:bookmarkEnd w:id="316"/>
      <w:r>
        <w:rPr>
          <w:rFonts w:hint="eastAsia" w:ascii="宋体" w:hAnsi="宋体" w:eastAsia="宋体"/>
          <w:b/>
          <w:sz w:val="21"/>
          <w:szCs w:val="21"/>
          <w:highlight w:val="none"/>
        </w:rPr>
      </w:r>
      <w:r/>
    </w:p>
    <w:p>
      <w:pPr>
        <w:pStyle w:val="925"/>
        <w:jc w:val="center"/>
        <w:widowControl/>
        <w:rPr>
          <w:rFonts w:hint="eastAsia" w:ascii="宋体" w:hAnsi="宋体" w:eastAsia="宋体"/>
          <w:bCs/>
          <w:sz w:val="28"/>
          <w:szCs w:val="28"/>
          <w:highlight w:val="none"/>
        </w:rPr>
      </w:pPr>
      <w:r>
        <w:rPr>
          <w:rFonts w:ascii="宋体" w:hAnsi="宋体" w:eastAsia="宋体"/>
          <w:bCs/>
          <w:sz w:val="28"/>
          <w:szCs w:val="28"/>
          <w:highlight w:val="none"/>
        </w:rPr>
        <mc:AlternateContent>
          <mc:Choice Requires="wpg">
            <w:drawing>
              <wp:inline xmlns:wp="http://schemas.openxmlformats.org/drawingml/2006/wordprocessingDrawing" distT="0" distB="0" distL="0" distR="0">
                <wp:extent cx="3972509" cy="223499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972509" cy="22349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2.8pt;height:176.0pt;mso-wrap-distance-left:0.0pt;mso-wrap-distance-top:0.0pt;mso-wrap-distance-right:0.0pt;mso-wrap-distance-bottom:0.0pt;" stroked="f">
                <v:path textboxrect="0,0,0,0"/>
                <v:imagedata r:id="rId13" o:title=""/>
              </v:shape>
            </w:pict>
          </mc:Fallback>
        </mc:AlternateContent>
      </w:r>
      <w:r>
        <w:rPr>
          <w:rFonts w:hint="eastAsia" w:ascii="宋体" w:hAnsi="宋体" w:eastAsia="宋体"/>
          <w:bCs/>
          <w:sz w:val="28"/>
          <w:szCs w:val="28"/>
          <w:highlight w:val="none"/>
        </w:rPr>
      </w:r>
      <w:r/>
    </w:p>
    <w:p>
      <w:pPr>
        <w:pStyle w:val="925"/>
        <w:jc w:val="left"/>
        <w:widowControl/>
        <w:rPr>
          <w:rFonts w:hint="eastAsia" w:ascii="宋体" w:hAnsi="宋体" w:eastAsia="宋体"/>
          <w:bCs/>
          <w:sz w:val="28"/>
          <w:szCs w:val="28"/>
          <w:highlight w:val="none"/>
        </w:rPr>
      </w:pPr>
      <w:r>
        <w:rPr>
          <w:rFonts w:hint="eastAsia" w:ascii="宋体" w:hAnsi="宋体" w:eastAsia="宋体"/>
          <w:bCs/>
          <w:sz w:val="28"/>
          <w:szCs w:val="28"/>
          <w:highlight w:val="none"/>
        </w:rPr>
      </w:r>
      <w:r/>
    </w:p>
    <w:p>
      <w:pPr>
        <w:pStyle w:val="1024"/>
        <w:numPr>
          <w:ilvl w:val="0"/>
          <w:numId w:val="0"/>
        </w:numPr>
        <w:keepLines w:val="0"/>
        <w:keepNext w:val="0"/>
        <w:pageBreakBefore w:val="0"/>
        <w:spacing w:line="360" w:lineRule="auto"/>
        <w:widowControl w:val="off"/>
        <w:rPr>
          <w:rFonts w:hint="eastAsia" w:ascii="宋体" w:hAnsi="宋体" w:eastAsia="宋体"/>
          <w:b/>
          <w:sz w:val="24"/>
          <w:szCs w:val="24"/>
          <w:highlight w:val="none"/>
        </w:rPr>
        <w:outlineLvl w:val="0"/>
      </w:pPr>
      <w:r/>
      <w:bookmarkStart w:id="317" w:name="_Toc218522923"/>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十</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监控区域指示牌</w:t>
      </w:r>
      <w:bookmarkEnd w:id="317"/>
      <w:r>
        <w:rPr>
          <w:rFonts w:hint="eastAsia" w:ascii="宋体" w:hAnsi="宋体" w:eastAsia="宋体"/>
          <w:b/>
          <w:sz w:val="24"/>
          <w:szCs w:val="24"/>
          <w:highlight w:val="none"/>
        </w:rPr>
      </w:r>
      <w:r/>
    </w:p>
    <w:p>
      <w:pPr>
        <w:pStyle w:val="925"/>
        <w:jc w:val="left"/>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违法抓拍告示标志样式图：</w:t>
      </w:r>
      <w:r>
        <w:rPr>
          <w:rFonts w:hint="eastAsia" w:ascii="宋体" w:hAnsi="宋体" w:eastAsia="宋体"/>
          <w:sz w:val="21"/>
          <w:szCs w:val="21"/>
          <w:highlight w:val="none"/>
        </w:rPr>
      </w:r>
      <w:r/>
    </w:p>
    <w:p>
      <w:pPr>
        <w:pStyle w:val="925"/>
        <w:jc w:val="center"/>
        <w:rPr>
          <w:rFonts w:hint="eastAsia" w:ascii="仿宋" w:hAnsi="仿宋" w:eastAsia="仿宋"/>
          <w:sz w:val="32"/>
          <w:szCs w:val="32"/>
          <w:highlight w:val="none"/>
          <w:lang w:val="zh-CN"/>
        </w:rPr>
      </w:pPr>
      <w:r>
        <w:rPr>
          <w:rFonts w:hint="eastAsia" w:ascii="仿宋" w:hAnsi="仿宋" w:eastAsia="仿宋"/>
          <w:sz w:val="32"/>
          <w:szCs w:val="32"/>
          <w:highlight w:val="none"/>
          <w:lang w:val="zh-CN"/>
        </w:rPr>
        <mc:AlternateContent>
          <mc:Choice Requires="wpg">
            <w:drawing>
              <wp:inline xmlns:wp="http://schemas.openxmlformats.org/drawingml/2006/wordprocessingDrawing" distT="0" distB="0" distL="0" distR="0">
                <wp:extent cx="1133475" cy="14763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0" r="4646" b="1147"/>
                        <a:stretch/>
                      </pic:blipFill>
                      <pic:spPr bwMode="auto">
                        <a:xfrm>
                          <a:off x="0" y="0"/>
                          <a:ext cx="1133475"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2pt;height:116.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32"/>
          <w:szCs w:val="32"/>
          <w:highlight w:val="none"/>
          <w:lang w:val="zh-CN"/>
        </w:rPr>
      </w:r>
      <w:r/>
    </w:p>
    <w:p>
      <w:pPr>
        <w:pStyle w:val="925"/>
        <w:jc w:val="center"/>
        <w:keepLines w:val="0"/>
        <w:keepNext w:val="0"/>
        <w:pageBreakBefore w:val="0"/>
        <w:spacing w:line="360" w:lineRule="auto"/>
        <w:widowControl w:val="off"/>
        <w:rPr>
          <w:rFonts w:hint="eastAsia" w:ascii="仿宋" w:hAnsi="仿宋" w:eastAsia="仿宋"/>
          <w:sz w:val="32"/>
          <w:szCs w:val="32"/>
          <w:highlight w:val="none"/>
          <w:lang w:val="zh-CN"/>
        </w:rPr>
      </w:pPr>
      <w:r>
        <w:rPr>
          <w:rFonts w:hint="eastAsia" w:ascii="宋体" w:hAnsi="宋体" w:eastAsia="宋体"/>
          <w:sz w:val="21"/>
          <w:szCs w:val="21"/>
          <w:highlight w:val="none"/>
        </w:rPr>
        <w:t xml:space="preserve">（紧固件为加厚不锈钢，镀锌防锈材质，铝板厚度2mm，Ⅲ类反光膜）</w:t>
      </w:r>
      <w:r>
        <w:rPr>
          <w:rFonts w:hint="eastAsia" w:ascii="仿宋" w:hAnsi="仿宋" w:eastAsia="仿宋"/>
          <w:sz w:val="32"/>
          <w:szCs w:val="32"/>
          <w:highlight w:val="none"/>
          <w:lang w:val="zh-CN"/>
        </w:rPr>
        <mc:AlternateContent>
          <mc:Choice Requires="wpg">
            <w:drawing>
              <wp:inline xmlns:wp="http://schemas.openxmlformats.org/drawingml/2006/wordprocessingDrawing" distT="0" distB="0" distL="0" distR="0">
                <wp:extent cx="5268087" cy="373555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8087" cy="3735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94.1pt;mso-wrap-distance-left:0.0pt;mso-wrap-distance-top:0.0pt;mso-wrap-distance-right:0.0pt;mso-wrap-distance-bottom:0.0pt;" stroked="f">
                <v:path textboxrect="0,0,0,0"/>
                <v:imagedata r:id="rId15" o:title=""/>
              </v:shape>
            </w:pict>
          </mc:Fallback>
        </mc:AlternateContent>
      </w:r>
      <w:r>
        <w:rPr>
          <w:rFonts w:hint="eastAsia" w:ascii="仿宋" w:hAnsi="仿宋" w:eastAsia="仿宋"/>
          <w:sz w:val="32"/>
          <w:szCs w:val="32"/>
          <w:highlight w:val="none"/>
          <w:lang w:val="zh-CN"/>
        </w:rPr>
      </w:r>
      <w:r/>
    </w:p>
    <w:p>
      <w:pPr>
        <w:pStyle w:val="1051"/>
        <w:rPr>
          <w:rFonts w:hint="eastAsia" w:ascii="仿宋" w:hAnsi="仿宋" w:eastAsia="仿宋"/>
          <w:sz w:val="32"/>
          <w:szCs w:val="32"/>
          <w:highlight w:val="none"/>
        </w:rPr>
      </w:pPr>
      <w:r>
        <w:rPr>
          <w:rFonts w:hint="eastAsia" w:ascii="仿宋" w:hAnsi="仿宋" w:eastAsia="仿宋"/>
          <w:sz w:val="32"/>
          <w:szCs w:val="32"/>
          <w:highlight w:val="none"/>
        </w:rPr>
      </w:r>
      <w:r/>
    </w:p>
    <w:p>
      <w:pPr>
        <w:pStyle w:val="1051"/>
        <w:rPr>
          <w:rFonts w:hint="eastAsia" w:ascii="仿宋" w:hAnsi="仿宋" w:eastAsia="仿宋"/>
          <w:sz w:val="32"/>
          <w:szCs w:val="32"/>
          <w:highlight w:val="none"/>
        </w:rPr>
      </w:pPr>
      <w:r>
        <w:rPr>
          <w:rFonts w:hint="eastAsia" w:ascii="仿宋" w:hAnsi="仿宋" w:eastAsia="仿宋"/>
          <w:sz w:val="32"/>
          <w:szCs w:val="32"/>
          <w:highlight w:val="none"/>
        </w:rPr>
        <mc:AlternateContent>
          <mc:Choice Requires="wpg">
            <w:drawing>
              <wp:inline xmlns:wp="http://schemas.openxmlformats.org/drawingml/2006/wordprocessingDrawing" distT="0" distB="0" distL="0" distR="0">
                <wp:extent cx="4249966" cy="225108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249966" cy="22510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4.6pt;height:177.3pt;mso-wrap-distance-left:0.0pt;mso-wrap-distance-top:0.0pt;mso-wrap-distance-right:0.0pt;mso-wrap-distance-bottom:0.0pt;" stroked="f">
                <v:path textboxrect="0,0,0,0"/>
                <v:imagedata r:id="rId16" o:title=""/>
              </v:shape>
            </w:pict>
          </mc:Fallback>
        </mc:AlternateContent>
      </w:r>
      <w:r>
        <w:rPr>
          <w:rFonts w:hint="eastAsia" w:ascii="仿宋" w:hAnsi="仿宋" w:eastAsia="仿宋"/>
          <w:sz w:val="32"/>
          <w:szCs w:val="32"/>
          <w:highlight w:val="none"/>
        </w:rPr>
      </w:r>
      <w:r/>
    </w:p>
    <w:p>
      <w:pPr>
        <w:pStyle w:val="925"/>
        <w:jc w:val="left"/>
        <w:widowControl/>
        <w:rPr>
          <w:rFonts w:hint="eastAsia" w:ascii="宋体" w:hAnsi="宋体" w:eastAsia="宋体"/>
          <w:bCs/>
          <w:sz w:val="28"/>
          <w:szCs w:val="28"/>
          <w:highlight w:val="none"/>
        </w:rPr>
      </w:pPr>
      <w:r>
        <w:rPr>
          <w:rFonts w:hint="eastAsia" w:ascii="宋体" w:hAnsi="宋体" w:eastAsia="宋体"/>
          <w:bCs/>
          <w:sz w:val="28"/>
          <w:szCs w:val="28"/>
          <w:highlight w:val="none"/>
        </w:rPr>
      </w:r>
      <w:r/>
    </w:p>
    <w:p>
      <w:pPr>
        <w:pStyle w:val="1024"/>
        <w:numPr>
          <w:ilvl w:val="0"/>
          <w:numId w:val="0"/>
        </w:numPr>
        <w:keepLines w:val="0"/>
        <w:keepNext w:val="0"/>
        <w:pageBreakBefore w:val="0"/>
        <w:spacing w:line="360" w:lineRule="auto"/>
        <w:widowControl w:val="off"/>
        <w:rPr>
          <w:rFonts w:hint="eastAsia" w:ascii="宋体" w:hAnsi="宋体" w:eastAsia="宋体"/>
          <w:b/>
          <w:sz w:val="21"/>
          <w:szCs w:val="21"/>
          <w:highlight w:val="none"/>
        </w:rPr>
        <w:outlineLvl w:val="0"/>
      </w:pPr>
      <w:r/>
      <w:bookmarkStart w:id="318" w:name="_Toc218522924"/>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十一</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rPr>
        <w:t xml:space="preserve">其他情况说明</w:t>
      </w:r>
      <w:bookmarkEnd w:id="318"/>
      <w:r>
        <w:rPr>
          <w:rFonts w:hint="eastAsia" w:ascii="宋体" w:hAnsi="宋体" w:eastAsia="宋体"/>
          <w:b/>
          <w:sz w:val="21"/>
          <w:szCs w:val="21"/>
          <w:highlight w:val="none"/>
        </w:rPr>
      </w:r>
      <w:r/>
    </w:p>
    <w:p>
      <w:pPr>
        <w:pStyle w:val="925"/>
        <w:ind w:firstLine="560"/>
        <w:jc w:val="left"/>
        <w:keepLines w:val="0"/>
        <w:keepNext w:val="0"/>
        <w:pageBreakBefore w:val="0"/>
        <w:spacing w:line="360" w:lineRule="auto"/>
        <w:widowControl w:val="off"/>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1、标★项为设备重要参数，</w:t>
      </w:r>
      <w:r>
        <w:rPr>
          <w:rFonts w:hint="eastAsia" w:ascii="宋体" w:hAnsi="宋体"/>
          <w:b/>
          <w:bCs/>
          <w:sz w:val="21"/>
          <w:szCs w:val="21"/>
          <w:highlight w:val="none"/>
          <w:lang w:val="en-US" w:eastAsia="zh-CN"/>
        </w:rPr>
        <w:t xml:space="preserve">投标时须</w:t>
      </w:r>
      <w:r>
        <w:rPr>
          <w:rFonts w:hint="eastAsia" w:ascii="宋体" w:hAnsi="宋体" w:eastAsia="宋体"/>
          <w:b/>
          <w:bCs/>
          <w:sz w:val="21"/>
          <w:szCs w:val="21"/>
          <w:highlight w:val="none"/>
        </w:rPr>
        <w:t xml:space="preserve">提供</w:t>
      </w:r>
      <w:r>
        <w:rPr>
          <w:rFonts w:hint="eastAsia" w:ascii="宋体" w:hAnsi="宋体" w:eastAsia="宋体"/>
          <w:b/>
          <w:bCs/>
          <w:sz w:val="21"/>
          <w:szCs w:val="21"/>
          <w:highlight w:val="none"/>
          <w:lang w:eastAsia="zh-CN"/>
        </w:rPr>
        <w:t xml:space="preserve">公安部权威检测机构</w:t>
      </w:r>
      <w:r>
        <w:rPr>
          <w:rFonts w:hint="eastAsia" w:ascii="宋体" w:hAnsi="宋体" w:eastAsia="宋体"/>
          <w:b/>
          <w:bCs/>
          <w:sz w:val="21"/>
          <w:szCs w:val="21"/>
          <w:highlight w:val="none"/>
        </w:rPr>
        <w:t xml:space="preserve">出具的检测报告复印件加盖</w:t>
      </w:r>
      <w:r>
        <w:rPr>
          <w:rFonts w:hint="eastAsia" w:ascii="宋体" w:hAnsi="宋体" w:eastAsia="宋体"/>
          <w:b/>
          <w:bCs/>
          <w:sz w:val="21"/>
          <w:szCs w:val="21"/>
          <w:highlight w:val="none"/>
          <w:lang w:val="en-US" w:eastAsia="zh-CN"/>
        </w:rPr>
        <w:t xml:space="preserve">投标</w:t>
      </w:r>
      <w:r>
        <w:rPr>
          <w:rFonts w:hint="eastAsia" w:ascii="宋体" w:hAnsi="宋体"/>
          <w:b/>
          <w:bCs/>
          <w:sz w:val="21"/>
          <w:szCs w:val="21"/>
          <w:highlight w:val="none"/>
          <w:lang w:val="en-US" w:eastAsia="zh-CN"/>
        </w:rPr>
        <w:t xml:space="preserve">单位</w:t>
      </w:r>
      <w:r>
        <w:rPr>
          <w:rFonts w:hint="eastAsia" w:ascii="宋体" w:hAnsi="宋体" w:eastAsia="宋体"/>
          <w:b/>
          <w:bCs/>
          <w:sz w:val="21"/>
          <w:szCs w:val="21"/>
          <w:highlight w:val="none"/>
        </w:rPr>
        <w:t xml:space="preserve">公章</w:t>
      </w: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lang w:val="en-US" w:eastAsia="zh-CN"/>
        </w:rPr>
        <w:t xml:space="preserve">本项未按要求提供的，不作废标处理，仅用于技术参数评分</w:t>
      </w: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rPr>
        <w:t xml:space="preserve">。</w:t>
      </w:r>
      <w:r>
        <w:rPr>
          <w:rFonts w:hint="eastAsia" w:ascii="宋体" w:hAnsi="宋体" w:eastAsia="宋体"/>
          <w:b/>
          <w:bCs/>
          <w:sz w:val="21"/>
          <w:szCs w:val="21"/>
          <w:highlight w:val="none"/>
        </w:rPr>
      </w:r>
      <w:r/>
    </w:p>
    <w:p>
      <w:pPr>
        <w:pStyle w:val="925"/>
        <w:ind w:firstLine="560"/>
        <w:jc w:val="left"/>
        <w:keepLines w:val="0"/>
        <w:keepNext w:val="0"/>
        <w:pageBreakBefore w:val="0"/>
        <w:spacing w:line="360" w:lineRule="auto"/>
        <w:widowControl w:val="off"/>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2、本次采购所有电子设备</w:t>
      </w:r>
      <w:r>
        <w:rPr>
          <w:rFonts w:hint="eastAsia" w:ascii="宋体" w:hAnsi="宋体"/>
          <w:b/>
          <w:bCs/>
          <w:sz w:val="21"/>
          <w:szCs w:val="21"/>
          <w:highlight w:val="none"/>
          <w:lang w:eastAsia="zh-CN"/>
        </w:rPr>
        <w:t xml:space="preserve">须</w:t>
      </w:r>
      <w:r>
        <w:rPr>
          <w:rFonts w:hint="eastAsia" w:ascii="宋体" w:hAnsi="宋体" w:eastAsia="宋体"/>
          <w:b/>
          <w:bCs/>
          <w:sz w:val="21"/>
          <w:szCs w:val="21"/>
          <w:highlight w:val="none"/>
        </w:rPr>
        <w:t xml:space="preserve">保证无缝接入</w:t>
      </w:r>
      <w:r>
        <w:rPr>
          <w:rFonts w:hint="eastAsia" w:ascii="宋体" w:hAnsi="宋体" w:eastAsia="宋体"/>
          <w:b/>
          <w:bCs/>
          <w:sz w:val="21"/>
          <w:szCs w:val="21"/>
          <w:highlight w:val="none"/>
          <w:lang w:val="en-US" w:eastAsia="zh-CN"/>
        </w:rPr>
        <w:t xml:space="preserve">采购</w:t>
      </w:r>
      <w:r>
        <w:rPr>
          <w:rFonts w:hint="eastAsia" w:ascii="宋体" w:hAnsi="宋体" w:eastAsia="宋体"/>
          <w:b/>
          <w:bCs/>
          <w:sz w:val="21"/>
          <w:szCs w:val="21"/>
          <w:highlight w:val="none"/>
        </w:rPr>
        <w:t xml:space="preserve">人现有系统、平台。</w:t>
      </w:r>
      <w:r>
        <w:rPr>
          <w:rFonts w:hint="eastAsia" w:ascii="宋体" w:hAnsi="宋体" w:eastAsia="宋体"/>
          <w:b/>
          <w:bCs/>
          <w:sz w:val="21"/>
          <w:szCs w:val="21"/>
          <w:highlight w:val="none"/>
        </w:rPr>
      </w:r>
      <w:r/>
    </w:p>
    <w:p>
      <w:pPr>
        <w:pStyle w:val="925"/>
        <w:ind w:firstLine="560"/>
        <w:jc w:val="left"/>
        <w:keepLines w:val="0"/>
        <w:keepNext w:val="0"/>
        <w:pageBreakBefore w:val="0"/>
        <w:spacing w:line="360" w:lineRule="auto"/>
        <w:widowControl w:val="off"/>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3、本次采购所有杆件、指示牌等设备外观需满足</w:t>
      </w:r>
      <w:r>
        <w:rPr>
          <w:rFonts w:hint="eastAsia" w:ascii="宋体" w:hAnsi="宋体" w:eastAsia="宋体"/>
          <w:b/>
          <w:bCs/>
          <w:sz w:val="21"/>
          <w:szCs w:val="21"/>
          <w:highlight w:val="none"/>
          <w:lang w:val="en-US" w:eastAsia="zh-CN"/>
        </w:rPr>
        <w:t xml:space="preserve">采购</w:t>
      </w:r>
      <w:r>
        <w:rPr>
          <w:rFonts w:hint="eastAsia" w:ascii="宋体" w:hAnsi="宋体" w:eastAsia="宋体"/>
          <w:b/>
          <w:bCs/>
          <w:sz w:val="21"/>
          <w:szCs w:val="21"/>
          <w:highlight w:val="none"/>
        </w:rPr>
        <w:t xml:space="preserve">人要求。</w:t>
      </w:r>
      <w:r>
        <w:rPr>
          <w:rFonts w:hint="eastAsia" w:ascii="宋体" w:hAnsi="宋体" w:eastAsia="宋体"/>
          <w:b/>
          <w:bCs/>
          <w:sz w:val="21"/>
          <w:szCs w:val="21"/>
          <w:highlight w:val="none"/>
        </w:rPr>
      </w:r>
      <w:r/>
    </w:p>
    <w:p>
      <w:pPr>
        <w:pStyle w:val="925"/>
        <w:jc w:val="left"/>
        <w:keepLines w:val="0"/>
        <w:keepNext w:val="0"/>
        <w:pageBreakBefore w:val="0"/>
        <w:spacing w:line="360" w:lineRule="auto"/>
        <w:widowControl w:val="off"/>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五</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商务要求</w:t>
      </w:r>
      <w:r>
        <w:rPr>
          <w:rFonts w:ascii="宋体" w:hAnsi="宋体" w:eastAsia="宋体"/>
          <w:b/>
          <w:bCs/>
          <w:sz w:val="24"/>
          <w:szCs w:val="24"/>
          <w:highlight w:val="none"/>
          <w:lang w:val="en-US" w:eastAsia="zh-CN"/>
        </w:rPr>
      </w:r>
      <w:r/>
    </w:p>
    <w:p>
      <w:pPr>
        <w:pStyle w:val="925"/>
        <w:ind w:firstLine="420"/>
        <w:jc w:val="left"/>
        <w:keepLines w:val="0"/>
        <w:keepNext w:val="0"/>
        <w:pageBreakBefore w:val="0"/>
        <w:spacing w:line="360" w:lineRule="auto"/>
        <w:widowControl w:val="off"/>
        <w:rPr>
          <w:rFonts w:ascii="宋体" w:hAnsi="宋体" w:eastAsia="宋体"/>
          <w:sz w:val="21"/>
          <w:szCs w:val="21"/>
          <w:highlight w:val="none"/>
        </w:rPr>
      </w:pPr>
      <w:r>
        <w:rPr>
          <w:rFonts w:hint="eastAsia" w:ascii="宋体" w:hAnsi="宋体"/>
          <w:sz w:val="21"/>
          <w:szCs w:val="21"/>
          <w:highlight w:val="none"/>
          <w:lang w:val="en-US" w:eastAsia="zh-CN"/>
        </w:rPr>
        <w:t xml:space="preserve">1、</w:t>
      </w:r>
      <w:r>
        <w:rPr>
          <w:rFonts w:hint="eastAsia" w:ascii="宋体" w:hAnsi="宋体" w:eastAsia="宋体"/>
          <w:sz w:val="21"/>
          <w:szCs w:val="21"/>
          <w:highlight w:val="none"/>
        </w:rPr>
        <w:t xml:space="preserve">项目</w:t>
      </w:r>
      <w:r>
        <w:rPr>
          <w:rFonts w:hint="eastAsia" w:ascii="宋体" w:hAnsi="宋体"/>
          <w:sz w:val="21"/>
          <w:szCs w:val="21"/>
          <w:highlight w:val="none"/>
          <w:lang w:eastAsia="zh-CN"/>
        </w:rPr>
        <w:t xml:space="preserve">实施</w:t>
      </w:r>
      <w:r>
        <w:rPr>
          <w:rFonts w:hint="eastAsia" w:ascii="宋体" w:hAnsi="宋体" w:eastAsia="宋体"/>
          <w:sz w:val="21"/>
          <w:szCs w:val="21"/>
          <w:highlight w:val="none"/>
        </w:rPr>
        <w:t xml:space="preserve">地点：采购方指定地点 。</w:t>
      </w:r>
      <w:r>
        <w:rPr>
          <w:rFonts w:ascii="宋体" w:hAnsi="宋体" w:eastAsia="宋体"/>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Times New Roman"/>
          <w:sz w:val="21"/>
          <w:szCs w:val="21"/>
          <w:highlight w:val="none"/>
          <w:lang w:eastAsia="zh-CN"/>
        </w:rPr>
      </w:pPr>
      <w:r>
        <w:rPr>
          <w:rFonts w:hint="eastAsia" w:ascii="宋体" w:hAnsi="宋体"/>
          <w:sz w:val="21"/>
          <w:szCs w:val="21"/>
          <w:highlight w:val="none"/>
          <w:lang w:val="en-US" w:eastAsia="zh-CN"/>
        </w:rPr>
        <w:t xml:space="preserve">2、</w:t>
      </w:r>
      <w:r>
        <w:rPr>
          <w:rFonts w:hint="eastAsia" w:ascii="宋体" w:hAnsi="宋体" w:eastAsia="宋体"/>
          <w:sz w:val="21"/>
          <w:szCs w:val="21"/>
          <w:highlight w:val="none"/>
        </w:rPr>
        <w:t xml:space="preserve">付款进度和方式：</w:t>
      </w:r>
      <w:r>
        <w:rPr>
          <w:rFonts w:hint="eastAsia" w:ascii="宋体" w:hAnsi="宋体" w:cs="Times New Roman"/>
          <w:sz w:val="21"/>
          <w:szCs w:val="21"/>
          <w:highlight w:val="none"/>
          <w:lang w:eastAsia="zh-CN"/>
        </w:rPr>
        <w:t xml:space="preserve">合同签订后，甲方支付合同总价款的</w:t>
      </w:r>
      <w:r>
        <w:rPr>
          <w:rFonts w:hint="eastAsia" w:ascii="宋体" w:hAnsi="宋体" w:cs="Times New Roman"/>
          <w:sz w:val="21"/>
          <w:szCs w:val="21"/>
          <w:highlight w:val="none"/>
          <w:lang w:val="en-US" w:eastAsia="zh-CN"/>
        </w:rPr>
        <w:t xml:space="preserve">10</w:t>
      </w:r>
      <w:r>
        <w:rPr>
          <w:rFonts w:hint="eastAsia" w:ascii="宋体" w:hAnsi="宋体" w:cs="Times New Roman"/>
          <w:sz w:val="21"/>
          <w:szCs w:val="21"/>
          <w:highlight w:val="none"/>
          <w:lang w:eastAsia="zh-CN"/>
        </w:rPr>
        <w:t xml:space="preserve">%作为预付款，</w:t>
      </w:r>
      <w:r>
        <w:rPr>
          <w:rFonts w:hint="eastAsia" w:ascii="宋体" w:hAnsi="宋体" w:cs="Times New Roman"/>
          <w:sz w:val="21"/>
          <w:szCs w:val="21"/>
          <w:highlight w:val="none"/>
          <w:lang w:val="en-US" w:eastAsia="zh-CN"/>
        </w:rPr>
        <w:t xml:space="preserve">主要设备进场且安装验收合格后付至</w:t>
      </w:r>
      <w:r>
        <w:rPr>
          <w:rFonts w:hint="eastAsia" w:ascii="宋体" w:hAnsi="宋体" w:cs="Times New Roman"/>
          <w:sz w:val="21"/>
          <w:szCs w:val="21"/>
          <w:highlight w:val="none"/>
          <w:lang w:eastAsia="zh-CN"/>
        </w:rPr>
        <w:t xml:space="preserve">合同总价款</w:t>
      </w:r>
      <w:r>
        <w:rPr>
          <w:rFonts w:hint="eastAsia" w:ascii="宋体" w:hAnsi="宋体" w:cs="Times New Roman"/>
          <w:sz w:val="21"/>
          <w:szCs w:val="21"/>
          <w:highlight w:val="none"/>
          <w:lang w:val="en-US" w:eastAsia="zh-CN"/>
        </w:rPr>
        <w:t xml:space="preserve">的60%，</w:t>
      </w:r>
      <w:r>
        <w:rPr>
          <w:rFonts w:hint="eastAsia" w:ascii="宋体" w:hAnsi="宋体" w:cs="Times New Roman"/>
          <w:sz w:val="21"/>
          <w:szCs w:val="21"/>
          <w:highlight w:val="none"/>
          <w:lang w:eastAsia="zh-CN"/>
        </w:rPr>
        <w:t xml:space="preserve">财政审核完成后付至审</w:t>
      </w:r>
      <w:r>
        <w:rPr>
          <w:rFonts w:hint="eastAsia" w:ascii="宋体" w:hAnsi="宋体" w:cs="Times New Roman"/>
          <w:sz w:val="21"/>
          <w:szCs w:val="21"/>
          <w:highlight w:val="none"/>
          <w:lang w:val="en-US" w:eastAsia="zh-CN"/>
        </w:rPr>
        <w:t xml:space="preserve">核</w:t>
      </w:r>
      <w:r>
        <w:rPr>
          <w:rFonts w:hint="eastAsia" w:ascii="宋体" w:hAnsi="宋体" w:cs="Times New Roman"/>
          <w:sz w:val="21"/>
          <w:szCs w:val="21"/>
          <w:highlight w:val="none"/>
          <w:lang w:eastAsia="zh-CN"/>
        </w:rPr>
        <w:t xml:space="preserve">价的95%，余款待项目验收合格满五年后付清（所有款项均不计利息）。</w:t>
      </w:r>
      <w:r>
        <w:rPr>
          <w:rFonts w:hint="eastAsia" w:ascii="宋体" w:hAnsi="宋体" w:eastAsia="宋体" w:cs="Times New Roman"/>
          <w:sz w:val="21"/>
          <w:szCs w:val="21"/>
          <w:highlight w:val="none"/>
          <w:lang w:eastAsia="zh-CN"/>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3、</w:t>
      </w:r>
      <w:r>
        <w:rPr>
          <w:rFonts w:ascii="宋体" w:hAnsi="宋体" w:eastAsia="宋体" w:cs="Times New Roman"/>
          <w:sz w:val="21"/>
          <w:szCs w:val="21"/>
          <w:highlight w:val="none"/>
        </w:rPr>
        <w:t xml:space="preserve">包装和运输要求：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4、</w:t>
      </w:r>
      <w:r>
        <w:rPr>
          <w:rFonts w:ascii="宋体" w:hAnsi="宋体" w:eastAsia="宋体" w:cs="Times New Roman"/>
          <w:sz w:val="21"/>
          <w:szCs w:val="21"/>
          <w:highlight w:val="none"/>
        </w:rPr>
        <w:t xml:space="preserve">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w:t>
      </w:r>
      <w:r>
        <w:rPr>
          <w:rFonts w:hint="eastAsia" w:ascii="宋体" w:hAnsi="宋体" w:cs="Times New Roman"/>
          <w:sz w:val="21"/>
          <w:szCs w:val="21"/>
          <w:highlight w:val="none"/>
          <w:lang w:eastAsia="zh-CN"/>
        </w:rPr>
        <w:t xml:space="preserve">振动</w:t>
      </w:r>
      <w:r>
        <w:rPr>
          <w:rFonts w:ascii="宋体" w:hAnsi="宋体" w:eastAsia="宋体" w:cs="Times New Roman"/>
          <w:sz w:val="21"/>
          <w:szCs w:val="21"/>
          <w:highlight w:val="none"/>
        </w:rPr>
        <w:t xml:space="preserve">和碰撞等。对于大型或重型设备，应使用专用运输工具进行运输；运输时间控制：尽量缩短运输时间，以减少设备在运输过程中的风险。对于紧急采购的设备，应优先安排运输，确保及时到达。</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5、</w:t>
      </w:r>
      <w:r>
        <w:rPr>
          <w:rFonts w:ascii="宋体" w:hAnsi="宋体" w:eastAsia="宋体" w:cs="Times New Roman"/>
          <w:sz w:val="21"/>
          <w:szCs w:val="21"/>
          <w:highlight w:val="none"/>
        </w:rPr>
        <w:t xml:space="preserve">中标方应对设备、安装设备（工具）等提供适当的保护、包装或覆盖等处理，以免受损；中标方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方提供的设备必须为原包装，在送交验收前不得拆箱。</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6</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t xml:space="preserve">售后服务标准要求：</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（1）提供完善的售后服务及应急保障方案：包括但不限于保障人员、保障团队、保障内容；</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（2）在质保期内，中标单位应提供专业运维服务；</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（3）提供保障设备正常运行的日常运行维护方案，包括但不限于故障修复（含远程技术支持、现场技术支持）、版本管理和软件补丁服务、系统巡检、重要事件保障、应急恢复方案设计与预演等的描述和说明；</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（4）提供详细的备品备件管理措施。</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7</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t xml:space="preserve">售后服务效率要求：提供7×24小时响应服务，提供2小时以内响应，24小时以内赶到故障现场进行维护服务；从中标方工程技术人员进行故障处理开始，到全部故障排除，整个系统完全恢复到故障前的正常状态所需时间不大于48小时。</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8、</w:t>
      </w:r>
      <w:r>
        <w:rPr>
          <w:rFonts w:ascii="宋体" w:hAnsi="宋体" w:eastAsia="宋体" w:cs="Times New Roman"/>
          <w:sz w:val="21"/>
          <w:szCs w:val="21"/>
          <w:highlight w:val="none"/>
        </w:rPr>
        <w:t xml:space="preserve">安全实施要求：在项目实施及质保期间，中标方应当配备必要的安全生产管理人员，负责强化项目实施人员安全教育和安全管理，如实施过程中存在人身安全风险的，中标方应当为实施人员购买必要的人身安全保险。</w:t>
      </w:r>
      <w:r>
        <w:rPr>
          <w:rFonts w:ascii="宋体" w:hAnsi="宋体" w:eastAsia="宋体" w:cs="Times New Roman"/>
          <w:sz w:val="21"/>
          <w:szCs w:val="21"/>
          <w:highlight w:val="none"/>
        </w:rPr>
      </w:r>
      <w:r/>
    </w:p>
    <w:p>
      <w:pPr>
        <w:pStyle w:val="925"/>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中标方应按照法律法规制定安全作业规范，在项目实施过程中，中标方一方发生的一切安全事故或给第三方造成的损害，由中标方自行承担责任，采购方不对中标方项目实施人员负任何安全责任；若给采购方造成损失和伤害的，中标方应承担相应责任，赔偿一切直接、间接损失。</w:t>
      </w:r>
      <w:r>
        <w:rPr>
          <w:rFonts w:ascii="宋体" w:hAnsi="宋体" w:eastAsia="宋体" w:cs="Times New Roman"/>
          <w:sz w:val="21"/>
          <w:szCs w:val="21"/>
          <w:highlight w:val="none"/>
        </w:rPr>
      </w:r>
      <w:r/>
    </w:p>
    <w:p>
      <w:pPr>
        <w:pStyle w:val="925"/>
        <w:numPr>
          <w:ilvl w:val="0"/>
          <w:numId w:val="6"/>
        </w:numPr>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项目保密要求：</w:t>
      </w:r>
      <w:r>
        <w:rPr>
          <w:rFonts w:ascii="宋体" w:hAnsi="宋体" w:eastAsia="宋体" w:cs="Times New Roman"/>
          <w:sz w:val="21"/>
          <w:szCs w:val="21"/>
          <w:highlight w:val="none"/>
        </w:rPr>
      </w:r>
      <w:r/>
    </w:p>
    <w:p>
      <w:pPr>
        <w:pStyle w:val="925"/>
        <w:numPr>
          <w:ilvl w:val="0"/>
          <w:numId w:val="7"/>
        </w:numPr>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严格遵守国家保密法规，健全保密管理机构，建立完善并严格落实保密管理制度。</w:t>
      </w:r>
      <w:r>
        <w:rPr>
          <w:rFonts w:ascii="宋体" w:hAnsi="宋体" w:eastAsia="宋体" w:cs="Times New Roman"/>
          <w:sz w:val="21"/>
          <w:szCs w:val="21"/>
          <w:highlight w:val="none"/>
        </w:rPr>
      </w:r>
      <w:r/>
    </w:p>
    <w:p>
      <w:pPr>
        <w:pStyle w:val="925"/>
        <w:numPr>
          <w:ilvl w:val="0"/>
          <w:numId w:val="7"/>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投标方对响应文件制作应实行专人管理、专室专柜存放、专机处理，不得擅自复制、扩散。不得在联网计算机中处理或者存储涉密信息。不得通过普通电话、传真、邮政、快递和互联网等渠道传递涉密信息。</w:t>
      </w:r>
      <w:r>
        <w:rPr>
          <w:rFonts w:ascii="宋体" w:hAnsi="宋体" w:eastAsia="宋体" w:cs="Times New Roman"/>
          <w:sz w:val="21"/>
          <w:szCs w:val="21"/>
          <w:highlight w:val="none"/>
        </w:rPr>
      </w:r>
      <w:r/>
    </w:p>
    <w:p>
      <w:pPr>
        <w:pStyle w:val="925"/>
        <w:numPr>
          <w:ilvl w:val="0"/>
          <w:numId w:val="7"/>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投标方严禁在互联网上发布涉密信息。</w:t>
      </w:r>
      <w:r>
        <w:rPr>
          <w:rFonts w:ascii="宋体" w:hAnsi="宋体" w:eastAsia="宋体" w:cs="Times New Roman"/>
          <w:sz w:val="21"/>
          <w:szCs w:val="21"/>
          <w:highlight w:val="none"/>
        </w:rPr>
      </w:r>
      <w:r/>
    </w:p>
    <w:p>
      <w:pPr>
        <w:pStyle w:val="925"/>
        <w:numPr>
          <w:ilvl w:val="0"/>
          <w:numId w:val="7"/>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严格落实采购人安全保密要求，主动接受和配合现场保密检查。</w:t>
      </w:r>
      <w:r>
        <w:rPr>
          <w:rFonts w:ascii="宋体" w:hAnsi="宋体" w:eastAsia="宋体" w:cs="Times New Roman"/>
          <w:sz w:val="21"/>
          <w:szCs w:val="21"/>
          <w:highlight w:val="none"/>
        </w:rPr>
      </w:r>
      <w:r/>
    </w:p>
    <w:p>
      <w:pPr>
        <w:pStyle w:val="925"/>
        <w:numPr>
          <w:ilvl w:val="0"/>
          <w:numId w:val="7"/>
        </w:numPr>
        <w:ind w:left="0" w:firstLine="420"/>
        <w:jc w:val="left"/>
        <w:keepLines w:val="0"/>
        <w:keepNext w:val="0"/>
        <w:pageBreakBefore w:val="0"/>
        <w:spacing w:line="360" w:lineRule="auto"/>
        <w:widowControl w:val="off"/>
        <w:rPr>
          <w:rFonts w:hint="eastAsia" w:ascii="宋体" w:hAnsi="宋体" w:eastAsia="宋体" w:cs="Times New Roman"/>
          <w:sz w:val="21"/>
          <w:szCs w:val="21"/>
          <w:highlight w:val="none"/>
          <w:lang w:eastAsia="zh-CN"/>
        </w:rPr>
      </w:pPr>
      <w:r>
        <w:rPr>
          <w:rFonts w:ascii="宋体" w:hAnsi="宋体" w:eastAsia="宋体" w:cs="Times New Roman"/>
          <w:sz w:val="21"/>
          <w:szCs w:val="21"/>
          <w:highlight w:val="none"/>
        </w:rPr>
        <w:t xml:space="preserve">未经采购人允许，不得擅自采集采购人基础数据</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925"/>
        <w:numPr>
          <w:ilvl w:val="0"/>
          <w:numId w:val="7"/>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遵守国家规定的其他保密。</w:t>
      </w:r>
      <w:r>
        <w:rPr>
          <w:rFonts w:ascii="宋体" w:hAnsi="宋体" w:eastAsia="宋体" w:cs="Times New Roman"/>
          <w:sz w:val="21"/>
          <w:szCs w:val="21"/>
          <w:highlight w:val="none"/>
        </w:rPr>
      </w:r>
      <w:r/>
    </w:p>
    <w:p>
      <w:pPr>
        <w:pStyle w:val="925"/>
        <w:numPr>
          <w:ilvl w:val="0"/>
          <w:numId w:val="6"/>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实施期间，中标人应无条件的接受采购方的质量监督，提出的质量问题要及时整改，整改完毕后通知采购方检查验收，合格后书面报送采购单位备案。</w:t>
      </w:r>
      <w:r>
        <w:rPr>
          <w:rFonts w:ascii="宋体" w:hAnsi="宋体" w:eastAsia="宋体" w:cs="Times New Roman"/>
          <w:sz w:val="21"/>
          <w:szCs w:val="21"/>
          <w:highlight w:val="none"/>
        </w:rPr>
      </w:r>
      <w:r/>
    </w:p>
    <w:p>
      <w:pPr>
        <w:pStyle w:val="925"/>
        <w:numPr>
          <w:ilvl w:val="0"/>
          <w:numId w:val="6"/>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中标人必须按照项目设计和技术标准实施，不得擅自修改项目设计，不得偷工减料；</w:t>
      </w:r>
      <w:r>
        <w:rPr>
          <w:rFonts w:ascii="宋体" w:hAnsi="宋体" w:eastAsia="宋体" w:cs="Times New Roman"/>
          <w:sz w:val="21"/>
          <w:szCs w:val="21"/>
          <w:highlight w:val="none"/>
        </w:rPr>
      </w:r>
      <w:r/>
    </w:p>
    <w:p>
      <w:pPr>
        <w:pStyle w:val="925"/>
        <w:numPr>
          <w:ilvl w:val="0"/>
          <w:numId w:val="6"/>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ascii="宋体" w:hAnsi="宋体" w:eastAsia="宋体" w:cs="Times New Roman"/>
          <w:sz w:val="21"/>
          <w:szCs w:val="21"/>
          <w:highlight w:val="none"/>
        </w:rPr>
        <w:t xml:space="preserve">投标人发现设计文件和图纸差错的应当及时向采购方提出意见和建议，经采购方认可后方可进行修改；</w:t>
      </w:r>
      <w:r>
        <w:rPr>
          <w:rFonts w:ascii="宋体" w:hAnsi="宋体" w:eastAsia="宋体" w:cs="Times New Roman"/>
          <w:sz w:val="21"/>
          <w:szCs w:val="21"/>
          <w:highlight w:val="none"/>
        </w:rPr>
      </w:r>
      <w:r/>
    </w:p>
    <w:p>
      <w:pPr>
        <w:pStyle w:val="940"/>
        <w:ind w:left="0" w:firstLine="0"/>
        <w:pageBreakBefore w:val="0"/>
        <w:spacing w:line="360" w:lineRule="auto"/>
        <w:rPr>
          <w:rFonts w:hint="eastAsia"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六、综合说明</w:t>
      </w:r>
      <w:r>
        <w:rPr>
          <w:rFonts w:hint="eastAsia" w:ascii="宋体" w:hAnsi="宋体" w:eastAsia="宋体"/>
          <w:b/>
          <w:bCs/>
          <w:sz w:val="24"/>
          <w:szCs w:val="24"/>
          <w:highlight w:val="none"/>
          <w:lang w:val="en-US" w:eastAsia="zh-CN"/>
        </w:rPr>
      </w:r>
      <w:r/>
    </w:p>
    <w:p>
      <w:pPr>
        <w:pStyle w:val="925"/>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w:t>
      </w:r>
      <w:r>
        <w:rPr>
          <w:rFonts w:hint="eastAsia" w:ascii="宋体" w:hAnsi="宋体"/>
          <w:sz w:val="21"/>
          <w:highlight w:val="none"/>
          <w:lang w:eastAsia="zh-CN"/>
        </w:rPr>
        <w:t xml:space="preserve">、</w:t>
      </w:r>
      <w:r>
        <w:rPr>
          <w:rFonts w:hint="eastAsia" w:ascii="宋体" w:hAnsi="宋体"/>
          <w:sz w:val="21"/>
          <w:highlight w:val="none"/>
          <w:lang w:val="en-US" w:eastAsia="zh-CN"/>
        </w:rPr>
        <w:t xml:space="preserve">供应商</w:t>
      </w:r>
      <w:r>
        <w:rPr>
          <w:rFonts w:hint="eastAsia" w:ascii="宋体" w:hAnsi="宋体"/>
          <w:sz w:val="21"/>
          <w:highlight w:val="none"/>
        </w:rPr>
        <w:t xml:space="preserve">按照</w:t>
      </w:r>
      <w:r>
        <w:rPr>
          <w:rFonts w:hint="eastAsia" w:ascii="宋体" w:hAnsi="宋体"/>
          <w:sz w:val="21"/>
          <w:highlight w:val="none"/>
          <w:lang w:val="en-US" w:eastAsia="zh-CN"/>
        </w:rPr>
        <w:t xml:space="preserve">招标</w:t>
      </w:r>
      <w:r>
        <w:rPr>
          <w:rFonts w:hint="eastAsia" w:ascii="宋体" w:hAnsi="宋体"/>
          <w:sz w:val="21"/>
          <w:highlight w:val="none"/>
        </w:rPr>
        <w:t xml:space="preserve">文件的要求提交投标文件，并对所提供的全部资料的真实性承担法律责任。</w:t>
      </w:r>
      <w:r>
        <w:rPr>
          <w:rFonts w:ascii="宋体" w:hAnsi="宋体"/>
          <w:sz w:val="21"/>
          <w:highlight w:val="none"/>
        </w:rPr>
      </w:r>
      <w:r/>
    </w:p>
    <w:p>
      <w:pPr>
        <w:pStyle w:val="925"/>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lang w:eastAsia="zh-CN"/>
        </w:rPr>
        <w:t xml:space="preserve">、</w:t>
      </w:r>
      <w:r>
        <w:rPr>
          <w:rFonts w:hint="eastAsia" w:ascii="宋体" w:hAnsi="宋体"/>
          <w:sz w:val="21"/>
          <w:highlight w:val="none"/>
        </w:rPr>
        <w:t xml:space="preserve">此次投标报价应综合考量</w:t>
      </w:r>
      <w:r>
        <w:rPr>
          <w:rFonts w:hint="eastAsia" w:ascii="宋体" w:hAnsi="宋体" w:eastAsia="宋体" w:cs="宋体"/>
          <w:szCs w:val="21"/>
          <w:highlight w:val="none"/>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ascii="宋体" w:hAnsi="宋体"/>
          <w:sz w:val="21"/>
          <w:highlight w:val="none"/>
        </w:rPr>
      </w:r>
      <w:r/>
    </w:p>
    <w:p>
      <w:pPr>
        <w:pStyle w:val="925"/>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lang w:eastAsia="zh-CN"/>
        </w:rPr>
        <w:t xml:space="preserve">、</w:t>
      </w:r>
      <w:r>
        <w:rPr>
          <w:rFonts w:hint="eastAsia" w:ascii="宋体" w:hAnsi="宋体"/>
          <w:sz w:val="21"/>
          <w:highlight w:val="none"/>
        </w:rPr>
        <w:t xml:space="preserve">中标单位将根据</w:t>
      </w:r>
      <w:r>
        <w:rPr>
          <w:rFonts w:hint="eastAsia" w:ascii="宋体" w:hAnsi="宋体"/>
          <w:sz w:val="21"/>
          <w:highlight w:val="none"/>
          <w:lang w:val="en-US" w:eastAsia="zh-CN"/>
        </w:rPr>
        <w:t xml:space="preserve">招标</w:t>
      </w:r>
      <w:r>
        <w:rPr>
          <w:rFonts w:hint="eastAsia" w:ascii="宋体" w:hAnsi="宋体"/>
          <w:sz w:val="21"/>
          <w:highlight w:val="none"/>
        </w:rPr>
        <w:t xml:space="preserve">文件、投标文件的相关约定，承担合同责任，履行合同义务。</w:t>
      </w:r>
      <w:r>
        <w:rPr>
          <w:rFonts w:ascii="宋体" w:hAnsi="宋体"/>
          <w:sz w:val="21"/>
          <w:highlight w:val="none"/>
        </w:rPr>
      </w:r>
      <w:r/>
    </w:p>
    <w:p>
      <w:pPr>
        <w:pStyle w:val="940"/>
        <w:pageBreakBefore w:val="0"/>
        <w:spacing w:line="360" w:lineRule="auto"/>
        <w:rPr>
          <w:rFonts w:hint="eastAsia" w:ascii="宋体" w:hAnsi="宋体"/>
          <w:sz w:val="21"/>
          <w:highlight w:val="none"/>
        </w:rPr>
      </w:pPr>
      <w:r>
        <w:rPr>
          <w:rFonts w:ascii="宋体" w:hAnsi="宋体"/>
          <w:sz w:val="21"/>
          <w:highlight w:val="none"/>
        </w:rPr>
        <w:t xml:space="preserve">4</w:t>
      </w:r>
      <w:r>
        <w:rPr>
          <w:rFonts w:hint="eastAsia" w:ascii="宋体" w:hAnsi="宋体"/>
          <w:sz w:val="21"/>
          <w:highlight w:val="none"/>
          <w:lang w:eastAsia="zh-CN"/>
        </w:rPr>
        <w:t xml:space="preserve">、</w:t>
      </w:r>
      <w:r>
        <w:rPr>
          <w:rFonts w:hint="eastAsia" w:ascii="宋体" w:hAnsi="宋体"/>
          <w:sz w:val="21"/>
          <w:highlight w:val="none"/>
        </w:rPr>
        <w:t xml:space="preserve">投标人应保证在本项目使用的任何产品（包括部分使用）时，不会产生因第三方提出侵犯其专利权、商标权或</w:t>
      </w:r>
      <w:r>
        <w:rPr>
          <w:rFonts w:hint="eastAsia" w:ascii="宋体" w:hAnsi="宋体"/>
          <w:sz w:val="21"/>
          <w:highlight w:val="none"/>
          <w:lang w:eastAsia="zh-CN"/>
        </w:rPr>
        <w:t xml:space="preserve">其他</w:t>
      </w:r>
      <w:r>
        <w:rPr>
          <w:rFonts w:hint="eastAsia" w:ascii="宋体" w:hAnsi="宋体"/>
          <w:sz w:val="21"/>
          <w:highlight w:val="none"/>
        </w:rPr>
        <w:t xml:space="preserve">知识产权而引起的法律和经济纠纷，如因专利权、商标权或</w:t>
      </w:r>
      <w:r>
        <w:rPr>
          <w:rFonts w:hint="eastAsia" w:ascii="宋体" w:hAnsi="宋体"/>
          <w:sz w:val="21"/>
          <w:highlight w:val="none"/>
          <w:lang w:eastAsia="zh-CN"/>
        </w:rPr>
        <w:t xml:space="preserve">其他</w:t>
      </w:r>
      <w:r>
        <w:rPr>
          <w:rFonts w:hint="eastAsia" w:ascii="宋体" w:hAnsi="宋体"/>
          <w:sz w:val="21"/>
          <w:highlight w:val="none"/>
        </w:rPr>
        <w:t xml:space="preserve">知识产权而引起法律和经济纠纷，由投标人承担所有相关责任。</w:t>
      </w:r>
      <w:r>
        <w:rPr>
          <w:rFonts w:hint="eastAsia" w:ascii="宋体" w:hAnsi="宋体"/>
          <w:sz w:val="21"/>
          <w:highlight w:val="none"/>
        </w:rPr>
      </w:r>
      <w:r/>
    </w:p>
    <w:p>
      <w:pPr>
        <w:pStyle w:val="940"/>
        <w:pageBreakBefore w:val="0"/>
        <w:spacing w:line="360" w:lineRule="auto"/>
        <w:rPr>
          <w:rFonts w:hint="eastAsia" w:ascii="宋体" w:hAnsi="宋体"/>
          <w:sz w:val="21"/>
          <w:highlight w:val="none"/>
        </w:rPr>
      </w:pPr>
      <w:r>
        <w:rPr>
          <w:rFonts w:hint="eastAsia" w:ascii="宋体" w:hAnsi="宋体"/>
          <w:sz w:val="21"/>
          <w:highlight w:val="none"/>
        </w:rPr>
      </w:r>
      <w:r/>
    </w:p>
    <w:p>
      <w:pPr>
        <w:pStyle w:val="940"/>
        <w:pageBreakBefore w:val="0"/>
        <w:spacing w:line="360" w:lineRule="auto"/>
        <w:rPr>
          <w:rFonts w:hint="eastAsia" w:ascii="宋体" w:hAnsi="宋体"/>
          <w:sz w:val="21"/>
          <w:highlight w:val="none"/>
        </w:rPr>
      </w:pPr>
      <w:r>
        <w:rPr>
          <w:rFonts w:hint="eastAsia" w:ascii="宋体" w:hAnsi="宋体"/>
          <w:sz w:val="21"/>
          <w:highlight w:val="none"/>
        </w:rPr>
      </w:r>
      <w:r/>
    </w:p>
    <w:p>
      <w:pPr>
        <w:pStyle w:val="940"/>
        <w:pageBreakBefore w:val="0"/>
        <w:spacing w:line="360" w:lineRule="auto"/>
        <w:rPr>
          <w:rFonts w:hint="eastAsia" w:ascii="宋体" w:hAnsi="宋体"/>
          <w:sz w:val="21"/>
          <w:highlight w:val="none"/>
        </w:rPr>
      </w:pPr>
      <w:r>
        <w:rPr>
          <w:rFonts w:hint="eastAsia" w:ascii="宋体" w:hAnsi="宋体"/>
          <w:sz w:val="21"/>
          <w:highlight w:val="none"/>
        </w:rPr>
      </w:r>
      <w:r/>
    </w:p>
    <w:p>
      <w:pPr>
        <w:pStyle w:val="925"/>
        <w:rPr>
          <w:highlight w:val="none"/>
        </w:rPr>
      </w:pPr>
      <w:r>
        <w:rPr>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szCs w:val="21"/>
          <w:highlight w:val="none"/>
        </w:rPr>
      </w:pPr>
      <w:r>
        <w:rPr>
          <w:rFonts w:ascii="宋体" w:hAnsi="宋体"/>
          <w:szCs w:val="21"/>
          <w:highlight w:val="none"/>
        </w:rPr>
      </w:r>
      <w:r/>
    </w:p>
    <w:p>
      <w:pPr>
        <w:pStyle w:val="940"/>
        <w:ind w:left="0" w:firstLine="0"/>
        <w:pageBreakBefore w:val="0"/>
        <w:spacing w:line="360" w:lineRule="auto"/>
        <w:rPr>
          <w:rFonts w:ascii="宋体" w:hAnsi="宋体"/>
          <w:highlight w:val="none"/>
        </w:rPr>
      </w:pPr>
      <w:r>
        <w:rPr>
          <w:rFonts w:ascii="宋体" w:hAnsi="宋体"/>
          <w:szCs w:val="21"/>
          <w:highlight w:val="none"/>
        </w:rPr>
      </w:r>
      <w:r>
        <w:rPr>
          <w:rFonts w:ascii="宋体" w:hAnsi="宋体"/>
          <w:szCs w:val="21"/>
          <w:highlight w:val="none"/>
        </w:rPr>
      </w:r>
      <w:r/>
    </w:p>
    <w:p>
      <w:pPr>
        <w:pStyle w:val="940"/>
        <w:ind w:left="0" w:firstLine="0"/>
        <w:pageBreakBefore w:val="0"/>
        <w:spacing w:line="360" w:lineRule="auto"/>
        <w:rPr>
          <w:rFonts w:ascii="宋体" w:hAnsi="宋体"/>
          <w:highlight w:val="none"/>
        </w:rPr>
      </w:pPr>
      <w:r>
        <w:rPr>
          <w:rFonts w:ascii="宋体" w:hAnsi="宋体"/>
          <w:highlight w:val="none"/>
        </w:rPr>
      </w:r>
      <w:r>
        <w:rPr>
          <w:rFonts w:ascii="宋体" w:hAnsi="宋体"/>
          <w:highlight w:val="none"/>
        </w:rPr>
      </w:r>
      <w:r/>
    </w:p>
    <w:p>
      <w:pPr>
        <w:pStyle w:val="940"/>
        <w:ind w:left="0" w:firstLine="0"/>
        <w:pageBreakBefore w:val="0"/>
        <w:spacing w:line="360" w:lineRule="auto"/>
        <w:rPr>
          <w:rFonts w:ascii="宋体" w:hAnsi="宋体"/>
          <w:highlight w:val="none"/>
        </w:rPr>
      </w:pPr>
      <w:r>
        <w:rPr>
          <w:rFonts w:ascii="宋体" w:hAnsi="宋体"/>
          <w:highlight w:val="none"/>
        </w:rPr>
      </w:r>
      <w:r>
        <w:rPr>
          <w:rFonts w:ascii="宋体" w:hAnsi="宋体"/>
          <w:highlight w:val="none"/>
        </w:rPr>
      </w:r>
      <w:r/>
    </w:p>
    <w:p>
      <w:pPr>
        <w:pStyle w:val="940"/>
        <w:ind w:left="0" w:firstLine="0"/>
        <w:pageBreakBefore w:val="0"/>
        <w:spacing w:line="360" w:lineRule="auto"/>
        <w:rPr>
          <w:rFonts w:ascii="宋体" w:hAnsi="宋体"/>
          <w:highlight w:val="none"/>
        </w:rPr>
      </w:pPr>
      <w:r>
        <w:rPr>
          <w:rFonts w:ascii="宋体" w:hAnsi="宋体"/>
          <w:highlight w:val="none"/>
        </w:rPr>
      </w:r>
      <w:r>
        <w:rPr>
          <w:rFonts w:ascii="宋体" w:hAnsi="宋体"/>
          <w:highlight w:val="none"/>
        </w:rPr>
      </w:r>
      <w:r/>
    </w:p>
    <w:p>
      <w:pPr>
        <w:pStyle w:val="940"/>
        <w:ind w:left="0" w:firstLine="0"/>
        <w:pageBreakBefore w:val="0"/>
        <w:spacing w:line="360" w:lineRule="auto"/>
        <w:rPr>
          <w:rFonts w:ascii="宋体" w:hAnsi="宋体"/>
          <w:highlight w:val="none"/>
        </w:rPr>
      </w:pPr>
      <w:r>
        <w:rPr>
          <w:rFonts w:ascii="宋体" w:hAnsi="宋体"/>
          <w:szCs w:val="21"/>
          <w:highlight w:val="none"/>
        </w:rPr>
      </w:r>
      <w:r/>
    </w:p>
    <w:p>
      <w:pPr>
        <w:pStyle w:val="925"/>
        <w:ind w:firstLine="420"/>
        <w:pageBreakBefore w:val="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r>
      <w:r/>
    </w:p>
    <w:p>
      <w:pPr>
        <w:pStyle w:val="925"/>
        <w:spacing w:line="0" w:lineRule="atLeast"/>
        <w:rPr>
          <w:rFonts w:ascii="宋体" w:hAnsi="宋体"/>
          <w:color w:val="000000"/>
          <w:sz w:val="24"/>
          <w:szCs w:val="24"/>
          <w:highlight w:val="none"/>
        </w:rPr>
      </w:pPr>
      <w:r>
        <w:rPr>
          <w:rFonts w:ascii="宋体" w:hAnsi="宋体"/>
          <w:color w:val="000000"/>
          <w:sz w:val="24"/>
          <w:szCs w:val="24"/>
          <w:highlight w:val="none"/>
        </w:rPr>
      </w:r>
      <w:r/>
    </w:p>
    <w:p>
      <w:pPr>
        <w:pStyle w:val="925"/>
        <w:jc w:val="center"/>
        <w:keepNext/>
        <w:rPr>
          <w:rFonts w:hint="eastAsia" w:ascii="黑体" w:eastAsia="黑体"/>
          <w:bCs/>
          <w:color w:val="000000"/>
          <w:sz w:val="44"/>
          <w:szCs w:val="28"/>
          <w:highlight w:val="none"/>
        </w:rPr>
        <w:outlineLvl w:val="0"/>
      </w:pPr>
      <w:r/>
      <w:bookmarkStart w:id="319" w:name="_Toc29666"/>
      <w:r/>
      <w:bookmarkStart w:id="320" w:name="_Toc120614281"/>
      <w:r/>
      <w:bookmarkStart w:id="321" w:name="_Toc21439"/>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bookmarkEnd w:id="319"/>
      <w:r/>
      <w:bookmarkEnd w:id="321"/>
      <w:r>
        <w:rPr>
          <w:rFonts w:hint="eastAsia" w:ascii="黑体" w:eastAsia="黑体"/>
          <w:bCs/>
          <w:color w:val="000000"/>
          <w:sz w:val="44"/>
          <w:szCs w:val="28"/>
          <w:highlight w:val="none"/>
        </w:rPr>
      </w:r>
      <w:r/>
    </w:p>
    <w:p>
      <w:pPr>
        <w:pStyle w:val="925"/>
        <w:keepLines w:val="0"/>
        <w:keepNext w:val="0"/>
        <w:pageBreakBefore w:val="0"/>
        <w:spacing w:line="360" w:lineRule="exact"/>
        <w:widowControl w:val="off"/>
        <w:rPr>
          <w:rFonts w:hint="eastAsia"/>
          <w:b/>
          <w:bCs/>
          <w:color w:val="000000"/>
          <w:szCs w:val="21"/>
          <w:highlight w:val="none"/>
        </w:rPr>
      </w:pPr>
      <w:r>
        <w:rPr>
          <w:rFonts w:hint="eastAsia"/>
          <w:b/>
          <w:bCs/>
          <w:color w:val="000000"/>
          <w:szCs w:val="21"/>
          <w:highlight w:val="none"/>
        </w:rPr>
        <w:t xml:space="preserve">一、评标方法</w:t>
      </w:r>
      <w:r>
        <w:rPr>
          <w:rFonts w:hint="eastAsia"/>
          <w:b/>
          <w:bCs/>
          <w:color w:val="000000"/>
          <w:szCs w:val="21"/>
          <w:highlight w:val="none"/>
        </w:rPr>
      </w:r>
      <w:r/>
    </w:p>
    <w:p>
      <w:pPr>
        <w:pStyle w:val="925"/>
        <w:ind w:firstLine="420"/>
        <w:jc w:val="left"/>
        <w:keepLines w:val="0"/>
        <w:keepNext w:val="0"/>
        <w:pageBreakBefore w:val="0"/>
        <w:spacing w:line="360" w:lineRule="exact"/>
        <w:widowControl w:val="off"/>
        <w:rPr>
          <w:rFonts w:hint="eastAsia" w:ascii="宋体" w:hAnsi="宋体" w:eastAsia="宋体" w:cs="宋体"/>
          <w:bCs/>
          <w:color w:val="000000"/>
          <w:spacing w:val="0"/>
          <w:sz w:val="21"/>
          <w:szCs w:val="21"/>
          <w:highlight w:val="none"/>
        </w:rPr>
      </w:pPr>
      <w:r>
        <w:rPr>
          <w:rFonts w:hint="eastAsia" w:ascii="宋体" w:hAnsi="宋体" w:eastAsia="宋体" w:cs="宋体"/>
          <w:color w:val="000000"/>
          <w:spacing w:val="0"/>
          <w:sz w:val="21"/>
          <w:szCs w:val="21"/>
          <w:highlight w:val="none"/>
          <w:lang w:val="en-US" w:eastAsia="zh-CN"/>
        </w:rPr>
        <w:t xml:space="preserve">本项目</w:t>
      </w:r>
      <w:r>
        <w:rPr>
          <w:rFonts w:hint="eastAsia" w:ascii="宋体" w:hAnsi="宋体" w:eastAsia="宋体" w:cs="宋体"/>
          <w:color w:val="000000"/>
          <w:spacing w:val="0"/>
          <w:sz w:val="21"/>
          <w:szCs w:val="21"/>
          <w:highlight w:val="none"/>
        </w:rPr>
        <w:t xml:space="preserve">采用综合评分法的，</w:t>
      </w:r>
      <w:r>
        <w:rPr>
          <w:rFonts w:hint="eastAsia" w:ascii="宋体" w:hAnsi="宋体" w:eastAsia="宋体" w:cs="宋体"/>
          <w:color w:val="000000"/>
          <w:spacing w:val="0"/>
          <w:sz w:val="21"/>
          <w:szCs w:val="21"/>
          <w:highlight w:val="none"/>
          <w:lang w:val="en-US" w:eastAsia="zh-CN"/>
        </w:rPr>
        <w:t xml:space="preserve">即</w:t>
      </w:r>
      <w:r>
        <w:rPr>
          <w:rFonts w:hint="eastAsia" w:ascii="宋体" w:hAnsi="宋体" w:eastAsia="宋体" w:cs="宋体"/>
          <w:color w:val="000000"/>
          <w:spacing w:val="0"/>
          <w:sz w:val="21"/>
          <w:szCs w:val="21"/>
          <w:highlight w:val="none"/>
        </w:rPr>
        <w:t xml:space="preserve">投标文件满足招标文件全部实质性要求，</w:t>
      </w:r>
      <w:r>
        <w:rPr>
          <w:rFonts w:hint="eastAsia" w:ascii="宋体" w:hAnsi="宋体" w:eastAsia="宋体" w:cs="宋体"/>
          <w:color w:val="000000"/>
          <w:spacing w:val="0"/>
          <w:sz w:val="21"/>
          <w:szCs w:val="21"/>
          <w:highlight w:val="none"/>
          <w:lang w:val="en-US" w:eastAsia="zh-CN"/>
        </w:rPr>
        <w:t xml:space="preserve">评标委员会根据招标文件规定的评标方法与评标标准</w:t>
      </w:r>
      <w:r>
        <w:rPr>
          <w:rFonts w:hint="eastAsia" w:ascii="宋体" w:hAnsi="宋体" w:eastAsia="宋体" w:cs="宋体"/>
          <w:color w:val="000000"/>
          <w:spacing w:val="0"/>
          <w:sz w:val="21"/>
          <w:szCs w:val="21"/>
          <w:highlight w:val="none"/>
        </w:rPr>
        <w:t xml:space="preserve">评审后</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按照评审因素的量化指标评审</w:t>
      </w:r>
      <w:r>
        <w:rPr>
          <w:rFonts w:hint="eastAsia" w:ascii="宋体" w:hAnsi="宋体" w:eastAsia="宋体" w:cs="宋体"/>
          <w:color w:val="000000"/>
          <w:spacing w:val="0"/>
          <w:sz w:val="21"/>
          <w:szCs w:val="21"/>
          <w:highlight w:val="none"/>
          <w:lang w:val="en-US" w:eastAsia="zh-CN"/>
        </w:rPr>
        <w:t xml:space="preserve">综合后，根据综合评审</w:t>
      </w:r>
      <w:r>
        <w:rPr>
          <w:rFonts w:hint="eastAsia" w:ascii="宋体" w:hAnsi="宋体" w:eastAsia="宋体" w:cs="宋体"/>
          <w:color w:val="000000"/>
          <w:spacing w:val="0"/>
          <w:sz w:val="21"/>
          <w:szCs w:val="21"/>
          <w:highlight w:val="none"/>
        </w:rPr>
        <w:t xml:space="preserve">得分由高到低顺序</w:t>
      </w:r>
      <w:r>
        <w:rPr>
          <w:rFonts w:hint="eastAsia" w:ascii="宋体" w:hAnsi="宋体" w:eastAsia="宋体" w:cs="宋体"/>
          <w:color w:val="000000"/>
          <w:spacing w:val="0"/>
          <w:sz w:val="21"/>
          <w:szCs w:val="21"/>
          <w:highlight w:val="none"/>
          <w:lang w:val="en-US" w:eastAsia="zh-CN"/>
        </w:rPr>
        <w:t xml:space="preserve">向采购人推荐不超过3名中标候选人</w:t>
      </w:r>
      <w:r>
        <w:rPr>
          <w:rFonts w:hint="eastAsia" w:ascii="宋体" w:hAnsi="宋体" w:eastAsia="宋体" w:cs="宋体"/>
          <w:color w:val="000000"/>
          <w:spacing w:val="0"/>
          <w:sz w:val="21"/>
          <w:szCs w:val="21"/>
          <w:highlight w:val="none"/>
        </w:rPr>
        <w:t xml:space="preserve">。得分相同的，按投标报价由低到高顺序排列。得分且投标报价相同</w:t>
      </w:r>
      <w:r>
        <w:rPr>
          <w:rFonts w:hint="eastAsia" w:ascii="宋体" w:hAnsi="宋体" w:eastAsia="宋体" w:cs="宋体"/>
          <w:color w:val="000000"/>
          <w:spacing w:val="0"/>
          <w:sz w:val="21"/>
          <w:szCs w:val="21"/>
          <w:highlight w:val="none"/>
          <w:lang w:val="en-US" w:eastAsia="zh-CN"/>
        </w:rPr>
        <w:t xml:space="preserve">时，</w:t>
      </w:r>
      <w:r>
        <w:rPr>
          <w:rFonts w:hint="eastAsia" w:ascii="宋体" w:hAnsi="宋体" w:eastAsia="宋体" w:cs="宋体"/>
          <w:bCs/>
          <w:color w:val="000000"/>
          <w:spacing w:val="0"/>
          <w:sz w:val="21"/>
          <w:szCs w:val="21"/>
          <w:highlight w:val="none"/>
        </w:rPr>
        <w:t xml:space="preserve">由采购人确定。</w:t>
      </w:r>
      <w:r>
        <w:rPr>
          <w:rFonts w:hint="eastAsia" w:ascii="宋体" w:hAnsi="宋体" w:eastAsia="宋体" w:cs="宋体"/>
          <w:bCs/>
          <w:color w:val="000000"/>
          <w:spacing w:val="0"/>
          <w:sz w:val="21"/>
          <w:szCs w:val="21"/>
          <w:highlight w:val="none"/>
        </w:rPr>
      </w:r>
      <w:r/>
    </w:p>
    <w:p>
      <w:pPr>
        <w:pStyle w:val="1013"/>
        <w:ind w:left="0" w:firstLine="0"/>
        <w:jc w:val="both"/>
        <w:keepLines w:val="0"/>
        <w:keepNext w:val="0"/>
        <w:pageBreakBefore w:val="0"/>
        <w:spacing w:before="0" w:after="0" w:line="360" w:lineRule="exact"/>
        <w:widowControl w:val="off"/>
        <w:rPr>
          <w:rFonts w:hint="eastAsia" w:ascii="宋体" w:hAnsi="宋体"/>
          <w:b/>
          <w:bCs/>
          <w:sz w:val="21"/>
          <w:szCs w:val="21"/>
          <w:highlight w:val="none"/>
        </w:rPr>
      </w:pPr>
      <w:r>
        <w:rPr>
          <w:rFonts w:hint="eastAsia" w:ascii="宋体" w:hAnsi="宋体"/>
          <w:b/>
          <w:bCs/>
          <w:sz w:val="21"/>
          <w:szCs w:val="21"/>
          <w:highlight w:val="none"/>
        </w:rPr>
        <w:t xml:space="preserve">二、政府采购政策功能落实</w:t>
      </w:r>
      <w:r>
        <w:rPr>
          <w:rFonts w:hint="eastAsia" w:ascii="宋体" w:hAnsi="宋体"/>
          <w:b/>
          <w:bCs/>
          <w:sz w:val="21"/>
          <w:szCs w:val="21"/>
          <w:highlight w:val="none"/>
        </w:rPr>
      </w:r>
      <w:r/>
    </w:p>
    <w:p>
      <w:pPr>
        <w:pStyle w:val="1013"/>
        <w:ind w:firstLine="420"/>
        <w:jc w:val="both"/>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pacing w:val="0"/>
          <w:sz w:val="21"/>
          <w:szCs w:val="21"/>
          <w:highlight w:val="none"/>
          <w:lang w:val="en-US" w:eastAsia="zh-CN" w:bidi="ar-SA"/>
        </w:rPr>
      </w:r>
      <w:r/>
    </w:p>
    <w:p>
      <w:pPr>
        <w:pStyle w:val="1013"/>
        <w:ind w:firstLine="420"/>
        <w:jc w:val="both"/>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1、小微型企业价格扣除</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（1）本项目对小型和微型企业产品给予10%的扣除价格，用扣除后的价格参与评审。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（2）供应商需按照采购文件的要求提供相应的《中小企业声明函》。</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2、残疾人福利单位价格扣除</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（1）本项目对残疾人福利性单位视同小型、微型企业，给予10%的价格扣除，用扣除后的价格参与评审。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（2）残疾人福利单位需按照采购文件的要求提供《残疾人福利性单位声明函》。</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（3）残疾人福利单位标准请参照《关于促进残疾人就业政府采购政策的通知》（财库2017〕141号）。</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3、监狱和戒毒企业价格扣除</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（1）本项目对监狱和戒毒企业（简称监狱企业）视同小型、微型企业，给予10%的价格扣除，用扣除后的价格参与评审。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（3）监狱企业标准请参照《关于政府采购支持监狱企业发展有关问题的通知》（财库[2014]68号）。</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4、残疾人福利单位、监狱企业属于小型、微型企业的，不重复享受政策。</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6、联合体各方均为小型、微型企业（残疾人福利单位、监狱企业）的，联合体享受10%价格扣除，用扣除后的价格参与评审。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8、采购本国产品的支持政策</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8.3 供应商需按照招标文件的要求提供《关于符合本国产品标准的声明函》（以下简称《声明函》），如不提供将不享受本国产品价格评审优惠。</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pacing w:val="0"/>
          <w:sz w:val="21"/>
          <w:szCs w:val="21"/>
          <w:highlight w:val="none"/>
          <w:lang w:val="en-US" w:eastAsia="zh-CN" w:bidi="ar-SA"/>
        </w:rPr>
      </w:r>
      <w:r/>
    </w:p>
    <w:p>
      <w:pPr>
        <w:pStyle w:val="1013"/>
        <w:ind w:firstLine="420"/>
        <w:keepLines w:val="0"/>
        <w:keepNext w:val="0"/>
        <w:pageBreakBefore w:val="0"/>
        <w:spacing w:before="0" w:after="0" w:line="360" w:lineRule="exact"/>
        <w:widowControl w:val="off"/>
        <w:rPr>
          <w:rFonts w:hint="eastAsia" w:ascii="宋体" w:hAnsi="宋体" w:cs="宋体"/>
          <w:sz w:val="21"/>
          <w:szCs w:val="21"/>
          <w:highlight w:val="none"/>
        </w:rPr>
      </w:pPr>
      <w:r>
        <w:rPr>
          <w:rFonts w:hint="eastAsia" w:ascii="宋体" w:hAnsi="宋体" w:eastAsia="宋体" w:cs="宋体"/>
          <w:color w:val="000000"/>
          <w:spacing w:val="0"/>
          <w:sz w:val="21"/>
          <w:szCs w:val="21"/>
          <w:highlight w:val="none"/>
          <w:lang w:val="en-US" w:eastAsia="zh-CN" w:bidi="ar-SA"/>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1"/>
          <w:szCs w:val="21"/>
          <w:highlight w:val="none"/>
        </w:rPr>
      </w:r>
      <w:r/>
    </w:p>
    <w:p>
      <w:pPr>
        <w:pStyle w:val="1013"/>
        <w:ind w:left="0" w:firstLine="0"/>
        <w:jc w:val="both"/>
        <w:keepLines w:val="0"/>
        <w:keepNext w:val="0"/>
        <w:pageBreakBefore w:val="0"/>
        <w:spacing w:before="0" w:after="0" w:line="360" w:lineRule="exact"/>
        <w:widowControl w:val="off"/>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三、</w:t>
      </w:r>
      <w:r>
        <w:rPr>
          <w:rFonts w:hint="eastAsia" w:ascii="宋体" w:hAnsi="宋体" w:eastAsia="宋体" w:cs="Times New Roman"/>
          <w:b/>
          <w:bCs/>
          <w:sz w:val="21"/>
          <w:szCs w:val="21"/>
          <w:highlight w:val="none"/>
        </w:rPr>
        <w:t xml:space="preserve">评标方法与评标标准</w:t>
      </w:r>
      <w:r>
        <w:rPr>
          <w:rFonts w:hint="eastAsia" w:ascii="宋体" w:hAnsi="宋体" w:eastAsia="宋体" w:cs="Times New Roman"/>
          <w:b/>
          <w:bCs/>
          <w:sz w:val="21"/>
          <w:szCs w:val="21"/>
          <w:highlight w:val="none"/>
        </w:rPr>
      </w:r>
      <w:r/>
    </w:p>
    <w:tbl>
      <w:tblPr>
        <w:tblW w:w="4997"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97"/>
        <w:gridCol w:w="1184"/>
        <w:gridCol w:w="5922"/>
        <w:gridCol w:w="634"/>
      </w:tblGrid>
      <w:tr>
        <w:trPr>
          <w:trHeight w:val="460"/>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序号</w:t>
            </w:r>
            <w:r>
              <w:rPr>
                <w:rFonts w:hint="eastAsia" w:ascii="宋体" w:hAnsi="宋体" w:eastAsia="宋体" w:cs="宋体"/>
                <w:b/>
                <w:color w:val="000000"/>
                <w:spacing w:val="0"/>
                <w:sz w:val="24"/>
                <w:szCs w:val="24"/>
                <w:highlight w:val="none"/>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评审因素</w:t>
            </w:r>
            <w:r>
              <w:rPr>
                <w:rFonts w:hint="eastAsia" w:ascii="宋体" w:hAnsi="宋体" w:eastAsia="宋体" w:cs="宋体"/>
                <w:b/>
                <w:color w:val="000000"/>
                <w:spacing w:val="0"/>
                <w:sz w:val="24"/>
                <w:szCs w:val="24"/>
                <w:highlight w:val="none"/>
              </w:rPr>
            </w:r>
            <w:r/>
          </w:p>
        </w:tc>
        <w:tc>
          <w:tcPr>
            <w:tcMar>
              <w:left w:w="15" w:type="dxa"/>
              <w:top w:w="15" w:type="dxa"/>
              <w:right w:w="15" w:type="dxa"/>
              <w:bottom w:w="0" w:type="dxa"/>
            </w:tcMar>
            <w:tcW w:w="3551"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评分标准说明</w:t>
            </w:r>
            <w:r>
              <w:rPr>
                <w:rFonts w:hint="eastAsia" w:ascii="宋体" w:hAnsi="宋体" w:eastAsia="宋体" w:cs="宋体"/>
                <w:b/>
                <w:color w:val="000000"/>
                <w:spacing w:val="0"/>
                <w:sz w:val="24"/>
                <w:szCs w:val="24"/>
                <w:highlight w:val="none"/>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分值</w:t>
            </w:r>
            <w:r>
              <w:rPr>
                <w:rFonts w:hint="eastAsia" w:ascii="宋体" w:hAnsi="宋体" w:eastAsia="宋体" w:cs="宋体"/>
                <w:b/>
                <w:color w:val="000000"/>
                <w:spacing w:val="0"/>
                <w:sz w:val="24"/>
                <w:szCs w:val="24"/>
                <w:highlight w:val="none"/>
              </w:rPr>
            </w:r>
            <w:r/>
          </w:p>
        </w:tc>
      </w:tr>
      <w:tr>
        <w:trPr>
          <w:trHeight w:val="464"/>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一</w:t>
            </w:r>
            <w:r>
              <w:rPr>
                <w:rFonts w:hint="eastAsia" w:ascii="宋体" w:hAnsi="宋体" w:eastAsia="宋体" w:cs="宋体"/>
                <w:b/>
                <w:color w:val="000000"/>
                <w:spacing w:val="0"/>
                <w:sz w:val="24"/>
                <w:szCs w:val="24"/>
                <w:highlight w:val="none"/>
              </w:rPr>
            </w:r>
            <w:r/>
          </w:p>
        </w:tc>
        <w:tc>
          <w:tcPr>
            <w:gridSpan w:val="2"/>
            <w:tcMar>
              <w:left w:w="15" w:type="dxa"/>
              <w:top w:w="15" w:type="dxa"/>
              <w:right w:w="15" w:type="dxa"/>
              <w:bottom w:w="0" w:type="dxa"/>
            </w:tcMar>
            <w:tcW w:w="7106"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投标报价部分</w:t>
            </w:r>
            <w:r>
              <w:rPr>
                <w:rFonts w:hint="eastAsia" w:ascii="宋体" w:hAnsi="宋体" w:eastAsia="宋体" w:cs="宋体"/>
                <w:b/>
                <w:color w:val="000000"/>
                <w:spacing w:val="0"/>
                <w:sz w:val="24"/>
                <w:szCs w:val="24"/>
                <w:highlight w:val="none"/>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lang w:val="en-US" w:eastAsia="zh-CN"/>
              </w:rPr>
            </w:pPr>
            <w:r>
              <w:rPr>
                <w:rFonts w:hint="eastAsia" w:ascii="宋体" w:hAnsi="宋体" w:eastAsia="宋体" w:cs="宋体"/>
                <w:b/>
                <w:color w:val="000000"/>
                <w:spacing w:val="0"/>
                <w:sz w:val="24"/>
                <w:szCs w:val="24"/>
                <w:highlight w:val="none"/>
                <w:lang w:val="en-US" w:eastAsia="zh-CN"/>
              </w:rPr>
              <w:t xml:space="preserve">30分</w:t>
            </w:r>
            <w:r>
              <w:rPr>
                <w:rFonts w:hint="eastAsia" w:ascii="宋体" w:hAnsi="宋体" w:eastAsia="宋体" w:cs="宋体"/>
                <w:b/>
                <w:color w:val="000000"/>
                <w:spacing w:val="0"/>
                <w:sz w:val="24"/>
                <w:szCs w:val="24"/>
                <w:highlight w:val="none"/>
                <w:lang w:val="en-US" w:eastAsia="zh-CN"/>
              </w:rPr>
            </w:r>
            <w:r/>
          </w:p>
        </w:tc>
      </w:tr>
      <w:tr>
        <w:trPr>
          <w:trHeight w:val="1111"/>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1</w:t>
            </w:r>
            <w:r>
              <w:rPr>
                <w:rFonts w:hint="eastAsia" w:ascii="宋体" w:hAnsi="宋体" w:eastAsia="宋体" w:cs="宋体"/>
                <w:color w:val="000000"/>
                <w:spacing w:val="0"/>
                <w:szCs w:val="21"/>
                <w:highlight w:val="none"/>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投标报价</w:t>
            </w:r>
            <w:r>
              <w:rPr>
                <w:rFonts w:hint="eastAsia" w:ascii="宋体" w:hAnsi="宋体" w:eastAsia="宋体" w:cs="宋体"/>
                <w:color w:val="000000"/>
                <w:spacing w:val="0"/>
                <w:szCs w:val="21"/>
                <w:highlight w:val="none"/>
              </w:rPr>
            </w:r>
            <w:r/>
          </w:p>
        </w:tc>
        <w:tc>
          <w:tcPr>
            <w:tcMar>
              <w:left w:w="15" w:type="dxa"/>
              <w:top w:w="15" w:type="dxa"/>
              <w:right w:w="15" w:type="dxa"/>
              <w:bottom w:w="0" w:type="dxa"/>
            </w:tcMar>
            <w:tcW w:w="3551" w:type="dxa"/>
            <w:vAlign w:val="center"/>
            <w:textDirection w:val="lrTb"/>
            <w:noWrap w:val="false"/>
          </w:tcPr>
          <w:p>
            <w:pPr>
              <w:pStyle w:val="925"/>
              <w:keepLines w:val="0"/>
              <w:keepNext w:val="0"/>
              <w:pageBreakBefore w:val="0"/>
              <w:spacing w:line="32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在所有有效投标报价中满足招标文件要求，且投标价格最低的投标报价为评标基准价，其价格分为</w:t>
            </w:r>
            <w:r>
              <w:rPr>
                <w:rFonts w:hint="eastAsia" w:ascii="宋体" w:hAnsi="宋体" w:eastAsia="宋体" w:cs="宋体"/>
                <w:color w:val="000000"/>
                <w:spacing w:val="0"/>
                <w:szCs w:val="21"/>
                <w:highlight w:val="none"/>
                <w:lang w:val="en-US" w:eastAsia="zh-CN"/>
              </w:rPr>
              <w:t xml:space="preserve">30</w:t>
            </w:r>
            <w:r>
              <w:rPr>
                <w:rFonts w:hint="eastAsia" w:ascii="宋体" w:hAnsi="宋体" w:eastAsia="宋体" w:cs="宋体"/>
                <w:color w:val="000000"/>
                <w:spacing w:val="0"/>
                <w:szCs w:val="21"/>
                <w:highlight w:val="none"/>
              </w:rPr>
              <w:t xml:space="preserve">分，其他</w:t>
            </w:r>
            <w:r>
              <w:rPr>
                <w:rFonts w:hint="eastAsia" w:ascii="宋体" w:hAnsi="宋体" w:eastAsia="宋体" w:cs="宋体"/>
                <w:color w:val="000000"/>
                <w:spacing w:val="0"/>
                <w:szCs w:val="21"/>
                <w:highlight w:val="none"/>
                <w:lang w:val="en-US" w:eastAsia="zh-CN"/>
              </w:rPr>
              <w:t xml:space="preserve">投标人</w:t>
            </w:r>
            <w:r>
              <w:rPr>
                <w:rFonts w:hint="eastAsia" w:ascii="宋体" w:hAnsi="宋体" w:eastAsia="宋体" w:cs="宋体"/>
                <w:color w:val="000000"/>
                <w:spacing w:val="0"/>
                <w:szCs w:val="21"/>
                <w:highlight w:val="none"/>
              </w:rPr>
              <w:t xml:space="preserve">的价格分按照下列公式计算（计算结果四舍五入保留两位小数）</w:t>
            </w:r>
            <w:r>
              <w:rPr>
                <w:rFonts w:hint="eastAsia" w:ascii="宋体" w:hAnsi="宋体" w:eastAsia="宋体" w:cs="宋体"/>
                <w:color w:val="000000"/>
                <w:spacing w:val="0"/>
                <w:szCs w:val="21"/>
                <w:highlight w:val="none"/>
              </w:rPr>
            </w:r>
            <w:r/>
          </w:p>
          <w:p>
            <w:pPr>
              <w:pStyle w:val="925"/>
              <w:keepLines w:val="0"/>
              <w:keepNext w:val="0"/>
              <w:pageBreakBefore w:val="0"/>
              <w:spacing w:line="320" w:lineRule="exact"/>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rPr>
              <w:t xml:space="preserve">投标报价得分＝（评标基准价/投标报价）×</w:t>
            </w:r>
            <w:r>
              <w:rPr>
                <w:rFonts w:hint="eastAsia" w:ascii="宋体" w:hAnsi="宋体" w:eastAsia="宋体" w:cs="宋体"/>
                <w:color w:val="000000"/>
                <w:spacing w:val="0"/>
                <w:szCs w:val="21"/>
                <w:highlight w:val="none"/>
                <w:lang w:val="en-US" w:eastAsia="zh-CN"/>
              </w:rPr>
              <w:t xml:space="preserve">30</w:t>
            </w:r>
            <w:r>
              <w:rPr>
                <w:rFonts w:hint="eastAsia" w:ascii="宋体" w:hAnsi="宋体" w:eastAsia="宋体" w:cs="宋体"/>
                <w:color w:val="000000"/>
                <w:spacing w:val="0"/>
                <w:szCs w:val="21"/>
                <w:highlight w:val="none"/>
              </w:rPr>
              <w:t xml:space="preserve">％×100</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Cs w:val="21"/>
                <w:highlight w:val="none"/>
                <w:lang w:val="en-US" w:eastAsia="zh-CN"/>
              </w:rPr>
              <w:t xml:space="preserve">30分</w:t>
            </w:r>
            <w:r>
              <w:rPr>
                <w:rFonts w:hint="eastAsia" w:ascii="宋体" w:hAnsi="宋体" w:eastAsia="宋体" w:cs="宋体"/>
                <w:color w:val="000000"/>
                <w:spacing w:val="0"/>
                <w:sz w:val="24"/>
                <w:szCs w:val="24"/>
                <w:highlight w:val="none"/>
                <w:lang w:val="en-US" w:eastAsia="zh-CN"/>
              </w:rPr>
            </w:r>
            <w:r/>
          </w:p>
        </w:tc>
      </w:tr>
      <w:tr>
        <w:trPr>
          <w:trHeight w:val="509"/>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Cs w:val="21"/>
                <w:highlight w:val="none"/>
              </w:rPr>
            </w:pPr>
            <w:r>
              <w:rPr>
                <w:rFonts w:hint="eastAsia" w:ascii="宋体" w:hAnsi="宋体" w:eastAsia="宋体" w:cs="宋体"/>
                <w:b/>
                <w:color w:val="000000"/>
                <w:spacing w:val="0"/>
                <w:szCs w:val="21"/>
                <w:highlight w:val="none"/>
              </w:rPr>
              <w:t xml:space="preserve">二</w:t>
            </w:r>
            <w:r>
              <w:rPr>
                <w:rFonts w:hint="eastAsia" w:ascii="宋体" w:hAnsi="宋体" w:eastAsia="宋体" w:cs="宋体"/>
                <w:b/>
                <w:color w:val="000000"/>
                <w:spacing w:val="0"/>
                <w:szCs w:val="21"/>
                <w:highlight w:val="none"/>
              </w:rPr>
            </w:r>
            <w:r/>
          </w:p>
        </w:tc>
        <w:tc>
          <w:tcPr>
            <w:gridSpan w:val="2"/>
            <w:tcMar>
              <w:left w:w="15" w:type="dxa"/>
              <w:top w:w="15" w:type="dxa"/>
              <w:right w:w="15" w:type="dxa"/>
              <w:bottom w:w="0" w:type="dxa"/>
            </w:tcMar>
            <w:tcW w:w="7106"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Cs w:val="21"/>
                <w:highlight w:val="none"/>
              </w:rPr>
            </w:pPr>
            <w:r>
              <w:rPr>
                <w:rFonts w:hint="eastAsia" w:ascii="宋体" w:hAnsi="宋体" w:eastAsia="宋体" w:cs="宋体"/>
                <w:b/>
                <w:color w:val="000000"/>
                <w:spacing w:val="0"/>
                <w:szCs w:val="21"/>
                <w:highlight w:val="none"/>
              </w:rPr>
              <w:t xml:space="preserve">商务部分</w:t>
            </w:r>
            <w:r>
              <w:rPr>
                <w:rFonts w:hint="eastAsia" w:ascii="宋体" w:hAnsi="宋体" w:eastAsia="宋体" w:cs="宋体"/>
                <w:b/>
                <w:color w:val="000000"/>
                <w:spacing w:val="0"/>
                <w:szCs w:val="21"/>
                <w:highlight w:val="none"/>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4"/>
                <w:highlight w:val="none"/>
                <w:lang w:val="en-US" w:eastAsia="zh-CN"/>
              </w:rPr>
            </w:pPr>
            <w:r>
              <w:rPr>
                <w:rFonts w:hint="eastAsia" w:ascii="宋体" w:hAnsi="宋体" w:eastAsia="宋体" w:cs="宋体"/>
                <w:b/>
                <w:color w:val="000000"/>
                <w:spacing w:val="0"/>
                <w:sz w:val="24"/>
                <w:szCs w:val="24"/>
                <w:highlight w:val="none"/>
                <w:lang w:val="en-US" w:eastAsia="zh-CN"/>
              </w:rPr>
              <w:t xml:space="preserve">21分</w:t>
            </w:r>
            <w:r>
              <w:rPr>
                <w:rFonts w:hint="eastAsia" w:ascii="宋体" w:hAnsi="宋体" w:eastAsia="宋体" w:cs="宋体"/>
                <w:b/>
                <w:color w:val="000000"/>
                <w:spacing w:val="0"/>
                <w:sz w:val="24"/>
                <w:szCs w:val="24"/>
                <w:highlight w:val="none"/>
                <w:lang w:val="en-US" w:eastAsia="zh-CN"/>
              </w:rPr>
            </w:r>
            <w:r/>
          </w:p>
        </w:tc>
      </w:tr>
      <w:tr>
        <w:trPr>
          <w:trHeight w:val="537"/>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1</w:t>
            </w:r>
            <w:r>
              <w:rPr>
                <w:rFonts w:hint="eastAsia" w:ascii="宋体" w:hAnsi="宋体" w:eastAsia="宋体" w:cs="宋体"/>
                <w:color w:val="000000"/>
                <w:spacing w:val="0"/>
                <w:szCs w:val="21"/>
                <w:highlight w:val="none"/>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Cs/>
                <w:color w:val="000000"/>
                <w:spacing w:val="0"/>
                <w:sz w:val="21"/>
                <w:szCs w:val="21"/>
                <w:highlight w:val="none"/>
                <w:lang w:val="en-US" w:eastAsia="zh-CN" w:bidi="ar-SA"/>
              </w:rPr>
            </w:pPr>
            <w:r>
              <w:rPr>
                <w:rFonts w:hint="eastAsia" w:ascii="宋体" w:hAnsi="宋体" w:eastAsia="宋体" w:cs="宋体"/>
                <w:bCs/>
                <w:color w:val="000000"/>
                <w:spacing w:val="0"/>
                <w:sz w:val="21"/>
                <w:szCs w:val="21"/>
                <w:highlight w:val="none"/>
                <w:lang w:val="en-US" w:eastAsia="zh-CN" w:bidi="ar-SA"/>
              </w:rPr>
              <w:t xml:space="preserve">类似项目</w:t>
            </w:r>
            <w:r>
              <w:rPr>
                <w:rFonts w:hint="eastAsia" w:ascii="宋体" w:hAnsi="宋体" w:eastAsia="宋体" w:cs="宋体"/>
                <w:bCs/>
                <w:color w:val="000000"/>
                <w:spacing w:val="0"/>
                <w:sz w:val="21"/>
                <w:szCs w:val="21"/>
                <w:highlight w:val="none"/>
                <w:lang w:val="en-US" w:eastAsia="zh-CN" w:bidi="ar-SA"/>
              </w:rPr>
            </w:r>
            <w:r/>
          </w:p>
          <w:p>
            <w:pPr>
              <w:pStyle w:val="925"/>
              <w:jc w:val="center"/>
              <w:keepLines w:val="0"/>
              <w:keepNext w:val="0"/>
              <w:pageBreakBefore w:val="0"/>
              <w:spacing w:line="320" w:lineRule="exact"/>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bCs/>
                <w:color w:val="000000"/>
                <w:spacing w:val="0"/>
                <w:sz w:val="21"/>
                <w:szCs w:val="21"/>
                <w:highlight w:val="none"/>
                <w:lang w:val="en-US" w:eastAsia="zh-CN" w:bidi="ar-SA"/>
              </w:rPr>
              <w:t xml:space="preserve">业绩</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551" w:type="dxa"/>
            <w:vAlign w:val="center"/>
            <w:textDirection w:val="lrTb"/>
            <w:noWrap w:val="false"/>
          </w:tcPr>
          <w:p>
            <w:pPr>
              <w:pStyle w:val="925"/>
              <w:jc w:val="left"/>
              <w:keepLines w:val="0"/>
              <w:keepNext w:val="0"/>
              <w:pageBreakBefore w:val="0"/>
              <w:spacing w:line="320" w:lineRule="exact"/>
              <w:widowControl/>
              <w:rPr>
                <w:rFonts w:hint="eastAsia" w:ascii="宋体" w:hAnsi="宋体" w:eastAsia="宋体" w:cs="宋体"/>
                <w:b w:val="0"/>
                <w:bCs/>
                <w:sz w:val="20"/>
                <w:szCs w:val="20"/>
                <w:highlight w:val="none"/>
                <w:u w:val="none"/>
              </w:rPr>
            </w:pPr>
            <w:r>
              <w:rPr>
                <w:rFonts w:hint="eastAsia" w:ascii="宋体" w:hAnsi="宋体" w:eastAsia="宋体" w:cs="宋体"/>
                <w:b w:val="0"/>
                <w:bCs/>
                <w:sz w:val="20"/>
                <w:szCs w:val="20"/>
                <w:highlight w:val="none"/>
                <w:u w:val="none"/>
              </w:rPr>
              <w:t xml:space="preserve">投标人自20</w:t>
            </w:r>
            <w:r>
              <w:rPr>
                <w:rFonts w:hint="eastAsia" w:ascii="宋体" w:hAnsi="宋体" w:eastAsia="宋体" w:cs="宋体"/>
                <w:b w:val="0"/>
                <w:bCs/>
                <w:sz w:val="20"/>
                <w:szCs w:val="20"/>
                <w:highlight w:val="none"/>
                <w:u w:val="none"/>
                <w:lang w:val="en-US" w:eastAsia="zh-CN"/>
              </w:rPr>
              <w:t xml:space="preserve">21</w:t>
            </w:r>
            <w:r>
              <w:rPr>
                <w:rFonts w:hint="eastAsia" w:ascii="宋体" w:hAnsi="宋体" w:eastAsia="宋体" w:cs="宋体"/>
                <w:b w:val="0"/>
                <w:bCs/>
                <w:sz w:val="20"/>
                <w:szCs w:val="20"/>
                <w:highlight w:val="none"/>
                <w:u w:val="none"/>
              </w:rPr>
              <w:t xml:space="preserve">年1月1日</w:t>
            </w:r>
            <w:r>
              <w:rPr>
                <w:rFonts w:hint="eastAsia" w:ascii="宋体" w:hAnsi="宋体" w:cs="宋体"/>
                <w:b w:val="0"/>
                <w:bCs/>
                <w:sz w:val="20"/>
                <w:szCs w:val="20"/>
                <w:highlight w:val="none"/>
                <w:u w:val="none"/>
                <w:lang w:eastAsia="zh-CN"/>
              </w:rPr>
              <w:t xml:space="preserve">（</w:t>
            </w:r>
            <w:r>
              <w:rPr>
                <w:rFonts w:hint="eastAsia" w:ascii="宋体" w:hAnsi="宋体" w:cs="宋体"/>
                <w:b w:val="0"/>
                <w:bCs/>
                <w:sz w:val="20"/>
                <w:szCs w:val="20"/>
                <w:highlight w:val="none"/>
                <w:u w:val="none"/>
                <w:lang w:val="en-US" w:eastAsia="zh-CN"/>
              </w:rPr>
              <w:t xml:space="preserve">时间以合同签订时间为准</w:t>
            </w:r>
            <w:r>
              <w:rPr>
                <w:rFonts w:hint="eastAsia" w:ascii="宋体" w:hAnsi="宋体" w:cs="宋体"/>
                <w:b w:val="0"/>
                <w:bCs/>
                <w:sz w:val="20"/>
                <w:szCs w:val="20"/>
                <w:highlight w:val="none"/>
                <w:u w:val="none"/>
                <w:lang w:eastAsia="zh-CN"/>
              </w:rPr>
              <w:t xml:space="preserve">）</w:t>
            </w:r>
            <w:r>
              <w:rPr>
                <w:rFonts w:hint="eastAsia" w:ascii="宋体" w:hAnsi="宋体" w:eastAsia="宋体" w:cs="宋体"/>
                <w:b w:val="0"/>
                <w:bCs/>
                <w:sz w:val="20"/>
                <w:szCs w:val="20"/>
                <w:highlight w:val="none"/>
                <w:u w:val="none"/>
              </w:rPr>
              <w:t xml:space="preserve">起至今承担过与本项目类似成功案例的</w:t>
            </w:r>
            <w:r>
              <w:rPr>
                <w:rFonts w:hint="eastAsia" w:ascii="宋体" w:hAnsi="宋体" w:eastAsia="宋体" w:cs="宋体"/>
                <w:b w:val="0"/>
                <w:bCs/>
                <w:sz w:val="20"/>
                <w:szCs w:val="20"/>
                <w:highlight w:val="none"/>
                <w:u w:val="none"/>
                <w:lang w:eastAsia="zh-CN"/>
              </w:rPr>
              <w:t xml:space="preserve">（</w:t>
            </w:r>
            <w:r>
              <w:rPr>
                <w:rFonts w:hint="eastAsia" w:ascii="宋体" w:hAnsi="宋体" w:cs="宋体"/>
                <w:b w:val="0"/>
                <w:bCs/>
                <w:sz w:val="20"/>
                <w:szCs w:val="20"/>
                <w:highlight w:val="none"/>
                <w:u w:val="none"/>
                <w:lang w:val="en-US" w:eastAsia="zh-CN"/>
              </w:rPr>
              <w:t xml:space="preserve">合同内容</w:t>
            </w:r>
            <w:r>
              <w:rPr>
                <w:rFonts w:hint="eastAsia" w:ascii="宋体" w:hAnsi="宋体" w:eastAsia="宋体" w:cs="宋体"/>
                <w:b w:val="0"/>
                <w:bCs/>
                <w:sz w:val="20"/>
                <w:szCs w:val="20"/>
                <w:highlight w:val="none"/>
                <w:u w:val="none"/>
                <w:lang w:val="en-US" w:eastAsia="zh-CN"/>
              </w:rPr>
              <w:t xml:space="preserve">中至少包含</w:t>
            </w:r>
            <w:r>
              <w:rPr>
                <w:rFonts w:hint="eastAsia" w:ascii="宋体" w:hAnsi="宋体" w:eastAsia="宋体" w:cs="宋体"/>
                <w:b w:val="0"/>
                <w:bCs/>
                <w:sz w:val="20"/>
                <w:szCs w:val="20"/>
                <w:highlight w:val="none"/>
                <w:u w:val="none"/>
                <w:lang w:eastAsia="zh-CN"/>
              </w:rPr>
              <w:t xml:space="preserve">900W环保车辆人脸卡口</w:t>
            </w:r>
            <w:r>
              <w:rPr>
                <w:rFonts w:hint="eastAsia" w:ascii="宋体" w:hAnsi="宋体" w:cs="宋体"/>
                <w:b w:val="0"/>
                <w:bCs/>
                <w:sz w:val="20"/>
                <w:szCs w:val="20"/>
                <w:highlight w:val="none"/>
                <w:u w:val="none"/>
                <w:lang w:val="en-US" w:eastAsia="zh-CN"/>
              </w:rPr>
              <w:t xml:space="preserve">和</w:t>
            </w:r>
            <w:r>
              <w:rPr>
                <w:rFonts w:hint="eastAsia" w:ascii="宋体" w:hAnsi="宋体" w:eastAsia="宋体" w:cs="宋体"/>
                <w:b w:val="0"/>
                <w:bCs/>
                <w:sz w:val="20"/>
                <w:szCs w:val="20"/>
                <w:highlight w:val="none"/>
                <w:u w:val="none"/>
                <w:lang w:eastAsia="zh-CN"/>
              </w:rPr>
              <w:t xml:space="preserve">全景监控球机</w:t>
            </w:r>
            <w:r>
              <w:rPr>
                <w:rFonts w:hint="eastAsia" w:ascii="宋体" w:hAnsi="宋体" w:cs="宋体"/>
                <w:b w:val="0"/>
                <w:bCs/>
                <w:sz w:val="20"/>
                <w:szCs w:val="20"/>
                <w:highlight w:val="none"/>
                <w:u w:val="none"/>
                <w:lang w:val="en-US" w:eastAsia="zh-CN"/>
              </w:rPr>
              <w:t xml:space="preserve">和</w:t>
            </w:r>
            <w:r>
              <w:rPr>
                <w:rFonts w:hint="eastAsia" w:ascii="宋体" w:hAnsi="宋体" w:eastAsia="宋体" w:cs="宋体"/>
                <w:b w:val="0"/>
                <w:bCs/>
                <w:sz w:val="20"/>
                <w:szCs w:val="20"/>
                <w:highlight w:val="none"/>
                <w:u w:val="none"/>
                <w:lang w:eastAsia="zh-CN"/>
              </w:rPr>
              <w:t xml:space="preserve">路口监控终端机）</w:t>
            </w:r>
            <w:r>
              <w:rPr>
                <w:rFonts w:hint="eastAsia" w:ascii="宋体" w:hAnsi="宋体" w:eastAsia="宋体" w:cs="宋体"/>
                <w:b w:val="0"/>
                <w:bCs/>
                <w:sz w:val="20"/>
                <w:szCs w:val="20"/>
                <w:highlight w:val="none"/>
                <w:u w:val="none"/>
              </w:rPr>
              <w:t xml:space="preserve">，每个项目得1分，本项最高得3分；</w:t>
            </w:r>
            <w:r>
              <w:rPr>
                <w:rFonts w:hint="eastAsia" w:ascii="宋体" w:hAnsi="宋体" w:eastAsia="宋体" w:cs="宋体"/>
                <w:b w:val="0"/>
                <w:bCs/>
                <w:sz w:val="20"/>
                <w:szCs w:val="20"/>
                <w:highlight w:val="none"/>
                <w:u w:val="none"/>
              </w:rPr>
            </w:r>
            <w:r/>
          </w:p>
          <w:p>
            <w:pPr>
              <w:pStyle w:val="925"/>
              <w:jc w:val="left"/>
              <w:keepLines w:val="0"/>
              <w:keepNext w:val="0"/>
              <w:pageBreakBefore w:val="0"/>
              <w:spacing w:line="320" w:lineRule="exact"/>
              <w:rPr>
                <w:rFonts w:hint="eastAsia" w:ascii="宋体" w:hAnsi="宋体" w:eastAsia="宋体" w:cs="宋体"/>
                <w:color w:val="000000"/>
                <w:spacing w:val="0"/>
                <w:szCs w:val="21"/>
                <w:highlight w:val="none"/>
                <w:lang w:val="en-US" w:eastAsia="zh-CN"/>
              </w:rPr>
            </w:pPr>
            <w:r>
              <w:rPr>
                <w:rFonts w:hint="eastAsia" w:ascii="宋体" w:hAnsi="宋体" w:cs="宋体"/>
                <w:b/>
                <w:bCs w:val="0"/>
                <w:sz w:val="20"/>
                <w:szCs w:val="20"/>
                <w:highlight w:val="none"/>
                <w:u w:val="none"/>
                <w:lang w:val="en-US" w:eastAsia="zh-CN"/>
              </w:rPr>
              <w:t xml:space="preserve">注：</w:t>
            </w:r>
            <w:r>
              <w:rPr>
                <w:rFonts w:hint="eastAsia" w:ascii="宋体" w:hAnsi="宋体" w:eastAsia="宋体" w:cs="宋体"/>
                <w:b/>
                <w:bCs w:val="0"/>
                <w:sz w:val="20"/>
                <w:szCs w:val="20"/>
                <w:highlight w:val="none"/>
                <w:u w:val="none"/>
              </w:rPr>
              <w:t xml:space="preserve">须同时提供合同、中标通知书、验收报告复印件加盖公章</w:t>
            </w:r>
            <w:r>
              <w:rPr>
                <w:rFonts w:hint="eastAsia" w:ascii="宋体" w:hAnsi="宋体" w:cs="宋体"/>
                <w:b/>
                <w:bCs w:val="0"/>
                <w:sz w:val="20"/>
                <w:szCs w:val="20"/>
                <w:highlight w:val="none"/>
                <w:u w:val="none"/>
                <w:lang w:eastAsia="zh-CN"/>
              </w:rPr>
              <w:t xml:space="preserve">，</w:t>
            </w:r>
            <w:r>
              <w:rPr>
                <w:rFonts w:hint="eastAsia" w:ascii="宋体" w:hAnsi="宋体" w:cs="宋体"/>
                <w:b/>
                <w:bCs w:val="0"/>
                <w:sz w:val="20"/>
                <w:szCs w:val="20"/>
                <w:highlight w:val="none"/>
                <w:u w:val="none"/>
                <w:lang w:val="en-US" w:eastAsia="zh-CN"/>
              </w:rPr>
              <w:t xml:space="preserve">未按要求</w:t>
            </w:r>
            <w:r>
              <w:rPr>
                <w:rFonts w:hint="eastAsia" w:ascii="宋体" w:hAnsi="宋体" w:eastAsia="宋体" w:cs="宋体"/>
                <w:b/>
                <w:bCs w:val="0"/>
                <w:sz w:val="20"/>
                <w:szCs w:val="20"/>
                <w:highlight w:val="none"/>
              </w:rPr>
              <w:t xml:space="preserve">提供</w:t>
            </w:r>
            <w:r>
              <w:rPr>
                <w:rFonts w:hint="eastAsia" w:ascii="宋体" w:hAnsi="宋体" w:cs="宋体"/>
                <w:b/>
                <w:bCs w:val="0"/>
                <w:sz w:val="20"/>
                <w:szCs w:val="20"/>
                <w:highlight w:val="none"/>
                <w:lang w:val="en-US" w:eastAsia="zh-CN"/>
              </w:rPr>
              <w:t xml:space="preserve">或内容不全或无法完全证明的</w:t>
            </w:r>
            <w:r>
              <w:rPr>
                <w:rFonts w:hint="eastAsia" w:ascii="宋体" w:hAnsi="宋体" w:eastAsia="宋体" w:cs="宋体"/>
                <w:b/>
                <w:bCs w:val="0"/>
                <w:sz w:val="20"/>
                <w:szCs w:val="20"/>
                <w:highlight w:val="none"/>
              </w:rPr>
              <w:t xml:space="preserve">不得分。</w:t>
            </w:r>
            <w:r>
              <w:rPr>
                <w:rFonts w:hint="eastAsia" w:ascii="宋体" w:hAnsi="宋体"/>
                <w:b/>
                <w:color w:val="000000"/>
                <w:szCs w:val="21"/>
                <w:highlight w:val="none"/>
              </w:rPr>
              <w:t xml:space="preserve">如以联合体形式投标的，联合体任一方提供的业绩均予认可。</w:t>
            </w:r>
            <w:r>
              <w:rPr>
                <w:rFonts w:hint="eastAsia" w:ascii="宋体" w:hAnsi="宋体" w:eastAsia="宋体" w:cs="宋体"/>
                <w:color w:val="000000"/>
                <w:spacing w:val="0"/>
                <w:szCs w:val="21"/>
                <w:highlight w:val="none"/>
                <w:lang w:val="en-US" w:eastAsia="zh-CN"/>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3分</w:t>
            </w:r>
            <w:r>
              <w:rPr>
                <w:rFonts w:hint="eastAsia" w:ascii="宋体" w:hAnsi="宋体" w:eastAsia="宋体" w:cs="宋体"/>
                <w:color w:val="000000"/>
                <w:spacing w:val="0"/>
                <w:szCs w:val="21"/>
                <w:highlight w:val="none"/>
                <w:lang w:val="en-US" w:eastAsia="zh-CN"/>
              </w:rPr>
            </w:r>
            <w:r/>
          </w:p>
        </w:tc>
      </w:tr>
      <w:tr>
        <w:trPr>
          <w:trHeight w:val="271"/>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2</w:t>
            </w:r>
            <w:r>
              <w:rPr>
                <w:rFonts w:hint="eastAsia" w:ascii="宋体" w:hAnsi="宋体" w:eastAsia="宋体" w:cs="宋体"/>
                <w:color w:val="000000"/>
                <w:spacing w:val="0"/>
                <w:szCs w:val="21"/>
                <w:highlight w:val="none"/>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sz w:val="20"/>
                <w:szCs w:val="20"/>
                <w:highlight w:val="none"/>
              </w:rPr>
              <w:t xml:space="preserve">履约能力</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551" w:type="dxa"/>
            <w:vAlign w:val="center"/>
            <w:textDirection w:val="lrTb"/>
            <w:noWrap w:val="false"/>
          </w:tcPr>
          <w:p>
            <w:pPr>
              <w:pStyle w:val="925"/>
              <w:numPr>
                <w:ilvl w:val="0"/>
                <w:numId w:val="8"/>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投标人具有有效的ISO9001质量管理体系认证证书、ISO27001信息安全管理体系认证证书、ISO45001职业健康安全体系认证证书、ISO20000信息技术服务管理体系认证证书有1个得0.5分，本小项最高得2分。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bCs w:val="0"/>
                <w:sz w:val="20"/>
                <w:szCs w:val="20"/>
                <w:highlight w:val="none"/>
                <w:lang w:val="en-US" w:eastAsia="zh-CN"/>
              </w:rPr>
              <w:t xml:space="preserve">注：在投标文件中提供证书</w:t>
            </w:r>
            <w:r>
              <w:rPr>
                <w:rFonts w:hint="eastAsia" w:ascii="宋体" w:hAnsi="宋体" w:eastAsia="宋体" w:cs="宋体"/>
                <w:b/>
                <w:bCs w:val="0"/>
                <w:sz w:val="20"/>
                <w:szCs w:val="20"/>
                <w:highlight w:val="none"/>
                <w:u w:val="none"/>
              </w:rPr>
              <w:t xml:space="preserve">复印件</w:t>
            </w:r>
            <w:r>
              <w:rPr>
                <w:rFonts w:hint="eastAsia" w:ascii="宋体" w:hAnsi="宋体" w:cs="宋体"/>
                <w:b/>
                <w:bCs w:val="0"/>
                <w:sz w:val="20"/>
                <w:szCs w:val="20"/>
                <w:highlight w:val="none"/>
                <w:lang w:val="en-US" w:eastAsia="zh-CN"/>
              </w:rPr>
              <w:t xml:space="preserve">并加盖投标单位公章，未按要求提供不得分。</w:t>
            </w:r>
            <w:r>
              <w:rPr>
                <w:rFonts w:hint="eastAsia" w:ascii="宋体" w:hAnsi="宋体"/>
                <w:b/>
                <w:color w:val="000000"/>
                <w:szCs w:val="21"/>
                <w:highlight w:val="none"/>
              </w:rPr>
              <w:t xml:space="preserve">如以联合体形式投标的，联合体任一方提供的相关证书均予认可。</w:t>
            </w:r>
            <w:r>
              <w:rPr>
                <w:rFonts w:hint="eastAsia" w:ascii="宋体" w:hAnsi="宋体" w:cs="宋体"/>
                <w:b w:val="0"/>
                <w:bCs/>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投标人具有信息技术服务标准（ITSS）运维能力成熟度二级及以上的得1分，三级及以下的得0.5分，本小项最高得1分。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bCs w:val="0"/>
                <w:sz w:val="20"/>
                <w:szCs w:val="20"/>
                <w:highlight w:val="none"/>
                <w:lang w:val="en-US" w:eastAsia="zh-CN"/>
              </w:rPr>
              <w:t xml:space="preserve">注：在投标文件中提供证书</w:t>
            </w:r>
            <w:r>
              <w:rPr>
                <w:rFonts w:hint="eastAsia" w:ascii="宋体" w:hAnsi="宋体" w:eastAsia="宋体" w:cs="宋体"/>
                <w:b/>
                <w:bCs w:val="0"/>
                <w:sz w:val="20"/>
                <w:szCs w:val="20"/>
                <w:highlight w:val="none"/>
                <w:u w:val="none"/>
              </w:rPr>
              <w:t xml:space="preserve">复印件</w:t>
            </w:r>
            <w:r>
              <w:rPr>
                <w:rFonts w:hint="eastAsia" w:ascii="宋体" w:hAnsi="宋体" w:cs="宋体"/>
                <w:b/>
                <w:bCs w:val="0"/>
                <w:sz w:val="20"/>
                <w:szCs w:val="20"/>
                <w:highlight w:val="none"/>
                <w:lang w:val="en-US" w:eastAsia="zh-CN"/>
              </w:rPr>
              <w:t xml:space="preserve">并加盖投标单位公章，未按要求提供不得分。</w:t>
            </w:r>
            <w:r>
              <w:rPr>
                <w:rFonts w:hint="eastAsia" w:ascii="宋体" w:hAnsi="宋体"/>
                <w:b/>
                <w:color w:val="000000"/>
                <w:szCs w:val="21"/>
                <w:highlight w:val="none"/>
              </w:rPr>
              <w:t xml:space="preserve">如以联合体形式投标的，联合体任一方提供的相关证书均予认可。</w:t>
            </w:r>
            <w:r>
              <w:rPr>
                <w:rFonts w:hint="eastAsia" w:ascii="宋体" w:hAnsi="宋体" w:cs="宋体"/>
                <w:b w:val="0"/>
                <w:bCs/>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投标人具有信息安全服务资质认证证书（CCRC）安全集成服务三级及以上的得1分。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bCs w:val="0"/>
                <w:sz w:val="20"/>
                <w:szCs w:val="20"/>
                <w:highlight w:val="none"/>
                <w:lang w:val="en-US" w:eastAsia="zh-CN"/>
              </w:rPr>
              <w:t xml:space="preserve">注：在投标文件中提供证书</w:t>
            </w:r>
            <w:r>
              <w:rPr>
                <w:rFonts w:hint="eastAsia" w:ascii="宋体" w:hAnsi="宋体" w:eastAsia="宋体" w:cs="宋体"/>
                <w:b/>
                <w:bCs w:val="0"/>
                <w:sz w:val="20"/>
                <w:szCs w:val="20"/>
                <w:highlight w:val="none"/>
                <w:u w:val="none"/>
              </w:rPr>
              <w:t xml:space="preserve">复印件</w:t>
            </w:r>
            <w:r>
              <w:rPr>
                <w:rFonts w:hint="eastAsia" w:ascii="宋体" w:hAnsi="宋体" w:cs="宋体"/>
                <w:b/>
                <w:bCs w:val="0"/>
                <w:sz w:val="20"/>
                <w:szCs w:val="20"/>
                <w:highlight w:val="none"/>
                <w:lang w:val="en-US" w:eastAsia="zh-CN"/>
              </w:rPr>
              <w:t xml:space="preserve">并加盖投标单位公章，未按要求提供不得分。</w:t>
            </w:r>
            <w:r>
              <w:rPr>
                <w:rFonts w:hint="eastAsia" w:ascii="宋体" w:hAnsi="宋体"/>
                <w:b/>
                <w:color w:val="000000"/>
                <w:szCs w:val="21"/>
                <w:highlight w:val="none"/>
              </w:rPr>
              <w:t xml:space="preserve">如以联合体形式投标的，联合体任一方提供的相关证书均予认可。</w:t>
            </w:r>
            <w:r>
              <w:rPr>
                <w:rFonts w:hint="eastAsia" w:ascii="宋体" w:hAnsi="宋体" w:cs="宋体"/>
                <w:b w:val="0"/>
                <w:bCs/>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投标人具有有效期内的信息系统建设和服务能力评估证书的得1分。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bCs w:val="0"/>
                <w:sz w:val="20"/>
                <w:szCs w:val="20"/>
                <w:highlight w:val="none"/>
                <w:lang w:val="en-US" w:eastAsia="zh-CN"/>
              </w:rPr>
              <w:t xml:space="preserve">注：在投标文件中提供证书</w:t>
            </w:r>
            <w:r>
              <w:rPr>
                <w:rFonts w:hint="eastAsia" w:ascii="宋体" w:hAnsi="宋体" w:eastAsia="宋体" w:cs="宋体"/>
                <w:b/>
                <w:bCs w:val="0"/>
                <w:sz w:val="20"/>
                <w:szCs w:val="20"/>
                <w:highlight w:val="none"/>
                <w:u w:val="none"/>
              </w:rPr>
              <w:t xml:space="preserve">复印件</w:t>
            </w:r>
            <w:r>
              <w:rPr>
                <w:rFonts w:hint="eastAsia" w:ascii="宋体" w:hAnsi="宋体" w:cs="宋体"/>
                <w:b/>
                <w:bCs w:val="0"/>
                <w:sz w:val="20"/>
                <w:szCs w:val="20"/>
                <w:highlight w:val="none"/>
                <w:lang w:val="en-US" w:eastAsia="zh-CN"/>
              </w:rPr>
              <w:t xml:space="preserve">并加盖投标单位公章，未按要求提供不得分。</w:t>
            </w:r>
            <w:r>
              <w:rPr>
                <w:rFonts w:hint="eastAsia" w:ascii="宋体" w:hAnsi="宋体"/>
                <w:b/>
                <w:color w:val="000000"/>
                <w:szCs w:val="21"/>
                <w:highlight w:val="none"/>
              </w:rPr>
              <w:t xml:space="preserve">如以联合体形式投标的，联合体任一方提供的相关证书均予认可。</w:t>
            </w:r>
            <w:r>
              <w:rPr>
                <w:rFonts w:hint="eastAsia" w:ascii="宋体" w:hAnsi="宋体" w:cs="宋体"/>
                <w:b w:val="0"/>
                <w:bCs/>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投标人具有有效期内的商品售后服务认证证书五星级的得1分，四星级及以下的得0.5分，本小项最高得1分。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bCs w:val="0"/>
                <w:sz w:val="20"/>
                <w:szCs w:val="20"/>
                <w:highlight w:val="none"/>
                <w:lang w:val="en-US" w:eastAsia="zh-CN"/>
              </w:rPr>
              <w:t xml:space="preserve">注：在投标文件中提供证书</w:t>
            </w:r>
            <w:r>
              <w:rPr>
                <w:rFonts w:hint="eastAsia" w:ascii="宋体" w:hAnsi="宋体" w:eastAsia="宋体" w:cs="宋体"/>
                <w:b/>
                <w:bCs w:val="0"/>
                <w:sz w:val="20"/>
                <w:szCs w:val="20"/>
                <w:highlight w:val="none"/>
                <w:u w:val="none"/>
              </w:rPr>
              <w:t xml:space="preserve">复印件</w:t>
            </w:r>
            <w:r>
              <w:rPr>
                <w:rFonts w:hint="eastAsia" w:ascii="宋体" w:hAnsi="宋体" w:cs="宋体"/>
                <w:b/>
                <w:bCs w:val="0"/>
                <w:sz w:val="20"/>
                <w:szCs w:val="20"/>
                <w:highlight w:val="none"/>
                <w:lang w:val="en-US" w:eastAsia="zh-CN"/>
              </w:rPr>
              <w:t xml:space="preserve">并加盖投标单位公章，未按要求提供不得分。</w:t>
            </w:r>
            <w:r>
              <w:rPr>
                <w:rFonts w:hint="eastAsia" w:ascii="宋体" w:hAnsi="宋体"/>
                <w:b/>
                <w:color w:val="000000"/>
                <w:szCs w:val="21"/>
                <w:highlight w:val="none"/>
              </w:rPr>
              <w:t xml:space="preserve">如以联合体形式投标的，联合体任一方提供的相关证书均予认可。</w:t>
            </w:r>
            <w:r>
              <w:rPr>
                <w:rFonts w:hint="eastAsia" w:ascii="宋体" w:hAnsi="宋体" w:cs="宋体"/>
                <w:b w:val="0"/>
                <w:bCs/>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投标人所投警务方舱的生产厂家具有中华人民共和国国家知识产权局颁发的专利证书的得2分。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bCs w:val="0"/>
                <w:sz w:val="20"/>
                <w:szCs w:val="20"/>
                <w:highlight w:val="none"/>
                <w:lang w:val="en-US" w:eastAsia="zh-CN"/>
              </w:rPr>
            </w:pPr>
            <w:r>
              <w:rPr>
                <w:rFonts w:hint="eastAsia" w:ascii="宋体" w:hAnsi="宋体" w:cs="宋体"/>
                <w:b/>
                <w:bCs w:val="0"/>
                <w:sz w:val="20"/>
                <w:szCs w:val="20"/>
                <w:highlight w:val="none"/>
                <w:lang w:val="en-US" w:eastAsia="zh-CN"/>
              </w:rPr>
              <w:t xml:space="preserve">注：在投标文件中提供中华人民共和国国家知识产权局颁发的专利证书</w:t>
            </w:r>
            <w:r>
              <w:rPr>
                <w:rFonts w:hint="eastAsia" w:ascii="宋体" w:hAnsi="宋体" w:eastAsia="宋体" w:cs="宋体"/>
                <w:b/>
                <w:bCs w:val="0"/>
                <w:sz w:val="20"/>
                <w:szCs w:val="20"/>
                <w:highlight w:val="none"/>
                <w:u w:val="none"/>
              </w:rPr>
              <w:t xml:space="preserve">复印件</w:t>
            </w:r>
            <w:r>
              <w:rPr>
                <w:rFonts w:hint="eastAsia" w:ascii="宋体" w:hAnsi="宋体" w:cs="宋体"/>
                <w:b/>
                <w:bCs w:val="0"/>
                <w:sz w:val="20"/>
                <w:szCs w:val="20"/>
                <w:highlight w:val="none"/>
                <w:lang w:val="en-US" w:eastAsia="zh-CN"/>
              </w:rPr>
              <w:t xml:space="preserve">并加盖投标单位公章，提供的专利须与“执勤亭、值班亭”相关，未按要求提供不得分。</w:t>
            </w:r>
            <w:bookmarkStart w:id="322" w:name="OLE_LINK19"/>
            <w:r>
              <w:rPr>
                <w:rFonts w:hint="eastAsia" w:ascii="宋体" w:hAnsi="宋体"/>
                <w:b/>
                <w:color w:val="000000"/>
                <w:szCs w:val="21"/>
                <w:highlight w:val="none"/>
              </w:rPr>
              <w:t xml:space="preserve">如以</w:t>
            </w:r>
            <w:bookmarkStart w:id="323" w:name="OLE_LINK13"/>
            <w:r>
              <w:rPr>
                <w:rFonts w:hint="eastAsia" w:ascii="宋体" w:hAnsi="宋体"/>
                <w:b/>
                <w:color w:val="000000"/>
                <w:szCs w:val="21"/>
                <w:highlight w:val="none"/>
              </w:rPr>
              <w:t xml:space="preserve">联合体</w:t>
            </w:r>
            <w:bookmarkEnd w:id="323"/>
            <w:r>
              <w:rPr>
                <w:rFonts w:hint="eastAsia" w:ascii="宋体" w:hAnsi="宋体"/>
                <w:b/>
                <w:color w:val="000000"/>
                <w:szCs w:val="21"/>
                <w:highlight w:val="none"/>
              </w:rPr>
              <w:t xml:space="preserve">形式投标的，联合体任一方提供的相关证书均予认可。</w:t>
            </w:r>
            <w:bookmarkEnd w:id="322"/>
            <w:r>
              <w:rPr>
                <w:rFonts w:hint="eastAsia" w:ascii="宋体" w:hAnsi="宋体" w:cs="宋体"/>
                <w:b/>
                <w:bCs w:val="0"/>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本次仅建设泰兴常泰大桥基站，投标单位所投产品须与泰兴市公安局基站现有设备及网络结构相兼容。</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bCs w:val="0"/>
                <w:sz w:val="20"/>
                <w:szCs w:val="20"/>
                <w:highlight w:val="none"/>
                <w:lang w:val="en-US" w:eastAsia="zh-CN"/>
              </w:rPr>
            </w:pPr>
            <w:r>
              <w:rPr>
                <w:rFonts w:hint="eastAsia" w:ascii="宋体" w:hAnsi="宋体" w:cs="宋体"/>
                <w:b/>
                <w:bCs w:val="0"/>
                <w:sz w:val="20"/>
                <w:szCs w:val="20"/>
                <w:highlight w:val="none"/>
                <w:lang w:val="en-US" w:eastAsia="zh-CN"/>
              </w:rPr>
              <w:t xml:space="preserve">注：投标文件中提供承诺书（格式自拟）并加盖投标单位公章的得2分，未按要求提供不得分。</w:t>
            </w:r>
            <w:r>
              <w:rPr>
                <w:rFonts w:hint="eastAsia" w:ascii="宋体" w:hAnsi="宋体" w:cs="宋体"/>
                <w:b/>
                <w:bCs w:val="0"/>
                <w:sz w:val="20"/>
                <w:szCs w:val="20"/>
                <w:highlight w:val="none"/>
                <w:lang w:val="en-US" w:eastAsia="zh-CN"/>
              </w:rPr>
            </w:r>
            <w:r/>
          </w:p>
          <w:p>
            <w:pPr>
              <w:pStyle w:val="925"/>
              <w:numPr>
                <w:ilvl w:val="0"/>
                <w:numId w:val="8"/>
              </w:numPr>
              <w:ind w:left="0" w:firstLine="0"/>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新建常泰大桥基站与泰州350兆现有数字中心按照原有基站建设模式有线互联，并能够通过原有统一网管软件实现控制管理。本次建设期间，须保证原有无线通信原有的运行质态，不得改变原系统的基站设备及系统、网管软件，须确保350兆数字集群中心及基站不停机和各基站正常运行。用户应能在基站之间自动漫游，无需手动切换。</w:t>
            </w:r>
            <w:r>
              <w:rPr>
                <w:rFonts w:hint="eastAsia" w:ascii="宋体" w:hAnsi="宋体" w:cs="宋体"/>
                <w:b w:val="0"/>
                <w:bCs/>
                <w:sz w:val="20"/>
                <w:szCs w:val="20"/>
                <w:highlight w:val="none"/>
                <w:lang w:val="en-US" w:eastAsia="zh-CN"/>
              </w:rPr>
            </w:r>
            <w:r/>
          </w:p>
          <w:p>
            <w:pPr>
              <w:pStyle w:val="925"/>
              <w:jc w:val="left"/>
              <w:keepLines w:val="0"/>
              <w:keepNext w:val="0"/>
              <w:pageBreakBefore w:val="0"/>
              <w:spacing w:line="320" w:lineRule="exact"/>
              <w:rPr>
                <w:rFonts w:hint="eastAsia" w:ascii="宋体" w:hAnsi="宋体" w:eastAsia="宋体" w:cs="宋体"/>
                <w:color w:val="000000"/>
                <w:spacing w:val="0"/>
                <w:szCs w:val="21"/>
                <w:highlight w:val="none"/>
                <w:lang w:val="en-US" w:eastAsia="zh-CN"/>
              </w:rPr>
            </w:pPr>
            <w:r>
              <w:rPr>
                <w:rFonts w:hint="eastAsia" w:ascii="宋体" w:hAnsi="宋体" w:cs="宋体"/>
                <w:b/>
                <w:bCs w:val="0"/>
                <w:sz w:val="20"/>
                <w:szCs w:val="20"/>
                <w:highlight w:val="none"/>
                <w:lang w:val="en-US" w:eastAsia="zh-CN"/>
              </w:rPr>
              <w:t xml:space="preserve">注：投标文件中提供承诺书（格式自拟）并加盖投标单位公章的得2分，未按要求提供不得分。</w:t>
            </w:r>
            <w:r>
              <w:rPr>
                <w:rFonts w:hint="eastAsia" w:ascii="宋体" w:hAnsi="宋体" w:eastAsia="宋体" w:cs="宋体"/>
                <w:color w:val="000000"/>
                <w:spacing w:val="0"/>
                <w:szCs w:val="21"/>
                <w:highlight w:val="none"/>
                <w:lang w:val="en-US" w:eastAsia="zh-CN"/>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12分</w:t>
            </w:r>
            <w:r>
              <w:rPr>
                <w:rFonts w:hint="eastAsia" w:ascii="宋体" w:hAnsi="宋体" w:eastAsia="宋体" w:cs="宋体"/>
                <w:color w:val="000000"/>
                <w:spacing w:val="0"/>
                <w:szCs w:val="21"/>
                <w:highlight w:val="none"/>
                <w:lang w:val="en-US" w:eastAsia="zh-CN"/>
              </w:rPr>
            </w:r>
            <w:r/>
          </w:p>
        </w:tc>
      </w:tr>
      <w:tr>
        <w:trPr>
          <w:trHeight w:val="271"/>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lang w:eastAsia="zh-CN"/>
              </w:rPr>
            </w:pP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lang w:eastAsia="zh-CN"/>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sz w:val="20"/>
                <w:szCs w:val="20"/>
                <w:highlight w:val="none"/>
              </w:rPr>
              <w:t xml:space="preserve">项目组成员</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551" w:type="dxa"/>
            <w:vAlign w:val="center"/>
            <w:textDirection w:val="lrTb"/>
            <w:noWrap w:val="false"/>
          </w:tcPr>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1、项目经理具备信息系统项目管理师证书、二级及以上建造师（机电）证书的有1个得0.5分，本小项最高得1分。</w:t>
            </w:r>
            <w:r>
              <w:rPr>
                <w:rFonts w:hint="eastAsia"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2、技术负责人具备系统集成项目管理工程师、高级工程师、网络安全技术一级（CCSC）及以上、数据治理工程师（CDGA），每提供一个证书得0.5分，本小项最高得2分。</w:t>
            </w:r>
            <w:r>
              <w:rPr>
                <w:rFonts w:ascii="宋体" w:hAnsi="宋体" w:cs="宋体"/>
                <w:b w:val="0"/>
                <w:bCs/>
                <w:sz w:val="20"/>
                <w:szCs w:val="20"/>
                <w:highlight w:val="none"/>
                <w:lang w:val="en-US" w:eastAsia="zh-CN"/>
              </w:rPr>
            </w:r>
            <w:r/>
          </w:p>
          <w:p>
            <w:pPr>
              <w:pStyle w:val="925"/>
              <w:numPr>
                <w:ilvl w:val="0"/>
                <w:numId w:val="0"/>
              </w:numPr>
              <w:jc w:val="left"/>
              <w:keepLines w:val="0"/>
              <w:keepNext w:val="0"/>
              <w:pageBreakBefore w:val="0"/>
              <w:spacing w:line="320" w:lineRule="exact"/>
              <w:widowControl/>
              <w:rPr>
                <w:rFonts w:hint="eastAsia" w:ascii="宋体" w:hAnsi="宋体" w:cs="宋体"/>
                <w:b w:val="0"/>
                <w:bCs/>
                <w:sz w:val="20"/>
                <w:szCs w:val="20"/>
                <w:highlight w:val="none"/>
                <w:lang w:val="en-US" w:eastAsia="zh-CN"/>
              </w:rPr>
            </w:pPr>
            <w:r>
              <w:rPr>
                <w:rFonts w:hint="eastAsia" w:ascii="宋体" w:hAnsi="宋体" w:cs="宋体"/>
                <w:b w:val="0"/>
                <w:bCs/>
                <w:sz w:val="20"/>
                <w:szCs w:val="20"/>
                <w:highlight w:val="none"/>
                <w:lang w:val="en-US" w:eastAsia="zh-CN"/>
              </w:rPr>
              <w:t xml:space="preserve">3、项目组成员具有电工证、信息安全保障人员（CISAW-CCRC）证书、网络安全技术证书的有1个得1分，同一证书最多得1分，同一人最多得1分，不重复计分，本小项最高得3分。</w:t>
            </w:r>
            <w:r>
              <w:rPr>
                <w:rFonts w:hint="eastAsia" w:ascii="宋体" w:hAnsi="宋体" w:cs="宋体"/>
                <w:b w:val="0"/>
                <w:bCs/>
                <w:sz w:val="20"/>
                <w:szCs w:val="20"/>
                <w:highlight w:val="none"/>
                <w:lang w:val="en-US" w:eastAsia="zh-CN"/>
              </w:rPr>
            </w:r>
            <w:r/>
          </w:p>
          <w:p>
            <w:pPr>
              <w:pStyle w:val="925"/>
              <w:jc w:val="left"/>
              <w:keepLines w:val="0"/>
              <w:keepNext w:val="0"/>
              <w:pageBreakBefore w:val="0"/>
              <w:spacing w:line="320" w:lineRule="exact"/>
              <w:rPr>
                <w:rFonts w:hint="eastAsia" w:ascii="宋体" w:hAnsi="宋体" w:eastAsia="宋体" w:cs="宋体"/>
                <w:color w:val="000000"/>
                <w:spacing w:val="0"/>
                <w:szCs w:val="21"/>
                <w:highlight w:val="none"/>
                <w:lang w:val="en-US" w:eastAsia="zh-CN"/>
              </w:rPr>
            </w:pPr>
            <w:r>
              <w:rPr>
                <w:rFonts w:hint="eastAsia" w:ascii="宋体" w:hAnsi="宋体" w:cs="宋体"/>
                <w:b/>
                <w:bCs w:val="0"/>
                <w:sz w:val="20"/>
                <w:szCs w:val="20"/>
                <w:highlight w:val="none"/>
                <w:lang w:val="en-US" w:eastAsia="zh-CN"/>
              </w:rPr>
              <w:t xml:space="preserve">注：以上人员不可兼任，项目组成员需提供证书复印件和投标人为其缴纳的近半年内任意一个月（不含投标当月）的社保缴纳证明并加盖投标人公章，否则不得分。</w:t>
            </w:r>
            <w:r>
              <w:rPr>
                <w:rFonts w:hint="eastAsia" w:ascii="宋体" w:hAnsi="宋体"/>
                <w:b/>
                <w:color w:val="000000"/>
                <w:szCs w:val="21"/>
                <w:highlight w:val="none"/>
              </w:rPr>
              <w:t xml:space="preserve">如以联合体形式投标的，联合体任一方提供的相关人员证书及社保缴纳证明均予认可。</w:t>
            </w:r>
            <w:r>
              <w:rPr>
                <w:rFonts w:hint="eastAsia" w:ascii="宋体" w:hAnsi="宋体" w:eastAsia="宋体" w:cs="宋体"/>
                <w:color w:val="000000"/>
                <w:spacing w:val="0"/>
                <w:szCs w:val="21"/>
                <w:highlight w:val="none"/>
                <w:lang w:val="en-US" w:eastAsia="zh-CN"/>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6分</w:t>
            </w:r>
            <w:r>
              <w:rPr>
                <w:rFonts w:hint="eastAsia" w:ascii="宋体" w:hAnsi="宋体" w:eastAsia="宋体" w:cs="宋体"/>
                <w:color w:val="000000"/>
                <w:spacing w:val="0"/>
                <w:szCs w:val="21"/>
                <w:highlight w:val="none"/>
                <w:lang w:val="en-US" w:eastAsia="zh-CN"/>
              </w:rPr>
            </w:r>
            <w:r/>
          </w:p>
        </w:tc>
      </w:tr>
      <w:tr>
        <w:trPr>
          <w:trHeight w:val="567"/>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color w:val="000000"/>
                <w:spacing w:val="0"/>
                <w:szCs w:val="21"/>
                <w:highlight w:val="none"/>
              </w:rPr>
            </w:pPr>
            <w:r>
              <w:rPr>
                <w:rFonts w:hint="eastAsia" w:ascii="宋体" w:hAnsi="宋体" w:eastAsia="宋体" w:cs="宋体"/>
                <w:b/>
                <w:color w:val="000000"/>
                <w:spacing w:val="0"/>
                <w:szCs w:val="21"/>
                <w:highlight w:val="none"/>
              </w:rPr>
              <w:t xml:space="preserve">三</w:t>
            </w:r>
            <w:r>
              <w:rPr>
                <w:rFonts w:hint="eastAsia" w:ascii="宋体" w:hAnsi="宋体" w:eastAsia="宋体" w:cs="宋体"/>
                <w:color w:val="000000"/>
                <w:spacing w:val="0"/>
                <w:szCs w:val="21"/>
                <w:highlight w:val="none"/>
              </w:rPr>
            </w:r>
            <w:r/>
          </w:p>
        </w:tc>
        <w:tc>
          <w:tcPr>
            <w:gridSpan w:val="2"/>
            <w:tcMar>
              <w:left w:w="15" w:type="dxa"/>
              <w:top w:w="15" w:type="dxa"/>
              <w:right w:w="15" w:type="dxa"/>
              <w:bottom w:w="0" w:type="dxa"/>
            </w:tcMar>
            <w:tcW w:w="7106"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b/>
                <w:color w:val="000000"/>
                <w:spacing w:val="0"/>
                <w:szCs w:val="21"/>
                <w:highlight w:val="none"/>
              </w:rPr>
            </w:pPr>
            <w:r>
              <w:rPr>
                <w:rFonts w:hint="eastAsia" w:ascii="宋体" w:hAnsi="宋体" w:eastAsia="宋体" w:cs="宋体"/>
                <w:b/>
                <w:color w:val="000000"/>
                <w:spacing w:val="0"/>
                <w:szCs w:val="21"/>
                <w:highlight w:val="none"/>
              </w:rPr>
              <w:t xml:space="preserve">技术部分</w:t>
            </w:r>
            <w:r>
              <w:rPr>
                <w:rFonts w:hint="eastAsia" w:ascii="宋体" w:hAnsi="宋体" w:eastAsia="宋体" w:cs="宋体"/>
                <w:b/>
                <w:color w:val="000000"/>
                <w:spacing w:val="0"/>
                <w:szCs w:val="21"/>
                <w:highlight w:val="none"/>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b/>
                <w:color w:val="000000"/>
                <w:spacing w:val="0"/>
                <w:sz w:val="24"/>
                <w:szCs w:val="20"/>
                <w:highlight w:val="none"/>
                <w:lang w:val="en-US" w:eastAsia="zh-CN"/>
              </w:rPr>
            </w:pPr>
            <w:r>
              <w:rPr>
                <w:rFonts w:hint="eastAsia" w:ascii="宋体" w:hAnsi="宋体" w:eastAsia="宋体" w:cs="宋体"/>
                <w:b/>
                <w:color w:val="000000"/>
                <w:spacing w:val="0"/>
                <w:sz w:val="24"/>
                <w:szCs w:val="20"/>
                <w:highlight w:val="none"/>
                <w:lang w:val="en-US" w:eastAsia="zh-CN"/>
              </w:rPr>
              <w:t xml:space="preserve">49分</w:t>
            </w:r>
            <w:r>
              <w:rPr>
                <w:rFonts w:hint="eastAsia" w:ascii="宋体" w:hAnsi="宋体" w:eastAsia="宋体" w:cs="宋体"/>
                <w:b/>
                <w:color w:val="000000"/>
                <w:spacing w:val="0"/>
                <w:sz w:val="24"/>
                <w:szCs w:val="20"/>
                <w:highlight w:val="none"/>
                <w:lang w:val="en-US" w:eastAsia="zh-CN"/>
              </w:rPr>
            </w:r>
            <w:r/>
          </w:p>
        </w:tc>
      </w:tr>
      <w:tr>
        <w:trPr>
          <w:trHeight w:val="145"/>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1</w:t>
            </w:r>
            <w:r>
              <w:rPr>
                <w:rFonts w:hint="eastAsia" w:ascii="宋体" w:hAnsi="宋体" w:eastAsia="宋体" w:cs="宋体"/>
                <w:color w:val="000000"/>
                <w:spacing w:val="0"/>
                <w:szCs w:val="21"/>
                <w:highlight w:val="none"/>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技术</w:t>
            </w:r>
            <w:r>
              <w:rPr>
                <w:rFonts w:hint="eastAsia" w:ascii="宋体" w:hAnsi="宋体" w:eastAsia="宋体" w:cs="宋体"/>
                <w:color w:val="000000"/>
                <w:spacing w:val="0"/>
                <w:sz w:val="21"/>
                <w:szCs w:val="21"/>
                <w:highlight w:val="none"/>
                <w:lang w:val="en-US" w:eastAsia="zh-CN" w:bidi="ar-SA"/>
              </w:rPr>
            </w:r>
            <w:r/>
          </w:p>
          <w:p>
            <w:pPr>
              <w:pStyle w:val="925"/>
              <w:jc w:val="center"/>
              <w:keepLines w:val="0"/>
              <w:keepNext w:val="0"/>
              <w:pageBreakBefore w:val="0"/>
              <w:spacing w:line="320" w:lineRule="exact"/>
              <w:widowControl/>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参数</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551" w:type="dxa"/>
            <w:vAlign w:val="center"/>
            <w:textDirection w:val="lrTb"/>
            <w:noWrap w:val="false"/>
          </w:tcPr>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rPr>
            </w:pPr>
            <w:r>
              <w:rPr>
                <w:rFonts w:hint="eastAsia" w:ascii="宋体" w:hAnsi="宋体" w:cs="宋体"/>
                <w:bCs/>
                <w:sz w:val="20"/>
                <w:szCs w:val="20"/>
                <w:highlight w:val="none"/>
                <w:lang w:val="en-US" w:eastAsia="zh-CN"/>
              </w:rPr>
              <w:t xml:space="preserve">第四章 采购需</w:t>
            </w:r>
            <w:r>
              <w:rPr>
                <w:rFonts w:hint="eastAsia" w:ascii="宋体" w:hAnsi="宋体" w:cs="宋体"/>
                <w:bCs/>
                <w:sz w:val="20"/>
                <w:szCs w:val="20"/>
                <w:highlight w:val="none"/>
              </w:rPr>
              <w:t xml:space="preserve">求</w:t>
            </w:r>
            <w:r>
              <w:rPr>
                <w:rFonts w:hint="eastAsia" w:ascii="宋体" w:hAnsi="宋体" w:cs="宋体"/>
                <w:bCs/>
                <w:sz w:val="20"/>
                <w:szCs w:val="20"/>
                <w:highlight w:val="none"/>
                <w:lang w:eastAsia="zh-CN"/>
              </w:rPr>
              <w:t xml:space="preserve">《技术参数》</w:t>
            </w:r>
            <w:r>
              <w:rPr>
                <w:rFonts w:hint="eastAsia" w:ascii="宋体" w:hAnsi="宋体" w:cs="宋体"/>
                <w:bCs/>
                <w:sz w:val="20"/>
                <w:szCs w:val="20"/>
                <w:highlight w:val="none"/>
                <w:lang w:val="en-US" w:eastAsia="zh-CN"/>
              </w:rPr>
              <w:t xml:space="preserve">中“★”的相关</w:t>
            </w:r>
            <w:r>
              <w:rPr>
                <w:rFonts w:hint="eastAsia" w:ascii="宋体" w:hAnsi="宋体" w:cs="宋体"/>
                <w:bCs/>
                <w:sz w:val="20"/>
                <w:szCs w:val="20"/>
                <w:highlight w:val="none"/>
              </w:rPr>
              <w:t xml:space="preserve">技术指标</w:t>
            </w:r>
            <w:r>
              <w:rPr>
                <w:rFonts w:hint="eastAsia" w:ascii="宋体" w:hAnsi="宋体" w:cs="宋体"/>
                <w:bCs/>
                <w:sz w:val="20"/>
                <w:szCs w:val="20"/>
                <w:highlight w:val="none"/>
                <w:lang w:val="en-US" w:eastAsia="zh-CN"/>
              </w:rPr>
              <w:t xml:space="preserve">为重要参数，正偏离或</w:t>
            </w:r>
            <w:r>
              <w:rPr>
                <w:rFonts w:hint="eastAsia" w:ascii="宋体" w:hAnsi="宋体" w:cs="宋体"/>
                <w:bCs/>
                <w:sz w:val="20"/>
                <w:szCs w:val="20"/>
                <w:highlight w:val="none"/>
              </w:rPr>
              <w:t xml:space="preserve">完全符合</w:t>
            </w:r>
            <w:r>
              <w:rPr>
                <w:rFonts w:hint="eastAsia" w:ascii="宋体" w:hAnsi="宋体" w:cs="宋体"/>
                <w:bCs/>
                <w:sz w:val="20"/>
                <w:szCs w:val="20"/>
                <w:highlight w:val="none"/>
                <w:lang w:val="en-US" w:eastAsia="zh-CN"/>
              </w:rPr>
              <w:t xml:space="preserve">采购要求的</w:t>
            </w:r>
            <w:r>
              <w:rPr>
                <w:rFonts w:hint="eastAsia" w:ascii="宋体" w:hAnsi="宋体" w:cs="宋体"/>
                <w:bCs/>
                <w:sz w:val="20"/>
                <w:szCs w:val="20"/>
                <w:highlight w:val="none"/>
              </w:rPr>
              <w:t xml:space="preserve">得</w:t>
            </w:r>
            <w:r>
              <w:rPr>
                <w:rFonts w:hint="eastAsia" w:ascii="宋体" w:hAnsi="宋体" w:cs="宋体"/>
                <w:bCs/>
                <w:sz w:val="20"/>
                <w:szCs w:val="20"/>
                <w:highlight w:val="none"/>
                <w:lang w:val="en-US" w:eastAsia="zh-CN"/>
              </w:rPr>
              <w:t xml:space="preserve">35</w:t>
            </w:r>
            <w:r>
              <w:rPr>
                <w:rFonts w:hint="eastAsia" w:ascii="宋体" w:hAnsi="宋体" w:cs="宋体"/>
                <w:bCs/>
                <w:sz w:val="20"/>
                <w:szCs w:val="20"/>
                <w:highlight w:val="none"/>
              </w:rPr>
              <w:t xml:space="preserve">分</w:t>
            </w:r>
            <w:r>
              <w:rPr>
                <w:rFonts w:hint="eastAsia" w:ascii="宋体" w:hAnsi="宋体" w:cs="宋体"/>
                <w:bCs/>
                <w:sz w:val="20"/>
                <w:szCs w:val="20"/>
                <w:highlight w:val="none"/>
                <w:lang w:eastAsia="zh-CN"/>
              </w:rPr>
              <w:t xml:space="preserve">，</w:t>
            </w:r>
            <w:r>
              <w:rPr>
                <w:rFonts w:hint="eastAsia" w:ascii="宋体" w:hAnsi="宋体" w:cs="宋体"/>
                <w:bCs/>
                <w:sz w:val="20"/>
                <w:szCs w:val="20"/>
                <w:highlight w:val="none"/>
              </w:rPr>
              <w:t xml:space="preserve">负偏离每有一项扣</w:t>
            </w:r>
            <w:r>
              <w:rPr>
                <w:rFonts w:hint="eastAsia" w:ascii="宋体" w:hAnsi="宋体" w:cs="宋体"/>
                <w:bCs/>
                <w:sz w:val="20"/>
                <w:szCs w:val="20"/>
                <w:highlight w:val="none"/>
                <w:lang w:val="en-US" w:eastAsia="zh-CN"/>
              </w:rPr>
              <w:t xml:space="preserve">1.5</w:t>
            </w:r>
            <w:r>
              <w:rPr>
                <w:rFonts w:hint="eastAsia" w:ascii="宋体" w:hAnsi="宋体" w:cs="宋体"/>
                <w:bCs/>
                <w:sz w:val="20"/>
                <w:szCs w:val="20"/>
                <w:highlight w:val="none"/>
              </w:rPr>
              <w:t xml:space="preserve">分；</w:t>
            </w:r>
            <w:r>
              <w:rPr>
                <w:rFonts w:hint="eastAsia" w:ascii="宋体" w:hAnsi="宋体" w:cs="宋体"/>
                <w:bCs/>
                <w:sz w:val="20"/>
                <w:szCs w:val="20"/>
                <w:highlight w:val="none"/>
                <w:lang w:val="en-US" w:eastAsia="zh-CN"/>
              </w:rPr>
              <w:t xml:space="preserve">其余未标记的参数为一般参数，存在负偏离的每有一项扣1分，本项分数扣完为止</w:t>
            </w:r>
            <w:r>
              <w:rPr>
                <w:rFonts w:hint="eastAsia" w:ascii="宋体" w:hAnsi="宋体" w:cs="宋体"/>
                <w:bCs/>
                <w:sz w:val="20"/>
                <w:szCs w:val="20"/>
                <w:highlight w:val="none"/>
              </w:rPr>
              <w:t xml:space="preserve">。</w:t>
            </w:r>
            <w:r>
              <w:rPr>
                <w:rFonts w:hint="eastAsia" w:ascii="宋体" w:hAnsi="宋体" w:cs="宋体"/>
                <w:bCs/>
                <w:sz w:val="20"/>
                <w:szCs w:val="20"/>
                <w:highlight w:val="none"/>
              </w:rPr>
            </w:r>
            <w:r/>
          </w:p>
          <w:p>
            <w:pPr>
              <w:pStyle w:val="925"/>
              <w:keepLines w:val="0"/>
              <w:keepNext w:val="0"/>
              <w:pageBreakBefore w:val="0"/>
              <w:spacing w:line="320" w:lineRule="exact"/>
              <w:widowControl/>
              <w:rPr>
                <w:rFonts w:hint="eastAsia" w:ascii="宋体" w:hAnsi="宋体" w:eastAsia="宋体" w:cs="宋体"/>
                <w:color w:val="000000"/>
                <w:spacing w:val="0"/>
                <w:sz w:val="21"/>
                <w:szCs w:val="21"/>
                <w:highlight w:val="none"/>
                <w:lang w:val="en-US" w:eastAsia="zh-CN" w:bidi="ar-SA"/>
              </w:rPr>
            </w:pPr>
            <w:r>
              <w:rPr>
                <w:rFonts w:hint="eastAsia" w:ascii="宋体" w:hAnsi="宋体" w:cs="宋体"/>
                <w:b/>
                <w:bCs w:val="0"/>
                <w:sz w:val="20"/>
                <w:szCs w:val="20"/>
                <w:highlight w:val="none"/>
                <w:lang w:val="en-US" w:eastAsia="zh-CN"/>
              </w:rPr>
              <w:t xml:space="preserve">注:技术参数中要求提供相关证明材料的，须提供复印件加盖投标单位公章，如未按要求提供证明材料的，视作负偏离；</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 w:val="24"/>
                <w:szCs w:val="20"/>
                <w:highlight w:val="none"/>
                <w:lang w:val="en-US" w:eastAsia="zh-CN" w:bidi="ar-SA"/>
              </w:rPr>
            </w:pPr>
            <w:r>
              <w:rPr>
                <w:rFonts w:hint="eastAsia" w:ascii="宋体" w:hAnsi="宋体" w:eastAsia="宋体" w:cs="宋体"/>
                <w:color w:val="000000"/>
                <w:spacing w:val="0"/>
                <w:sz w:val="21"/>
                <w:szCs w:val="16"/>
                <w:highlight w:val="none"/>
                <w:lang w:val="en-US" w:eastAsia="zh-CN" w:bidi="ar-SA"/>
              </w:rPr>
              <w:t xml:space="preserve">35分</w:t>
            </w:r>
            <w:r>
              <w:rPr>
                <w:rFonts w:hint="eastAsia" w:ascii="宋体" w:hAnsi="宋体" w:eastAsia="宋体" w:cs="宋体"/>
                <w:color w:val="000000"/>
                <w:spacing w:val="0"/>
                <w:sz w:val="24"/>
                <w:szCs w:val="20"/>
                <w:highlight w:val="none"/>
                <w:lang w:val="en-US" w:eastAsia="zh-CN" w:bidi="ar-SA"/>
              </w:rPr>
            </w:r>
            <w:r/>
          </w:p>
        </w:tc>
      </w:tr>
      <w:tr>
        <w:trPr>
          <w:trHeight w:val="145"/>
        </w:trPr>
        <w:tc>
          <w:tcPr>
            <w:tcMar>
              <w:left w:w="15" w:type="dxa"/>
              <w:top w:w="15" w:type="dxa"/>
              <w:right w:w="15" w:type="dxa"/>
              <w:bottom w:w="0" w:type="dxa"/>
            </w:tcMar>
            <w:tcW w:w="358" w:type="dxa"/>
            <w:vAlign w:val="center"/>
            <w:textDirection w:val="lrTb"/>
            <w:noWrap w:val="false"/>
          </w:tcPr>
          <w:p>
            <w:pPr>
              <w:pStyle w:val="925"/>
              <w:ind w:left="0" w:right="0"/>
              <w:jc w:val="center"/>
              <w:keepLines w:val="0"/>
              <w:keepNext w:val="0"/>
              <w:pageBreakBefore w:val="0"/>
              <w:spacing w:line="320" w:lineRule="exact"/>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2</w:t>
            </w:r>
            <w:r>
              <w:rPr>
                <w:rFonts w:hint="eastAsia" w:ascii="宋体" w:hAnsi="宋体" w:eastAsia="宋体" w:cs="宋体"/>
                <w:color w:val="000000"/>
                <w:spacing w:val="0"/>
                <w:szCs w:val="21"/>
                <w:highlight w:val="none"/>
                <w:lang w:val="en-US" w:eastAsia="zh-CN"/>
              </w:rPr>
            </w:r>
            <w:r/>
          </w:p>
        </w:tc>
        <w:tc>
          <w:tcPr>
            <w:tcMar>
              <w:left w:w="15" w:type="dxa"/>
              <w:top w:w="15" w:type="dxa"/>
              <w:right w:w="15" w:type="dxa"/>
              <w:bottom w:w="0" w:type="dxa"/>
            </w:tcMar>
            <w:tcW w:w="710"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技术</w:t>
            </w:r>
            <w:r>
              <w:rPr>
                <w:rFonts w:hint="eastAsia" w:ascii="宋体" w:hAnsi="宋体" w:eastAsia="宋体" w:cs="宋体"/>
                <w:sz w:val="20"/>
                <w:szCs w:val="20"/>
                <w:highlight w:val="none"/>
              </w:rPr>
            </w:r>
            <w:r/>
          </w:p>
          <w:p>
            <w:pPr>
              <w:pStyle w:val="925"/>
              <w:ind w:left="0" w:right="0"/>
              <w:jc w:val="center"/>
              <w:keepLines w:val="0"/>
              <w:keepNext w:val="0"/>
              <w:pageBreakBefore w:val="0"/>
              <w:spacing w:line="320" w:lineRule="exact"/>
              <w:widowControl w:val="off"/>
              <w:rPr>
                <w:rFonts w:hint="eastAsia" w:ascii="宋体" w:hAnsi="宋体" w:eastAsia="宋体" w:cs="宋体"/>
                <w:b w:val="0"/>
                <w:bCs/>
                <w:color w:val="000000"/>
                <w:spacing w:val="0"/>
                <w:sz w:val="21"/>
                <w:szCs w:val="21"/>
                <w:highlight w:val="none"/>
                <w:lang w:val="en-US" w:eastAsia="zh-CN" w:bidi="ar-SA"/>
              </w:rPr>
            </w:pPr>
            <w:r>
              <w:rPr>
                <w:rFonts w:hint="eastAsia" w:ascii="宋体" w:hAnsi="宋体" w:eastAsia="宋体" w:cs="宋体"/>
                <w:sz w:val="20"/>
                <w:szCs w:val="20"/>
                <w:highlight w:val="none"/>
              </w:rPr>
              <w:t xml:space="preserve">方案</w:t>
            </w:r>
            <w:r>
              <w:rPr>
                <w:rFonts w:hint="eastAsia" w:ascii="宋体" w:hAnsi="宋体" w:eastAsia="宋体" w:cs="宋体"/>
                <w:b w:val="0"/>
                <w:bCs/>
                <w:color w:val="000000"/>
                <w:spacing w:val="0"/>
                <w:sz w:val="21"/>
                <w:szCs w:val="21"/>
                <w:highlight w:val="none"/>
                <w:lang w:val="en-US" w:eastAsia="zh-CN" w:bidi="ar-SA"/>
              </w:rPr>
            </w:r>
            <w:r/>
          </w:p>
        </w:tc>
        <w:tc>
          <w:tcPr>
            <w:tcMar>
              <w:left w:w="15" w:type="dxa"/>
              <w:top w:w="15" w:type="dxa"/>
              <w:right w:w="15" w:type="dxa"/>
              <w:bottom w:w="0" w:type="dxa"/>
            </w:tcMar>
            <w:tcW w:w="3551" w:type="dxa"/>
            <w:vAlign w:val="center"/>
            <w:textDirection w:val="lrTb"/>
            <w:noWrap w:val="false"/>
          </w:tcPr>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实施内容和进度要求是否满足本项目要求，要根据现场提出具体实施方案，按时保质的情况下完工；</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评委根据投标人的实施方案进行综合评分：</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(1)实施方案、安全实施的论述完善正确，实施内容和进度要求完全满足项目要求，方案内容详细、可操作性强的得6分；</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(2)实施方案、安全实施的论述一般，实施内容和进度要求基本满足项目要求，方案内容一般、可操作性一般的得 3分。</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(3)实施方案、安全实施的论述欠缺，实施内容和进度要求基本满足项目要求，方案内容欠缺、可操作性欠缺的得 1 分；</w:t>
            </w:r>
            <w:r>
              <w:rPr>
                <w:rFonts w:hint="eastAsia" w:ascii="宋体" w:hAnsi="宋体" w:cs="宋体"/>
                <w:bCs/>
                <w:sz w:val="20"/>
                <w:szCs w:val="20"/>
                <w:highlight w:val="none"/>
                <w:lang w:val="en-US" w:eastAsia="zh-CN"/>
              </w:rPr>
            </w:r>
            <w:r/>
          </w:p>
          <w:p>
            <w:pPr>
              <w:pStyle w:val="925"/>
              <w:keepLines w:val="0"/>
              <w:keepNext w:val="0"/>
              <w:pageBreakBefore w:val="0"/>
              <w:spacing w:line="320" w:lineRule="exact"/>
              <w:widowControl/>
              <w:rPr>
                <w:rFonts w:hint="eastAsia" w:ascii="宋体" w:hAnsi="宋体" w:eastAsia="宋体" w:cs="宋体"/>
                <w:color w:val="000000"/>
                <w:spacing w:val="0"/>
                <w:sz w:val="21"/>
                <w:szCs w:val="21"/>
                <w:highlight w:val="none"/>
                <w:lang w:val="en-US" w:eastAsia="zh-CN" w:bidi="ar-SA"/>
              </w:rPr>
            </w:pPr>
            <w:r>
              <w:rPr>
                <w:rFonts w:hint="eastAsia" w:ascii="宋体" w:hAnsi="宋体" w:cs="宋体"/>
                <w:bCs/>
                <w:sz w:val="20"/>
                <w:szCs w:val="20"/>
                <w:highlight w:val="none"/>
                <w:lang w:val="en-US" w:eastAsia="zh-CN"/>
              </w:rPr>
              <w:t xml:space="preserve">(4)未提供方案、措施的不得分。</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 w:val="24"/>
                <w:szCs w:val="20"/>
                <w:highlight w:val="none"/>
                <w:lang w:val="en-US" w:eastAsia="zh-CN" w:bidi="ar-SA"/>
              </w:rPr>
            </w:pPr>
            <w:r>
              <w:rPr>
                <w:rFonts w:hint="eastAsia" w:ascii="宋体" w:hAnsi="宋体" w:eastAsia="宋体" w:cs="宋体"/>
                <w:color w:val="000000"/>
                <w:spacing w:val="0"/>
                <w:sz w:val="21"/>
                <w:szCs w:val="16"/>
                <w:highlight w:val="none"/>
                <w:lang w:val="en-US" w:eastAsia="zh-CN" w:bidi="ar-SA"/>
              </w:rPr>
              <w:t xml:space="preserve">6分</w:t>
            </w:r>
            <w:r>
              <w:rPr>
                <w:rFonts w:hint="eastAsia" w:ascii="宋体" w:hAnsi="宋体" w:eastAsia="宋体" w:cs="宋体"/>
                <w:color w:val="000000"/>
                <w:spacing w:val="0"/>
                <w:sz w:val="24"/>
                <w:szCs w:val="20"/>
                <w:highlight w:val="none"/>
                <w:lang w:val="en-US" w:eastAsia="zh-CN" w:bidi="ar-SA"/>
              </w:rPr>
            </w:r>
            <w:r/>
          </w:p>
        </w:tc>
      </w:tr>
      <w:tr>
        <w:trPr>
          <w:trHeight w:val="145"/>
        </w:trPr>
        <w:tc>
          <w:tcPr>
            <w:tcMar>
              <w:left w:w="15" w:type="dxa"/>
              <w:top w:w="15" w:type="dxa"/>
              <w:right w:w="15" w:type="dxa"/>
              <w:bottom w:w="0" w:type="dxa"/>
            </w:tcMar>
            <w:tcW w:w="358" w:type="dxa"/>
            <w:vAlign w:val="center"/>
            <w:textDirection w:val="lrTb"/>
            <w:noWrap w:val="false"/>
          </w:tcPr>
          <w:p>
            <w:pPr>
              <w:pStyle w:val="925"/>
              <w:ind w:left="0" w:right="0"/>
              <w:jc w:val="center"/>
              <w:keepLines w:val="0"/>
              <w:keepNext w:val="0"/>
              <w:pageBreakBefore w:val="0"/>
              <w:spacing w:line="320" w:lineRule="exact"/>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lang w:val="en-US" w:eastAsia="zh-CN"/>
              </w:rPr>
            </w:r>
            <w:r/>
          </w:p>
        </w:tc>
        <w:tc>
          <w:tcPr>
            <w:tcMar>
              <w:left w:w="15" w:type="dxa"/>
              <w:top w:w="15" w:type="dxa"/>
              <w:right w:w="15" w:type="dxa"/>
              <w:bottom w:w="0" w:type="dxa"/>
            </w:tcMar>
            <w:tcW w:w="1184"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b w:val="0"/>
                <w:bCs/>
                <w:color w:val="000000"/>
                <w:spacing w:val="0"/>
                <w:sz w:val="21"/>
                <w:szCs w:val="21"/>
                <w:highlight w:val="none"/>
                <w:lang w:val="en-US" w:eastAsia="zh-CN" w:bidi="ar-SA"/>
              </w:rPr>
            </w:pPr>
            <w:r>
              <w:rPr>
                <w:rFonts w:hint="eastAsia" w:ascii="宋体" w:hAnsi="宋体" w:eastAsia="宋体" w:cs="宋体"/>
                <w:sz w:val="20"/>
                <w:szCs w:val="20"/>
                <w:highlight w:val="none"/>
              </w:rPr>
              <w:t xml:space="preserve">管理方案、应急预案</w:t>
            </w:r>
            <w:r>
              <w:rPr>
                <w:rFonts w:hint="eastAsia" w:ascii="宋体" w:hAnsi="宋体" w:eastAsia="宋体" w:cs="宋体"/>
                <w:b w:val="0"/>
                <w:bCs/>
                <w:color w:val="000000"/>
                <w:spacing w:val="0"/>
                <w:sz w:val="21"/>
                <w:szCs w:val="21"/>
                <w:highlight w:val="none"/>
                <w:lang w:val="en-US" w:eastAsia="zh-CN" w:bidi="ar-SA"/>
              </w:rPr>
            </w:r>
            <w:r/>
          </w:p>
        </w:tc>
        <w:tc>
          <w:tcPr>
            <w:tcMar>
              <w:left w:w="15" w:type="dxa"/>
              <w:top w:w="15" w:type="dxa"/>
              <w:right w:w="15" w:type="dxa"/>
              <w:bottom w:w="0" w:type="dxa"/>
            </w:tcMar>
            <w:tcW w:w="5921" w:type="dxa"/>
            <w:vAlign w:val="center"/>
            <w:textDirection w:val="lrTb"/>
            <w:noWrap w:val="false"/>
          </w:tcPr>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管理方案：明确项目管理体制、责任分工，项目沟通机制、决策机制等；</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应急预案：明确组织机构及职责，完善的预防预警机制、应急响应等；</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评委根据投标人的方案进行综合评分：</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(1)项目管理方案、应急预案内容详细、可操作性强的得 4分；</w:t>
            </w:r>
            <w:r>
              <w:rPr>
                <w:rFonts w:hint="eastAsia" w:ascii="宋体" w:hAnsi="宋体" w:cs="宋体"/>
                <w:bCs/>
                <w:sz w:val="20"/>
                <w:szCs w:val="20"/>
                <w:highlight w:val="none"/>
                <w:lang w:val="en-US" w:eastAsia="zh-CN"/>
              </w:rPr>
            </w:r>
            <w:r/>
          </w:p>
          <w:p>
            <w:pPr>
              <w:pStyle w:val="925"/>
              <w:numPr>
                <w:ilvl w:val="0"/>
                <w:numId w:val="0"/>
              </w:numPr>
              <w:keepLines w:val="0"/>
              <w:keepNext w:val="0"/>
              <w:pageBreakBefore w:val="0"/>
              <w:spacing w:line="320" w:lineRule="exact"/>
              <w:widowControl/>
              <w:tabs>
                <w:tab w:val="left" w:pos="630" w:leader="none"/>
              </w:tabs>
              <w:rPr>
                <w:rFonts w:hint="eastAsia" w:ascii="宋体" w:hAnsi="宋体" w:cs="宋体"/>
                <w:bCs/>
                <w:sz w:val="20"/>
                <w:szCs w:val="20"/>
                <w:highlight w:val="none"/>
                <w:lang w:val="en-US" w:eastAsia="zh-CN"/>
              </w:rPr>
            </w:pPr>
            <w:r>
              <w:rPr>
                <w:rFonts w:hint="eastAsia" w:ascii="宋体" w:hAnsi="宋体" w:cs="宋体"/>
                <w:bCs/>
                <w:sz w:val="20"/>
                <w:szCs w:val="20"/>
                <w:highlight w:val="none"/>
                <w:lang w:val="en-US" w:eastAsia="zh-CN"/>
              </w:rPr>
              <w:t xml:space="preserve">(2)项目管理方案、应急预案内容一般、可操作性一般的得2分； </w:t>
            </w:r>
            <w:r>
              <w:rPr>
                <w:rFonts w:hint="eastAsia" w:ascii="宋体" w:hAnsi="宋体" w:cs="宋体"/>
                <w:bCs/>
                <w:sz w:val="20"/>
                <w:szCs w:val="20"/>
                <w:highlight w:val="none"/>
                <w:lang w:val="en-US" w:eastAsia="zh-CN"/>
              </w:rPr>
            </w:r>
            <w:r/>
          </w:p>
          <w:p>
            <w:pPr>
              <w:pStyle w:val="925"/>
              <w:numPr>
                <w:ilvl w:val="0"/>
                <w:numId w:val="0"/>
              </w:numPr>
              <w:ind w:left="0" w:firstLine="0"/>
              <w:keepLines w:val="0"/>
              <w:keepNext w:val="0"/>
              <w:pageBreakBefore w:val="0"/>
              <w:spacing w:line="320" w:lineRule="exact"/>
              <w:widowControl/>
              <w:tabs>
                <w:tab w:val="left" w:pos="630" w:leader="none"/>
              </w:tabs>
              <w:rPr>
                <w:rFonts w:hint="eastAsia" w:ascii="宋体" w:hAnsi="宋体" w:eastAsia="宋体" w:cs="宋体"/>
                <w:color w:val="000000"/>
                <w:spacing w:val="0"/>
                <w:sz w:val="21"/>
                <w:szCs w:val="21"/>
                <w:highlight w:val="none"/>
                <w:lang w:val="en-US" w:eastAsia="zh-CN" w:bidi="ar-SA"/>
              </w:rPr>
            </w:pPr>
            <w:r>
              <w:rPr>
                <w:rFonts w:hint="eastAsia" w:ascii="宋体" w:hAnsi="宋体" w:cs="宋体"/>
                <w:bCs/>
                <w:sz w:val="20"/>
                <w:szCs w:val="20"/>
                <w:highlight w:val="none"/>
                <w:lang w:val="en-US" w:eastAsia="zh-CN"/>
              </w:rPr>
              <w:t xml:space="preserve">(3)未提供方案、措施的不得分。</w:t>
            </w:r>
            <w:r>
              <w:rPr>
                <w:rFonts w:hint="eastAsia" w:ascii="宋体" w:hAnsi="宋体" w:eastAsia="宋体" w:cs="宋体"/>
                <w:color w:val="000000"/>
                <w:spacing w:val="0"/>
                <w:sz w:val="21"/>
                <w:szCs w:val="21"/>
                <w:highlight w:val="none"/>
                <w:lang w:val="en-US" w:eastAsia="zh-CN" w:bidi="ar-SA"/>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4</w:t>
            </w:r>
            <w:r>
              <w:rPr>
                <w:rFonts w:hint="eastAsia" w:ascii="宋体" w:hAnsi="宋体" w:eastAsia="宋体" w:cs="宋体"/>
                <w:color w:val="000000"/>
                <w:spacing w:val="0"/>
                <w:sz w:val="21"/>
                <w:szCs w:val="16"/>
                <w:highlight w:val="none"/>
                <w:lang w:val="en-US" w:eastAsia="zh-CN" w:bidi="ar-SA"/>
              </w:rPr>
              <w:t xml:space="preserve">分</w:t>
            </w:r>
            <w:r>
              <w:rPr>
                <w:rFonts w:hint="eastAsia" w:ascii="宋体" w:hAnsi="宋体" w:eastAsia="宋体" w:cs="宋体"/>
                <w:color w:val="000000"/>
                <w:spacing w:val="0"/>
                <w:sz w:val="21"/>
                <w:szCs w:val="21"/>
                <w:highlight w:val="none"/>
                <w:lang w:val="en-US" w:eastAsia="zh-CN" w:bidi="ar-SA"/>
              </w:rPr>
            </w:r>
            <w:r/>
          </w:p>
        </w:tc>
      </w:tr>
      <w:tr>
        <w:trPr>
          <w:trHeight w:val="145"/>
        </w:trPr>
        <w:tc>
          <w:tcPr>
            <w:tcMar>
              <w:left w:w="15" w:type="dxa"/>
              <w:top w:w="15" w:type="dxa"/>
              <w:right w:w="15" w:type="dxa"/>
              <w:bottom w:w="0" w:type="dxa"/>
            </w:tcMar>
            <w:tcW w:w="358"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highlight w:val="none"/>
                <w:lang w:val="en-US" w:eastAsia="zh-CN"/>
              </w:rPr>
            </w:pPr>
            <w:r>
              <w:rPr>
                <w:rFonts w:hint="eastAsia" w:ascii="宋体" w:hAnsi="宋体" w:eastAsia="宋体" w:cs="宋体"/>
                <w:color w:val="000000"/>
                <w:spacing w:val="0"/>
                <w:highlight w:val="none"/>
                <w:lang w:val="en-US" w:eastAsia="zh-CN"/>
              </w:rPr>
              <w:t xml:space="preserve">4</w:t>
            </w:r>
            <w:r>
              <w:rPr>
                <w:rFonts w:hint="eastAsia" w:ascii="宋体" w:hAnsi="宋体" w:eastAsia="宋体" w:cs="宋体"/>
                <w:color w:val="000000"/>
                <w:spacing w:val="0"/>
                <w:highlight w:val="none"/>
                <w:lang w:val="en-US" w:eastAsia="zh-CN"/>
              </w:rPr>
            </w:r>
            <w:r/>
          </w:p>
        </w:tc>
        <w:tc>
          <w:tcPr>
            <w:tcMar>
              <w:left w:w="15" w:type="dxa"/>
              <w:top w:w="15" w:type="dxa"/>
              <w:right w:w="15" w:type="dxa"/>
              <w:bottom w:w="0" w:type="dxa"/>
            </w:tcMar>
            <w:tcW w:w="1184" w:type="dxa"/>
            <w:vAlign w:val="center"/>
            <w:textDirection w:val="lrTb"/>
            <w:noWrap w:val="false"/>
          </w:tcPr>
          <w:p>
            <w:pPr>
              <w:pStyle w:val="925"/>
              <w:jc w:val="center"/>
              <w:keepLines w:val="0"/>
              <w:keepNext w:val="0"/>
              <w:pageBreakBefore w:val="0"/>
              <w:spacing w:line="32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售后</w:t>
            </w:r>
            <w:r>
              <w:rPr>
                <w:rFonts w:hint="eastAsia" w:ascii="宋体" w:hAnsi="宋体" w:eastAsia="宋体" w:cs="宋体"/>
                <w:sz w:val="20"/>
                <w:szCs w:val="20"/>
                <w:highlight w:val="none"/>
              </w:rPr>
            </w:r>
            <w:r/>
          </w:p>
          <w:p>
            <w:pPr>
              <w:pStyle w:val="925"/>
              <w:jc w:val="center"/>
              <w:keepLines w:val="0"/>
              <w:keepNext w:val="0"/>
              <w:pageBreakBefore w:val="0"/>
              <w:spacing w:line="320" w:lineRule="exact"/>
              <w:widowControl/>
              <w:rPr>
                <w:rFonts w:hint="eastAsia" w:ascii="宋体" w:hAnsi="宋体" w:eastAsia="宋体" w:cs="宋体"/>
                <w:b w:val="0"/>
                <w:bCs/>
                <w:color w:val="000000"/>
                <w:spacing w:val="0"/>
                <w:sz w:val="21"/>
                <w:szCs w:val="21"/>
                <w:highlight w:val="none"/>
                <w:lang w:val="en-US" w:eastAsia="zh-CN" w:bidi="ar-SA"/>
              </w:rPr>
            </w:pPr>
            <w:r>
              <w:rPr>
                <w:rFonts w:hint="eastAsia" w:ascii="宋体" w:hAnsi="宋体" w:eastAsia="宋体" w:cs="宋体"/>
                <w:sz w:val="20"/>
                <w:szCs w:val="20"/>
                <w:highlight w:val="none"/>
              </w:rPr>
              <w:t xml:space="preserve">服务</w:t>
            </w:r>
            <w:r>
              <w:rPr>
                <w:rFonts w:hint="eastAsia" w:ascii="宋体" w:hAnsi="宋体" w:eastAsia="宋体" w:cs="宋体"/>
                <w:b w:val="0"/>
                <w:bCs/>
                <w:color w:val="000000"/>
                <w:spacing w:val="0"/>
                <w:sz w:val="21"/>
                <w:szCs w:val="21"/>
                <w:highlight w:val="none"/>
                <w:lang w:val="en-US" w:eastAsia="zh-CN" w:bidi="ar-SA"/>
              </w:rPr>
            </w:r>
            <w:r/>
          </w:p>
        </w:tc>
        <w:tc>
          <w:tcPr>
            <w:tcMar>
              <w:left w:w="15" w:type="dxa"/>
              <w:top w:w="15" w:type="dxa"/>
              <w:right w:w="15" w:type="dxa"/>
              <w:bottom w:w="0" w:type="dxa"/>
            </w:tcMar>
            <w:tcW w:w="5921" w:type="dxa"/>
            <w:vAlign w:val="center"/>
            <w:textDirection w:val="lrTb"/>
            <w:noWrap w:val="false"/>
          </w:tcPr>
          <w:p>
            <w:pPr>
              <w:pStyle w:val="925"/>
              <w:numPr>
                <w:ilvl w:val="0"/>
                <w:numId w:val="0"/>
              </w:numPr>
              <w:ind w:left="0" w:firstLine="0"/>
              <w:keepLines w:val="0"/>
              <w:keepNext w:val="0"/>
              <w:pageBreakBefore w:val="0"/>
              <w:spacing w:line="320" w:lineRule="exact"/>
              <w:widowControl/>
              <w:tabs>
                <w:tab w:val="left" w:pos="630" w:leader="none"/>
              </w:tabs>
              <w:rPr>
                <w:rFonts w:hint="eastAsia" w:ascii="宋体" w:hAnsi="宋体" w:eastAsia="宋体" w:cs="宋体"/>
                <w:color w:val="000000"/>
                <w:highlight w:val="none"/>
                <w:lang w:val="en-US" w:eastAsia="zh-CN"/>
              </w:rPr>
            </w:pPr>
            <w:r>
              <w:rPr>
                <w:rFonts w:hint="eastAsia" w:ascii="宋体" w:hAnsi="宋体" w:cs="宋体"/>
                <w:bCs/>
                <w:sz w:val="20"/>
                <w:szCs w:val="20"/>
                <w:highlight w:val="none"/>
                <w:lang w:val="en-US" w:eastAsia="zh-CN"/>
              </w:rPr>
              <w:t xml:space="preserve">投标人需详细阐述项目售后服务方案，包括售后服务措施、设备维护措施，技术支持与培训等，按照售后服务方案的合理性进行综合评价，措施有力且重点突出得4分，内容详细、切实可行得2分，未提供方案的不得分。</w:t>
            </w:r>
            <w:r>
              <w:rPr>
                <w:rFonts w:hint="eastAsia" w:ascii="宋体" w:hAnsi="宋体" w:eastAsia="宋体" w:cs="宋体"/>
                <w:color w:val="000000"/>
                <w:highlight w:val="none"/>
                <w:lang w:val="en-US" w:eastAsia="zh-CN"/>
              </w:rPr>
            </w:r>
            <w:r/>
          </w:p>
        </w:tc>
        <w:tc>
          <w:tcPr>
            <w:tcMar>
              <w:left w:w="15" w:type="dxa"/>
              <w:top w:w="15" w:type="dxa"/>
              <w:right w:w="15" w:type="dxa"/>
              <w:bottom w:w="0" w:type="dxa"/>
            </w:tcMar>
            <w:tcW w:w="380" w:type="dxa"/>
            <w:vAlign w:val="center"/>
            <w:textDirection w:val="lrTb"/>
            <w:noWrap w:val="false"/>
          </w:tcPr>
          <w:p>
            <w:pPr>
              <w:pStyle w:val="925"/>
              <w:jc w:val="center"/>
              <w:keepLines w:val="0"/>
              <w:keepNext w:val="0"/>
              <w:pageBreakBefore w:val="0"/>
              <w:spacing w:line="320" w:lineRule="exact"/>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4</w:t>
            </w:r>
            <w:r>
              <w:rPr>
                <w:rFonts w:hint="eastAsia" w:ascii="宋体" w:hAnsi="宋体" w:eastAsia="宋体" w:cs="宋体"/>
                <w:color w:val="000000"/>
                <w:spacing w:val="0"/>
                <w:sz w:val="21"/>
                <w:szCs w:val="16"/>
                <w:highlight w:val="none"/>
                <w:lang w:val="en-US" w:eastAsia="zh-CN" w:bidi="ar-SA"/>
              </w:rPr>
              <w:t xml:space="preserve">分</w:t>
            </w:r>
            <w:r>
              <w:rPr>
                <w:rFonts w:hint="eastAsia" w:ascii="宋体" w:hAnsi="宋体" w:eastAsia="宋体" w:cs="宋体"/>
                <w:color w:val="000000"/>
                <w:spacing w:val="0"/>
                <w:sz w:val="21"/>
                <w:szCs w:val="21"/>
                <w:highlight w:val="none"/>
                <w:lang w:val="en-US" w:eastAsia="zh-CN" w:bidi="ar-SA"/>
              </w:rPr>
            </w:r>
            <w:r/>
          </w:p>
        </w:tc>
      </w:tr>
    </w:tbl>
    <w:p>
      <w:pPr>
        <w:pStyle w:val="925"/>
        <w:numPr>
          <w:ilvl w:val="0"/>
          <w:numId w:val="0"/>
        </w:numPr>
        <w:keepLines w:val="0"/>
        <w:keepNext w:val="0"/>
        <w:pageBreakBefore w:val="0"/>
        <w:spacing w:line="320" w:lineRule="exact"/>
        <w:widowControl/>
        <w:rPr>
          <w:rFonts w:hint="eastAsia" w:ascii="宋体" w:hAnsi="宋体" w:eastAsia="宋体" w:cs="宋体"/>
          <w:b/>
          <w:bCs/>
          <w:color w:val="000000"/>
          <w:highlight w:val="none"/>
          <w:lang w:val="en-US" w:eastAsia="zh-CN"/>
        </w:rPr>
      </w:pPr>
      <w:r>
        <w:rPr>
          <w:rFonts w:hint="eastAsia" w:ascii="宋体" w:hAnsi="宋体" w:eastAsia="宋体" w:cs="宋体"/>
          <w:color w:val="000000"/>
          <w:highlight w:val="none"/>
          <w:lang w:val="en-US" w:eastAsia="zh-CN"/>
        </w:rPr>
        <w:t xml:space="preserve">注：1.投标人提供资料必须全部真实，如有伪造，一经查实有造假行为，则需要接受相关监管部门的处罚。2.评委依据招标文件载明的方法进行评分，评分四舍五入精确到小数点后两位。</w:t>
      </w:r>
      <w:r>
        <w:rPr>
          <w:rFonts w:hint="eastAsia" w:ascii="宋体" w:hAnsi="宋体" w:eastAsia="宋体" w:cs="宋体"/>
          <w:b/>
          <w:bCs/>
          <w:color w:val="000000"/>
          <w:highlight w:val="none"/>
          <w:lang w:val="en-US" w:eastAsia="zh-CN"/>
        </w:rPr>
      </w:r>
      <w:r/>
    </w:p>
    <w:p>
      <w:pPr>
        <w:pStyle w:val="925"/>
        <w:ind w:firstLine="560"/>
        <w:jc w:val="left"/>
        <w:spacing w:before="120" w:after="120" w:line="400" w:lineRule="exact"/>
        <w:rPr>
          <w:rFonts w:hint="eastAsia" w:ascii="方正魏碑_GBK" w:hAnsi="方正魏碑_GBK" w:eastAsia="方正魏碑_GBK" w:cs="方正魏碑_GBK"/>
          <w:color w:val="ff0000"/>
          <w:sz w:val="28"/>
          <w:szCs w:val="28"/>
          <w:highlight w:val="none"/>
        </w:rPr>
      </w:pPr>
      <w:r>
        <w:rPr>
          <w:rFonts w:hint="eastAsia" w:ascii="方正魏碑_GBK" w:hAnsi="方正魏碑_GBK" w:eastAsia="方正魏碑_GBK" w:cs="方正魏碑_GBK"/>
          <w:color w:val="ff0000"/>
          <w:sz w:val="28"/>
          <w:szCs w:val="28"/>
          <w:highlight w:val="none"/>
        </w:rPr>
      </w:r>
      <w:r/>
    </w:p>
    <w:p>
      <w:pPr>
        <w:pStyle w:val="925"/>
        <w:jc w:val="center"/>
        <w:keepNext/>
        <w:rPr>
          <w:rFonts w:hint="eastAsia" w:ascii="黑体" w:eastAsia="黑体"/>
          <w:bCs/>
          <w:color w:val="000000"/>
          <w:sz w:val="44"/>
          <w:szCs w:val="28"/>
          <w:highlight w:val="none"/>
        </w:rPr>
        <w:sectPr>
          <w:headerReference w:type="default" r:id="rId10"/>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324" w:name="_Toc6481"/>
      <w:r>
        <w:rPr>
          <w:rFonts w:hint="eastAsia" w:ascii="黑体" w:eastAsia="黑体"/>
          <w:bCs/>
          <w:color w:val="000000"/>
          <w:sz w:val="44"/>
          <w:szCs w:val="28"/>
          <w:highlight w:val="none"/>
        </w:rPr>
      </w:r>
      <w:r/>
    </w:p>
    <w:p>
      <w:pPr>
        <w:pStyle w:val="925"/>
        <w:jc w:val="center"/>
        <w:keepNext/>
        <w:rPr>
          <w:rFonts w:hint="eastAsia" w:ascii="黑体" w:eastAsia="黑体"/>
          <w:bCs/>
          <w:color w:val="000000"/>
          <w:sz w:val="44"/>
          <w:szCs w:val="28"/>
          <w:highlight w:val="none"/>
        </w:rPr>
        <w:outlineLvl w:val="0"/>
      </w:pPr>
      <w:r/>
      <w:bookmarkStart w:id="325" w:name="_Toc1983"/>
      <w:r>
        <w:rPr>
          <w:rFonts w:hint="eastAsia" w:ascii="黑体" w:eastAsia="黑体"/>
          <w:bCs/>
          <w:color w:val="000000"/>
          <w:sz w:val="44"/>
          <w:szCs w:val="28"/>
          <w:highlight w:val="none"/>
        </w:rPr>
      </w:r>
      <w:r/>
    </w:p>
    <w:p>
      <w:pPr>
        <w:pStyle w:val="925"/>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278"/>
      <w:r/>
      <w:bookmarkEnd w:id="279"/>
      <w:r/>
      <w:bookmarkEnd w:id="320"/>
      <w:r>
        <w:rPr>
          <w:rFonts w:hint="eastAsia" w:ascii="黑体" w:eastAsia="黑体"/>
          <w:bCs/>
          <w:color w:val="000000"/>
          <w:sz w:val="44"/>
          <w:szCs w:val="28"/>
          <w:highlight w:val="none"/>
        </w:rPr>
        <w:t xml:space="preserve">文件格式</w:t>
      </w:r>
      <w:bookmarkEnd w:id="324"/>
      <w:r/>
      <w:bookmarkEnd w:id="325"/>
      <w:r>
        <w:rPr>
          <w:rFonts w:hint="eastAsia" w:ascii="黑体" w:eastAsia="黑体"/>
          <w:bCs/>
          <w:color w:val="000000"/>
          <w:sz w:val="44"/>
          <w:szCs w:val="28"/>
          <w:highlight w:val="none"/>
        </w:rPr>
      </w:r>
      <w:r/>
    </w:p>
    <w:p>
      <w:pPr>
        <w:jc w:val="center"/>
        <w:rPr>
          <w:rFonts w:hint="eastAsia" w:ascii="宋体" w:hAnsi="宋体"/>
          <w:b/>
          <w:bCs/>
          <w:color w:val="000000"/>
          <w:sz w:val="72"/>
          <w:szCs w:val="72"/>
          <w:highlight w:val="none"/>
        </w:rPr>
      </w:pPr>
      <w:r>
        <w:rPr>
          <w:rFonts w:hint="eastAsia" w:ascii="宋体" w:hAnsi="宋体"/>
          <w:b/>
          <w:color w:val="000000"/>
          <w:sz w:val="72"/>
          <w:szCs w:val="21"/>
          <w:highlight w:val="none"/>
        </w:rPr>
      </w:r>
      <w:r>
        <w:rPr>
          <w:rFonts w:hint="eastAsia" w:ascii="宋体" w:hAnsi="宋体"/>
          <w:b/>
          <w:color w:val="000000"/>
          <w:sz w:val="72"/>
          <w:szCs w:val="21"/>
          <w:highlight w:val="none"/>
        </w:rPr>
      </w:r>
      <w:r/>
    </w:p>
    <w:p>
      <w:pPr>
        <w:pStyle w:val="925"/>
        <w:jc w:val="center"/>
        <w:rPr>
          <w:rFonts w:hint="eastAsia" w:ascii="宋体" w:hAnsi="宋体"/>
          <w:b/>
          <w:bCs/>
          <w:color w:val="000000"/>
          <w:sz w:val="72"/>
          <w:szCs w:val="72"/>
          <w:highlight w:val="none"/>
        </w:rPr>
      </w:pPr>
      <w:r/>
      <w:bookmarkStart w:id="326" w:name="_Toc26554094"/>
      <w:r/>
      <w:bookmarkStart w:id="327" w:name="_Toc49090576"/>
      <w:r/>
      <w:bookmarkStart w:id="328" w:name="_Toc120614282"/>
      <w:r/>
      <w:bookmarkStart w:id="329" w:name="_Hlt26955039"/>
      <w:r/>
      <w:bookmarkEnd w:id="329"/>
      <w:r/>
      <w:bookmarkStart w:id="330" w:name="_Hlt26671244"/>
      <w:r/>
      <w:bookmarkEnd w:id="330"/>
      <w:r>
        <w:rPr>
          <w:rFonts w:hint="eastAsia" w:ascii="宋体" w:hAnsi="宋体"/>
          <w:b/>
          <w:color w:val="000000"/>
          <w:sz w:val="72"/>
          <w:szCs w:val="21"/>
          <w:highlight w:val="none"/>
        </w:rPr>
      </w:r>
      <w:r/>
    </w:p>
    <w:p>
      <w:pPr>
        <w:pStyle w:val="925"/>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5"/>
        <w:jc w:val="center"/>
        <w:rPr>
          <w:rFonts w:hint="eastAsia" w:ascii="宋体" w:hAnsi="宋体"/>
          <w:b/>
          <w:color w:val="000000"/>
          <w:sz w:val="72"/>
          <w:szCs w:val="21"/>
          <w:highlight w:val="none"/>
        </w:rPr>
        <w:outlineLvl w:val="0"/>
      </w:pPr>
      <w:r/>
      <w:bookmarkStart w:id="331" w:name="_Toc13580"/>
      <w:r/>
      <w:bookmarkStart w:id="332" w:name="_Toc30901"/>
      <w:r/>
      <w:bookmarkStart w:id="333" w:name="_Toc17949"/>
      <w:r>
        <w:rPr>
          <w:rFonts w:hint="eastAsia" w:ascii="宋体" w:hAnsi="宋体"/>
          <w:b/>
          <w:color w:val="000000"/>
          <w:sz w:val="72"/>
          <w:szCs w:val="21"/>
          <w:highlight w:val="none"/>
        </w:rPr>
        <w:t xml:space="preserve">投  标  文  件</w:t>
      </w:r>
      <w:bookmarkEnd w:id="331"/>
      <w:r/>
      <w:bookmarkEnd w:id="332"/>
      <w:r/>
      <w:bookmarkEnd w:id="333"/>
      <w:r>
        <w:rPr>
          <w:rFonts w:hint="eastAsia" w:ascii="宋体" w:hAnsi="宋体"/>
          <w:b/>
          <w:color w:val="000000"/>
          <w:sz w:val="72"/>
          <w:szCs w:val="21"/>
          <w:highlight w:val="none"/>
        </w:rPr>
      </w:r>
      <w:r/>
    </w:p>
    <w:p>
      <w:pPr>
        <w:pStyle w:val="92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5"/>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25"/>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25"/>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925"/>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5"/>
        <w:jc w:val="center"/>
        <w:rPr>
          <w:rFonts w:hint="eastAsia" w:ascii="宋体" w:hAnsi="宋体"/>
          <w:b/>
          <w:bCs/>
          <w:sz w:val="32"/>
          <w:szCs w:val="32"/>
          <w:highlight w:val="none"/>
        </w:rPr>
        <w:outlineLvl w:val="0"/>
      </w:pPr>
      <w:r/>
      <w:bookmarkStart w:id="334" w:name="_Toc22263"/>
      <w:r/>
      <w:bookmarkStart w:id="335" w:name="_Toc27761"/>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rPr>
          <w:rFonts w:hint="eastAsia" w:ascii="宋体" w:hAnsi="宋体"/>
          <w:b/>
          <w:bCs/>
          <w:sz w:val="32"/>
          <w:szCs w:val="32"/>
          <w:highlight w:val="none"/>
        </w:rPr>
      </w:r>
      <w:r/>
    </w:p>
    <w:p>
      <w:pPr>
        <w:pStyle w:val="925"/>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pStyle w:val="925"/>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pStyle w:val="925"/>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pStyle w:val="925"/>
        <w:jc w:val="center"/>
        <w:rPr>
          <w:rFonts w:hint="eastAsia" w:ascii="宋体" w:hAnsi="宋体"/>
          <w:b/>
          <w:bCs/>
          <w:sz w:val="32"/>
          <w:szCs w:val="32"/>
          <w:highlight w:val="none"/>
        </w:rPr>
        <w:outlineLvl w:val="0"/>
      </w:pPr>
      <w:r/>
      <w:bookmarkStart w:id="336" w:name="_Toc25940"/>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bookmarkEnd w:id="334"/>
      <w:r/>
      <w:bookmarkEnd w:id="335"/>
      <w:r/>
      <w:bookmarkEnd w:id="336"/>
      <w:r>
        <w:rPr>
          <w:rFonts w:hint="eastAsia" w:ascii="宋体" w:hAnsi="宋体"/>
          <w:b/>
          <w:bCs/>
          <w:sz w:val="32"/>
          <w:szCs w:val="32"/>
          <w:highlight w:val="none"/>
        </w:rPr>
      </w:r>
      <w:r/>
    </w:p>
    <w:p>
      <w:pPr>
        <w:pStyle w:val="92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25"/>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rPr>
          <w:rFonts w:ascii="宋体" w:hAnsi="宋体"/>
          <w:b/>
          <w:sz w:val="24"/>
          <w:szCs w:val="21"/>
          <w:highlight w:val="none"/>
        </w:rPr>
      </w:r>
      <w:r/>
    </w:p>
    <w:p>
      <w:pPr>
        <w:pStyle w:val="925"/>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sz w:val="24"/>
          <w:szCs w:val="21"/>
          <w:highlight w:val="none"/>
        </w:rPr>
      </w:r>
      <w:r/>
    </w:p>
    <w:p>
      <w:pPr>
        <w:pStyle w:val="925"/>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925"/>
        <w:ind w:firstLine="480"/>
        <w:spacing w:line="400" w:lineRule="exact"/>
        <w:rPr>
          <w:rFonts w:hint="eastAsia" w:ascii="宋体" w:hAnsi="宋体"/>
          <w:sz w:val="24"/>
          <w:szCs w:val="21"/>
          <w:highlight w:val="none"/>
          <w:lang w:val="en-US" w:eastAsia="zh-CN"/>
        </w:rPr>
      </w:pPr>
      <w:r>
        <w:rPr>
          <w:rFonts w:hint="eastAsia" w:ascii="宋体" w:hAnsi="宋体"/>
          <w:sz w:val="24"/>
          <w:szCs w:val="21"/>
          <w:highlight w:val="none"/>
          <w:lang w:val="en-US" w:eastAsia="zh-CN"/>
        </w:rPr>
        <w:t xml:space="preserve">3.</w:t>
      </w:r>
      <w:r>
        <w:rPr>
          <w:rFonts w:hint="eastAsia" w:ascii="宋体" w:hAnsi="宋体"/>
          <w:sz w:val="24"/>
          <w:szCs w:val="21"/>
          <w:highlight w:val="none"/>
          <w:lang w:val="en-US" w:eastAsia="zh-CN"/>
        </w:rPr>
        <w:t xml:space="preserve">投标人认为需要添加的内容</w:t>
      </w:r>
      <w:r>
        <w:rPr>
          <w:rFonts w:hint="eastAsia" w:ascii="宋体" w:hAnsi="宋体"/>
          <w:sz w:val="24"/>
          <w:szCs w:val="21"/>
          <w:highlight w:val="none"/>
          <w:lang w:val="en-US" w:eastAsia="zh-CN"/>
        </w:rPr>
      </w:r>
      <w:r/>
    </w:p>
    <w:p>
      <w:pPr>
        <w:pStyle w:val="925"/>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rPr>
          <w:rFonts w:hint="eastAsia" w:ascii="宋体" w:hAnsi="宋体"/>
          <w:b/>
          <w:sz w:val="24"/>
          <w:szCs w:val="21"/>
          <w:highlight w:val="none"/>
        </w:rPr>
      </w:r>
      <w:r/>
    </w:p>
    <w:p>
      <w:pPr>
        <w:pStyle w:val="925"/>
        <w:ind w:firstLine="480"/>
        <w:spacing w:line="400" w:lineRule="exact"/>
        <w:rPr>
          <w:rFonts w:hint="eastAsia" w:ascii="宋体" w:hAnsi="宋体"/>
          <w:b/>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rPr>
          <w:rFonts w:hint="eastAsia" w:ascii="宋体" w:hAnsi="宋体"/>
          <w:b/>
          <w:bCs/>
          <w:sz w:val="24"/>
          <w:szCs w:val="21"/>
          <w:highlight w:val="none"/>
        </w:rPr>
        <w:t xml:space="preserve">（如供应商为分支机构的还需提供总公司出具的授权委托书）；</w:t>
      </w:r>
      <w:bookmarkStart w:id="337" w:name="OLE_LINK54"/>
      <w:r/>
      <w:bookmarkStart w:id="338" w:name="OLE_LINK55"/>
      <w:r>
        <w:rPr>
          <w:rFonts w:hint="eastAsia" w:ascii="宋体" w:hAnsi="宋体"/>
          <w:b/>
          <w:bCs/>
          <w:sz w:val="24"/>
          <w:szCs w:val="21"/>
          <w:highlight w:val="none"/>
        </w:rPr>
        <w:t xml:space="preserve">以联合体形式投标的联合体各方均须提供</w:t>
      </w:r>
      <w:bookmarkEnd w:id="337"/>
      <w:r/>
      <w:bookmarkEnd w:id="338"/>
      <w:r>
        <w:rPr>
          <w:rFonts w:hint="eastAsia" w:ascii="宋体" w:hAnsi="宋体"/>
          <w:b/>
          <w:bCs/>
          <w:sz w:val="24"/>
          <w:szCs w:val="21"/>
          <w:highlight w:val="none"/>
          <w:lang w:eastAsia="zh-CN"/>
        </w:rPr>
        <w:t xml:space="preserve">。</w:t>
      </w:r>
      <w:r>
        <w:rPr>
          <w:rFonts w:hint="eastAsia" w:ascii="宋体" w:hAnsi="宋体"/>
          <w:b/>
          <w:bCs/>
          <w:sz w:val="24"/>
          <w:szCs w:val="21"/>
          <w:highlight w:val="none"/>
        </w:rPr>
      </w:r>
      <w:r/>
    </w:p>
    <w:p>
      <w:pPr>
        <w:pStyle w:val="925"/>
        <w:ind w:firstLine="480"/>
        <w:spacing w:line="400" w:lineRule="exact"/>
        <w:rPr>
          <w:rFonts w:hint="eastAsia" w:ascii="宋体" w:hAnsi="宋体"/>
          <w:b/>
          <w:bCs/>
          <w:sz w:val="24"/>
          <w:szCs w:val="21"/>
          <w:highlight w:val="none"/>
        </w:rPr>
      </w:pP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基本资格条件的承诺（根据供应商提供的承诺函，内容完整且具有法人及法定代表人的印章）</w:t>
      </w:r>
      <w:r>
        <w:rPr>
          <w:rFonts w:hint="eastAsia" w:ascii="宋体" w:hAnsi="宋体"/>
          <w:sz w:val="24"/>
          <w:szCs w:val="21"/>
          <w:highlight w:val="none"/>
        </w:rPr>
        <w:t xml:space="preserve">（格式见附件</w:t>
      </w:r>
      <w:r>
        <w:rPr>
          <w:rFonts w:hint="eastAsia" w:ascii="宋体" w:hAnsi="宋体"/>
          <w:sz w:val="24"/>
          <w:szCs w:val="21"/>
          <w:highlight w:val="none"/>
          <w:lang w:val="en-US" w:eastAsia="zh-CN"/>
        </w:rPr>
        <w:t xml:space="preserve">3，</w:t>
      </w:r>
      <w:r>
        <w:rPr>
          <w:rFonts w:hint="eastAsia" w:ascii="宋体" w:hAnsi="宋体"/>
          <w:b/>
          <w:bCs/>
          <w:sz w:val="24"/>
          <w:szCs w:val="21"/>
          <w:highlight w:val="none"/>
        </w:rPr>
        <w:t xml:space="preserve">以联合体形式投标的联合体各方均须提供</w:t>
      </w:r>
      <w:r>
        <w:rPr>
          <w:rFonts w:hint="eastAsia" w:ascii="宋体" w:hAnsi="宋体"/>
          <w:sz w:val="24"/>
          <w:szCs w:val="21"/>
          <w:highlight w:val="none"/>
        </w:rPr>
        <w:t xml:space="preserve">）</w:t>
      </w:r>
      <w:r>
        <w:rPr>
          <w:rFonts w:hint="eastAsia" w:ascii="宋体" w:hAnsi="宋体"/>
          <w:b/>
          <w:bCs/>
          <w:sz w:val="24"/>
          <w:szCs w:val="21"/>
          <w:highlight w:val="none"/>
        </w:rPr>
      </w:r>
      <w:r/>
    </w:p>
    <w:p>
      <w:pPr>
        <w:pStyle w:val="925"/>
        <w:ind w:firstLine="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特定资格要求的证明文件</w:t>
      </w:r>
      <w:r>
        <w:rPr>
          <w:rFonts w:ascii="宋体" w:hAnsi="宋体"/>
          <w:sz w:val="24"/>
          <w:szCs w:val="21"/>
          <w:highlight w:val="none"/>
        </w:rPr>
      </w:r>
      <w:r/>
    </w:p>
    <w:p>
      <w:pPr>
        <w:pStyle w:val="925"/>
        <w:ind w:firstLine="480"/>
        <w:spacing w:line="400" w:lineRule="exact"/>
        <w:rPr>
          <w:rFonts w:hint="eastAsia" w:ascii="宋体" w:hAnsi="宋体"/>
          <w:b/>
          <w:bCs/>
          <w:sz w:val="24"/>
          <w:szCs w:val="21"/>
          <w:highlight w:val="none"/>
        </w:rPr>
      </w:pPr>
      <w:r>
        <w:rPr>
          <w:rFonts w:hint="eastAsia" w:ascii="宋体" w:hAnsi="宋体"/>
          <w:sz w:val="24"/>
          <w:szCs w:val="21"/>
          <w:highlight w:val="none"/>
          <w:lang w:val="en-US" w:eastAsia="zh-CN"/>
        </w:rPr>
        <w:t xml:space="preserve">4</w:t>
      </w:r>
      <w:r>
        <w:rPr>
          <w:rFonts w:ascii="宋体" w:hAnsi="宋体"/>
          <w:sz w:val="24"/>
          <w:szCs w:val="21"/>
          <w:highlight w:val="none"/>
        </w:rPr>
        <w:t xml:space="preserve">.</w:t>
      </w:r>
      <w:r>
        <w:rPr>
          <w:rFonts w:hint="eastAsia" w:ascii="宋体" w:hAnsi="宋体"/>
          <w:sz w:val="24"/>
          <w:szCs w:val="21"/>
          <w:highlight w:val="none"/>
        </w:rPr>
        <w:t xml:space="preserve">法人授权书（格式见附件</w:t>
      </w:r>
      <w:r>
        <w:rPr>
          <w:rFonts w:hint="eastAsia" w:ascii="宋体" w:hAnsi="宋体"/>
          <w:sz w:val="24"/>
          <w:szCs w:val="21"/>
          <w:highlight w:val="none"/>
          <w:lang w:val="en-US" w:eastAsia="zh-CN"/>
        </w:rPr>
        <w:t xml:space="preserve">4，</w:t>
      </w:r>
      <w:r>
        <w:rPr>
          <w:rFonts w:hint="eastAsia" w:ascii="宋体" w:hAnsi="宋体"/>
          <w:b/>
          <w:bCs/>
          <w:sz w:val="24"/>
          <w:szCs w:val="21"/>
          <w:highlight w:val="none"/>
        </w:rPr>
        <w:t xml:space="preserve">以联合体形式投标的仅需牵头单位出具</w:t>
      </w:r>
      <w:r>
        <w:rPr>
          <w:rFonts w:hint="eastAsia" w:ascii="宋体" w:hAnsi="宋体"/>
          <w:sz w:val="24"/>
          <w:szCs w:val="21"/>
          <w:highlight w:val="none"/>
        </w:rPr>
        <w:t xml:space="preserve">）</w:t>
      </w:r>
      <w:r>
        <w:rPr>
          <w:rFonts w:hint="eastAsia" w:ascii="宋体" w:hAnsi="宋体"/>
          <w:b/>
          <w:bCs/>
          <w:sz w:val="24"/>
          <w:szCs w:val="21"/>
          <w:highlight w:val="none"/>
        </w:rPr>
      </w:r>
      <w:r/>
    </w:p>
    <w:p>
      <w:pPr>
        <w:pStyle w:val="925"/>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5</w:t>
      </w:r>
      <w:r>
        <w:rPr>
          <w:rFonts w:ascii="宋体" w:hAnsi="宋体"/>
          <w:sz w:val="24"/>
          <w:szCs w:val="21"/>
          <w:highlight w:val="none"/>
        </w:rPr>
        <w:t xml:space="preserve">.</w:t>
      </w:r>
      <w:r>
        <w:rPr>
          <w:rFonts w:hint="eastAsia" w:ascii="宋体" w:hAnsi="宋体"/>
          <w:sz w:val="24"/>
          <w:szCs w:val="21"/>
          <w:highlight w:val="none"/>
        </w:rPr>
        <w:t xml:space="preserve">投标函（格式见附件</w:t>
      </w: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w:t>
      </w:r>
      <w:r>
        <w:rPr>
          <w:rFonts w:hint="eastAsia" w:ascii="宋体" w:hAnsi="宋体"/>
          <w:sz w:val="24"/>
          <w:szCs w:val="21"/>
          <w:highlight w:val="none"/>
        </w:rPr>
      </w:r>
      <w:r/>
    </w:p>
    <w:p>
      <w:pPr>
        <w:pStyle w:val="925"/>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6</w:t>
      </w:r>
      <w:r>
        <w:rPr>
          <w:rFonts w:ascii="宋体" w:hAnsi="宋体"/>
          <w:sz w:val="24"/>
          <w:szCs w:val="21"/>
          <w:highlight w:val="none"/>
        </w:rPr>
        <w:t xml:space="preserve">.</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w:t>
      </w:r>
      <w:r>
        <w:rPr>
          <w:rFonts w:hint="eastAsia" w:ascii="宋体" w:hAnsi="宋体"/>
          <w:sz w:val="24"/>
          <w:szCs w:val="21"/>
          <w:highlight w:val="none"/>
        </w:rPr>
      </w:r>
      <w:r/>
    </w:p>
    <w:p>
      <w:pPr>
        <w:pStyle w:val="925"/>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7.</w:t>
      </w:r>
      <w:r>
        <w:rPr>
          <w:rFonts w:hint="eastAsia" w:ascii="宋体" w:hAnsi="宋体"/>
          <w:sz w:val="24"/>
          <w:szCs w:val="21"/>
          <w:highlight w:val="none"/>
        </w:rPr>
        <w:t xml:space="preserve">技术条款响应及偏离表</w:t>
      </w:r>
      <w:r>
        <w:rPr>
          <w:rFonts w:hint="eastAsia" w:ascii="宋体" w:hAnsi="宋体"/>
          <w:sz w:val="24"/>
          <w:szCs w:val="21"/>
          <w:highlight w:val="none"/>
        </w:rPr>
        <w:t xml:space="preserve">（格式见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7</w:t>
      </w:r>
      <w:r>
        <w:rPr>
          <w:rFonts w:hint="eastAsia" w:ascii="宋体" w:hAnsi="宋体"/>
          <w:sz w:val="24"/>
          <w:szCs w:val="21"/>
          <w:highlight w:val="none"/>
        </w:rPr>
        <w:t xml:space="preserve">）</w:t>
      </w:r>
      <w:r>
        <w:rPr>
          <w:rFonts w:hint="eastAsia" w:ascii="宋体" w:hAnsi="宋体"/>
          <w:sz w:val="24"/>
          <w:szCs w:val="21"/>
          <w:highlight w:val="none"/>
        </w:rPr>
      </w:r>
      <w:r/>
    </w:p>
    <w:p>
      <w:pPr>
        <w:pStyle w:val="925"/>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8.联合体协议书（</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9；</w:t>
      </w:r>
      <w:r>
        <w:rPr>
          <w:rFonts w:hint="eastAsia" w:ascii="宋体" w:hAnsi="宋体"/>
          <w:b/>
          <w:bCs/>
          <w:sz w:val="24"/>
          <w:szCs w:val="21"/>
          <w:highlight w:val="none"/>
          <w:lang w:val="en-US" w:eastAsia="zh-CN"/>
        </w:rPr>
        <w:t xml:space="preserve">如联合体投标的，需提供联合体协议书</w:t>
      </w:r>
      <w:r>
        <w:rPr>
          <w:rFonts w:hint="eastAsia" w:ascii="宋体" w:hAnsi="宋体"/>
          <w:sz w:val="24"/>
          <w:szCs w:val="21"/>
          <w:highlight w:val="none"/>
          <w:lang w:val="en-US" w:eastAsia="zh-CN"/>
        </w:rPr>
        <w:t xml:space="preserve">）</w:t>
      </w:r>
      <w:r>
        <w:rPr>
          <w:rFonts w:hint="eastAsia" w:ascii="宋体" w:hAnsi="宋体"/>
          <w:sz w:val="24"/>
          <w:szCs w:val="21"/>
          <w:highlight w:val="none"/>
        </w:rPr>
      </w:r>
      <w:r/>
    </w:p>
    <w:p>
      <w:pPr>
        <w:pStyle w:val="925"/>
        <w:ind w:firstLine="480"/>
        <w:rPr>
          <w:rFonts w:ascii="宋体" w:hAnsi="宋体"/>
          <w:b/>
          <w:sz w:val="24"/>
          <w:szCs w:val="21"/>
          <w:highlight w:val="none"/>
        </w:rPr>
      </w:pPr>
      <w:r>
        <w:rPr>
          <w:rFonts w:hint="eastAsia" w:ascii="宋体" w:hAnsi="宋体"/>
          <w:b/>
          <w:sz w:val="24"/>
          <w:szCs w:val="21"/>
          <w:highlight w:val="none"/>
          <w:lang w:val="en-US" w:eastAsia="zh-CN"/>
        </w:rPr>
        <w:t xml:space="preserve">三</w:t>
      </w:r>
      <w:r>
        <w:rPr>
          <w:rFonts w:hint="eastAsia" w:ascii="宋体" w:hAnsi="宋体"/>
          <w:b/>
          <w:sz w:val="24"/>
          <w:szCs w:val="21"/>
          <w:highlight w:val="none"/>
        </w:rPr>
        <w:t xml:space="preserve">、价格</w:t>
      </w:r>
      <w:r>
        <w:rPr>
          <w:rFonts w:ascii="宋体" w:hAnsi="宋体"/>
          <w:b/>
          <w:sz w:val="24"/>
          <w:szCs w:val="21"/>
          <w:highlight w:val="none"/>
        </w:rPr>
        <w:t xml:space="preserve">扣除证明文件</w:t>
      </w:r>
      <w:r>
        <w:rPr>
          <w:rFonts w:ascii="宋体" w:hAnsi="宋体"/>
          <w:b/>
          <w:sz w:val="24"/>
          <w:szCs w:val="21"/>
          <w:highlight w:val="none"/>
        </w:rPr>
      </w:r>
      <w:r/>
    </w:p>
    <w:p>
      <w:pPr>
        <w:pStyle w:val="925"/>
        <w:ind w:firstLine="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w:t>
      </w:r>
      <w:r>
        <w:rPr>
          <w:rFonts w:hint="eastAsia" w:ascii="宋体" w:hAnsi="宋体"/>
          <w:sz w:val="24"/>
          <w:szCs w:val="21"/>
          <w:highlight w:val="none"/>
        </w:rPr>
      </w:r>
      <w:r/>
    </w:p>
    <w:p>
      <w:pPr>
        <w:pStyle w:val="925"/>
        <w:ind w:firstLine="480"/>
        <w:spacing w:line="400" w:lineRule="exact"/>
        <w:rPr>
          <w:rFonts w:hint="eastAsia" w:ascii="宋体" w:hAnsi="宋体"/>
          <w:sz w:val="24"/>
          <w:szCs w:val="21"/>
          <w:highlight w:val="none"/>
        </w:rPr>
      </w:pPr>
      <w:r>
        <w:rPr>
          <w:rFonts w:hint="eastAsia" w:ascii="方正魏碑_GBK" w:hAnsi="方正魏碑_GBK" w:eastAsia="方正魏碑_GBK" w:cs="方正魏碑_GBK"/>
          <w:color w:val="ff0000"/>
          <w:sz w:val="24"/>
          <w:szCs w:val="21"/>
          <w:highlight w:val="none"/>
          <w:lang w:val="en-US" w:eastAsia="zh-CN"/>
        </w:rPr>
        <w:t xml:space="preserve">2</w:t>
      </w:r>
      <w:r>
        <w:rPr>
          <w:rFonts w:hint="eastAsia" w:ascii="方正魏碑_GBK" w:hAnsi="方正魏碑_GBK" w:eastAsia="方正魏碑_GBK" w:cs="方正魏碑_GBK"/>
          <w:color w:val="ff0000"/>
          <w:sz w:val="24"/>
          <w:szCs w:val="21"/>
          <w:highlight w:val="none"/>
        </w:rPr>
        <w:t xml:space="preserve">. 关于符合本国产品标准的声明函（格式见附件</w:t>
      </w:r>
      <w:r>
        <w:rPr>
          <w:rFonts w:hint="eastAsia" w:ascii="方正魏碑_GBK" w:hAnsi="方正魏碑_GBK" w:eastAsia="方正魏碑_GBK" w:cs="方正魏碑_GBK"/>
          <w:color w:val="ff0000"/>
          <w:sz w:val="24"/>
          <w:szCs w:val="21"/>
          <w:highlight w:val="none"/>
          <w:lang w:val="en-US" w:eastAsia="zh-CN"/>
        </w:rPr>
        <w:t xml:space="preserve">8</w:t>
      </w:r>
      <w:r>
        <w:rPr>
          <w:rFonts w:hint="eastAsia" w:ascii="方正魏碑_GBK" w:hAnsi="方正魏碑_GBK" w:eastAsia="方正魏碑_GBK" w:cs="方正魏碑_GBK"/>
          <w:color w:val="ff0000"/>
          <w:sz w:val="24"/>
          <w:szCs w:val="21"/>
          <w:highlight w:val="none"/>
        </w:rPr>
        <w:t xml:space="preserve">）</w:t>
      </w:r>
      <w:r>
        <w:rPr>
          <w:rFonts w:hint="eastAsia" w:ascii="宋体" w:hAnsi="宋体"/>
          <w:sz w:val="24"/>
          <w:szCs w:val="21"/>
          <w:highlight w:val="none"/>
        </w:rPr>
      </w:r>
      <w:r/>
    </w:p>
    <w:p>
      <w:pPr>
        <w:pStyle w:val="925"/>
        <w:ind w:left="480"/>
        <w:rPr>
          <w:rFonts w:ascii="宋体" w:hAnsi="宋体"/>
          <w:b/>
          <w:sz w:val="24"/>
          <w:szCs w:val="21"/>
          <w:highlight w:val="none"/>
        </w:rPr>
      </w:pPr>
      <w:r>
        <w:rPr>
          <w:rFonts w:ascii="宋体" w:hAnsi="宋体"/>
          <w:b/>
          <w:sz w:val="24"/>
          <w:szCs w:val="21"/>
          <w:highlight w:val="none"/>
        </w:rPr>
      </w:r>
      <w:r/>
    </w:p>
    <w:p>
      <w:pPr>
        <w:pStyle w:val="925"/>
        <w:jc w:val="center"/>
        <w:rPr>
          <w:rFonts w:hint="eastAsia" w:ascii="宋体" w:hAnsi="宋体"/>
          <w:b/>
          <w:sz w:val="24"/>
          <w:szCs w:val="24"/>
          <w:highlight w:val="none"/>
        </w:rPr>
        <w:outlineLvl w:val="0"/>
      </w:pPr>
      <w:r/>
      <w:bookmarkStart w:id="339" w:name="_Toc24141"/>
      <w:r/>
      <w:bookmarkStart w:id="340" w:name="_Toc12215"/>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bCs/>
          <w:sz w:val="24"/>
          <w:szCs w:val="24"/>
          <w:highlight w:val="none"/>
        </w:rPr>
        <w:outlineLvl w:val="0"/>
      </w:pPr>
      <w:r>
        <w:rPr>
          <w:rFonts w:hint="eastAsia" w:ascii="宋体" w:hAnsi="宋体"/>
          <w:b/>
          <w:sz w:val="24"/>
          <w:szCs w:val="24"/>
          <w:highlight w:val="none"/>
        </w:rPr>
      </w:r>
      <w:r>
        <w:rPr>
          <w:rFonts w:hint="eastAsia" w:ascii="宋体" w:hAnsi="宋体"/>
          <w:b/>
          <w:sz w:val="24"/>
          <w:szCs w:val="24"/>
          <w:highlight w:val="none"/>
        </w:rPr>
      </w:r>
      <w:r/>
    </w:p>
    <w:p>
      <w:pPr>
        <w:jc w:val="center"/>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p>
      <w:pPr>
        <w:pStyle w:val="925"/>
        <w:jc w:val="center"/>
        <w:rPr>
          <w:rFonts w:hint="eastAsia" w:ascii="宋体" w:hAnsi="宋体"/>
          <w:b/>
          <w:bCs/>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rPr>
          <w:rFonts w:hint="eastAsia" w:ascii="宋体" w:hAnsi="宋体"/>
          <w:b/>
          <w:sz w:val="24"/>
          <w:szCs w:val="24"/>
          <w:highlight w:val="none"/>
        </w:rPr>
      </w:pPr>
      <w:r>
        <w:rPr>
          <w:rFonts w:hint="eastAsia" w:ascii="宋体" w:hAnsi="宋体"/>
          <w:b/>
          <w:sz w:val="24"/>
          <w:szCs w:val="24"/>
          <w:highlight w:val="none"/>
        </w:rPr>
      </w:r>
      <w:r/>
    </w:p>
    <w:p>
      <w:pPr>
        <w:pStyle w:val="925"/>
        <w:rPr>
          <w:rFonts w:hint="eastAsia"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bookmarkEnd w:id="339"/>
      <w:r/>
      <w:bookmarkEnd w:id="340"/>
      <w:r>
        <w:rPr>
          <w:rFonts w:hint="eastAsia" w:eastAsia="仿宋_GB2312"/>
          <w:sz w:val="24"/>
          <w:szCs w:val="20"/>
          <w:highlight w:val="none"/>
        </w:rPr>
      </w:r>
      <w:r/>
    </w:p>
    <w:p>
      <w:pPr>
        <w:jc w:val="center"/>
        <w:rPr>
          <w:b/>
          <w:bCs/>
          <w:sz w:val="32"/>
          <w:szCs w:val="32"/>
          <w:highlight w:val="none"/>
        </w:rPr>
      </w:pPr>
      <w:r>
        <w:rPr>
          <w:rFonts w:hint="eastAsia"/>
          <w:b/>
          <w:sz w:val="32"/>
          <w:szCs w:val="32"/>
          <w:highlight w:val="none"/>
        </w:rPr>
      </w:r>
      <w:r>
        <w:rPr>
          <w:rFonts w:hint="eastAsia"/>
          <w:b/>
          <w:sz w:val="32"/>
          <w:szCs w:val="32"/>
          <w:highlight w:val="none"/>
        </w:rPr>
      </w:r>
      <w:r/>
    </w:p>
    <w:p>
      <w:pPr>
        <w:jc w:val="center"/>
        <w:rPr>
          <w:rFonts w:hint="eastAsia"/>
          <w:b/>
          <w:bCs/>
          <w:sz w:val="32"/>
          <w:szCs w:val="32"/>
          <w:highlight w:val="none"/>
        </w:rPr>
      </w:pPr>
      <w:r>
        <w:rPr>
          <w:rFonts w:hint="eastAsia"/>
          <w:b/>
          <w:sz w:val="32"/>
          <w:szCs w:val="32"/>
          <w:highlight w:val="none"/>
        </w:rPr>
      </w:r>
      <w:r>
        <w:rPr>
          <w:rFonts w:hint="eastAsia"/>
          <w:b/>
          <w:sz w:val="32"/>
          <w:szCs w:val="32"/>
          <w:highlight w:val="none"/>
        </w:rPr>
      </w:r>
      <w:r/>
    </w:p>
    <w:p>
      <w:pPr>
        <w:pStyle w:val="925"/>
        <w:jc w:val="center"/>
        <w:rPr>
          <w:rFonts w:hint="eastAsia"/>
          <w:b/>
          <w:bCs/>
          <w:sz w:val="32"/>
          <w:szCs w:val="32"/>
          <w:highlight w:val="none"/>
        </w:rPr>
      </w:pPr>
      <w:r>
        <w:rPr>
          <w:rFonts w:hint="eastAsia"/>
          <w:b/>
          <w:sz w:val="32"/>
          <w:szCs w:val="32"/>
          <w:highlight w:val="none"/>
        </w:rPr>
        <w:t xml:space="preserve">开标一览表</w:t>
      </w:r>
      <w:r>
        <w:rPr>
          <w:b/>
          <w:sz w:val="32"/>
          <w:szCs w:val="32"/>
          <w:highlight w:val="none"/>
        </w:rPr>
      </w:r>
      <w:r/>
    </w:p>
    <w:p>
      <w:pPr>
        <w:pStyle w:val="925"/>
        <w:spacing w:line="500" w:lineRule="exact"/>
        <w:rPr>
          <w:rFonts w:hint="eastAsia" w:eastAsia="仿宋_GB2312"/>
          <w:b/>
          <w:bCs/>
          <w:color w:val="ff0000"/>
          <w:sz w:val="28"/>
          <w:szCs w:val="28"/>
          <w:highlight w:val="none"/>
        </w:rPr>
      </w:pPr>
      <w:r>
        <w:rPr>
          <w:rFonts w:hint="eastAsia" w:eastAsia="仿宋_GB2312"/>
          <w:b/>
          <w:bCs/>
          <w:color w:val="ff0000"/>
          <w:sz w:val="28"/>
          <w:szCs w:val="28"/>
          <w:highlight w:val="none"/>
        </w:rPr>
      </w:r>
      <w:r/>
    </w:p>
    <w:p>
      <w:pPr>
        <w:pStyle w:val="925"/>
        <w:spacing w:line="500" w:lineRule="exact"/>
        <w:rPr>
          <w:rFonts w:eastAsia="楷体"/>
          <w:b/>
          <w:color w:val="0d0d0d"/>
          <w:sz w:val="28"/>
          <w:szCs w:val="28"/>
          <w:highlight w:val="none"/>
        </w:rPr>
      </w:pPr>
      <w:r>
        <w:rPr>
          <w:rFonts w:hint="eastAsia" w:eastAsia="仿宋_GB2312"/>
          <w:b/>
          <w:bCs/>
          <w:color w:val="ff0000"/>
          <w:sz w:val="28"/>
          <w:szCs w:val="28"/>
          <w:highlight w:val="none"/>
        </w:rPr>
        <w:t xml:space="preserve">按“江苏省政府采购管理交易系统（苏采云）”中格式填写。</w:t>
      </w:r>
      <w:r>
        <w:rPr>
          <w:rFonts w:eastAsia="楷体"/>
          <w:b/>
          <w:color w:val="0d0d0d"/>
          <w:sz w:val="28"/>
          <w:szCs w:val="28"/>
          <w:highlight w:val="none"/>
        </w:rPr>
      </w:r>
      <w:r/>
    </w:p>
    <w:p>
      <w:pPr>
        <w:pStyle w:val="925"/>
        <w:rPr>
          <w:rFonts w:ascii="宋体" w:hAnsi="宋体"/>
          <w:sz w:val="24"/>
          <w:szCs w:val="24"/>
          <w:highlight w:val="none"/>
        </w:rPr>
      </w:pPr>
      <w:r>
        <w:rPr>
          <w:rFonts w:ascii="宋体" w:hAnsi="宋体"/>
          <w:sz w:val="24"/>
          <w:szCs w:val="24"/>
          <w:highlight w:val="none"/>
        </w:rPr>
      </w:r>
      <w:r/>
    </w:p>
    <w:p>
      <w:pPr>
        <w:pStyle w:val="925"/>
        <w:rPr>
          <w:rFonts w:ascii="宋体" w:hAnsi="宋体"/>
          <w:sz w:val="24"/>
          <w:szCs w:val="24"/>
          <w:highlight w:val="none"/>
        </w:rPr>
      </w:pPr>
      <w:r>
        <w:rPr>
          <w:rFonts w:ascii="宋体" w:hAnsi="宋体"/>
          <w:sz w:val="24"/>
          <w:szCs w:val="24"/>
          <w:highlight w:val="none"/>
        </w:rPr>
      </w:r>
      <w:r/>
    </w:p>
    <w:p>
      <w:pPr>
        <w:pStyle w:val="925"/>
        <w:rPr>
          <w:rFonts w:hint="eastAsia" w:ascii="宋体" w:hAnsi="宋体"/>
          <w:sz w:val="24"/>
          <w:szCs w:val="24"/>
          <w:highlight w:val="none"/>
        </w:rPr>
      </w:pPr>
      <w:r>
        <w:rPr>
          <w:rFonts w:hint="eastAsia" w:ascii="宋体" w:hAnsi="宋体"/>
          <w:sz w:val="24"/>
          <w:szCs w:val="24"/>
          <w:highlight w:val="none"/>
        </w:rPr>
      </w:r>
      <w:r/>
    </w:p>
    <w:p>
      <w:pPr>
        <w:pStyle w:val="925"/>
        <w:rPr>
          <w:rFonts w:ascii="方正魏碑_GBK" w:hAnsi="方正魏碑_GBK" w:eastAsia="方正魏碑_GBK" w:cs="方正魏碑_GBK"/>
          <w:b/>
          <w:color w:val="ff0000"/>
          <w:sz w:val="24"/>
          <w:szCs w:val="24"/>
          <w:highlight w:val="none"/>
        </w:rPr>
      </w:pPr>
      <w:r>
        <w:rPr>
          <w:rFonts w:ascii="方正魏碑_GBK" w:hAnsi="方正魏碑_GBK" w:eastAsia="方正魏碑_GBK" w:cs="方正魏碑_GBK"/>
          <w:b/>
          <w:color w:val="ff0000"/>
          <w:sz w:val="24"/>
          <w:szCs w:val="24"/>
          <w:highlight w:val="none"/>
        </w:rPr>
      </w:r>
      <w:r/>
    </w:p>
    <w:p>
      <w:pPr>
        <w:pStyle w:val="925"/>
        <w:rPr>
          <w:rFonts w:hint="eastAsia" w:ascii="宋体" w:hAnsi="宋体"/>
          <w:b/>
          <w:sz w:val="24"/>
          <w:szCs w:val="24"/>
          <w:highlight w:val="none"/>
        </w:rPr>
      </w:pPr>
      <w:r>
        <w:rPr>
          <w:rFonts w:hint="eastAsia" w:ascii="宋体" w:hAnsi="宋体"/>
          <w:b/>
          <w:sz w:val="24"/>
          <w:szCs w:val="24"/>
          <w:highlight w:val="none"/>
        </w:rPr>
      </w:r>
      <w:r/>
    </w:p>
    <w:p>
      <w:pPr>
        <w:pStyle w:val="925"/>
        <w:rPr>
          <w:rFonts w:hint="eastAsia" w:ascii="宋体" w:hAnsi="宋体"/>
          <w:b/>
          <w:sz w:val="24"/>
          <w:szCs w:val="24"/>
          <w:highlight w:val="none"/>
        </w:rPr>
      </w:pPr>
      <w:r>
        <w:rPr>
          <w:rFonts w:hint="eastAsia" w:ascii="宋体" w:hAnsi="宋体"/>
          <w:b/>
          <w:sz w:val="24"/>
          <w:szCs w:val="24"/>
          <w:highlight w:val="none"/>
        </w:rPr>
      </w:r>
      <w:r/>
    </w:p>
    <w:p>
      <w:pPr>
        <w:pStyle w:val="925"/>
        <w:jc w:val="center"/>
        <w:rPr>
          <w:rFonts w:ascii="宋体" w:hAnsi="宋体"/>
          <w:b/>
          <w:sz w:val="24"/>
          <w:szCs w:val="24"/>
          <w:highlight w:val="none"/>
        </w:rPr>
      </w:pPr>
      <w:r>
        <w:rPr>
          <w:rFonts w:ascii="宋体" w:hAnsi="宋体"/>
          <w:b/>
          <w:sz w:val="24"/>
          <w:szCs w:val="24"/>
          <w:highlight w:val="none"/>
        </w:rPr>
      </w:r>
      <w:r/>
    </w:p>
    <w:p>
      <w:pPr>
        <w:pStyle w:val="925"/>
        <w:jc w:val="center"/>
        <w:rPr>
          <w:rFonts w:hint="eastAsia" w:ascii="宋体" w:hAnsi="宋体"/>
          <w:b/>
          <w:sz w:val="24"/>
          <w:szCs w:val="24"/>
          <w:highlight w:val="none"/>
        </w:rPr>
        <w:outlineLvl w:val="0"/>
      </w:pPr>
      <w:r/>
      <w:bookmarkStart w:id="341" w:name="_Toc11550"/>
      <w:r/>
      <w:bookmarkStart w:id="342" w:name="_Toc12552"/>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bCs/>
          <w:sz w:val="24"/>
          <w:szCs w:val="24"/>
          <w:highlight w:val="none"/>
        </w:rPr>
        <w:outlineLvl w:val="0"/>
      </w:pPr>
      <w:r/>
      <w:bookmarkStart w:id="343" w:name="_Toc24615"/>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w:t>
      </w:r>
      <w:r>
        <w:rPr>
          <w:rFonts w:hint="eastAsia" w:ascii="宋体" w:hAnsi="宋体"/>
          <w:b/>
          <w:sz w:val="24"/>
          <w:szCs w:val="24"/>
          <w:highlight w:val="none"/>
          <w:lang w:val="en-US" w:eastAsia="zh-CN"/>
        </w:rPr>
        <w:t xml:space="preserve"> </w:t>
      </w:r>
      <w:r>
        <w:rPr>
          <w:rFonts w:hint="eastAsia" w:ascii="宋体" w:hAnsi="宋体"/>
          <w:b/>
          <w:sz w:val="24"/>
          <w:szCs w:val="24"/>
          <w:highlight w:val="none"/>
        </w:rPr>
        <w:t xml:space="preserve">投标分项报价表</w:t>
      </w:r>
      <w:bookmarkEnd w:id="341"/>
      <w:r/>
      <w:bookmarkEnd w:id="342"/>
      <w:r/>
      <w:bookmarkEnd w:id="343"/>
      <w:r>
        <w:rPr>
          <w:rFonts w:hint="eastAsia" w:ascii="宋体" w:hAnsi="宋体"/>
          <w:b/>
          <w:sz w:val="24"/>
          <w:szCs w:val="24"/>
          <w:highlight w:val="none"/>
        </w:rPr>
      </w:r>
      <w:r/>
    </w:p>
    <w:tbl>
      <w:tblPr>
        <w:tblStyle w:val="781"/>
        <w:tblW w:w="0" w:type="auto"/>
        <w:tblLook w:val="04A0" w:firstRow="1" w:lastRow="0" w:firstColumn="1" w:lastColumn="0" w:noHBand="0" w:noVBand="1"/>
      </w:tblPr>
      <w:tblGrid>
        <w:gridCol w:w="1066"/>
        <w:gridCol w:w="1066"/>
        <w:gridCol w:w="1066"/>
        <w:gridCol w:w="1066"/>
        <w:gridCol w:w="1066"/>
        <w:gridCol w:w="1066"/>
        <w:gridCol w:w="1066"/>
        <w:gridCol w:w="1066"/>
      </w:tblGrid>
      <w:tr>
        <w:trPr/>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cs="宋体"/>
                <w:bCs/>
                <w:szCs w:val="21"/>
                <w:highlight w:val="none"/>
              </w:rPr>
              <w:t xml:space="preserve">序号</w:t>
            </w:r>
            <w:r>
              <w:rPr>
                <w:rFonts w:hint="eastAsia" w:ascii="宋体" w:hAnsi="宋体"/>
                <w:b/>
                <w:bCs/>
                <w:sz w:val="24"/>
                <w:szCs w:val="24"/>
                <w:highlight w:val="none"/>
              </w:rPr>
            </w:r>
            <w:r/>
          </w:p>
        </w:tc>
        <w:tc>
          <w:tcPr>
            <w:tcW w:w="1066" w:type="dxa"/>
            <w:textDirection w:val="lrTb"/>
            <w:noWrap w:val="false"/>
          </w:tcPr>
          <w:p>
            <w:pPr>
              <w:pStyle w:val="1053"/>
              <w:jc w:val="center"/>
              <w:pageBreakBefore w:val="0"/>
              <w:spacing w:line="360" w:lineRule="auto"/>
              <w:rPr>
                <w:rFonts w:ascii="宋体" w:hAnsi="宋体" w:cs="宋体"/>
                <w:highlight w:val="none"/>
              </w:rPr>
            </w:pPr>
            <w:r>
              <w:rPr>
                <w:rFonts w:hint="eastAsia" w:ascii="宋体" w:hAnsi="宋体" w:cs="宋体"/>
                <w:bCs/>
                <w:szCs w:val="21"/>
                <w:highlight w:val="none"/>
              </w:rPr>
              <w:t xml:space="preserve">标的物名称</w:t>
            </w:r>
            <w:r>
              <w:rPr>
                <w:rFonts w:ascii="宋体" w:hAnsi="宋体" w:cs="宋体"/>
                <w:bCs/>
                <w:szCs w:val="21"/>
                <w:highlight w:val="none"/>
              </w:rPr>
            </w:r>
            <w:r/>
          </w:p>
        </w:tc>
        <w:tc>
          <w:tcPr>
            <w:tcW w:w="1066" w:type="dxa"/>
            <w:textDirection w:val="lrTb"/>
            <w:noWrap w:val="false"/>
          </w:tcPr>
          <w:p>
            <w:pPr>
              <w:pStyle w:val="1053"/>
              <w:jc w:val="center"/>
              <w:pageBreakBefore w:val="0"/>
              <w:spacing w:line="360" w:lineRule="auto"/>
              <w:rPr>
                <w:rFonts w:hint="eastAsia" w:ascii="宋体" w:hAnsi="宋体" w:eastAsia="宋体" w:cs="宋体"/>
                <w:highlight w:val="none"/>
                <w:lang w:val="en-US" w:eastAsia="zh-CN"/>
              </w:rPr>
            </w:pPr>
            <w:r>
              <w:rPr>
                <w:rFonts w:hint="eastAsia" w:ascii="宋体" w:hAnsi="宋体" w:eastAsia="宋体" w:cs="宋体"/>
                <w:bCs/>
                <w:szCs w:val="21"/>
                <w:highlight w:val="none"/>
                <w:lang w:val="en-US" w:eastAsia="zh-CN"/>
              </w:rPr>
              <w:t xml:space="preserve">规格、型号</w:t>
            </w:r>
            <w:r>
              <w:rPr>
                <w:rFonts w:hint="eastAsia" w:ascii="宋体" w:hAnsi="宋体" w:eastAsia="宋体" w:cs="宋体"/>
                <w:bCs/>
                <w:szCs w:val="21"/>
                <w:highlight w:val="none"/>
                <w:lang w:val="en-US" w:eastAsia="zh-CN"/>
              </w:rPr>
            </w:r>
            <w:r/>
          </w:p>
        </w:tc>
        <w:tc>
          <w:tcPr>
            <w:tcW w:w="1066" w:type="dxa"/>
            <w:textDirection w:val="lrTb"/>
            <w:noWrap w:val="false"/>
          </w:tcPr>
          <w:p>
            <w:pPr>
              <w:pStyle w:val="1053"/>
              <w:jc w:val="center"/>
              <w:pageBreakBefore w:val="0"/>
              <w:spacing w:line="360" w:lineRule="auto"/>
              <w:rPr>
                <w:rFonts w:hint="eastAsia" w:ascii="宋体" w:hAnsi="宋体" w:eastAsia="宋体" w:cs="宋体"/>
                <w:highlight w:val="none"/>
                <w:lang w:val="en-US" w:eastAsia="zh-CN"/>
              </w:rPr>
            </w:pPr>
            <w:r>
              <w:rPr>
                <w:rFonts w:hint="eastAsia" w:ascii="宋体" w:hAnsi="宋体" w:cs="宋体"/>
                <w:bCs/>
                <w:szCs w:val="21"/>
                <w:highlight w:val="none"/>
                <w:lang w:val="en-US" w:eastAsia="zh-CN"/>
              </w:rPr>
              <w:t xml:space="preserve">品牌</w:t>
            </w:r>
            <w:r>
              <w:rPr>
                <w:rFonts w:hint="eastAsia" w:ascii="宋体" w:hAnsi="宋体" w:eastAsia="宋体" w:cs="宋体"/>
                <w:bCs/>
                <w:szCs w:val="21"/>
                <w:highlight w:val="none"/>
                <w:lang w:val="en-US" w:eastAsia="zh-CN"/>
              </w:rPr>
            </w:r>
            <w:r/>
          </w:p>
        </w:tc>
        <w:tc>
          <w:tcPr>
            <w:tcW w:w="1066" w:type="dxa"/>
            <w:textDirection w:val="lrTb"/>
            <w:noWrap w:val="false"/>
          </w:tcPr>
          <w:p>
            <w:pPr>
              <w:pStyle w:val="1053"/>
              <w:jc w:val="center"/>
              <w:pageBreakBefore w:val="0"/>
              <w:spacing w:line="360" w:lineRule="auto"/>
              <w:rPr>
                <w:rFonts w:ascii="宋体" w:hAnsi="宋体" w:cs="宋体"/>
                <w:highlight w:val="none"/>
                <w:lang w:val="en-US" w:eastAsia="zh-CN" w:bidi="ar-SA"/>
              </w:rPr>
            </w:pPr>
            <w:r>
              <w:rPr>
                <w:rFonts w:hint="eastAsia" w:ascii="宋体" w:hAnsi="宋体" w:cs="宋体"/>
                <w:bCs/>
                <w:szCs w:val="21"/>
                <w:highlight w:val="none"/>
              </w:rPr>
              <w:t xml:space="preserve">单位</w:t>
            </w:r>
            <w:r>
              <w:rPr>
                <w:rFonts w:ascii="宋体" w:hAnsi="宋体" w:cs="宋体"/>
                <w:bCs/>
                <w:sz w:val="21"/>
                <w:szCs w:val="21"/>
                <w:highlight w:val="none"/>
                <w:lang w:val="en-US" w:eastAsia="zh-CN" w:bidi="ar-SA"/>
              </w:rPr>
            </w:r>
            <w:r/>
          </w:p>
        </w:tc>
        <w:tc>
          <w:tcPr>
            <w:tcW w:w="1066" w:type="dxa"/>
            <w:textDirection w:val="lrTb"/>
            <w:noWrap w:val="false"/>
          </w:tcPr>
          <w:p>
            <w:pPr>
              <w:pStyle w:val="1053"/>
              <w:jc w:val="center"/>
              <w:pageBreakBefore w:val="0"/>
              <w:spacing w:line="360" w:lineRule="auto"/>
              <w:rPr>
                <w:rFonts w:ascii="宋体" w:hAnsi="宋体" w:cs="宋体"/>
                <w:highlight w:val="none"/>
                <w:lang w:val="en-US" w:eastAsia="zh-CN" w:bidi="ar-SA"/>
              </w:rPr>
            </w:pPr>
            <w:r>
              <w:rPr>
                <w:rFonts w:hint="eastAsia" w:ascii="宋体" w:hAnsi="宋体" w:cs="宋体"/>
                <w:bCs/>
                <w:szCs w:val="21"/>
                <w:highlight w:val="none"/>
              </w:rPr>
              <w:t xml:space="preserve">数量</w:t>
            </w:r>
            <w:r>
              <w:rPr>
                <w:rFonts w:ascii="宋体" w:hAnsi="宋体" w:cs="宋体"/>
                <w:bCs/>
                <w:sz w:val="21"/>
                <w:szCs w:val="21"/>
                <w:highlight w:val="none"/>
                <w:lang w:val="en-US" w:eastAsia="zh-CN" w:bidi="ar-SA"/>
              </w:rPr>
            </w:r>
            <w:r/>
          </w:p>
        </w:tc>
        <w:tc>
          <w:tcPr>
            <w:tcW w:w="1066" w:type="dxa"/>
            <w:textDirection w:val="lrTb"/>
            <w:noWrap w:val="false"/>
          </w:tcPr>
          <w:p>
            <w:pPr>
              <w:pStyle w:val="1053"/>
              <w:jc w:val="center"/>
              <w:pageBreakBefore w:val="0"/>
              <w:spacing w:line="360" w:lineRule="auto"/>
              <w:rPr>
                <w:rFonts w:ascii="宋体" w:hAnsi="宋体" w:cs="宋体"/>
                <w:highlight w:val="none"/>
                <w:lang w:val="en-US" w:eastAsia="zh-CN" w:bidi="ar-SA"/>
              </w:rPr>
            </w:pPr>
            <w:r>
              <w:rPr>
                <w:rFonts w:hint="eastAsia" w:ascii="宋体" w:hAnsi="宋体" w:cs="宋体"/>
                <w:bCs/>
                <w:szCs w:val="21"/>
                <w:highlight w:val="none"/>
                <w:lang w:val="en-US" w:eastAsia="zh-CN"/>
              </w:rPr>
              <w:t xml:space="preserve">分项</w:t>
            </w:r>
            <w:r>
              <w:rPr>
                <w:rFonts w:hint="eastAsia" w:ascii="宋体" w:hAnsi="宋体" w:cs="宋体"/>
                <w:bCs/>
                <w:szCs w:val="21"/>
                <w:highlight w:val="none"/>
              </w:rPr>
              <w:t xml:space="preserve">单价</w:t>
            </w:r>
            <w:r>
              <w:rPr>
                <w:rFonts w:ascii="宋体" w:hAnsi="宋体" w:cs="宋体"/>
                <w:bCs/>
                <w:sz w:val="21"/>
                <w:szCs w:val="21"/>
                <w:highlight w:val="none"/>
                <w:lang w:val="en-US" w:eastAsia="zh-CN" w:bidi="ar-SA"/>
              </w:rPr>
            </w:r>
            <w:r/>
          </w:p>
        </w:tc>
        <w:tc>
          <w:tcPr>
            <w:tcW w:w="1066" w:type="dxa"/>
            <w:textDirection w:val="lrTb"/>
            <w:noWrap w:val="false"/>
          </w:tcPr>
          <w:p>
            <w:pPr>
              <w:pStyle w:val="1053"/>
              <w:jc w:val="center"/>
              <w:pageBreakBefore w:val="0"/>
              <w:spacing w:line="360" w:lineRule="auto"/>
              <w:rPr>
                <w:rFonts w:ascii="宋体" w:hAnsi="宋体" w:eastAsia="宋体" w:cs="宋体"/>
                <w:highlight w:val="none"/>
                <w:lang w:val="en-US" w:eastAsia="zh-CN" w:bidi="ar-SA"/>
              </w:rPr>
            </w:pPr>
            <w:r>
              <w:rPr>
                <w:rFonts w:ascii="宋体" w:hAnsi="宋体" w:eastAsia="宋体" w:cs="宋体"/>
                <w:bCs/>
                <w:sz w:val="21"/>
                <w:szCs w:val="21"/>
                <w:highlight w:val="none"/>
                <w:lang w:val="en-US" w:eastAsia="zh-CN" w:bidi="ar-SA"/>
              </w:rPr>
              <w:t xml:space="preserve">分项总价</w:t>
            </w:r>
            <w:r>
              <w:rPr>
                <w:rFonts w:ascii="宋体" w:hAnsi="宋体" w:eastAsia="宋体" w:cs="宋体"/>
                <w:bCs/>
                <w:sz w:val="21"/>
                <w:szCs w:val="21"/>
                <w:highlight w:val="none"/>
                <w:lang w:val="en-US" w:eastAsia="zh-CN" w:bidi="ar-SA"/>
              </w:rPr>
            </w:r>
            <w:r/>
          </w:p>
        </w:tc>
      </w:tr>
      <w:tr>
        <w:trPr/>
        <w:tc>
          <w:tcPr>
            <w:tcW w:w="1066" w:type="dxa"/>
            <w:textDirection w:val="lrTb"/>
            <w:noWrap w:val="false"/>
          </w:tcPr>
          <w:p>
            <w:pPr>
              <w:pStyle w:val="925"/>
              <w:jc w:val="center"/>
              <w:pageBreakBefore w:val="0"/>
              <w:spacing w:line="360" w:lineRule="auto"/>
              <w:rPr>
                <w:rFonts w:ascii="宋体" w:hAnsi="宋体" w:cs="宋体"/>
                <w:highlight w:val="none"/>
              </w:rPr>
            </w:pPr>
            <w:r>
              <w:rPr>
                <w:rFonts w:hint="eastAsia" w:ascii="宋体" w:hAnsi="宋体" w:cs="宋体"/>
                <w:bCs/>
                <w:szCs w:val="21"/>
                <w:highlight w:val="none"/>
              </w:rPr>
              <w:t xml:space="preserve">1</w:t>
            </w:r>
            <w:r>
              <w:rPr>
                <w:rFonts w:ascii="宋体" w:hAnsi="宋体" w:cs="宋体"/>
                <w:bCs/>
                <w:szCs w:val="21"/>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r>
      <w:tr>
        <w:trPr/>
        <w:tc>
          <w:tcPr>
            <w:tcW w:w="1066" w:type="dxa"/>
            <w:textDirection w:val="lrTb"/>
            <w:noWrap w:val="false"/>
          </w:tcPr>
          <w:p>
            <w:pPr>
              <w:pStyle w:val="925"/>
              <w:jc w:val="center"/>
              <w:pageBreakBefore w:val="0"/>
              <w:spacing w:line="360" w:lineRule="auto"/>
              <w:rPr>
                <w:rFonts w:ascii="宋体" w:hAnsi="宋体" w:cs="宋体"/>
                <w:highlight w:val="none"/>
              </w:rPr>
            </w:pPr>
            <w:r>
              <w:rPr>
                <w:rFonts w:hint="eastAsia" w:ascii="宋体" w:hAnsi="宋体" w:cs="宋体"/>
                <w:bCs/>
                <w:szCs w:val="21"/>
                <w:highlight w:val="none"/>
              </w:rPr>
              <w:t xml:space="preserve">2</w:t>
            </w:r>
            <w:r>
              <w:rPr>
                <w:rFonts w:ascii="宋体" w:hAnsi="宋体" w:cs="宋体"/>
                <w:bCs/>
                <w:szCs w:val="21"/>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r>
      <w:tr>
        <w:trPr/>
        <w:tc>
          <w:tcPr>
            <w:tcW w:w="1066" w:type="dxa"/>
            <w:textDirection w:val="lrTb"/>
            <w:noWrap w:val="false"/>
          </w:tcPr>
          <w:p>
            <w:pPr>
              <w:pStyle w:val="925"/>
              <w:jc w:val="center"/>
              <w:pageBreakBefore w:val="0"/>
              <w:spacing w:line="360" w:lineRule="auto"/>
              <w:rPr>
                <w:rFonts w:ascii="宋体" w:hAnsi="宋体" w:cs="宋体"/>
                <w:highlight w:val="none"/>
              </w:rPr>
            </w:pPr>
            <w:r>
              <w:rPr>
                <w:rFonts w:hint="eastAsia" w:ascii="宋体" w:hAnsi="宋体" w:cs="宋体"/>
                <w:bCs/>
                <w:szCs w:val="21"/>
                <w:highlight w:val="none"/>
              </w:rPr>
              <w:t xml:space="preserve">3</w:t>
            </w:r>
            <w:r>
              <w:rPr>
                <w:rFonts w:ascii="宋体" w:hAnsi="宋体" w:cs="宋体"/>
                <w:bCs/>
                <w:szCs w:val="21"/>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r>
      <w:tr>
        <w:trPr/>
        <w:tc>
          <w:tcPr>
            <w:tcW w:w="1066" w:type="dxa"/>
            <w:textDirection w:val="lrTb"/>
            <w:noWrap w:val="false"/>
          </w:tcPr>
          <w:p>
            <w:pPr>
              <w:pStyle w:val="925"/>
              <w:jc w:val="center"/>
              <w:pageBreakBefore w:val="0"/>
              <w:spacing w:line="360" w:lineRule="auto"/>
              <w:rPr>
                <w:rFonts w:ascii="宋体" w:hAnsi="宋体" w:cs="宋体"/>
                <w:highlight w:val="none"/>
              </w:rPr>
            </w:pPr>
            <w:r>
              <w:rPr>
                <w:rFonts w:hint="eastAsia" w:ascii="宋体" w:hAnsi="宋体" w:cs="宋体"/>
                <w:bCs/>
                <w:szCs w:val="21"/>
                <w:highlight w:val="none"/>
              </w:rPr>
              <w:t xml:space="preserve">4</w:t>
            </w:r>
            <w:r>
              <w:rPr>
                <w:rFonts w:ascii="宋体" w:hAnsi="宋体" w:cs="宋体"/>
                <w:bCs/>
                <w:szCs w:val="21"/>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r>
      <w:tr>
        <w:trPr/>
        <w:tc>
          <w:tcPr>
            <w:tcW w:w="1066" w:type="dxa"/>
            <w:textDirection w:val="lrTb"/>
            <w:noWrap w:val="false"/>
          </w:tcPr>
          <w:p>
            <w:pPr>
              <w:pStyle w:val="925"/>
              <w:jc w:val="center"/>
              <w:pageBreakBefore w:val="0"/>
              <w:spacing w:line="360" w:lineRule="auto"/>
              <w:rPr>
                <w:rFonts w:ascii="宋体" w:hAnsi="宋体" w:eastAsia="宋体" w:cs="宋体"/>
                <w:highlight w:val="none"/>
                <w:lang w:val="en-US" w:eastAsia="zh-CN"/>
              </w:rPr>
            </w:pPr>
            <w:r>
              <w:rPr>
                <w:rFonts w:hint="eastAsia" w:ascii="宋体" w:hAnsi="宋体" w:cs="宋体"/>
                <w:bCs/>
                <w:szCs w:val="21"/>
                <w:highlight w:val="none"/>
                <w:lang w:val="en-US" w:eastAsia="zh-CN"/>
              </w:rPr>
              <w:t xml:space="preserve">...</w:t>
            </w:r>
            <w:r>
              <w:rPr>
                <w:rFonts w:ascii="宋体" w:hAnsi="宋体" w:eastAsia="宋体" w:cs="宋体"/>
                <w:bCs/>
                <w:szCs w:val="21"/>
                <w:highlight w:val="none"/>
                <w:lang w:val="en-US" w:eastAsia="zh-CN"/>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c>
          <w:tcPr>
            <w:tcW w:w="1066"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b/>
                <w:bCs/>
                <w:sz w:val="24"/>
                <w:szCs w:val="24"/>
                <w:highlight w:val="none"/>
              </w:rPr>
            </w:r>
            <w:r/>
          </w:p>
        </w:tc>
      </w:tr>
      <w:tr>
        <w:trPr>
          <w:trHeight w:val="801"/>
        </w:trPr>
        <w:tc>
          <w:tcPr>
            <w:tcW w:w="1066" w:type="dxa"/>
            <w:textDirection w:val="lrTb"/>
            <w:noWrap w:val="false"/>
          </w:tcPr>
          <w:p>
            <w:pPr>
              <w:pStyle w:val="925"/>
              <w:jc w:val="center"/>
              <w:pageBreakBefore w:val="0"/>
              <w:spacing w:line="360" w:lineRule="auto"/>
              <w:rPr>
                <w:rFonts w:ascii="宋体" w:hAnsi="宋体" w:cs="宋体"/>
                <w:highlight w:val="none"/>
              </w:rPr>
            </w:pPr>
            <w:r>
              <w:rPr>
                <w:rFonts w:hint="eastAsia" w:ascii="宋体" w:hAnsi="宋体" w:cs="宋体"/>
                <w:bCs/>
                <w:szCs w:val="21"/>
                <w:highlight w:val="none"/>
              </w:rPr>
              <w:t xml:space="preserve">投标总报价</w:t>
            </w:r>
            <w:r>
              <w:rPr>
                <w:rFonts w:ascii="宋体" w:hAnsi="宋体" w:cs="宋体"/>
                <w:bCs/>
                <w:szCs w:val="21"/>
                <w:highlight w:val="none"/>
              </w:rPr>
            </w:r>
            <w:r/>
          </w:p>
        </w:tc>
        <w:tc>
          <w:tcPr>
            <w:gridSpan w:val="7"/>
            <w:tcW w:w="7462" w:type="dxa"/>
            <w:textDirection w:val="lrTb"/>
            <w:noWrap w:val="false"/>
          </w:tcPr>
          <w:p>
            <w:pPr>
              <w:pStyle w:val="1053"/>
              <w:jc w:val="left"/>
              <w:pageBreakBefore w:val="0"/>
              <w:spacing w:line="360" w:lineRule="auto"/>
              <w:rPr>
                <w:rFonts w:ascii="宋体" w:hAnsi="宋体" w:cs="宋体"/>
                <w:highlight w:val="none"/>
              </w:rPr>
            </w:pPr>
            <w:r>
              <w:rPr>
                <w:rFonts w:hint="eastAsia" w:ascii="宋体" w:hAnsi="宋体" w:cs="宋体"/>
                <w:bCs/>
                <w:szCs w:val="21"/>
                <w:highlight w:val="none"/>
              </w:rPr>
              <w:t xml:space="preserve">金额大写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              元）</w:t>
            </w:r>
            <w:r>
              <w:rPr>
                <w:rFonts w:ascii="宋体" w:hAnsi="宋体" w:cs="宋体"/>
                <w:bCs/>
                <w:szCs w:val="21"/>
                <w:highlight w:val="none"/>
              </w:rPr>
            </w:r>
            <w:r/>
          </w:p>
        </w:tc>
      </w:tr>
      <w:tr>
        <w:trPr/>
        <w:tc>
          <w:tcPr>
            <w:gridSpan w:val="8"/>
            <w:tcW w:w="8527" w:type="dxa"/>
            <w:textDirection w:val="lrTb"/>
            <w:noWrap w:val="false"/>
          </w:tcPr>
          <w:p>
            <w:pPr>
              <w:jc w:val="both"/>
              <w:rPr>
                <w:rFonts w:hint="eastAsia" w:ascii="宋体" w:hAnsi="宋体"/>
                <w:b/>
                <w:bCs/>
                <w:sz w:val="24"/>
                <w:szCs w:val="24"/>
                <w:highlight w:val="none"/>
              </w:rPr>
              <w:outlineLvl w:val="0"/>
            </w:pPr>
            <w:r>
              <w:rPr>
                <w:rFonts w:hint="eastAsia" w:ascii="宋体" w:hAnsi="宋体"/>
                <w:b/>
                <w:bCs/>
                <w:sz w:val="24"/>
                <w:szCs w:val="24"/>
                <w:highlight w:val="none"/>
              </w:rPr>
            </w:r>
            <w:r>
              <w:rPr>
                <w:rFonts w:hint="eastAsia" w:ascii="宋体" w:hAnsi="宋体" w:cs="宋体"/>
                <w:sz w:val="21"/>
                <w:szCs w:val="21"/>
                <w:highlight w:val="none"/>
              </w:rPr>
              <w:t xml:space="preserve">本采购包中提供的符合本国产品标准的产品成本之和占该采购包提供的全部产品成本之和的比例为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b/>
                <w:bCs/>
                <w:sz w:val="24"/>
                <w:szCs w:val="24"/>
                <w:highlight w:val="none"/>
              </w:rPr>
            </w:r>
            <w:r/>
          </w:p>
        </w:tc>
      </w:tr>
    </w:tbl>
    <w:p>
      <w:pPr>
        <w:pStyle w:val="925"/>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25"/>
        <w:spacing w:line="400" w:lineRule="exact"/>
        <w:rPr>
          <w:rFonts w:hint="eastAsia" w:ascii="宋体" w:hAnsi="宋体"/>
          <w:sz w:val="24"/>
          <w:szCs w:val="21"/>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本项目为固定单价合同，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w:t>
      </w:r>
      <w:r>
        <w:rPr>
          <w:rFonts w:hint="eastAsia" w:ascii="宋体" w:hAnsi="宋体"/>
          <w:sz w:val="24"/>
          <w:szCs w:val="21"/>
          <w:highlight w:val="none"/>
        </w:rPr>
        <w:t xml:space="preserve">“投标总报价”数额为各“分项总价”之和。</w:t>
      </w:r>
      <w:r>
        <w:rPr>
          <w:rFonts w:hint="eastAsia" w:ascii="宋体" w:hAnsi="宋体"/>
          <w:sz w:val="24"/>
          <w:szCs w:val="21"/>
          <w:highlight w:val="none"/>
        </w:rPr>
      </w:r>
      <w:r/>
    </w:p>
    <w:p>
      <w:pPr>
        <w:pStyle w:val="925"/>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rPr>
          <w:rFonts w:hint="eastAsia" w:ascii="宋体" w:hAnsi="宋体"/>
          <w:sz w:val="24"/>
          <w:szCs w:val="21"/>
          <w:highlight w:val="none"/>
        </w:rPr>
      </w:r>
      <w:r/>
    </w:p>
    <w:p>
      <w:pPr>
        <w:pStyle w:val="925"/>
        <w:spacing w:line="400" w:lineRule="exact"/>
        <w:rPr>
          <w:rFonts w:hint="eastAsia" w:ascii="宋体" w:hAnsi="宋体"/>
          <w:sz w:val="24"/>
          <w:szCs w:val="21"/>
          <w:highlight w:val="none"/>
        </w:rPr>
      </w:pPr>
      <w:r>
        <w:rPr>
          <w:rFonts w:hint="eastAsia" w:ascii="方正魏碑_GBK" w:hAnsi="方正魏碑_GBK" w:eastAsia="方正魏碑_GBK" w:cs="方正魏碑_GBK"/>
          <w:color w:val="ff0000"/>
          <w:sz w:val="28"/>
          <w:szCs w:val="28"/>
          <w:highlight w:val="none"/>
        </w:rPr>
        <w:t xml:space="preserve">3</w:t>
      </w:r>
      <w:r>
        <w:rPr>
          <w:rFonts w:ascii="方正魏碑_GBK" w:hAnsi="方正魏碑_GBK" w:eastAsia="方正魏碑_GBK" w:cs="方正魏碑_GBK"/>
          <w:color w:val="ff0000"/>
          <w:sz w:val="28"/>
          <w:szCs w:val="28"/>
          <w:highlight w:val="none"/>
        </w:rPr>
        <w:t xml:space="preserve">.</w:t>
      </w:r>
      <w:r>
        <w:rPr>
          <w:rFonts w:hint="eastAsia" w:ascii="方正魏碑_GBK" w:hAnsi="方正魏碑_GBK" w:eastAsia="方正魏碑_GBK" w:cs="方正魏碑_GBK"/>
          <w:color w:val="ff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szCs w:val="21"/>
          <w:highlight w:val="none"/>
        </w:rPr>
      </w:r>
      <w:r/>
    </w:p>
    <w:p>
      <w:pPr>
        <w:pStyle w:val="925"/>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4.投标人需认真填写本报价表，尤其注意规格型号的准确填写。</w:t>
      </w:r>
      <w:r>
        <w:rPr>
          <w:rFonts w:hint="eastAsia" w:ascii="宋体" w:hAnsi="宋体" w:eastAsia="宋体" w:cs="Times New Roman"/>
          <w:sz w:val="24"/>
          <w:szCs w:val="24"/>
          <w:highlight w:val="none"/>
          <w:lang w:val="en-US" w:eastAsia="zh-CN"/>
        </w:rPr>
      </w:r>
      <w:r/>
    </w:p>
    <w:p>
      <w:pPr>
        <w:pStyle w:val="925"/>
        <w:spacing w:line="400" w:lineRule="exact"/>
        <w:rPr>
          <w:rFonts w:hint="eastAsia" w:ascii="宋体" w:hAnsi="宋体"/>
          <w:sz w:val="24"/>
          <w:szCs w:val="24"/>
          <w:highlight w:val="none"/>
        </w:rPr>
      </w:pPr>
      <w:r>
        <w:rPr>
          <w:rFonts w:hint="eastAsia" w:ascii="宋体" w:hAnsi="宋体"/>
          <w:sz w:val="24"/>
          <w:szCs w:val="21"/>
          <w:highlight w:val="none"/>
        </w:rPr>
        <w:t xml:space="preserve">5.项目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rPr>
          <w:rFonts w:hint="eastAsia" w:ascii="宋体" w:hAnsi="宋体"/>
          <w:sz w:val="24"/>
          <w:szCs w:val="24"/>
          <w:highlight w:val="none"/>
        </w:rPr>
      </w:r>
      <w:r/>
    </w:p>
    <w:p>
      <w:pPr>
        <w:pStyle w:val="925"/>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pStyle w:val="925"/>
        <w:jc w:val="center"/>
        <w:rPr>
          <w:rFonts w:hint="eastAsia" w:ascii="宋体" w:hAnsi="宋体"/>
          <w:b/>
          <w:bCs/>
          <w:sz w:val="24"/>
          <w:szCs w:val="24"/>
          <w:highlight w:val="none"/>
        </w:rPr>
      </w:pPr>
      <w:r>
        <w:rPr>
          <w:rFonts w:hint="eastAsia" w:ascii="宋体" w:hAnsi="宋体"/>
          <w:b/>
          <w:sz w:val="24"/>
          <w:szCs w:val="24"/>
          <w:highlight w:val="none"/>
        </w:rPr>
      </w:r>
      <w:r/>
    </w:p>
    <w:p>
      <w:pPr>
        <w:pStyle w:val="925"/>
        <w:jc w:val="center"/>
        <w:rPr>
          <w:rFonts w:hint="eastAsia" w:ascii="宋体" w:hAnsi="宋体"/>
          <w:b/>
          <w:sz w:val="24"/>
          <w:szCs w:val="24"/>
          <w:highlight w:val="none"/>
        </w:rPr>
      </w:pPr>
      <w:r>
        <w:rPr>
          <w:rFonts w:hint="eastAsia" w:ascii="宋体" w:hAnsi="宋体"/>
          <w:b/>
          <w:sz w:val="24"/>
          <w:szCs w:val="24"/>
          <w:highlight w:val="none"/>
        </w:rPr>
      </w:r>
      <w:r/>
    </w:p>
    <w:p>
      <w:pPr>
        <w:pStyle w:val="925"/>
        <w:jc w:val="center"/>
        <w:rPr>
          <w:rFonts w:hint="eastAsia" w:ascii="宋体" w:hAnsi="宋体"/>
          <w:b/>
          <w:sz w:val="24"/>
          <w:szCs w:val="24"/>
          <w:highlight w:val="none"/>
        </w:rPr>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bookmarkStart w:id="344" w:name="_Toc11660"/>
      <w:r/>
      <w:bookmarkStart w:id="345" w:name="_Toc19749"/>
      <w:r>
        <w:rPr>
          <w:rFonts w:hint="eastAsia" w:ascii="宋体" w:hAnsi="宋体"/>
          <w:b/>
          <w:sz w:val="24"/>
          <w:szCs w:val="24"/>
          <w:highlight w:val="none"/>
        </w:rPr>
      </w:r>
      <w:r/>
    </w:p>
    <w:p>
      <w:pPr>
        <w:pStyle w:val="925"/>
        <w:jc w:val="both"/>
        <w:rPr>
          <w:rFonts w:hint="eastAsia" w:ascii="宋体" w:hAnsi="宋体" w:eastAsia="宋体" w:cs="Times New Roman"/>
          <w:b/>
          <w:sz w:val="24"/>
          <w:szCs w:val="24"/>
          <w:highlight w:val="none"/>
        </w:rPr>
        <w:outlineLvl w:val="0"/>
      </w:pPr>
      <w:r/>
      <w:bookmarkEnd w:id="326"/>
      <w:r/>
      <w:bookmarkEnd w:id="327"/>
      <w:r/>
      <w:bookmarkEnd w:id="328"/>
      <w:r/>
      <w:bookmarkEnd w:id="344"/>
      <w:r/>
      <w:bookmarkEnd w:id="345"/>
      <w:r/>
      <w:bookmarkStart w:id="346" w:name="_Toc28665"/>
      <w:r/>
      <w:bookmarkStart w:id="347" w:name="_Toc24462"/>
      <w:r/>
      <w:bookmarkStart w:id="348" w:name="_Toc9311"/>
      <w:r/>
      <w:bookmarkStart w:id="349" w:name="_Toc120614284"/>
      <w:r>
        <w:rPr>
          <w:rFonts w:hint="eastAsia" w:ascii="宋体" w:hAnsi="宋体" w:eastAsia="宋体" w:cs="Times New Roman"/>
          <w:b/>
          <w:sz w:val="24"/>
          <w:szCs w:val="24"/>
          <w:highlight w:val="none"/>
          <w:lang w:val="en-US" w:eastAsia="zh-CN"/>
        </w:rPr>
        <w:t xml:space="preserve">附件3  </w:t>
      </w:r>
      <w:r>
        <w:rPr>
          <w:rFonts w:hint="eastAsia" w:ascii="宋体" w:hAnsi="宋体" w:eastAsia="宋体" w:cs="Times New Roman"/>
          <w:b/>
          <w:sz w:val="24"/>
          <w:szCs w:val="24"/>
          <w:highlight w:val="none"/>
        </w:rPr>
        <w:t xml:space="preserve">供应商资格条件证明文件</w:t>
      </w:r>
      <w:bookmarkEnd w:id="346"/>
      <w:r>
        <w:rPr>
          <w:rFonts w:hint="eastAsia" w:ascii="宋体" w:hAnsi="宋体" w:eastAsia="宋体" w:cs="Times New Roman"/>
          <w:b/>
          <w:sz w:val="24"/>
          <w:szCs w:val="24"/>
          <w:highlight w:val="none"/>
        </w:rPr>
      </w:r>
      <w:r/>
    </w:p>
    <w:p>
      <w:pPr>
        <w:pStyle w:val="925"/>
        <w:ind w:firstLine="480"/>
        <w:jc w:val="center"/>
        <w:spacing w:line="400" w:lineRule="exact"/>
        <w:tabs>
          <w:tab w:val="left" w:pos="360"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供应商基本资格条件承诺函</w:t>
      </w:r>
      <w:r>
        <w:rPr>
          <w:rFonts w:hint="eastAsia" w:ascii="Times New Roman" w:hAnsi="Times New Roman" w:eastAsia="宋体" w:cs="Times New Roman"/>
          <w:b/>
          <w:bCs/>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一、按照</w:t>
      </w:r>
      <w:r>
        <w:rPr>
          <w:rFonts w:hint="eastAsia" w:ascii="Times New Roman" w:hAnsi="Times New Roman" w:eastAsia="宋体" w:cs="Times New Roman"/>
          <w:color w:val="000000"/>
          <w:sz w:val="24"/>
          <w:szCs w:val="24"/>
          <w:highlight w:val="none"/>
          <w:lang w:eastAsia="zh-CN"/>
        </w:rPr>
        <w:t xml:space="preserve">《中华人民共和国政府采购法》</w:t>
      </w:r>
      <w:r>
        <w:rPr>
          <w:rFonts w:hint="eastAsia" w:ascii="Times New Roman" w:hAnsi="Times New Roman" w:eastAsia="宋体" w:cs="Times New Roman"/>
          <w:color w:val="000000"/>
          <w:sz w:val="24"/>
          <w:szCs w:val="24"/>
          <w:highlight w:val="none"/>
        </w:rPr>
        <w:t xml:space="preserve">第二十二条规定的供应商基本资格条件，我公司郑重承诺如下：</w:t>
      </w:r>
      <w:r>
        <w:rPr>
          <w:rFonts w:hint="eastAsia" w:ascii="Times New Roman" w:hAnsi="Times New Roman" w:eastAsia="宋体" w:cs="Times New Roman"/>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1.我公司具有良好的商业信誉和健全的财务制度；</w:t>
      </w:r>
      <w:r>
        <w:rPr>
          <w:rFonts w:hint="eastAsia" w:ascii="Times New Roman" w:hAnsi="Times New Roman" w:eastAsia="宋体" w:cs="Times New Roman"/>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2.我公司具有履行合同</w:t>
      </w:r>
      <w:r>
        <w:rPr>
          <w:rFonts w:hint="eastAsia" w:ascii="Times New Roman" w:hAnsi="Times New Roman" w:eastAsia="宋体" w:cs="Times New Roman"/>
          <w:color w:val="000000"/>
          <w:sz w:val="24"/>
          <w:szCs w:val="24"/>
          <w:highlight w:val="none"/>
          <w:lang w:eastAsia="zh-CN"/>
        </w:rPr>
        <w:t xml:space="preserve">所必需的</w:t>
      </w:r>
      <w:r>
        <w:rPr>
          <w:rFonts w:hint="eastAsia" w:ascii="Times New Roman" w:hAnsi="Times New Roman" w:eastAsia="宋体" w:cs="Times New Roman"/>
          <w:color w:val="000000"/>
          <w:sz w:val="24"/>
          <w:szCs w:val="24"/>
          <w:highlight w:val="none"/>
        </w:rPr>
        <w:t xml:space="preserve">设备和专业技术能力；</w:t>
      </w:r>
      <w:r>
        <w:rPr>
          <w:rFonts w:hint="eastAsia" w:ascii="Times New Roman" w:hAnsi="Times New Roman" w:eastAsia="宋体" w:cs="Times New Roman"/>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3.我公司具有依法缴纳税收和社会保障资金的良好记录；</w:t>
      </w:r>
      <w:r>
        <w:rPr>
          <w:rFonts w:hint="eastAsia" w:ascii="Times New Roman" w:hAnsi="Times New Roman" w:eastAsia="宋体" w:cs="Times New Roman"/>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4.我公司参加政府采购活动前三年内，在经营活动中没有重大违法记录；</w:t>
      </w:r>
      <w:r>
        <w:rPr>
          <w:rFonts w:hint="eastAsia" w:ascii="Times New Roman" w:hAnsi="Times New Roman" w:eastAsia="宋体" w:cs="Times New Roman"/>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5.我公司未</w:t>
      </w:r>
      <w:r>
        <w:rPr>
          <w:rFonts w:hint="eastAsia" w:ascii="Times New Roman" w:hAnsi="Times New Roman" w:eastAsia="宋体" w:cs="Times New Roman"/>
          <w:color w:val="000000"/>
          <w:sz w:val="24"/>
          <w:szCs w:val="24"/>
          <w:highlight w:val="none"/>
          <w:lang w:eastAsia="zh-CN"/>
        </w:rPr>
        <w:t xml:space="preserve">列入</w:t>
      </w:r>
      <w:r>
        <w:rPr>
          <w:rFonts w:hint="eastAsia" w:ascii="Times New Roman" w:hAnsi="Times New Roman" w:eastAsia="宋体" w:cs="Times New Roman"/>
          <w:color w:val="000000"/>
          <w:sz w:val="24"/>
          <w:szCs w:val="24"/>
          <w:highlight w:val="none"/>
        </w:rPr>
        <w:t xml:space="preserve">信用中国网站（www.creditchina.gov.cn）“失信被执行人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重大税收违法案件当事人名单”中，也未列入中国政府采购网（www.ccgp.gov.cn）“政府采购严重违法失信行为记录名单”中。</w:t>
      </w:r>
      <w:r>
        <w:rPr>
          <w:rFonts w:hint="eastAsia" w:ascii="Times New Roman" w:hAnsi="Times New Roman" w:eastAsia="宋体" w:cs="Times New Roman"/>
          <w:color w:val="000000"/>
          <w:sz w:val="24"/>
          <w:szCs w:val="24"/>
          <w:highlight w:val="none"/>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Times New Roman" w:hAnsi="Times New Roman" w:eastAsia="宋体" w:cs="Times New Roman"/>
          <w:color w:val="000000"/>
          <w:sz w:val="24"/>
          <w:szCs w:val="24"/>
          <w:highlight w:val="none"/>
        </w:rPr>
        <w:t xml:space="preserve">二、我公司承诺：在本次投标过程中，我公司不存在</w:t>
      </w:r>
      <w:r>
        <w:rPr>
          <w:rFonts w:hint="eastAsia" w:ascii="宋体" w:hAnsi="宋体" w:eastAsia="宋体" w:cs="宋体"/>
          <w:color w:val="000000"/>
          <w:sz w:val="24"/>
          <w:highlight w:val="none"/>
          <w:lang w:val="en-US" w:eastAsia="zh-CN"/>
        </w:rPr>
        <w:t xml:space="preserve">下述情形：</w:t>
      </w:r>
      <w:r>
        <w:rPr>
          <w:rFonts w:hint="eastAsia" w:ascii="宋体" w:hAnsi="宋体" w:eastAsia="宋体" w:cs="宋体"/>
          <w:color w:val="000000"/>
          <w:sz w:val="24"/>
          <w:highlight w:val="none"/>
          <w:lang w:val="en-US" w:eastAsia="zh-CN"/>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1.不同投标人的单位负责人为同一人或者存在直接控股、管理关系的。</w:t>
      </w:r>
      <w:r>
        <w:rPr>
          <w:rFonts w:hint="eastAsia" w:ascii="宋体" w:hAnsi="宋体" w:eastAsia="宋体" w:cs="宋体"/>
          <w:color w:val="000000"/>
          <w:sz w:val="24"/>
          <w:highlight w:val="none"/>
          <w:lang w:val="en-US" w:eastAsia="zh-CN"/>
        </w:rPr>
      </w:r>
      <w:r/>
    </w:p>
    <w:p>
      <w:pPr>
        <w:pStyle w:val="925"/>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2.除单一来源采购项目外，为采购项目提供整体设计、规范编制或者项目管理、监理、检测等服务的。</w:t>
      </w:r>
      <w:r>
        <w:rPr>
          <w:rFonts w:hint="eastAsia" w:ascii="宋体" w:hAnsi="宋体" w:eastAsia="宋体" w:cs="宋体"/>
          <w:color w:val="000000"/>
          <w:sz w:val="24"/>
          <w:highlight w:val="none"/>
          <w:lang w:val="en-US" w:eastAsia="zh-CN"/>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lang w:val="en-US" w:eastAsia="zh-CN"/>
        </w:rPr>
        <w:t xml:space="preserve">3.法人的分支机构不得参加政府采购活动（银行、保险、石油石化、电力、电信等有行业特殊情况的除外）。</w:t>
      </w:r>
      <w:r>
        <w:rPr>
          <w:rFonts w:hint="eastAsia" w:ascii="Times New Roman" w:hAnsi="Times New Roman" w:eastAsia="宋体" w:cs="Times New Roman"/>
          <w:color w:val="000000"/>
          <w:sz w:val="24"/>
          <w:szCs w:val="24"/>
          <w:highlight w:val="none"/>
        </w:rPr>
      </w:r>
      <w:r/>
    </w:p>
    <w:p>
      <w:pPr>
        <w:pStyle w:val="925"/>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pStyle w:val="925"/>
        <w:ind w:firstLine="480"/>
        <w:jc w:val="right"/>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投标人名称</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盖法人章</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25"/>
        <w:ind w:firstLine="480"/>
        <w:jc w:val="right"/>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 </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签字或签章</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25"/>
        <w:ind w:firstLine="480"/>
        <w:jc w:val="right"/>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hint="eastAsia" w:ascii="Times New Roman" w:hAnsi="Times New Roman" w:eastAsia="宋体" w:cs="Times New Roman"/>
          <w:color w:val="000000"/>
          <w:sz w:val="24"/>
          <w:szCs w:val="24"/>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bCs/>
          <w:color w:val="000000"/>
          <w:sz w:val="24"/>
          <w:szCs w:val="24"/>
          <w:highlight w:val="none"/>
        </w:rPr>
        <w:outlineLvl w:val="0"/>
      </w:pPr>
      <w:r>
        <w:rPr>
          <w:rFonts w:hint="eastAsia" w:ascii="宋体" w:hAnsi="宋体"/>
          <w:b/>
          <w:color w:val="000000"/>
          <w:sz w:val="24"/>
          <w:szCs w:val="21"/>
          <w:highlight w:val="none"/>
        </w:rPr>
      </w:r>
      <w:r>
        <w:rPr>
          <w:rFonts w:hint="eastAsia" w:ascii="宋体" w:hAnsi="宋体"/>
          <w:b/>
          <w:color w:val="000000"/>
          <w:sz w:val="24"/>
          <w:szCs w:val="21"/>
          <w:highlight w:val="none"/>
        </w:rPr>
      </w:r>
      <w:r/>
    </w:p>
    <w:p>
      <w:pPr>
        <w:spacing w:line="460" w:lineRule="exact"/>
        <w:rPr>
          <w:rFonts w:hint="eastAsia" w:ascii="宋体" w:hAnsi="宋体"/>
          <w:b/>
          <w:bCs/>
          <w:color w:val="000000"/>
          <w:sz w:val="24"/>
          <w:szCs w:val="24"/>
          <w:highlight w:val="none"/>
        </w:rPr>
        <w:outlineLvl w:val="0"/>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pStyle w:val="925"/>
        <w:spacing w:line="460" w:lineRule="exact"/>
        <w:rPr>
          <w:rFonts w:hint="eastAsia" w:ascii="宋体" w:hAnsi="宋体"/>
          <w:b/>
          <w:bCs/>
          <w:color w:val="000000"/>
          <w:sz w:val="24"/>
          <w:szCs w:val="24"/>
          <w:highlight w:val="none"/>
        </w:rPr>
        <w:outlineLvl w:val="0"/>
      </w:pPr>
      <w:r>
        <w:rPr>
          <w:rFonts w:hint="eastAsia" w:ascii="宋体" w:hAnsi="宋体"/>
          <w:b/>
          <w:color w:val="000000"/>
          <w:sz w:val="24"/>
          <w:szCs w:val="21"/>
          <w:highlight w:val="none"/>
        </w:rPr>
      </w:r>
      <w:r/>
    </w:p>
    <w:p>
      <w:pPr>
        <w:pStyle w:val="925"/>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spacing w:line="460" w:lineRule="exact"/>
        <w:rPr>
          <w:rFonts w:ascii="宋体" w:hAnsi="宋体"/>
          <w:b/>
          <w:color w:val="000000"/>
          <w:sz w:val="24"/>
          <w:szCs w:val="21"/>
          <w:highlight w:val="none"/>
        </w:rPr>
        <w:outlineLvl w:val="0"/>
      </w:pPr>
      <w:r/>
      <w:bookmarkStart w:id="350" w:name="_Toc25231"/>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4</w:t>
      </w:r>
      <w:bookmarkEnd w:id="350"/>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ascii="宋体" w:hAnsi="宋体"/>
          <w:b/>
          <w:color w:val="000000"/>
          <w:sz w:val="24"/>
          <w:szCs w:val="21"/>
          <w:highlight w:val="none"/>
        </w:rPr>
      </w:r>
      <w:r/>
    </w:p>
    <w:p>
      <w:pPr>
        <w:pStyle w:val="925"/>
        <w:ind w:firstLine="480"/>
        <w:jc w:val="center"/>
        <w:spacing w:line="460" w:lineRule="exact"/>
        <w:rPr>
          <w:rFonts w:hint="eastAsia" w:ascii="宋体" w:hAnsi="宋体"/>
          <w:bCs/>
          <w:color w:val="000000"/>
          <w:sz w:val="24"/>
          <w:szCs w:val="21"/>
          <w:highlight w:val="none"/>
        </w:rPr>
        <w:outlineLvl w:val="0"/>
      </w:pPr>
      <w:r/>
      <w:bookmarkStart w:id="351" w:name="_Toc31706"/>
      <w:r>
        <w:rPr>
          <w:rFonts w:hint="eastAsia" w:ascii="宋体" w:hAnsi="宋体"/>
          <w:b/>
          <w:color w:val="000000"/>
          <w:sz w:val="24"/>
          <w:szCs w:val="21"/>
          <w:highlight w:val="none"/>
        </w:rPr>
        <w:t xml:space="preserve">法人授权书</w:t>
      </w:r>
      <w:bookmarkEnd w:id="347"/>
      <w:r/>
      <w:bookmarkEnd w:id="348"/>
      <w:r/>
      <w:bookmarkEnd w:id="351"/>
      <w:r>
        <w:rPr>
          <w:rFonts w:hint="eastAsia" w:ascii="宋体" w:hAnsi="宋体"/>
          <w:bCs/>
          <w:color w:val="000000"/>
          <w:sz w:val="24"/>
          <w:szCs w:val="21"/>
          <w:highlight w:val="none"/>
        </w:rPr>
      </w:r>
      <w:r/>
    </w:p>
    <w:p>
      <w:pPr>
        <w:pStyle w:val="925"/>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925"/>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25"/>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25"/>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25"/>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sz w:val="24"/>
          <w:szCs w:val="24"/>
          <w:highlight w:val="none"/>
          <w:u w:val="single"/>
        </w:rPr>
      </w:r>
      <w:r/>
    </w:p>
    <w:p>
      <w:pPr>
        <w:pStyle w:val="925"/>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925"/>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25"/>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352" w:name="_Hlt26955070"/>
      <w:r/>
      <w:bookmarkEnd w:id="352"/>
      <w:r/>
      <w:bookmarkStart w:id="353" w:name="_格式3__银行出具的资信证明"/>
      <w:r/>
      <w:bookmarkEnd w:id="353"/>
      <w:r/>
      <w:bookmarkStart w:id="354" w:name="_Hlt26671380"/>
      <w:r/>
      <w:bookmarkEnd w:id="354"/>
      <w:r>
        <w:rPr>
          <w:rFonts w:hint="eastAsia"/>
          <w:color w:val="000000"/>
          <w:sz w:val="24"/>
          <w:szCs w:val="24"/>
          <w:highlight w:val="none"/>
          <w:u w:val="single"/>
        </w:rPr>
        <w:t xml:space="preserve">                                         </w:t>
      </w:r>
      <w:r>
        <w:rPr>
          <w:rFonts w:hint="eastAsia"/>
          <w:color w:val="000000"/>
          <w:sz w:val="24"/>
          <w:szCs w:val="24"/>
          <w:highlight w:val="none"/>
        </w:rPr>
      </w:r>
      <w:r/>
    </w:p>
    <w:p>
      <w:pPr>
        <w:pStyle w:val="925"/>
        <w:ind w:firstLine="360"/>
        <w:spacing w:line="400" w:lineRule="exact"/>
        <w:rPr>
          <w:color w:val="000000"/>
          <w:sz w:val="24"/>
          <w:szCs w:val="24"/>
          <w:highlight w:val="none"/>
        </w:rPr>
      </w:pPr>
      <w:r>
        <w:rPr>
          <w:color w:val="000000"/>
          <w:sz w:val="24"/>
          <w:szCs w:val="24"/>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bookmarkStart w:id="355" w:name="_Toc18965"/>
      <w:r/>
      <w:bookmarkStart w:id="356" w:name="_Toc21480"/>
      <w:r>
        <w:rPr>
          <w:rFonts w:ascii="SimSun" w:hAnsi="SimSun" w:eastAsia="SimSun" w:cs="SimSun"/>
          <w:b/>
          <w:color w:val="000000"/>
          <w:sz w:val="24"/>
        </w:rPr>
        <w:t xml:space="preserve">附法定代表人及授权代表身份证复印件</w:t>
      </w: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pStyle w:val="925"/>
        <w:keepLines/>
        <w:keepNext/>
        <w:spacing w:before="260" w:after="260" w:line="416" w:lineRule="auto"/>
        <w:rPr>
          <w:rFonts w:hint="eastAsia" w:ascii="宋体" w:hAnsi="宋体"/>
          <w:b/>
          <w:color w:val="000000"/>
          <w:sz w:val="24"/>
          <w:szCs w:val="21"/>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b/>
          <w:color w:val="000000"/>
          <w:sz w:val="24"/>
          <w:szCs w:val="21"/>
          <w:highlight w:val="none"/>
        </w:rPr>
      </w:r>
      <w:r/>
    </w:p>
    <w:p>
      <w:pPr>
        <w:pStyle w:val="925"/>
        <w:keepLines/>
        <w:keepNext/>
        <w:spacing w:before="260" w:after="260" w:line="416" w:lineRule="auto"/>
        <w:rPr>
          <w:rFonts w:ascii="黑体" w:hAnsi="黑体" w:eastAsia="黑体"/>
          <w:b/>
          <w:i/>
          <w:color w:val="000000"/>
          <w:sz w:val="32"/>
          <w:szCs w:val="32"/>
          <w:highlight w:val="none"/>
          <w:u w:val="single"/>
        </w:rPr>
        <w:outlineLvl w:val="0"/>
      </w:pPr>
      <w:r/>
      <w:bookmarkStart w:id="357" w:name="_Toc5958"/>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5</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投标函</w:t>
      </w:r>
      <w:bookmarkEnd w:id="355"/>
      <w:r/>
      <w:bookmarkEnd w:id="356"/>
      <w:r/>
      <w:bookmarkEnd w:id="357"/>
      <w:r>
        <w:rPr>
          <w:rFonts w:ascii="黑体" w:hAnsi="黑体" w:eastAsia="黑体"/>
          <w:b/>
          <w:i/>
          <w:color w:val="000000"/>
          <w:sz w:val="32"/>
          <w:szCs w:val="32"/>
          <w:highlight w:val="none"/>
          <w:u w:val="single"/>
        </w:rPr>
      </w:r>
      <w:r/>
    </w:p>
    <w:p>
      <w:pPr>
        <w:pStyle w:val="925"/>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采购人或代理机构</w:t>
      </w:r>
      <w:r>
        <w:rPr>
          <w:rFonts w:hint="eastAsia" w:ascii="宋体" w:hAnsi="宋体" w:eastAsia="宋体"/>
          <w:color w:val="000000"/>
          <w:sz w:val="24"/>
          <w:szCs w:val="21"/>
          <w:highlight w:val="none"/>
          <w:lang w:eastAsia="zh-CN"/>
        </w:rPr>
      </w:r>
      <w:r/>
    </w:p>
    <w:p>
      <w:pPr>
        <w:pStyle w:val="9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925"/>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w:t>
      </w:r>
      <w:r>
        <w:rPr>
          <w:rFonts w:hint="eastAsia" w:ascii="宋体" w:hAnsi="宋体"/>
          <w:color w:val="000000"/>
          <w:sz w:val="24"/>
          <w:szCs w:val="21"/>
          <w:highlight w:val="none"/>
          <w:lang w:eastAsia="zh-CN"/>
        </w:rPr>
        <w:t xml:space="preserve">间内</w:t>
      </w:r>
      <w:r>
        <w:rPr>
          <w:rFonts w:hint="eastAsia" w:ascii="宋体" w:hAnsi="宋体"/>
          <w:color w:val="000000"/>
          <w:sz w:val="24"/>
          <w:szCs w:val="21"/>
          <w:highlight w:val="none"/>
        </w:rPr>
        <w:t xml:space="preserve">完成项目，交付买方验收、使用。</w:t>
      </w:r>
      <w:r>
        <w:rPr>
          <w:rFonts w:hint="eastAsia" w:ascii="宋体" w:hAnsi="宋体"/>
          <w:color w:val="000000"/>
          <w:sz w:val="24"/>
          <w:szCs w:val="21"/>
          <w:highlight w:val="none"/>
        </w:rPr>
      </w:r>
      <w:r/>
    </w:p>
    <w:p>
      <w:pPr>
        <w:pStyle w:val="925"/>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92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2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2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25"/>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925"/>
        <w:spacing w:line="560" w:lineRule="exact"/>
        <w:rPr>
          <w:rFonts w:ascii="宋体" w:hAnsi="宋体"/>
          <w:b/>
          <w:color w:val="ff0000"/>
          <w:sz w:val="24"/>
          <w:szCs w:val="21"/>
          <w:highlight w:val="none"/>
        </w:rPr>
      </w:pPr>
      <w:r>
        <w:rPr>
          <w:rFonts w:ascii="宋体" w:hAnsi="宋体"/>
          <w:b/>
          <w:color w:val="ff0000"/>
          <w:sz w:val="24"/>
          <w:szCs w:val="21"/>
          <w:highlight w:val="none"/>
        </w:rPr>
      </w:r>
      <w:r/>
    </w:p>
    <w:p>
      <w:pPr>
        <w:pStyle w:val="925"/>
        <w:jc w:val="both"/>
        <w:spacing w:line="560" w:lineRule="exact"/>
        <w:rPr>
          <w:rFonts w:hint="eastAsia" w:ascii="宋体" w:hAnsi="宋体"/>
          <w:b/>
          <w:sz w:val="24"/>
          <w:szCs w:val="21"/>
          <w:highlight w:val="none"/>
        </w:rPr>
        <w:outlineLvl w:val="0"/>
      </w:pPr>
      <w:r/>
      <w:bookmarkStart w:id="358" w:name="_Toc20954"/>
      <w:r/>
      <w:bookmarkStart w:id="359" w:name="_Toc8580"/>
      <w:r>
        <w:rPr>
          <w:rFonts w:hint="eastAsia" w:ascii="宋体" w:hAnsi="宋体"/>
          <w:b/>
          <w:sz w:val="24"/>
          <w:szCs w:val="21"/>
          <w:highlight w:val="none"/>
        </w:rPr>
      </w:r>
      <w:r/>
    </w:p>
    <w:p>
      <w:pPr>
        <w:pStyle w:val="925"/>
        <w:jc w:val="both"/>
        <w:spacing w:line="560" w:lineRule="exact"/>
        <w:rPr>
          <w:rFonts w:hint="eastAsia" w:ascii="宋体" w:hAnsi="宋体"/>
          <w:b/>
          <w:sz w:val="24"/>
          <w:szCs w:val="21"/>
          <w:highlight w:val="none"/>
        </w:rPr>
        <w:outlineLvl w:val="0"/>
      </w:pPr>
      <w:r/>
      <w:bookmarkStart w:id="360" w:name="_Toc8140"/>
      <w:r>
        <w:rPr>
          <w:rFonts w:hint="eastAsia" w:ascii="宋体" w:hAnsi="宋体"/>
          <w:b/>
          <w:sz w:val="24"/>
          <w:szCs w:val="21"/>
          <w:highlight w:val="none"/>
        </w:rPr>
        <w:t xml:space="preserve">附件</w:t>
      </w:r>
      <w:r>
        <w:rPr>
          <w:rFonts w:hint="eastAsia" w:ascii="宋体" w:hAnsi="宋体"/>
          <w:b/>
          <w:sz w:val="24"/>
          <w:szCs w:val="21"/>
          <w:highlight w:val="none"/>
          <w:lang w:val="en-US" w:eastAsia="zh-CN"/>
        </w:rPr>
        <w:t xml:space="preserve">6</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 xml:space="preserve">中小微企业声明函（货物类项目）</w:t>
      </w:r>
      <w:bookmarkEnd w:id="358"/>
      <w:r/>
      <w:bookmarkEnd w:id="359"/>
      <w:r/>
      <w:bookmarkEnd w:id="360"/>
      <w:r>
        <w:rPr>
          <w:rFonts w:hint="eastAsia" w:ascii="宋体" w:hAnsi="宋体"/>
          <w:b/>
          <w:sz w:val="24"/>
          <w:szCs w:val="21"/>
          <w:highlight w:val="none"/>
        </w:rPr>
      </w:r>
      <w:r/>
    </w:p>
    <w:p>
      <w:pPr>
        <w:pStyle w:val="9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的规定，本公司（联合体）参加江苏省政府</w:t>
      </w:r>
      <w:r>
        <w:rPr>
          <w:rFonts w:hint="eastAsia" w:ascii="宋体" w:hAnsi="宋体"/>
          <w:sz w:val="24"/>
          <w:szCs w:val="24"/>
          <w:highlight w:val="none"/>
          <w:lang w:eastAsia="zh-CN"/>
        </w:rPr>
        <w:t xml:space="preserve">采购人或代理机构</w:t>
      </w:r>
      <w:r>
        <w:rPr>
          <w:rFonts w:hint="eastAsia" w:ascii="宋体" w:hAnsi="宋体"/>
          <w:sz w:val="24"/>
          <w:szCs w:val="24"/>
          <w:highlight w:val="none"/>
        </w:rPr>
        <w:t xml:space="preserve">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highlight w:val="none"/>
        </w:rPr>
      </w:r>
      <w:r/>
    </w:p>
    <w:p>
      <w:pPr>
        <w:pStyle w:val="925"/>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925"/>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9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25"/>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925"/>
        <w:ind w:right="480" w:firstLine="48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2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925"/>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rFonts w:ascii="宋体" w:hAnsi="宋体"/>
          <w:sz w:val="24"/>
          <w:szCs w:val="24"/>
          <w:highlight w:val="none"/>
        </w:rPr>
      </w:r>
      <w:r/>
    </w:p>
    <w:p>
      <w:pPr>
        <w:pStyle w:val="925"/>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rPr>
          <w:rFonts w:ascii="宋体" w:hAnsi="宋体"/>
          <w:sz w:val="24"/>
          <w:szCs w:val="24"/>
          <w:highlight w:val="none"/>
        </w:rPr>
      </w:r>
      <w:r/>
    </w:p>
    <w:p>
      <w:pPr>
        <w:pStyle w:val="925"/>
        <w:rPr>
          <w:rFonts w:hint="eastAsia"/>
          <w:color w:val="000000"/>
          <w:szCs w:val="21"/>
          <w:highlight w:val="none"/>
        </w:rPr>
      </w:pPr>
      <w:r>
        <w:rPr>
          <w:rFonts w:hint="eastAsia" w:ascii="宋体" w:hAnsi="宋体"/>
          <w:sz w:val="24"/>
          <w:szCs w:val="24"/>
          <w:highlight w:val="none"/>
        </w:rPr>
        <w:t xml:space="preserve">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工信部联企业〔2011〕300号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rPr>
          <w:rFonts w:hint="eastAsia"/>
          <w:color w:val="000000"/>
          <w:szCs w:val="21"/>
          <w:highlight w:val="none"/>
        </w:rPr>
      </w:r>
      <w:r/>
    </w:p>
    <w:p>
      <w:pPr>
        <w:pStyle w:val="925"/>
        <w:jc w:val="center"/>
        <w:rPr>
          <w:rFonts w:hint="eastAsia" w:ascii="宋体" w:hAnsi="宋体"/>
          <w:b/>
          <w:sz w:val="24"/>
          <w:szCs w:val="24"/>
          <w:highlight w:val="none"/>
        </w:rPr>
        <w:outlineLvl w:val="0"/>
      </w:pPr>
      <w:r/>
      <w:bookmarkStart w:id="361" w:name="_Toc9989"/>
      <w:r/>
      <w:bookmarkStart w:id="362" w:name="_Toc20780"/>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center"/>
        <w:rPr>
          <w:rFonts w:hint="eastAsia" w:ascii="宋体" w:hAnsi="宋体"/>
          <w:b/>
          <w:sz w:val="24"/>
          <w:szCs w:val="24"/>
          <w:highlight w:val="none"/>
        </w:rPr>
        <w:outlineLvl w:val="0"/>
      </w:pPr>
      <w:r>
        <w:rPr>
          <w:rFonts w:hint="eastAsia" w:ascii="宋体" w:hAnsi="宋体"/>
          <w:b/>
          <w:sz w:val="24"/>
          <w:szCs w:val="24"/>
          <w:highlight w:val="none"/>
        </w:rPr>
      </w:r>
      <w:r/>
    </w:p>
    <w:p>
      <w:pPr>
        <w:pStyle w:val="925"/>
        <w:jc w:val="both"/>
        <w:rPr>
          <w:rFonts w:hint="eastAsia" w:ascii="宋体" w:hAnsi="宋体"/>
          <w:b/>
          <w:sz w:val="24"/>
          <w:szCs w:val="24"/>
          <w:highlight w:val="none"/>
        </w:rPr>
        <w:outlineLvl w:val="0"/>
      </w:pPr>
      <w:r/>
      <w:bookmarkStart w:id="363" w:name="_Toc971"/>
      <w:r>
        <w:rPr>
          <w:rFonts w:hint="eastAsia" w:ascii="宋体" w:hAnsi="宋体"/>
          <w:b/>
          <w:sz w:val="24"/>
          <w:szCs w:val="24"/>
          <w:highlight w:val="none"/>
        </w:rPr>
        <w:t xml:space="preserve">附件</w:t>
      </w:r>
      <w:r>
        <w:rPr>
          <w:rFonts w:hint="eastAsia" w:ascii="宋体" w:hAnsi="宋体"/>
          <w:b/>
          <w:sz w:val="24"/>
          <w:szCs w:val="24"/>
          <w:highlight w:val="none"/>
          <w:lang w:val="en-US" w:eastAsia="zh-CN"/>
        </w:rPr>
        <w:t xml:space="preserve">7</w:t>
      </w:r>
      <w:bookmarkEnd w:id="361"/>
      <w:r/>
      <w:bookmarkEnd w:id="362"/>
      <w:r/>
      <w:bookmarkEnd w:id="363"/>
      <w:r>
        <w:rPr>
          <w:rFonts w:hint="eastAsia" w:ascii="宋体" w:hAnsi="宋体" w:eastAsia="宋体" w:cs="Times New Roman"/>
          <w:b/>
          <w:sz w:val="24"/>
          <w:szCs w:val="24"/>
          <w:highlight w:val="none"/>
        </w:rPr>
        <w:t xml:space="preserve">技术条款响应及偏离表</w:t>
      </w:r>
      <w:r>
        <w:rPr>
          <w:rFonts w:hint="eastAsia" w:ascii="宋体" w:hAnsi="宋体"/>
          <w:b/>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67" w:type="dxa"/>
            <w:vAlign w:val="center"/>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2392" w:type="dxa"/>
            <w:vAlign w:val="center"/>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w:t>
            </w:r>
            <w:r>
              <w:rPr>
                <w:rFonts w:hint="eastAsia" w:ascii="宋体" w:hAnsi="宋体" w:cs="宋体"/>
                <w:color w:val="000000"/>
                <w:szCs w:val="21"/>
                <w:highlight w:val="none"/>
              </w:rPr>
            </w:r>
            <w:r/>
          </w:p>
        </w:tc>
        <w:tc>
          <w:tcPr>
            <w:tcW w:w="2720" w:type="dxa"/>
            <w:vAlign w:val="center"/>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文件响应情况</w:t>
            </w:r>
            <w:r>
              <w:rPr>
                <w:rFonts w:hint="eastAsia" w:ascii="宋体" w:hAnsi="宋体" w:cs="宋体"/>
                <w:color w:val="000000"/>
                <w:szCs w:val="21"/>
                <w:highlight w:val="none"/>
              </w:rPr>
            </w:r>
            <w:r/>
          </w:p>
        </w:tc>
        <w:tc>
          <w:tcPr>
            <w:tcW w:w="1417" w:type="dxa"/>
            <w:vAlign w:val="center"/>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偏离说明</w:t>
            </w:r>
            <w:r>
              <w:rPr>
                <w:rFonts w:hint="eastAsia" w:ascii="宋体" w:hAnsi="宋体" w:cs="宋体"/>
                <w:color w:val="000000"/>
                <w:szCs w:val="21"/>
                <w:highlight w:val="none"/>
              </w:rPr>
            </w:r>
            <w:r/>
          </w:p>
        </w:tc>
      </w:tr>
      <w:tr>
        <w:trPr>
          <w:trHeight w:val="414"/>
        </w:trPr>
        <w:tc>
          <w:tcPr>
            <w:tcW w:w="959" w:type="dxa"/>
            <w:vAlign w:val="top"/>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67"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8"/>
        </w:trPr>
        <w:tc>
          <w:tcPr>
            <w:tcW w:w="959" w:type="dxa"/>
            <w:vAlign w:val="top"/>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67"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tcW w:w="959" w:type="dxa"/>
            <w:vAlign w:val="top"/>
            <w:textDirection w:val="lrTb"/>
            <w:noWrap w:val="false"/>
          </w:tcPr>
          <w:p>
            <w:pPr>
              <w:pStyle w:val="925"/>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67"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9"/>
        </w:trPr>
        <w:tc>
          <w:tcPr>
            <w:tcW w:w="959" w:type="dxa"/>
            <w:vAlign w:val="top"/>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7"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925"/>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1.投标</w:t>
      </w:r>
      <w:r>
        <w:rPr>
          <w:rFonts w:hint="eastAsia" w:ascii="宋体" w:hAnsi="宋体" w:cs="宋体"/>
          <w:color w:val="000000"/>
          <w:szCs w:val="21"/>
          <w:highlight w:val="none"/>
        </w:rPr>
        <w:t xml:space="preserve">人提交的</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文件应</w:t>
      </w:r>
      <w:r>
        <w:rPr>
          <w:rFonts w:hint="eastAsia" w:ascii="宋体" w:hAnsi="宋体" w:cs="宋体"/>
          <w:color w:val="000000"/>
          <w:szCs w:val="21"/>
          <w:highlight w:val="none"/>
          <w:lang w:val="en-US" w:eastAsia="zh-CN"/>
        </w:rPr>
        <w:t xml:space="preserve">对技术条款</w:t>
      </w:r>
      <w:r>
        <w:rPr>
          <w:rFonts w:hint="eastAsia" w:ascii="宋体" w:hAnsi="宋体" w:cs="宋体"/>
          <w:color w:val="000000"/>
          <w:szCs w:val="21"/>
          <w:highlight w:val="none"/>
        </w:rPr>
        <w:t xml:space="preserve">逐条填列在偏离表中。</w:t>
      </w:r>
      <w:r>
        <w:rPr>
          <w:rFonts w:hint="eastAsia" w:ascii="宋体" w:hAnsi="宋体" w:cs="宋体"/>
          <w:color w:val="000000"/>
          <w:szCs w:val="21"/>
          <w:highlight w:val="none"/>
        </w:rPr>
      </w:r>
      <w:r/>
    </w:p>
    <w:p>
      <w:pPr>
        <w:pStyle w:val="925"/>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“偏离说明”一栏选择“正偏离</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负偏离”进行填写。正偏离的确认和负偏离的是否响应</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文件，经三分之二评委认定。</w:t>
      </w:r>
      <w:r>
        <w:rPr>
          <w:rFonts w:hint="eastAsia" w:ascii="宋体" w:hAnsi="宋体" w:cs="宋体"/>
          <w:color w:val="000000"/>
          <w:szCs w:val="21"/>
          <w:highlight w:val="none"/>
        </w:rPr>
      </w:r>
      <w:r/>
    </w:p>
    <w:p>
      <w:pPr>
        <w:pStyle w:val="925"/>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3.响应人如果虚假响应，将承担被暂停参加采购人组织政府采购活动的风险。</w:t>
      </w:r>
      <w:r>
        <w:rPr>
          <w:rFonts w:hint="eastAsia" w:ascii="宋体" w:hAnsi="宋体" w:cs="宋体"/>
          <w:color w:val="000000"/>
          <w:szCs w:val="21"/>
          <w:highlight w:val="none"/>
        </w:rPr>
      </w:r>
      <w:r/>
    </w:p>
    <w:p>
      <w:pPr>
        <w:pStyle w:val="925"/>
        <w:ind w:firstLine="480"/>
        <w:pageBreakBefore w:val="0"/>
        <w:spacing w:line="360" w:lineRule="auto"/>
        <w:rPr>
          <w:rFonts w:hint="eastAsia" w:ascii="宋体" w:hAnsi="宋体"/>
          <w:sz w:val="24"/>
          <w:szCs w:val="24"/>
          <w:highlight w:val="none"/>
        </w:rPr>
      </w:pPr>
      <w:r>
        <w:rPr>
          <w:rFonts w:hint="eastAsia" w:ascii="宋体" w:hAnsi="宋体" w:cs="宋体"/>
          <w:color w:val="000000"/>
          <w:szCs w:val="21"/>
          <w:highlight w:val="none"/>
        </w:rPr>
        <w:t xml:space="preserve">4.供应商若提供其他增值服务，可以在表中自行据实填写。</w:t>
      </w: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rPr>
      </w:r>
      <w:r/>
    </w:p>
    <w:p>
      <w:pPr>
        <w:pStyle w:val="925"/>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法人或授权委托人（签字或盖章）：</w:t>
      </w:r>
      <w:r>
        <w:rPr>
          <w:rFonts w:hint="eastAsia" w:ascii="宋体" w:hAnsi="宋体" w:cs="宋体"/>
          <w:color w:val="000000"/>
          <w:szCs w:val="21"/>
          <w:highlight w:val="none"/>
        </w:rPr>
      </w:r>
      <w:r/>
    </w:p>
    <w:p>
      <w:pPr>
        <w:pStyle w:val="925"/>
        <w:ind w:firstLine="4830"/>
        <w:spacing w:line="400" w:lineRule="exact"/>
        <w:rPr>
          <w:rFonts w:hint="eastAsia" w:ascii="宋体" w:hAnsi="宋体"/>
          <w:sz w:val="24"/>
          <w:szCs w:val="24"/>
          <w:highlight w:val="none"/>
        </w:rPr>
      </w:pPr>
      <w:r>
        <w:rPr>
          <w:rFonts w:hint="eastAsia" w:ascii="宋体" w:hAnsi="宋体" w:cs="宋体"/>
          <w:color w:val="000000"/>
          <w:szCs w:val="21"/>
          <w:highlight w:val="none"/>
        </w:rPr>
        <w:t xml:space="preserve">日期：</w:t>
      </w: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spacing w:line="400" w:lineRule="exact"/>
        <w:rPr>
          <w:rFonts w:hint="eastAsia" w:ascii="宋体" w:hAnsi="宋体"/>
          <w:sz w:val="24"/>
          <w:szCs w:val="24"/>
          <w:highlight w:val="none"/>
        </w:rPr>
      </w:pPr>
      <w:r>
        <w:rPr>
          <w:rFonts w:hint="eastAsia" w:ascii="宋体" w:hAnsi="宋体"/>
          <w:sz w:val="24"/>
          <w:szCs w:val="24"/>
          <w:highlight w:val="none"/>
        </w:rPr>
      </w:r>
      <w:r/>
    </w:p>
    <w:p>
      <w:pPr>
        <w:pStyle w:val="925"/>
        <w:jc w:val="center"/>
        <w:rPr>
          <w:rFonts w:hint="eastAsia" w:ascii="方正魏碑_GBK" w:hAnsi="方正魏碑_GBK" w:eastAsia="方正魏碑_GBK" w:cs="方正魏碑_GBK"/>
          <w:b/>
          <w:color w:val="ff0000"/>
          <w:sz w:val="24"/>
          <w:szCs w:val="24"/>
          <w:highlight w:val="none"/>
        </w:rPr>
        <w:outlineLvl w:val="0"/>
      </w:pPr>
      <w:r/>
      <w:bookmarkStart w:id="364" w:name="_Toc17690"/>
      <w:r/>
      <w:bookmarkStart w:id="365" w:name="_Toc11806"/>
      <w:r>
        <w:rPr>
          <w:rFonts w:hint="eastAsia" w:ascii="方正魏碑_GBK" w:hAnsi="方正魏碑_GBK" w:eastAsia="方正魏碑_GBK" w:cs="方正魏碑_GBK"/>
          <w:b/>
          <w:color w:val="ff0000"/>
          <w:sz w:val="24"/>
          <w:szCs w:val="24"/>
          <w:highlight w:val="none"/>
        </w:rPr>
      </w:r>
      <w:r/>
    </w:p>
    <w:p>
      <w:pPr>
        <w:pStyle w:val="925"/>
        <w:jc w:val="both"/>
        <w:rPr>
          <w:rFonts w:hint="eastAsia" w:ascii="方正魏碑_GBK" w:hAnsi="方正魏碑_GBK" w:eastAsia="方正魏碑_GBK" w:cs="方正魏碑_GBK"/>
          <w:color w:val="ff0000"/>
          <w:sz w:val="24"/>
          <w:szCs w:val="24"/>
          <w:highlight w:val="none"/>
        </w:rPr>
        <w:outlineLvl w:val="0"/>
      </w:pPr>
      <w:r/>
      <w:bookmarkStart w:id="366" w:name="_Toc17840"/>
      <w:r>
        <w:rPr>
          <w:rFonts w:hint="eastAsia" w:ascii="方正魏碑_GBK" w:hAnsi="方正魏碑_GBK" w:eastAsia="方正魏碑_GBK" w:cs="方正魏碑_GBK"/>
          <w:b/>
          <w:color w:val="ff0000"/>
          <w:sz w:val="24"/>
          <w:szCs w:val="24"/>
          <w:highlight w:val="none"/>
        </w:rPr>
        <w:t xml:space="preserve">附件</w:t>
      </w:r>
      <w:r>
        <w:rPr>
          <w:rFonts w:hint="eastAsia" w:ascii="方正魏碑_GBK" w:hAnsi="方正魏碑_GBK" w:eastAsia="方正魏碑_GBK" w:cs="方正魏碑_GBK"/>
          <w:b/>
          <w:color w:val="ff0000"/>
          <w:sz w:val="24"/>
          <w:szCs w:val="24"/>
          <w:highlight w:val="none"/>
          <w:lang w:val="en-US" w:eastAsia="zh-CN"/>
        </w:rPr>
        <w:t xml:space="preserve">8</w:t>
      </w:r>
      <w:r>
        <w:rPr>
          <w:rFonts w:hint="eastAsia" w:ascii="方正魏碑_GBK" w:hAnsi="方正魏碑_GBK" w:eastAsia="方正魏碑_GBK" w:cs="方正魏碑_GBK"/>
          <w:b/>
          <w:color w:val="ff0000"/>
          <w:sz w:val="24"/>
          <w:szCs w:val="24"/>
          <w:highlight w:val="none"/>
        </w:rPr>
        <w:t xml:space="preserve">  关于符合本国产品标准的声明函</w:t>
      </w:r>
      <w:bookmarkEnd w:id="364"/>
      <w:r/>
      <w:bookmarkEnd w:id="365"/>
      <w:r/>
      <w:bookmarkEnd w:id="366"/>
      <w:r>
        <w:rPr>
          <w:rFonts w:hint="eastAsia" w:ascii="方正魏碑_GBK" w:hAnsi="方正魏碑_GBK" w:eastAsia="方正魏碑_GBK" w:cs="方正魏碑_GBK"/>
          <w:color w:val="ff0000"/>
          <w:sz w:val="24"/>
          <w:szCs w:val="24"/>
          <w:highlight w:val="none"/>
        </w:rPr>
      </w:r>
      <w:r/>
    </w:p>
    <w:p>
      <w:pPr>
        <w:pStyle w:val="988"/>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88"/>
        <w:ind w:firstLine="420"/>
        <w:spacing w:before="0" w:beforeAutospacing="0" w:after="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ff0000"/>
          <w:highlight w:val="none"/>
        </w:rPr>
      </w:r>
      <w:r/>
    </w:p>
    <w:p>
      <w:pPr>
        <w:pStyle w:val="98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shd w:val="clear" w:color="auto" w:fill="ffffff"/>
        </w:rPr>
        <w:t xml:space="preserve">1.</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（产品名称1）</w:t>
      </w:r>
      <w:r>
        <w:rPr>
          <w:rStyle w:val="1000"/>
          <w:rFonts w:hint="eastAsia" w:ascii="方正魏碑_GBK" w:hAnsi="方正魏碑_GBK" w:eastAsia="方正魏碑_GBK" w:cs="方正魏碑_GBK"/>
          <w:i w:val="0"/>
          <w:color w:val="ff0000"/>
          <w:highlight w:val="none"/>
          <w:shd w:val="clear" w:color="auto" w:fill="ffffff"/>
          <w:vertAlign w:val="superscript"/>
        </w:rPr>
        <w:t xml:space="preserve">1</w:t>
      </w:r>
      <w:r>
        <w:rPr>
          <w:rFonts w:hint="eastAsia" w:ascii="方正魏碑_GBK" w:hAnsi="方正魏碑_GBK" w:eastAsia="方正魏碑_GBK" w:cs="方正魏碑_GBK"/>
          <w:color w:val="ff0000"/>
          <w:highlight w:val="none"/>
          <w:shd w:val="clear" w:color="auto" w:fill="ffffff"/>
        </w:rPr>
        <w:t xml:space="preserve">，生产厂为</w:t>
      </w:r>
      <w:r>
        <w:rPr>
          <w:rStyle w:val="1000"/>
          <w:rFonts w:hint="eastAsia" w:ascii="方正魏碑_GBK" w:hAnsi="方正魏碑_GBK" w:eastAsia="方正魏碑_GBK" w:cs="方正魏碑_GBK"/>
          <w:i w:val="0"/>
          <w:color w:val="ff0000"/>
          <w:highlight w:val="none"/>
          <w:u w:val="single"/>
          <w:shd w:val="clear" w:color="auto" w:fill="ffffff"/>
        </w:rPr>
        <w:t xml:space="preserve">（厂名）</w:t>
      </w:r>
      <w:r>
        <w:rPr>
          <w:rStyle w:val="1000"/>
          <w:rFonts w:hint="eastAsia" w:ascii="方正魏碑_GBK" w:hAnsi="方正魏碑_GBK" w:eastAsia="方正魏碑_GBK" w:cs="方正魏碑_GBK"/>
          <w:i w:val="0"/>
          <w:color w:val="ff0000"/>
          <w:highlight w:val="none"/>
          <w:shd w:val="clear" w:color="auto" w:fill="ffffff"/>
          <w:vertAlign w:val="superscript"/>
        </w:rPr>
        <w:t xml:space="preserve">2</w:t>
      </w:r>
      <w:r>
        <w:rPr>
          <w:rFonts w:hint="eastAsia" w:ascii="方正魏碑_GBK" w:hAnsi="方正魏碑_GBK" w:eastAsia="方正魏碑_GBK" w:cs="方正魏碑_GBK"/>
          <w:color w:val="ff0000"/>
          <w:highlight w:val="none"/>
          <w:shd w:val="clear" w:color="auto" w:fill="ffffff"/>
        </w:rPr>
        <w:t xml:space="preserve">，厂址为</w:t>
      </w:r>
      <w:r>
        <w:rPr>
          <w:rStyle w:val="1000"/>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u w:val="single"/>
          <w:shd w:val="clear" w:color="auto" w:fill="ffffff"/>
        </w:rPr>
        <w:t xml:space="preserve"> </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（产品名称1） </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1000"/>
          <w:rFonts w:hint="eastAsia" w:ascii="方正魏碑_GBK" w:hAnsi="方正魏碑_GBK" w:eastAsia="方正魏碑_GBK" w:cs="方正魏碑_GBK"/>
          <w:i w:val="0"/>
          <w:color w:val="ff0000"/>
          <w:highlight w:val="none"/>
          <w:u w:val="single"/>
          <w:shd w:val="clear" w:color="auto" w:fill="ffffff"/>
        </w:rPr>
        <w:t xml:space="preserve">（规定</w:t>
      </w:r>
      <w:r>
        <w:rPr>
          <w:rStyle w:val="1000"/>
          <w:rFonts w:ascii="方正魏碑_GBK" w:hAnsi="方正魏碑_GBK" w:eastAsia="方正魏碑_GBK" w:cs="方正魏碑_GBK"/>
          <w:i w:val="0"/>
          <w:color w:val="ff0000"/>
          <w:highlight w:val="none"/>
          <w:u w:val="single"/>
          <w:shd w:val="clear" w:color="auto" w:fill="ffffff"/>
        </w:rPr>
        <w:t xml:space="preserve">比例</w:t>
      </w:r>
      <w:r>
        <w:rPr>
          <w:rStyle w:val="1000"/>
          <w:rFonts w:hint="eastAsia" w:ascii="方正魏碑_GBK" w:hAnsi="方正魏碑_GBK" w:eastAsia="方正魏碑_GBK" w:cs="方正魏碑_GBK"/>
          <w:i w:val="0"/>
          <w:color w:val="ff0000"/>
          <w:highlight w:val="none"/>
          <w:u w:val="single"/>
          <w:shd w:val="clear" w:color="auto" w:fill="ffffff"/>
        </w:rPr>
        <w:t xml:space="preserve">）</w:t>
      </w:r>
      <w:r>
        <w:rPr>
          <w:rStyle w:val="1000"/>
          <w:rFonts w:hint="eastAsia" w:ascii="方正魏碑_GBK" w:hAnsi="方正魏碑_GBK" w:eastAsia="方正魏碑_GBK" w:cs="方正魏碑_GBK"/>
          <w:i w:val="0"/>
          <w:color w:val="ff0000"/>
          <w:highlight w:val="none"/>
          <w:shd w:val="clear" w:color="auto" w:fill="ffffff"/>
          <w:vertAlign w:val="superscript"/>
        </w:rPr>
        <w:t xml:space="preserve">3</w:t>
      </w:r>
      <w:r>
        <w:rPr>
          <w:rFonts w:hint="eastAsia" w:ascii="方正魏碑_GBK" w:hAnsi="方正魏碑_GBK" w:eastAsia="方正魏碑_GBK" w:cs="方正魏碑_GBK"/>
          <w:color w:val="ff0000"/>
          <w:highlight w:val="none"/>
          <w:shd w:val="clear" w:color="auto" w:fill="ffffff"/>
        </w:rPr>
        <w:t xml:space="preserve">。</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1000"/>
          <w:rFonts w:hint="eastAsia" w:ascii="方正魏碑_GBK" w:hAnsi="方正魏碑_GBK" w:eastAsia="方正魏碑_GBK" w:cs="方正魏碑_GBK"/>
          <w:i w:val="0"/>
          <w:color w:val="ff0000"/>
          <w:highlight w:val="none"/>
          <w:u w:val="single"/>
          <w:shd w:val="clear" w:color="auto" w:fill="ffffff"/>
        </w:rPr>
        <w:t xml:space="preserve">（关键</w:t>
      </w:r>
      <w:r>
        <w:rPr>
          <w:rStyle w:val="1000"/>
          <w:rFonts w:ascii="方正魏碑_GBK" w:hAnsi="方正魏碑_GBK" w:eastAsia="方正魏碑_GBK" w:cs="方正魏碑_GBK"/>
          <w:i w:val="0"/>
          <w:color w:val="ff0000"/>
          <w:highlight w:val="none"/>
          <w:u w:val="single"/>
          <w:shd w:val="clear" w:color="auto" w:fill="ffffff"/>
        </w:rPr>
        <w:t xml:space="preserve">组件</w:t>
      </w:r>
      <w:r>
        <w:rPr>
          <w:rStyle w:val="1000"/>
          <w:rFonts w:hint="eastAsia" w:ascii="方正魏碑_GBK" w:hAnsi="方正魏碑_GBK" w:eastAsia="方正魏碑_GBK" w:cs="方正魏碑_GBK"/>
          <w:i w:val="0"/>
          <w:color w:val="ff0000"/>
          <w:highlight w:val="none"/>
          <w:u w:val="single"/>
          <w:shd w:val="clear" w:color="auto" w:fill="ffffff"/>
        </w:rPr>
        <w:t xml:space="preserve">）</w:t>
      </w:r>
      <w:r>
        <w:rPr>
          <w:rStyle w:val="1000"/>
          <w:rFonts w:hint="eastAsia" w:ascii="方正魏碑_GBK" w:hAnsi="方正魏碑_GBK" w:eastAsia="方正魏碑_GBK" w:cs="方正魏碑_GBK"/>
          <w:i w:val="0"/>
          <w:color w:val="ff0000"/>
          <w:highlight w:val="none"/>
          <w:shd w:val="clear" w:color="auto" w:fill="ffffff"/>
          <w:vertAlign w:val="superscript"/>
        </w:rPr>
        <w:t xml:space="preserve">4</w:t>
      </w:r>
      <w:r>
        <w:rPr>
          <w:rFonts w:hint="eastAsia" w:ascii="方正魏碑_GBK" w:hAnsi="方正魏碑_GBK" w:eastAsia="方正魏碑_GBK" w:cs="方正魏碑_GBK"/>
          <w:color w:val="ff0000"/>
          <w:highlight w:val="none"/>
          <w:shd w:val="clear" w:color="auto" w:fill="ffffff"/>
        </w:rPr>
        <w:t xml:space="preserve">在中国境内生产。</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1000"/>
          <w:rFonts w:hint="eastAsia" w:ascii="方正魏碑_GBK" w:hAnsi="方正魏碑_GBK" w:eastAsia="方正魏碑_GBK" w:cs="方正魏碑_GBK"/>
          <w:i w:val="0"/>
          <w:color w:val="ff0000"/>
          <w:highlight w:val="none"/>
          <w:u w:val="single"/>
          <w:shd w:val="clear" w:color="auto" w:fill="ffffff"/>
        </w:rPr>
        <w:t xml:space="preserve">（关键工序）</w:t>
      </w:r>
      <w:r>
        <w:rPr>
          <w:rStyle w:val="1000"/>
          <w:rFonts w:hint="eastAsia" w:ascii="方正魏碑_GBK" w:hAnsi="方正魏碑_GBK" w:eastAsia="方正魏碑_GBK" w:cs="方正魏碑_GBK"/>
          <w:i w:val="0"/>
          <w:color w:val="ff0000"/>
          <w:highlight w:val="none"/>
          <w:shd w:val="clear" w:color="auto" w:fill="ffffff"/>
          <w:vertAlign w:val="superscript"/>
        </w:rPr>
        <w:t xml:space="preserve">5</w:t>
      </w:r>
      <w:r>
        <w:rPr>
          <w:rFonts w:hint="eastAsia" w:ascii="方正魏碑_GBK" w:hAnsi="方正魏碑_GBK" w:eastAsia="方正魏碑_GBK" w:cs="方正魏碑_GBK"/>
          <w:color w:val="ff0000"/>
          <w:highlight w:val="none"/>
          <w:shd w:val="clear" w:color="auto" w:fill="ffffff"/>
        </w:rPr>
        <w:t xml:space="preserve">在中国境内完成。</w:t>
      </w:r>
      <w:r>
        <w:rPr>
          <w:rFonts w:hint="eastAsia" w:ascii="方正魏碑_GBK" w:hAnsi="方正魏碑_GBK" w:eastAsia="方正魏碑_GBK" w:cs="方正魏碑_GBK"/>
          <w:color w:val="ff0000"/>
          <w:highlight w:val="none"/>
        </w:rPr>
      </w:r>
      <w:r/>
    </w:p>
    <w:p>
      <w:pPr>
        <w:pStyle w:val="98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shd w:val="clear" w:color="auto" w:fill="ffffff"/>
        </w:rPr>
        <w:t xml:space="preserve">2.</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，生产厂为</w:t>
      </w:r>
      <w:r>
        <w:rPr>
          <w:rStyle w:val="1000"/>
          <w:rFonts w:hint="eastAsia" w:ascii="方正魏碑_GBK" w:hAnsi="方正魏碑_GBK" w:eastAsia="方正魏碑_GBK" w:cs="方正魏碑_GBK"/>
          <w:i w:val="0"/>
          <w:color w:val="ff0000"/>
          <w:highlight w:val="none"/>
          <w:u w:val="single"/>
          <w:shd w:val="clear" w:color="auto" w:fill="ffffff"/>
        </w:rPr>
        <w:t xml:space="preserve">（厂名）</w:t>
      </w:r>
      <w:r>
        <w:rPr>
          <w:rFonts w:hint="eastAsia" w:ascii="方正魏碑_GBK" w:hAnsi="方正魏碑_GBK" w:eastAsia="方正魏碑_GBK" w:cs="方正魏碑_GBK"/>
          <w:color w:val="ff0000"/>
          <w:highlight w:val="none"/>
          <w:shd w:val="clear" w:color="auto" w:fill="ffffff"/>
        </w:rPr>
        <w:t xml:space="preserve">，厂址为</w:t>
      </w:r>
      <w:r>
        <w:rPr>
          <w:rStyle w:val="1000"/>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1000"/>
          <w:rFonts w:hint="eastAsia" w:ascii="方正魏碑_GBK" w:hAnsi="方正魏碑_GBK" w:eastAsia="方正魏碑_GBK" w:cs="方正魏碑_GBK"/>
          <w:i w:val="0"/>
          <w:color w:val="ff0000"/>
          <w:highlight w:val="none"/>
          <w:u w:val="single"/>
          <w:shd w:val="clear" w:color="auto" w:fill="ffffff"/>
        </w:rPr>
        <w:t xml:space="preserve">（规定</w:t>
      </w:r>
      <w:r>
        <w:rPr>
          <w:rStyle w:val="1000"/>
          <w:rFonts w:ascii="方正魏碑_GBK" w:hAnsi="方正魏碑_GBK" w:eastAsia="方正魏碑_GBK" w:cs="方正魏碑_GBK"/>
          <w:i w:val="0"/>
          <w:color w:val="ff0000"/>
          <w:highlight w:val="none"/>
          <w:u w:val="single"/>
          <w:shd w:val="clear" w:color="auto" w:fill="ffffff"/>
        </w:rPr>
        <w:t xml:space="preserve">比例</w:t>
      </w:r>
      <w:r>
        <w:rPr>
          <w:rStyle w:val="1000"/>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1000"/>
          <w:rFonts w:hint="eastAsia" w:ascii="方正魏碑_GBK" w:hAnsi="方正魏碑_GBK" w:eastAsia="方正魏碑_GBK" w:cs="方正魏碑_GBK"/>
          <w:i w:val="0"/>
          <w:color w:val="ff0000"/>
          <w:highlight w:val="none"/>
          <w:u w:val="single"/>
          <w:shd w:val="clear" w:color="auto" w:fill="ffffff"/>
        </w:rPr>
        <w:t xml:space="preserve">（关键</w:t>
      </w:r>
      <w:r>
        <w:rPr>
          <w:rStyle w:val="1000"/>
          <w:rFonts w:ascii="方正魏碑_GBK" w:hAnsi="方正魏碑_GBK" w:eastAsia="方正魏碑_GBK" w:cs="方正魏碑_GBK"/>
          <w:i w:val="0"/>
          <w:color w:val="ff0000"/>
          <w:highlight w:val="none"/>
          <w:u w:val="single"/>
          <w:shd w:val="clear" w:color="auto" w:fill="ffffff"/>
        </w:rPr>
        <w:t xml:space="preserve">组件</w:t>
      </w:r>
      <w:r>
        <w:rPr>
          <w:rStyle w:val="1000"/>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在中国境内生产。</w:t>
      </w:r>
      <w:r>
        <w:rPr>
          <w:rStyle w:val="1000"/>
          <w:rFonts w:hint="eastAsia" w:ascii="方正魏碑_GBK" w:hAnsi="方正魏碑_GBK" w:eastAsia="方正魏碑_GBK" w:cs="方正魏碑_GBK"/>
          <w:i w:val="0"/>
          <w:color w:val="ff0000"/>
          <w:highlight w:val="none"/>
          <w:u w:val="single"/>
          <w:shd w:val="clear" w:color="auto" w:fill="ffffff"/>
        </w:rPr>
        <w:t xml:space="preserve">（产品名称</w:t>
      </w:r>
      <w:r>
        <w:rPr>
          <w:rStyle w:val="1000"/>
          <w:rFonts w:hint="eastAsia" w:ascii="方正魏碑_GBK" w:hAnsi="方正魏碑_GBK" w:eastAsia="方正魏碑_GBK" w:cs="方正魏碑_GBK"/>
          <w:i w:val="0"/>
          <w:color w:val="ff0000"/>
          <w:highlight w:val="none"/>
          <w:u w:val="single"/>
          <w:shd w:val="clear" w:color="auto" w:fill="ffffff"/>
          <w:lang w:val="en-US" w:eastAsia="zh-CN"/>
        </w:rPr>
        <w:t xml:space="preserve">2</w:t>
      </w:r>
      <w:r>
        <w:rPr>
          <w:rStyle w:val="1000"/>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的</w:t>
      </w:r>
      <w:r>
        <w:rPr>
          <w:rStyle w:val="1000"/>
          <w:rFonts w:hint="eastAsia" w:ascii="方正魏碑_GBK" w:hAnsi="方正魏碑_GBK" w:eastAsia="方正魏碑_GBK" w:cs="方正魏碑_GBK"/>
          <w:i w:val="0"/>
          <w:color w:val="ff0000"/>
          <w:highlight w:val="none"/>
          <w:u w:val="single"/>
          <w:shd w:val="clear" w:color="auto" w:fill="ffffff"/>
        </w:rPr>
        <w:t xml:space="preserve">（关键工序）</w:t>
      </w:r>
      <w:r>
        <w:rPr>
          <w:rFonts w:hint="eastAsia" w:ascii="方正魏碑_GBK" w:hAnsi="方正魏碑_GBK" w:eastAsia="方正魏碑_GBK" w:cs="方正魏碑_GBK"/>
          <w:color w:val="ff0000"/>
          <w:highlight w:val="none"/>
          <w:shd w:val="clear" w:color="auto" w:fill="ffffff"/>
        </w:rPr>
        <w:t xml:space="preserve">在中国境内完成。</w:t>
      </w:r>
      <w:r>
        <w:rPr>
          <w:rFonts w:hint="eastAsia" w:ascii="方正魏碑_GBK" w:hAnsi="方正魏碑_GBK" w:eastAsia="方正魏碑_GBK" w:cs="方正魏碑_GBK"/>
          <w:color w:val="ff0000"/>
          <w:highlight w:val="none"/>
        </w:rPr>
      </w:r>
      <w:r/>
    </w:p>
    <w:p>
      <w:pPr>
        <w:pStyle w:val="98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rPr>
      </w:r>
      <w:r/>
    </w:p>
    <w:p>
      <w:pPr>
        <w:pStyle w:val="98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highlight w:val="none"/>
        </w:rPr>
      </w:r>
      <w:r/>
    </w:p>
    <w:p>
      <w:pPr>
        <w:pStyle w:val="988"/>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988"/>
        <w:ind w:right="480" w:firstLine="37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公司（单位）名称（盖章）：　        </w:t>
      </w:r>
      <w:r>
        <w:rPr>
          <w:rFonts w:hint="eastAsia" w:ascii="方正魏碑_GBK" w:hAnsi="方正魏碑_GBK" w:eastAsia="方正魏碑_GBK" w:cs="方正魏碑_GBK"/>
          <w:color w:val="ff0000"/>
          <w:highlight w:val="none"/>
        </w:rPr>
      </w:r>
      <w:r/>
    </w:p>
    <w:p>
      <w:pPr>
        <w:pStyle w:val="988"/>
        <w:jc w:val="center"/>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                    </w:t>
      </w:r>
      <w:r>
        <w:rPr>
          <w:rFonts w:ascii="方正魏碑_GBK" w:hAnsi="方正魏碑_GBK" w:eastAsia="方正魏碑_GBK" w:cs="方正魏碑_GBK"/>
          <w:color w:val="ff0000"/>
          <w:highlight w:val="none"/>
          <w:shd w:val="clear" w:color="auto" w:fill="ffffff"/>
        </w:rPr>
        <w:t xml:space="preserve">            </w:t>
      </w:r>
      <w:r>
        <w:rPr>
          <w:rFonts w:hint="eastAsia" w:ascii="方正魏碑_GBK" w:hAnsi="方正魏碑_GBK" w:eastAsia="方正魏碑_GBK" w:cs="方正魏碑_GBK"/>
          <w:color w:val="ff0000"/>
          <w:highlight w:val="none"/>
          <w:shd w:val="clear" w:color="auto" w:fill="ffffff"/>
        </w:rPr>
        <w:t xml:space="preserve">日期：　   年　  月　  日         </w:t>
      </w:r>
      <w:r>
        <w:rPr>
          <w:rFonts w:hint="eastAsia" w:ascii="方正魏碑_GBK" w:hAnsi="方正魏碑_GBK" w:eastAsia="方正魏碑_GBK" w:cs="方正魏碑_GBK"/>
          <w:color w:val="ff0000"/>
          <w:highlight w:val="none"/>
        </w:rPr>
      </w:r>
      <w:r/>
    </w:p>
    <w:p>
      <w:pPr>
        <w:pStyle w:val="988"/>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__________________</w:t>
      </w:r>
      <w:r>
        <w:rPr>
          <w:rFonts w:hint="eastAsia" w:ascii="方正魏碑_GBK" w:hAnsi="方正魏碑_GBK" w:eastAsia="方正魏碑_GBK" w:cs="方正魏碑_GBK"/>
          <w:color w:val="ff0000"/>
          <w:highlight w:val="none"/>
        </w:rPr>
      </w:r>
      <w:r/>
    </w:p>
    <w:p>
      <w:pPr>
        <w:pStyle w:val="98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ff0000"/>
          <w:sz w:val="22"/>
          <w:highlight w:val="none"/>
        </w:rPr>
      </w:r>
      <w:r/>
    </w:p>
    <w:p>
      <w:pPr>
        <w:pStyle w:val="98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highlight w:val="none"/>
        </w:rPr>
      </w:r>
      <w:r/>
    </w:p>
    <w:p>
      <w:pPr>
        <w:pStyle w:val="98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highlight w:val="none"/>
        </w:rPr>
      </w:r>
      <w:r/>
    </w:p>
    <w:p>
      <w:pPr>
        <w:pStyle w:val="98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highlight w:val="none"/>
        </w:rPr>
      </w:r>
      <w:r/>
    </w:p>
    <w:p>
      <w:pPr>
        <w:pStyle w:val="988"/>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ff0000"/>
          <w:sz w:val="22"/>
          <w:highlight w:val="none"/>
          <w:shd w:val="clear" w:color="auto" w:fill="ffffff"/>
        </w:rPr>
      </w:r>
      <w:r/>
    </w:p>
    <w:p>
      <w:pPr>
        <w:pStyle w:val="988"/>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6.用斜线划除的地方无需填写。</w:t>
      </w:r>
      <w:r>
        <w:rPr>
          <w:rFonts w:ascii="方正魏碑_GBK" w:hAnsi="方正魏碑_GBK" w:eastAsia="方正魏碑_GBK" w:cs="方正魏碑_GBK"/>
          <w:color w:val="ff0000"/>
          <w:sz w:val="22"/>
          <w:highlight w:val="none"/>
          <w:shd w:val="clear" w:color="auto" w:fill="ffffff"/>
        </w:rPr>
      </w:r>
      <w:r/>
    </w:p>
    <w:p>
      <w:pPr>
        <w:pStyle w:val="9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5"/>
        <w:rPr>
          <w:rFonts w:hint="eastAsia" w:ascii="宋体" w:hAnsi="宋体" w:cs="仿宋"/>
          <w:b/>
          <w:bCs/>
          <w:color w:val="000000"/>
          <w:sz w:val="32"/>
          <w:szCs w:val="32"/>
          <w:highlight w:val="none"/>
        </w:rPr>
      </w:pPr>
      <w:r/>
      <w:bookmarkEnd w:id="273"/>
      <w:r/>
      <w:bookmarkEnd w:id="274"/>
      <w:r/>
      <w:bookmarkEnd w:id="349"/>
      <w:r>
        <w:rPr>
          <w:rFonts w:hint="eastAsia" w:ascii="宋体" w:hAnsi="宋体" w:cs="仿宋"/>
          <w:b/>
          <w:bCs/>
          <w:color w:val="000000"/>
          <w:sz w:val="32"/>
          <w:szCs w:val="32"/>
          <w:highlight w:val="none"/>
        </w:rPr>
      </w:r>
      <w:r/>
    </w:p>
    <w:p>
      <w:pPr>
        <w:pStyle w:val="9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25"/>
        <w:numPr>
          <w:ilvl w:val="0"/>
          <w:numId w:val="0"/>
        </w:numPr>
        <w:jc w:val="both"/>
        <w:pageBreakBefore w:val="0"/>
        <w:spacing w:line="360" w:lineRule="auto"/>
        <w:rPr>
          <w:rFonts w:hint="eastAsia" w:ascii="宋体" w:hAnsi="宋体" w:eastAsia="宋体" w:cs="宋体"/>
          <w:b/>
          <w:color w:val="000000"/>
          <w:sz w:val="21"/>
          <w:szCs w:val="21"/>
          <w:highlight w:val="none"/>
          <w:lang w:val="en-US" w:eastAsia="zh-CN" w:bidi="ar-SA"/>
        </w:rPr>
      </w:pPr>
      <w:r>
        <w:rPr>
          <w:rFonts w:hint="eastAsia" w:ascii="方正魏碑_GBK" w:hAnsi="方正魏碑_GBK" w:eastAsia="方正魏碑_GBK" w:cs="方正魏碑_GBK"/>
          <w:b/>
          <w:color w:val="ff0000"/>
          <w:sz w:val="24"/>
          <w:szCs w:val="24"/>
          <w:highlight w:val="none"/>
        </w:rPr>
        <w:t xml:space="preserve">附件</w:t>
      </w:r>
      <w:r>
        <w:rPr>
          <w:rFonts w:hint="eastAsia" w:ascii="方正魏碑_GBK" w:hAnsi="方正魏碑_GBK" w:eastAsia="方正魏碑_GBK" w:cs="方正魏碑_GBK"/>
          <w:b/>
          <w:color w:val="ff0000"/>
          <w:sz w:val="24"/>
          <w:szCs w:val="24"/>
          <w:highlight w:val="none"/>
          <w:lang w:val="en-US" w:eastAsia="zh-CN"/>
        </w:rPr>
        <w:t xml:space="preserve">9  </w:t>
      </w:r>
      <w:r>
        <w:rPr>
          <w:rFonts w:hint="eastAsia" w:ascii="宋体" w:hAnsi="宋体" w:eastAsia="宋体" w:cs="宋体"/>
          <w:b/>
          <w:color w:val="000000"/>
          <w:sz w:val="21"/>
          <w:szCs w:val="21"/>
          <w:highlight w:val="none"/>
          <w:lang w:val="zh-CN" w:eastAsia="zh-CN" w:bidi="ar-SA"/>
        </w:rPr>
        <w:t xml:space="preserve">联合体协议（</w:t>
      </w:r>
      <w:r>
        <w:rPr>
          <w:rFonts w:hint="eastAsia" w:ascii="宋体" w:hAnsi="宋体" w:eastAsia="宋体" w:cs="宋体"/>
          <w:b/>
          <w:color w:val="000000"/>
          <w:sz w:val="21"/>
          <w:szCs w:val="21"/>
          <w:highlight w:val="none"/>
          <w:lang w:val="en-US" w:eastAsia="zh-CN" w:bidi="ar-SA"/>
        </w:rPr>
        <w:t xml:space="preserve">如有</w:t>
      </w:r>
      <w:r>
        <w:rPr>
          <w:rFonts w:hint="eastAsia" w:ascii="宋体" w:hAnsi="宋体" w:eastAsia="宋体" w:cs="宋体"/>
          <w:b/>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en-US" w:eastAsia="zh-CN" w:bidi="ar-SA"/>
        </w:rPr>
        <w:t xml:space="preserve">参考格式</w:t>
      </w:r>
      <w:r>
        <w:rPr>
          <w:rFonts w:hint="eastAsia" w:ascii="宋体" w:hAnsi="宋体" w:eastAsia="宋体" w:cs="宋体"/>
          <w:b/>
          <w:color w:val="000000"/>
          <w:sz w:val="21"/>
          <w:szCs w:val="21"/>
          <w:highlight w:val="none"/>
          <w:lang w:val="en-US" w:eastAsia="zh-CN" w:bidi="ar-SA"/>
        </w:rPr>
      </w:r>
      <w:r/>
    </w:p>
    <w:p>
      <w:pPr>
        <w:pStyle w:val="925"/>
        <w:ind w:firstLine="420"/>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925"/>
        <w:ind w:firstLine="420"/>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（所有成员单位名称）</w:t>
      </w:r>
      <w:r>
        <w:rPr>
          <w:rFonts w:hint="eastAsia" w:ascii="宋体" w:hAnsi="宋体" w:cs="宋体"/>
          <w:color w:val="000000"/>
          <w:szCs w:val="21"/>
          <w:highlight w:val="none"/>
        </w:rPr>
        <w:t xml:space="preserve">自愿组成</w:t>
      </w:r>
      <w:r>
        <w:rPr>
          <w:rFonts w:hint="eastAsia" w:ascii="宋体" w:hAnsi="宋体" w:cs="宋体"/>
          <w:color w:val="000000"/>
          <w:szCs w:val="21"/>
          <w:highlight w:val="none"/>
          <w:u w:val="single"/>
        </w:rPr>
        <w:t xml:space="preserve">              （联合体名称）</w:t>
      </w:r>
      <w:r>
        <w:rPr>
          <w:rFonts w:hint="eastAsia" w:ascii="宋体" w:hAnsi="宋体" w:cs="宋体"/>
          <w:color w:val="000000"/>
          <w:szCs w:val="21"/>
          <w:highlight w:val="none"/>
        </w:rPr>
        <w:t xml:space="preserve">联合体，共同参加</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投标。现就联合体投标事宜订立如下协议。</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           （某成员单位名称）</w:t>
      </w:r>
      <w:r>
        <w:rPr>
          <w:rFonts w:hint="eastAsia" w:ascii="宋体" w:hAnsi="宋体" w:cs="宋体"/>
          <w:color w:val="000000"/>
          <w:szCs w:val="21"/>
          <w:highlight w:val="none"/>
        </w:rPr>
        <w:t xml:space="preserve">为</w:t>
      </w:r>
      <w:r>
        <w:rPr>
          <w:rFonts w:hint="eastAsia" w:ascii="宋体" w:hAnsi="宋体" w:cs="宋体"/>
          <w:color w:val="000000"/>
          <w:szCs w:val="21"/>
          <w:highlight w:val="none"/>
          <w:u w:val="single"/>
        </w:rPr>
        <w:t xml:space="preserve">         （联合体名称）</w:t>
      </w:r>
      <w:r>
        <w:rPr>
          <w:rFonts w:hint="eastAsia" w:ascii="宋体" w:hAnsi="宋体" w:cs="宋体"/>
          <w:color w:val="000000"/>
          <w:szCs w:val="21"/>
          <w:highlight w:val="none"/>
        </w:rPr>
        <w:t xml:space="preserve">牵头人。</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2、联合体牵头人合法代表联合体各成员负责本采购项目响应文件</w:t>
      </w:r>
      <w:r>
        <w:rPr>
          <w:rFonts w:hint="eastAsia" w:ascii="宋体" w:hAnsi="宋体" w:cs="宋体"/>
          <w:b/>
          <w:bCs/>
          <w:color w:val="000000"/>
          <w:szCs w:val="21"/>
          <w:highlight w:val="none"/>
        </w:rPr>
        <w:t xml:space="preserve">编制、盖章、签字</w:t>
      </w:r>
      <w:r>
        <w:rPr>
          <w:rFonts w:hint="eastAsia" w:ascii="宋体" w:hAnsi="宋体" w:cs="宋体"/>
          <w:color w:val="000000"/>
          <w:szCs w:val="21"/>
          <w:highlight w:val="none"/>
        </w:rPr>
        <w:t xml:space="preserve">和</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活动，并代表联合体提交和接收相关的资料、信息及指示，并处理与之有关的一切事务，负责合同实施阶段的主办、组织和协调工作。</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3、联合体将严格按照采购文件的各项要求，递交响应文件，履行合同，并对外承担连带责任。</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4、联合体各成员单位内部的职责分工如下：</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（成员单位名称及职责分工）</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5、本协议书自签署之日起生效，合同履行完毕后自动失效。</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6、本协议书一式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份，联合体成员和采购人各执一份。</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注：本协议书由委托代理人签名或盖章的，应附法定代表人签字的授权委托书。</w:t>
      </w: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牵头人名称（填写后盖单位章）：</w:t>
      </w:r>
      <w:r>
        <w:rPr>
          <w:rFonts w:hint="eastAsia" w:ascii="宋体" w:hAnsi="宋体" w:cs="宋体"/>
          <w:color w:val="000000"/>
          <w:szCs w:val="21"/>
          <w:highlight w:val="none"/>
          <w:u w:val="singl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法定代表人或其委托代理人（签名或盖章）：</w:t>
      </w:r>
      <w:r>
        <w:rPr>
          <w:rFonts w:hint="eastAsia" w:ascii="宋体" w:hAnsi="宋体" w:cs="宋体"/>
          <w:color w:val="000000"/>
          <w:szCs w:val="21"/>
          <w:highlight w:val="none"/>
          <w:u w:val="singl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成员一名称（填写后盖单位章）：</w:t>
      </w:r>
      <w:r>
        <w:rPr>
          <w:rFonts w:hint="eastAsia" w:ascii="宋体" w:hAnsi="宋体" w:cs="宋体"/>
          <w:color w:val="000000"/>
          <w:szCs w:val="21"/>
          <w:highlight w:val="none"/>
          <w:u w:val="single"/>
        </w:rPr>
      </w:r>
      <w:r/>
    </w:p>
    <w:p>
      <w:pPr>
        <w:pStyle w:val="925"/>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法定代表人或其委托代理人（签名或盖章）：</w:t>
      </w:r>
      <w:r>
        <w:rPr>
          <w:rFonts w:hint="eastAsia" w:ascii="宋体" w:hAnsi="宋体" w:cs="宋体"/>
          <w:color w:val="000000"/>
          <w:szCs w:val="21"/>
          <w:highlight w:val="none"/>
        </w:rPr>
      </w:r>
      <w:r/>
    </w:p>
    <w:p>
      <w:pPr>
        <w:pStyle w:val="925"/>
        <w:ind w:firstLine="84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SimSun">
    <w:panose1 w:val="02010600030101010101"/>
  </w:font>
  <w:font w:name="Arial Black">
    <w:panose1 w:val="020B0A04020102020204"/>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25"/>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47"/>
      <w:isLgl w:val="false"/>
      <w:suff w:val="tab"/>
      <w:lvlText w:val="%1、"/>
      <w:lvlJc w:val="left"/>
      <w:pPr>
        <w:pStyle w:val="925"/>
        <w:ind w:left="4091" w:hanging="480"/>
        <w:tabs>
          <w:tab w:val="num" w:pos="4091" w:leader="none"/>
        </w:tabs>
      </w:pPr>
      <w:rPr>
        <w:rFonts w:cs="Times New Roman"/>
      </w:rPr>
    </w:lvl>
    <w:lvl w:ilvl="1">
      <w:start w:val="1"/>
      <w:numFmt w:val="decimal"/>
      <w:isLgl w:val="false"/>
      <w:suff w:val="tab"/>
      <w:lvlText w:val="%2．"/>
      <w:lvlJc w:val="left"/>
      <w:pPr>
        <w:pStyle w:val="925"/>
        <w:ind w:left="3971" w:hanging="360"/>
        <w:tabs>
          <w:tab w:val="num" w:pos="3971" w:leader="none"/>
        </w:tabs>
      </w:pPr>
      <w:rPr>
        <w:rFonts w:cs="Times New Roman"/>
      </w:rPr>
    </w:lvl>
    <w:lvl w:ilvl="2">
      <w:start w:val="1"/>
      <w:numFmt w:val="lowerRoman"/>
      <w:isLgl w:val="false"/>
      <w:suff w:val="tab"/>
      <w:lvlText w:val="%3."/>
      <w:lvlJc w:val="right"/>
      <w:pPr>
        <w:pStyle w:val="925"/>
        <w:ind w:left="4871" w:hanging="420"/>
        <w:tabs>
          <w:tab w:val="num" w:pos="4871" w:leader="none"/>
        </w:tabs>
      </w:pPr>
      <w:rPr>
        <w:rFonts w:cs="Times New Roman"/>
      </w:rPr>
    </w:lvl>
    <w:lvl w:ilvl="3">
      <w:start w:val="1"/>
      <w:numFmt w:val="decimal"/>
      <w:isLgl w:val="false"/>
      <w:suff w:val="tab"/>
      <w:lvlText w:val="%4."/>
      <w:lvlJc w:val="left"/>
      <w:pPr>
        <w:pStyle w:val="925"/>
        <w:ind w:left="5291" w:hanging="420"/>
        <w:tabs>
          <w:tab w:val="num" w:pos="5291" w:leader="none"/>
        </w:tabs>
      </w:pPr>
      <w:rPr>
        <w:rFonts w:cs="Times New Roman"/>
      </w:rPr>
    </w:lvl>
    <w:lvl w:ilvl="4">
      <w:start w:val="1"/>
      <w:numFmt w:val="lowerLetter"/>
      <w:isLgl w:val="false"/>
      <w:suff w:val="tab"/>
      <w:lvlText w:val="%5)"/>
      <w:lvlJc w:val="left"/>
      <w:pPr>
        <w:pStyle w:val="925"/>
        <w:ind w:left="5711" w:hanging="420"/>
        <w:tabs>
          <w:tab w:val="num" w:pos="5711" w:leader="none"/>
        </w:tabs>
      </w:pPr>
      <w:rPr>
        <w:rFonts w:cs="Times New Roman"/>
      </w:rPr>
    </w:lvl>
    <w:lvl w:ilvl="5">
      <w:start w:val="1"/>
      <w:numFmt w:val="lowerRoman"/>
      <w:isLgl w:val="false"/>
      <w:suff w:val="tab"/>
      <w:lvlText w:val="%6."/>
      <w:lvlJc w:val="right"/>
      <w:pPr>
        <w:pStyle w:val="925"/>
        <w:ind w:left="6131" w:hanging="420"/>
        <w:tabs>
          <w:tab w:val="num" w:pos="6131" w:leader="none"/>
        </w:tabs>
      </w:pPr>
      <w:rPr>
        <w:rFonts w:cs="Times New Roman"/>
      </w:rPr>
    </w:lvl>
    <w:lvl w:ilvl="6">
      <w:start w:val="1"/>
      <w:numFmt w:val="decimal"/>
      <w:isLgl w:val="false"/>
      <w:suff w:val="tab"/>
      <w:lvlText w:val="%7."/>
      <w:lvlJc w:val="left"/>
      <w:pPr>
        <w:pStyle w:val="925"/>
        <w:ind w:left="6551" w:hanging="420"/>
        <w:tabs>
          <w:tab w:val="num" w:pos="6551" w:leader="none"/>
        </w:tabs>
      </w:pPr>
      <w:rPr>
        <w:rFonts w:cs="Times New Roman"/>
      </w:rPr>
    </w:lvl>
    <w:lvl w:ilvl="7">
      <w:start w:val="1"/>
      <w:numFmt w:val="lowerLetter"/>
      <w:isLgl w:val="false"/>
      <w:suff w:val="tab"/>
      <w:lvlText w:val="%8)"/>
      <w:lvlJc w:val="left"/>
      <w:pPr>
        <w:pStyle w:val="925"/>
        <w:ind w:left="6971" w:hanging="420"/>
        <w:tabs>
          <w:tab w:val="num" w:pos="6971" w:leader="none"/>
        </w:tabs>
      </w:pPr>
      <w:rPr>
        <w:rFonts w:cs="Times New Roman"/>
      </w:rPr>
    </w:lvl>
    <w:lvl w:ilvl="8">
      <w:start w:val="1"/>
      <w:numFmt w:val="lowerRoman"/>
      <w:isLgl w:val="false"/>
      <w:suff w:val="tab"/>
      <w:lvlText w:val="%9."/>
      <w:lvlJc w:val="right"/>
      <w:pPr>
        <w:pStyle w:val="925"/>
        <w:ind w:left="7391" w:hanging="420"/>
        <w:tabs>
          <w:tab w:val="num" w:pos="7391" w:leader="none"/>
        </w:tabs>
      </w:pPr>
      <w:rPr>
        <w:rFonts w:cs="Times New Roman"/>
      </w:rPr>
    </w:lvl>
  </w:abstractNum>
  <w:abstractNum w:abstractNumId="3">
    <w:multiLevelType w:val="hybridMultilevel"/>
    <w:lvl w:ilvl="0">
      <w:start w:val="1"/>
      <w:numFmt w:val="upperLetter"/>
      <w:pStyle w:val="1005"/>
      <w:isLgl w:val="false"/>
      <w:suff w:val="tab"/>
      <w:lvlText w:val="附录%1."/>
      <w:lvlJc w:val="left"/>
      <w:pPr>
        <w:pStyle w:val="9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8"/>
      <w:isLgl w:val="false"/>
      <w:suff w:val="tab"/>
      <w:lvlText w:val="%1."/>
      <w:lvlJc w:val="left"/>
      <w:pPr>
        <w:pStyle w:val="925"/>
        <w:ind w:left="709" w:hanging="709"/>
        <w:tabs>
          <w:tab w:val="num" w:pos="709" w:leader="none"/>
        </w:tabs>
      </w:pPr>
      <w:rPr>
        <w:rFonts w:hint="eastAsia"/>
      </w:rPr>
    </w:lvl>
    <w:lvl w:ilvl="1">
      <w:start w:val="1"/>
      <w:numFmt w:val="decimal"/>
      <w:isLgl w:val="false"/>
      <w:suff w:val="tab"/>
      <w:lvlText w:val="%1.%2"/>
      <w:lvlJc w:val="left"/>
      <w:pPr>
        <w:pStyle w:val="925"/>
        <w:ind w:left="709" w:hanging="709"/>
        <w:tabs>
          <w:tab w:val="num" w:pos="709" w:leader="none"/>
        </w:tabs>
      </w:pPr>
      <w:rPr>
        <w:rFonts w:hint="eastAsia"/>
      </w:rPr>
    </w:lvl>
    <w:lvl w:ilvl="2">
      <w:start w:val="1"/>
      <w:numFmt w:val="decimal"/>
      <w:isLgl w:val="false"/>
      <w:suff w:val="tab"/>
      <w:lvlText w:val="%1.%2.%3."/>
      <w:lvlJc w:val="left"/>
      <w:pPr>
        <w:pStyle w:val="925"/>
        <w:ind w:left="425" w:hanging="425"/>
        <w:tabs>
          <w:tab w:val="num" w:pos="425" w:leader="none"/>
        </w:tabs>
      </w:pPr>
      <w:rPr>
        <w:rFonts w:hint="eastAsia"/>
      </w:rPr>
    </w:lvl>
    <w:lvl w:ilvl="3">
      <w:start w:val="1"/>
      <w:numFmt w:val="decimal"/>
      <w:isLgl w:val="false"/>
      <w:suff w:val="tab"/>
      <w:lvlText w:val="%1.%2.%3.%4."/>
      <w:lvlJc w:val="left"/>
      <w:pPr>
        <w:pStyle w:val="925"/>
        <w:ind w:left="851" w:hanging="851"/>
        <w:tabs>
          <w:tab w:val="num" w:pos="851" w:leader="none"/>
        </w:tabs>
      </w:pPr>
      <w:rPr>
        <w:rFonts w:hint="eastAsia"/>
      </w:rPr>
    </w:lvl>
    <w:lvl w:ilvl="4">
      <w:start w:val="1"/>
      <w:numFmt w:val="decimal"/>
      <w:isLgl w:val="false"/>
      <w:suff w:val="tab"/>
      <w:lvlText w:val="%1.%2.%3.%4.%5."/>
      <w:lvlJc w:val="left"/>
      <w:pPr>
        <w:pStyle w:val="925"/>
        <w:ind w:left="992" w:hanging="992"/>
        <w:tabs>
          <w:tab w:val="num" w:pos="992" w:leader="none"/>
        </w:tabs>
      </w:pPr>
      <w:rPr>
        <w:rFonts w:hint="eastAsia"/>
      </w:rPr>
    </w:lvl>
    <w:lvl w:ilvl="5">
      <w:start w:val="1"/>
      <w:numFmt w:val="decimal"/>
      <w:isLgl w:val="false"/>
      <w:suff w:val="tab"/>
      <w:lvlText w:val="%1.%2.%3.%4.%5.%6."/>
      <w:lvlJc w:val="left"/>
      <w:pPr>
        <w:pStyle w:val="925"/>
        <w:ind w:left="1134" w:hanging="1134"/>
        <w:tabs>
          <w:tab w:val="num" w:pos="1134" w:leader="none"/>
        </w:tabs>
      </w:pPr>
      <w:rPr>
        <w:rFonts w:hint="eastAsia"/>
      </w:rPr>
    </w:lvl>
    <w:lvl w:ilvl="6">
      <w:start w:val="1"/>
      <w:numFmt w:val="decimal"/>
      <w:isLgl w:val="false"/>
      <w:suff w:val="tab"/>
      <w:lvlText w:val="%1.%2.%3.%4.%5.%6.%7."/>
      <w:lvlJc w:val="left"/>
      <w:pPr>
        <w:pStyle w:val="925"/>
        <w:ind w:left="1276" w:hanging="1276"/>
        <w:tabs>
          <w:tab w:val="num" w:pos="1276" w:leader="none"/>
        </w:tabs>
      </w:pPr>
      <w:rPr>
        <w:rFonts w:hint="eastAsia"/>
      </w:rPr>
    </w:lvl>
    <w:lvl w:ilvl="7">
      <w:start w:val="1"/>
      <w:numFmt w:val="decimal"/>
      <w:isLgl w:val="false"/>
      <w:suff w:val="tab"/>
      <w:lvlText w:val="%1.%2.%3.%4.%5.%6.%7.%8."/>
      <w:lvlJc w:val="left"/>
      <w:pPr>
        <w:pStyle w:val="925"/>
        <w:ind w:left="1418" w:hanging="1418"/>
        <w:tabs>
          <w:tab w:val="num" w:pos="1418" w:leader="none"/>
        </w:tabs>
      </w:pPr>
      <w:rPr>
        <w:rFonts w:hint="eastAsia"/>
      </w:rPr>
    </w:lvl>
    <w:lvl w:ilvl="8">
      <w:start w:val="1"/>
      <w:numFmt w:val="decimal"/>
      <w:isLgl w:val="false"/>
      <w:suff w:val="tab"/>
      <w:lvlText w:val="%1.%2.%3.%4.%5.%6.%7.%8.%9."/>
      <w:lvlJc w:val="left"/>
      <w:pPr>
        <w:pStyle w:val="925"/>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25"/>
        <w:ind w:left="0" w:firstLine="0"/>
      </w:pPr>
      <w:rPr>
        <w:rFonts w:hint="eastAsia"/>
      </w:rPr>
    </w:lvl>
    <w:lvl w:ilvl="1">
      <w:start w:val="1"/>
      <w:numFmt w:val="decimal"/>
      <w:isLgl w:val="false"/>
      <w:suff w:val="nothing"/>
      <w:lvlText w:val="%2、"/>
      <w:lvlJc w:val="left"/>
      <w:pPr>
        <w:pStyle w:val="925"/>
        <w:ind w:left="0" w:firstLine="0"/>
      </w:pPr>
      <w:rPr>
        <w:rFonts w:hint="eastAsia"/>
      </w:rPr>
    </w:lvl>
    <w:lvl w:ilvl="2">
      <w:start w:val="1"/>
      <w:numFmt w:val="decimal"/>
      <w:isLgl w:val="false"/>
      <w:suff w:val="nothing"/>
      <w:lvlText w:val="%2.%3 "/>
      <w:lvlJc w:val="left"/>
      <w:pPr>
        <w:pStyle w:val="925"/>
        <w:ind w:left="0" w:firstLine="0"/>
      </w:pPr>
      <w:rPr>
        <w:rFonts w:hint="eastAsia"/>
      </w:rPr>
    </w:lvl>
    <w:lvl w:ilvl="3">
      <w:start w:val="1"/>
      <w:numFmt w:val="decimal"/>
      <w:isLgl w:val="false"/>
      <w:suff w:val="nothing"/>
      <w:lvlText w:val="%2.%3.%4 "/>
      <w:lvlJc w:val="left"/>
      <w:pPr>
        <w:pStyle w:val="925"/>
        <w:ind w:left="0" w:firstLine="0"/>
      </w:pPr>
      <w:rPr>
        <w:rFonts w:hint="eastAsia"/>
      </w:rPr>
    </w:lvl>
    <w:lvl w:ilvl="4">
      <w:start w:val="1"/>
      <w:numFmt w:val="decimal"/>
      <w:isLgl w:val="false"/>
      <w:suff w:val="nothing"/>
      <w:lvlText w:val="%2.%3.%4.%5 "/>
      <w:lvlJc w:val="left"/>
      <w:pPr>
        <w:pStyle w:val="925"/>
        <w:ind w:left="0" w:firstLine="0"/>
      </w:pPr>
      <w:rPr>
        <w:rFonts w:hint="eastAsia"/>
      </w:rPr>
    </w:lvl>
    <w:lvl w:ilvl="5">
      <w:start w:val="1"/>
      <w:numFmt w:val="decimal"/>
      <w:pStyle w:val="931"/>
      <w:isLgl w:val="false"/>
      <w:suff w:val="nothing"/>
      <w:lvlText w:val=""/>
      <w:lvlJc w:val="left"/>
      <w:pPr>
        <w:pStyle w:val="925"/>
        <w:ind w:left="0" w:firstLine="0"/>
      </w:pPr>
      <w:rPr>
        <w:rFonts w:hint="eastAsia"/>
      </w:rPr>
    </w:lvl>
    <w:lvl w:ilvl="6">
      <w:start w:val="1"/>
      <w:numFmt w:val="decimal"/>
      <w:pStyle w:val="932"/>
      <w:isLgl w:val="false"/>
      <w:suff w:val="nothing"/>
      <w:lvlText w:val=""/>
      <w:lvlJc w:val="left"/>
      <w:pPr>
        <w:pStyle w:val="925"/>
        <w:ind w:left="0" w:firstLine="0"/>
      </w:pPr>
      <w:rPr>
        <w:rFonts w:hint="eastAsia"/>
      </w:rPr>
    </w:lvl>
    <w:lvl w:ilvl="7">
      <w:start w:val="1"/>
      <w:numFmt w:val="decimal"/>
      <w:pStyle w:val="933"/>
      <w:isLgl w:val="false"/>
      <w:suff w:val="nothing"/>
      <w:lvlText w:val=""/>
      <w:lvlJc w:val="left"/>
      <w:pPr>
        <w:pStyle w:val="925"/>
        <w:ind w:left="0" w:firstLine="0"/>
      </w:pPr>
      <w:rPr>
        <w:rFonts w:hint="eastAsia"/>
      </w:rPr>
    </w:lvl>
    <w:lvl w:ilvl="8">
      <w:start w:val="1"/>
      <w:numFmt w:val="decimal"/>
      <w:pStyle w:val="934"/>
      <w:isLgl w:val="false"/>
      <w:suff w:val="nothing"/>
      <w:lvlText w:val=""/>
      <w:lvlJc w:val="left"/>
      <w:pPr>
        <w:pStyle w:val="925"/>
        <w:ind w:left="0" w:firstLine="0"/>
      </w:pPr>
      <w:rPr>
        <w:rFonts w:hint="eastAsia"/>
      </w:rPr>
    </w:lvl>
  </w:abstractNum>
  <w:num w:numId="1">
    <w:abstractNumId w:val="7"/>
  </w:num>
  <w:num w:numId="2">
    <w:abstractNumId w:val="3"/>
  </w:num>
  <w:num w:numId="3">
    <w:abstractNumId w:val="5"/>
  </w:num>
  <w:num w:numId="4">
    <w:abstractNumId w:val="2"/>
  </w:num>
  <w:num w:numId="5">
    <w:abstractNumId w:val="6"/>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5"/>
    <w:next w:val="925"/>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5"/>
    <w:next w:val="925"/>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5"/>
    <w:next w:val="925"/>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5"/>
    <w:next w:val="925"/>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5"/>
    <w:next w:val="925"/>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5"/>
    <w:next w:val="925"/>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5"/>
    <w:next w:val="925"/>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5"/>
    <w:next w:val="925"/>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5"/>
    <w:next w:val="925"/>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2"/>
      <w:lang w:val="en-US" w:eastAsia="zh-CN" w:bidi="ar-SA"/>
    </w:rPr>
  </w:style>
  <w:style w:type="paragraph" w:styleId="926">
    <w:name w:val="标题 1"/>
    <w:basedOn w:val="925"/>
    <w:next w:val="925"/>
    <w:link w:val="937"/>
    <w:qFormat/>
    <w:pPr>
      <w:jc w:val="center"/>
      <w:keepNext/>
      <w:outlineLvl w:val="0"/>
    </w:pPr>
    <w:rPr>
      <w:rFonts w:ascii="楷体_GB2312" w:hAnsi="Times New Roman" w:eastAsia="楷体_GB2312" w:cs="Times New Roman"/>
      <w:sz w:val="28"/>
      <w:szCs w:val="28"/>
    </w:rPr>
  </w:style>
  <w:style w:type="paragraph" w:styleId="927">
    <w:name w:val="标题 2"/>
    <w:basedOn w:val="925"/>
    <w:next w:val="925"/>
    <w:link w:val="938"/>
    <w:qFormat/>
    <w:pPr>
      <w:jc w:val="center"/>
      <w:keepLines/>
      <w:keepNext/>
      <w:spacing w:before="260" w:after="260" w:line="416" w:lineRule="auto"/>
      <w:outlineLvl w:val="1"/>
    </w:pPr>
    <w:rPr>
      <w:rFonts w:ascii="Arial" w:hAnsi="Arial" w:eastAsia="幼圆" w:cs="Arial"/>
      <w:b/>
      <w:bCs/>
      <w:sz w:val="44"/>
      <w:szCs w:val="44"/>
    </w:rPr>
  </w:style>
  <w:style w:type="paragraph" w:styleId="928">
    <w:name w:val="标题 3"/>
    <w:basedOn w:val="925"/>
    <w:next w:val="940"/>
    <w:link w:val="93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9">
    <w:name w:val="标题 4"/>
    <w:basedOn w:val="925"/>
    <w:next w:val="940"/>
    <w:link w:val="942"/>
    <w:qFormat/>
    <w:pPr>
      <w:keepLines/>
      <w:keepNext/>
      <w:spacing w:before="280" w:after="290" w:line="376" w:lineRule="auto"/>
      <w:outlineLvl w:val="3"/>
    </w:pPr>
    <w:rPr>
      <w:rFonts w:ascii="Arial" w:hAnsi="Arial" w:eastAsia="黑体" w:cs="Arial"/>
      <w:b/>
      <w:bCs/>
      <w:sz w:val="28"/>
      <w:szCs w:val="28"/>
    </w:rPr>
  </w:style>
  <w:style w:type="paragraph" w:styleId="930">
    <w:name w:val="标题 5"/>
    <w:basedOn w:val="925"/>
    <w:next w:val="940"/>
    <w:link w:val="943"/>
    <w:qFormat/>
    <w:pPr>
      <w:keepNext/>
      <w:outlineLvl w:val="4"/>
    </w:pPr>
    <w:rPr>
      <w:rFonts w:ascii="宋体" w:hAnsi="Times New Roman" w:eastAsia="宋体" w:cs="Times New Roman"/>
      <w:color w:val="000000"/>
      <w:sz w:val="28"/>
      <w:szCs w:val="28"/>
    </w:rPr>
  </w:style>
  <w:style w:type="paragraph" w:styleId="931">
    <w:name w:val="标题 6"/>
    <w:basedOn w:val="925"/>
    <w:next w:val="925"/>
    <w:link w:val="94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2">
    <w:name w:val="标题 7"/>
    <w:basedOn w:val="925"/>
    <w:next w:val="925"/>
    <w:link w:val="94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3">
    <w:name w:val="标题 8"/>
    <w:basedOn w:val="925"/>
    <w:next w:val="925"/>
    <w:link w:val="94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4">
    <w:name w:val="标题 9"/>
    <w:basedOn w:val="925"/>
    <w:next w:val="925"/>
    <w:link w:val="947"/>
    <w:qFormat/>
    <w:pPr>
      <w:numPr>
        <w:ilvl w:val="8"/>
        <w:numId w:val="1"/>
      </w:numPr>
      <w:keepLines/>
      <w:keepNext/>
      <w:spacing w:before="240" w:after="64" w:line="320" w:lineRule="auto"/>
      <w:outlineLvl w:val="8"/>
    </w:pPr>
    <w:rPr>
      <w:rFonts w:ascii="Arial" w:hAnsi="Arial" w:eastAsia="黑体" w:cs="Times New Roman"/>
      <w:szCs w:val="21"/>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character" w:styleId="937">
    <w:name w:val="标题 1 字符"/>
    <w:next w:val="937"/>
    <w:link w:val="926"/>
    <w:rPr>
      <w:rFonts w:ascii="楷体_GB2312" w:hAnsi="Times New Roman" w:eastAsia="楷体_GB2312" w:cs="Times New Roman"/>
      <w:sz w:val="28"/>
      <w:szCs w:val="28"/>
    </w:rPr>
  </w:style>
  <w:style w:type="character" w:styleId="938">
    <w:name w:val="标题 2 字符"/>
    <w:next w:val="938"/>
    <w:link w:val="927"/>
    <w:rPr>
      <w:rFonts w:ascii="Arial" w:hAnsi="Arial" w:eastAsia="幼圆" w:cs="Arial"/>
      <w:b/>
      <w:bCs/>
      <w:sz w:val="44"/>
      <w:szCs w:val="44"/>
    </w:rPr>
  </w:style>
  <w:style w:type="character" w:styleId="939">
    <w:name w:val="标题 3 字符"/>
    <w:next w:val="939"/>
    <w:link w:val="928"/>
    <w:rPr>
      <w:rFonts w:ascii="Times New Roman" w:hAnsi="Times New Roman" w:eastAsia="宋体" w:cs="Times New Roman"/>
      <w:b/>
      <w:bCs/>
      <w:sz w:val="32"/>
      <w:szCs w:val="32"/>
    </w:rPr>
  </w:style>
  <w:style w:type="paragraph" w:styleId="940">
    <w:name w:val="正文缩进"/>
    <w:basedOn w:val="925"/>
    <w:next w:val="940"/>
    <w:link w:val="941"/>
    <w:pPr>
      <w:ind w:firstLine="420"/>
    </w:pPr>
    <w:rPr>
      <w:szCs w:val="21"/>
    </w:rPr>
  </w:style>
  <w:style w:type="character" w:styleId="941">
    <w:name w:val="正文缩进 字符"/>
    <w:next w:val="941"/>
    <w:link w:val="940"/>
    <w:rPr>
      <w:szCs w:val="21"/>
    </w:rPr>
  </w:style>
  <w:style w:type="character" w:styleId="942">
    <w:name w:val="标题 4 字符"/>
    <w:next w:val="942"/>
    <w:link w:val="929"/>
    <w:rPr>
      <w:rFonts w:ascii="Arial" w:hAnsi="Arial" w:eastAsia="黑体" w:cs="Arial"/>
      <w:b/>
      <w:bCs/>
      <w:sz w:val="28"/>
      <w:szCs w:val="28"/>
    </w:rPr>
  </w:style>
  <w:style w:type="character" w:styleId="943">
    <w:name w:val="标题 5 字符"/>
    <w:next w:val="943"/>
    <w:link w:val="930"/>
    <w:rPr>
      <w:rFonts w:ascii="宋体" w:hAnsi="Times New Roman" w:eastAsia="宋体" w:cs="Times New Roman"/>
      <w:color w:val="000000"/>
      <w:sz w:val="28"/>
      <w:szCs w:val="28"/>
    </w:rPr>
  </w:style>
  <w:style w:type="character" w:styleId="944">
    <w:name w:val="标题 6 字符"/>
    <w:next w:val="944"/>
    <w:link w:val="931"/>
    <w:rPr>
      <w:rFonts w:ascii="Arial" w:hAnsi="Arial" w:eastAsia="黑体" w:cs="Times New Roman"/>
      <w:b/>
      <w:bCs/>
      <w:sz w:val="24"/>
      <w:szCs w:val="24"/>
    </w:rPr>
  </w:style>
  <w:style w:type="character" w:styleId="945">
    <w:name w:val="标题 7 字符"/>
    <w:next w:val="945"/>
    <w:link w:val="932"/>
    <w:rPr>
      <w:rFonts w:ascii="Times New Roman" w:hAnsi="Times New Roman" w:eastAsia="宋体" w:cs="Times New Roman"/>
      <w:b/>
      <w:bCs/>
      <w:sz w:val="24"/>
      <w:szCs w:val="24"/>
    </w:rPr>
  </w:style>
  <w:style w:type="character" w:styleId="946">
    <w:name w:val="标题 8 字符"/>
    <w:next w:val="946"/>
    <w:link w:val="933"/>
    <w:rPr>
      <w:rFonts w:ascii="Arial" w:hAnsi="Arial" w:eastAsia="黑体" w:cs="Times New Roman"/>
      <w:sz w:val="24"/>
      <w:szCs w:val="24"/>
    </w:rPr>
  </w:style>
  <w:style w:type="character" w:styleId="947">
    <w:name w:val="标题 9 字符"/>
    <w:next w:val="947"/>
    <w:link w:val="934"/>
    <w:rPr>
      <w:rFonts w:ascii="Arial" w:hAnsi="Arial" w:eastAsia="黑体" w:cs="Times New Roman"/>
      <w:szCs w:val="21"/>
    </w:rPr>
  </w:style>
  <w:style w:type="paragraph" w:styleId="948">
    <w:name w:val="列表 3"/>
    <w:basedOn w:val="925"/>
    <w:next w:val="948"/>
    <w:link w:val="925"/>
    <w:pPr>
      <w:ind w:left="100" w:hanging="200"/>
    </w:pPr>
    <w:rPr>
      <w:rFonts w:ascii="Times New Roman" w:hAnsi="Times New Roman" w:eastAsia="宋体" w:cs="Times New Roman"/>
      <w:szCs w:val="21"/>
    </w:rPr>
  </w:style>
  <w:style w:type="paragraph" w:styleId="949">
    <w:name w:val="目录 7"/>
    <w:basedOn w:val="925"/>
    <w:next w:val="925"/>
    <w:link w:val="925"/>
    <w:semiHidden/>
    <w:pPr>
      <w:ind w:left="1260"/>
      <w:jc w:val="left"/>
    </w:pPr>
    <w:rPr>
      <w:rFonts w:ascii="Times New Roman" w:hAnsi="Times New Roman" w:eastAsia="宋体" w:cs="Times New Roman"/>
      <w:szCs w:val="21"/>
    </w:rPr>
  </w:style>
  <w:style w:type="paragraph" w:styleId="950">
    <w:name w:val="文档结构图"/>
    <w:basedOn w:val="925"/>
    <w:next w:val="950"/>
    <w:link w:val="951"/>
    <w:semiHidden/>
    <w:pPr>
      <w:shd w:val="clear" w:color="auto" w:fill="000080"/>
    </w:pPr>
    <w:rPr>
      <w:rFonts w:ascii="Times New Roman" w:hAnsi="Times New Roman" w:eastAsia="宋体" w:cs="Times New Roman"/>
      <w:szCs w:val="21"/>
    </w:rPr>
  </w:style>
  <w:style w:type="character" w:styleId="951">
    <w:name w:val="文档结构图 字符"/>
    <w:next w:val="951"/>
    <w:link w:val="950"/>
    <w:semiHidden/>
    <w:rPr>
      <w:rFonts w:ascii="Times New Roman" w:hAnsi="Times New Roman" w:eastAsia="宋体" w:cs="Times New Roman"/>
      <w:szCs w:val="21"/>
      <w:shd w:val="clear" w:color="auto" w:fill="000080"/>
    </w:rPr>
  </w:style>
  <w:style w:type="paragraph" w:styleId="952">
    <w:name w:val="批注文字"/>
    <w:basedOn w:val="925"/>
    <w:next w:val="952"/>
    <w:link w:val="953"/>
    <w:unhideWhenUsed/>
    <w:pPr>
      <w:jc w:val="left"/>
    </w:pPr>
  </w:style>
  <w:style w:type="character" w:styleId="953">
    <w:name w:val="批注文字 字符"/>
    <w:next w:val="953"/>
    <w:link w:val="952"/>
    <w:uiPriority w:val="99"/>
    <w:semiHidden/>
  </w:style>
  <w:style w:type="paragraph" w:styleId="954">
    <w:name w:val="正文文本 3"/>
    <w:basedOn w:val="925"/>
    <w:next w:val="954"/>
    <w:link w:val="955"/>
    <w:rPr>
      <w:rFonts w:ascii="仿宋_GB2312" w:hAnsi="Arial" w:eastAsia="仿宋_GB2312" w:cs="Times New Roman"/>
      <w:sz w:val="32"/>
      <w:szCs w:val="32"/>
    </w:rPr>
  </w:style>
  <w:style w:type="character" w:styleId="955">
    <w:name w:val="正文文本 3 字符"/>
    <w:next w:val="955"/>
    <w:link w:val="954"/>
    <w:rPr>
      <w:rFonts w:ascii="仿宋_GB2312" w:hAnsi="Arial" w:eastAsia="仿宋_GB2312" w:cs="Times New Roman"/>
      <w:sz w:val="32"/>
      <w:szCs w:val="32"/>
    </w:rPr>
  </w:style>
  <w:style w:type="paragraph" w:styleId="956">
    <w:name w:val="正文文本"/>
    <w:basedOn w:val="925"/>
    <w:next w:val="956"/>
    <w:link w:val="957"/>
    <w:rPr>
      <w:rFonts w:ascii="楷体_GB2312" w:hAnsi="Arial" w:eastAsia="楷体_GB2312" w:cs="Times New Roman"/>
      <w:sz w:val="28"/>
      <w:szCs w:val="28"/>
    </w:rPr>
  </w:style>
  <w:style w:type="character" w:styleId="957">
    <w:name w:val="正文文本 字符"/>
    <w:next w:val="957"/>
    <w:link w:val="956"/>
    <w:rPr>
      <w:rFonts w:ascii="楷体_GB2312" w:hAnsi="Arial" w:eastAsia="楷体_GB2312" w:cs="Times New Roman"/>
      <w:sz w:val="28"/>
      <w:szCs w:val="28"/>
    </w:rPr>
  </w:style>
  <w:style w:type="paragraph" w:styleId="958">
    <w:name w:val="正文文本缩进"/>
    <w:basedOn w:val="925"/>
    <w:next w:val="925"/>
    <w:link w:val="959"/>
    <w:unhideWhenUsed/>
    <w:pPr>
      <w:ind w:left="420"/>
      <w:spacing w:after="120"/>
    </w:pPr>
  </w:style>
  <w:style w:type="character" w:styleId="959">
    <w:name w:val="正文文本缩进 字符"/>
    <w:next w:val="959"/>
    <w:link w:val="958"/>
    <w:uiPriority w:val="99"/>
    <w:semiHidden/>
  </w:style>
  <w:style w:type="paragraph" w:styleId="960">
    <w:name w:val="列表 2"/>
    <w:basedOn w:val="925"/>
    <w:next w:val="960"/>
    <w:link w:val="925"/>
    <w:pPr>
      <w:ind w:left="100" w:hanging="200"/>
    </w:pPr>
    <w:rPr>
      <w:rFonts w:ascii="Times New Roman" w:hAnsi="Times New Roman" w:eastAsia="宋体" w:cs="Times New Roman"/>
      <w:szCs w:val="21"/>
    </w:rPr>
  </w:style>
  <w:style w:type="paragraph" w:styleId="961">
    <w:name w:val="目录 5"/>
    <w:basedOn w:val="925"/>
    <w:next w:val="925"/>
    <w:link w:val="925"/>
    <w:semiHidden/>
    <w:pPr>
      <w:ind w:left="840"/>
      <w:jc w:val="left"/>
    </w:pPr>
    <w:rPr>
      <w:rFonts w:ascii="Times New Roman" w:hAnsi="Times New Roman" w:eastAsia="宋体" w:cs="Times New Roman"/>
      <w:szCs w:val="21"/>
    </w:rPr>
  </w:style>
  <w:style w:type="paragraph" w:styleId="962">
    <w:name w:val="目录 3"/>
    <w:basedOn w:val="925"/>
    <w:next w:val="925"/>
    <w:link w:val="925"/>
    <w:semiHidden/>
    <w:pPr>
      <w:ind w:left="420"/>
      <w:jc w:val="left"/>
    </w:pPr>
    <w:rPr>
      <w:rFonts w:ascii="Times New Roman" w:hAnsi="Times New Roman" w:eastAsia="宋体" w:cs="Times New Roman"/>
      <w:i/>
      <w:iCs/>
      <w:szCs w:val="24"/>
    </w:rPr>
  </w:style>
  <w:style w:type="paragraph" w:styleId="963">
    <w:name w:val="纯文本"/>
    <w:basedOn w:val="925"/>
    <w:next w:val="963"/>
    <w:link w:val="964"/>
    <w:qFormat/>
    <w:rPr>
      <w:rFonts w:ascii="宋体" w:hAnsi="Courier New" w:eastAsia="宋体" w:cs="Courier New"/>
      <w:szCs w:val="21"/>
    </w:rPr>
  </w:style>
  <w:style w:type="character" w:styleId="964">
    <w:name w:val="纯文本 字符"/>
    <w:next w:val="964"/>
    <w:link w:val="963"/>
    <w:rPr>
      <w:rFonts w:ascii="宋体" w:hAnsi="Courier New" w:eastAsia="宋体" w:cs="Courier New"/>
      <w:szCs w:val="21"/>
    </w:rPr>
  </w:style>
  <w:style w:type="paragraph" w:styleId="965">
    <w:name w:val="目录 8"/>
    <w:basedOn w:val="925"/>
    <w:next w:val="925"/>
    <w:link w:val="925"/>
    <w:semiHidden/>
    <w:pPr>
      <w:ind w:left="1470"/>
      <w:jc w:val="left"/>
    </w:pPr>
    <w:rPr>
      <w:rFonts w:ascii="Times New Roman" w:hAnsi="Times New Roman" w:eastAsia="宋体" w:cs="Times New Roman"/>
      <w:szCs w:val="21"/>
    </w:rPr>
  </w:style>
  <w:style w:type="paragraph" w:styleId="966">
    <w:name w:val="日期"/>
    <w:basedOn w:val="925"/>
    <w:next w:val="925"/>
    <w:link w:val="967"/>
    <w:rPr>
      <w:rFonts w:ascii="Times New Roman" w:hAnsi="Times New Roman" w:eastAsia="宋体" w:cs="Times New Roman"/>
      <w:sz w:val="24"/>
      <w:szCs w:val="24"/>
    </w:rPr>
  </w:style>
  <w:style w:type="character" w:styleId="967">
    <w:name w:val="日期 字符"/>
    <w:next w:val="967"/>
    <w:link w:val="966"/>
    <w:rPr>
      <w:rFonts w:ascii="Times New Roman" w:hAnsi="Times New Roman" w:eastAsia="宋体" w:cs="Times New Roman"/>
      <w:sz w:val="24"/>
      <w:szCs w:val="24"/>
    </w:rPr>
  </w:style>
  <w:style w:type="paragraph" w:styleId="968">
    <w:name w:val="正文文本缩进 2"/>
    <w:basedOn w:val="925"/>
    <w:next w:val="968"/>
    <w:link w:val="969"/>
    <w:pPr>
      <w:ind w:left="630" w:firstLine="645"/>
    </w:pPr>
    <w:rPr>
      <w:rFonts w:ascii="Arial" w:hAnsi="Arial" w:eastAsia="仿宋_GB2312" w:cs="Arial"/>
      <w:sz w:val="32"/>
      <w:szCs w:val="32"/>
    </w:rPr>
  </w:style>
  <w:style w:type="character" w:styleId="969">
    <w:name w:val="正文文本缩进 2 字符"/>
    <w:next w:val="969"/>
    <w:link w:val="968"/>
    <w:rPr>
      <w:rFonts w:ascii="Arial" w:hAnsi="Arial" w:eastAsia="仿宋_GB2312" w:cs="Arial"/>
      <w:sz w:val="32"/>
      <w:szCs w:val="32"/>
    </w:rPr>
  </w:style>
  <w:style w:type="paragraph" w:styleId="970">
    <w:name w:val="批注框文本"/>
    <w:basedOn w:val="925"/>
    <w:next w:val="970"/>
    <w:link w:val="971"/>
    <w:semiHidden/>
    <w:rPr>
      <w:rFonts w:ascii="Times New Roman" w:hAnsi="Times New Roman" w:eastAsia="宋体" w:cs="Times New Roman"/>
      <w:sz w:val="18"/>
      <w:szCs w:val="18"/>
    </w:rPr>
  </w:style>
  <w:style w:type="character" w:styleId="971">
    <w:name w:val="批注框文本 字符"/>
    <w:next w:val="971"/>
    <w:link w:val="970"/>
    <w:semiHidden/>
    <w:rPr>
      <w:rFonts w:ascii="Times New Roman" w:hAnsi="Times New Roman" w:eastAsia="宋体" w:cs="Times New Roman"/>
      <w:sz w:val="18"/>
      <w:szCs w:val="18"/>
    </w:rPr>
  </w:style>
  <w:style w:type="paragraph" w:styleId="972">
    <w:name w:val="页脚"/>
    <w:basedOn w:val="925"/>
    <w:next w:val="972"/>
    <w:link w:val="97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73">
    <w:name w:val="页脚 字符"/>
    <w:next w:val="973"/>
    <w:link w:val="972"/>
    <w:uiPriority w:val="99"/>
    <w:rPr>
      <w:rFonts w:ascii="Times New Roman" w:hAnsi="Times New Roman" w:eastAsia="宋体" w:cs="Times New Roman"/>
      <w:sz w:val="18"/>
      <w:szCs w:val="18"/>
    </w:rPr>
  </w:style>
  <w:style w:type="paragraph" w:styleId="974">
    <w:name w:val="寄信人地址"/>
    <w:basedOn w:val="925"/>
    <w:next w:val="974"/>
    <w:link w:val="925"/>
    <w:qFormat/>
  </w:style>
  <w:style w:type="paragraph" w:styleId="975">
    <w:name w:val="页眉"/>
    <w:basedOn w:val="925"/>
    <w:next w:val="975"/>
    <w:link w:val="97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6">
    <w:name w:val="页眉 字符"/>
    <w:next w:val="976"/>
    <w:link w:val="975"/>
    <w:rPr>
      <w:rFonts w:ascii="Times New Roman" w:hAnsi="Times New Roman" w:eastAsia="宋体" w:cs="Times New Roman"/>
      <w:sz w:val="18"/>
      <w:szCs w:val="18"/>
    </w:rPr>
  </w:style>
  <w:style w:type="paragraph" w:styleId="977">
    <w:name w:val="目录 1"/>
    <w:basedOn w:val="925"/>
    <w:next w:val="925"/>
    <w:link w:val="92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8">
    <w:name w:val="目录 4"/>
    <w:basedOn w:val="925"/>
    <w:next w:val="925"/>
    <w:link w:val="925"/>
    <w:semiHidden/>
    <w:pPr>
      <w:ind w:left="630"/>
      <w:jc w:val="left"/>
    </w:pPr>
    <w:rPr>
      <w:rFonts w:ascii="Times New Roman" w:hAnsi="Times New Roman" w:eastAsia="宋体" w:cs="Times New Roman"/>
      <w:szCs w:val="21"/>
    </w:rPr>
  </w:style>
  <w:style w:type="paragraph" w:styleId="979">
    <w:name w:val="列表"/>
    <w:basedOn w:val="925"/>
    <w:next w:val="979"/>
    <w:link w:val="925"/>
    <w:pPr>
      <w:ind w:left="200" w:hanging="200"/>
    </w:pPr>
    <w:rPr>
      <w:rFonts w:ascii="Times New Roman" w:hAnsi="Times New Roman" w:eastAsia="宋体" w:cs="Times New Roman"/>
      <w:szCs w:val="21"/>
    </w:rPr>
  </w:style>
  <w:style w:type="paragraph" w:styleId="980">
    <w:name w:val="目录 6"/>
    <w:basedOn w:val="925"/>
    <w:next w:val="925"/>
    <w:link w:val="925"/>
    <w:semiHidden/>
    <w:pPr>
      <w:ind w:left="1050"/>
      <w:jc w:val="left"/>
    </w:pPr>
    <w:rPr>
      <w:rFonts w:ascii="Times New Roman" w:hAnsi="Times New Roman" w:eastAsia="宋体" w:cs="Times New Roman"/>
      <w:szCs w:val="21"/>
    </w:rPr>
  </w:style>
  <w:style w:type="paragraph" w:styleId="981">
    <w:name w:val="正文文本缩进 3"/>
    <w:basedOn w:val="925"/>
    <w:next w:val="981"/>
    <w:link w:val="982"/>
    <w:pPr>
      <w:ind w:left="645" w:firstLine="645"/>
    </w:pPr>
    <w:rPr>
      <w:rFonts w:ascii="Arial" w:hAnsi="Arial" w:eastAsia="仿宋_GB2312" w:cs="Arial"/>
      <w:color w:val="ffff00"/>
      <w:sz w:val="32"/>
      <w:szCs w:val="32"/>
    </w:rPr>
  </w:style>
  <w:style w:type="character" w:styleId="982">
    <w:name w:val="正文文本缩进 3 字符"/>
    <w:next w:val="982"/>
    <w:link w:val="981"/>
    <w:rPr>
      <w:rFonts w:ascii="Arial" w:hAnsi="Arial" w:eastAsia="仿宋_GB2312" w:cs="Arial"/>
      <w:color w:val="ffff00"/>
      <w:sz w:val="32"/>
      <w:szCs w:val="32"/>
    </w:rPr>
  </w:style>
  <w:style w:type="paragraph" w:styleId="983">
    <w:name w:val="图表目录"/>
    <w:basedOn w:val="925"/>
    <w:next w:val="925"/>
    <w:link w:val="925"/>
    <w:semiHidden/>
    <w:pPr>
      <w:ind w:left="840" w:hanging="420"/>
    </w:pPr>
    <w:rPr>
      <w:rFonts w:ascii="Times New Roman" w:hAnsi="Times New Roman" w:eastAsia="宋体" w:cs="Times New Roman"/>
      <w:szCs w:val="21"/>
    </w:rPr>
  </w:style>
  <w:style w:type="paragraph" w:styleId="984">
    <w:name w:val="目录 2"/>
    <w:basedOn w:val="925"/>
    <w:next w:val="925"/>
    <w:link w:val="925"/>
    <w:semiHidden/>
    <w:pPr>
      <w:ind w:left="210"/>
      <w:jc w:val="left"/>
    </w:pPr>
    <w:rPr>
      <w:rFonts w:ascii="Times New Roman" w:hAnsi="Times New Roman" w:eastAsia="宋体" w:cs="Times New Roman"/>
      <w:smallCaps/>
      <w:szCs w:val="24"/>
    </w:rPr>
  </w:style>
  <w:style w:type="paragraph" w:styleId="985">
    <w:name w:val="目录 9"/>
    <w:basedOn w:val="925"/>
    <w:next w:val="925"/>
    <w:link w:val="925"/>
    <w:semiHidden/>
    <w:pPr>
      <w:ind w:left="1680"/>
      <w:jc w:val="left"/>
    </w:pPr>
    <w:rPr>
      <w:rFonts w:ascii="Times New Roman" w:hAnsi="Times New Roman" w:eastAsia="宋体" w:cs="Times New Roman"/>
      <w:szCs w:val="21"/>
    </w:rPr>
  </w:style>
  <w:style w:type="paragraph" w:styleId="986">
    <w:name w:val="正文文本 2"/>
    <w:basedOn w:val="925"/>
    <w:next w:val="986"/>
    <w:link w:val="987"/>
    <w:pPr>
      <w:jc w:val="center"/>
      <w:widowControl/>
    </w:pPr>
    <w:rPr>
      <w:rFonts w:ascii="楷体_GB2312" w:hAnsi="Times New Roman" w:eastAsia="楷体_GB2312" w:cs="Times New Roman"/>
      <w:sz w:val="28"/>
      <w:szCs w:val="28"/>
    </w:rPr>
  </w:style>
  <w:style w:type="character" w:styleId="987">
    <w:name w:val="正文文本 2 字符"/>
    <w:next w:val="987"/>
    <w:link w:val="986"/>
    <w:rPr>
      <w:rFonts w:ascii="楷体_GB2312" w:hAnsi="Times New Roman" w:eastAsia="楷体_GB2312" w:cs="Times New Roman"/>
      <w:sz w:val="28"/>
      <w:szCs w:val="28"/>
    </w:rPr>
  </w:style>
  <w:style w:type="paragraph" w:styleId="988">
    <w:name w:val="普通(网站)"/>
    <w:basedOn w:val="925"/>
    <w:next w:val="988"/>
    <w:link w:val="925"/>
    <w:uiPriority w:val="99"/>
    <w:pPr>
      <w:jc w:val="left"/>
      <w:spacing w:before="100" w:beforeAutospacing="1" w:after="100" w:afterAutospacing="1"/>
      <w:widowControl/>
    </w:pPr>
    <w:rPr>
      <w:rFonts w:ascii="宋体" w:hAnsi="宋体" w:eastAsia="宋体" w:cs="宋体"/>
      <w:sz w:val="24"/>
      <w:szCs w:val="24"/>
    </w:rPr>
  </w:style>
  <w:style w:type="paragraph" w:styleId="989">
    <w:name w:val="索引 1"/>
    <w:basedOn w:val="925"/>
    <w:next w:val="925"/>
    <w:link w:val="925"/>
    <w:semiHidden/>
    <w:pPr>
      <w:spacing w:line="240" w:lineRule="atLeast"/>
    </w:pPr>
    <w:rPr>
      <w:rFonts w:ascii="Times New Roman" w:hAnsi="Times New Roman" w:eastAsia="宋体" w:cs="Times New Roman"/>
      <w:b/>
      <w:bCs/>
      <w:szCs w:val="21"/>
    </w:rPr>
  </w:style>
  <w:style w:type="paragraph" w:styleId="990">
    <w:name w:val="批注主题"/>
    <w:basedOn w:val="952"/>
    <w:next w:val="952"/>
    <w:link w:val="991"/>
    <w:semiHidden/>
    <w:rPr>
      <w:rFonts w:ascii="Times New Roman" w:hAnsi="Times New Roman" w:eastAsia="宋体" w:cs="Times New Roman"/>
      <w:b/>
      <w:bCs/>
      <w:szCs w:val="21"/>
    </w:rPr>
  </w:style>
  <w:style w:type="character" w:styleId="991">
    <w:name w:val="批注主题 字符"/>
    <w:next w:val="991"/>
    <w:link w:val="990"/>
    <w:semiHidden/>
    <w:rPr>
      <w:rFonts w:ascii="Times New Roman" w:hAnsi="Times New Roman" w:eastAsia="宋体" w:cs="Times New Roman"/>
      <w:b/>
      <w:bCs/>
      <w:szCs w:val="21"/>
    </w:rPr>
  </w:style>
  <w:style w:type="paragraph" w:styleId="992">
    <w:name w:val="正文首行缩进"/>
    <w:basedOn w:val="956"/>
    <w:next w:val="980"/>
    <w:link w:val="993"/>
    <w:pPr>
      <w:ind w:firstLine="200"/>
      <w:spacing w:line="360" w:lineRule="auto"/>
    </w:pPr>
    <w:rPr>
      <w:rFonts w:ascii="仿宋_GB2312" w:hAnsi="Times New Roman" w:eastAsia="仿宋_GB2312" w:cs="Times New Roman"/>
      <w:sz w:val="30"/>
      <w:szCs w:val="30"/>
    </w:rPr>
  </w:style>
  <w:style w:type="character" w:styleId="993">
    <w:name w:val="正文首行缩进 字符"/>
    <w:next w:val="993"/>
    <w:link w:val="992"/>
    <w:rPr>
      <w:rFonts w:ascii="仿宋_GB2312" w:hAnsi="Times New Roman" w:eastAsia="仿宋_GB2312" w:cs="Times New Roman"/>
      <w:sz w:val="30"/>
      <w:szCs w:val="30"/>
    </w:rPr>
  </w:style>
  <w:style w:type="paragraph" w:styleId="994">
    <w:name w:val="正文首行缩进 2"/>
    <w:basedOn w:val="958"/>
    <w:next w:val="925"/>
    <w:link w:val="995"/>
    <w:pPr>
      <w:ind w:left="0" w:firstLine="420"/>
      <w:spacing w:after="0" w:line="360" w:lineRule="auto"/>
    </w:pPr>
    <w:rPr>
      <w:rFonts w:ascii="宋体" w:hAnsi="宋体" w:eastAsia="宋体" w:cs="Times New Roman"/>
      <w:szCs w:val="20"/>
    </w:rPr>
  </w:style>
  <w:style w:type="character" w:styleId="995">
    <w:name w:val="正文首行缩进 2 字符"/>
    <w:next w:val="995"/>
    <w:link w:val="994"/>
    <w:rPr>
      <w:rFonts w:ascii="宋体" w:hAnsi="宋体" w:eastAsia="宋体" w:cs="Times New Roman"/>
      <w:szCs w:val="20"/>
    </w:rPr>
  </w:style>
  <w:style w:type="table" w:styleId="996">
    <w:name w:val="网格型"/>
    <w:basedOn w:val="936"/>
    <w:next w:val="996"/>
    <w:link w:val="925"/>
    <w:pPr>
      <w:jc w:val="both"/>
      <w:widowControl w:val="off"/>
    </w:pPr>
    <w:rPr>
      <w:rFonts w:ascii="Times New Roman" w:hAnsi="Times New Roman" w:eastAsia="宋体" w:cs="Times New Roman"/>
      <w:sz w:val="20"/>
      <w:szCs w:val="20"/>
    </w:rPr>
    <w:tblPr/>
  </w:style>
  <w:style w:type="character" w:styleId="997">
    <w:name w:val="要点"/>
    <w:next w:val="997"/>
    <w:link w:val="925"/>
    <w:qFormat/>
    <w:rPr>
      <w:b/>
      <w:bCs/>
    </w:rPr>
  </w:style>
  <w:style w:type="character" w:styleId="998">
    <w:name w:val="页码"/>
    <w:next w:val="998"/>
    <w:link w:val="925"/>
  </w:style>
  <w:style w:type="character" w:styleId="999">
    <w:name w:val="已访问的超链接"/>
    <w:next w:val="999"/>
    <w:link w:val="925"/>
    <w:rPr>
      <w:color w:val="800080"/>
      <w:u w:val="single"/>
    </w:rPr>
  </w:style>
  <w:style w:type="character" w:styleId="1000">
    <w:name w:val="强调"/>
    <w:next w:val="1000"/>
    <w:link w:val="925"/>
    <w:qFormat/>
    <w:rPr>
      <w:i/>
    </w:rPr>
  </w:style>
  <w:style w:type="character" w:styleId="1001">
    <w:name w:val="超链接"/>
    <w:next w:val="1001"/>
    <w:link w:val="925"/>
    <w:rPr>
      <w:color w:val="0000ff"/>
      <w:u w:val="single"/>
    </w:rPr>
  </w:style>
  <w:style w:type="character" w:styleId="1002">
    <w:name w:val="批注引用"/>
    <w:next w:val="1002"/>
    <w:link w:val="925"/>
    <w:semiHidden/>
    <w:rPr>
      <w:sz w:val="21"/>
      <w:szCs w:val="21"/>
    </w:rPr>
  </w:style>
  <w:style w:type="character" w:styleId="1003">
    <w:name w:val="font5 Char"/>
    <w:next w:val="1003"/>
    <w:link w:val="925"/>
    <w:rPr>
      <w:rFonts w:ascii="宋体" w:hAnsi="宋体" w:eastAsia="宋体"/>
      <w:sz w:val="28"/>
      <w:szCs w:val="28"/>
      <w:lang w:val="en-US" w:eastAsia="zh-CN" w:bidi="ar-SA"/>
    </w:rPr>
  </w:style>
  <w:style w:type="character" w:styleId="1004">
    <w:name w:val="二级目录 Char"/>
    <w:next w:val="1004"/>
    <w:link w:val="1005"/>
    <w:rPr>
      <w:b/>
      <w:sz w:val="30"/>
      <w:szCs w:val="28"/>
    </w:rPr>
  </w:style>
  <w:style w:type="paragraph" w:styleId="1005">
    <w:name w:val="二级目录"/>
    <w:next w:val="925"/>
    <w:link w:val="1004"/>
    <w:pPr>
      <w:numPr>
        <w:ilvl w:val="0"/>
        <w:numId w:val="2"/>
      </w:numPr>
      <w:tabs>
        <w:tab w:val="left" w:pos="907" w:leader="none"/>
        <w:tab w:val="left" w:pos="1145" w:leader="none"/>
      </w:tabs>
      <w:outlineLvl w:val="1"/>
    </w:pPr>
    <w:rPr>
      <w:b/>
      <w:sz w:val="30"/>
      <w:szCs w:val="28"/>
      <w:lang w:val="en-US" w:eastAsia="zh-CN" w:bidi="ar-SA"/>
    </w:rPr>
  </w:style>
  <w:style w:type="character" w:styleId="1006">
    <w:name w:val="列出段落 Char,Bullet List Char,numbered Char,FooterText Char,List Paragraph1 Char,Paragraphe de liste1 Char"/>
    <w:next w:val="1006"/>
    <w:link w:val="1007"/>
    <w:rPr>
      <w:rFonts w:ascii="Calibri" w:hAnsi="Calibri"/>
      <w:sz w:val="24"/>
      <w:szCs w:val="24"/>
      <w:lang w:eastAsia="en-US" w:bidi="en-US"/>
    </w:rPr>
  </w:style>
  <w:style w:type="paragraph" w:styleId="1007">
    <w:name w:val="列出段落1"/>
    <w:basedOn w:val="925"/>
    <w:next w:val="1007"/>
    <w:link w:val="1006"/>
    <w:qFormat/>
    <w:pPr>
      <w:contextualSpacing/>
      <w:ind w:left="720"/>
      <w:jc w:val="left"/>
      <w:widowControl/>
    </w:pPr>
    <w:rPr>
      <w:rFonts w:ascii="Calibri" w:hAnsi="Calibri"/>
      <w:sz w:val="24"/>
      <w:szCs w:val="24"/>
      <w:lang w:eastAsia="en-US" w:bidi="en-US"/>
    </w:rPr>
  </w:style>
  <w:style w:type="paragraph" w:styleId="1008">
    <w:name w:val="Body Text(ch)"/>
    <w:basedOn w:val="925"/>
    <w:next w:val="956"/>
    <w:link w:val="925"/>
    <w:pPr>
      <w:spacing w:after="120"/>
    </w:pPr>
    <w:rPr>
      <w:rFonts w:ascii="宋体" w:hAnsi="Arial" w:eastAsia="宋体" w:cs="Times New Roman"/>
      <w:bCs/>
      <w:iCs/>
      <w:szCs w:val="24"/>
    </w:rPr>
  </w:style>
  <w:style w:type="paragraph" w:styleId="1009">
    <w:name w:val="xl27"/>
    <w:basedOn w:val="925"/>
    <w:next w:val="1009"/>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xl26"/>
    <w:basedOn w:val="925"/>
    <w:next w:val="101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Char"/>
    <w:basedOn w:val="925"/>
    <w:next w:val="1011"/>
    <w:link w:val="925"/>
    <w:pPr>
      <w:ind w:firstLine="200"/>
      <w:tabs>
        <w:tab w:val="left" w:pos="360" w:leader="none"/>
      </w:tabs>
    </w:pPr>
    <w:rPr>
      <w:rFonts w:ascii="Times New Roman" w:hAnsi="Times New Roman" w:eastAsia="宋体" w:cs="Times New Roman"/>
      <w:sz w:val="28"/>
      <w:szCs w:val="30"/>
    </w:rPr>
  </w:style>
  <w:style w:type="paragraph" w:styleId="1012">
    <w:name w:val=" Char"/>
    <w:basedOn w:val="950"/>
    <w:next w:val="1012"/>
    <w:link w:val="925"/>
    <w:rPr>
      <w:rFonts w:ascii="Tahoma" w:hAnsi="Tahoma"/>
      <w:sz w:val="24"/>
      <w:szCs w:val="24"/>
    </w:rPr>
  </w:style>
  <w:style w:type="paragraph" w:styleId="1013">
    <w:name w:val="普通正文"/>
    <w:basedOn w:val="1014"/>
    <w:next w:val="1013"/>
    <w:link w:val="925"/>
    <w:pPr>
      <w:ind w:firstLine="480"/>
      <w:jc w:val="left"/>
      <w:spacing w:before="120" w:after="120" w:line="360" w:lineRule="auto"/>
    </w:pPr>
    <w:rPr>
      <w:rFonts w:ascii="Arial" w:hAnsi="Arial" w:eastAsia="宋体" w:cs="Times New Roman"/>
      <w:sz w:val="24"/>
      <w:szCs w:val="24"/>
    </w:rPr>
  </w:style>
  <w:style w:type="paragraph" w:styleId="1014">
    <w:name w:val="正文1"/>
    <w:basedOn w:val="1015"/>
    <w:next w:val="1016"/>
    <w:link w:val="925"/>
    <w:qFormat/>
    <w:pPr>
      <w:ind w:firstLine="480"/>
      <w:spacing w:line="440" w:lineRule="exact"/>
    </w:pPr>
    <w:rPr>
      <w:rFonts w:ascii="微软雅黑" w:hAnsi="微软雅黑" w:eastAsia="微软雅黑"/>
      <w:sz w:val="24"/>
      <w:szCs w:val="20"/>
    </w:rPr>
  </w:style>
  <w:style w:type="paragraph" w:styleId="1015">
    <w:name w:val="正文11"/>
    <w:next w:val="1014"/>
    <w:link w:val="925"/>
    <w:qFormat/>
    <w:pPr>
      <w:jc w:val="both"/>
      <w:widowControl w:val="off"/>
    </w:pPr>
    <w:rPr>
      <w:rFonts w:ascii="Times New Roman" w:hAnsi="Times New Roman" w:eastAsia="宋体" w:cs="Times New Roman"/>
      <w:sz w:val="21"/>
      <w:szCs w:val="22"/>
      <w:lang w:val="en-US" w:eastAsia="zh-CN" w:bidi="ar-SA"/>
    </w:rPr>
  </w:style>
  <w:style w:type="paragraph" w:styleId="1016">
    <w:name w:val="正文文本1"/>
    <w:basedOn w:val="1014"/>
    <w:next w:val="1017"/>
    <w:link w:val="925"/>
    <w:qFormat/>
    <w:pPr>
      <w:spacing w:after="120"/>
    </w:pPr>
    <w:rPr>
      <w:lang w:eastAsia="en-US"/>
    </w:rPr>
  </w:style>
  <w:style w:type="paragraph" w:styleId="1017">
    <w:name w:val="一级条标题"/>
    <w:basedOn w:val="1018"/>
    <w:next w:val="1019"/>
    <w:link w:val="92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name w:val="章标题"/>
    <w:next w:val="925"/>
    <w:link w:val="92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9">
    <w:name w:val="段"/>
    <w:next w:val="925"/>
    <w:link w:val="925"/>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020">
    <w:name w:val="table_lines"/>
    <w:basedOn w:val="925"/>
    <w:next w:val="1020"/>
    <w:link w:val="925"/>
    <w:pPr>
      <w:jc w:val="left"/>
      <w:widowControl/>
    </w:pPr>
    <w:rPr>
      <w:rFonts w:ascii="Times New Roman" w:hAnsi="Times New Roman" w:eastAsia="宋体" w:cs="Times New Roman"/>
      <w:sz w:val="20"/>
      <w:szCs w:val="20"/>
      <w:lang w:val="de-DE" w:eastAsia="de-DE"/>
    </w:rPr>
  </w:style>
  <w:style w:type="paragraph" w:styleId="1021">
    <w:name w:val="附录1"/>
    <w:next w:val="1021"/>
    <w:link w:val="925"/>
    <w:pPr>
      <w:numPr>
        <w:ilvl w:val="0"/>
        <w:numId w:val="2"/>
      </w:numPr>
      <w:spacing w:before="240" w:line="600" w:lineRule="atLeast"/>
      <w:tabs>
        <w:tab w:val="left" w:pos="907" w:leader="none"/>
      </w:tabs>
    </w:pPr>
    <w:rPr>
      <w:b/>
      <w:i/>
      <w:sz w:val="28"/>
      <w:lang w:val="en-US" w:eastAsia="zh-CN" w:bidi="ar-SA"/>
    </w:rPr>
  </w:style>
  <w:style w:type="paragraph" w:styleId="1022">
    <w:name w:val="font7"/>
    <w:basedOn w:val="925"/>
    <w:next w:val="1022"/>
    <w:link w:val="925"/>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0"/>
    <w:next w:val="1023"/>
    <w:link w:val="925"/>
    <w:pPr>
      <w:spacing w:line="360" w:lineRule="auto"/>
    </w:pPr>
    <w:rPr>
      <w:rFonts w:ascii="Tahoma" w:hAnsi="Tahoma"/>
      <w:sz w:val="24"/>
      <w:szCs w:val="24"/>
    </w:rPr>
  </w:style>
  <w:style w:type="paragraph" w:styleId="1024">
    <w:name w:val="列出段落"/>
    <w:basedOn w:val="925"/>
    <w:next w:val="1024"/>
    <w:link w:val="925"/>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5"/>
    <w:next w:val="981"/>
    <w:link w:val="925"/>
    <w:pPr>
      <w:ind w:firstLine="420"/>
      <w:spacing w:line="360" w:lineRule="auto"/>
    </w:pPr>
    <w:rPr>
      <w:rFonts w:ascii="Times New Roman" w:hAnsi="Times New Roman" w:eastAsia="宋体" w:cs="Times New Roman"/>
      <w:color w:val="ff0000"/>
      <w:sz w:val="24"/>
      <w:szCs w:val="24"/>
    </w:rPr>
  </w:style>
  <w:style w:type="paragraph" w:styleId="1026">
    <w:name w:val="普通 (Web)"/>
    <w:basedOn w:val="925"/>
    <w:next w:val="1026"/>
    <w:link w:val="925"/>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5"/>
    <w:next w:val="1027"/>
    <w:link w:val="925"/>
    <w:pPr>
      <w:spacing w:line="360" w:lineRule="auto"/>
    </w:pPr>
    <w:rPr>
      <w:rFonts w:ascii="Times New Roman" w:hAnsi="Times New Roman" w:eastAsia="宋体" w:cs="Times New Roman"/>
      <w:sz w:val="24"/>
      <w:szCs w:val="20"/>
    </w:rPr>
  </w:style>
  <w:style w:type="paragraph" w:styleId="1028">
    <w:name w:val="样式1"/>
    <w:basedOn w:val="925"/>
    <w:next w:val="1028"/>
    <w:link w:val="925"/>
    <w:pPr>
      <w:numPr>
        <w:ilvl w:val="0"/>
        <w:numId w:val="3"/>
      </w:numPr>
      <w:tabs>
        <w:tab w:val="left" w:pos="709" w:leader="none"/>
      </w:tabs>
    </w:pPr>
    <w:rPr>
      <w:rFonts w:ascii="宋体" w:hAnsi="宋体" w:eastAsia="宋体" w:cs="Times New Roman"/>
      <w:szCs w:val="21"/>
    </w:rPr>
  </w:style>
  <w:style w:type="paragraph" w:styleId="1029">
    <w:name w:val="font6"/>
    <w:basedOn w:val="925"/>
    <w:next w:val="1029"/>
    <w:link w:val="925"/>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5"/>
    <w:next w:val="1030"/>
    <w:link w:val="9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5"/>
    <w:next w:val="925"/>
    <w:link w:val="92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5"/>
    <w:next w:val="925"/>
    <w:link w:val="925"/>
    <w:pPr>
      <w:ind w:firstLine="624"/>
      <w:spacing w:line="590" w:lineRule="atLeast"/>
    </w:pPr>
    <w:rPr>
      <w:rFonts w:ascii="方正黑体_GBK" w:hAnsi="Times New Roman" w:eastAsia="方正黑体_GBK" w:cs="Times New Roman"/>
      <w:sz w:val="32"/>
      <w:szCs w:val="32"/>
    </w:rPr>
  </w:style>
  <w:style w:type="paragraph" w:styleId="1033">
    <w:name w:val="xl24"/>
    <w:basedOn w:val="925"/>
    <w:next w:val="1033"/>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5"/>
    <w:next w:val="1034"/>
    <w:link w:val="92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5"/>
    <w:next w:val="1035"/>
    <w:link w:val="925"/>
    <w:pPr>
      <w:jc w:val="left"/>
      <w:spacing w:after="160" w:line="240" w:lineRule="exact"/>
      <w:widowControl/>
    </w:pPr>
    <w:rPr>
      <w:rFonts w:ascii="Verdana" w:hAnsi="Verdana" w:eastAsia="宋体" w:cs="Times New Roman"/>
      <w:sz w:val="20"/>
      <w:szCs w:val="20"/>
      <w:lang w:eastAsia="en-US"/>
    </w:rPr>
  </w:style>
  <w:style w:type="paragraph" w:styleId="1036">
    <w:name w:val="xl28"/>
    <w:basedOn w:val="925"/>
    <w:next w:val="1036"/>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5"/>
    <w:next w:val="1037"/>
    <w:link w:val="925"/>
    <w:pPr>
      <w:jc w:val="left"/>
      <w:spacing w:after="160" w:line="240" w:lineRule="exact"/>
      <w:widowControl/>
    </w:pPr>
    <w:rPr>
      <w:rFonts w:ascii="Verdana" w:hAnsi="Verdana" w:eastAsia="宋体" w:cs="Times New Roman"/>
      <w:sz w:val="20"/>
      <w:szCs w:val="20"/>
      <w:lang w:eastAsia="en-US"/>
    </w:rPr>
  </w:style>
  <w:style w:type="paragraph" w:styleId="1038">
    <w:name w:val="xl30"/>
    <w:basedOn w:val="925"/>
    <w:next w:val="1038"/>
    <w:link w:val="925"/>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0"/>
    <w:next w:val="1039"/>
    <w:link w:val="925"/>
    <w:pPr>
      <w:spacing w:line="360" w:lineRule="auto"/>
    </w:pPr>
    <w:rPr>
      <w:rFonts w:ascii="Tahoma" w:hAnsi="Tahoma"/>
      <w:sz w:val="24"/>
      <w:szCs w:val="24"/>
    </w:rPr>
  </w:style>
  <w:style w:type="paragraph" w:styleId="1040">
    <w:name w:val="table_1stline"/>
    <w:basedOn w:val="925"/>
    <w:next w:val="1040"/>
    <w:link w:val="925"/>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5"/>
    <w:next w:val="1041"/>
    <w:link w:val="925"/>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5"/>
    <w:next w:val="925"/>
    <w:link w:val="92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25"/>
    <w:uiPriority w:val="99"/>
    <w:semiHidden/>
    <w:rPr>
      <w:sz w:val="21"/>
      <w:szCs w:val="21"/>
      <w:lang w:val="en-US" w:eastAsia="zh-CN" w:bidi="ar-SA"/>
    </w:rPr>
  </w:style>
  <w:style w:type="paragraph" w:styleId="1044">
    <w:name w:val="无间隔"/>
    <w:next w:val="1044"/>
    <w:link w:val="925"/>
    <w:uiPriority w:val="99"/>
    <w:qFormat/>
    <w:pPr>
      <w:jc w:val="both"/>
      <w:widowControl w:val="off"/>
    </w:pPr>
    <w:rPr>
      <w:sz w:val="21"/>
      <w:szCs w:val="21"/>
      <w:lang w:val="en-US" w:eastAsia="zh-CN" w:bidi="ar-SA"/>
    </w:rPr>
  </w:style>
  <w:style w:type="paragraph" w:styleId="1045">
    <w:name w:val="AONormal"/>
    <w:next w:val="1045"/>
    <w:link w:val="925"/>
    <w:qFormat/>
    <w:pPr>
      <w:ind w:firstLine="440"/>
      <w:spacing w:line="400" w:lineRule="exact"/>
    </w:pPr>
    <w:rPr>
      <w:rFonts w:ascii="华文楷体" w:hAnsi="华文楷体" w:eastAsia="华文楷体" w:cs="华文楷体"/>
      <w:sz w:val="22"/>
      <w:szCs w:val="21"/>
      <w:lang w:val="en-US" w:eastAsia="zh-CN" w:bidi="ar-SA"/>
    </w:rPr>
  </w:style>
  <w:style w:type="paragraph" w:styleId="1046">
    <w:name w:val="List Paragraph"/>
    <w:basedOn w:val="925"/>
    <w:next w:val="1046"/>
    <w:link w:val="925"/>
    <w:uiPriority w:val="99"/>
    <w:qFormat/>
    <w:pPr>
      <w:ind w:firstLine="420"/>
    </w:pPr>
  </w:style>
  <w:style w:type="paragraph" w:styleId="1047">
    <w:name w:val="附件01样式3.1"/>
    <w:basedOn w:val="927"/>
    <w:next w:val="1047"/>
    <w:link w:val="925"/>
    <w:qFormat/>
    <w:pPr>
      <w:numPr>
        <w:ilvl w:val="0"/>
        <w:numId w:val="4"/>
      </w:numPr>
      <w:ind w:left="0" w:right="240" w:firstLine="0"/>
      <w:spacing w:before="260" w:after="260" w:line="415" w:lineRule="auto"/>
      <w:tabs>
        <w:tab w:val="left" w:pos="360" w:leader="none"/>
      </w:tabs>
    </w:pPr>
    <w:rPr>
      <w:rFonts w:ascii="Arial" w:eastAsia="黑体"/>
      <w:sz w:val="32"/>
    </w:rPr>
  </w:style>
  <w:style w:type="paragraph" w:styleId="1048">
    <w:name w:val="RZM投标图片和表格"/>
    <w:basedOn w:val="925"/>
    <w:next w:val="1048"/>
    <w:link w:val="925"/>
    <w:qFormat/>
  </w:style>
  <w:style w:type="paragraph" w:styleId="1049">
    <w:name w:val="Default"/>
    <w:next w:val="1049"/>
    <w:link w:val="925"/>
    <w:uiPriority w:val="99"/>
    <w:qFormat/>
    <w:pPr>
      <w:widowControl w:val="off"/>
    </w:pPr>
    <w:rPr>
      <w:rFonts w:ascii="仿宋" w:hAnsi="Times New Roman" w:eastAsia="仿宋" w:cs="仿宋"/>
      <w:color w:val="000000"/>
      <w:sz w:val="24"/>
      <w:szCs w:val="24"/>
      <w:lang w:val="en-US" w:eastAsia="zh-CN" w:bidi="ar-SA"/>
    </w:rPr>
  </w:style>
  <w:style w:type="paragraph" w:styleId="1050">
    <w:name w:val="列出段落2"/>
    <w:basedOn w:val="925"/>
    <w:next w:val="1050"/>
    <w:link w:val="925"/>
    <w:uiPriority w:val="34"/>
    <w:qFormat/>
    <w:pPr>
      <w:contextualSpacing/>
      <w:ind w:left="720"/>
      <w:jc w:val="left"/>
      <w:widowControl/>
    </w:pPr>
    <w:rPr>
      <w:sz w:val="24"/>
      <w:lang w:eastAsia="en-US" w:bidi="en-US"/>
    </w:rPr>
  </w:style>
  <w:style w:type="paragraph" w:styleId="1051">
    <w:name w:val="*正文"/>
    <w:basedOn w:val="925"/>
    <w:next w:val="925"/>
    <w:link w:val="925"/>
    <w:qFormat/>
    <w:pPr>
      <w:ind w:firstLine="482"/>
      <w:widowControl/>
    </w:pPr>
    <w:rPr>
      <w:rFonts w:ascii="微软雅黑" w:hAnsi="微软雅黑" w:eastAsia="微软雅黑" w:cs="Times New Roman"/>
      <w:szCs w:val="20"/>
    </w:rPr>
  </w:style>
  <w:style w:type="table" w:styleId="1052">
    <w:name w:val="Table Normal"/>
    <w:next w:val="1052"/>
    <w:link w:val="925"/>
    <w:unhideWhenUsed/>
    <w:qFormat/>
    <w:tblPr/>
  </w:style>
  <w:style w:type="paragraph" w:styleId="1053">
    <w:name w:val="Plain Text1"/>
    <w:basedOn w:val="925"/>
    <w:next w:val="1053"/>
    <w:link w:val="925"/>
    <w:qFormat/>
    <w:pPr>
      <w:spacing w:line="312" w:lineRule="atLeast"/>
    </w:pPr>
    <w:rPr>
      <w:rFonts w:ascii="Arial Black" w:hAnsi="Courier New"/>
      <w:szCs w:val="20"/>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朱文俐</cp:lastModifiedBy>
  <cp:revision>14</cp:revision>
  <dcterms:created xsi:type="dcterms:W3CDTF">2025-12-26T03:51:00Z</dcterms:created>
  <dcterms:modified xsi:type="dcterms:W3CDTF">2026-03-25T01:45:16Z</dcterms:modified>
</cp:coreProperties>
</file>