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65CAE">
      <w:pPr>
        <w:spacing w:line="360" w:lineRule="auto"/>
        <w:jc w:val="center"/>
        <w:rPr>
          <w:rFonts w:ascii="宋体" w:hAnsi="宋体" w:cs="宋体"/>
          <w:b/>
          <w:color w:val="auto"/>
          <w:sz w:val="72"/>
          <w:highlight w:val="none"/>
        </w:rPr>
      </w:pPr>
    </w:p>
    <w:p w14:paraId="46FA50CB">
      <w:pPr>
        <w:spacing w:line="360" w:lineRule="auto"/>
        <w:jc w:val="center"/>
        <w:rPr>
          <w:rFonts w:ascii="宋体" w:hAnsi="宋体" w:cs="宋体"/>
          <w:b/>
          <w:color w:val="auto"/>
          <w:sz w:val="72"/>
          <w:highlight w:val="none"/>
        </w:rPr>
      </w:pPr>
    </w:p>
    <w:p w14:paraId="1CC1EF47">
      <w:pPr>
        <w:spacing w:line="360" w:lineRule="auto"/>
        <w:jc w:val="center"/>
        <w:rPr>
          <w:rFonts w:ascii="宋体" w:hAnsi="宋体" w:cs="宋体"/>
          <w:b/>
          <w:color w:val="auto"/>
          <w:sz w:val="72"/>
          <w:highlight w:val="none"/>
        </w:rPr>
      </w:pPr>
      <w:r>
        <w:rPr>
          <w:rFonts w:hint="eastAsia" w:ascii="宋体" w:hAnsi="宋体" w:cs="宋体"/>
          <w:b/>
          <w:color w:val="auto"/>
          <w:sz w:val="72"/>
          <w:highlight w:val="none"/>
        </w:rPr>
        <w:t>苏州市</w:t>
      </w:r>
      <w:r>
        <w:rPr>
          <w:rFonts w:hint="eastAsia" w:ascii="宋体" w:hAnsi="宋体" w:cs="宋体"/>
          <w:b/>
          <w:color w:val="auto"/>
          <w:sz w:val="72"/>
          <w:highlight w:val="none"/>
          <w:lang w:val="en-US" w:eastAsia="zh-CN"/>
        </w:rPr>
        <w:t>姑苏区</w:t>
      </w:r>
      <w:r>
        <w:rPr>
          <w:rFonts w:hint="eastAsia" w:ascii="宋体" w:hAnsi="宋体" w:cs="宋体"/>
          <w:b/>
          <w:color w:val="auto"/>
          <w:sz w:val="72"/>
          <w:highlight w:val="none"/>
        </w:rPr>
        <w:t>政府采购</w:t>
      </w:r>
    </w:p>
    <w:p w14:paraId="2E0DB989">
      <w:pPr>
        <w:spacing w:line="360" w:lineRule="auto"/>
        <w:jc w:val="center"/>
        <w:rPr>
          <w:rFonts w:ascii="宋体" w:hAnsi="宋体" w:cs="宋体"/>
          <w:b/>
          <w:color w:val="auto"/>
          <w:sz w:val="72"/>
          <w:highlight w:val="none"/>
        </w:rPr>
      </w:pPr>
      <w:r>
        <w:rPr>
          <w:rFonts w:hint="eastAsia" w:ascii="宋体" w:hAnsi="宋体" w:cs="宋体"/>
          <w:b/>
          <w:color w:val="auto"/>
          <w:sz w:val="72"/>
          <w:highlight w:val="none"/>
        </w:rPr>
        <w:t>服务类磋商项目</w:t>
      </w:r>
    </w:p>
    <w:p w14:paraId="088A12BC">
      <w:pPr>
        <w:spacing w:line="360" w:lineRule="auto"/>
        <w:jc w:val="center"/>
        <w:rPr>
          <w:rFonts w:ascii="宋体" w:hAnsi="宋体" w:cs="宋体"/>
          <w:b/>
          <w:color w:val="auto"/>
          <w:sz w:val="72"/>
          <w:highlight w:val="none"/>
        </w:rPr>
      </w:pPr>
      <w:r>
        <w:rPr>
          <w:rFonts w:hint="eastAsia" w:ascii="宋体" w:hAnsi="宋体" w:cs="宋体"/>
          <w:b/>
          <w:color w:val="auto"/>
          <w:sz w:val="72"/>
          <w:highlight w:val="none"/>
        </w:rPr>
        <w:t>采购文件</w:t>
      </w:r>
    </w:p>
    <w:p w14:paraId="464D60A1">
      <w:pPr>
        <w:tabs>
          <w:tab w:val="left" w:pos="0"/>
        </w:tabs>
        <w:spacing w:line="360" w:lineRule="auto"/>
        <w:ind w:left="2386" w:hanging="1546"/>
        <w:rPr>
          <w:rFonts w:ascii="宋体" w:hAnsi="宋体" w:cs="宋体"/>
          <w:b/>
          <w:color w:val="auto"/>
          <w:spacing w:val="-6"/>
          <w:sz w:val="32"/>
          <w:highlight w:val="none"/>
        </w:rPr>
      </w:pPr>
    </w:p>
    <w:p w14:paraId="75E9C498">
      <w:pPr>
        <w:tabs>
          <w:tab w:val="left" w:pos="0"/>
        </w:tabs>
        <w:spacing w:line="360" w:lineRule="auto"/>
        <w:ind w:left="2386" w:hanging="1546"/>
        <w:rPr>
          <w:rFonts w:ascii="宋体" w:hAnsi="宋体" w:cs="宋体"/>
          <w:b/>
          <w:color w:val="auto"/>
          <w:spacing w:val="-6"/>
          <w:sz w:val="32"/>
          <w:highlight w:val="none"/>
        </w:rPr>
      </w:pPr>
    </w:p>
    <w:p w14:paraId="3F211104">
      <w:pPr>
        <w:tabs>
          <w:tab w:val="left" w:pos="0"/>
        </w:tabs>
        <w:spacing w:line="360" w:lineRule="auto"/>
        <w:ind w:left="2386" w:hanging="1546"/>
        <w:rPr>
          <w:rFonts w:hint="eastAsia" w:ascii="宋体" w:hAnsi="宋体" w:eastAsia="宋体" w:cs="宋体"/>
          <w:b/>
          <w:color w:val="auto"/>
          <w:spacing w:val="-6"/>
          <w:sz w:val="32"/>
          <w:highlight w:val="none"/>
          <w:lang w:eastAsia="zh-CN"/>
        </w:rPr>
      </w:pPr>
      <w:r>
        <w:rPr>
          <w:rFonts w:hint="eastAsia" w:ascii="宋体" w:hAnsi="宋体" w:cs="宋体"/>
          <w:b/>
          <w:color w:val="auto"/>
          <w:spacing w:val="-6"/>
          <w:sz w:val="32"/>
          <w:highlight w:val="none"/>
        </w:rPr>
        <w:t>采购编号：</w:t>
      </w:r>
      <w:r>
        <w:rPr>
          <w:rFonts w:hint="eastAsia" w:ascii="宋体" w:hAnsi="宋体" w:cs="宋体"/>
          <w:b/>
          <w:color w:val="auto"/>
          <w:spacing w:val="-6"/>
          <w:sz w:val="32"/>
          <w:highlight w:val="none"/>
          <w:lang w:eastAsia="zh-CN"/>
        </w:rPr>
        <w:t>JSZC-320508-CJZB-C2026-0044</w:t>
      </w:r>
    </w:p>
    <w:p w14:paraId="6564F77C">
      <w:pPr>
        <w:tabs>
          <w:tab w:val="left" w:pos="1701"/>
        </w:tabs>
        <w:spacing w:line="360" w:lineRule="auto"/>
        <w:ind w:left="2386" w:hanging="1546"/>
        <w:jc w:val="left"/>
        <w:rPr>
          <w:rFonts w:hint="eastAsia" w:ascii="宋体" w:hAnsi="宋体" w:eastAsia="宋体" w:cs="宋体"/>
          <w:b/>
          <w:color w:val="auto"/>
          <w:spacing w:val="-6"/>
          <w:sz w:val="32"/>
          <w:highlight w:val="none"/>
          <w:lang w:eastAsia="zh-CN"/>
        </w:rPr>
      </w:pPr>
      <w:r>
        <w:rPr>
          <w:rFonts w:hint="eastAsia" w:ascii="宋体" w:hAnsi="宋体" w:cs="宋体"/>
          <w:b/>
          <w:color w:val="auto"/>
          <w:spacing w:val="-6"/>
          <w:sz w:val="32"/>
          <w:highlight w:val="none"/>
        </w:rPr>
        <w:t>采购内容：</w:t>
      </w:r>
      <w:r>
        <w:rPr>
          <w:rFonts w:hint="eastAsia" w:ascii="宋体" w:hAnsi="宋体" w:cs="宋体"/>
          <w:b/>
          <w:color w:val="auto"/>
          <w:spacing w:val="-6"/>
          <w:sz w:val="32"/>
          <w:highlight w:val="none"/>
          <w:lang w:eastAsia="zh-CN"/>
        </w:rPr>
        <w:t>苏州市姑苏区猪肉储备服务(2026-2028年)</w:t>
      </w:r>
    </w:p>
    <w:p w14:paraId="5DEB50EA">
      <w:pPr>
        <w:tabs>
          <w:tab w:val="left" w:pos="1701"/>
        </w:tabs>
        <w:spacing w:line="360" w:lineRule="auto"/>
        <w:ind w:left="2386" w:hanging="1546"/>
        <w:jc w:val="left"/>
        <w:rPr>
          <w:rFonts w:hint="eastAsia" w:ascii="宋体" w:hAnsi="宋体" w:eastAsia="宋体" w:cs="宋体"/>
          <w:b/>
          <w:color w:val="auto"/>
          <w:spacing w:val="-6"/>
          <w:sz w:val="32"/>
          <w:highlight w:val="none"/>
          <w:lang w:eastAsia="zh-CN"/>
        </w:rPr>
      </w:pPr>
      <w:r>
        <w:rPr>
          <w:rFonts w:hint="eastAsia" w:ascii="宋体" w:hAnsi="宋体" w:cs="宋体"/>
          <w:b/>
          <w:color w:val="auto"/>
          <w:spacing w:val="-6"/>
          <w:sz w:val="32"/>
          <w:highlight w:val="none"/>
        </w:rPr>
        <w:t>采 购 人：</w:t>
      </w:r>
      <w:r>
        <w:rPr>
          <w:rFonts w:hint="eastAsia" w:ascii="宋体" w:hAnsi="宋体" w:cs="宋体"/>
          <w:b/>
          <w:color w:val="auto"/>
          <w:spacing w:val="-6"/>
          <w:sz w:val="32"/>
          <w:highlight w:val="none"/>
          <w:lang w:eastAsia="zh-CN"/>
        </w:rPr>
        <w:t>苏州市姑苏区发展和改革局</w:t>
      </w:r>
    </w:p>
    <w:p w14:paraId="3B0C51E9">
      <w:pPr>
        <w:tabs>
          <w:tab w:val="left" w:pos="1701"/>
        </w:tabs>
        <w:spacing w:line="360" w:lineRule="auto"/>
        <w:ind w:left="2386" w:hanging="1546"/>
        <w:jc w:val="left"/>
        <w:rPr>
          <w:rFonts w:ascii="宋体" w:hAnsi="宋体" w:cs="宋体"/>
          <w:b/>
          <w:color w:val="auto"/>
          <w:spacing w:val="-6"/>
          <w:sz w:val="32"/>
          <w:highlight w:val="none"/>
        </w:rPr>
      </w:pPr>
      <w:r>
        <w:rPr>
          <w:rFonts w:hint="eastAsia" w:ascii="宋体" w:hAnsi="宋体" w:cs="宋体"/>
          <w:b/>
          <w:color w:val="auto"/>
          <w:spacing w:val="-6"/>
          <w:sz w:val="32"/>
          <w:highlight w:val="none"/>
        </w:rPr>
        <w:t>采购代理：苏州市创杰招投标咨询服务有限公司</w:t>
      </w:r>
    </w:p>
    <w:p w14:paraId="16FA65B9">
      <w:pPr>
        <w:tabs>
          <w:tab w:val="left" w:pos="1701"/>
        </w:tabs>
        <w:spacing w:line="360" w:lineRule="auto"/>
        <w:ind w:left="2386" w:hanging="1546"/>
        <w:jc w:val="left"/>
        <w:rPr>
          <w:rFonts w:ascii="宋体" w:hAnsi="宋体" w:cs="宋体"/>
          <w:b/>
          <w:color w:val="auto"/>
          <w:spacing w:val="-6"/>
          <w:sz w:val="32"/>
          <w:highlight w:val="none"/>
        </w:rPr>
      </w:pPr>
      <w:r>
        <w:rPr>
          <w:rFonts w:hint="eastAsia" w:ascii="宋体" w:hAnsi="宋体" w:cs="宋体"/>
          <w:b/>
          <w:color w:val="auto"/>
          <w:spacing w:val="-6"/>
          <w:sz w:val="32"/>
          <w:highlight w:val="none"/>
        </w:rPr>
        <w:t>采购类别：服务类</w:t>
      </w:r>
    </w:p>
    <w:p w14:paraId="6BFFE194">
      <w:pPr>
        <w:spacing w:line="360" w:lineRule="auto"/>
        <w:jc w:val="center"/>
        <w:rPr>
          <w:rFonts w:ascii="宋体" w:hAnsi="宋体" w:cs="宋体"/>
          <w:color w:val="auto"/>
          <w:highlight w:val="none"/>
        </w:rPr>
      </w:pPr>
    </w:p>
    <w:p w14:paraId="56994543">
      <w:pPr>
        <w:pStyle w:val="42"/>
        <w:ind w:left="0" w:leftChars="0" w:firstLine="0" w:firstLineChars="0"/>
        <w:rPr>
          <w:rFonts w:ascii="宋体" w:hAnsi="宋体" w:cs="宋体"/>
          <w:color w:val="auto"/>
          <w:highlight w:val="none"/>
        </w:rPr>
      </w:pPr>
    </w:p>
    <w:p w14:paraId="260A6344">
      <w:pPr>
        <w:spacing w:line="360" w:lineRule="auto"/>
        <w:jc w:val="center"/>
        <w:rPr>
          <w:rFonts w:ascii="宋体" w:hAnsi="宋体" w:cs="宋体"/>
          <w:b/>
          <w:color w:val="auto"/>
          <w:spacing w:val="-6"/>
          <w:sz w:val="32"/>
          <w:highlight w:val="none"/>
        </w:rPr>
      </w:pPr>
      <w:r>
        <w:rPr>
          <w:rFonts w:hint="eastAsia" w:ascii="宋体" w:hAnsi="宋体" w:cs="宋体"/>
          <w:color w:val="auto"/>
          <w:highlight w:val="none"/>
        </w:rPr>
        <w:drawing>
          <wp:inline distT="0" distB="0" distL="0" distR="0">
            <wp:extent cx="1236345" cy="906780"/>
            <wp:effectExtent l="19050" t="0" r="1905" b="0"/>
            <wp:docPr id="4" name="图片 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
                    <pic:cNvPicPr>
                      <a:picLocks noChangeAspect="1"/>
                    </pic:cNvPicPr>
                  </pic:nvPicPr>
                  <pic:blipFill>
                    <a:blip r:embed="rId8"/>
                    <a:stretch>
                      <a:fillRect/>
                    </a:stretch>
                  </pic:blipFill>
                  <pic:spPr>
                    <a:xfrm>
                      <a:off x="0" y="0"/>
                      <a:ext cx="1236345" cy="906780"/>
                    </a:xfrm>
                    <a:prstGeom prst="rect">
                      <a:avLst/>
                    </a:prstGeom>
                    <a:noFill/>
                    <a:ln w="9525">
                      <a:noFill/>
                      <a:miter lim="800000"/>
                      <a:headEnd/>
                      <a:tailEnd/>
                    </a:ln>
                  </pic:spPr>
                </pic:pic>
              </a:graphicData>
            </a:graphic>
          </wp:inline>
        </w:drawing>
      </w:r>
    </w:p>
    <w:p w14:paraId="6CA1504D">
      <w:pPr>
        <w:spacing w:line="360" w:lineRule="auto"/>
        <w:jc w:val="center"/>
        <w:rPr>
          <w:rFonts w:ascii="宋体" w:hAnsi="宋体" w:cs="宋体"/>
          <w:b/>
          <w:color w:val="auto"/>
          <w:sz w:val="30"/>
          <w:szCs w:val="30"/>
          <w:highlight w:val="none"/>
        </w:rPr>
        <w:sectPr>
          <w:headerReference r:id="rId4" w:type="first"/>
          <w:headerReference r:id="rId3" w:type="default"/>
          <w:footerReference r:id="rId5" w:type="default"/>
          <w:footerReference r:id="rId6" w:type="even"/>
          <w:pgSz w:w="11906" w:h="16838"/>
          <w:pgMar w:top="1134" w:right="1134" w:bottom="1134" w:left="1134" w:header="680" w:footer="680" w:gutter="0"/>
          <w:cols w:space="720" w:num="1"/>
          <w:docGrid w:linePitch="360" w:charSpace="0"/>
        </w:sectPr>
      </w:pPr>
      <w:r>
        <w:rPr>
          <w:rFonts w:hint="eastAsia" w:ascii="宋体" w:hAnsi="宋体" w:cs="宋体"/>
          <w:b/>
          <w:color w:val="auto"/>
          <w:sz w:val="30"/>
          <w:szCs w:val="30"/>
          <w:highlight w:val="none"/>
        </w:rPr>
        <w:t>二〇二</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四</w:t>
      </w:r>
      <w:r>
        <w:rPr>
          <w:rFonts w:hint="eastAsia" w:ascii="宋体" w:hAnsi="宋体" w:cs="宋体"/>
          <w:b/>
          <w:color w:val="auto"/>
          <w:sz w:val="30"/>
          <w:szCs w:val="30"/>
          <w:highlight w:val="none"/>
        </w:rPr>
        <w:t>月</w:t>
      </w:r>
    </w:p>
    <w:p w14:paraId="204C3E1F">
      <w:pPr>
        <w:spacing w:line="360" w:lineRule="auto"/>
        <w:jc w:val="center"/>
        <w:rPr>
          <w:rFonts w:ascii="宋体" w:hAnsi="宋体" w:cs="宋体"/>
          <w:b/>
          <w:color w:val="auto"/>
          <w:sz w:val="36"/>
          <w:highlight w:val="none"/>
        </w:rPr>
      </w:pPr>
      <w:r>
        <w:rPr>
          <w:rFonts w:hint="eastAsia" w:ascii="宋体" w:hAnsi="宋体" w:cs="宋体"/>
          <w:b/>
          <w:color w:val="auto"/>
          <w:sz w:val="36"/>
          <w:highlight w:val="none"/>
        </w:rPr>
        <w:t>前附表</w:t>
      </w:r>
    </w:p>
    <w:tbl>
      <w:tblPr>
        <w:tblStyle w:val="43"/>
        <w:tblW w:w="9760" w:type="dxa"/>
        <w:tblInd w:w="108" w:type="dxa"/>
        <w:tblLayout w:type="fixed"/>
        <w:tblCellMar>
          <w:top w:w="0" w:type="dxa"/>
          <w:left w:w="0" w:type="dxa"/>
          <w:bottom w:w="0" w:type="dxa"/>
          <w:right w:w="0" w:type="dxa"/>
        </w:tblCellMar>
      </w:tblPr>
      <w:tblGrid>
        <w:gridCol w:w="675"/>
        <w:gridCol w:w="1764"/>
        <w:gridCol w:w="7321"/>
      </w:tblGrid>
      <w:tr w14:paraId="3A153D50">
        <w:tblPrEx>
          <w:tblCellMar>
            <w:top w:w="0" w:type="dxa"/>
            <w:left w:w="0" w:type="dxa"/>
            <w:bottom w:w="0" w:type="dxa"/>
            <w:right w:w="0" w:type="dxa"/>
          </w:tblCellMar>
        </w:tblPrEx>
        <w:trPr>
          <w:trHeight w:val="102"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D68CE4">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F04F6F">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540A3E">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内               容</w:t>
            </w:r>
          </w:p>
        </w:tc>
      </w:tr>
      <w:tr w14:paraId="1C304027">
        <w:tblPrEx>
          <w:tblCellMar>
            <w:top w:w="0" w:type="dxa"/>
            <w:left w:w="0" w:type="dxa"/>
            <w:bottom w:w="0" w:type="dxa"/>
            <w:right w:w="0" w:type="dxa"/>
          </w:tblCellMar>
        </w:tblPrEx>
        <w:trPr>
          <w:trHeight w:val="505"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E8378">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0472B6">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项目编号</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A277DB">
            <w:pPr>
              <w:spacing w:line="312"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JSZC-320508-CJZB-C2026-0044</w:t>
            </w:r>
          </w:p>
        </w:tc>
      </w:tr>
      <w:tr w14:paraId="383A5B2F">
        <w:tblPrEx>
          <w:tblCellMar>
            <w:top w:w="0" w:type="dxa"/>
            <w:left w:w="0" w:type="dxa"/>
            <w:bottom w:w="0" w:type="dxa"/>
            <w:right w:w="0"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BE2F83">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64B350">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BFD361">
            <w:pPr>
              <w:spacing w:line="312" w:lineRule="auto"/>
              <w:rPr>
                <w:color w:val="auto"/>
                <w:highlight w:val="none"/>
              </w:rPr>
            </w:pPr>
            <w:r>
              <w:rPr>
                <w:rFonts w:hint="eastAsia" w:ascii="宋体" w:hAnsi="宋体" w:cs="宋体"/>
                <w:color w:val="auto"/>
                <w:szCs w:val="21"/>
                <w:highlight w:val="none"/>
                <w:lang w:eastAsia="zh-CN"/>
              </w:rPr>
              <w:t>苏州市姑苏区猪肉储备服务(2026-2028年)</w:t>
            </w:r>
          </w:p>
        </w:tc>
      </w:tr>
      <w:tr w14:paraId="49E9954D">
        <w:tblPrEx>
          <w:tblCellMar>
            <w:top w:w="0" w:type="dxa"/>
            <w:left w:w="0" w:type="dxa"/>
            <w:bottom w:w="0" w:type="dxa"/>
            <w:right w:w="0"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01F91">
            <w:pPr>
              <w:tabs>
                <w:tab w:val="left" w:pos="252"/>
              </w:tabs>
              <w:spacing w:line="312"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5E8CA2">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p w14:paraId="5EA44981">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名称及地址</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149A16">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名称：苏州市创杰招投标咨询服务有限公司</w:t>
            </w:r>
          </w:p>
          <w:p w14:paraId="49C649E0">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地址：苏州市干将西路399号银海大厦303室</w:t>
            </w:r>
          </w:p>
          <w:p w14:paraId="7A80E113">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联系人： 路丽丽</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潘莉莉  朱晓芹   施紫秋</w:t>
            </w:r>
          </w:p>
          <w:p w14:paraId="637F8829">
            <w:pPr>
              <w:pStyle w:val="42"/>
              <w:ind w:left="0" w:firstLine="0"/>
              <w:rPr>
                <w:rFonts w:ascii="宋体" w:hAnsi="宋体" w:cs="宋体"/>
                <w:color w:val="auto"/>
                <w:highlight w:val="none"/>
              </w:rPr>
            </w:pPr>
            <w:r>
              <w:rPr>
                <w:rFonts w:hint="eastAsia" w:ascii="宋体" w:hAnsi="宋体" w:cs="宋体"/>
                <w:color w:val="auto"/>
                <w:szCs w:val="21"/>
                <w:highlight w:val="none"/>
              </w:rPr>
              <w:t>联系电话：0512-65238816</w:t>
            </w:r>
          </w:p>
        </w:tc>
      </w:tr>
      <w:tr w14:paraId="15A0AEB9">
        <w:tblPrEx>
          <w:tblCellMar>
            <w:top w:w="0" w:type="dxa"/>
            <w:left w:w="0" w:type="dxa"/>
            <w:bottom w:w="0" w:type="dxa"/>
            <w:right w:w="0"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4016A21">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53ECE7">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采购单位</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4D05A0">
            <w:pPr>
              <w:spacing w:line="312"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苏州市姑苏区发展和改革局</w:t>
            </w:r>
          </w:p>
          <w:p w14:paraId="575BE8C3">
            <w:pPr>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地址：苏州市平川路510号</w:t>
            </w:r>
          </w:p>
          <w:p w14:paraId="450E511B">
            <w:pPr>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联系方式：徐磊</w:t>
            </w:r>
          </w:p>
          <w:p w14:paraId="320386DB">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电话：0512-68728815</w:t>
            </w:r>
          </w:p>
        </w:tc>
      </w:tr>
      <w:tr w14:paraId="2A69EBBB">
        <w:tblPrEx>
          <w:tblCellMar>
            <w:top w:w="0" w:type="dxa"/>
            <w:left w:w="0" w:type="dxa"/>
            <w:bottom w:w="0" w:type="dxa"/>
            <w:right w:w="0"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CB8B3">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E9EC91">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响应文件组成</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303706">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详见采购文件第二章</w:t>
            </w:r>
          </w:p>
        </w:tc>
      </w:tr>
      <w:tr w14:paraId="606CA7AE">
        <w:tblPrEx>
          <w:tblCellMar>
            <w:top w:w="0" w:type="dxa"/>
            <w:left w:w="0" w:type="dxa"/>
            <w:bottom w:w="0" w:type="dxa"/>
            <w:right w:w="0"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195F99">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EEFADA">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34826">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4320EA6C">
        <w:tblPrEx>
          <w:tblCellMar>
            <w:top w:w="0" w:type="dxa"/>
            <w:left w:w="0" w:type="dxa"/>
            <w:bottom w:w="0" w:type="dxa"/>
            <w:right w:w="0"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AF2674">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3D4994">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A7BDF6">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响应文件提交截止之日起45天（日历日）</w:t>
            </w:r>
          </w:p>
        </w:tc>
      </w:tr>
      <w:tr w14:paraId="295D0828">
        <w:tblPrEx>
          <w:tblCellMar>
            <w:top w:w="0" w:type="dxa"/>
            <w:left w:w="0" w:type="dxa"/>
            <w:bottom w:w="0" w:type="dxa"/>
            <w:right w:w="0" w:type="dxa"/>
          </w:tblCellMar>
        </w:tblPrEx>
        <w:trPr>
          <w:trHeight w:val="154"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5F0115">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B900BC">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获取采购文件</w:t>
            </w:r>
          </w:p>
          <w:p w14:paraId="1616C84B">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0DD1D9">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自公告发布之日起5个工作日</w:t>
            </w:r>
          </w:p>
        </w:tc>
      </w:tr>
      <w:tr w14:paraId="1DCFC955">
        <w:tblPrEx>
          <w:tblCellMar>
            <w:top w:w="0" w:type="dxa"/>
            <w:left w:w="0" w:type="dxa"/>
            <w:bottom w:w="0" w:type="dxa"/>
            <w:right w:w="0"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505EDD">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D692B6">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响应文件网上</w:t>
            </w:r>
          </w:p>
          <w:p w14:paraId="72282CFB">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提交截止时间</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404695">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日13点30分（北京时间）</w:t>
            </w:r>
          </w:p>
          <w:p w14:paraId="4362F979">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响应文件必须在截止时间前完成提交（上传），逾期提交（上传）的响应文件恕不接受。</w:t>
            </w:r>
          </w:p>
        </w:tc>
      </w:tr>
      <w:tr w14:paraId="145333DC">
        <w:tblPrEx>
          <w:tblCellMar>
            <w:top w:w="0" w:type="dxa"/>
            <w:left w:w="0" w:type="dxa"/>
            <w:bottom w:w="0" w:type="dxa"/>
            <w:right w:w="0"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C8EF00">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3B14E6">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开启时间</w:t>
            </w:r>
          </w:p>
          <w:p w14:paraId="59CE7FF4">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开启地点</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9A14B">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日13点30分（北京时间）</w:t>
            </w:r>
          </w:p>
          <w:p w14:paraId="3F417A94">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“苏采云”系统（网址：</w:t>
            </w:r>
            <w:r>
              <w:rPr>
                <w:color w:val="auto"/>
                <w:highlight w:val="none"/>
              </w:rPr>
              <w:fldChar w:fldCharType="begin"/>
            </w:r>
            <w:r>
              <w:rPr>
                <w:color w:val="auto"/>
                <w:highlight w:val="none"/>
              </w:rPr>
              <w:instrText xml:space="preserve"> HYPERLINK "http://jszfcg.jsczt.cn/" \o "http://jszfcg.jsczt.cn/" </w:instrText>
            </w:r>
            <w:r>
              <w:rPr>
                <w:color w:val="auto"/>
                <w:highlight w:val="none"/>
              </w:rPr>
              <w:fldChar w:fldCharType="separate"/>
            </w:r>
            <w:r>
              <w:rPr>
                <w:rFonts w:hint="eastAsia" w:ascii="宋体" w:hAnsi="宋体" w:cs="宋体"/>
                <w:color w:val="auto"/>
                <w:szCs w:val="21"/>
                <w:highlight w:val="none"/>
              </w:rPr>
              <w:t>http://jszfcg.jsczt.cn/</w:t>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668FDC49">
            <w:pPr>
              <w:spacing w:line="312" w:lineRule="auto"/>
              <w:jc w:val="left"/>
              <w:rPr>
                <w:rFonts w:ascii="宋体" w:hAnsi="宋体" w:cs="宋体"/>
                <w:color w:val="auto"/>
                <w:szCs w:val="21"/>
                <w:highlight w:val="none"/>
              </w:rPr>
            </w:pPr>
            <w:r>
              <w:rPr>
                <w:rFonts w:hint="eastAsia" w:ascii="宋体" w:hAnsi="宋体" w:cs="宋体"/>
                <w:b/>
                <w:color w:val="auto"/>
                <w:szCs w:val="21"/>
                <w:highlight w:val="none"/>
              </w:rPr>
              <w:t>本项目为不见面磋商项目，开启阶段供应商在【供应商解密】环节必须使用 CA证书解密电子响应文件，如在系统规定的解密时间内未能完成解密的视为放弃参与本项目。</w:t>
            </w:r>
          </w:p>
        </w:tc>
      </w:tr>
      <w:tr w14:paraId="64470116">
        <w:tblPrEx>
          <w:tblCellMar>
            <w:top w:w="0" w:type="dxa"/>
            <w:left w:w="0" w:type="dxa"/>
            <w:bottom w:w="0" w:type="dxa"/>
            <w:right w:w="0" w:type="dxa"/>
          </w:tblCellMar>
        </w:tblPrEx>
        <w:trPr>
          <w:trHeight w:val="114"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33327C">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A53401">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评审时间</w:t>
            </w:r>
          </w:p>
          <w:p w14:paraId="32E98162">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评审地点</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AF14B3">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日13点30分（北京时间）</w:t>
            </w:r>
          </w:p>
          <w:p w14:paraId="60A9C7DA">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 xml:space="preserve">苏州市高新区邓尉路105号狮山科技馆 </w:t>
            </w:r>
          </w:p>
        </w:tc>
      </w:tr>
      <w:tr w14:paraId="056E7790">
        <w:tblPrEx>
          <w:tblCellMar>
            <w:top w:w="0" w:type="dxa"/>
            <w:left w:w="0" w:type="dxa"/>
            <w:bottom w:w="0" w:type="dxa"/>
            <w:right w:w="0" w:type="dxa"/>
          </w:tblCellMar>
        </w:tblPrEx>
        <w:trPr>
          <w:trHeight w:val="349"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0BE920">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2CD215">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磋商响应</w:t>
            </w:r>
          </w:p>
          <w:p w14:paraId="415FFF4B">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文件份数</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8D408B">
            <w:pPr>
              <w:spacing w:line="312" w:lineRule="auto"/>
              <w:rPr>
                <w:rFonts w:ascii="宋体" w:hAnsi="宋体" w:cs="宋体"/>
                <w:color w:val="auto"/>
                <w:highlight w:val="none"/>
              </w:rPr>
            </w:pPr>
            <w:r>
              <w:rPr>
                <w:rFonts w:hint="eastAsia" w:ascii="宋体" w:hAnsi="宋体" w:cs="宋体"/>
                <w:color w:val="auto"/>
                <w:highlight w:val="none"/>
              </w:rPr>
              <w:t>本项目采用电子响应文件，供应商按照采购文件要求制作上传电子响应文件，投标时供应商无需提供纸质响应文件。</w:t>
            </w:r>
          </w:p>
          <w:p w14:paraId="60AE4507">
            <w:pPr>
              <w:spacing w:line="312" w:lineRule="auto"/>
              <w:rPr>
                <w:rFonts w:ascii="宋体" w:hAnsi="宋体" w:cs="宋体"/>
                <w:color w:val="auto"/>
                <w:highlight w:val="none"/>
              </w:rPr>
            </w:pPr>
            <w:r>
              <w:rPr>
                <w:rFonts w:hint="eastAsia" w:ascii="宋体" w:hAnsi="宋体" w:cs="宋体"/>
                <w:color w:val="auto"/>
                <w:highlight w:val="none"/>
              </w:rPr>
              <w:t>成交后5个工作日内，成交单位向招标代理机构提供与电子响应文件内容一致的纸质响应文件两份。</w:t>
            </w:r>
          </w:p>
        </w:tc>
      </w:tr>
      <w:tr w14:paraId="6077154C">
        <w:tblPrEx>
          <w:tblCellMar>
            <w:top w:w="0" w:type="dxa"/>
            <w:left w:w="0" w:type="dxa"/>
            <w:bottom w:w="0" w:type="dxa"/>
            <w:right w:w="0"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5AA94">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B7B448">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报价本位币</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0D04D1">
            <w:pPr>
              <w:spacing w:line="312" w:lineRule="auto"/>
              <w:jc w:val="left"/>
              <w:rPr>
                <w:rFonts w:ascii="宋体" w:hAnsi="宋体" w:cs="宋体"/>
                <w:color w:val="auto"/>
                <w:szCs w:val="21"/>
                <w:highlight w:val="none"/>
              </w:rPr>
            </w:pPr>
            <w:r>
              <w:rPr>
                <w:rFonts w:hint="eastAsia" w:ascii="宋体" w:hAnsi="宋体" w:cs="宋体"/>
                <w:color w:val="auto"/>
                <w:szCs w:val="21"/>
                <w:highlight w:val="none"/>
              </w:rPr>
              <w:t xml:space="preserve">人民币  </w:t>
            </w:r>
          </w:p>
        </w:tc>
      </w:tr>
      <w:tr w14:paraId="445D1103">
        <w:tblPrEx>
          <w:tblCellMar>
            <w:top w:w="0" w:type="dxa"/>
            <w:left w:w="0" w:type="dxa"/>
            <w:bottom w:w="0" w:type="dxa"/>
            <w:right w:w="0"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AFB49">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899DFE">
            <w:pPr>
              <w:spacing w:line="312" w:lineRule="auto"/>
              <w:jc w:val="center"/>
              <w:rPr>
                <w:rFonts w:ascii="宋体" w:hAnsi="宋体" w:cs="宋体"/>
                <w:color w:val="auto"/>
                <w:szCs w:val="21"/>
                <w:highlight w:val="none"/>
              </w:rPr>
            </w:pPr>
            <w:r>
              <w:rPr>
                <w:rFonts w:hint="eastAsia" w:ascii="宋体" w:hAnsi="宋体" w:cs="宋体"/>
                <w:color w:val="auto"/>
                <w:szCs w:val="21"/>
                <w:highlight w:val="none"/>
                <w:lang w:val="zh-CN"/>
              </w:rPr>
              <w:t>履约保证金</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836A0C">
            <w:pPr>
              <w:spacing w:line="312" w:lineRule="auto"/>
              <w:jc w:val="left"/>
              <w:rPr>
                <w:rFonts w:ascii="宋体" w:hAnsi="宋体" w:cs="宋体"/>
                <w:color w:val="auto"/>
                <w:szCs w:val="21"/>
                <w:highlight w:val="none"/>
              </w:rPr>
            </w:pPr>
            <w:r>
              <w:rPr>
                <w:rFonts w:hint="eastAsia" w:ascii="宋体" w:hAnsi="宋体"/>
                <w:color w:val="auto"/>
                <w:szCs w:val="21"/>
                <w:highlight w:val="none"/>
              </w:rPr>
              <w:t>按照《江苏省财政厅国家金融监管总局江苏监管局江苏省地方金融监督管理局关于在全省政府采购领域推行电子履约保函(保险)的通知》和相关法律法规规定，采购人如向中标(成交)供应商收取履约保证金的，供应商可以以履约保函(保险)的形式代替提供履约保证金。</w:t>
            </w:r>
            <w:r>
              <w:rPr>
                <w:rFonts w:hint="eastAsia" w:ascii="宋体" w:hAnsi="宋体"/>
                <w:b/>
                <w:bCs/>
                <w:color w:val="auto"/>
                <w:szCs w:val="21"/>
                <w:highlight w:val="none"/>
              </w:rPr>
              <w:t>本项目采购人</w:t>
            </w:r>
            <w:r>
              <w:rPr>
                <w:rFonts w:hint="eastAsia" w:ascii="宋体" w:hAnsi="宋体"/>
                <w:b/>
                <w:bCs/>
                <w:color w:val="auto"/>
                <w:szCs w:val="21"/>
                <w:highlight w:val="none"/>
                <w:lang w:val="en-US" w:eastAsia="zh-CN"/>
              </w:rPr>
              <w:t>未要求收取</w:t>
            </w:r>
            <w:r>
              <w:rPr>
                <w:rFonts w:hint="eastAsia" w:ascii="宋体" w:hAnsi="宋体"/>
                <w:b/>
                <w:bCs/>
                <w:color w:val="auto"/>
                <w:szCs w:val="21"/>
                <w:highlight w:val="none"/>
              </w:rPr>
              <w:t>履约保证金。</w:t>
            </w:r>
          </w:p>
        </w:tc>
      </w:tr>
      <w:tr w14:paraId="49C663E3">
        <w:tblPrEx>
          <w:tblCellMar>
            <w:top w:w="0" w:type="dxa"/>
            <w:left w:w="0" w:type="dxa"/>
            <w:bottom w:w="0" w:type="dxa"/>
            <w:right w:w="0"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F63C02">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2F6B6A">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成交通知书</w:t>
            </w:r>
          </w:p>
        </w:tc>
        <w:tc>
          <w:tcPr>
            <w:tcW w:w="73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414752">
            <w:pPr>
              <w:pStyle w:val="54"/>
              <w:spacing w:line="440" w:lineRule="exact"/>
              <w:ind w:firstLine="0"/>
              <w:rPr>
                <w:rFonts w:cs="宋体"/>
                <w:color w:val="auto"/>
                <w:sz w:val="21"/>
                <w:szCs w:val="21"/>
                <w:highlight w:val="none"/>
              </w:rPr>
            </w:pPr>
            <w:r>
              <w:rPr>
                <w:rFonts w:hint="eastAsia" w:cs="宋体"/>
                <w:color w:val="auto"/>
                <w:sz w:val="21"/>
                <w:szCs w:val="21"/>
                <w:highlight w:val="none"/>
              </w:rPr>
              <w:t>确定出成交单位后，采购代理机构在法定时间内向成交单位发出成交通知书。成交通知书将成为合同的组成部分。</w:t>
            </w:r>
          </w:p>
          <w:p w14:paraId="23BA39A8">
            <w:pPr>
              <w:pStyle w:val="54"/>
              <w:spacing w:line="440" w:lineRule="exact"/>
              <w:ind w:firstLine="0"/>
              <w:rPr>
                <w:rFonts w:cs="宋体"/>
                <w:color w:val="auto"/>
                <w:sz w:val="21"/>
                <w:szCs w:val="21"/>
                <w:highlight w:val="none"/>
              </w:rPr>
            </w:pPr>
            <w:r>
              <w:rPr>
                <w:rFonts w:hint="eastAsia" w:cs="宋体"/>
                <w:b/>
                <w:color w:val="auto"/>
                <w:sz w:val="21"/>
                <w:szCs w:val="21"/>
                <w:highlight w:val="none"/>
              </w:rPr>
              <w:t>请成交单位在成交结果公告届满之日起30日内,使用CA证书登录“苏采云”系统及时下载成交通知书。</w:t>
            </w:r>
          </w:p>
        </w:tc>
      </w:tr>
    </w:tbl>
    <w:p w14:paraId="52308C2A">
      <w:pPr>
        <w:pageBreakBefore/>
        <w:tabs>
          <w:tab w:val="left" w:pos="315"/>
          <w:tab w:val="center" w:pos="4153"/>
        </w:tabs>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    录</w:t>
      </w:r>
    </w:p>
    <w:p w14:paraId="29EF5441">
      <w:pPr>
        <w:tabs>
          <w:tab w:val="left" w:pos="315"/>
          <w:tab w:val="center" w:pos="4153"/>
        </w:tabs>
        <w:spacing w:line="360" w:lineRule="auto"/>
        <w:ind w:firstLine="720"/>
        <w:rPr>
          <w:rFonts w:ascii="宋体" w:hAnsi="宋体" w:cs="宋体"/>
          <w:color w:val="auto"/>
          <w:sz w:val="36"/>
          <w:szCs w:val="36"/>
          <w:highlight w:val="none"/>
        </w:rPr>
      </w:pPr>
    </w:p>
    <w:p w14:paraId="0FF12693">
      <w:pPr>
        <w:tabs>
          <w:tab w:val="left" w:pos="315"/>
          <w:tab w:val="center" w:pos="4153"/>
        </w:tabs>
        <w:spacing w:line="360" w:lineRule="auto"/>
        <w:ind w:firstLine="720"/>
        <w:rPr>
          <w:rFonts w:ascii="宋体" w:hAnsi="宋体" w:cs="宋体"/>
          <w:color w:val="auto"/>
          <w:sz w:val="36"/>
          <w:szCs w:val="36"/>
          <w:highlight w:val="none"/>
        </w:rPr>
      </w:pPr>
      <w:r>
        <w:rPr>
          <w:rFonts w:hint="eastAsia" w:ascii="宋体" w:hAnsi="宋体" w:cs="宋体"/>
          <w:color w:val="auto"/>
          <w:sz w:val="36"/>
          <w:szCs w:val="36"/>
          <w:highlight w:val="none"/>
        </w:rPr>
        <w:t>一、磋商公告</w:t>
      </w:r>
    </w:p>
    <w:p w14:paraId="4A4C83E3">
      <w:pPr>
        <w:tabs>
          <w:tab w:val="left" w:pos="315"/>
          <w:tab w:val="center" w:pos="4153"/>
        </w:tabs>
        <w:spacing w:line="360" w:lineRule="auto"/>
        <w:ind w:firstLine="720"/>
        <w:rPr>
          <w:rFonts w:ascii="宋体" w:hAnsi="宋体" w:cs="宋体"/>
          <w:color w:val="auto"/>
          <w:sz w:val="36"/>
          <w:szCs w:val="36"/>
          <w:highlight w:val="none"/>
        </w:rPr>
      </w:pPr>
      <w:r>
        <w:rPr>
          <w:rFonts w:hint="eastAsia" w:ascii="宋体" w:hAnsi="宋体" w:cs="宋体"/>
          <w:color w:val="auto"/>
          <w:sz w:val="36"/>
          <w:szCs w:val="36"/>
          <w:highlight w:val="none"/>
        </w:rPr>
        <w:t>二、采购需求</w:t>
      </w:r>
    </w:p>
    <w:p w14:paraId="60419D95">
      <w:pPr>
        <w:tabs>
          <w:tab w:val="left" w:pos="315"/>
          <w:tab w:val="center" w:pos="4153"/>
        </w:tabs>
        <w:spacing w:line="360" w:lineRule="auto"/>
        <w:ind w:firstLine="720"/>
        <w:rPr>
          <w:rFonts w:ascii="宋体" w:hAnsi="宋体" w:cs="宋体"/>
          <w:color w:val="auto"/>
          <w:sz w:val="36"/>
          <w:szCs w:val="36"/>
          <w:highlight w:val="none"/>
        </w:rPr>
      </w:pPr>
      <w:r>
        <w:rPr>
          <w:rFonts w:hint="eastAsia" w:ascii="宋体" w:hAnsi="宋体" w:cs="宋体"/>
          <w:color w:val="auto"/>
          <w:sz w:val="36"/>
          <w:szCs w:val="36"/>
          <w:highlight w:val="none"/>
        </w:rPr>
        <w:t>三、评标方法及评分标准</w:t>
      </w:r>
    </w:p>
    <w:p w14:paraId="7A285A8C">
      <w:pPr>
        <w:tabs>
          <w:tab w:val="left" w:pos="315"/>
          <w:tab w:val="center" w:pos="4153"/>
        </w:tabs>
        <w:spacing w:line="360" w:lineRule="auto"/>
        <w:ind w:firstLine="720"/>
        <w:rPr>
          <w:rFonts w:ascii="宋体" w:hAnsi="宋体" w:cs="宋体"/>
          <w:color w:val="auto"/>
          <w:sz w:val="36"/>
          <w:szCs w:val="36"/>
          <w:highlight w:val="none"/>
        </w:rPr>
      </w:pPr>
      <w:r>
        <w:rPr>
          <w:rFonts w:hint="eastAsia" w:ascii="宋体" w:hAnsi="宋体" w:cs="宋体"/>
          <w:color w:val="auto"/>
          <w:sz w:val="36"/>
          <w:szCs w:val="36"/>
          <w:highlight w:val="none"/>
        </w:rPr>
        <w:t>四、合同主要条款及格式</w:t>
      </w:r>
    </w:p>
    <w:p w14:paraId="309A18C7">
      <w:pPr>
        <w:tabs>
          <w:tab w:val="left" w:pos="315"/>
          <w:tab w:val="center" w:pos="4153"/>
        </w:tabs>
        <w:spacing w:line="360" w:lineRule="auto"/>
        <w:ind w:firstLine="720"/>
        <w:rPr>
          <w:rFonts w:ascii="宋体" w:hAnsi="宋体" w:cs="宋体"/>
          <w:color w:val="auto"/>
          <w:sz w:val="36"/>
          <w:szCs w:val="36"/>
          <w:highlight w:val="none"/>
        </w:rPr>
        <w:sectPr>
          <w:pgSz w:w="11906" w:h="16838"/>
          <w:pgMar w:top="1134" w:right="1134" w:bottom="1134" w:left="1134" w:header="680" w:footer="680" w:gutter="0"/>
          <w:cols w:space="720" w:num="1"/>
          <w:docGrid w:linePitch="360" w:charSpace="0"/>
        </w:sectPr>
      </w:pPr>
      <w:r>
        <w:rPr>
          <w:rFonts w:hint="eastAsia" w:ascii="宋体" w:hAnsi="宋体" w:cs="宋体"/>
          <w:color w:val="auto"/>
          <w:sz w:val="36"/>
          <w:szCs w:val="36"/>
          <w:highlight w:val="none"/>
        </w:rPr>
        <w:t>五、磋商响应文件格式</w:t>
      </w:r>
    </w:p>
    <w:p w14:paraId="055EEC93">
      <w:pPr>
        <w:tabs>
          <w:tab w:val="left" w:pos="315"/>
          <w:tab w:val="center" w:pos="4153"/>
        </w:tabs>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一、磋商公告</w:t>
      </w:r>
    </w:p>
    <w:p w14:paraId="175E59FB">
      <w:pPr>
        <w:pBdr>
          <w:top w:val="single" w:color="auto" w:sz="4" w:space="1"/>
          <w:left w:val="single" w:color="auto" w:sz="4" w:space="4"/>
          <w:bottom w:val="single" w:color="auto" w:sz="4" w:space="1"/>
          <w:right w:val="single" w:color="auto" w:sz="4" w:space="4"/>
        </w:pBd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项目概况</w:t>
      </w:r>
    </w:p>
    <w:p w14:paraId="36C6E04B">
      <w:pPr>
        <w:pBdr>
          <w:top w:val="single" w:color="auto" w:sz="4" w:space="1"/>
          <w:left w:val="single" w:color="auto" w:sz="4" w:space="4"/>
          <w:bottom w:val="single" w:color="auto" w:sz="4" w:space="1"/>
          <w:right w:val="single" w:color="auto" w:sz="4" w:space="4"/>
        </w:pBdr>
        <w:spacing w:line="360" w:lineRule="auto"/>
        <w:ind w:firstLine="420"/>
        <w:rPr>
          <w:rFonts w:ascii="宋体" w:hAnsi="宋体" w:cs="宋体"/>
          <w:color w:val="auto"/>
          <w:szCs w:val="21"/>
          <w:highlight w:val="none"/>
        </w:rPr>
      </w:pPr>
      <w:r>
        <w:rPr>
          <w:rFonts w:hint="eastAsia" w:ascii="宋体" w:hAnsi="宋体" w:cs="宋体"/>
          <w:color w:val="auto"/>
          <w:szCs w:val="21"/>
          <w:highlight w:val="none"/>
          <w:u w:val="single"/>
          <w:lang w:eastAsia="zh-CN"/>
        </w:rPr>
        <w:t>苏州市姑苏区猪肉储备服务(2026-2028年)</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苏采云系统</w:t>
      </w:r>
      <w:r>
        <w:rPr>
          <w:rFonts w:hint="eastAsia" w:ascii="宋体" w:hAnsi="宋体" w:cs="宋体"/>
          <w:color w:val="auto"/>
          <w:szCs w:val="21"/>
          <w:highlight w:val="none"/>
        </w:rPr>
        <w:t>获取采购文件，并于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日13点30分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337A3446">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0B4D1369">
      <w:pPr>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JSZC-320508-CJZB-C2026-0044</w:t>
      </w:r>
    </w:p>
    <w:p w14:paraId="110C1A4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苏州市姑苏区猪肉储备服务(2026-2028年)</w:t>
      </w:r>
    </w:p>
    <w:p w14:paraId="69F9F37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采购方式：竞争性磋商</w:t>
      </w:r>
    </w:p>
    <w:p w14:paraId="6C87A95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预算金额：人民币贰佰柒拾捌万叁仟零贰拾伍元整（¥：2783025.00）</w:t>
      </w:r>
    </w:p>
    <w:p w14:paraId="0BC944EB">
      <w:pPr>
        <w:spacing w:line="360" w:lineRule="auto"/>
        <w:ind w:firstLine="42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5.最高限价：人民币贰佰柒拾捌万叁仟零贰拾伍元整（¥：2783025.00）</w:t>
      </w:r>
    </w:p>
    <w:p w14:paraId="29BE1B13">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采购需求：落实2026-2028年期间的冻猪肉储备任务,每年储备量为350吨,并按要求进行轮换</w:t>
      </w:r>
      <w:r>
        <w:rPr>
          <w:rFonts w:hint="eastAsia" w:ascii="宋体" w:hAnsi="宋体" w:cs="宋体"/>
          <w:color w:val="auto"/>
          <w:szCs w:val="21"/>
          <w:highlight w:val="none"/>
          <w:lang w:eastAsia="zh-CN"/>
        </w:rPr>
        <w:t>。</w:t>
      </w:r>
    </w:p>
    <w:p w14:paraId="05ABCD87">
      <w:pPr>
        <w:numPr>
          <w:ilvl w:val="0"/>
          <w:numId w:val="0"/>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服务期限：三年，以合同签订日期为准。</w:t>
      </w:r>
    </w:p>
    <w:p w14:paraId="0631930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370DE07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满足《中华人民共和国政府采购法》第二十二条规定：</w:t>
      </w:r>
    </w:p>
    <w:p w14:paraId="38E6859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5A46B57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672222E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340EA3F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6298651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2607046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164EDA7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落实政府采购政策需满足的资格要求：根据《政府采购促进中小企业发展管理办法》的相关规定，</w:t>
      </w:r>
      <w:r>
        <w:rPr>
          <w:rFonts w:hint="eastAsia" w:ascii="宋体" w:hAnsi="宋体" w:cs="宋体"/>
          <w:b/>
          <w:bCs/>
          <w:color w:val="auto"/>
          <w:szCs w:val="21"/>
          <w:highlight w:val="none"/>
        </w:rPr>
        <w:t>本项目专门面向中小企业采购，所属行业为</w:t>
      </w:r>
      <w:r>
        <w:rPr>
          <w:rFonts w:hint="eastAsia" w:ascii="宋体" w:hAnsi="宋体" w:cs="宋体"/>
          <w:b/>
          <w:bCs/>
          <w:color w:val="auto"/>
          <w:szCs w:val="21"/>
          <w:highlight w:val="none"/>
          <w:lang w:val="en-US" w:eastAsia="zh-CN"/>
        </w:rPr>
        <w:t>仓储</w:t>
      </w:r>
      <w:r>
        <w:rPr>
          <w:rFonts w:hint="eastAsia" w:ascii="宋体" w:hAnsi="宋体" w:cs="宋体"/>
          <w:b/>
          <w:bCs/>
          <w:color w:val="auto"/>
          <w:szCs w:val="21"/>
          <w:highlight w:val="none"/>
        </w:rPr>
        <w:t>业</w:t>
      </w:r>
      <w:r>
        <w:rPr>
          <w:rFonts w:hint="eastAsia" w:ascii="宋体" w:hAnsi="宋体" w:cs="宋体"/>
          <w:color w:val="auto"/>
          <w:szCs w:val="21"/>
          <w:highlight w:val="none"/>
        </w:rPr>
        <w:t>。</w:t>
      </w:r>
    </w:p>
    <w:p w14:paraId="29CB6A3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未被列入失信被执行人、重大税收违法案件当事人名单、政府采购严重失信行为记录名单</w:t>
      </w:r>
      <w:r>
        <w:rPr>
          <w:rFonts w:hint="eastAsia" w:ascii="宋体" w:hAnsi="宋体" w:eastAsia="宋体" w:cs="宋体"/>
          <w:color w:val="auto"/>
          <w:szCs w:val="21"/>
          <w:highlight w:val="none"/>
          <w:lang w:val="en-US" w:eastAsia="zh-CN"/>
        </w:rPr>
        <w:t>；</w:t>
      </w:r>
    </w:p>
    <w:p w14:paraId="466EA3D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本项目不接受联合体投标；</w:t>
      </w:r>
    </w:p>
    <w:p w14:paraId="1BA793C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单位负责人为同一人或者存在直接控股、管理关系的不同供应商（包含法定代表人为同一个人的两个及两个以上法人，母公司、全资子公司及其控股公司），不得参加同一合同项下的政府采购活动。</w:t>
      </w:r>
    </w:p>
    <w:p w14:paraId="361D5A4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为采购项目提供整体设计、规范编制或者项目管理、监理、监测等服务的供应商，不得再参加该采购项目的其他采购活动。</w:t>
      </w:r>
    </w:p>
    <w:p w14:paraId="0A45BD9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其他特定资格要求：响应单位具有有效期内的食品经营许可证</w:t>
      </w:r>
      <w:r>
        <w:rPr>
          <w:rFonts w:hint="eastAsia" w:ascii="宋体" w:hAnsi="宋体" w:cs="宋体"/>
          <w:color w:val="auto"/>
          <w:highlight w:val="none"/>
          <w:lang w:eastAsia="zh-CN"/>
        </w:rPr>
        <w:t>。</w:t>
      </w:r>
    </w:p>
    <w:p w14:paraId="7DF2E717">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三、获取采购文件</w:t>
      </w:r>
      <w:bookmarkStart w:id="0" w:name="_Toc35393624"/>
      <w:bookmarkStart w:id="1" w:name="_Toc28359005"/>
      <w:bookmarkStart w:id="2" w:name="_Toc28359082"/>
      <w:bookmarkStart w:id="3" w:name="_Toc35393793"/>
    </w:p>
    <w:p w14:paraId="71A645C4">
      <w:pPr>
        <w:spacing w:line="312" w:lineRule="auto"/>
        <w:ind w:firstLine="420"/>
        <w:rPr>
          <w:rFonts w:ascii="宋体" w:hAnsi="宋体" w:cs="宋体"/>
          <w:b/>
          <w:bCs/>
          <w:color w:val="auto"/>
          <w:szCs w:val="21"/>
          <w:highlight w:val="none"/>
        </w:rPr>
      </w:pPr>
      <w:r>
        <w:rPr>
          <w:rFonts w:hint="eastAsia" w:ascii="宋体" w:hAnsi="宋体" w:cs="宋体"/>
          <w:color w:val="auto"/>
          <w:szCs w:val="21"/>
          <w:highlight w:val="none"/>
          <w:shd w:val="clear" w:color="auto" w:fill="FFFFFF"/>
        </w:rPr>
        <w:t>1.时间：自公告发布之日起5个工作日(具体见政府采购网本项目招标公告）</w:t>
      </w:r>
    </w:p>
    <w:p w14:paraId="599A8FA5">
      <w:pPr>
        <w:spacing w:line="312" w:lineRule="auto"/>
        <w:ind w:firstLine="420"/>
        <w:rPr>
          <w:rFonts w:ascii="宋体" w:hAnsi="宋体" w:cs="宋体"/>
          <w:b/>
          <w:bCs/>
          <w:color w:val="auto"/>
          <w:szCs w:val="21"/>
          <w:highlight w:val="none"/>
        </w:rPr>
      </w:pPr>
      <w:r>
        <w:rPr>
          <w:rFonts w:hint="eastAsia" w:ascii="宋体" w:hAnsi="宋体" w:cs="宋体"/>
          <w:color w:val="auto"/>
          <w:szCs w:val="21"/>
          <w:highlight w:val="none"/>
          <w:shd w:val="clear" w:color="auto" w:fill="FFFFFF"/>
        </w:rPr>
        <w:t>2.地点：苏采云系统自行下载</w:t>
      </w:r>
    </w:p>
    <w:p w14:paraId="21E7FAB1">
      <w:pPr>
        <w:spacing w:line="312" w:lineRule="auto"/>
        <w:ind w:firstLine="420"/>
        <w:rPr>
          <w:rFonts w:ascii="宋体" w:hAnsi="宋体" w:cs="宋体"/>
          <w:b/>
          <w:bCs/>
          <w:color w:val="auto"/>
          <w:szCs w:val="21"/>
          <w:highlight w:val="none"/>
        </w:rPr>
      </w:pPr>
      <w:r>
        <w:rPr>
          <w:rFonts w:hint="eastAsia" w:ascii="宋体" w:hAnsi="宋体" w:cs="宋体"/>
          <w:color w:val="auto"/>
          <w:szCs w:val="21"/>
          <w:highlight w:val="none"/>
          <w:shd w:val="clear" w:color="auto" w:fill="FFFFFF"/>
        </w:rPr>
        <w:t>3.方式：</w:t>
      </w:r>
    </w:p>
    <w:p w14:paraId="2C3C380B">
      <w:pPr>
        <w:spacing w:line="312" w:lineRule="auto"/>
        <w:ind w:firstLine="420"/>
        <w:rPr>
          <w:rFonts w:ascii="宋体" w:hAnsi="宋体" w:cs="宋体"/>
          <w:b/>
          <w:bCs/>
          <w:color w:val="auto"/>
          <w:szCs w:val="21"/>
          <w:highlight w:val="none"/>
        </w:rPr>
      </w:pPr>
      <w:r>
        <w:rPr>
          <w:rFonts w:hint="eastAsia" w:ascii="宋体" w:hAnsi="宋体" w:cs="宋体"/>
          <w:color w:val="auto"/>
          <w:szCs w:val="21"/>
          <w:highlight w:val="none"/>
          <w:shd w:val="clear" w:color="auto" w:fill="FFFFFF"/>
        </w:rPr>
        <w:t>（1）CA证书办理</w:t>
      </w:r>
    </w:p>
    <w:p w14:paraId="21A5A39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b/>
          <w:bCs/>
          <w:color w:val="auto"/>
          <w:szCs w:val="21"/>
          <w:highlight w:val="none"/>
        </w:rPr>
      </w:pPr>
      <w:r>
        <w:rPr>
          <w:rFonts w:hint="eastAsia" w:ascii="宋体" w:hAnsi="宋体" w:cs="宋体"/>
          <w:color w:val="auto"/>
          <w:szCs w:val="21"/>
          <w:highlight w:val="none"/>
          <w:shd w:val="clear" w:color="auto" w:fill="FFFFFF"/>
        </w:rPr>
        <w:t>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w:t>
      </w:r>
      <w:r>
        <w:rPr>
          <w:rFonts w:hint="eastAsia" w:ascii="宋体" w:hAnsi="宋体" w:cs="宋体"/>
          <w:b/>
          <w:bCs/>
          <w:color w:val="auto"/>
          <w:szCs w:val="21"/>
          <w:highlight w:val="none"/>
          <w:shd w:val="clear" w:color="auto" w:fill="FFFFFF"/>
        </w:rPr>
        <w:t>“苏采云”系统目前仅支持“苏采云”系统下的政务CA证书，江苏省内各地区办理的“苏采云”系统下的政务CA证书全省通用。</w:t>
      </w:r>
      <w:r>
        <w:rPr>
          <w:rFonts w:hint="eastAsia" w:ascii="宋体" w:hAnsi="宋体" w:cs="宋体"/>
          <w:color w:val="auto"/>
          <w:szCs w:val="21"/>
          <w:highlight w:val="none"/>
          <w:shd w:val="clear" w:color="auto" w:fill="FFFFFF"/>
        </w:rPr>
        <w:t>苏州现场办理地址：苏州市高新区邓尉路105号狮山科技馆一楼服务大厅，咨询电话：0512-65737699。</w:t>
      </w:r>
    </w:p>
    <w:p w14:paraId="2F881F6E">
      <w:pPr>
        <w:spacing w:line="312" w:lineRule="auto"/>
        <w:ind w:firstLine="420"/>
        <w:rPr>
          <w:rFonts w:ascii="宋体" w:hAnsi="宋体" w:cs="宋体"/>
          <w:b/>
          <w:bCs/>
          <w:color w:val="auto"/>
          <w:szCs w:val="21"/>
          <w:highlight w:val="none"/>
        </w:rPr>
      </w:pPr>
      <w:r>
        <w:rPr>
          <w:rFonts w:hint="eastAsia" w:ascii="宋体" w:hAnsi="宋体" w:cs="宋体"/>
          <w:color w:val="auto"/>
          <w:szCs w:val="21"/>
          <w:highlight w:val="none"/>
          <w:shd w:val="clear" w:color="auto" w:fill="FFFFFF"/>
        </w:rPr>
        <w:t>（2）参与采购活动</w:t>
      </w:r>
    </w:p>
    <w:p w14:paraId="2CFEB3D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b/>
          <w:bCs/>
          <w:color w:val="auto"/>
          <w:szCs w:val="21"/>
          <w:highlight w:val="none"/>
        </w:rPr>
      </w:pPr>
      <w:r>
        <w:rPr>
          <w:rFonts w:hint="eastAsia" w:ascii="宋体" w:hAnsi="宋体" w:cs="宋体"/>
          <w:color w:val="auto"/>
          <w:szCs w:val="21"/>
          <w:highlight w:val="none"/>
          <w:shd w:val="clear" w:color="auto" w:fill="FFFFFF"/>
        </w:rPr>
        <w:t>供应商插入CA证书登录“苏采云”系统后选择具体项目，点击“我要参与”并签章提交《投标供应商确认函》，提交《投标供应商确认函》日期视同为依法获取采购文件日期。供应商须打印、保留《投标供应商确认函》，质疑时《投标供应商确认函》与质疑函一并提交；未依照采购公告要求提交《投标供应商确认函》的供应商，视为未参与该项政府采购活动，不具备对该政府采购项目提出质疑的法定权利，但因供应商资格条件或获取采购文件时间设定不符合有关法律法规规定等原因使供应商权益受损的除外。</w:t>
      </w:r>
    </w:p>
    <w:p w14:paraId="2AE4A2EF">
      <w:pPr>
        <w:spacing w:line="312" w:lineRule="auto"/>
        <w:ind w:firstLine="420"/>
        <w:rPr>
          <w:rFonts w:ascii="宋体" w:hAnsi="宋体" w:cs="宋体"/>
          <w:b/>
          <w:bCs/>
          <w:color w:val="auto"/>
          <w:szCs w:val="21"/>
          <w:highlight w:val="none"/>
        </w:rPr>
      </w:pPr>
      <w:r>
        <w:rPr>
          <w:rFonts w:hint="eastAsia" w:ascii="宋体" w:hAnsi="宋体" w:cs="宋体"/>
          <w:color w:val="auto"/>
          <w:szCs w:val="21"/>
          <w:highlight w:val="none"/>
          <w:shd w:val="clear" w:color="auto" w:fill="FFFFFF"/>
        </w:rPr>
        <w:t>（3）电子投标准备</w:t>
      </w:r>
    </w:p>
    <w:p w14:paraId="625B3C74">
      <w:pPr>
        <w:spacing w:line="312" w:lineRule="auto"/>
        <w:ind w:firstLine="42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供应商在“苏采云”系统中操作参与项目后，必须在“已参与项目”界面中下载电子采购文件（后缀名为“.kedt”）并导入政府采购客户端工具后方可进行响应文件制作和提交</w:t>
      </w:r>
      <w:r>
        <w:rPr>
          <w:rFonts w:hint="eastAsia" w:ascii="宋体" w:hAnsi="宋体" w:cs="宋体"/>
          <w:b/>
          <w:bCs/>
          <w:color w:val="auto"/>
          <w:szCs w:val="21"/>
          <w:highlight w:val="none"/>
          <w:shd w:val="clear" w:color="auto" w:fill="FFFFFF"/>
        </w:rPr>
        <w:t>（具体详见《苏采云系统供应商操作手册》，网址链接https://czju.suzhou.gov.cn/zfcg/html/content/20231220161910031.shtml）</w:t>
      </w:r>
      <w:r>
        <w:rPr>
          <w:rFonts w:hint="eastAsia" w:ascii="宋体" w:hAnsi="宋体" w:cs="宋体"/>
          <w:color w:val="auto"/>
          <w:szCs w:val="21"/>
          <w:highlight w:val="none"/>
          <w:shd w:val="clear" w:color="auto" w:fill="FFFFFF"/>
        </w:rPr>
        <w:t>。在系统操作过程中如有疑问，请按以下方式联系：</w:t>
      </w:r>
    </w:p>
    <w:p w14:paraId="25BD15A5">
      <w:pPr>
        <w:spacing w:line="312" w:lineRule="auto"/>
        <w:ind w:firstLine="42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注册咨询：18261002950；</w:t>
      </w:r>
    </w:p>
    <w:p w14:paraId="4033BFDE">
      <w:pPr>
        <w:spacing w:line="312" w:lineRule="auto"/>
        <w:ind w:firstLine="42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CA技术咨询电话：400-608-6099；</w:t>
      </w:r>
    </w:p>
    <w:p w14:paraId="51F06CF1">
      <w:pPr>
        <w:spacing w:line="312" w:lineRule="auto"/>
        <w:ind w:firstLine="42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签章使用问题：025-83633811、025-83633812、15380932027、15371015030；</w:t>
      </w:r>
    </w:p>
    <w:p w14:paraId="1CD24A98">
      <w:pPr>
        <w:spacing w:line="312" w:lineRule="auto"/>
        <w:ind w:firstLine="42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系统使用指导与咨询：联系电话：18261002950；QQ：3048755361、1315179389、895706745。</w:t>
      </w:r>
    </w:p>
    <w:p w14:paraId="050060E6">
      <w:pPr>
        <w:spacing w:line="312" w:lineRule="auto"/>
        <w:ind w:firstLine="420"/>
        <w:rPr>
          <w:rFonts w:ascii="宋体" w:hAnsi="宋体" w:cs="宋体"/>
          <w:b/>
          <w:bCs/>
          <w:color w:val="auto"/>
          <w:szCs w:val="21"/>
          <w:highlight w:val="none"/>
        </w:rPr>
      </w:pPr>
      <w:r>
        <w:rPr>
          <w:rFonts w:hint="eastAsia" w:ascii="宋体" w:hAnsi="宋体" w:cs="宋体"/>
          <w:color w:val="auto"/>
          <w:szCs w:val="21"/>
          <w:highlight w:val="none"/>
          <w:shd w:val="clear" w:color="auto" w:fill="FFFFFF"/>
        </w:rPr>
        <w:t>4.售价：免费。</w:t>
      </w:r>
      <w:bookmarkEnd w:id="0"/>
      <w:bookmarkEnd w:id="1"/>
      <w:bookmarkEnd w:id="2"/>
      <w:bookmarkEnd w:id="3"/>
    </w:p>
    <w:p w14:paraId="2AED5E65">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四、响应文件提交</w:t>
      </w:r>
    </w:p>
    <w:p w14:paraId="6B8DF72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递交响应文件截止时间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日13点30分（北京时间）</w:t>
      </w:r>
    </w:p>
    <w:p w14:paraId="25EF585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2.地点：“苏采云”系统（网址：http://jszfcg.jsczt.cn/）。响应文件网上递交，不需要现场参加采购活动。</w:t>
      </w:r>
    </w:p>
    <w:p w14:paraId="474DC531">
      <w:pPr>
        <w:spacing w:line="360" w:lineRule="auto"/>
        <w:ind w:firstLine="420"/>
        <w:rPr>
          <w:rFonts w:ascii="宋体" w:hAnsi="宋体" w:cs="宋体"/>
          <w:b/>
          <w:bCs/>
          <w:color w:val="auto"/>
          <w:szCs w:val="21"/>
          <w:highlight w:val="none"/>
        </w:rPr>
      </w:pPr>
      <w:r>
        <w:rPr>
          <w:rFonts w:hint="eastAsia" w:ascii="宋体" w:hAnsi="宋体" w:cs="宋体"/>
          <w:color w:val="auto"/>
          <w:szCs w:val="21"/>
          <w:highlight w:val="none"/>
        </w:rPr>
        <w:t>3.本项目采用电子招投标形式，请</w:t>
      </w:r>
      <w:r>
        <w:rPr>
          <w:rFonts w:hint="eastAsia" w:ascii="宋体" w:hAnsi="宋体" w:cs="宋体"/>
          <w:bCs/>
          <w:color w:val="auto"/>
          <w:szCs w:val="21"/>
          <w:highlight w:val="none"/>
        </w:rPr>
        <w:t>供应商按照《苏采云系统供应商操作手册》进行制作、上传电子响应文件。电子响应文件制作完成后请于响应文件递交截止时间前成功上传至“苏采云”系统，否则视为放弃参加该采购项目。</w:t>
      </w:r>
      <w:r>
        <w:rPr>
          <w:rFonts w:hint="eastAsia" w:ascii="宋体" w:hAnsi="宋体" w:cs="宋体"/>
          <w:b/>
          <w:bCs/>
          <w:color w:val="auto"/>
          <w:szCs w:val="21"/>
          <w:highlight w:val="none"/>
        </w:rPr>
        <w:t>供应商应充分考虑到网络环境、网络带宽等风险因素，如因供应商自身原因造成的电子响应文件上传不成功由供应商自行承担全部责任。</w:t>
      </w:r>
    </w:p>
    <w:p w14:paraId="046DE172">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五、开启</w:t>
      </w:r>
    </w:p>
    <w:p w14:paraId="131B382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日13点30分（北京时间）</w:t>
      </w:r>
    </w:p>
    <w:p w14:paraId="419C8EC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2.地点：“苏采云”系统（网址：http://jszfcg.jsczt.cn/）</w:t>
      </w:r>
    </w:p>
    <w:p w14:paraId="220504F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3.线上参加开标（开启）会方式：供应商登录“苏采云”系统在平台首页点击“开标大厅”，进入江苏省政府采购一体化不见面开标（采购）大厅，在今日项目列表，点击项目，进入不见面开标系统。</w:t>
      </w:r>
      <w:r>
        <w:rPr>
          <w:rFonts w:hint="eastAsia" w:ascii="宋体" w:hAnsi="宋体" w:cs="宋体"/>
          <w:b/>
          <w:bCs/>
          <w:color w:val="auto"/>
          <w:szCs w:val="21"/>
          <w:highlight w:val="none"/>
        </w:rPr>
        <w:t>本项目为不见面磋商项目，</w:t>
      </w:r>
      <w:r>
        <w:rPr>
          <w:rFonts w:hint="eastAsia" w:ascii="宋体" w:hAnsi="宋体" w:cs="宋体"/>
          <w:b/>
          <w:color w:val="auto"/>
          <w:szCs w:val="21"/>
          <w:highlight w:val="none"/>
        </w:rPr>
        <w:t>开启阶段供应商在【供应商解密】环节必须使用 CA证书解密电子响应文件，如在系统规定的解密时间内未能完成解密的视为放弃参与本项目</w:t>
      </w:r>
      <w:r>
        <w:rPr>
          <w:rFonts w:hint="eastAsia" w:ascii="宋体" w:hAnsi="宋体" w:cs="宋体"/>
          <w:b/>
          <w:bCs/>
          <w:color w:val="auto"/>
          <w:szCs w:val="21"/>
          <w:highlight w:val="none"/>
        </w:rPr>
        <w:t>。</w:t>
      </w:r>
    </w:p>
    <w:p w14:paraId="2C2724D3">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请供应商确保电脑、系统及其他设备（视频输入输出设备等）无误，且开启直至项目结束始终保持系统在线状态。</w:t>
      </w:r>
    </w:p>
    <w:p w14:paraId="58F70682">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六、公告期限</w:t>
      </w:r>
    </w:p>
    <w:p w14:paraId="687835A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自本公告发布之日起3个工作日。</w:t>
      </w:r>
    </w:p>
    <w:p w14:paraId="6D553FA1">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七、其他补充事宜</w:t>
      </w:r>
    </w:p>
    <w:p w14:paraId="3FE11CA1">
      <w:pPr>
        <w:spacing w:line="360" w:lineRule="auto"/>
        <w:ind w:firstLine="420"/>
        <w:rPr>
          <w:rFonts w:ascii="宋体" w:hAnsi="宋体" w:cs="宋体"/>
          <w:color w:val="auto"/>
          <w:szCs w:val="21"/>
          <w:highlight w:val="none"/>
        </w:rPr>
      </w:pPr>
      <w:r>
        <w:rPr>
          <w:rFonts w:hint="eastAsia" w:cs="宋体" w:asciiTheme="minorEastAsia" w:hAnsiTheme="minorEastAsia" w:eastAsiaTheme="minorEastAsia"/>
          <w:color w:val="auto"/>
          <w:szCs w:val="21"/>
          <w:highlight w:val="none"/>
        </w:rPr>
        <w:t>1.</w:t>
      </w:r>
      <w:r>
        <w:rPr>
          <w:rFonts w:hint="eastAsia" w:ascii="宋体" w:hAnsi="宋体" w:cs="宋体"/>
          <w:color w:val="auto"/>
          <w:szCs w:val="21"/>
          <w:highlight w:val="none"/>
        </w:rPr>
        <w:t>本次采购的相关信息刊登在苏州政府采购网、江苏政府采购网。</w:t>
      </w:r>
    </w:p>
    <w:p w14:paraId="621E4F9E">
      <w:pPr>
        <w:spacing w:line="360" w:lineRule="auto"/>
        <w:ind w:firstLine="42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.苏州市姑苏区政府采购管理监督电话：0512-68728409</w:t>
      </w:r>
      <w:r>
        <w:rPr>
          <w:rFonts w:hint="eastAsia" w:ascii="宋体" w:hAnsi="宋体" w:cs="宋体"/>
          <w:color w:val="auto"/>
          <w:szCs w:val="21"/>
          <w:highlight w:val="none"/>
          <w:lang w:eastAsia="zh-CN"/>
        </w:rPr>
        <w:t>。</w:t>
      </w:r>
    </w:p>
    <w:p w14:paraId="4C9C0C1F">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pacing w:val="0"/>
          <w:szCs w:val="21"/>
          <w:highlight w:val="none"/>
        </w:rPr>
        <w:t>本项目支持政府采购合同信用融资</w:t>
      </w:r>
      <w:r>
        <w:rPr>
          <w:rFonts w:hint="eastAsia" w:ascii="宋体" w:hAnsi="宋体" w:eastAsia="宋体" w:cs="宋体"/>
          <w:color w:val="auto"/>
          <w:spacing w:val="0"/>
          <w:szCs w:val="21"/>
          <w:highlight w:val="none"/>
          <w:lang w:eastAsia="zh-CN"/>
        </w:rPr>
        <w:t>。</w:t>
      </w:r>
    </w:p>
    <w:p w14:paraId="69D11100">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八、凡对本次采购提出询问，请按以下方式联系。</w:t>
      </w:r>
    </w:p>
    <w:p w14:paraId="1D0DB2A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1.采购人信息</w:t>
      </w:r>
    </w:p>
    <w:p w14:paraId="752A311F">
      <w:pPr>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苏州市姑苏区发展和改革局</w:t>
      </w:r>
    </w:p>
    <w:p w14:paraId="66092FA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地  址：苏州市平川路510号</w:t>
      </w:r>
    </w:p>
    <w:p w14:paraId="1C1BCD7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联系方式：徐磊</w:t>
      </w:r>
    </w:p>
    <w:p w14:paraId="17FAC19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电话：0512-68728815</w:t>
      </w:r>
    </w:p>
    <w:p w14:paraId="7A49A59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2.采购代理机构信息</w:t>
      </w:r>
    </w:p>
    <w:p w14:paraId="2571B78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名  称：苏州市创杰招投标咨询服务有限公司</w:t>
      </w:r>
    </w:p>
    <w:p w14:paraId="7C69D42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地　　址：苏州市干将西路399号银海大厦303室</w:t>
      </w:r>
    </w:p>
    <w:p w14:paraId="0E705E7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 系 人：路丽丽</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潘莉莉  朱晓芹    施紫秋</w:t>
      </w:r>
    </w:p>
    <w:p w14:paraId="76ED300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联系方式：0512-65238816</w:t>
      </w:r>
    </w:p>
    <w:p w14:paraId="1FEFBAE9">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2640C12B">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项目联系人：路丽丽</w:t>
      </w:r>
    </w:p>
    <w:p w14:paraId="1D5E20CE">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电　　  话：0512-65238816</w:t>
      </w:r>
    </w:p>
    <w:p w14:paraId="4809B4AB">
      <w:pPr>
        <w:pageBreakBefore/>
        <w:tabs>
          <w:tab w:val="left" w:pos="315"/>
          <w:tab w:val="center" w:pos="4153"/>
        </w:tabs>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二、采购需求</w:t>
      </w:r>
    </w:p>
    <w:p w14:paraId="2FFC2B0A">
      <w:pPr>
        <w:spacing w:line="360" w:lineRule="auto"/>
        <w:ind w:firstLine="420"/>
        <w:rPr>
          <w:rFonts w:ascii="宋体" w:hAnsi="宋体" w:cs="宋体"/>
          <w:color w:val="auto"/>
          <w:szCs w:val="21"/>
          <w:highlight w:val="none"/>
        </w:rPr>
      </w:pPr>
      <w:r>
        <w:rPr>
          <w:rFonts w:hint="eastAsia" w:ascii="宋体" w:hAnsi="宋体" w:cs="宋体"/>
          <w:color w:val="auto"/>
          <w:highlight w:val="none"/>
        </w:rPr>
        <w:t>受</w:t>
      </w:r>
      <w:r>
        <w:rPr>
          <w:rFonts w:hint="eastAsia" w:ascii="宋体" w:hAnsi="宋体" w:cs="宋体"/>
          <w:color w:val="auto"/>
          <w:highlight w:val="none"/>
          <w:lang w:eastAsia="zh-CN"/>
        </w:rPr>
        <w:t>苏州市姑苏区发展和改革局</w:t>
      </w:r>
      <w:r>
        <w:rPr>
          <w:rFonts w:hint="eastAsia" w:ascii="宋体" w:hAnsi="宋体" w:cs="宋体"/>
          <w:color w:val="auto"/>
          <w:highlight w:val="none"/>
        </w:rPr>
        <w:t>之委托，苏州市创杰招投标咨询服务有限公司对其需采购的</w:t>
      </w:r>
      <w:r>
        <w:rPr>
          <w:rFonts w:hint="eastAsia" w:ascii="宋体" w:hAnsi="宋体" w:cs="宋体"/>
          <w:color w:val="auto"/>
          <w:highlight w:val="none"/>
          <w:lang w:eastAsia="zh-CN"/>
        </w:rPr>
        <w:t>苏州市姑苏区猪肉储备服务(2026-2028年)</w:t>
      </w:r>
      <w:r>
        <w:rPr>
          <w:rFonts w:hint="eastAsia" w:ascii="宋体" w:hAnsi="宋体" w:cs="宋体"/>
          <w:color w:val="auto"/>
          <w:highlight w:val="none"/>
        </w:rPr>
        <w:t>在国内组织竞争性磋商采购。欢迎符合资格条件的供应商前来报名参加磋商</w:t>
      </w:r>
      <w:r>
        <w:rPr>
          <w:rFonts w:hint="eastAsia" w:ascii="宋体" w:hAnsi="宋体" w:cs="宋体"/>
          <w:color w:val="auto"/>
          <w:szCs w:val="21"/>
          <w:highlight w:val="none"/>
        </w:rPr>
        <w:t>。</w:t>
      </w:r>
    </w:p>
    <w:p w14:paraId="22878A2E">
      <w:pPr>
        <w:spacing w:line="360" w:lineRule="auto"/>
        <w:outlineLvl w:val="1"/>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一、采购编号：</w:t>
      </w:r>
      <w:r>
        <w:rPr>
          <w:rFonts w:hint="eastAsia" w:ascii="宋体" w:hAnsi="宋体" w:cs="宋体"/>
          <w:bCs/>
          <w:color w:val="auto"/>
          <w:szCs w:val="21"/>
          <w:highlight w:val="none"/>
          <w:lang w:eastAsia="zh-CN"/>
        </w:rPr>
        <w:t>JSZC-320508-CJZB-C2026-0044</w:t>
      </w:r>
    </w:p>
    <w:p w14:paraId="446C12B9">
      <w:pPr>
        <w:spacing w:line="360" w:lineRule="auto"/>
        <w:outlineLvl w:val="1"/>
        <w:rPr>
          <w:rFonts w:hint="eastAsia" w:ascii="宋体" w:hAnsi="宋体" w:cs="宋体"/>
          <w:bCs/>
          <w:color w:val="auto"/>
          <w:szCs w:val="21"/>
          <w:highlight w:val="none"/>
          <w:lang w:eastAsia="zh-CN"/>
        </w:rPr>
      </w:pPr>
      <w:r>
        <w:rPr>
          <w:rFonts w:hint="eastAsia" w:ascii="宋体" w:hAnsi="宋体" w:cs="宋体"/>
          <w:b/>
          <w:color w:val="auto"/>
          <w:szCs w:val="21"/>
          <w:highlight w:val="none"/>
        </w:rPr>
        <w:t>二、项目名称：</w:t>
      </w:r>
      <w:r>
        <w:rPr>
          <w:rFonts w:hint="eastAsia" w:ascii="宋体" w:hAnsi="宋体" w:cs="宋体"/>
          <w:bCs/>
          <w:color w:val="auto"/>
          <w:szCs w:val="21"/>
          <w:highlight w:val="none"/>
          <w:lang w:eastAsia="zh-CN"/>
        </w:rPr>
        <w:t>苏州市姑苏区猪肉储备服务(2026-2028年)</w:t>
      </w:r>
    </w:p>
    <w:p w14:paraId="08D54475">
      <w:pPr>
        <w:spacing w:line="360" w:lineRule="auto"/>
        <w:outlineLvl w:val="1"/>
        <w:rPr>
          <w:rFonts w:hint="eastAsia" w:ascii="宋体" w:hAnsi="宋体" w:cs="宋体"/>
          <w:b/>
          <w:color w:val="auto"/>
          <w:szCs w:val="21"/>
          <w:highlight w:val="none"/>
        </w:rPr>
      </w:pPr>
      <w:r>
        <w:rPr>
          <w:rFonts w:hint="eastAsia" w:ascii="宋体" w:hAnsi="宋体" w:cs="宋体"/>
          <w:b w:val="0"/>
          <w:bCs w:val="0"/>
          <w:color w:val="auto"/>
          <w:szCs w:val="21"/>
          <w:highlight w:val="none"/>
          <w:lang w:val="en-US" w:eastAsia="zh-CN"/>
        </w:rPr>
        <w:t>★</w:t>
      </w:r>
      <w:r>
        <w:rPr>
          <w:rFonts w:hint="eastAsia" w:ascii="宋体" w:hAnsi="宋体" w:cs="宋体"/>
          <w:b/>
          <w:color w:val="auto"/>
          <w:szCs w:val="21"/>
          <w:highlight w:val="none"/>
        </w:rPr>
        <w:t>三、预算金额：</w:t>
      </w:r>
      <w:r>
        <w:rPr>
          <w:rFonts w:hint="eastAsia" w:ascii="宋体" w:hAnsi="宋体" w:cs="宋体"/>
          <w:b w:val="0"/>
          <w:bCs/>
          <w:color w:val="auto"/>
          <w:szCs w:val="21"/>
          <w:highlight w:val="none"/>
        </w:rPr>
        <w:t>人民币贰佰柒拾捌万叁仟零贰拾伍元整（¥：2783025.00）</w:t>
      </w:r>
    </w:p>
    <w:p w14:paraId="5FCA50F2">
      <w:pPr>
        <w:spacing w:line="360" w:lineRule="auto"/>
        <w:ind w:firstLine="422" w:firstLineChars="200"/>
        <w:outlineLvl w:val="1"/>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最高限价：</w:t>
      </w:r>
      <w:r>
        <w:rPr>
          <w:rFonts w:hint="eastAsia" w:ascii="宋体" w:hAnsi="宋体" w:cs="宋体"/>
          <w:b w:val="0"/>
          <w:bCs/>
          <w:color w:val="auto"/>
          <w:szCs w:val="21"/>
          <w:highlight w:val="none"/>
        </w:rPr>
        <w:t>人民币贰佰柒拾捌万叁仟零贰拾伍元整（¥：2783025.00）</w:t>
      </w:r>
    </w:p>
    <w:p w14:paraId="38D2E8BA">
      <w:pPr>
        <w:spacing w:line="360" w:lineRule="auto"/>
        <w:outlineLvl w:val="1"/>
        <w:rPr>
          <w:rFonts w:ascii="宋体" w:hAnsi="宋体" w:cs="宋体"/>
          <w:b/>
          <w:color w:val="auto"/>
          <w:szCs w:val="21"/>
          <w:highlight w:val="none"/>
        </w:rPr>
      </w:pPr>
      <w:r>
        <w:rPr>
          <w:rFonts w:hint="eastAsia" w:ascii="宋体" w:hAnsi="宋体" w:cs="宋体"/>
          <w:b w:val="0"/>
          <w:bCs w:val="0"/>
          <w:color w:val="auto"/>
          <w:szCs w:val="21"/>
          <w:highlight w:val="none"/>
          <w:lang w:val="en-US" w:eastAsia="zh-CN"/>
        </w:rPr>
        <w:t>★</w:t>
      </w:r>
      <w:r>
        <w:rPr>
          <w:rFonts w:hint="eastAsia" w:ascii="宋体" w:hAnsi="宋体" w:cs="宋体"/>
          <w:b/>
          <w:color w:val="auto"/>
          <w:szCs w:val="21"/>
          <w:highlight w:val="none"/>
        </w:rPr>
        <w:t>四、采购需求：（本文件中★标示内容为实质性要求）</w:t>
      </w:r>
    </w:p>
    <w:p w14:paraId="02A5A4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（一）项目说明</w:t>
      </w:r>
    </w:p>
    <w:p w14:paraId="6D1888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1.本项目服务期限：三年的储备期（具体时间根据合同约定）。</w:t>
      </w:r>
    </w:p>
    <w:p w14:paraId="0AF666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2.项目内容：在储备期内必须保障合同约定的猪肉储备数量，本次储备总量为350吨（具体数量根据采购单位要求）。</w:t>
      </w:r>
    </w:p>
    <w:p w14:paraId="76DAE1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（二）总体要求</w:t>
      </w:r>
    </w:p>
    <w:p w14:paraId="22A120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1.供应商应根据采购人要求承储冻猪肉储备并对其实施动态管理，在服务期限内须无条件接受和配合采购人的监督管理。</w:t>
      </w:r>
    </w:p>
    <w:p w14:paraId="77B71A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2.供应商应具有稳定的冷冻猪肉经销渠道和对冻肉的企业自身经营性周转需求，便于储备冻肉的轮换管理； </w:t>
      </w:r>
    </w:p>
    <w:p w14:paraId="5DD0A2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3.供应商应具有组织、管理冷冻猪肉和冷库的能力和完善的食品安全保障制度，能够承担储备肉的安全责任；</w:t>
      </w:r>
    </w:p>
    <w:p w14:paraId="582421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4.供应商应具备完整的冷链物流配送体系，具有完成紧急配送任务的能力；</w:t>
      </w:r>
    </w:p>
    <w:p w14:paraId="3A7F2C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5.供应商必须为本项目投入储存能力不少于350吨的储存冷库，</w:t>
      </w:r>
      <w:r>
        <w:rPr>
          <w:rFonts w:hint="eastAsia" w:ascii="宋体" w:hAnsi="宋体" w:eastAsia="宋体" w:cs="宋体"/>
          <w:b w:val="0"/>
          <w:bCs/>
          <w:color w:val="auto"/>
          <w:szCs w:val="21"/>
          <w:highlight w:val="none"/>
        </w:rPr>
        <w:t>冷库温度可控范围在零下18度至零下25度</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储存冷库地址均需位于苏州市区（不含常熟、昆山、张家港、太仓）范围内，且储存冷库须为供应商自有（产权归属于供应商）或租赁（租赁期必须涵盖本项目整个服务期限）。</w:t>
      </w:r>
      <w:r>
        <w:rPr>
          <w:rFonts w:hint="eastAsia" w:ascii="宋体" w:hAnsi="宋体" w:cs="宋体"/>
          <w:b w:val="0"/>
          <w:bCs w:val="0"/>
          <w:color w:val="auto"/>
          <w:szCs w:val="21"/>
          <w:highlight w:val="none"/>
          <w:lang w:val="en-US" w:eastAsia="zh-CN"/>
        </w:rPr>
        <w:t>未经采购人同意，供应商不得随意变更拟投入本项目的储存冷库。</w:t>
      </w:r>
    </w:p>
    <w:p w14:paraId="039B29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6.储存冷库应配备视频监控系统，视频监控系统基准要求：冻猪肉存放区域须安装必要的无死角视频监控设备，视频监控系统硬件存储期不低于1个月。供应商应确保视频监控系统设备处于正常运行状态。</w:t>
      </w:r>
    </w:p>
    <w:p w14:paraId="1D4FC4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（三）质量及安全要求</w:t>
      </w:r>
    </w:p>
    <w:p w14:paraId="3ADF2D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1.在项目服务期限内，供应商必须保证承储的冻猪肉储备数量真实，质量达标。</w:t>
      </w:r>
    </w:p>
    <w:p w14:paraId="4F4398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产品质量应符合《鲜、冻猪肉及猪副产品第1部分：片猪肉》（GB/T9959.1-2019）、《分割鲜、冻猪瘦肉》（GB/T9959.2-2008）、《鲜、冻猪肉及猪副产品第3部分：分部位分割猪肉》（GB/T9959.3-2019）的相关要求。进口产品需通过合法渠道采购，符合海关检验检疫和进口冷链食品要求，并报苏州市姑苏区发展和改革局备案，确保储备肉质量与安全。采购人将对储备执行情况进行定期或不定期检查，供应商必须给予配合，并向采购人提供冻猪肉储备商品台账及有关各项制度、记录等资料。</w:t>
      </w:r>
    </w:p>
    <w:p w14:paraId="40875C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3.收储品种为进口冻猪肉的，剩余保质期必须1年以上；收储品种为国产冻猪肉的，剩余保质期必须在半年以上。</w:t>
      </w:r>
    </w:p>
    <w:p w14:paraId="0361A0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在本项目服务期限内，如存在检验结果判定为不合格的，采购人有权责成供应商负责更换对应冻猪肉，否则采购人有权对供应商进行相应处罚直至解除合同；如存在检验结果判定为不合格达2次的，采购人有权无条件终止合同，并追究供应商法律责任。供应商对检验结果有异议的，应当在收到不合格结论之日起7个工作日内向采购人反馈。如需复检的，由供应商向组织实施的监督抽检部门提出书面申请及相关证明材料，检测费用由供应商自行承担。</w:t>
      </w:r>
    </w:p>
    <w:p w14:paraId="760942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在库管理：采购人将按照《江苏省省级猪肉储备管理办法》有关规定，对供应商实施监督管理。供应商应当按照采购人要求建立起储备冻猪肉内部管理制度。承储冷库门口、承储区域和货架要有明显标识。储备冻猪肉要实行专仓（专垛）储存，货架分列、码放整齐。专人专帐详细记录储备冻猪肉的品种、数量、入库时间。如供应商管理不到位，采购人有权追究供应商的违约责任。</w:t>
      </w:r>
    </w:p>
    <w:p w14:paraId="5A935B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6.在本项目服务期限内，如因供应商所提供的产品或服务造成食品安全事故的，采购人有权追究供应商的违约责任，并要求供应商赔偿损失。</w:t>
      </w:r>
    </w:p>
    <w:p w14:paraId="38E6B9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供应商应当按照采购人要求建立起储备冻猪肉信息报送制度，在每月度后的10个工作日内填好统计报表，及时报送苏州市姑苏区发展和改革局，报表须做到及时、真实、规范。如不及时按规定报送相关信息，采购人有权追究供应商的违约责任。如因供应商管理不善原因，造成储备冻猪肉损失的，由供应商自行承担责任。</w:t>
      </w:r>
    </w:p>
    <w:p w14:paraId="5661E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8.在本项目服务期限内，在未经许可的情况下，供应商没有按照本项目规定的质量、数量、时间完成储备任务的，采购人有权终止本项目合同。</w:t>
      </w:r>
    </w:p>
    <w:p w14:paraId="0A1911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（四）冻猪肉出入库及动用要求：</w:t>
      </w:r>
    </w:p>
    <w:p w14:paraId="01DE67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1.如供应商获得成交，应在本合同签定之日起30天内，按采购人要求完成所有冻猪肉的入库工作，并填制《冻猪肉储备入库单》，按要求报送采购人。</w:t>
      </w:r>
    </w:p>
    <w:p w14:paraId="224C8B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合同签订且首次入库完成后，成交供应商须向采购人提供企业财务报表（入库完成后出具的）及对应的入库清单，用以佐证入库冻猪肉产权归属及储备量。如采购人发现成交供应商存在伪造登记、数量不符等虚假情况，有权无条件终止本项目合同，并追究成交供应商法律责任。</w:t>
      </w:r>
    </w:p>
    <w:p w14:paraId="3A744F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3.供应商应确保储备冻猪肉的数量、质量和种类均达到采购人要求的响应标准。出现应急情况需要动用时，供应商应无条件按采购人下达的时间、品种、数量、流向组织调运，价格随行就市。</w:t>
      </w:r>
    </w:p>
    <w:p w14:paraId="735172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供应商在满足储备任务要求的前提下，可以根据储备肉保质期等情况自行轮换出库。冻猪肉储备每年3个轮次的更新，最长不超过六个月的期限轮换更新一次。供应商在满足储备计划要求的前提下，可以按正常更新轮换要求自行出售储备冻肉，自负盈亏。更新轮换过程中，允许实际冻肉储备库存数量和冷鲜肉储备数量有所波动，但不得低于承储规模的80%。</w:t>
      </w:r>
    </w:p>
    <w:p w14:paraId="405DAE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5.供应商应对储备的冻猪肉实行挂牌专人管理，未经采购人同意，供应商不得擅自动用储备的冻猪肉。供应商不得以储备冻猪肉对外进行质押、担保或者清偿债务。</w:t>
      </w:r>
    </w:p>
    <w:p w14:paraId="448798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（五）其他要求：</w:t>
      </w:r>
    </w:p>
    <w:p w14:paraId="14AC84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1.冻肉收储品种为猪分割肉及包装类肉品，品目为猪身中段、前后段或者大排、肋排、四号肉、蹄膀等。其中，猪副产品储备数量不得超过本项目冻猪肉储备总数量的10%。</w:t>
      </w:r>
    </w:p>
    <w:p w14:paraId="5FC9CE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2.供应商所提供的猪肉须具有国家动物卫生检疫监督管理机构出具的法定证、章标志，实施储备的相关工作人员须具有健康证。</w:t>
      </w:r>
    </w:p>
    <w:p w14:paraId="17465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3.在遭遇疫情及其他自然灾害时，供应商应积极采取应对措施，所造成的损失由供应商自行承担。</w:t>
      </w:r>
    </w:p>
    <w:p w14:paraId="19AB17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4.供应商应为本项目明确1名项目负责人，积极配合采购人完成项目各项相关工作，供应商不得随意更换项目负责人，如需更换须提前5个工作日通知采购人，并征得采购人同意。</w:t>
      </w:r>
    </w:p>
    <w:p w14:paraId="04A236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在服务期限内，如采购人发现成交供应商提供冻猪肉的储备量未达到磋商文件规定及响应承诺提供的，第一次发现，采购人将扣除成交供应商本合同总价10%的服务费用，并要求成交供应商限时整改到位，如成交供应商没有限时整改到位的，采购人有权解除本合同。如第二次发现的，成交供应商应向采购人支付本合同总价10%的违约金，同时采购人有权直接解除本合同。</w:t>
      </w:r>
    </w:p>
    <w:p w14:paraId="4AC419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6.如因供应商原因导致采购人终止或解除合同的，采购人有权另行选择具有相应能力的其他供应商承担本项目。</w:t>
      </w:r>
    </w:p>
    <w:p w14:paraId="1EDE84BA">
      <w:pPr>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lang w:val="zh-CN"/>
        </w:rPr>
        <w:t>其他</w:t>
      </w:r>
      <w:r>
        <w:rPr>
          <w:rFonts w:hint="eastAsia" w:ascii="宋体" w:hAnsi="宋体" w:cs="宋体"/>
          <w:b/>
          <w:bCs/>
          <w:color w:val="auto"/>
          <w:szCs w:val="21"/>
          <w:highlight w:val="none"/>
          <w:lang w:val="en-US" w:eastAsia="zh-CN"/>
        </w:rPr>
        <w:t>说明</w:t>
      </w:r>
      <w:r>
        <w:rPr>
          <w:rFonts w:hint="eastAsia" w:ascii="宋体" w:hAnsi="宋体" w:cs="宋体"/>
          <w:b/>
          <w:bCs/>
          <w:color w:val="auto"/>
          <w:szCs w:val="21"/>
          <w:highlight w:val="none"/>
          <w:lang w:val="zh-CN"/>
        </w:rPr>
        <w:t>：</w:t>
      </w:r>
    </w:p>
    <w:p w14:paraId="2F0DA1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1.成交单位必须高度重视安全生产。保管期间，由于管理不善或作业工人操作不规范等因素造成的安全事故，均由成交单位承担一切责任和损失。</w:t>
      </w:r>
    </w:p>
    <w:p w14:paraId="555B46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成交单位必须自觉接受采购单位的定期（每季度不少于1次）或不定期检查和考核。采购方会不定期抽查成交单位的储备情况，如成交单位未达到合同储备标准，采购人有权责成成交单位整改到位，酌情从冻猪肉储备费用中扣除缺少数量的冻猪肉储备费。</w:t>
      </w:r>
    </w:p>
    <w:p w14:paraId="07957C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成交单位有新增合同，应报告苏州市姑苏区发展和改革委员会，根据成交单位冷库总储备能力判断是否影响合同执行；如成交单位提供措施方案执行有效，不破坏猪肉储备量，则继续履行合同；如成交单位提供的措施方案无法执行或者执行影响合同的储备能力，采购人则有权终止合同，并要求成交单位赔偿一切损失。</w:t>
      </w:r>
    </w:p>
    <w:p w14:paraId="657F71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4.成交单位必须按照《劳动法》最低工资调整及苏州市的有关规定配置工作人员按月支付工资、节假日加班费，交纳社会保险，并根据工作性质购置保险等相关劳动保障措施。</w:t>
      </w:r>
    </w:p>
    <w:p w14:paraId="0C38AA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5.采购单位与成交单位服务人员不发生雇佣关系，成交单位和用工人员应遵守采购单位的相关规章制度及安全操作规章制度，若发生人身伤害等工伤事故，由成交供应商自负，与采购单位无涉。</w:t>
      </w:r>
    </w:p>
    <w:p w14:paraId="560EE8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6.成交单位服务人员的薪金、福利、休假日补贴、医疗费用及其他各种商业保险等均由成交单位负责，与采购方无关。</w:t>
      </w:r>
    </w:p>
    <w:p w14:paraId="3403CB4D">
      <w:pPr>
        <w:spacing w:line="360" w:lineRule="auto"/>
        <w:outlineLvl w:val="1"/>
        <w:rPr>
          <w:rFonts w:ascii="宋体" w:hAnsi="宋体" w:cs="宋体"/>
          <w:color w:val="auto"/>
          <w:szCs w:val="21"/>
          <w:highlight w:val="none"/>
        </w:rPr>
      </w:pP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、响应文件的组成及要求</w:t>
      </w:r>
    </w:p>
    <w:p w14:paraId="73149541">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（一）文件组成（部分格式见附件）</w:t>
      </w:r>
    </w:p>
    <w:p w14:paraId="64DD99D0">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1、封面</w:t>
      </w:r>
    </w:p>
    <w:p w14:paraId="507881D4">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2、开标一览表</w:t>
      </w:r>
    </w:p>
    <w:p w14:paraId="28783B5E">
      <w:pPr>
        <w:pStyle w:val="12"/>
        <w:spacing w:line="360" w:lineRule="auto"/>
        <w:ind w:firstLine="42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3、磋商报价分析表；</w:t>
      </w:r>
    </w:p>
    <w:p w14:paraId="5D3F202F">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4、资格审查响应文件</w:t>
      </w:r>
    </w:p>
    <w:p w14:paraId="2C0F4056">
      <w:pPr>
        <w:pStyle w:val="12"/>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4.1满足《中华人民共和国政府采购法》第二十二条规定：</w:t>
      </w:r>
    </w:p>
    <w:p w14:paraId="5018633C">
      <w:pPr>
        <w:pStyle w:val="12"/>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4.1.1具有独立承担民事责任的能力。提供包括法人或者其他组织的营业执照等证明文件，自然人的身份证明；</w:t>
      </w:r>
    </w:p>
    <w:p w14:paraId="103BA201">
      <w:pPr>
        <w:pStyle w:val="12"/>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4.1.2具有良好的商业信誉和健全的财务会计制度。提供包括但不限于最近一期（202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年度或202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年度）财务审计报告或最近一期</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2025年10月至今任意一期）</w:t>
      </w:r>
      <w:r>
        <w:rPr>
          <w:rFonts w:hint="eastAsia" w:ascii="宋体" w:hAnsi="宋体" w:eastAsia="宋体" w:cs="宋体"/>
          <w:bCs/>
          <w:color w:val="auto"/>
          <w:sz w:val="21"/>
          <w:szCs w:val="21"/>
          <w:highlight w:val="none"/>
        </w:rPr>
        <w:t>财务报表，其他组织、自然人及成立未满一年的法人应提供银行出具的资信证明；</w:t>
      </w:r>
    </w:p>
    <w:p w14:paraId="5E5D6DF2">
      <w:pPr>
        <w:pStyle w:val="12"/>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4.1.3具有履行合同所必需的设备和专业技术能力。提供证明材料或承诺；</w:t>
      </w:r>
    </w:p>
    <w:p w14:paraId="5C19634E">
      <w:pPr>
        <w:pStyle w:val="12"/>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4.1.4有依法缴纳税收和社会保障资金的良好记录。提供提交响应文件截止时间前</w:t>
      </w:r>
      <w:r>
        <w:rPr>
          <w:rFonts w:hint="eastAsia" w:ascii="宋体" w:hAnsi="宋体" w:eastAsia="宋体" w:cs="宋体"/>
          <w:bCs/>
          <w:color w:val="auto"/>
          <w:sz w:val="21"/>
          <w:szCs w:val="21"/>
          <w:highlight w:val="none"/>
          <w:lang w:val="en-US" w:eastAsia="zh-CN"/>
        </w:rPr>
        <w:t>半</w:t>
      </w:r>
      <w:r>
        <w:rPr>
          <w:rFonts w:hint="eastAsia" w:ascii="宋体" w:hAnsi="宋体" w:eastAsia="宋体" w:cs="宋体"/>
          <w:bCs/>
          <w:color w:val="auto"/>
          <w:sz w:val="21"/>
          <w:szCs w:val="21"/>
          <w:highlight w:val="none"/>
        </w:rPr>
        <w:t>年内至少一个月依法缴纳税收及缴纳社会保障资金的证明材料，如相关主管部门证明或银行代扣证明。响应单位如依法享受缓缴、免缴税收、社会保障资金的应提供相关主管部门出具的证明材料；</w:t>
      </w:r>
    </w:p>
    <w:p w14:paraId="5CCF3089">
      <w:pPr>
        <w:pStyle w:val="12"/>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4.1.5参加政府采购活动前三年内，在经营活动中没有重大违法记录。提供书面声明函；</w:t>
      </w:r>
    </w:p>
    <w:p w14:paraId="3FF8B2C8">
      <w:pPr>
        <w:widowControl/>
        <w:spacing w:line="360" w:lineRule="auto"/>
        <w:ind w:firstLine="42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4.1.6</w:t>
      </w:r>
      <w:r>
        <w:rPr>
          <w:rFonts w:hint="eastAsia" w:ascii="宋体" w:hAnsi="宋体" w:cs="宋体"/>
          <w:color w:val="auto"/>
          <w:szCs w:val="21"/>
          <w:highlight w:val="none"/>
        </w:rPr>
        <w:t>法律、行政法规规定的其他条件</w:t>
      </w:r>
      <w:r>
        <w:rPr>
          <w:rFonts w:hint="eastAsia" w:ascii="宋体" w:hAnsi="宋体" w:eastAsia="宋体" w:cs="宋体"/>
          <w:bCs/>
          <w:color w:val="auto"/>
          <w:sz w:val="21"/>
          <w:szCs w:val="21"/>
          <w:highlight w:val="none"/>
        </w:rPr>
        <w:t>。提供书面声明函</w:t>
      </w:r>
      <w:r>
        <w:rPr>
          <w:rFonts w:hint="eastAsia" w:ascii="宋体" w:hAnsi="宋体" w:eastAsia="宋体" w:cs="宋体"/>
          <w:color w:val="auto"/>
          <w:szCs w:val="21"/>
          <w:highlight w:val="none"/>
          <w:lang w:eastAsia="zh-CN"/>
        </w:rPr>
        <w:t>；</w:t>
      </w:r>
    </w:p>
    <w:p w14:paraId="0F7515D1">
      <w:pPr>
        <w:widowControl/>
        <w:spacing w:line="360" w:lineRule="auto"/>
        <w:ind w:firstLine="420"/>
        <w:jc w:val="left"/>
        <w:rPr>
          <w:rFonts w:hint="eastAsia" w:ascii="宋体" w:hAnsi="宋体" w:cs="宋体"/>
          <w:color w:val="auto"/>
          <w:szCs w:val="21"/>
          <w:highlight w:val="none"/>
          <w:lang w:eastAsia="zh-CN"/>
        </w:rPr>
      </w:pPr>
      <w:r>
        <w:rPr>
          <w:rFonts w:hint="eastAsia" w:ascii="宋体" w:hAnsi="宋体" w:cs="宋体"/>
          <w:bCs/>
          <w:color w:val="auto"/>
          <w:szCs w:val="21"/>
          <w:highlight w:val="none"/>
        </w:rPr>
        <w:t>4.2响应单位具有有效期内的食品经营许可证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提供证明文件</w:t>
      </w:r>
      <w:r>
        <w:rPr>
          <w:rFonts w:hint="eastAsia" w:ascii="宋体" w:hAnsi="宋体" w:cs="宋体"/>
          <w:color w:val="auto"/>
          <w:szCs w:val="21"/>
          <w:highlight w:val="none"/>
          <w:lang w:eastAsia="zh-CN"/>
        </w:rPr>
        <w:t>。</w:t>
      </w:r>
    </w:p>
    <w:p w14:paraId="48CE60C6">
      <w:pPr>
        <w:widowControl/>
        <w:spacing w:line="360" w:lineRule="auto"/>
        <w:ind w:firstLine="420"/>
        <w:jc w:val="left"/>
        <w:rPr>
          <w:rFonts w:hint="default" w:ascii="宋体" w:hAnsi="宋体" w:eastAsia="宋体" w:cs="宋体"/>
          <w:bCs/>
          <w:color w:val="auto"/>
          <w:szCs w:val="21"/>
          <w:highlight w:val="none"/>
          <w:lang w:val="en-US" w:eastAsia="zh-CN"/>
        </w:rPr>
      </w:pPr>
      <w:r>
        <w:rPr>
          <w:rFonts w:hint="eastAsia" w:ascii="宋体" w:hAnsi="宋体" w:cs="宋体"/>
          <w:color w:val="auto"/>
          <w:szCs w:val="21"/>
          <w:highlight w:val="none"/>
          <w:lang w:val="en-US" w:eastAsia="zh-CN"/>
        </w:rPr>
        <w:t>4.3提供《中小企业声明函》或《残疾人福利性单位声明函》或省级以上监狱管理局、戒毒管理局（含新疆生产建设兵团）出具的属于监狱企业的证明文件（如为小微企业或残疾人福利性单位或监狱企业提供）。</w:t>
      </w:r>
    </w:p>
    <w:p w14:paraId="0E940ED1">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5、符合性审查响应文件</w:t>
      </w:r>
    </w:p>
    <w:p w14:paraId="53453937">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5.1磋商响应函；</w:t>
      </w:r>
    </w:p>
    <w:p w14:paraId="05F5DB63">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5.2服务偏离表；</w:t>
      </w:r>
    </w:p>
    <w:p w14:paraId="72C01FDD">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5.3商务条款偏离表；</w:t>
      </w:r>
    </w:p>
    <w:p w14:paraId="773FB749">
      <w:pPr>
        <w:pStyle w:val="12"/>
        <w:spacing w:line="360" w:lineRule="auto"/>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eastAsia="宋体" w:cs="宋体"/>
          <w:bCs/>
          <w:color w:val="auto"/>
          <w:sz w:val="21"/>
          <w:szCs w:val="21"/>
          <w:highlight w:val="none"/>
        </w:rPr>
        <w:t>关于资格文件的声明函；</w:t>
      </w:r>
    </w:p>
    <w:p w14:paraId="365641EA">
      <w:pPr>
        <w:pStyle w:val="12"/>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5.5磋商响应单位法定代表人身份证复印件；法定代表人授权委托书和授权代理人身份证复印件（如有授权）；</w:t>
      </w:r>
    </w:p>
    <w:p w14:paraId="77B10F2F">
      <w:pPr>
        <w:pStyle w:val="12"/>
        <w:spacing w:line="360" w:lineRule="auto"/>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5.6</w:t>
      </w:r>
      <w:r>
        <w:rPr>
          <w:rFonts w:hint="eastAsia" w:ascii="宋体" w:hAnsi="宋体" w:eastAsia="宋体" w:cs="宋体"/>
          <w:color w:val="auto"/>
          <w:sz w:val="21"/>
          <w:szCs w:val="21"/>
          <w:highlight w:val="none"/>
        </w:rPr>
        <w:t>投标（响应）保证承诺书；</w:t>
      </w:r>
    </w:p>
    <w:p w14:paraId="73C222FA">
      <w:pPr>
        <w:pStyle w:val="1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5.7</w:t>
      </w:r>
      <w:r>
        <w:rPr>
          <w:rFonts w:hint="eastAsia" w:ascii="宋体" w:hAnsi="宋体" w:eastAsia="宋体" w:cs="宋体"/>
          <w:bCs/>
          <w:color w:val="auto"/>
          <w:sz w:val="21"/>
          <w:szCs w:val="21"/>
          <w:highlight w:val="none"/>
        </w:rPr>
        <w:t>磋商响应单位基本情况表</w:t>
      </w:r>
      <w:r>
        <w:rPr>
          <w:rFonts w:hint="eastAsia" w:ascii="宋体" w:hAnsi="宋体" w:eastAsia="宋体" w:cs="宋体"/>
          <w:bCs/>
          <w:color w:val="auto"/>
          <w:sz w:val="21"/>
          <w:szCs w:val="21"/>
          <w:highlight w:val="none"/>
          <w:lang w:eastAsia="zh-CN"/>
        </w:rPr>
        <w:t>；</w:t>
      </w:r>
    </w:p>
    <w:p w14:paraId="3CCA0A31">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5.8</w:t>
      </w:r>
      <w:r>
        <w:rPr>
          <w:rFonts w:hint="eastAsia" w:ascii="宋体" w:hAnsi="宋体" w:eastAsia="宋体" w:cs="宋体"/>
          <w:color w:val="auto"/>
          <w:sz w:val="21"/>
          <w:szCs w:val="21"/>
          <w:highlight w:val="none"/>
        </w:rPr>
        <w:t>其他有关符合性证明的文件；</w:t>
      </w:r>
    </w:p>
    <w:p w14:paraId="04467DAF">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6、综合评审响应文件（具体模块以系统生成为准）</w:t>
      </w:r>
    </w:p>
    <w:p w14:paraId="13C85FB0">
      <w:pPr>
        <w:pStyle w:val="12"/>
        <w:spacing w:line="360" w:lineRule="auto"/>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.1针对本项目的整体工作方案；</w:t>
      </w:r>
    </w:p>
    <w:p w14:paraId="39D1ACDD">
      <w:pPr>
        <w:pStyle w:val="12"/>
        <w:spacing w:line="360" w:lineRule="auto"/>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.2针对本项目的人员</w:t>
      </w:r>
      <w:r>
        <w:rPr>
          <w:rFonts w:hint="eastAsia" w:ascii="宋体" w:hAnsi="宋体" w:eastAsia="宋体" w:cs="宋体"/>
          <w:color w:val="auto"/>
          <w:sz w:val="21"/>
          <w:szCs w:val="21"/>
          <w:highlight w:val="none"/>
          <w:lang w:val="en-US" w:eastAsia="zh-CN"/>
        </w:rPr>
        <w:t>及设备设施</w:t>
      </w:r>
      <w:r>
        <w:rPr>
          <w:rFonts w:hint="eastAsia" w:ascii="宋体" w:hAnsi="宋体" w:eastAsia="宋体" w:cs="宋体"/>
          <w:color w:val="auto"/>
          <w:sz w:val="21"/>
          <w:szCs w:val="21"/>
          <w:highlight w:val="none"/>
          <w:lang w:val="zh-CN"/>
        </w:rPr>
        <w:t>配置；</w:t>
      </w:r>
    </w:p>
    <w:p w14:paraId="1DCE0ADD">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6.3 类似项目</w:t>
      </w:r>
      <w:r>
        <w:rPr>
          <w:rFonts w:hint="eastAsia" w:ascii="宋体" w:hAnsi="宋体" w:eastAsia="宋体" w:cs="宋体"/>
          <w:color w:val="auto"/>
          <w:sz w:val="21"/>
          <w:szCs w:val="21"/>
          <w:highlight w:val="none"/>
          <w:lang w:val="zh-CN"/>
        </w:rPr>
        <w:t>业绩一览表</w:t>
      </w:r>
      <w:r>
        <w:rPr>
          <w:rFonts w:hint="eastAsia" w:ascii="宋体" w:hAnsi="宋体" w:eastAsia="宋体" w:cs="宋体"/>
          <w:color w:val="auto"/>
          <w:sz w:val="21"/>
          <w:szCs w:val="21"/>
          <w:highlight w:val="none"/>
        </w:rPr>
        <w:t>；</w:t>
      </w:r>
    </w:p>
    <w:p w14:paraId="6A4E7084">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6.4 采购需求及评分标准中所涉及到的其他材料。</w:t>
      </w:r>
    </w:p>
    <w:p w14:paraId="51183190">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7、价格折扣文件格式（</w:t>
      </w:r>
      <w:r>
        <w:rPr>
          <w:rFonts w:hint="eastAsia" w:ascii="宋体" w:hAnsi="宋体" w:eastAsia="宋体" w:cs="宋体"/>
          <w:b/>
          <w:color w:val="auto"/>
          <w:sz w:val="21"/>
          <w:szCs w:val="21"/>
          <w:highlight w:val="none"/>
          <w:lang w:val="en-US" w:eastAsia="zh-CN"/>
        </w:rPr>
        <w:t>如涉及</w:t>
      </w:r>
      <w:r>
        <w:rPr>
          <w:rFonts w:hint="eastAsia" w:ascii="宋体" w:hAnsi="宋体" w:eastAsia="宋体" w:cs="宋体"/>
          <w:b/>
          <w:color w:val="auto"/>
          <w:sz w:val="21"/>
          <w:szCs w:val="21"/>
          <w:highlight w:val="none"/>
        </w:rPr>
        <w:t>）</w:t>
      </w:r>
    </w:p>
    <w:p w14:paraId="544226B5">
      <w:pPr>
        <w:pStyle w:val="12"/>
        <w:spacing w:line="360" w:lineRule="auto"/>
        <w:ind w:firstLine="0"/>
        <w:rPr>
          <w:rFonts w:hint="default"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 xml:space="preserve"> 7.1供应商对其提供的产品出具《关于符合本国产品标准的声明函》（以下简称《声明函》）或财政部会同有关部门规定的有关证明文件。</w:t>
      </w:r>
    </w:p>
    <w:p w14:paraId="6A36C7EE">
      <w:pPr>
        <w:pStyle w:val="12"/>
        <w:spacing w:line="360" w:lineRule="auto"/>
        <w:ind w:firstLine="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bCs/>
          <w:color w:val="auto"/>
          <w:sz w:val="21"/>
          <w:szCs w:val="21"/>
          <w:highlight w:val="none"/>
        </w:rPr>
        <w:t>（1）以上4.1-4.</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为资格审查要求提供的材料，是作为对供应商资格审查、质疑身份认定的依据，响应供应商必须提供并加盖电子公章。否则，磋商响应文件将被认定为不符合资格审查要求。</w:t>
      </w:r>
    </w:p>
    <w:p w14:paraId="6E1D4A56">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（2）以上5.1-5.</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为符合性审查须提供的资料，响应供应商必须提供并加盖电子公章。否则，磋商响应文件将被认定为未实质性响应。</w:t>
      </w:r>
    </w:p>
    <w:p w14:paraId="19A55786">
      <w:pPr>
        <w:tabs>
          <w:tab w:val="left" w:pos="0"/>
        </w:tabs>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（3）制作电子响应文件时必须与投标文件制作软件目录一一对应，将相关资料上传至相应模块。</w:t>
      </w:r>
      <w:r>
        <w:rPr>
          <w:rFonts w:hint="eastAsia" w:ascii="宋体" w:hAnsi="宋体" w:cs="宋体"/>
          <w:color w:val="auto"/>
          <w:szCs w:val="21"/>
          <w:highlight w:val="none"/>
        </w:rPr>
        <w:t>注意不要漏项。如有不确定上传的位置的，可以上传至其他资料或上传至符合性审查资料</w:t>
      </w:r>
      <w:r>
        <w:rPr>
          <w:rFonts w:hint="eastAsia" w:ascii="宋体" w:hAnsi="宋体" w:cs="宋体"/>
          <w:b/>
          <w:bCs/>
          <w:color w:val="auto"/>
          <w:szCs w:val="21"/>
          <w:highlight w:val="none"/>
          <w:lang w:val="zh-CN"/>
        </w:rPr>
        <w:t>。</w:t>
      </w:r>
    </w:p>
    <w:p w14:paraId="17222AF1">
      <w:pPr>
        <w:pStyle w:val="12"/>
        <w:spacing w:line="360" w:lineRule="auto"/>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（4）磋商响应文件编制要求：</w:t>
      </w:r>
      <w:r>
        <w:rPr>
          <w:rFonts w:hint="eastAsia" w:ascii="宋体" w:hAnsi="宋体" w:eastAsia="宋体" w:cs="宋体"/>
          <w:bCs/>
          <w:color w:val="auto"/>
          <w:sz w:val="21"/>
          <w:szCs w:val="21"/>
          <w:highlight w:val="none"/>
        </w:rPr>
        <w:t>本项目采用电子招投标形式，请供应商按照《苏采云系统供应商操作手册》进行制作、上传电子响应文件。</w:t>
      </w:r>
      <w:r>
        <w:rPr>
          <w:rFonts w:hint="eastAsia" w:ascii="宋体" w:hAnsi="宋体" w:eastAsia="宋体" w:cs="宋体"/>
          <w:b/>
          <w:bCs/>
          <w:color w:val="auto"/>
          <w:sz w:val="21"/>
          <w:szCs w:val="21"/>
          <w:highlight w:val="none"/>
        </w:rPr>
        <w:t>电子响应文件制作完成后请于响应文件递交截止时间前成功上传至“苏采云”系统，否则视为放弃参加该采购项目。</w:t>
      </w:r>
      <w:r>
        <w:rPr>
          <w:rFonts w:hint="eastAsia" w:ascii="宋体" w:hAnsi="宋体" w:eastAsia="宋体" w:cs="宋体"/>
          <w:bCs/>
          <w:color w:val="auto"/>
          <w:sz w:val="21"/>
          <w:szCs w:val="21"/>
          <w:highlight w:val="none"/>
        </w:rPr>
        <w:t>供应商应充分考虑到网络环境、网络带宽等风险因素，如因供应商自身原因造成的电子响应文件上传不成功由供应商自行承担全部责任。</w:t>
      </w:r>
    </w:p>
    <w:p w14:paraId="0D485FF1">
      <w:pPr>
        <w:pStyle w:val="12"/>
        <w:spacing w:line="360"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（5）磋商过程中如有问题采购代理机构工作人员会及时通过《投标供应商确认函》留存的手机号与供应商联系。请供应商确保该手机号磋商当日通讯畅通，否则导致的对供应商不利的后果由供应商自行承担。</w:t>
      </w:r>
    </w:p>
    <w:p w14:paraId="73BC919F">
      <w:pPr>
        <w:spacing w:line="360" w:lineRule="auto"/>
        <w:ind w:firstLine="422"/>
        <w:outlineLvl w:val="1"/>
        <w:rPr>
          <w:rFonts w:ascii="宋体" w:hAnsi="宋体" w:cs="宋体"/>
          <w:b/>
          <w:color w:val="auto"/>
          <w:szCs w:val="21"/>
          <w:highlight w:val="none"/>
        </w:rPr>
      </w:pPr>
      <w:r>
        <w:rPr>
          <w:rFonts w:hint="eastAsia" w:ascii="宋体" w:hAnsi="宋体" w:cs="宋体"/>
          <w:b/>
          <w:color w:val="auto"/>
          <w:szCs w:val="21"/>
          <w:highlight w:val="none"/>
        </w:rPr>
        <w:t>六、磋商程序</w:t>
      </w:r>
    </w:p>
    <w:p w14:paraId="24A82F86">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1、采购代理机构按规定的时间、地点主持磋商采购活动。</w:t>
      </w:r>
    </w:p>
    <w:p w14:paraId="0B7B0AB4">
      <w:pPr>
        <w:pStyle w:val="12"/>
        <w:spacing w:line="360" w:lineRule="auto"/>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2、供应商通过“苏采云”系统在线参与磋商活动。供应商应当按照《苏采云系统供应商操作手册》规定在 “苏采云”系统规定的时间内对响应文件进行解密。</w:t>
      </w:r>
    </w:p>
    <w:p w14:paraId="56B5EB0E">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3、在磋商响应文件网上递交截止时间止成功解密的磋商供应商少于三家，则本次采购失败。</w:t>
      </w:r>
    </w:p>
    <w:p w14:paraId="7B98AB5E">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4、由磋商小组审查供应商解密的响应文件。</w:t>
      </w:r>
    </w:p>
    <w:p w14:paraId="1FF1FBFA">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5、由磋商小组对各响应单位的资格</w:t>
      </w:r>
      <w:r>
        <w:rPr>
          <w:rFonts w:hint="eastAsia" w:ascii="宋体" w:hAnsi="宋体" w:eastAsia="宋体" w:cs="宋体"/>
          <w:color w:val="auto"/>
          <w:sz w:val="21"/>
          <w:szCs w:val="21"/>
          <w:highlight w:val="none"/>
          <w:lang w:val="en-US" w:eastAsia="zh-CN"/>
        </w:rPr>
        <w:t>性和符合性</w:t>
      </w:r>
      <w:r>
        <w:rPr>
          <w:rFonts w:hint="eastAsia" w:ascii="宋体" w:hAnsi="宋体" w:eastAsia="宋体" w:cs="宋体"/>
          <w:color w:val="auto"/>
          <w:sz w:val="21"/>
          <w:szCs w:val="21"/>
          <w:highlight w:val="none"/>
        </w:rPr>
        <w:t>进行审查。资格审查内容包括：</w:t>
      </w:r>
    </w:p>
    <w:p w14:paraId="677D66D5">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（1）供应商是否满足《中华人民共和国政府采购法》第二十二条规定的基本条件；</w:t>
      </w:r>
    </w:p>
    <w:p w14:paraId="6688A18B">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（2）信用查询，现场审查供应商是否在参加政府采购活动前三年内，在经营活动中没有重大违法记录；</w:t>
      </w:r>
    </w:p>
    <w:p w14:paraId="23541939">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（3）专门面向中小企业的项目，应当在资格审查环节对供应商出具的《中小企业声明函》进行审查；</w:t>
      </w:r>
    </w:p>
    <w:p w14:paraId="368578C7">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（4）接受联合体投标的项目，联合体各方是否满足采购文件规定并提交相应证明文件；</w:t>
      </w:r>
    </w:p>
    <w:p w14:paraId="4573A14A">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（5）供应商是否满足采购文件规定的其他特定条件；</w:t>
      </w:r>
    </w:p>
    <w:p w14:paraId="4174FBB9">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（6）供应商是否存在其他不得参与该政府采购项目的情形。</w:t>
      </w:r>
    </w:p>
    <w:p w14:paraId="45C22359">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资格审查责任主体应按照采购文件的要求对投标（响应）供应商提供的资格审查文件独立进行资格审查并提交资格审查结果。</w:t>
      </w:r>
    </w:p>
    <w:p w14:paraId="49824416">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3AB3705">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7、磋商小组要求供应商澄清、说明或者更正响应文件应当以书面形式做出。供应商的澄清、说明或者更正应当由其单位加盖电子公章。</w:t>
      </w:r>
    </w:p>
    <w:p w14:paraId="0F2BAB21">
      <w:pPr>
        <w:pStyle w:val="54"/>
        <w:ind w:firstLine="422"/>
        <w:rPr>
          <w:rFonts w:cs="宋体"/>
          <w:b/>
          <w:color w:val="auto"/>
          <w:sz w:val="21"/>
          <w:szCs w:val="21"/>
          <w:highlight w:val="none"/>
        </w:rPr>
      </w:pPr>
      <w:r>
        <w:rPr>
          <w:rFonts w:hint="eastAsia" w:cs="宋体"/>
          <w:b/>
          <w:color w:val="auto"/>
          <w:sz w:val="21"/>
          <w:szCs w:val="21"/>
          <w:highlight w:val="none"/>
        </w:rPr>
        <w:t>本项目供应商的澄清、说明或者补正采用线上澄清:磋商小组将通过“苏采云”系统向供应商发布“澄清要求函”，接到“澄清要求函”的供应商应当按要求在规定时间内通过“苏采云”系统提交“澄清响应函”并加盖CA电子公章，澄清、说明和补充的内容作为响应文件的补充部分。</w:t>
      </w:r>
      <w:r>
        <w:rPr>
          <w:rFonts w:hint="eastAsia" w:cs="宋体"/>
          <w:color w:val="auto"/>
          <w:sz w:val="21"/>
          <w:szCs w:val="21"/>
          <w:highlight w:val="none"/>
        </w:rPr>
        <w:t>(</w:t>
      </w:r>
      <w:r>
        <w:rPr>
          <w:rFonts w:hint="eastAsia" w:cs="宋体"/>
          <w:b/>
          <w:color w:val="auto"/>
          <w:sz w:val="21"/>
          <w:szCs w:val="21"/>
          <w:highlight w:val="none"/>
        </w:rPr>
        <w:t>此处规定时间的计算以系统中的倒计时间为准，供应商应随时保持系统在线，如因供应商自身原因未在规定时间内提交澄清确认资料的，导致的不利后果由供应商自行承担。</w:t>
      </w:r>
    </w:p>
    <w:p w14:paraId="5A3663F0">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8、对于通过资格审查和符合性审查的供应商，磋商小组所有成员集中与单一供应商分别进行磋商，并给予所有参加磋商的供应商平等的磋商机会。</w:t>
      </w:r>
      <w:r>
        <w:rPr>
          <w:rFonts w:hint="eastAsia" w:ascii="宋体" w:hAnsi="宋体" w:eastAsia="宋体" w:cs="宋体"/>
          <w:b/>
          <w:color w:val="auto"/>
          <w:sz w:val="21"/>
          <w:szCs w:val="21"/>
          <w:highlight w:val="none"/>
        </w:rPr>
        <w:t>磋商小组通过“苏采云”系统向供应商发布“磋商函”，供应商应当按照要求在“苏采云”系统提交“磋商响应函”并加盖CA电子公章。</w:t>
      </w:r>
    </w:p>
    <w:p w14:paraId="66B1AF46">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在磋商过程中，磋商小组可以根据采购文件和磋商情况实质性变动采购需求中的技术、服务要求以及合同草案条款。对采购文件做出的实质性变动是采购文件的有效组成部分，磋商小组将在“苏采云”系统中同时通知所有参加磋商的供应商，供应商应当按照磋商文件的变动情况和磋商小组的要求在“苏采云”系统中重新提交响应文件，并加盖CA电子公章。</w:t>
      </w:r>
    </w:p>
    <w:p w14:paraId="77C0364F">
      <w:pPr>
        <w:pStyle w:val="12"/>
        <w:spacing w:line="360" w:lineRule="auto"/>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b/>
          <w:color w:val="auto"/>
          <w:sz w:val="21"/>
          <w:szCs w:val="21"/>
          <w:highlight w:val="none"/>
        </w:rPr>
        <w:t>磋商结束后，磋商小组将在“苏采云”系统向所有实质性响应的供应商发布“最后报价要求函”及最后报价格式表，要求所有实质性响应的供应商在规定时间内提交最后报价。</w:t>
      </w:r>
      <w:r>
        <w:rPr>
          <w:rFonts w:hint="eastAsia" w:ascii="宋体" w:hAnsi="宋体" w:eastAsia="宋体" w:cs="宋体"/>
          <w:color w:val="auto"/>
          <w:sz w:val="21"/>
          <w:szCs w:val="21"/>
          <w:highlight w:val="none"/>
        </w:rPr>
        <w:t>最后报价作为评审报价。提交最后报价的供应商不得少于3家（符合《政府采购竞争性磋商采购方式管理暂行办法》第三条第（一）、第（四）项情形的，即政府购买服务项目（含政府和社会资本合作项目）；市场竞争不充分的科研项目，以及需要扶持的科技成果转化项目，为不得少于2家）。</w:t>
      </w:r>
      <w:r>
        <w:rPr>
          <w:rFonts w:hint="eastAsia" w:ascii="宋体" w:hAnsi="宋体" w:eastAsia="宋体" w:cs="宋体"/>
          <w:b/>
          <w:bCs/>
          <w:color w:val="auto"/>
          <w:sz w:val="21"/>
          <w:szCs w:val="21"/>
          <w:highlight w:val="none"/>
        </w:rPr>
        <w:t>除因磋商采购文件修改导致供应商成本增加的，最后报价不得高于第一次报价，否则为无效响应报价。</w:t>
      </w:r>
    </w:p>
    <w:p w14:paraId="6DC0100F">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供应商未在磋商小组规定的时间内在“苏采云”系统中提交最后报价的视为放弃磋商，其响应文件按无效响应处理，最后报价格式表须加盖CA电子公章,否则视为未提交最后报价。（此处规定时间的计算以系统中的倒计时间为准，系统中的线上最后报价只有一次机会，提交后无法撤回，请供应商慎重提交）</w:t>
      </w:r>
    </w:p>
    <w:p w14:paraId="1E773DF3">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已提交响应文件的供应商，在提交最后报价之前，可以根据磋商情况退出磋商，并在“苏采云”系统中提交“退出磋商函”并加盖CA电子公章。</w:t>
      </w:r>
    </w:p>
    <w:p w14:paraId="4279930C">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*进入项目评审流程后，建议各供应商法定代表人或授权委托人始终保持通讯顺畅，时刻关注不见面开标大厅，不离开不见面开标大厅。</w:t>
      </w:r>
    </w:p>
    <w:p w14:paraId="3A0DFCFD">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12、经磋商确定最终采购需求和提交最后报价的供应商后，由磋商小组采用综合评分法对提交最后报价的供应商的响应文件和最后报价进行综合评分。</w:t>
      </w:r>
    </w:p>
    <w:p w14:paraId="1E3E4BA6">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13、磋商小组根据磋商成交原则确定成交供应商，并将结果通知所有参加磋商的供应商。</w:t>
      </w:r>
    </w:p>
    <w:p w14:paraId="2A532011">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14、如磋商过程中出现本采购文件未尽事宜，由磋商小组根据政府采购有关法律、法规讨论决定。</w:t>
      </w:r>
    </w:p>
    <w:p w14:paraId="77CF8E6B">
      <w:pPr>
        <w:spacing w:line="360" w:lineRule="auto"/>
        <w:ind w:firstLine="422"/>
        <w:outlineLvl w:val="1"/>
        <w:rPr>
          <w:rFonts w:ascii="宋体" w:hAnsi="宋体" w:cs="宋体"/>
          <w:b/>
          <w:color w:val="auto"/>
          <w:szCs w:val="21"/>
          <w:highlight w:val="none"/>
        </w:rPr>
      </w:pPr>
      <w:r>
        <w:rPr>
          <w:rFonts w:hint="eastAsia" w:ascii="宋体" w:hAnsi="宋体" w:cs="宋体"/>
          <w:b/>
          <w:color w:val="auto"/>
          <w:szCs w:val="21"/>
          <w:highlight w:val="none"/>
        </w:rPr>
        <w:t>七、综合说明</w:t>
      </w:r>
    </w:p>
    <w:p w14:paraId="753CE0A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磋商响应报价包括完成本次猪肉的提供、包装、仓储、运输、网点维护、水电费、利润、税金、政策性文件规定及合同包含的所有风险、责任等各项应有费用。磋商最后报价为最终报价，且总价固定，除非因特殊原因并经双方协商同意，成交单位不得再要求追加任何费用。同时，除非合同条款中另有规定，否则，成交单位所报价格在合同实施期间不因市场变化因素而变动。磋商响应单位未填价格的项目，在实施后，采购单位将不予支付，并视为该项费用已包括磋商总报价中。磋商最后报价为最终报价，除非因特殊原因并经双方协商同意，成交单位不得再要求追加任何费用。</w:t>
      </w:r>
    </w:p>
    <w:p w14:paraId="295A453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2、磋商响应单位必须说明其是否响应采购文件中提出的全部服务内容与要求，如果以其中某些条款不响应时，应在文件中逐条列出，未列出的视同响应。</w:t>
      </w:r>
    </w:p>
    <w:p w14:paraId="29C3373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3、磋商保证金：</w:t>
      </w:r>
    </w:p>
    <w:p w14:paraId="4629C834">
      <w:pPr>
        <w:spacing w:line="360" w:lineRule="auto"/>
        <w:ind w:firstLine="422"/>
        <w:rPr>
          <w:rStyle w:val="249"/>
          <w:rFonts w:ascii="宋体" w:hAnsi="宋体" w:cs="宋体"/>
          <w:b/>
          <w:color w:val="auto"/>
          <w:szCs w:val="21"/>
          <w:highlight w:val="none"/>
        </w:rPr>
      </w:pPr>
      <w:r>
        <w:rPr>
          <w:rStyle w:val="249"/>
          <w:rFonts w:ascii="Wingdings" w:hAnsi="Wingdings" w:eastAsia="Wingdings" w:cs="Wingdings"/>
          <w:b/>
          <w:color w:val="auto"/>
          <w:szCs w:val="21"/>
          <w:highlight w:val="none"/>
        </w:rPr>
        <w:t>þ</w:t>
      </w:r>
      <w:r>
        <w:rPr>
          <w:rStyle w:val="249"/>
          <w:rFonts w:hint="eastAsia" w:ascii="宋体" w:hAnsi="宋体" w:cs="宋体"/>
          <w:b/>
          <w:color w:val="auto"/>
          <w:szCs w:val="21"/>
          <w:highlight w:val="none"/>
        </w:rPr>
        <w:t>不需提交，采购文件中有关磋商保证金的规定均不适用。投标（响应）人应在投标（响应）文件中提交《投标（响应）保证承诺书》（详见附件），否则为无效投标。</w:t>
      </w:r>
    </w:p>
    <w:p w14:paraId="47E39B72">
      <w:pPr>
        <w:spacing w:line="360" w:lineRule="auto"/>
        <w:ind w:firstLine="420"/>
        <w:rPr>
          <w:rFonts w:ascii="宋体" w:hAnsi="宋体" w:cs="宋体"/>
          <w:color w:val="auto"/>
          <w:highlight w:val="none"/>
        </w:rPr>
      </w:pPr>
      <w:r>
        <w:rPr>
          <w:rFonts w:hint="eastAsia" w:ascii="宋体" w:hAnsi="宋体" w:cs="宋体"/>
          <w:bCs/>
          <w:color w:val="auto"/>
          <w:szCs w:val="21"/>
          <w:highlight w:val="none"/>
        </w:rPr>
        <w:t>4、成交服务费：</w:t>
      </w:r>
      <w:r>
        <w:rPr>
          <w:rStyle w:val="249"/>
          <w:rFonts w:hint="eastAsia" w:ascii="宋体" w:hAnsi="宋体" w:cs="宋体"/>
          <w:color w:val="auto"/>
          <w:szCs w:val="21"/>
          <w:highlight w:val="none"/>
        </w:rPr>
        <w:t>由成交单位按照预算金额计算并支付，具体为100万元以内1.5%、100万元～500万元以内1.1%差额定率累进法计算并支付成交服务费，该费用应在领取成交通知书时付清。本项目成交服务费金额人民币叁万肆仟陆佰壹拾叁元整</w:t>
      </w:r>
      <w:r>
        <w:rPr>
          <w:rFonts w:hint="eastAsia" w:ascii="宋体" w:hAnsi="宋体" w:cs="宋体"/>
          <w:color w:val="auto"/>
          <w:szCs w:val="21"/>
          <w:highlight w:val="none"/>
        </w:rPr>
        <w:t>。</w:t>
      </w:r>
    </w:p>
    <w:p w14:paraId="4A5FCC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服务费交纳账户：苏州市创杰招投标咨询服务有限公司 </w:t>
      </w:r>
    </w:p>
    <w:p w14:paraId="1E7F348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开户银行：江苏银行苏州金阊支行  </w:t>
      </w:r>
    </w:p>
    <w:p w14:paraId="38EBB67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账    号：30100188000004892</w:t>
      </w:r>
    </w:p>
    <w:p w14:paraId="359C2182">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5、磋商说明：</w:t>
      </w:r>
    </w:p>
    <w:p w14:paraId="252EA69C">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（1）不符合供应商资格要求的响应文件将被拒绝；</w:t>
      </w:r>
    </w:p>
    <w:p w14:paraId="0912ACF9">
      <w:pPr>
        <w:spacing w:line="360" w:lineRule="auto"/>
        <w:ind w:firstLine="420"/>
        <w:rPr>
          <w:rFonts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b/>
          <w:color w:val="auto"/>
          <w:szCs w:val="21"/>
          <w:highlight w:val="none"/>
        </w:rPr>
        <w:t>机器码检查中，不同供应商使用同一台电脑编制响应文件的，响应文件将被认定为无效响应；</w:t>
      </w:r>
    </w:p>
    <w:p w14:paraId="0C753463">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（3）最终报价超过采购预算或最高限价的，不能成交；</w:t>
      </w:r>
    </w:p>
    <w:p w14:paraId="368B9AA8">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（4）不实质性响应磋商文件的不能成交；</w:t>
      </w:r>
    </w:p>
    <w:p w14:paraId="6271F5BE">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参加磋商响应响应单位不足三家，或者实质性响应磋商文件不满三家或二次报价在采购预算内不满三家的（符合《政府采购竞争性磋商采购方式管理暂行办法》第三条第（一）、第（四）项情形的，即政府购买服务项目（含政府和社会资本合作项目）；市场竞争不充分的科研项目，以及需要扶持的科技成果转化项目，为不得少于二家），磋商采购失败</w:t>
      </w:r>
      <w:r>
        <w:rPr>
          <w:rFonts w:hint="eastAsia" w:ascii="宋体" w:hAnsi="宋体" w:cs="宋体"/>
          <w:bCs/>
          <w:color w:val="auto"/>
          <w:szCs w:val="21"/>
          <w:highlight w:val="none"/>
        </w:rPr>
        <w:t>。</w:t>
      </w:r>
    </w:p>
    <w:p w14:paraId="2E8BBFF9">
      <w:pPr>
        <w:spacing w:line="360" w:lineRule="auto"/>
        <w:ind w:firstLine="420"/>
        <w:jc w:val="left"/>
        <w:rPr>
          <w:rFonts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最终合同单价按最终总报价同比例下浮。</w:t>
      </w:r>
    </w:p>
    <w:p w14:paraId="207EBF14">
      <w:pPr>
        <w:spacing w:line="360" w:lineRule="auto"/>
        <w:ind w:firstLine="420"/>
        <w:rPr>
          <w:rFonts w:ascii="宋体" w:hAnsi="宋体" w:cs="宋体"/>
          <w:b/>
          <w:bCs/>
          <w:color w:val="auto"/>
          <w:szCs w:val="21"/>
          <w:highlight w:val="none"/>
        </w:rPr>
      </w:pPr>
      <w:r>
        <w:rPr>
          <w:rFonts w:hint="eastAsia" w:ascii="宋体" w:hAnsi="宋体" w:cs="宋体"/>
          <w:bCs/>
          <w:color w:val="auto"/>
          <w:szCs w:val="21"/>
          <w:highlight w:val="none"/>
        </w:rPr>
        <w:t>6、</w:t>
      </w:r>
      <w:r>
        <w:rPr>
          <w:rFonts w:hint="eastAsia" w:ascii="宋体" w:hAnsi="宋体" w:cs="宋体"/>
          <w:b/>
          <w:color w:val="auto"/>
          <w:szCs w:val="21"/>
          <w:highlight w:val="none"/>
        </w:rPr>
        <w:t>联合投标：</w:t>
      </w:r>
      <w:r>
        <w:rPr>
          <w:rFonts w:hint="eastAsia" w:ascii="宋体" w:hAnsi="宋体" w:cs="宋体"/>
          <w:b/>
          <w:bCs/>
          <w:color w:val="auto"/>
          <w:szCs w:val="21"/>
          <w:highlight w:val="none"/>
          <w:lang w:val="zh-CN"/>
        </w:rPr>
        <w:t>本项目不接受联合投标。</w:t>
      </w:r>
    </w:p>
    <w:p w14:paraId="48C56F67">
      <w:pPr>
        <w:pStyle w:val="247"/>
        <w:numPr>
          <w:ilvl w:val="0"/>
          <w:numId w:val="3"/>
        </w:numPr>
        <w:tabs>
          <w:tab w:val="left" w:pos="993"/>
        </w:tabs>
        <w:spacing w:line="360" w:lineRule="auto"/>
        <w:ind w:left="-4" w:firstLine="424"/>
        <w:rPr>
          <w:rFonts w:ascii="宋体" w:hAnsi="宋体" w:cs="宋体"/>
          <w:color w:val="auto"/>
          <w:szCs w:val="21"/>
          <w:highlight w:val="none"/>
          <w:lang w:val="zh-CN"/>
        </w:rPr>
      </w:pPr>
      <w:r>
        <w:rPr>
          <w:rFonts w:hint="eastAsia" w:ascii="宋体" w:hAnsi="宋体" w:cs="宋体"/>
          <w:color w:val="auto"/>
          <w:szCs w:val="21"/>
          <w:highlight w:val="none"/>
          <w:lang w:val="zh-CN"/>
        </w:rPr>
        <w:t>两个以上的自然人、法人或者其他组织可以组成一个联合体，以一个供应商的身份共同参加政府采购。以联合体形式进行政府采购的，参加联合体的供应商均应当具备中华人民共和国政府采购法第二十二条规定的条件。以联合体形式参加政府采购活动的，联合体各方不得再单独参加或者与其他供应商另外组成联合体参加同一合同项下的政府采购活动。</w:t>
      </w:r>
    </w:p>
    <w:p w14:paraId="42EE1095">
      <w:pPr>
        <w:pStyle w:val="247"/>
        <w:numPr>
          <w:ilvl w:val="0"/>
          <w:numId w:val="3"/>
        </w:numPr>
        <w:tabs>
          <w:tab w:val="left" w:pos="993"/>
        </w:tabs>
        <w:spacing w:line="360" w:lineRule="auto"/>
        <w:ind w:left="-4" w:firstLine="424"/>
        <w:rPr>
          <w:rFonts w:ascii="宋体" w:hAnsi="宋体" w:cs="宋体"/>
          <w:color w:val="auto"/>
          <w:szCs w:val="21"/>
          <w:highlight w:val="none"/>
          <w:lang w:val="zh-CN"/>
        </w:rPr>
      </w:pPr>
      <w:r>
        <w:rPr>
          <w:rFonts w:hint="eastAsia" w:ascii="宋体" w:hAnsi="宋体" w:cs="宋体"/>
          <w:color w:val="auto"/>
          <w:szCs w:val="21"/>
          <w:highlight w:val="none"/>
          <w:lang w:val="zh-CN"/>
        </w:rPr>
        <w:t>联合体各方应签订联合投标协议（详见统一格式)，明确联合体的牵头人，明确约定各方拟承担的工作和责任，并将该联合投标协议随响应文件一并提交给招标代理机构。联合体牵头人应被授权作为联合体所有成员的代表承担责任和接受指令，并负责整个合同的全面履行。</w:t>
      </w:r>
    </w:p>
    <w:p w14:paraId="3F024949">
      <w:pPr>
        <w:pStyle w:val="247"/>
        <w:numPr>
          <w:ilvl w:val="0"/>
          <w:numId w:val="3"/>
        </w:numPr>
        <w:tabs>
          <w:tab w:val="left" w:pos="993"/>
        </w:tabs>
        <w:spacing w:line="360" w:lineRule="auto"/>
        <w:ind w:left="-4" w:firstLine="424"/>
        <w:rPr>
          <w:rFonts w:ascii="宋体" w:hAnsi="宋体" w:cs="宋体"/>
          <w:color w:val="auto"/>
          <w:szCs w:val="21"/>
          <w:highlight w:val="none"/>
          <w:lang w:val="zh-CN"/>
        </w:rPr>
      </w:pPr>
      <w:r>
        <w:rPr>
          <w:rFonts w:hint="eastAsia" w:ascii="宋体" w:hAnsi="宋体" w:cs="宋体"/>
          <w:color w:val="auto"/>
          <w:szCs w:val="21"/>
          <w:highlight w:val="none"/>
          <w:lang w:val="zh-CN"/>
        </w:rPr>
        <w:t>联合体各方共同与采购人签订合同，就采购合同约定的事项对采购人承担连带责任。</w:t>
      </w:r>
    </w:p>
    <w:p w14:paraId="0B8A7B31">
      <w:pPr>
        <w:pStyle w:val="247"/>
        <w:numPr>
          <w:ilvl w:val="0"/>
          <w:numId w:val="3"/>
        </w:numPr>
        <w:tabs>
          <w:tab w:val="left" w:pos="993"/>
        </w:tabs>
        <w:spacing w:line="360" w:lineRule="auto"/>
        <w:ind w:left="-4" w:firstLine="424"/>
        <w:rPr>
          <w:rFonts w:ascii="宋体" w:hAnsi="宋体" w:cs="宋体"/>
          <w:color w:val="auto"/>
          <w:szCs w:val="21"/>
          <w:highlight w:val="none"/>
          <w:lang w:val="zh-CN"/>
        </w:rPr>
      </w:pPr>
      <w:r>
        <w:rPr>
          <w:rFonts w:hint="eastAsia" w:ascii="宋体" w:hAnsi="宋体" w:cs="宋体"/>
          <w:color w:val="auto"/>
          <w:szCs w:val="21"/>
          <w:highlight w:val="none"/>
          <w:lang w:val="zh-CN"/>
        </w:rPr>
        <w:t>除非另有规定或说明，本文中“响应单位”一词亦指联合体各成员。</w:t>
      </w:r>
    </w:p>
    <w:p w14:paraId="5F9B25E7">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7、凡涉及磋商采购文件的补充说明和修改，均以苏州政府采购网上发布的通知为准。</w:t>
      </w:r>
    </w:p>
    <w:p w14:paraId="110155ED">
      <w:pPr>
        <w:spacing w:line="360" w:lineRule="auto"/>
        <w:ind w:firstLine="420"/>
        <w:rPr>
          <w:rFonts w:ascii="宋体" w:hAnsi="宋体" w:cs="宋体"/>
          <w:color w:val="auto"/>
          <w:szCs w:val="21"/>
          <w:highlight w:val="none"/>
        </w:rPr>
      </w:pPr>
      <w:r>
        <w:rPr>
          <w:rFonts w:hint="eastAsia" w:ascii="宋体" w:hAnsi="宋体" w:cs="宋体"/>
          <w:bCs/>
          <w:color w:val="auto"/>
          <w:szCs w:val="21"/>
          <w:highlight w:val="none"/>
        </w:rPr>
        <w:t>8、</w:t>
      </w:r>
      <w:r>
        <w:rPr>
          <w:rFonts w:hint="eastAsia" w:ascii="宋体" w:hAnsi="宋体" w:cs="宋体"/>
          <w:b/>
          <w:bCs/>
          <w:color w:val="auto"/>
          <w:szCs w:val="21"/>
          <w:highlight w:val="none"/>
        </w:rPr>
        <w:t>关于对参与供应商信用记录的政府采购要求</w:t>
      </w:r>
      <w:r>
        <w:rPr>
          <w:rFonts w:hint="eastAsia" w:ascii="宋体" w:hAnsi="宋体" w:cs="宋体"/>
          <w:color w:val="auto"/>
          <w:szCs w:val="21"/>
          <w:highlight w:val="none"/>
        </w:rPr>
        <w:t>：</w:t>
      </w:r>
    </w:p>
    <w:p w14:paraId="1A3E3ED1">
      <w:pPr>
        <w:tabs>
          <w:tab w:val="left" w:pos="42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（1）采购代理机构会在接收响应文件截止时间后，登录信用中国网站（www.creditchina.gov.cn/）和中国政府采购网（www.ccgp.gov.cn/）查询供应商的信用记录，并将查询结果递交评审小组。</w:t>
      </w:r>
    </w:p>
    <w:p w14:paraId="50E37605">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30E617EF">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6332052">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（3）供应商若在经营活动中受到罚款的，请携带相关地方、部门对较大数额认定标准的证明材料，与响应文件一并提交。若无法提供，则可能承担响应无效等相应不利后果。</w:t>
      </w:r>
    </w:p>
    <w:p w14:paraId="429B6E66">
      <w:pPr>
        <w:tabs>
          <w:tab w:val="left" w:pos="42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（4）对存在失信信息的供应商，由失信供应商进行确认。同时，采购代理机构工作人员应根据评审小组确认的失信信息，登</w:t>
      </w:r>
      <w:r>
        <w:rPr>
          <w:rFonts w:hint="eastAsia" w:ascii="宋体" w:hAnsi="宋体" w:cs="宋体"/>
          <w:color w:val="auto"/>
          <w:szCs w:val="21"/>
          <w:highlight w:val="none"/>
          <w:lang w:val="en-US" w:eastAsia="zh-CN"/>
        </w:rPr>
        <w:t>录</w:t>
      </w:r>
      <w:r>
        <w:rPr>
          <w:rFonts w:hint="eastAsia" w:ascii="宋体" w:hAnsi="宋体" w:cs="宋体"/>
          <w:color w:val="auto"/>
          <w:szCs w:val="21"/>
          <w:highlight w:val="none"/>
        </w:rPr>
        <w:t>到相关来源网站页面进行复核并打印，作为证据留存。</w:t>
      </w:r>
    </w:p>
    <w:p w14:paraId="6EE644A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（5）按照《中华人民共和国政府采购法》第二十二条规定，下列信用记录属于应依法拒绝供应商参加政府采购的失信信息：</w:t>
      </w:r>
    </w:p>
    <w:p w14:paraId="0DE43EE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（一）政府采购严重违法记录，即供应商被全国各级财政部门列入“政府采购严重违法失信行为记录名单”，且在处罚有效期内的。</w:t>
      </w:r>
    </w:p>
    <w:p w14:paraId="4FBB1BA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（二）财政部门与法院、工商、税务等部门联合惩戒的失信信息，包括：</w:t>
      </w:r>
    </w:p>
    <w:p w14:paraId="16410C0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1）被列入失信被执行人名单；</w:t>
      </w:r>
    </w:p>
    <w:p w14:paraId="3600935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2）被列入重大税收违法案件当事人名单；</w:t>
      </w:r>
    </w:p>
    <w:p w14:paraId="2B4B06C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企业经营异常名录中被责令停产停业、暂扣或者吊销许可证或者执照，或者对经营活动中的违法行为处以较大数额罚款（“较大数额罚款”认定为200万元以上的罚款，法律、行政法规以及国务院有关部门明确规定相关领域“较大数额罚款”标准高于200万元的，从其规定）的信用记录。处罚生效日至递交（响应）文件日未满三年的。</w:t>
      </w:r>
    </w:p>
    <w:p w14:paraId="55F9A3C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9、告知成交结果</w:t>
      </w:r>
    </w:p>
    <w:p w14:paraId="5D670945">
      <w:pPr>
        <w:spacing w:line="360" w:lineRule="auto"/>
        <w:ind w:firstLine="420"/>
        <w:rPr>
          <w:rFonts w:ascii="宋体" w:hAnsi="宋体" w:cs="宋体"/>
          <w:color w:val="auto"/>
          <w:highlight w:val="none"/>
        </w:rPr>
      </w:pPr>
      <w:r>
        <w:rPr>
          <w:rFonts w:hint="eastAsia" w:ascii="宋体" w:hAnsi="宋体" w:cs="宋体"/>
          <w:color w:val="auto"/>
          <w:highlight w:val="none"/>
        </w:rPr>
        <w:t>采购单位或其委托的代理机构根据相关规定发布成交公告，成交公告发出的同时应当向成交供应商发出《成交通知书》</w:t>
      </w:r>
      <w:bookmarkStart w:id="4" w:name="_Hlk132385599"/>
      <w:bookmarkStart w:id="5" w:name="_Hlk132389804"/>
      <w:bookmarkStart w:id="6" w:name="_Hlk132385577"/>
      <w:r>
        <w:rPr>
          <w:rFonts w:hint="eastAsia" w:ascii="宋体" w:hAnsi="宋体" w:cs="宋体"/>
          <w:color w:val="auto"/>
          <w:highlight w:val="none"/>
        </w:rPr>
        <w:t>。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bookmarkEnd w:id="4"/>
      <w:bookmarkEnd w:id="5"/>
      <w:bookmarkEnd w:id="6"/>
      <w:r>
        <w:rPr>
          <w:rFonts w:hint="eastAsia" w:ascii="宋体" w:hAnsi="宋体" w:cs="宋体"/>
          <w:color w:val="auto"/>
          <w:highlight w:val="none"/>
        </w:rPr>
        <w:t>对未通过资格审查的供应商，应当告知其未通过的原因；未成交供应商须在成交公告发出之日起2个工作日内向采购代理机构另行提供用以接收《未成交通知书》的电子邮件地址，未按时提供电子邮件地址或提供信息有误的，视为自动放弃并自行承担相应后果。</w:t>
      </w:r>
    </w:p>
    <w:p w14:paraId="378C4EB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10、成交供应商除发生法律规定的不能预见、不能避免并不能克服的客观情况外不得放弃或拒绝签订合同的。放弃或拒绝签订合同的，采购人视情将其通报给财政部门。</w:t>
      </w:r>
    </w:p>
    <w:p w14:paraId="03CC11F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11、采购合同履行中，采购人需追加与合同标的相同的服务的，在不改变合同其他条款的前提下，可以与成交供应商协商签订补充合同，但所有补充合同的项目金额不得超过原合同项目金额的百分之十。</w:t>
      </w:r>
    </w:p>
    <w:p w14:paraId="0F9545D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12、成交供应商拒绝签订采购合同的，或因不可抗力或者自身原因不能履行采购合同的，采购人可以视情与排位在成交供应商之后第一位的成交候选供应商签订采购合同，也可以重新开展招标活动。</w:t>
      </w:r>
    </w:p>
    <w:p w14:paraId="086A188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13、质疑处理</w:t>
      </w:r>
    </w:p>
    <w:p w14:paraId="1E92E61A">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供应商认为采购文件、采购过程或成交结果使自己的权益受到损害的，可以在知道或者应知其权益受到损害之日起7个工作日内，以书面形式向采购人、采购代理机构提出质疑。采购代理机构应当在收到供应商书面质疑后7个工作日内作出答复。</w:t>
      </w:r>
    </w:p>
    <w:p w14:paraId="3491BE50">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13.2本次采购文件要求供应商在法定质疑期内一次性提出针对同一采购程序环节的质疑。</w:t>
      </w:r>
    </w:p>
    <w:p w14:paraId="3BA089A2">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13.3供应商提出质疑应当提交质疑函和必要的证明材料，质疑函应当包括下列内容：</w:t>
      </w:r>
    </w:p>
    <w:p w14:paraId="10941E6D">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（1）供应商的姓名或者名称（以提供的营业执照副本复印件为准）、地址、邮编、联系人及联系电话；</w:t>
      </w:r>
    </w:p>
    <w:p w14:paraId="5A9066C8">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0820FF0E">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0B392B4E">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01520C22">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701DD883">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31D4B0AA">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供应商为自然人的，应当由本人签字；供应商为法人或者其他组织的，应当由法定代表人、主要负责人，或者其授权代表签字或者盖章，并加盖公章。供应商委托代理进行质疑的，其</w:t>
      </w:r>
      <w:r>
        <w:rPr>
          <w:rFonts w:hint="eastAsia" w:ascii="宋体" w:hAnsi="宋体" w:eastAsia="宋体" w:cs="宋体"/>
          <w:b/>
          <w:color w:val="auto"/>
          <w:sz w:val="21"/>
          <w:szCs w:val="21"/>
          <w:highlight w:val="none"/>
        </w:rPr>
        <w:t>授权委托书</w:t>
      </w:r>
      <w:r>
        <w:rPr>
          <w:rFonts w:hint="eastAsia" w:ascii="宋体" w:hAnsi="宋体" w:eastAsia="宋体" w:cs="宋体"/>
          <w:color w:val="auto"/>
          <w:sz w:val="21"/>
          <w:szCs w:val="21"/>
          <w:highlight w:val="none"/>
        </w:rPr>
        <w:t>上应当载明代理人的姓名或者名称、代理事项、具体权限、期限和相关事项。</w:t>
      </w:r>
    </w:p>
    <w:p w14:paraId="1D7E1FC9">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供应商提交的质疑函必须按照《政府采购供应商质疑函范本》要求的格式和内容进行填写，质疑函范本下载网址详见链接：https://czju.suzhou.gov.cn/zfcg/html/content/20180305093615738.shtml</w:t>
      </w:r>
      <w:r>
        <w:rPr>
          <w:rFonts w:hint="eastAsia" w:ascii="宋体" w:hAnsi="宋体" w:eastAsia="宋体" w:cs="宋体"/>
          <w:color w:val="auto"/>
          <w:sz w:val="21"/>
          <w:szCs w:val="21"/>
          <w:highlight w:val="none"/>
        </w:rPr>
        <w:t>。</w:t>
      </w:r>
    </w:p>
    <w:p w14:paraId="389B8024">
      <w:pPr>
        <w:pStyle w:val="12"/>
        <w:spacing w:line="360" w:lineRule="auto"/>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13.4根据《政府采购质疑和投诉办法》（财政部第94号令）第十一条规定，提出质疑的供应商应当是参与所质疑项目采购活动的供应商。因此凡是对采购文件提出质疑的供应商，必须是依法获取采购文件，请将合法获取采购文件的证明材料（即</w:t>
      </w:r>
      <w:r>
        <w:rPr>
          <w:rFonts w:hint="eastAsia" w:ascii="宋体" w:hAnsi="宋体" w:eastAsia="宋体" w:cs="宋体"/>
          <w:b/>
          <w:color w:val="auto"/>
          <w:sz w:val="21"/>
          <w:szCs w:val="21"/>
          <w:highlight w:val="none"/>
        </w:rPr>
        <w:t>《投标供应商确认函》</w:t>
      </w:r>
      <w:r>
        <w:rPr>
          <w:rFonts w:hint="eastAsia" w:ascii="宋体" w:hAnsi="宋体" w:eastAsia="宋体" w:cs="宋体"/>
          <w:color w:val="auto"/>
          <w:sz w:val="21"/>
          <w:szCs w:val="21"/>
          <w:highlight w:val="none"/>
        </w:rPr>
        <w:t>）与质疑函一起递交，否则不予受理。</w:t>
      </w:r>
    </w:p>
    <w:p w14:paraId="4456164E">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13.5接收质疑函的方式：书面形式（当场送达或邮寄方式）</w:t>
      </w:r>
    </w:p>
    <w:p w14:paraId="61194F47">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质疑联系人：路丽丽</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潘莉莉  朱晓芹    施紫秋</w:t>
      </w:r>
    </w:p>
    <w:p w14:paraId="68EABD1B">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联系电话：0512-65238816</w:t>
      </w:r>
    </w:p>
    <w:p w14:paraId="0880F5F3">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现场递交地址:苏州市干将西路399号银海大厦303室</w:t>
      </w:r>
    </w:p>
    <w:p w14:paraId="2B9CD3FB">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邮寄收取地址:苏州市干将西路399号银海大厦303室</w:t>
      </w:r>
    </w:p>
    <w:p w14:paraId="35353AE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14、相关政策（如涉及）</w:t>
      </w:r>
    </w:p>
    <w:p w14:paraId="0173702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本次招标不接受进口设备的投标，进口产品的定义为：指通过中国海关报关验收进入中国境内且产自境外的产品，具体按照苏财购〔2008〕14号江苏省财政厅转发财政部办公厅关于政府采购进口产品管理有关问题的通知的规定。本项目为服务类，不涉及该项。</w:t>
      </w:r>
    </w:p>
    <w:p w14:paraId="5F3D058A">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（2）中、小、微企业</w:t>
      </w:r>
    </w:p>
    <w:p w14:paraId="60A49030">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根据《政府采购促进中小企业发展管理办法》（财库〔2020〕46号）、《关于做好政府采购支持企业发展有关事项的通知》（苏财购〔2020〕52号）及《关于印发&lt;苏州市政府采购促进中小企业发展实施意见&gt;的通知》（苏财购〔2022〕16号）的相关规定，如供应商认定本企业提供的货物、工程或服务符合上述文件规定情形，可以享受中小企业扶持政策的，则需根据《中小企业划型标准规定》（工信部联企业〔2011〕300号）提交《中小企业声明函》并加盖公章，小型企业、微型企业的</w:t>
      </w:r>
      <w:r>
        <w:rPr>
          <w:rFonts w:hint="eastAsia" w:ascii="宋体" w:hAnsi="宋体" w:cs="宋体"/>
          <w:color w:val="auto"/>
          <w:szCs w:val="21"/>
          <w:highlight w:val="none"/>
        </w:rPr>
        <w:t>投标报价扣除20%后参与评审。</w:t>
      </w:r>
      <w:r>
        <w:rPr>
          <w:rFonts w:hint="eastAsia" w:ascii="宋体" w:hAnsi="宋体" w:cs="宋体"/>
          <w:b/>
          <w:color w:val="auto"/>
          <w:highlight w:val="none"/>
        </w:rPr>
        <w:t>《中小企业声明函》中所填的行业应与本采购标的对应的中小企业划分标准所属行业一致，未提交声明函或所提交的声明函中行业与本采购标的对应的中小企业划分标准所属行业不一致不享受相关政策。</w:t>
      </w:r>
    </w:p>
    <w:p w14:paraId="2F993272">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在政府采购活动中，供应商提供的服务符合下列情形的，享受《政府采购促进中小企业发展管理办法》规定的中小企业扶持政策：</w:t>
      </w:r>
    </w:p>
    <w:p w14:paraId="379F3FD7">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在服务采购项目中，服务由中小企业承接，即提供服务的人员为中小企业依照《中华人民共和国劳动合同法》订立劳动合同的从业人员。</w:t>
      </w:r>
      <w:r>
        <w:rPr>
          <w:rFonts w:hint="eastAsia" w:ascii="宋体" w:hAnsi="宋体" w:cs="宋体"/>
          <w:b/>
          <w:color w:val="auto"/>
          <w:szCs w:val="21"/>
          <w:highlight w:val="none"/>
        </w:rPr>
        <w:t>服务类项目中供应商若使用退休人员，将不享受相关扶持政策。</w:t>
      </w:r>
    </w:p>
    <w:p w14:paraId="73E7C0D2">
      <w:pPr>
        <w:tabs>
          <w:tab w:val="left" w:pos="567"/>
        </w:tabs>
        <w:spacing w:line="360" w:lineRule="auto"/>
        <w:ind w:firstLine="420"/>
        <w:rPr>
          <w:rFonts w:ascii="宋体" w:hAnsi="宋体" w:cs="宋体"/>
          <w:b/>
          <w:bCs/>
          <w:color w:val="auto"/>
          <w:szCs w:val="21"/>
          <w:highlight w:val="none"/>
        </w:rPr>
      </w:pPr>
      <w:r>
        <w:rPr>
          <w:rFonts w:hint="eastAsia" w:ascii="宋体" w:hAnsi="宋体" w:cs="宋体"/>
          <w:color w:val="auto"/>
          <w:szCs w:val="21"/>
          <w:highlight w:val="none"/>
        </w:rPr>
        <w:t>在货物采购项目中，货物由中小企业制造，即货物由中小企业生产且使用该中小企业商号或者注册商标。</w:t>
      </w:r>
      <w:r>
        <w:rPr>
          <w:rFonts w:hint="eastAsia" w:ascii="宋体" w:hAnsi="宋体" w:cs="宋体"/>
          <w:b/>
          <w:bCs/>
          <w:color w:val="auto"/>
          <w:szCs w:val="21"/>
          <w:highlight w:val="none"/>
        </w:rPr>
        <w:t>其中，供应商提供的货物既有中小企业制造货物，也有大型企业制造货物的，不享受中小企业扶持政策。</w:t>
      </w:r>
    </w:p>
    <w:p w14:paraId="3BBF9BCA">
      <w:pPr>
        <w:tabs>
          <w:tab w:val="left" w:pos="567"/>
        </w:tabs>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w:t>
      </w:r>
    </w:p>
    <w:p w14:paraId="1C9C510A">
      <w:pPr>
        <w:tabs>
          <w:tab w:val="left" w:pos="567"/>
        </w:tabs>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根据《政府采购促进中小企业发展管理办法》（财库〔2020〕46号）及《中小企业划型标准规定》（工信部联企业〔2011〕300号），本采购项目对应的中小企业划分标准所属行业为：</w:t>
      </w:r>
      <w:r>
        <w:rPr>
          <w:rFonts w:hint="eastAsia" w:ascii="宋体" w:hAnsi="宋体" w:cs="宋体"/>
          <w:b/>
          <w:bCs/>
          <w:color w:val="auto"/>
          <w:szCs w:val="21"/>
          <w:highlight w:val="none"/>
          <w:lang w:val="en-US" w:eastAsia="zh-CN"/>
        </w:rPr>
        <w:t>仓储业</w:t>
      </w:r>
      <w:r>
        <w:rPr>
          <w:rFonts w:hint="eastAsia" w:ascii="宋体" w:hAnsi="宋体" w:cs="宋体"/>
          <w:b/>
          <w:bCs/>
          <w:color w:val="auto"/>
          <w:szCs w:val="21"/>
          <w:highlight w:val="none"/>
        </w:rPr>
        <w:t>。</w:t>
      </w:r>
    </w:p>
    <w:p w14:paraId="152CBFD2">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（3）残疾人福利性单位</w:t>
      </w:r>
    </w:p>
    <w:p w14:paraId="48FDCE74">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促进残疾人就业政府采购政策的通知》（财库〔2017〕141号）的相关规定，在政府采购活动中残疾人福利性单位视同小型、微型企业，享受预留份额、评审中价格扣除（其投标报价扣除20%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r>
        <w:rPr>
          <w:rFonts w:hint="eastAsia" w:ascii="宋体" w:hAnsi="宋体" w:cs="宋体"/>
          <w:b/>
          <w:bCs/>
          <w:color w:val="auto"/>
          <w:szCs w:val="21"/>
          <w:highlight w:val="none"/>
        </w:rPr>
        <w:t>若为专门面向中小企业采购的项目或者采购包，不再执行价格评审优惠的扶持政策。</w:t>
      </w:r>
    </w:p>
    <w:p w14:paraId="6D0D404E">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（4）监狱企业</w:t>
      </w:r>
    </w:p>
    <w:p w14:paraId="3A4EDF6E">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政府采购支持监狱企业发展有关问题的通知》（财库〔2014〕68号）的相关规定，在政府采购活动中，监狱企业视同小型、微型企业，享受预留份额、评审中价格扣除（其投标报价扣除20%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r>
        <w:rPr>
          <w:rFonts w:hint="eastAsia" w:ascii="宋体" w:hAnsi="宋体" w:cs="宋体"/>
          <w:b/>
          <w:bCs/>
          <w:color w:val="auto"/>
          <w:szCs w:val="21"/>
          <w:highlight w:val="none"/>
        </w:rPr>
        <w:t>若为专门面向中小企业采购的项目或者采购包，不再执行价格评审优惠的扶持政策。</w:t>
      </w:r>
    </w:p>
    <w:p w14:paraId="47DD9855">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（5）绿色采购</w:t>
      </w:r>
    </w:p>
    <w:p w14:paraId="79EED934">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1）根据《关于调整优化节能产品、环境标志产品政府采购执行机制的通知》（财库〔2019〕9号）等相关文件的规定，</w:t>
      </w:r>
      <w:r>
        <w:rPr>
          <w:rFonts w:hint="eastAsia" w:ascii="宋体" w:hAnsi="宋体" w:cs="宋体"/>
          <w:b/>
          <w:color w:val="auto"/>
          <w:szCs w:val="21"/>
          <w:highlight w:val="none"/>
        </w:rPr>
        <w:t>对属于《节能产品政府采购品目清单》中强制采购范围内产品的，供应商须提供由国家确定的认证机构出具的、处于有效期之内的节能产品认证证书，上述品目清单可通过“中国政府采购网”（http://www.ccgp.gov.cn）查询,并在响应文件中提供由国家确定的认证机构出具的、处于有效期之内的节能产品认证证书复印件，否则视为未实质性响应。</w:t>
      </w:r>
    </w:p>
    <w:p w14:paraId="4F12C8F4">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6F918AEB">
      <w:pPr>
        <w:spacing w:line="360" w:lineRule="auto"/>
        <w:ind w:firstLine="420"/>
        <w:rPr>
          <w:rFonts w:ascii="宋体" w:hAnsi="宋体" w:cs="宋体"/>
          <w:color w:val="auto"/>
          <w:szCs w:val="21"/>
          <w:highlight w:val="none"/>
        </w:rPr>
      </w:pPr>
      <w:r>
        <w:rPr>
          <w:rFonts w:hint="eastAsia" w:ascii="宋体" w:hAnsi="宋体" w:cs="宋体"/>
          <w:color w:val="auto"/>
          <w:highlight w:val="none"/>
        </w:rPr>
        <w:t>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14:paraId="3A8C5C8B">
      <w:pPr>
        <w:tabs>
          <w:tab w:val="left" w:pos="567"/>
        </w:tabs>
        <w:spacing w:line="360" w:lineRule="auto"/>
        <w:ind w:firstLine="420"/>
        <w:rPr>
          <w:rFonts w:ascii="宋体" w:hAnsi="宋体" w:cs="宋体"/>
          <w:b/>
          <w:bCs/>
          <w:color w:val="auto"/>
          <w:highlight w:val="none"/>
        </w:rPr>
      </w:pPr>
      <w:r>
        <w:rPr>
          <w:rFonts w:hint="eastAsia" w:ascii="宋体" w:hAnsi="宋体" w:cs="宋体"/>
          <w:b/>
          <w:bCs/>
          <w:color w:val="auto"/>
          <w:highlight w:val="none"/>
        </w:rPr>
        <w:t>（6）异常低价审查</w:t>
      </w:r>
    </w:p>
    <w:p w14:paraId="41DAEACC">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（一）按照财政部发布的《关于推动解决政府采购异常低价问题的通知》（ 财库〔2026〕2号）文，政府采购评审中出现下列情形之一的，评审委员会应当启动异常低价投标（响应）审查程序：</w:t>
      </w:r>
    </w:p>
    <w:p w14:paraId="17BFFD00">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A、评审过程中出现下列情形之一的，评审委员会应当启动异常低价投标（响应）审查程序：</w:t>
      </w:r>
    </w:p>
    <w:p w14:paraId="68C42E67">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1.投标（响应）报价低于全部通过符合性审查供应商投标（响应）报价平均值</w:t>
      </w:r>
      <w:r>
        <w:rPr>
          <w:rFonts w:hint="eastAsia" w:ascii="宋体" w:hAnsi="宋体" w:cs="宋体"/>
          <w:color w:val="auto"/>
          <w:highlight w:val="none"/>
          <w:lang w:val="en-US" w:eastAsia="zh-CN"/>
        </w:rPr>
        <w:t>50</w:t>
      </w:r>
      <w:r>
        <w:rPr>
          <w:rFonts w:hint="eastAsia" w:ascii="宋体" w:hAnsi="宋体" w:cs="宋体"/>
          <w:color w:val="auto"/>
          <w:highlight w:val="none"/>
        </w:rPr>
        <w:t>%的，即投标（响应）报价&lt;全部通过符合性审查供应商投标（响应）报价平均值×</w:t>
      </w:r>
      <w:r>
        <w:rPr>
          <w:rFonts w:hint="eastAsia" w:ascii="宋体" w:hAnsi="宋体" w:cs="宋体"/>
          <w:color w:val="auto"/>
          <w:highlight w:val="none"/>
          <w:lang w:val="en-US" w:eastAsia="zh-CN"/>
        </w:rPr>
        <w:t>50</w:t>
      </w:r>
      <w:r>
        <w:rPr>
          <w:rFonts w:hint="eastAsia" w:ascii="宋体" w:hAnsi="宋体" w:cs="宋体"/>
          <w:color w:val="auto"/>
          <w:highlight w:val="none"/>
        </w:rPr>
        <w:t>%；</w:t>
      </w:r>
    </w:p>
    <w:p w14:paraId="77FAAEDC">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2.投标（响应）报价低于通过符合性审查的次低报价供应商投标（响应）</w:t>
      </w:r>
      <w:bookmarkStart w:id="9" w:name="_GoBack"/>
      <w:bookmarkEnd w:id="9"/>
      <w:r>
        <w:rPr>
          <w:rFonts w:hint="eastAsia" w:ascii="宋体" w:hAnsi="宋体" w:cs="宋体"/>
          <w:color w:val="auto"/>
          <w:highlight w:val="none"/>
        </w:rPr>
        <w:t>报价</w:t>
      </w:r>
      <w:r>
        <w:rPr>
          <w:rFonts w:hint="eastAsia" w:ascii="宋体" w:hAnsi="宋体" w:cs="宋体"/>
          <w:color w:val="auto"/>
          <w:highlight w:val="none"/>
          <w:lang w:val="en-US" w:eastAsia="zh-CN"/>
        </w:rPr>
        <w:t>50</w:t>
      </w:r>
      <w:r>
        <w:rPr>
          <w:rFonts w:hint="eastAsia" w:ascii="宋体" w:hAnsi="宋体" w:cs="宋体"/>
          <w:color w:val="auto"/>
          <w:highlight w:val="none"/>
        </w:rPr>
        <w:t>%的，即投标（响应）报价&lt;通过符合性审查的次低报价供应商投标（响应）报价×</w:t>
      </w:r>
      <w:r>
        <w:rPr>
          <w:rFonts w:hint="eastAsia" w:ascii="宋体" w:hAnsi="宋体" w:cs="宋体"/>
          <w:color w:val="auto"/>
          <w:highlight w:val="none"/>
          <w:lang w:val="en-US" w:eastAsia="zh-CN"/>
        </w:rPr>
        <w:t>50</w:t>
      </w:r>
      <w:r>
        <w:rPr>
          <w:rFonts w:hint="eastAsia" w:ascii="宋体" w:hAnsi="宋体" w:cs="宋体"/>
          <w:color w:val="auto"/>
          <w:highlight w:val="none"/>
        </w:rPr>
        <w:t>%；</w:t>
      </w:r>
    </w:p>
    <w:p w14:paraId="2749202C">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3.投标（响应）报价低于采购项目最高限价</w:t>
      </w:r>
      <w:r>
        <w:rPr>
          <w:rFonts w:hint="eastAsia" w:ascii="宋体" w:hAnsi="宋体" w:cs="宋体"/>
          <w:color w:val="auto"/>
          <w:highlight w:val="none"/>
          <w:lang w:val="en-US" w:eastAsia="zh-CN"/>
        </w:rPr>
        <w:t>45</w:t>
      </w:r>
      <w:r>
        <w:rPr>
          <w:rFonts w:hint="eastAsia" w:ascii="宋体" w:hAnsi="宋体" w:cs="宋体"/>
          <w:color w:val="auto"/>
          <w:highlight w:val="none"/>
        </w:rPr>
        <w:t>%的，即投标（响应）报价&lt;采购项目最高限价×</w:t>
      </w:r>
      <w:r>
        <w:rPr>
          <w:rFonts w:hint="eastAsia" w:ascii="宋体" w:hAnsi="宋体" w:cs="宋体"/>
          <w:color w:val="auto"/>
          <w:highlight w:val="none"/>
          <w:lang w:val="en-US" w:eastAsia="zh-CN"/>
        </w:rPr>
        <w:t>45</w:t>
      </w:r>
      <w:r>
        <w:rPr>
          <w:rFonts w:hint="eastAsia" w:ascii="宋体" w:hAnsi="宋体" w:cs="宋体"/>
          <w:color w:val="auto"/>
          <w:highlight w:val="none"/>
        </w:rPr>
        <w:t>%；</w:t>
      </w:r>
    </w:p>
    <w:p w14:paraId="20495BF0">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4.评审委员会基于专业判断，认为供应商报价过低，有可能影响产品质量或者不能诚信履约的其他情形。</w:t>
      </w:r>
    </w:p>
    <w:p w14:paraId="294F8B5E">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96E6A09">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74CCB90">
      <w:pPr>
        <w:tabs>
          <w:tab w:val="left" w:pos="567"/>
        </w:tabs>
        <w:spacing w:line="360" w:lineRule="auto"/>
        <w:rPr>
          <w:rFonts w:ascii="宋体" w:hAnsi="宋体" w:cs="宋体"/>
          <w:color w:val="auto"/>
          <w:highlight w:val="none"/>
        </w:rPr>
      </w:pPr>
      <w:r>
        <w:rPr>
          <w:rFonts w:hint="eastAsia" w:ascii="宋体" w:hAnsi="宋体" w:cs="宋体"/>
          <w:b/>
          <w:bCs/>
          <w:color w:val="auto"/>
          <w:highlight w:val="none"/>
        </w:rPr>
        <w:t>（7）政府采购中实施本国产品标准及相关政策</w:t>
      </w:r>
      <w:r>
        <w:rPr>
          <w:rFonts w:hint="eastAsia" w:ascii="宋体" w:hAnsi="宋体" w:cs="宋体"/>
          <w:color w:val="auto"/>
          <w:highlight w:val="none"/>
        </w:rPr>
        <w:t>（</w:t>
      </w:r>
      <w:r>
        <w:rPr>
          <w:rFonts w:hint="eastAsia" w:ascii="宋体" w:hAnsi="宋体" w:cs="宋体"/>
          <w:color w:val="auto"/>
          <w:highlight w:val="none"/>
          <w:lang w:val="en-US" w:eastAsia="zh-CN"/>
        </w:rPr>
        <w:t>如涉及</w:t>
      </w:r>
      <w:r>
        <w:rPr>
          <w:rFonts w:hint="eastAsia" w:ascii="宋体" w:hAnsi="宋体" w:cs="宋体"/>
          <w:color w:val="auto"/>
          <w:highlight w:val="none"/>
        </w:rPr>
        <w:t>）</w:t>
      </w:r>
    </w:p>
    <w:p w14:paraId="12001564">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7.1.本项目对采购本国产品给予政策支持：</w:t>
      </w:r>
    </w:p>
    <w:p w14:paraId="7C3E79DC">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（1）本项目政府采购活动中既有本国产品又有非本国产品参与竞争的，依法对本国产品给予价格评审优惠，对本国产品的报价给予20%的价格扣除，用扣除后的价格参与评审。</w:t>
      </w:r>
    </w:p>
    <w:p w14:paraId="2626A56F">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2）当采购项目或者采购包中含有多种产品，供应商为该采购项目或者采购包提供的符合本国产品标准的产品成本之和占该供应商提供的全部产品成本之和的比例达到80%以上时（供应商需在“投标文件格式”的“附件：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91AF37E">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（3）供应商需按照招标文件的要求提供《关于符合本国产品标准的声明函》（以下简称《声明函》），如不提供将不享受本国产品价格评审优惠。</w:t>
      </w:r>
    </w:p>
    <w:p w14:paraId="44AEA793">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4）供应商需在《声明函》中逐一、准确填写产品名称、厂名、生产厂址三项信息（《声明函》中用斜线划除的地方无需填写），三项信息中任意一项未填写的视为该项产品不符合本国产品标准，不享受本国产品价格评审优惠。</w:t>
      </w:r>
    </w:p>
    <w:p w14:paraId="12DF1B76">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1A4EFB9F">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7.2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AD1461B">
      <w:pP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highlight w:val="none"/>
        </w:rPr>
        <w:t>7.3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r>
        <w:rPr>
          <w:rFonts w:hint="eastAsia" w:ascii="宋体" w:hAnsi="宋体" w:cs="宋体"/>
          <w:color w:val="auto"/>
          <w:highlight w:val="none"/>
          <w:lang w:val="en-US" w:eastAsia="zh-CN"/>
        </w:rPr>
        <w:t>。</w:t>
      </w:r>
    </w:p>
    <w:p w14:paraId="68A6B748">
      <w:pPr>
        <w:pStyle w:val="12"/>
        <w:spacing w:line="360" w:lineRule="auto"/>
        <w:ind w:firstLine="422"/>
        <w:rPr>
          <w:rFonts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15、</w:t>
      </w:r>
      <w:r>
        <w:rPr>
          <w:rFonts w:hint="eastAsia" w:ascii="宋体" w:hAnsi="宋体" w:eastAsia="宋体" w:cs="宋体"/>
          <w:b/>
          <w:color w:val="auto"/>
          <w:sz w:val="21"/>
          <w:szCs w:val="21"/>
          <w:highlight w:val="none"/>
        </w:rPr>
        <w:t>项目的终止</w:t>
      </w:r>
    </w:p>
    <w:p w14:paraId="76A404F3">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出现下列情形之一的，将终止竞争性磋商采购活动：</w:t>
      </w:r>
    </w:p>
    <w:p w14:paraId="0BD05CC8">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71252825">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4299FFCA">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（3）在采购活动中因重大变故，采购任务取消的。</w:t>
      </w:r>
    </w:p>
    <w:p w14:paraId="098A5FFB">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16、导致无效投标因素</w:t>
      </w:r>
    </w:p>
    <w:p w14:paraId="1E98BD6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投标人（响应单位）存在下列情况之一的，投标无效：</w:t>
      </w:r>
    </w:p>
    <w:p w14:paraId="72B2C88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（1）投标（响应）文件未按招标（采购）文件要求签署、盖章的；</w:t>
      </w:r>
    </w:p>
    <w:p w14:paraId="1157939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（2）不具备招标（采购）文件中规定的资格要求的；</w:t>
      </w:r>
    </w:p>
    <w:p w14:paraId="33404A2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（3）报价超过招标（采购）文件中规定的预算金额（总预算和单项预算）或者最高限价的；</w:t>
      </w:r>
    </w:p>
    <w:p w14:paraId="3BD935C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（4）投标（响应）文件含有采购单位不能接受的附加条件的；</w:t>
      </w:r>
    </w:p>
    <w:p w14:paraId="6905BCF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（5）不同投标（响应）文件制作机器码一致的；</w:t>
      </w:r>
    </w:p>
    <w:p w14:paraId="6ECA20D4">
      <w:pPr>
        <w:spacing w:line="360" w:lineRule="auto"/>
        <w:ind w:firstLine="420"/>
        <w:rPr>
          <w:rFonts w:ascii="宋体" w:hAnsi="宋体" w:cs="宋体"/>
          <w:color w:val="auto"/>
          <w:szCs w:val="21"/>
          <w:highlight w:val="none"/>
        </w:rPr>
        <w:sectPr>
          <w:pgSz w:w="11906" w:h="16838"/>
          <w:pgMar w:top="1440" w:right="1417" w:bottom="1440" w:left="1417" w:header="850" w:footer="850" w:gutter="0"/>
          <w:cols w:space="720" w:num="1"/>
          <w:docGrid w:linePitch="360" w:charSpace="0"/>
        </w:sectPr>
      </w:pPr>
      <w:r>
        <w:rPr>
          <w:rFonts w:hint="eastAsia" w:ascii="宋体" w:hAnsi="宋体" w:cs="宋体"/>
          <w:color w:val="auto"/>
          <w:szCs w:val="21"/>
          <w:highlight w:val="none"/>
        </w:rPr>
        <w:t>（6）法律、法规和招标（采购）文件规定的其他无效情形。</w:t>
      </w:r>
    </w:p>
    <w:p w14:paraId="2DED4A61">
      <w:pPr>
        <w:pageBreakBefore/>
        <w:tabs>
          <w:tab w:val="left" w:pos="315"/>
          <w:tab w:val="center" w:pos="4153"/>
        </w:tabs>
        <w:spacing w:line="360" w:lineRule="auto"/>
        <w:jc w:val="center"/>
        <w:outlineLvl w:val="0"/>
        <w:rPr>
          <w:rFonts w:ascii="宋体" w:hAnsi="宋体" w:cs="宋体"/>
          <w:color w:val="auto"/>
          <w:highlight w:val="none"/>
        </w:rPr>
      </w:pPr>
      <w:r>
        <w:rPr>
          <w:rFonts w:hint="eastAsia" w:ascii="宋体" w:hAnsi="宋体" w:cs="宋体"/>
          <w:b/>
          <w:color w:val="auto"/>
          <w:sz w:val="32"/>
          <w:szCs w:val="32"/>
          <w:highlight w:val="none"/>
        </w:rPr>
        <w:t>三、评标方法及评分标准</w:t>
      </w:r>
    </w:p>
    <w:p w14:paraId="2D79B78D">
      <w:pPr>
        <w:spacing w:line="360" w:lineRule="auto"/>
        <w:outlineLvl w:val="1"/>
        <w:rPr>
          <w:rFonts w:ascii="宋体" w:hAnsi="宋体" w:cs="宋体"/>
          <w:color w:val="auto"/>
          <w:szCs w:val="21"/>
          <w:highlight w:val="none"/>
          <w:shd w:val="clear" w:color="auto" w:fill="FFFFFF"/>
        </w:rPr>
      </w:pPr>
      <w:r>
        <w:rPr>
          <w:rFonts w:hint="eastAsia" w:ascii="宋体" w:hAnsi="宋体" w:cs="宋体"/>
          <w:b/>
          <w:bCs/>
          <w:color w:val="auto"/>
          <w:szCs w:val="21"/>
          <w:highlight w:val="none"/>
        </w:rPr>
        <w:t>一、评标方法</w:t>
      </w:r>
    </w:p>
    <w:p w14:paraId="63C0B5D4">
      <w:pPr>
        <w:spacing w:line="360" w:lineRule="auto"/>
        <w:ind w:firstLine="420"/>
        <w:rPr>
          <w:rFonts w:ascii="宋体" w:hAnsi="宋体" w:cs="宋体"/>
          <w:color w:val="auto"/>
          <w:highlight w:val="none"/>
        </w:rPr>
      </w:pPr>
      <w:r>
        <w:rPr>
          <w:rFonts w:hint="eastAsia" w:ascii="宋体" w:hAnsi="宋体" w:cs="宋体"/>
          <w:color w:val="auto"/>
          <w:szCs w:val="21"/>
          <w:highlight w:val="none"/>
          <w:shd w:val="clear" w:color="auto" w:fill="FFFFFF"/>
        </w:rPr>
        <w:t>1、本次招标评标方法为综合评分法，即在</w:t>
      </w:r>
      <w:r>
        <w:rPr>
          <w:rFonts w:hint="eastAsia" w:ascii="宋体" w:hAnsi="宋体" w:cs="宋体"/>
          <w:color w:val="auto"/>
          <w:highlight w:val="none"/>
        </w:rPr>
        <w:t>最大限度地</w:t>
      </w:r>
      <w:r>
        <w:rPr>
          <w:rFonts w:hint="eastAsia" w:ascii="宋体" w:hAnsi="宋体" w:cs="宋体"/>
          <w:color w:val="auto"/>
          <w:szCs w:val="21"/>
          <w:highlight w:val="none"/>
          <w:shd w:val="clear" w:color="auto" w:fill="FFFFFF"/>
        </w:rPr>
        <w:t>满足采购文件实质性要求前提下，按照采购文件中规定的评分标准和各项因素进行综合评审后，</w:t>
      </w:r>
      <w:r>
        <w:rPr>
          <w:rFonts w:hint="eastAsia" w:ascii="宋体" w:hAnsi="宋体" w:cs="宋体"/>
          <w:color w:val="auto"/>
          <w:szCs w:val="21"/>
          <w:highlight w:val="none"/>
          <w:shd w:val="clear" w:color="auto" w:fill="FFFFFF"/>
          <w:lang w:val="en-US" w:eastAsia="zh-CN"/>
        </w:rPr>
        <w:t>经采购人书面授权</w:t>
      </w:r>
      <w:r>
        <w:rPr>
          <w:rFonts w:hint="eastAsia" w:ascii="宋体" w:hAnsi="宋体" w:cs="宋体"/>
          <w:color w:val="auto"/>
          <w:highlight w:val="none"/>
        </w:rPr>
        <w:t>由</w:t>
      </w:r>
      <w:r>
        <w:rPr>
          <w:rFonts w:hint="eastAsia" w:ascii="宋体" w:hAnsi="宋体" w:cs="宋体"/>
          <w:color w:val="auto"/>
          <w:szCs w:val="21"/>
          <w:highlight w:val="none"/>
          <w:lang w:val="zh-CN"/>
        </w:rPr>
        <w:t>综合评分得分最高的磋商响应单位为</w:t>
      </w:r>
      <w:r>
        <w:rPr>
          <w:rFonts w:hint="eastAsia" w:ascii="宋体" w:hAnsi="宋体" w:cs="宋体"/>
          <w:color w:val="auto"/>
          <w:szCs w:val="21"/>
          <w:highlight w:val="none"/>
        </w:rPr>
        <w:t>成交单位</w:t>
      </w:r>
      <w:r>
        <w:rPr>
          <w:rFonts w:hint="eastAsia" w:ascii="宋体" w:hAnsi="宋体" w:cs="宋体"/>
          <w:color w:val="auto"/>
          <w:highlight w:val="none"/>
        </w:rPr>
        <w:t>。</w:t>
      </w:r>
    </w:p>
    <w:p w14:paraId="6C5C426F">
      <w:pPr>
        <w:spacing w:line="360" w:lineRule="auto"/>
        <w:ind w:firstLine="420"/>
        <w:rPr>
          <w:rFonts w:ascii="宋体" w:hAnsi="宋体" w:cs="宋体"/>
          <w:color w:val="auto"/>
          <w:highlight w:val="none"/>
        </w:rPr>
      </w:pPr>
      <w:r>
        <w:rPr>
          <w:rFonts w:hint="eastAsia" w:ascii="宋体" w:hAnsi="宋体" w:cs="宋体"/>
          <w:color w:val="auto"/>
          <w:highlight w:val="none"/>
        </w:rPr>
        <w:t>2、评标时，评标委员会成员分别对每个有效磋商响应单位的标书进行评价、打分，将评委的评分按算术平均方法，计算出每个有效磋商响应单位的评委评审得分（保留小数点后两位）。投标报价得分直接计算取得。评委评审得分和投标报价得分相加为磋商响应单位的总得分。</w:t>
      </w:r>
    </w:p>
    <w:p w14:paraId="50716DAC">
      <w:pPr>
        <w:spacing w:line="360" w:lineRule="auto"/>
        <w:ind w:firstLine="420"/>
        <w:rPr>
          <w:rFonts w:ascii="宋体" w:hAnsi="宋体" w:cs="宋体"/>
          <w:color w:val="auto"/>
          <w:highlight w:val="none"/>
        </w:rPr>
      </w:pPr>
      <w:r>
        <w:rPr>
          <w:rFonts w:hint="eastAsia" w:ascii="宋体" w:hAnsi="宋体" w:cs="宋体"/>
          <w:color w:val="auto"/>
          <w:highlight w:val="none"/>
        </w:rPr>
        <w:t>3、如出现评标总得分最高的磋商响应单位有两个或两个以上的，以投标报价较低者优先作为成交单位，如果实际投标报价也相同的，则由采购人或者采购代理机构以抽签方式确定成交单位。</w:t>
      </w:r>
    </w:p>
    <w:p w14:paraId="2F5CD777">
      <w:pPr>
        <w:spacing w:line="360" w:lineRule="auto"/>
        <w:outlineLvl w:val="1"/>
        <w:rPr>
          <w:rFonts w:ascii="宋体" w:hAnsi="宋体" w:cs="宋体"/>
          <w:b/>
          <w:bCs/>
          <w:color w:val="auto"/>
          <w:szCs w:val="21"/>
          <w:highlight w:val="none"/>
        </w:rPr>
      </w:pPr>
      <w:r>
        <w:rPr>
          <w:rFonts w:hint="eastAsia" w:ascii="宋体" w:hAnsi="宋体" w:cs="宋体"/>
          <w:b/>
          <w:bCs/>
          <w:color w:val="auto"/>
          <w:szCs w:val="21"/>
          <w:highlight w:val="none"/>
        </w:rPr>
        <w:t>二、评分标准</w:t>
      </w:r>
    </w:p>
    <w:p w14:paraId="118C11E2">
      <w:pPr>
        <w:spacing w:line="360" w:lineRule="auto"/>
        <w:outlineLvl w:val="2"/>
        <w:rPr>
          <w:rFonts w:hint="eastAsia" w:ascii="宋体" w:hAnsi="宋体" w:eastAsia="宋体" w:cs="宋体"/>
          <w:b/>
          <w:color w:val="auto"/>
          <w:szCs w:val="21"/>
          <w:highlight w:val="none"/>
        </w:rPr>
      </w:pPr>
      <w:bookmarkStart w:id="7" w:name="OLE_LINK21"/>
      <w:r>
        <w:rPr>
          <w:rFonts w:hint="eastAsia" w:ascii="宋体" w:hAnsi="宋体" w:eastAsia="宋体" w:cs="宋体"/>
          <w:b/>
          <w:bCs/>
          <w:color w:val="auto"/>
          <w:szCs w:val="21"/>
          <w:highlight w:val="none"/>
        </w:rPr>
        <w:t>（一）</w:t>
      </w:r>
      <w:bookmarkEnd w:id="7"/>
      <w:r>
        <w:rPr>
          <w:rFonts w:hint="eastAsia" w:ascii="宋体" w:hAnsi="宋体" w:eastAsia="宋体" w:cs="宋体"/>
          <w:b/>
          <w:color w:val="auto"/>
          <w:szCs w:val="21"/>
          <w:highlight w:val="none"/>
        </w:rPr>
        <w:t>价格分（1</w:t>
      </w:r>
      <w:r>
        <w:rPr>
          <w:rFonts w:hint="eastAsia" w:ascii="宋体" w:hAnsi="宋体" w:cs="宋体"/>
          <w:b/>
          <w:color w:val="auto"/>
          <w:szCs w:val="21"/>
          <w:highlight w:val="none"/>
          <w:lang w:val="en-US" w:eastAsia="zh-CN"/>
        </w:rPr>
        <w:t>5</w:t>
      </w:r>
      <w:r>
        <w:rPr>
          <w:rFonts w:hint="eastAsia" w:ascii="宋体" w:hAnsi="宋体" w:eastAsia="宋体" w:cs="宋体"/>
          <w:b/>
          <w:color w:val="auto"/>
          <w:szCs w:val="21"/>
          <w:highlight w:val="none"/>
        </w:rPr>
        <w:t>分，以最后报价作为计算依据）</w:t>
      </w:r>
    </w:p>
    <w:p w14:paraId="534BF16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报价低于或等于采购预算价格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或最高限价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的，为有效报价。超采购预算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或最高限价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的磋商报价为无效磋商报价。无效磋商报价的响应文件不得标。</w:t>
      </w:r>
    </w:p>
    <w:p w14:paraId="6B4A559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价格分统一采用低价优先法计算，即满足磋商文件要求且最后磋商评审报价最低的供应商的价格为磋商基准价，其价格分为满分。其他供应商的价格分统一按照下列公式计算：</w:t>
      </w:r>
    </w:p>
    <w:p w14:paraId="2BB576B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磋商报价得分=（磋商基准价/最后磋商报价）×价格权值（本项目为1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%）×100，小数点后四舍五入保留两位小数。</w:t>
      </w:r>
    </w:p>
    <w:p w14:paraId="07F1B20A">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（二）组织实施方案（6</w:t>
      </w:r>
      <w:r>
        <w:rPr>
          <w:rFonts w:hint="eastAsia" w:ascii="宋体" w:hAnsi="宋体" w:cs="宋体"/>
          <w:b/>
          <w:color w:val="auto"/>
          <w:szCs w:val="21"/>
          <w:highlight w:val="none"/>
          <w:lang w:val="en-US" w:eastAsia="zh-CN"/>
        </w:rPr>
        <w:t>9</w:t>
      </w:r>
      <w:r>
        <w:rPr>
          <w:rFonts w:hint="eastAsia" w:ascii="宋体" w:hAnsi="宋体" w:eastAsia="宋体" w:cs="宋体"/>
          <w:b/>
          <w:color w:val="auto"/>
          <w:szCs w:val="21"/>
          <w:highlight w:val="none"/>
        </w:rPr>
        <w:t>分）</w:t>
      </w:r>
    </w:p>
    <w:p w14:paraId="248E0B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1.在库管理方案，15分</w:t>
      </w:r>
    </w:p>
    <w:p w14:paraId="0744E5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响应单位针对本项目提供冻猪肉在库管理方案：至少包括：①专仓/专垛和专栏承储、②专人管理、③专账记载、④挂牌明示、⑤内部管理制度。</w:t>
      </w:r>
    </w:p>
    <w:p w14:paraId="3991C2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方案内容完整合理、符合本项目实际需求的，每项得3分；每项方案内容基本合理的得2分；每项方案内容一般的得1分；未提供方案的得0分。最高得15分</w:t>
      </w:r>
    </w:p>
    <w:p w14:paraId="7C7429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2.源头及质量控制方案，9分</w:t>
      </w:r>
    </w:p>
    <w:p w14:paraId="0A31DF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响应单位针对本项目提供冻猪肉源头及质量控制方案：至少包括：①猪肉产地控制、②溯源管理体系、③质控检验体系。</w:t>
      </w:r>
    </w:p>
    <w:p w14:paraId="6D11E0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方案内容完整合理、符合本项目实际需求的，每项得3分；每项方案内容基本合理的得2分；每项方案内容一般的得1分；未提供方案的得0分。最高得9分。</w:t>
      </w:r>
    </w:p>
    <w:p w14:paraId="6AA0A7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3.安全卫生管控方案，9分</w:t>
      </w:r>
    </w:p>
    <w:p w14:paraId="0232CD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响应单位针对本项目提供冻猪肉安全卫生管控方案：至少包括：①冻猪肉信息报送制度、②冷链运输流程管控、③储备工作人员健康证配备。</w:t>
      </w:r>
    </w:p>
    <w:p w14:paraId="69A254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方案内容完整合理、符合本项目实际需求的，每项得3分；每项方案内容基本合理的得2分；每项方案内容一般的得1分；未提供方案的得0分。最高得9分。</w:t>
      </w:r>
    </w:p>
    <w:p w14:paraId="644363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4.轮换管理方案，9分</w:t>
      </w:r>
    </w:p>
    <w:p w14:paraId="509421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响应单位针对本项目提供冻猪肉轮换管理方案：至少包括：①轮换方式、②轮换周期与节奏、③轮换操作流程。</w:t>
      </w:r>
    </w:p>
    <w:p w14:paraId="769A7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方案内容完整合理、符合本项目实际需求的，每项得3分；每项方案内容基本合理的得2分；每项方案内容一般的得1分；未提供方案的得0分。最高得9分。</w:t>
      </w:r>
    </w:p>
    <w:p w14:paraId="2B99D0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5.响应单位针对本项目的应急措施方案，12分</w:t>
      </w:r>
    </w:p>
    <w:p w14:paraId="1E8E0B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响应单位针对本项目提供应急措施方案：至少包括：①质量安全与公共卫生事件应急预案、②储备库安全事故应急预案、③市场保供与紧急动用应急预案、④物流与供应链中断应急预案。</w:t>
      </w:r>
    </w:p>
    <w:p w14:paraId="31CD54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方案内容完整合理、符合本项目实际需求的，每项得3分；每项方案内容基本合理的得2分；每项方案内容一般的得1分；未提供方案的得0分。最高得12分。</w:t>
      </w:r>
    </w:p>
    <w:p w14:paraId="1BCDE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6.人员与培训方案，9分</w:t>
      </w:r>
    </w:p>
    <w:p w14:paraId="2D081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响应单位针对本项目提供人员培训方案：至少包括：①岗位配置、②年度培训计划、③培训内容及周期。</w:t>
      </w:r>
    </w:p>
    <w:p w14:paraId="08518D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方案内容完整合理、符合本项目实际需求的，每项得3分；每项方案内容基本合理的得2分；每项方案内容一般的得1分；未提供方案的得0分。最高得9分</w:t>
      </w:r>
    </w:p>
    <w:p w14:paraId="36E051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7.与采购人等部门的沟通配合方案，6分</w:t>
      </w:r>
    </w:p>
    <w:p w14:paraId="3B3C04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响应单位针对本项目提供与采购人等部门的沟通配合方案：至少包括：①常态化沟通汇报机制、②配合监管与检查的执行方案、③应急状态下的协同联动。</w:t>
      </w:r>
    </w:p>
    <w:p w14:paraId="5B6456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方案内容完整合理、符合本项目实际需求的，每项得2分；每项方案内容基本合理的得1分；每项方案内容一般的得0.5分；未提供方案的得0分。最高得6分。</w:t>
      </w:r>
    </w:p>
    <w:p w14:paraId="56231E6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（三）响应单位综合履约能力情况（</w:t>
      </w:r>
      <w:r>
        <w:rPr>
          <w:rFonts w:hint="eastAsia" w:ascii="宋体" w:hAnsi="宋体" w:cs="宋体"/>
          <w:b/>
          <w:bCs w:val="0"/>
          <w:color w:val="auto"/>
          <w:szCs w:val="21"/>
          <w:highlight w:val="none"/>
          <w:lang w:val="en-US" w:eastAsia="zh-CN"/>
        </w:rPr>
        <w:t>16</w:t>
      </w:r>
      <w:r>
        <w:rPr>
          <w:rFonts w:hint="eastAsia" w:ascii="宋体" w:hAnsi="宋体" w:eastAsia="宋体" w:cs="宋体"/>
          <w:b/>
          <w:bCs w:val="0"/>
          <w:color w:val="auto"/>
          <w:szCs w:val="21"/>
          <w:highlight w:val="none"/>
        </w:rPr>
        <w:t>分）</w:t>
      </w:r>
    </w:p>
    <w:p w14:paraId="2D9C5B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1、冷库存储能力情况（10分）</w:t>
      </w:r>
    </w:p>
    <w:p w14:paraId="7A5DC9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响应单位库址在苏州市区</w:t>
      </w:r>
      <w:r>
        <w:rPr>
          <w:rFonts w:hint="eastAsia" w:ascii="宋体" w:hAnsi="宋体" w:eastAsia="宋体" w:cs="宋体"/>
          <w:b w:val="0"/>
          <w:bCs/>
          <w:color w:val="auto"/>
          <w:szCs w:val="21"/>
          <w:highlight w:val="none"/>
          <w:lang w:eastAsia="zh-CN"/>
        </w:rPr>
        <w:t>（</w:t>
      </w:r>
      <w:r>
        <w:rPr>
          <w:rFonts w:hint="eastAsia" w:ascii="宋体" w:hAnsi="宋体" w:cs="宋体"/>
          <w:b w:val="0"/>
          <w:bCs w:val="0"/>
          <w:color w:val="auto"/>
          <w:szCs w:val="21"/>
          <w:highlight w:val="none"/>
          <w:lang w:val="en-US" w:eastAsia="zh-CN"/>
        </w:rPr>
        <w:t>不含常熟、昆山、张家港、太仓）</w:t>
      </w:r>
      <w:r>
        <w:rPr>
          <w:rFonts w:hint="eastAsia" w:ascii="宋体" w:hAnsi="宋体" w:eastAsia="宋体" w:cs="宋体"/>
          <w:b w:val="0"/>
          <w:bCs/>
          <w:color w:val="auto"/>
          <w:szCs w:val="21"/>
          <w:highlight w:val="none"/>
        </w:rPr>
        <w:t>范围内，交通便利，具有完成紧急配送任务的能力。冷库储存能力在满足采购需求350吨的基础上，每增加50吨储存能力的，得2分，最高为10分；</w:t>
      </w:r>
    </w:p>
    <w:p w14:paraId="6D4DC9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注：①供应商须同时提供储存冷库为供应商自有（产权归属于供应商）或租赁（租赁期涵盖本项目整个服务期）的证明材料、冷库储存能力（面积）证明材料、冷库所处地理位置证明材料，否则不得分。</w:t>
      </w:r>
    </w:p>
    <w:p w14:paraId="28D8C2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②如冷库为供应商租赁（租赁期涵盖本项目整个服务期）的，供应商还需提供租赁冷库的产权证明材料，否则不得分。</w:t>
      </w:r>
    </w:p>
    <w:p w14:paraId="16BEF7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cs="宋体"/>
          <w:b w:val="0"/>
          <w:bCs/>
          <w:color w:val="auto"/>
          <w:szCs w:val="21"/>
          <w:highlight w:val="none"/>
          <w:lang w:val="en-US" w:eastAsia="zh-CN"/>
        </w:rPr>
        <w:t>2</w:t>
      </w:r>
      <w:r>
        <w:rPr>
          <w:rFonts w:hint="eastAsia" w:ascii="宋体" w:hAnsi="宋体" w:eastAsia="宋体" w:cs="宋体"/>
          <w:b w:val="0"/>
          <w:bCs/>
          <w:color w:val="auto"/>
          <w:szCs w:val="21"/>
          <w:highlight w:val="none"/>
        </w:rPr>
        <w:t>、无重大疫情事故承诺书（</w:t>
      </w:r>
      <w:r>
        <w:rPr>
          <w:rFonts w:hint="eastAsia" w:ascii="宋体" w:hAnsi="宋体" w:cs="宋体"/>
          <w:b w:val="0"/>
          <w:bCs/>
          <w:color w:val="auto"/>
          <w:szCs w:val="21"/>
          <w:highlight w:val="none"/>
          <w:lang w:val="en-US" w:eastAsia="zh-CN"/>
        </w:rPr>
        <w:t>4</w:t>
      </w:r>
      <w:r>
        <w:rPr>
          <w:rFonts w:hint="eastAsia" w:ascii="宋体" w:hAnsi="宋体" w:eastAsia="宋体" w:cs="宋体"/>
          <w:b w:val="0"/>
          <w:bCs/>
          <w:color w:val="auto"/>
          <w:szCs w:val="21"/>
          <w:highlight w:val="none"/>
        </w:rPr>
        <w:t>分）</w:t>
      </w:r>
    </w:p>
    <w:p w14:paraId="2307D0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响应单位提供近三年内未发生过重大疫情事故的承诺书的得</w:t>
      </w:r>
      <w:r>
        <w:rPr>
          <w:rFonts w:hint="eastAsia" w:ascii="宋体" w:hAnsi="宋体" w:cs="宋体"/>
          <w:b w:val="0"/>
          <w:bCs/>
          <w:color w:val="auto"/>
          <w:szCs w:val="21"/>
          <w:highlight w:val="none"/>
          <w:lang w:val="en-US" w:eastAsia="zh-CN"/>
        </w:rPr>
        <w:t>4</w:t>
      </w:r>
      <w:r>
        <w:rPr>
          <w:rFonts w:hint="eastAsia" w:ascii="宋体" w:hAnsi="宋体" w:eastAsia="宋体" w:cs="宋体"/>
          <w:b w:val="0"/>
          <w:bCs/>
          <w:color w:val="auto"/>
          <w:szCs w:val="21"/>
          <w:highlight w:val="none"/>
        </w:rPr>
        <w:t>分，不提供不得分。</w:t>
      </w:r>
    </w:p>
    <w:p w14:paraId="7DE6F5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rPr>
        <w:t>、</w:t>
      </w:r>
      <w:r>
        <w:rPr>
          <w:rFonts w:hint="eastAsia" w:ascii="宋体" w:hAnsi="宋体" w:cs="宋体"/>
          <w:b w:val="0"/>
          <w:bCs/>
          <w:color w:val="auto"/>
          <w:szCs w:val="21"/>
          <w:highlight w:val="none"/>
          <w:lang w:val="en-US" w:eastAsia="zh-CN"/>
        </w:rPr>
        <w:t>类似项目</w:t>
      </w:r>
      <w:r>
        <w:rPr>
          <w:rFonts w:hint="eastAsia" w:ascii="宋体" w:hAnsi="宋体" w:eastAsia="宋体" w:cs="宋体"/>
          <w:b w:val="0"/>
          <w:bCs/>
          <w:color w:val="auto"/>
          <w:szCs w:val="21"/>
          <w:highlight w:val="none"/>
        </w:rPr>
        <w:t>（</w:t>
      </w:r>
      <w:r>
        <w:rPr>
          <w:rFonts w:hint="eastAsia" w:ascii="宋体" w:hAnsi="宋体" w:cs="宋体"/>
          <w:b w:val="0"/>
          <w:bCs/>
          <w:color w:val="auto"/>
          <w:szCs w:val="21"/>
          <w:highlight w:val="none"/>
          <w:lang w:val="en-US" w:eastAsia="zh-CN"/>
        </w:rPr>
        <w:t>2</w:t>
      </w:r>
      <w:r>
        <w:rPr>
          <w:rFonts w:hint="eastAsia" w:ascii="宋体" w:hAnsi="宋体" w:eastAsia="宋体" w:cs="宋体"/>
          <w:b w:val="0"/>
          <w:bCs/>
          <w:color w:val="auto"/>
          <w:szCs w:val="21"/>
          <w:highlight w:val="none"/>
        </w:rPr>
        <w:t>分）</w:t>
      </w:r>
    </w:p>
    <w:p w14:paraId="26E712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响应单位2022年1月1日（以合同签订日期为准）以来承担过类似项目的，有一个得</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rPr>
        <w:t>分，最高得</w:t>
      </w:r>
      <w:r>
        <w:rPr>
          <w:rFonts w:hint="eastAsia" w:ascii="宋体" w:hAnsi="宋体" w:cs="宋体"/>
          <w:b w:val="0"/>
          <w:bCs/>
          <w:color w:val="auto"/>
          <w:szCs w:val="21"/>
          <w:highlight w:val="none"/>
          <w:lang w:val="en-US" w:eastAsia="zh-CN"/>
        </w:rPr>
        <w:t>2</w:t>
      </w:r>
      <w:r>
        <w:rPr>
          <w:rFonts w:hint="eastAsia" w:ascii="宋体" w:hAnsi="宋体" w:eastAsia="宋体" w:cs="宋体"/>
          <w:b w:val="0"/>
          <w:bCs/>
          <w:color w:val="auto"/>
          <w:szCs w:val="21"/>
          <w:highlight w:val="none"/>
        </w:rPr>
        <w:t>分。（响应文件中需提供业绩合同或协议扫描件，不提供的不得分。）</w:t>
      </w:r>
    </w:p>
    <w:p w14:paraId="70EE6230">
      <w:pPr>
        <w:spacing w:line="360" w:lineRule="auto"/>
        <w:rPr>
          <w:rFonts w:hint="eastAsia" w:cs="宋体" w:asciiTheme="minorEastAsia" w:hAnsiTheme="minorEastAsia" w:eastAsiaTheme="minorEastAsia"/>
          <w:b/>
          <w:color w:val="auto"/>
          <w:szCs w:val="21"/>
          <w:highlight w:val="none"/>
        </w:rPr>
      </w:pPr>
    </w:p>
    <w:p w14:paraId="3927DA9A">
      <w:pPr>
        <w:spacing w:line="360"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注：</w:t>
      </w:r>
    </w:p>
    <w:p w14:paraId="2F78FE8F">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1、报价超过采购预算的将不进入综合评审程序，也不得成交。</w:t>
      </w:r>
    </w:p>
    <w:p w14:paraId="3A69AF09">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2、付款步骤、服务期限如有负偏离的不得成交。</w:t>
      </w:r>
    </w:p>
    <w:p w14:paraId="01C00769">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hint="eastAsia" w:ascii="宋体" w:hAnsi="宋体" w:cs="宋体"/>
          <w:color w:val="auto"/>
          <w:szCs w:val="21"/>
          <w:highlight w:val="none"/>
        </w:rPr>
        <w:t>针对评分标准中评分的每一条，磋商响应单位均应提供相关资料并作出相应说明供评委评判，未提供相关资料或提供的相关资料不明确、不清晰评委而无法判断是否符合评分条件的视为不具备该项得分的条件</w:t>
      </w:r>
      <w:r>
        <w:rPr>
          <w:rFonts w:hint="eastAsia" w:cs="宋体" w:asciiTheme="minorEastAsia" w:hAnsiTheme="minorEastAsia" w:eastAsiaTheme="minorEastAsia"/>
          <w:color w:val="auto"/>
          <w:szCs w:val="21"/>
          <w:highlight w:val="none"/>
        </w:rPr>
        <w:t>。</w:t>
      </w:r>
    </w:p>
    <w:p w14:paraId="60A4394C">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4、采购文件中要求加盖响应单位公章的，可用电子签章代替。</w:t>
      </w:r>
    </w:p>
    <w:p w14:paraId="449035FB">
      <w:pPr>
        <w:pageBreakBefore/>
        <w:tabs>
          <w:tab w:val="left" w:pos="315"/>
          <w:tab w:val="center" w:pos="4153"/>
        </w:tabs>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四、合同主要条款及格式</w:t>
      </w:r>
    </w:p>
    <w:p w14:paraId="3EC8B4CC">
      <w:pPr>
        <w:pStyle w:val="21"/>
        <w:widowControl w:val="0"/>
        <w:spacing w:line="360" w:lineRule="auto"/>
        <w:ind w:firstLine="420"/>
        <w:rPr>
          <w:rFonts w:hAnsi="宋体" w:eastAsia="宋体" w:cs="宋体"/>
          <w:color w:val="auto"/>
          <w:sz w:val="21"/>
          <w:szCs w:val="21"/>
          <w:highlight w:val="none"/>
        </w:rPr>
      </w:pPr>
    </w:p>
    <w:p w14:paraId="363B57DB">
      <w:pPr>
        <w:spacing w:line="360" w:lineRule="auto"/>
        <w:rPr>
          <w:rFonts w:ascii="宋体" w:hAnsi="宋体" w:cs="宋体"/>
          <w:color w:val="auto"/>
          <w:highlight w:val="none"/>
        </w:rPr>
      </w:pPr>
      <w:r>
        <w:rPr>
          <w:rFonts w:hint="eastAsia" w:ascii="宋体" w:hAnsi="宋体" w:cs="宋体"/>
          <w:color w:val="auto"/>
          <w:highlight w:val="none"/>
        </w:rPr>
        <w:t>合同编号：</w:t>
      </w:r>
    </w:p>
    <w:p w14:paraId="49CCC604">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甲方（采购单位）：</w:t>
      </w:r>
      <w:r>
        <w:rPr>
          <w:rFonts w:hint="eastAsia" w:ascii="宋体" w:hAnsi="宋体" w:cs="宋体"/>
          <w:color w:val="auto"/>
          <w:highlight w:val="none"/>
          <w:lang w:eastAsia="zh-CN"/>
        </w:rPr>
        <w:t>苏州市姑苏区发展和改革局</w:t>
      </w:r>
    </w:p>
    <w:p w14:paraId="053FFA0C">
      <w:pPr>
        <w:spacing w:line="360" w:lineRule="auto"/>
        <w:rPr>
          <w:rFonts w:ascii="宋体" w:hAnsi="宋体"/>
          <w:color w:val="auto"/>
          <w:szCs w:val="21"/>
          <w:highlight w:val="none"/>
        </w:rPr>
      </w:pPr>
      <w:r>
        <w:rPr>
          <w:rFonts w:hint="eastAsia" w:ascii="宋体" w:hAnsi="宋体"/>
          <w:color w:val="auto"/>
          <w:szCs w:val="21"/>
          <w:highlight w:val="none"/>
        </w:rPr>
        <w:t>联系人：</w:t>
      </w:r>
    </w:p>
    <w:p w14:paraId="10314766">
      <w:pPr>
        <w:spacing w:line="360" w:lineRule="auto"/>
        <w:rPr>
          <w:rFonts w:ascii="宋体" w:hAnsi="宋体"/>
          <w:color w:val="auto"/>
          <w:szCs w:val="21"/>
          <w:highlight w:val="none"/>
        </w:rPr>
      </w:pPr>
      <w:r>
        <w:rPr>
          <w:rFonts w:hint="eastAsia" w:ascii="宋体" w:hAnsi="宋体"/>
          <w:color w:val="auto"/>
          <w:szCs w:val="21"/>
          <w:highlight w:val="none"/>
        </w:rPr>
        <w:t>联系电话：</w:t>
      </w:r>
    </w:p>
    <w:p w14:paraId="58E654C3">
      <w:pPr>
        <w:spacing w:line="360" w:lineRule="auto"/>
        <w:rPr>
          <w:rFonts w:ascii="宋体" w:hAnsi="宋体"/>
          <w:color w:val="auto"/>
          <w:szCs w:val="21"/>
          <w:highlight w:val="none"/>
        </w:rPr>
      </w:pPr>
      <w:r>
        <w:rPr>
          <w:rFonts w:hint="eastAsia" w:ascii="宋体" w:hAnsi="宋体"/>
          <w:color w:val="auto"/>
          <w:szCs w:val="21"/>
          <w:highlight w:val="none"/>
        </w:rPr>
        <w:t>联系地址：</w:t>
      </w:r>
    </w:p>
    <w:p w14:paraId="4DDC8325">
      <w:pPr>
        <w:spacing w:line="360" w:lineRule="auto"/>
        <w:rPr>
          <w:rFonts w:ascii="宋体" w:hAnsi="宋体" w:cs="宋体"/>
          <w:color w:val="auto"/>
          <w:highlight w:val="none"/>
        </w:rPr>
      </w:pPr>
    </w:p>
    <w:p w14:paraId="0F03ADF4">
      <w:pPr>
        <w:spacing w:line="360" w:lineRule="auto"/>
        <w:rPr>
          <w:rFonts w:ascii="宋体" w:hAnsi="宋体" w:cs="宋体"/>
          <w:color w:val="auto"/>
          <w:highlight w:val="none"/>
        </w:rPr>
      </w:pPr>
      <w:r>
        <w:rPr>
          <w:rFonts w:hint="eastAsia" w:ascii="宋体" w:hAnsi="宋体" w:cs="宋体"/>
          <w:color w:val="auto"/>
          <w:highlight w:val="none"/>
        </w:rPr>
        <w:t xml:space="preserve">乙方（成交单位）： </w:t>
      </w:r>
    </w:p>
    <w:p w14:paraId="58C7A5A6">
      <w:pPr>
        <w:spacing w:line="360" w:lineRule="auto"/>
        <w:rPr>
          <w:rFonts w:ascii="宋体" w:hAnsi="宋体"/>
          <w:color w:val="auto"/>
          <w:szCs w:val="21"/>
          <w:highlight w:val="none"/>
        </w:rPr>
      </w:pPr>
      <w:r>
        <w:rPr>
          <w:rFonts w:hint="eastAsia" w:ascii="宋体" w:hAnsi="宋体"/>
          <w:color w:val="auto"/>
          <w:szCs w:val="21"/>
          <w:highlight w:val="none"/>
        </w:rPr>
        <w:t>联系人：</w:t>
      </w:r>
    </w:p>
    <w:p w14:paraId="55C5137B">
      <w:pPr>
        <w:spacing w:line="360" w:lineRule="auto"/>
        <w:rPr>
          <w:rFonts w:ascii="宋体" w:hAnsi="宋体" w:cs="宋体"/>
          <w:color w:val="auto"/>
          <w:szCs w:val="21"/>
          <w:highlight w:val="none"/>
        </w:rPr>
      </w:pPr>
      <w:r>
        <w:rPr>
          <w:rFonts w:hint="eastAsia" w:ascii="宋体" w:hAnsi="宋体"/>
          <w:color w:val="auto"/>
          <w:szCs w:val="21"/>
          <w:highlight w:val="none"/>
        </w:rPr>
        <w:t>联系电话：</w:t>
      </w:r>
    </w:p>
    <w:p w14:paraId="682687C7">
      <w:pPr>
        <w:spacing w:line="360" w:lineRule="auto"/>
        <w:rPr>
          <w:rFonts w:ascii="宋体" w:hAnsi="宋体"/>
          <w:color w:val="auto"/>
          <w:szCs w:val="21"/>
          <w:highlight w:val="none"/>
        </w:rPr>
      </w:pPr>
      <w:r>
        <w:rPr>
          <w:rFonts w:hint="eastAsia" w:ascii="宋体" w:hAnsi="宋体"/>
          <w:color w:val="auto"/>
          <w:szCs w:val="21"/>
          <w:highlight w:val="none"/>
        </w:rPr>
        <w:t>联系地址：</w:t>
      </w:r>
    </w:p>
    <w:p w14:paraId="7CFE0E91">
      <w:pPr>
        <w:spacing w:line="360" w:lineRule="auto"/>
        <w:rPr>
          <w:rFonts w:ascii="宋体" w:hAnsi="宋体" w:cs="宋体"/>
          <w:color w:val="auto"/>
          <w:highlight w:val="none"/>
        </w:rPr>
      </w:pPr>
    </w:p>
    <w:p w14:paraId="7E018A8F">
      <w:pPr>
        <w:kinsoku w:val="0"/>
        <w:overflowPunct w:val="0"/>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根据苏州市创杰招投标咨询服务有限公司磋商编号</w:t>
      </w:r>
      <w:r>
        <w:rPr>
          <w:rFonts w:hint="eastAsia" w:ascii="宋体" w:hAnsi="宋体"/>
          <w:color w:val="auto"/>
          <w:szCs w:val="21"/>
          <w:highlight w:val="none"/>
          <w:lang w:eastAsia="zh-CN"/>
        </w:rPr>
        <w:t>JSZC-320508-CJZB-C2026-0044</w:t>
      </w:r>
      <w:r>
        <w:rPr>
          <w:rFonts w:hint="eastAsia" w:ascii="宋体" w:hAnsi="宋体"/>
          <w:color w:val="auto"/>
          <w:szCs w:val="21"/>
          <w:highlight w:val="none"/>
        </w:rPr>
        <w:t>号磋商采购文件及成交通知书，甲（采购单位）乙（成交单位）双方就此次成交的“</w:t>
      </w:r>
      <w:r>
        <w:rPr>
          <w:rFonts w:hint="eastAsia" w:ascii="宋体" w:hAnsi="宋体"/>
          <w:color w:val="auto"/>
          <w:szCs w:val="21"/>
          <w:highlight w:val="none"/>
          <w:u w:val="single"/>
        </w:rPr>
        <w:t xml:space="preserve">                        </w:t>
      </w:r>
      <w:r>
        <w:rPr>
          <w:rFonts w:hint="eastAsia" w:ascii="宋体" w:hAnsi="宋体"/>
          <w:color w:val="auto"/>
          <w:szCs w:val="21"/>
          <w:highlight w:val="none"/>
        </w:rPr>
        <w:t>”事宜，签订本合同书。</w:t>
      </w:r>
    </w:p>
    <w:p w14:paraId="6BD8C866">
      <w:pPr>
        <w:kinsoku w:val="0"/>
        <w:overflowPunct w:val="0"/>
        <w:autoSpaceDE w:val="0"/>
        <w:autoSpaceDN w:val="0"/>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一、合同内容：</w:t>
      </w:r>
      <w:r>
        <w:rPr>
          <w:rFonts w:hint="eastAsia" w:ascii="宋体" w:hAnsi="宋体" w:cs="宋体"/>
          <w:color w:val="auto"/>
          <w:szCs w:val="21"/>
          <w:highlight w:val="none"/>
        </w:rPr>
        <w:t>甲方委托乙方进行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苏州市姑苏区猪肉储备服务（202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rPr>
        <w:t>项目，同时乙方须向甲方提供如下配套服务：完成</w:t>
      </w:r>
      <w:r>
        <w:rPr>
          <w:rFonts w:hint="eastAsia" w:ascii="宋体" w:hAnsi="宋体" w:cs="宋体"/>
          <w:color w:val="auto"/>
          <w:szCs w:val="21"/>
          <w:highlight w:val="none"/>
          <w:lang w:eastAsia="zh-CN"/>
        </w:rPr>
        <w:t>苏州市姑苏区猪肉储备服务（202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吨的猪肉储备量及其配套服务。</w:t>
      </w:r>
    </w:p>
    <w:p w14:paraId="38E68FB5">
      <w:pPr>
        <w:kinsoku w:val="0"/>
        <w:overflowPunct w:val="0"/>
        <w:autoSpaceDE w:val="0"/>
        <w:autoSpaceDN w:val="0"/>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二、下列文件为本合同不可分割部分：</w:t>
      </w:r>
    </w:p>
    <w:p w14:paraId="67416AA5">
      <w:pPr>
        <w:kinsoku w:val="0"/>
        <w:overflowPunct w:val="0"/>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14:paraId="254D1AC7">
      <w:pPr>
        <w:kinsoku w:val="0"/>
        <w:overflowPunct w:val="0"/>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2、采购文件及其补充文件（如有）；</w:t>
      </w:r>
    </w:p>
    <w:p w14:paraId="650AE380">
      <w:pPr>
        <w:kinsoku w:val="0"/>
        <w:overflowPunct w:val="0"/>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3、乙方成交的响应文件及书面承诺；</w:t>
      </w:r>
    </w:p>
    <w:p w14:paraId="273350EE">
      <w:pPr>
        <w:kinsoku w:val="0"/>
        <w:overflowPunct w:val="0"/>
        <w:autoSpaceDE w:val="0"/>
        <w:autoSpaceDN w:val="0"/>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三、价格与支付：</w:t>
      </w:r>
    </w:p>
    <w:p w14:paraId="2BC57947">
      <w:pPr>
        <w:kinsoku w:val="0"/>
        <w:overflowPunct w:val="0"/>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1、猪肉储备任务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（吨）,单价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（元/吨），合同总价格为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（元），合同</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价格为完成所有工作的最终价格，包括完成本次猪肉的提供、包装、仓储、运输、网点维护、水电费、利润、税金、政策性文件规定及合同包含的所有风险、责任等各项应有费用。</w:t>
      </w:r>
    </w:p>
    <w:p w14:paraId="4A1EC775">
      <w:pPr>
        <w:kinsoku w:val="0"/>
        <w:overflowPunct w:val="0"/>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2、付款步骤：（具体按照</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单价按实结算）</w:t>
      </w:r>
    </w:p>
    <w:p w14:paraId="3BA04732">
      <w:pPr>
        <w:kinsoku w:val="0"/>
        <w:overflowPunct w:val="0"/>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A、□在签订合同时，乙方明确表示需要甲方支付预付款的</w:t>
      </w:r>
    </w:p>
    <w:p w14:paraId="0DED99CE">
      <w:pPr>
        <w:kinsoku w:val="0"/>
        <w:overflowPunct w:val="0"/>
        <w:autoSpaceDE w:val="0"/>
        <w:autoSpaceDN w:val="0"/>
        <w:adjustRightInd w:val="0"/>
        <w:snapToGrid w:val="0"/>
        <w:spacing w:line="360" w:lineRule="auto"/>
        <w:ind w:firstLine="420" w:firstLineChars="20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0"/>
          <w:highlight w:val="none"/>
        </w:rPr>
        <w:t>合同签订后，甲方支付合同价的</w:t>
      </w:r>
      <w:r>
        <w:rPr>
          <w:rFonts w:hint="eastAsia" w:ascii="宋体" w:hAnsi="宋体" w:cs="宋体"/>
          <w:color w:val="auto"/>
          <w:szCs w:val="20"/>
          <w:highlight w:val="none"/>
          <w:lang w:val="en-US" w:eastAsia="zh-CN"/>
        </w:rPr>
        <w:t>3</w:t>
      </w:r>
      <w:r>
        <w:rPr>
          <w:rFonts w:hint="eastAsia" w:ascii="宋体" w:hAnsi="宋体" w:cs="宋体"/>
          <w:color w:val="auto"/>
          <w:szCs w:val="20"/>
          <w:highlight w:val="none"/>
        </w:rPr>
        <w:t>0%作为预付款</w:t>
      </w:r>
      <w:r>
        <w:rPr>
          <w:rFonts w:hint="eastAsia" w:ascii="宋体" w:hAnsi="宋体" w:cs="宋体"/>
          <w:color w:val="auto"/>
          <w:szCs w:val="20"/>
          <w:highlight w:val="none"/>
          <w:lang w:eastAsia="zh-CN"/>
        </w:rPr>
        <w:t>。</w:t>
      </w:r>
    </w:p>
    <w:p w14:paraId="733362DB">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全部储备量到位后，甲方验收合格后一个月内支付合同总金额的20%；合同签订满壹年经甲方考核合格后，甲方支付合同总金额的30%；合同签订满两年经甲方考核合格后，甲方支付合同总金额的30%；合同期满经甲方考核合格后甲方支付合同总金额的20%尾款。甲方付款</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u w:val="single"/>
          <w:lang w:val="en-US" w:eastAsia="zh-CN"/>
        </w:rPr>
        <w:t>7个</w:t>
      </w:r>
      <w:r>
        <w:rPr>
          <w:rFonts w:hint="eastAsia" w:ascii="宋体" w:hAnsi="宋体" w:cs="宋体"/>
          <w:color w:val="auto"/>
          <w:szCs w:val="21"/>
          <w:highlight w:val="none"/>
          <w:lang w:val="en-US" w:eastAsia="zh-CN"/>
        </w:rPr>
        <w:t>工作日内</w:t>
      </w:r>
      <w:r>
        <w:rPr>
          <w:rFonts w:hint="eastAsia" w:ascii="宋体" w:hAnsi="宋体" w:cs="宋体"/>
          <w:color w:val="auto"/>
          <w:szCs w:val="21"/>
          <w:highlight w:val="none"/>
        </w:rPr>
        <w:t>，乙方需提供合格的发票等甲方要求的付款凭证资料</w:t>
      </w:r>
      <w:r>
        <w:rPr>
          <w:rFonts w:hint="eastAsia" w:ascii="宋体" w:hAnsi="宋体" w:cs="宋体"/>
          <w:color w:val="auto"/>
          <w:szCs w:val="21"/>
          <w:highlight w:val="none"/>
          <w:lang w:eastAsia="zh-CN"/>
        </w:rPr>
        <w:t>，乙方未按约开具发票的，甲方有权迟延付款，且不承担逾期付款的违约责任。</w:t>
      </w:r>
      <w:r>
        <w:rPr>
          <w:rFonts w:hint="eastAsia" w:ascii="宋体" w:hAnsi="宋体" w:eastAsia="宋体" w:cs="宋体"/>
          <w:color w:val="auto"/>
          <w:sz w:val="21"/>
          <w:szCs w:val="21"/>
          <w:highlight w:val="none"/>
        </w:rPr>
        <w:t>预付款按比例每次结算后扣除</w:t>
      </w:r>
      <w:r>
        <w:rPr>
          <w:rFonts w:hint="eastAsia" w:ascii="宋体" w:hAnsi="宋体" w:eastAsia="宋体" w:cs="宋体"/>
          <w:color w:val="auto"/>
          <w:sz w:val="21"/>
          <w:szCs w:val="21"/>
          <w:highlight w:val="none"/>
          <w:lang w:eastAsia="zh-CN"/>
        </w:rPr>
        <w:t>。</w:t>
      </w:r>
    </w:p>
    <w:p w14:paraId="61B93419">
      <w:pPr>
        <w:kinsoku w:val="0"/>
        <w:overflowPunct w:val="0"/>
        <w:autoSpaceDE w:val="0"/>
        <w:autoSpaceDN w:val="0"/>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bCs/>
          <w:color w:val="auto"/>
          <w:szCs w:val="21"/>
          <w:highlight w:val="none"/>
        </w:rPr>
        <w:t>B、□在签订合同时，乙方明确表示无需甲方支付预付款的</w:t>
      </w:r>
    </w:p>
    <w:p w14:paraId="7C6A086F">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全部储备量到位后，甲方验收合格后一个月内支付合同总金额的</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0%；合同签订满壹年经甲方考核合格后，甲方支付合同总金额的30%；合同签订满两年经甲方考核合格后，甲方支付合同总金额的30%；合同期满经甲方考核合格后甲方支付合同总金额的20%尾款。甲方付款</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u w:val="single"/>
          <w:lang w:val="en-US" w:eastAsia="zh-CN"/>
        </w:rPr>
        <w:t>7个</w:t>
      </w:r>
      <w:r>
        <w:rPr>
          <w:rFonts w:hint="eastAsia" w:ascii="宋体" w:hAnsi="宋体" w:cs="宋体"/>
          <w:color w:val="auto"/>
          <w:szCs w:val="21"/>
          <w:highlight w:val="none"/>
          <w:lang w:val="en-US" w:eastAsia="zh-CN"/>
        </w:rPr>
        <w:t>工作日内</w:t>
      </w:r>
      <w:r>
        <w:rPr>
          <w:rFonts w:hint="eastAsia" w:ascii="宋体" w:hAnsi="宋体" w:cs="宋体"/>
          <w:color w:val="auto"/>
          <w:szCs w:val="21"/>
          <w:highlight w:val="none"/>
        </w:rPr>
        <w:t>，乙方需提供合格的发票等甲方要求的付款凭证资料</w:t>
      </w:r>
      <w:r>
        <w:rPr>
          <w:rFonts w:hint="eastAsia" w:ascii="宋体" w:hAnsi="宋体" w:cs="宋体"/>
          <w:color w:val="auto"/>
          <w:szCs w:val="21"/>
          <w:highlight w:val="none"/>
          <w:lang w:eastAsia="zh-CN"/>
        </w:rPr>
        <w:t>，乙方未按约开具发票的，甲方有权迟延付款，且不承担逾期付款的违约责任</w:t>
      </w:r>
      <w:r>
        <w:rPr>
          <w:rFonts w:hint="eastAsia" w:ascii="宋体" w:hAnsi="宋体" w:cs="宋体"/>
          <w:color w:val="auto"/>
          <w:szCs w:val="21"/>
          <w:highlight w:val="none"/>
        </w:rPr>
        <w:t>。</w:t>
      </w:r>
    </w:p>
    <w:p w14:paraId="6B9A4859">
      <w:pPr>
        <w:kinsoku w:val="0"/>
        <w:overflowPunct w:val="0"/>
        <w:autoSpaceDE w:val="0"/>
        <w:autoSpaceDN w:val="0"/>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考核明细具体见合同附件 </w:t>
      </w:r>
    </w:p>
    <w:p w14:paraId="3E2EEDAF">
      <w:pPr>
        <w:numPr>
          <w:ilvl w:val="-1"/>
          <w:numId w:val="0"/>
        </w:numPr>
        <w:kinsoku w:val="0"/>
        <w:overflowPunct w:val="0"/>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年度考评分在90分（含）以上则全额支付当期管理费；</w:t>
      </w:r>
    </w:p>
    <w:p w14:paraId="6B3FF330">
      <w:pPr>
        <w:numPr>
          <w:ilvl w:val="-1"/>
          <w:numId w:val="0"/>
        </w:numPr>
        <w:kinsoku w:val="0"/>
        <w:overflowPunct w:val="0"/>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年度考评分在80分以上90分以下则按每分500元扣除当期管理费并针对扣分项进行整改；</w:t>
      </w:r>
    </w:p>
    <w:p w14:paraId="28A85537">
      <w:pPr>
        <w:numPr>
          <w:ilvl w:val="-1"/>
          <w:numId w:val="0"/>
        </w:numPr>
        <w:kinsoku w:val="0"/>
        <w:overflowPunct w:val="0"/>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年度考评分在80分（含）以下则按每分500元扣款并加扣该周期费用5%</w:t>
      </w:r>
      <w:r>
        <w:rPr>
          <w:rFonts w:hint="eastAsia" w:ascii="宋体" w:hAnsi="宋体" w:cs="宋体"/>
          <w:color w:val="auto"/>
          <w:szCs w:val="21"/>
          <w:highlight w:val="none"/>
          <w:lang w:eastAsia="zh-CN"/>
        </w:rPr>
        <w:t>，</w:t>
      </w:r>
      <w:r>
        <w:rPr>
          <w:rFonts w:hint="eastAsia" w:ascii="宋体" w:hAnsi="宋体" w:cs="宋体"/>
          <w:color w:val="auto"/>
          <w:szCs w:val="21"/>
          <w:highlight w:val="none"/>
        </w:rPr>
        <w:t>下达书面整改通知，限期完成；</w:t>
      </w:r>
    </w:p>
    <w:p w14:paraId="1AE5A830">
      <w:pPr>
        <w:kinsoku w:val="0"/>
        <w:overflowPunct w:val="0"/>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年度考评分在60分（不含）以下则终止合同。</w:t>
      </w:r>
    </w:p>
    <w:p w14:paraId="53A1E22C">
      <w:pPr>
        <w:numPr>
          <w:ilvl w:val="0"/>
          <w:numId w:val="4"/>
        </w:numPr>
        <w:kinsoku w:val="0"/>
        <w:overflowPunct w:val="0"/>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付款方式：</w:t>
      </w:r>
      <w:r>
        <w:rPr>
          <w:rFonts w:hint="eastAsia" w:ascii="宋体" w:hAnsi="宋体" w:cs="宋体"/>
          <w:color w:val="auto"/>
          <w:szCs w:val="21"/>
          <w:highlight w:val="none"/>
          <w:lang w:val="en-US" w:eastAsia="zh-CN"/>
        </w:rPr>
        <w:t>数字人民币支付</w:t>
      </w:r>
      <w:r>
        <w:rPr>
          <w:rFonts w:hint="eastAsia" w:ascii="宋体" w:hAnsi="宋体" w:cs="宋体"/>
          <w:color w:val="auto"/>
          <w:szCs w:val="21"/>
          <w:highlight w:val="none"/>
        </w:rPr>
        <w:t>。</w:t>
      </w:r>
    </w:p>
    <w:p w14:paraId="0AD3BA4B">
      <w:pPr>
        <w:numPr>
          <w:ilvl w:val="0"/>
          <w:numId w:val="0"/>
        </w:numPr>
        <w:kinsoku w:val="0"/>
        <w:overflowPunct w:val="0"/>
        <w:autoSpaceDE w:val="0"/>
        <w:autoSpaceDN w:val="0"/>
        <w:adjustRightInd w:val="0"/>
        <w:snapToGrid w:val="0"/>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乙方开户名称：</w:t>
      </w:r>
    </w:p>
    <w:p w14:paraId="0E3AADDF">
      <w:pPr>
        <w:numPr>
          <w:ilvl w:val="0"/>
          <w:numId w:val="0"/>
        </w:numPr>
        <w:kinsoku w:val="0"/>
        <w:overflowPunct w:val="0"/>
        <w:autoSpaceDE w:val="0"/>
        <w:autoSpaceDN w:val="0"/>
        <w:adjustRightInd w:val="0"/>
        <w:snapToGrid w:val="0"/>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开户银行：</w:t>
      </w:r>
    </w:p>
    <w:p w14:paraId="6A51AFA8">
      <w:pPr>
        <w:numPr>
          <w:ilvl w:val="0"/>
          <w:numId w:val="0"/>
        </w:numPr>
        <w:kinsoku w:val="0"/>
        <w:overflowPunct w:val="0"/>
        <w:autoSpaceDE w:val="0"/>
        <w:autoSpaceDN w:val="0"/>
        <w:adjustRightInd w:val="0"/>
        <w:snapToGrid w:val="0"/>
        <w:spacing w:line="360" w:lineRule="auto"/>
        <w:ind w:firstLine="840" w:firstLineChars="4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数字人民币账号</w:t>
      </w:r>
      <w:r>
        <w:rPr>
          <w:rFonts w:hint="eastAsia" w:ascii="宋体" w:hAnsi="宋体" w:cs="宋体"/>
          <w:color w:val="auto"/>
          <w:szCs w:val="21"/>
          <w:highlight w:val="none"/>
          <w:lang w:eastAsia="zh-CN"/>
        </w:rPr>
        <w:t>：</w:t>
      </w:r>
    </w:p>
    <w:p w14:paraId="45129B93">
      <w:pPr>
        <w:kinsoku w:val="0"/>
        <w:overflowPunct w:val="0"/>
        <w:autoSpaceDE w:val="0"/>
        <w:autoSpaceDN w:val="0"/>
        <w:adjustRightInd w:val="0"/>
        <w:snapToGrid w:val="0"/>
        <w:spacing w:line="360" w:lineRule="auto"/>
        <w:ind w:firstLine="422" w:firstLineChars="200"/>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服务要求</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具体见采购文件。</w:t>
      </w:r>
    </w:p>
    <w:p w14:paraId="5F64E6DC">
      <w:pPr>
        <w:kinsoku w:val="0"/>
        <w:overflowPunct w:val="0"/>
        <w:autoSpaceDE w:val="0"/>
        <w:autoSpaceDN w:val="0"/>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、服务期限</w:t>
      </w:r>
      <w:r>
        <w:rPr>
          <w:rFonts w:hint="eastAsia" w:ascii="宋体" w:hAnsi="宋体" w:cs="宋体"/>
          <w:color w:val="auto"/>
          <w:szCs w:val="21"/>
          <w:highlight w:val="none"/>
        </w:rPr>
        <w:t>：三年的储备期（  年  月  日至   年  月  日）。</w:t>
      </w:r>
    </w:p>
    <w:p w14:paraId="58E1D42A">
      <w:pPr>
        <w:kinsoku w:val="0"/>
        <w:overflowPunct w:val="0"/>
        <w:autoSpaceDE w:val="0"/>
        <w:autoSpaceDN w:val="0"/>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履约验收</w:t>
      </w:r>
      <w:r>
        <w:rPr>
          <w:rFonts w:hint="eastAsia" w:ascii="宋体" w:hAnsi="宋体" w:cs="宋体"/>
          <w:b/>
          <w:bCs/>
          <w:color w:val="auto"/>
          <w:szCs w:val="21"/>
          <w:highlight w:val="none"/>
        </w:rPr>
        <w:t>：</w:t>
      </w:r>
    </w:p>
    <w:p w14:paraId="2C767AFB">
      <w:pPr>
        <w:kinsoku w:val="0"/>
        <w:overflowPunct w:val="0"/>
        <w:autoSpaceDE w:val="0"/>
        <w:autoSpaceDN w:val="0"/>
        <w:adjustRightInd w:val="0"/>
        <w:snapToGrid w:val="0"/>
        <w:spacing w:line="360" w:lineRule="auto"/>
        <w:ind w:firstLine="420" w:firstLineChars="200"/>
        <w:rPr>
          <w:rFonts w:hint="eastAsia" w:ascii="宋体" w:hAnsi="宋体" w:cs="宋体" w:eastAsiaTheme="minorEastAsia"/>
          <w:b w:val="0"/>
          <w:bCs w:val="0"/>
          <w:color w:val="auto"/>
          <w:szCs w:val="21"/>
          <w:highlight w:val="none"/>
          <w:lang w:eastAsia="zh-CN"/>
        </w:rPr>
      </w:pPr>
      <w:r>
        <w:rPr>
          <w:rFonts w:hint="eastAsia" w:ascii="宋体" w:hAnsi="宋体" w:cs="宋体"/>
          <w:b w:val="0"/>
          <w:bCs w:val="0"/>
          <w:color w:val="auto"/>
          <w:szCs w:val="21"/>
          <w:highlight w:val="none"/>
        </w:rPr>
        <w:t>1.甲方将根据《江苏省财政厅关于印发〈江苏省政府采购履约验收管理办法〉的通知》（苏财规〔2024〕7号）相关要求，组织项目履约验收基本工作</w:t>
      </w:r>
      <w:r>
        <w:rPr>
          <w:rFonts w:hint="eastAsia" w:ascii="宋体" w:hAnsi="宋体" w:cs="宋体"/>
          <w:b w:val="0"/>
          <w:bCs w:val="0"/>
          <w:color w:val="auto"/>
          <w:szCs w:val="21"/>
          <w:highlight w:val="none"/>
          <w:lang w:eastAsia="zh-CN"/>
        </w:rPr>
        <w:t>。</w:t>
      </w:r>
    </w:p>
    <w:p w14:paraId="29A93777">
      <w:pPr>
        <w:kinsoku w:val="0"/>
        <w:overflowPunct w:val="0"/>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政府采购合同要求、采购文件要求、响应文件、承诺等是履约验收的重要依据。</w:t>
      </w:r>
    </w:p>
    <w:p w14:paraId="58CEF418">
      <w:pPr>
        <w:kinsoku w:val="0"/>
        <w:overflowPunct w:val="0"/>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.验收工作由甲方（采购人）组织实施，甲方可自行或委托具备资质的第三方专业机构进行。</w:t>
      </w:r>
      <w:r>
        <w:rPr>
          <w:rFonts w:hint="eastAsia" w:ascii="宋体" w:hAnsi="宋体" w:cs="宋体"/>
          <w:b w:val="0"/>
          <w:bCs w:val="0"/>
          <w:color w:val="auto"/>
          <w:szCs w:val="21"/>
          <w:highlight w:val="none"/>
          <w:lang w:val="en-US" w:eastAsia="zh-CN"/>
        </w:rPr>
        <w:t>产生的相关费用由乙方负责承担</w:t>
      </w:r>
      <w:r>
        <w:rPr>
          <w:rFonts w:hint="eastAsia" w:ascii="宋体" w:hAnsi="宋体" w:cs="宋体"/>
          <w:b w:val="0"/>
          <w:bCs w:val="0"/>
          <w:color w:val="auto"/>
          <w:szCs w:val="21"/>
          <w:highlight w:val="none"/>
        </w:rPr>
        <w:t>。</w:t>
      </w:r>
    </w:p>
    <w:p w14:paraId="256FB0DF">
      <w:pPr>
        <w:kinsoku w:val="0"/>
        <w:overflowPunct w:val="0"/>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w:t>
      </w:r>
      <w:bookmarkStart w:id="8" w:name="_Hlk190634960"/>
      <w:r>
        <w:rPr>
          <w:rFonts w:hint="eastAsia" w:ascii="宋体" w:hAnsi="宋体" w:cs="宋体"/>
          <w:bCs/>
          <w:color w:val="auto"/>
          <w:szCs w:val="21"/>
          <w:highlight w:val="none"/>
        </w:rPr>
        <w:t>甲方按照采购文件确定的验收方案或考核方案(包括履约验收的时间、方式、程序、范围等内容)，综合考核情况和服务效果进行验收。</w:t>
      </w:r>
      <w:bookmarkEnd w:id="8"/>
      <w:r>
        <w:rPr>
          <w:rFonts w:hint="eastAsia" w:ascii="宋体" w:hAnsi="宋体" w:cs="宋体"/>
          <w:b w:val="0"/>
          <w:bCs w:val="0"/>
          <w:color w:val="auto"/>
          <w:szCs w:val="21"/>
          <w:highlight w:val="none"/>
        </w:rPr>
        <w:t>乙方应根据验收方案内容做好相应配合工作。</w:t>
      </w:r>
    </w:p>
    <w:p w14:paraId="374879F4">
      <w:pPr>
        <w:kinsoku w:val="0"/>
        <w:overflowPunct w:val="0"/>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甲方按照采购合同的约定对乙方的履约情况进行验收。验收时，甲方按照采购合同的约定对每一项履约情况进行确认。验收结束后，甲方出具验收记录，列明验收情况，由验收双方共同签署。验收结果与采购合同约定的资金支付及履约保证金</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如有</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返还条件挂钩。履约验收的各项资料存档备查。</w:t>
      </w:r>
    </w:p>
    <w:p w14:paraId="62D1D287">
      <w:pPr>
        <w:kinsoku w:val="0"/>
        <w:overflowPunct w:val="0"/>
        <w:autoSpaceDE w:val="0"/>
        <w:autoSpaceDN w:val="0"/>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.验收合格的项目，甲方根据采购合同的约定及时向乙方支付合同款项。验收不合格的项目，甲方依法及时处理</w:t>
      </w:r>
      <w:r>
        <w:rPr>
          <w:rFonts w:hint="eastAsia" w:ascii="宋体" w:hAnsi="宋体" w:cs="宋体"/>
          <w:color w:val="auto"/>
          <w:szCs w:val="21"/>
          <w:highlight w:val="none"/>
          <w:lang w:eastAsia="zh-CN"/>
        </w:rPr>
        <w:t>。</w:t>
      </w:r>
    </w:p>
    <w:p w14:paraId="3FAE19E4">
      <w:pPr>
        <w:pStyle w:val="266"/>
        <w:tabs>
          <w:tab w:val="left" w:pos="857"/>
        </w:tabs>
        <w:kinsoku w:val="0"/>
        <w:overflowPunct w:val="0"/>
        <w:autoSpaceDE w:val="0"/>
        <w:autoSpaceDN w:val="0"/>
        <w:adjustRightInd w:val="0"/>
        <w:snapToGrid w:val="0"/>
        <w:spacing w:line="360" w:lineRule="auto"/>
        <w:ind w:firstLine="422" w:firstLineChars="200"/>
        <w:jc w:val="left"/>
        <w:rPr>
          <w:b/>
          <w:bCs/>
          <w:color w:val="auto"/>
          <w:sz w:val="21"/>
          <w:szCs w:val="21"/>
          <w:highlight w:val="none"/>
          <w:lang w:val="en-US" w:bidi="ar-SA"/>
        </w:rPr>
      </w:pPr>
      <w:r>
        <w:rPr>
          <w:rFonts w:hint="eastAsia"/>
          <w:b/>
          <w:bCs/>
          <w:color w:val="auto"/>
          <w:sz w:val="21"/>
          <w:szCs w:val="21"/>
          <w:highlight w:val="none"/>
          <w:lang w:val="en-US" w:eastAsia="zh-CN" w:bidi="ar-SA"/>
        </w:rPr>
        <w:t>七</w:t>
      </w:r>
      <w:r>
        <w:rPr>
          <w:rFonts w:hint="eastAsia"/>
          <w:b/>
          <w:bCs/>
          <w:color w:val="auto"/>
          <w:sz w:val="21"/>
          <w:szCs w:val="21"/>
          <w:highlight w:val="none"/>
          <w:lang w:val="en-US" w:bidi="ar-SA"/>
        </w:rPr>
        <w:t>、违约责任：</w:t>
      </w:r>
    </w:p>
    <w:p w14:paraId="1763BD07">
      <w:pPr>
        <w:kinsoku w:val="0"/>
        <w:overflowPunct w:val="0"/>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乙方不能按时提供服务（逾期超过十五天视为不能服务），或服务不合格从而影响甲方按期正常使用的，甲方有权解除合同，乙方应向甲方偿付合同总价款5%的违约金，违约金不足以补偿损失的甲方有权要求乙方补足。</w:t>
      </w:r>
    </w:p>
    <w:p w14:paraId="52ACFCE7">
      <w:pPr>
        <w:kinsoku w:val="0"/>
        <w:overflowPunct w:val="0"/>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130262F9">
      <w:pPr>
        <w:kinsoku w:val="0"/>
        <w:overflowPunct w:val="0"/>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3.乙方若需终止合同，应在合同有限期内提前一个月通知甲方。在协议有效期内乙方不得擅自变更或终止此项合同，否则须向甲方支付合同总金额30%的违约金，并应按造成的实际损失对甲方进行赔偿。</w:t>
      </w:r>
    </w:p>
    <w:p w14:paraId="373BF3BB">
      <w:pPr>
        <w:kinsoku w:val="0"/>
        <w:overflowPunct w:val="0"/>
        <w:autoSpaceDE w:val="0"/>
        <w:autoSpaceDN w:val="0"/>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4.若乙方在履行合同过程中出现严重失职或者乙方的年度考核得分低于60分，甲方有权因乙方服务存严重瑕疵解除本合同，同时乙方须向甲方支付合同总额的20%的赔偿金。</w:t>
      </w:r>
    </w:p>
    <w:p w14:paraId="16DE2F0C">
      <w:pPr>
        <w:kinsoku w:val="0"/>
        <w:overflowPunct w:val="0"/>
        <w:autoSpaceDE w:val="0"/>
        <w:autoSpaceDN w:val="0"/>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八</w:t>
      </w:r>
      <w:r>
        <w:rPr>
          <w:rFonts w:hint="eastAsia" w:ascii="宋体" w:hAnsi="宋体" w:cs="宋体"/>
          <w:b/>
          <w:bCs/>
          <w:color w:val="auto"/>
          <w:szCs w:val="21"/>
          <w:highlight w:val="none"/>
        </w:rPr>
        <w:t>、合同生效及其它：</w:t>
      </w:r>
    </w:p>
    <w:p w14:paraId="3A3B3412">
      <w:pPr>
        <w:kinsoku w:val="0"/>
        <w:overflowPunct w:val="0"/>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.合同经招标代理机构加盖骑缝章，甲乙双方代表签字并加盖公章（或合同章）</w:t>
      </w:r>
      <w:r>
        <w:rPr>
          <w:rFonts w:hint="eastAsia" w:ascii="宋体" w:hAnsi="宋体" w:cs="宋体"/>
          <w:color w:val="auto"/>
          <w:szCs w:val="21"/>
          <w:highlight w:val="none"/>
        </w:rPr>
        <w:t>。</w:t>
      </w:r>
    </w:p>
    <w:p w14:paraId="5EA4F828">
      <w:pPr>
        <w:kinsoku w:val="0"/>
        <w:overflowPunct w:val="0"/>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在合同履行过程中，发生的任何争议，各方应友好协商解决，如不能协商解决时，任何一方可向甲方所在地人民法院提起诉讼。因乙方违约或乙方追究甲方违约但不成立，导致甲方为处理此纠纷产生的费用由乙方承担，该费用包括但不限于公证费、诉讼费、保全费、鉴定费、执行费、律师费、差旅费等。</w:t>
      </w:r>
    </w:p>
    <w:p w14:paraId="16E832A5">
      <w:pPr>
        <w:kinsoku w:val="0"/>
        <w:overflowPunct w:val="0"/>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合同在执行过程中出现的未尽事宜，双方在不违背本合同和采购文件的原则下协商解决，协商结果以书面形式盖章记录在案，作为本合同的附件，与本合同具有同等效力，但需提交招标代理机构一份备存。</w:t>
      </w:r>
    </w:p>
    <w:p w14:paraId="4C574ED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本合同一式</w:t>
      </w:r>
      <w:r>
        <w:rPr>
          <w:rFonts w:hint="eastAsia" w:ascii="宋体" w:hAnsi="宋体" w:cs="宋体"/>
          <w:color w:val="auto"/>
          <w:szCs w:val="21"/>
          <w:highlight w:val="none"/>
          <w:lang w:val="en-US" w:eastAsia="zh-CN"/>
        </w:rPr>
        <w:t>叁</w:t>
      </w:r>
      <w:r>
        <w:rPr>
          <w:rFonts w:hint="eastAsia" w:ascii="宋体" w:hAnsi="宋体" w:cs="宋体"/>
          <w:color w:val="auto"/>
          <w:szCs w:val="21"/>
          <w:highlight w:val="none"/>
        </w:rPr>
        <w:t>份，甲乙双方和招标代理机构各执</w:t>
      </w:r>
      <w:r>
        <w:rPr>
          <w:rFonts w:hint="eastAsia" w:ascii="宋体" w:hAnsi="宋体" w:cs="宋体"/>
          <w:color w:val="auto"/>
          <w:szCs w:val="21"/>
          <w:highlight w:val="none"/>
          <w:lang w:val="en-US" w:eastAsia="zh-CN"/>
        </w:rPr>
        <w:t>壹</w:t>
      </w:r>
      <w:r>
        <w:rPr>
          <w:rFonts w:hint="eastAsia" w:ascii="宋体" w:hAnsi="宋体" w:cs="宋体"/>
          <w:color w:val="auto"/>
          <w:szCs w:val="21"/>
          <w:highlight w:val="none"/>
        </w:rPr>
        <w:t>份，具备同等法律效力。</w:t>
      </w:r>
    </w:p>
    <w:p w14:paraId="26AB23C3">
      <w:pPr>
        <w:spacing w:line="360" w:lineRule="auto"/>
        <w:rPr>
          <w:rFonts w:hint="eastAsia" w:ascii="宋体" w:hAnsi="宋体" w:cs="宋体"/>
          <w:color w:val="auto"/>
          <w:szCs w:val="21"/>
          <w:highlight w:val="none"/>
        </w:rPr>
      </w:pPr>
    </w:p>
    <w:p w14:paraId="49B88761">
      <w:pPr>
        <w:spacing w:line="360" w:lineRule="auto"/>
        <w:rPr>
          <w:rFonts w:hint="eastAsia" w:ascii="宋体" w:hAnsi="宋体" w:cs="宋体"/>
          <w:color w:val="auto"/>
          <w:szCs w:val="21"/>
          <w:highlight w:val="none"/>
        </w:rPr>
      </w:pPr>
    </w:p>
    <w:p w14:paraId="6EB508D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甲方：                      乙方：             </w:t>
      </w:r>
    </w:p>
    <w:p w14:paraId="62EA514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法定代表人（授权代表）：    法定代表人（授权代表）：  </w:t>
      </w:r>
    </w:p>
    <w:p w14:paraId="153380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签约日期：                  签约日期</w:t>
      </w:r>
    </w:p>
    <w:p w14:paraId="223838B7">
      <w:pPr>
        <w:spacing w:line="360" w:lineRule="auto"/>
        <w:rPr>
          <w:rFonts w:hint="eastAsia" w:ascii="宋体" w:hAnsi="宋体" w:cs="宋体"/>
          <w:color w:val="auto"/>
          <w:szCs w:val="21"/>
          <w:highlight w:val="none"/>
        </w:rPr>
      </w:pPr>
    </w:p>
    <w:p w14:paraId="17AAFB89">
      <w:pPr>
        <w:spacing w:line="360" w:lineRule="auto"/>
        <w:rPr>
          <w:rFonts w:hint="eastAsia" w:ascii="宋体" w:hAnsi="宋体" w:cs="宋体"/>
          <w:color w:val="auto"/>
          <w:szCs w:val="21"/>
          <w:highlight w:val="none"/>
        </w:rPr>
      </w:pPr>
    </w:p>
    <w:p w14:paraId="304D6CBB">
      <w:pPr>
        <w:spacing w:line="360" w:lineRule="auto"/>
        <w:rPr>
          <w:rFonts w:hint="eastAsia" w:ascii="宋体" w:hAnsi="宋体" w:cs="宋体"/>
          <w:color w:val="auto"/>
          <w:szCs w:val="21"/>
          <w:highlight w:val="none"/>
        </w:rPr>
      </w:pPr>
    </w:p>
    <w:p w14:paraId="329570C8">
      <w:pPr>
        <w:spacing w:line="360" w:lineRule="auto"/>
        <w:rPr>
          <w:rFonts w:hint="eastAsia" w:ascii="宋体" w:hAnsi="宋体" w:cs="宋体"/>
          <w:color w:val="auto"/>
          <w:szCs w:val="21"/>
          <w:highlight w:val="none"/>
        </w:rPr>
      </w:pPr>
    </w:p>
    <w:p w14:paraId="5E783CB9">
      <w:pPr>
        <w:spacing w:line="360" w:lineRule="auto"/>
        <w:rPr>
          <w:rFonts w:hint="eastAsia" w:ascii="宋体" w:hAnsi="宋体" w:cs="宋体"/>
          <w:color w:val="auto"/>
          <w:szCs w:val="21"/>
          <w:highlight w:val="none"/>
        </w:rPr>
      </w:pPr>
    </w:p>
    <w:p w14:paraId="258593B5">
      <w:pPr>
        <w:spacing w:line="360" w:lineRule="auto"/>
        <w:rPr>
          <w:rFonts w:hint="eastAsia" w:ascii="宋体" w:hAnsi="宋体" w:cs="宋体"/>
          <w:color w:val="auto"/>
          <w:szCs w:val="21"/>
          <w:highlight w:val="none"/>
        </w:rPr>
      </w:pPr>
    </w:p>
    <w:p w14:paraId="0019B1F0">
      <w:pPr>
        <w:spacing w:line="360" w:lineRule="auto"/>
        <w:rPr>
          <w:rFonts w:hint="eastAsia" w:ascii="宋体" w:hAnsi="宋体" w:cs="宋体"/>
          <w:color w:val="auto"/>
          <w:szCs w:val="21"/>
          <w:highlight w:val="none"/>
        </w:rPr>
      </w:pPr>
    </w:p>
    <w:p w14:paraId="42BA1684">
      <w:pPr>
        <w:spacing w:line="360" w:lineRule="auto"/>
        <w:rPr>
          <w:rFonts w:hint="eastAsia" w:ascii="宋体" w:hAnsi="宋体" w:cs="宋体"/>
          <w:color w:val="auto"/>
          <w:szCs w:val="21"/>
          <w:highlight w:val="none"/>
        </w:rPr>
      </w:pPr>
    </w:p>
    <w:p w14:paraId="23CFC0D7">
      <w:pPr>
        <w:spacing w:line="360" w:lineRule="auto"/>
        <w:rPr>
          <w:rFonts w:hint="eastAsia" w:ascii="宋体" w:hAnsi="宋体" w:cs="宋体"/>
          <w:color w:val="auto"/>
          <w:szCs w:val="21"/>
          <w:highlight w:val="none"/>
        </w:rPr>
      </w:pPr>
    </w:p>
    <w:p w14:paraId="71434277">
      <w:pPr>
        <w:spacing w:line="360" w:lineRule="auto"/>
        <w:rPr>
          <w:rFonts w:hint="eastAsia" w:ascii="宋体" w:hAnsi="宋体" w:cs="宋体"/>
          <w:color w:val="auto"/>
          <w:szCs w:val="21"/>
          <w:highlight w:val="none"/>
        </w:rPr>
      </w:pPr>
    </w:p>
    <w:p w14:paraId="34CF65E2">
      <w:pPr>
        <w:spacing w:line="360" w:lineRule="auto"/>
        <w:rPr>
          <w:rFonts w:hint="eastAsia" w:ascii="宋体" w:hAnsi="宋体" w:cs="宋体"/>
          <w:color w:val="auto"/>
          <w:szCs w:val="21"/>
          <w:highlight w:val="none"/>
        </w:rPr>
      </w:pPr>
    </w:p>
    <w:p w14:paraId="05B6FC13">
      <w:pPr>
        <w:spacing w:line="360" w:lineRule="auto"/>
        <w:rPr>
          <w:rFonts w:hint="eastAsia" w:ascii="宋体" w:hAnsi="宋体" w:cs="宋体"/>
          <w:color w:val="auto"/>
          <w:szCs w:val="21"/>
          <w:highlight w:val="none"/>
        </w:rPr>
      </w:pPr>
    </w:p>
    <w:p w14:paraId="3B7330AC">
      <w:pPr>
        <w:spacing w:line="360" w:lineRule="auto"/>
        <w:rPr>
          <w:rFonts w:hint="eastAsia" w:ascii="宋体" w:hAnsi="宋体" w:cs="宋体"/>
          <w:color w:val="auto"/>
          <w:szCs w:val="21"/>
          <w:highlight w:val="none"/>
        </w:rPr>
      </w:pPr>
    </w:p>
    <w:p w14:paraId="236C403D">
      <w:pPr>
        <w:spacing w:line="360" w:lineRule="auto"/>
        <w:rPr>
          <w:rFonts w:hint="eastAsia" w:ascii="宋体" w:hAnsi="宋体" w:cs="宋体"/>
          <w:color w:val="auto"/>
          <w:szCs w:val="21"/>
          <w:highlight w:val="none"/>
        </w:rPr>
      </w:pPr>
    </w:p>
    <w:p w14:paraId="5EFE3BB7">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合同附件：</w:t>
      </w:r>
      <w:r>
        <w:rPr>
          <w:rFonts w:hint="eastAsia"/>
        </w:rPr>
        <w:t>苏州市姑苏区猪肉储备服务</w:t>
      </w:r>
      <w:r>
        <w:rPr>
          <w:rFonts w:hint="eastAsia"/>
          <w:lang w:val="en-US" w:eastAsia="zh-CN"/>
        </w:rPr>
        <w:t>考核明细</w:t>
      </w:r>
    </w:p>
    <w:p w14:paraId="22EC9361">
      <w:pPr>
        <w:spacing w:line="360" w:lineRule="auto"/>
        <w:jc w:val="center"/>
        <w:rPr>
          <w:rFonts w:hint="eastAsia" w:ascii="宋体" w:hAnsi="宋体" w:cs="宋体"/>
          <w:color w:val="auto"/>
          <w:szCs w:val="21"/>
          <w:highlight w:val="none"/>
          <w:lang w:val="en-US" w:eastAsia="zh-CN"/>
        </w:rPr>
      </w:pPr>
      <w:r>
        <w:rPr>
          <w:rFonts w:hint="eastAsia"/>
        </w:rPr>
        <w:t>苏州市姑苏区猪肉储备服务</w:t>
      </w:r>
      <w:r>
        <w:rPr>
          <w:rFonts w:hint="eastAsia"/>
          <w:lang w:val="en-US" w:eastAsia="zh-CN"/>
        </w:rPr>
        <w:t>考核明细</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
        <w:gridCol w:w="1378"/>
        <w:gridCol w:w="4667"/>
        <w:gridCol w:w="662"/>
        <w:gridCol w:w="688"/>
        <w:gridCol w:w="653"/>
      </w:tblGrid>
      <w:tr w14:paraId="13E3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top"/>
          </w:tcPr>
          <w:p w14:paraId="3A712D79">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考核类别</w:t>
            </w:r>
          </w:p>
        </w:tc>
        <w:tc>
          <w:tcPr>
            <w:tcW w:w="1383" w:type="dxa"/>
            <w:gridSpan w:val="2"/>
            <w:vAlign w:val="top"/>
          </w:tcPr>
          <w:p w14:paraId="76285A02">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考核项目</w:t>
            </w:r>
          </w:p>
        </w:tc>
        <w:tc>
          <w:tcPr>
            <w:tcW w:w="4667" w:type="dxa"/>
            <w:vAlign w:val="top"/>
          </w:tcPr>
          <w:p w14:paraId="15F702A0">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考核标准与评分细则</w:t>
            </w:r>
          </w:p>
        </w:tc>
        <w:tc>
          <w:tcPr>
            <w:tcW w:w="662" w:type="dxa"/>
            <w:vAlign w:val="top"/>
          </w:tcPr>
          <w:p w14:paraId="3AB5112D">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分值</w:t>
            </w:r>
          </w:p>
        </w:tc>
        <w:tc>
          <w:tcPr>
            <w:tcW w:w="688" w:type="dxa"/>
            <w:vAlign w:val="top"/>
          </w:tcPr>
          <w:p w14:paraId="0A2C9F79">
            <w:pP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得分</w:t>
            </w:r>
          </w:p>
        </w:tc>
        <w:tc>
          <w:tcPr>
            <w:tcW w:w="653" w:type="dxa"/>
            <w:vAlign w:val="top"/>
          </w:tcPr>
          <w:p w14:paraId="4C7D9996">
            <w:pP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备注</w:t>
            </w:r>
          </w:p>
        </w:tc>
      </w:tr>
      <w:tr w14:paraId="1EAD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restart"/>
            <w:vAlign w:val="top"/>
          </w:tcPr>
          <w:p w14:paraId="3E0EC8D8">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一、数量与台账管理 (20分)</w:t>
            </w:r>
          </w:p>
        </w:tc>
        <w:tc>
          <w:tcPr>
            <w:tcW w:w="1383" w:type="dxa"/>
            <w:gridSpan w:val="2"/>
            <w:vAlign w:val="top"/>
          </w:tcPr>
          <w:p w14:paraId="4AF8EE0F">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1.1 储备数量准确性</w:t>
            </w:r>
          </w:p>
        </w:tc>
        <w:tc>
          <w:tcPr>
            <w:tcW w:w="4667" w:type="dxa"/>
            <w:vAlign w:val="top"/>
          </w:tcPr>
          <w:p w14:paraId="6E008F93">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实际在库数量与计划任务完全一致，账实相符率达100%。每发现一个品种短缺或溢余超过±0.3%，扣2分，扣完为止。库存为0的，本项0分</w:t>
            </w:r>
          </w:p>
        </w:tc>
        <w:tc>
          <w:tcPr>
            <w:tcW w:w="662" w:type="dxa"/>
            <w:vAlign w:val="top"/>
          </w:tcPr>
          <w:p w14:paraId="034DCD9B">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688" w:type="dxa"/>
            <w:vAlign w:val="top"/>
          </w:tcPr>
          <w:p w14:paraId="68DB1972">
            <w:pPr>
              <w:rPr>
                <w:rFonts w:hint="eastAsia" w:ascii="宋体" w:hAnsi="宋体" w:eastAsia="宋体" w:cs="宋体"/>
                <w:b w:val="0"/>
                <w:bCs w:val="0"/>
                <w:sz w:val="21"/>
                <w:szCs w:val="21"/>
                <w:vertAlign w:val="baseline"/>
              </w:rPr>
            </w:pPr>
          </w:p>
        </w:tc>
        <w:tc>
          <w:tcPr>
            <w:tcW w:w="653" w:type="dxa"/>
            <w:vAlign w:val="top"/>
          </w:tcPr>
          <w:p w14:paraId="2F2A26E2">
            <w:pPr>
              <w:rPr>
                <w:rFonts w:hint="eastAsia" w:ascii="宋体" w:hAnsi="宋体" w:eastAsia="宋体" w:cs="宋体"/>
                <w:b w:val="0"/>
                <w:bCs w:val="0"/>
                <w:sz w:val="21"/>
                <w:szCs w:val="21"/>
                <w:vertAlign w:val="baseline"/>
              </w:rPr>
            </w:pPr>
          </w:p>
        </w:tc>
      </w:tr>
      <w:tr w14:paraId="466A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7394AC6B">
            <w:pPr>
              <w:rPr>
                <w:rFonts w:hint="eastAsia" w:ascii="宋体" w:hAnsi="宋体" w:eastAsia="宋体" w:cs="宋体"/>
                <w:b w:val="0"/>
                <w:bCs w:val="0"/>
                <w:sz w:val="21"/>
                <w:szCs w:val="21"/>
                <w:vertAlign w:val="baseline"/>
              </w:rPr>
            </w:pPr>
          </w:p>
        </w:tc>
        <w:tc>
          <w:tcPr>
            <w:tcW w:w="1383" w:type="dxa"/>
            <w:gridSpan w:val="2"/>
            <w:vMerge w:val="restart"/>
            <w:vAlign w:val="top"/>
          </w:tcPr>
          <w:p w14:paraId="36AE6249">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1.2 台账与信息化管理</w:t>
            </w:r>
          </w:p>
        </w:tc>
        <w:tc>
          <w:tcPr>
            <w:tcW w:w="4667" w:type="dxa"/>
            <w:vAlign w:val="top"/>
          </w:tcPr>
          <w:p w14:paraId="568ED2A6">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 建立电子与纸质两套台账，记录及时、准确、完整（品名、批次、数量、货位、出入库时间、凭证号等）。缺一项或记录错误，扣1分</w:t>
            </w:r>
          </w:p>
        </w:tc>
        <w:tc>
          <w:tcPr>
            <w:tcW w:w="662" w:type="dxa"/>
            <w:vMerge w:val="restart"/>
            <w:vAlign w:val="top"/>
          </w:tcPr>
          <w:p w14:paraId="3BF58CEB">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688" w:type="dxa"/>
            <w:vAlign w:val="top"/>
          </w:tcPr>
          <w:p w14:paraId="60A577BE">
            <w:pPr>
              <w:rPr>
                <w:rFonts w:hint="eastAsia" w:ascii="宋体" w:hAnsi="宋体" w:eastAsia="宋体" w:cs="宋体"/>
                <w:b w:val="0"/>
                <w:bCs w:val="0"/>
                <w:sz w:val="21"/>
                <w:szCs w:val="21"/>
                <w:vertAlign w:val="baseline"/>
              </w:rPr>
            </w:pPr>
          </w:p>
        </w:tc>
        <w:tc>
          <w:tcPr>
            <w:tcW w:w="653" w:type="dxa"/>
            <w:vAlign w:val="top"/>
          </w:tcPr>
          <w:p w14:paraId="7BB40ABD">
            <w:pPr>
              <w:rPr>
                <w:rFonts w:hint="eastAsia" w:ascii="宋体" w:hAnsi="宋体" w:eastAsia="宋体" w:cs="宋体"/>
                <w:b w:val="0"/>
                <w:bCs w:val="0"/>
                <w:sz w:val="21"/>
                <w:szCs w:val="21"/>
                <w:vertAlign w:val="baseline"/>
              </w:rPr>
            </w:pPr>
          </w:p>
        </w:tc>
      </w:tr>
      <w:tr w14:paraId="3BA3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4735AB3D">
            <w:pPr>
              <w:rPr>
                <w:rFonts w:hint="eastAsia" w:ascii="宋体" w:hAnsi="宋体" w:eastAsia="宋体" w:cs="宋体"/>
                <w:b w:val="0"/>
                <w:bCs w:val="0"/>
                <w:sz w:val="21"/>
                <w:szCs w:val="21"/>
                <w:vertAlign w:val="baseline"/>
              </w:rPr>
            </w:pPr>
          </w:p>
        </w:tc>
        <w:tc>
          <w:tcPr>
            <w:tcW w:w="1383" w:type="dxa"/>
            <w:gridSpan w:val="2"/>
            <w:vMerge w:val="continue"/>
            <w:vAlign w:val="top"/>
          </w:tcPr>
          <w:p w14:paraId="0AF33F8C">
            <w:pPr>
              <w:rPr>
                <w:rFonts w:hint="eastAsia" w:ascii="宋体" w:hAnsi="宋体" w:eastAsia="宋体" w:cs="宋体"/>
                <w:b w:val="0"/>
                <w:bCs w:val="0"/>
                <w:sz w:val="21"/>
                <w:szCs w:val="21"/>
                <w:vertAlign w:val="baseline"/>
              </w:rPr>
            </w:pPr>
          </w:p>
        </w:tc>
        <w:tc>
          <w:tcPr>
            <w:tcW w:w="4667" w:type="dxa"/>
            <w:vAlign w:val="top"/>
          </w:tcPr>
          <w:p w14:paraId="094C0F0C">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 猪肉数据来源实时、准确可在海关或省级/国家重要产品溯源平台追溯查询。未</w:t>
            </w:r>
            <w:r>
              <w:rPr>
                <w:rFonts w:hint="eastAsia" w:ascii="宋体" w:hAnsi="宋体" w:eastAsia="宋体" w:cs="宋体"/>
                <w:b w:val="0"/>
                <w:bCs w:val="0"/>
                <w:sz w:val="21"/>
                <w:szCs w:val="21"/>
                <w:vertAlign w:val="baseline"/>
                <w:lang w:val="en-US" w:eastAsia="zh-CN"/>
              </w:rPr>
              <w:t>查询到的</w:t>
            </w:r>
            <w:r>
              <w:rPr>
                <w:rFonts w:hint="eastAsia" w:ascii="宋体" w:hAnsi="宋体" w:eastAsia="宋体" w:cs="宋体"/>
                <w:b w:val="0"/>
                <w:bCs w:val="0"/>
                <w:sz w:val="21"/>
                <w:szCs w:val="21"/>
                <w:vertAlign w:val="baseline"/>
              </w:rPr>
              <w:t>扣3分，数据错误扣1-2分</w:t>
            </w:r>
          </w:p>
        </w:tc>
        <w:tc>
          <w:tcPr>
            <w:tcW w:w="662" w:type="dxa"/>
            <w:vMerge w:val="continue"/>
            <w:vAlign w:val="top"/>
          </w:tcPr>
          <w:p w14:paraId="4F8BC3B7">
            <w:pPr>
              <w:rPr>
                <w:rFonts w:hint="eastAsia" w:ascii="宋体" w:hAnsi="宋体" w:eastAsia="宋体" w:cs="宋体"/>
                <w:b w:val="0"/>
                <w:bCs w:val="0"/>
                <w:sz w:val="21"/>
                <w:szCs w:val="21"/>
                <w:vertAlign w:val="baseline"/>
                <w:lang w:val="en-US" w:eastAsia="zh-CN"/>
              </w:rPr>
            </w:pPr>
          </w:p>
        </w:tc>
        <w:tc>
          <w:tcPr>
            <w:tcW w:w="688" w:type="dxa"/>
            <w:vAlign w:val="top"/>
          </w:tcPr>
          <w:p w14:paraId="19C8A41C">
            <w:pPr>
              <w:rPr>
                <w:rFonts w:hint="eastAsia" w:ascii="宋体" w:hAnsi="宋体" w:eastAsia="宋体" w:cs="宋体"/>
                <w:b w:val="0"/>
                <w:bCs w:val="0"/>
                <w:sz w:val="21"/>
                <w:szCs w:val="21"/>
                <w:vertAlign w:val="baseline"/>
              </w:rPr>
            </w:pPr>
          </w:p>
        </w:tc>
        <w:tc>
          <w:tcPr>
            <w:tcW w:w="653" w:type="dxa"/>
            <w:vAlign w:val="top"/>
          </w:tcPr>
          <w:p w14:paraId="0B2C6DAC">
            <w:pPr>
              <w:rPr>
                <w:rFonts w:hint="eastAsia" w:ascii="宋体" w:hAnsi="宋体" w:eastAsia="宋体" w:cs="宋体"/>
                <w:b w:val="0"/>
                <w:bCs w:val="0"/>
                <w:sz w:val="21"/>
                <w:szCs w:val="21"/>
                <w:vertAlign w:val="baseline"/>
              </w:rPr>
            </w:pPr>
          </w:p>
        </w:tc>
      </w:tr>
      <w:tr w14:paraId="0986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4A80746F">
            <w:pPr>
              <w:rPr>
                <w:rFonts w:hint="eastAsia" w:ascii="宋体" w:hAnsi="宋体" w:eastAsia="宋体" w:cs="宋体"/>
                <w:b w:val="0"/>
                <w:bCs w:val="0"/>
                <w:sz w:val="21"/>
                <w:szCs w:val="21"/>
                <w:vertAlign w:val="baseline"/>
              </w:rPr>
            </w:pPr>
          </w:p>
        </w:tc>
        <w:tc>
          <w:tcPr>
            <w:tcW w:w="1383" w:type="dxa"/>
            <w:gridSpan w:val="2"/>
            <w:vAlign w:val="top"/>
          </w:tcPr>
          <w:p w14:paraId="43CB7FCB">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1.3 轮换计划执行</w:t>
            </w:r>
          </w:p>
        </w:tc>
        <w:tc>
          <w:tcPr>
            <w:tcW w:w="4667" w:type="dxa"/>
            <w:vAlign w:val="top"/>
          </w:tcPr>
          <w:p w14:paraId="4F2B67C6">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严格按</w:t>
            </w:r>
            <w:r>
              <w:rPr>
                <w:rFonts w:hint="eastAsia" w:ascii="宋体" w:hAnsi="宋体" w:eastAsia="宋体" w:cs="宋体"/>
                <w:b w:val="0"/>
                <w:bCs w:val="0"/>
                <w:sz w:val="21"/>
                <w:szCs w:val="21"/>
                <w:vertAlign w:val="baseline"/>
                <w:lang w:val="en-US" w:eastAsia="zh-CN"/>
              </w:rPr>
              <w:t>采购要求</w:t>
            </w:r>
            <w:r>
              <w:rPr>
                <w:rFonts w:hint="eastAsia" w:ascii="宋体" w:hAnsi="宋体" w:eastAsia="宋体" w:cs="宋体"/>
                <w:b w:val="0"/>
                <w:bCs w:val="0"/>
                <w:sz w:val="21"/>
                <w:szCs w:val="21"/>
                <w:vertAlign w:val="baseline"/>
              </w:rPr>
              <w:t>执行轮换，手续齐全（计划批文、交易合同、票据、出入库记录）。未按计划执行扣3分；手续不全，每缺一项扣1分</w:t>
            </w:r>
          </w:p>
        </w:tc>
        <w:tc>
          <w:tcPr>
            <w:tcW w:w="662" w:type="dxa"/>
            <w:vAlign w:val="top"/>
          </w:tcPr>
          <w:p w14:paraId="16D58BB1">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688" w:type="dxa"/>
            <w:vAlign w:val="top"/>
          </w:tcPr>
          <w:p w14:paraId="7561BB8A">
            <w:pPr>
              <w:rPr>
                <w:rFonts w:hint="eastAsia" w:ascii="宋体" w:hAnsi="宋体" w:eastAsia="宋体" w:cs="宋体"/>
                <w:b w:val="0"/>
                <w:bCs w:val="0"/>
                <w:sz w:val="21"/>
                <w:szCs w:val="21"/>
                <w:vertAlign w:val="baseline"/>
              </w:rPr>
            </w:pPr>
          </w:p>
        </w:tc>
        <w:tc>
          <w:tcPr>
            <w:tcW w:w="653" w:type="dxa"/>
            <w:vAlign w:val="top"/>
          </w:tcPr>
          <w:p w14:paraId="218AC3A2">
            <w:pPr>
              <w:rPr>
                <w:rFonts w:hint="eastAsia" w:ascii="宋体" w:hAnsi="宋体" w:eastAsia="宋体" w:cs="宋体"/>
                <w:b w:val="0"/>
                <w:bCs w:val="0"/>
                <w:sz w:val="21"/>
                <w:szCs w:val="21"/>
                <w:vertAlign w:val="baseline"/>
              </w:rPr>
            </w:pPr>
          </w:p>
        </w:tc>
      </w:tr>
      <w:tr w14:paraId="6166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restart"/>
            <w:vAlign w:val="top"/>
          </w:tcPr>
          <w:p w14:paraId="5D4EBB16">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二、质量与安全管理 (40分)</w:t>
            </w:r>
          </w:p>
        </w:tc>
        <w:tc>
          <w:tcPr>
            <w:tcW w:w="1383" w:type="dxa"/>
            <w:gridSpan w:val="2"/>
            <w:vAlign w:val="top"/>
          </w:tcPr>
          <w:p w14:paraId="3D3099D8">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2.1 证明文件完备性</w:t>
            </w:r>
          </w:p>
        </w:tc>
        <w:tc>
          <w:tcPr>
            <w:tcW w:w="4667" w:type="dxa"/>
            <w:vAlign w:val="top"/>
          </w:tcPr>
          <w:p w14:paraId="6FF058BB">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每批次肉保证证件齐全、有效（进口猪肉具有检验检疫证和报关单，国产猪肉具有“三证一报告”，即动物检疫合格证明、肉品品质检验合格证、非洲猪瘟检测报告、第三方全项检测报告）。随机抽查3个批次，每缺一份或无效，扣5分</w:t>
            </w:r>
          </w:p>
        </w:tc>
        <w:tc>
          <w:tcPr>
            <w:tcW w:w="662" w:type="dxa"/>
            <w:vAlign w:val="top"/>
          </w:tcPr>
          <w:p w14:paraId="05598832">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w:t>
            </w:r>
          </w:p>
        </w:tc>
        <w:tc>
          <w:tcPr>
            <w:tcW w:w="688" w:type="dxa"/>
            <w:vAlign w:val="top"/>
          </w:tcPr>
          <w:p w14:paraId="6ED2F821">
            <w:pPr>
              <w:rPr>
                <w:rFonts w:hint="eastAsia" w:ascii="宋体" w:hAnsi="宋体" w:eastAsia="宋体" w:cs="宋体"/>
                <w:b w:val="0"/>
                <w:bCs w:val="0"/>
                <w:sz w:val="21"/>
                <w:szCs w:val="21"/>
                <w:vertAlign w:val="baseline"/>
              </w:rPr>
            </w:pPr>
          </w:p>
        </w:tc>
        <w:tc>
          <w:tcPr>
            <w:tcW w:w="653" w:type="dxa"/>
            <w:vAlign w:val="top"/>
          </w:tcPr>
          <w:p w14:paraId="5378F247">
            <w:pPr>
              <w:rPr>
                <w:rFonts w:hint="eastAsia" w:ascii="宋体" w:hAnsi="宋体" w:eastAsia="宋体" w:cs="宋体"/>
                <w:b w:val="0"/>
                <w:bCs w:val="0"/>
                <w:sz w:val="21"/>
                <w:szCs w:val="21"/>
                <w:vertAlign w:val="baseline"/>
              </w:rPr>
            </w:pPr>
          </w:p>
        </w:tc>
      </w:tr>
      <w:tr w14:paraId="1D4B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1761CDC5">
            <w:pPr>
              <w:rPr>
                <w:rFonts w:hint="eastAsia" w:ascii="宋体" w:hAnsi="宋体" w:eastAsia="宋体" w:cs="宋体"/>
                <w:b w:val="0"/>
                <w:bCs w:val="0"/>
                <w:sz w:val="21"/>
                <w:szCs w:val="21"/>
                <w:vertAlign w:val="baseline"/>
              </w:rPr>
            </w:pPr>
          </w:p>
        </w:tc>
        <w:tc>
          <w:tcPr>
            <w:tcW w:w="1383" w:type="dxa"/>
            <w:gridSpan w:val="2"/>
            <w:vMerge w:val="restart"/>
            <w:vAlign w:val="top"/>
          </w:tcPr>
          <w:p w14:paraId="61459F38">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ab/>
            </w:r>
          </w:p>
          <w:p w14:paraId="4BAC9FEC">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2.2 储存条件控制</w:t>
            </w:r>
          </w:p>
        </w:tc>
        <w:tc>
          <w:tcPr>
            <w:tcW w:w="4667" w:type="dxa"/>
            <w:vAlign w:val="top"/>
          </w:tcPr>
          <w:p w14:paraId="24E22259">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 库温：全库持续≤-18℃，各点温差≤2℃。查看连续30天记录，有一次超标扣1分</w:t>
            </w:r>
          </w:p>
        </w:tc>
        <w:tc>
          <w:tcPr>
            <w:tcW w:w="662" w:type="dxa"/>
            <w:vMerge w:val="restart"/>
            <w:vAlign w:val="top"/>
          </w:tcPr>
          <w:p w14:paraId="49DA00B2">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688" w:type="dxa"/>
            <w:vAlign w:val="top"/>
          </w:tcPr>
          <w:p w14:paraId="1A57973B">
            <w:pPr>
              <w:rPr>
                <w:rFonts w:hint="eastAsia" w:ascii="宋体" w:hAnsi="宋体" w:eastAsia="宋体" w:cs="宋体"/>
                <w:b w:val="0"/>
                <w:bCs w:val="0"/>
                <w:sz w:val="21"/>
                <w:szCs w:val="21"/>
                <w:vertAlign w:val="baseline"/>
              </w:rPr>
            </w:pPr>
          </w:p>
        </w:tc>
        <w:tc>
          <w:tcPr>
            <w:tcW w:w="653" w:type="dxa"/>
            <w:vAlign w:val="top"/>
          </w:tcPr>
          <w:p w14:paraId="3A6A91A0">
            <w:pPr>
              <w:rPr>
                <w:rFonts w:hint="eastAsia" w:ascii="宋体" w:hAnsi="宋体" w:eastAsia="宋体" w:cs="宋体"/>
                <w:b w:val="0"/>
                <w:bCs w:val="0"/>
                <w:sz w:val="21"/>
                <w:szCs w:val="21"/>
                <w:vertAlign w:val="baseline"/>
              </w:rPr>
            </w:pPr>
          </w:p>
        </w:tc>
      </w:tr>
      <w:tr w14:paraId="1C2B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26FB15E9">
            <w:pPr>
              <w:rPr>
                <w:rFonts w:hint="eastAsia" w:ascii="宋体" w:hAnsi="宋体" w:eastAsia="宋体" w:cs="宋体"/>
                <w:b w:val="0"/>
                <w:bCs w:val="0"/>
                <w:sz w:val="21"/>
                <w:szCs w:val="21"/>
                <w:vertAlign w:val="baseline"/>
              </w:rPr>
            </w:pPr>
          </w:p>
        </w:tc>
        <w:tc>
          <w:tcPr>
            <w:tcW w:w="1383" w:type="dxa"/>
            <w:gridSpan w:val="2"/>
            <w:vMerge w:val="continue"/>
            <w:vAlign w:val="top"/>
          </w:tcPr>
          <w:p w14:paraId="25DBAF7A">
            <w:pPr>
              <w:rPr>
                <w:rFonts w:hint="eastAsia" w:ascii="宋体" w:hAnsi="宋体" w:eastAsia="宋体" w:cs="宋体"/>
                <w:b w:val="0"/>
                <w:bCs w:val="0"/>
                <w:sz w:val="21"/>
                <w:szCs w:val="21"/>
                <w:vertAlign w:val="baseline"/>
              </w:rPr>
            </w:pPr>
          </w:p>
        </w:tc>
        <w:tc>
          <w:tcPr>
            <w:tcW w:w="4667" w:type="dxa"/>
            <w:vAlign w:val="top"/>
          </w:tcPr>
          <w:p w14:paraId="5A487510">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 设备：制冷机组“一用一备”，备用发电机可保障全库运行24小时。不符合不得分</w:t>
            </w:r>
          </w:p>
        </w:tc>
        <w:tc>
          <w:tcPr>
            <w:tcW w:w="662" w:type="dxa"/>
            <w:vMerge w:val="continue"/>
            <w:vAlign w:val="top"/>
          </w:tcPr>
          <w:p w14:paraId="0CE9B65F">
            <w:pPr>
              <w:rPr>
                <w:rFonts w:hint="eastAsia" w:ascii="宋体" w:hAnsi="宋体" w:eastAsia="宋体" w:cs="宋体"/>
                <w:b w:val="0"/>
                <w:bCs w:val="0"/>
                <w:sz w:val="21"/>
                <w:szCs w:val="21"/>
                <w:vertAlign w:val="baseline"/>
              </w:rPr>
            </w:pPr>
          </w:p>
        </w:tc>
        <w:tc>
          <w:tcPr>
            <w:tcW w:w="688" w:type="dxa"/>
            <w:vAlign w:val="top"/>
          </w:tcPr>
          <w:p w14:paraId="7AD83B3D">
            <w:pPr>
              <w:rPr>
                <w:rFonts w:hint="eastAsia" w:ascii="宋体" w:hAnsi="宋体" w:eastAsia="宋体" w:cs="宋体"/>
                <w:b w:val="0"/>
                <w:bCs w:val="0"/>
                <w:sz w:val="21"/>
                <w:szCs w:val="21"/>
                <w:vertAlign w:val="baseline"/>
              </w:rPr>
            </w:pPr>
          </w:p>
        </w:tc>
        <w:tc>
          <w:tcPr>
            <w:tcW w:w="653" w:type="dxa"/>
            <w:vAlign w:val="top"/>
          </w:tcPr>
          <w:p w14:paraId="41F0D71D">
            <w:pPr>
              <w:rPr>
                <w:rFonts w:hint="eastAsia" w:ascii="宋体" w:hAnsi="宋体" w:eastAsia="宋体" w:cs="宋体"/>
                <w:b w:val="0"/>
                <w:bCs w:val="0"/>
                <w:sz w:val="21"/>
                <w:szCs w:val="21"/>
                <w:vertAlign w:val="baseline"/>
              </w:rPr>
            </w:pPr>
          </w:p>
        </w:tc>
      </w:tr>
      <w:tr w14:paraId="3D4D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04D16E79">
            <w:pPr>
              <w:rPr>
                <w:rFonts w:hint="eastAsia" w:ascii="宋体" w:hAnsi="宋体" w:eastAsia="宋体" w:cs="宋体"/>
                <w:b w:val="0"/>
                <w:bCs w:val="0"/>
                <w:sz w:val="21"/>
                <w:szCs w:val="21"/>
                <w:vertAlign w:val="baseline"/>
              </w:rPr>
            </w:pPr>
          </w:p>
        </w:tc>
        <w:tc>
          <w:tcPr>
            <w:tcW w:w="1383" w:type="dxa"/>
            <w:gridSpan w:val="2"/>
            <w:vMerge w:val="continue"/>
            <w:vAlign w:val="top"/>
          </w:tcPr>
          <w:p w14:paraId="35608FE2">
            <w:pPr>
              <w:rPr>
                <w:rFonts w:hint="eastAsia" w:ascii="宋体" w:hAnsi="宋体" w:eastAsia="宋体" w:cs="宋体"/>
                <w:b w:val="0"/>
                <w:bCs w:val="0"/>
                <w:sz w:val="21"/>
                <w:szCs w:val="21"/>
                <w:vertAlign w:val="baseline"/>
              </w:rPr>
            </w:pPr>
          </w:p>
        </w:tc>
        <w:tc>
          <w:tcPr>
            <w:tcW w:w="4667" w:type="dxa"/>
            <w:vAlign w:val="top"/>
          </w:tcPr>
          <w:p w14:paraId="6786E88A">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 现场：堆码整齐、批次清晰、卫生清洁。不符合扣1-3分</w:t>
            </w:r>
          </w:p>
        </w:tc>
        <w:tc>
          <w:tcPr>
            <w:tcW w:w="662" w:type="dxa"/>
            <w:vMerge w:val="continue"/>
            <w:vAlign w:val="top"/>
          </w:tcPr>
          <w:p w14:paraId="11131FE8">
            <w:pPr>
              <w:rPr>
                <w:rFonts w:hint="eastAsia" w:ascii="宋体" w:hAnsi="宋体" w:eastAsia="宋体" w:cs="宋体"/>
                <w:b w:val="0"/>
                <w:bCs w:val="0"/>
                <w:sz w:val="21"/>
                <w:szCs w:val="21"/>
                <w:vertAlign w:val="baseline"/>
              </w:rPr>
            </w:pPr>
          </w:p>
        </w:tc>
        <w:tc>
          <w:tcPr>
            <w:tcW w:w="688" w:type="dxa"/>
            <w:vAlign w:val="top"/>
          </w:tcPr>
          <w:p w14:paraId="252BF41C">
            <w:pPr>
              <w:rPr>
                <w:rFonts w:hint="eastAsia" w:ascii="宋体" w:hAnsi="宋体" w:eastAsia="宋体" w:cs="宋体"/>
                <w:b w:val="0"/>
                <w:bCs w:val="0"/>
                <w:sz w:val="21"/>
                <w:szCs w:val="21"/>
                <w:vertAlign w:val="baseline"/>
              </w:rPr>
            </w:pPr>
          </w:p>
        </w:tc>
        <w:tc>
          <w:tcPr>
            <w:tcW w:w="653" w:type="dxa"/>
            <w:vAlign w:val="top"/>
          </w:tcPr>
          <w:p w14:paraId="060A8CB9">
            <w:pPr>
              <w:rPr>
                <w:rFonts w:hint="eastAsia" w:ascii="宋体" w:hAnsi="宋体" w:eastAsia="宋体" w:cs="宋体"/>
                <w:b w:val="0"/>
                <w:bCs w:val="0"/>
                <w:sz w:val="21"/>
                <w:szCs w:val="21"/>
                <w:vertAlign w:val="baseline"/>
              </w:rPr>
            </w:pPr>
          </w:p>
        </w:tc>
      </w:tr>
      <w:tr w14:paraId="76B1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17F03CE1">
            <w:pPr>
              <w:rPr>
                <w:rFonts w:hint="eastAsia" w:ascii="宋体" w:hAnsi="宋体" w:eastAsia="宋体" w:cs="宋体"/>
                <w:b w:val="0"/>
                <w:bCs w:val="0"/>
                <w:sz w:val="21"/>
                <w:szCs w:val="21"/>
                <w:vertAlign w:val="baseline"/>
              </w:rPr>
            </w:pPr>
          </w:p>
        </w:tc>
        <w:tc>
          <w:tcPr>
            <w:tcW w:w="1383" w:type="dxa"/>
            <w:gridSpan w:val="2"/>
            <w:vAlign w:val="top"/>
          </w:tcPr>
          <w:p w14:paraId="15231476">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2.3 感官质量</w:t>
            </w:r>
          </w:p>
        </w:tc>
        <w:tc>
          <w:tcPr>
            <w:tcW w:w="4667" w:type="dxa"/>
            <w:vAlign w:val="top"/>
          </w:tcPr>
          <w:p w14:paraId="16F52F52">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现场随机开箱抽检3个不同批次。肉品色泽、气味、组织状态、冰衣正常。每发现一个批次一项不合格，扣3分</w:t>
            </w:r>
          </w:p>
        </w:tc>
        <w:tc>
          <w:tcPr>
            <w:tcW w:w="662" w:type="dxa"/>
            <w:vAlign w:val="top"/>
          </w:tcPr>
          <w:p w14:paraId="4BDC6A10">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688" w:type="dxa"/>
            <w:vAlign w:val="top"/>
          </w:tcPr>
          <w:p w14:paraId="5F80C919">
            <w:pPr>
              <w:rPr>
                <w:rFonts w:hint="eastAsia" w:ascii="宋体" w:hAnsi="宋体" w:eastAsia="宋体" w:cs="宋体"/>
                <w:b w:val="0"/>
                <w:bCs w:val="0"/>
                <w:sz w:val="21"/>
                <w:szCs w:val="21"/>
                <w:vertAlign w:val="baseline"/>
              </w:rPr>
            </w:pPr>
          </w:p>
        </w:tc>
        <w:tc>
          <w:tcPr>
            <w:tcW w:w="653" w:type="dxa"/>
            <w:vAlign w:val="top"/>
          </w:tcPr>
          <w:p w14:paraId="6276891A">
            <w:pPr>
              <w:rPr>
                <w:rFonts w:hint="eastAsia" w:ascii="宋体" w:hAnsi="宋体" w:eastAsia="宋体" w:cs="宋体"/>
                <w:b w:val="0"/>
                <w:bCs w:val="0"/>
                <w:sz w:val="21"/>
                <w:szCs w:val="21"/>
                <w:vertAlign w:val="baseline"/>
              </w:rPr>
            </w:pPr>
          </w:p>
        </w:tc>
      </w:tr>
      <w:tr w14:paraId="4A06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7A9BF7A1">
            <w:pPr>
              <w:rPr>
                <w:rFonts w:hint="eastAsia" w:ascii="宋体" w:hAnsi="宋体" w:eastAsia="宋体" w:cs="宋体"/>
                <w:b w:val="0"/>
                <w:bCs w:val="0"/>
                <w:sz w:val="21"/>
                <w:szCs w:val="21"/>
                <w:vertAlign w:val="baseline"/>
              </w:rPr>
            </w:pPr>
          </w:p>
        </w:tc>
        <w:tc>
          <w:tcPr>
            <w:tcW w:w="1383" w:type="dxa"/>
            <w:gridSpan w:val="2"/>
            <w:vAlign w:val="top"/>
          </w:tcPr>
          <w:p w14:paraId="2A8725D1">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2.4 飞行抽检结果</w:t>
            </w:r>
          </w:p>
        </w:tc>
        <w:tc>
          <w:tcPr>
            <w:tcW w:w="4667" w:type="dxa"/>
            <w:vAlign w:val="top"/>
          </w:tcPr>
          <w:p w14:paraId="16A23CE4">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委托第三方对在库肉品进行突击抽检。任何一项指标不符合GB 2707等国家标准（特别是非洲猪瘟、瘦肉精），本大项（40分）直接得0分，并启动违约程序</w:t>
            </w:r>
          </w:p>
        </w:tc>
        <w:tc>
          <w:tcPr>
            <w:tcW w:w="662" w:type="dxa"/>
            <w:vAlign w:val="top"/>
          </w:tcPr>
          <w:p w14:paraId="21A2D09A">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688" w:type="dxa"/>
            <w:vAlign w:val="top"/>
          </w:tcPr>
          <w:p w14:paraId="463F86F3">
            <w:pPr>
              <w:rPr>
                <w:rFonts w:hint="eastAsia" w:ascii="宋体" w:hAnsi="宋体" w:eastAsia="宋体" w:cs="宋体"/>
                <w:b w:val="0"/>
                <w:bCs w:val="0"/>
                <w:sz w:val="21"/>
                <w:szCs w:val="21"/>
                <w:vertAlign w:val="baseline"/>
              </w:rPr>
            </w:pPr>
          </w:p>
        </w:tc>
        <w:tc>
          <w:tcPr>
            <w:tcW w:w="653" w:type="dxa"/>
            <w:vAlign w:val="top"/>
          </w:tcPr>
          <w:p w14:paraId="04A1A9B7">
            <w:pPr>
              <w:rPr>
                <w:rFonts w:hint="eastAsia" w:ascii="宋体" w:hAnsi="宋体" w:eastAsia="宋体" w:cs="宋体"/>
                <w:b w:val="0"/>
                <w:bCs w:val="0"/>
                <w:sz w:val="21"/>
                <w:szCs w:val="21"/>
                <w:vertAlign w:val="baseline"/>
              </w:rPr>
            </w:pPr>
          </w:p>
        </w:tc>
      </w:tr>
      <w:tr w14:paraId="3EE2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restart"/>
            <w:vAlign w:val="top"/>
          </w:tcPr>
          <w:p w14:paraId="4A376E73">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三、运行与合规管理 (25分)</w:t>
            </w:r>
          </w:p>
        </w:tc>
        <w:tc>
          <w:tcPr>
            <w:tcW w:w="1383" w:type="dxa"/>
            <w:gridSpan w:val="2"/>
            <w:vMerge w:val="restart"/>
            <w:vAlign w:val="top"/>
          </w:tcPr>
          <w:p w14:paraId="6F2A62AF">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3.1 制度与人员</w:t>
            </w:r>
          </w:p>
        </w:tc>
        <w:tc>
          <w:tcPr>
            <w:tcW w:w="4667" w:type="dxa"/>
            <w:vAlign w:val="top"/>
          </w:tcPr>
          <w:p w14:paraId="56D32368">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1. 有完善的仓储、质量、安全、应急预案等制度并有效执行。缺一项扣1分</w:t>
            </w:r>
          </w:p>
        </w:tc>
        <w:tc>
          <w:tcPr>
            <w:tcW w:w="662" w:type="dxa"/>
            <w:vMerge w:val="restart"/>
            <w:vAlign w:val="top"/>
          </w:tcPr>
          <w:p w14:paraId="1E5A6AAC">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688" w:type="dxa"/>
            <w:vAlign w:val="top"/>
          </w:tcPr>
          <w:p w14:paraId="1B6F6BBA">
            <w:pPr>
              <w:rPr>
                <w:rFonts w:hint="eastAsia" w:ascii="宋体" w:hAnsi="宋体" w:eastAsia="宋体" w:cs="宋体"/>
                <w:b w:val="0"/>
                <w:bCs w:val="0"/>
                <w:sz w:val="21"/>
                <w:szCs w:val="21"/>
                <w:vertAlign w:val="baseline"/>
              </w:rPr>
            </w:pPr>
          </w:p>
        </w:tc>
        <w:tc>
          <w:tcPr>
            <w:tcW w:w="653" w:type="dxa"/>
            <w:vAlign w:val="top"/>
          </w:tcPr>
          <w:p w14:paraId="0C2CED77">
            <w:pPr>
              <w:rPr>
                <w:rFonts w:hint="eastAsia" w:ascii="宋体" w:hAnsi="宋体" w:eastAsia="宋体" w:cs="宋体"/>
                <w:b w:val="0"/>
                <w:bCs w:val="0"/>
                <w:sz w:val="21"/>
                <w:szCs w:val="21"/>
                <w:vertAlign w:val="baseline"/>
              </w:rPr>
            </w:pPr>
          </w:p>
        </w:tc>
      </w:tr>
      <w:tr w14:paraId="6092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42EDCE55">
            <w:pPr>
              <w:rPr>
                <w:rFonts w:hint="eastAsia" w:ascii="宋体" w:hAnsi="宋体" w:eastAsia="宋体" w:cs="宋体"/>
                <w:b w:val="0"/>
                <w:bCs w:val="0"/>
                <w:sz w:val="21"/>
                <w:szCs w:val="21"/>
                <w:vertAlign w:val="baseline"/>
              </w:rPr>
            </w:pPr>
          </w:p>
        </w:tc>
        <w:tc>
          <w:tcPr>
            <w:tcW w:w="1383" w:type="dxa"/>
            <w:gridSpan w:val="2"/>
            <w:vMerge w:val="continue"/>
            <w:vAlign w:val="top"/>
          </w:tcPr>
          <w:p w14:paraId="1C59E90C">
            <w:pPr>
              <w:rPr>
                <w:rFonts w:hint="eastAsia" w:ascii="宋体" w:hAnsi="宋体" w:eastAsia="宋体" w:cs="宋体"/>
                <w:b w:val="0"/>
                <w:bCs w:val="0"/>
                <w:sz w:val="21"/>
                <w:szCs w:val="21"/>
                <w:vertAlign w:val="baseline"/>
              </w:rPr>
            </w:pPr>
          </w:p>
        </w:tc>
        <w:tc>
          <w:tcPr>
            <w:tcW w:w="4667" w:type="dxa"/>
            <w:vAlign w:val="top"/>
          </w:tcPr>
          <w:p w14:paraId="3A600A60">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2. 关键岗位人员（保管、质检、制冷工）持证上岗。一人无证扣1分</w:t>
            </w:r>
          </w:p>
        </w:tc>
        <w:tc>
          <w:tcPr>
            <w:tcW w:w="662" w:type="dxa"/>
            <w:vMerge w:val="continue"/>
            <w:vAlign w:val="top"/>
          </w:tcPr>
          <w:p w14:paraId="5ED7EFB3">
            <w:pPr>
              <w:rPr>
                <w:rFonts w:hint="eastAsia" w:ascii="宋体" w:hAnsi="宋体" w:eastAsia="宋体" w:cs="宋体"/>
                <w:b w:val="0"/>
                <w:bCs w:val="0"/>
                <w:sz w:val="21"/>
                <w:szCs w:val="21"/>
                <w:vertAlign w:val="baseline"/>
              </w:rPr>
            </w:pPr>
          </w:p>
        </w:tc>
        <w:tc>
          <w:tcPr>
            <w:tcW w:w="688" w:type="dxa"/>
            <w:vAlign w:val="top"/>
          </w:tcPr>
          <w:p w14:paraId="4EC4B53F">
            <w:pPr>
              <w:rPr>
                <w:rFonts w:hint="eastAsia" w:ascii="宋体" w:hAnsi="宋体" w:eastAsia="宋体" w:cs="宋体"/>
                <w:b w:val="0"/>
                <w:bCs w:val="0"/>
                <w:sz w:val="21"/>
                <w:szCs w:val="21"/>
                <w:vertAlign w:val="baseline"/>
              </w:rPr>
            </w:pPr>
          </w:p>
        </w:tc>
        <w:tc>
          <w:tcPr>
            <w:tcW w:w="653" w:type="dxa"/>
            <w:vAlign w:val="top"/>
          </w:tcPr>
          <w:p w14:paraId="6A1DAE95">
            <w:pPr>
              <w:rPr>
                <w:rFonts w:hint="eastAsia" w:ascii="宋体" w:hAnsi="宋体" w:eastAsia="宋体" w:cs="宋体"/>
                <w:b w:val="0"/>
                <w:bCs w:val="0"/>
                <w:sz w:val="21"/>
                <w:szCs w:val="21"/>
                <w:vertAlign w:val="baseline"/>
              </w:rPr>
            </w:pPr>
          </w:p>
        </w:tc>
      </w:tr>
      <w:tr w14:paraId="4DFD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5FC01813">
            <w:pPr>
              <w:rPr>
                <w:rFonts w:hint="eastAsia" w:ascii="宋体" w:hAnsi="宋体" w:eastAsia="宋体" w:cs="宋体"/>
                <w:b w:val="0"/>
                <w:bCs w:val="0"/>
                <w:sz w:val="21"/>
                <w:szCs w:val="21"/>
                <w:vertAlign w:val="baseline"/>
              </w:rPr>
            </w:pPr>
          </w:p>
        </w:tc>
        <w:tc>
          <w:tcPr>
            <w:tcW w:w="1383" w:type="dxa"/>
            <w:gridSpan w:val="2"/>
            <w:vAlign w:val="top"/>
          </w:tcPr>
          <w:p w14:paraId="4CE03B4F">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3.2 安全生产</w:t>
            </w:r>
          </w:p>
        </w:tc>
        <w:tc>
          <w:tcPr>
            <w:tcW w:w="4667" w:type="dxa"/>
            <w:vAlign w:val="top"/>
          </w:tcPr>
          <w:p w14:paraId="4A8275EB">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消防、安防设施完好有效，无安全隐患。有隐患未整改扣3分；发生一般安全事故扣5分，重大事故本项0分</w:t>
            </w:r>
          </w:p>
        </w:tc>
        <w:tc>
          <w:tcPr>
            <w:tcW w:w="662" w:type="dxa"/>
            <w:vAlign w:val="top"/>
          </w:tcPr>
          <w:p w14:paraId="48E7A476">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688" w:type="dxa"/>
            <w:vAlign w:val="top"/>
          </w:tcPr>
          <w:p w14:paraId="0912DEE5">
            <w:pPr>
              <w:rPr>
                <w:rFonts w:hint="eastAsia" w:ascii="宋体" w:hAnsi="宋体" w:eastAsia="宋体" w:cs="宋体"/>
                <w:b w:val="0"/>
                <w:bCs w:val="0"/>
                <w:sz w:val="21"/>
                <w:szCs w:val="21"/>
                <w:vertAlign w:val="baseline"/>
              </w:rPr>
            </w:pPr>
          </w:p>
        </w:tc>
        <w:tc>
          <w:tcPr>
            <w:tcW w:w="653" w:type="dxa"/>
            <w:vAlign w:val="top"/>
          </w:tcPr>
          <w:p w14:paraId="45A187DE">
            <w:pPr>
              <w:rPr>
                <w:rFonts w:hint="eastAsia" w:ascii="宋体" w:hAnsi="宋体" w:eastAsia="宋体" w:cs="宋体"/>
                <w:b w:val="0"/>
                <w:bCs w:val="0"/>
                <w:sz w:val="21"/>
                <w:szCs w:val="21"/>
                <w:vertAlign w:val="baseline"/>
              </w:rPr>
            </w:pPr>
          </w:p>
        </w:tc>
      </w:tr>
      <w:tr w14:paraId="78A1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511B2AF1">
            <w:pPr>
              <w:rPr>
                <w:rFonts w:hint="eastAsia" w:ascii="宋体" w:hAnsi="宋体" w:eastAsia="宋体" w:cs="宋体"/>
                <w:b w:val="0"/>
                <w:bCs w:val="0"/>
                <w:sz w:val="21"/>
                <w:szCs w:val="21"/>
                <w:vertAlign w:val="baseline"/>
              </w:rPr>
            </w:pPr>
          </w:p>
        </w:tc>
        <w:tc>
          <w:tcPr>
            <w:tcW w:w="1383" w:type="dxa"/>
            <w:gridSpan w:val="2"/>
            <w:vAlign w:val="top"/>
          </w:tcPr>
          <w:p w14:paraId="7150BC04">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3.3 财务与结算合规</w:t>
            </w:r>
          </w:p>
        </w:tc>
        <w:tc>
          <w:tcPr>
            <w:tcW w:w="4667" w:type="dxa"/>
            <w:vAlign w:val="top"/>
          </w:tcPr>
          <w:p w14:paraId="7C33D41E">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储备资金专款专用，轮换价差处理符合规定，结算票据规范。有一项不合规扣2分</w:t>
            </w:r>
          </w:p>
        </w:tc>
        <w:tc>
          <w:tcPr>
            <w:tcW w:w="662" w:type="dxa"/>
            <w:vAlign w:val="top"/>
          </w:tcPr>
          <w:p w14:paraId="6914E7EA">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688" w:type="dxa"/>
            <w:vAlign w:val="top"/>
          </w:tcPr>
          <w:p w14:paraId="2F7F4DE9">
            <w:pPr>
              <w:rPr>
                <w:rFonts w:hint="eastAsia" w:ascii="宋体" w:hAnsi="宋体" w:eastAsia="宋体" w:cs="宋体"/>
                <w:b w:val="0"/>
                <w:bCs w:val="0"/>
                <w:sz w:val="21"/>
                <w:szCs w:val="21"/>
                <w:vertAlign w:val="baseline"/>
              </w:rPr>
            </w:pPr>
          </w:p>
        </w:tc>
        <w:tc>
          <w:tcPr>
            <w:tcW w:w="653" w:type="dxa"/>
            <w:vAlign w:val="top"/>
          </w:tcPr>
          <w:p w14:paraId="4C2762EC">
            <w:pPr>
              <w:rPr>
                <w:rFonts w:hint="eastAsia" w:ascii="宋体" w:hAnsi="宋体" w:eastAsia="宋体" w:cs="宋体"/>
                <w:b w:val="0"/>
                <w:bCs w:val="0"/>
                <w:sz w:val="21"/>
                <w:szCs w:val="21"/>
                <w:vertAlign w:val="baseline"/>
              </w:rPr>
            </w:pPr>
          </w:p>
        </w:tc>
      </w:tr>
      <w:tr w14:paraId="2AC4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top"/>
          </w:tcPr>
          <w:p w14:paraId="57B24E33">
            <w:pPr>
              <w:rPr>
                <w:rFonts w:hint="eastAsia" w:ascii="宋体" w:hAnsi="宋体" w:eastAsia="宋体" w:cs="宋体"/>
                <w:b w:val="0"/>
                <w:bCs w:val="0"/>
                <w:sz w:val="21"/>
                <w:szCs w:val="21"/>
                <w:vertAlign w:val="baseline"/>
              </w:rPr>
            </w:pPr>
          </w:p>
        </w:tc>
        <w:tc>
          <w:tcPr>
            <w:tcW w:w="1383" w:type="dxa"/>
            <w:gridSpan w:val="2"/>
            <w:vAlign w:val="top"/>
          </w:tcPr>
          <w:p w14:paraId="562BF03E">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3.4 接受监管配合度</w:t>
            </w:r>
          </w:p>
        </w:tc>
        <w:tc>
          <w:tcPr>
            <w:tcW w:w="4667" w:type="dxa"/>
            <w:vAlign w:val="top"/>
          </w:tcPr>
          <w:p w14:paraId="370548F4">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积极配合甲方及财政、审计等部门的检查、审计，按要求提供资料。不配合或提供虚假资料，本项0分</w:t>
            </w:r>
          </w:p>
        </w:tc>
        <w:tc>
          <w:tcPr>
            <w:tcW w:w="662" w:type="dxa"/>
            <w:vAlign w:val="top"/>
          </w:tcPr>
          <w:p w14:paraId="1E2BFC46">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688" w:type="dxa"/>
            <w:vAlign w:val="top"/>
          </w:tcPr>
          <w:p w14:paraId="3E0FABA9">
            <w:pPr>
              <w:rPr>
                <w:rFonts w:hint="eastAsia" w:ascii="宋体" w:hAnsi="宋体" w:eastAsia="宋体" w:cs="宋体"/>
                <w:b w:val="0"/>
                <w:bCs w:val="0"/>
                <w:sz w:val="21"/>
                <w:szCs w:val="21"/>
                <w:vertAlign w:val="baseline"/>
              </w:rPr>
            </w:pPr>
          </w:p>
        </w:tc>
        <w:tc>
          <w:tcPr>
            <w:tcW w:w="653" w:type="dxa"/>
            <w:vAlign w:val="top"/>
          </w:tcPr>
          <w:p w14:paraId="07E03A73">
            <w:pPr>
              <w:rPr>
                <w:rFonts w:hint="eastAsia" w:ascii="宋体" w:hAnsi="宋体" w:eastAsia="宋体" w:cs="宋体"/>
                <w:b w:val="0"/>
                <w:bCs w:val="0"/>
                <w:sz w:val="21"/>
                <w:szCs w:val="21"/>
                <w:vertAlign w:val="baseline"/>
              </w:rPr>
            </w:pPr>
          </w:p>
        </w:tc>
      </w:tr>
      <w:tr w14:paraId="3435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gridSpan w:val="2"/>
            <w:vAlign w:val="top"/>
          </w:tcPr>
          <w:p w14:paraId="223666A6">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四、应急与出库能力 (15分)</w:t>
            </w:r>
          </w:p>
        </w:tc>
        <w:tc>
          <w:tcPr>
            <w:tcW w:w="1378" w:type="dxa"/>
            <w:vAlign w:val="top"/>
          </w:tcPr>
          <w:p w14:paraId="633AB995">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4.1 应急响应预案</w:t>
            </w:r>
          </w:p>
        </w:tc>
        <w:tc>
          <w:tcPr>
            <w:tcW w:w="4667" w:type="dxa"/>
            <w:vAlign w:val="top"/>
          </w:tcPr>
          <w:p w14:paraId="6AB0BC03">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有切实可行的应急动用、保供应急预案，并经过演练。无预案扣5分，未演练扣3分</w:t>
            </w:r>
          </w:p>
        </w:tc>
        <w:tc>
          <w:tcPr>
            <w:tcW w:w="662" w:type="dxa"/>
            <w:vAlign w:val="top"/>
          </w:tcPr>
          <w:p w14:paraId="5E3FB3A9">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688" w:type="dxa"/>
            <w:vAlign w:val="top"/>
          </w:tcPr>
          <w:p w14:paraId="3A927098">
            <w:pPr>
              <w:rPr>
                <w:rFonts w:hint="eastAsia" w:ascii="宋体" w:hAnsi="宋体" w:eastAsia="宋体" w:cs="宋体"/>
                <w:b w:val="0"/>
                <w:bCs w:val="0"/>
                <w:sz w:val="21"/>
                <w:szCs w:val="21"/>
                <w:vertAlign w:val="baseline"/>
              </w:rPr>
            </w:pPr>
          </w:p>
        </w:tc>
        <w:tc>
          <w:tcPr>
            <w:tcW w:w="653" w:type="dxa"/>
            <w:vAlign w:val="top"/>
          </w:tcPr>
          <w:p w14:paraId="0C965B73">
            <w:pPr>
              <w:rPr>
                <w:rFonts w:hint="eastAsia" w:ascii="宋体" w:hAnsi="宋体" w:eastAsia="宋体" w:cs="宋体"/>
                <w:b w:val="0"/>
                <w:bCs w:val="0"/>
                <w:sz w:val="21"/>
                <w:szCs w:val="21"/>
                <w:vertAlign w:val="baseline"/>
              </w:rPr>
            </w:pPr>
          </w:p>
        </w:tc>
      </w:tr>
      <w:tr w14:paraId="7AC8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top"/>
          </w:tcPr>
          <w:p w14:paraId="4ACC36F1">
            <w:pPr>
              <w:rPr>
                <w:rFonts w:hint="eastAsia" w:ascii="宋体" w:hAnsi="宋体" w:eastAsia="宋体" w:cs="宋体"/>
                <w:b w:val="0"/>
                <w:bCs w:val="0"/>
                <w:sz w:val="21"/>
                <w:szCs w:val="21"/>
                <w:vertAlign w:val="baseline"/>
              </w:rPr>
            </w:pPr>
          </w:p>
        </w:tc>
        <w:tc>
          <w:tcPr>
            <w:tcW w:w="1383" w:type="dxa"/>
            <w:gridSpan w:val="2"/>
            <w:vAlign w:val="top"/>
          </w:tcPr>
          <w:p w14:paraId="376F3B3A">
            <w:pPr>
              <w:keepNext w:val="0"/>
              <w:keepLines w:val="0"/>
              <w:widowControl/>
              <w:suppressLineNumbers w:val="0"/>
              <w:jc w:val="left"/>
              <w:rPr>
                <w:rFonts w:hint="eastAsia" w:ascii="宋体" w:hAnsi="宋体" w:eastAsia="宋体" w:cs="宋体"/>
                <w:b w:val="0"/>
                <w:bCs w:val="0"/>
                <w:sz w:val="21"/>
                <w:szCs w:val="21"/>
              </w:rPr>
            </w:pPr>
            <w:r>
              <w:rPr>
                <w:rStyle w:val="46"/>
                <w:rFonts w:hint="eastAsia" w:ascii="宋体" w:hAnsi="宋体" w:eastAsia="宋体" w:cs="宋体"/>
                <w:b w:val="0"/>
                <w:bCs w:val="0"/>
                <w:kern w:val="0"/>
                <w:sz w:val="21"/>
                <w:szCs w:val="21"/>
                <w:lang w:val="en-US" w:eastAsia="zh-CN" w:bidi="ar"/>
              </w:rPr>
              <w:t>4.2 出库实操考核</w:t>
            </w:r>
          </w:p>
          <w:p w14:paraId="3961FD33">
            <w:pPr>
              <w:rPr>
                <w:rFonts w:hint="eastAsia" w:ascii="宋体" w:hAnsi="宋体" w:eastAsia="宋体" w:cs="宋体"/>
                <w:b w:val="0"/>
                <w:bCs w:val="0"/>
                <w:sz w:val="21"/>
                <w:szCs w:val="21"/>
                <w:vertAlign w:val="baseline"/>
              </w:rPr>
            </w:pPr>
          </w:p>
        </w:tc>
        <w:tc>
          <w:tcPr>
            <w:tcW w:w="4667" w:type="dxa"/>
            <w:vAlign w:val="top"/>
          </w:tcPr>
          <w:p w14:paraId="155626F4">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US" w:eastAsia="zh-CN" w:bidi="ar"/>
              </w:rPr>
              <w:t>模拟应急动用指令，考核从接令、备货、票据准备到装车完毕的全流程时效。</w:t>
            </w:r>
            <w:r>
              <w:rPr>
                <w:rStyle w:val="46"/>
                <w:rFonts w:hint="eastAsia" w:ascii="宋体" w:hAnsi="宋体" w:eastAsia="宋体" w:cs="宋体"/>
                <w:b w:val="0"/>
                <w:bCs w:val="0"/>
                <w:kern w:val="0"/>
                <w:sz w:val="21"/>
                <w:szCs w:val="21"/>
                <w:lang w:val="en-US" w:eastAsia="zh-CN" w:bidi="ar"/>
              </w:rPr>
              <w:t>超过合同约定时间（如4小时）完成，每延迟15分钟扣2分，扣完为止。</w:t>
            </w:r>
            <w:r>
              <w:rPr>
                <w:rFonts w:hint="eastAsia" w:ascii="宋体" w:hAnsi="宋体" w:eastAsia="宋体" w:cs="宋体"/>
                <w:b w:val="0"/>
                <w:bCs w:val="0"/>
                <w:kern w:val="0"/>
                <w:sz w:val="21"/>
                <w:szCs w:val="21"/>
                <w:lang w:val="en-US" w:eastAsia="zh-CN" w:bidi="ar"/>
              </w:rPr>
              <w:t>无法完成出库，本项0分</w:t>
            </w:r>
          </w:p>
          <w:p w14:paraId="69B3073C">
            <w:pPr>
              <w:rPr>
                <w:rFonts w:hint="eastAsia" w:ascii="宋体" w:hAnsi="宋体" w:eastAsia="宋体" w:cs="宋体"/>
                <w:b w:val="0"/>
                <w:bCs w:val="0"/>
                <w:sz w:val="21"/>
                <w:szCs w:val="21"/>
                <w:vertAlign w:val="baseline"/>
              </w:rPr>
            </w:pPr>
          </w:p>
        </w:tc>
        <w:tc>
          <w:tcPr>
            <w:tcW w:w="662" w:type="dxa"/>
            <w:vAlign w:val="top"/>
          </w:tcPr>
          <w:p w14:paraId="3B2893B6">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688" w:type="dxa"/>
            <w:vAlign w:val="top"/>
          </w:tcPr>
          <w:p w14:paraId="6BD8D1C5">
            <w:pPr>
              <w:rPr>
                <w:rFonts w:hint="eastAsia" w:ascii="宋体" w:hAnsi="宋体" w:eastAsia="宋体" w:cs="宋体"/>
                <w:b w:val="0"/>
                <w:bCs w:val="0"/>
                <w:sz w:val="21"/>
                <w:szCs w:val="21"/>
                <w:vertAlign w:val="baseline"/>
              </w:rPr>
            </w:pPr>
          </w:p>
        </w:tc>
        <w:tc>
          <w:tcPr>
            <w:tcW w:w="653" w:type="dxa"/>
            <w:vAlign w:val="top"/>
          </w:tcPr>
          <w:p w14:paraId="1321D8E8">
            <w:pPr>
              <w:rPr>
                <w:rFonts w:hint="eastAsia" w:ascii="宋体" w:hAnsi="宋体" w:eastAsia="宋体" w:cs="宋体"/>
                <w:b w:val="0"/>
                <w:bCs w:val="0"/>
                <w:sz w:val="21"/>
                <w:szCs w:val="21"/>
                <w:vertAlign w:val="baseline"/>
              </w:rPr>
            </w:pPr>
          </w:p>
        </w:tc>
      </w:tr>
      <w:tr w14:paraId="39AE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1657" w:type="dxa"/>
            <w:gridSpan w:val="2"/>
            <w:vAlign w:val="top"/>
          </w:tcPr>
          <w:p w14:paraId="16934055">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p w14:paraId="15C00E2A">
            <w:pPr>
              <w:rPr>
                <w:rFonts w:hint="eastAsia" w:ascii="宋体" w:hAnsi="宋体" w:eastAsia="宋体" w:cs="宋体"/>
                <w:b w:val="0"/>
                <w:bCs w:val="0"/>
                <w:sz w:val="21"/>
                <w:szCs w:val="21"/>
                <w:vertAlign w:val="baseline"/>
              </w:rPr>
            </w:pPr>
          </w:p>
          <w:p w14:paraId="5F4A3E38">
            <w:pPr>
              <w:rPr>
                <w:rFonts w:hint="eastAsia" w:ascii="宋体" w:hAnsi="宋体" w:eastAsia="宋体" w:cs="宋体"/>
                <w:b w:val="0"/>
                <w:bCs w:val="0"/>
                <w:sz w:val="21"/>
                <w:szCs w:val="21"/>
                <w:vertAlign w:val="baseline"/>
              </w:rPr>
            </w:pPr>
          </w:p>
          <w:p w14:paraId="25B5CDBF">
            <w:pPr>
              <w:rPr>
                <w:rFonts w:hint="eastAsia" w:ascii="宋体" w:hAnsi="宋体" w:eastAsia="宋体" w:cs="宋体"/>
                <w:b w:val="0"/>
                <w:bCs w:val="0"/>
                <w:sz w:val="21"/>
                <w:szCs w:val="21"/>
                <w:vertAlign w:val="baseline"/>
              </w:rPr>
            </w:pPr>
          </w:p>
          <w:p w14:paraId="6F3E6E94">
            <w:pPr>
              <w:rPr>
                <w:rFonts w:hint="eastAsia" w:ascii="宋体" w:hAnsi="宋体" w:eastAsia="宋体" w:cs="宋体"/>
                <w:b w:val="0"/>
                <w:bCs w:val="0"/>
                <w:sz w:val="21"/>
                <w:szCs w:val="21"/>
                <w:vertAlign w:val="baseline"/>
              </w:rPr>
            </w:pPr>
          </w:p>
          <w:p w14:paraId="54D32D1F">
            <w:pPr>
              <w:rPr>
                <w:rFonts w:hint="eastAsia" w:ascii="宋体" w:hAnsi="宋体" w:eastAsia="宋体" w:cs="宋体"/>
                <w:b w:val="0"/>
                <w:bCs w:val="0"/>
                <w:sz w:val="21"/>
                <w:szCs w:val="21"/>
                <w:vertAlign w:val="baseline"/>
              </w:rPr>
            </w:pPr>
          </w:p>
          <w:p w14:paraId="2904592B">
            <w:pPr>
              <w:rPr>
                <w:rFonts w:hint="eastAsia" w:ascii="宋体" w:hAnsi="宋体" w:eastAsia="宋体" w:cs="宋体"/>
                <w:b w:val="0"/>
                <w:bCs w:val="0"/>
                <w:sz w:val="21"/>
                <w:szCs w:val="21"/>
                <w:vertAlign w:val="baseline"/>
              </w:rPr>
            </w:pPr>
          </w:p>
          <w:p w14:paraId="4EB4DBE2">
            <w:pPr>
              <w:rPr>
                <w:rFonts w:hint="eastAsia" w:ascii="宋体" w:hAnsi="宋体" w:eastAsia="宋体" w:cs="宋体"/>
                <w:b w:val="0"/>
                <w:bCs w:val="0"/>
                <w:sz w:val="21"/>
                <w:szCs w:val="21"/>
                <w:vertAlign w:val="baseline"/>
              </w:rPr>
            </w:pPr>
          </w:p>
        </w:tc>
        <w:tc>
          <w:tcPr>
            <w:tcW w:w="7395" w:type="dxa"/>
            <w:gridSpan w:val="4"/>
            <w:vAlign w:val="top"/>
          </w:tcPr>
          <w:p w14:paraId="768B05A6">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年</w:t>
            </w:r>
            <w:r>
              <w:rPr>
                <w:rFonts w:hint="eastAsia" w:ascii="宋体" w:hAnsi="宋体" w:eastAsia="宋体" w:cs="宋体"/>
                <w:b w:val="0"/>
                <w:bCs w:val="0"/>
                <w:sz w:val="21"/>
                <w:szCs w:val="21"/>
                <w:vertAlign w:val="baseline"/>
              </w:rPr>
              <w:t>度考评分在90分（含）以上则全额支付</w:t>
            </w:r>
            <w:r>
              <w:rPr>
                <w:rFonts w:hint="eastAsia" w:ascii="宋体" w:hAnsi="宋体" w:eastAsia="宋体" w:cs="宋体"/>
                <w:b w:val="0"/>
                <w:bCs w:val="0"/>
                <w:sz w:val="21"/>
                <w:szCs w:val="21"/>
                <w:vertAlign w:val="baseline"/>
                <w:lang w:val="en-US" w:eastAsia="zh-CN"/>
              </w:rPr>
              <w:t>当期管理</w:t>
            </w:r>
            <w:r>
              <w:rPr>
                <w:rFonts w:hint="eastAsia" w:ascii="宋体" w:hAnsi="宋体" w:eastAsia="宋体" w:cs="宋体"/>
                <w:b w:val="0"/>
                <w:bCs w:val="0"/>
                <w:sz w:val="21"/>
                <w:szCs w:val="21"/>
                <w:vertAlign w:val="baseline"/>
              </w:rPr>
              <w:t>费；</w:t>
            </w:r>
          </w:p>
          <w:p w14:paraId="26F55884">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年</w:t>
            </w:r>
            <w:r>
              <w:rPr>
                <w:rFonts w:hint="eastAsia" w:ascii="宋体" w:hAnsi="宋体" w:eastAsia="宋体" w:cs="宋体"/>
                <w:b w:val="0"/>
                <w:bCs w:val="0"/>
                <w:sz w:val="21"/>
                <w:szCs w:val="21"/>
                <w:vertAlign w:val="baseline"/>
              </w:rPr>
              <w:t>度考评分在80分以上90分以下则按每分500元扣除当期管理费；</w:t>
            </w:r>
          </w:p>
          <w:p w14:paraId="6FEA03F0">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年</w:t>
            </w:r>
            <w:r>
              <w:rPr>
                <w:rFonts w:hint="eastAsia" w:ascii="宋体" w:hAnsi="宋体" w:eastAsia="宋体" w:cs="宋体"/>
                <w:b w:val="0"/>
                <w:bCs w:val="0"/>
                <w:sz w:val="21"/>
                <w:szCs w:val="21"/>
                <w:vertAlign w:val="baseline"/>
              </w:rPr>
              <w:t>度考评分在80分（含）以下则按每分500元扣款并加扣该周期费用5%；</w:t>
            </w:r>
          </w:p>
          <w:p w14:paraId="66FEB461">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lang w:val="en-US" w:eastAsia="zh-CN"/>
              </w:rPr>
              <w:t>年</w:t>
            </w:r>
            <w:r>
              <w:rPr>
                <w:rFonts w:hint="eastAsia" w:ascii="宋体" w:hAnsi="宋体" w:eastAsia="宋体" w:cs="宋体"/>
                <w:b w:val="0"/>
                <w:bCs w:val="0"/>
                <w:sz w:val="21"/>
                <w:szCs w:val="21"/>
                <w:vertAlign w:val="baseline"/>
              </w:rPr>
              <w:t>度考评分在60分（不含）以下则终止合同。</w:t>
            </w:r>
          </w:p>
          <w:p w14:paraId="411C6835">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此表为样本，甲方视实际情况调整。</w:t>
            </w:r>
          </w:p>
          <w:p w14:paraId="359BE334">
            <w:pPr>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本考核表为</w:t>
            </w:r>
            <w:r>
              <w:rPr>
                <w:rFonts w:hint="eastAsia" w:ascii="宋体" w:hAnsi="宋体" w:eastAsia="宋体" w:cs="宋体"/>
                <w:b w:val="0"/>
                <w:bCs w:val="0"/>
                <w:sz w:val="21"/>
                <w:szCs w:val="21"/>
                <w:vertAlign w:val="baseline"/>
                <w:lang w:val="en-US" w:eastAsia="zh-CN"/>
              </w:rPr>
              <w:t>年</w:t>
            </w:r>
            <w:r>
              <w:rPr>
                <w:rFonts w:hint="eastAsia" w:ascii="宋体" w:hAnsi="宋体" w:eastAsia="宋体" w:cs="宋体"/>
                <w:b w:val="0"/>
                <w:bCs w:val="0"/>
                <w:sz w:val="21"/>
                <w:szCs w:val="21"/>
                <w:vertAlign w:val="baseline"/>
              </w:rPr>
              <w:t>度考核表。</w:t>
            </w:r>
          </w:p>
        </w:tc>
        <w:tc>
          <w:tcPr>
            <w:tcW w:w="653" w:type="dxa"/>
            <w:vAlign w:val="top"/>
          </w:tcPr>
          <w:p w14:paraId="0E20A209">
            <w:pPr>
              <w:rPr>
                <w:rFonts w:hint="eastAsia" w:ascii="宋体" w:hAnsi="宋体" w:eastAsia="宋体" w:cs="宋体"/>
                <w:b w:val="0"/>
                <w:bCs w:val="0"/>
                <w:sz w:val="21"/>
                <w:szCs w:val="21"/>
                <w:vertAlign w:val="baseline"/>
              </w:rPr>
            </w:pPr>
          </w:p>
        </w:tc>
      </w:tr>
    </w:tbl>
    <w:p w14:paraId="4F1D4FB3">
      <w:pPr>
        <w:spacing w:line="360" w:lineRule="auto"/>
        <w:rPr>
          <w:rFonts w:hint="default" w:ascii="宋体" w:hAnsi="宋体" w:cs="宋体"/>
          <w:color w:val="auto"/>
          <w:szCs w:val="21"/>
          <w:highlight w:val="none"/>
          <w:lang w:val="en-US" w:eastAsia="zh-CN"/>
        </w:rPr>
      </w:pPr>
    </w:p>
    <w:p w14:paraId="423F1F28">
      <w:pPr>
        <w:pageBreakBefore/>
        <w:tabs>
          <w:tab w:val="left" w:pos="315"/>
          <w:tab w:val="center" w:pos="4153"/>
        </w:tabs>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五、磋商响应文件格式</w:t>
      </w:r>
    </w:p>
    <w:p w14:paraId="5AB43C25">
      <w:pPr>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说明：</w:t>
      </w:r>
    </w:p>
    <w:p w14:paraId="23B73857">
      <w:pPr>
        <w:pStyle w:val="54"/>
        <w:ind w:firstLine="420"/>
        <w:rPr>
          <w:rFonts w:cs="宋体"/>
          <w:color w:val="auto"/>
          <w:sz w:val="21"/>
          <w:szCs w:val="21"/>
          <w:highlight w:val="none"/>
        </w:rPr>
      </w:pPr>
      <w:r>
        <w:rPr>
          <w:rFonts w:hint="eastAsia" w:cs="宋体"/>
          <w:color w:val="auto"/>
          <w:sz w:val="21"/>
          <w:szCs w:val="21"/>
          <w:highlight w:val="none"/>
        </w:rPr>
        <w:t>对本章所有的格式，供应商可根据自身情况进行补充和修改，但补充和修改不得造成与本格式内容有实质性的违背。</w:t>
      </w:r>
    </w:p>
    <w:p w14:paraId="5038A7BF">
      <w:pPr>
        <w:pStyle w:val="54"/>
        <w:ind w:firstLine="420"/>
        <w:rPr>
          <w:rFonts w:cs="宋体"/>
          <w:color w:val="auto"/>
          <w:sz w:val="21"/>
          <w:szCs w:val="21"/>
          <w:highlight w:val="none"/>
        </w:rPr>
      </w:pPr>
    </w:p>
    <w:p w14:paraId="3C897049">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附件1：开标一览表</w:t>
      </w:r>
    </w:p>
    <w:p w14:paraId="71C70D98">
      <w:pPr>
        <w:spacing w:line="360" w:lineRule="auto"/>
        <w:jc w:val="center"/>
        <w:rPr>
          <w:rFonts w:ascii="宋体" w:hAnsi="宋体" w:cs="宋体"/>
          <w:b/>
          <w:color w:val="auto"/>
          <w:szCs w:val="21"/>
          <w:highlight w:val="none"/>
        </w:rPr>
      </w:pPr>
    </w:p>
    <w:p w14:paraId="22F06C3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开标一览表</w:t>
      </w:r>
    </w:p>
    <w:p w14:paraId="505FA4EE">
      <w:pPr>
        <w:spacing w:line="360" w:lineRule="auto"/>
        <w:jc w:val="left"/>
        <w:rPr>
          <w:rFonts w:ascii="宋体" w:hAnsi="宋体" w:cs="宋体"/>
          <w:color w:val="auto"/>
          <w:szCs w:val="21"/>
          <w:highlight w:val="none"/>
        </w:rPr>
      </w:pPr>
    </w:p>
    <w:p w14:paraId="77642F9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49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15"/>
        <w:gridCol w:w="2686"/>
        <w:gridCol w:w="2340"/>
        <w:gridCol w:w="1716"/>
      </w:tblGrid>
      <w:tr w14:paraId="5CE3E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915" w:type="dxa"/>
            <w:tcBorders>
              <w:top w:val="single" w:color="auto" w:sz="4" w:space="0"/>
              <w:left w:val="single" w:color="auto" w:sz="4" w:space="0"/>
              <w:bottom w:val="single" w:color="auto" w:sz="4" w:space="0"/>
              <w:right w:val="single" w:color="auto" w:sz="4" w:space="0"/>
            </w:tcBorders>
            <w:noWrap w:val="0"/>
            <w:vAlign w:val="center"/>
          </w:tcPr>
          <w:p w14:paraId="1CC61714">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2564B69">
            <w:pPr>
              <w:jc w:val="center"/>
              <w:rPr>
                <w:rFonts w:ascii="宋体" w:hAnsi="宋体" w:cs="宋体"/>
                <w:color w:val="auto"/>
                <w:spacing w:val="20"/>
                <w:szCs w:val="21"/>
                <w:highlight w:val="none"/>
              </w:rPr>
            </w:pPr>
            <w:r>
              <w:rPr>
                <w:rFonts w:hint="eastAsia" w:ascii="宋体" w:hAnsi="宋体" w:cs="宋体"/>
                <w:color w:val="auto"/>
                <w:spacing w:val="20"/>
                <w:szCs w:val="21"/>
                <w:highlight w:val="none"/>
                <w:lang w:val="en-US" w:eastAsia="zh-CN"/>
              </w:rPr>
              <w:t>磋商总报价</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lang w:val="zh-CN"/>
              </w:rPr>
              <w:t>元</w:t>
            </w:r>
            <w:r>
              <w:rPr>
                <w:rFonts w:hint="eastAsia" w:ascii="宋体" w:hAnsi="宋体" w:cs="宋体"/>
                <w:color w:val="auto"/>
                <w:spacing w:val="20"/>
                <w:szCs w:val="21"/>
                <w:highlight w:val="none"/>
              </w:rPr>
              <w:t>)</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A94DC4D">
            <w:pPr>
              <w:jc w:val="center"/>
              <w:rPr>
                <w:rFonts w:ascii="宋体" w:hAnsi="宋体" w:cs="宋体"/>
                <w:color w:val="auto"/>
                <w:spacing w:val="20"/>
                <w:szCs w:val="21"/>
                <w:highlight w:val="none"/>
              </w:rPr>
            </w:pPr>
            <w:r>
              <w:rPr>
                <w:rFonts w:hint="eastAsia" w:ascii="宋体" w:hAnsi="宋体" w:cs="宋体"/>
                <w:color w:val="auto"/>
                <w:szCs w:val="21"/>
                <w:highlight w:val="none"/>
              </w:rPr>
              <w:t>服务期限</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0A02AA9">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01C24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2915" w:type="dxa"/>
            <w:tcBorders>
              <w:top w:val="single" w:color="auto" w:sz="4" w:space="0"/>
              <w:left w:val="single" w:color="auto" w:sz="4" w:space="0"/>
              <w:bottom w:val="single" w:color="auto" w:sz="4" w:space="0"/>
              <w:right w:val="single" w:color="auto" w:sz="4" w:space="0"/>
            </w:tcBorders>
            <w:noWrap w:val="0"/>
            <w:vAlign w:val="center"/>
          </w:tcPr>
          <w:p w14:paraId="02F939D4">
            <w:pPr>
              <w:jc w:val="center"/>
              <w:rPr>
                <w:rFonts w:ascii="宋体" w:hAnsi="宋体" w:cs="宋体"/>
                <w:color w:val="auto"/>
                <w:szCs w:val="21"/>
                <w:highlight w:val="none"/>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7708218E">
            <w:pPr>
              <w:jc w:val="center"/>
              <w:rPr>
                <w:rFonts w:ascii="宋体" w:hAnsi="宋体" w:cs="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273D680">
            <w:pPr>
              <w:jc w:val="center"/>
              <w:rPr>
                <w:rFonts w:ascii="宋体" w:hAnsi="宋体" w:cs="宋体"/>
                <w:color w:val="auto"/>
                <w:szCs w:val="21"/>
                <w:highlight w:val="none"/>
              </w:rPr>
            </w:pPr>
            <w:r>
              <w:rPr>
                <w:rFonts w:hint="eastAsia" w:ascii="宋体" w:hAnsi="宋体" w:cs="宋体"/>
                <w:color w:val="auto"/>
                <w:szCs w:val="21"/>
                <w:highlight w:val="none"/>
              </w:rPr>
              <w:t>按照采购文件要求</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E95DBF5">
            <w:pPr>
              <w:jc w:val="center"/>
              <w:rPr>
                <w:rFonts w:ascii="宋体" w:hAnsi="宋体" w:cs="宋体"/>
                <w:color w:val="auto"/>
                <w:szCs w:val="21"/>
                <w:highlight w:val="none"/>
              </w:rPr>
            </w:pPr>
          </w:p>
        </w:tc>
      </w:tr>
    </w:tbl>
    <w:p w14:paraId="6C6C6EF1">
      <w:pPr>
        <w:spacing w:line="360" w:lineRule="auto"/>
        <w:jc w:val="left"/>
        <w:rPr>
          <w:rFonts w:ascii="宋体" w:hAnsi="宋体" w:cs="宋体"/>
          <w:color w:val="auto"/>
          <w:szCs w:val="21"/>
          <w:highlight w:val="none"/>
        </w:rPr>
      </w:pPr>
    </w:p>
    <w:p w14:paraId="466FE2D2">
      <w:pPr>
        <w:spacing w:line="360" w:lineRule="auto"/>
        <w:jc w:val="left"/>
        <w:rPr>
          <w:rFonts w:ascii="宋体" w:hAnsi="宋体" w:cs="宋体"/>
          <w:color w:val="auto"/>
          <w:spacing w:val="20"/>
          <w:szCs w:val="21"/>
          <w:highlight w:val="none"/>
        </w:rPr>
      </w:pPr>
      <w:r>
        <w:rPr>
          <w:rFonts w:hint="eastAsia" w:ascii="宋体" w:hAnsi="宋体" w:cs="宋体"/>
          <w:color w:val="auto"/>
          <w:szCs w:val="21"/>
          <w:highlight w:val="none"/>
        </w:rPr>
        <w:t>磋商响应单位（签章）：</w:t>
      </w:r>
    </w:p>
    <w:p w14:paraId="1BE4BD3B">
      <w:pPr>
        <w:spacing w:line="360" w:lineRule="auto"/>
        <w:rPr>
          <w:rFonts w:ascii="宋体" w:hAnsi="宋体" w:cs="宋体"/>
          <w:color w:val="auto"/>
          <w:spacing w:val="20"/>
          <w:szCs w:val="21"/>
          <w:highlight w:val="none"/>
        </w:rPr>
      </w:pPr>
      <w:r>
        <w:rPr>
          <w:rFonts w:hint="eastAsia" w:ascii="宋体" w:hAnsi="宋体" w:cs="宋体"/>
          <w:color w:val="auto"/>
          <w:spacing w:val="20"/>
          <w:szCs w:val="21"/>
          <w:highlight w:val="none"/>
        </w:rPr>
        <w:t>日期：</w:t>
      </w:r>
    </w:p>
    <w:p w14:paraId="12AE82CC">
      <w:pPr>
        <w:pStyle w:val="42"/>
        <w:ind w:firstLine="500"/>
        <w:rPr>
          <w:rFonts w:ascii="宋体" w:hAnsi="宋体" w:cs="宋体"/>
          <w:color w:val="auto"/>
          <w:spacing w:val="20"/>
          <w:szCs w:val="21"/>
          <w:highlight w:val="none"/>
        </w:rPr>
      </w:pPr>
    </w:p>
    <w:p w14:paraId="5BFC4B9C">
      <w:pPr>
        <w:pStyle w:val="12"/>
        <w:pageBreakBefore/>
        <w:spacing w:line="360" w:lineRule="auto"/>
        <w:ind w:firstLine="0"/>
        <w:jc w:val="both"/>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rPr>
        <w:t>附件2：</w:t>
      </w:r>
      <w:r>
        <w:rPr>
          <w:rFonts w:hint="eastAsia" w:ascii="宋体" w:hAnsi="宋体" w:eastAsia="宋体" w:cs="宋体"/>
          <w:b/>
          <w:color w:val="auto"/>
          <w:sz w:val="21"/>
          <w:highlight w:val="none"/>
          <w:lang w:val="en-US" w:eastAsia="zh-CN"/>
        </w:rPr>
        <w:t>磋商响应报价分析表</w:t>
      </w:r>
    </w:p>
    <w:p w14:paraId="42910B67">
      <w:pPr>
        <w:jc w:val="center"/>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磋商响应报价分析表</w:t>
      </w:r>
    </w:p>
    <w:p w14:paraId="20368168">
      <w:pPr>
        <w:rPr>
          <w:rFonts w:hint="eastAsia" w:ascii="宋体" w:hAnsi="宋体" w:cs="宋体"/>
          <w:color w:val="auto"/>
          <w:szCs w:val="21"/>
          <w:highlight w:val="none"/>
          <w:lang w:eastAsia="zh-CN"/>
        </w:rPr>
      </w:pPr>
      <w:r>
        <w:rPr>
          <w:rFonts w:hint="eastAsia" w:ascii="宋体" w:hAnsi="宋体" w:cs="宋体"/>
          <w:color w:val="auto"/>
          <w:szCs w:val="21"/>
          <w:highlight w:val="none"/>
        </w:rPr>
        <w:t>采购编号</w:t>
      </w:r>
      <w:r>
        <w:rPr>
          <w:rFonts w:hint="eastAsia" w:ascii="宋体" w:hAnsi="宋体" w:cs="宋体"/>
          <w:color w:val="auto"/>
          <w:szCs w:val="21"/>
          <w:highlight w:val="none"/>
          <w:lang w:eastAsia="zh-CN"/>
        </w:rPr>
        <w:t>：</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267"/>
        <w:gridCol w:w="1411"/>
        <w:gridCol w:w="1865"/>
        <w:gridCol w:w="1824"/>
        <w:gridCol w:w="1490"/>
      </w:tblGrid>
      <w:tr w14:paraId="57AD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5433F6A">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序号</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2937BAAF">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费用项目</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761E0A4">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单位/数量</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26031891">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单价</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lang w:val="en-US" w:eastAsia="zh-CN"/>
              </w:rPr>
              <w:t>元</w:t>
            </w:r>
            <w:r>
              <w:rPr>
                <w:rFonts w:hint="eastAsia" w:ascii="宋体" w:hAnsi="宋体" w:eastAsia="宋体" w:cs="宋体"/>
                <w:color w:val="auto"/>
                <w:spacing w:val="0"/>
                <w:szCs w:val="21"/>
                <w:highlight w:val="none"/>
                <w:lang w:eastAsia="zh-CN"/>
              </w:rPr>
              <w:t>）</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1DB23D8">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总价</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lang w:val="en-US" w:eastAsia="zh-CN"/>
              </w:rPr>
              <w:t>元</w:t>
            </w:r>
            <w:r>
              <w:rPr>
                <w:rFonts w:hint="eastAsia" w:ascii="宋体" w:hAnsi="宋体" w:eastAsia="宋体" w:cs="宋体"/>
                <w:color w:val="auto"/>
                <w:spacing w:val="0"/>
                <w:szCs w:val="21"/>
                <w:highlight w:val="none"/>
                <w:lang w:eastAsia="zh-CN"/>
              </w:rPr>
              <w:t>）</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8DB3C8C">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备注</w:t>
            </w:r>
          </w:p>
        </w:tc>
      </w:tr>
      <w:tr w14:paraId="6A90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CF3E5CC">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77BF4DF">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2E4F9BD">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02605755">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6096B06">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BE50784">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r>
      <w:tr w14:paraId="7506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8795876">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75B12DFA">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2F131F2">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61854D4">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63656A6">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6100031">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r>
      <w:tr w14:paraId="3258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F9AA977">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9003D87">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89BD3CE">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32E372A7">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A9A21E8">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2BDD45D">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r>
      <w:tr w14:paraId="3A53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0F6C90D">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4</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EA3CA9A">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5CFB2EE">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38790859">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550DB9A">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2A76098">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r>
      <w:tr w14:paraId="1761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259CF7C">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5</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2AD27FA8">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474D425">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72FC59A9">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49C0A95">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66ED22C">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r>
      <w:tr w14:paraId="485C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0F73809">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6</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37609A87">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4BA3C0D2">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5FED2820">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4F73236">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8E116C9">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r>
      <w:tr w14:paraId="38CC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C3D94EA">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57234FB">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73A59F1">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7353CC6E">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8D301E7">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320D4BA">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r>
      <w:tr w14:paraId="4928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939E446">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46C0F48E">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AB033E5">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09D44CB">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FD7FA31">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9107E73">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p>
        </w:tc>
      </w:tr>
      <w:tr w14:paraId="67D0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5F8A75E6">
            <w:pPr>
              <w:kinsoku/>
              <w:wordWrap/>
              <w:overflowPunct/>
              <w:topLinePunct w:val="0"/>
              <w:autoSpaceDE/>
              <w:autoSpaceDN/>
              <w:bidi w:val="0"/>
              <w:spacing w:line="400" w:lineRule="exact"/>
              <w:jc w:val="center"/>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合计总报价</w:t>
            </w:r>
          </w:p>
        </w:tc>
        <w:tc>
          <w:tcPr>
            <w:tcW w:w="6211" w:type="dxa"/>
            <w:gridSpan w:val="4"/>
            <w:tcBorders>
              <w:top w:val="single" w:color="auto" w:sz="4" w:space="0"/>
              <w:left w:val="single" w:color="auto" w:sz="4" w:space="0"/>
              <w:bottom w:val="single" w:color="auto" w:sz="4" w:space="0"/>
              <w:right w:val="single" w:color="auto" w:sz="4" w:space="0"/>
            </w:tcBorders>
            <w:noWrap w:val="0"/>
            <w:vAlign w:val="center"/>
          </w:tcPr>
          <w:p w14:paraId="723B593B">
            <w:pPr>
              <w:kinsoku/>
              <w:wordWrap/>
              <w:overflowPunct/>
              <w:topLinePunct w:val="0"/>
              <w:autoSpaceDE/>
              <w:autoSpaceDN/>
              <w:bidi w:val="0"/>
              <w:spacing w:line="40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人民币（小写）       元</w:t>
            </w:r>
          </w:p>
        </w:tc>
      </w:tr>
    </w:tbl>
    <w:p w14:paraId="28800AF1">
      <w:pPr>
        <w:spacing w:line="360" w:lineRule="auto"/>
        <w:jc w:val="left"/>
        <w:rPr>
          <w:rFonts w:hint="eastAsia" w:ascii="宋体" w:hAnsi="宋体" w:cs="宋体"/>
          <w:color w:val="auto"/>
          <w:szCs w:val="21"/>
          <w:highlight w:val="none"/>
        </w:rPr>
      </w:pPr>
    </w:p>
    <w:p w14:paraId="562A9309">
      <w:pPr>
        <w:spacing w:line="360" w:lineRule="auto"/>
        <w:jc w:val="left"/>
        <w:rPr>
          <w:rFonts w:ascii="宋体" w:hAnsi="宋体" w:cs="宋体"/>
          <w:color w:val="auto"/>
          <w:spacing w:val="20"/>
          <w:szCs w:val="21"/>
          <w:highlight w:val="none"/>
        </w:rPr>
      </w:pPr>
      <w:r>
        <w:rPr>
          <w:rFonts w:hint="eastAsia" w:ascii="宋体" w:hAnsi="宋体" w:cs="宋体"/>
          <w:color w:val="auto"/>
          <w:szCs w:val="21"/>
          <w:highlight w:val="none"/>
        </w:rPr>
        <w:t>磋商响应单位（签章）：</w:t>
      </w:r>
    </w:p>
    <w:p w14:paraId="592060EF">
      <w:pPr>
        <w:rPr>
          <w:rFonts w:hint="eastAsia" w:ascii="宋体" w:hAnsi="宋体" w:cs="宋体"/>
          <w:color w:val="auto"/>
          <w:szCs w:val="21"/>
          <w:highlight w:val="none"/>
          <w:lang w:val="en-US" w:eastAsia="zh-CN"/>
        </w:rPr>
      </w:pPr>
      <w:r>
        <w:rPr>
          <w:rFonts w:hint="eastAsia" w:ascii="宋体" w:hAnsi="宋体" w:cs="宋体"/>
          <w:color w:val="auto"/>
          <w:spacing w:val="20"/>
          <w:szCs w:val="21"/>
          <w:highlight w:val="none"/>
        </w:rPr>
        <w:t>日期</w:t>
      </w:r>
    </w:p>
    <w:p w14:paraId="3FAA0B55">
      <w:pPr>
        <w:pStyle w:val="12"/>
        <w:pageBreakBefore/>
        <w:spacing w:line="360" w:lineRule="auto"/>
        <w:ind w:firstLine="0"/>
        <w:jc w:val="both"/>
        <w:rPr>
          <w:rFonts w:ascii="宋体" w:hAnsi="宋体" w:eastAsia="宋体" w:cs="宋体"/>
          <w:b/>
          <w:color w:val="auto"/>
          <w:sz w:val="21"/>
          <w:highlight w:val="none"/>
        </w:rPr>
      </w:pPr>
      <w:r>
        <w:rPr>
          <w:rFonts w:hint="eastAsia" w:ascii="宋体" w:hAnsi="宋体" w:eastAsia="宋体" w:cs="宋体"/>
          <w:b/>
          <w:color w:val="auto"/>
          <w:sz w:val="21"/>
          <w:highlight w:val="none"/>
          <w:lang w:val="en-US" w:eastAsia="zh-CN"/>
        </w:rPr>
        <w:t>附件3：</w:t>
      </w:r>
      <w:r>
        <w:rPr>
          <w:rFonts w:hint="eastAsia" w:ascii="宋体" w:hAnsi="宋体" w:eastAsia="宋体" w:cs="宋体"/>
          <w:b/>
          <w:color w:val="auto"/>
          <w:sz w:val="21"/>
          <w:highlight w:val="none"/>
        </w:rPr>
        <w:t>关于资格文件的声明函</w:t>
      </w:r>
    </w:p>
    <w:p w14:paraId="44DBE362">
      <w:pPr>
        <w:pStyle w:val="12"/>
        <w:spacing w:line="360" w:lineRule="auto"/>
        <w:jc w:val="center"/>
        <w:rPr>
          <w:rFonts w:ascii="宋体" w:hAnsi="宋体" w:eastAsia="宋体" w:cs="宋体"/>
          <w:color w:val="auto"/>
          <w:sz w:val="21"/>
          <w:highlight w:val="none"/>
        </w:rPr>
      </w:pPr>
    </w:p>
    <w:p w14:paraId="5CC00DA9">
      <w:pPr>
        <w:pStyle w:val="12"/>
        <w:spacing w:line="360" w:lineRule="auto"/>
        <w:jc w:val="center"/>
        <w:rPr>
          <w:rFonts w:ascii="宋体" w:hAnsi="宋体" w:eastAsia="宋体" w:cs="宋体"/>
          <w:color w:val="auto"/>
          <w:sz w:val="21"/>
          <w:highlight w:val="none"/>
        </w:rPr>
      </w:pPr>
      <w:r>
        <w:rPr>
          <w:rFonts w:hint="eastAsia" w:ascii="宋体" w:hAnsi="宋体" w:eastAsia="宋体" w:cs="宋体"/>
          <w:color w:val="auto"/>
          <w:sz w:val="21"/>
          <w:highlight w:val="none"/>
        </w:rPr>
        <w:t>关于资格文件的声明函</w:t>
      </w:r>
    </w:p>
    <w:p w14:paraId="38607985">
      <w:pPr>
        <w:pStyle w:val="12"/>
        <w:spacing w:line="360" w:lineRule="auto"/>
        <w:ind w:firstLine="0"/>
        <w:rPr>
          <w:rFonts w:ascii="宋体" w:hAnsi="宋体" w:eastAsia="宋体" w:cs="宋体"/>
          <w:color w:val="auto"/>
          <w:sz w:val="21"/>
          <w:highlight w:val="none"/>
          <w:u w:val="single"/>
        </w:rPr>
      </w:pPr>
    </w:p>
    <w:p w14:paraId="4F1AD26A">
      <w:pPr>
        <w:pStyle w:val="12"/>
        <w:spacing w:line="360" w:lineRule="auto"/>
        <w:ind w:firstLine="210" w:firstLineChars="100"/>
        <w:rPr>
          <w:rFonts w:ascii="宋体" w:hAnsi="宋体" w:eastAsia="宋体" w:cs="宋体"/>
          <w:color w:val="auto"/>
          <w:sz w:val="21"/>
          <w:highlight w:val="none"/>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w:t>
      </w:r>
    </w:p>
    <w:p w14:paraId="22B49D45">
      <w:pPr>
        <w:pStyle w:val="12"/>
        <w:spacing w:line="360" w:lineRule="auto"/>
        <w:rPr>
          <w:rFonts w:ascii="宋体" w:hAnsi="宋体" w:eastAsia="宋体" w:cs="宋体"/>
          <w:color w:val="auto"/>
          <w:sz w:val="21"/>
          <w:szCs w:val="21"/>
          <w:highlight w:val="none"/>
        </w:rPr>
      </w:pPr>
      <w:r>
        <w:rPr>
          <w:rFonts w:hint="eastAsia" w:ascii="宋体" w:hAnsi="宋体" w:eastAsia="宋体" w:cs="宋体"/>
          <w:color w:val="auto"/>
          <w:sz w:val="21"/>
          <w:highlight w:val="none"/>
        </w:rPr>
        <w:t>本公司愿就由贵公司组织实施的编号为</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rPr>
        <w:t>号的招标活动进行投标。本公司所提交的响应文件中所有关于投标资格的文件、证明和陈述均是真实的、准确的。本公司愿意提供采购文件中要求的所有资料，本公司承诺我单位符合采购文件中的所有资格要求。若与真实情况不符，本公司愿意承担由此而产生的一切后果。</w:t>
      </w:r>
    </w:p>
    <w:p w14:paraId="2764ED84">
      <w:pPr>
        <w:pStyle w:val="12"/>
        <w:spacing w:line="360" w:lineRule="auto"/>
        <w:ind w:firstLine="0"/>
        <w:jc w:val="both"/>
        <w:rPr>
          <w:rFonts w:ascii="宋体" w:hAnsi="宋体" w:eastAsia="宋体" w:cs="宋体"/>
          <w:color w:val="auto"/>
          <w:sz w:val="21"/>
          <w:highlight w:val="none"/>
        </w:rPr>
      </w:pPr>
    </w:p>
    <w:p w14:paraId="371C6E6B">
      <w:pPr>
        <w:pStyle w:val="12"/>
        <w:spacing w:line="360" w:lineRule="auto"/>
        <w:ind w:firstLine="0"/>
        <w:jc w:val="both"/>
        <w:rPr>
          <w:rFonts w:ascii="宋体" w:hAnsi="宋体" w:eastAsia="宋体" w:cs="宋体"/>
          <w:color w:val="auto"/>
          <w:sz w:val="21"/>
          <w:highlight w:val="none"/>
        </w:rPr>
      </w:pPr>
      <w:r>
        <w:rPr>
          <w:rFonts w:hint="eastAsia" w:ascii="宋体" w:hAnsi="宋体" w:eastAsia="宋体" w:cs="宋体"/>
          <w:color w:val="auto"/>
          <w:sz w:val="21"/>
          <w:highlight w:val="none"/>
        </w:rPr>
        <w:t>磋商响应单位：（签章）</w:t>
      </w:r>
    </w:p>
    <w:p w14:paraId="6822D6B1">
      <w:pPr>
        <w:pStyle w:val="12"/>
        <w:spacing w:line="360" w:lineRule="auto"/>
        <w:ind w:firstLine="0"/>
        <w:jc w:val="both"/>
        <w:rPr>
          <w:rFonts w:ascii="宋体" w:hAnsi="宋体" w:eastAsia="宋体" w:cs="宋体"/>
          <w:color w:val="auto"/>
          <w:sz w:val="21"/>
          <w:szCs w:val="21"/>
          <w:highlight w:val="none"/>
        </w:rPr>
        <w:sectPr>
          <w:pgSz w:w="11906" w:h="16838"/>
          <w:pgMar w:top="1134" w:right="1134" w:bottom="1134" w:left="1134" w:header="680" w:footer="680" w:gutter="0"/>
          <w:cols w:space="720" w:num="1"/>
          <w:docGrid w:linePitch="360" w:charSpace="0"/>
        </w:sectPr>
      </w:pPr>
      <w:r>
        <w:rPr>
          <w:rFonts w:hint="eastAsia" w:ascii="宋体" w:hAnsi="宋体" w:eastAsia="宋体" w:cs="宋体"/>
          <w:color w:val="auto"/>
          <w:sz w:val="21"/>
          <w:szCs w:val="21"/>
          <w:highlight w:val="none"/>
        </w:rPr>
        <w:t>日期：        年    月    日</w:t>
      </w:r>
    </w:p>
    <w:p w14:paraId="7D69A26F">
      <w:pPr>
        <w:pStyle w:val="12"/>
        <w:spacing w:line="360" w:lineRule="auto"/>
        <w:ind w:firstLine="0"/>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：磋商响应单位基本情况表</w:t>
      </w:r>
    </w:p>
    <w:p w14:paraId="52F1E040">
      <w:pPr>
        <w:pStyle w:val="12"/>
        <w:spacing w:line="360" w:lineRule="auto"/>
        <w:jc w:val="center"/>
        <w:rPr>
          <w:rFonts w:ascii="宋体" w:hAnsi="宋体" w:eastAsia="宋体" w:cs="宋体"/>
          <w:color w:val="auto"/>
          <w:sz w:val="21"/>
          <w:szCs w:val="21"/>
          <w:highlight w:val="none"/>
        </w:rPr>
      </w:pPr>
    </w:p>
    <w:p w14:paraId="3DCD4B90">
      <w:pPr>
        <w:pStyle w:val="12"/>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磋商响应单位基本情况表</w:t>
      </w:r>
    </w:p>
    <w:p w14:paraId="79B207FC">
      <w:pPr>
        <w:pStyle w:val="12"/>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单位名称：（签章）</w:t>
      </w:r>
    </w:p>
    <w:tbl>
      <w:tblPr>
        <w:tblStyle w:val="43"/>
        <w:tblW w:w="49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19"/>
        <w:gridCol w:w="1985"/>
        <w:gridCol w:w="1522"/>
        <w:gridCol w:w="2142"/>
        <w:gridCol w:w="1289"/>
      </w:tblGrid>
      <w:tr w14:paraId="15141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0"/>
            <w:vAlign w:val="center"/>
          </w:tcPr>
          <w:p w14:paraId="56A1AEEA">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985" w:type="dxa"/>
            <w:noWrap w:val="0"/>
            <w:vAlign w:val="center"/>
          </w:tcPr>
          <w:p w14:paraId="62A2EA1A">
            <w:pPr>
              <w:pStyle w:val="12"/>
              <w:ind w:firstLine="0"/>
              <w:rPr>
                <w:rFonts w:ascii="宋体" w:hAnsi="宋体" w:eastAsia="宋体" w:cs="宋体"/>
                <w:color w:val="auto"/>
                <w:sz w:val="21"/>
                <w:szCs w:val="21"/>
                <w:highlight w:val="none"/>
              </w:rPr>
            </w:pPr>
          </w:p>
        </w:tc>
        <w:tc>
          <w:tcPr>
            <w:tcW w:w="1522" w:type="dxa"/>
            <w:noWrap w:val="0"/>
            <w:vAlign w:val="center"/>
          </w:tcPr>
          <w:p w14:paraId="75DF9032">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431" w:type="dxa"/>
            <w:gridSpan w:val="2"/>
            <w:noWrap w:val="0"/>
            <w:vAlign w:val="center"/>
          </w:tcPr>
          <w:p w14:paraId="0914C609">
            <w:pPr>
              <w:pStyle w:val="12"/>
              <w:ind w:firstLine="0"/>
              <w:rPr>
                <w:rFonts w:ascii="宋体" w:hAnsi="宋体" w:eastAsia="宋体" w:cs="宋体"/>
                <w:color w:val="auto"/>
                <w:sz w:val="21"/>
                <w:szCs w:val="21"/>
                <w:highlight w:val="none"/>
              </w:rPr>
            </w:pPr>
          </w:p>
        </w:tc>
      </w:tr>
      <w:tr w14:paraId="28DCC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0"/>
            <w:vAlign w:val="center"/>
          </w:tcPr>
          <w:p w14:paraId="5DE7A8BC">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企业地址</w:t>
            </w:r>
          </w:p>
        </w:tc>
        <w:tc>
          <w:tcPr>
            <w:tcW w:w="1985" w:type="dxa"/>
            <w:noWrap w:val="0"/>
            <w:vAlign w:val="center"/>
          </w:tcPr>
          <w:p w14:paraId="61C229CA">
            <w:pPr>
              <w:pStyle w:val="12"/>
              <w:ind w:firstLine="0"/>
              <w:rPr>
                <w:rFonts w:ascii="宋体" w:hAnsi="宋体" w:eastAsia="宋体" w:cs="宋体"/>
                <w:color w:val="auto"/>
                <w:sz w:val="21"/>
                <w:szCs w:val="21"/>
                <w:highlight w:val="none"/>
              </w:rPr>
            </w:pPr>
          </w:p>
        </w:tc>
        <w:tc>
          <w:tcPr>
            <w:tcW w:w="1522" w:type="dxa"/>
            <w:noWrap w:val="0"/>
            <w:vAlign w:val="center"/>
          </w:tcPr>
          <w:p w14:paraId="36FA1012">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431" w:type="dxa"/>
            <w:gridSpan w:val="2"/>
            <w:noWrap w:val="0"/>
            <w:vAlign w:val="center"/>
          </w:tcPr>
          <w:p w14:paraId="4C0F5457">
            <w:pPr>
              <w:pStyle w:val="12"/>
              <w:ind w:firstLine="216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1FC83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0"/>
            <w:vAlign w:val="center"/>
          </w:tcPr>
          <w:p w14:paraId="1E584EC4">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938" w:type="dxa"/>
            <w:gridSpan w:val="4"/>
            <w:noWrap w:val="0"/>
            <w:vAlign w:val="center"/>
          </w:tcPr>
          <w:p w14:paraId="2BE8109C">
            <w:pPr>
              <w:pStyle w:val="12"/>
              <w:ind w:firstLine="0"/>
              <w:rPr>
                <w:rFonts w:ascii="宋体" w:hAnsi="宋体" w:eastAsia="宋体" w:cs="宋体"/>
                <w:color w:val="auto"/>
                <w:sz w:val="21"/>
                <w:szCs w:val="21"/>
                <w:highlight w:val="none"/>
              </w:rPr>
            </w:pPr>
          </w:p>
        </w:tc>
      </w:tr>
      <w:tr w14:paraId="51DC9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0"/>
            <w:vAlign w:val="center"/>
          </w:tcPr>
          <w:p w14:paraId="5F50647C">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c>
          <w:tcPr>
            <w:tcW w:w="1985" w:type="dxa"/>
            <w:noWrap w:val="0"/>
            <w:vAlign w:val="center"/>
          </w:tcPr>
          <w:p w14:paraId="12B6956F">
            <w:pPr>
              <w:pStyle w:val="12"/>
              <w:ind w:firstLine="0"/>
              <w:rPr>
                <w:rFonts w:ascii="宋体" w:hAnsi="宋体" w:eastAsia="宋体" w:cs="宋体"/>
                <w:color w:val="auto"/>
                <w:sz w:val="21"/>
                <w:szCs w:val="21"/>
                <w:highlight w:val="none"/>
              </w:rPr>
            </w:pPr>
          </w:p>
        </w:tc>
        <w:tc>
          <w:tcPr>
            <w:tcW w:w="3664" w:type="dxa"/>
            <w:gridSpan w:val="2"/>
            <w:noWrap w:val="0"/>
            <w:vAlign w:val="center"/>
          </w:tcPr>
          <w:p w14:paraId="120E4824">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其中：有中高级以上职称的人数</w:t>
            </w:r>
          </w:p>
        </w:tc>
        <w:tc>
          <w:tcPr>
            <w:tcW w:w="1289" w:type="dxa"/>
            <w:noWrap w:val="0"/>
            <w:vAlign w:val="center"/>
          </w:tcPr>
          <w:p w14:paraId="21BFCD9D">
            <w:pPr>
              <w:pStyle w:val="12"/>
              <w:ind w:firstLine="0"/>
              <w:rPr>
                <w:rFonts w:ascii="宋体" w:hAnsi="宋体" w:eastAsia="宋体" w:cs="宋体"/>
                <w:color w:val="auto"/>
                <w:sz w:val="21"/>
                <w:szCs w:val="21"/>
                <w:highlight w:val="none"/>
              </w:rPr>
            </w:pPr>
          </w:p>
        </w:tc>
      </w:tr>
      <w:tr w14:paraId="61A08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0"/>
            <w:vAlign w:val="center"/>
          </w:tcPr>
          <w:p w14:paraId="47C13176">
            <w:pPr>
              <w:pStyle w:val="12"/>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资产总计</w:t>
            </w:r>
          </w:p>
        </w:tc>
        <w:tc>
          <w:tcPr>
            <w:tcW w:w="1985" w:type="dxa"/>
            <w:noWrap w:val="0"/>
            <w:vAlign w:val="center"/>
          </w:tcPr>
          <w:p w14:paraId="01EAB5ED">
            <w:pPr>
              <w:pStyle w:val="12"/>
              <w:ind w:firstLine="84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522" w:type="dxa"/>
            <w:noWrap w:val="0"/>
            <w:vAlign w:val="center"/>
          </w:tcPr>
          <w:p w14:paraId="15633975">
            <w:pPr>
              <w:pStyle w:val="12"/>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净资产</w:t>
            </w:r>
          </w:p>
        </w:tc>
        <w:tc>
          <w:tcPr>
            <w:tcW w:w="3431" w:type="dxa"/>
            <w:gridSpan w:val="2"/>
            <w:noWrap w:val="0"/>
            <w:vAlign w:val="center"/>
          </w:tcPr>
          <w:p w14:paraId="7E3B0A29">
            <w:pPr>
              <w:pStyle w:val="12"/>
              <w:ind w:firstLine="2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35517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0"/>
            <w:vAlign w:val="center"/>
          </w:tcPr>
          <w:p w14:paraId="70230245">
            <w:pPr>
              <w:pStyle w:val="12"/>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股东权益</w:t>
            </w:r>
          </w:p>
        </w:tc>
        <w:tc>
          <w:tcPr>
            <w:tcW w:w="1985" w:type="dxa"/>
            <w:noWrap w:val="0"/>
            <w:vAlign w:val="center"/>
          </w:tcPr>
          <w:p w14:paraId="58791B65">
            <w:pPr>
              <w:pStyle w:val="12"/>
              <w:ind w:firstLine="126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522" w:type="dxa"/>
            <w:noWrap w:val="0"/>
            <w:vAlign w:val="center"/>
          </w:tcPr>
          <w:p w14:paraId="63958FE9">
            <w:pPr>
              <w:pStyle w:val="12"/>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销售收入</w:t>
            </w:r>
          </w:p>
        </w:tc>
        <w:tc>
          <w:tcPr>
            <w:tcW w:w="3431" w:type="dxa"/>
            <w:gridSpan w:val="2"/>
            <w:noWrap w:val="0"/>
            <w:vAlign w:val="center"/>
          </w:tcPr>
          <w:p w14:paraId="7414D96C">
            <w:pPr>
              <w:pStyle w:val="12"/>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       万元</w:t>
            </w:r>
          </w:p>
        </w:tc>
      </w:tr>
      <w:tr w14:paraId="76E21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0"/>
            <w:vAlign w:val="center"/>
          </w:tcPr>
          <w:p w14:paraId="10F7825A">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实现利润</w:t>
            </w:r>
          </w:p>
        </w:tc>
        <w:tc>
          <w:tcPr>
            <w:tcW w:w="1985" w:type="dxa"/>
            <w:noWrap w:val="0"/>
            <w:vAlign w:val="center"/>
          </w:tcPr>
          <w:p w14:paraId="6C5140D9">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      万元</w:t>
            </w:r>
          </w:p>
        </w:tc>
        <w:tc>
          <w:tcPr>
            <w:tcW w:w="1522" w:type="dxa"/>
            <w:noWrap w:val="0"/>
            <w:vAlign w:val="center"/>
          </w:tcPr>
          <w:p w14:paraId="44FFB6A5">
            <w:pPr>
              <w:pStyle w:val="12"/>
              <w:ind w:firstLine="0"/>
              <w:rPr>
                <w:rFonts w:ascii="宋体" w:hAnsi="宋体" w:eastAsia="宋体" w:cs="宋体"/>
                <w:color w:val="auto"/>
                <w:sz w:val="21"/>
                <w:szCs w:val="21"/>
                <w:highlight w:val="none"/>
              </w:rPr>
            </w:pPr>
          </w:p>
        </w:tc>
        <w:tc>
          <w:tcPr>
            <w:tcW w:w="3431" w:type="dxa"/>
            <w:gridSpan w:val="2"/>
            <w:noWrap w:val="0"/>
            <w:vAlign w:val="center"/>
          </w:tcPr>
          <w:p w14:paraId="5F34851B">
            <w:pPr>
              <w:pStyle w:val="12"/>
              <w:ind w:firstLine="0"/>
              <w:rPr>
                <w:rFonts w:ascii="宋体" w:hAnsi="宋体" w:eastAsia="宋体" w:cs="宋体"/>
                <w:color w:val="auto"/>
                <w:sz w:val="21"/>
                <w:szCs w:val="21"/>
                <w:highlight w:val="none"/>
              </w:rPr>
            </w:pPr>
          </w:p>
        </w:tc>
      </w:tr>
      <w:tr w14:paraId="6B109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0"/>
            <w:vAlign w:val="center"/>
          </w:tcPr>
          <w:p w14:paraId="79BE7F5A">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营业面积（含厂房面积）</w:t>
            </w:r>
          </w:p>
        </w:tc>
        <w:tc>
          <w:tcPr>
            <w:tcW w:w="1985" w:type="dxa"/>
            <w:noWrap w:val="0"/>
            <w:vAlign w:val="center"/>
          </w:tcPr>
          <w:p w14:paraId="2B0BE6C1">
            <w:pPr>
              <w:pStyle w:val="12"/>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平方米</w:t>
            </w:r>
          </w:p>
        </w:tc>
        <w:tc>
          <w:tcPr>
            <w:tcW w:w="1522" w:type="dxa"/>
            <w:noWrap w:val="0"/>
            <w:vAlign w:val="center"/>
          </w:tcPr>
          <w:p w14:paraId="20A6E037">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3431" w:type="dxa"/>
            <w:gridSpan w:val="2"/>
            <w:noWrap w:val="0"/>
            <w:vAlign w:val="center"/>
          </w:tcPr>
          <w:p w14:paraId="634CB664">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自有面积      平方米</w:t>
            </w:r>
          </w:p>
          <w:p w14:paraId="656C7FAF">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承租面积      平方米</w:t>
            </w:r>
          </w:p>
        </w:tc>
      </w:tr>
      <w:tr w14:paraId="0CE7F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0"/>
            <w:vAlign w:val="center"/>
          </w:tcPr>
          <w:p w14:paraId="5B3E6013">
            <w:pPr>
              <w:pStyle w:val="12"/>
              <w:ind w:firstLine="0"/>
              <w:rPr>
                <w:rFonts w:ascii="宋体" w:hAnsi="宋体" w:eastAsia="宋体" w:cs="宋体"/>
                <w:color w:val="auto"/>
                <w:sz w:val="21"/>
                <w:szCs w:val="21"/>
                <w:highlight w:val="none"/>
              </w:rPr>
            </w:pPr>
          </w:p>
          <w:p w14:paraId="7D00A5DA">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单位简历及内设机构情况</w:t>
            </w:r>
          </w:p>
          <w:p w14:paraId="5F379758">
            <w:pPr>
              <w:pStyle w:val="12"/>
              <w:ind w:firstLine="0"/>
              <w:rPr>
                <w:rFonts w:ascii="宋体" w:hAnsi="宋体" w:eastAsia="宋体" w:cs="宋体"/>
                <w:color w:val="auto"/>
                <w:sz w:val="21"/>
                <w:szCs w:val="21"/>
                <w:highlight w:val="none"/>
              </w:rPr>
            </w:pPr>
          </w:p>
        </w:tc>
        <w:tc>
          <w:tcPr>
            <w:tcW w:w="6938" w:type="dxa"/>
            <w:gridSpan w:val="4"/>
            <w:noWrap w:val="0"/>
            <w:vAlign w:val="center"/>
          </w:tcPr>
          <w:p w14:paraId="7F4673F7">
            <w:pPr>
              <w:pStyle w:val="12"/>
              <w:ind w:firstLine="0"/>
              <w:rPr>
                <w:rFonts w:ascii="宋体" w:hAnsi="宋体" w:eastAsia="宋体" w:cs="宋体"/>
                <w:color w:val="auto"/>
                <w:sz w:val="21"/>
                <w:szCs w:val="21"/>
                <w:highlight w:val="none"/>
              </w:rPr>
            </w:pPr>
          </w:p>
        </w:tc>
      </w:tr>
      <w:tr w14:paraId="2E38B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0"/>
            <w:vAlign w:val="center"/>
          </w:tcPr>
          <w:p w14:paraId="7C2C2E64">
            <w:pPr>
              <w:pStyle w:val="12"/>
              <w:ind w:firstLine="0"/>
              <w:rPr>
                <w:rFonts w:ascii="宋体" w:hAnsi="宋体" w:eastAsia="宋体" w:cs="宋体"/>
                <w:color w:val="auto"/>
                <w:sz w:val="21"/>
                <w:szCs w:val="21"/>
                <w:highlight w:val="none"/>
              </w:rPr>
            </w:pPr>
          </w:p>
          <w:p w14:paraId="4E141D8E">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单位优势及特长</w:t>
            </w:r>
          </w:p>
          <w:p w14:paraId="5C15C25B">
            <w:pPr>
              <w:pStyle w:val="12"/>
              <w:ind w:firstLine="0"/>
              <w:rPr>
                <w:rFonts w:ascii="宋体" w:hAnsi="宋体" w:eastAsia="宋体" w:cs="宋体"/>
                <w:color w:val="auto"/>
                <w:sz w:val="21"/>
                <w:szCs w:val="21"/>
                <w:highlight w:val="none"/>
              </w:rPr>
            </w:pPr>
          </w:p>
        </w:tc>
        <w:tc>
          <w:tcPr>
            <w:tcW w:w="6938" w:type="dxa"/>
            <w:gridSpan w:val="4"/>
            <w:noWrap w:val="0"/>
            <w:vAlign w:val="center"/>
          </w:tcPr>
          <w:p w14:paraId="33110055">
            <w:pPr>
              <w:pStyle w:val="12"/>
              <w:ind w:firstLine="0"/>
              <w:rPr>
                <w:rFonts w:ascii="宋体" w:hAnsi="宋体" w:eastAsia="宋体" w:cs="宋体"/>
                <w:color w:val="auto"/>
                <w:sz w:val="21"/>
                <w:szCs w:val="21"/>
                <w:highlight w:val="none"/>
              </w:rPr>
            </w:pPr>
          </w:p>
        </w:tc>
      </w:tr>
      <w:tr w14:paraId="6B438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0"/>
            <w:vAlign w:val="center"/>
          </w:tcPr>
          <w:p w14:paraId="301CE2E3">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近三年来完成或正在履行的重大合同情况</w:t>
            </w:r>
          </w:p>
        </w:tc>
        <w:tc>
          <w:tcPr>
            <w:tcW w:w="6938" w:type="dxa"/>
            <w:gridSpan w:val="4"/>
            <w:noWrap w:val="0"/>
            <w:vAlign w:val="center"/>
          </w:tcPr>
          <w:p w14:paraId="5E223F28">
            <w:pPr>
              <w:pStyle w:val="12"/>
              <w:ind w:firstLine="0"/>
              <w:rPr>
                <w:rFonts w:ascii="宋体" w:hAnsi="宋体" w:eastAsia="宋体" w:cs="宋体"/>
                <w:color w:val="auto"/>
                <w:sz w:val="21"/>
                <w:szCs w:val="21"/>
                <w:highlight w:val="none"/>
              </w:rPr>
            </w:pPr>
          </w:p>
        </w:tc>
      </w:tr>
      <w:tr w14:paraId="591DF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0"/>
            <w:vAlign w:val="center"/>
          </w:tcPr>
          <w:p w14:paraId="10BEDA0D">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最近2年内在经营过程中受到何种奖励或处分</w:t>
            </w:r>
          </w:p>
        </w:tc>
        <w:tc>
          <w:tcPr>
            <w:tcW w:w="6938" w:type="dxa"/>
            <w:gridSpan w:val="4"/>
            <w:noWrap w:val="0"/>
            <w:vAlign w:val="center"/>
          </w:tcPr>
          <w:p w14:paraId="2ABCC9EC">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（包括财政、工商、税务、物价、技监部门稽查情况和结果）</w:t>
            </w:r>
          </w:p>
        </w:tc>
      </w:tr>
      <w:tr w14:paraId="6D0FA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0"/>
            <w:vAlign w:val="center"/>
          </w:tcPr>
          <w:p w14:paraId="7FC7DA9D">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最近3年内有无因售假、售劣或是其他原因被消费者投诉或起诉的情况及说明</w:t>
            </w:r>
          </w:p>
        </w:tc>
        <w:tc>
          <w:tcPr>
            <w:tcW w:w="6938" w:type="dxa"/>
            <w:gridSpan w:val="4"/>
            <w:noWrap w:val="0"/>
            <w:vAlign w:val="center"/>
          </w:tcPr>
          <w:p w14:paraId="304A01D9">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（包括解决方式和结果）</w:t>
            </w:r>
          </w:p>
        </w:tc>
      </w:tr>
      <w:tr w14:paraId="6B6BF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0"/>
            <w:vAlign w:val="center"/>
          </w:tcPr>
          <w:p w14:paraId="59AA2002">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参加政府采购活动前三年内，在经营活动中有无重大违法记录情况及说明</w:t>
            </w:r>
          </w:p>
        </w:tc>
        <w:tc>
          <w:tcPr>
            <w:tcW w:w="6938" w:type="dxa"/>
            <w:gridSpan w:val="4"/>
            <w:noWrap w:val="0"/>
            <w:vAlign w:val="center"/>
          </w:tcPr>
          <w:p w14:paraId="5AB2758F">
            <w:pPr>
              <w:pStyle w:val="12"/>
              <w:ind w:firstLine="0"/>
              <w:rPr>
                <w:rFonts w:ascii="宋体" w:hAnsi="宋体" w:eastAsia="宋体" w:cs="宋体"/>
                <w:color w:val="auto"/>
                <w:sz w:val="21"/>
                <w:szCs w:val="21"/>
                <w:highlight w:val="none"/>
              </w:rPr>
            </w:pPr>
          </w:p>
        </w:tc>
      </w:tr>
      <w:tr w14:paraId="43AE0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0"/>
            <w:vAlign w:val="center"/>
          </w:tcPr>
          <w:p w14:paraId="1F99CB20">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获得技术认证的工程师及简介</w:t>
            </w:r>
          </w:p>
        </w:tc>
        <w:tc>
          <w:tcPr>
            <w:tcW w:w="6938" w:type="dxa"/>
            <w:gridSpan w:val="4"/>
            <w:noWrap w:val="0"/>
            <w:vAlign w:val="center"/>
          </w:tcPr>
          <w:p w14:paraId="47C0B150">
            <w:pPr>
              <w:pStyle w:val="12"/>
              <w:ind w:firstLine="0"/>
              <w:rPr>
                <w:rFonts w:ascii="宋体" w:hAnsi="宋体" w:eastAsia="宋体" w:cs="宋体"/>
                <w:color w:val="auto"/>
                <w:sz w:val="21"/>
                <w:szCs w:val="21"/>
                <w:highlight w:val="none"/>
              </w:rPr>
            </w:pPr>
          </w:p>
        </w:tc>
      </w:tr>
      <w:tr w14:paraId="0A148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0"/>
            <w:vAlign w:val="center"/>
          </w:tcPr>
          <w:p w14:paraId="47C362C0">
            <w:pPr>
              <w:pStyle w:val="1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其他需要说明的情况</w:t>
            </w:r>
          </w:p>
        </w:tc>
        <w:tc>
          <w:tcPr>
            <w:tcW w:w="6938" w:type="dxa"/>
            <w:gridSpan w:val="4"/>
            <w:noWrap w:val="0"/>
            <w:vAlign w:val="center"/>
          </w:tcPr>
          <w:p w14:paraId="070BC741">
            <w:pPr>
              <w:pStyle w:val="12"/>
              <w:ind w:firstLine="0"/>
              <w:rPr>
                <w:rFonts w:ascii="宋体" w:hAnsi="宋体" w:eastAsia="宋体" w:cs="宋体"/>
                <w:color w:val="auto"/>
                <w:sz w:val="21"/>
                <w:szCs w:val="21"/>
                <w:highlight w:val="none"/>
              </w:rPr>
            </w:pPr>
          </w:p>
        </w:tc>
      </w:tr>
    </w:tbl>
    <w:p w14:paraId="329ECF06">
      <w:pPr>
        <w:pStyle w:val="42"/>
        <w:ind w:firstLine="500"/>
        <w:rPr>
          <w:rFonts w:ascii="宋体" w:hAnsi="宋体" w:cs="宋体"/>
          <w:color w:val="auto"/>
          <w:spacing w:val="20"/>
          <w:szCs w:val="21"/>
          <w:highlight w:val="none"/>
        </w:rPr>
      </w:pPr>
    </w:p>
    <w:p w14:paraId="20175004">
      <w:pPr>
        <w:pageBreakBefore/>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：（磋商响应单位）法定代表人授权委托书</w:t>
      </w:r>
    </w:p>
    <w:p w14:paraId="380F1F67">
      <w:pPr>
        <w:pStyle w:val="12"/>
        <w:spacing w:line="360" w:lineRule="auto"/>
        <w:jc w:val="center"/>
        <w:rPr>
          <w:rFonts w:ascii="宋体" w:hAnsi="宋体" w:eastAsia="宋体" w:cs="宋体"/>
          <w:b/>
          <w:color w:val="auto"/>
          <w:sz w:val="21"/>
          <w:szCs w:val="21"/>
          <w:highlight w:val="none"/>
        </w:rPr>
      </w:pPr>
    </w:p>
    <w:p w14:paraId="5A81431C">
      <w:pPr>
        <w:pStyle w:val="12"/>
        <w:spacing w:line="36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法定代表人授权委托书</w:t>
      </w:r>
    </w:p>
    <w:p w14:paraId="7CC79FF8">
      <w:pPr>
        <w:pStyle w:val="12"/>
        <w:spacing w:line="360" w:lineRule="auto"/>
        <w:rPr>
          <w:rFonts w:ascii="宋体" w:hAnsi="宋体" w:eastAsia="宋体" w:cs="宋体"/>
          <w:color w:val="auto"/>
          <w:sz w:val="21"/>
          <w:szCs w:val="21"/>
          <w:highlight w:val="none"/>
        </w:rPr>
      </w:pPr>
    </w:p>
    <w:p w14:paraId="3F55B26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本授权书声明： </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 xml:space="preserve">授权 </w:t>
      </w:r>
      <w:r>
        <w:rPr>
          <w:rFonts w:hint="eastAsia" w:ascii="宋体" w:hAnsi="宋体" w:cs="宋体"/>
          <w:color w:val="auto"/>
          <w:szCs w:val="21"/>
          <w:highlight w:val="none"/>
          <w:u w:val="single"/>
        </w:rPr>
        <w:t>（被授权人的姓名）</w:t>
      </w:r>
      <w:r>
        <w:rPr>
          <w:rFonts w:hint="eastAsia" w:ascii="宋体" w:hAnsi="宋体" w:cs="宋体"/>
          <w:color w:val="auto"/>
          <w:szCs w:val="21"/>
          <w:highlight w:val="none"/>
        </w:rPr>
        <w:t>为我方授权代表（即代理人），参加</w:t>
      </w:r>
      <w:r>
        <w:rPr>
          <w:rFonts w:hint="eastAsia" w:ascii="宋体" w:hAnsi="宋体" w:cs="宋体"/>
          <w:color w:val="auto"/>
          <w:szCs w:val="21"/>
          <w:highlight w:val="none"/>
          <w:u w:val="single"/>
        </w:rPr>
        <w:t>苏州市创杰招投标咨询服务有限公司</w:t>
      </w:r>
      <w:r>
        <w:rPr>
          <w:rFonts w:hint="eastAsia" w:ascii="宋体" w:hAnsi="宋体" w:cs="宋体"/>
          <w:color w:val="auto"/>
          <w:szCs w:val="21"/>
          <w:highlight w:val="none"/>
        </w:rPr>
        <w:t>组织实施的编号为</w:t>
      </w:r>
      <w:r>
        <w:rPr>
          <w:rFonts w:hint="eastAsia" w:ascii="宋体" w:hAnsi="宋体" w:cs="宋体"/>
          <w:color w:val="auto"/>
          <w:szCs w:val="21"/>
          <w:highlight w:val="none"/>
          <w:u w:val="single"/>
        </w:rPr>
        <w:t>【采购编号】</w:t>
      </w:r>
      <w:r>
        <w:rPr>
          <w:rFonts w:hint="eastAsia" w:ascii="宋体" w:hAnsi="宋体" w:cs="宋体"/>
          <w:color w:val="auto"/>
          <w:szCs w:val="21"/>
          <w:highlight w:val="none"/>
        </w:rPr>
        <w:t>的竞争性磋商项目。代理人在本次招标活动过程、合同签订及处理有关事宜所作出的全部意思表示（包括签署的全部文件），我司均予以承认并由我司承担相应法律后果。</w:t>
      </w:r>
    </w:p>
    <w:p w14:paraId="6C96538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如我司需撤销该代理人授权或更换代理人的，必须另行向贵方提交相应正式书面文件，并经贵方确认送达后方可实施。代理人撤销授权或更换完成之前所作的各项意思表示不受撤销或更换的影响，我司仍予以承认。</w:t>
      </w:r>
    </w:p>
    <w:p w14:paraId="6193649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本授权委托书有效期自委托书作出之日起至本项目合同履行完毕之日止。</w:t>
      </w:r>
    </w:p>
    <w:p w14:paraId="1313505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代理人无转委托权。</w:t>
      </w:r>
    </w:p>
    <w:p w14:paraId="7B4BFBF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被授权人身份证号码： 。</w:t>
      </w:r>
    </w:p>
    <w:p w14:paraId="59F32BC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被授权人联系电话：</w:t>
      </w:r>
      <w:r>
        <w:rPr>
          <w:rFonts w:hint="eastAsia" w:ascii="宋体" w:hAnsi="宋体" w:cs="宋体"/>
          <w:color w:val="auto"/>
          <w:szCs w:val="21"/>
          <w:highlight w:val="none"/>
          <w:u w:val="single"/>
        </w:rPr>
        <w:t xml:space="preserve">（手机）                </w:t>
      </w:r>
      <w:r>
        <w:rPr>
          <w:rFonts w:hint="eastAsia" w:ascii="宋体" w:hAnsi="宋体" w:cs="宋体"/>
          <w:color w:val="auto"/>
          <w:szCs w:val="21"/>
          <w:highlight w:val="none"/>
        </w:rPr>
        <w:t>。</w:t>
      </w:r>
    </w:p>
    <w:p w14:paraId="527C2C02">
      <w:pPr>
        <w:spacing w:line="360" w:lineRule="auto"/>
        <w:ind w:firstLine="420"/>
        <w:rPr>
          <w:rFonts w:ascii="宋体" w:hAnsi="宋体" w:cs="宋体"/>
          <w:color w:val="auto"/>
          <w:szCs w:val="21"/>
          <w:highlight w:val="none"/>
        </w:rPr>
      </w:pPr>
    </w:p>
    <w:p w14:paraId="54B19A93">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单位名称：（加盖CA电子公章）</w:t>
      </w:r>
    </w:p>
    <w:p w14:paraId="7FE9A49A">
      <w:pPr>
        <w:spacing w:line="360" w:lineRule="auto"/>
        <w:ind w:right="630"/>
        <w:rPr>
          <w:rFonts w:ascii="宋体" w:hAnsi="宋体" w:cs="宋体"/>
          <w:color w:val="auto"/>
          <w:szCs w:val="21"/>
          <w:highlight w:val="none"/>
        </w:rPr>
      </w:pPr>
      <w:r>
        <w:rPr>
          <w:rFonts w:hint="eastAsia" w:ascii="宋体" w:hAnsi="宋体" w:cs="宋体"/>
          <w:color w:val="auto"/>
          <w:szCs w:val="21"/>
          <w:highlight w:val="none"/>
        </w:rPr>
        <w:t>日期：　　　　年　　  月　　  日</w:t>
      </w:r>
    </w:p>
    <w:p w14:paraId="7202BB67">
      <w:pPr>
        <w:widowControl/>
        <w:spacing w:line="360" w:lineRule="auto"/>
        <w:jc w:val="left"/>
        <w:rPr>
          <w:rFonts w:ascii="宋体" w:hAnsi="宋体" w:cs="宋体"/>
          <w:color w:val="auto"/>
          <w:szCs w:val="21"/>
          <w:highlight w:val="none"/>
        </w:rPr>
      </w:pPr>
    </w:p>
    <w:p w14:paraId="50824F10">
      <w:pPr>
        <w:widowControl/>
        <w:spacing w:line="360" w:lineRule="auto"/>
        <w:jc w:val="left"/>
        <w:rPr>
          <w:rFonts w:ascii="宋体" w:hAnsi="宋体" w:cs="宋体"/>
          <w:color w:val="auto"/>
          <w:szCs w:val="21"/>
          <w:highlight w:val="none"/>
        </w:rPr>
      </w:pPr>
    </w:p>
    <w:p w14:paraId="3A8F7E6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备注：供应商如有授权委托，必须提供法定代表人身份证复印件、法人授权委托书及代理人身份证复印件，否则投标无效；</w:t>
      </w:r>
    </w:p>
    <w:p w14:paraId="342A6D41">
      <w:pPr>
        <w:pStyle w:val="12"/>
        <w:spacing w:line="360" w:lineRule="auto"/>
        <w:ind w:firstLine="200"/>
        <w:rPr>
          <w:rFonts w:hint="eastAsia" w:ascii="宋体" w:hAnsi="宋体" w:eastAsia="宋体" w:cs="宋体"/>
          <w:color w:val="auto"/>
          <w:sz w:val="21"/>
          <w:szCs w:val="21"/>
          <w:highlight w:val="none"/>
          <w:lang w:eastAsia="zh-CN"/>
        </w:rPr>
        <w:sectPr>
          <w:pgSz w:w="11906" w:h="16838"/>
          <w:pgMar w:top="1134" w:right="1134" w:bottom="1134" w:left="1134" w:header="680" w:footer="680" w:gutter="0"/>
          <w:cols w:space="720" w:num="1"/>
          <w:docGrid w:linePitch="360" w:charSpace="0"/>
        </w:sectPr>
      </w:pPr>
      <w:r>
        <w:rPr>
          <w:rFonts w:hint="eastAsia" w:ascii="宋体" w:hAnsi="宋体" w:eastAsia="宋体" w:cs="宋体"/>
          <w:b/>
          <w:color w:val="auto"/>
          <w:sz w:val="21"/>
          <w:szCs w:val="21"/>
          <w:highlight w:val="none"/>
        </w:rPr>
        <w:t>供应商无授权委托的情况下，必须提供法定代表人身份证复印件，否则投标无效</w:t>
      </w:r>
      <w:r>
        <w:rPr>
          <w:rFonts w:hint="eastAsia" w:ascii="宋体" w:hAnsi="宋体" w:eastAsia="宋体" w:cs="宋体"/>
          <w:b/>
          <w:color w:val="auto"/>
          <w:sz w:val="21"/>
          <w:szCs w:val="21"/>
          <w:highlight w:val="none"/>
          <w:lang w:eastAsia="zh-CN"/>
        </w:rPr>
        <w:t>。</w:t>
      </w:r>
    </w:p>
    <w:p w14:paraId="403D6B04">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：磋商响应函</w:t>
      </w:r>
    </w:p>
    <w:p w14:paraId="08F7653D">
      <w:pPr>
        <w:spacing w:line="360" w:lineRule="auto"/>
        <w:jc w:val="center"/>
        <w:rPr>
          <w:rFonts w:ascii="宋体" w:hAnsi="宋体" w:cs="宋体"/>
          <w:b/>
          <w:color w:val="auto"/>
          <w:spacing w:val="20"/>
          <w:szCs w:val="21"/>
          <w:highlight w:val="none"/>
        </w:rPr>
      </w:pPr>
      <w:r>
        <w:rPr>
          <w:rFonts w:hint="eastAsia" w:ascii="宋体" w:hAnsi="宋体" w:cs="宋体"/>
          <w:b/>
          <w:color w:val="auto"/>
          <w:spacing w:val="20"/>
          <w:szCs w:val="21"/>
          <w:highlight w:val="none"/>
        </w:rPr>
        <w:t>磋商响应函</w:t>
      </w:r>
    </w:p>
    <w:p w14:paraId="42383DC1">
      <w:pPr>
        <w:spacing w:line="360" w:lineRule="auto"/>
        <w:rPr>
          <w:rFonts w:ascii="宋体" w:hAnsi="宋体" w:cs="宋体"/>
          <w:color w:val="auto"/>
          <w:szCs w:val="21"/>
          <w:highlight w:val="none"/>
        </w:rPr>
      </w:pPr>
      <w:r>
        <w:rPr>
          <w:rFonts w:hint="eastAsia" w:ascii="宋体" w:hAnsi="宋体" w:cs="宋体"/>
          <w:color w:val="auto"/>
          <w:szCs w:val="21"/>
          <w:highlight w:val="none"/>
        </w:rPr>
        <w:t>苏州市创杰招投标咨询服务有限公司：</w:t>
      </w:r>
    </w:p>
    <w:p w14:paraId="4D9022F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我们收到你们</w:t>
      </w:r>
      <w:r>
        <w:rPr>
          <w:rFonts w:hint="eastAsia" w:ascii="宋体" w:hAnsi="宋体" w:cs="宋体"/>
          <w:color w:val="auto"/>
          <w:szCs w:val="21"/>
          <w:highlight w:val="none"/>
          <w:lang w:eastAsia="zh-CN"/>
        </w:rPr>
        <w:t>JSZC-320508-CJZB-C2026-0044</w:t>
      </w:r>
      <w:r>
        <w:rPr>
          <w:rFonts w:hint="eastAsia" w:ascii="宋体" w:hAnsi="宋体" w:cs="宋体"/>
          <w:color w:val="auto"/>
          <w:szCs w:val="21"/>
          <w:highlight w:val="none"/>
        </w:rPr>
        <w:t>号磋商采购文件，经仔细阅读和研究，我们决定参加本项目的磋商。</w:t>
      </w:r>
    </w:p>
    <w:p w14:paraId="5CDC3B8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1、我们愿意按照磋商采购文件的一切要求，提供本次采购的</w:t>
      </w:r>
      <w:r>
        <w:rPr>
          <w:rFonts w:hint="eastAsia" w:ascii="宋体" w:hAnsi="宋体" w:cs="宋体"/>
          <w:color w:val="auto"/>
          <w:highlight w:val="none"/>
          <w:lang w:eastAsia="zh-CN"/>
        </w:rPr>
        <w:t>苏州市姑苏区猪肉储备服务(2026-2028年)</w:t>
      </w:r>
      <w:r>
        <w:rPr>
          <w:rFonts w:hint="eastAsia" w:ascii="宋体" w:hAnsi="宋体" w:cs="宋体"/>
          <w:color w:val="auto"/>
          <w:szCs w:val="21"/>
          <w:highlight w:val="none"/>
        </w:rPr>
        <w:t>全部服务。</w:t>
      </w:r>
    </w:p>
    <w:p w14:paraId="335C022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2、如果我们的响应文件被接受，我们将严格履行磋商采购文件中规定的每一项要求，按期、按质、按量履行服务义务。</w:t>
      </w:r>
    </w:p>
    <w:p w14:paraId="52C5EC6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3、我们同意按磋商采购文件中的规定，本响应文件的有效期限为自开标之日起45日。</w:t>
      </w:r>
    </w:p>
    <w:p w14:paraId="5F3A968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4、我们愿意提供采购人在磋商采购文件中要求的所有资料。</w:t>
      </w:r>
    </w:p>
    <w:p w14:paraId="08987DD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5、我方愿意遵守磋商采购文件中所列的收费标准。</w:t>
      </w:r>
    </w:p>
    <w:p w14:paraId="796DF5E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6、我方在磋商响应文件和磋商中所作的承诺在磋商后保持有效，不作任何更改和变动。</w:t>
      </w:r>
    </w:p>
    <w:p w14:paraId="50E5EC4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7、如我方成为成交单位，我方愿意在领取成交通知书时按采购文件要求向代理机构支付成交服务费。</w:t>
      </w:r>
    </w:p>
    <w:p w14:paraId="0A05EC5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、我们愿意按照</w:t>
      </w:r>
      <w:r>
        <w:rPr>
          <w:rFonts w:hint="eastAsia" w:ascii="宋体" w:hAnsi="宋体" w:cs="宋体"/>
          <w:bCs/>
          <w:color w:val="auto"/>
          <w:szCs w:val="21"/>
          <w:highlight w:val="none"/>
        </w:rPr>
        <w:t>《中华人民共和国民法典》</w:t>
      </w:r>
      <w:r>
        <w:rPr>
          <w:rFonts w:hint="eastAsia" w:ascii="宋体" w:hAnsi="宋体" w:cs="宋体"/>
          <w:color w:val="auto"/>
          <w:szCs w:val="21"/>
          <w:highlight w:val="none"/>
        </w:rPr>
        <w:t>履行自己应该承担的全部责任。</w:t>
      </w:r>
    </w:p>
    <w:p w14:paraId="30D5028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、我们愿意按照贵公司磋商采购文件的要求提供电子响应文件，并保证全部磋商响应文件内容真实有效，若有虚假，我公司愿意承担与此相关的一切责任。</w:t>
      </w:r>
    </w:p>
    <w:p w14:paraId="5DE78E8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、综合说明：</w:t>
      </w:r>
    </w:p>
    <w:p w14:paraId="72F8540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（1）伴随服务及配合措施；</w:t>
      </w:r>
    </w:p>
    <w:p w14:paraId="0AB0574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（2）要求采购单位提供的配合；</w:t>
      </w:r>
    </w:p>
    <w:p w14:paraId="5A5092E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（3）对磋商采购文件有不同意见的偏离说明；</w:t>
      </w:r>
    </w:p>
    <w:p w14:paraId="3FCE9E2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（4）其它说明；</w:t>
      </w:r>
    </w:p>
    <w:p w14:paraId="160BAD3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所有有关标书的函电，请按下列地址联系：</w:t>
      </w:r>
    </w:p>
    <w:p w14:paraId="413B25F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单位：              邮编：</w:t>
      </w:r>
    </w:p>
    <w:p w14:paraId="3650439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联系人：            地址：</w:t>
      </w:r>
    </w:p>
    <w:p w14:paraId="363AB63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开户名称：          电话：</w:t>
      </w:r>
    </w:p>
    <w:p w14:paraId="687D395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开户银行：          传真：</w:t>
      </w:r>
    </w:p>
    <w:p w14:paraId="5025811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开户账号：           邮箱地址：</w:t>
      </w:r>
    </w:p>
    <w:p w14:paraId="6EF8F76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数字人民币账户信息：</w:t>
      </w:r>
    </w:p>
    <w:p w14:paraId="2B889803">
      <w:pPr>
        <w:pStyle w:val="42"/>
        <w:ind w:left="0" w:firstLine="0"/>
        <w:rPr>
          <w:rFonts w:ascii="宋体" w:hAnsi="宋体" w:cs="宋体"/>
          <w:color w:val="auto"/>
          <w:szCs w:val="21"/>
          <w:highlight w:val="none"/>
        </w:rPr>
      </w:pPr>
    </w:p>
    <w:p w14:paraId="19D7CBBD">
      <w:pPr>
        <w:pStyle w:val="12"/>
        <w:spacing w:line="360" w:lineRule="auto"/>
        <w:ind w:firstLine="0"/>
        <w:jc w:val="both"/>
        <w:rPr>
          <w:rFonts w:ascii="宋体" w:hAnsi="宋体" w:eastAsia="宋体" w:cs="宋体"/>
          <w:color w:val="auto"/>
          <w:sz w:val="21"/>
          <w:highlight w:val="none"/>
        </w:rPr>
      </w:pPr>
      <w:r>
        <w:rPr>
          <w:rFonts w:hint="eastAsia" w:ascii="宋体" w:hAnsi="宋体" w:eastAsia="宋体" w:cs="宋体"/>
          <w:color w:val="auto"/>
          <w:sz w:val="21"/>
          <w:highlight w:val="none"/>
        </w:rPr>
        <w:t>磋商响应单位：（签章）</w:t>
      </w:r>
    </w:p>
    <w:p w14:paraId="7C5FC261">
      <w:pPr>
        <w:pStyle w:val="12"/>
        <w:spacing w:line="360" w:lineRule="auto"/>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2114241C">
      <w:pPr>
        <w:rPr>
          <w:rFonts w:ascii="宋体" w:hAnsi="宋体" w:cs="宋体"/>
          <w:color w:val="auto"/>
          <w:szCs w:val="21"/>
          <w:highlight w:val="none"/>
        </w:rPr>
      </w:pPr>
    </w:p>
    <w:p w14:paraId="69D81538">
      <w:pPr>
        <w:pageBreakBefore/>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：服务偏离表</w:t>
      </w:r>
    </w:p>
    <w:p w14:paraId="32BA567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服务偏离表</w:t>
      </w:r>
    </w:p>
    <w:p w14:paraId="1B641042">
      <w:pPr>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采购编号：</w:t>
      </w:r>
      <w:r>
        <w:rPr>
          <w:rFonts w:hint="eastAsia" w:cs="宋体" w:asciiTheme="minorEastAsia" w:hAnsiTheme="minorEastAsia"/>
          <w:color w:val="auto"/>
          <w:szCs w:val="21"/>
          <w:highlight w:val="none"/>
          <w:lang w:val="en-US" w:eastAsia="zh-CN"/>
        </w:rPr>
        <w:t xml:space="preserve"> </w:t>
      </w:r>
    </w:p>
    <w:tbl>
      <w:tblPr>
        <w:tblStyle w:val="43"/>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01"/>
        <w:gridCol w:w="1711"/>
        <w:gridCol w:w="1521"/>
        <w:gridCol w:w="1795"/>
        <w:gridCol w:w="1855"/>
      </w:tblGrid>
      <w:tr w14:paraId="1ABEB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62FBB009">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01" w:type="dxa"/>
            <w:noWrap w:val="0"/>
            <w:vAlign w:val="center"/>
          </w:tcPr>
          <w:p w14:paraId="7941A7A2">
            <w:pPr>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711" w:type="dxa"/>
            <w:noWrap w:val="0"/>
            <w:vAlign w:val="center"/>
          </w:tcPr>
          <w:p w14:paraId="1445B8C7">
            <w:pPr>
              <w:jc w:val="center"/>
              <w:rPr>
                <w:rFonts w:ascii="宋体" w:hAnsi="宋体" w:cs="宋体"/>
                <w:color w:val="auto"/>
                <w:szCs w:val="21"/>
                <w:highlight w:val="none"/>
              </w:rPr>
            </w:pPr>
            <w:r>
              <w:rPr>
                <w:rFonts w:hint="eastAsia" w:ascii="宋体" w:hAnsi="宋体" w:cs="宋体"/>
                <w:color w:val="auto"/>
                <w:szCs w:val="21"/>
                <w:highlight w:val="none"/>
              </w:rPr>
              <w:t>采购要求</w:t>
            </w:r>
          </w:p>
        </w:tc>
        <w:tc>
          <w:tcPr>
            <w:tcW w:w="1521" w:type="dxa"/>
            <w:noWrap w:val="0"/>
            <w:vAlign w:val="center"/>
          </w:tcPr>
          <w:p w14:paraId="6897F8FA">
            <w:pPr>
              <w:jc w:val="center"/>
              <w:rPr>
                <w:rFonts w:ascii="宋体" w:hAnsi="宋体" w:cs="宋体"/>
                <w:color w:val="auto"/>
                <w:szCs w:val="21"/>
                <w:highlight w:val="none"/>
              </w:rPr>
            </w:pPr>
            <w:r>
              <w:rPr>
                <w:rFonts w:hint="eastAsia" w:ascii="宋体" w:hAnsi="宋体" w:cs="宋体"/>
                <w:color w:val="auto"/>
                <w:szCs w:val="21"/>
                <w:highlight w:val="none"/>
              </w:rPr>
              <w:t>投标要求</w:t>
            </w:r>
          </w:p>
        </w:tc>
        <w:tc>
          <w:tcPr>
            <w:tcW w:w="1795" w:type="dxa"/>
            <w:noWrap w:val="0"/>
            <w:vAlign w:val="center"/>
          </w:tcPr>
          <w:p w14:paraId="51D09D35">
            <w:pPr>
              <w:jc w:val="center"/>
              <w:rPr>
                <w:rFonts w:ascii="宋体" w:hAnsi="宋体" w:cs="宋体"/>
                <w:color w:val="auto"/>
                <w:szCs w:val="21"/>
                <w:highlight w:val="none"/>
              </w:rPr>
            </w:pPr>
            <w:r>
              <w:rPr>
                <w:rFonts w:hint="eastAsia" w:ascii="宋体" w:hAnsi="宋体" w:cs="宋体"/>
                <w:color w:val="auto"/>
                <w:szCs w:val="21"/>
                <w:highlight w:val="none"/>
              </w:rPr>
              <w:t>偏离/响应</w:t>
            </w:r>
          </w:p>
        </w:tc>
        <w:tc>
          <w:tcPr>
            <w:tcW w:w="1855" w:type="dxa"/>
            <w:noWrap w:val="0"/>
            <w:vAlign w:val="center"/>
          </w:tcPr>
          <w:p w14:paraId="24E48111">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71E6C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0C97B7C1">
            <w:pPr>
              <w:rPr>
                <w:rFonts w:ascii="宋体" w:hAnsi="宋体" w:cs="宋体"/>
                <w:color w:val="auto"/>
                <w:szCs w:val="21"/>
                <w:highlight w:val="none"/>
              </w:rPr>
            </w:pPr>
          </w:p>
        </w:tc>
        <w:tc>
          <w:tcPr>
            <w:tcW w:w="1901" w:type="dxa"/>
            <w:noWrap w:val="0"/>
            <w:vAlign w:val="center"/>
          </w:tcPr>
          <w:p w14:paraId="218D690B">
            <w:pPr>
              <w:rPr>
                <w:rFonts w:ascii="宋体" w:hAnsi="宋体" w:cs="宋体"/>
                <w:color w:val="auto"/>
                <w:szCs w:val="21"/>
                <w:highlight w:val="none"/>
              </w:rPr>
            </w:pPr>
          </w:p>
        </w:tc>
        <w:tc>
          <w:tcPr>
            <w:tcW w:w="1711" w:type="dxa"/>
            <w:noWrap w:val="0"/>
            <w:vAlign w:val="center"/>
          </w:tcPr>
          <w:p w14:paraId="0600D51E">
            <w:pPr>
              <w:rPr>
                <w:rFonts w:ascii="宋体" w:hAnsi="宋体" w:cs="宋体"/>
                <w:color w:val="auto"/>
                <w:szCs w:val="21"/>
                <w:highlight w:val="none"/>
              </w:rPr>
            </w:pPr>
          </w:p>
        </w:tc>
        <w:tc>
          <w:tcPr>
            <w:tcW w:w="1521" w:type="dxa"/>
            <w:noWrap w:val="0"/>
            <w:vAlign w:val="center"/>
          </w:tcPr>
          <w:p w14:paraId="6AC5F32C">
            <w:pPr>
              <w:rPr>
                <w:rFonts w:ascii="宋体" w:hAnsi="宋体" w:cs="宋体"/>
                <w:color w:val="auto"/>
                <w:szCs w:val="21"/>
                <w:highlight w:val="none"/>
              </w:rPr>
            </w:pPr>
          </w:p>
        </w:tc>
        <w:tc>
          <w:tcPr>
            <w:tcW w:w="1795" w:type="dxa"/>
            <w:noWrap w:val="0"/>
            <w:vAlign w:val="center"/>
          </w:tcPr>
          <w:p w14:paraId="61A4243B">
            <w:pPr>
              <w:rPr>
                <w:rFonts w:ascii="宋体" w:hAnsi="宋体" w:cs="宋体"/>
                <w:color w:val="auto"/>
                <w:szCs w:val="21"/>
                <w:highlight w:val="none"/>
              </w:rPr>
            </w:pPr>
          </w:p>
        </w:tc>
        <w:tc>
          <w:tcPr>
            <w:tcW w:w="1855" w:type="dxa"/>
            <w:noWrap w:val="0"/>
            <w:vAlign w:val="center"/>
          </w:tcPr>
          <w:p w14:paraId="5004AC89">
            <w:pPr>
              <w:rPr>
                <w:rFonts w:ascii="宋体" w:hAnsi="宋体" w:cs="宋体"/>
                <w:color w:val="auto"/>
                <w:szCs w:val="21"/>
                <w:highlight w:val="none"/>
              </w:rPr>
            </w:pPr>
          </w:p>
        </w:tc>
      </w:tr>
      <w:tr w14:paraId="57947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26BB0E58">
            <w:pPr>
              <w:rPr>
                <w:rFonts w:ascii="宋体" w:hAnsi="宋体" w:cs="宋体"/>
                <w:color w:val="auto"/>
                <w:szCs w:val="21"/>
                <w:highlight w:val="none"/>
              </w:rPr>
            </w:pPr>
          </w:p>
        </w:tc>
        <w:tc>
          <w:tcPr>
            <w:tcW w:w="1901" w:type="dxa"/>
            <w:noWrap w:val="0"/>
            <w:vAlign w:val="center"/>
          </w:tcPr>
          <w:p w14:paraId="31FD7D78">
            <w:pPr>
              <w:rPr>
                <w:rFonts w:ascii="宋体" w:hAnsi="宋体" w:cs="宋体"/>
                <w:color w:val="auto"/>
                <w:szCs w:val="21"/>
                <w:highlight w:val="none"/>
              </w:rPr>
            </w:pPr>
          </w:p>
        </w:tc>
        <w:tc>
          <w:tcPr>
            <w:tcW w:w="1711" w:type="dxa"/>
            <w:noWrap w:val="0"/>
            <w:vAlign w:val="center"/>
          </w:tcPr>
          <w:p w14:paraId="0D18F3A5">
            <w:pPr>
              <w:rPr>
                <w:rFonts w:ascii="宋体" w:hAnsi="宋体" w:cs="宋体"/>
                <w:color w:val="auto"/>
                <w:szCs w:val="21"/>
                <w:highlight w:val="none"/>
              </w:rPr>
            </w:pPr>
          </w:p>
        </w:tc>
        <w:tc>
          <w:tcPr>
            <w:tcW w:w="1521" w:type="dxa"/>
            <w:noWrap w:val="0"/>
            <w:vAlign w:val="center"/>
          </w:tcPr>
          <w:p w14:paraId="2490EF4B">
            <w:pPr>
              <w:rPr>
                <w:rFonts w:ascii="宋体" w:hAnsi="宋体" w:cs="宋体"/>
                <w:color w:val="auto"/>
                <w:szCs w:val="21"/>
                <w:highlight w:val="none"/>
              </w:rPr>
            </w:pPr>
          </w:p>
        </w:tc>
        <w:tc>
          <w:tcPr>
            <w:tcW w:w="1795" w:type="dxa"/>
            <w:noWrap w:val="0"/>
            <w:vAlign w:val="center"/>
          </w:tcPr>
          <w:p w14:paraId="0EBDE5F7">
            <w:pPr>
              <w:rPr>
                <w:rFonts w:ascii="宋体" w:hAnsi="宋体" w:cs="宋体"/>
                <w:color w:val="auto"/>
                <w:szCs w:val="21"/>
                <w:highlight w:val="none"/>
              </w:rPr>
            </w:pPr>
          </w:p>
        </w:tc>
        <w:tc>
          <w:tcPr>
            <w:tcW w:w="1855" w:type="dxa"/>
            <w:noWrap w:val="0"/>
            <w:vAlign w:val="center"/>
          </w:tcPr>
          <w:p w14:paraId="52814A48">
            <w:pPr>
              <w:rPr>
                <w:rFonts w:ascii="宋体" w:hAnsi="宋体" w:cs="宋体"/>
                <w:color w:val="auto"/>
                <w:szCs w:val="21"/>
                <w:highlight w:val="none"/>
              </w:rPr>
            </w:pPr>
          </w:p>
        </w:tc>
      </w:tr>
      <w:tr w14:paraId="770CA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01EC5ABF">
            <w:pPr>
              <w:rPr>
                <w:rFonts w:ascii="宋体" w:hAnsi="宋体" w:cs="宋体"/>
                <w:color w:val="auto"/>
                <w:szCs w:val="21"/>
                <w:highlight w:val="none"/>
              </w:rPr>
            </w:pPr>
          </w:p>
        </w:tc>
        <w:tc>
          <w:tcPr>
            <w:tcW w:w="1901" w:type="dxa"/>
            <w:noWrap w:val="0"/>
            <w:vAlign w:val="center"/>
          </w:tcPr>
          <w:p w14:paraId="3F3C10A9">
            <w:pPr>
              <w:rPr>
                <w:rFonts w:ascii="宋体" w:hAnsi="宋体" w:cs="宋体"/>
                <w:color w:val="auto"/>
                <w:szCs w:val="21"/>
                <w:highlight w:val="none"/>
              </w:rPr>
            </w:pPr>
          </w:p>
        </w:tc>
        <w:tc>
          <w:tcPr>
            <w:tcW w:w="1711" w:type="dxa"/>
            <w:noWrap w:val="0"/>
            <w:vAlign w:val="center"/>
          </w:tcPr>
          <w:p w14:paraId="1F68E127">
            <w:pPr>
              <w:rPr>
                <w:rFonts w:ascii="宋体" w:hAnsi="宋体" w:cs="宋体"/>
                <w:color w:val="auto"/>
                <w:szCs w:val="21"/>
                <w:highlight w:val="none"/>
              </w:rPr>
            </w:pPr>
          </w:p>
        </w:tc>
        <w:tc>
          <w:tcPr>
            <w:tcW w:w="1521" w:type="dxa"/>
            <w:noWrap w:val="0"/>
            <w:vAlign w:val="center"/>
          </w:tcPr>
          <w:p w14:paraId="32344C4B">
            <w:pPr>
              <w:rPr>
                <w:rFonts w:ascii="宋体" w:hAnsi="宋体" w:cs="宋体"/>
                <w:color w:val="auto"/>
                <w:szCs w:val="21"/>
                <w:highlight w:val="none"/>
              </w:rPr>
            </w:pPr>
          </w:p>
        </w:tc>
        <w:tc>
          <w:tcPr>
            <w:tcW w:w="1795" w:type="dxa"/>
            <w:noWrap w:val="0"/>
            <w:vAlign w:val="center"/>
          </w:tcPr>
          <w:p w14:paraId="484B289D">
            <w:pPr>
              <w:rPr>
                <w:rFonts w:ascii="宋体" w:hAnsi="宋体" w:cs="宋体"/>
                <w:color w:val="auto"/>
                <w:szCs w:val="21"/>
                <w:highlight w:val="none"/>
              </w:rPr>
            </w:pPr>
          </w:p>
        </w:tc>
        <w:tc>
          <w:tcPr>
            <w:tcW w:w="1855" w:type="dxa"/>
            <w:noWrap w:val="0"/>
            <w:vAlign w:val="center"/>
          </w:tcPr>
          <w:p w14:paraId="3599E63D">
            <w:pPr>
              <w:rPr>
                <w:rFonts w:ascii="宋体" w:hAnsi="宋体" w:cs="宋体"/>
                <w:color w:val="auto"/>
                <w:szCs w:val="21"/>
                <w:highlight w:val="none"/>
              </w:rPr>
            </w:pPr>
          </w:p>
        </w:tc>
      </w:tr>
      <w:tr w14:paraId="4C95C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1560D6D0">
            <w:pPr>
              <w:rPr>
                <w:rFonts w:ascii="宋体" w:hAnsi="宋体" w:cs="宋体"/>
                <w:color w:val="auto"/>
                <w:szCs w:val="21"/>
                <w:highlight w:val="none"/>
              </w:rPr>
            </w:pPr>
          </w:p>
        </w:tc>
        <w:tc>
          <w:tcPr>
            <w:tcW w:w="1901" w:type="dxa"/>
            <w:noWrap w:val="0"/>
            <w:vAlign w:val="center"/>
          </w:tcPr>
          <w:p w14:paraId="6F300736">
            <w:pPr>
              <w:rPr>
                <w:rFonts w:ascii="宋体" w:hAnsi="宋体" w:cs="宋体"/>
                <w:color w:val="auto"/>
                <w:szCs w:val="21"/>
                <w:highlight w:val="none"/>
              </w:rPr>
            </w:pPr>
          </w:p>
        </w:tc>
        <w:tc>
          <w:tcPr>
            <w:tcW w:w="1711" w:type="dxa"/>
            <w:noWrap w:val="0"/>
            <w:vAlign w:val="center"/>
          </w:tcPr>
          <w:p w14:paraId="29A66670">
            <w:pPr>
              <w:rPr>
                <w:rFonts w:ascii="宋体" w:hAnsi="宋体" w:cs="宋体"/>
                <w:color w:val="auto"/>
                <w:szCs w:val="21"/>
                <w:highlight w:val="none"/>
              </w:rPr>
            </w:pPr>
          </w:p>
        </w:tc>
        <w:tc>
          <w:tcPr>
            <w:tcW w:w="1521" w:type="dxa"/>
            <w:noWrap w:val="0"/>
            <w:vAlign w:val="center"/>
          </w:tcPr>
          <w:p w14:paraId="55F0FDAB">
            <w:pPr>
              <w:rPr>
                <w:rFonts w:ascii="宋体" w:hAnsi="宋体" w:cs="宋体"/>
                <w:color w:val="auto"/>
                <w:szCs w:val="21"/>
                <w:highlight w:val="none"/>
              </w:rPr>
            </w:pPr>
          </w:p>
        </w:tc>
        <w:tc>
          <w:tcPr>
            <w:tcW w:w="1795" w:type="dxa"/>
            <w:noWrap w:val="0"/>
            <w:vAlign w:val="center"/>
          </w:tcPr>
          <w:p w14:paraId="08740653">
            <w:pPr>
              <w:rPr>
                <w:rFonts w:ascii="宋体" w:hAnsi="宋体" w:cs="宋体"/>
                <w:color w:val="auto"/>
                <w:szCs w:val="21"/>
                <w:highlight w:val="none"/>
              </w:rPr>
            </w:pPr>
          </w:p>
        </w:tc>
        <w:tc>
          <w:tcPr>
            <w:tcW w:w="1855" w:type="dxa"/>
            <w:noWrap w:val="0"/>
            <w:vAlign w:val="center"/>
          </w:tcPr>
          <w:p w14:paraId="6B40EEA6">
            <w:pPr>
              <w:rPr>
                <w:rFonts w:ascii="宋体" w:hAnsi="宋体" w:cs="宋体"/>
                <w:color w:val="auto"/>
                <w:szCs w:val="21"/>
                <w:highlight w:val="none"/>
              </w:rPr>
            </w:pPr>
          </w:p>
        </w:tc>
      </w:tr>
      <w:tr w14:paraId="72A29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1EEB707D">
            <w:pPr>
              <w:rPr>
                <w:rFonts w:ascii="宋体" w:hAnsi="宋体" w:cs="宋体"/>
                <w:color w:val="auto"/>
                <w:szCs w:val="21"/>
                <w:highlight w:val="none"/>
              </w:rPr>
            </w:pPr>
          </w:p>
        </w:tc>
        <w:tc>
          <w:tcPr>
            <w:tcW w:w="1901" w:type="dxa"/>
            <w:noWrap w:val="0"/>
            <w:vAlign w:val="center"/>
          </w:tcPr>
          <w:p w14:paraId="357CF1C7">
            <w:pPr>
              <w:rPr>
                <w:rFonts w:ascii="宋体" w:hAnsi="宋体" w:cs="宋体"/>
                <w:color w:val="auto"/>
                <w:szCs w:val="21"/>
                <w:highlight w:val="none"/>
              </w:rPr>
            </w:pPr>
          </w:p>
        </w:tc>
        <w:tc>
          <w:tcPr>
            <w:tcW w:w="1711" w:type="dxa"/>
            <w:noWrap w:val="0"/>
            <w:vAlign w:val="center"/>
          </w:tcPr>
          <w:p w14:paraId="6A6ABD6A">
            <w:pPr>
              <w:rPr>
                <w:rFonts w:ascii="宋体" w:hAnsi="宋体" w:cs="宋体"/>
                <w:color w:val="auto"/>
                <w:szCs w:val="21"/>
                <w:highlight w:val="none"/>
              </w:rPr>
            </w:pPr>
          </w:p>
        </w:tc>
        <w:tc>
          <w:tcPr>
            <w:tcW w:w="1521" w:type="dxa"/>
            <w:noWrap w:val="0"/>
            <w:vAlign w:val="center"/>
          </w:tcPr>
          <w:p w14:paraId="1C20EF9A">
            <w:pPr>
              <w:rPr>
                <w:rFonts w:ascii="宋体" w:hAnsi="宋体" w:cs="宋体"/>
                <w:color w:val="auto"/>
                <w:szCs w:val="21"/>
                <w:highlight w:val="none"/>
              </w:rPr>
            </w:pPr>
          </w:p>
        </w:tc>
        <w:tc>
          <w:tcPr>
            <w:tcW w:w="1795" w:type="dxa"/>
            <w:noWrap w:val="0"/>
            <w:vAlign w:val="center"/>
          </w:tcPr>
          <w:p w14:paraId="057B3DF1">
            <w:pPr>
              <w:rPr>
                <w:rFonts w:ascii="宋体" w:hAnsi="宋体" w:cs="宋体"/>
                <w:color w:val="auto"/>
                <w:szCs w:val="21"/>
                <w:highlight w:val="none"/>
              </w:rPr>
            </w:pPr>
          </w:p>
        </w:tc>
        <w:tc>
          <w:tcPr>
            <w:tcW w:w="1855" w:type="dxa"/>
            <w:noWrap w:val="0"/>
            <w:vAlign w:val="center"/>
          </w:tcPr>
          <w:p w14:paraId="19B98257">
            <w:pPr>
              <w:rPr>
                <w:rFonts w:ascii="宋体" w:hAnsi="宋体" w:cs="宋体"/>
                <w:color w:val="auto"/>
                <w:szCs w:val="21"/>
                <w:highlight w:val="none"/>
              </w:rPr>
            </w:pPr>
          </w:p>
        </w:tc>
      </w:tr>
      <w:tr w14:paraId="0E825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3C9064B0">
            <w:pPr>
              <w:rPr>
                <w:rFonts w:ascii="宋体" w:hAnsi="宋体" w:cs="宋体"/>
                <w:color w:val="auto"/>
                <w:szCs w:val="21"/>
                <w:highlight w:val="none"/>
              </w:rPr>
            </w:pPr>
          </w:p>
        </w:tc>
        <w:tc>
          <w:tcPr>
            <w:tcW w:w="1901" w:type="dxa"/>
            <w:noWrap w:val="0"/>
            <w:vAlign w:val="center"/>
          </w:tcPr>
          <w:p w14:paraId="7BEA88F0">
            <w:pPr>
              <w:rPr>
                <w:rFonts w:ascii="宋体" w:hAnsi="宋体" w:cs="宋体"/>
                <w:color w:val="auto"/>
                <w:szCs w:val="21"/>
                <w:highlight w:val="none"/>
              </w:rPr>
            </w:pPr>
          </w:p>
        </w:tc>
        <w:tc>
          <w:tcPr>
            <w:tcW w:w="1711" w:type="dxa"/>
            <w:noWrap w:val="0"/>
            <w:vAlign w:val="center"/>
          </w:tcPr>
          <w:p w14:paraId="083B38FE">
            <w:pPr>
              <w:rPr>
                <w:rFonts w:ascii="宋体" w:hAnsi="宋体" w:cs="宋体"/>
                <w:color w:val="auto"/>
                <w:szCs w:val="21"/>
                <w:highlight w:val="none"/>
              </w:rPr>
            </w:pPr>
          </w:p>
        </w:tc>
        <w:tc>
          <w:tcPr>
            <w:tcW w:w="1521" w:type="dxa"/>
            <w:noWrap w:val="0"/>
            <w:vAlign w:val="center"/>
          </w:tcPr>
          <w:p w14:paraId="703E70E6">
            <w:pPr>
              <w:rPr>
                <w:rFonts w:ascii="宋体" w:hAnsi="宋体" w:cs="宋体"/>
                <w:color w:val="auto"/>
                <w:szCs w:val="21"/>
                <w:highlight w:val="none"/>
              </w:rPr>
            </w:pPr>
          </w:p>
        </w:tc>
        <w:tc>
          <w:tcPr>
            <w:tcW w:w="1795" w:type="dxa"/>
            <w:noWrap w:val="0"/>
            <w:vAlign w:val="center"/>
          </w:tcPr>
          <w:p w14:paraId="17467438">
            <w:pPr>
              <w:rPr>
                <w:rFonts w:ascii="宋体" w:hAnsi="宋体" w:cs="宋体"/>
                <w:color w:val="auto"/>
                <w:szCs w:val="21"/>
                <w:highlight w:val="none"/>
              </w:rPr>
            </w:pPr>
          </w:p>
        </w:tc>
        <w:tc>
          <w:tcPr>
            <w:tcW w:w="1855" w:type="dxa"/>
            <w:noWrap w:val="0"/>
            <w:vAlign w:val="center"/>
          </w:tcPr>
          <w:p w14:paraId="73EA9C83">
            <w:pPr>
              <w:rPr>
                <w:rFonts w:ascii="宋体" w:hAnsi="宋体" w:cs="宋体"/>
                <w:color w:val="auto"/>
                <w:szCs w:val="21"/>
                <w:highlight w:val="none"/>
              </w:rPr>
            </w:pPr>
          </w:p>
        </w:tc>
      </w:tr>
      <w:tr w14:paraId="203D8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3D5E24F2">
            <w:pPr>
              <w:rPr>
                <w:rFonts w:ascii="宋体" w:hAnsi="宋体" w:cs="宋体"/>
                <w:color w:val="auto"/>
                <w:szCs w:val="21"/>
                <w:highlight w:val="none"/>
              </w:rPr>
            </w:pPr>
          </w:p>
        </w:tc>
        <w:tc>
          <w:tcPr>
            <w:tcW w:w="1901" w:type="dxa"/>
            <w:noWrap w:val="0"/>
            <w:vAlign w:val="center"/>
          </w:tcPr>
          <w:p w14:paraId="7C9C7D0E">
            <w:pPr>
              <w:rPr>
                <w:rFonts w:ascii="宋体" w:hAnsi="宋体" w:cs="宋体"/>
                <w:color w:val="auto"/>
                <w:szCs w:val="21"/>
                <w:highlight w:val="none"/>
              </w:rPr>
            </w:pPr>
          </w:p>
        </w:tc>
        <w:tc>
          <w:tcPr>
            <w:tcW w:w="1711" w:type="dxa"/>
            <w:noWrap w:val="0"/>
            <w:vAlign w:val="center"/>
          </w:tcPr>
          <w:p w14:paraId="75C6377B">
            <w:pPr>
              <w:rPr>
                <w:rFonts w:ascii="宋体" w:hAnsi="宋体" w:cs="宋体"/>
                <w:color w:val="auto"/>
                <w:szCs w:val="21"/>
                <w:highlight w:val="none"/>
              </w:rPr>
            </w:pPr>
          </w:p>
        </w:tc>
        <w:tc>
          <w:tcPr>
            <w:tcW w:w="1521" w:type="dxa"/>
            <w:noWrap w:val="0"/>
            <w:vAlign w:val="center"/>
          </w:tcPr>
          <w:p w14:paraId="7F3DA04F">
            <w:pPr>
              <w:rPr>
                <w:rFonts w:ascii="宋体" w:hAnsi="宋体" w:cs="宋体"/>
                <w:color w:val="auto"/>
                <w:szCs w:val="21"/>
                <w:highlight w:val="none"/>
              </w:rPr>
            </w:pPr>
          </w:p>
        </w:tc>
        <w:tc>
          <w:tcPr>
            <w:tcW w:w="1795" w:type="dxa"/>
            <w:noWrap w:val="0"/>
            <w:vAlign w:val="center"/>
          </w:tcPr>
          <w:p w14:paraId="566C25AB">
            <w:pPr>
              <w:rPr>
                <w:rFonts w:ascii="宋体" w:hAnsi="宋体" w:cs="宋体"/>
                <w:color w:val="auto"/>
                <w:szCs w:val="21"/>
                <w:highlight w:val="none"/>
              </w:rPr>
            </w:pPr>
          </w:p>
        </w:tc>
        <w:tc>
          <w:tcPr>
            <w:tcW w:w="1855" w:type="dxa"/>
            <w:noWrap w:val="0"/>
            <w:vAlign w:val="center"/>
          </w:tcPr>
          <w:p w14:paraId="2379AE2A">
            <w:pPr>
              <w:rPr>
                <w:rFonts w:ascii="宋体" w:hAnsi="宋体" w:cs="宋体"/>
                <w:color w:val="auto"/>
                <w:szCs w:val="21"/>
                <w:highlight w:val="none"/>
              </w:rPr>
            </w:pPr>
          </w:p>
        </w:tc>
      </w:tr>
      <w:tr w14:paraId="2970A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331F43BB">
            <w:pPr>
              <w:rPr>
                <w:rFonts w:ascii="宋体" w:hAnsi="宋体" w:cs="宋体"/>
                <w:color w:val="auto"/>
                <w:szCs w:val="21"/>
                <w:highlight w:val="none"/>
              </w:rPr>
            </w:pPr>
          </w:p>
        </w:tc>
        <w:tc>
          <w:tcPr>
            <w:tcW w:w="1901" w:type="dxa"/>
            <w:noWrap w:val="0"/>
            <w:vAlign w:val="center"/>
          </w:tcPr>
          <w:p w14:paraId="7FCFC2FB">
            <w:pPr>
              <w:rPr>
                <w:rFonts w:ascii="宋体" w:hAnsi="宋体" w:cs="宋体"/>
                <w:color w:val="auto"/>
                <w:szCs w:val="21"/>
                <w:highlight w:val="none"/>
              </w:rPr>
            </w:pPr>
          </w:p>
        </w:tc>
        <w:tc>
          <w:tcPr>
            <w:tcW w:w="1711" w:type="dxa"/>
            <w:noWrap w:val="0"/>
            <w:vAlign w:val="center"/>
          </w:tcPr>
          <w:p w14:paraId="5CD6DA2E">
            <w:pPr>
              <w:rPr>
                <w:rFonts w:ascii="宋体" w:hAnsi="宋体" w:cs="宋体"/>
                <w:color w:val="auto"/>
                <w:szCs w:val="21"/>
                <w:highlight w:val="none"/>
              </w:rPr>
            </w:pPr>
          </w:p>
        </w:tc>
        <w:tc>
          <w:tcPr>
            <w:tcW w:w="1521" w:type="dxa"/>
            <w:noWrap w:val="0"/>
            <w:vAlign w:val="center"/>
          </w:tcPr>
          <w:p w14:paraId="637BB7CA">
            <w:pPr>
              <w:rPr>
                <w:rFonts w:ascii="宋体" w:hAnsi="宋体" w:cs="宋体"/>
                <w:color w:val="auto"/>
                <w:szCs w:val="21"/>
                <w:highlight w:val="none"/>
              </w:rPr>
            </w:pPr>
          </w:p>
        </w:tc>
        <w:tc>
          <w:tcPr>
            <w:tcW w:w="1795" w:type="dxa"/>
            <w:noWrap w:val="0"/>
            <w:vAlign w:val="center"/>
          </w:tcPr>
          <w:p w14:paraId="36AD15BF">
            <w:pPr>
              <w:rPr>
                <w:rFonts w:ascii="宋体" w:hAnsi="宋体" w:cs="宋体"/>
                <w:color w:val="auto"/>
                <w:szCs w:val="21"/>
                <w:highlight w:val="none"/>
              </w:rPr>
            </w:pPr>
          </w:p>
        </w:tc>
        <w:tc>
          <w:tcPr>
            <w:tcW w:w="1855" w:type="dxa"/>
            <w:noWrap w:val="0"/>
            <w:vAlign w:val="center"/>
          </w:tcPr>
          <w:p w14:paraId="63219474">
            <w:pPr>
              <w:rPr>
                <w:rFonts w:ascii="宋体" w:hAnsi="宋体" w:cs="宋体"/>
                <w:color w:val="auto"/>
                <w:szCs w:val="21"/>
                <w:highlight w:val="none"/>
              </w:rPr>
            </w:pPr>
          </w:p>
        </w:tc>
      </w:tr>
    </w:tbl>
    <w:p w14:paraId="7EE0A1B0">
      <w:pPr>
        <w:spacing w:line="360" w:lineRule="auto"/>
        <w:ind w:left="735" w:hanging="735"/>
        <w:rPr>
          <w:rFonts w:ascii="宋体" w:hAnsi="宋体" w:cs="宋体"/>
          <w:color w:val="auto"/>
          <w:szCs w:val="21"/>
          <w:highlight w:val="none"/>
        </w:rPr>
      </w:pPr>
      <w:r>
        <w:rPr>
          <w:rFonts w:hint="eastAsia" w:ascii="宋体" w:hAnsi="宋体" w:cs="宋体"/>
          <w:color w:val="auto"/>
          <w:szCs w:val="21"/>
          <w:highlight w:val="none"/>
        </w:rPr>
        <w:t>注：1、磋商响应单位应对照采购文件</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要求等要求，所投标的物（服务）与采购文件的规定有偏离的，应在此表中申明与技术要求条文的偏差和例外。</w:t>
      </w:r>
    </w:p>
    <w:p w14:paraId="3D678A3A">
      <w:pPr>
        <w:spacing w:line="360" w:lineRule="auto"/>
        <w:ind w:left="735" w:hanging="315"/>
        <w:rPr>
          <w:rFonts w:ascii="宋体" w:hAnsi="宋体" w:cs="宋体"/>
          <w:color w:val="auto"/>
          <w:szCs w:val="21"/>
          <w:highlight w:val="none"/>
        </w:rPr>
      </w:pPr>
      <w:r>
        <w:rPr>
          <w:rFonts w:hint="eastAsia" w:ascii="宋体" w:hAnsi="宋体" w:cs="宋体"/>
          <w:color w:val="auto"/>
          <w:szCs w:val="21"/>
          <w:highlight w:val="none"/>
        </w:rPr>
        <w:t>2、未在上表中说明的，如在响应文件其他内容中已有文字说明的，则以已有文字说明为准，否则，将被认为完全响应采购文件的规定。但该表不作为磋商响应单位对所投标的物（服务）关于技术要求等详细描述和说明的替代。</w:t>
      </w:r>
    </w:p>
    <w:p w14:paraId="4B62B6C7">
      <w:pPr>
        <w:spacing w:line="360" w:lineRule="auto"/>
        <w:rPr>
          <w:rFonts w:ascii="宋体" w:hAnsi="宋体" w:cs="宋体"/>
          <w:color w:val="auto"/>
          <w:szCs w:val="21"/>
          <w:highlight w:val="none"/>
        </w:rPr>
      </w:pPr>
    </w:p>
    <w:p w14:paraId="7D5D2747">
      <w:pPr>
        <w:spacing w:line="360" w:lineRule="auto"/>
        <w:rPr>
          <w:rFonts w:ascii="宋体" w:hAnsi="宋体" w:cs="宋体"/>
          <w:color w:val="auto"/>
          <w:szCs w:val="21"/>
          <w:highlight w:val="none"/>
        </w:rPr>
      </w:pPr>
      <w:r>
        <w:rPr>
          <w:rFonts w:hint="eastAsia" w:ascii="宋体" w:hAnsi="宋体" w:cs="宋体"/>
          <w:color w:val="auto"/>
          <w:szCs w:val="21"/>
          <w:highlight w:val="none"/>
        </w:rPr>
        <w:t>磋商响应单位：（</w:t>
      </w:r>
      <w:r>
        <w:rPr>
          <w:rFonts w:hint="eastAsia" w:ascii="宋体" w:hAnsi="宋体" w:cs="宋体"/>
          <w:color w:val="auto"/>
          <w:highlight w:val="none"/>
        </w:rPr>
        <w:t>签章</w:t>
      </w:r>
      <w:r>
        <w:rPr>
          <w:rFonts w:hint="eastAsia" w:ascii="宋体" w:hAnsi="宋体" w:cs="宋体"/>
          <w:color w:val="auto"/>
          <w:szCs w:val="21"/>
          <w:highlight w:val="none"/>
        </w:rPr>
        <w:t>）</w:t>
      </w:r>
    </w:p>
    <w:p w14:paraId="01C18CA5">
      <w:pPr>
        <w:spacing w:line="360" w:lineRule="auto"/>
        <w:rPr>
          <w:rFonts w:ascii="宋体" w:hAnsi="宋体" w:cs="宋体"/>
          <w:b/>
          <w:color w:val="auto"/>
          <w:szCs w:val="21"/>
          <w:highlight w:val="none"/>
        </w:rPr>
      </w:pPr>
      <w:r>
        <w:rPr>
          <w:rFonts w:hint="eastAsia" w:ascii="宋体" w:hAnsi="宋体" w:cs="宋体"/>
          <w:color w:val="auto"/>
          <w:szCs w:val="21"/>
          <w:highlight w:val="none"/>
        </w:rPr>
        <w:t>日期：        年    月    日</w:t>
      </w:r>
      <w:r>
        <w:rPr>
          <w:rFonts w:hint="eastAsia" w:ascii="宋体" w:hAnsi="宋体" w:cs="宋体"/>
          <w:b/>
          <w:color w:val="auto"/>
          <w:szCs w:val="21"/>
          <w:highlight w:val="none"/>
        </w:rPr>
        <w:br w:type="page" w:clear="all"/>
      </w: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：商务条款偏离表</w:t>
      </w:r>
    </w:p>
    <w:p w14:paraId="14B0F16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商务条款偏离表</w:t>
      </w:r>
    </w:p>
    <w:p w14:paraId="0092AB6D">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采购编号：</w:t>
      </w:r>
      <w:r>
        <w:rPr>
          <w:rFonts w:hint="eastAsia" w:cs="宋体" w:asciiTheme="minorEastAsia" w:hAnsiTheme="minorEastAsia"/>
          <w:color w:val="auto"/>
          <w:szCs w:val="21"/>
          <w:highlight w:val="none"/>
          <w:lang w:val="en-US" w:eastAsia="zh-CN"/>
        </w:rPr>
        <w:t xml:space="preserve"> </w:t>
      </w:r>
    </w:p>
    <w:tbl>
      <w:tblPr>
        <w:tblStyle w:val="43"/>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28"/>
        <w:gridCol w:w="2535"/>
        <w:gridCol w:w="2535"/>
        <w:gridCol w:w="1812"/>
      </w:tblGrid>
      <w:tr w14:paraId="0EE37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5DE2F781">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20" w:type="dxa"/>
            <w:noWrap w:val="0"/>
            <w:vAlign w:val="center"/>
          </w:tcPr>
          <w:p w14:paraId="711DCA82">
            <w:pPr>
              <w:jc w:val="center"/>
              <w:rPr>
                <w:rFonts w:ascii="宋体" w:hAnsi="宋体" w:cs="宋体"/>
                <w:color w:val="auto"/>
                <w:szCs w:val="21"/>
                <w:highlight w:val="none"/>
              </w:rPr>
            </w:pPr>
            <w:r>
              <w:rPr>
                <w:rFonts w:hint="eastAsia" w:ascii="宋体" w:hAnsi="宋体" w:cs="宋体"/>
                <w:color w:val="auto"/>
                <w:szCs w:val="21"/>
                <w:highlight w:val="none"/>
              </w:rPr>
              <w:t>采购文件条目号</w:t>
            </w:r>
          </w:p>
        </w:tc>
        <w:tc>
          <w:tcPr>
            <w:tcW w:w="2400" w:type="dxa"/>
            <w:noWrap w:val="0"/>
            <w:vAlign w:val="center"/>
          </w:tcPr>
          <w:p w14:paraId="5A4599CD">
            <w:pPr>
              <w:jc w:val="center"/>
              <w:rPr>
                <w:rFonts w:ascii="宋体" w:hAnsi="宋体" w:cs="宋体"/>
                <w:color w:val="auto"/>
                <w:szCs w:val="21"/>
                <w:highlight w:val="none"/>
              </w:rPr>
            </w:pPr>
            <w:r>
              <w:rPr>
                <w:rFonts w:hint="eastAsia" w:ascii="宋体" w:hAnsi="宋体" w:cs="宋体"/>
                <w:color w:val="auto"/>
                <w:szCs w:val="21"/>
                <w:highlight w:val="none"/>
              </w:rPr>
              <w:t>采购文件的商务条款</w:t>
            </w:r>
          </w:p>
        </w:tc>
        <w:tc>
          <w:tcPr>
            <w:tcW w:w="2400" w:type="dxa"/>
            <w:noWrap w:val="0"/>
            <w:vAlign w:val="center"/>
          </w:tcPr>
          <w:p w14:paraId="7C9EF33D">
            <w:pPr>
              <w:jc w:val="center"/>
              <w:rPr>
                <w:rFonts w:ascii="宋体" w:hAnsi="宋体" w:cs="宋体"/>
                <w:color w:val="auto"/>
                <w:szCs w:val="21"/>
                <w:highlight w:val="none"/>
              </w:rPr>
            </w:pPr>
            <w:r>
              <w:rPr>
                <w:rFonts w:hint="eastAsia" w:ascii="宋体" w:hAnsi="宋体" w:cs="宋体"/>
                <w:color w:val="auto"/>
                <w:szCs w:val="21"/>
                <w:highlight w:val="none"/>
              </w:rPr>
              <w:t>响应文件的商务条款</w:t>
            </w:r>
          </w:p>
        </w:tc>
        <w:tc>
          <w:tcPr>
            <w:tcW w:w="1716" w:type="dxa"/>
            <w:noWrap w:val="0"/>
            <w:vAlign w:val="center"/>
          </w:tcPr>
          <w:p w14:paraId="2C3FF0C1">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49420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449E0E8D">
            <w:pPr>
              <w:rPr>
                <w:rFonts w:ascii="宋体" w:hAnsi="宋体" w:cs="宋体"/>
                <w:color w:val="auto"/>
                <w:szCs w:val="21"/>
                <w:highlight w:val="none"/>
              </w:rPr>
            </w:pPr>
            <w:r>
              <w:rPr>
                <w:rFonts w:hint="eastAsia" w:ascii="宋体" w:hAnsi="宋体" w:cs="宋体"/>
                <w:color w:val="auto"/>
                <w:szCs w:val="21"/>
                <w:highlight w:val="none"/>
              </w:rPr>
              <w:t>1</w:t>
            </w:r>
          </w:p>
        </w:tc>
        <w:tc>
          <w:tcPr>
            <w:tcW w:w="1920" w:type="dxa"/>
            <w:noWrap w:val="0"/>
            <w:vAlign w:val="center"/>
          </w:tcPr>
          <w:p w14:paraId="0C8F83A5">
            <w:pPr>
              <w:rPr>
                <w:rFonts w:ascii="宋体" w:hAnsi="宋体" w:cs="宋体"/>
                <w:color w:val="auto"/>
                <w:szCs w:val="21"/>
                <w:highlight w:val="none"/>
              </w:rPr>
            </w:pPr>
            <w:r>
              <w:rPr>
                <w:rFonts w:hint="eastAsia" w:ascii="宋体" w:hAnsi="宋体" w:cs="宋体"/>
                <w:color w:val="auto"/>
                <w:szCs w:val="21"/>
                <w:highlight w:val="none"/>
              </w:rPr>
              <w:t>服务期限</w:t>
            </w:r>
          </w:p>
        </w:tc>
        <w:tc>
          <w:tcPr>
            <w:tcW w:w="2400" w:type="dxa"/>
            <w:noWrap w:val="0"/>
            <w:vAlign w:val="center"/>
          </w:tcPr>
          <w:p w14:paraId="08C26739">
            <w:pPr>
              <w:rPr>
                <w:rFonts w:ascii="宋体" w:hAnsi="宋体" w:cs="宋体"/>
                <w:color w:val="auto"/>
                <w:szCs w:val="21"/>
                <w:highlight w:val="none"/>
              </w:rPr>
            </w:pPr>
          </w:p>
        </w:tc>
        <w:tc>
          <w:tcPr>
            <w:tcW w:w="2400" w:type="dxa"/>
            <w:noWrap w:val="0"/>
            <w:vAlign w:val="center"/>
          </w:tcPr>
          <w:p w14:paraId="3CDE7232">
            <w:pPr>
              <w:rPr>
                <w:rFonts w:ascii="宋体" w:hAnsi="宋体" w:cs="宋体"/>
                <w:color w:val="auto"/>
                <w:szCs w:val="21"/>
                <w:highlight w:val="none"/>
              </w:rPr>
            </w:pPr>
          </w:p>
        </w:tc>
        <w:tc>
          <w:tcPr>
            <w:tcW w:w="1716" w:type="dxa"/>
            <w:noWrap w:val="0"/>
            <w:vAlign w:val="center"/>
          </w:tcPr>
          <w:p w14:paraId="54670B13">
            <w:pPr>
              <w:rPr>
                <w:rFonts w:ascii="宋体" w:hAnsi="宋体" w:cs="宋体"/>
                <w:color w:val="auto"/>
                <w:szCs w:val="21"/>
                <w:highlight w:val="none"/>
              </w:rPr>
            </w:pPr>
          </w:p>
        </w:tc>
      </w:tr>
      <w:tr w14:paraId="420A6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6A4489E8">
            <w:pPr>
              <w:rPr>
                <w:rFonts w:ascii="宋体" w:hAnsi="宋体" w:cs="宋体"/>
                <w:color w:val="auto"/>
                <w:szCs w:val="21"/>
                <w:highlight w:val="none"/>
              </w:rPr>
            </w:pPr>
            <w:r>
              <w:rPr>
                <w:rFonts w:hint="eastAsia" w:ascii="宋体" w:hAnsi="宋体" w:cs="宋体"/>
                <w:color w:val="auto"/>
                <w:szCs w:val="21"/>
                <w:highlight w:val="none"/>
              </w:rPr>
              <w:t>2</w:t>
            </w:r>
          </w:p>
        </w:tc>
        <w:tc>
          <w:tcPr>
            <w:tcW w:w="1920" w:type="dxa"/>
            <w:noWrap w:val="0"/>
            <w:vAlign w:val="center"/>
          </w:tcPr>
          <w:p w14:paraId="4D152C42">
            <w:pPr>
              <w:rPr>
                <w:rFonts w:ascii="宋体" w:hAnsi="宋体" w:cs="宋体"/>
                <w:color w:val="auto"/>
                <w:szCs w:val="21"/>
                <w:highlight w:val="none"/>
              </w:rPr>
            </w:pPr>
            <w:r>
              <w:rPr>
                <w:rFonts w:hint="eastAsia" w:ascii="宋体" w:hAnsi="宋体" w:cs="宋体"/>
                <w:color w:val="auto"/>
                <w:szCs w:val="21"/>
                <w:highlight w:val="none"/>
              </w:rPr>
              <w:t>付款步骤</w:t>
            </w:r>
          </w:p>
        </w:tc>
        <w:tc>
          <w:tcPr>
            <w:tcW w:w="2400" w:type="dxa"/>
            <w:noWrap w:val="0"/>
            <w:vAlign w:val="center"/>
          </w:tcPr>
          <w:p w14:paraId="78A46F96">
            <w:pPr>
              <w:rPr>
                <w:rFonts w:ascii="宋体" w:hAnsi="宋体" w:cs="宋体"/>
                <w:color w:val="auto"/>
                <w:szCs w:val="21"/>
                <w:highlight w:val="none"/>
              </w:rPr>
            </w:pPr>
          </w:p>
        </w:tc>
        <w:tc>
          <w:tcPr>
            <w:tcW w:w="2400" w:type="dxa"/>
            <w:noWrap w:val="0"/>
            <w:vAlign w:val="center"/>
          </w:tcPr>
          <w:p w14:paraId="1761AA2F">
            <w:pPr>
              <w:rPr>
                <w:rFonts w:ascii="宋体" w:hAnsi="宋体" w:cs="宋体"/>
                <w:color w:val="auto"/>
                <w:szCs w:val="21"/>
                <w:highlight w:val="none"/>
              </w:rPr>
            </w:pPr>
          </w:p>
        </w:tc>
        <w:tc>
          <w:tcPr>
            <w:tcW w:w="1716" w:type="dxa"/>
            <w:noWrap w:val="0"/>
            <w:vAlign w:val="center"/>
          </w:tcPr>
          <w:p w14:paraId="22324DE4">
            <w:pPr>
              <w:rPr>
                <w:rFonts w:ascii="宋体" w:hAnsi="宋体" w:cs="宋体"/>
                <w:color w:val="auto"/>
                <w:szCs w:val="21"/>
                <w:highlight w:val="none"/>
              </w:rPr>
            </w:pPr>
          </w:p>
        </w:tc>
      </w:tr>
      <w:tr w14:paraId="28DCD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21072953">
            <w:pPr>
              <w:rPr>
                <w:rFonts w:ascii="宋体" w:hAnsi="宋体" w:cs="宋体"/>
                <w:color w:val="auto"/>
                <w:szCs w:val="21"/>
                <w:highlight w:val="none"/>
              </w:rPr>
            </w:pPr>
            <w:r>
              <w:rPr>
                <w:rFonts w:hint="eastAsia" w:ascii="宋体" w:hAnsi="宋体" w:cs="宋体"/>
                <w:color w:val="auto"/>
                <w:szCs w:val="21"/>
                <w:highlight w:val="none"/>
              </w:rPr>
              <w:t>3</w:t>
            </w:r>
          </w:p>
        </w:tc>
        <w:tc>
          <w:tcPr>
            <w:tcW w:w="1920" w:type="dxa"/>
            <w:noWrap w:val="0"/>
            <w:vAlign w:val="center"/>
          </w:tcPr>
          <w:p w14:paraId="112A956B">
            <w:pPr>
              <w:rPr>
                <w:rFonts w:ascii="宋体" w:hAnsi="宋体" w:cs="宋体"/>
                <w:color w:val="auto"/>
                <w:szCs w:val="21"/>
                <w:highlight w:val="none"/>
              </w:rPr>
            </w:pPr>
            <w:r>
              <w:rPr>
                <w:rFonts w:hint="eastAsia" w:ascii="宋体" w:hAnsi="宋体" w:cs="宋体"/>
                <w:color w:val="auto"/>
                <w:szCs w:val="21"/>
                <w:highlight w:val="none"/>
              </w:rPr>
              <w:t>合同条款</w:t>
            </w:r>
          </w:p>
        </w:tc>
        <w:tc>
          <w:tcPr>
            <w:tcW w:w="2400" w:type="dxa"/>
            <w:noWrap w:val="0"/>
            <w:vAlign w:val="center"/>
          </w:tcPr>
          <w:p w14:paraId="7C173CB5">
            <w:pPr>
              <w:rPr>
                <w:rFonts w:ascii="宋体" w:hAnsi="宋体" w:cs="宋体"/>
                <w:color w:val="auto"/>
                <w:szCs w:val="21"/>
                <w:highlight w:val="none"/>
              </w:rPr>
            </w:pPr>
          </w:p>
        </w:tc>
        <w:tc>
          <w:tcPr>
            <w:tcW w:w="2400" w:type="dxa"/>
            <w:noWrap w:val="0"/>
            <w:vAlign w:val="center"/>
          </w:tcPr>
          <w:p w14:paraId="17DCD03A">
            <w:pPr>
              <w:rPr>
                <w:rFonts w:ascii="宋体" w:hAnsi="宋体" w:cs="宋体"/>
                <w:color w:val="auto"/>
                <w:szCs w:val="21"/>
                <w:highlight w:val="none"/>
              </w:rPr>
            </w:pPr>
          </w:p>
        </w:tc>
        <w:tc>
          <w:tcPr>
            <w:tcW w:w="1716" w:type="dxa"/>
            <w:noWrap w:val="0"/>
            <w:vAlign w:val="center"/>
          </w:tcPr>
          <w:p w14:paraId="1775EA81">
            <w:pPr>
              <w:rPr>
                <w:rFonts w:ascii="宋体" w:hAnsi="宋体" w:cs="宋体"/>
                <w:color w:val="auto"/>
                <w:szCs w:val="21"/>
                <w:highlight w:val="none"/>
              </w:rPr>
            </w:pPr>
          </w:p>
        </w:tc>
      </w:tr>
      <w:tr w14:paraId="459F1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5DC92DD3">
            <w:pPr>
              <w:rPr>
                <w:rFonts w:ascii="宋体" w:hAnsi="宋体" w:cs="宋体"/>
                <w:color w:val="auto"/>
                <w:szCs w:val="21"/>
                <w:highlight w:val="none"/>
              </w:rPr>
            </w:pPr>
            <w:r>
              <w:rPr>
                <w:rFonts w:hint="eastAsia" w:ascii="宋体" w:hAnsi="宋体" w:cs="宋体"/>
                <w:color w:val="auto"/>
                <w:szCs w:val="21"/>
                <w:highlight w:val="none"/>
              </w:rPr>
              <w:t>4</w:t>
            </w:r>
          </w:p>
        </w:tc>
        <w:tc>
          <w:tcPr>
            <w:tcW w:w="1920" w:type="dxa"/>
            <w:noWrap w:val="0"/>
            <w:vAlign w:val="center"/>
          </w:tcPr>
          <w:p w14:paraId="79F352AC">
            <w:pPr>
              <w:rPr>
                <w:rFonts w:ascii="宋体" w:hAnsi="宋体" w:cs="宋体"/>
                <w:color w:val="auto"/>
                <w:szCs w:val="21"/>
                <w:highlight w:val="none"/>
              </w:rPr>
            </w:pPr>
          </w:p>
        </w:tc>
        <w:tc>
          <w:tcPr>
            <w:tcW w:w="2400" w:type="dxa"/>
            <w:noWrap w:val="0"/>
            <w:vAlign w:val="center"/>
          </w:tcPr>
          <w:p w14:paraId="1A356A73">
            <w:pPr>
              <w:rPr>
                <w:rFonts w:ascii="宋体" w:hAnsi="宋体" w:cs="宋体"/>
                <w:color w:val="auto"/>
                <w:szCs w:val="21"/>
                <w:highlight w:val="none"/>
              </w:rPr>
            </w:pPr>
          </w:p>
        </w:tc>
        <w:tc>
          <w:tcPr>
            <w:tcW w:w="2400" w:type="dxa"/>
            <w:noWrap w:val="0"/>
            <w:vAlign w:val="center"/>
          </w:tcPr>
          <w:p w14:paraId="152434B8">
            <w:pPr>
              <w:rPr>
                <w:rFonts w:ascii="宋体" w:hAnsi="宋体" w:cs="宋体"/>
                <w:color w:val="auto"/>
                <w:szCs w:val="21"/>
                <w:highlight w:val="none"/>
              </w:rPr>
            </w:pPr>
          </w:p>
        </w:tc>
        <w:tc>
          <w:tcPr>
            <w:tcW w:w="1716" w:type="dxa"/>
            <w:noWrap w:val="0"/>
            <w:vAlign w:val="center"/>
          </w:tcPr>
          <w:p w14:paraId="12BC9106">
            <w:pPr>
              <w:rPr>
                <w:rFonts w:ascii="宋体" w:hAnsi="宋体" w:cs="宋体"/>
                <w:color w:val="auto"/>
                <w:szCs w:val="21"/>
                <w:highlight w:val="none"/>
              </w:rPr>
            </w:pPr>
          </w:p>
        </w:tc>
      </w:tr>
      <w:tr w14:paraId="04E16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010C3045">
            <w:pPr>
              <w:rPr>
                <w:rFonts w:ascii="宋体" w:hAnsi="宋体" w:cs="宋体"/>
                <w:color w:val="auto"/>
                <w:szCs w:val="21"/>
                <w:highlight w:val="none"/>
              </w:rPr>
            </w:pPr>
            <w:r>
              <w:rPr>
                <w:rFonts w:hint="eastAsia" w:ascii="宋体" w:hAnsi="宋体" w:cs="宋体"/>
                <w:color w:val="auto"/>
                <w:szCs w:val="21"/>
                <w:highlight w:val="none"/>
              </w:rPr>
              <w:t>...</w:t>
            </w:r>
          </w:p>
        </w:tc>
        <w:tc>
          <w:tcPr>
            <w:tcW w:w="1920" w:type="dxa"/>
            <w:noWrap w:val="0"/>
            <w:vAlign w:val="center"/>
          </w:tcPr>
          <w:p w14:paraId="181CBCB0">
            <w:pPr>
              <w:rPr>
                <w:rFonts w:ascii="宋体" w:hAnsi="宋体" w:cs="宋体"/>
                <w:color w:val="auto"/>
                <w:szCs w:val="21"/>
                <w:highlight w:val="none"/>
              </w:rPr>
            </w:pPr>
          </w:p>
        </w:tc>
        <w:tc>
          <w:tcPr>
            <w:tcW w:w="2400" w:type="dxa"/>
            <w:noWrap w:val="0"/>
            <w:vAlign w:val="center"/>
          </w:tcPr>
          <w:p w14:paraId="2BB3FCF9">
            <w:pPr>
              <w:rPr>
                <w:rFonts w:ascii="宋体" w:hAnsi="宋体" w:cs="宋体"/>
                <w:color w:val="auto"/>
                <w:szCs w:val="21"/>
                <w:highlight w:val="none"/>
              </w:rPr>
            </w:pPr>
          </w:p>
        </w:tc>
        <w:tc>
          <w:tcPr>
            <w:tcW w:w="2400" w:type="dxa"/>
            <w:noWrap w:val="0"/>
            <w:vAlign w:val="center"/>
          </w:tcPr>
          <w:p w14:paraId="5C64CD1F">
            <w:pPr>
              <w:rPr>
                <w:rFonts w:ascii="宋体" w:hAnsi="宋体" w:cs="宋体"/>
                <w:color w:val="auto"/>
                <w:szCs w:val="21"/>
                <w:highlight w:val="none"/>
              </w:rPr>
            </w:pPr>
          </w:p>
        </w:tc>
        <w:tc>
          <w:tcPr>
            <w:tcW w:w="1716" w:type="dxa"/>
            <w:noWrap w:val="0"/>
            <w:vAlign w:val="center"/>
          </w:tcPr>
          <w:p w14:paraId="7137A446">
            <w:pPr>
              <w:rPr>
                <w:rFonts w:ascii="宋体" w:hAnsi="宋体" w:cs="宋体"/>
                <w:color w:val="auto"/>
                <w:szCs w:val="21"/>
                <w:highlight w:val="none"/>
              </w:rPr>
            </w:pPr>
          </w:p>
        </w:tc>
      </w:tr>
      <w:tr w14:paraId="5AB12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7D131CC9">
            <w:pPr>
              <w:rPr>
                <w:rFonts w:ascii="宋体" w:hAnsi="宋体" w:cs="宋体"/>
                <w:color w:val="auto"/>
                <w:szCs w:val="21"/>
                <w:highlight w:val="none"/>
              </w:rPr>
            </w:pPr>
          </w:p>
        </w:tc>
        <w:tc>
          <w:tcPr>
            <w:tcW w:w="1920" w:type="dxa"/>
            <w:noWrap w:val="0"/>
            <w:vAlign w:val="center"/>
          </w:tcPr>
          <w:p w14:paraId="3DE4C6F3">
            <w:pPr>
              <w:rPr>
                <w:rFonts w:ascii="宋体" w:hAnsi="宋体" w:cs="宋体"/>
                <w:color w:val="auto"/>
                <w:szCs w:val="21"/>
                <w:highlight w:val="none"/>
              </w:rPr>
            </w:pPr>
          </w:p>
        </w:tc>
        <w:tc>
          <w:tcPr>
            <w:tcW w:w="2400" w:type="dxa"/>
            <w:noWrap w:val="0"/>
            <w:vAlign w:val="center"/>
          </w:tcPr>
          <w:p w14:paraId="20A16545">
            <w:pPr>
              <w:rPr>
                <w:rFonts w:ascii="宋体" w:hAnsi="宋体" w:cs="宋体"/>
                <w:color w:val="auto"/>
                <w:szCs w:val="21"/>
                <w:highlight w:val="none"/>
              </w:rPr>
            </w:pPr>
          </w:p>
        </w:tc>
        <w:tc>
          <w:tcPr>
            <w:tcW w:w="2400" w:type="dxa"/>
            <w:noWrap w:val="0"/>
            <w:vAlign w:val="center"/>
          </w:tcPr>
          <w:p w14:paraId="5F75AA0C">
            <w:pPr>
              <w:rPr>
                <w:rFonts w:ascii="宋体" w:hAnsi="宋体" w:cs="宋体"/>
                <w:color w:val="auto"/>
                <w:szCs w:val="21"/>
                <w:highlight w:val="none"/>
              </w:rPr>
            </w:pPr>
          </w:p>
        </w:tc>
        <w:tc>
          <w:tcPr>
            <w:tcW w:w="1716" w:type="dxa"/>
            <w:noWrap w:val="0"/>
            <w:vAlign w:val="center"/>
          </w:tcPr>
          <w:p w14:paraId="3B083CBB">
            <w:pPr>
              <w:rPr>
                <w:rFonts w:ascii="宋体" w:hAnsi="宋体" w:cs="宋体"/>
                <w:color w:val="auto"/>
                <w:szCs w:val="21"/>
                <w:highlight w:val="none"/>
              </w:rPr>
            </w:pPr>
          </w:p>
        </w:tc>
      </w:tr>
      <w:tr w14:paraId="56157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3C985B50">
            <w:pPr>
              <w:rPr>
                <w:rFonts w:ascii="宋体" w:hAnsi="宋体" w:cs="宋体"/>
                <w:color w:val="auto"/>
                <w:szCs w:val="21"/>
                <w:highlight w:val="none"/>
              </w:rPr>
            </w:pPr>
          </w:p>
        </w:tc>
        <w:tc>
          <w:tcPr>
            <w:tcW w:w="1920" w:type="dxa"/>
            <w:noWrap w:val="0"/>
            <w:vAlign w:val="center"/>
          </w:tcPr>
          <w:p w14:paraId="0B4FE40F">
            <w:pPr>
              <w:rPr>
                <w:rFonts w:ascii="宋体" w:hAnsi="宋体" w:cs="宋体"/>
                <w:color w:val="auto"/>
                <w:szCs w:val="21"/>
                <w:highlight w:val="none"/>
              </w:rPr>
            </w:pPr>
          </w:p>
        </w:tc>
        <w:tc>
          <w:tcPr>
            <w:tcW w:w="2400" w:type="dxa"/>
            <w:noWrap w:val="0"/>
            <w:vAlign w:val="center"/>
          </w:tcPr>
          <w:p w14:paraId="3694BFA3">
            <w:pPr>
              <w:rPr>
                <w:rFonts w:ascii="宋体" w:hAnsi="宋体" w:cs="宋体"/>
                <w:color w:val="auto"/>
                <w:szCs w:val="21"/>
                <w:highlight w:val="none"/>
              </w:rPr>
            </w:pPr>
          </w:p>
        </w:tc>
        <w:tc>
          <w:tcPr>
            <w:tcW w:w="2400" w:type="dxa"/>
            <w:noWrap w:val="0"/>
            <w:vAlign w:val="center"/>
          </w:tcPr>
          <w:p w14:paraId="360536BA">
            <w:pPr>
              <w:rPr>
                <w:rFonts w:ascii="宋体" w:hAnsi="宋体" w:cs="宋体"/>
                <w:color w:val="auto"/>
                <w:szCs w:val="21"/>
                <w:highlight w:val="none"/>
              </w:rPr>
            </w:pPr>
          </w:p>
        </w:tc>
        <w:tc>
          <w:tcPr>
            <w:tcW w:w="1716" w:type="dxa"/>
            <w:noWrap w:val="0"/>
            <w:vAlign w:val="center"/>
          </w:tcPr>
          <w:p w14:paraId="59B88B4B">
            <w:pPr>
              <w:rPr>
                <w:rFonts w:ascii="宋体" w:hAnsi="宋体" w:cs="宋体"/>
                <w:color w:val="auto"/>
                <w:szCs w:val="21"/>
                <w:highlight w:val="none"/>
              </w:rPr>
            </w:pPr>
          </w:p>
        </w:tc>
      </w:tr>
      <w:tr w14:paraId="32EEE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0E87CAB6">
            <w:pPr>
              <w:rPr>
                <w:rFonts w:ascii="宋体" w:hAnsi="宋体" w:cs="宋体"/>
                <w:color w:val="auto"/>
                <w:szCs w:val="21"/>
                <w:highlight w:val="none"/>
              </w:rPr>
            </w:pPr>
          </w:p>
        </w:tc>
        <w:tc>
          <w:tcPr>
            <w:tcW w:w="1920" w:type="dxa"/>
            <w:noWrap w:val="0"/>
            <w:vAlign w:val="center"/>
          </w:tcPr>
          <w:p w14:paraId="679F8824">
            <w:pPr>
              <w:rPr>
                <w:rFonts w:ascii="宋体" w:hAnsi="宋体" w:cs="宋体"/>
                <w:color w:val="auto"/>
                <w:szCs w:val="21"/>
                <w:highlight w:val="none"/>
              </w:rPr>
            </w:pPr>
          </w:p>
        </w:tc>
        <w:tc>
          <w:tcPr>
            <w:tcW w:w="2400" w:type="dxa"/>
            <w:noWrap w:val="0"/>
            <w:vAlign w:val="center"/>
          </w:tcPr>
          <w:p w14:paraId="560136B4">
            <w:pPr>
              <w:rPr>
                <w:rFonts w:ascii="宋体" w:hAnsi="宋体" w:cs="宋体"/>
                <w:color w:val="auto"/>
                <w:szCs w:val="21"/>
                <w:highlight w:val="none"/>
              </w:rPr>
            </w:pPr>
          </w:p>
        </w:tc>
        <w:tc>
          <w:tcPr>
            <w:tcW w:w="2400" w:type="dxa"/>
            <w:noWrap w:val="0"/>
            <w:vAlign w:val="center"/>
          </w:tcPr>
          <w:p w14:paraId="57FE0EFC">
            <w:pPr>
              <w:rPr>
                <w:rFonts w:ascii="宋体" w:hAnsi="宋体" w:cs="宋体"/>
                <w:color w:val="auto"/>
                <w:szCs w:val="21"/>
                <w:highlight w:val="none"/>
              </w:rPr>
            </w:pPr>
          </w:p>
        </w:tc>
        <w:tc>
          <w:tcPr>
            <w:tcW w:w="1716" w:type="dxa"/>
            <w:noWrap w:val="0"/>
            <w:vAlign w:val="center"/>
          </w:tcPr>
          <w:p w14:paraId="6F361C82">
            <w:pPr>
              <w:rPr>
                <w:rFonts w:ascii="宋体" w:hAnsi="宋体" w:cs="宋体"/>
                <w:color w:val="auto"/>
                <w:szCs w:val="21"/>
                <w:highlight w:val="none"/>
              </w:rPr>
            </w:pPr>
          </w:p>
        </w:tc>
      </w:tr>
      <w:tr w14:paraId="39C90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1680F5B3">
            <w:pPr>
              <w:rPr>
                <w:rFonts w:ascii="宋体" w:hAnsi="宋体" w:cs="宋体"/>
                <w:color w:val="auto"/>
                <w:szCs w:val="21"/>
                <w:highlight w:val="none"/>
              </w:rPr>
            </w:pPr>
          </w:p>
        </w:tc>
        <w:tc>
          <w:tcPr>
            <w:tcW w:w="1920" w:type="dxa"/>
            <w:noWrap w:val="0"/>
            <w:vAlign w:val="center"/>
          </w:tcPr>
          <w:p w14:paraId="257F94E5">
            <w:pPr>
              <w:rPr>
                <w:rFonts w:ascii="宋体" w:hAnsi="宋体" w:cs="宋体"/>
                <w:color w:val="auto"/>
                <w:szCs w:val="21"/>
                <w:highlight w:val="none"/>
              </w:rPr>
            </w:pPr>
          </w:p>
        </w:tc>
        <w:tc>
          <w:tcPr>
            <w:tcW w:w="2400" w:type="dxa"/>
            <w:noWrap w:val="0"/>
            <w:vAlign w:val="center"/>
          </w:tcPr>
          <w:p w14:paraId="28D0D3B4">
            <w:pPr>
              <w:rPr>
                <w:rFonts w:ascii="宋体" w:hAnsi="宋体" w:cs="宋体"/>
                <w:color w:val="auto"/>
                <w:szCs w:val="21"/>
                <w:highlight w:val="none"/>
              </w:rPr>
            </w:pPr>
          </w:p>
        </w:tc>
        <w:tc>
          <w:tcPr>
            <w:tcW w:w="2400" w:type="dxa"/>
            <w:noWrap w:val="0"/>
            <w:vAlign w:val="center"/>
          </w:tcPr>
          <w:p w14:paraId="30D66388">
            <w:pPr>
              <w:rPr>
                <w:rFonts w:ascii="宋体" w:hAnsi="宋体" w:cs="宋体"/>
                <w:color w:val="auto"/>
                <w:szCs w:val="21"/>
                <w:highlight w:val="none"/>
              </w:rPr>
            </w:pPr>
          </w:p>
        </w:tc>
        <w:tc>
          <w:tcPr>
            <w:tcW w:w="1716" w:type="dxa"/>
            <w:noWrap w:val="0"/>
            <w:vAlign w:val="center"/>
          </w:tcPr>
          <w:p w14:paraId="3A2D3536">
            <w:pPr>
              <w:rPr>
                <w:rFonts w:ascii="宋体" w:hAnsi="宋体" w:cs="宋体"/>
                <w:color w:val="auto"/>
                <w:szCs w:val="21"/>
                <w:highlight w:val="none"/>
              </w:rPr>
            </w:pPr>
          </w:p>
        </w:tc>
      </w:tr>
      <w:tr w14:paraId="75CFE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7F354671">
            <w:pPr>
              <w:rPr>
                <w:rFonts w:ascii="宋体" w:hAnsi="宋体" w:cs="宋体"/>
                <w:color w:val="auto"/>
                <w:szCs w:val="21"/>
                <w:highlight w:val="none"/>
              </w:rPr>
            </w:pPr>
          </w:p>
        </w:tc>
        <w:tc>
          <w:tcPr>
            <w:tcW w:w="1920" w:type="dxa"/>
            <w:noWrap w:val="0"/>
            <w:vAlign w:val="center"/>
          </w:tcPr>
          <w:p w14:paraId="7C4F3845">
            <w:pPr>
              <w:rPr>
                <w:rFonts w:ascii="宋体" w:hAnsi="宋体" w:cs="宋体"/>
                <w:color w:val="auto"/>
                <w:szCs w:val="21"/>
                <w:highlight w:val="none"/>
              </w:rPr>
            </w:pPr>
          </w:p>
        </w:tc>
        <w:tc>
          <w:tcPr>
            <w:tcW w:w="2400" w:type="dxa"/>
            <w:noWrap w:val="0"/>
            <w:vAlign w:val="center"/>
          </w:tcPr>
          <w:p w14:paraId="544F4006">
            <w:pPr>
              <w:rPr>
                <w:rFonts w:ascii="宋体" w:hAnsi="宋体" w:cs="宋体"/>
                <w:color w:val="auto"/>
                <w:szCs w:val="21"/>
                <w:highlight w:val="none"/>
              </w:rPr>
            </w:pPr>
          </w:p>
        </w:tc>
        <w:tc>
          <w:tcPr>
            <w:tcW w:w="2400" w:type="dxa"/>
            <w:noWrap w:val="0"/>
            <w:vAlign w:val="center"/>
          </w:tcPr>
          <w:p w14:paraId="625C4A18">
            <w:pPr>
              <w:rPr>
                <w:rFonts w:ascii="宋体" w:hAnsi="宋体" w:cs="宋体"/>
                <w:color w:val="auto"/>
                <w:szCs w:val="21"/>
                <w:highlight w:val="none"/>
              </w:rPr>
            </w:pPr>
          </w:p>
        </w:tc>
        <w:tc>
          <w:tcPr>
            <w:tcW w:w="1716" w:type="dxa"/>
            <w:noWrap w:val="0"/>
            <w:vAlign w:val="center"/>
          </w:tcPr>
          <w:p w14:paraId="19A6CA37">
            <w:pPr>
              <w:rPr>
                <w:rFonts w:ascii="宋体" w:hAnsi="宋体" w:cs="宋体"/>
                <w:color w:val="auto"/>
                <w:szCs w:val="21"/>
                <w:highlight w:val="none"/>
              </w:rPr>
            </w:pPr>
          </w:p>
        </w:tc>
      </w:tr>
    </w:tbl>
    <w:p w14:paraId="35EC3566">
      <w:pPr>
        <w:spacing w:line="360" w:lineRule="auto"/>
        <w:ind w:left="420" w:hanging="420"/>
        <w:rPr>
          <w:rFonts w:ascii="宋体" w:hAnsi="宋体" w:cs="宋体"/>
          <w:color w:val="auto"/>
          <w:szCs w:val="21"/>
          <w:highlight w:val="none"/>
        </w:rPr>
      </w:pPr>
      <w:r>
        <w:rPr>
          <w:rFonts w:hint="eastAsia" w:ascii="宋体" w:hAnsi="宋体" w:cs="宋体"/>
          <w:color w:val="auto"/>
          <w:szCs w:val="21"/>
          <w:highlight w:val="none"/>
        </w:rPr>
        <w:t>注：磋商响应单位的响应文件（除服务要求部分）与采购文件规定的有偏离的，应在此表中说明。未在上表中说明的，如在响应文件其他内容中已有文字说明的，则以已有文字说明为准，否则，将被认为完全响应采购文件的规定。但该表不作为磋商响应单位对所投标服务关于商务条款等详细描述和说明的替代。</w:t>
      </w:r>
    </w:p>
    <w:p w14:paraId="1188F1CD">
      <w:pPr>
        <w:spacing w:line="360" w:lineRule="auto"/>
        <w:rPr>
          <w:rFonts w:ascii="宋体" w:hAnsi="宋体" w:cs="宋体"/>
          <w:color w:val="auto"/>
          <w:szCs w:val="21"/>
          <w:highlight w:val="none"/>
        </w:rPr>
      </w:pPr>
    </w:p>
    <w:p w14:paraId="32FC22FA">
      <w:pPr>
        <w:spacing w:line="360" w:lineRule="auto"/>
        <w:rPr>
          <w:rFonts w:ascii="宋体" w:hAnsi="宋体" w:cs="宋体"/>
          <w:color w:val="auto"/>
          <w:szCs w:val="21"/>
          <w:highlight w:val="none"/>
        </w:rPr>
      </w:pPr>
      <w:r>
        <w:rPr>
          <w:rFonts w:hint="eastAsia" w:ascii="宋体" w:hAnsi="宋体" w:cs="宋体"/>
          <w:color w:val="auto"/>
          <w:szCs w:val="21"/>
          <w:highlight w:val="none"/>
        </w:rPr>
        <w:t>磋商响应单位：（</w:t>
      </w:r>
      <w:r>
        <w:rPr>
          <w:rFonts w:hint="eastAsia" w:ascii="宋体" w:hAnsi="宋体" w:cs="宋体"/>
          <w:color w:val="auto"/>
          <w:highlight w:val="none"/>
        </w:rPr>
        <w:t>签章</w:t>
      </w:r>
      <w:r>
        <w:rPr>
          <w:rFonts w:hint="eastAsia" w:ascii="宋体" w:hAnsi="宋体" w:cs="宋体"/>
          <w:color w:val="auto"/>
          <w:szCs w:val="21"/>
          <w:highlight w:val="none"/>
        </w:rPr>
        <w:t>）</w:t>
      </w:r>
    </w:p>
    <w:p w14:paraId="70CAC459">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169C2649">
      <w:pPr>
        <w:pStyle w:val="42"/>
        <w:rPr>
          <w:rFonts w:ascii="宋体" w:hAnsi="宋体" w:cs="宋体"/>
          <w:color w:val="auto"/>
          <w:szCs w:val="21"/>
          <w:highlight w:val="none"/>
        </w:rPr>
      </w:pPr>
    </w:p>
    <w:p w14:paraId="776FD01E">
      <w:pPr>
        <w:pageBreakBefore/>
        <w:spacing w:line="360" w:lineRule="auto"/>
        <w:outlineLvl w:val="1"/>
        <w:rPr>
          <w:rFonts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9</w:t>
      </w:r>
      <w:r>
        <w:rPr>
          <w:rFonts w:hint="eastAsia" w:ascii="宋体" w:hAnsi="宋体" w:cs="宋体"/>
          <w:b/>
          <w:color w:val="auto"/>
          <w:highlight w:val="none"/>
        </w:rPr>
        <w:t>：投标（响应）保证承诺书</w:t>
      </w:r>
    </w:p>
    <w:p w14:paraId="7D8F1648">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投标（响应）保证承诺书</w:t>
      </w:r>
    </w:p>
    <w:p w14:paraId="0DE7870B">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（采购代理机构名称）</w:t>
      </w:r>
    </w:p>
    <w:p w14:paraId="11F61A09">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我（单位/本人，以下统称我单位）自愿参加</w:t>
      </w:r>
      <w:r>
        <w:rPr>
          <w:rFonts w:hint="eastAsia" w:ascii="宋体" w:hAnsi="宋体" w:cs="宋体"/>
          <w:color w:val="auto"/>
          <w:szCs w:val="21"/>
          <w:highlight w:val="none"/>
          <w:u w:val="single"/>
        </w:rPr>
        <w:t xml:space="preserve">              （项目名称和采购编号）</w:t>
      </w:r>
      <w:r>
        <w:rPr>
          <w:rFonts w:hint="eastAsia" w:ascii="宋体" w:hAnsi="宋体" w:cs="宋体"/>
          <w:color w:val="auto"/>
          <w:szCs w:val="21"/>
          <w:highlight w:val="none"/>
        </w:rPr>
        <w:t>的投标（响应），并做出如下承诺：</w:t>
      </w:r>
    </w:p>
    <w:p w14:paraId="63F5F2A1">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一、除不可抗力外，我单位如果发生以下行为，将在行为发生的10个工作日内，向贵方</w:t>
      </w:r>
      <w:r>
        <w:rPr>
          <w:rFonts w:hint="eastAsia" w:ascii="宋体" w:hAnsi="宋体" w:cs="宋体"/>
          <w:color w:val="auto"/>
          <w:szCs w:val="21"/>
          <w:highlight w:val="none"/>
          <w:u w:val="single"/>
        </w:rPr>
        <w:t>（或采购人）</w:t>
      </w:r>
      <w:r>
        <w:rPr>
          <w:rFonts w:hint="eastAsia" w:ascii="宋体" w:hAnsi="宋体" w:cs="宋体"/>
          <w:color w:val="auto"/>
          <w:szCs w:val="21"/>
          <w:highlight w:val="none"/>
        </w:rPr>
        <w:t>支付本采购文件公布的预算金额（或最高限价）的2%作为违约赔偿金（数量不确定的单价采购须约定具体金额）。</w:t>
      </w:r>
    </w:p>
    <w:p w14:paraId="6908F845">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1.自投标（响应）截止时间至本项目发布中标（成交）公告为止，撤销投标（响应）；</w:t>
      </w:r>
    </w:p>
    <w:p w14:paraId="7A7FF070">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2.中标（成交）后不依法与采购人签订合同；</w:t>
      </w:r>
    </w:p>
    <w:p w14:paraId="602DE526">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3.中标（成交）后不按本采购文件规定向采购人提交履约保证金（如有）；</w:t>
      </w:r>
    </w:p>
    <w:p w14:paraId="63AC9F2C">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4.中标（成交）后不按本采购文件规定向贵方缴纳采购代理费。</w:t>
      </w:r>
    </w:p>
    <w:p w14:paraId="3ADB7279">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二、我单位知晓上述行为的法律后果，承认本承诺书作为贵方</w:t>
      </w:r>
      <w:r>
        <w:rPr>
          <w:rFonts w:hint="eastAsia" w:ascii="宋体" w:hAnsi="宋体" w:cs="宋体"/>
          <w:color w:val="auto"/>
          <w:szCs w:val="21"/>
          <w:highlight w:val="none"/>
          <w:u w:val="single"/>
        </w:rPr>
        <w:t>（或采购人）</w:t>
      </w:r>
      <w:r>
        <w:rPr>
          <w:rFonts w:hint="eastAsia" w:ascii="宋体" w:hAnsi="宋体" w:cs="宋体"/>
          <w:color w:val="auto"/>
          <w:szCs w:val="21"/>
          <w:highlight w:val="none"/>
        </w:rPr>
        <w:t>要求我单位履行违约赔偿义务的依据作用。</w:t>
      </w:r>
    </w:p>
    <w:p w14:paraId="6007038A">
      <w:pPr>
        <w:widowControl/>
        <w:spacing w:line="360" w:lineRule="auto"/>
        <w:jc w:val="left"/>
        <w:rPr>
          <w:rFonts w:ascii="宋体" w:hAnsi="宋体" w:cs="宋体"/>
          <w:color w:val="auto"/>
          <w:szCs w:val="21"/>
          <w:highlight w:val="none"/>
        </w:rPr>
      </w:pPr>
    </w:p>
    <w:p w14:paraId="497A4D27">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投标（响应）人（签章）：</w:t>
      </w:r>
    </w:p>
    <w:p w14:paraId="70EFF718">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地址：</w:t>
      </w:r>
    </w:p>
    <w:p w14:paraId="20AD7DAC">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电话：</w:t>
      </w:r>
    </w:p>
    <w:p w14:paraId="544A6913">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w:t>
      </w:r>
    </w:p>
    <w:p w14:paraId="373A430E">
      <w:pPr>
        <w:widowControl/>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电子邮件：</w:t>
      </w:r>
    </w:p>
    <w:p w14:paraId="5417E42E">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邮编：</w:t>
      </w:r>
    </w:p>
    <w:p w14:paraId="01560BC7">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w:t>
      </w:r>
    </w:p>
    <w:p w14:paraId="2C26AD67">
      <w:pPr>
        <w:pStyle w:val="42"/>
        <w:rPr>
          <w:rFonts w:ascii="宋体" w:hAnsi="宋体" w:cs="宋体"/>
          <w:color w:val="auto"/>
          <w:szCs w:val="21"/>
          <w:highlight w:val="none"/>
        </w:rPr>
        <w:sectPr>
          <w:pgSz w:w="11906" w:h="16838"/>
          <w:pgMar w:top="1134" w:right="1134" w:bottom="1134" w:left="1134" w:header="680" w:footer="680" w:gutter="0"/>
          <w:cols w:space="720" w:num="1"/>
          <w:docGrid w:linePitch="360" w:charSpace="0"/>
        </w:sectPr>
      </w:pPr>
    </w:p>
    <w:p w14:paraId="5A800240">
      <w:pPr>
        <w:spacing w:line="360" w:lineRule="auto"/>
        <w:rPr>
          <w:rFonts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10</w:t>
      </w:r>
      <w:r>
        <w:rPr>
          <w:rFonts w:hint="eastAsia" w:ascii="宋体" w:hAnsi="宋体" w:cs="宋体"/>
          <w:b/>
          <w:color w:val="auto"/>
          <w:highlight w:val="none"/>
        </w:rPr>
        <w:t>：针对本项目的人员配置表</w:t>
      </w:r>
    </w:p>
    <w:p w14:paraId="690C8F01">
      <w:pPr>
        <w:spacing w:line="360" w:lineRule="auto"/>
        <w:jc w:val="center"/>
        <w:rPr>
          <w:rFonts w:ascii="宋体" w:hAnsi="宋体" w:cs="宋体"/>
          <w:b/>
          <w:bCs/>
          <w:color w:val="auto"/>
          <w:spacing w:val="20"/>
          <w:szCs w:val="21"/>
          <w:highlight w:val="none"/>
        </w:rPr>
      </w:pPr>
      <w:r>
        <w:rPr>
          <w:rFonts w:hint="eastAsia" w:ascii="宋体" w:hAnsi="宋体" w:cs="宋体"/>
          <w:b/>
          <w:bCs/>
          <w:color w:val="auto"/>
          <w:spacing w:val="20"/>
          <w:szCs w:val="21"/>
          <w:highlight w:val="none"/>
        </w:rPr>
        <w:t>针对本项目的人员配置表</w:t>
      </w:r>
    </w:p>
    <w:p w14:paraId="0C9A9990">
      <w:pPr>
        <w:spacing w:line="360" w:lineRule="auto"/>
        <w:jc w:val="left"/>
        <w:rPr>
          <w:rFonts w:ascii="宋体" w:hAnsi="宋体" w:cs="宋体"/>
          <w:color w:val="auto"/>
          <w:szCs w:val="21"/>
          <w:highlight w:val="none"/>
        </w:rPr>
      </w:pPr>
    </w:p>
    <w:p w14:paraId="48D6D2D6">
      <w:pPr>
        <w:spacing w:line="360" w:lineRule="auto"/>
        <w:jc w:val="left"/>
        <w:rPr>
          <w:rFonts w:hint="eastAsia" w:eastAsia="宋体" w:cs="宋体" w:asciiTheme="minorEastAsia" w:hAnsiTheme="minorEastAsia"/>
          <w:color w:val="auto"/>
          <w:szCs w:val="21"/>
          <w:highlight w:val="none"/>
          <w:lang w:eastAsia="zh-CN"/>
        </w:rPr>
      </w:pPr>
      <w:r>
        <w:rPr>
          <w:rFonts w:hint="eastAsia" w:ascii="宋体" w:hAnsi="宋体" w:cs="宋体"/>
          <w:color w:val="auto"/>
          <w:szCs w:val="21"/>
          <w:highlight w:val="none"/>
        </w:rPr>
        <w:t>采购编号：</w:t>
      </w:r>
      <w:r>
        <w:rPr>
          <w:rFonts w:hint="eastAsia" w:cs="宋体" w:asciiTheme="minorEastAsia" w:hAnsiTheme="minorEastAsia"/>
          <w:color w:val="auto"/>
          <w:szCs w:val="21"/>
          <w:highlight w:val="none"/>
          <w:lang w:val="en-US" w:eastAsia="zh-CN"/>
        </w:rPr>
        <w:t xml:space="preserve"> </w:t>
      </w:r>
    </w:p>
    <w:tbl>
      <w:tblPr>
        <w:tblStyle w:val="4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52"/>
        <w:gridCol w:w="1059"/>
        <w:gridCol w:w="1034"/>
        <w:gridCol w:w="869"/>
        <w:gridCol w:w="1764"/>
        <w:gridCol w:w="1116"/>
        <w:gridCol w:w="1458"/>
      </w:tblGrid>
      <w:tr w14:paraId="696E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5" w:type="dxa"/>
            <w:noWrap w:val="0"/>
            <w:vAlign w:val="center"/>
          </w:tcPr>
          <w:p w14:paraId="422F7BD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52" w:type="dxa"/>
            <w:noWrap w:val="0"/>
            <w:vAlign w:val="center"/>
          </w:tcPr>
          <w:p w14:paraId="19E6264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岗位</w:t>
            </w:r>
          </w:p>
        </w:tc>
        <w:tc>
          <w:tcPr>
            <w:tcW w:w="1059" w:type="dxa"/>
            <w:noWrap w:val="0"/>
            <w:vAlign w:val="center"/>
          </w:tcPr>
          <w:p w14:paraId="27CA31D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34" w:type="dxa"/>
            <w:noWrap w:val="0"/>
            <w:vAlign w:val="center"/>
          </w:tcPr>
          <w:p w14:paraId="737E74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869" w:type="dxa"/>
            <w:noWrap w:val="0"/>
            <w:vAlign w:val="center"/>
          </w:tcPr>
          <w:p w14:paraId="719CBCC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764" w:type="dxa"/>
            <w:noWrap w:val="0"/>
            <w:vAlign w:val="center"/>
          </w:tcPr>
          <w:p w14:paraId="76A6E28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116" w:type="dxa"/>
            <w:noWrap w:val="0"/>
            <w:vAlign w:val="center"/>
          </w:tcPr>
          <w:p w14:paraId="7083A22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458" w:type="dxa"/>
            <w:noWrap w:val="0"/>
            <w:vAlign w:val="center"/>
          </w:tcPr>
          <w:p w14:paraId="19E9F736">
            <w:pPr>
              <w:jc w:val="center"/>
              <w:rPr>
                <w:rFonts w:ascii="宋体" w:hAnsi="宋体" w:cs="宋体"/>
                <w:color w:val="auto"/>
                <w:szCs w:val="21"/>
                <w:highlight w:val="none"/>
              </w:rPr>
            </w:pPr>
            <w:r>
              <w:rPr>
                <w:rFonts w:hint="eastAsia" w:ascii="宋体" w:hAnsi="宋体" w:cs="宋体"/>
                <w:color w:val="auto"/>
                <w:szCs w:val="21"/>
                <w:highlight w:val="none"/>
              </w:rPr>
              <w:t>专业/资格</w:t>
            </w:r>
          </w:p>
        </w:tc>
      </w:tr>
      <w:tr w14:paraId="7310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5" w:type="dxa"/>
            <w:noWrap w:val="0"/>
            <w:vAlign w:val="center"/>
          </w:tcPr>
          <w:p w14:paraId="3A6BB8A5">
            <w:pPr>
              <w:jc w:val="center"/>
              <w:rPr>
                <w:rFonts w:ascii="宋体" w:hAnsi="宋体" w:cs="宋体"/>
                <w:color w:val="auto"/>
                <w:szCs w:val="21"/>
                <w:highlight w:val="none"/>
              </w:rPr>
            </w:pPr>
          </w:p>
        </w:tc>
        <w:tc>
          <w:tcPr>
            <w:tcW w:w="1652" w:type="dxa"/>
            <w:noWrap w:val="0"/>
            <w:vAlign w:val="center"/>
          </w:tcPr>
          <w:p w14:paraId="3E3171A8">
            <w:pPr>
              <w:jc w:val="center"/>
              <w:rPr>
                <w:rFonts w:ascii="宋体" w:hAnsi="宋体" w:cs="宋体"/>
                <w:color w:val="auto"/>
                <w:szCs w:val="21"/>
                <w:highlight w:val="none"/>
              </w:rPr>
            </w:pPr>
          </w:p>
        </w:tc>
        <w:tc>
          <w:tcPr>
            <w:tcW w:w="1059" w:type="dxa"/>
            <w:noWrap w:val="0"/>
            <w:vAlign w:val="center"/>
          </w:tcPr>
          <w:p w14:paraId="3F8E6436">
            <w:pPr>
              <w:jc w:val="center"/>
              <w:rPr>
                <w:rFonts w:ascii="宋体" w:hAnsi="宋体" w:cs="宋体"/>
                <w:color w:val="auto"/>
                <w:szCs w:val="21"/>
                <w:highlight w:val="none"/>
              </w:rPr>
            </w:pPr>
          </w:p>
        </w:tc>
        <w:tc>
          <w:tcPr>
            <w:tcW w:w="1034" w:type="dxa"/>
            <w:noWrap w:val="0"/>
            <w:vAlign w:val="center"/>
          </w:tcPr>
          <w:p w14:paraId="00F3CCCC">
            <w:pPr>
              <w:jc w:val="center"/>
              <w:rPr>
                <w:rFonts w:ascii="宋体" w:hAnsi="宋体" w:cs="宋体"/>
                <w:color w:val="auto"/>
                <w:szCs w:val="21"/>
                <w:highlight w:val="none"/>
              </w:rPr>
            </w:pPr>
          </w:p>
        </w:tc>
        <w:tc>
          <w:tcPr>
            <w:tcW w:w="869" w:type="dxa"/>
            <w:noWrap w:val="0"/>
            <w:vAlign w:val="center"/>
          </w:tcPr>
          <w:p w14:paraId="492E7BBE">
            <w:pPr>
              <w:jc w:val="center"/>
              <w:rPr>
                <w:rFonts w:ascii="宋体" w:hAnsi="宋体" w:cs="宋体"/>
                <w:color w:val="auto"/>
                <w:szCs w:val="21"/>
                <w:highlight w:val="none"/>
              </w:rPr>
            </w:pPr>
          </w:p>
        </w:tc>
        <w:tc>
          <w:tcPr>
            <w:tcW w:w="1764" w:type="dxa"/>
            <w:noWrap w:val="0"/>
            <w:vAlign w:val="center"/>
          </w:tcPr>
          <w:p w14:paraId="2FBEB7CD">
            <w:pPr>
              <w:jc w:val="center"/>
              <w:rPr>
                <w:rFonts w:ascii="宋体" w:hAnsi="宋体" w:cs="宋体"/>
                <w:color w:val="auto"/>
                <w:szCs w:val="21"/>
                <w:highlight w:val="none"/>
              </w:rPr>
            </w:pPr>
          </w:p>
        </w:tc>
        <w:tc>
          <w:tcPr>
            <w:tcW w:w="1116" w:type="dxa"/>
            <w:noWrap w:val="0"/>
            <w:vAlign w:val="center"/>
          </w:tcPr>
          <w:p w14:paraId="0A8E3453">
            <w:pPr>
              <w:jc w:val="center"/>
              <w:rPr>
                <w:rFonts w:ascii="宋体" w:hAnsi="宋体" w:cs="宋体"/>
                <w:color w:val="auto"/>
                <w:szCs w:val="21"/>
                <w:highlight w:val="none"/>
              </w:rPr>
            </w:pPr>
          </w:p>
        </w:tc>
        <w:tc>
          <w:tcPr>
            <w:tcW w:w="1458" w:type="dxa"/>
            <w:noWrap w:val="0"/>
            <w:vAlign w:val="center"/>
          </w:tcPr>
          <w:p w14:paraId="6E3B6BFE">
            <w:pPr>
              <w:jc w:val="center"/>
              <w:rPr>
                <w:rFonts w:ascii="宋体" w:hAnsi="宋体" w:cs="宋体"/>
                <w:color w:val="auto"/>
                <w:szCs w:val="21"/>
                <w:highlight w:val="none"/>
              </w:rPr>
            </w:pPr>
          </w:p>
        </w:tc>
      </w:tr>
      <w:tr w14:paraId="4911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5" w:type="dxa"/>
            <w:noWrap w:val="0"/>
            <w:vAlign w:val="center"/>
          </w:tcPr>
          <w:p w14:paraId="5DE78C3C">
            <w:pPr>
              <w:jc w:val="center"/>
              <w:rPr>
                <w:rFonts w:ascii="宋体" w:hAnsi="宋体" w:cs="宋体"/>
                <w:color w:val="auto"/>
                <w:szCs w:val="21"/>
                <w:highlight w:val="none"/>
              </w:rPr>
            </w:pPr>
          </w:p>
        </w:tc>
        <w:tc>
          <w:tcPr>
            <w:tcW w:w="1652" w:type="dxa"/>
            <w:noWrap w:val="0"/>
            <w:vAlign w:val="center"/>
          </w:tcPr>
          <w:p w14:paraId="5969D4EB">
            <w:pPr>
              <w:jc w:val="center"/>
              <w:rPr>
                <w:rFonts w:ascii="宋体" w:hAnsi="宋体" w:cs="宋体"/>
                <w:color w:val="auto"/>
                <w:szCs w:val="21"/>
                <w:highlight w:val="none"/>
              </w:rPr>
            </w:pPr>
          </w:p>
        </w:tc>
        <w:tc>
          <w:tcPr>
            <w:tcW w:w="1059" w:type="dxa"/>
            <w:noWrap w:val="0"/>
            <w:vAlign w:val="center"/>
          </w:tcPr>
          <w:p w14:paraId="26A2935D">
            <w:pPr>
              <w:jc w:val="center"/>
              <w:rPr>
                <w:rFonts w:ascii="宋体" w:hAnsi="宋体" w:cs="宋体"/>
                <w:color w:val="auto"/>
                <w:szCs w:val="21"/>
                <w:highlight w:val="none"/>
              </w:rPr>
            </w:pPr>
          </w:p>
        </w:tc>
        <w:tc>
          <w:tcPr>
            <w:tcW w:w="1034" w:type="dxa"/>
            <w:noWrap w:val="0"/>
            <w:vAlign w:val="center"/>
          </w:tcPr>
          <w:p w14:paraId="3731EA2A">
            <w:pPr>
              <w:jc w:val="center"/>
              <w:rPr>
                <w:rFonts w:ascii="宋体" w:hAnsi="宋体" w:cs="宋体"/>
                <w:color w:val="auto"/>
                <w:szCs w:val="21"/>
                <w:highlight w:val="none"/>
              </w:rPr>
            </w:pPr>
          </w:p>
        </w:tc>
        <w:tc>
          <w:tcPr>
            <w:tcW w:w="869" w:type="dxa"/>
            <w:noWrap w:val="0"/>
            <w:vAlign w:val="center"/>
          </w:tcPr>
          <w:p w14:paraId="4BBE2BCB">
            <w:pPr>
              <w:jc w:val="center"/>
              <w:rPr>
                <w:rFonts w:ascii="宋体" w:hAnsi="宋体" w:cs="宋体"/>
                <w:color w:val="auto"/>
                <w:szCs w:val="21"/>
                <w:highlight w:val="none"/>
              </w:rPr>
            </w:pPr>
          </w:p>
        </w:tc>
        <w:tc>
          <w:tcPr>
            <w:tcW w:w="1764" w:type="dxa"/>
            <w:noWrap w:val="0"/>
            <w:vAlign w:val="center"/>
          </w:tcPr>
          <w:p w14:paraId="4968B941">
            <w:pPr>
              <w:jc w:val="center"/>
              <w:rPr>
                <w:rFonts w:ascii="宋体" w:hAnsi="宋体" w:cs="宋体"/>
                <w:color w:val="auto"/>
                <w:szCs w:val="21"/>
                <w:highlight w:val="none"/>
              </w:rPr>
            </w:pPr>
          </w:p>
        </w:tc>
        <w:tc>
          <w:tcPr>
            <w:tcW w:w="1116" w:type="dxa"/>
            <w:noWrap w:val="0"/>
            <w:vAlign w:val="center"/>
          </w:tcPr>
          <w:p w14:paraId="56474932">
            <w:pPr>
              <w:jc w:val="center"/>
              <w:rPr>
                <w:rFonts w:ascii="宋体" w:hAnsi="宋体" w:cs="宋体"/>
                <w:color w:val="auto"/>
                <w:szCs w:val="21"/>
                <w:highlight w:val="none"/>
              </w:rPr>
            </w:pPr>
          </w:p>
        </w:tc>
        <w:tc>
          <w:tcPr>
            <w:tcW w:w="1458" w:type="dxa"/>
            <w:noWrap w:val="0"/>
            <w:vAlign w:val="center"/>
          </w:tcPr>
          <w:p w14:paraId="00DD26B5">
            <w:pPr>
              <w:jc w:val="center"/>
              <w:rPr>
                <w:rFonts w:ascii="宋体" w:hAnsi="宋体" w:cs="宋体"/>
                <w:color w:val="auto"/>
                <w:szCs w:val="21"/>
                <w:highlight w:val="none"/>
              </w:rPr>
            </w:pPr>
          </w:p>
        </w:tc>
      </w:tr>
      <w:tr w14:paraId="39AF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5" w:type="dxa"/>
            <w:noWrap w:val="0"/>
            <w:vAlign w:val="center"/>
          </w:tcPr>
          <w:p w14:paraId="1807E185">
            <w:pPr>
              <w:jc w:val="center"/>
              <w:rPr>
                <w:rFonts w:ascii="宋体" w:hAnsi="宋体" w:cs="宋体"/>
                <w:color w:val="auto"/>
                <w:szCs w:val="21"/>
                <w:highlight w:val="none"/>
              </w:rPr>
            </w:pPr>
          </w:p>
        </w:tc>
        <w:tc>
          <w:tcPr>
            <w:tcW w:w="1652" w:type="dxa"/>
            <w:noWrap w:val="0"/>
            <w:vAlign w:val="center"/>
          </w:tcPr>
          <w:p w14:paraId="4039ECCF">
            <w:pPr>
              <w:jc w:val="center"/>
              <w:rPr>
                <w:rFonts w:ascii="宋体" w:hAnsi="宋体" w:cs="宋体"/>
                <w:color w:val="auto"/>
                <w:szCs w:val="21"/>
                <w:highlight w:val="none"/>
              </w:rPr>
            </w:pPr>
          </w:p>
        </w:tc>
        <w:tc>
          <w:tcPr>
            <w:tcW w:w="1059" w:type="dxa"/>
            <w:noWrap w:val="0"/>
            <w:vAlign w:val="center"/>
          </w:tcPr>
          <w:p w14:paraId="1E538881">
            <w:pPr>
              <w:jc w:val="center"/>
              <w:rPr>
                <w:rFonts w:ascii="宋体" w:hAnsi="宋体" w:cs="宋体"/>
                <w:color w:val="auto"/>
                <w:szCs w:val="21"/>
                <w:highlight w:val="none"/>
              </w:rPr>
            </w:pPr>
          </w:p>
        </w:tc>
        <w:tc>
          <w:tcPr>
            <w:tcW w:w="1034" w:type="dxa"/>
            <w:noWrap w:val="0"/>
            <w:vAlign w:val="center"/>
          </w:tcPr>
          <w:p w14:paraId="4094D331">
            <w:pPr>
              <w:jc w:val="center"/>
              <w:rPr>
                <w:rFonts w:ascii="宋体" w:hAnsi="宋体" w:cs="宋体"/>
                <w:color w:val="auto"/>
                <w:szCs w:val="21"/>
                <w:highlight w:val="none"/>
              </w:rPr>
            </w:pPr>
          </w:p>
        </w:tc>
        <w:tc>
          <w:tcPr>
            <w:tcW w:w="869" w:type="dxa"/>
            <w:noWrap w:val="0"/>
            <w:vAlign w:val="center"/>
          </w:tcPr>
          <w:p w14:paraId="0AB4565A">
            <w:pPr>
              <w:jc w:val="center"/>
              <w:rPr>
                <w:rFonts w:ascii="宋体" w:hAnsi="宋体" w:cs="宋体"/>
                <w:color w:val="auto"/>
                <w:szCs w:val="21"/>
                <w:highlight w:val="none"/>
              </w:rPr>
            </w:pPr>
          </w:p>
        </w:tc>
        <w:tc>
          <w:tcPr>
            <w:tcW w:w="1764" w:type="dxa"/>
            <w:noWrap w:val="0"/>
            <w:vAlign w:val="center"/>
          </w:tcPr>
          <w:p w14:paraId="0B2029BA">
            <w:pPr>
              <w:jc w:val="center"/>
              <w:rPr>
                <w:rFonts w:ascii="宋体" w:hAnsi="宋体" w:cs="宋体"/>
                <w:color w:val="auto"/>
                <w:szCs w:val="21"/>
                <w:highlight w:val="none"/>
              </w:rPr>
            </w:pPr>
          </w:p>
        </w:tc>
        <w:tc>
          <w:tcPr>
            <w:tcW w:w="1116" w:type="dxa"/>
            <w:noWrap w:val="0"/>
            <w:vAlign w:val="center"/>
          </w:tcPr>
          <w:p w14:paraId="252F2838">
            <w:pPr>
              <w:jc w:val="center"/>
              <w:rPr>
                <w:rFonts w:ascii="宋体" w:hAnsi="宋体" w:cs="宋体"/>
                <w:color w:val="auto"/>
                <w:szCs w:val="21"/>
                <w:highlight w:val="none"/>
              </w:rPr>
            </w:pPr>
          </w:p>
        </w:tc>
        <w:tc>
          <w:tcPr>
            <w:tcW w:w="1458" w:type="dxa"/>
            <w:noWrap w:val="0"/>
            <w:vAlign w:val="center"/>
          </w:tcPr>
          <w:p w14:paraId="76713C0E">
            <w:pPr>
              <w:jc w:val="center"/>
              <w:rPr>
                <w:rFonts w:ascii="宋体" w:hAnsi="宋体" w:cs="宋体"/>
                <w:color w:val="auto"/>
                <w:szCs w:val="21"/>
                <w:highlight w:val="none"/>
              </w:rPr>
            </w:pPr>
          </w:p>
        </w:tc>
      </w:tr>
      <w:tr w14:paraId="16FE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5" w:type="dxa"/>
            <w:noWrap w:val="0"/>
            <w:vAlign w:val="center"/>
          </w:tcPr>
          <w:p w14:paraId="10EC7A47">
            <w:pPr>
              <w:jc w:val="center"/>
              <w:rPr>
                <w:rFonts w:ascii="宋体" w:hAnsi="宋体" w:cs="宋体"/>
                <w:color w:val="auto"/>
                <w:szCs w:val="21"/>
                <w:highlight w:val="none"/>
              </w:rPr>
            </w:pPr>
          </w:p>
        </w:tc>
        <w:tc>
          <w:tcPr>
            <w:tcW w:w="1652" w:type="dxa"/>
            <w:noWrap w:val="0"/>
            <w:vAlign w:val="center"/>
          </w:tcPr>
          <w:p w14:paraId="13F88A55">
            <w:pPr>
              <w:jc w:val="center"/>
              <w:rPr>
                <w:rFonts w:ascii="宋体" w:hAnsi="宋体" w:cs="宋体"/>
                <w:color w:val="auto"/>
                <w:szCs w:val="21"/>
                <w:highlight w:val="none"/>
              </w:rPr>
            </w:pPr>
          </w:p>
        </w:tc>
        <w:tc>
          <w:tcPr>
            <w:tcW w:w="1059" w:type="dxa"/>
            <w:noWrap w:val="0"/>
            <w:vAlign w:val="center"/>
          </w:tcPr>
          <w:p w14:paraId="686E8511">
            <w:pPr>
              <w:jc w:val="center"/>
              <w:rPr>
                <w:rFonts w:ascii="宋体" w:hAnsi="宋体" w:cs="宋体"/>
                <w:color w:val="auto"/>
                <w:szCs w:val="21"/>
                <w:highlight w:val="none"/>
              </w:rPr>
            </w:pPr>
          </w:p>
        </w:tc>
        <w:tc>
          <w:tcPr>
            <w:tcW w:w="1034" w:type="dxa"/>
            <w:noWrap w:val="0"/>
            <w:vAlign w:val="center"/>
          </w:tcPr>
          <w:p w14:paraId="1F52DA8C">
            <w:pPr>
              <w:jc w:val="center"/>
              <w:rPr>
                <w:rFonts w:ascii="宋体" w:hAnsi="宋体" w:cs="宋体"/>
                <w:color w:val="auto"/>
                <w:szCs w:val="21"/>
                <w:highlight w:val="none"/>
              </w:rPr>
            </w:pPr>
          </w:p>
        </w:tc>
        <w:tc>
          <w:tcPr>
            <w:tcW w:w="869" w:type="dxa"/>
            <w:noWrap w:val="0"/>
            <w:vAlign w:val="center"/>
          </w:tcPr>
          <w:p w14:paraId="32F4CCDC">
            <w:pPr>
              <w:jc w:val="center"/>
              <w:rPr>
                <w:rFonts w:ascii="宋体" w:hAnsi="宋体" w:cs="宋体"/>
                <w:color w:val="auto"/>
                <w:szCs w:val="21"/>
                <w:highlight w:val="none"/>
              </w:rPr>
            </w:pPr>
          </w:p>
        </w:tc>
        <w:tc>
          <w:tcPr>
            <w:tcW w:w="1764" w:type="dxa"/>
            <w:noWrap w:val="0"/>
            <w:vAlign w:val="center"/>
          </w:tcPr>
          <w:p w14:paraId="741058AB">
            <w:pPr>
              <w:jc w:val="center"/>
              <w:rPr>
                <w:rFonts w:ascii="宋体" w:hAnsi="宋体" w:cs="宋体"/>
                <w:color w:val="auto"/>
                <w:szCs w:val="21"/>
                <w:highlight w:val="none"/>
              </w:rPr>
            </w:pPr>
          </w:p>
        </w:tc>
        <w:tc>
          <w:tcPr>
            <w:tcW w:w="1116" w:type="dxa"/>
            <w:noWrap w:val="0"/>
            <w:vAlign w:val="center"/>
          </w:tcPr>
          <w:p w14:paraId="5A624AA2">
            <w:pPr>
              <w:jc w:val="center"/>
              <w:rPr>
                <w:rFonts w:ascii="宋体" w:hAnsi="宋体" w:cs="宋体"/>
                <w:color w:val="auto"/>
                <w:szCs w:val="21"/>
                <w:highlight w:val="none"/>
              </w:rPr>
            </w:pPr>
          </w:p>
        </w:tc>
        <w:tc>
          <w:tcPr>
            <w:tcW w:w="1458" w:type="dxa"/>
            <w:noWrap w:val="0"/>
            <w:vAlign w:val="center"/>
          </w:tcPr>
          <w:p w14:paraId="503425BB">
            <w:pPr>
              <w:jc w:val="center"/>
              <w:rPr>
                <w:rFonts w:ascii="宋体" w:hAnsi="宋体" w:cs="宋体"/>
                <w:color w:val="auto"/>
                <w:szCs w:val="21"/>
                <w:highlight w:val="none"/>
              </w:rPr>
            </w:pPr>
          </w:p>
        </w:tc>
      </w:tr>
      <w:tr w14:paraId="258D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5" w:type="dxa"/>
            <w:noWrap w:val="0"/>
            <w:vAlign w:val="center"/>
          </w:tcPr>
          <w:p w14:paraId="6599D0AF">
            <w:pPr>
              <w:jc w:val="center"/>
              <w:rPr>
                <w:rFonts w:ascii="宋体" w:hAnsi="宋体" w:cs="宋体"/>
                <w:color w:val="auto"/>
                <w:szCs w:val="21"/>
                <w:highlight w:val="none"/>
              </w:rPr>
            </w:pPr>
          </w:p>
        </w:tc>
        <w:tc>
          <w:tcPr>
            <w:tcW w:w="1652" w:type="dxa"/>
            <w:noWrap w:val="0"/>
            <w:vAlign w:val="center"/>
          </w:tcPr>
          <w:p w14:paraId="206F669B">
            <w:pPr>
              <w:jc w:val="center"/>
              <w:rPr>
                <w:rFonts w:ascii="宋体" w:hAnsi="宋体" w:cs="宋体"/>
                <w:color w:val="auto"/>
                <w:szCs w:val="21"/>
                <w:highlight w:val="none"/>
              </w:rPr>
            </w:pPr>
          </w:p>
        </w:tc>
        <w:tc>
          <w:tcPr>
            <w:tcW w:w="1059" w:type="dxa"/>
            <w:noWrap w:val="0"/>
            <w:vAlign w:val="center"/>
          </w:tcPr>
          <w:p w14:paraId="75E0A3F9">
            <w:pPr>
              <w:jc w:val="center"/>
              <w:rPr>
                <w:rFonts w:ascii="宋体" w:hAnsi="宋体" w:cs="宋体"/>
                <w:color w:val="auto"/>
                <w:szCs w:val="21"/>
                <w:highlight w:val="none"/>
              </w:rPr>
            </w:pPr>
          </w:p>
        </w:tc>
        <w:tc>
          <w:tcPr>
            <w:tcW w:w="1034" w:type="dxa"/>
            <w:noWrap w:val="0"/>
            <w:vAlign w:val="center"/>
          </w:tcPr>
          <w:p w14:paraId="3BA169B2">
            <w:pPr>
              <w:jc w:val="center"/>
              <w:rPr>
                <w:rFonts w:ascii="宋体" w:hAnsi="宋体" w:cs="宋体"/>
                <w:color w:val="auto"/>
                <w:szCs w:val="21"/>
                <w:highlight w:val="none"/>
              </w:rPr>
            </w:pPr>
          </w:p>
        </w:tc>
        <w:tc>
          <w:tcPr>
            <w:tcW w:w="869" w:type="dxa"/>
            <w:noWrap w:val="0"/>
            <w:vAlign w:val="center"/>
          </w:tcPr>
          <w:p w14:paraId="06E7BF18">
            <w:pPr>
              <w:jc w:val="center"/>
              <w:rPr>
                <w:rFonts w:ascii="宋体" w:hAnsi="宋体" w:cs="宋体"/>
                <w:color w:val="auto"/>
                <w:szCs w:val="21"/>
                <w:highlight w:val="none"/>
              </w:rPr>
            </w:pPr>
          </w:p>
        </w:tc>
        <w:tc>
          <w:tcPr>
            <w:tcW w:w="1764" w:type="dxa"/>
            <w:noWrap w:val="0"/>
            <w:vAlign w:val="center"/>
          </w:tcPr>
          <w:p w14:paraId="15BE8507">
            <w:pPr>
              <w:jc w:val="center"/>
              <w:rPr>
                <w:rFonts w:ascii="宋体" w:hAnsi="宋体" w:cs="宋体"/>
                <w:color w:val="auto"/>
                <w:szCs w:val="21"/>
                <w:highlight w:val="none"/>
              </w:rPr>
            </w:pPr>
          </w:p>
        </w:tc>
        <w:tc>
          <w:tcPr>
            <w:tcW w:w="1116" w:type="dxa"/>
            <w:noWrap w:val="0"/>
            <w:vAlign w:val="center"/>
          </w:tcPr>
          <w:p w14:paraId="3861575E">
            <w:pPr>
              <w:jc w:val="center"/>
              <w:rPr>
                <w:rFonts w:ascii="宋体" w:hAnsi="宋体" w:cs="宋体"/>
                <w:color w:val="auto"/>
                <w:szCs w:val="21"/>
                <w:highlight w:val="none"/>
              </w:rPr>
            </w:pPr>
          </w:p>
        </w:tc>
        <w:tc>
          <w:tcPr>
            <w:tcW w:w="1458" w:type="dxa"/>
            <w:noWrap w:val="0"/>
            <w:vAlign w:val="center"/>
          </w:tcPr>
          <w:p w14:paraId="4DAE16F4">
            <w:pPr>
              <w:jc w:val="center"/>
              <w:rPr>
                <w:rFonts w:ascii="宋体" w:hAnsi="宋体" w:cs="宋体"/>
                <w:color w:val="auto"/>
                <w:szCs w:val="21"/>
                <w:highlight w:val="none"/>
              </w:rPr>
            </w:pPr>
          </w:p>
        </w:tc>
      </w:tr>
      <w:tr w14:paraId="321E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5" w:type="dxa"/>
            <w:noWrap w:val="0"/>
            <w:vAlign w:val="center"/>
          </w:tcPr>
          <w:p w14:paraId="521BAAC4">
            <w:pPr>
              <w:jc w:val="center"/>
              <w:rPr>
                <w:rFonts w:ascii="宋体" w:hAnsi="宋体" w:cs="宋体"/>
                <w:color w:val="auto"/>
                <w:szCs w:val="21"/>
                <w:highlight w:val="none"/>
              </w:rPr>
            </w:pPr>
          </w:p>
        </w:tc>
        <w:tc>
          <w:tcPr>
            <w:tcW w:w="1652" w:type="dxa"/>
            <w:noWrap w:val="0"/>
            <w:vAlign w:val="center"/>
          </w:tcPr>
          <w:p w14:paraId="78799625">
            <w:pPr>
              <w:jc w:val="center"/>
              <w:rPr>
                <w:rFonts w:ascii="宋体" w:hAnsi="宋体" w:cs="宋体"/>
                <w:color w:val="auto"/>
                <w:szCs w:val="21"/>
                <w:highlight w:val="none"/>
              </w:rPr>
            </w:pPr>
          </w:p>
        </w:tc>
        <w:tc>
          <w:tcPr>
            <w:tcW w:w="1059" w:type="dxa"/>
            <w:noWrap w:val="0"/>
            <w:vAlign w:val="center"/>
          </w:tcPr>
          <w:p w14:paraId="738BF81D">
            <w:pPr>
              <w:jc w:val="center"/>
              <w:rPr>
                <w:rFonts w:ascii="宋体" w:hAnsi="宋体" w:cs="宋体"/>
                <w:color w:val="auto"/>
                <w:szCs w:val="21"/>
                <w:highlight w:val="none"/>
              </w:rPr>
            </w:pPr>
          </w:p>
        </w:tc>
        <w:tc>
          <w:tcPr>
            <w:tcW w:w="1034" w:type="dxa"/>
            <w:noWrap w:val="0"/>
            <w:vAlign w:val="center"/>
          </w:tcPr>
          <w:p w14:paraId="71F6C863">
            <w:pPr>
              <w:jc w:val="center"/>
              <w:rPr>
                <w:rFonts w:ascii="宋体" w:hAnsi="宋体" w:cs="宋体"/>
                <w:color w:val="auto"/>
                <w:szCs w:val="21"/>
                <w:highlight w:val="none"/>
              </w:rPr>
            </w:pPr>
          </w:p>
        </w:tc>
        <w:tc>
          <w:tcPr>
            <w:tcW w:w="869" w:type="dxa"/>
            <w:noWrap w:val="0"/>
            <w:vAlign w:val="center"/>
          </w:tcPr>
          <w:p w14:paraId="432D8250">
            <w:pPr>
              <w:jc w:val="center"/>
              <w:rPr>
                <w:rFonts w:ascii="宋体" w:hAnsi="宋体" w:cs="宋体"/>
                <w:color w:val="auto"/>
                <w:szCs w:val="21"/>
                <w:highlight w:val="none"/>
              </w:rPr>
            </w:pPr>
          </w:p>
        </w:tc>
        <w:tc>
          <w:tcPr>
            <w:tcW w:w="1764" w:type="dxa"/>
            <w:noWrap w:val="0"/>
            <w:vAlign w:val="center"/>
          </w:tcPr>
          <w:p w14:paraId="1391165F">
            <w:pPr>
              <w:jc w:val="center"/>
              <w:rPr>
                <w:rFonts w:ascii="宋体" w:hAnsi="宋体" w:cs="宋体"/>
                <w:color w:val="auto"/>
                <w:szCs w:val="21"/>
                <w:highlight w:val="none"/>
              </w:rPr>
            </w:pPr>
          </w:p>
        </w:tc>
        <w:tc>
          <w:tcPr>
            <w:tcW w:w="1116" w:type="dxa"/>
            <w:noWrap w:val="0"/>
            <w:vAlign w:val="center"/>
          </w:tcPr>
          <w:p w14:paraId="7847B19D">
            <w:pPr>
              <w:jc w:val="center"/>
              <w:rPr>
                <w:rFonts w:ascii="宋体" w:hAnsi="宋体" w:cs="宋体"/>
                <w:color w:val="auto"/>
                <w:szCs w:val="21"/>
                <w:highlight w:val="none"/>
              </w:rPr>
            </w:pPr>
          </w:p>
        </w:tc>
        <w:tc>
          <w:tcPr>
            <w:tcW w:w="1458" w:type="dxa"/>
            <w:noWrap w:val="0"/>
            <w:vAlign w:val="center"/>
          </w:tcPr>
          <w:p w14:paraId="09B16147">
            <w:pPr>
              <w:jc w:val="center"/>
              <w:rPr>
                <w:rFonts w:ascii="宋体" w:hAnsi="宋体" w:cs="宋体"/>
                <w:color w:val="auto"/>
                <w:szCs w:val="21"/>
                <w:highlight w:val="none"/>
              </w:rPr>
            </w:pPr>
          </w:p>
        </w:tc>
      </w:tr>
      <w:tr w14:paraId="59D9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5" w:type="dxa"/>
            <w:noWrap w:val="0"/>
            <w:vAlign w:val="center"/>
          </w:tcPr>
          <w:p w14:paraId="4ED01F85">
            <w:pPr>
              <w:jc w:val="center"/>
              <w:rPr>
                <w:rFonts w:ascii="宋体" w:hAnsi="宋体" w:cs="宋体"/>
                <w:color w:val="auto"/>
                <w:szCs w:val="21"/>
                <w:highlight w:val="none"/>
              </w:rPr>
            </w:pPr>
          </w:p>
        </w:tc>
        <w:tc>
          <w:tcPr>
            <w:tcW w:w="1652" w:type="dxa"/>
            <w:noWrap w:val="0"/>
            <w:vAlign w:val="center"/>
          </w:tcPr>
          <w:p w14:paraId="02F37521">
            <w:pPr>
              <w:jc w:val="center"/>
              <w:rPr>
                <w:rFonts w:ascii="宋体" w:hAnsi="宋体" w:cs="宋体"/>
                <w:color w:val="auto"/>
                <w:szCs w:val="21"/>
                <w:highlight w:val="none"/>
              </w:rPr>
            </w:pPr>
          </w:p>
        </w:tc>
        <w:tc>
          <w:tcPr>
            <w:tcW w:w="1059" w:type="dxa"/>
            <w:noWrap w:val="0"/>
            <w:vAlign w:val="center"/>
          </w:tcPr>
          <w:p w14:paraId="1A0D3D84">
            <w:pPr>
              <w:jc w:val="center"/>
              <w:rPr>
                <w:rFonts w:ascii="宋体" w:hAnsi="宋体" w:cs="宋体"/>
                <w:color w:val="auto"/>
                <w:szCs w:val="21"/>
                <w:highlight w:val="none"/>
              </w:rPr>
            </w:pPr>
          </w:p>
        </w:tc>
        <w:tc>
          <w:tcPr>
            <w:tcW w:w="1034" w:type="dxa"/>
            <w:noWrap w:val="0"/>
            <w:vAlign w:val="center"/>
          </w:tcPr>
          <w:p w14:paraId="122B3105">
            <w:pPr>
              <w:jc w:val="center"/>
              <w:rPr>
                <w:rFonts w:ascii="宋体" w:hAnsi="宋体" w:cs="宋体"/>
                <w:color w:val="auto"/>
                <w:szCs w:val="21"/>
                <w:highlight w:val="none"/>
              </w:rPr>
            </w:pPr>
          </w:p>
        </w:tc>
        <w:tc>
          <w:tcPr>
            <w:tcW w:w="869" w:type="dxa"/>
            <w:noWrap w:val="0"/>
            <w:vAlign w:val="center"/>
          </w:tcPr>
          <w:p w14:paraId="0A129B7D">
            <w:pPr>
              <w:jc w:val="center"/>
              <w:rPr>
                <w:rFonts w:ascii="宋体" w:hAnsi="宋体" w:cs="宋体"/>
                <w:color w:val="auto"/>
                <w:szCs w:val="21"/>
                <w:highlight w:val="none"/>
              </w:rPr>
            </w:pPr>
          </w:p>
        </w:tc>
        <w:tc>
          <w:tcPr>
            <w:tcW w:w="1764" w:type="dxa"/>
            <w:noWrap w:val="0"/>
            <w:vAlign w:val="center"/>
          </w:tcPr>
          <w:p w14:paraId="04D4C3AE">
            <w:pPr>
              <w:jc w:val="center"/>
              <w:rPr>
                <w:rFonts w:ascii="宋体" w:hAnsi="宋体" w:cs="宋体"/>
                <w:color w:val="auto"/>
                <w:szCs w:val="21"/>
                <w:highlight w:val="none"/>
              </w:rPr>
            </w:pPr>
          </w:p>
        </w:tc>
        <w:tc>
          <w:tcPr>
            <w:tcW w:w="1116" w:type="dxa"/>
            <w:noWrap w:val="0"/>
            <w:vAlign w:val="center"/>
          </w:tcPr>
          <w:p w14:paraId="6733753F">
            <w:pPr>
              <w:jc w:val="center"/>
              <w:rPr>
                <w:rFonts w:ascii="宋体" w:hAnsi="宋体" w:cs="宋体"/>
                <w:color w:val="auto"/>
                <w:szCs w:val="21"/>
                <w:highlight w:val="none"/>
              </w:rPr>
            </w:pPr>
          </w:p>
        </w:tc>
        <w:tc>
          <w:tcPr>
            <w:tcW w:w="1458" w:type="dxa"/>
            <w:noWrap w:val="0"/>
            <w:vAlign w:val="center"/>
          </w:tcPr>
          <w:p w14:paraId="1B56264B">
            <w:pPr>
              <w:jc w:val="center"/>
              <w:rPr>
                <w:rFonts w:ascii="宋体" w:hAnsi="宋体" w:cs="宋体"/>
                <w:color w:val="auto"/>
                <w:szCs w:val="21"/>
                <w:highlight w:val="none"/>
              </w:rPr>
            </w:pPr>
          </w:p>
        </w:tc>
      </w:tr>
      <w:tr w14:paraId="70B5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5" w:type="dxa"/>
            <w:noWrap w:val="0"/>
            <w:vAlign w:val="center"/>
          </w:tcPr>
          <w:p w14:paraId="36B8D689">
            <w:pPr>
              <w:jc w:val="center"/>
              <w:rPr>
                <w:rFonts w:ascii="宋体" w:hAnsi="宋体" w:cs="宋体"/>
                <w:color w:val="auto"/>
                <w:szCs w:val="21"/>
                <w:highlight w:val="none"/>
              </w:rPr>
            </w:pPr>
          </w:p>
        </w:tc>
        <w:tc>
          <w:tcPr>
            <w:tcW w:w="1652" w:type="dxa"/>
            <w:noWrap w:val="0"/>
            <w:vAlign w:val="center"/>
          </w:tcPr>
          <w:p w14:paraId="4F25C65F">
            <w:pPr>
              <w:jc w:val="center"/>
              <w:rPr>
                <w:rFonts w:ascii="宋体" w:hAnsi="宋体" w:cs="宋体"/>
                <w:color w:val="auto"/>
                <w:szCs w:val="21"/>
                <w:highlight w:val="none"/>
              </w:rPr>
            </w:pPr>
          </w:p>
        </w:tc>
        <w:tc>
          <w:tcPr>
            <w:tcW w:w="1059" w:type="dxa"/>
            <w:noWrap w:val="0"/>
            <w:vAlign w:val="center"/>
          </w:tcPr>
          <w:p w14:paraId="41604B19">
            <w:pPr>
              <w:jc w:val="center"/>
              <w:rPr>
                <w:rFonts w:ascii="宋体" w:hAnsi="宋体" w:cs="宋体"/>
                <w:color w:val="auto"/>
                <w:szCs w:val="21"/>
                <w:highlight w:val="none"/>
              </w:rPr>
            </w:pPr>
          </w:p>
        </w:tc>
        <w:tc>
          <w:tcPr>
            <w:tcW w:w="1034" w:type="dxa"/>
            <w:noWrap w:val="0"/>
            <w:vAlign w:val="center"/>
          </w:tcPr>
          <w:p w14:paraId="7BFA7AC9">
            <w:pPr>
              <w:jc w:val="center"/>
              <w:rPr>
                <w:rFonts w:ascii="宋体" w:hAnsi="宋体" w:cs="宋体"/>
                <w:color w:val="auto"/>
                <w:szCs w:val="21"/>
                <w:highlight w:val="none"/>
              </w:rPr>
            </w:pPr>
          </w:p>
        </w:tc>
        <w:tc>
          <w:tcPr>
            <w:tcW w:w="869" w:type="dxa"/>
            <w:noWrap w:val="0"/>
            <w:vAlign w:val="center"/>
          </w:tcPr>
          <w:p w14:paraId="6BCA178E">
            <w:pPr>
              <w:jc w:val="center"/>
              <w:rPr>
                <w:rFonts w:ascii="宋体" w:hAnsi="宋体" w:cs="宋体"/>
                <w:color w:val="auto"/>
                <w:szCs w:val="21"/>
                <w:highlight w:val="none"/>
              </w:rPr>
            </w:pPr>
          </w:p>
        </w:tc>
        <w:tc>
          <w:tcPr>
            <w:tcW w:w="1764" w:type="dxa"/>
            <w:noWrap w:val="0"/>
            <w:vAlign w:val="center"/>
          </w:tcPr>
          <w:p w14:paraId="3913B701">
            <w:pPr>
              <w:jc w:val="center"/>
              <w:rPr>
                <w:rFonts w:ascii="宋体" w:hAnsi="宋体" w:cs="宋体"/>
                <w:color w:val="auto"/>
                <w:szCs w:val="21"/>
                <w:highlight w:val="none"/>
              </w:rPr>
            </w:pPr>
          </w:p>
        </w:tc>
        <w:tc>
          <w:tcPr>
            <w:tcW w:w="1116" w:type="dxa"/>
            <w:noWrap w:val="0"/>
            <w:vAlign w:val="center"/>
          </w:tcPr>
          <w:p w14:paraId="7F16C522">
            <w:pPr>
              <w:jc w:val="center"/>
              <w:rPr>
                <w:rFonts w:ascii="宋体" w:hAnsi="宋体" w:cs="宋体"/>
                <w:color w:val="auto"/>
                <w:szCs w:val="21"/>
                <w:highlight w:val="none"/>
              </w:rPr>
            </w:pPr>
          </w:p>
        </w:tc>
        <w:tc>
          <w:tcPr>
            <w:tcW w:w="1458" w:type="dxa"/>
            <w:noWrap w:val="0"/>
            <w:vAlign w:val="center"/>
          </w:tcPr>
          <w:p w14:paraId="73159B02">
            <w:pPr>
              <w:jc w:val="center"/>
              <w:rPr>
                <w:rFonts w:ascii="宋体" w:hAnsi="宋体" w:cs="宋体"/>
                <w:color w:val="auto"/>
                <w:szCs w:val="21"/>
                <w:highlight w:val="none"/>
              </w:rPr>
            </w:pPr>
          </w:p>
        </w:tc>
      </w:tr>
      <w:tr w14:paraId="733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5" w:type="dxa"/>
            <w:noWrap w:val="0"/>
            <w:vAlign w:val="center"/>
          </w:tcPr>
          <w:p w14:paraId="6C8686EC">
            <w:pPr>
              <w:jc w:val="center"/>
              <w:rPr>
                <w:rFonts w:ascii="宋体" w:hAnsi="宋体" w:cs="宋体"/>
                <w:color w:val="auto"/>
                <w:szCs w:val="21"/>
                <w:highlight w:val="none"/>
              </w:rPr>
            </w:pPr>
          </w:p>
        </w:tc>
        <w:tc>
          <w:tcPr>
            <w:tcW w:w="1652" w:type="dxa"/>
            <w:noWrap w:val="0"/>
            <w:vAlign w:val="center"/>
          </w:tcPr>
          <w:p w14:paraId="1434ED4D">
            <w:pPr>
              <w:jc w:val="center"/>
              <w:rPr>
                <w:rFonts w:ascii="宋体" w:hAnsi="宋体" w:cs="宋体"/>
                <w:color w:val="auto"/>
                <w:szCs w:val="21"/>
                <w:highlight w:val="none"/>
              </w:rPr>
            </w:pPr>
          </w:p>
        </w:tc>
        <w:tc>
          <w:tcPr>
            <w:tcW w:w="1059" w:type="dxa"/>
            <w:noWrap w:val="0"/>
            <w:vAlign w:val="center"/>
          </w:tcPr>
          <w:p w14:paraId="5E0BFDBC">
            <w:pPr>
              <w:jc w:val="center"/>
              <w:rPr>
                <w:rFonts w:ascii="宋体" w:hAnsi="宋体" w:cs="宋体"/>
                <w:color w:val="auto"/>
                <w:szCs w:val="21"/>
                <w:highlight w:val="none"/>
              </w:rPr>
            </w:pPr>
          </w:p>
        </w:tc>
        <w:tc>
          <w:tcPr>
            <w:tcW w:w="1034" w:type="dxa"/>
            <w:noWrap w:val="0"/>
            <w:vAlign w:val="center"/>
          </w:tcPr>
          <w:p w14:paraId="527DC321">
            <w:pPr>
              <w:jc w:val="center"/>
              <w:rPr>
                <w:rFonts w:ascii="宋体" w:hAnsi="宋体" w:cs="宋体"/>
                <w:color w:val="auto"/>
                <w:szCs w:val="21"/>
                <w:highlight w:val="none"/>
              </w:rPr>
            </w:pPr>
          </w:p>
        </w:tc>
        <w:tc>
          <w:tcPr>
            <w:tcW w:w="869" w:type="dxa"/>
            <w:noWrap w:val="0"/>
            <w:vAlign w:val="center"/>
          </w:tcPr>
          <w:p w14:paraId="50F680C3">
            <w:pPr>
              <w:jc w:val="center"/>
              <w:rPr>
                <w:rFonts w:ascii="宋体" w:hAnsi="宋体" w:cs="宋体"/>
                <w:color w:val="auto"/>
                <w:szCs w:val="21"/>
                <w:highlight w:val="none"/>
              </w:rPr>
            </w:pPr>
          </w:p>
        </w:tc>
        <w:tc>
          <w:tcPr>
            <w:tcW w:w="1764" w:type="dxa"/>
            <w:noWrap w:val="0"/>
            <w:vAlign w:val="center"/>
          </w:tcPr>
          <w:p w14:paraId="51CB96FF">
            <w:pPr>
              <w:jc w:val="center"/>
              <w:rPr>
                <w:rFonts w:ascii="宋体" w:hAnsi="宋体" w:cs="宋体"/>
                <w:color w:val="auto"/>
                <w:szCs w:val="21"/>
                <w:highlight w:val="none"/>
              </w:rPr>
            </w:pPr>
          </w:p>
        </w:tc>
        <w:tc>
          <w:tcPr>
            <w:tcW w:w="1116" w:type="dxa"/>
            <w:noWrap w:val="0"/>
            <w:vAlign w:val="center"/>
          </w:tcPr>
          <w:p w14:paraId="5F7D48D1">
            <w:pPr>
              <w:jc w:val="center"/>
              <w:rPr>
                <w:rFonts w:ascii="宋体" w:hAnsi="宋体" w:cs="宋体"/>
                <w:color w:val="auto"/>
                <w:szCs w:val="21"/>
                <w:highlight w:val="none"/>
              </w:rPr>
            </w:pPr>
          </w:p>
        </w:tc>
        <w:tc>
          <w:tcPr>
            <w:tcW w:w="1458" w:type="dxa"/>
            <w:noWrap w:val="0"/>
            <w:vAlign w:val="center"/>
          </w:tcPr>
          <w:p w14:paraId="51F6AA3D">
            <w:pPr>
              <w:jc w:val="center"/>
              <w:rPr>
                <w:rFonts w:ascii="宋体" w:hAnsi="宋体" w:cs="宋体"/>
                <w:color w:val="auto"/>
                <w:szCs w:val="21"/>
                <w:highlight w:val="none"/>
              </w:rPr>
            </w:pPr>
          </w:p>
        </w:tc>
      </w:tr>
    </w:tbl>
    <w:p w14:paraId="52C14A57">
      <w:pPr>
        <w:spacing w:line="360" w:lineRule="auto"/>
        <w:jc w:val="left"/>
        <w:rPr>
          <w:rFonts w:cs="宋体" w:asciiTheme="minorEastAsia" w:hAnsiTheme="minorEastAsia" w:eastAsiaTheme="minorEastAsia"/>
          <w:color w:val="auto"/>
          <w:szCs w:val="21"/>
          <w:highlight w:val="none"/>
        </w:rPr>
      </w:pPr>
    </w:p>
    <w:p w14:paraId="7AB7E97B">
      <w:pPr>
        <w:spacing w:line="360" w:lineRule="auto"/>
        <w:rPr>
          <w:rFonts w:ascii="宋体" w:hAnsi="宋体" w:cs="宋体"/>
          <w:color w:val="auto"/>
          <w:szCs w:val="21"/>
          <w:highlight w:val="none"/>
        </w:rPr>
      </w:pPr>
      <w:r>
        <w:rPr>
          <w:rFonts w:hint="eastAsia" w:ascii="宋体" w:hAnsi="宋体" w:cs="宋体"/>
          <w:color w:val="auto"/>
          <w:szCs w:val="21"/>
          <w:highlight w:val="none"/>
        </w:rPr>
        <w:t>磋商响应单位（</w:t>
      </w:r>
      <w:r>
        <w:rPr>
          <w:rFonts w:hint="eastAsia" w:ascii="宋体" w:hAnsi="宋体" w:cs="宋体"/>
          <w:color w:val="auto"/>
          <w:highlight w:val="none"/>
        </w:rPr>
        <w:t>签章</w:t>
      </w:r>
      <w:r>
        <w:rPr>
          <w:rFonts w:hint="eastAsia" w:ascii="宋体" w:hAnsi="宋体" w:cs="宋体"/>
          <w:color w:val="auto"/>
          <w:szCs w:val="21"/>
          <w:highlight w:val="none"/>
        </w:rPr>
        <w:t xml:space="preserve">）：  </w:t>
      </w:r>
    </w:p>
    <w:p w14:paraId="759495DA">
      <w:pPr>
        <w:spacing w:line="360" w:lineRule="auto"/>
        <w:rPr>
          <w:rFonts w:ascii="宋体" w:hAnsi="宋体" w:cs="宋体"/>
          <w:color w:val="auto"/>
          <w:spacing w:val="20"/>
          <w:szCs w:val="21"/>
          <w:highlight w:val="none"/>
        </w:rPr>
      </w:pPr>
      <w:r>
        <w:rPr>
          <w:rFonts w:hint="eastAsia" w:ascii="宋体" w:hAnsi="宋体" w:cs="宋体"/>
          <w:color w:val="auto"/>
          <w:spacing w:val="20"/>
          <w:szCs w:val="21"/>
          <w:highlight w:val="none"/>
        </w:rPr>
        <w:t>日期：</w:t>
      </w:r>
    </w:p>
    <w:p w14:paraId="55D4C962">
      <w:pPr>
        <w:spacing w:line="360" w:lineRule="auto"/>
        <w:ind w:left="735" w:hanging="735"/>
        <w:rPr>
          <w:rFonts w:ascii="宋体" w:hAnsi="宋体" w:cs="宋体"/>
          <w:color w:val="auto"/>
          <w:szCs w:val="21"/>
          <w:highlight w:val="none"/>
        </w:rPr>
      </w:pPr>
    </w:p>
    <w:p w14:paraId="0E4FB15D">
      <w:pPr>
        <w:spacing w:line="360" w:lineRule="auto"/>
        <w:jc w:val="center"/>
        <w:rPr>
          <w:rFonts w:ascii="宋体" w:hAnsi="宋体" w:cs="宋体"/>
          <w:b/>
          <w:bCs/>
          <w:color w:val="auto"/>
          <w:szCs w:val="21"/>
          <w:highlight w:val="none"/>
          <w:lang w:val="zh-CN"/>
        </w:rPr>
      </w:pPr>
    </w:p>
    <w:p w14:paraId="31756703">
      <w:pPr>
        <w:spacing w:line="360" w:lineRule="auto"/>
        <w:jc w:val="center"/>
        <w:rPr>
          <w:rFonts w:ascii="宋体" w:hAnsi="宋体" w:cs="宋体"/>
          <w:b/>
          <w:bCs/>
          <w:color w:val="auto"/>
          <w:szCs w:val="21"/>
          <w:highlight w:val="none"/>
          <w:lang w:val="zh-CN"/>
        </w:rPr>
      </w:pPr>
    </w:p>
    <w:p w14:paraId="28ED157A">
      <w:pPr>
        <w:spacing w:line="360" w:lineRule="auto"/>
        <w:jc w:val="center"/>
        <w:rPr>
          <w:rFonts w:ascii="宋体" w:hAnsi="宋体" w:cs="宋体"/>
          <w:b/>
          <w:bCs/>
          <w:color w:val="auto"/>
          <w:szCs w:val="21"/>
          <w:highlight w:val="none"/>
          <w:lang w:val="zh-CN"/>
        </w:rPr>
      </w:pPr>
    </w:p>
    <w:p w14:paraId="10986EC0">
      <w:pPr>
        <w:pStyle w:val="4"/>
        <w:pageBreakBefore/>
        <w:numPr>
          <w:ilvl w:val="2"/>
          <w:numId w:val="0"/>
        </w:numPr>
        <w:spacing w:before="120" w:beforeLines="50" w:after="120" w:afterLines="50"/>
        <w:rPr>
          <w:rFonts w:ascii="宋体" w:hAnsi="宋体" w:cs="宋体"/>
          <w:color w:val="auto"/>
          <w:sz w:val="21"/>
          <w:szCs w:val="21"/>
          <w:highlight w:val="none"/>
        </w:rPr>
      </w:pP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投入本项目设备情况</w:t>
      </w:r>
    </w:p>
    <w:p w14:paraId="2C9A8E2A">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本项目投入设备清单表</w:t>
      </w:r>
    </w:p>
    <w:p w14:paraId="31B6628F">
      <w:pPr>
        <w:spacing w:line="360" w:lineRule="auto"/>
        <w:jc w:val="both"/>
        <w:rPr>
          <w:rFonts w:ascii="宋体" w:hAnsi="宋体" w:cs="宋体"/>
          <w:bCs/>
          <w:color w:val="auto"/>
          <w:highlight w:val="none"/>
        </w:rPr>
      </w:pPr>
      <w:r>
        <w:rPr>
          <w:rFonts w:hint="eastAsia" w:ascii="宋体" w:hAnsi="宋体" w:cs="宋体"/>
          <w:color w:val="auto"/>
          <w:szCs w:val="21"/>
          <w:highlight w:val="none"/>
        </w:rPr>
        <w:t>采购编号：</w:t>
      </w:r>
      <w:r>
        <w:rPr>
          <w:rFonts w:hint="eastAsia" w:ascii="宋体" w:hAnsi="宋体" w:cs="宋体"/>
          <w:color w:val="auto"/>
          <w:szCs w:val="21"/>
          <w:highlight w:val="none"/>
          <w:lang w:val="en-US" w:eastAsia="zh-CN"/>
        </w:rPr>
        <w:t xml:space="preserve">                                   </w:t>
      </w:r>
      <w:r>
        <w:rPr>
          <w:rFonts w:hint="eastAsia" w:ascii="宋体" w:hAnsi="宋体" w:cs="宋体"/>
          <w:bCs/>
          <w:color w:val="auto"/>
          <w:highlight w:val="none"/>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833"/>
        <w:gridCol w:w="1698"/>
        <w:gridCol w:w="1054"/>
        <w:gridCol w:w="970"/>
        <w:gridCol w:w="2489"/>
        <w:gridCol w:w="900"/>
      </w:tblGrid>
      <w:tr w14:paraId="0F58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88" w:type="dxa"/>
            <w:vAlign w:val="center"/>
          </w:tcPr>
          <w:p w14:paraId="0B36E4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833" w:type="dxa"/>
            <w:vAlign w:val="center"/>
          </w:tcPr>
          <w:p w14:paraId="0C0A83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1698" w:type="dxa"/>
            <w:vAlign w:val="center"/>
          </w:tcPr>
          <w:p w14:paraId="183A062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品牌、型号</w:t>
            </w:r>
          </w:p>
        </w:tc>
        <w:tc>
          <w:tcPr>
            <w:tcW w:w="1054" w:type="dxa"/>
            <w:vAlign w:val="center"/>
          </w:tcPr>
          <w:p w14:paraId="1013EA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970" w:type="dxa"/>
            <w:vAlign w:val="center"/>
          </w:tcPr>
          <w:p w14:paraId="4C52FD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489" w:type="dxa"/>
            <w:vAlign w:val="center"/>
          </w:tcPr>
          <w:p w14:paraId="1268D48F">
            <w:pPr>
              <w:spacing w:line="360" w:lineRule="auto"/>
              <w:jc w:val="center"/>
              <w:rPr>
                <w:rFonts w:ascii="宋体" w:hAnsi="宋体" w:cs="宋体"/>
                <w:color w:val="auto"/>
                <w:spacing w:val="-20"/>
                <w:szCs w:val="21"/>
                <w:highlight w:val="none"/>
              </w:rPr>
            </w:pPr>
            <w:r>
              <w:rPr>
                <w:rFonts w:hint="eastAsia" w:ascii="宋体" w:hAnsi="宋体" w:cs="宋体"/>
                <w:color w:val="auto"/>
                <w:szCs w:val="21"/>
                <w:highlight w:val="none"/>
              </w:rPr>
              <w:t>设备性质（自有/租赁/承诺）</w:t>
            </w:r>
          </w:p>
        </w:tc>
        <w:tc>
          <w:tcPr>
            <w:tcW w:w="900" w:type="dxa"/>
            <w:vAlign w:val="center"/>
          </w:tcPr>
          <w:p w14:paraId="4AB8C4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0F13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8" w:type="dxa"/>
            <w:vAlign w:val="center"/>
          </w:tcPr>
          <w:p w14:paraId="044BB2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833" w:type="dxa"/>
            <w:vAlign w:val="center"/>
          </w:tcPr>
          <w:p w14:paraId="46DACBC9">
            <w:pPr>
              <w:spacing w:line="360" w:lineRule="auto"/>
              <w:jc w:val="center"/>
              <w:rPr>
                <w:rFonts w:ascii="宋体" w:hAnsi="宋体" w:cs="宋体"/>
                <w:color w:val="auto"/>
                <w:szCs w:val="21"/>
                <w:highlight w:val="none"/>
              </w:rPr>
            </w:pPr>
          </w:p>
        </w:tc>
        <w:tc>
          <w:tcPr>
            <w:tcW w:w="1698" w:type="dxa"/>
            <w:vAlign w:val="center"/>
          </w:tcPr>
          <w:p w14:paraId="69508242">
            <w:pPr>
              <w:spacing w:line="360" w:lineRule="auto"/>
              <w:jc w:val="center"/>
              <w:rPr>
                <w:rFonts w:ascii="宋体" w:hAnsi="宋体" w:cs="宋体"/>
                <w:color w:val="auto"/>
                <w:szCs w:val="21"/>
                <w:highlight w:val="none"/>
              </w:rPr>
            </w:pPr>
          </w:p>
        </w:tc>
        <w:tc>
          <w:tcPr>
            <w:tcW w:w="1054" w:type="dxa"/>
            <w:vAlign w:val="center"/>
          </w:tcPr>
          <w:p w14:paraId="59A040A7">
            <w:pPr>
              <w:spacing w:line="360" w:lineRule="auto"/>
              <w:jc w:val="center"/>
              <w:rPr>
                <w:rFonts w:ascii="宋体" w:hAnsi="宋体" w:cs="宋体"/>
                <w:color w:val="auto"/>
                <w:szCs w:val="21"/>
                <w:highlight w:val="none"/>
              </w:rPr>
            </w:pPr>
          </w:p>
        </w:tc>
        <w:tc>
          <w:tcPr>
            <w:tcW w:w="970" w:type="dxa"/>
            <w:vAlign w:val="center"/>
          </w:tcPr>
          <w:p w14:paraId="5808698B">
            <w:pPr>
              <w:spacing w:line="360" w:lineRule="auto"/>
              <w:jc w:val="center"/>
              <w:rPr>
                <w:rFonts w:ascii="宋体" w:hAnsi="宋体" w:cs="宋体"/>
                <w:color w:val="auto"/>
                <w:szCs w:val="21"/>
                <w:highlight w:val="none"/>
              </w:rPr>
            </w:pPr>
          </w:p>
        </w:tc>
        <w:tc>
          <w:tcPr>
            <w:tcW w:w="2489" w:type="dxa"/>
            <w:vAlign w:val="center"/>
          </w:tcPr>
          <w:p w14:paraId="53DE4E20">
            <w:pPr>
              <w:spacing w:line="360" w:lineRule="auto"/>
              <w:jc w:val="center"/>
              <w:rPr>
                <w:rFonts w:ascii="宋体" w:hAnsi="宋体" w:cs="宋体"/>
                <w:color w:val="auto"/>
                <w:szCs w:val="21"/>
                <w:highlight w:val="none"/>
              </w:rPr>
            </w:pPr>
          </w:p>
        </w:tc>
        <w:tc>
          <w:tcPr>
            <w:tcW w:w="900" w:type="dxa"/>
            <w:vAlign w:val="center"/>
          </w:tcPr>
          <w:p w14:paraId="169C5292">
            <w:pPr>
              <w:spacing w:line="360" w:lineRule="auto"/>
              <w:jc w:val="center"/>
              <w:rPr>
                <w:rFonts w:ascii="宋体" w:hAnsi="宋体" w:cs="宋体"/>
                <w:color w:val="auto"/>
                <w:szCs w:val="21"/>
                <w:highlight w:val="none"/>
              </w:rPr>
            </w:pPr>
          </w:p>
        </w:tc>
      </w:tr>
      <w:tr w14:paraId="1DB6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8" w:type="dxa"/>
            <w:vAlign w:val="center"/>
          </w:tcPr>
          <w:p w14:paraId="1567BB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833" w:type="dxa"/>
            <w:vAlign w:val="center"/>
          </w:tcPr>
          <w:p w14:paraId="334AF278">
            <w:pPr>
              <w:spacing w:line="360" w:lineRule="auto"/>
              <w:jc w:val="center"/>
              <w:rPr>
                <w:rFonts w:ascii="宋体" w:hAnsi="宋体" w:cs="宋体"/>
                <w:color w:val="auto"/>
                <w:szCs w:val="21"/>
                <w:highlight w:val="none"/>
              </w:rPr>
            </w:pPr>
          </w:p>
        </w:tc>
        <w:tc>
          <w:tcPr>
            <w:tcW w:w="1698" w:type="dxa"/>
            <w:vAlign w:val="center"/>
          </w:tcPr>
          <w:p w14:paraId="21114C74">
            <w:pPr>
              <w:spacing w:line="360" w:lineRule="auto"/>
              <w:jc w:val="center"/>
              <w:rPr>
                <w:rFonts w:ascii="宋体" w:hAnsi="宋体" w:cs="宋体"/>
                <w:color w:val="auto"/>
                <w:szCs w:val="21"/>
                <w:highlight w:val="none"/>
              </w:rPr>
            </w:pPr>
          </w:p>
        </w:tc>
        <w:tc>
          <w:tcPr>
            <w:tcW w:w="1054" w:type="dxa"/>
            <w:vAlign w:val="center"/>
          </w:tcPr>
          <w:p w14:paraId="631F61EF">
            <w:pPr>
              <w:spacing w:line="360" w:lineRule="auto"/>
              <w:jc w:val="center"/>
              <w:rPr>
                <w:rFonts w:ascii="宋体" w:hAnsi="宋体" w:cs="宋体"/>
                <w:color w:val="auto"/>
                <w:szCs w:val="21"/>
                <w:highlight w:val="none"/>
              </w:rPr>
            </w:pPr>
          </w:p>
        </w:tc>
        <w:tc>
          <w:tcPr>
            <w:tcW w:w="970" w:type="dxa"/>
            <w:vAlign w:val="center"/>
          </w:tcPr>
          <w:p w14:paraId="39F5F52F">
            <w:pPr>
              <w:spacing w:line="360" w:lineRule="auto"/>
              <w:jc w:val="center"/>
              <w:rPr>
                <w:rFonts w:ascii="宋体" w:hAnsi="宋体" w:cs="宋体"/>
                <w:color w:val="auto"/>
                <w:szCs w:val="21"/>
                <w:highlight w:val="none"/>
              </w:rPr>
            </w:pPr>
          </w:p>
        </w:tc>
        <w:tc>
          <w:tcPr>
            <w:tcW w:w="2489" w:type="dxa"/>
            <w:vAlign w:val="center"/>
          </w:tcPr>
          <w:p w14:paraId="74C5EA63">
            <w:pPr>
              <w:spacing w:line="360" w:lineRule="auto"/>
              <w:jc w:val="center"/>
              <w:rPr>
                <w:rFonts w:ascii="宋体" w:hAnsi="宋体" w:cs="宋体"/>
                <w:color w:val="auto"/>
                <w:szCs w:val="21"/>
                <w:highlight w:val="none"/>
              </w:rPr>
            </w:pPr>
          </w:p>
        </w:tc>
        <w:tc>
          <w:tcPr>
            <w:tcW w:w="900" w:type="dxa"/>
            <w:vAlign w:val="center"/>
          </w:tcPr>
          <w:p w14:paraId="21F0EFE0">
            <w:pPr>
              <w:spacing w:line="360" w:lineRule="auto"/>
              <w:jc w:val="center"/>
              <w:rPr>
                <w:rFonts w:ascii="宋体" w:hAnsi="宋体" w:cs="宋体"/>
                <w:color w:val="auto"/>
                <w:szCs w:val="21"/>
                <w:highlight w:val="none"/>
              </w:rPr>
            </w:pPr>
          </w:p>
        </w:tc>
      </w:tr>
      <w:tr w14:paraId="6A53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8" w:type="dxa"/>
            <w:vAlign w:val="center"/>
          </w:tcPr>
          <w:p w14:paraId="589BE0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833" w:type="dxa"/>
            <w:vAlign w:val="center"/>
          </w:tcPr>
          <w:p w14:paraId="728AD0FA">
            <w:pPr>
              <w:spacing w:line="360" w:lineRule="auto"/>
              <w:jc w:val="center"/>
              <w:rPr>
                <w:rFonts w:ascii="宋体" w:hAnsi="宋体" w:cs="宋体"/>
                <w:color w:val="auto"/>
                <w:szCs w:val="21"/>
                <w:highlight w:val="none"/>
              </w:rPr>
            </w:pPr>
          </w:p>
        </w:tc>
        <w:tc>
          <w:tcPr>
            <w:tcW w:w="1698" w:type="dxa"/>
            <w:vAlign w:val="center"/>
          </w:tcPr>
          <w:p w14:paraId="26B2D878">
            <w:pPr>
              <w:spacing w:line="360" w:lineRule="auto"/>
              <w:jc w:val="center"/>
              <w:rPr>
                <w:rFonts w:ascii="宋体" w:hAnsi="宋体" w:cs="宋体"/>
                <w:color w:val="auto"/>
                <w:szCs w:val="21"/>
                <w:highlight w:val="none"/>
              </w:rPr>
            </w:pPr>
          </w:p>
        </w:tc>
        <w:tc>
          <w:tcPr>
            <w:tcW w:w="1054" w:type="dxa"/>
            <w:vAlign w:val="center"/>
          </w:tcPr>
          <w:p w14:paraId="64F97344">
            <w:pPr>
              <w:spacing w:line="360" w:lineRule="auto"/>
              <w:jc w:val="center"/>
              <w:rPr>
                <w:rFonts w:ascii="宋体" w:hAnsi="宋体" w:cs="宋体"/>
                <w:color w:val="auto"/>
                <w:szCs w:val="21"/>
                <w:highlight w:val="none"/>
              </w:rPr>
            </w:pPr>
          </w:p>
        </w:tc>
        <w:tc>
          <w:tcPr>
            <w:tcW w:w="970" w:type="dxa"/>
            <w:vAlign w:val="center"/>
          </w:tcPr>
          <w:p w14:paraId="266DD273">
            <w:pPr>
              <w:spacing w:line="360" w:lineRule="auto"/>
              <w:jc w:val="center"/>
              <w:rPr>
                <w:rFonts w:ascii="宋体" w:hAnsi="宋体" w:cs="宋体"/>
                <w:color w:val="auto"/>
                <w:szCs w:val="21"/>
                <w:highlight w:val="none"/>
              </w:rPr>
            </w:pPr>
          </w:p>
        </w:tc>
        <w:tc>
          <w:tcPr>
            <w:tcW w:w="2489" w:type="dxa"/>
            <w:vAlign w:val="center"/>
          </w:tcPr>
          <w:p w14:paraId="2193D9F3">
            <w:pPr>
              <w:spacing w:line="360" w:lineRule="auto"/>
              <w:jc w:val="center"/>
              <w:rPr>
                <w:rFonts w:ascii="宋体" w:hAnsi="宋体" w:cs="宋体"/>
                <w:color w:val="auto"/>
                <w:szCs w:val="21"/>
                <w:highlight w:val="none"/>
              </w:rPr>
            </w:pPr>
          </w:p>
        </w:tc>
        <w:tc>
          <w:tcPr>
            <w:tcW w:w="900" w:type="dxa"/>
            <w:vAlign w:val="center"/>
          </w:tcPr>
          <w:p w14:paraId="55328D3C">
            <w:pPr>
              <w:spacing w:line="360" w:lineRule="auto"/>
              <w:jc w:val="center"/>
              <w:rPr>
                <w:rFonts w:ascii="宋体" w:hAnsi="宋体" w:cs="宋体"/>
                <w:color w:val="auto"/>
                <w:szCs w:val="21"/>
                <w:highlight w:val="none"/>
              </w:rPr>
            </w:pPr>
          </w:p>
        </w:tc>
      </w:tr>
      <w:tr w14:paraId="2144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8" w:type="dxa"/>
            <w:vAlign w:val="center"/>
          </w:tcPr>
          <w:p w14:paraId="1E4081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833" w:type="dxa"/>
            <w:vAlign w:val="center"/>
          </w:tcPr>
          <w:p w14:paraId="5A0996FD">
            <w:pPr>
              <w:spacing w:line="360" w:lineRule="auto"/>
              <w:jc w:val="center"/>
              <w:rPr>
                <w:rFonts w:ascii="宋体" w:hAnsi="宋体" w:cs="宋体"/>
                <w:color w:val="auto"/>
                <w:szCs w:val="21"/>
                <w:highlight w:val="none"/>
              </w:rPr>
            </w:pPr>
          </w:p>
        </w:tc>
        <w:tc>
          <w:tcPr>
            <w:tcW w:w="1698" w:type="dxa"/>
            <w:vAlign w:val="center"/>
          </w:tcPr>
          <w:p w14:paraId="64015F96">
            <w:pPr>
              <w:spacing w:line="360" w:lineRule="auto"/>
              <w:jc w:val="center"/>
              <w:rPr>
                <w:rFonts w:ascii="宋体" w:hAnsi="宋体" w:cs="宋体"/>
                <w:color w:val="auto"/>
                <w:szCs w:val="21"/>
                <w:highlight w:val="none"/>
              </w:rPr>
            </w:pPr>
          </w:p>
        </w:tc>
        <w:tc>
          <w:tcPr>
            <w:tcW w:w="1054" w:type="dxa"/>
            <w:vAlign w:val="center"/>
          </w:tcPr>
          <w:p w14:paraId="0EAE9885">
            <w:pPr>
              <w:spacing w:line="360" w:lineRule="auto"/>
              <w:jc w:val="center"/>
              <w:rPr>
                <w:rFonts w:ascii="宋体" w:hAnsi="宋体" w:cs="宋体"/>
                <w:color w:val="auto"/>
                <w:szCs w:val="21"/>
                <w:highlight w:val="none"/>
              </w:rPr>
            </w:pPr>
          </w:p>
        </w:tc>
        <w:tc>
          <w:tcPr>
            <w:tcW w:w="970" w:type="dxa"/>
            <w:vAlign w:val="center"/>
          </w:tcPr>
          <w:p w14:paraId="58064C0C">
            <w:pPr>
              <w:spacing w:line="360" w:lineRule="auto"/>
              <w:jc w:val="center"/>
              <w:rPr>
                <w:rFonts w:ascii="宋体" w:hAnsi="宋体" w:cs="宋体"/>
                <w:color w:val="auto"/>
                <w:szCs w:val="21"/>
                <w:highlight w:val="none"/>
              </w:rPr>
            </w:pPr>
          </w:p>
        </w:tc>
        <w:tc>
          <w:tcPr>
            <w:tcW w:w="2489" w:type="dxa"/>
            <w:vAlign w:val="center"/>
          </w:tcPr>
          <w:p w14:paraId="3A578ED8">
            <w:pPr>
              <w:spacing w:line="360" w:lineRule="auto"/>
              <w:jc w:val="center"/>
              <w:rPr>
                <w:rFonts w:ascii="宋体" w:hAnsi="宋体" w:cs="宋体"/>
                <w:color w:val="auto"/>
                <w:szCs w:val="21"/>
                <w:highlight w:val="none"/>
              </w:rPr>
            </w:pPr>
          </w:p>
        </w:tc>
        <w:tc>
          <w:tcPr>
            <w:tcW w:w="900" w:type="dxa"/>
            <w:vAlign w:val="center"/>
          </w:tcPr>
          <w:p w14:paraId="443E1322">
            <w:pPr>
              <w:spacing w:line="360" w:lineRule="auto"/>
              <w:jc w:val="center"/>
              <w:rPr>
                <w:rFonts w:ascii="宋体" w:hAnsi="宋体" w:cs="宋体"/>
                <w:color w:val="auto"/>
                <w:szCs w:val="21"/>
                <w:highlight w:val="none"/>
              </w:rPr>
            </w:pPr>
          </w:p>
        </w:tc>
      </w:tr>
      <w:tr w14:paraId="7122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8" w:type="dxa"/>
            <w:vAlign w:val="center"/>
          </w:tcPr>
          <w:p w14:paraId="239B3D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833" w:type="dxa"/>
            <w:vAlign w:val="center"/>
          </w:tcPr>
          <w:p w14:paraId="23728976">
            <w:pPr>
              <w:spacing w:line="360" w:lineRule="auto"/>
              <w:jc w:val="center"/>
              <w:rPr>
                <w:rFonts w:ascii="宋体" w:hAnsi="宋体" w:cs="宋体"/>
                <w:color w:val="auto"/>
                <w:szCs w:val="21"/>
                <w:highlight w:val="none"/>
              </w:rPr>
            </w:pPr>
          </w:p>
        </w:tc>
        <w:tc>
          <w:tcPr>
            <w:tcW w:w="1698" w:type="dxa"/>
            <w:vAlign w:val="center"/>
          </w:tcPr>
          <w:p w14:paraId="42F03795">
            <w:pPr>
              <w:spacing w:line="360" w:lineRule="auto"/>
              <w:jc w:val="center"/>
              <w:rPr>
                <w:rFonts w:ascii="宋体" w:hAnsi="宋体" w:cs="宋体"/>
                <w:color w:val="auto"/>
                <w:szCs w:val="21"/>
                <w:highlight w:val="none"/>
              </w:rPr>
            </w:pPr>
          </w:p>
        </w:tc>
        <w:tc>
          <w:tcPr>
            <w:tcW w:w="1054" w:type="dxa"/>
            <w:vAlign w:val="center"/>
          </w:tcPr>
          <w:p w14:paraId="5B1937CB">
            <w:pPr>
              <w:spacing w:line="360" w:lineRule="auto"/>
              <w:jc w:val="center"/>
              <w:rPr>
                <w:rFonts w:ascii="宋体" w:hAnsi="宋体" w:cs="宋体"/>
                <w:color w:val="auto"/>
                <w:szCs w:val="21"/>
                <w:highlight w:val="none"/>
              </w:rPr>
            </w:pPr>
          </w:p>
        </w:tc>
        <w:tc>
          <w:tcPr>
            <w:tcW w:w="970" w:type="dxa"/>
            <w:vAlign w:val="center"/>
          </w:tcPr>
          <w:p w14:paraId="6D80C65F">
            <w:pPr>
              <w:spacing w:line="360" w:lineRule="auto"/>
              <w:jc w:val="center"/>
              <w:rPr>
                <w:rFonts w:ascii="宋体" w:hAnsi="宋体" w:cs="宋体"/>
                <w:color w:val="auto"/>
                <w:szCs w:val="21"/>
                <w:highlight w:val="none"/>
              </w:rPr>
            </w:pPr>
          </w:p>
        </w:tc>
        <w:tc>
          <w:tcPr>
            <w:tcW w:w="2489" w:type="dxa"/>
            <w:vAlign w:val="center"/>
          </w:tcPr>
          <w:p w14:paraId="78576612">
            <w:pPr>
              <w:spacing w:line="360" w:lineRule="auto"/>
              <w:jc w:val="center"/>
              <w:rPr>
                <w:rFonts w:ascii="宋体" w:hAnsi="宋体" w:cs="宋体"/>
                <w:color w:val="auto"/>
                <w:szCs w:val="21"/>
                <w:highlight w:val="none"/>
              </w:rPr>
            </w:pPr>
          </w:p>
        </w:tc>
        <w:tc>
          <w:tcPr>
            <w:tcW w:w="900" w:type="dxa"/>
            <w:vAlign w:val="center"/>
          </w:tcPr>
          <w:p w14:paraId="494CBDF5">
            <w:pPr>
              <w:spacing w:line="360" w:lineRule="auto"/>
              <w:jc w:val="center"/>
              <w:rPr>
                <w:rFonts w:ascii="宋体" w:hAnsi="宋体" w:cs="宋体"/>
                <w:color w:val="auto"/>
                <w:szCs w:val="21"/>
                <w:highlight w:val="none"/>
              </w:rPr>
            </w:pPr>
          </w:p>
        </w:tc>
      </w:tr>
      <w:tr w14:paraId="395D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8" w:type="dxa"/>
            <w:vAlign w:val="center"/>
          </w:tcPr>
          <w:p w14:paraId="01BDD4E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833" w:type="dxa"/>
            <w:vAlign w:val="center"/>
          </w:tcPr>
          <w:p w14:paraId="396840D6">
            <w:pPr>
              <w:spacing w:line="360" w:lineRule="auto"/>
              <w:jc w:val="center"/>
              <w:rPr>
                <w:rFonts w:ascii="宋体" w:hAnsi="宋体" w:cs="宋体"/>
                <w:color w:val="auto"/>
                <w:szCs w:val="21"/>
                <w:highlight w:val="none"/>
              </w:rPr>
            </w:pPr>
          </w:p>
        </w:tc>
        <w:tc>
          <w:tcPr>
            <w:tcW w:w="1698" w:type="dxa"/>
            <w:vAlign w:val="center"/>
          </w:tcPr>
          <w:p w14:paraId="5E5AB6DA">
            <w:pPr>
              <w:spacing w:line="360" w:lineRule="auto"/>
              <w:jc w:val="center"/>
              <w:rPr>
                <w:rFonts w:ascii="宋体" w:hAnsi="宋体" w:cs="宋体"/>
                <w:color w:val="auto"/>
                <w:szCs w:val="21"/>
                <w:highlight w:val="none"/>
              </w:rPr>
            </w:pPr>
          </w:p>
        </w:tc>
        <w:tc>
          <w:tcPr>
            <w:tcW w:w="1054" w:type="dxa"/>
            <w:vAlign w:val="center"/>
          </w:tcPr>
          <w:p w14:paraId="1E5665CF">
            <w:pPr>
              <w:spacing w:line="360" w:lineRule="auto"/>
              <w:jc w:val="center"/>
              <w:rPr>
                <w:rFonts w:ascii="宋体" w:hAnsi="宋体" w:cs="宋体"/>
                <w:color w:val="auto"/>
                <w:szCs w:val="21"/>
                <w:highlight w:val="none"/>
              </w:rPr>
            </w:pPr>
          </w:p>
        </w:tc>
        <w:tc>
          <w:tcPr>
            <w:tcW w:w="970" w:type="dxa"/>
            <w:vAlign w:val="center"/>
          </w:tcPr>
          <w:p w14:paraId="2346FA23">
            <w:pPr>
              <w:spacing w:line="360" w:lineRule="auto"/>
              <w:jc w:val="center"/>
              <w:rPr>
                <w:rFonts w:ascii="宋体" w:hAnsi="宋体" w:cs="宋体"/>
                <w:color w:val="auto"/>
                <w:szCs w:val="21"/>
                <w:highlight w:val="none"/>
              </w:rPr>
            </w:pPr>
          </w:p>
        </w:tc>
        <w:tc>
          <w:tcPr>
            <w:tcW w:w="2489" w:type="dxa"/>
            <w:vAlign w:val="center"/>
          </w:tcPr>
          <w:p w14:paraId="43AEAB4A">
            <w:pPr>
              <w:spacing w:line="360" w:lineRule="auto"/>
              <w:jc w:val="center"/>
              <w:rPr>
                <w:rFonts w:ascii="宋体" w:hAnsi="宋体" w:cs="宋体"/>
                <w:color w:val="auto"/>
                <w:szCs w:val="21"/>
                <w:highlight w:val="none"/>
              </w:rPr>
            </w:pPr>
          </w:p>
        </w:tc>
        <w:tc>
          <w:tcPr>
            <w:tcW w:w="900" w:type="dxa"/>
            <w:vAlign w:val="center"/>
          </w:tcPr>
          <w:p w14:paraId="0B7E2D12">
            <w:pPr>
              <w:spacing w:line="360" w:lineRule="auto"/>
              <w:jc w:val="center"/>
              <w:rPr>
                <w:rFonts w:ascii="宋体" w:hAnsi="宋体" w:cs="宋体"/>
                <w:color w:val="auto"/>
                <w:szCs w:val="21"/>
                <w:highlight w:val="none"/>
              </w:rPr>
            </w:pPr>
          </w:p>
        </w:tc>
      </w:tr>
      <w:tr w14:paraId="05C1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8" w:type="dxa"/>
            <w:vAlign w:val="center"/>
          </w:tcPr>
          <w:p w14:paraId="68A628DD">
            <w:pPr>
              <w:spacing w:line="360" w:lineRule="auto"/>
              <w:jc w:val="center"/>
              <w:rPr>
                <w:rFonts w:ascii="宋体" w:hAnsi="宋体" w:cs="宋体"/>
                <w:color w:val="auto"/>
                <w:szCs w:val="21"/>
                <w:highlight w:val="none"/>
              </w:rPr>
            </w:pPr>
          </w:p>
        </w:tc>
        <w:tc>
          <w:tcPr>
            <w:tcW w:w="1833" w:type="dxa"/>
            <w:vAlign w:val="center"/>
          </w:tcPr>
          <w:p w14:paraId="15EE20BA">
            <w:pPr>
              <w:spacing w:line="360" w:lineRule="auto"/>
              <w:jc w:val="center"/>
              <w:rPr>
                <w:rFonts w:ascii="宋体" w:hAnsi="宋体" w:cs="宋体"/>
                <w:color w:val="auto"/>
                <w:szCs w:val="21"/>
                <w:highlight w:val="none"/>
              </w:rPr>
            </w:pPr>
          </w:p>
        </w:tc>
        <w:tc>
          <w:tcPr>
            <w:tcW w:w="1698" w:type="dxa"/>
            <w:vAlign w:val="center"/>
          </w:tcPr>
          <w:p w14:paraId="52974049">
            <w:pPr>
              <w:spacing w:line="360" w:lineRule="auto"/>
              <w:jc w:val="center"/>
              <w:rPr>
                <w:rFonts w:ascii="宋体" w:hAnsi="宋体" w:cs="宋体"/>
                <w:color w:val="auto"/>
                <w:szCs w:val="21"/>
                <w:highlight w:val="none"/>
              </w:rPr>
            </w:pPr>
          </w:p>
        </w:tc>
        <w:tc>
          <w:tcPr>
            <w:tcW w:w="1054" w:type="dxa"/>
            <w:vAlign w:val="center"/>
          </w:tcPr>
          <w:p w14:paraId="770A7361">
            <w:pPr>
              <w:spacing w:line="360" w:lineRule="auto"/>
              <w:jc w:val="center"/>
              <w:rPr>
                <w:rFonts w:ascii="宋体" w:hAnsi="宋体" w:cs="宋体"/>
                <w:color w:val="auto"/>
                <w:szCs w:val="21"/>
                <w:highlight w:val="none"/>
              </w:rPr>
            </w:pPr>
          </w:p>
        </w:tc>
        <w:tc>
          <w:tcPr>
            <w:tcW w:w="970" w:type="dxa"/>
            <w:vAlign w:val="center"/>
          </w:tcPr>
          <w:p w14:paraId="32BB3C95">
            <w:pPr>
              <w:spacing w:line="360" w:lineRule="auto"/>
              <w:jc w:val="center"/>
              <w:rPr>
                <w:rFonts w:ascii="宋体" w:hAnsi="宋体" w:cs="宋体"/>
                <w:color w:val="auto"/>
                <w:szCs w:val="21"/>
                <w:highlight w:val="none"/>
              </w:rPr>
            </w:pPr>
          </w:p>
        </w:tc>
        <w:tc>
          <w:tcPr>
            <w:tcW w:w="2489" w:type="dxa"/>
            <w:vAlign w:val="center"/>
          </w:tcPr>
          <w:p w14:paraId="22727930">
            <w:pPr>
              <w:spacing w:line="360" w:lineRule="auto"/>
              <w:jc w:val="center"/>
              <w:rPr>
                <w:rFonts w:ascii="宋体" w:hAnsi="宋体" w:cs="宋体"/>
                <w:color w:val="auto"/>
                <w:szCs w:val="21"/>
                <w:highlight w:val="none"/>
              </w:rPr>
            </w:pPr>
          </w:p>
        </w:tc>
        <w:tc>
          <w:tcPr>
            <w:tcW w:w="900" w:type="dxa"/>
            <w:vAlign w:val="center"/>
          </w:tcPr>
          <w:p w14:paraId="0D94C69F">
            <w:pPr>
              <w:spacing w:line="360" w:lineRule="auto"/>
              <w:jc w:val="center"/>
              <w:rPr>
                <w:rFonts w:ascii="宋体" w:hAnsi="宋体" w:cs="宋体"/>
                <w:color w:val="auto"/>
                <w:szCs w:val="21"/>
                <w:highlight w:val="none"/>
              </w:rPr>
            </w:pPr>
          </w:p>
        </w:tc>
      </w:tr>
      <w:tr w14:paraId="489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8" w:type="dxa"/>
            <w:vAlign w:val="center"/>
          </w:tcPr>
          <w:p w14:paraId="25D923FC">
            <w:pPr>
              <w:spacing w:line="360" w:lineRule="auto"/>
              <w:jc w:val="center"/>
              <w:rPr>
                <w:rFonts w:ascii="宋体" w:hAnsi="宋体" w:cs="宋体"/>
                <w:color w:val="auto"/>
                <w:szCs w:val="21"/>
                <w:highlight w:val="none"/>
              </w:rPr>
            </w:pPr>
          </w:p>
        </w:tc>
        <w:tc>
          <w:tcPr>
            <w:tcW w:w="1833" w:type="dxa"/>
            <w:vAlign w:val="center"/>
          </w:tcPr>
          <w:p w14:paraId="42E2D5C1">
            <w:pPr>
              <w:spacing w:line="360" w:lineRule="auto"/>
              <w:jc w:val="center"/>
              <w:rPr>
                <w:rFonts w:ascii="宋体" w:hAnsi="宋体" w:cs="宋体"/>
                <w:color w:val="auto"/>
                <w:szCs w:val="21"/>
                <w:highlight w:val="none"/>
              </w:rPr>
            </w:pPr>
          </w:p>
        </w:tc>
        <w:tc>
          <w:tcPr>
            <w:tcW w:w="1698" w:type="dxa"/>
            <w:vAlign w:val="center"/>
          </w:tcPr>
          <w:p w14:paraId="640ED2D1">
            <w:pPr>
              <w:spacing w:line="360" w:lineRule="auto"/>
              <w:jc w:val="center"/>
              <w:rPr>
                <w:rFonts w:ascii="宋体" w:hAnsi="宋体" w:cs="宋体"/>
                <w:color w:val="auto"/>
                <w:szCs w:val="21"/>
                <w:highlight w:val="none"/>
              </w:rPr>
            </w:pPr>
          </w:p>
        </w:tc>
        <w:tc>
          <w:tcPr>
            <w:tcW w:w="1054" w:type="dxa"/>
            <w:vAlign w:val="center"/>
          </w:tcPr>
          <w:p w14:paraId="047834C6">
            <w:pPr>
              <w:spacing w:line="360" w:lineRule="auto"/>
              <w:jc w:val="center"/>
              <w:rPr>
                <w:rFonts w:ascii="宋体" w:hAnsi="宋体" w:cs="宋体"/>
                <w:color w:val="auto"/>
                <w:szCs w:val="21"/>
                <w:highlight w:val="none"/>
              </w:rPr>
            </w:pPr>
          </w:p>
        </w:tc>
        <w:tc>
          <w:tcPr>
            <w:tcW w:w="970" w:type="dxa"/>
            <w:vAlign w:val="center"/>
          </w:tcPr>
          <w:p w14:paraId="47D50FEA">
            <w:pPr>
              <w:spacing w:line="360" w:lineRule="auto"/>
              <w:jc w:val="center"/>
              <w:rPr>
                <w:rFonts w:ascii="宋体" w:hAnsi="宋体" w:cs="宋体"/>
                <w:color w:val="auto"/>
                <w:szCs w:val="21"/>
                <w:highlight w:val="none"/>
              </w:rPr>
            </w:pPr>
          </w:p>
        </w:tc>
        <w:tc>
          <w:tcPr>
            <w:tcW w:w="2489" w:type="dxa"/>
            <w:vAlign w:val="center"/>
          </w:tcPr>
          <w:p w14:paraId="4B8253E7">
            <w:pPr>
              <w:spacing w:line="360" w:lineRule="auto"/>
              <w:jc w:val="center"/>
              <w:rPr>
                <w:rFonts w:ascii="宋体" w:hAnsi="宋体" w:cs="宋体"/>
                <w:color w:val="auto"/>
                <w:szCs w:val="21"/>
                <w:highlight w:val="none"/>
              </w:rPr>
            </w:pPr>
          </w:p>
        </w:tc>
        <w:tc>
          <w:tcPr>
            <w:tcW w:w="900" w:type="dxa"/>
            <w:vAlign w:val="center"/>
          </w:tcPr>
          <w:p w14:paraId="6CBFAEA3">
            <w:pPr>
              <w:spacing w:line="360" w:lineRule="auto"/>
              <w:jc w:val="center"/>
              <w:rPr>
                <w:rFonts w:ascii="宋体" w:hAnsi="宋体" w:cs="宋体"/>
                <w:color w:val="auto"/>
                <w:szCs w:val="21"/>
                <w:highlight w:val="none"/>
              </w:rPr>
            </w:pPr>
          </w:p>
        </w:tc>
      </w:tr>
      <w:tr w14:paraId="343F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8" w:type="dxa"/>
            <w:vAlign w:val="center"/>
          </w:tcPr>
          <w:p w14:paraId="5203CFCC">
            <w:pPr>
              <w:spacing w:line="360" w:lineRule="auto"/>
              <w:jc w:val="center"/>
              <w:rPr>
                <w:rFonts w:ascii="宋体" w:hAnsi="宋体" w:cs="宋体"/>
                <w:color w:val="auto"/>
                <w:szCs w:val="21"/>
                <w:highlight w:val="none"/>
              </w:rPr>
            </w:pPr>
          </w:p>
        </w:tc>
        <w:tc>
          <w:tcPr>
            <w:tcW w:w="1833" w:type="dxa"/>
            <w:vAlign w:val="center"/>
          </w:tcPr>
          <w:p w14:paraId="1B2D0526">
            <w:pPr>
              <w:spacing w:line="360" w:lineRule="auto"/>
              <w:jc w:val="center"/>
              <w:rPr>
                <w:rFonts w:ascii="宋体" w:hAnsi="宋体" w:cs="宋体"/>
                <w:color w:val="auto"/>
                <w:szCs w:val="21"/>
                <w:highlight w:val="none"/>
              </w:rPr>
            </w:pPr>
          </w:p>
        </w:tc>
        <w:tc>
          <w:tcPr>
            <w:tcW w:w="1698" w:type="dxa"/>
            <w:vAlign w:val="center"/>
          </w:tcPr>
          <w:p w14:paraId="69AABF1E">
            <w:pPr>
              <w:spacing w:line="360" w:lineRule="auto"/>
              <w:jc w:val="center"/>
              <w:rPr>
                <w:rFonts w:ascii="宋体" w:hAnsi="宋体" w:cs="宋体"/>
                <w:color w:val="auto"/>
                <w:szCs w:val="21"/>
                <w:highlight w:val="none"/>
              </w:rPr>
            </w:pPr>
          </w:p>
        </w:tc>
        <w:tc>
          <w:tcPr>
            <w:tcW w:w="1054" w:type="dxa"/>
            <w:vAlign w:val="center"/>
          </w:tcPr>
          <w:p w14:paraId="62C36258">
            <w:pPr>
              <w:spacing w:line="360" w:lineRule="auto"/>
              <w:jc w:val="center"/>
              <w:rPr>
                <w:rFonts w:ascii="宋体" w:hAnsi="宋体" w:cs="宋体"/>
                <w:color w:val="auto"/>
                <w:szCs w:val="21"/>
                <w:highlight w:val="none"/>
              </w:rPr>
            </w:pPr>
          </w:p>
        </w:tc>
        <w:tc>
          <w:tcPr>
            <w:tcW w:w="970" w:type="dxa"/>
            <w:vAlign w:val="center"/>
          </w:tcPr>
          <w:p w14:paraId="1080743A">
            <w:pPr>
              <w:spacing w:line="360" w:lineRule="auto"/>
              <w:jc w:val="center"/>
              <w:rPr>
                <w:rFonts w:ascii="宋体" w:hAnsi="宋体" w:cs="宋体"/>
                <w:color w:val="auto"/>
                <w:szCs w:val="21"/>
                <w:highlight w:val="none"/>
              </w:rPr>
            </w:pPr>
          </w:p>
        </w:tc>
        <w:tc>
          <w:tcPr>
            <w:tcW w:w="2489" w:type="dxa"/>
            <w:vAlign w:val="center"/>
          </w:tcPr>
          <w:p w14:paraId="4C9A683A">
            <w:pPr>
              <w:spacing w:line="360" w:lineRule="auto"/>
              <w:jc w:val="center"/>
              <w:rPr>
                <w:rFonts w:ascii="宋体" w:hAnsi="宋体" w:cs="宋体"/>
                <w:color w:val="auto"/>
                <w:szCs w:val="21"/>
                <w:highlight w:val="none"/>
              </w:rPr>
            </w:pPr>
          </w:p>
        </w:tc>
        <w:tc>
          <w:tcPr>
            <w:tcW w:w="900" w:type="dxa"/>
            <w:vAlign w:val="center"/>
          </w:tcPr>
          <w:p w14:paraId="2E6CA0A4">
            <w:pPr>
              <w:spacing w:line="360" w:lineRule="auto"/>
              <w:jc w:val="center"/>
              <w:rPr>
                <w:rFonts w:ascii="宋体" w:hAnsi="宋体" w:cs="宋体"/>
                <w:color w:val="auto"/>
                <w:szCs w:val="21"/>
                <w:highlight w:val="none"/>
              </w:rPr>
            </w:pPr>
          </w:p>
        </w:tc>
      </w:tr>
    </w:tbl>
    <w:p w14:paraId="48661546">
      <w:pPr>
        <w:adjustRightInd w:val="0"/>
        <w:snapToGrid w:val="0"/>
        <w:spacing w:line="360" w:lineRule="auto"/>
        <w:rPr>
          <w:rFonts w:ascii="宋体" w:hAnsi="宋体" w:cs="宋体"/>
          <w:color w:val="auto"/>
          <w:spacing w:val="20"/>
          <w:highlight w:val="none"/>
        </w:rPr>
      </w:pPr>
    </w:p>
    <w:p w14:paraId="22BAD545">
      <w:pPr>
        <w:adjustRightInd w:val="0"/>
        <w:snapToGrid w:val="0"/>
        <w:spacing w:line="360" w:lineRule="auto"/>
        <w:rPr>
          <w:rFonts w:ascii="宋体" w:hAnsi="宋体" w:cs="宋体"/>
          <w:color w:val="auto"/>
          <w:spacing w:val="20"/>
          <w:highlight w:val="none"/>
        </w:rPr>
      </w:pPr>
      <w:r>
        <w:rPr>
          <w:rFonts w:hint="eastAsia" w:ascii="宋体" w:hAnsi="宋体" w:cs="宋体"/>
          <w:color w:val="auto"/>
          <w:spacing w:val="20"/>
          <w:highlight w:val="none"/>
        </w:rPr>
        <w:t>磋商响应单位：（签章）</w:t>
      </w:r>
    </w:p>
    <w:p w14:paraId="12C5DB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highlight w:val="none"/>
        </w:rPr>
      </w:pPr>
      <w:r>
        <w:rPr>
          <w:rFonts w:hint="eastAsia" w:ascii="宋体" w:hAnsi="宋体" w:cs="宋体"/>
          <w:color w:val="auto"/>
          <w:spacing w:val="20"/>
          <w:highlight w:val="none"/>
        </w:rPr>
        <w:t>日期：</w:t>
      </w:r>
    </w:p>
    <w:p w14:paraId="480A8564">
      <w:pPr>
        <w:pageBreakBefore/>
        <w:spacing w:line="360" w:lineRule="auto"/>
        <w:rPr>
          <w:rFonts w:ascii="宋体" w:hAnsi="宋体" w:cs="宋体"/>
          <w:b/>
          <w:color w:val="auto"/>
          <w:highlight w:val="none"/>
        </w:rPr>
      </w:pPr>
      <w:r>
        <w:rPr>
          <w:rFonts w:hint="eastAsia" w:ascii="宋体" w:hAnsi="宋体" w:cs="宋体"/>
          <w:b/>
          <w:color w:val="auto"/>
          <w:highlight w:val="none"/>
          <w:lang w:val="en-US" w:eastAsia="zh-CN"/>
        </w:rPr>
        <w:t>附件12：</w:t>
      </w:r>
      <w:r>
        <w:rPr>
          <w:rFonts w:hint="eastAsia" w:ascii="宋体" w:hAnsi="宋体" w:cs="宋体"/>
          <w:b/>
          <w:color w:val="auto"/>
          <w:highlight w:val="none"/>
        </w:rPr>
        <w:t>类似项目</w:t>
      </w:r>
      <w:r>
        <w:rPr>
          <w:rFonts w:hint="eastAsia" w:ascii="宋体" w:hAnsi="宋体" w:cs="宋体"/>
          <w:b/>
          <w:color w:val="auto"/>
          <w:highlight w:val="none"/>
          <w:lang w:val="zh-CN"/>
        </w:rPr>
        <w:t>业绩一览表</w:t>
      </w:r>
    </w:p>
    <w:p w14:paraId="2D7708D7">
      <w:pPr>
        <w:spacing w:line="360" w:lineRule="auto"/>
        <w:jc w:val="center"/>
        <w:rPr>
          <w:rFonts w:ascii="宋体" w:hAnsi="宋体" w:cs="宋体"/>
          <w:color w:val="auto"/>
          <w:highlight w:val="none"/>
        </w:rPr>
      </w:pPr>
      <w:r>
        <w:rPr>
          <w:rFonts w:hint="eastAsia" w:ascii="宋体" w:hAnsi="宋体" w:cs="宋体"/>
          <w:b/>
          <w:color w:val="auto"/>
          <w:highlight w:val="none"/>
        </w:rPr>
        <w:t>类似项目</w:t>
      </w:r>
      <w:r>
        <w:rPr>
          <w:rFonts w:hint="eastAsia" w:ascii="宋体" w:hAnsi="宋体" w:cs="宋体"/>
          <w:b/>
          <w:color w:val="auto"/>
          <w:highlight w:val="none"/>
          <w:lang w:val="zh-CN"/>
        </w:rPr>
        <w:t>业绩一览表</w:t>
      </w:r>
    </w:p>
    <w:p w14:paraId="16392158">
      <w:pPr>
        <w:spacing w:line="360" w:lineRule="auto"/>
        <w:rPr>
          <w:rFonts w:ascii="宋体" w:hAnsi="宋体" w:cs="宋体"/>
          <w:color w:val="auto"/>
          <w:highlight w:val="none"/>
        </w:rPr>
      </w:pPr>
    </w:p>
    <w:p w14:paraId="4EFCF25F">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采购编号：</w:t>
      </w:r>
      <w:r>
        <w:rPr>
          <w:rFonts w:hint="eastAsia" w:cs="宋体" w:asciiTheme="minorEastAsia" w:hAnsiTheme="minorEastAsia"/>
          <w:color w:val="auto"/>
          <w:szCs w:val="21"/>
          <w:highlight w:val="none"/>
          <w:lang w:val="en-US" w:eastAsia="zh-CN"/>
        </w:rPr>
        <w:t xml:space="preserve"> </w:t>
      </w:r>
    </w:p>
    <w:tbl>
      <w:tblPr>
        <w:tblStyle w:val="4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02"/>
        <w:gridCol w:w="1785"/>
        <w:gridCol w:w="1785"/>
        <w:gridCol w:w="2122"/>
        <w:gridCol w:w="1868"/>
        <w:gridCol w:w="1032"/>
      </w:tblGrid>
      <w:tr w14:paraId="7DCDD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1FBD117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43" w:type="dxa"/>
            <w:noWrap w:val="0"/>
            <w:vAlign w:val="center"/>
          </w:tcPr>
          <w:p w14:paraId="6F4C1CA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643" w:type="dxa"/>
            <w:noWrap w:val="0"/>
            <w:vAlign w:val="center"/>
          </w:tcPr>
          <w:p w14:paraId="42E4D5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1954" w:type="dxa"/>
            <w:tcBorders>
              <w:right w:val="single" w:color="auto" w:sz="4" w:space="0"/>
            </w:tcBorders>
            <w:noWrap w:val="0"/>
            <w:vAlign w:val="center"/>
          </w:tcPr>
          <w:p w14:paraId="48ECE54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1720" w:type="dxa"/>
            <w:tcBorders>
              <w:left w:val="single" w:color="auto" w:sz="4" w:space="0"/>
              <w:right w:val="single" w:color="auto" w:sz="4" w:space="0"/>
            </w:tcBorders>
            <w:noWrap w:val="0"/>
            <w:vAlign w:val="center"/>
          </w:tcPr>
          <w:p w14:paraId="63474D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950" w:type="dxa"/>
            <w:noWrap w:val="0"/>
            <w:vAlign w:val="center"/>
          </w:tcPr>
          <w:p w14:paraId="2B4579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1CB1F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70BAAA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643" w:type="dxa"/>
            <w:noWrap w:val="0"/>
            <w:vAlign w:val="center"/>
          </w:tcPr>
          <w:p w14:paraId="4620C5C2">
            <w:pPr>
              <w:spacing w:line="360" w:lineRule="auto"/>
              <w:ind w:left="420"/>
              <w:rPr>
                <w:rFonts w:ascii="宋体" w:hAnsi="宋体" w:cs="宋体"/>
                <w:color w:val="auto"/>
                <w:szCs w:val="21"/>
                <w:highlight w:val="none"/>
              </w:rPr>
            </w:pPr>
          </w:p>
        </w:tc>
        <w:tc>
          <w:tcPr>
            <w:tcW w:w="1643" w:type="dxa"/>
            <w:noWrap w:val="0"/>
            <w:vAlign w:val="center"/>
          </w:tcPr>
          <w:p w14:paraId="069EAD52">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0C2DF321">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68D26ED5">
            <w:pPr>
              <w:spacing w:line="360" w:lineRule="auto"/>
              <w:ind w:left="420"/>
              <w:rPr>
                <w:rFonts w:ascii="宋体" w:hAnsi="宋体" w:cs="宋体"/>
                <w:color w:val="auto"/>
                <w:szCs w:val="21"/>
                <w:highlight w:val="none"/>
              </w:rPr>
            </w:pPr>
          </w:p>
        </w:tc>
        <w:tc>
          <w:tcPr>
            <w:tcW w:w="950" w:type="dxa"/>
            <w:noWrap w:val="0"/>
            <w:vAlign w:val="center"/>
          </w:tcPr>
          <w:p w14:paraId="557ABB1A">
            <w:pPr>
              <w:spacing w:line="360" w:lineRule="auto"/>
              <w:ind w:left="420"/>
              <w:rPr>
                <w:rFonts w:ascii="宋体" w:hAnsi="宋体" w:cs="宋体"/>
                <w:color w:val="auto"/>
                <w:szCs w:val="21"/>
                <w:highlight w:val="none"/>
              </w:rPr>
            </w:pPr>
          </w:p>
        </w:tc>
      </w:tr>
      <w:tr w14:paraId="3E5CD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50E5B7A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643" w:type="dxa"/>
            <w:noWrap w:val="0"/>
            <w:vAlign w:val="center"/>
          </w:tcPr>
          <w:p w14:paraId="2C2443FF">
            <w:pPr>
              <w:spacing w:line="360" w:lineRule="auto"/>
              <w:ind w:left="420"/>
              <w:rPr>
                <w:rFonts w:ascii="宋体" w:hAnsi="宋体" w:cs="宋体"/>
                <w:color w:val="auto"/>
                <w:szCs w:val="21"/>
                <w:highlight w:val="none"/>
              </w:rPr>
            </w:pPr>
          </w:p>
        </w:tc>
        <w:tc>
          <w:tcPr>
            <w:tcW w:w="1643" w:type="dxa"/>
            <w:noWrap w:val="0"/>
            <w:vAlign w:val="center"/>
          </w:tcPr>
          <w:p w14:paraId="4BC76C72">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5B2C5338">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24AB5B91">
            <w:pPr>
              <w:spacing w:line="360" w:lineRule="auto"/>
              <w:ind w:left="420"/>
              <w:rPr>
                <w:rFonts w:ascii="宋体" w:hAnsi="宋体" w:cs="宋体"/>
                <w:color w:val="auto"/>
                <w:szCs w:val="21"/>
                <w:highlight w:val="none"/>
              </w:rPr>
            </w:pPr>
          </w:p>
        </w:tc>
        <w:tc>
          <w:tcPr>
            <w:tcW w:w="950" w:type="dxa"/>
            <w:noWrap w:val="0"/>
            <w:vAlign w:val="center"/>
          </w:tcPr>
          <w:p w14:paraId="72853D35">
            <w:pPr>
              <w:spacing w:line="360" w:lineRule="auto"/>
              <w:ind w:left="420"/>
              <w:rPr>
                <w:rFonts w:ascii="宋体" w:hAnsi="宋体" w:cs="宋体"/>
                <w:color w:val="auto"/>
                <w:szCs w:val="21"/>
                <w:highlight w:val="none"/>
              </w:rPr>
            </w:pPr>
          </w:p>
        </w:tc>
      </w:tr>
      <w:tr w14:paraId="63680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05326C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643" w:type="dxa"/>
            <w:noWrap w:val="0"/>
            <w:vAlign w:val="center"/>
          </w:tcPr>
          <w:p w14:paraId="1054A381">
            <w:pPr>
              <w:spacing w:line="360" w:lineRule="auto"/>
              <w:ind w:left="420"/>
              <w:rPr>
                <w:rFonts w:ascii="宋体" w:hAnsi="宋体" w:cs="宋体"/>
                <w:color w:val="auto"/>
                <w:szCs w:val="21"/>
                <w:highlight w:val="none"/>
              </w:rPr>
            </w:pPr>
          </w:p>
        </w:tc>
        <w:tc>
          <w:tcPr>
            <w:tcW w:w="1643" w:type="dxa"/>
            <w:noWrap w:val="0"/>
            <w:vAlign w:val="center"/>
          </w:tcPr>
          <w:p w14:paraId="6B4690BE">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5873099D">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55B79D67">
            <w:pPr>
              <w:spacing w:line="360" w:lineRule="auto"/>
              <w:ind w:left="420"/>
              <w:rPr>
                <w:rFonts w:ascii="宋体" w:hAnsi="宋体" w:cs="宋体"/>
                <w:color w:val="auto"/>
                <w:szCs w:val="21"/>
                <w:highlight w:val="none"/>
              </w:rPr>
            </w:pPr>
          </w:p>
        </w:tc>
        <w:tc>
          <w:tcPr>
            <w:tcW w:w="950" w:type="dxa"/>
            <w:noWrap w:val="0"/>
            <w:vAlign w:val="center"/>
          </w:tcPr>
          <w:p w14:paraId="612D0513">
            <w:pPr>
              <w:spacing w:line="360" w:lineRule="auto"/>
              <w:ind w:left="420"/>
              <w:rPr>
                <w:rFonts w:ascii="宋体" w:hAnsi="宋体" w:cs="宋体"/>
                <w:color w:val="auto"/>
                <w:szCs w:val="21"/>
                <w:highlight w:val="none"/>
              </w:rPr>
            </w:pPr>
          </w:p>
        </w:tc>
      </w:tr>
      <w:tr w14:paraId="216A4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3E68F0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643" w:type="dxa"/>
            <w:noWrap w:val="0"/>
            <w:vAlign w:val="center"/>
          </w:tcPr>
          <w:p w14:paraId="12DBFE6E">
            <w:pPr>
              <w:spacing w:line="360" w:lineRule="auto"/>
              <w:ind w:left="420"/>
              <w:rPr>
                <w:rFonts w:ascii="宋体" w:hAnsi="宋体" w:cs="宋体"/>
                <w:color w:val="auto"/>
                <w:szCs w:val="21"/>
                <w:highlight w:val="none"/>
              </w:rPr>
            </w:pPr>
          </w:p>
        </w:tc>
        <w:tc>
          <w:tcPr>
            <w:tcW w:w="1643" w:type="dxa"/>
            <w:noWrap w:val="0"/>
            <w:vAlign w:val="center"/>
          </w:tcPr>
          <w:p w14:paraId="3AB2C818">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7688E7F1">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1DAE3136">
            <w:pPr>
              <w:spacing w:line="360" w:lineRule="auto"/>
              <w:ind w:left="420"/>
              <w:rPr>
                <w:rFonts w:ascii="宋体" w:hAnsi="宋体" w:cs="宋体"/>
                <w:color w:val="auto"/>
                <w:szCs w:val="21"/>
                <w:highlight w:val="none"/>
              </w:rPr>
            </w:pPr>
          </w:p>
        </w:tc>
        <w:tc>
          <w:tcPr>
            <w:tcW w:w="950" w:type="dxa"/>
            <w:noWrap w:val="0"/>
            <w:vAlign w:val="center"/>
          </w:tcPr>
          <w:p w14:paraId="10FB430C">
            <w:pPr>
              <w:spacing w:line="360" w:lineRule="auto"/>
              <w:ind w:left="420"/>
              <w:rPr>
                <w:rFonts w:ascii="宋体" w:hAnsi="宋体" w:cs="宋体"/>
                <w:color w:val="auto"/>
                <w:szCs w:val="21"/>
                <w:highlight w:val="none"/>
              </w:rPr>
            </w:pPr>
          </w:p>
        </w:tc>
      </w:tr>
      <w:tr w14:paraId="0AEFD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5BCEA4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643" w:type="dxa"/>
            <w:noWrap w:val="0"/>
            <w:vAlign w:val="center"/>
          </w:tcPr>
          <w:p w14:paraId="6E136BC1">
            <w:pPr>
              <w:spacing w:line="360" w:lineRule="auto"/>
              <w:ind w:left="420"/>
              <w:rPr>
                <w:rFonts w:ascii="宋体" w:hAnsi="宋体" w:cs="宋体"/>
                <w:color w:val="auto"/>
                <w:szCs w:val="21"/>
                <w:highlight w:val="none"/>
              </w:rPr>
            </w:pPr>
          </w:p>
        </w:tc>
        <w:tc>
          <w:tcPr>
            <w:tcW w:w="1643" w:type="dxa"/>
            <w:noWrap w:val="0"/>
            <w:vAlign w:val="center"/>
          </w:tcPr>
          <w:p w14:paraId="02A5DCAA">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378F6AEA">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757E9579">
            <w:pPr>
              <w:spacing w:line="360" w:lineRule="auto"/>
              <w:ind w:left="420"/>
              <w:rPr>
                <w:rFonts w:ascii="宋体" w:hAnsi="宋体" w:cs="宋体"/>
                <w:color w:val="auto"/>
                <w:szCs w:val="21"/>
                <w:highlight w:val="none"/>
              </w:rPr>
            </w:pPr>
          </w:p>
        </w:tc>
        <w:tc>
          <w:tcPr>
            <w:tcW w:w="950" w:type="dxa"/>
            <w:noWrap w:val="0"/>
            <w:vAlign w:val="center"/>
          </w:tcPr>
          <w:p w14:paraId="406505E3">
            <w:pPr>
              <w:spacing w:line="360" w:lineRule="auto"/>
              <w:ind w:left="420"/>
              <w:rPr>
                <w:rFonts w:ascii="宋体" w:hAnsi="宋体" w:cs="宋体"/>
                <w:color w:val="auto"/>
                <w:szCs w:val="21"/>
                <w:highlight w:val="none"/>
              </w:rPr>
            </w:pPr>
          </w:p>
        </w:tc>
      </w:tr>
      <w:tr w14:paraId="3550D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31EB57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643" w:type="dxa"/>
            <w:noWrap w:val="0"/>
            <w:vAlign w:val="center"/>
          </w:tcPr>
          <w:p w14:paraId="79691D8C">
            <w:pPr>
              <w:spacing w:line="360" w:lineRule="auto"/>
              <w:ind w:left="420"/>
              <w:rPr>
                <w:rFonts w:ascii="宋体" w:hAnsi="宋体" w:cs="宋体"/>
                <w:color w:val="auto"/>
                <w:szCs w:val="21"/>
                <w:highlight w:val="none"/>
              </w:rPr>
            </w:pPr>
          </w:p>
        </w:tc>
        <w:tc>
          <w:tcPr>
            <w:tcW w:w="1643" w:type="dxa"/>
            <w:noWrap w:val="0"/>
            <w:vAlign w:val="center"/>
          </w:tcPr>
          <w:p w14:paraId="60116F38">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5C645935">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77E7EF92">
            <w:pPr>
              <w:spacing w:line="360" w:lineRule="auto"/>
              <w:ind w:left="420"/>
              <w:rPr>
                <w:rFonts w:ascii="宋体" w:hAnsi="宋体" w:cs="宋体"/>
                <w:color w:val="auto"/>
                <w:szCs w:val="21"/>
                <w:highlight w:val="none"/>
              </w:rPr>
            </w:pPr>
          </w:p>
        </w:tc>
        <w:tc>
          <w:tcPr>
            <w:tcW w:w="950" w:type="dxa"/>
            <w:noWrap w:val="0"/>
            <w:vAlign w:val="center"/>
          </w:tcPr>
          <w:p w14:paraId="5CC673EC">
            <w:pPr>
              <w:spacing w:line="360" w:lineRule="auto"/>
              <w:ind w:left="420"/>
              <w:rPr>
                <w:rFonts w:ascii="宋体" w:hAnsi="宋体" w:cs="宋体"/>
                <w:color w:val="auto"/>
                <w:szCs w:val="21"/>
                <w:highlight w:val="none"/>
              </w:rPr>
            </w:pPr>
          </w:p>
        </w:tc>
      </w:tr>
      <w:tr w14:paraId="706A9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36D30B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643" w:type="dxa"/>
            <w:noWrap w:val="0"/>
            <w:vAlign w:val="center"/>
          </w:tcPr>
          <w:p w14:paraId="3A83F340">
            <w:pPr>
              <w:spacing w:line="360" w:lineRule="auto"/>
              <w:jc w:val="center"/>
              <w:rPr>
                <w:rFonts w:ascii="宋体" w:hAnsi="宋体" w:cs="宋体"/>
                <w:color w:val="auto"/>
                <w:szCs w:val="21"/>
                <w:highlight w:val="none"/>
              </w:rPr>
            </w:pPr>
          </w:p>
        </w:tc>
        <w:tc>
          <w:tcPr>
            <w:tcW w:w="1643" w:type="dxa"/>
            <w:noWrap w:val="0"/>
            <w:vAlign w:val="center"/>
          </w:tcPr>
          <w:p w14:paraId="124489CE">
            <w:pPr>
              <w:spacing w:line="360" w:lineRule="auto"/>
              <w:jc w:val="center"/>
              <w:rPr>
                <w:rFonts w:ascii="宋体" w:hAnsi="宋体" w:cs="宋体"/>
                <w:color w:val="auto"/>
                <w:szCs w:val="21"/>
                <w:highlight w:val="none"/>
              </w:rPr>
            </w:pPr>
          </w:p>
        </w:tc>
        <w:tc>
          <w:tcPr>
            <w:tcW w:w="1954" w:type="dxa"/>
            <w:tcBorders>
              <w:right w:val="single" w:color="auto" w:sz="4" w:space="0"/>
            </w:tcBorders>
            <w:noWrap w:val="0"/>
            <w:vAlign w:val="center"/>
          </w:tcPr>
          <w:p w14:paraId="6EFACD97">
            <w:pPr>
              <w:spacing w:line="360" w:lineRule="auto"/>
              <w:jc w:val="center"/>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51C8CE3C">
            <w:pPr>
              <w:spacing w:line="360" w:lineRule="auto"/>
              <w:jc w:val="center"/>
              <w:rPr>
                <w:rFonts w:ascii="宋体" w:hAnsi="宋体" w:cs="宋体"/>
                <w:color w:val="auto"/>
                <w:szCs w:val="21"/>
                <w:highlight w:val="none"/>
              </w:rPr>
            </w:pPr>
          </w:p>
        </w:tc>
        <w:tc>
          <w:tcPr>
            <w:tcW w:w="950" w:type="dxa"/>
            <w:noWrap w:val="0"/>
            <w:vAlign w:val="center"/>
          </w:tcPr>
          <w:p w14:paraId="02706DA3">
            <w:pPr>
              <w:spacing w:line="360" w:lineRule="auto"/>
              <w:jc w:val="center"/>
              <w:rPr>
                <w:rFonts w:ascii="宋体" w:hAnsi="宋体" w:cs="宋体"/>
                <w:color w:val="auto"/>
                <w:szCs w:val="21"/>
                <w:highlight w:val="none"/>
              </w:rPr>
            </w:pPr>
          </w:p>
        </w:tc>
      </w:tr>
      <w:tr w14:paraId="0B146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1021CAB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643" w:type="dxa"/>
            <w:noWrap w:val="0"/>
            <w:vAlign w:val="center"/>
          </w:tcPr>
          <w:p w14:paraId="21CB6186">
            <w:pPr>
              <w:spacing w:line="360" w:lineRule="auto"/>
              <w:jc w:val="center"/>
              <w:rPr>
                <w:rFonts w:ascii="宋体" w:hAnsi="宋体" w:cs="宋体"/>
                <w:color w:val="auto"/>
                <w:szCs w:val="21"/>
                <w:highlight w:val="none"/>
              </w:rPr>
            </w:pPr>
          </w:p>
        </w:tc>
        <w:tc>
          <w:tcPr>
            <w:tcW w:w="1643" w:type="dxa"/>
            <w:noWrap w:val="0"/>
            <w:vAlign w:val="center"/>
          </w:tcPr>
          <w:p w14:paraId="1AD91899">
            <w:pPr>
              <w:spacing w:line="360" w:lineRule="auto"/>
              <w:jc w:val="center"/>
              <w:rPr>
                <w:rFonts w:ascii="宋体" w:hAnsi="宋体" w:cs="宋体"/>
                <w:color w:val="auto"/>
                <w:szCs w:val="21"/>
                <w:highlight w:val="none"/>
              </w:rPr>
            </w:pPr>
          </w:p>
        </w:tc>
        <w:tc>
          <w:tcPr>
            <w:tcW w:w="1954" w:type="dxa"/>
            <w:tcBorders>
              <w:right w:val="single" w:color="auto" w:sz="4" w:space="0"/>
            </w:tcBorders>
            <w:noWrap w:val="0"/>
            <w:vAlign w:val="center"/>
          </w:tcPr>
          <w:p w14:paraId="340E3A4A">
            <w:pPr>
              <w:spacing w:line="360" w:lineRule="auto"/>
              <w:jc w:val="center"/>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39622A7A">
            <w:pPr>
              <w:spacing w:line="360" w:lineRule="auto"/>
              <w:jc w:val="center"/>
              <w:rPr>
                <w:rFonts w:ascii="宋体" w:hAnsi="宋体" w:cs="宋体"/>
                <w:color w:val="auto"/>
                <w:szCs w:val="21"/>
                <w:highlight w:val="none"/>
              </w:rPr>
            </w:pPr>
          </w:p>
        </w:tc>
        <w:tc>
          <w:tcPr>
            <w:tcW w:w="950" w:type="dxa"/>
            <w:noWrap w:val="0"/>
            <w:vAlign w:val="center"/>
          </w:tcPr>
          <w:p w14:paraId="40770D8A">
            <w:pPr>
              <w:spacing w:line="360" w:lineRule="auto"/>
              <w:jc w:val="center"/>
              <w:rPr>
                <w:rFonts w:ascii="宋体" w:hAnsi="宋体" w:cs="宋体"/>
                <w:color w:val="auto"/>
                <w:szCs w:val="21"/>
                <w:highlight w:val="none"/>
              </w:rPr>
            </w:pPr>
          </w:p>
        </w:tc>
      </w:tr>
    </w:tbl>
    <w:p w14:paraId="1DF31F59">
      <w:pPr>
        <w:pStyle w:val="251"/>
        <w:spacing w:line="360" w:lineRule="auto"/>
        <w:rPr>
          <w:rFonts w:hint="eastAsia" w:hAnsi="宋体" w:eastAsia="宋体" w:cs="宋体"/>
          <w:color w:val="auto"/>
          <w:sz w:val="21"/>
          <w:szCs w:val="21"/>
          <w:highlight w:val="none"/>
        </w:rPr>
      </w:pPr>
    </w:p>
    <w:p w14:paraId="369C3AE5">
      <w:pPr>
        <w:pStyle w:val="251"/>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磋商响应单位（签章）：</w:t>
      </w:r>
    </w:p>
    <w:p w14:paraId="70F08EF2">
      <w:pPr>
        <w:pStyle w:val="251"/>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w:t>
      </w:r>
    </w:p>
    <w:p w14:paraId="57D7E1AF">
      <w:pPr>
        <w:rPr>
          <w:rFonts w:ascii="宋体" w:hAnsi="宋体" w:cs="宋体"/>
          <w:color w:val="auto"/>
          <w:highlight w:val="none"/>
        </w:rPr>
      </w:pPr>
    </w:p>
    <w:p w14:paraId="590F570D">
      <w:pPr>
        <w:rPr>
          <w:rFonts w:ascii="宋体" w:hAnsi="宋体" w:cs="宋体"/>
          <w:color w:val="auto"/>
          <w:highlight w:val="none"/>
        </w:rPr>
      </w:pPr>
    </w:p>
    <w:p w14:paraId="6397B8CF">
      <w:pPr>
        <w:rPr>
          <w:rFonts w:ascii="宋体" w:hAnsi="宋体" w:cs="宋体"/>
          <w:color w:val="auto"/>
          <w:highlight w:val="none"/>
        </w:rPr>
      </w:pPr>
    </w:p>
    <w:p w14:paraId="2AA2E4D0">
      <w:pPr>
        <w:pageBreakBefore/>
        <w:spacing w:line="360" w:lineRule="auto"/>
        <w:outlineLvl w:val="1"/>
        <w:rPr>
          <w:rFonts w:ascii="宋体" w:hAnsi="宋体" w:cs="宋体"/>
          <w:color w:val="auto"/>
          <w:szCs w:val="21"/>
          <w:highlight w:val="none"/>
        </w:rPr>
      </w:pPr>
      <w:r>
        <w:rPr>
          <w:rFonts w:hint="eastAsia" w:ascii="宋体" w:hAnsi="宋体" w:cs="宋体"/>
          <w:b/>
          <w:color w:val="auto"/>
          <w:szCs w:val="21"/>
          <w:highlight w:val="none"/>
        </w:rPr>
        <w:t>附件1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：中小企业声明函（参考格式）</w:t>
      </w:r>
    </w:p>
    <w:p w14:paraId="61F3B38B">
      <w:pPr>
        <w:spacing w:line="400" w:lineRule="exact"/>
        <w:jc w:val="center"/>
        <w:rPr>
          <w:rFonts w:ascii="宋体" w:hAnsi="宋体" w:cs="宋体"/>
          <w:color w:val="auto"/>
          <w:highlight w:val="none"/>
        </w:rPr>
      </w:pPr>
    </w:p>
    <w:p w14:paraId="60634FF1">
      <w:pPr>
        <w:spacing w:line="360" w:lineRule="auto"/>
        <w:jc w:val="center"/>
        <w:rPr>
          <w:rFonts w:ascii="宋体" w:hAnsi="宋体" w:cs="宋体"/>
          <w:color w:val="auto"/>
          <w:highlight w:val="none"/>
        </w:rPr>
      </w:pPr>
      <w:r>
        <w:rPr>
          <w:rFonts w:hint="eastAsia" w:ascii="宋体" w:hAnsi="宋体" w:cs="宋体"/>
          <w:color w:val="auto"/>
          <w:highlight w:val="none"/>
        </w:rPr>
        <w:t xml:space="preserve">中小企业声明函（服务） </w:t>
      </w:r>
    </w:p>
    <w:p w14:paraId="0B4BCD78">
      <w:pPr>
        <w:spacing w:line="360" w:lineRule="auto"/>
        <w:ind w:firstLine="420"/>
        <w:jc w:val="left"/>
        <w:rPr>
          <w:rFonts w:ascii="宋体" w:hAnsi="宋体" w:cs="宋体"/>
          <w:color w:val="auto"/>
          <w:highlight w:val="none"/>
        </w:rPr>
      </w:pPr>
      <w:r>
        <w:rPr>
          <w:rFonts w:hint="eastAsia" w:ascii="宋体" w:hAnsi="宋体" w:cs="宋体"/>
          <w:color w:val="auto"/>
          <w:highlight w:val="none"/>
        </w:rPr>
        <w:t>本公司（或联合体）郑重声明，根据《政府采购促进中小企业发展管理办法》（财库﹝2020﹞46 号）的规定，本公司 （或联合体）参加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 xml:space="preserve">采购活动，服务全部由符合政策要求的中小企业承接。相关企业（含联合体中的中小企业、签订分包意向协议的中小企业）的具体情况如下： </w:t>
      </w:r>
    </w:p>
    <w:p w14:paraId="6D7FF490">
      <w:pPr>
        <w:spacing w:line="360" w:lineRule="auto"/>
        <w:ind w:firstLine="420"/>
        <w:jc w:val="left"/>
        <w:rPr>
          <w:rFonts w:ascii="宋体" w:hAnsi="宋体" w:cs="宋体"/>
          <w:color w:val="auto"/>
          <w:highlight w:val="none"/>
        </w:rPr>
      </w:pPr>
      <w:r>
        <w:rPr>
          <w:rFonts w:hint="eastAsia" w:ascii="宋体" w:hAnsi="宋体" w:cs="宋体"/>
          <w:color w:val="auto"/>
          <w:highlight w:val="none"/>
        </w:rPr>
        <w:t xml:space="preserve">1. </w:t>
      </w:r>
      <w:r>
        <w:rPr>
          <w:rFonts w:hint="eastAsia" w:ascii="宋体" w:hAnsi="宋体" w:cs="宋体"/>
          <w:color w:val="auto"/>
          <w:highlight w:val="none"/>
          <w:u w:val="single"/>
        </w:rPr>
        <w:t xml:space="preserve">（标的名称） </w:t>
      </w:r>
      <w:r>
        <w:rPr>
          <w:rFonts w:hint="eastAsia" w:ascii="宋体" w:hAnsi="宋体" w:cs="宋体"/>
          <w:color w:val="auto"/>
          <w:highlight w:val="none"/>
        </w:rPr>
        <w:t>，属于</w:t>
      </w:r>
      <w:r>
        <w:rPr>
          <w:rFonts w:hint="eastAsia" w:ascii="宋体" w:hAnsi="宋体" w:cs="宋体"/>
          <w:color w:val="auto"/>
          <w:highlight w:val="none"/>
          <w:u w:val="single"/>
        </w:rPr>
        <w:t>（其他未列明行业）</w:t>
      </w:r>
      <w:r>
        <w:rPr>
          <w:rFonts w:hint="eastAsia" w:ascii="宋体" w:hAnsi="宋体" w:cs="宋体"/>
          <w:color w:val="auto"/>
          <w:highlight w:val="none"/>
        </w:rPr>
        <w:t>； 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lang w:eastAsia="zh-CN"/>
        </w:rPr>
        <w:t>【】</w:t>
      </w:r>
      <w:r>
        <w:rPr>
          <w:rFonts w:hint="eastAsia" w:ascii="宋体" w:hAnsi="宋体" w:cs="宋体"/>
          <w:color w:val="auto"/>
          <w:highlight w:val="none"/>
        </w:rPr>
        <w:t>人，营业收入为万</w:t>
      </w:r>
      <w:r>
        <w:rPr>
          <w:rFonts w:hint="eastAsia" w:ascii="宋体" w:hAnsi="宋体" w:cs="宋体"/>
          <w:color w:val="auto"/>
          <w:highlight w:val="none"/>
          <w:lang w:eastAsia="zh-CN"/>
        </w:rPr>
        <w:t>【】</w:t>
      </w:r>
      <w:r>
        <w:rPr>
          <w:rFonts w:hint="eastAsia" w:ascii="宋体" w:hAnsi="宋体" w:cs="宋体"/>
          <w:color w:val="auto"/>
          <w:highlight w:val="none"/>
        </w:rPr>
        <w:t>元，资产总额为万</w:t>
      </w:r>
      <w:r>
        <w:rPr>
          <w:rFonts w:hint="eastAsia" w:ascii="宋体" w:hAnsi="宋体" w:cs="宋体"/>
          <w:color w:val="auto"/>
          <w:highlight w:val="none"/>
          <w:lang w:eastAsia="zh-CN"/>
        </w:rPr>
        <w:t>【】</w:t>
      </w:r>
      <w:r>
        <w:rPr>
          <w:rFonts w:hint="eastAsia" w:ascii="宋体" w:hAnsi="宋体" w:cs="宋体"/>
          <w:color w:val="auto"/>
          <w:highlight w:val="none"/>
        </w:rPr>
        <w:t>元</w:t>
      </w:r>
      <w:r>
        <w:rPr>
          <w:rFonts w:hint="eastAsia" w:ascii="宋体" w:hAnsi="宋体" w:cs="宋体"/>
          <w:color w:val="auto"/>
          <w:highlight w:val="none"/>
          <w:vertAlign w:val="superscript"/>
        </w:rPr>
        <w:t>1</w:t>
      </w:r>
      <w:r>
        <w:rPr>
          <w:rFonts w:hint="eastAsia" w:ascii="宋体" w:hAnsi="宋体" w:cs="宋体"/>
          <w:color w:val="auto"/>
          <w:highlight w:val="none"/>
        </w:rPr>
        <w:t>，属于</w:t>
      </w:r>
      <w:r>
        <w:rPr>
          <w:rFonts w:hint="eastAsia" w:ascii="宋体" w:hAnsi="宋体" w:cs="宋体"/>
          <w:color w:val="auto"/>
          <w:highlight w:val="none"/>
          <w:u w:val="single"/>
        </w:rPr>
        <w:t>（中型企业、 小型企业、微型企业）</w:t>
      </w:r>
      <w:r>
        <w:rPr>
          <w:rFonts w:hint="eastAsia" w:ascii="宋体" w:hAnsi="宋体" w:cs="宋体"/>
          <w:color w:val="auto"/>
          <w:highlight w:val="none"/>
        </w:rPr>
        <w:t xml:space="preserve">； </w:t>
      </w:r>
    </w:p>
    <w:p w14:paraId="0C707F2C">
      <w:pPr>
        <w:spacing w:line="360" w:lineRule="auto"/>
        <w:ind w:firstLine="420"/>
        <w:jc w:val="left"/>
        <w:rPr>
          <w:rFonts w:ascii="宋体" w:hAnsi="宋体" w:cs="宋体"/>
          <w:color w:val="auto"/>
          <w:highlight w:val="none"/>
        </w:rPr>
      </w:pPr>
      <w:r>
        <w:rPr>
          <w:rFonts w:hint="eastAsia" w:ascii="宋体" w:hAnsi="宋体" w:cs="宋体"/>
          <w:color w:val="auto"/>
          <w:highlight w:val="none"/>
        </w:rPr>
        <w:t xml:space="preserve">2. </w:t>
      </w:r>
      <w:r>
        <w:rPr>
          <w:rFonts w:hint="eastAsia" w:ascii="宋体" w:hAnsi="宋体" w:cs="宋体"/>
          <w:color w:val="auto"/>
          <w:highlight w:val="none"/>
          <w:u w:val="single"/>
        </w:rPr>
        <w:t xml:space="preserve">（标的名称） </w:t>
      </w:r>
      <w:r>
        <w:rPr>
          <w:rFonts w:hint="eastAsia" w:ascii="宋体" w:hAnsi="宋体" w:cs="宋体"/>
          <w:color w:val="auto"/>
          <w:highlight w:val="none"/>
        </w:rPr>
        <w:t>，属于</w:t>
      </w:r>
      <w:r>
        <w:rPr>
          <w:rFonts w:hint="eastAsia" w:ascii="宋体" w:hAnsi="宋体" w:cs="宋体"/>
          <w:color w:val="auto"/>
          <w:highlight w:val="none"/>
          <w:u w:val="single"/>
        </w:rPr>
        <w:t>（其他未列明行业）</w:t>
      </w:r>
      <w:r>
        <w:rPr>
          <w:rFonts w:hint="eastAsia" w:ascii="宋体" w:hAnsi="宋体" w:cs="宋体"/>
          <w:color w:val="auto"/>
          <w:highlight w:val="none"/>
        </w:rPr>
        <w:t>； 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，从业人员人</w:t>
      </w:r>
      <w:r>
        <w:rPr>
          <w:rFonts w:hint="eastAsia" w:ascii="宋体" w:hAnsi="宋体" w:cs="宋体"/>
          <w:color w:val="auto"/>
          <w:highlight w:val="none"/>
          <w:lang w:eastAsia="zh-CN"/>
        </w:rPr>
        <w:t>【】</w:t>
      </w:r>
      <w:r>
        <w:rPr>
          <w:rFonts w:hint="eastAsia" w:ascii="宋体" w:hAnsi="宋体" w:cs="宋体"/>
          <w:color w:val="auto"/>
          <w:highlight w:val="none"/>
        </w:rPr>
        <w:t>，营业收入为万</w:t>
      </w:r>
      <w:r>
        <w:rPr>
          <w:rFonts w:hint="eastAsia" w:ascii="宋体" w:hAnsi="宋体" w:cs="宋体"/>
          <w:color w:val="auto"/>
          <w:highlight w:val="none"/>
          <w:lang w:eastAsia="zh-CN"/>
        </w:rPr>
        <w:t>【】</w:t>
      </w:r>
      <w:r>
        <w:rPr>
          <w:rFonts w:hint="eastAsia" w:ascii="宋体" w:hAnsi="宋体" w:cs="宋体"/>
          <w:color w:val="auto"/>
          <w:highlight w:val="none"/>
        </w:rPr>
        <w:t>元，资产总额为万</w:t>
      </w:r>
      <w:r>
        <w:rPr>
          <w:rFonts w:hint="eastAsia" w:ascii="宋体" w:hAnsi="宋体" w:cs="宋体"/>
          <w:color w:val="auto"/>
          <w:highlight w:val="none"/>
          <w:lang w:eastAsia="zh-CN"/>
        </w:rPr>
        <w:t>【】</w:t>
      </w:r>
      <w:r>
        <w:rPr>
          <w:rFonts w:hint="eastAsia" w:ascii="宋体" w:hAnsi="宋体" w:cs="宋体"/>
          <w:color w:val="auto"/>
          <w:highlight w:val="none"/>
        </w:rPr>
        <w:t>元</w:t>
      </w:r>
      <w:r>
        <w:rPr>
          <w:rFonts w:hint="eastAsia" w:ascii="宋体" w:hAnsi="宋体" w:cs="宋体"/>
          <w:color w:val="auto"/>
          <w:highlight w:val="none"/>
          <w:vertAlign w:val="superscript"/>
        </w:rPr>
        <w:t>1</w:t>
      </w:r>
      <w:r>
        <w:rPr>
          <w:rFonts w:hint="eastAsia" w:ascii="宋体" w:hAnsi="宋体" w:cs="宋体"/>
          <w:color w:val="auto"/>
          <w:highlight w:val="none"/>
        </w:rPr>
        <w:t>，属于</w:t>
      </w:r>
      <w:r>
        <w:rPr>
          <w:rFonts w:hint="eastAsia" w:ascii="宋体" w:hAnsi="宋体" w:cs="宋体"/>
          <w:color w:val="auto"/>
          <w:highlight w:val="none"/>
          <w:u w:val="single"/>
        </w:rPr>
        <w:t>（中型企业、 小型企业、微型企业）</w:t>
      </w:r>
      <w:r>
        <w:rPr>
          <w:rFonts w:hint="eastAsia" w:ascii="宋体" w:hAnsi="宋体" w:cs="宋体"/>
          <w:color w:val="auto"/>
          <w:highlight w:val="none"/>
        </w:rPr>
        <w:t>；</w:t>
      </w:r>
    </w:p>
    <w:p w14:paraId="6380CC15">
      <w:pPr>
        <w:spacing w:line="360" w:lineRule="auto"/>
        <w:ind w:firstLine="420"/>
        <w:jc w:val="left"/>
        <w:rPr>
          <w:rFonts w:ascii="宋体" w:hAnsi="宋体" w:cs="宋体"/>
          <w:color w:val="auto"/>
          <w:highlight w:val="none"/>
        </w:rPr>
      </w:pPr>
      <w:r>
        <w:rPr>
          <w:rFonts w:hint="eastAsia" w:ascii="宋体" w:hAnsi="宋体" w:cs="宋体"/>
          <w:color w:val="auto"/>
          <w:highlight w:val="none"/>
        </w:rPr>
        <w:t xml:space="preserve"> …… </w:t>
      </w:r>
    </w:p>
    <w:p w14:paraId="0D06C926">
      <w:pPr>
        <w:spacing w:line="360" w:lineRule="auto"/>
        <w:ind w:firstLine="420"/>
        <w:jc w:val="left"/>
        <w:rPr>
          <w:rFonts w:ascii="宋体" w:hAnsi="宋体" w:cs="宋体"/>
          <w:color w:val="auto"/>
          <w:highlight w:val="none"/>
        </w:rPr>
      </w:pPr>
      <w:r>
        <w:rPr>
          <w:rFonts w:hint="eastAsia" w:ascii="宋体" w:hAnsi="宋体" w:cs="宋体"/>
          <w:color w:val="auto"/>
          <w:highlight w:val="none"/>
        </w:rPr>
        <w:t xml:space="preserve">以上企业，不属于大企业的分支机构，不存在控股股东为大企业的情形，也不存在与大企业的负责人为同一人的情形。 本企业对上述声明内容的真实性负责。如有虚假，将依法承担相应责任。 </w:t>
      </w:r>
    </w:p>
    <w:p w14:paraId="31E4D405">
      <w:pPr>
        <w:spacing w:line="360" w:lineRule="auto"/>
        <w:ind w:left="4200"/>
        <w:rPr>
          <w:rFonts w:ascii="宋体" w:hAnsi="宋体" w:cs="宋体"/>
          <w:color w:val="auto"/>
          <w:highlight w:val="none"/>
        </w:rPr>
      </w:pPr>
    </w:p>
    <w:p w14:paraId="64FAA1A6">
      <w:pPr>
        <w:spacing w:line="360" w:lineRule="auto"/>
        <w:ind w:left="4200"/>
        <w:rPr>
          <w:rFonts w:ascii="宋体" w:hAnsi="宋体" w:cs="宋体"/>
          <w:color w:val="auto"/>
          <w:highlight w:val="none"/>
        </w:rPr>
      </w:pPr>
      <w:r>
        <w:rPr>
          <w:rFonts w:hint="eastAsia" w:ascii="宋体" w:hAnsi="宋体" w:cs="宋体"/>
          <w:color w:val="auto"/>
          <w:highlight w:val="none"/>
        </w:rPr>
        <w:t>企业名称（签章）：</w:t>
      </w:r>
    </w:p>
    <w:p w14:paraId="5D3F0239">
      <w:pPr>
        <w:spacing w:line="360" w:lineRule="auto"/>
        <w:ind w:left="4200"/>
        <w:rPr>
          <w:rFonts w:ascii="宋体" w:hAnsi="宋体" w:cs="宋体"/>
          <w:color w:val="auto"/>
          <w:sz w:val="32"/>
          <w:szCs w:val="32"/>
          <w:highlight w:val="none"/>
          <w:lang w:val="zh-CN"/>
        </w:rPr>
      </w:pPr>
      <w:r>
        <w:rPr>
          <w:rFonts w:hint="eastAsia" w:ascii="宋体" w:hAnsi="宋体" w:cs="宋体"/>
          <w:color w:val="auto"/>
          <w:highlight w:val="none"/>
        </w:rPr>
        <w:t>日 期：</w:t>
      </w:r>
    </w:p>
    <w:p w14:paraId="424A1A3D">
      <w:pPr>
        <w:spacing w:line="360" w:lineRule="auto"/>
        <w:jc w:val="left"/>
        <w:rPr>
          <w:rFonts w:ascii="宋体" w:hAnsi="宋体" w:cs="宋体"/>
          <w:color w:val="auto"/>
          <w:highlight w:val="none"/>
        </w:rPr>
      </w:pPr>
    </w:p>
    <w:p w14:paraId="3F1024B8">
      <w:pPr>
        <w:spacing w:line="360" w:lineRule="auto"/>
        <w:jc w:val="left"/>
        <w:rPr>
          <w:rFonts w:ascii="宋体" w:hAnsi="宋体" w:cs="宋体"/>
          <w:color w:val="auto"/>
          <w:highlight w:val="none"/>
        </w:rPr>
      </w:pPr>
    </w:p>
    <w:p w14:paraId="1773262D">
      <w:pPr>
        <w:pStyle w:val="33"/>
        <w:spacing w:line="240" w:lineRule="auto"/>
        <w:ind w:firstLine="0"/>
        <w:rPr>
          <w:rFonts w:ascii="宋体" w:hAnsi="宋体" w:cs="宋体"/>
          <w:b w:val="0"/>
          <w:bCs w:val="0"/>
          <w:color w:val="auto"/>
          <w:sz w:val="21"/>
          <w:szCs w:val="24"/>
          <w:highlight w:val="none"/>
        </w:rPr>
      </w:pPr>
      <w:r>
        <w:rPr>
          <w:rFonts w:hint="eastAsia" w:ascii="宋体" w:hAnsi="宋体" w:cs="宋体"/>
          <w:b w:val="0"/>
          <w:bCs w:val="0"/>
          <w:color w:val="auto"/>
          <w:sz w:val="21"/>
          <w:szCs w:val="24"/>
          <w:highlight w:val="none"/>
        </w:rPr>
        <w:t>备注：1.从业人员、营业收入、资产总额填报上一年度数据，无上一年度数据的新成立企业可不填报。</w:t>
      </w:r>
    </w:p>
    <w:p w14:paraId="7F2C206E">
      <w:pPr>
        <w:pStyle w:val="33"/>
        <w:spacing w:line="240" w:lineRule="auto"/>
        <w:ind w:firstLine="630"/>
        <w:rPr>
          <w:rFonts w:ascii="宋体" w:hAnsi="宋体" w:cs="宋体"/>
          <w:b w:val="0"/>
          <w:bCs w:val="0"/>
          <w:color w:val="auto"/>
          <w:sz w:val="21"/>
          <w:szCs w:val="24"/>
          <w:highlight w:val="none"/>
        </w:rPr>
      </w:pPr>
      <w:r>
        <w:rPr>
          <w:rFonts w:hint="eastAsia" w:ascii="宋体" w:hAnsi="宋体" w:cs="宋体"/>
          <w:b w:val="0"/>
          <w:bCs w:val="0"/>
          <w:color w:val="auto"/>
          <w:sz w:val="21"/>
          <w:szCs w:val="24"/>
          <w:highlight w:val="none"/>
        </w:rPr>
        <w:t>2.在服务采购项目中，服务由中小企业承接，即提供服务的人员为中小企业依照《中华人民共和国劳动合同法》订立劳动合同的从业人员。</w:t>
      </w:r>
      <w:r>
        <w:rPr>
          <w:rFonts w:hint="eastAsia" w:ascii="宋体" w:hAnsi="宋体" w:cs="宋体"/>
          <w:color w:val="auto"/>
          <w:sz w:val="21"/>
          <w:szCs w:val="24"/>
          <w:highlight w:val="none"/>
        </w:rPr>
        <w:t>服务类项目中供应商若使用退休人员，将不享受相应扶持政策。</w:t>
      </w:r>
    </w:p>
    <w:p w14:paraId="1EC1925A">
      <w:pPr>
        <w:pStyle w:val="33"/>
        <w:spacing w:line="240" w:lineRule="auto"/>
        <w:ind w:firstLine="630"/>
        <w:rPr>
          <w:rFonts w:ascii="宋体" w:hAnsi="宋体" w:cs="宋体"/>
          <w:color w:val="auto"/>
          <w:sz w:val="21"/>
          <w:szCs w:val="24"/>
          <w:highlight w:val="none"/>
        </w:rPr>
      </w:pPr>
      <w:r>
        <w:rPr>
          <w:rFonts w:hint="eastAsia" w:ascii="宋体" w:hAnsi="宋体" w:cs="宋体"/>
          <w:b w:val="0"/>
          <w:bCs w:val="0"/>
          <w:color w:val="auto"/>
          <w:sz w:val="21"/>
          <w:szCs w:val="24"/>
          <w:highlight w:val="none"/>
        </w:rPr>
        <w:t>3.《中小企业声明函》中所填的行业应与本采购标的对应的中小企业划分标准所属行业一致，不一致的不可享受相应政策优惠。</w:t>
      </w:r>
      <w:r>
        <w:rPr>
          <w:rFonts w:hint="eastAsia" w:ascii="宋体" w:hAnsi="宋体" w:cs="宋体"/>
          <w:color w:val="auto"/>
          <w:sz w:val="21"/>
          <w:szCs w:val="24"/>
          <w:highlight w:val="none"/>
        </w:rPr>
        <w:t>本采购标的对应的中小企业划分标准所属行业，以采购文件中具体规定为准。</w:t>
      </w:r>
    </w:p>
    <w:p w14:paraId="4FAF6570">
      <w:pPr>
        <w:pStyle w:val="33"/>
        <w:spacing w:line="240" w:lineRule="auto"/>
        <w:ind w:firstLine="632"/>
        <w:rPr>
          <w:rFonts w:ascii="宋体" w:hAnsi="宋体" w:cs="宋体"/>
          <w:color w:val="auto"/>
          <w:sz w:val="21"/>
          <w:szCs w:val="24"/>
          <w:highlight w:val="none"/>
        </w:rPr>
      </w:pPr>
      <w:r>
        <w:rPr>
          <w:rFonts w:hint="eastAsia" w:ascii="宋体" w:hAnsi="宋体" w:cs="宋体"/>
          <w:color w:val="auto"/>
          <w:sz w:val="21"/>
          <w:szCs w:val="24"/>
          <w:highlight w:val="none"/>
        </w:rPr>
        <w:t>4.如未对（中型企业、小型企业、微型企业）进行勾选，视同非中小微企业，不可享受相应扶持政策。</w:t>
      </w:r>
    </w:p>
    <w:p w14:paraId="21477074">
      <w:pPr>
        <w:pStyle w:val="224"/>
        <w:spacing w:line="360" w:lineRule="auto"/>
        <w:ind w:left="840" w:hanging="210"/>
        <w:rPr>
          <w:rFonts w:hAnsi="宋体" w:eastAsia="宋体" w:cs="宋体"/>
          <w:color w:val="auto"/>
          <w:sz w:val="21"/>
          <w:szCs w:val="24"/>
          <w:highlight w:val="none"/>
          <w:lang w:val="zh-CN"/>
        </w:rPr>
      </w:pPr>
      <w:r>
        <w:rPr>
          <w:rFonts w:hint="eastAsia" w:hAnsi="宋体" w:eastAsia="宋体" w:cs="宋体"/>
          <w:color w:val="auto"/>
          <w:sz w:val="21"/>
          <w:szCs w:val="24"/>
          <w:highlight w:val="none"/>
        </w:rPr>
        <w:t>5.成交单位为中小企业的，《中小企业声明函》将随成交结果同时公告</w:t>
      </w:r>
      <w:r>
        <w:rPr>
          <w:rFonts w:hint="eastAsia" w:hAnsi="宋体" w:eastAsia="宋体" w:cs="宋体"/>
          <w:color w:val="auto"/>
          <w:sz w:val="21"/>
          <w:szCs w:val="24"/>
          <w:highlight w:val="none"/>
          <w:lang w:val="zh-CN"/>
        </w:rPr>
        <w:t>。</w:t>
      </w:r>
    </w:p>
    <w:p w14:paraId="3E7A2ADA">
      <w:pPr>
        <w:pStyle w:val="224"/>
        <w:spacing w:line="360" w:lineRule="auto"/>
        <w:ind w:left="840" w:hanging="210"/>
        <w:rPr>
          <w:rFonts w:hAnsi="宋体" w:eastAsia="宋体" w:cs="宋体"/>
          <w:color w:val="auto"/>
          <w:sz w:val="21"/>
          <w:szCs w:val="24"/>
          <w:highlight w:val="none"/>
          <w:lang w:val="zh-CN"/>
        </w:rPr>
      </w:pPr>
    </w:p>
    <w:p w14:paraId="20064264">
      <w:pPr>
        <w:rPr>
          <w:rFonts w:ascii="宋体" w:hAnsi="宋体" w:cs="宋体"/>
          <w:b/>
          <w:color w:val="auto"/>
          <w:highlight w:val="none"/>
        </w:rPr>
      </w:pPr>
      <w:r>
        <w:rPr>
          <w:rFonts w:hint="eastAsia" w:ascii="宋体" w:hAnsi="宋体" w:cs="宋体"/>
          <w:b/>
          <w:color w:val="auto"/>
          <w:highlight w:val="none"/>
        </w:rPr>
        <w:t>附：中小企业划型标准规定</w:t>
      </w:r>
    </w:p>
    <w:p w14:paraId="6052FD50">
      <w:pPr>
        <w:ind w:firstLine="422"/>
        <w:rPr>
          <w:rFonts w:ascii="宋体" w:hAnsi="宋体" w:cs="宋体"/>
          <w:color w:val="auto"/>
          <w:highlight w:val="none"/>
        </w:rPr>
      </w:pPr>
      <w:r>
        <w:rPr>
          <w:rFonts w:hint="eastAsia" w:ascii="宋体" w:hAnsi="宋体" w:cs="宋体"/>
          <w:b/>
          <w:color w:val="auto"/>
          <w:highlight w:val="none"/>
        </w:rPr>
        <w:t>（一）农、林、牧、渔业。</w:t>
      </w:r>
      <w:r>
        <w:rPr>
          <w:rFonts w:hint="eastAsia" w:ascii="宋体" w:hAnsi="宋体" w:cs="宋体"/>
          <w:color w:val="auto"/>
          <w:highlight w:val="none"/>
        </w:rPr>
        <w:t>营业收入20000万元以下的为中小微型企业。其中，营业收入500万元及以上的为中型企业，营业收入50万元及以上的为小型企业，营业收入50万元以下的为微型企业。</w:t>
      </w:r>
    </w:p>
    <w:p w14:paraId="0BD8668E">
      <w:pPr>
        <w:ind w:firstLine="422"/>
        <w:rPr>
          <w:rFonts w:ascii="宋体" w:hAnsi="宋体" w:cs="宋体"/>
          <w:color w:val="auto"/>
          <w:highlight w:val="none"/>
        </w:rPr>
      </w:pPr>
      <w:r>
        <w:rPr>
          <w:rFonts w:hint="eastAsia" w:ascii="宋体" w:hAnsi="宋体" w:cs="宋体"/>
          <w:b/>
          <w:color w:val="auto"/>
          <w:highlight w:val="none"/>
        </w:rPr>
        <w:t>（二）工业。</w:t>
      </w:r>
      <w:r>
        <w:rPr>
          <w:rFonts w:hint="eastAsia" w:ascii="宋体" w:hAnsi="宋体" w:cs="宋体"/>
          <w:color w:val="auto"/>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F246DC">
      <w:pPr>
        <w:ind w:firstLine="422"/>
        <w:rPr>
          <w:rFonts w:ascii="宋体" w:hAnsi="宋体" w:cs="宋体"/>
          <w:color w:val="auto"/>
          <w:highlight w:val="none"/>
        </w:rPr>
      </w:pPr>
      <w:r>
        <w:rPr>
          <w:rFonts w:hint="eastAsia" w:ascii="宋体" w:hAnsi="宋体" w:cs="宋体"/>
          <w:b/>
          <w:color w:val="auto"/>
          <w:highlight w:val="none"/>
        </w:rPr>
        <w:t>（三）建筑业。</w:t>
      </w:r>
      <w:r>
        <w:rPr>
          <w:rFonts w:hint="eastAsia" w:ascii="宋体" w:hAnsi="宋体" w:cs="宋体"/>
          <w:color w:val="auto"/>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5898A73">
      <w:pPr>
        <w:ind w:firstLine="422"/>
        <w:rPr>
          <w:rFonts w:ascii="宋体" w:hAnsi="宋体" w:cs="宋体"/>
          <w:color w:val="auto"/>
          <w:highlight w:val="none"/>
        </w:rPr>
      </w:pPr>
      <w:r>
        <w:rPr>
          <w:rFonts w:hint="eastAsia" w:ascii="宋体" w:hAnsi="宋体" w:cs="宋体"/>
          <w:b/>
          <w:color w:val="auto"/>
          <w:highlight w:val="none"/>
        </w:rPr>
        <w:t>（四）批发业。</w:t>
      </w:r>
      <w:r>
        <w:rPr>
          <w:rFonts w:hint="eastAsia" w:ascii="宋体" w:hAnsi="宋体" w:cs="宋体"/>
          <w:color w:val="auto"/>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C91D3E">
      <w:pPr>
        <w:ind w:firstLine="422"/>
        <w:rPr>
          <w:rFonts w:ascii="宋体" w:hAnsi="宋体" w:cs="宋体"/>
          <w:color w:val="auto"/>
          <w:highlight w:val="none"/>
        </w:rPr>
      </w:pPr>
      <w:r>
        <w:rPr>
          <w:rFonts w:hint="eastAsia" w:ascii="宋体" w:hAnsi="宋体" w:cs="宋体"/>
          <w:b/>
          <w:color w:val="auto"/>
          <w:highlight w:val="none"/>
        </w:rPr>
        <w:t>（五）零售业。</w:t>
      </w:r>
      <w:r>
        <w:rPr>
          <w:rFonts w:hint="eastAsia" w:ascii="宋体" w:hAnsi="宋体" w:cs="宋体"/>
          <w:color w:val="auto"/>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03295F4">
      <w:pPr>
        <w:ind w:firstLine="422"/>
        <w:rPr>
          <w:rFonts w:ascii="宋体" w:hAnsi="宋体" w:cs="宋体"/>
          <w:color w:val="auto"/>
          <w:highlight w:val="none"/>
        </w:rPr>
      </w:pPr>
      <w:r>
        <w:rPr>
          <w:rFonts w:hint="eastAsia" w:ascii="宋体" w:hAnsi="宋体" w:cs="宋体"/>
          <w:b/>
          <w:color w:val="auto"/>
          <w:highlight w:val="none"/>
        </w:rPr>
        <w:t>（六）交通运输业。</w:t>
      </w:r>
      <w:r>
        <w:rPr>
          <w:rFonts w:hint="eastAsia" w:ascii="宋体" w:hAnsi="宋体" w:cs="宋体"/>
          <w:color w:val="auto"/>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47288BD">
      <w:pPr>
        <w:ind w:firstLine="422"/>
        <w:rPr>
          <w:rFonts w:ascii="宋体" w:hAnsi="宋体" w:cs="宋体"/>
          <w:color w:val="auto"/>
          <w:highlight w:val="none"/>
        </w:rPr>
      </w:pPr>
      <w:r>
        <w:rPr>
          <w:rFonts w:hint="eastAsia" w:ascii="宋体" w:hAnsi="宋体" w:cs="宋体"/>
          <w:b/>
          <w:color w:val="auto"/>
          <w:highlight w:val="none"/>
        </w:rPr>
        <w:t>（七）仓储业。</w:t>
      </w:r>
      <w:r>
        <w:rPr>
          <w:rFonts w:hint="eastAsia" w:ascii="宋体" w:hAnsi="宋体" w:cs="宋体"/>
          <w:color w:val="auto"/>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D0BBCB9">
      <w:pPr>
        <w:ind w:firstLine="422"/>
        <w:rPr>
          <w:rFonts w:ascii="宋体" w:hAnsi="宋体" w:cs="宋体"/>
          <w:color w:val="auto"/>
          <w:highlight w:val="none"/>
        </w:rPr>
      </w:pPr>
      <w:r>
        <w:rPr>
          <w:rFonts w:hint="eastAsia" w:ascii="宋体" w:hAnsi="宋体" w:cs="宋体"/>
          <w:b/>
          <w:color w:val="auto"/>
          <w:highlight w:val="none"/>
        </w:rPr>
        <w:t>（八）邮政业。</w:t>
      </w:r>
      <w:r>
        <w:rPr>
          <w:rFonts w:hint="eastAsia" w:ascii="宋体" w:hAnsi="宋体" w:cs="宋体"/>
          <w:color w:val="auto"/>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6A5A49">
      <w:pPr>
        <w:ind w:firstLine="422"/>
        <w:rPr>
          <w:rFonts w:ascii="宋体" w:hAnsi="宋体" w:cs="宋体"/>
          <w:color w:val="auto"/>
          <w:highlight w:val="none"/>
        </w:rPr>
      </w:pPr>
      <w:r>
        <w:rPr>
          <w:rFonts w:hint="eastAsia" w:ascii="宋体" w:hAnsi="宋体" w:cs="宋体"/>
          <w:b/>
          <w:color w:val="auto"/>
          <w:highlight w:val="none"/>
        </w:rPr>
        <w:t>（九）住宿业。</w:t>
      </w:r>
      <w:r>
        <w:rPr>
          <w:rFonts w:hint="eastAsia" w:ascii="宋体" w:hAnsi="宋体" w:cs="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3D38BF">
      <w:pPr>
        <w:ind w:firstLine="422"/>
        <w:rPr>
          <w:rFonts w:ascii="宋体" w:hAnsi="宋体" w:cs="宋体"/>
          <w:color w:val="auto"/>
          <w:highlight w:val="none"/>
        </w:rPr>
      </w:pPr>
      <w:r>
        <w:rPr>
          <w:rFonts w:hint="eastAsia" w:ascii="宋体" w:hAnsi="宋体" w:cs="宋体"/>
          <w:b/>
          <w:color w:val="auto"/>
          <w:highlight w:val="none"/>
        </w:rPr>
        <w:t>（十）餐饮业。</w:t>
      </w:r>
      <w:r>
        <w:rPr>
          <w:rFonts w:hint="eastAsia" w:ascii="宋体" w:hAnsi="宋体" w:cs="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84EBB21">
      <w:pPr>
        <w:ind w:firstLine="422"/>
        <w:rPr>
          <w:rFonts w:ascii="宋体" w:hAnsi="宋体" w:cs="宋体"/>
          <w:color w:val="auto"/>
          <w:highlight w:val="none"/>
        </w:rPr>
      </w:pPr>
      <w:r>
        <w:rPr>
          <w:rFonts w:hint="eastAsia" w:ascii="宋体" w:hAnsi="宋体" w:cs="宋体"/>
          <w:b/>
          <w:color w:val="auto"/>
          <w:highlight w:val="none"/>
        </w:rPr>
        <w:t>（十一）信息传输业。</w:t>
      </w:r>
      <w:r>
        <w:rPr>
          <w:rFonts w:hint="eastAsia" w:ascii="宋体" w:hAnsi="宋体" w:cs="宋体"/>
          <w:color w:val="auto"/>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EE66506">
      <w:pPr>
        <w:ind w:firstLine="422"/>
        <w:rPr>
          <w:rFonts w:ascii="宋体" w:hAnsi="宋体" w:cs="宋体"/>
          <w:color w:val="auto"/>
          <w:highlight w:val="none"/>
        </w:rPr>
      </w:pPr>
      <w:r>
        <w:rPr>
          <w:rFonts w:hint="eastAsia" w:ascii="宋体" w:hAnsi="宋体" w:cs="宋体"/>
          <w:b/>
          <w:color w:val="auto"/>
          <w:highlight w:val="none"/>
        </w:rPr>
        <w:t>（十二）软件和信息技术服务业。</w:t>
      </w:r>
      <w:r>
        <w:rPr>
          <w:rFonts w:hint="eastAsia" w:ascii="宋体" w:hAnsi="宋体" w:cs="宋体"/>
          <w:color w:val="auto"/>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ADF21E8">
      <w:pPr>
        <w:ind w:firstLine="422"/>
        <w:rPr>
          <w:rFonts w:ascii="宋体" w:hAnsi="宋体" w:cs="宋体"/>
          <w:color w:val="auto"/>
          <w:highlight w:val="none"/>
        </w:rPr>
      </w:pPr>
      <w:r>
        <w:rPr>
          <w:rFonts w:hint="eastAsia" w:ascii="宋体" w:hAnsi="宋体" w:cs="宋体"/>
          <w:b/>
          <w:color w:val="auto"/>
          <w:highlight w:val="none"/>
        </w:rPr>
        <w:t>（十三）房地产开发经营。</w:t>
      </w:r>
      <w:r>
        <w:rPr>
          <w:rFonts w:hint="eastAsia" w:ascii="宋体" w:hAnsi="宋体" w:cs="宋体"/>
          <w:color w:val="auto"/>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1B2D4EA">
      <w:pPr>
        <w:ind w:firstLine="422"/>
        <w:rPr>
          <w:rFonts w:ascii="宋体" w:hAnsi="宋体" w:cs="宋体"/>
          <w:color w:val="auto"/>
          <w:highlight w:val="none"/>
        </w:rPr>
      </w:pPr>
      <w:r>
        <w:rPr>
          <w:rFonts w:hint="eastAsia" w:ascii="宋体" w:hAnsi="宋体" w:cs="宋体"/>
          <w:b/>
          <w:color w:val="auto"/>
          <w:highlight w:val="none"/>
        </w:rPr>
        <w:t>（十四）物业管理。</w:t>
      </w:r>
      <w:r>
        <w:rPr>
          <w:rFonts w:hint="eastAsia" w:ascii="宋体" w:hAnsi="宋体" w:cs="宋体"/>
          <w:color w:val="auto"/>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B3001AC">
      <w:pPr>
        <w:ind w:firstLine="422"/>
        <w:rPr>
          <w:rFonts w:ascii="宋体" w:hAnsi="宋体" w:cs="宋体"/>
          <w:color w:val="auto"/>
          <w:highlight w:val="none"/>
        </w:rPr>
      </w:pPr>
      <w:r>
        <w:rPr>
          <w:rFonts w:hint="eastAsia" w:ascii="宋体" w:hAnsi="宋体" w:cs="宋体"/>
          <w:b/>
          <w:color w:val="auto"/>
          <w:highlight w:val="none"/>
        </w:rPr>
        <w:t>（十五）租赁和商务服务业。</w:t>
      </w:r>
      <w:r>
        <w:rPr>
          <w:rFonts w:hint="eastAsia" w:ascii="宋体" w:hAnsi="宋体" w:cs="宋体"/>
          <w:color w:val="auto"/>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4626452">
      <w:pPr>
        <w:pStyle w:val="224"/>
        <w:ind w:firstLine="422"/>
        <w:rPr>
          <w:rFonts w:hAnsi="宋体" w:eastAsia="宋体" w:cs="宋体"/>
          <w:color w:val="auto"/>
          <w:sz w:val="21"/>
          <w:szCs w:val="21"/>
          <w:highlight w:val="none"/>
          <w:lang w:val="zh-CN"/>
        </w:rPr>
      </w:pPr>
      <w:r>
        <w:rPr>
          <w:rFonts w:hint="eastAsia" w:hAnsi="宋体" w:eastAsia="宋体" w:cs="宋体"/>
          <w:b/>
          <w:color w:val="auto"/>
          <w:sz w:val="21"/>
          <w:szCs w:val="24"/>
          <w:highlight w:val="none"/>
        </w:rPr>
        <w:t>（十六）其他未列明行业。</w:t>
      </w:r>
      <w:r>
        <w:rPr>
          <w:rFonts w:hint="eastAsia" w:hAnsi="宋体" w:eastAsia="宋体" w:cs="宋体"/>
          <w:color w:val="auto"/>
          <w:sz w:val="21"/>
          <w:szCs w:val="24"/>
          <w:highlight w:val="none"/>
        </w:rPr>
        <w:t>从业人员300人以下的为中小微型企业。其中，从业人员100人及以上的为中型企业；从业人员10人及以上的为小型企业；从业人员10人以下的为微型企业。</w:t>
      </w:r>
    </w:p>
    <w:p w14:paraId="5872A05D">
      <w:pPr>
        <w:spacing w:line="400" w:lineRule="exact"/>
        <w:jc w:val="center"/>
        <w:rPr>
          <w:rFonts w:ascii="宋体" w:hAnsi="宋体" w:cs="宋体"/>
          <w:color w:val="auto"/>
          <w:sz w:val="32"/>
          <w:szCs w:val="32"/>
          <w:highlight w:val="none"/>
          <w:lang w:val="zh-CN"/>
        </w:rPr>
      </w:pPr>
    </w:p>
    <w:p w14:paraId="32800AC3">
      <w:pPr>
        <w:spacing w:line="360" w:lineRule="auto"/>
        <w:jc w:val="right"/>
        <w:rPr>
          <w:rFonts w:ascii="宋体" w:hAnsi="宋体" w:cs="宋体"/>
          <w:color w:val="auto"/>
          <w:szCs w:val="21"/>
          <w:highlight w:val="none"/>
        </w:rPr>
      </w:pPr>
    </w:p>
    <w:p w14:paraId="5747CF35">
      <w:pPr>
        <w:pageBreakBefore/>
        <w:spacing w:line="360" w:lineRule="auto"/>
        <w:outlineLvl w:val="1"/>
        <w:rPr>
          <w:rFonts w:ascii="宋体" w:hAnsi="宋体" w:cs="宋体"/>
          <w:b/>
          <w:color w:val="auto"/>
          <w:szCs w:val="21"/>
          <w:highlight w:val="none"/>
        </w:rPr>
      </w:pPr>
      <w:r>
        <w:rPr>
          <w:rFonts w:hint="eastAsia" w:ascii="宋体" w:hAnsi="宋体" w:cs="宋体"/>
          <w:b/>
          <w:color w:val="auto"/>
          <w:highlight w:val="none"/>
        </w:rPr>
        <w:t>附件1</w:t>
      </w:r>
      <w:r>
        <w:rPr>
          <w:rFonts w:hint="eastAsia" w:ascii="宋体" w:hAnsi="宋体" w:cs="宋体"/>
          <w:b/>
          <w:color w:val="auto"/>
          <w:highlight w:val="none"/>
          <w:lang w:val="en-US" w:eastAsia="zh-CN"/>
        </w:rPr>
        <w:t>3</w:t>
      </w:r>
      <w:r>
        <w:rPr>
          <w:rFonts w:hint="eastAsia" w:ascii="宋体" w:hAnsi="宋体" w:cs="宋体"/>
          <w:b/>
          <w:color w:val="auto"/>
          <w:highlight w:val="none"/>
        </w:rPr>
        <w:t>：</w:t>
      </w:r>
      <w:r>
        <w:rPr>
          <w:rFonts w:hint="eastAsia" w:ascii="宋体" w:hAnsi="宋体" w:cs="宋体"/>
          <w:b/>
          <w:color w:val="auto"/>
          <w:szCs w:val="21"/>
          <w:highlight w:val="none"/>
        </w:rPr>
        <w:t>残疾人福利性单位声明函</w:t>
      </w:r>
    </w:p>
    <w:p w14:paraId="13A7F548">
      <w:pPr>
        <w:spacing w:line="360" w:lineRule="auto"/>
        <w:jc w:val="center"/>
        <w:rPr>
          <w:rFonts w:ascii="宋体" w:hAnsi="宋体" w:cs="宋体"/>
          <w:b/>
          <w:color w:val="auto"/>
          <w:spacing w:val="6"/>
          <w:szCs w:val="21"/>
          <w:highlight w:val="none"/>
        </w:rPr>
      </w:pPr>
    </w:p>
    <w:p w14:paraId="491404A6">
      <w:pPr>
        <w:spacing w:line="360" w:lineRule="auto"/>
        <w:jc w:val="center"/>
        <w:rPr>
          <w:rFonts w:ascii="宋体" w:hAnsi="宋体" w:cs="宋体"/>
          <w:b/>
          <w:color w:val="auto"/>
          <w:spacing w:val="6"/>
          <w:szCs w:val="21"/>
          <w:highlight w:val="none"/>
        </w:rPr>
      </w:pPr>
      <w:r>
        <w:rPr>
          <w:rFonts w:hint="eastAsia" w:ascii="宋体" w:hAnsi="宋体" w:cs="宋体"/>
          <w:b/>
          <w:color w:val="auto"/>
          <w:spacing w:val="6"/>
          <w:szCs w:val="21"/>
          <w:highlight w:val="none"/>
        </w:rPr>
        <w:t>残疾人福利性单位声明函</w:t>
      </w:r>
    </w:p>
    <w:p w14:paraId="779F85C5">
      <w:pPr>
        <w:spacing w:line="360" w:lineRule="auto"/>
        <w:rPr>
          <w:rFonts w:ascii="宋体" w:hAnsi="宋体" w:cs="宋体"/>
          <w:b/>
          <w:color w:val="auto"/>
          <w:spacing w:val="6"/>
          <w:szCs w:val="21"/>
          <w:highlight w:val="none"/>
        </w:rPr>
      </w:pPr>
    </w:p>
    <w:p w14:paraId="3AD4A903">
      <w:pPr>
        <w:spacing w:line="360" w:lineRule="auto"/>
        <w:ind w:firstLine="444"/>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34CDDC">
      <w:pPr>
        <w:spacing w:line="360" w:lineRule="auto"/>
        <w:ind w:firstLine="444"/>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1F444D9D">
      <w:pPr>
        <w:spacing w:line="360" w:lineRule="auto"/>
        <w:ind w:firstLine="444"/>
        <w:rPr>
          <w:rFonts w:ascii="宋体" w:hAnsi="宋体" w:cs="宋体"/>
          <w:color w:val="auto"/>
          <w:spacing w:val="6"/>
          <w:szCs w:val="21"/>
          <w:highlight w:val="none"/>
        </w:rPr>
      </w:pPr>
    </w:p>
    <w:p w14:paraId="49534F16">
      <w:pPr>
        <w:spacing w:line="360" w:lineRule="auto"/>
        <w:ind w:left="4200"/>
        <w:rPr>
          <w:rFonts w:ascii="宋体" w:hAnsi="宋体" w:cs="宋体"/>
          <w:color w:val="auto"/>
          <w:highlight w:val="none"/>
        </w:rPr>
      </w:pPr>
      <w:r>
        <w:rPr>
          <w:rFonts w:hint="eastAsia" w:ascii="宋体" w:hAnsi="宋体" w:cs="宋体"/>
          <w:color w:val="auto"/>
          <w:highlight w:val="none"/>
        </w:rPr>
        <w:t>单位名称（签章）：</w:t>
      </w:r>
    </w:p>
    <w:p w14:paraId="1931E862">
      <w:pPr>
        <w:spacing w:line="360" w:lineRule="auto"/>
        <w:ind w:left="4200"/>
        <w:rPr>
          <w:rFonts w:ascii="宋体" w:hAnsi="宋体" w:cs="宋体"/>
          <w:color w:val="auto"/>
          <w:highlight w:val="none"/>
        </w:rPr>
      </w:pPr>
      <w:r>
        <w:rPr>
          <w:rFonts w:hint="eastAsia" w:ascii="宋体" w:hAnsi="宋体" w:cs="宋体"/>
          <w:color w:val="auto"/>
          <w:highlight w:val="none"/>
        </w:rPr>
        <w:t>日  期：</w:t>
      </w:r>
    </w:p>
    <w:p w14:paraId="5F27EDDB">
      <w:pPr>
        <w:spacing w:line="360" w:lineRule="auto"/>
        <w:ind w:firstLine="333"/>
        <w:rPr>
          <w:rFonts w:ascii="宋体" w:hAnsi="宋体" w:cs="宋体"/>
          <w:color w:val="auto"/>
          <w:spacing w:val="6"/>
          <w:szCs w:val="21"/>
          <w:highlight w:val="none"/>
        </w:rPr>
      </w:pPr>
    </w:p>
    <w:p w14:paraId="31C20F1B">
      <w:pPr>
        <w:spacing w:line="360" w:lineRule="auto"/>
        <w:ind w:firstLine="333"/>
        <w:rPr>
          <w:rFonts w:ascii="宋体" w:hAnsi="宋体" w:cs="宋体"/>
          <w:color w:val="auto"/>
          <w:spacing w:val="6"/>
          <w:szCs w:val="21"/>
          <w:highlight w:val="none"/>
        </w:rPr>
      </w:pPr>
    </w:p>
    <w:p w14:paraId="3D0E9432">
      <w:pPr>
        <w:spacing w:line="360" w:lineRule="auto"/>
        <w:ind w:left="666" w:hanging="666"/>
        <w:rPr>
          <w:rFonts w:ascii="宋体" w:hAnsi="宋体" w:cs="宋体"/>
          <w:color w:val="auto"/>
          <w:spacing w:val="6"/>
          <w:szCs w:val="21"/>
          <w:highlight w:val="none"/>
        </w:rPr>
      </w:pPr>
      <w:r>
        <w:rPr>
          <w:rFonts w:hint="eastAsia" w:ascii="宋体" w:hAnsi="宋体" w:cs="宋体"/>
          <w:color w:val="auto"/>
          <w:spacing w:val="6"/>
          <w:szCs w:val="21"/>
          <w:highlight w:val="none"/>
        </w:rPr>
        <w:t>备注：1、符合《关于促进残疾人就业政府采购政策的通知》（财库〔2017〕141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成交供应商为残疾人福利性单位的，采购人或者其委托的采购代理机构应当随中标、成交结果同时公告其《残疾人福利性单位声明函》，接受社会监督。</w:t>
      </w:r>
    </w:p>
    <w:p w14:paraId="706E969A">
      <w:pPr>
        <w:pStyle w:val="21"/>
        <w:spacing w:line="360" w:lineRule="auto"/>
        <w:rPr>
          <w:rFonts w:hAnsi="宋体" w:eastAsia="宋体" w:cs="宋体"/>
          <w:b/>
          <w:color w:val="auto"/>
          <w:sz w:val="21"/>
          <w:szCs w:val="21"/>
          <w:highlight w:val="none"/>
        </w:rPr>
      </w:pPr>
    </w:p>
    <w:p w14:paraId="481E83DF">
      <w:pPr>
        <w:pStyle w:val="21"/>
        <w:spacing w:line="360" w:lineRule="auto"/>
        <w:rPr>
          <w:rFonts w:hAnsi="宋体" w:eastAsia="宋体" w:cs="宋体"/>
          <w:b/>
          <w:color w:val="auto"/>
          <w:sz w:val="21"/>
          <w:szCs w:val="21"/>
          <w:highlight w:val="none"/>
        </w:rPr>
      </w:pPr>
    </w:p>
    <w:p w14:paraId="1A7CFF33">
      <w:pPr>
        <w:pStyle w:val="21"/>
        <w:spacing w:line="360" w:lineRule="auto"/>
        <w:rPr>
          <w:rFonts w:hAnsi="宋体" w:eastAsia="宋体" w:cs="宋体"/>
          <w:b/>
          <w:color w:val="auto"/>
          <w:sz w:val="21"/>
          <w:szCs w:val="21"/>
          <w:highlight w:val="none"/>
        </w:rPr>
      </w:pPr>
    </w:p>
    <w:p w14:paraId="3F0670D6">
      <w:pPr>
        <w:pStyle w:val="21"/>
        <w:spacing w:line="360" w:lineRule="auto"/>
        <w:rPr>
          <w:rFonts w:hint="eastAsia" w:hAnsi="宋体" w:eastAsia="宋体" w:cs="宋体"/>
          <w:b/>
          <w:color w:val="auto"/>
          <w:sz w:val="21"/>
          <w:szCs w:val="21"/>
          <w:highlight w:val="none"/>
        </w:rPr>
      </w:pPr>
    </w:p>
    <w:p w14:paraId="54E8FD0B">
      <w:pPr>
        <w:pStyle w:val="21"/>
        <w:spacing w:line="360" w:lineRule="auto"/>
        <w:rPr>
          <w:rFonts w:hint="eastAsia" w:hAnsi="宋体" w:eastAsia="宋体" w:cs="宋体"/>
          <w:b/>
          <w:color w:val="auto"/>
          <w:sz w:val="21"/>
          <w:szCs w:val="21"/>
          <w:highlight w:val="none"/>
        </w:rPr>
      </w:pPr>
    </w:p>
    <w:p w14:paraId="5C8D5404">
      <w:pPr>
        <w:pStyle w:val="21"/>
        <w:spacing w:line="360" w:lineRule="auto"/>
        <w:rPr>
          <w:rFonts w:hint="eastAsia" w:hAnsi="宋体" w:eastAsia="宋体" w:cs="宋体"/>
          <w:b/>
          <w:color w:val="auto"/>
          <w:sz w:val="21"/>
          <w:szCs w:val="21"/>
          <w:highlight w:val="none"/>
        </w:rPr>
      </w:pPr>
    </w:p>
    <w:p w14:paraId="4764B75A">
      <w:pPr>
        <w:pStyle w:val="21"/>
        <w:spacing w:line="360" w:lineRule="auto"/>
        <w:rPr>
          <w:rFonts w:hint="eastAsia" w:hAnsi="宋体" w:eastAsia="宋体" w:cs="宋体"/>
          <w:b/>
          <w:color w:val="auto"/>
          <w:sz w:val="21"/>
          <w:szCs w:val="21"/>
          <w:highlight w:val="none"/>
        </w:rPr>
      </w:pPr>
    </w:p>
    <w:p w14:paraId="186C0CCD">
      <w:pPr>
        <w:pStyle w:val="21"/>
        <w:spacing w:line="360" w:lineRule="auto"/>
        <w:rPr>
          <w:rFonts w:hint="eastAsia" w:hAnsi="宋体" w:eastAsia="宋体" w:cs="宋体"/>
          <w:b/>
          <w:color w:val="auto"/>
          <w:sz w:val="21"/>
          <w:szCs w:val="21"/>
          <w:highlight w:val="none"/>
        </w:rPr>
      </w:pPr>
    </w:p>
    <w:p w14:paraId="24153192">
      <w:pPr>
        <w:pStyle w:val="21"/>
        <w:spacing w:line="360" w:lineRule="auto"/>
        <w:rPr>
          <w:rFonts w:hint="eastAsia" w:hAnsi="宋体" w:eastAsia="宋体" w:cs="宋体"/>
          <w:b/>
          <w:color w:val="auto"/>
          <w:sz w:val="21"/>
          <w:szCs w:val="21"/>
          <w:highlight w:val="none"/>
        </w:rPr>
      </w:pPr>
    </w:p>
    <w:p w14:paraId="77541137">
      <w:pPr>
        <w:pStyle w:val="21"/>
        <w:spacing w:line="360" w:lineRule="auto"/>
        <w:rPr>
          <w:rFonts w:hint="eastAsia" w:hAnsi="宋体" w:eastAsia="宋体" w:cs="宋体"/>
          <w:b/>
          <w:color w:val="auto"/>
          <w:sz w:val="21"/>
          <w:szCs w:val="21"/>
          <w:highlight w:val="none"/>
        </w:rPr>
      </w:pPr>
    </w:p>
    <w:p w14:paraId="42D6F751">
      <w:pPr>
        <w:pStyle w:val="21"/>
        <w:spacing w:line="360" w:lineRule="auto"/>
        <w:rPr>
          <w:rFonts w:hint="eastAsia" w:hAnsi="宋体" w:eastAsia="宋体" w:cs="宋体"/>
          <w:b/>
          <w:color w:val="auto"/>
          <w:sz w:val="21"/>
          <w:szCs w:val="21"/>
          <w:highlight w:val="none"/>
        </w:rPr>
      </w:pPr>
    </w:p>
    <w:p w14:paraId="5529F706">
      <w:pPr>
        <w:pStyle w:val="21"/>
        <w:spacing w:line="360" w:lineRule="auto"/>
        <w:rPr>
          <w:rFonts w:hint="eastAsia" w:hAnsi="宋体" w:eastAsia="宋体" w:cs="宋体"/>
          <w:b/>
          <w:color w:val="auto"/>
          <w:sz w:val="21"/>
          <w:szCs w:val="21"/>
          <w:highlight w:val="none"/>
        </w:rPr>
      </w:pPr>
    </w:p>
    <w:p w14:paraId="78357957">
      <w:pPr>
        <w:pStyle w:val="21"/>
        <w:spacing w:line="360" w:lineRule="auto"/>
        <w:rPr>
          <w:rFonts w:hint="eastAsia" w:hAnsi="宋体" w:eastAsia="宋体" w:cs="宋体"/>
          <w:b/>
          <w:color w:val="auto"/>
          <w:sz w:val="21"/>
          <w:szCs w:val="21"/>
          <w:highlight w:val="none"/>
        </w:rPr>
      </w:pPr>
    </w:p>
    <w:p w14:paraId="06C3BD52">
      <w:pPr>
        <w:pStyle w:val="21"/>
        <w:spacing w:line="360" w:lineRule="auto"/>
        <w:rPr>
          <w:rFonts w:hint="eastAsia" w:hAnsi="宋体" w:eastAsia="宋体" w:cs="宋体"/>
          <w:b/>
          <w:color w:val="auto"/>
          <w:sz w:val="21"/>
          <w:szCs w:val="21"/>
          <w:highlight w:val="none"/>
        </w:rPr>
      </w:pPr>
    </w:p>
    <w:p w14:paraId="2F779594">
      <w:pPr>
        <w:jc w:val="left"/>
        <w:rPr>
          <w:rFonts w:hint="eastAsia" w:ascii="宋体" w:hAnsi="宋体" w:eastAsia="宋体" w:cs="宋体"/>
          <w:color w:val="auto"/>
          <w:sz w:val="21"/>
          <w:szCs w:val="21"/>
          <w:highlight w:val="none"/>
        </w:rPr>
      </w:pPr>
      <w:r>
        <w:rPr>
          <w:rFonts w:hint="eastAsia" w:hAnsi="宋体" w:eastAsia="宋体" w:cs="宋体"/>
          <w:b/>
          <w:color w:val="auto"/>
          <w:sz w:val="21"/>
          <w:szCs w:val="21"/>
          <w:highlight w:val="none"/>
          <w:lang w:val="en-US" w:eastAsia="zh-CN"/>
        </w:rPr>
        <w:t>附件14：</w:t>
      </w:r>
      <w:r>
        <w:rPr>
          <w:rFonts w:hint="eastAsia" w:ascii="宋体" w:hAnsi="宋体" w:eastAsia="宋体" w:cs="宋体"/>
          <w:b/>
          <w:color w:val="auto"/>
          <w:sz w:val="21"/>
          <w:szCs w:val="21"/>
          <w:highlight w:val="none"/>
        </w:rPr>
        <w:t>关于符合本国产品标准的声明函（</w:t>
      </w:r>
      <w:r>
        <w:rPr>
          <w:rFonts w:hint="eastAsia" w:ascii="宋体" w:hAnsi="宋体" w:eastAsia="宋体" w:cs="宋体"/>
          <w:b/>
          <w:color w:val="auto"/>
          <w:sz w:val="21"/>
          <w:szCs w:val="21"/>
          <w:highlight w:val="none"/>
          <w:lang w:val="en-US" w:eastAsia="zh-CN"/>
        </w:rPr>
        <w:t>招标编号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w:t>
      </w:r>
    </w:p>
    <w:p w14:paraId="35143ED1">
      <w:pPr>
        <w:pStyle w:val="39"/>
        <w:spacing w:before="0" w:beforeAutospacing="0" w:after="0" w:afterAutospacing="0" w:line="0" w:lineRule="atLeast"/>
        <w:ind w:firstLine="420"/>
        <w:rPr>
          <w:rFonts w:hint="eastAsia" w:ascii="宋体" w:hAnsi="宋体" w:eastAsia="宋体" w:cs="宋体"/>
          <w:color w:val="auto"/>
          <w:sz w:val="21"/>
          <w:szCs w:val="21"/>
          <w:highlight w:val="none"/>
        </w:rPr>
      </w:pPr>
    </w:p>
    <w:p w14:paraId="57E060AE">
      <w:pPr>
        <w:pStyle w:val="39"/>
        <w:spacing w:before="0" w:beforeAutospacing="0" w:after="0" w:afterAutospacing="0" w:line="0" w:lineRule="atLeast"/>
        <w:ind w:firstLine="42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关于符合本国产品标准的声明函</w:t>
      </w:r>
    </w:p>
    <w:p w14:paraId="44A61692">
      <w:pPr>
        <w:pStyle w:val="39"/>
        <w:spacing w:before="0" w:beforeAutospacing="0" w:after="0" w:afterAutospacing="0" w:line="0" w:lineRule="atLeast"/>
        <w:ind w:firstLine="420"/>
        <w:jc w:val="center"/>
        <w:rPr>
          <w:rFonts w:hint="eastAsia" w:ascii="宋体" w:hAnsi="宋体" w:eastAsia="宋体" w:cs="宋体"/>
          <w:b/>
          <w:color w:val="auto"/>
          <w:sz w:val="21"/>
          <w:szCs w:val="21"/>
          <w:highlight w:val="none"/>
        </w:rPr>
      </w:pPr>
    </w:p>
    <w:p w14:paraId="586B584E">
      <w:pPr>
        <w:pStyle w:val="39"/>
        <w:spacing w:before="0" w:beforeAutospacing="0" w:after="0" w:afterAutospacing="0" w:line="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w:t>
      </w:r>
      <w:r>
        <w:rPr>
          <w:rFonts w:hint="eastAsia" w:ascii="宋体" w:hAnsi="宋体" w:eastAsia="宋体" w:cs="宋体"/>
          <w:color w:val="auto"/>
          <w:sz w:val="21"/>
          <w:szCs w:val="21"/>
          <w:highlight w:val="none"/>
          <w:u w:val="single"/>
        </w:rPr>
        <w:t>（单位）</w:t>
      </w:r>
      <w:r>
        <w:rPr>
          <w:rFonts w:hint="eastAsia" w:ascii="宋体" w:hAnsi="宋体" w:eastAsia="宋体" w:cs="宋体"/>
          <w:color w:val="auto"/>
          <w:sz w:val="21"/>
          <w:szCs w:val="21"/>
          <w:highlight w:val="none"/>
        </w:rPr>
        <w:t>郑重声明，根据《国务院办公厅关于在政府采购中实施本国产品标准及相关政策的通知》（国办发〔2025〕34号）的规定，本公司</w:t>
      </w:r>
      <w:r>
        <w:rPr>
          <w:rFonts w:hint="eastAsia" w:ascii="宋体" w:hAnsi="宋体" w:eastAsia="宋体" w:cs="宋体"/>
          <w:color w:val="auto"/>
          <w:sz w:val="21"/>
          <w:szCs w:val="21"/>
          <w:highlight w:val="none"/>
          <w:u w:val="single"/>
        </w:rPr>
        <w:t>（单位）</w:t>
      </w:r>
      <w:r>
        <w:rPr>
          <w:rFonts w:hint="eastAsia" w:ascii="宋体" w:hAnsi="宋体" w:eastAsia="宋体" w:cs="宋体"/>
          <w:color w:val="auto"/>
          <w:sz w:val="21"/>
          <w:szCs w:val="21"/>
          <w:highlight w:val="none"/>
        </w:rPr>
        <w:t>提供的以下产品属于本国产品。具体情况如下：</w:t>
      </w:r>
    </w:p>
    <w:p w14:paraId="17238F09">
      <w:pPr>
        <w:pStyle w:val="39"/>
        <w:spacing w:before="30" w:beforeAutospacing="0" w:after="30" w:afterAutospacing="0" w:line="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527050</wp:posOffset>
                </wp:positionH>
                <wp:positionV relativeFrom="paragraph">
                  <wp:posOffset>398145</wp:posOffset>
                </wp:positionV>
                <wp:extent cx="565785" cy="130810"/>
                <wp:effectExtent l="1270" t="4445" r="4445" b="17145"/>
                <wp:wrapNone/>
                <wp:docPr id="8" name="直接箭头连接符 8"/>
                <wp:cNvGraphicFramePr/>
                <a:graphic xmlns:a="http://schemas.openxmlformats.org/drawingml/2006/main">
                  <a:graphicData uri="http://schemas.microsoft.com/office/word/2010/wordprocessingShape">
                    <wps:wsp>
                      <wps:cNvCnPr/>
                      <wps:spPr>
                        <a:xfrm flipV="1">
                          <a:off x="0" y="0"/>
                          <a:ext cx="565785" cy="13081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41.5pt;margin-top:31.35pt;height:10.3pt;width:44.55pt;z-index:251667456;mso-width-relative:page;mso-height-relative:page;" filled="f" stroked="t" coordsize="21600,21600" o:gfxdata="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hHwndUAAAAIAQAADwAAAAAAAAABACAAAAAi&#10;AAAAZHJzL2Rvd25yZXYueG1sUEsBAhQAFAAAAAgAh07iQIP0YvINAgAACAQAAA4AAAAAAAAAAQAg&#10;AAAAJAEAAGRycy9lMm9Eb2MueG1sUEsFBgAAAAAGAAYAWQEAAKMFA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5411470</wp:posOffset>
                </wp:positionH>
                <wp:positionV relativeFrom="paragraph">
                  <wp:posOffset>244475</wp:posOffset>
                </wp:positionV>
                <wp:extent cx="196215" cy="97790"/>
                <wp:effectExtent l="1905" t="4445" r="11430" b="12065"/>
                <wp:wrapNone/>
                <wp:docPr id="18" name="直接箭头连接符 18"/>
                <wp:cNvGraphicFramePr/>
                <a:graphic xmlns:a="http://schemas.openxmlformats.org/drawingml/2006/main">
                  <a:graphicData uri="http://schemas.microsoft.com/office/word/2010/wordprocessingShape">
                    <wps:wsp>
                      <wps:cNvCnPr/>
                      <wps:spPr>
                        <a:xfrm flipV="1">
                          <a:off x="0" y="0"/>
                          <a:ext cx="196215" cy="9779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426.1pt;margin-top:19.25pt;height:7.7pt;width:15.45pt;z-index:251666432;mso-width-relative:page;mso-height-relative:page;" filled="f" stroked="t" coordsize="21600,21600" o:gfxdata="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nkym62AAAAAkBAAAPAAAAAAAAAAEAIAAA&#10;ACIAAABkcnMvZG93bnJldi54bWxQSwECFAAUAAAACACHTuJAlgpQSwwCAAAJBAAADgAAAAAAAAAB&#10;ACAAAAAnAQAAZHJzL2Uyb0RvYy54bWxQSwUGAAAAAAYABgBZAQAApQU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3206750</wp:posOffset>
                </wp:positionH>
                <wp:positionV relativeFrom="paragraph">
                  <wp:posOffset>238760</wp:posOffset>
                </wp:positionV>
                <wp:extent cx="816610" cy="103505"/>
                <wp:effectExtent l="635" t="4445" r="1905" b="6350"/>
                <wp:wrapNone/>
                <wp:docPr id="9" name="直接箭头连接符 9"/>
                <wp:cNvGraphicFramePr/>
                <a:graphic xmlns:a="http://schemas.openxmlformats.org/drawingml/2006/main">
                  <a:graphicData uri="http://schemas.microsoft.com/office/word/2010/wordprocessingShape">
                    <wps:wsp>
                      <wps:cNvCnPr/>
                      <wps:spPr>
                        <a:xfrm flipV="1">
                          <a:off x="0" y="0"/>
                          <a:ext cx="816610" cy="10350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52.5pt;margin-top:18.8pt;height:8.15pt;width:64.3pt;z-index:251660288;mso-width-relative:page;mso-height-relative:page;" filled="f" stroked="t" coordsize="21600,21600" o:gfxdata="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nsWBn2AAAAAkBAAAPAAAAAAAAAAEAIAAA&#10;ACIAAABkcnMvZG93bnJldi54bWxQSwECFAAUAAAACACHTuJA5CsvHQwCAAAIBAAADgAAAAAAAAAB&#10;ACAAAAAnAQAAZHJzL2Uyb0RvYy54bWxQSwUGAAAAAAYABgBZAQAApQU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2301875</wp:posOffset>
                </wp:positionH>
                <wp:positionV relativeFrom="paragraph">
                  <wp:posOffset>236855</wp:posOffset>
                </wp:positionV>
                <wp:extent cx="816610" cy="76200"/>
                <wp:effectExtent l="635" t="4445" r="1905" b="14605"/>
                <wp:wrapNone/>
                <wp:docPr id="16" name="直接箭头连接符 16"/>
                <wp:cNvGraphicFramePr/>
                <a:graphic xmlns:a="http://schemas.openxmlformats.org/drawingml/2006/main">
                  <a:graphicData uri="http://schemas.microsoft.com/office/word/2010/wordprocessingShape">
                    <wps:wsp>
                      <wps:cNvCnPr/>
                      <wps:spPr>
                        <a:xfrm flipV="1">
                          <a:off x="0" y="0"/>
                          <a:ext cx="816610" cy="762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81.25pt;margin-top:18.65pt;height:6pt;width:64.3pt;z-index:251659264;mso-width-relative:page;mso-height-relative:page;" filled="f" stroked="t" coordsize="21600,21600" o:gfxdata="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Zh2X1wAAAAkBAAAPAAAAAAAAAAEAIAAAACIA&#10;AABkcnMvZG93bnJldi54bWxQSwECFAAUAAAACACHTuJAVq/0+AoCAAAJBAAADgAAAAAAAAABACAA&#10;AAAmAQAAZHJzL2Uyb0RvYy54bWxQSwUGAAAAAAYABgBZAQAAogU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1565275</wp:posOffset>
                </wp:positionH>
                <wp:positionV relativeFrom="paragraph">
                  <wp:posOffset>232410</wp:posOffset>
                </wp:positionV>
                <wp:extent cx="364490" cy="97790"/>
                <wp:effectExtent l="1270" t="4445" r="15240" b="12065"/>
                <wp:wrapNone/>
                <wp:docPr id="5" name="直接箭头连接符 5"/>
                <wp:cNvGraphicFramePr/>
                <a:graphic xmlns:a="http://schemas.openxmlformats.org/drawingml/2006/main">
                  <a:graphicData uri="http://schemas.microsoft.com/office/word/2010/wordprocessingShape">
                    <wps:wsp>
                      <wps:cNvCnPr/>
                      <wps:spPr>
                        <a:xfrm flipV="1">
                          <a:off x="0" y="0"/>
                          <a:ext cx="364490" cy="9779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23.25pt;margin-top:18.3pt;height:7.7pt;width:28.7pt;z-index:251665408;mso-width-relative:page;mso-height-relative:page;" filled="f" stroked="t" coordsize="21600,21600" o:gfxdata="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20CeNgAAAAJAQAADwAAAAAAAAABACAAAAAi&#10;AAAAZHJzL2Rvd25yZXYueG1sUEsBAhQAFAAAAAgAh07iQO/ybucKAgAABwQAAA4AAAAAAAAAAQAg&#10;AAAAJwEAAGRycy9lMm9Eb2MueG1sUEsFBgAAAAAGAAYAWQEAAKMFA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4327525</wp:posOffset>
                </wp:positionH>
                <wp:positionV relativeFrom="paragraph">
                  <wp:posOffset>57150</wp:posOffset>
                </wp:positionV>
                <wp:extent cx="577215" cy="92075"/>
                <wp:effectExtent l="635" t="4445" r="12700" b="17780"/>
                <wp:wrapNone/>
                <wp:docPr id="6" name="直接箭头连接符 6"/>
                <wp:cNvGraphicFramePr/>
                <a:graphic xmlns:a="http://schemas.openxmlformats.org/drawingml/2006/main">
                  <a:graphicData uri="http://schemas.microsoft.com/office/word/2010/wordprocessingShape">
                    <wps:wsp>
                      <wps:cNvCnPr/>
                      <wps:spPr>
                        <a:xfrm flipV="1">
                          <a:off x="0" y="0"/>
                          <a:ext cx="577215" cy="920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340.75pt;margin-top:4.5pt;height:7.25pt;width:45.45pt;z-index:251664384;mso-width-relative:page;mso-height-relative:page;" filled="f" stroked="t" coordsize="21600,21600" o:gfxdata="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f8IyA1wAAAAgBAAAPAAAAAAAAAAEAIAAAACIA&#10;AABkcnMvZG93bnJldi54bWxQSwECFAAUAAAACACHTuJACIuDWwoCAAAHBAAADgAAAAAAAAABACAA&#10;AAAmAQAAZHJzL2Uyb0RvYy54bWxQSwUGAAAAAAYABgBZAQAAogU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shd w:val="clear" w:color="auto" w:fill="FFFFFF"/>
        </w:rPr>
        <w:t>1.</w:t>
      </w:r>
      <w:r>
        <w:rPr>
          <w:rStyle w:val="50"/>
          <w:rFonts w:hint="eastAsia" w:ascii="宋体" w:hAnsi="宋体" w:eastAsia="宋体" w:cs="宋体"/>
          <w:i w:val="0"/>
          <w:color w:val="auto"/>
          <w:sz w:val="21"/>
          <w:szCs w:val="21"/>
          <w:highlight w:val="none"/>
          <w:u w:val="single"/>
          <w:shd w:val="clear" w:color="auto" w:fill="FFFFFF"/>
        </w:rPr>
        <w:t>（产品名称1）</w:t>
      </w:r>
      <w:r>
        <w:rPr>
          <w:rStyle w:val="50"/>
          <w:rFonts w:hint="eastAsia" w:ascii="宋体" w:hAnsi="宋体" w:eastAsia="宋体" w:cs="宋体"/>
          <w:i w:val="0"/>
          <w:color w:val="auto"/>
          <w:sz w:val="21"/>
          <w:szCs w:val="21"/>
          <w:highlight w:val="none"/>
          <w:shd w:val="clear" w:color="auto" w:fill="FFFFFF"/>
          <w:vertAlign w:val="superscript"/>
        </w:rPr>
        <w:t>1</w:t>
      </w:r>
      <w:r>
        <w:rPr>
          <w:rFonts w:hint="eastAsia" w:ascii="宋体" w:hAnsi="宋体" w:eastAsia="宋体" w:cs="宋体"/>
          <w:color w:val="auto"/>
          <w:sz w:val="21"/>
          <w:szCs w:val="21"/>
          <w:highlight w:val="none"/>
          <w:shd w:val="clear" w:color="auto" w:fill="FFFFFF"/>
        </w:rPr>
        <w:t>，生产厂为</w:t>
      </w:r>
      <w:r>
        <w:rPr>
          <w:rStyle w:val="50"/>
          <w:rFonts w:hint="eastAsia" w:ascii="宋体" w:hAnsi="宋体" w:eastAsia="宋体" w:cs="宋体"/>
          <w:i w:val="0"/>
          <w:color w:val="auto"/>
          <w:sz w:val="21"/>
          <w:szCs w:val="21"/>
          <w:highlight w:val="none"/>
          <w:u w:val="single"/>
          <w:shd w:val="clear" w:color="auto" w:fill="FFFFFF"/>
        </w:rPr>
        <w:t>（厂名）</w:t>
      </w:r>
      <w:r>
        <w:rPr>
          <w:rStyle w:val="50"/>
          <w:rFonts w:hint="eastAsia" w:ascii="宋体" w:hAnsi="宋体" w:eastAsia="宋体" w:cs="宋体"/>
          <w:i w:val="0"/>
          <w:color w:val="auto"/>
          <w:sz w:val="21"/>
          <w:szCs w:val="21"/>
          <w:highlight w:val="none"/>
          <w:shd w:val="clear" w:color="auto" w:fill="FFFFFF"/>
          <w:vertAlign w:val="superscript"/>
        </w:rPr>
        <w:t>2</w:t>
      </w:r>
      <w:r>
        <w:rPr>
          <w:rFonts w:hint="eastAsia" w:ascii="宋体" w:hAnsi="宋体" w:eastAsia="宋体" w:cs="宋体"/>
          <w:color w:val="auto"/>
          <w:sz w:val="21"/>
          <w:szCs w:val="21"/>
          <w:highlight w:val="none"/>
          <w:shd w:val="clear" w:color="auto" w:fill="FFFFFF"/>
        </w:rPr>
        <w:t>，厂址为</w:t>
      </w:r>
      <w:r>
        <w:rPr>
          <w:rStyle w:val="50"/>
          <w:rFonts w:hint="eastAsia" w:ascii="宋体" w:hAnsi="宋体" w:eastAsia="宋体" w:cs="宋体"/>
          <w:i w:val="0"/>
          <w:color w:val="auto"/>
          <w:sz w:val="21"/>
          <w:szCs w:val="21"/>
          <w:highlight w:val="none"/>
          <w:u w:val="single"/>
          <w:shd w:val="clear" w:color="auto" w:fill="FFFFFF"/>
        </w:rPr>
        <w:t>（生产厂址）</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shd w:val="clear" w:color="auto" w:fill="FFFFFF"/>
        </w:rPr>
        <w:t xml:space="preserve"> </w:t>
      </w:r>
      <w:r>
        <w:rPr>
          <w:rStyle w:val="50"/>
          <w:rFonts w:hint="eastAsia" w:ascii="宋体" w:hAnsi="宋体" w:eastAsia="宋体" w:cs="宋体"/>
          <w:i w:val="0"/>
          <w:color w:val="auto"/>
          <w:sz w:val="21"/>
          <w:szCs w:val="21"/>
          <w:highlight w:val="none"/>
          <w:u w:val="single"/>
          <w:shd w:val="clear" w:color="auto" w:fill="FFFFFF"/>
        </w:rPr>
        <w:t xml:space="preserve">（产品名称1） </w:t>
      </w:r>
      <w:r>
        <w:rPr>
          <w:rFonts w:hint="eastAsia" w:ascii="宋体" w:hAnsi="宋体" w:eastAsia="宋体" w:cs="宋体"/>
          <w:color w:val="auto"/>
          <w:sz w:val="21"/>
          <w:szCs w:val="21"/>
          <w:highlight w:val="none"/>
          <w:shd w:val="clear" w:color="auto" w:fill="FFFFFF"/>
        </w:rPr>
        <w:t>的中国境内生产的组件成本占比≥</w:t>
      </w:r>
      <w:r>
        <w:rPr>
          <w:rStyle w:val="50"/>
          <w:rFonts w:hint="eastAsia" w:ascii="宋体" w:hAnsi="宋体" w:eastAsia="宋体" w:cs="宋体"/>
          <w:i w:val="0"/>
          <w:color w:val="auto"/>
          <w:sz w:val="21"/>
          <w:szCs w:val="21"/>
          <w:highlight w:val="none"/>
          <w:u w:val="single"/>
          <w:shd w:val="clear" w:color="auto" w:fill="FFFFFF"/>
        </w:rPr>
        <w:t>（规定比例）</w:t>
      </w:r>
      <w:r>
        <w:rPr>
          <w:rStyle w:val="50"/>
          <w:rFonts w:hint="eastAsia" w:ascii="宋体" w:hAnsi="宋体" w:eastAsia="宋体" w:cs="宋体"/>
          <w:i w:val="0"/>
          <w:color w:val="auto"/>
          <w:sz w:val="21"/>
          <w:szCs w:val="21"/>
          <w:highlight w:val="none"/>
          <w:shd w:val="clear" w:color="auto" w:fill="FFFFFF"/>
          <w:vertAlign w:val="superscript"/>
        </w:rPr>
        <w:t>3</w:t>
      </w:r>
      <w:r>
        <w:rPr>
          <w:rFonts w:hint="eastAsia" w:ascii="宋体" w:hAnsi="宋体" w:eastAsia="宋体" w:cs="宋体"/>
          <w:color w:val="auto"/>
          <w:sz w:val="21"/>
          <w:szCs w:val="21"/>
          <w:highlight w:val="none"/>
          <w:shd w:val="clear" w:color="auto" w:fill="FFFFFF"/>
        </w:rPr>
        <w:t>。</w:t>
      </w:r>
      <w:r>
        <w:rPr>
          <w:rStyle w:val="50"/>
          <w:rFonts w:hint="eastAsia" w:ascii="宋体" w:hAnsi="宋体" w:eastAsia="宋体" w:cs="宋体"/>
          <w:i w:val="0"/>
          <w:color w:val="auto"/>
          <w:sz w:val="21"/>
          <w:szCs w:val="21"/>
          <w:highlight w:val="none"/>
          <w:u w:val="single"/>
          <w:shd w:val="clear" w:color="auto" w:fill="FFFFFF"/>
        </w:rPr>
        <w:t>（产品名称1）</w:t>
      </w:r>
      <w:r>
        <w:rPr>
          <w:rFonts w:hint="eastAsia" w:ascii="宋体" w:hAnsi="宋体" w:eastAsia="宋体" w:cs="宋体"/>
          <w:color w:val="auto"/>
          <w:sz w:val="21"/>
          <w:szCs w:val="21"/>
          <w:highlight w:val="none"/>
          <w:shd w:val="clear" w:color="auto" w:fill="FFFFFF"/>
        </w:rPr>
        <w:t>的</w:t>
      </w:r>
      <w:r>
        <w:rPr>
          <w:rStyle w:val="50"/>
          <w:rFonts w:hint="eastAsia" w:ascii="宋体" w:hAnsi="宋体" w:eastAsia="宋体" w:cs="宋体"/>
          <w:i w:val="0"/>
          <w:color w:val="auto"/>
          <w:sz w:val="21"/>
          <w:szCs w:val="21"/>
          <w:highlight w:val="none"/>
          <w:u w:val="single"/>
          <w:shd w:val="clear" w:color="auto" w:fill="FFFFFF"/>
        </w:rPr>
        <w:t>（关键组件）</w:t>
      </w:r>
      <w:r>
        <w:rPr>
          <w:rStyle w:val="50"/>
          <w:rFonts w:hint="eastAsia" w:ascii="宋体" w:hAnsi="宋体" w:eastAsia="宋体" w:cs="宋体"/>
          <w:i w:val="0"/>
          <w:color w:val="auto"/>
          <w:sz w:val="21"/>
          <w:szCs w:val="21"/>
          <w:highlight w:val="none"/>
          <w:shd w:val="clear" w:color="auto" w:fill="FFFFFF"/>
          <w:vertAlign w:val="superscript"/>
        </w:rPr>
        <w:t>4</w:t>
      </w:r>
      <w:r>
        <w:rPr>
          <w:rFonts w:hint="eastAsia" w:ascii="宋体" w:hAnsi="宋体" w:eastAsia="宋体" w:cs="宋体"/>
          <w:color w:val="auto"/>
          <w:sz w:val="21"/>
          <w:szCs w:val="21"/>
          <w:highlight w:val="none"/>
          <w:shd w:val="clear" w:color="auto" w:fill="FFFFFF"/>
        </w:rPr>
        <w:t>在中国境内生产。</w:t>
      </w:r>
      <w:r>
        <w:rPr>
          <w:rStyle w:val="50"/>
          <w:rFonts w:hint="eastAsia" w:ascii="宋体" w:hAnsi="宋体" w:eastAsia="宋体" w:cs="宋体"/>
          <w:i w:val="0"/>
          <w:color w:val="auto"/>
          <w:sz w:val="21"/>
          <w:szCs w:val="21"/>
          <w:highlight w:val="none"/>
          <w:u w:val="single"/>
          <w:shd w:val="clear" w:color="auto" w:fill="FFFFFF"/>
        </w:rPr>
        <w:t>（产品名称1）</w:t>
      </w:r>
      <w:r>
        <w:rPr>
          <w:rFonts w:hint="eastAsia" w:ascii="宋体" w:hAnsi="宋体" w:eastAsia="宋体" w:cs="宋体"/>
          <w:color w:val="auto"/>
          <w:sz w:val="21"/>
          <w:szCs w:val="21"/>
          <w:highlight w:val="none"/>
          <w:shd w:val="clear" w:color="auto" w:fill="FFFFFF"/>
        </w:rPr>
        <w:t>的</w:t>
      </w:r>
      <w:r>
        <w:rPr>
          <w:rStyle w:val="50"/>
          <w:rFonts w:hint="eastAsia" w:ascii="宋体" w:hAnsi="宋体" w:eastAsia="宋体" w:cs="宋体"/>
          <w:i w:val="0"/>
          <w:color w:val="auto"/>
          <w:sz w:val="21"/>
          <w:szCs w:val="21"/>
          <w:highlight w:val="none"/>
          <w:u w:val="single"/>
          <w:shd w:val="clear" w:color="auto" w:fill="FFFFFF"/>
        </w:rPr>
        <w:t>（关键工序）</w:t>
      </w:r>
      <w:r>
        <w:rPr>
          <w:rStyle w:val="50"/>
          <w:rFonts w:hint="eastAsia" w:ascii="宋体" w:hAnsi="宋体" w:eastAsia="宋体" w:cs="宋体"/>
          <w:i w:val="0"/>
          <w:color w:val="auto"/>
          <w:sz w:val="21"/>
          <w:szCs w:val="21"/>
          <w:highlight w:val="none"/>
          <w:shd w:val="clear" w:color="auto" w:fill="FFFFFF"/>
          <w:vertAlign w:val="superscript"/>
        </w:rPr>
        <w:t>5</w:t>
      </w:r>
      <w:r>
        <w:rPr>
          <w:rFonts w:hint="eastAsia" w:ascii="宋体" w:hAnsi="宋体" w:eastAsia="宋体" w:cs="宋体"/>
          <w:color w:val="auto"/>
          <w:sz w:val="21"/>
          <w:szCs w:val="21"/>
          <w:highlight w:val="none"/>
          <w:shd w:val="clear" w:color="auto" w:fill="FFFFFF"/>
        </w:rPr>
        <w:t>在中国境内完成。</w:t>
      </w:r>
    </w:p>
    <w:p w14:paraId="577D1D8B">
      <w:pPr>
        <w:pStyle w:val="39"/>
        <w:spacing w:before="30" w:beforeAutospacing="0" w:after="30" w:afterAutospacing="0" w:line="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8480" behindDoc="0" locked="0" layoutInCell="1" allowOverlap="1">
                <wp:simplePos x="0" y="0"/>
                <wp:positionH relativeFrom="column">
                  <wp:posOffset>4083050</wp:posOffset>
                </wp:positionH>
                <wp:positionV relativeFrom="paragraph">
                  <wp:posOffset>59690</wp:posOffset>
                </wp:positionV>
                <wp:extent cx="718185" cy="97790"/>
                <wp:effectExtent l="635" t="4445" r="5080" b="12065"/>
                <wp:wrapNone/>
                <wp:docPr id="11" name="直接箭头连接符 11"/>
                <wp:cNvGraphicFramePr/>
                <a:graphic xmlns:a="http://schemas.openxmlformats.org/drawingml/2006/main">
                  <a:graphicData uri="http://schemas.microsoft.com/office/word/2010/wordprocessingShape">
                    <wps:wsp>
                      <wps:cNvCnPr/>
                      <wps:spPr>
                        <a:xfrm flipV="1">
                          <a:off x="0" y="0"/>
                          <a:ext cx="718185" cy="9779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321.5pt;margin-top:4.7pt;height:7.7pt;width:56.55pt;z-index:251668480;mso-width-relative:page;mso-height-relative:page;" filled="f" stroked="t" coordsize="21600,21600" o:gfxdata="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CfaK1wAAAAgBAAAPAAAAAAAAAAEAIAAA&#10;ACIAAABkcnMvZG93bnJldi54bWxQSwECFAAUAAAACACHTuJAjBUjbA0CAAAJBAAADgAAAAAAAAAB&#10;ACAAAAAmAQAAZHJzL2Uyb0RvYy54bWxQSwUGAAAAAAYABgBZAQAApQU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70528" behindDoc="0" locked="0" layoutInCell="1" allowOverlap="1">
                <wp:simplePos x="0" y="0"/>
                <wp:positionH relativeFrom="column">
                  <wp:posOffset>280670</wp:posOffset>
                </wp:positionH>
                <wp:positionV relativeFrom="paragraph">
                  <wp:posOffset>404495</wp:posOffset>
                </wp:positionV>
                <wp:extent cx="424815" cy="112395"/>
                <wp:effectExtent l="1270" t="4445" r="12065" b="16510"/>
                <wp:wrapNone/>
                <wp:docPr id="10" name="直接箭头连接符 10"/>
                <wp:cNvGraphicFramePr/>
                <a:graphic xmlns:a="http://schemas.openxmlformats.org/drawingml/2006/main">
                  <a:graphicData uri="http://schemas.microsoft.com/office/word/2010/wordprocessingShape">
                    <wps:wsp>
                      <wps:cNvCnPr/>
                      <wps:spPr>
                        <a:xfrm flipV="1">
                          <a:off x="0" y="0"/>
                          <a:ext cx="424815" cy="11239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2.1pt;margin-top:31.85pt;height:8.85pt;width:33.45pt;z-index:251670528;mso-width-relative:page;mso-height-relative:page;" filled="f" stroked="t" coordsize="21600,21600" o:gfxdata="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THm6tYAAAAIAQAADwAAAAAAAAABACAAAAAi&#10;AAAAZHJzL2Rvd25yZXYueG1sUEsBAhQAFAAAAAgAh07iQLHh0l4MAgAACgQAAA4AAAAAAAAAAQAg&#10;AAAAJQEAAGRycy9lMm9Eb2MueG1sUEsFBgAAAAAGAAYAWQEAAKMFA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9504" behindDoc="0" locked="0" layoutInCell="1" allowOverlap="1">
                <wp:simplePos x="0" y="0"/>
                <wp:positionH relativeFrom="column">
                  <wp:posOffset>5167630</wp:posOffset>
                </wp:positionH>
                <wp:positionV relativeFrom="paragraph">
                  <wp:posOffset>188595</wp:posOffset>
                </wp:positionV>
                <wp:extent cx="462280" cy="147320"/>
                <wp:effectExtent l="1270" t="4445" r="12700" b="19685"/>
                <wp:wrapNone/>
                <wp:docPr id="17" name="直接箭头连接符 17"/>
                <wp:cNvGraphicFramePr/>
                <a:graphic xmlns:a="http://schemas.openxmlformats.org/drawingml/2006/main">
                  <a:graphicData uri="http://schemas.microsoft.com/office/word/2010/wordprocessingShape">
                    <wps:wsp>
                      <wps:cNvCnPr/>
                      <wps:spPr>
                        <a:xfrm flipV="1">
                          <a:off x="0" y="0"/>
                          <a:ext cx="462280" cy="14732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406.9pt;margin-top:14.85pt;height:11.6pt;width:36.4pt;z-index:251669504;mso-width-relative:page;mso-height-relative:page;" filled="f" stroked="t" coordsize="21600,21600" o:gfxdata="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xXsK/XAAAACQEAAA8AAAAAAAAAAQAg&#10;AAAAIgAAAGRycy9kb3ducmV2LnhtbFBLAQIUABQAAAAIAIdO4kAUFY8RDwIAAAoEAAAOAAAAAAAA&#10;AAEAIAAAACYBAABkcnMvZTJvRG9jLnhtbFBLBQYAAAAABgAGAFkBAACnBQ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3115945</wp:posOffset>
                </wp:positionH>
                <wp:positionV relativeFrom="paragraph">
                  <wp:posOffset>241935</wp:posOffset>
                </wp:positionV>
                <wp:extent cx="849630" cy="120015"/>
                <wp:effectExtent l="635" t="4445" r="6985" b="8890"/>
                <wp:wrapNone/>
                <wp:docPr id="13" name="直接箭头连接符 13"/>
                <wp:cNvGraphicFramePr/>
                <a:graphic xmlns:a="http://schemas.openxmlformats.org/drawingml/2006/main">
                  <a:graphicData uri="http://schemas.microsoft.com/office/word/2010/wordprocessingShape">
                    <wps:wsp>
                      <wps:cNvCnPr/>
                      <wps:spPr>
                        <a:xfrm flipV="1">
                          <a:off x="0" y="0"/>
                          <a:ext cx="849630" cy="12001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45.35pt;margin-top:19.05pt;height:9.45pt;width:66.9pt;z-index:251663360;mso-width-relative:page;mso-height-relative:page;" filled="f" stroked="t" coordsize="21600,21600" o:gfxdata="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Tetf1wAAAAkBAAAPAAAAAAAAAAEAIAAA&#10;ACIAAABkcnMvZG93bnJldi54bWxQSwECFAAUAAAACACHTuJA3C6X6Q0CAAAKBAAADgAAAAAAAAAB&#10;ACAAAAAmAQAAZHJzL2Uyb0RvYy54bWxQSwUGAAAAAAYABgBZAQAApQU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2138045</wp:posOffset>
                </wp:positionH>
                <wp:positionV relativeFrom="paragraph">
                  <wp:posOffset>218440</wp:posOffset>
                </wp:positionV>
                <wp:extent cx="843915" cy="125730"/>
                <wp:effectExtent l="635" t="4445" r="12700" b="22225"/>
                <wp:wrapNone/>
                <wp:docPr id="14" name="直接箭头连接符 14"/>
                <wp:cNvGraphicFramePr/>
                <a:graphic xmlns:a="http://schemas.openxmlformats.org/drawingml/2006/main">
                  <a:graphicData uri="http://schemas.microsoft.com/office/word/2010/wordprocessingShape">
                    <wps:wsp>
                      <wps:cNvCnPr/>
                      <wps:spPr>
                        <a:xfrm flipV="1">
                          <a:off x="0" y="0"/>
                          <a:ext cx="843915" cy="12573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68.35pt;margin-top:17.2pt;height:9.9pt;width:66.45pt;z-index:251662336;mso-width-relative:page;mso-height-relative:page;" filled="f" stroked="t" coordsize="21600,21600" o:gfxdata="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1NWAA2AAAAAkBAAAPAAAAAAAAAAEA&#10;IAAAACIAAABkcnMvZG93bnJldi54bWxQSwECFAAUAAAACACHTuJAYmA1Bw8CAAAKBAAADgAAAAAA&#10;AAABACAAAAAnAQAAZHJzL2Uyb0RvYy54bWxQSwUGAAAAAAYABgBZAQAAqAU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1218565</wp:posOffset>
                </wp:positionH>
                <wp:positionV relativeFrom="paragraph">
                  <wp:posOffset>185420</wp:posOffset>
                </wp:positionV>
                <wp:extent cx="876300" cy="120015"/>
                <wp:effectExtent l="635" t="4445" r="18415" b="8890"/>
                <wp:wrapNone/>
                <wp:docPr id="7" name="直接箭头连接符 7"/>
                <wp:cNvGraphicFramePr/>
                <a:graphic xmlns:a="http://schemas.openxmlformats.org/drawingml/2006/main">
                  <a:graphicData uri="http://schemas.microsoft.com/office/word/2010/wordprocessingShape">
                    <wps:wsp>
                      <wps:cNvCnPr/>
                      <wps:spPr>
                        <a:xfrm flipV="1">
                          <a:off x="0" y="0"/>
                          <a:ext cx="876300" cy="12001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95.95pt;margin-top:14.6pt;height:9.45pt;width:69pt;z-index:251661312;mso-width-relative:page;mso-height-relative:page;" filled="f" stroked="t" coordsize="21600,21600" o:gfxdata="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HAg6TXAAAACQEAAA8AAAAAAAAAAQAgAAAA&#10;IgAAAGRycy9kb3ducmV2LnhtbFBLAQIUABQAAAAIAIdO4kBIL0NQDAIAAAgEAAAOAAAAAAAAAAEA&#10;IAAAACYBAABkcnMvZTJvRG9jLnhtbFBLBQYAAAAABgAGAFkBAACkBQAAAAA=&#10;">
                <v:fill on="f" focussize="0,0"/>
                <v:stroke color="#000000" joinstyle="round"/>
                <v:imagedata o:title=""/>
                <o:lock v:ext="edit" aspectratio="f"/>
              </v:shape>
            </w:pict>
          </mc:Fallback>
        </mc:AlternateContent>
      </w:r>
      <w:r>
        <w:rPr>
          <w:rFonts w:hint="eastAsia" w:ascii="宋体" w:hAnsi="宋体" w:eastAsia="宋体" w:cs="宋体"/>
          <w:color w:val="auto"/>
          <w:sz w:val="21"/>
          <w:szCs w:val="21"/>
          <w:highlight w:val="none"/>
          <w:shd w:val="clear" w:color="auto" w:fill="FFFFFF"/>
        </w:rPr>
        <w:t>2.</w:t>
      </w:r>
      <w:r>
        <w:rPr>
          <w:rStyle w:val="50"/>
          <w:rFonts w:hint="eastAsia" w:ascii="宋体" w:hAnsi="宋体" w:eastAsia="宋体" w:cs="宋体"/>
          <w:i w:val="0"/>
          <w:color w:val="auto"/>
          <w:sz w:val="21"/>
          <w:szCs w:val="21"/>
          <w:highlight w:val="none"/>
          <w:u w:val="single"/>
          <w:shd w:val="clear" w:color="auto" w:fill="FFFFFF"/>
        </w:rPr>
        <w:t>（产品名称2）</w:t>
      </w:r>
      <w:r>
        <w:rPr>
          <w:rFonts w:hint="eastAsia" w:ascii="宋体" w:hAnsi="宋体" w:eastAsia="宋体" w:cs="宋体"/>
          <w:color w:val="auto"/>
          <w:sz w:val="21"/>
          <w:szCs w:val="21"/>
          <w:highlight w:val="none"/>
          <w:shd w:val="clear" w:color="auto" w:fill="FFFFFF"/>
        </w:rPr>
        <w:t>，生产厂为</w:t>
      </w:r>
      <w:r>
        <w:rPr>
          <w:rStyle w:val="50"/>
          <w:rFonts w:hint="eastAsia" w:ascii="宋体" w:hAnsi="宋体" w:eastAsia="宋体" w:cs="宋体"/>
          <w:i w:val="0"/>
          <w:color w:val="auto"/>
          <w:sz w:val="21"/>
          <w:szCs w:val="21"/>
          <w:highlight w:val="none"/>
          <w:u w:val="single"/>
          <w:shd w:val="clear" w:color="auto" w:fill="FFFFFF"/>
        </w:rPr>
        <w:t>（厂名）</w:t>
      </w:r>
      <w:r>
        <w:rPr>
          <w:rFonts w:hint="eastAsia" w:ascii="宋体" w:hAnsi="宋体" w:eastAsia="宋体" w:cs="宋体"/>
          <w:color w:val="auto"/>
          <w:sz w:val="21"/>
          <w:szCs w:val="21"/>
          <w:highlight w:val="none"/>
          <w:shd w:val="clear" w:color="auto" w:fill="FFFFFF"/>
        </w:rPr>
        <w:t>，厂址为</w:t>
      </w:r>
      <w:r>
        <w:rPr>
          <w:rStyle w:val="50"/>
          <w:rFonts w:hint="eastAsia" w:ascii="宋体" w:hAnsi="宋体" w:eastAsia="宋体" w:cs="宋体"/>
          <w:i w:val="0"/>
          <w:color w:val="auto"/>
          <w:sz w:val="21"/>
          <w:szCs w:val="21"/>
          <w:highlight w:val="none"/>
          <w:u w:val="single"/>
          <w:shd w:val="clear" w:color="auto" w:fill="FFFFFF"/>
        </w:rPr>
        <w:t>（生产厂址）</w:t>
      </w:r>
      <w:r>
        <w:rPr>
          <w:rFonts w:hint="eastAsia" w:ascii="宋体" w:hAnsi="宋体" w:eastAsia="宋体" w:cs="宋体"/>
          <w:color w:val="auto"/>
          <w:sz w:val="21"/>
          <w:szCs w:val="21"/>
          <w:highlight w:val="none"/>
          <w:shd w:val="clear" w:color="auto" w:fill="FFFFFF"/>
        </w:rPr>
        <w:t>。</w:t>
      </w:r>
      <w:r>
        <w:rPr>
          <w:rStyle w:val="50"/>
          <w:rFonts w:hint="eastAsia" w:ascii="宋体" w:hAnsi="宋体" w:eastAsia="宋体" w:cs="宋体"/>
          <w:i w:val="0"/>
          <w:color w:val="auto"/>
          <w:sz w:val="21"/>
          <w:szCs w:val="21"/>
          <w:highlight w:val="none"/>
          <w:u w:val="single"/>
          <w:shd w:val="clear" w:color="auto" w:fill="FFFFFF"/>
        </w:rPr>
        <w:t>（产品名称2）</w:t>
      </w:r>
      <w:r>
        <w:rPr>
          <w:rFonts w:hint="eastAsia" w:ascii="宋体" w:hAnsi="宋体" w:eastAsia="宋体" w:cs="宋体"/>
          <w:color w:val="auto"/>
          <w:sz w:val="21"/>
          <w:szCs w:val="21"/>
          <w:highlight w:val="none"/>
          <w:shd w:val="clear" w:color="auto" w:fill="FFFFFF"/>
        </w:rPr>
        <w:t>的中国境内生产的组件成本占比≥</w:t>
      </w:r>
      <w:r>
        <w:rPr>
          <w:rStyle w:val="50"/>
          <w:rFonts w:hint="eastAsia" w:ascii="宋体" w:hAnsi="宋体" w:eastAsia="宋体" w:cs="宋体"/>
          <w:i w:val="0"/>
          <w:color w:val="auto"/>
          <w:sz w:val="21"/>
          <w:szCs w:val="21"/>
          <w:highlight w:val="none"/>
          <w:u w:val="single"/>
          <w:shd w:val="clear" w:color="auto" w:fill="FFFFFF"/>
        </w:rPr>
        <w:t>（规定比例）</w:t>
      </w:r>
      <w:r>
        <w:rPr>
          <w:rFonts w:hint="eastAsia" w:ascii="宋体" w:hAnsi="宋体" w:eastAsia="宋体" w:cs="宋体"/>
          <w:color w:val="auto"/>
          <w:sz w:val="21"/>
          <w:szCs w:val="21"/>
          <w:highlight w:val="none"/>
          <w:shd w:val="clear" w:color="auto" w:fill="FFFFFF"/>
        </w:rPr>
        <w:t>。</w:t>
      </w:r>
      <w:r>
        <w:rPr>
          <w:rStyle w:val="50"/>
          <w:rFonts w:hint="eastAsia" w:ascii="宋体" w:hAnsi="宋体" w:eastAsia="宋体" w:cs="宋体"/>
          <w:i w:val="0"/>
          <w:color w:val="auto"/>
          <w:sz w:val="21"/>
          <w:szCs w:val="21"/>
          <w:highlight w:val="none"/>
          <w:u w:val="single"/>
          <w:shd w:val="clear" w:color="auto" w:fill="FFFFFF"/>
        </w:rPr>
        <w:t>（产品名称2）</w:t>
      </w:r>
      <w:r>
        <w:rPr>
          <w:rFonts w:hint="eastAsia" w:ascii="宋体" w:hAnsi="宋体" w:eastAsia="宋体" w:cs="宋体"/>
          <w:color w:val="auto"/>
          <w:sz w:val="21"/>
          <w:szCs w:val="21"/>
          <w:highlight w:val="none"/>
          <w:shd w:val="clear" w:color="auto" w:fill="FFFFFF"/>
        </w:rPr>
        <w:t>的</w:t>
      </w:r>
      <w:r>
        <w:rPr>
          <w:rStyle w:val="50"/>
          <w:rFonts w:hint="eastAsia" w:ascii="宋体" w:hAnsi="宋体" w:eastAsia="宋体" w:cs="宋体"/>
          <w:i w:val="0"/>
          <w:color w:val="auto"/>
          <w:sz w:val="21"/>
          <w:szCs w:val="21"/>
          <w:highlight w:val="none"/>
          <w:u w:val="single"/>
          <w:shd w:val="clear" w:color="auto" w:fill="FFFFFF"/>
        </w:rPr>
        <w:t>（关键组件）</w:t>
      </w:r>
      <w:r>
        <w:rPr>
          <w:rFonts w:hint="eastAsia" w:ascii="宋体" w:hAnsi="宋体" w:eastAsia="宋体" w:cs="宋体"/>
          <w:color w:val="auto"/>
          <w:sz w:val="21"/>
          <w:szCs w:val="21"/>
          <w:highlight w:val="none"/>
          <w:shd w:val="clear" w:color="auto" w:fill="FFFFFF"/>
        </w:rPr>
        <w:t>在中国境内生产。</w:t>
      </w:r>
      <w:r>
        <w:rPr>
          <w:rStyle w:val="50"/>
          <w:rFonts w:hint="eastAsia" w:ascii="宋体" w:hAnsi="宋体" w:eastAsia="宋体" w:cs="宋体"/>
          <w:i w:val="0"/>
          <w:color w:val="auto"/>
          <w:sz w:val="21"/>
          <w:szCs w:val="21"/>
          <w:highlight w:val="none"/>
          <w:u w:val="single"/>
          <w:shd w:val="clear" w:color="auto" w:fill="FFFFFF"/>
        </w:rPr>
        <w:t>（产品名称1）</w:t>
      </w:r>
      <w:r>
        <w:rPr>
          <w:rFonts w:hint="eastAsia" w:ascii="宋体" w:hAnsi="宋体" w:eastAsia="宋体" w:cs="宋体"/>
          <w:color w:val="auto"/>
          <w:sz w:val="21"/>
          <w:szCs w:val="21"/>
          <w:highlight w:val="none"/>
          <w:shd w:val="clear" w:color="auto" w:fill="FFFFFF"/>
        </w:rPr>
        <w:t>的</w:t>
      </w:r>
      <w:r>
        <w:rPr>
          <w:rStyle w:val="50"/>
          <w:rFonts w:hint="eastAsia" w:ascii="宋体" w:hAnsi="宋体" w:eastAsia="宋体" w:cs="宋体"/>
          <w:i w:val="0"/>
          <w:color w:val="auto"/>
          <w:sz w:val="21"/>
          <w:szCs w:val="21"/>
          <w:highlight w:val="none"/>
          <w:u w:val="single"/>
          <w:shd w:val="clear" w:color="auto" w:fill="FFFFFF"/>
        </w:rPr>
        <w:t>（关键工序）</w:t>
      </w:r>
      <w:r>
        <w:rPr>
          <w:rFonts w:hint="eastAsia" w:ascii="宋体" w:hAnsi="宋体" w:eastAsia="宋体" w:cs="宋体"/>
          <w:color w:val="auto"/>
          <w:sz w:val="21"/>
          <w:szCs w:val="21"/>
          <w:highlight w:val="none"/>
          <w:shd w:val="clear" w:color="auto" w:fill="FFFFFF"/>
        </w:rPr>
        <w:t>在中国境内完成。</w:t>
      </w:r>
    </w:p>
    <w:p w14:paraId="6F1AB43F">
      <w:pPr>
        <w:pStyle w:val="39"/>
        <w:spacing w:before="30" w:beforeAutospacing="0" w:after="30" w:afterAutospacing="0" w:line="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p>
    <w:p w14:paraId="6740BEDA">
      <w:pPr>
        <w:pStyle w:val="39"/>
        <w:spacing w:before="30" w:beforeAutospacing="0" w:after="30" w:afterAutospacing="0" w:line="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本公司（单位）对上述声明内容的真实性负责。如有虚假，愿承担相应法律责任。</w:t>
      </w:r>
    </w:p>
    <w:p w14:paraId="25CB346A">
      <w:pPr>
        <w:pStyle w:val="39"/>
        <w:spacing w:before="30" w:beforeAutospacing="0" w:after="30" w:afterAutospacing="0" w:line="0" w:lineRule="atLeast"/>
        <w:rPr>
          <w:rFonts w:hint="eastAsia" w:ascii="宋体" w:hAnsi="宋体" w:eastAsia="宋体" w:cs="宋体"/>
          <w:color w:val="auto"/>
          <w:sz w:val="21"/>
          <w:szCs w:val="21"/>
          <w:highlight w:val="none"/>
        </w:rPr>
      </w:pPr>
    </w:p>
    <w:p w14:paraId="0CAB788A">
      <w:pPr>
        <w:pStyle w:val="39"/>
        <w:spacing w:before="30" w:beforeAutospacing="0" w:after="30" w:afterAutospacing="0" w:line="0" w:lineRule="atLeast"/>
        <w:ind w:right="480" w:firstLine="3255" w:firstLineChars="15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公司（单位）名称（盖章）：　        </w:t>
      </w:r>
    </w:p>
    <w:p w14:paraId="5B9335B4">
      <w:pPr>
        <w:pStyle w:val="39"/>
        <w:spacing w:before="30" w:beforeAutospacing="0" w:after="30" w:afterAutospacing="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xml:space="preserve">                                日期：　   年　  月　  日         </w:t>
      </w:r>
    </w:p>
    <w:p w14:paraId="67021B28">
      <w:pPr>
        <w:pStyle w:val="39"/>
        <w:spacing w:before="30" w:beforeAutospacing="0" w:after="30" w:afterAutospacing="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__________________</w:t>
      </w:r>
    </w:p>
    <w:p w14:paraId="62F96073">
      <w:pPr>
        <w:pStyle w:val="39"/>
        <w:spacing w:before="30" w:beforeAutospacing="0" w:after="30" w:afterAutospacing="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1.产品如有型号，请在“产品名称”栏一并填写。</w:t>
      </w:r>
    </w:p>
    <w:p w14:paraId="4A209579">
      <w:pPr>
        <w:pStyle w:val="39"/>
        <w:spacing w:before="30" w:beforeAutospacing="0" w:after="30" w:afterAutospacing="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2.生产厂名与厂址应与生产厂营业执照载明的相关信息保持一致。</w:t>
      </w:r>
    </w:p>
    <w:p w14:paraId="7FBA537F">
      <w:pPr>
        <w:pStyle w:val="39"/>
        <w:spacing w:before="30" w:beforeAutospacing="0" w:after="30" w:afterAutospacing="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3.该产品的中国境内生产的组件成本占比相关要求实施前，“规定比例”栏可不填，下同。</w:t>
      </w:r>
    </w:p>
    <w:p w14:paraId="38D586B7">
      <w:pPr>
        <w:pStyle w:val="39"/>
        <w:spacing w:before="30" w:beforeAutospacing="0" w:after="30" w:afterAutospacing="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4.该产品的关键组件要求实施前，“关键组件”栏可不填，下同。</w:t>
      </w:r>
    </w:p>
    <w:p w14:paraId="37028656">
      <w:pPr>
        <w:pStyle w:val="39"/>
        <w:spacing w:before="30" w:beforeAutospacing="0" w:after="30" w:afterAutospacing="0" w:line="0" w:lineRule="atLeas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5.该产品的关键工序要求实施前，“关键工序”栏可不填，下同。</w:t>
      </w:r>
    </w:p>
    <w:p w14:paraId="60008E6D">
      <w:pPr>
        <w:pStyle w:val="21"/>
        <w:spacing w:line="360" w:lineRule="auto"/>
        <w:rPr>
          <w:rFonts w:hint="eastAsia" w:hAnsi="宋体" w:eastAsia="宋体" w:cs="宋体"/>
          <w:b/>
          <w:color w:val="auto"/>
          <w:sz w:val="21"/>
          <w:szCs w:val="21"/>
          <w:highlight w:val="none"/>
        </w:rPr>
      </w:pPr>
      <w:r>
        <w:rPr>
          <w:rFonts w:hint="eastAsia" w:ascii="宋体" w:hAnsi="宋体" w:eastAsia="宋体" w:cs="宋体"/>
          <w:color w:val="auto"/>
          <w:sz w:val="21"/>
          <w:szCs w:val="21"/>
          <w:highlight w:val="none"/>
          <w:shd w:val="clear" w:color="auto" w:fill="FFFFFF"/>
        </w:rPr>
        <w:t>6.用斜线划除的地方无需填写。</w:t>
      </w:r>
    </w:p>
    <w:p w14:paraId="081A5A75">
      <w:pPr>
        <w:pStyle w:val="21"/>
        <w:spacing w:line="360" w:lineRule="auto"/>
        <w:rPr>
          <w:rFonts w:hint="eastAsia" w:hAnsi="宋体" w:eastAsia="宋体" w:cs="宋体"/>
          <w:b/>
          <w:color w:val="auto"/>
          <w:sz w:val="21"/>
          <w:szCs w:val="21"/>
          <w:highlight w:val="none"/>
          <w:lang w:val="en-US" w:eastAsia="zh-CN"/>
        </w:rPr>
      </w:pPr>
    </w:p>
    <w:p w14:paraId="32093647">
      <w:pPr>
        <w:pStyle w:val="21"/>
        <w:spacing w:line="360" w:lineRule="auto"/>
        <w:rPr>
          <w:rFonts w:hint="eastAsia" w:hAnsi="宋体" w:eastAsia="宋体" w:cs="宋体"/>
          <w:b/>
          <w:color w:val="auto"/>
          <w:sz w:val="21"/>
          <w:szCs w:val="21"/>
          <w:highlight w:val="none"/>
          <w:lang w:val="en-US" w:eastAsia="zh-CN"/>
        </w:rPr>
      </w:pPr>
    </w:p>
    <w:p w14:paraId="02197763">
      <w:pPr>
        <w:pStyle w:val="21"/>
        <w:spacing w:line="360" w:lineRule="auto"/>
        <w:rPr>
          <w:rFonts w:hint="eastAsia" w:hAnsi="宋体" w:eastAsia="宋体" w:cs="宋体"/>
          <w:b/>
          <w:color w:val="auto"/>
          <w:sz w:val="21"/>
          <w:szCs w:val="21"/>
          <w:highlight w:val="none"/>
          <w:lang w:val="en-US" w:eastAsia="zh-CN"/>
        </w:rPr>
      </w:pPr>
    </w:p>
    <w:p w14:paraId="275482E2">
      <w:pPr>
        <w:pStyle w:val="21"/>
        <w:spacing w:line="360" w:lineRule="auto"/>
        <w:rPr>
          <w:rFonts w:hint="eastAsia" w:hAnsi="宋体" w:eastAsia="宋体" w:cs="宋体"/>
          <w:b/>
          <w:color w:val="auto"/>
          <w:sz w:val="21"/>
          <w:szCs w:val="21"/>
          <w:highlight w:val="none"/>
          <w:lang w:val="en-US" w:eastAsia="zh-CN"/>
        </w:rPr>
      </w:pPr>
    </w:p>
    <w:p w14:paraId="2D74C23F">
      <w:pPr>
        <w:pStyle w:val="21"/>
        <w:spacing w:line="360" w:lineRule="auto"/>
        <w:rPr>
          <w:rFonts w:hint="eastAsia" w:hAnsi="宋体" w:eastAsia="宋体" w:cs="宋体"/>
          <w:b/>
          <w:color w:val="auto"/>
          <w:sz w:val="21"/>
          <w:szCs w:val="21"/>
          <w:highlight w:val="none"/>
          <w:lang w:val="en-US" w:eastAsia="zh-CN"/>
        </w:rPr>
      </w:pPr>
    </w:p>
    <w:p w14:paraId="79B00D46">
      <w:pPr>
        <w:pStyle w:val="21"/>
        <w:spacing w:line="360" w:lineRule="auto"/>
        <w:rPr>
          <w:rFonts w:hint="eastAsia" w:hAnsi="宋体" w:eastAsia="宋体" w:cs="宋体"/>
          <w:b/>
          <w:color w:val="auto"/>
          <w:sz w:val="21"/>
          <w:szCs w:val="21"/>
          <w:highlight w:val="none"/>
          <w:lang w:val="en-US" w:eastAsia="zh-CN"/>
        </w:rPr>
      </w:pPr>
    </w:p>
    <w:p w14:paraId="6FBFED66">
      <w:pPr>
        <w:pStyle w:val="21"/>
        <w:spacing w:line="360" w:lineRule="auto"/>
        <w:rPr>
          <w:rFonts w:hint="eastAsia" w:hAnsi="宋体" w:eastAsia="宋体" w:cs="宋体"/>
          <w:b/>
          <w:color w:val="auto"/>
          <w:sz w:val="21"/>
          <w:szCs w:val="21"/>
          <w:highlight w:val="none"/>
          <w:lang w:val="en-US" w:eastAsia="zh-CN"/>
        </w:rPr>
      </w:pPr>
    </w:p>
    <w:p w14:paraId="192727DF">
      <w:pPr>
        <w:pStyle w:val="21"/>
        <w:spacing w:line="360" w:lineRule="auto"/>
        <w:rPr>
          <w:rFonts w:hint="eastAsia" w:hAnsi="宋体" w:eastAsia="宋体" w:cs="宋体"/>
          <w:b/>
          <w:color w:val="auto"/>
          <w:sz w:val="21"/>
          <w:szCs w:val="21"/>
          <w:highlight w:val="none"/>
          <w:lang w:val="en-US" w:eastAsia="zh-CN"/>
        </w:rPr>
      </w:pPr>
    </w:p>
    <w:p w14:paraId="0C094034">
      <w:pPr>
        <w:pStyle w:val="21"/>
        <w:spacing w:line="360" w:lineRule="auto"/>
        <w:rPr>
          <w:rFonts w:hint="eastAsia" w:hAnsi="宋体" w:eastAsia="宋体" w:cs="宋体"/>
          <w:b/>
          <w:color w:val="auto"/>
          <w:sz w:val="21"/>
          <w:szCs w:val="21"/>
          <w:highlight w:val="none"/>
          <w:lang w:val="en-US" w:eastAsia="zh-CN"/>
        </w:rPr>
      </w:pPr>
    </w:p>
    <w:p w14:paraId="4625A601">
      <w:pPr>
        <w:pStyle w:val="21"/>
        <w:spacing w:line="360" w:lineRule="auto"/>
        <w:rPr>
          <w:rFonts w:hint="eastAsia" w:hAnsi="宋体" w:eastAsia="宋体" w:cs="宋体"/>
          <w:b/>
          <w:color w:val="auto"/>
          <w:sz w:val="21"/>
          <w:szCs w:val="21"/>
          <w:highlight w:val="none"/>
          <w:lang w:val="en-US" w:eastAsia="zh-CN"/>
        </w:rPr>
      </w:pPr>
    </w:p>
    <w:p w14:paraId="7717B54D">
      <w:pPr>
        <w:pStyle w:val="21"/>
        <w:spacing w:line="360" w:lineRule="auto"/>
        <w:rPr>
          <w:rFonts w:hint="eastAsia" w:hAnsi="宋体" w:eastAsia="宋体" w:cs="宋体"/>
          <w:b/>
          <w:color w:val="auto"/>
          <w:sz w:val="21"/>
          <w:szCs w:val="21"/>
          <w:highlight w:val="none"/>
          <w:lang w:val="en-US" w:eastAsia="zh-CN"/>
        </w:rPr>
      </w:pPr>
    </w:p>
    <w:p w14:paraId="0BAFEA13">
      <w:pPr>
        <w:pStyle w:val="21"/>
        <w:spacing w:line="360" w:lineRule="auto"/>
        <w:rPr>
          <w:rFonts w:hint="eastAsia" w:hAnsi="宋体" w:eastAsia="宋体" w:cs="宋体"/>
          <w:b/>
          <w:color w:val="auto"/>
          <w:sz w:val="21"/>
          <w:szCs w:val="21"/>
          <w:highlight w:val="none"/>
          <w:lang w:val="en-US" w:eastAsia="zh-CN"/>
        </w:rPr>
      </w:pPr>
    </w:p>
    <w:p w14:paraId="09FB60F7">
      <w:pPr>
        <w:pStyle w:val="21"/>
        <w:spacing w:line="360" w:lineRule="auto"/>
        <w:rPr>
          <w:rFonts w:hint="eastAsia" w:hAnsi="宋体" w:eastAsia="宋体" w:cs="宋体"/>
          <w:b/>
          <w:color w:val="auto"/>
          <w:sz w:val="21"/>
          <w:szCs w:val="21"/>
          <w:highlight w:val="none"/>
          <w:lang w:val="en-US" w:eastAsia="zh-CN"/>
        </w:rPr>
      </w:pPr>
    </w:p>
    <w:p w14:paraId="0F32E72A">
      <w:pPr>
        <w:pStyle w:val="21"/>
        <w:spacing w:line="360" w:lineRule="auto"/>
        <w:rPr>
          <w:rFonts w:hint="eastAsia" w:hAnsi="宋体" w:eastAsia="宋体" w:cs="宋体"/>
          <w:b/>
          <w:color w:val="auto"/>
          <w:sz w:val="21"/>
          <w:szCs w:val="21"/>
          <w:highlight w:val="none"/>
          <w:lang w:val="en-US" w:eastAsia="zh-CN"/>
        </w:rPr>
      </w:pPr>
    </w:p>
    <w:p w14:paraId="2DCC55CA">
      <w:pPr>
        <w:pStyle w:val="21"/>
        <w:spacing w:line="360" w:lineRule="auto"/>
        <w:rPr>
          <w:rFonts w:hint="eastAsia" w:hAnsi="宋体" w:eastAsia="宋体" w:cs="宋体"/>
          <w:b/>
          <w:color w:val="auto"/>
          <w:sz w:val="21"/>
          <w:szCs w:val="21"/>
          <w:highlight w:val="none"/>
          <w:lang w:val="en-US" w:eastAsia="zh-CN"/>
        </w:rPr>
      </w:pPr>
    </w:p>
    <w:p w14:paraId="03C45541">
      <w:pPr>
        <w:pStyle w:val="21"/>
        <w:spacing w:line="360" w:lineRule="auto"/>
        <w:rPr>
          <w:rFonts w:hint="eastAsia" w:hAnsi="宋体" w:eastAsia="宋体" w:cs="宋体"/>
          <w:b/>
          <w:color w:val="auto"/>
          <w:sz w:val="21"/>
          <w:szCs w:val="21"/>
          <w:highlight w:val="none"/>
          <w:lang w:val="en-US" w:eastAsia="zh-CN"/>
        </w:rPr>
      </w:pPr>
    </w:p>
    <w:p w14:paraId="53530126">
      <w:pPr>
        <w:pStyle w:val="21"/>
        <w:spacing w:line="360" w:lineRule="auto"/>
        <w:rPr>
          <w:rFonts w:hint="eastAsia" w:hAnsi="宋体" w:eastAsia="宋体" w:cs="宋体"/>
          <w:b/>
          <w:color w:val="auto"/>
          <w:sz w:val="21"/>
          <w:szCs w:val="21"/>
          <w:highlight w:val="none"/>
          <w:lang w:val="en-US" w:eastAsia="zh-CN"/>
        </w:rPr>
      </w:pPr>
    </w:p>
    <w:p w14:paraId="593C715A">
      <w:pPr>
        <w:pStyle w:val="21"/>
        <w:spacing w:line="360" w:lineRule="auto"/>
        <w:rPr>
          <w:rFonts w:hint="default" w:hAnsi="宋体" w:eastAsia="宋体" w:cs="宋体"/>
          <w:b/>
          <w:color w:val="auto"/>
          <w:sz w:val="21"/>
          <w:szCs w:val="21"/>
          <w:highlight w:val="none"/>
          <w:lang w:val="en-US" w:eastAsia="zh-CN"/>
        </w:rPr>
      </w:pPr>
      <w:r>
        <w:rPr>
          <w:rFonts w:hint="eastAsia" w:hAnsi="宋体" w:eastAsia="宋体" w:cs="宋体"/>
          <w:b/>
          <w:color w:val="auto"/>
          <w:sz w:val="21"/>
          <w:szCs w:val="21"/>
          <w:highlight w:val="none"/>
          <w:lang w:val="en-US" w:eastAsia="zh-CN"/>
        </w:rPr>
        <w:t>附件15：政府采购合同信用融资政策告知函（本附件无需签章放置响应文件中）</w:t>
      </w:r>
    </w:p>
    <w:p w14:paraId="2BECE91A">
      <w:pPr>
        <w:widowControl/>
        <w:spacing w:line="360" w:lineRule="auto"/>
        <w:jc w:val="center"/>
        <w:rPr>
          <w:rFonts w:hint="eastAsia" w:ascii="宋体" w:hAnsi="宋体" w:eastAsia="宋体" w:cs="宋体"/>
          <w:b/>
          <w:color w:val="auto"/>
          <w:sz w:val="28"/>
          <w:szCs w:val="24"/>
          <w:highlight w:val="none"/>
        </w:rPr>
      </w:pPr>
    </w:p>
    <w:p w14:paraId="5DBBF8F4">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8"/>
          <w:szCs w:val="24"/>
          <w:highlight w:val="none"/>
        </w:rPr>
        <w:t>政府采购合同信用融资政策告知函</w:t>
      </w:r>
    </w:p>
    <w:p w14:paraId="606B2609">
      <w:pPr>
        <w:widowControl/>
        <w:spacing w:line="360" w:lineRule="auto"/>
        <w:ind w:firstLine="480"/>
        <w:rPr>
          <w:rFonts w:hint="eastAsia" w:ascii="宋体" w:hAnsi="宋体" w:eastAsia="宋体" w:cs="宋体"/>
          <w:color w:val="auto"/>
          <w:sz w:val="24"/>
          <w:szCs w:val="24"/>
          <w:highlight w:val="none"/>
        </w:rPr>
      </w:pPr>
    </w:p>
    <w:p w14:paraId="45CB1DD0">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各政府采购供应商：</w:t>
      </w:r>
    </w:p>
    <w:p w14:paraId="19C0774D">
      <w:pPr>
        <w:widowControl/>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欢迎贵公司参加苏州市政府采购活动！</w:t>
      </w:r>
    </w:p>
    <w:p w14:paraId="6D2F19DC">
      <w:pPr>
        <w:pStyle w:val="21"/>
        <w:spacing w:line="360" w:lineRule="auto"/>
        <w:ind w:firstLine="420" w:firstLineChars="200"/>
        <w:rPr>
          <w:rFonts w:hint="eastAsia"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政府采购合同信用融资是江苏省、苏州市为支持中小企业发展，缓解中小企业融资难题推出的一项融资服务举措。若贵公司经评审最终成为本次政府采购项目的合格中标（成交）供应商，可向金融机构申请贷款，无需抵押、担保，金融机构将根据江苏省财政厅 中国人民银行南京分行《关于深入推进政府采购线上合同信用融资工作的通知》（苏财购［2021］82号）及苏州市财政局、人民银行苏州市分行相关文件要求，按照双方自愿的原则提供便捷、优惠的贷款服务</w:t>
      </w:r>
      <w:r>
        <w:rPr>
          <w:rFonts w:hint="eastAsia" w:ascii="宋体" w:hAnsi="宋体" w:eastAsia="宋体" w:cs="宋体"/>
          <w:color w:val="auto"/>
          <w:sz w:val="21"/>
          <w:szCs w:val="21"/>
          <w:highlight w:val="none"/>
          <w:lang w:eastAsia="zh-CN"/>
        </w:rPr>
        <w:t>。</w:t>
      </w:r>
    </w:p>
    <w:p w14:paraId="4ECCEB14">
      <w:pPr>
        <w:pStyle w:val="21"/>
        <w:spacing w:line="360" w:lineRule="auto"/>
        <w:rPr>
          <w:rFonts w:hint="eastAsia" w:hAnsi="宋体" w:eastAsia="宋体" w:cs="宋体"/>
          <w:b/>
          <w:color w:val="auto"/>
          <w:sz w:val="21"/>
          <w:szCs w:val="21"/>
          <w:highlight w:val="none"/>
        </w:rPr>
      </w:pPr>
    </w:p>
    <w:p w14:paraId="5898EFCF">
      <w:pPr>
        <w:pStyle w:val="21"/>
        <w:spacing w:line="360" w:lineRule="auto"/>
        <w:rPr>
          <w:rFonts w:hint="eastAsia" w:hAnsi="宋体" w:eastAsia="宋体" w:cs="宋体"/>
          <w:b/>
          <w:color w:val="auto"/>
          <w:sz w:val="21"/>
          <w:szCs w:val="21"/>
          <w:highlight w:val="none"/>
        </w:rPr>
      </w:pPr>
    </w:p>
    <w:p w14:paraId="01FD5182">
      <w:pPr>
        <w:pStyle w:val="21"/>
        <w:spacing w:line="360" w:lineRule="auto"/>
        <w:rPr>
          <w:rFonts w:hint="eastAsia" w:hAnsi="宋体" w:eastAsia="宋体" w:cs="宋体"/>
          <w:b/>
          <w:color w:val="auto"/>
          <w:sz w:val="21"/>
          <w:szCs w:val="21"/>
          <w:highlight w:val="none"/>
        </w:rPr>
      </w:pPr>
    </w:p>
    <w:p w14:paraId="58C74F37">
      <w:pPr>
        <w:pStyle w:val="21"/>
        <w:spacing w:line="360" w:lineRule="auto"/>
        <w:rPr>
          <w:rFonts w:hint="eastAsia" w:hAnsi="宋体" w:eastAsia="宋体" w:cs="宋体"/>
          <w:b/>
          <w:color w:val="auto"/>
          <w:sz w:val="21"/>
          <w:szCs w:val="21"/>
          <w:highlight w:val="none"/>
        </w:rPr>
      </w:pPr>
    </w:p>
    <w:p w14:paraId="24426D80">
      <w:pPr>
        <w:pStyle w:val="21"/>
        <w:spacing w:line="360" w:lineRule="auto"/>
        <w:rPr>
          <w:rFonts w:hAnsi="宋体" w:eastAsia="宋体" w:cs="宋体"/>
          <w:b/>
          <w:color w:val="auto"/>
          <w:sz w:val="21"/>
          <w:szCs w:val="21"/>
          <w:highlight w:val="none"/>
        </w:rPr>
      </w:pPr>
      <w:r>
        <w:rPr>
          <w:rFonts w:hint="eastAsia" w:hAnsi="宋体" w:eastAsia="宋体" w:cs="宋体"/>
          <w:b/>
          <w:color w:val="auto"/>
          <w:sz w:val="21"/>
          <w:szCs w:val="21"/>
          <w:highlight w:val="none"/>
        </w:rPr>
        <w:t>（全文完）</w:t>
      </w:r>
    </w:p>
    <w:p w14:paraId="13361017">
      <w:pPr>
        <w:pStyle w:val="21"/>
        <w:spacing w:line="360" w:lineRule="auto"/>
        <w:rPr>
          <w:rFonts w:hAnsi="宋体" w:eastAsia="宋体" w:cs="宋体"/>
          <w:b/>
          <w:color w:val="auto"/>
          <w:sz w:val="21"/>
          <w:szCs w:val="21"/>
          <w:highlight w:val="none"/>
        </w:rPr>
      </w:pPr>
    </w:p>
    <w:sectPr>
      <w:pgSz w:w="11906" w:h="16838"/>
      <w:pgMar w:top="1134" w:right="1134" w:bottom="1134" w:left="1134" w:header="680" w:footer="68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E1B9">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0A23E63E">
                          <w:pPr>
                            <w:pStyle w:val="27"/>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rUadddsBAACwAwAADgAAAAAAAAAB&#10;ACAAAAAfAQAAZHJzL2Uyb0RvYy54bWxQSwUGAAAAAAYABgBZAQAAbAUAAAAA&#10;">
              <v:fill on="f" focussize="0,0"/>
              <v:stroke on="f" weight="0.5pt"/>
              <v:imagedata o:title=""/>
              <o:lock v:ext="edit" aspectratio="f"/>
              <v:textbox inset="0mm,0mm,0mm,0mm" style="mso-fit-shape-to-text:t;">
                <w:txbxContent>
                  <w:p w14:paraId="0A23E63E">
                    <w:pPr>
                      <w:pStyle w:val="27"/>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CD196">
    <w:pPr>
      <w:pStyle w:val="27"/>
      <w:framePr w:wrap="around" w:vAnchor="text" w:hAnchor="margin" w:xAlign="center" w:y="1"/>
      <w:rPr>
        <w:rStyle w:val="48"/>
      </w:rPr>
    </w:pPr>
    <w:r>
      <w:fldChar w:fldCharType="begin"/>
    </w:r>
    <w:r>
      <w:rPr>
        <w:rStyle w:val="48"/>
      </w:rPr>
      <w:instrText xml:space="preserve">PAGE  </w:instrText>
    </w:r>
    <w:r>
      <w:fldChar w:fldCharType="end"/>
    </w:r>
  </w:p>
  <w:p w14:paraId="67A654AC">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2480F">
    <w:pPr>
      <w:pStyle w:val="29"/>
      <w:tabs>
        <w:tab w:val="right" w:pos="8820"/>
      </w:tabs>
      <w:jc w:val="left"/>
      <w:rPr>
        <w:rFonts w:hint="eastAsia" w:ascii="宋体" w:hAnsi="宋体" w:eastAsia="宋体"/>
        <w:lang w:eastAsia="zh-CN"/>
      </w:rPr>
    </w:pPr>
    <w:r>
      <w:drawing>
        <wp:inline distT="0" distB="0" distL="0" distR="0">
          <wp:extent cx="321945" cy="241300"/>
          <wp:effectExtent l="19050" t="0" r="1905" b="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pic:cNvPicPr>
                </pic:nvPicPr>
                <pic:blipFill>
                  <a:blip r:embed="rId1"/>
                  <a:stretch>
                    <a:fillRect/>
                  </a:stretch>
                </pic:blipFill>
                <pic:spPr>
                  <a:xfrm>
                    <a:off x="0" y="0"/>
                    <a:ext cx="321945" cy="241300"/>
                  </a:xfrm>
                  <a:prstGeom prst="rect">
                    <a:avLst/>
                  </a:prstGeom>
                  <a:noFill/>
                  <a:ln w="9525">
                    <a:noFill/>
                    <a:miter lim="800000"/>
                    <a:headEnd/>
                    <a:tailEnd/>
                  </a:ln>
                </pic:spPr>
              </pic:pic>
            </a:graphicData>
          </a:graphic>
        </wp:inline>
      </w:drawing>
    </w:r>
    <w:r>
      <w:rPr>
        <w:rFonts w:hint="eastAsia" w:ascii="宋体" w:hAnsi="宋体"/>
      </w:rPr>
      <w:t>苏州市创杰招投标咨询服务有限公司</w:t>
    </w:r>
    <w:r>
      <w:tab/>
    </w:r>
    <w:r>
      <w:rPr>
        <w:rFonts w:hint="eastAsia" w:ascii="宋体" w:hAnsi="宋体"/>
      </w:rPr>
      <w:t xml:space="preserve">                       采购编号：</w:t>
    </w:r>
    <w:r>
      <w:rPr>
        <w:rFonts w:hint="eastAsia" w:ascii="宋体" w:hAnsi="宋体"/>
        <w:lang w:eastAsia="zh-CN"/>
      </w:rPr>
      <w:t>JSZC-320508-CJZB-C2026-0044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CCF21">
    <w:pPr>
      <w:pStyle w:val="29"/>
      <w:tabs>
        <w:tab w:val="right" w:pos="8820"/>
      </w:tabs>
      <w:jc w:val="left"/>
      <w:rPr>
        <w:rFonts w:ascii="宋体" w:hAnsi="宋体"/>
      </w:rPr>
    </w:pPr>
    <w:r>
      <w:drawing>
        <wp:inline distT="0" distB="0" distL="0" distR="0">
          <wp:extent cx="321945" cy="241300"/>
          <wp:effectExtent l="19050" t="0" r="1905" b="0"/>
          <wp:docPr id="2" name="图片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2"/>
                  <pic:cNvPicPr>
                    <a:picLocks noChangeAspect="1"/>
                  </pic:cNvPicPr>
                </pic:nvPicPr>
                <pic:blipFill>
                  <a:blip r:embed="rId1"/>
                  <a:stretch>
                    <a:fillRect/>
                  </a:stretch>
                </pic:blipFill>
                <pic:spPr>
                  <a:xfrm>
                    <a:off x="0" y="0"/>
                    <a:ext cx="321945" cy="241300"/>
                  </a:xfrm>
                  <a:prstGeom prst="rect">
                    <a:avLst/>
                  </a:prstGeom>
                  <a:noFill/>
                  <a:ln w="9525">
                    <a:noFill/>
                    <a:miter lim="800000"/>
                    <a:headEnd/>
                    <a:tailEnd/>
                  </a:ln>
                </pic:spPr>
              </pic:pic>
            </a:graphicData>
          </a:graphic>
        </wp:inline>
      </w:drawing>
    </w:r>
    <w:r>
      <w:rPr>
        <w:rFonts w:hint="eastAsia" w:ascii="宋体" w:hAnsi="宋体"/>
      </w:rPr>
      <w:t>苏州市创杰招投标咨询服务有限公司</w:t>
    </w:r>
    <w:r>
      <w:tab/>
    </w:r>
    <w:r>
      <w:rPr>
        <w:rFonts w:hint="eastAsia" w:ascii="宋体" w:hAnsi="宋体"/>
      </w:rPr>
      <w:t>标号：</w:t>
    </w:r>
    <w:r>
      <w:rPr>
        <w:rFonts w:ascii="宋体" w:hAnsi="宋体"/>
      </w:rPr>
      <w:t>SZCJ20</w:t>
    </w:r>
    <w:r>
      <w:rPr>
        <w:rFonts w:hint="eastAsia" w:ascii="宋体" w:hAnsi="宋体"/>
      </w:rPr>
      <w:t>16</w:t>
    </w:r>
    <w:r>
      <w:rPr>
        <w:rFonts w:ascii="宋体" w:hAnsi="宋体"/>
      </w:rPr>
      <w:t>-</w:t>
    </w:r>
    <w:r>
      <w:rPr>
        <w:rFonts w:hint="eastAsia" w:ascii="宋体" w:hAnsi="宋体"/>
      </w:rPr>
      <w:t>C</w:t>
    </w:r>
    <w:r>
      <w:rPr>
        <w:rFonts w:ascii="宋体" w:hAnsi="宋体"/>
      </w:rPr>
      <w:t>-</w:t>
    </w:r>
    <w:r>
      <w:rPr>
        <w:rFonts w:hint="eastAsia" w:ascii="宋体" w:hAnsi="宋体"/>
      </w:rPr>
      <w:t>001号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945" w:hanging="525"/>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
    <w:nsid w:val="CF092B84"/>
    <w:multiLevelType w:val="multilevel"/>
    <w:tmpl w:val="CF092B84"/>
    <w:lvl w:ilvl="0" w:tentative="0">
      <w:start w:val="1"/>
      <w:numFmt w:val="japaneseCounting"/>
      <w:pStyle w:val="226"/>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53208E"/>
    <w:multiLevelType w:val="multilevel"/>
    <w:tmpl w:val="0053208E"/>
    <w:lvl w:ilvl="0" w:tentative="0">
      <w:start w:val="2"/>
      <w:numFmt w:val="japaneseCounting"/>
      <w:pStyle w:val="40"/>
      <w:lvlText w:val="（%1）"/>
      <w:lvlJc w:val="left"/>
      <w:pPr>
        <w:tabs>
          <w:tab w:val="left" w:pos="1140"/>
        </w:tabs>
        <w:ind w:left="1140" w:hanging="720"/>
      </w:pPr>
      <w:rPr>
        <w:rFonts w:hint="eastAsia"/>
        <w:b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96F1BF9"/>
    <w:multiLevelType w:val="singleLevel"/>
    <w:tmpl w:val="096F1BF9"/>
    <w:lvl w:ilvl="0" w:tentative="0">
      <w:start w:val="3"/>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GIyZWRmZTk5MGEyN2Y5Y2Y2MjllNTgyNjIzMzUifQ=="/>
  </w:docVars>
  <w:rsids>
    <w:rsidRoot w:val="00000000"/>
    <w:rsid w:val="00542500"/>
    <w:rsid w:val="00B25DFB"/>
    <w:rsid w:val="01455AD2"/>
    <w:rsid w:val="014674DD"/>
    <w:rsid w:val="026A1C91"/>
    <w:rsid w:val="03DF5B69"/>
    <w:rsid w:val="04DC30B5"/>
    <w:rsid w:val="057F1FC5"/>
    <w:rsid w:val="05D11D1B"/>
    <w:rsid w:val="07CA4C73"/>
    <w:rsid w:val="08B51434"/>
    <w:rsid w:val="09047D11"/>
    <w:rsid w:val="093C3886"/>
    <w:rsid w:val="0A5237B5"/>
    <w:rsid w:val="0A924E3A"/>
    <w:rsid w:val="0B04022E"/>
    <w:rsid w:val="0B6E3B68"/>
    <w:rsid w:val="0C735804"/>
    <w:rsid w:val="0E652882"/>
    <w:rsid w:val="0EF27454"/>
    <w:rsid w:val="0F7A1468"/>
    <w:rsid w:val="0FB757E8"/>
    <w:rsid w:val="1056705F"/>
    <w:rsid w:val="107678A7"/>
    <w:rsid w:val="115B602E"/>
    <w:rsid w:val="121B7A00"/>
    <w:rsid w:val="13256251"/>
    <w:rsid w:val="13337B71"/>
    <w:rsid w:val="135D699C"/>
    <w:rsid w:val="155F7502"/>
    <w:rsid w:val="16764A18"/>
    <w:rsid w:val="170000A7"/>
    <w:rsid w:val="18AC334D"/>
    <w:rsid w:val="18B52DD6"/>
    <w:rsid w:val="195109A9"/>
    <w:rsid w:val="1AB359EE"/>
    <w:rsid w:val="1AF71484"/>
    <w:rsid w:val="1B3076E9"/>
    <w:rsid w:val="1C142509"/>
    <w:rsid w:val="1D2D011C"/>
    <w:rsid w:val="1DA13929"/>
    <w:rsid w:val="1DEA4300"/>
    <w:rsid w:val="1E52188F"/>
    <w:rsid w:val="1EA57449"/>
    <w:rsid w:val="1EFD191F"/>
    <w:rsid w:val="1F9F20EA"/>
    <w:rsid w:val="1FCA77B4"/>
    <w:rsid w:val="20C71FF8"/>
    <w:rsid w:val="21DE5F24"/>
    <w:rsid w:val="2306495B"/>
    <w:rsid w:val="24322CF0"/>
    <w:rsid w:val="25710914"/>
    <w:rsid w:val="26887D7C"/>
    <w:rsid w:val="26BB5A5B"/>
    <w:rsid w:val="270A726A"/>
    <w:rsid w:val="29BB5DFB"/>
    <w:rsid w:val="2A5619C1"/>
    <w:rsid w:val="2AB060B5"/>
    <w:rsid w:val="2CC92CFD"/>
    <w:rsid w:val="2D2B4220"/>
    <w:rsid w:val="2D894D2D"/>
    <w:rsid w:val="2DD613CD"/>
    <w:rsid w:val="2DE43F6E"/>
    <w:rsid w:val="2FC91B25"/>
    <w:rsid w:val="302C4AF0"/>
    <w:rsid w:val="3086532C"/>
    <w:rsid w:val="30F976F7"/>
    <w:rsid w:val="31815AF3"/>
    <w:rsid w:val="318C609B"/>
    <w:rsid w:val="3244514A"/>
    <w:rsid w:val="32986D12"/>
    <w:rsid w:val="33272EB9"/>
    <w:rsid w:val="33511692"/>
    <w:rsid w:val="33BB3477"/>
    <w:rsid w:val="33F358AF"/>
    <w:rsid w:val="342002E1"/>
    <w:rsid w:val="34254951"/>
    <w:rsid w:val="353640A8"/>
    <w:rsid w:val="3548777B"/>
    <w:rsid w:val="35714B16"/>
    <w:rsid w:val="357B3AFB"/>
    <w:rsid w:val="36085CF8"/>
    <w:rsid w:val="36194D58"/>
    <w:rsid w:val="368A71F8"/>
    <w:rsid w:val="37EB3AF7"/>
    <w:rsid w:val="389569D3"/>
    <w:rsid w:val="3AB26D1E"/>
    <w:rsid w:val="3B113CC4"/>
    <w:rsid w:val="3C0D6505"/>
    <w:rsid w:val="3CCC13F2"/>
    <w:rsid w:val="3D572FD2"/>
    <w:rsid w:val="3D5D7C63"/>
    <w:rsid w:val="3DEA51FF"/>
    <w:rsid w:val="3E2972F7"/>
    <w:rsid w:val="3E502AD5"/>
    <w:rsid w:val="3E8F2E90"/>
    <w:rsid w:val="3E9055C8"/>
    <w:rsid w:val="3E9E1A93"/>
    <w:rsid w:val="3EC51F9A"/>
    <w:rsid w:val="3EF01892"/>
    <w:rsid w:val="3F12422F"/>
    <w:rsid w:val="3F9C2831"/>
    <w:rsid w:val="41A53572"/>
    <w:rsid w:val="427433A2"/>
    <w:rsid w:val="42750AC5"/>
    <w:rsid w:val="43835F5C"/>
    <w:rsid w:val="45B2544C"/>
    <w:rsid w:val="45D84812"/>
    <w:rsid w:val="46071EA7"/>
    <w:rsid w:val="46C16C66"/>
    <w:rsid w:val="47A3011A"/>
    <w:rsid w:val="47B86C50"/>
    <w:rsid w:val="47CC58C3"/>
    <w:rsid w:val="486F5930"/>
    <w:rsid w:val="4A277B74"/>
    <w:rsid w:val="4AD44C4E"/>
    <w:rsid w:val="4B95775C"/>
    <w:rsid w:val="4CA961D2"/>
    <w:rsid w:val="4CEF3E20"/>
    <w:rsid w:val="4D3E2375"/>
    <w:rsid w:val="4EF455FD"/>
    <w:rsid w:val="4EF817F4"/>
    <w:rsid w:val="4F2740A7"/>
    <w:rsid w:val="50081462"/>
    <w:rsid w:val="50A32F39"/>
    <w:rsid w:val="50D6652F"/>
    <w:rsid w:val="515721CC"/>
    <w:rsid w:val="515E2B63"/>
    <w:rsid w:val="516C5A20"/>
    <w:rsid w:val="5176116D"/>
    <w:rsid w:val="52EF06B7"/>
    <w:rsid w:val="5362715E"/>
    <w:rsid w:val="54CE2C62"/>
    <w:rsid w:val="56944A80"/>
    <w:rsid w:val="575B30C8"/>
    <w:rsid w:val="58B33CCF"/>
    <w:rsid w:val="58DE1373"/>
    <w:rsid w:val="594141C3"/>
    <w:rsid w:val="5AE44879"/>
    <w:rsid w:val="5B745BFD"/>
    <w:rsid w:val="5BAA63C1"/>
    <w:rsid w:val="5D307FC6"/>
    <w:rsid w:val="5DC76E18"/>
    <w:rsid w:val="5E3B2A02"/>
    <w:rsid w:val="60242EA6"/>
    <w:rsid w:val="606F16B8"/>
    <w:rsid w:val="61B64A14"/>
    <w:rsid w:val="649B244D"/>
    <w:rsid w:val="64FE478A"/>
    <w:rsid w:val="651E4E48"/>
    <w:rsid w:val="6740552D"/>
    <w:rsid w:val="6768664A"/>
    <w:rsid w:val="689E4674"/>
    <w:rsid w:val="68D210A9"/>
    <w:rsid w:val="68E048D2"/>
    <w:rsid w:val="69186092"/>
    <w:rsid w:val="6A8219B9"/>
    <w:rsid w:val="6AF1726A"/>
    <w:rsid w:val="6B3A643C"/>
    <w:rsid w:val="6C8337EB"/>
    <w:rsid w:val="6D075221"/>
    <w:rsid w:val="6D52286B"/>
    <w:rsid w:val="6E0E5A3E"/>
    <w:rsid w:val="6E1847C7"/>
    <w:rsid w:val="6E2E2DBF"/>
    <w:rsid w:val="6EA25686"/>
    <w:rsid w:val="6F073CE3"/>
    <w:rsid w:val="6FC059BD"/>
    <w:rsid w:val="724A4481"/>
    <w:rsid w:val="72A615C1"/>
    <w:rsid w:val="74033B6B"/>
    <w:rsid w:val="74814F10"/>
    <w:rsid w:val="75911AB0"/>
    <w:rsid w:val="75DC7E02"/>
    <w:rsid w:val="75F96F37"/>
    <w:rsid w:val="773468B6"/>
    <w:rsid w:val="77FC724F"/>
    <w:rsid w:val="781F349D"/>
    <w:rsid w:val="78DD138E"/>
    <w:rsid w:val="79593AC9"/>
    <w:rsid w:val="79D55366"/>
    <w:rsid w:val="7A4D448D"/>
    <w:rsid w:val="7CE90EE9"/>
    <w:rsid w:val="7D585108"/>
    <w:rsid w:val="7E8E6088"/>
    <w:rsid w:val="7F9258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rPr>
  </w:style>
  <w:style w:type="paragraph" w:styleId="2">
    <w:name w:val="heading 1"/>
    <w:basedOn w:val="1"/>
    <w:next w:val="1"/>
    <w:link w:val="203"/>
    <w:qFormat/>
    <w:uiPriority w:val="0"/>
    <w:pPr>
      <w:keepNext/>
      <w:keepLines/>
      <w:spacing w:before="340" w:after="330" w:line="578" w:lineRule="auto"/>
      <w:outlineLvl w:val="0"/>
    </w:pPr>
    <w:rPr>
      <w:b/>
      <w:bCs/>
      <w:sz w:val="44"/>
      <w:szCs w:val="44"/>
    </w:rPr>
  </w:style>
  <w:style w:type="paragraph" w:styleId="3">
    <w:name w:val="heading 2"/>
    <w:basedOn w:val="1"/>
    <w:next w:val="1"/>
    <w:link w:val="5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04"/>
    <w:qFormat/>
    <w:uiPriority w:val="0"/>
    <w:pPr>
      <w:keepNext/>
      <w:keepLines/>
      <w:spacing w:before="260" w:after="260" w:line="416" w:lineRule="auto"/>
      <w:outlineLvl w:val="2"/>
    </w:pPr>
    <w:rPr>
      <w:b/>
      <w:bCs/>
      <w:sz w:val="32"/>
      <w:szCs w:val="32"/>
    </w:rPr>
  </w:style>
  <w:style w:type="paragraph" w:styleId="5">
    <w:name w:val="heading 4"/>
    <w:basedOn w:val="1"/>
    <w:next w:val="1"/>
    <w:link w:val="213"/>
    <w:qFormat/>
    <w:uiPriority w:val="0"/>
    <w:pPr>
      <w:keepNext/>
      <w:spacing w:before="240" w:after="60"/>
      <w:outlineLvl w:val="3"/>
    </w:pPr>
    <w:rPr>
      <w:b/>
      <w:bCs/>
      <w:sz w:val="28"/>
      <w:szCs w:val="28"/>
    </w:rPr>
  </w:style>
  <w:style w:type="paragraph" w:styleId="6">
    <w:name w:val="heading 5"/>
    <w:basedOn w:val="1"/>
    <w:next w:val="1"/>
    <w:link w:val="208"/>
    <w:qFormat/>
    <w:uiPriority w:val="0"/>
    <w:pPr>
      <w:spacing w:before="240" w:after="60"/>
      <w:outlineLvl w:val="4"/>
    </w:pPr>
    <w:rPr>
      <w:b/>
      <w:bCs/>
      <w:i/>
      <w:iCs/>
      <w:sz w:val="26"/>
      <w:szCs w:val="26"/>
    </w:rPr>
  </w:style>
  <w:style w:type="paragraph" w:styleId="7">
    <w:name w:val="heading 6"/>
    <w:basedOn w:val="1"/>
    <w:next w:val="1"/>
    <w:link w:val="6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6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5"/>
    <w:unhideWhenUsed/>
    <w:qFormat/>
    <w:uiPriority w:val="9"/>
    <w:pPr>
      <w:keepNext/>
      <w:keepLines/>
      <w:spacing w:before="320" w:after="200"/>
      <w:outlineLvl w:val="8"/>
    </w:pPr>
    <w:rPr>
      <w:rFonts w:ascii="Arial" w:hAnsi="Arial" w:eastAsia="Arial" w:cs="Arial"/>
      <w:i/>
      <w:iCs/>
      <w:sz w:val="21"/>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next w:val="1"/>
    <w:link w:val="207"/>
    <w:qFormat/>
    <w:uiPriority w:val="0"/>
    <w:pPr>
      <w:widowControl/>
      <w:ind w:firstLine="420"/>
      <w:jc w:val="left"/>
    </w:pPr>
    <w:rPr>
      <w:rFonts w:eastAsia="楷体_GB2312"/>
      <w:sz w:val="24"/>
      <w:szCs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semiHidden/>
    <w:qFormat/>
    <w:uiPriority w:val="0"/>
    <w:pPr>
      <w:shd w:val="clear" w:color="auto" w:fill="000080"/>
    </w:pPr>
  </w:style>
  <w:style w:type="paragraph" w:styleId="15">
    <w:name w:val="annotation text"/>
    <w:basedOn w:val="1"/>
    <w:link w:val="221"/>
    <w:qFormat/>
    <w:uiPriority w:val="99"/>
    <w:pPr>
      <w:jc w:val="left"/>
    </w:pPr>
  </w:style>
  <w:style w:type="paragraph" w:styleId="16">
    <w:name w:val="Body Text"/>
    <w:basedOn w:val="1"/>
    <w:qFormat/>
    <w:uiPriority w:val="0"/>
    <w:pPr>
      <w:spacing w:after="120"/>
    </w:pPr>
  </w:style>
  <w:style w:type="paragraph" w:styleId="17">
    <w:name w:val="Body Text Indent"/>
    <w:basedOn w:val="1"/>
    <w:link w:val="250"/>
    <w:qFormat/>
    <w:uiPriority w:val="0"/>
    <w:pPr>
      <w:spacing w:after="120"/>
      <w:ind w:left="420"/>
    </w:pPr>
  </w:style>
  <w:style w:type="paragraph" w:styleId="18">
    <w:name w:val="Block Text"/>
    <w:basedOn w:val="2"/>
    <w:next w:val="1"/>
    <w:qFormat/>
    <w:uiPriority w:val="0"/>
    <w:pPr>
      <w:spacing w:line="360" w:lineRule="auto"/>
      <w:ind w:left="630" w:right="-609" w:firstLine="420"/>
    </w:pPr>
    <w:rPr>
      <w:rFonts w:hint="eastAsia" w:ascii="仿宋_GB2312" w:eastAsia="仿宋_GB2312"/>
      <w:szCs w:val="20"/>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spacing w:after="57"/>
      <w:ind w:left="567" w:right="0" w:firstLine="0"/>
    </w:pPr>
  </w:style>
  <w:style w:type="paragraph" w:styleId="21">
    <w:name w:val="Plain Text"/>
    <w:basedOn w:val="1"/>
    <w:link w:val="206"/>
    <w:qFormat/>
    <w:uiPriority w:val="0"/>
    <w:pPr>
      <w:widowControl/>
      <w:jc w:val="left"/>
    </w:pPr>
    <w:rPr>
      <w:rFonts w:ascii="宋体" w:hAnsi="Courier New" w:eastAsia="楷体_GB2312"/>
      <w:sz w:val="26"/>
    </w:rPr>
  </w:style>
  <w:style w:type="paragraph" w:styleId="22">
    <w:name w:val="toc 8"/>
    <w:basedOn w:val="1"/>
    <w:next w:val="1"/>
    <w:unhideWhenUsed/>
    <w:qFormat/>
    <w:uiPriority w:val="39"/>
    <w:pPr>
      <w:spacing w:after="57"/>
      <w:ind w:left="1984" w:right="0" w:firstLine="0"/>
    </w:pPr>
  </w:style>
  <w:style w:type="paragraph" w:styleId="23">
    <w:name w:val="Date"/>
    <w:basedOn w:val="1"/>
    <w:next w:val="1"/>
    <w:link w:val="222"/>
    <w:qFormat/>
    <w:uiPriority w:val="0"/>
    <w:pPr>
      <w:ind w:left="100"/>
    </w:pPr>
    <w:rPr>
      <w:sz w:val="36"/>
      <w:szCs w:val="20"/>
    </w:rPr>
  </w:style>
  <w:style w:type="paragraph" w:styleId="24">
    <w:name w:val="Body Text Indent 2"/>
    <w:basedOn w:val="1"/>
    <w:qFormat/>
    <w:uiPriority w:val="0"/>
    <w:pPr>
      <w:spacing w:after="120" w:line="480" w:lineRule="auto"/>
      <w:ind w:left="420"/>
    </w:pPr>
  </w:style>
  <w:style w:type="paragraph" w:styleId="25">
    <w:name w:val="endnote text"/>
    <w:basedOn w:val="1"/>
    <w:link w:val="201"/>
    <w:semiHidden/>
    <w:unhideWhenUsed/>
    <w:qFormat/>
    <w:uiPriority w:val="99"/>
    <w:pPr>
      <w:spacing w:after="0" w:line="240" w:lineRule="auto"/>
    </w:pPr>
    <w:rPr>
      <w:sz w:val="20"/>
    </w:rPr>
  </w:style>
  <w:style w:type="paragraph" w:styleId="26">
    <w:name w:val="Balloon Text"/>
    <w:basedOn w:val="1"/>
    <w:semiHidden/>
    <w:qFormat/>
    <w:uiPriority w:val="0"/>
    <w:rPr>
      <w:sz w:val="18"/>
      <w:szCs w:val="18"/>
    </w:rPr>
  </w:style>
  <w:style w:type="paragraph" w:styleId="27">
    <w:name w:val="footer"/>
    <w:basedOn w:val="1"/>
    <w:link w:val="211"/>
    <w:qFormat/>
    <w:uiPriority w:val="0"/>
    <w:pPr>
      <w:tabs>
        <w:tab w:val="center" w:pos="4153"/>
        <w:tab w:val="right" w:pos="8306"/>
      </w:tabs>
      <w:jc w:val="left"/>
    </w:pPr>
    <w:rPr>
      <w:sz w:val="18"/>
      <w:szCs w:val="18"/>
    </w:rPr>
  </w:style>
  <w:style w:type="paragraph" w:styleId="28">
    <w:name w:val="envelope return"/>
    <w:basedOn w:val="1"/>
    <w:qFormat/>
    <w:uiPriority w:val="0"/>
    <w:rPr>
      <w:rFonts w:ascii="Arial" w:hAnsi="Arial" w:eastAsia="楷体_GB2312"/>
      <w:sz w:val="26"/>
      <w:szCs w:val="20"/>
    </w:rPr>
  </w:style>
  <w:style w:type="paragraph" w:styleId="29">
    <w:name w:val="header"/>
    <w:basedOn w:val="1"/>
    <w:link w:val="217"/>
    <w:qFormat/>
    <w:uiPriority w:val="99"/>
    <w:pPr>
      <w:pBdr>
        <w:bottom w:val="single" w:color="auto" w:sz="6" w:space="1"/>
      </w:pBdr>
      <w:tabs>
        <w:tab w:val="center" w:pos="4153"/>
        <w:tab w:val="right" w:pos="8306"/>
      </w:tabs>
      <w:jc w:val="center"/>
    </w:pPr>
    <w:rPr>
      <w:sz w:val="18"/>
      <w:szCs w:val="18"/>
    </w:rPr>
  </w:style>
  <w:style w:type="paragraph" w:styleId="30">
    <w:name w:val="toc 1"/>
    <w:basedOn w:val="1"/>
    <w:next w:val="1"/>
    <w:semiHidden/>
    <w:qFormat/>
    <w:uiPriority w:val="0"/>
    <w:pPr>
      <w:jc w:val="left"/>
    </w:pPr>
    <w:rPr>
      <w:rFonts w:eastAsia="楷体_GB2312"/>
      <w:sz w:val="24"/>
      <w:szCs w:val="20"/>
    </w:rPr>
  </w:style>
  <w:style w:type="paragraph" w:styleId="31">
    <w:name w:val="toc 4"/>
    <w:basedOn w:val="1"/>
    <w:next w:val="1"/>
    <w:unhideWhenUsed/>
    <w:qFormat/>
    <w:uiPriority w:val="39"/>
    <w:pPr>
      <w:spacing w:after="57"/>
      <w:ind w:left="850" w:right="0" w:firstLine="0"/>
    </w:pPr>
  </w:style>
  <w:style w:type="paragraph" w:styleId="32">
    <w:name w:val="Subtitle"/>
    <w:basedOn w:val="1"/>
    <w:next w:val="1"/>
    <w:qFormat/>
    <w:uiPriority w:val="0"/>
    <w:pPr>
      <w:spacing w:before="240" w:after="60" w:line="312" w:lineRule="auto"/>
      <w:jc w:val="center"/>
      <w:outlineLvl w:val="1"/>
    </w:pPr>
    <w:rPr>
      <w:rFonts w:ascii="宋体" w:hAnsi="Courier New" w:eastAsia="楷体_GB2312"/>
      <w:sz w:val="26"/>
      <w:szCs w:val="20"/>
    </w:rPr>
  </w:style>
  <w:style w:type="paragraph" w:styleId="33">
    <w:name w:val="footnote text"/>
    <w:basedOn w:val="2"/>
    <w:next w:val="18"/>
    <w:qFormat/>
    <w:uiPriority w:val="0"/>
    <w:pPr>
      <w:spacing w:before="0" w:after="0" w:line="360" w:lineRule="auto"/>
      <w:ind w:firstLine="3584"/>
    </w:pPr>
  </w:style>
  <w:style w:type="paragraph" w:styleId="34">
    <w:name w:val="toc 6"/>
    <w:basedOn w:val="1"/>
    <w:next w:val="1"/>
    <w:unhideWhenUsed/>
    <w:qFormat/>
    <w:uiPriority w:val="39"/>
    <w:pPr>
      <w:spacing w:after="57"/>
      <w:ind w:left="1417" w:right="0" w:firstLine="0"/>
    </w:pPr>
  </w:style>
  <w:style w:type="paragraph" w:styleId="35">
    <w:name w:val="Body Text Indent 3"/>
    <w:basedOn w:val="1"/>
    <w:qFormat/>
    <w:uiPriority w:val="0"/>
    <w:pPr>
      <w:spacing w:line="440" w:lineRule="atLeast"/>
      <w:ind w:firstLine="480"/>
      <w:jc w:val="left"/>
    </w:pPr>
    <w:rPr>
      <w:sz w:val="24"/>
    </w:rPr>
  </w:style>
  <w:style w:type="paragraph" w:styleId="36">
    <w:name w:val="table of figures"/>
    <w:basedOn w:val="1"/>
    <w:next w:val="1"/>
    <w:unhideWhenUsed/>
    <w:qFormat/>
    <w:uiPriority w:val="99"/>
    <w:pPr>
      <w:spacing w:after="0" w:afterAutospacing="0"/>
    </w:pPr>
  </w:style>
  <w:style w:type="paragraph" w:styleId="37">
    <w:name w:val="toc 2"/>
    <w:basedOn w:val="1"/>
    <w:next w:val="1"/>
    <w:unhideWhenUsed/>
    <w:qFormat/>
    <w:uiPriority w:val="39"/>
    <w:pPr>
      <w:spacing w:after="57"/>
      <w:ind w:left="283" w:right="0" w:firstLine="0"/>
    </w:pPr>
  </w:style>
  <w:style w:type="paragraph" w:styleId="38">
    <w:name w:val="toc 9"/>
    <w:basedOn w:val="1"/>
    <w:next w:val="1"/>
    <w:unhideWhenUsed/>
    <w:qFormat/>
    <w:uiPriority w:val="39"/>
    <w:pPr>
      <w:spacing w:after="57"/>
      <w:ind w:left="2268" w:right="0" w:firstLine="0"/>
    </w:pPr>
  </w:style>
  <w:style w:type="paragraph" w:styleId="39">
    <w:name w:val="Normal (Web)"/>
    <w:basedOn w:val="1"/>
    <w:qFormat/>
    <w:uiPriority w:val="0"/>
    <w:pPr>
      <w:widowControl/>
      <w:spacing w:before="100" w:beforeAutospacing="1" w:after="100" w:afterAutospacing="1"/>
      <w:jc w:val="left"/>
    </w:pPr>
    <w:rPr>
      <w:rFonts w:ascii="宋体" w:hAnsi="宋体" w:cs="宋体"/>
      <w:sz w:val="24"/>
    </w:rPr>
  </w:style>
  <w:style w:type="paragraph" w:styleId="40">
    <w:name w:val="Title"/>
    <w:basedOn w:val="1"/>
    <w:link w:val="214"/>
    <w:qFormat/>
    <w:uiPriority w:val="0"/>
    <w:pPr>
      <w:numPr>
        <w:ilvl w:val="0"/>
        <w:numId w:val="1"/>
      </w:numPr>
      <w:tabs>
        <w:tab w:val="left" w:pos="432"/>
      </w:tabs>
      <w:spacing w:before="240" w:after="60"/>
      <w:jc w:val="center"/>
      <w:outlineLvl w:val="0"/>
    </w:pPr>
    <w:rPr>
      <w:rFonts w:ascii="Arial" w:hAnsi="Arial"/>
      <w:b/>
      <w:bCs/>
      <w:sz w:val="32"/>
      <w:szCs w:val="32"/>
    </w:rPr>
  </w:style>
  <w:style w:type="paragraph" w:styleId="41">
    <w:name w:val="annotation subject"/>
    <w:basedOn w:val="15"/>
    <w:next w:val="15"/>
    <w:semiHidden/>
    <w:qFormat/>
    <w:uiPriority w:val="0"/>
    <w:rPr>
      <w:b/>
      <w:bCs/>
    </w:rPr>
  </w:style>
  <w:style w:type="paragraph" w:styleId="42">
    <w:name w:val="Body Text First Indent 2"/>
    <w:basedOn w:val="17"/>
    <w:qFormat/>
    <w:uiPriority w:val="0"/>
    <w:pPr>
      <w:ind w:firstLine="420"/>
    </w:p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uiPriority w:val="0"/>
    <w:rPr>
      <w:b/>
      <w:bCs/>
    </w:rPr>
  </w:style>
  <w:style w:type="character" w:styleId="47">
    <w:name w:val="endnote reference"/>
    <w:basedOn w:val="45"/>
    <w:semiHidden/>
    <w:unhideWhenUsed/>
    <w:qFormat/>
    <w:uiPriority w:val="99"/>
    <w:rPr>
      <w:vertAlign w:val="superscript"/>
    </w:rPr>
  </w:style>
  <w:style w:type="character" w:styleId="48">
    <w:name w:val="page number"/>
    <w:basedOn w:val="45"/>
    <w:qFormat/>
    <w:uiPriority w:val="0"/>
  </w:style>
  <w:style w:type="character" w:styleId="49">
    <w:name w:val="FollowedHyperlink"/>
    <w:basedOn w:val="45"/>
    <w:semiHidden/>
    <w:unhideWhenUsed/>
    <w:qFormat/>
    <w:uiPriority w:val="0"/>
    <w:rPr>
      <w:color w:val="333333"/>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99"/>
    <w:rPr>
      <w:sz w:val="21"/>
      <w:szCs w:val="21"/>
    </w:rPr>
  </w:style>
  <w:style w:type="character" w:styleId="53">
    <w:name w:val="footnote reference"/>
    <w:basedOn w:val="45"/>
    <w:unhideWhenUsed/>
    <w:qFormat/>
    <w:uiPriority w:val="99"/>
    <w:rPr>
      <w:vertAlign w:val="superscript"/>
    </w:rPr>
  </w:style>
  <w:style w:type="paragraph" w:customStyle="1" w:styleId="54">
    <w:name w:val="首行缩进"/>
    <w:basedOn w:val="1"/>
    <w:qFormat/>
    <w:uiPriority w:val="0"/>
    <w:pPr>
      <w:spacing w:line="360" w:lineRule="auto"/>
      <w:ind w:firstLine="480"/>
      <w:jc w:val="left"/>
    </w:pPr>
    <w:rPr>
      <w:rFonts w:ascii="宋体" w:hAnsi="宋体"/>
      <w:sz w:val="24"/>
    </w:rPr>
  </w:style>
  <w:style w:type="character" w:customStyle="1" w:styleId="55">
    <w:name w:val="标题 2 Char"/>
    <w:link w:val="3"/>
    <w:qFormat/>
    <w:uiPriority w:val="0"/>
    <w:rPr>
      <w:rFonts w:ascii="Cambria" w:hAnsi="Cambria"/>
      <w:b/>
      <w:bCs/>
      <w:sz w:val="32"/>
      <w:szCs w:val="32"/>
    </w:rPr>
  </w:style>
  <w:style w:type="paragraph" w:customStyle="1" w:styleId="56">
    <w:name w:val="段"/>
    <w:next w:val="1"/>
    <w:qFormat/>
    <w:uiPriority w:val="0"/>
    <w:pPr>
      <w:ind w:firstLine="200"/>
      <w:jc w:val="both"/>
    </w:pPr>
    <w:rPr>
      <w:rFonts w:hint="default" w:ascii="宋体" w:hAnsi="Times New Roman" w:eastAsia="宋体" w:cs="Times New Roman"/>
      <w:sz w:val="21"/>
    </w:rPr>
  </w:style>
  <w:style w:type="character" w:customStyle="1" w:styleId="57">
    <w:name w:val="Heading 1 Char"/>
    <w:basedOn w:val="45"/>
    <w:qFormat/>
    <w:uiPriority w:val="9"/>
    <w:rPr>
      <w:rFonts w:ascii="Arial" w:hAnsi="Arial" w:eastAsia="Arial" w:cs="Arial"/>
      <w:sz w:val="40"/>
      <w:szCs w:val="40"/>
    </w:rPr>
  </w:style>
  <w:style w:type="character" w:customStyle="1" w:styleId="58">
    <w:name w:val="Heading 2 Char"/>
    <w:basedOn w:val="45"/>
    <w:qFormat/>
    <w:uiPriority w:val="9"/>
    <w:rPr>
      <w:rFonts w:ascii="Arial" w:hAnsi="Arial" w:eastAsia="Arial" w:cs="Arial"/>
      <w:sz w:val="34"/>
    </w:rPr>
  </w:style>
  <w:style w:type="character" w:customStyle="1" w:styleId="59">
    <w:name w:val="Heading 3 Char"/>
    <w:basedOn w:val="45"/>
    <w:qFormat/>
    <w:uiPriority w:val="9"/>
    <w:rPr>
      <w:rFonts w:ascii="Arial" w:hAnsi="Arial" w:eastAsia="Arial" w:cs="Arial"/>
      <w:sz w:val="30"/>
      <w:szCs w:val="30"/>
    </w:rPr>
  </w:style>
  <w:style w:type="character" w:customStyle="1" w:styleId="60">
    <w:name w:val="Heading 4 Char"/>
    <w:basedOn w:val="45"/>
    <w:qFormat/>
    <w:uiPriority w:val="9"/>
    <w:rPr>
      <w:rFonts w:ascii="Arial" w:hAnsi="Arial" w:eastAsia="Arial" w:cs="Arial"/>
      <w:b/>
      <w:bCs/>
      <w:sz w:val="26"/>
      <w:szCs w:val="26"/>
    </w:rPr>
  </w:style>
  <w:style w:type="character" w:customStyle="1" w:styleId="61">
    <w:name w:val="Heading 5 Char"/>
    <w:basedOn w:val="45"/>
    <w:qFormat/>
    <w:uiPriority w:val="9"/>
    <w:rPr>
      <w:rFonts w:ascii="Arial" w:hAnsi="Arial" w:eastAsia="Arial" w:cs="Arial"/>
      <w:b/>
      <w:bCs/>
      <w:sz w:val="24"/>
      <w:szCs w:val="24"/>
    </w:rPr>
  </w:style>
  <w:style w:type="character" w:customStyle="1" w:styleId="62">
    <w:name w:val="Heading 6 Char"/>
    <w:basedOn w:val="45"/>
    <w:link w:val="7"/>
    <w:qFormat/>
    <w:uiPriority w:val="9"/>
    <w:rPr>
      <w:rFonts w:ascii="Arial" w:hAnsi="Arial" w:eastAsia="Arial" w:cs="Arial"/>
      <w:b/>
      <w:bCs/>
      <w:sz w:val="22"/>
      <w:szCs w:val="22"/>
    </w:rPr>
  </w:style>
  <w:style w:type="character" w:customStyle="1" w:styleId="63">
    <w:name w:val="Heading 7 Char"/>
    <w:basedOn w:val="45"/>
    <w:link w:val="8"/>
    <w:qFormat/>
    <w:uiPriority w:val="9"/>
    <w:rPr>
      <w:rFonts w:ascii="Arial" w:hAnsi="Arial" w:eastAsia="Arial" w:cs="Arial"/>
      <w:b/>
      <w:bCs/>
      <w:i/>
      <w:iCs/>
      <w:sz w:val="22"/>
      <w:szCs w:val="22"/>
    </w:rPr>
  </w:style>
  <w:style w:type="character" w:customStyle="1" w:styleId="64">
    <w:name w:val="Heading 8 Char"/>
    <w:basedOn w:val="45"/>
    <w:link w:val="9"/>
    <w:qFormat/>
    <w:uiPriority w:val="9"/>
    <w:rPr>
      <w:rFonts w:ascii="Arial" w:hAnsi="Arial" w:eastAsia="Arial" w:cs="Arial"/>
      <w:i/>
      <w:iCs/>
      <w:sz w:val="22"/>
      <w:szCs w:val="22"/>
    </w:rPr>
  </w:style>
  <w:style w:type="character" w:customStyle="1" w:styleId="65">
    <w:name w:val="Heading 9 Char"/>
    <w:basedOn w:val="45"/>
    <w:link w:val="10"/>
    <w:qFormat/>
    <w:uiPriority w:val="9"/>
    <w:rPr>
      <w:rFonts w:ascii="Arial" w:hAnsi="Arial" w:eastAsia="Arial" w:cs="Arial"/>
      <w:i/>
      <w:iCs/>
      <w:sz w:val="21"/>
      <w:szCs w:val="21"/>
    </w:rPr>
  </w:style>
  <w:style w:type="character" w:customStyle="1" w:styleId="66">
    <w:name w:val="Title Char"/>
    <w:basedOn w:val="45"/>
    <w:qFormat/>
    <w:uiPriority w:val="10"/>
    <w:rPr>
      <w:sz w:val="48"/>
      <w:szCs w:val="48"/>
    </w:rPr>
  </w:style>
  <w:style w:type="character" w:customStyle="1" w:styleId="67">
    <w:name w:val="Subtitle Char"/>
    <w:basedOn w:val="45"/>
    <w:qFormat/>
    <w:uiPriority w:val="11"/>
    <w:rPr>
      <w:sz w:val="24"/>
      <w:szCs w:val="24"/>
    </w:rPr>
  </w:style>
  <w:style w:type="paragraph" w:styleId="68">
    <w:name w:val="Quote"/>
    <w:basedOn w:val="1"/>
    <w:next w:val="1"/>
    <w:link w:val="69"/>
    <w:qFormat/>
    <w:uiPriority w:val="29"/>
    <w:pPr>
      <w:ind w:left="720" w:right="720"/>
    </w:pPr>
    <w:rPr>
      <w:i/>
    </w:rPr>
  </w:style>
  <w:style w:type="character" w:customStyle="1" w:styleId="69">
    <w:name w:val="Quote Char"/>
    <w:link w:val="68"/>
    <w:qFormat/>
    <w:uiPriority w:val="29"/>
    <w:rPr>
      <w:i/>
    </w:rPr>
  </w:style>
  <w:style w:type="paragraph" w:styleId="70">
    <w:name w:val="Intense Quote"/>
    <w:basedOn w:val="1"/>
    <w:next w:val="1"/>
    <w:link w:val="7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1">
    <w:name w:val="Intense Quote Char"/>
    <w:link w:val="70"/>
    <w:qFormat/>
    <w:uiPriority w:val="30"/>
    <w:rPr>
      <w:i/>
    </w:rPr>
  </w:style>
  <w:style w:type="character" w:customStyle="1" w:styleId="72">
    <w:name w:val="Header Char"/>
    <w:basedOn w:val="45"/>
    <w:qFormat/>
    <w:uiPriority w:val="99"/>
  </w:style>
  <w:style w:type="character" w:customStyle="1" w:styleId="73">
    <w:name w:val="Footer Char"/>
    <w:basedOn w:val="45"/>
    <w:qFormat/>
    <w:uiPriority w:val="99"/>
  </w:style>
  <w:style w:type="character" w:customStyle="1" w:styleId="74">
    <w:name w:val="Caption Char"/>
    <w:qFormat/>
    <w:uiPriority w:val="99"/>
  </w:style>
  <w:style w:type="table" w:customStyle="1" w:styleId="75">
    <w:name w:val="Table Grid Light"/>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6">
    <w:name w:val="Plain Table 1"/>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7">
    <w:name w:val="Plain Table 2"/>
    <w:basedOn w:val="4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8">
    <w:name w:val="Plain Table 3"/>
    <w:basedOn w:val="4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4"/>
    <w:basedOn w:val="4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Plain Table 5"/>
    <w:basedOn w:val="4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Grid Table 1 Light"/>
    <w:basedOn w:val="4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2">
    <w:name w:val="Grid Table 1 Light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3">
    <w:name w:val="Grid Table 1 Light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4">
    <w:name w:val="Grid Table 1 Light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5">
    <w:name w:val="Grid Table 1 Light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6">
    <w:name w:val="Grid Table 1 Light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7">
    <w:name w:val="Grid Table 1 Light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8">
    <w:name w:val="Grid Table 2"/>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2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0">
    <w:name w:val="Grid Table 2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2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2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2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2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3"/>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6">
    <w:name w:val="Grid Table 3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7">
    <w:name w:val="Grid Table 3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8">
    <w:name w:val="Grid Table 3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9">
    <w:name w:val="Grid Table 3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0">
    <w:name w:val="Grid Table 3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1">
    <w:name w:val="Grid Table 3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2">
    <w:name w:val="Grid Table 4"/>
    <w:basedOn w:val="4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3">
    <w:name w:val="Grid Table 4 - Accent 1"/>
    <w:basedOn w:val="43"/>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4">
    <w:name w:val="Grid Table 4 - Accent 2"/>
    <w:basedOn w:val="43"/>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5">
    <w:name w:val="Grid Table 4 - Accent 3"/>
    <w:basedOn w:val="4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6">
    <w:name w:val="Grid Table 4 - Accent 4"/>
    <w:basedOn w:val="43"/>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7">
    <w:name w:val="Grid Table 4 - Accent 5"/>
    <w:basedOn w:val="43"/>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8">
    <w:name w:val="Grid Table 4 - Accent 6"/>
    <w:basedOn w:val="43"/>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9">
    <w:name w:val="Grid Table 5 Dark"/>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0">
    <w:name w:val="Grid Table 5 Dark- Accent 1"/>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1">
    <w:name w:val="Grid Table 5 Dark - Accent 2"/>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2">
    <w:name w:val="Grid Table 5 Dark - Accent 3"/>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3">
    <w:name w:val="Grid Table 5 Dark- Accent 4"/>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4">
    <w:name w:val="Grid Table 5 Dark - Accent 5"/>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5">
    <w:name w:val="Grid Table 5 Dark - Accent 6"/>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6">
    <w:name w:val="Grid Table 6 Colorful"/>
    <w:basedOn w:val="4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7">
    <w:name w:val="Grid Table 6 Colorful - Accent 1"/>
    <w:basedOn w:val="43"/>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8">
    <w:name w:val="Grid Table 6 Colorful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9">
    <w:name w:val="Grid Table 6 Colorful - Accent 3"/>
    <w:basedOn w:val="4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0">
    <w:name w:val="Grid Table 6 Colorful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1">
    <w:name w:val="Grid Table 6 Colorful - Accent 5"/>
    <w:basedOn w:val="43"/>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2">
    <w:name w:val="Grid Table 6 Colorful - Accent 6"/>
    <w:basedOn w:val="43"/>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3">
    <w:name w:val="Grid Table 7 Colorful"/>
    <w:basedOn w:val="4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4">
    <w:name w:val="Grid Table 7 Colorful - Accent 1"/>
    <w:basedOn w:val="43"/>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5">
    <w:name w:val="Grid Table 7 Colorful - Accent 2"/>
    <w:basedOn w:val="43"/>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6">
    <w:name w:val="Grid Table 7 Colorful - Accent 3"/>
    <w:basedOn w:val="4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7">
    <w:name w:val="Grid Table 7 Colorful - Accent 4"/>
    <w:basedOn w:val="43"/>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8">
    <w:name w:val="Grid Table 7 Colorful - Accent 5"/>
    <w:basedOn w:val="43"/>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9">
    <w:name w:val="Grid Table 7 Colorful - Accent 6"/>
    <w:basedOn w:val="43"/>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0">
    <w:name w:val="List Table 1 Light"/>
    <w:basedOn w:val="4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1">
    <w:name w:val="List Table 1 Light - Accent 1"/>
    <w:basedOn w:val="43"/>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2">
    <w:name w:val="List Table 1 Light - Accent 2"/>
    <w:basedOn w:val="43"/>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3">
    <w:name w:val="List Table 1 Light - Accent 3"/>
    <w:basedOn w:val="4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4">
    <w:name w:val="List Table 1 Light - Accent 4"/>
    <w:basedOn w:val="43"/>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5">
    <w:name w:val="List Table 1 Light - Accent 5"/>
    <w:basedOn w:val="43"/>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6">
    <w:name w:val="List Table 1 Light - Accent 6"/>
    <w:basedOn w:val="43"/>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7">
    <w:name w:val="List Table 2"/>
    <w:basedOn w:val="4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8">
    <w:name w:val="List Table 2 - Accent 1"/>
    <w:basedOn w:val="43"/>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9">
    <w:name w:val="List Table 2 - Accent 2"/>
    <w:basedOn w:val="43"/>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0">
    <w:name w:val="List Table 2 - Accent 3"/>
    <w:basedOn w:val="4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1">
    <w:name w:val="List Table 2 - Accent 4"/>
    <w:basedOn w:val="43"/>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2">
    <w:name w:val="List Table 2 - Accent 5"/>
    <w:basedOn w:val="43"/>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3">
    <w:name w:val="List Table 2 - Accent 6"/>
    <w:basedOn w:val="43"/>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4">
    <w:name w:val="List Table 3"/>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5">
    <w:name w:val="List Table 3 - Accent 1"/>
    <w:basedOn w:val="43"/>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6">
    <w:name w:val="List Table 3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7">
    <w:name w:val="List Table 3 - Accent 3"/>
    <w:basedOn w:val="4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8">
    <w:name w:val="List Table 3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9">
    <w:name w:val="List Table 3 - Accent 5"/>
    <w:basedOn w:val="43"/>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0">
    <w:name w:val="List Table 3 - Accent 6"/>
    <w:basedOn w:val="43"/>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1">
    <w:name w:val="List Table 4"/>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2">
    <w:name w:val="List Table 4 - Accent 1"/>
    <w:basedOn w:val="43"/>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3">
    <w:name w:val="List Table 4 - Accent 2"/>
    <w:basedOn w:val="43"/>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4">
    <w:name w:val="List Table 4 - Accent 3"/>
    <w:basedOn w:val="4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5">
    <w:name w:val="List Table 4 - Accent 4"/>
    <w:basedOn w:val="43"/>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6">
    <w:name w:val="List Table 4 - Accent 5"/>
    <w:basedOn w:val="43"/>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7">
    <w:name w:val="List Table 4 - Accent 6"/>
    <w:basedOn w:val="43"/>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8">
    <w:name w:val="List Table 5 Dark"/>
    <w:basedOn w:val="4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9">
    <w:name w:val="List Table 5 Dark - Accent 1"/>
    <w:basedOn w:val="43"/>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0">
    <w:name w:val="List Table 5 Dark - Accent 2"/>
    <w:basedOn w:val="43"/>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1">
    <w:name w:val="List Table 5 Dark - Accent 3"/>
    <w:basedOn w:val="4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2">
    <w:name w:val="List Table 5 Dark - Accent 4"/>
    <w:basedOn w:val="43"/>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3">
    <w:name w:val="List Table 5 Dark - Accent 5"/>
    <w:basedOn w:val="43"/>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4">
    <w:name w:val="List Table 5 Dark - Accent 6"/>
    <w:basedOn w:val="43"/>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5">
    <w:name w:val="List Table 6 Colorful"/>
    <w:basedOn w:val="4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6">
    <w:name w:val="List Table 6 Colorful - Accent 1"/>
    <w:basedOn w:val="43"/>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7">
    <w:name w:val="List Table 6 Colorful - Accent 2"/>
    <w:basedOn w:val="43"/>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8">
    <w:name w:val="List Table 6 Colorful - Accent 3"/>
    <w:basedOn w:val="4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9">
    <w:name w:val="List Table 6 Colorful - Accent 4"/>
    <w:basedOn w:val="43"/>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0">
    <w:name w:val="List Table 6 Colorful - Accent 5"/>
    <w:basedOn w:val="43"/>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1">
    <w:name w:val="List Table 6 Colorful - Accent 6"/>
    <w:basedOn w:val="43"/>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2">
    <w:name w:val="List Table 7 Colorful"/>
    <w:basedOn w:val="4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3">
    <w:name w:val="List Table 7 Colorful - Accent 1"/>
    <w:basedOn w:val="43"/>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4">
    <w:name w:val="List Table 7 Colorful - Accent 2"/>
    <w:basedOn w:val="43"/>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5">
    <w:name w:val="List Table 7 Colorful - Accent 3"/>
    <w:basedOn w:val="4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6">
    <w:name w:val="List Table 7 Colorful - Accent 4"/>
    <w:basedOn w:val="43"/>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7">
    <w:name w:val="List Table 7 Colorful - Accent 5"/>
    <w:basedOn w:val="43"/>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8">
    <w:name w:val="List Table 7 Colorful - Accent 6"/>
    <w:basedOn w:val="43"/>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9">
    <w:name w:val="Lined - Accent"/>
    <w:basedOn w:val="43"/>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0">
    <w:name w:val="Lined - Accent 1"/>
    <w:basedOn w:val="43"/>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1">
    <w:name w:val="Lined - Accent 2"/>
    <w:basedOn w:val="43"/>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2">
    <w:name w:val="Lined - Accent 3"/>
    <w:basedOn w:val="4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3">
    <w:name w:val="Lined - Accent 4"/>
    <w:basedOn w:val="43"/>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4">
    <w:name w:val="Lined - Accent 5"/>
    <w:basedOn w:val="43"/>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5">
    <w:name w:val="Lined - Accent 6"/>
    <w:basedOn w:val="43"/>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6">
    <w:name w:val="Bordered &amp; Lined - Accent"/>
    <w:basedOn w:val="4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7">
    <w:name w:val="Bordered &amp; Lined - Accent 1"/>
    <w:basedOn w:val="43"/>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8">
    <w:name w:val="Bordered &amp; Lined - Accent 2"/>
    <w:basedOn w:val="43"/>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9">
    <w:name w:val="Bordered &amp; Lined - Accent 3"/>
    <w:basedOn w:val="4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0">
    <w:name w:val="Bordered &amp; Lined - Accent 4"/>
    <w:basedOn w:val="43"/>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1">
    <w:name w:val="Bordered &amp; Lined - Accent 5"/>
    <w:basedOn w:val="43"/>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2">
    <w:name w:val="Bordered &amp; Lined - Accent 6"/>
    <w:basedOn w:val="43"/>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3">
    <w:name w:val="Bordered"/>
    <w:basedOn w:val="4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4">
    <w:name w:val="Bordered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5">
    <w:name w:val="Bordered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6">
    <w:name w:val="Bordered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7">
    <w:name w:val="Bordered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8">
    <w:name w:val="Bordered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9">
    <w:name w:val="Bordered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0">
    <w:name w:val="Footnote Text Char"/>
    <w:qFormat/>
    <w:uiPriority w:val="99"/>
    <w:rPr>
      <w:sz w:val="18"/>
    </w:rPr>
  </w:style>
  <w:style w:type="character" w:customStyle="1" w:styleId="201">
    <w:name w:val="Endnote Text Char"/>
    <w:link w:val="25"/>
    <w:qFormat/>
    <w:uiPriority w:val="99"/>
    <w:rPr>
      <w:sz w:val="20"/>
    </w:rPr>
  </w:style>
  <w:style w:type="paragraph" w:customStyle="1" w:styleId="202">
    <w:name w:val="TOC Heading"/>
    <w:unhideWhenUsed/>
    <w:qFormat/>
    <w:uiPriority w:val="39"/>
    <w:rPr>
      <w:rFonts w:hint="default" w:ascii="Times New Roman" w:hAnsi="Times New Roman" w:eastAsia="宋体" w:cs="Times New Roman"/>
    </w:rPr>
  </w:style>
  <w:style w:type="character" w:customStyle="1" w:styleId="203">
    <w:name w:val="标题 1 Char"/>
    <w:link w:val="2"/>
    <w:qFormat/>
    <w:uiPriority w:val="0"/>
    <w:rPr>
      <w:b/>
      <w:bCs/>
      <w:sz w:val="44"/>
      <w:szCs w:val="44"/>
    </w:rPr>
  </w:style>
  <w:style w:type="character" w:customStyle="1" w:styleId="204">
    <w:name w:val="标题 3 Char"/>
    <w:link w:val="4"/>
    <w:qFormat/>
    <w:uiPriority w:val="0"/>
    <w:rPr>
      <w:b/>
      <w:bCs/>
      <w:sz w:val="32"/>
      <w:szCs w:val="32"/>
    </w:rPr>
  </w:style>
  <w:style w:type="paragraph" w:customStyle="1" w:styleId="205">
    <w:name w:val="正文 A"/>
    <w:next w:val="56"/>
    <w:qFormat/>
    <w:uiPriority w:val="0"/>
    <w:pPr>
      <w:framePr w:wrap="around" w:vAnchor="margin" w:hAnchor="text" w:yAlign="top"/>
      <w:widowControl w:val="0"/>
      <w:jc w:val="both"/>
    </w:pPr>
    <w:rPr>
      <w:rFonts w:hint="default" w:ascii="Calibri" w:hAnsi="Calibri" w:eastAsia="Times New Roman" w:cs="Times New Roman"/>
      <w:color w:val="000000"/>
      <w:sz w:val="21"/>
      <w:szCs w:val="21"/>
    </w:rPr>
  </w:style>
  <w:style w:type="character" w:customStyle="1" w:styleId="206">
    <w:name w:val="纯文本 Char"/>
    <w:link w:val="21"/>
    <w:qFormat/>
    <w:uiPriority w:val="0"/>
    <w:rPr>
      <w:rFonts w:ascii="宋体" w:hAnsi="Courier New" w:eastAsia="楷体_GB2312"/>
      <w:sz w:val="26"/>
      <w:szCs w:val="24"/>
      <w:lang w:val="en-US" w:eastAsia="zh-CN" w:bidi="ar-SA"/>
    </w:rPr>
  </w:style>
  <w:style w:type="character" w:customStyle="1" w:styleId="207">
    <w:name w:val="正文缩进 Char"/>
    <w:link w:val="12"/>
    <w:qFormat/>
    <w:uiPriority w:val="0"/>
    <w:rPr>
      <w:rFonts w:eastAsia="楷体_GB2312"/>
      <w:sz w:val="24"/>
      <w:lang w:val="en-US" w:eastAsia="zh-CN" w:bidi="ar-SA"/>
    </w:rPr>
  </w:style>
  <w:style w:type="character" w:customStyle="1" w:styleId="208">
    <w:name w:val="标题 5 Char"/>
    <w:link w:val="6"/>
    <w:qFormat/>
    <w:uiPriority w:val="0"/>
    <w:rPr>
      <w:rFonts w:eastAsia="宋体"/>
      <w:b/>
      <w:bCs/>
      <w:i/>
      <w:iCs/>
      <w:sz w:val="26"/>
      <w:szCs w:val="26"/>
      <w:lang w:val="en-US" w:eastAsia="zh-CN" w:bidi="ar-SA"/>
    </w:rPr>
  </w:style>
  <w:style w:type="character" w:customStyle="1" w:styleId="209">
    <w:name w:val="+正文 Char3"/>
    <w:link w:val="210"/>
    <w:qFormat/>
    <w:uiPriority w:val="0"/>
    <w:rPr>
      <w:rFonts w:eastAsia="宋体"/>
      <w:sz w:val="24"/>
      <w:lang w:val="en-US" w:eastAsia="zh-CN" w:bidi="ar-SA"/>
    </w:rPr>
  </w:style>
  <w:style w:type="paragraph" w:customStyle="1" w:styleId="210">
    <w:name w:val="+正文"/>
    <w:basedOn w:val="1"/>
    <w:link w:val="209"/>
    <w:qFormat/>
    <w:uiPriority w:val="0"/>
    <w:pPr>
      <w:spacing w:line="360" w:lineRule="auto"/>
      <w:ind w:firstLine="200"/>
    </w:pPr>
    <w:rPr>
      <w:sz w:val="24"/>
      <w:szCs w:val="20"/>
    </w:rPr>
  </w:style>
  <w:style w:type="character" w:customStyle="1" w:styleId="211">
    <w:name w:val="页脚 Char"/>
    <w:link w:val="27"/>
    <w:semiHidden/>
    <w:qFormat/>
    <w:uiPriority w:val="0"/>
    <w:rPr>
      <w:rFonts w:eastAsia="宋体"/>
      <w:sz w:val="18"/>
      <w:szCs w:val="18"/>
      <w:lang w:val="en-US" w:eastAsia="zh-CN" w:bidi="ar-SA"/>
    </w:rPr>
  </w:style>
  <w:style w:type="character" w:customStyle="1" w:styleId="212">
    <w:name w:val="Char Char8"/>
    <w:qFormat/>
    <w:uiPriority w:val="0"/>
    <w:rPr>
      <w:sz w:val="18"/>
    </w:rPr>
  </w:style>
  <w:style w:type="character" w:customStyle="1" w:styleId="213">
    <w:name w:val="标题 4 Char"/>
    <w:link w:val="5"/>
    <w:qFormat/>
    <w:uiPriority w:val="0"/>
    <w:rPr>
      <w:rFonts w:eastAsia="宋体"/>
      <w:b/>
      <w:bCs/>
      <w:sz w:val="28"/>
      <w:szCs w:val="28"/>
      <w:lang w:val="en-US" w:eastAsia="zh-CN" w:bidi="ar-SA"/>
    </w:rPr>
  </w:style>
  <w:style w:type="character" w:customStyle="1" w:styleId="214">
    <w:name w:val="标题 Char"/>
    <w:link w:val="40"/>
    <w:qFormat/>
    <w:uiPriority w:val="0"/>
    <w:rPr>
      <w:rFonts w:ascii="Arial" w:hAnsi="Arial"/>
      <w:b/>
      <w:bCs/>
      <w:sz w:val="32"/>
      <w:szCs w:val="32"/>
      <w:lang w:bidi="ar-SA"/>
    </w:rPr>
  </w:style>
  <w:style w:type="character" w:customStyle="1" w:styleId="215">
    <w:name w:val="文字正文主体 Char Char"/>
    <w:link w:val="216"/>
    <w:qFormat/>
    <w:uiPriority w:val="0"/>
    <w:rPr>
      <w:rFonts w:ascii="仿宋" w:hAnsi="仿宋" w:eastAsia="仿宋"/>
      <w:color w:val="3A3A3A"/>
      <w:sz w:val="28"/>
      <w:lang w:val="en-US" w:eastAsia="zh-CN" w:bidi="ar-SA"/>
    </w:rPr>
  </w:style>
  <w:style w:type="paragraph" w:customStyle="1" w:styleId="216">
    <w:name w:val="文字正文主体"/>
    <w:basedOn w:val="1"/>
    <w:link w:val="215"/>
    <w:qFormat/>
    <w:uiPriority w:val="0"/>
    <w:pPr>
      <w:tabs>
        <w:tab w:val="center" w:pos="2268"/>
        <w:tab w:val="right" w:pos="7938"/>
      </w:tabs>
      <w:spacing w:line="360" w:lineRule="auto"/>
      <w:ind w:firstLine="560"/>
    </w:pPr>
    <w:rPr>
      <w:rFonts w:ascii="仿宋" w:hAnsi="仿宋" w:eastAsia="仿宋"/>
      <w:color w:val="3A3A3A"/>
      <w:sz w:val="28"/>
      <w:szCs w:val="20"/>
    </w:rPr>
  </w:style>
  <w:style w:type="character" w:customStyle="1" w:styleId="217">
    <w:name w:val="页眉 Char"/>
    <w:link w:val="29"/>
    <w:qFormat/>
    <w:uiPriority w:val="99"/>
    <w:rPr>
      <w:rFonts w:eastAsia="宋体"/>
      <w:sz w:val="18"/>
      <w:szCs w:val="18"/>
      <w:lang w:val="en-US" w:eastAsia="zh-CN" w:bidi="ar-SA"/>
    </w:rPr>
  </w:style>
  <w:style w:type="character" w:customStyle="1" w:styleId="218">
    <w:name w:val="Char Char5"/>
    <w:qFormat/>
    <w:uiPriority w:val="0"/>
    <w:rPr>
      <w:sz w:val="24"/>
      <w:lang w:val="en-US" w:eastAsia="zh-CN"/>
    </w:rPr>
  </w:style>
  <w:style w:type="character" w:customStyle="1" w:styleId="219">
    <w:name w:val="Char Char11"/>
    <w:qFormat/>
    <w:uiPriority w:val="0"/>
    <w:rPr>
      <w:sz w:val="21"/>
    </w:rPr>
  </w:style>
  <w:style w:type="character" w:customStyle="1" w:styleId="220">
    <w:name w:val="c lh15"/>
    <w:basedOn w:val="45"/>
    <w:qFormat/>
    <w:uiPriority w:val="0"/>
  </w:style>
  <w:style w:type="character" w:customStyle="1" w:styleId="221">
    <w:name w:val="批注文字 Char"/>
    <w:link w:val="15"/>
    <w:qFormat/>
    <w:uiPriority w:val="0"/>
    <w:rPr>
      <w:rFonts w:eastAsia="宋体"/>
      <w:sz w:val="21"/>
      <w:szCs w:val="24"/>
      <w:lang w:val="en-US" w:eastAsia="zh-CN" w:bidi="ar-SA"/>
    </w:rPr>
  </w:style>
  <w:style w:type="character" w:customStyle="1" w:styleId="222">
    <w:name w:val="日期 Char"/>
    <w:link w:val="23"/>
    <w:qFormat/>
    <w:uiPriority w:val="0"/>
    <w:rPr>
      <w:sz w:val="36"/>
      <w:lang w:bidi="ar-SA"/>
    </w:rPr>
  </w:style>
  <w:style w:type="character" w:customStyle="1" w:styleId="223">
    <w:name w:val="Plain Text Char Char"/>
    <w:link w:val="224"/>
    <w:qFormat/>
    <w:uiPriority w:val="0"/>
    <w:rPr>
      <w:rFonts w:ascii="宋体" w:hAnsi="Courier New" w:eastAsia="楷体_GB2312"/>
      <w:sz w:val="28"/>
    </w:rPr>
  </w:style>
  <w:style w:type="paragraph" w:customStyle="1" w:styleId="224">
    <w:name w:val="纯文本1"/>
    <w:basedOn w:val="1"/>
    <w:link w:val="223"/>
    <w:qFormat/>
    <w:uiPriority w:val="0"/>
    <w:rPr>
      <w:rFonts w:ascii="宋体" w:hAnsi="Courier New" w:eastAsia="楷体_GB2312"/>
      <w:sz w:val="28"/>
      <w:szCs w:val="20"/>
    </w:rPr>
  </w:style>
  <w:style w:type="paragraph" w:customStyle="1" w:styleId="225">
    <w:name w:val="Char Char Char Char Char Char Char Char Char1 Char Char Char Char"/>
    <w:basedOn w:val="14"/>
    <w:qFormat/>
    <w:uiPriority w:val="0"/>
    <w:pPr>
      <w:spacing w:line="360" w:lineRule="auto"/>
    </w:pPr>
    <w:rPr>
      <w:rFonts w:eastAsia="楷体_GB2312"/>
      <w:sz w:val="26"/>
      <w:szCs w:val="20"/>
    </w:rPr>
  </w:style>
  <w:style w:type="paragraph" w:customStyle="1" w:styleId="226">
    <w:name w:val="Char Char Char Char Char Char Char Char Char Char"/>
    <w:basedOn w:val="1"/>
    <w:qFormat/>
    <w:uiPriority w:val="0"/>
    <w:pPr>
      <w:numPr>
        <w:ilvl w:val="0"/>
        <w:numId w:val="2"/>
      </w:numPr>
    </w:pPr>
    <w:rPr>
      <w:sz w:val="24"/>
    </w:rPr>
  </w:style>
  <w:style w:type="paragraph" w:customStyle="1" w:styleId="227">
    <w:name w:val="Char Char Char Char Char Char Char Char Char1 Char"/>
    <w:basedOn w:val="14"/>
    <w:qFormat/>
    <w:uiPriority w:val="0"/>
    <w:pPr>
      <w:spacing w:line="360" w:lineRule="auto"/>
    </w:pPr>
    <w:rPr>
      <w:rFonts w:ascii="Tahoma" w:hAnsi="Tahoma"/>
      <w:sz w:val="24"/>
    </w:rPr>
  </w:style>
  <w:style w:type="paragraph" w:customStyle="1" w:styleId="228">
    <w:name w:val="Char Char Char"/>
    <w:basedOn w:val="14"/>
    <w:qFormat/>
    <w:uiPriority w:val="0"/>
    <w:pPr>
      <w:spacing w:line="360" w:lineRule="auto"/>
    </w:pPr>
    <w:rPr>
      <w:rFonts w:ascii="Tahoma" w:hAnsi="Tahoma"/>
      <w:sz w:val="24"/>
    </w:rPr>
  </w:style>
  <w:style w:type="paragraph" w:customStyle="1" w:styleId="229">
    <w:name w:val="Char Char Char Char"/>
    <w:basedOn w:val="14"/>
    <w:qFormat/>
    <w:uiPriority w:val="0"/>
    <w:pPr>
      <w:spacing w:line="360" w:lineRule="auto"/>
    </w:pPr>
    <w:rPr>
      <w:sz w:val="24"/>
      <w:szCs w:val="20"/>
    </w:rPr>
  </w:style>
  <w:style w:type="paragraph" w:customStyle="1" w:styleId="230">
    <w:name w:val="Char1 Char Char Char"/>
    <w:basedOn w:val="1"/>
    <w:qFormat/>
    <w:uiPriority w:val="0"/>
    <w:rPr>
      <w:rFonts w:ascii="Tahoma" w:hAnsi="Tahoma"/>
      <w:sz w:val="24"/>
      <w:szCs w:val="20"/>
    </w:rPr>
  </w:style>
  <w:style w:type="paragraph" w:customStyle="1" w:styleId="231">
    <w:name w:val="Char"/>
    <w:basedOn w:val="1"/>
    <w:qFormat/>
    <w:uiPriority w:val="0"/>
    <w:pPr>
      <w:tabs>
        <w:tab w:val="left" w:pos="420"/>
      </w:tabs>
      <w:ind w:left="420" w:hanging="420"/>
    </w:pPr>
    <w:rPr>
      <w:sz w:val="24"/>
    </w:rPr>
  </w:style>
  <w:style w:type="paragraph" w:customStyle="1" w:styleId="232">
    <w:name w:val="正文2"/>
    <w:basedOn w:val="1"/>
    <w:qFormat/>
    <w:uiPriority w:val="0"/>
    <w:pPr>
      <w:widowControl/>
      <w:spacing w:after="160" w:line="360" w:lineRule="auto"/>
      <w:ind w:firstLine="200"/>
      <w:jc w:val="left"/>
    </w:pPr>
    <w:rPr>
      <w:rFonts w:ascii="Verdana" w:hAnsi="Verdana" w:eastAsia="黑体"/>
      <w:szCs w:val="20"/>
      <w:lang w:eastAsia="en-US"/>
    </w:rPr>
  </w:style>
  <w:style w:type="paragraph" w:customStyle="1" w:styleId="233">
    <w:name w:val="Char Char Char1 Char Char Char Char"/>
    <w:basedOn w:val="1"/>
    <w:qFormat/>
    <w:uiPriority w:val="0"/>
    <w:pPr>
      <w:widowControl/>
      <w:spacing w:after="160" w:line="240" w:lineRule="exact"/>
      <w:jc w:val="left"/>
    </w:pPr>
    <w:rPr>
      <w:sz w:val="24"/>
    </w:rPr>
  </w:style>
  <w:style w:type="paragraph" w:styleId="234">
    <w:name w:val="No Spacing"/>
    <w:qFormat/>
    <w:uiPriority w:val="1"/>
    <w:pPr>
      <w:widowControl w:val="0"/>
      <w:jc w:val="both"/>
    </w:pPr>
    <w:rPr>
      <w:rFonts w:hint="default" w:ascii="Times New Roman" w:hAnsi="Times New Roman" w:eastAsia="宋体" w:cs="Times New Roman"/>
      <w:sz w:val="21"/>
      <w:szCs w:val="24"/>
    </w:rPr>
  </w:style>
  <w:style w:type="paragraph" w:customStyle="1" w:styleId="235">
    <w:name w:val="纯文本11"/>
    <w:basedOn w:val="1"/>
    <w:qFormat/>
    <w:uiPriority w:val="0"/>
    <w:rPr>
      <w:rFonts w:ascii="宋体" w:hAnsi="Courier New" w:eastAsia="楷体_GB2312"/>
      <w:sz w:val="28"/>
      <w:szCs w:val="20"/>
    </w:rPr>
  </w:style>
  <w:style w:type="character" w:customStyle="1" w:styleId="236">
    <w:name w:val="纯文本 Char1"/>
    <w:qFormat/>
    <w:uiPriority w:val="0"/>
    <w:rPr>
      <w:rFonts w:ascii="宋体" w:hAnsi="Courier New" w:eastAsia="楷体_GB2312"/>
      <w:sz w:val="24"/>
      <w:lang w:val="en-US" w:eastAsia="zh-CN" w:bidi="ar-SA"/>
    </w:rPr>
  </w:style>
  <w:style w:type="paragraph" w:customStyle="1" w:styleId="237">
    <w:name w:val="纯文本2"/>
    <w:basedOn w:val="1"/>
    <w:qFormat/>
    <w:uiPriority w:val="0"/>
    <w:rPr>
      <w:rFonts w:ascii="宋体" w:hAnsi="Courier New" w:eastAsia="楷体_GB2312"/>
      <w:sz w:val="26"/>
      <w:szCs w:val="20"/>
    </w:rPr>
  </w:style>
  <w:style w:type="character" w:customStyle="1" w:styleId="238">
    <w:name w:val="Plain Text Char"/>
    <w:qFormat/>
    <w:uiPriority w:val="0"/>
    <w:rPr>
      <w:rFonts w:ascii="宋体" w:hAnsi="Courier New" w:eastAsia="楷体_GB2312"/>
      <w:sz w:val="26"/>
      <w:lang w:val="en-US" w:eastAsia="zh-CN" w:bidi="ar-SA"/>
    </w:rPr>
  </w:style>
  <w:style w:type="paragraph" w:customStyle="1" w:styleId="239">
    <w:name w:val="修订1"/>
    <w:hidden/>
    <w:semiHidden/>
    <w:unhideWhenUsed/>
    <w:qFormat/>
    <w:uiPriority w:val="99"/>
    <w:rPr>
      <w:rFonts w:hint="default" w:ascii="Times New Roman" w:hAnsi="Times New Roman" w:eastAsia="宋体" w:cs="Times New Roman"/>
      <w:sz w:val="21"/>
      <w:szCs w:val="24"/>
    </w:rPr>
  </w:style>
  <w:style w:type="character" w:customStyle="1" w:styleId="240">
    <w:name w:val="apple-converted-space"/>
    <w:basedOn w:val="45"/>
    <w:qFormat/>
    <w:uiPriority w:val="0"/>
  </w:style>
  <w:style w:type="paragraph" w:customStyle="1" w:styleId="241">
    <w:name w:val="p1"/>
    <w:basedOn w:val="1"/>
    <w:qFormat/>
    <w:uiPriority w:val="0"/>
    <w:pPr>
      <w:widowControl/>
      <w:spacing w:before="100" w:beforeAutospacing="1" w:after="100" w:afterAutospacing="1"/>
      <w:jc w:val="left"/>
    </w:pPr>
    <w:rPr>
      <w:rFonts w:ascii="宋体" w:hAnsi="宋体" w:cs="宋体"/>
      <w:sz w:val="24"/>
    </w:rPr>
  </w:style>
  <w:style w:type="paragraph" w:customStyle="1" w:styleId="242">
    <w:name w:val="p3"/>
    <w:basedOn w:val="1"/>
    <w:qFormat/>
    <w:uiPriority w:val="0"/>
    <w:pPr>
      <w:widowControl/>
      <w:spacing w:before="100" w:beforeAutospacing="1" w:after="100" w:afterAutospacing="1"/>
      <w:jc w:val="left"/>
    </w:pPr>
    <w:rPr>
      <w:rFonts w:ascii="宋体" w:hAnsi="宋体" w:cs="宋体"/>
      <w:sz w:val="24"/>
    </w:rPr>
  </w:style>
  <w:style w:type="character" w:customStyle="1" w:styleId="243">
    <w:name w:val="s6"/>
    <w:basedOn w:val="45"/>
    <w:qFormat/>
    <w:uiPriority w:val="0"/>
  </w:style>
  <w:style w:type="character" w:customStyle="1" w:styleId="244">
    <w:name w:val="s1"/>
    <w:basedOn w:val="45"/>
    <w:qFormat/>
    <w:uiPriority w:val="0"/>
  </w:style>
  <w:style w:type="paragraph" w:customStyle="1" w:styleId="245">
    <w:name w:val="列出段落1"/>
    <w:basedOn w:val="1"/>
    <w:qFormat/>
    <w:uiPriority w:val="34"/>
    <w:pPr>
      <w:ind w:firstLine="420"/>
    </w:pPr>
    <w:rPr>
      <w:lang w:val="zh-CN"/>
    </w:rPr>
  </w:style>
  <w:style w:type="character" w:customStyle="1" w:styleId="246">
    <w:name w:val="批注文字 Char3"/>
    <w:qFormat/>
    <w:uiPriority w:val="0"/>
    <w:rPr>
      <w:rFonts w:eastAsia="宋体"/>
      <w:sz w:val="21"/>
      <w:szCs w:val="24"/>
      <w:lang w:val="en-US" w:eastAsia="zh-CN" w:bidi="ar-SA"/>
    </w:rPr>
  </w:style>
  <w:style w:type="paragraph" w:styleId="247">
    <w:name w:val="List Paragraph"/>
    <w:basedOn w:val="1"/>
    <w:qFormat/>
    <w:uiPriority w:val="99"/>
    <w:pPr>
      <w:ind w:firstLine="420"/>
    </w:pPr>
  </w:style>
  <w:style w:type="paragraph" w:customStyle="1" w:styleId="248">
    <w:name w:val="BodyText"/>
    <w:basedOn w:val="1"/>
    <w:qFormat/>
    <w:uiPriority w:val="99"/>
    <w:pPr>
      <w:spacing w:after="120"/>
    </w:pPr>
  </w:style>
  <w:style w:type="character" w:customStyle="1" w:styleId="249">
    <w:name w:val="NormalCharacter"/>
    <w:semiHidden/>
    <w:qFormat/>
    <w:uiPriority w:val="0"/>
  </w:style>
  <w:style w:type="character" w:customStyle="1" w:styleId="250">
    <w:name w:val="正文文本缩进 Char"/>
    <w:basedOn w:val="45"/>
    <w:link w:val="17"/>
    <w:qFormat/>
    <w:uiPriority w:val="0"/>
    <w:rPr>
      <w:rFonts w:ascii="Times New Roman" w:hAnsi="Times New Roman"/>
      <w:sz w:val="21"/>
      <w:szCs w:val="24"/>
    </w:rPr>
  </w:style>
  <w:style w:type="paragraph" w:customStyle="1" w:styleId="251">
    <w:name w:val="纯文本3"/>
    <w:basedOn w:val="1"/>
    <w:qFormat/>
    <w:uiPriority w:val="0"/>
    <w:rPr>
      <w:rFonts w:ascii="宋体" w:hAnsi="Courier New" w:eastAsia="楷体_GB2312"/>
      <w:sz w:val="28"/>
      <w:szCs w:val="20"/>
    </w:rPr>
  </w:style>
  <w:style w:type="paragraph" w:customStyle="1" w:styleId="252">
    <w:name w:val="修订2"/>
    <w:hidden/>
    <w:semiHidden/>
    <w:qFormat/>
    <w:uiPriority w:val="99"/>
    <w:rPr>
      <w:rFonts w:hint="default" w:ascii="Times New Roman" w:hAnsi="Times New Roman" w:eastAsia="宋体" w:cs="Times New Roman"/>
      <w:sz w:val="21"/>
      <w:szCs w:val="24"/>
    </w:rPr>
  </w:style>
  <w:style w:type="paragraph" w:customStyle="1" w:styleId="253">
    <w:name w:val="修订3"/>
    <w:hidden/>
    <w:semiHidden/>
    <w:qFormat/>
    <w:uiPriority w:val="99"/>
    <w:rPr>
      <w:rFonts w:hint="default" w:ascii="Times New Roman" w:hAnsi="Times New Roman" w:eastAsia="宋体" w:cs="Times New Roman"/>
      <w:sz w:val="21"/>
      <w:szCs w:val="24"/>
    </w:rPr>
  </w:style>
  <w:style w:type="paragraph" w:customStyle="1" w:styleId="254">
    <w:name w:val="修订4"/>
    <w:hidden/>
    <w:semiHidden/>
    <w:qFormat/>
    <w:uiPriority w:val="99"/>
    <w:rPr>
      <w:rFonts w:hint="default" w:ascii="Times New Roman" w:hAnsi="Times New Roman" w:eastAsia="宋体" w:cs="Times New Roman"/>
      <w:sz w:val="21"/>
      <w:szCs w:val="24"/>
    </w:rPr>
  </w:style>
  <w:style w:type="paragraph" w:customStyle="1" w:styleId="255">
    <w:name w:val="列出段落2"/>
    <w:basedOn w:val="1"/>
    <w:qFormat/>
    <w:uiPriority w:val="34"/>
    <w:pPr>
      <w:ind w:firstLine="420"/>
    </w:pPr>
  </w:style>
  <w:style w:type="paragraph" w:customStyle="1" w:styleId="256">
    <w:name w:val="_正文段落"/>
    <w:basedOn w:val="1"/>
    <w:qFormat/>
    <w:uiPriority w:val="0"/>
    <w:pPr>
      <w:spacing w:line="360" w:lineRule="auto"/>
      <w:ind w:firstLine="200"/>
    </w:pPr>
    <w:rPr>
      <w:sz w:val="24"/>
    </w:rPr>
  </w:style>
  <w:style w:type="paragraph" w:customStyle="1" w:styleId="257">
    <w:name w:val="_Style 30"/>
    <w:basedOn w:val="1"/>
    <w:next w:val="21"/>
    <w:qFormat/>
    <w:uiPriority w:val="0"/>
    <w:rPr>
      <w:rFonts w:ascii="宋体" w:hAnsi="Courier New"/>
    </w:rPr>
  </w:style>
  <w:style w:type="paragraph" w:customStyle="1" w:styleId="258">
    <w:name w:val="正文1"/>
    <w:next w:val="1"/>
    <w:qFormat/>
    <w:uiPriority w:val="0"/>
    <w:pPr>
      <w:widowControl w:val="0"/>
      <w:spacing w:line="315" w:lineRule="atLeast"/>
      <w:jc w:val="both"/>
    </w:pPr>
    <w:rPr>
      <w:rFonts w:hint="default" w:ascii="宋体" w:hAnsi="宋体" w:eastAsia="宋体" w:cs="Times New Roman"/>
      <w:sz w:val="21"/>
    </w:rPr>
  </w:style>
  <w:style w:type="character" w:customStyle="1" w:styleId="259">
    <w:name w:val="15"/>
    <w:basedOn w:val="45"/>
    <w:qFormat/>
    <w:uiPriority w:val="0"/>
    <w:rPr>
      <w:rFonts w:hint="default" w:ascii="Calibri" w:hAnsi="Calibri" w:cs="Calibri"/>
    </w:rPr>
  </w:style>
  <w:style w:type="character" w:customStyle="1" w:styleId="260">
    <w:name w:val="font21"/>
    <w:basedOn w:val="45"/>
    <w:qFormat/>
    <w:uiPriority w:val="0"/>
    <w:rPr>
      <w:rFonts w:hint="eastAsia" w:ascii="宋体" w:hAnsi="宋体" w:eastAsia="宋体" w:cs="宋体"/>
      <w:color w:val="000000"/>
      <w:sz w:val="21"/>
      <w:szCs w:val="21"/>
      <w:u w:val="none"/>
    </w:rPr>
  </w:style>
  <w:style w:type="character" w:customStyle="1" w:styleId="261">
    <w:name w:val="font41"/>
    <w:basedOn w:val="45"/>
    <w:qFormat/>
    <w:uiPriority w:val="0"/>
    <w:rPr>
      <w:rFonts w:hint="eastAsia" w:ascii="宋体" w:hAnsi="宋体" w:eastAsia="宋体" w:cs="宋体"/>
      <w:color w:val="FF0000"/>
      <w:sz w:val="21"/>
      <w:szCs w:val="21"/>
      <w:u w:val="none"/>
    </w:rPr>
  </w:style>
  <w:style w:type="character" w:customStyle="1" w:styleId="262">
    <w:name w:val="font31"/>
    <w:basedOn w:val="45"/>
    <w:qFormat/>
    <w:uiPriority w:val="0"/>
    <w:rPr>
      <w:rFonts w:hint="eastAsia" w:ascii="宋体" w:hAnsi="宋体" w:eastAsia="宋体" w:cs="宋体"/>
      <w:color w:val="000000"/>
      <w:sz w:val="21"/>
      <w:szCs w:val="21"/>
      <w:u w:val="none"/>
    </w:rPr>
  </w:style>
  <w:style w:type="character" w:customStyle="1" w:styleId="263">
    <w:name w:val="font51"/>
    <w:basedOn w:val="45"/>
    <w:qFormat/>
    <w:uiPriority w:val="0"/>
    <w:rPr>
      <w:rFonts w:hint="eastAsia" w:ascii="宋体" w:hAnsi="宋体" w:eastAsia="宋体" w:cs="宋体"/>
      <w:color w:val="000000"/>
      <w:sz w:val="21"/>
      <w:szCs w:val="21"/>
      <w:u w:val="none"/>
    </w:rPr>
  </w:style>
  <w:style w:type="paragraph" w:customStyle="1" w:styleId="264">
    <w:name w:val="纯文本21"/>
    <w:basedOn w:val="1"/>
    <w:qFormat/>
    <w:uiPriority w:val="0"/>
    <w:rPr>
      <w:rFonts w:ascii="宋体" w:hAnsi="Courier New"/>
    </w:rPr>
  </w:style>
  <w:style w:type="paragraph" w:customStyle="1" w:styleId="265">
    <w:name w:val="正文缩进1"/>
    <w:basedOn w:val="1"/>
    <w:next w:val="1"/>
    <w:qFormat/>
    <w:uiPriority w:val="0"/>
    <w:pPr>
      <w:widowControl/>
      <w:ind w:firstLine="420"/>
      <w:jc w:val="left"/>
    </w:pPr>
    <w:rPr>
      <w:rFonts w:eastAsia="楷体_GB2312"/>
      <w:sz w:val="24"/>
      <w:szCs w:val="20"/>
    </w:rPr>
  </w:style>
  <w:style w:type="paragraph" w:customStyle="1" w:styleId="266">
    <w:name w:val="Body text|1"/>
    <w:basedOn w:val="1"/>
    <w:qFormat/>
    <w:uiPriority w:val="0"/>
    <w:pPr>
      <w:spacing w:line="415" w:lineRule="auto"/>
      <w:ind w:firstLine="400"/>
    </w:pPr>
    <w:rPr>
      <w:rFonts w:ascii="宋体" w:hAnsi="宋体" w:cs="宋体"/>
      <w:color w:val="1A151D"/>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45</Pages>
  <Words>21092</Words>
  <Characters>22330</Characters>
  <TotalTime>1</TotalTime>
  <ScaleCrop>false</ScaleCrop>
  <LinksUpToDate>false</LinksUpToDate>
  <CharactersWithSpaces>22539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2024-01-03T18:17:00Z</dcterms:created>
  <dc:creator>Lenovo User</dc:creator>
  <cp:lastModifiedBy>路</cp:lastModifiedBy>
  <cp:lastPrinted>2024-08-12T05:19:00Z</cp:lastPrinted>
  <dcterms:modified xsi:type="dcterms:W3CDTF">2026-04-07T07:22:26Z</dcterms:modified>
  <dc:title>谈判邀请函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2440D33AC9374952B86105990848F346_13</vt:lpwstr>
  </property>
  <property fmtid="{D5CDD505-2E9C-101B-9397-08002B2CF9AE}" pid="4" name="ContentTypeId">
    <vt:lpwstr>0x01010081C51C0CE0027140830352BF468F90BF</vt:lpwstr>
  </property>
  <property fmtid="{D5CDD505-2E9C-101B-9397-08002B2CF9AE}" pid="5" name="KSOTemplateDocerSaveRecord">
    <vt:lpwstr>eyJoZGlkIjoiZGRlNGE1OWE1NDIxZDAwMTQwZTBiZjRjOWQyYjZkMDIiLCJ1c2VySWQiOiIxMDQzMzQ5ODU4In0=</vt:lpwstr>
  </property>
</Properties>
</file>