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FCFEC1">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rPr>
      </w:pPr>
      <w:r>
        <w:rPr>
          <w:rFonts w:ascii="宋体" w:hAnsi="宋体" w:eastAsia="宋体" w:cs="宋体"/>
          <w:b/>
          <w:kern w:val="0"/>
          <w:sz w:val="72"/>
          <w:highlight w:val="none"/>
        </w:rPr>
        <w:t>太仓市政府采购</w:t>
      </w:r>
    </w:p>
    <w:p w14:paraId="314BE636">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rPr>
      </w:pPr>
      <w:r>
        <w:rPr>
          <w:rFonts w:ascii="宋体" w:hAnsi="宋体" w:eastAsia="宋体" w:cs="宋体"/>
          <w:b/>
          <w:kern w:val="0"/>
          <w:sz w:val="72"/>
          <w:highlight w:val="none"/>
        </w:rPr>
        <w:t> </w:t>
      </w:r>
    </w:p>
    <w:p w14:paraId="791B4A2E">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rPr>
      </w:pPr>
      <w:r>
        <w:rPr>
          <w:rFonts w:hint="eastAsia" w:ascii="宋体" w:hAnsi="宋体" w:eastAsia="宋体" w:cs="宋体"/>
          <w:b/>
          <w:kern w:val="0"/>
          <w:sz w:val="72"/>
          <w:highlight w:val="none"/>
        </w:rPr>
        <w:t xml:space="preserve">单 一 </w:t>
      </w:r>
      <w:r>
        <w:rPr>
          <w:rFonts w:ascii="宋体" w:hAnsi="宋体" w:eastAsia="宋体" w:cs="宋体"/>
          <w:b/>
          <w:kern w:val="0"/>
          <w:sz w:val="72"/>
          <w:highlight w:val="none"/>
        </w:rPr>
        <w:t>来</w:t>
      </w:r>
      <w:r>
        <w:rPr>
          <w:rFonts w:hint="eastAsia" w:ascii="宋体" w:hAnsi="宋体" w:eastAsia="宋体" w:cs="宋体"/>
          <w:b/>
          <w:kern w:val="0"/>
          <w:sz w:val="72"/>
          <w:highlight w:val="none"/>
        </w:rPr>
        <w:t xml:space="preserve"> </w:t>
      </w:r>
      <w:r>
        <w:rPr>
          <w:rFonts w:ascii="宋体" w:hAnsi="宋体" w:eastAsia="宋体" w:cs="宋体"/>
          <w:b/>
          <w:kern w:val="0"/>
          <w:sz w:val="72"/>
          <w:highlight w:val="none"/>
        </w:rPr>
        <w:t>源 文 件</w:t>
      </w:r>
    </w:p>
    <w:p w14:paraId="48F17137">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rPr>
      </w:pPr>
      <w:r>
        <w:rPr>
          <w:rFonts w:ascii="宋体" w:hAnsi="宋体" w:eastAsia="宋体" w:cs="宋体"/>
          <w:kern w:val="0"/>
          <w:highlight w:val="none"/>
        </w:rPr>
        <w:t> </w:t>
      </w:r>
    </w:p>
    <w:p w14:paraId="3887CA4D">
      <w:pPr>
        <w:widowControl/>
        <w:pBdr>
          <w:top w:val="none" w:color="000000" w:sz="0" w:space="0"/>
          <w:left w:val="none" w:color="000000" w:sz="0" w:space="0"/>
          <w:bottom w:val="none" w:color="000000" w:sz="0" w:space="0"/>
          <w:right w:val="none" w:color="000000" w:sz="0" w:space="0"/>
        </w:pBdr>
        <w:spacing w:line="85" w:lineRule="atLeast"/>
        <w:ind w:firstLine="630"/>
        <w:rPr>
          <w:rFonts w:ascii="Arial" w:hAnsi="Arial" w:eastAsia="Arial" w:cs="Times New Roman"/>
          <w:kern w:val="0"/>
          <w:sz w:val="22"/>
          <w:highlight w:val="none"/>
        </w:rPr>
      </w:pPr>
      <w:r>
        <w:rPr>
          <w:rFonts w:ascii="宋体" w:hAnsi="宋体" w:eastAsia="宋体" w:cs="宋体"/>
          <w:kern w:val="0"/>
          <w:highlight w:val="none"/>
        </w:rPr>
        <w:t> </w:t>
      </w:r>
    </w:p>
    <w:p w14:paraId="1A816F07">
      <w:pPr>
        <w:widowControl/>
        <w:pBdr>
          <w:top w:val="none" w:color="000000" w:sz="0" w:space="0"/>
          <w:left w:val="none" w:color="000000" w:sz="0" w:space="0"/>
          <w:bottom w:val="none" w:color="000000" w:sz="0" w:space="0"/>
          <w:right w:val="none" w:color="000000" w:sz="0" w:space="0"/>
        </w:pBdr>
        <w:spacing w:line="85" w:lineRule="atLeast"/>
        <w:rPr>
          <w:rFonts w:ascii="Arial" w:hAnsi="Arial" w:eastAsia="Arial" w:cs="Times New Roman"/>
          <w:kern w:val="0"/>
          <w:sz w:val="22"/>
          <w:highlight w:val="none"/>
        </w:rPr>
      </w:pPr>
      <w:r>
        <w:rPr>
          <w:rFonts w:ascii="宋体" w:hAnsi="宋体" w:eastAsia="宋体" w:cs="宋体"/>
          <w:kern w:val="0"/>
          <w:highlight w:val="none"/>
        </w:rPr>
        <w:t> </w:t>
      </w:r>
    </w:p>
    <w:p w14:paraId="1416D46E">
      <w:pPr>
        <w:widowControl/>
        <w:pBdr>
          <w:top w:val="none" w:color="000000" w:sz="0" w:space="0"/>
          <w:left w:val="none" w:color="000000" w:sz="0" w:space="0"/>
          <w:bottom w:val="none" w:color="000000" w:sz="0" w:space="0"/>
          <w:right w:val="none" w:color="000000" w:sz="0" w:space="0"/>
        </w:pBdr>
        <w:spacing w:line="85" w:lineRule="atLeast"/>
        <w:rPr>
          <w:rFonts w:ascii="Arial" w:hAnsi="Arial" w:eastAsia="Arial" w:cs="Times New Roman"/>
          <w:kern w:val="0"/>
          <w:sz w:val="22"/>
          <w:highlight w:val="none"/>
        </w:rPr>
      </w:pPr>
      <w:r>
        <w:rPr>
          <w:rFonts w:ascii="宋体" w:hAnsi="宋体" w:eastAsia="宋体" w:cs="宋体"/>
          <w:kern w:val="0"/>
          <w:highlight w:val="none"/>
        </w:rPr>
        <w:t> </w:t>
      </w:r>
    </w:p>
    <w:p w14:paraId="5B87461F">
      <w:pPr>
        <w:widowControl/>
        <w:pBdr>
          <w:top w:val="none" w:color="000000" w:sz="0" w:space="0"/>
          <w:left w:val="none" w:color="000000" w:sz="0" w:space="0"/>
          <w:bottom w:val="none" w:color="000000" w:sz="0" w:space="0"/>
          <w:right w:val="none" w:color="000000" w:sz="0" w:space="0"/>
        </w:pBdr>
        <w:spacing w:line="85" w:lineRule="atLeast"/>
        <w:jc w:val="right"/>
        <w:rPr>
          <w:rFonts w:ascii="Arial" w:hAnsi="Arial" w:eastAsia="Arial" w:cs="Times New Roman"/>
          <w:kern w:val="0"/>
          <w:sz w:val="22"/>
          <w:highlight w:val="none"/>
        </w:rPr>
      </w:pPr>
      <w:r>
        <w:rPr>
          <w:rFonts w:ascii="宋体" w:hAnsi="宋体" w:eastAsia="宋体" w:cs="宋体"/>
          <w:kern w:val="0"/>
          <w:sz w:val="32"/>
          <w:highlight w:val="none"/>
        </w:rPr>
        <w:t> </w:t>
      </w:r>
    </w:p>
    <w:p w14:paraId="46E5FFD3">
      <w:pPr>
        <w:widowControl/>
        <w:pBdr>
          <w:top w:val="none" w:color="000000" w:sz="0" w:space="0"/>
          <w:left w:val="none" w:color="000000" w:sz="0" w:space="0"/>
          <w:bottom w:val="none" w:color="000000" w:sz="0" w:space="0"/>
          <w:right w:val="none" w:color="000000" w:sz="0" w:space="0"/>
        </w:pBdr>
        <w:spacing w:line="580" w:lineRule="exact"/>
        <w:ind w:firstLine="1084"/>
        <w:rPr>
          <w:rFonts w:hint="eastAsia" w:ascii="宋体" w:hAnsi="宋体" w:eastAsia="宋体" w:cs="宋体"/>
          <w:b/>
          <w:kern w:val="0"/>
          <w:sz w:val="36"/>
          <w:highlight w:val="none"/>
        </w:rPr>
      </w:pPr>
      <w:r>
        <w:rPr>
          <w:rFonts w:ascii="宋体" w:hAnsi="宋体" w:eastAsia="宋体" w:cs="宋体"/>
          <w:b/>
          <w:kern w:val="0"/>
          <w:sz w:val="36"/>
          <w:highlight w:val="none"/>
        </w:rPr>
        <w:t>项目编号：</w:t>
      </w:r>
      <w:r>
        <w:rPr>
          <w:rFonts w:hint="eastAsia" w:ascii="宋体" w:hAnsi="宋体" w:eastAsia="宋体" w:cs="宋体"/>
          <w:b/>
          <w:kern w:val="0"/>
          <w:sz w:val="36"/>
          <w:highlight w:val="none"/>
        </w:rPr>
        <w:t>JSZC-320585-JZCG-D2026-0027</w:t>
      </w:r>
    </w:p>
    <w:p w14:paraId="28B391A4">
      <w:pPr>
        <w:widowControl/>
        <w:pBdr>
          <w:top w:val="none" w:color="000000" w:sz="0" w:space="0"/>
          <w:left w:val="none" w:color="000000" w:sz="0" w:space="0"/>
          <w:bottom w:val="none" w:color="000000" w:sz="0" w:space="0"/>
          <w:right w:val="none" w:color="000000" w:sz="0" w:space="0"/>
        </w:pBdr>
        <w:spacing w:line="580" w:lineRule="exact"/>
        <w:ind w:firstLine="1084" w:firstLineChars="300"/>
        <w:rPr>
          <w:rFonts w:hint="eastAsia" w:ascii="宋体" w:hAnsi="宋体" w:eastAsia="宋体" w:cs="宋体"/>
          <w:b/>
          <w:kern w:val="0"/>
          <w:sz w:val="36"/>
          <w:highlight w:val="none"/>
        </w:rPr>
      </w:pPr>
      <w:r>
        <w:rPr>
          <w:rFonts w:ascii="宋体" w:hAnsi="宋体" w:eastAsia="宋体" w:cs="宋体"/>
          <w:b/>
          <w:kern w:val="0"/>
          <w:sz w:val="36"/>
          <w:highlight w:val="none"/>
        </w:rPr>
        <w:t>项目名称：</w:t>
      </w:r>
      <w:r>
        <w:rPr>
          <w:rFonts w:hint="eastAsia" w:ascii="宋体" w:hAnsi="宋体" w:eastAsia="宋体" w:cs="宋体"/>
          <w:b/>
          <w:kern w:val="0"/>
          <w:sz w:val="36"/>
          <w:highlight w:val="none"/>
        </w:rPr>
        <w:t>太仓市产业扶持政策奖补积分管理平台（二期）</w:t>
      </w:r>
    </w:p>
    <w:p w14:paraId="3D8E09C0">
      <w:pPr>
        <w:widowControl/>
        <w:pBdr>
          <w:top w:val="none" w:color="000000" w:sz="0" w:space="0"/>
          <w:left w:val="none" w:color="000000" w:sz="0" w:space="0"/>
          <w:bottom w:val="none" w:color="000000" w:sz="0" w:space="0"/>
          <w:right w:val="none" w:color="000000" w:sz="0" w:space="0"/>
        </w:pBdr>
        <w:spacing w:line="580" w:lineRule="exact"/>
        <w:ind w:firstLine="1084"/>
        <w:rPr>
          <w:rFonts w:ascii="Arial" w:hAnsi="Arial" w:eastAsia="宋体" w:cs="Times New Roman"/>
          <w:kern w:val="0"/>
          <w:sz w:val="22"/>
          <w:highlight w:val="none"/>
        </w:rPr>
      </w:pPr>
      <w:r>
        <w:rPr>
          <w:rFonts w:ascii="宋体" w:hAnsi="宋体" w:eastAsia="宋体" w:cs="宋体"/>
          <w:b/>
          <w:kern w:val="0"/>
          <w:sz w:val="36"/>
          <w:highlight w:val="none"/>
        </w:rPr>
        <w:t>采购单位：</w:t>
      </w:r>
      <w:r>
        <w:rPr>
          <w:rFonts w:hint="eastAsia" w:ascii="宋体" w:hAnsi="宋体" w:eastAsia="宋体" w:cs="宋体"/>
          <w:b/>
          <w:kern w:val="0"/>
          <w:sz w:val="36"/>
          <w:highlight w:val="none"/>
        </w:rPr>
        <w:t>太仓市数据局</w:t>
      </w:r>
    </w:p>
    <w:p w14:paraId="344EDDA6">
      <w:pPr>
        <w:widowControl/>
        <w:pBdr>
          <w:top w:val="none" w:color="000000" w:sz="0" w:space="0"/>
          <w:left w:val="none" w:color="000000" w:sz="0" w:space="0"/>
          <w:bottom w:val="none" w:color="000000" w:sz="0" w:space="0"/>
          <w:right w:val="none" w:color="000000" w:sz="0" w:space="0"/>
        </w:pBdr>
        <w:spacing w:line="580" w:lineRule="exact"/>
        <w:ind w:firstLine="1084"/>
        <w:rPr>
          <w:rFonts w:ascii="Arial" w:hAnsi="Arial" w:eastAsia="Arial" w:cs="Times New Roman"/>
          <w:kern w:val="0"/>
          <w:sz w:val="22"/>
          <w:highlight w:val="none"/>
        </w:rPr>
      </w:pPr>
      <w:r>
        <w:rPr>
          <w:rFonts w:ascii="宋体" w:hAnsi="宋体" w:eastAsia="宋体" w:cs="宋体"/>
          <w:b/>
          <w:kern w:val="0"/>
          <w:sz w:val="36"/>
          <w:highlight w:val="none"/>
        </w:rPr>
        <w:t>采购项目类别：服务类</w:t>
      </w:r>
    </w:p>
    <w:p w14:paraId="1690CECB">
      <w:pPr>
        <w:widowControl/>
        <w:pBdr>
          <w:top w:val="none" w:color="000000" w:sz="0" w:space="0"/>
          <w:left w:val="none" w:color="000000" w:sz="0" w:space="0"/>
          <w:bottom w:val="none" w:color="000000" w:sz="0" w:space="0"/>
          <w:right w:val="none" w:color="000000" w:sz="0" w:space="0"/>
        </w:pBdr>
        <w:spacing w:line="580" w:lineRule="exact"/>
        <w:ind w:firstLine="1084"/>
        <w:rPr>
          <w:rFonts w:ascii="Arial" w:hAnsi="Arial" w:eastAsia="Arial" w:cs="Times New Roman"/>
          <w:kern w:val="0"/>
          <w:sz w:val="22"/>
          <w:highlight w:val="none"/>
        </w:rPr>
      </w:pPr>
      <w:r>
        <w:rPr>
          <w:rFonts w:ascii="宋体" w:hAnsi="宋体" w:eastAsia="宋体" w:cs="宋体"/>
          <w:b/>
          <w:kern w:val="0"/>
          <w:sz w:val="36"/>
          <w:highlight w:val="none"/>
        </w:rPr>
        <w:t>标的所属行业：</w:t>
      </w:r>
      <w:r>
        <w:rPr>
          <w:rFonts w:hint="eastAsia" w:ascii="宋体" w:hAnsi="宋体" w:eastAsia="宋体" w:cs="宋体"/>
          <w:b/>
          <w:kern w:val="0"/>
          <w:sz w:val="36"/>
          <w:highlight w:val="none"/>
        </w:rPr>
        <w:t>软件和信息技术服务业</w:t>
      </w:r>
    </w:p>
    <w:p w14:paraId="10005CC3">
      <w:pPr>
        <w:widowControl/>
        <w:pBdr>
          <w:top w:val="none" w:color="000000" w:sz="0" w:space="0"/>
          <w:left w:val="none" w:color="000000" w:sz="0" w:space="0"/>
          <w:bottom w:val="none" w:color="000000" w:sz="0" w:space="0"/>
          <w:right w:val="none" w:color="000000" w:sz="0" w:space="0"/>
        </w:pBdr>
        <w:spacing w:line="580" w:lineRule="exact"/>
        <w:rPr>
          <w:rFonts w:hint="eastAsia" w:ascii="宋体" w:hAnsi="宋体" w:eastAsia="宋体" w:cs="宋体"/>
          <w:kern w:val="0"/>
          <w:sz w:val="28"/>
          <w:highlight w:val="none"/>
        </w:rPr>
      </w:pPr>
      <w:r>
        <w:rPr>
          <w:rFonts w:ascii="宋体" w:hAnsi="宋体" w:eastAsia="宋体" w:cs="宋体"/>
          <w:kern w:val="0"/>
          <w:sz w:val="28"/>
          <w:highlight w:val="none"/>
        </w:rPr>
        <w:t> </w:t>
      </w:r>
    </w:p>
    <w:p w14:paraId="28FE8EC3">
      <w:pPr>
        <w:spacing w:after="200" w:line="276" w:lineRule="auto"/>
        <w:rPr>
          <w:rFonts w:hint="eastAsia" w:ascii="宋体" w:hAnsi="宋体" w:eastAsia="宋体" w:cs="宋体"/>
          <w:sz w:val="28"/>
          <w:szCs w:val="18"/>
          <w:highlight w:val="none"/>
        </w:rPr>
      </w:pPr>
    </w:p>
    <w:p w14:paraId="286CE77C">
      <w:pPr>
        <w:widowControl/>
        <w:pBdr>
          <w:top w:val="none" w:color="000000" w:sz="0" w:space="0"/>
          <w:left w:val="none" w:color="000000" w:sz="0" w:space="0"/>
          <w:bottom w:val="none" w:color="000000" w:sz="0" w:space="0"/>
          <w:right w:val="none" w:color="000000" w:sz="0" w:space="0"/>
        </w:pBdr>
        <w:spacing w:line="580" w:lineRule="exact"/>
        <w:jc w:val="center"/>
        <w:rPr>
          <w:rFonts w:ascii="Arial" w:hAnsi="Arial" w:eastAsia="Arial" w:cs="Times New Roman"/>
          <w:kern w:val="0"/>
          <w:sz w:val="22"/>
          <w:highlight w:val="none"/>
        </w:rPr>
      </w:pPr>
      <w:r>
        <w:rPr>
          <w:rFonts w:ascii="宋体" w:hAnsi="宋体" w:eastAsia="宋体" w:cs="宋体"/>
          <w:kern w:val="0"/>
          <w:sz w:val="44"/>
          <w:highlight w:val="none"/>
        </w:rPr>
        <w:t> 苏州市公共资源交易中心太仓分中心</w:t>
      </w:r>
    </w:p>
    <w:p w14:paraId="29C2B88A">
      <w:pPr>
        <w:widowControl/>
        <w:pBdr>
          <w:top w:val="none" w:color="000000" w:sz="0" w:space="0"/>
          <w:left w:val="none" w:color="000000" w:sz="0" w:space="0"/>
          <w:bottom w:val="none" w:color="000000" w:sz="0" w:space="0"/>
          <w:right w:val="none" w:color="000000" w:sz="0" w:space="0"/>
        </w:pBdr>
        <w:spacing w:line="580" w:lineRule="exact"/>
        <w:jc w:val="center"/>
        <w:rPr>
          <w:rFonts w:ascii="Arial" w:hAnsi="Arial" w:eastAsia="Arial" w:cs="Times New Roman"/>
          <w:kern w:val="0"/>
          <w:sz w:val="22"/>
          <w:highlight w:val="none"/>
        </w:rPr>
      </w:pPr>
      <w:r>
        <w:rPr>
          <w:rFonts w:hint="eastAsia" w:ascii="宋体" w:hAnsi="宋体" w:eastAsia="宋体" w:cs="宋体"/>
          <w:kern w:val="0"/>
          <w:sz w:val="44"/>
          <w:highlight w:val="none"/>
        </w:rPr>
        <w:t>2026年4月</w:t>
      </w:r>
      <w:r>
        <w:rPr>
          <w:rFonts w:ascii="宋体" w:hAnsi="宋体" w:eastAsia="宋体" w:cs="宋体"/>
          <w:kern w:val="0"/>
          <w:sz w:val="44"/>
          <w:highlight w:val="none"/>
        </w:rPr>
        <w:br w:type="page" w:clear="all"/>
      </w:r>
    </w:p>
    <w:p w14:paraId="2C3D5F95">
      <w:pPr>
        <w:widowControl/>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kern w:val="0"/>
          <w:sz w:val="30"/>
          <w:highlight w:val="none"/>
        </w:rPr>
      </w:pPr>
      <w:r>
        <w:rPr>
          <w:rFonts w:ascii="宋体" w:hAnsi="宋体" w:eastAsia="宋体" w:cs="宋体"/>
          <w:b/>
          <w:kern w:val="0"/>
          <w:sz w:val="36"/>
          <w:highlight w:val="none"/>
        </w:rPr>
        <w:t>目</w:t>
      </w:r>
      <w:r>
        <w:rPr>
          <w:rFonts w:hint="eastAsia" w:ascii="宋体" w:hAnsi="宋体" w:eastAsia="宋体" w:cs="宋体"/>
          <w:b/>
          <w:kern w:val="0"/>
          <w:sz w:val="36"/>
          <w:highlight w:val="none"/>
        </w:rPr>
        <w:t xml:space="preserve"> </w:t>
      </w:r>
      <w:r>
        <w:rPr>
          <w:rFonts w:ascii="宋体" w:hAnsi="宋体" w:eastAsia="宋体" w:cs="宋体"/>
          <w:b/>
          <w:kern w:val="0"/>
          <w:sz w:val="36"/>
          <w:highlight w:val="none"/>
        </w:rPr>
        <w:t>录</w:t>
      </w:r>
    </w:p>
    <w:p w14:paraId="4D6D88A6">
      <w:pPr>
        <w:snapToGrid w:val="0"/>
        <w:spacing w:after="200" w:line="276" w:lineRule="auto"/>
        <w:rPr>
          <w:rFonts w:hint="eastAsia" w:ascii="宋体" w:hAnsi="宋体" w:eastAsia="宋体" w:cs="宋体"/>
          <w:sz w:val="30"/>
          <w:szCs w:val="24"/>
          <w:highlight w:val="none"/>
        </w:rPr>
      </w:pPr>
    </w:p>
    <w:p w14:paraId="1BC95FBD">
      <w:pPr>
        <w:widowControl/>
        <w:spacing w:after="200" w:line="360" w:lineRule="auto"/>
        <w:ind w:firstLine="720" w:firstLineChars="200"/>
        <w:jc w:val="left"/>
        <w:rPr>
          <w:rFonts w:ascii="宋体" w:hAnsi="宋体" w:eastAsia="Arial" w:cs="Times New Roman"/>
          <w:kern w:val="0"/>
          <w:sz w:val="36"/>
          <w:highlight w:val="none"/>
        </w:rPr>
      </w:pPr>
      <w:r>
        <w:rPr>
          <w:rFonts w:hint="eastAsia" w:ascii="宋体" w:hAnsi="宋体" w:eastAsia="Arial" w:cs="Times New Roman"/>
          <w:kern w:val="0"/>
          <w:sz w:val="36"/>
          <w:highlight w:val="none"/>
        </w:rPr>
        <w:t>第一部分 单一来源采购邀请函</w:t>
      </w:r>
    </w:p>
    <w:p w14:paraId="62035B55">
      <w:pPr>
        <w:widowControl/>
        <w:spacing w:after="200" w:line="360" w:lineRule="auto"/>
        <w:ind w:firstLine="720" w:firstLineChars="200"/>
        <w:jc w:val="left"/>
        <w:rPr>
          <w:rFonts w:ascii="宋体" w:hAnsi="宋体" w:eastAsia="Arial" w:cs="Times New Roman"/>
          <w:kern w:val="0"/>
          <w:sz w:val="36"/>
          <w:highlight w:val="none"/>
        </w:rPr>
      </w:pPr>
      <w:r>
        <w:rPr>
          <w:rFonts w:hint="eastAsia" w:ascii="宋体" w:hAnsi="宋体" w:eastAsia="Arial" w:cs="Times New Roman"/>
          <w:kern w:val="0"/>
          <w:sz w:val="36"/>
          <w:highlight w:val="none"/>
        </w:rPr>
        <w:t>第二部分 单一来源采购文件需求</w:t>
      </w:r>
    </w:p>
    <w:p w14:paraId="5B590A6A">
      <w:pPr>
        <w:widowControl/>
        <w:spacing w:after="200" w:line="360" w:lineRule="auto"/>
        <w:ind w:firstLine="720" w:firstLineChars="200"/>
        <w:jc w:val="left"/>
        <w:rPr>
          <w:rFonts w:ascii="宋体" w:hAnsi="宋体" w:eastAsia="Arial" w:cs="Times New Roman"/>
          <w:kern w:val="0"/>
          <w:sz w:val="36"/>
          <w:highlight w:val="none"/>
        </w:rPr>
      </w:pPr>
      <w:r>
        <w:rPr>
          <w:rFonts w:hint="eastAsia" w:ascii="宋体" w:hAnsi="宋体" w:eastAsia="Arial" w:cs="Times New Roman"/>
          <w:kern w:val="0"/>
          <w:sz w:val="36"/>
          <w:highlight w:val="none"/>
        </w:rPr>
        <w:t>第三部分 单一来源采购程序</w:t>
      </w:r>
    </w:p>
    <w:p w14:paraId="769C5D1A">
      <w:pPr>
        <w:widowControl/>
        <w:spacing w:after="200" w:line="360" w:lineRule="auto"/>
        <w:ind w:firstLine="720" w:firstLineChars="200"/>
        <w:jc w:val="left"/>
        <w:rPr>
          <w:rFonts w:ascii="宋体" w:hAnsi="宋体" w:eastAsia="Arial" w:cs="Times New Roman"/>
          <w:kern w:val="0"/>
          <w:sz w:val="36"/>
          <w:highlight w:val="none"/>
        </w:rPr>
      </w:pPr>
      <w:r>
        <w:rPr>
          <w:rFonts w:hint="eastAsia" w:ascii="宋体" w:hAnsi="宋体" w:eastAsia="Arial" w:cs="Times New Roman"/>
          <w:kern w:val="0"/>
          <w:sz w:val="36"/>
          <w:highlight w:val="none"/>
        </w:rPr>
        <w:t>第四部分 成交原则</w:t>
      </w:r>
    </w:p>
    <w:p w14:paraId="6FE91B01">
      <w:pPr>
        <w:widowControl/>
        <w:spacing w:after="200" w:line="360" w:lineRule="auto"/>
        <w:ind w:firstLine="720" w:firstLineChars="200"/>
        <w:jc w:val="left"/>
        <w:rPr>
          <w:rFonts w:ascii="宋体" w:hAnsi="宋体" w:eastAsia="Arial" w:cs="Times New Roman"/>
          <w:kern w:val="0"/>
          <w:sz w:val="36"/>
          <w:highlight w:val="none"/>
        </w:rPr>
      </w:pPr>
      <w:r>
        <w:rPr>
          <w:rFonts w:hint="eastAsia" w:ascii="宋体" w:hAnsi="宋体" w:eastAsia="Arial" w:cs="Times New Roman"/>
          <w:kern w:val="0"/>
          <w:sz w:val="36"/>
          <w:highlight w:val="none"/>
        </w:rPr>
        <w:t>第五部分 合同条款</w:t>
      </w:r>
    </w:p>
    <w:p w14:paraId="4EF680EB">
      <w:pPr>
        <w:widowControl/>
        <w:spacing w:after="200" w:line="360" w:lineRule="auto"/>
        <w:ind w:firstLine="720" w:firstLineChars="200"/>
        <w:jc w:val="left"/>
        <w:rPr>
          <w:rFonts w:ascii="宋体" w:hAnsi="宋体" w:eastAsia="Arial" w:cs="Times New Roman"/>
          <w:kern w:val="0"/>
          <w:sz w:val="36"/>
          <w:highlight w:val="none"/>
          <w:lang w:eastAsia="en-US"/>
        </w:rPr>
      </w:pPr>
      <w:r>
        <w:rPr>
          <w:rFonts w:hint="eastAsia" w:ascii="宋体" w:hAnsi="宋体" w:eastAsia="Arial" w:cs="Times New Roman"/>
          <w:kern w:val="0"/>
          <w:sz w:val="36"/>
          <w:highlight w:val="none"/>
          <w:lang w:eastAsia="en-US"/>
        </w:rPr>
        <w:t>第六部分 响应文件格式</w:t>
      </w:r>
    </w:p>
    <w:p w14:paraId="1D416BEC">
      <w:pPr>
        <w:snapToGrid w:val="0"/>
        <w:spacing w:after="200" w:line="276" w:lineRule="auto"/>
        <w:rPr>
          <w:rFonts w:hint="eastAsia" w:ascii="宋体" w:hAnsi="宋体" w:eastAsia="宋体" w:cs="宋体"/>
          <w:sz w:val="30"/>
          <w:szCs w:val="24"/>
          <w:highlight w:val="none"/>
        </w:rPr>
      </w:pPr>
    </w:p>
    <w:p w14:paraId="3DBC9F50">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kern w:val="0"/>
          <w:sz w:val="22"/>
          <w:highlight w:val="none"/>
        </w:rPr>
      </w:pPr>
      <w:r>
        <w:rPr>
          <w:rFonts w:ascii="宋体" w:hAnsi="宋体" w:eastAsia="宋体" w:cs="宋体"/>
          <w:kern w:val="0"/>
          <w:sz w:val="24"/>
          <w:highlight w:val="none"/>
        </w:rPr>
        <w:t> </w:t>
      </w:r>
    </w:p>
    <w:p w14:paraId="0739A6EE">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kern w:val="0"/>
          <w:sz w:val="22"/>
          <w:highlight w:val="none"/>
        </w:rPr>
      </w:pPr>
      <w:r>
        <w:rPr>
          <w:rFonts w:ascii="宋体" w:hAnsi="宋体" w:eastAsia="宋体" w:cs="宋体"/>
          <w:kern w:val="0"/>
          <w:sz w:val="24"/>
          <w:highlight w:val="none"/>
        </w:rPr>
        <w:t> </w:t>
      </w:r>
    </w:p>
    <w:p w14:paraId="73CB43FD">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kern w:val="0"/>
          <w:sz w:val="22"/>
          <w:highlight w:val="none"/>
        </w:rPr>
      </w:pPr>
      <w:r>
        <w:rPr>
          <w:rFonts w:ascii="宋体" w:hAnsi="宋体" w:eastAsia="宋体" w:cs="宋体"/>
          <w:kern w:val="0"/>
          <w:sz w:val="24"/>
          <w:highlight w:val="none"/>
        </w:rPr>
        <w:t> </w:t>
      </w:r>
    </w:p>
    <w:p w14:paraId="3E696A24">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kern w:val="0"/>
          <w:sz w:val="22"/>
          <w:highlight w:val="none"/>
        </w:rPr>
      </w:pPr>
      <w:r>
        <w:rPr>
          <w:rFonts w:ascii="宋体" w:hAnsi="宋体" w:eastAsia="宋体" w:cs="宋体"/>
          <w:kern w:val="0"/>
          <w:sz w:val="24"/>
          <w:highlight w:val="none"/>
        </w:rPr>
        <w:t> </w:t>
      </w:r>
    </w:p>
    <w:p w14:paraId="700EC7B2">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kern w:val="0"/>
          <w:sz w:val="22"/>
          <w:highlight w:val="none"/>
        </w:rPr>
      </w:pPr>
      <w:r>
        <w:rPr>
          <w:rFonts w:ascii="宋体" w:hAnsi="宋体" w:eastAsia="宋体" w:cs="宋体"/>
          <w:kern w:val="0"/>
          <w:sz w:val="24"/>
          <w:highlight w:val="none"/>
        </w:rPr>
        <w:t> </w:t>
      </w:r>
    </w:p>
    <w:p w14:paraId="49802010">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Arial" w:hAnsi="Arial" w:eastAsia="Arial" w:cs="Times New Roman"/>
          <w:kern w:val="0"/>
          <w:sz w:val="22"/>
          <w:highlight w:val="none"/>
        </w:rPr>
      </w:pPr>
      <w:r>
        <w:rPr>
          <w:rFonts w:ascii="宋体" w:hAnsi="宋体" w:eastAsia="宋体" w:cs="宋体"/>
          <w:kern w:val="0"/>
          <w:sz w:val="24"/>
          <w:highlight w:val="none"/>
        </w:rPr>
        <w:t> </w:t>
      </w:r>
      <w:r>
        <w:rPr>
          <w:rFonts w:ascii="Arial" w:hAnsi="Arial" w:eastAsia="Arial" w:cs="Times New Roman"/>
          <w:kern w:val="0"/>
          <w:sz w:val="22"/>
          <w:highlight w:val="none"/>
        </w:rPr>
        <w:br w:type="page" w:clear="all"/>
      </w:r>
    </w:p>
    <w:p w14:paraId="54DF6F22">
      <w:pPr>
        <w:widowControl/>
        <w:numPr>
          <w:ilvl w:val="0"/>
          <w:numId w:val="6"/>
        </w:numPr>
        <w:pBdr>
          <w:top w:val="none" w:color="000000" w:sz="0" w:space="0"/>
          <w:left w:val="none" w:color="000000" w:sz="0" w:space="0"/>
          <w:bottom w:val="none" w:color="000000" w:sz="0" w:space="0"/>
          <w:right w:val="none" w:color="000000" w:sz="0" w:space="0"/>
        </w:pBdr>
        <w:spacing w:before="240" w:after="240" w:line="276" w:lineRule="auto"/>
        <w:jc w:val="center"/>
        <w:rPr>
          <w:rFonts w:hint="eastAsia" w:ascii="宋体" w:hAnsi="宋体" w:eastAsia="宋体" w:cs="宋体"/>
          <w:b/>
          <w:kern w:val="0"/>
          <w:sz w:val="44"/>
          <w:highlight w:val="none"/>
        </w:rPr>
      </w:pPr>
      <w:r>
        <w:rPr>
          <w:rFonts w:hint="eastAsia" w:ascii="宋体" w:hAnsi="宋体" w:eastAsia="宋体" w:cs="宋体"/>
          <w:b/>
          <w:kern w:val="0"/>
          <w:sz w:val="44"/>
          <w:highlight w:val="none"/>
        </w:rPr>
        <w:t>单一来源采购邀请函</w:t>
      </w:r>
    </w:p>
    <w:p w14:paraId="7B70AAC8">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苏州中格软件有限公司：</w:t>
      </w:r>
    </w:p>
    <w:tbl>
      <w:tblPr>
        <w:tblStyle w:val="24"/>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9733"/>
      </w:tblGrid>
      <w:tr w14:paraId="1D1254F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CellMar>
            <w:top w:w="0" w:type="dxa"/>
            <w:left w:w="0" w:type="dxa"/>
            <w:bottom w:w="0" w:type="dxa"/>
            <w:right w:w="0" w:type="dxa"/>
          </w:tblCellMar>
        </w:tblPrEx>
        <w:trPr>
          <w:trHeight w:val="846" w:hRule="atLeast"/>
        </w:trPr>
        <w:tc>
          <w:tcPr>
            <w:tcW w:w="0" w:type="auto"/>
            <w:tcBorders>
              <w:top w:val="single" w:color="000000" w:sz="6" w:space="0"/>
              <w:left w:val="single" w:color="000000" w:sz="6" w:space="0"/>
              <w:bottom w:val="single" w:color="000000" w:sz="6" w:space="0"/>
              <w:right w:val="single" w:color="000000" w:sz="6" w:space="0"/>
            </w:tcBorders>
            <w:shd w:val="clear" w:color="auto" w:fill="FFFFFF"/>
            <w:vAlign w:val="center"/>
          </w:tcPr>
          <w:p w14:paraId="05454BA3">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项目概况</w:t>
            </w:r>
          </w:p>
          <w:p w14:paraId="0C963757">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bookmarkStart w:id="0" w:name="OLE_LINK9"/>
            <w:r>
              <w:rPr>
                <w:rFonts w:hint="eastAsia" w:ascii="仿宋" w:hAnsi="仿宋" w:eastAsia="仿宋" w:cs="仿宋"/>
                <w:kern w:val="0"/>
                <w:sz w:val="24"/>
                <w:szCs w:val="24"/>
                <w:highlight w:val="none"/>
              </w:rPr>
              <w:t>太仓市产业扶持政策奖补积分管理平台（二期） </w:t>
            </w:r>
            <w:bookmarkEnd w:id="0"/>
            <w:r>
              <w:rPr>
                <w:rFonts w:hint="eastAsia" w:ascii="仿宋" w:hAnsi="仿宋" w:eastAsia="仿宋" w:cs="仿宋"/>
                <w:kern w:val="0"/>
                <w:sz w:val="24"/>
                <w:szCs w:val="24"/>
                <w:highlight w:val="none"/>
              </w:rPr>
              <w:t>JSZC-320585-JZCG-D2026-0027招标项目的潜在投标人应在“苏采云”系统（网址：http://jszfcg.jsczt.cn/）自行下载 获取招标文件，并于2026-4-29 09:30 （北京时间）前递交投标文件。</w:t>
            </w:r>
          </w:p>
        </w:tc>
      </w:tr>
    </w:tbl>
    <w:p w14:paraId="4C0242D9">
      <w:pPr>
        <w:shd w:val="clear" w:color="auto" w:fill="FFFFFF"/>
        <w:spacing w:line="23" w:lineRule="atLeast"/>
        <w:outlineLvl w:val="1"/>
        <w:rPr>
          <w:rFonts w:hint="eastAsia" w:ascii="宋体" w:hAnsi="宋体" w:eastAsia="宋体" w:cs="宋体"/>
          <w:sz w:val="34"/>
          <w:highlight w:val="none"/>
        </w:rPr>
      </w:pPr>
      <w:r>
        <w:rPr>
          <w:rFonts w:ascii="黑体" w:hAnsi="宋体" w:eastAsia="黑体" w:cs="黑体"/>
          <w:b/>
          <w:sz w:val="28"/>
          <w:szCs w:val="28"/>
          <w:highlight w:val="none"/>
          <w:shd w:val="clear" w:color="auto" w:fill="FFFFFF"/>
        </w:rPr>
        <w:t>一、项目基本情况</w:t>
      </w:r>
    </w:p>
    <w:p w14:paraId="64E32370">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bookmarkStart w:id="1" w:name="OLE_LINK5"/>
      <w:r>
        <w:rPr>
          <w:rFonts w:hint="eastAsia" w:ascii="仿宋" w:hAnsi="仿宋" w:eastAsia="仿宋" w:cs="仿宋"/>
          <w:kern w:val="0"/>
          <w:sz w:val="24"/>
          <w:szCs w:val="24"/>
          <w:highlight w:val="none"/>
        </w:rPr>
        <w:t>项目编号：JSZC-320585-JZCG-D2026-0027</w:t>
      </w:r>
    </w:p>
    <w:p w14:paraId="45A424FC">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项目名称：太仓市产业扶持政策奖补积分管理平台（二期） </w:t>
      </w:r>
    </w:p>
    <w:p w14:paraId="0656D678">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预算金额：50万元 </w:t>
      </w:r>
    </w:p>
    <w:p w14:paraId="15833D20">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最高限价（如有）：无</w:t>
      </w:r>
    </w:p>
    <w:p w14:paraId="77C9463B">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bookmarkStart w:id="2" w:name="OLE_LINK3"/>
      <w:r>
        <w:rPr>
          <w:rFonts w:hint="eastAsia" w:ascii="仿宋" w:hAnsi="仿宋" w:eastAsia="仿宋" w:cs="仿宋"/>
          <w:kern w:val="0"/>
          <w:sz w:val="24"/>
          <w:szCs w:val="24"/>
          <w:highlight w:val="none"/>
        </w:rPr>
        <w:t>采购方式：</w:t>
      </w:r>
      <w:bookmarkEnd w:id="2"/>
      <w:r>
        <w:rPr>
          <w:rFonts w:hint="eastAsia" w:ascii="仿宋" w:hAnsi="仿宋" w:eastAsia="仿宋" w:cs="仿宋"/>
          <w:kern w:val="0"/>
          <w:sz w:val="24"/>
          <w:szCs w:val="24"/>
          <w:highlight w:val="none"/>
        </w:rPr>
        <w:t>单一来源 </w:t>
      </w:r>
    </w:p>
    <w:bookmarkEnd w:id="1"/>
    <w:p w14:paraId="5AC02637">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采购需求：</w:t>
      </w:r>
      <w:bookmarkStart w:id="3" w:name="OLE_LINK7"/>
      <w:r>
        <w:rPr>
          <w:rFonts w:hint="eastAsia" w:ascii="仿宋" w:hAnsi="仿宋" w:eastAsia="仿宋" w:cs="仿宋"/>
          <w:kern w:val="0"/>
          <w:sz w:val="24"/>
          <w:szCs w:val="24"/>
          <w:highlight w:val="none"/>
        </w:rPr>
        <w:t>项目聚焦科技项目申报、审核与管理的全业务流程，打造标准统一、数据互联、智能驱动的一体化在线服务系统。具体建设目标包括：建设功能完善、体验友好的科技项目申报栏目，支持企业在线完成项目查询、申报填报、材料上传、进度跟踪等操作，实现全流程透明化管理，显著减少企业沟通与时间成本；构建智能化、协同化、可视化的项目审核模块，引入智能辅助审查、流程自动化等关键技术，实现多级审核线上无缝衔接，全面提升审核效率与政策执行规范性；建设灵活安全的系统配置管理功能，实现基于角色的精细化权限控制和业务流程可定制，保障数据安全与系统适应能力。具体内容详见第三部分项目需求。</w:t>
      </w:r>
    </w:p>
    <w:bookmarkEnd w:id="3"/>
    <w:p w14:paraId="0A00F64B">
      <w:pPr>
        <w:pStyle w:val="7"/>
        <w:spacing w:line="460" w:lineRule="exact"/>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合同履行期限：1．建设工期为3个月。合同签订后的3个月内完成软件系统研发和联调测试，交付上线试运行，由采购单位组织项目验收。</w:t>
      </w:r>
    </w:p>
    <w:p w14:paraId="4DF54120">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本项目（是/否）接受联合体投标：不接受联合体</w:t>
      </w:r>
    </w:p>
    <w:p w14:paraId="219A20D9">
      <w:pPr>
        <w:spacing w:line="23" w:lineRule="atLeast"/>
        <w:outlineLvl w:val="1"/>
        <w:rPr>
          <w:rFonts w:ascii="Arial" w:hAnsi="Arial" w:eastAsia="Arial" w:cs="Arial"/>
          <w:sz w:val="34"/>
          <w:highlight w:val="none"/>
        </w:rPr>
      </w:pPr>
      <w:r>
        <w:rPr>
          <w:rFonts w:hint="eastAsia" w:ascii="黑体" w:hAnsi="宋体" w:eastAsia="黑体" w:cs="黑体"/>
          <w:b/>
          <w:sz w:val="28"/>
          <w:szCs w:val="28"/>
          <w:highlight w:val="none"/>
          <w:shd w:val="clear" w:color="auto" w:fill="FFFFFF"/>
        </w:rPr>
        <w:t>二、申请人的资格要求</w:t>
      </w:r>
    </w:p>
    <w:p w14:paraId="49099390">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（一）满足《中华人民共和国政府采购法》第二十二条规定；</w:t>
      </w:r>
    </w:p>
    <w:p w14:paraId="4186DB12">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1.具有独立承担民事责任的能力证明。包括法人或者其他组织的营业执照等证明文件，自然人的身份证明；</w:t>
      </w:r>
    </w:p>
    <w:p w14:paraId="13C4BD19">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2.具有良好的商业信誉和健全的财务会计制度证明。</w:t>
      </w:r>
    </w:p>
    <w:p w14:paraId="2CC16D0E">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3.具备履行合同所必需的设备和专业技术能力的证明材料或承诺；</w:t>
      </w:r>
    </w:p>
    <w:p w14:paraId="4908D230">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4.依法缴纳税收和社会保障资金的相关资料；</w:t>
      </w:r>
    </w:p>
    <w:p w14:paraId="7C0CBFDC">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5.参加政府采购活动前三年内在经营活动中没有重大违法记录的书面声明函；</w:t>
      </w:r>
    </w:p>
    <w:p w14:paraId="7D32B049">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6.法律、行政法规规定的其他条件</w:t>
      </w:r>
    </w:p>
    <w:p w14:paraId="7A720E0B">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（二）落实政府采购政策需满足的资格要求：</w:t>
      </w:r>
    </w:p>
    <w:p w14:paraId="346F37CC">
      <w:pPr>
        <w:widowControl/>
        <w:pBdr>
          <w:top w:val="none" w:color="000000" w:sz="0" w:space="0"/>
          <w:left w:val="none" w:color="000000" w:sz="0" w:space="0"/>
          <w:bottom w:val="none" w:color="000000" w:sz="0" w:space="0"/>
          <w:right w:val="none" w:color="000000" w:sz="0" w:space="0"/>
        </w:pBdr>
        <w:spacing w:line="480" w:lineRule="atLeast"/>
        <w:ind w:firstLine="482" w:firstLineChars="200"/>
        <w:jc w:val="left"/>
        <w:rPr>
          <w:rFonts w:hint="eastAsia" w:ascii="仿宋" w:hAnsi="仿宋" w:eastAsia="仿宋" w:cs="仿宋"/>
          <w:kern w:val="0"/>
          <w:sz w:val="24"/>
          <w:szCs w:val="24"/>
          <w:highlight w:val="none"/>
        </w:rPr>
      </w:pPr>
      <w:bookmarkStart w:id="4" w:name="OLE_LINK6"/>
      <w:r>
        <w:rPr>
          <w:rFonts w:hint="eastAsia" w:ascii="仿宋" w:hAnsi="仿宋" w:eastAsia="仿宋" w:cs="仿宋"/>
          <w:b/>
          <w:bCs/>
          <w:kern w:val="0"/>
          <w:sz w:val="24"/>
          <w:szCs w:val="24"/>
          <w:highlight w:val="none"/>
        </w:rPr>
        <w:t>本项目专门面向中小企业采购，</w:t>
      </w:r>
      <w:r>
        <w:rPr>
          <w:rFonts w:hint="eastAsia" w:ascii="仿宋" w:hAnsi="仿宋" w:eastAsia="仿宋" w:cs="仿宋"/>
          <w:kern w:val="0"/>
          <w:sz w:val="24"/>
          <w:szCs w:val="24"/>
          <w:highlight w:val="none"/>
        </w:rPr>
        <w:t>投标人必须提供《中小企业声明函》或《残疾人福利性单位声明函》或由省级以上监狱管理局、戒毒管理局（含新疆生产建设兵团）出具的属于监狱企业的证明文件。</w:t>
      </w:r>
      <w:bookmarkEnd w:id="4"/>
    </w:p>
    <w:p w14:paraId="5C8EF1E9">
      <w:pPr>
        <w:pStyle w:val="20"/>
        <w:numPr>
          <w:ilvl w:val="0"/>
          <w:numId w:val="7"/>
        </w:numPr>
        <w:spacing w:beforeAutospacing="0" w:afterAutospacing="0" w:line="480" w:lineRule="atLeast"/>
        <w:rPr>
          <w:rFonts w:hint="eastAsia" w:ascii="仿宋" w:hAnsi="仿宋" w:eastAsia="仿宋" w:cs="仿宋"/>
          <w:kern w:val="0"/>
          <w:sz w:val="24"/>
          <w:highlight w:val="none"/>
        </w:rPr>
      </w:pPr>
      <w:r>
        <w:rPr>
          <w:rFonts w:hint="eastAsia" w:ascii="仿宋" w:hAnsi="仿宋" w:eastAsia="仿宋" w:cs="仿宋"/>
          <w:kern w:val="0"/>
          <w:sz w:val="24"/>
          <w:highlight w:val="none"/>
        </w:rPr>
        <w:t>本项目的特定资格要求：</w:t>
      </w:r>
    </w:p>
    <w:p w14:paraId="6A47D96A">
      <w:pPr>
        <w:pStyle w:val="20"/>
        <w:spacing w:beforeAutospacing="0" w:afterAutospacing="0" w:line="480" w:lineRule="atLeast"/>
        <w:jc w:val="left"/>
        <w:rPr>
          <w:rFonts w:hint="eastAsia" w:ascii="仿宋" w:hAnsi="仿宋" w:eastAsia="仿宋" w:cs="仿宋"/>
          <w:kern w:val="0"/>
          <w:sz w:val="24"/>
          <w:highlight w:val="none"/>
        </w:rPr>
      </w:pPr>
      <w:r>
        <w:rPr>
          <w:rFonts w:hint="eastAsia" w:ascii="仿宋" w:hAnsi="仿宋" w:eastAsia="仿宋" w:cs="仿宋"/>
          <w:kern w:val="0"/>
          <w:sz w:val="24"/>
          <w:highlight w:val="none"/>
        </w:rPr>
        <w:t>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p>
    <w:p w14:paraId="73E86A44">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（四）拒绝下述供应商参加本次采购活动：</w:t>
      </w:r>
    </w:p>
    <w:p w14:paraId="1B50B753">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1、供应商单位负责人为同一人或者存在直接控股、管理关系的不同供应商，不得参加同一合同项下的政府采购活动。</w:t>
      </w:r>
    </w:p>
    <w:p w14:paraId="00EFB4BB">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2、凡为采购项目提供整体设计、规范编制或者项目管理、监理、检测等服务的供应商，不得再参加本项目的采购活动。</w:t>
      </w:r>
    </w:p>
    <w:p w14:paraId="2B7023CB">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3、法人的分支机构不得参加投标（除银行、保险、石油石化、电力、电信等行业特殊情况外）</w:t>
      </w:r>
    </w:p>
    <w:p w14:paraId="372F8CB0">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62E8C947">
      <w:pPr>
        <w:spacing w:line="23" w:lineRule="atLeast"/>
        <w:outlineLvl w:val="1"/>
        <w:rPr>
          <w:rFonts w:ascii="Arial" w:hAnsi="Arial" w:eastAsia="Arial" w:cs="Arial"/>
          <w:sz w:val="34"/>
          <w:highlight w:val="none"/>
        </w:rPr>
      </w:pPr>
      <w:r>
        <w:rPr>
          <w:rFonts w:hint="eastAsia" w:ascii="黑体" w:hAnsi="宋体" w:eastAsia="黑体" w:cs="黑体"/>
          <w:b/>
          <w:sz w:val="28"/>
          <w:szCs w:val="28"/>
          <w:highlight w:val="none"/>
          <w:shd w:val="clear" w:color="auto" w:fill="FFFFFF"/>
        </w:rPr>
        <w:t>三、获取招标文件</w:t>
      </w:r>
    </w:p>
    <w:p w14:paraId="613824A4">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时间：自招标文件公告发布之日起5个工作日</w:t>
      </w:r>
    </w:p>
    <w:p w14:paraId="1E0C5396">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地点：“苏采云”系统（网址：http://jszfcg.jsczt.cn/）自行下载 </w:t>
      </w:r>
    </w:p>
    <w:p w14:paraId="0336CB2F">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方式：自行下载 </w:t>
      </w:r>
    </w:p>
    <w:p w14:paraId="4D184B34">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售价：0.00元 </w:t>
      </w:r>
    </w:p>
    <w:p w14:paraId="2F041234">
      <w:pPr>
        <w:spacing w:line="23" w:lineRule="atLeast"/>
        <w:outlineLvl w:val="1"/>
        <w:rPr>
          <w:rFonts w:ascii="Arial" w:hAnsi="Arial" w:eastAsia="Arial" w:cs="Arial"/>
          <w:sz w:val="34"/>
          <w:highlight w:val="none"/>
        </w:rPr>
      </w:pPr>
      <w:r>
        <w:rPr>
          <w:rFonts w:hint="eastAsia" w:ascii="黑体" w:hAnsi="宋体" w:eastAsia="黑体" w:cs="黑体"/>
          <w:b/>
          <w:sz w:val="28"/>
          <w:szCs w:val="28"/>
          <w:highlight w:val="none"/>
          <w:shd w:val="clear" w:color="auto" w:fill="FFFFFF"/>
        </w:rPr>
        <w:t>四、提交投标文件截止时间、开标时间和地点</w:t>
      </w:r>
    </w:p>
    <w:p w14:paraId="07258924">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2026-4-29 09:30 （北京时间）</w:t>
      </w:r>
    </w:p>
    <w:p w14:paraId="1B69EAC8">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地点：苏采云系统 </w:t>
      </w:r>
    </w:p>
    <w:p w14:paraId="1206A80B">
      <w:pPr>
        <w:shd w:val="clear" w:color="auto" w:fill="FFFFFF"/>
        <w:spacing w:line="23" w:lineRule="atLeast"/>
        <w:outlineLvl w:val="1"/>
        <w:rPr>
          <w:rFonts w:hint="eastAsia" w:ascii="宋体" w:hAnsi="宋体" w:eastAsia="宋体" w:cs="宋体"/>
          <w:sz w:val="34"/>
          <w:highlight w:val="none"/>
        </w:rPr>
      </w:pPr>
      <w:r>
        <w:rPr>
          <w:rFonts w:hint="eastAsia" w:ascii="黑体" w:hAnsi="宋体" w:eastAsia="黑体" w:cs="黑体"/>
          <w:b/>
          <w:sz w:val="28"/>
          <w:szCs w:val="28"/>
          <w:highlight w:val="none"/>
          <w:shd w:val="clear" w:color="auto" w:fill="FFFFFF"/>
        </w:rPr>
        <w:t>五、公告期限</w:t>
      </w:r>
    </w:p>
    <w:p w14:paraId="769EDEE8">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自本公告发布之日起5个工作日。</w:t>
      </w:r>
    </w:p>
    <w:p w14:paraId="387F3439">
      <w:pPr>
        <w:spacing w:line="23" w:lineRule="atLeast"/>
        <w:outlineLvl w:val="1"/>
        <w:rPr>
          <w:rFonts w:ascii="Arial" w:hAnsi="Arial" w:eastAsia="Arial" w:cs="Arial"/>
          <w:sz w:val="34"/>
          <w:highlight w:val="none"/>
        </w:rPr>
      </w:pPr>
      <w:r>
        <w:rPr>
          <w:rFonts w:hint="eastAsia" w:ascii="黑体" w:hAnsi="宋体" w:eastAsia="黑体" w:cs="黑体"/>
          <w:b/>
          <w:sz w:val="28"/>
          <w:szCs w:val="28"/>
          <w:highlight w:val="none"/>
          <w:shd w:val="clear" w:color="auto" w:fill="FFFFFF"/>
        </w:rPr>
        <w:t>六、其他补充事宜</w:t>
      </w:r>
    </w:p>
    <w:p w14:paraId="5508E696">
      <w:pPr>
        <w:widowControl/>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1、本项目需要使用CA数字证书制作、上传电子投标文件完成电子投标，请供应商在参加投标活动前办理好CA数字证书申领及电子签章等操作。</w:t>
      </w:r>
    </w:p>
    <w:p w14:paraId="054B0973">
      <w:pPr>
        <w:widowControl/>
        <w:spacing w:line="48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rPr>
        <w:t>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1A38602E">
      <w:pPr>
        <w:widowControl/>
        <w:spacing w:line="480" w:lineRule="exact"/>
        <w:rPr>
          <w:rFonts w:hint="eastAsia" w:ascii="仿宋" w:hAnsi="仿宋" w:eastAsia="仿宋" w:cs="仿宋"/>
          <w:sz w:val="24"/>
          <w:szCs w:val="24"/>
          <w:highlight w:val="none"/>
        </w:rPr>
      </w:pPr>
      <w:r>
        <w:rPr>
          <w:rFonts w:ascii="仿宋" w:hAnsi="仿宋" w:eastAsia="仿宋" w:cs="仿宋"/>
          <w:b/>
          <w:sz w:val="24"/>
          <w:szCs w:val="24"/>
          <w:highlight w:val="none"/>
        </w:rPr>
        <w:t>3</w:t>
      </w:r>
      <w:r>
        <w:rPr>
          <w:rFonts w:hint="eastAsia" w:ascii="仿宋" w:hAnsi="仿宋" w:eastAsia="仿宋" w:cs="仿宋"/>
          <w:b/>
          <w:sz w:val="24"/>
          <w:szCs w:val="24"/>
          <w:highlight w:val="none"/>
        </w:rPr>
        <w:t>、本项目采用不见面开标，投标人开标时无需到开标现场进行解密，采取网上开标大厅解密电子投标文件，投标人远程解密要求如下：</w:t>
      </w:r>
    </w:p>
    <w:p w14:paraId="431BBEBB">
      <w:pPr>
        <w:widowControl/>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1）投标人使用CA数字证书进行远程解密，解密的CA数字证书与生成加密电子投标文件时的CA数字证书需为同一个CA数字证书，否则无法解密，造成的后果由投标人自行负责。</w:t>
      </w:r>
    </w:p>
    <w:p w14:paraId="38A29469">
      <w:pPr>
        <w:widowControl/>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2）投标人登录苏采云系统，点击开标大厅，选择开标项目，完成不见面开标流程。</w:t>
      </w:r>
    </w:p>
    <w:p w14:paraId="777EEFED">
      <w:pPr>
        <w:widowControl/>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3）投标截止时间后根据系统提示解密电子投标文件。</w:t>
      </w:r>
      <w:r>
        <w:rPr>
          <w:rFonts w:hint="eastAsia" w:ascii="仿宋" w:hAnsi="仿宋" w:eastAsia="仿宋" w:cs="仿宋"/>
          <w:b/>
          <w:sz w:val="24"/>
          <w:szCs w:val="24"/>
          <w:highlight w:val="none"/>
        </w:rPr>
        <w:t>解密时间为15分钟，</w:t>
      </w:r>
      <w:r>
        <w:rPr>
          <w:rFonts w:hint="eastAsia" w:ascii="仿宋" w:hAnsi="仿宋" w:eastAsia="仿宋" w:cs="仿宋"/>
          <w:sz w:val="24"/>
          <w:szCs w:val="24"/>
          <w:highlight w:val="none"/>
        </w:rPr>
        <w:t>未在规定时间内完成解密，其投标文件将被拒绝，不参与后续投标流程。</w:t>
      </w:r>
    </w:p>
    <w:p w14:paraId="49DFE2FB">
      <w:pPr>
        <w:widowControl/>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4）在开标、评标过程中投标单位代表须在网上不见面开标系统中保持在线状态，以应对可能发生的澄清、说明等回复，由于投标单位代表不在线所造成的一切后果由投标人自行承担。</w:t>
      </w:r>
    </w:p>
    <w:p w14:paraId="0BDA5801">
      <w:pPr>
        <w:widowControl/>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4、</w:t>
      </w:r>
      <w:r>
        <w:rPr>
          <w:rFonts w:hint="eastAsia" w:ascii="仿宋" w:hAnsi="仿宋" w:eastAsia="仿宋" w:cs="仿宋"/>
          <w:b/>
          <w:sz w:val="24"/>
          <w:szCs w:val="24"/>
          <w:highlight w:val="none"/>
        </w:rPr>
        <w:t>有关苏采云系统驱动安装，</w:t>
      </w:r>
      <w:r>
        <w:rPr>
          <w:rFonts w:hint="eastAsia" w:ascii="仿宋" w:hAnsi="仿宋" w:eastAsia="仿宋" w:cs="仿宋"/>
          <w:sz w:val="24"/>
          <w:szCs w:val="24"/>
          <w:highlight w:val="none"/>
        </w:rPr>
        <w:t>登录苏州政府采购网，点击页面底部苏采云图标，进入苏采云政府采购一体化平台，点击“驱动下载”，下载</w:t>
      </w:r>
      <w:r>
        <w:rPr>
          <w:rFonts w:hint="eastAsia" w:ascii="仿宋" w:hAnsi="仿宋" w:eastAsia="仿宋" w:cs="仿宋"/>
          <w:b/>
          <w:sz w:val="24"/>
          <w:szCs w:val="24"/>
          <w:highlight w:val="none"/>
        </w:rPr>
        <w:t>“政务CA、方正签章控件驱动安装包及安装说明”</w:t>
      </w:r>
      <w:r>
        <w:rPr>
          <w:rFonts w:hint="eastAsia" w:ascii="仿宋" w:hAnsi="仿宋" w:eastAsia="仿宋" w:cs="仿宋"/>
          <w:sz w:val="24"/>
          <w:szCs w:val="24"/>
          <w:highlight w:val="none"/>
        </w:rPr>
        <w:t>文件，按要求安装驱动。</w:t>
      </w:r>
    </w:p>
    <w:p w14:paraId="1BD5B02C">
      <w:pPr>
        <w:widowControl/>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5、</w:t>
      </w:r>
      <w:r>
        <w:rPr>
          <w:rFonts w:hint="eastAsia" w:ascii="仿宋" w:hAnsi="仿宋" w:eastAsia="仿宋" w:cs="仿宋"/>
          <w:b/>
          <w:sz w:val="24"/>
          <w:szCs w:val="24"/>
          <w:highlight w:val="none"/>
        </w:rPr>
        <w:t>有关供应商注册、报名、下载电子招标文件、制作上传电子投标文件</w:t>
      </w:r>
      <w:r>
        <w:rPr>
          <w:rFonts w:hint="eastAsia" w:ascii="仿宋" w:hAnsi="仿宋" w:eastAsia="仿宋" w:cs="仿宋"/>
          <w:sz w:val="24"/>
          <w:szCs w:val="24"/>
          <w:highlight w:val="none"/>
        </w:rPr>
        <w:t>、不见面开标及其他注意事项登录苏州政府采购网，在“下载中心”栏目下载“</w:t>
      </w:r>
      <w:r>
        <w:rPr>
          <w:rFonts w:hint="eastAsia" w:ascii="仿宋" w:hAnsi="仿宋" w:eastAsia="仿宋" w:cs="仿宋"/>
          <w:b/>
          <w:sz w:val="24"/>
          <w:szCs w:val="24"/>
          <w:highlight w:val="none"/>
        </w:rPr>
        <w:t>苏采云系统供应商操作</w:t>
      </w:r>
      <w:r>
        <w:rPr>
          <w:rFonts w:hint="eastAsia" w:ascii="仿宋" w:hAnsi="仿宋" w:eastAsia="仿宋" w:cs="仿宋"/>
          <w:b/>
          <w:bCs/>
          <w:sz w:val="24"/>
          <w:szCs w:val="24"/>
          <w:highlight w:val="none"/>
        </w:rPr>
        <w:t>手册</w:t>
      </w:r>
      <w:r>
        <w:rPr>
          <w:rFonts w:hint="eastAsia" w:ascii="仿宋" w:hAnsi="仿宋" w:eastAsia="仿宋" w:cs="仿宋"/>
          <w:sz w:val="24"/>
          <w:szCs w:val="24"/>
          <w:highlight w:val="none"/>
        </w:rPr>
        <w:t>”查阅。</w:t>
      </w:r>
    </w:p>
    <w:p w14:paraId="299F8BEB">
      <w:pPr>
        <w:widowControl/>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6、有关办理CA数字申领及电子签章事项，登录苏州政府采购网，点击页面底部苏采云图标，进入苏采云政府采购一体化平台，下载“新CA办理指南”文件查阅。</w:t>
      </w:r>
    </w:p>
    <w:p w14:paraId="077E0390">
      <w:pPr>
        <w:widowControl/>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7、有关电子投标制作技术疑问，请咨询苏采云软件公司客服：18261002950、0512-69820854、0519-86722802</w:t>
      </w:r>
    </w:p>
    <w:p w14:paraId="6E361B44">
      <w:pPr>
        <w:widowControl/>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8、政府采购监督电话：0512-53512539</w:t>
      </w:r>
    </w:p>
    <w:p w14:paraId="27E88FE5">
      <w:pPr>
        <w:widowControl/>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9、本次招标投标保证金：本项目无须缴纳投标保证金。</w:t>
      </w:r>
    </w:p>
    <w:p w14:paraId="19148A5F">
      <w:pPr>
        <w:spacing w:line="480" w:lineRule="atLeast"/>
        <w:outlineLvl w:val="1"/>
        <w:rPr>
          <w:rFonts w:hint="eastAsia" w:ascii="仿宋" w:hAnsi="仿宋" w:eastAsia="仿宋" w:cs="仿宋"/>
          <w:sz w:val="24"/>
          <w:szCs w:val="24"/>
          <w:highlight w:val="none"/>
        </w:rPr>
      </w:pPr>
      <w:r>
        <w:rPr>
          <w:rFonts w:hint="eastAsia" w:ascii="仿宋" w:hAnsi="仿宋" w:eastAsia="仿宋" w:cs="仿宋"/>
          <w:sz w:val="24"/>
          <w:szCs w:val="24"/>
          <w:highlight w:val="none"/>
        </w:rPr>
        <w:t>10、政府采购信用融资政策：中标供应商可凭政府采购合同办理融资贷款，详情请见江苏政府采购网“政采贷”专栏。</w:t>
      </w:r>
      <w:r>
        <w:rPr>
          <w:rFonts w:hint="eastAsia" w:ascii="仿宋" w:hAnsi="仿宋" w:eastAsia="仿宋" w:cs="仿宋"/>
          <w:sz w:val="24"/>
          <w:szCs w:val="24"/>
          <w:highlight w:val="none"/>
        </w:rPr>
        <w:br w:type="textWrapping"/>
      </w:r>
      <w:r>
        <w:rPr>
          <w:rFonts w:hint="eastAsia" w:ascii="仿宋" w:hAnsi="仿宋" w:eastAsia="仿宋" w:cs="仿宋"/>
          <w:sz w:val="24"/>
          <w:szCs w:val="24"/>
          <w:highlight w:val="none"/>
        </w:rPr>
        <w:t>11、政府采购履约资金扶持政策：依据《关于在全省政府采购领域推行电子履约保函（保险）的通知》（苏财购〔2023〕150号），中标供应商可通过江苏政府采购网“政府采购电子履约保函（保险）综合服务平台”线上办理履约保函（保险）。</w:t>
      </w:r>
    </w:p>
    <w:p w14:paraId="6255A880">
      <w:pPr>
        <w:spacing w:line="480" w:lineRule="atLeast"/>
        <w:outlineLvl w:val="1"/>
        <w:rPr>
          <w:rFonts w:ascii="Arial" w:hAnsi="Arial" w:eastAsia="Arial" w:cs="Arial"/>
          <w:sz w:val="34"/>
          <w:highlight w:val="none"/>
        </w:rPr>
      </w:pPr>
      <w:r>
        <w:rPr>
          <w:rFonts w:hint="eastAsia" w:ascii="黑体" w:hAnsi="宋体" w:eastAsia="黑体" w:cs="黑体"/>
          <w:b/>
          <w:sz w:val="28"/>
          <w:szCs w:val="28"/>
          <w:highlight w:val="none"/>
          <w:shd w:val="clear" w:color="auto" w:fill="FFFFFF"/>
        </w:rPr>
        <w:t>七、对本次招标提出询问，请按以下方式联系</w:t>
      </w:r>
    </w:p>
    <w:p w14:paraId="6DB5A77F">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1.采购人信息 </w:t>
      </w:r>
    </w:p>
    <w:p w14:paraId="7FEEA66F">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单位名称：太仓市数据局</w:t>
      </w:r>
    </w:p>
    <w:p w14:paraId="78FF0CA2">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单位地址：太仓市县府东街99号3号楼</w:t>
      </w:r>
    </w:p>
    <w:p w14:paraId="4BB4A07D">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联系人：严建祥 </w:t>
      </w:r>
    </w:p>
    <w:p w14:paraId="43939C0A">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联系电话 ：0512-53595067</w:t>
      </w:r>
    </w:p>
    <w:p w14:paraId="0642019F">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2.采购代理机构信息（如有）</w:t>
      </w:r>
    </w:p>
    <w:p w14:paraId="637E8184">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单位名称：苏州市公共资源交易中心太仓分中心</w:t>
      </w:r>
    </w:p>
    <w:p w14:paraId="560244C9">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单位地址：太仓市万金北路88号3栋2楼</w:t>
      </w:r>
    </w:p>
    <w:p w14:paraId="5EFA393D">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联系人：张倩</w:t>
      </w:r>
    </w:p>
    <w:p w14:paraId="71901557">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联系电话：0512-53890581</w:t>
      </w:r>
    </w:p>
    <w:p w14:paraId="34A8466C">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3.项目联系方式</w:t>
      </w:r>
    </w:p>
    <w:p w14:paraId="0926FEC4">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项目联系人：张倩</w:t>
      </w:r>
    </w:p>
    <w:p w14:paraId="183748DF">
      <w:pPr>
        <w:widowControl/>
        <w:pBdr>
          <w:top w:val="none" w:color="000000" w:sz="0" w:space="0"/>
          <w:left w:val="none" w:color="000000" w:sz="0" w:space="0"/>
          <w:bottom w:val="none" w:color="000000" w:sz="0" w:space="0"/>
          <w:right w:val="none" w:color="000000" w:sz="0" w:space="0"/>
        </w:pBdr>
        <w:spacing w:line="480" w:lineRule="atLeast"/>
        <w:jc w:val="left"/>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电话：0512-53890581</w:t>
      </w:r>
    </w:p>
    <w:p w14:paraId="47A84538">
      <w:pPr>
        <w:tabs>
          <w:tab w:val="center" w:pos="7143"/>
          <w:tab w:val="right" w:pos="14287"/>
        </w:tabs>
        <w:rPr>
          <w:rFonts w:ascii="Arial" w:hAnsi="Arial" w:eastAsia="Arial" w:cs="Times New Roman"/>
          <w:sz w:val="22"/>
          <w:highlight w:val="none"/>
        </w:rPr>
      </w:pPr>
    </w:p>
    <w:p w14:paraId="6FAA14A3">
      <w:pPr>
        <w:widowControl/>
        <w:spacing w:after="200" w:line="276" w:lineRule="auto"/>
        <w:jc w:val="left"/>
        <w:rPr>
          <w:rFonts w:hint="eastAsia" w:ascii="宋体" w:hAnsi="宋体" w:eastAsia="宋体" w:cs="宋体"/>
          <w:b/>
          <w:kern w:val="0"/>
          <w:sz w:val="44"/>
          <w:highlight w:val="none"/>
        </w:rPr>
      </w:pPr>
      <w:r>
        <w:rPr>
          <w:rFonts w:ascii="宋体" w:hAnsi="宋体" w:eastAsia="宋体" w:cs="宋体"/>
          <w:b/>
          <w:kern w:val="0"/>
          <w:sz w:val="44"/>
          <w:highlight w:val="none"/>
        </w:rPr>
        <w:br w:type="page"/>
      </w:r>
    </w:p>
    <w:p w14:paraId="3E6E020C">
      <w:pPr>
        <w:widowControl/>
        <w:pBdr>
          <w:top w:val="none" w:color="000000" w:sz="0" w:space="0"/>
          <w:left w:val="none" w:color="000000" w:sz="0" w:space="0"/>
          <w:bottom w:val="none" w:color="000000" w:sz="0" w:space="0"/>
          <w:right w:val="none" w:color="000000" w:sz="0" w:space="0"/>
        </w:pBdr>
        <w:spacing w:line="440" w:lineRule="exact"/>
        <w:jc w:val="center"/>
        <w:rPr>
          <w:rFonts w:hint="eastAsia" w:ascii="宋体" w:hAnsi="宋体" w:eastAsia="宋体" w:cs="宋体"/>
          <w:b/>
          <w:kern w:val="0"/>
          <w:sz w:val="44"/>
          <w:highlight w:val="none"/>
        </w:rPr>
      </w:pPr>
      <w:r>
        <w:rPr>
          <w:rFonts w:ascii="宋体" w:hAnsi="宋体" w:eastAsia="宋体" w:cs="宋体"/>
          <w:b/>
          <w:kern w:val="0"/>
          <w:sz w:val="44"/>
          <w:highlight w:val="none"/>
        </w:rPr>
        <w:t>第二部分  </w:t>
      </w:r>
      <w:r>
        <w:rPr>
          <w:rFonts w:hint="eastAsia" w:ascii="宋体" w:hAnsi="宋体" w:eastAsia="宋体" w:cs="宋体"/>
          <w:b/>
          <w:kern w:val="0"/>
          <w:sz w:val="44"/>
          <w:highlight w:val="none"/>
        </w:rPr>
        <w:t>响应供应商须知</w:t>
      </w:r>
    </w:p>
    <w:p w14:paraId="5D79321C">
      <w:pPr>
        <w:spacing w:line="440" w:lineRule="exact"/>
        <w:jc w:val="left"/>
        <w:rPr>
          <w:rFonts w:ascii="宋体" w:hAnsi="Arial" w:eastAsia="Arial" w:cs="Times New Roman"/>
          <w:sz w:val="18"/>
          <w:szCs w:val="18"/>
          <w:highlight w:val="none"/>
        </w:rPr>
      </w:pPr>
    </w:p>
    <w:p w14:paraId="0F50BDB8">
      <w:pPr>
        <w:widowControl/>
        <w:spacing w:line="440" w:lineRule="exact"/>
        <w:jc w:val="left"/>
        <w:rPr>
          <w:rFonts w:hint="eastAsia" w:ascii="宋体" w:hAnsi="宋体" w:eastAsia="宋体" w:cs="宋体"/>
          <w:kern w:val="0"/>
          <w:sz w:val="24"/>
          <w:szCs w:val="24"/>
          <w:highlight w:val="none"/>
        </w:rPr>
      </w:pPr>
      <w:r>
        <w:rPr>
          <w:rFonts w:hint="eastAsia" w:ascii="宋体" w:hAnsi="宋体" w:eastAsia="宋体" w:cs="宋体"/>
          <w:b/>
          <w:kern w:val="0"/>
          <w:sz w:val="24"/>
          <w:szCs w:val="24"/>
          <w:highlight w:val="none"/>
        </w:rPr>
        <w:t>一、说明和释义</w:t>
      </w:r>
    </w:p>
    <w:p w14:paraId="541600F6">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1. 说明</w:t>
      </w:r>
    </w:p>
    <w:p w14:paraId="7666105C">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1.1本采购文件仅适用于苏州市公共资源交易中心太仓分中心组织的采购活动。</w:t>
      </w:r>
    </w:p>
    <w:p w14:paraId="485EE0DF">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1.2本次采购活动及因本次采购产生的合同受中国法律制约和保护。</w:t>
      </w:r>
    </w:p>
    <w:p w14:paraId="1DB0BBDD">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1.3本采购文件的解释权属于采购人。</w:t>
      </w:r>
    </w:p>
    <w:p w14:paraId="536EA7B9">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2. 词语释义</w:t>
      </w:r>
    </w:p>
    <w:p w14:paraId="755B480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2.1采购代理机构：具体组织实施采购活动的法人。本项目采购代理机构是苏州市公共资源交易中心太仓分中心。</w:t>
      </w:r>
    </w:p>
    <w:p w14:paraId="5FABFB1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2.2响应供应商：经认定有资格响应采购，参加响应竞争的法人或其他组织和自然人。</w:t>
      </w:r>
    </w:p>
    <w:p w14:paraId="1709EED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2.3响应：响应供应商根据采购人或采购代理机构发布的采购文件，编制响应文件并按规定响应的行为。</w:t>
      </w:r>
    </w:p>
    <w:p w14:paraId="2B7A6F6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2.4合同：采供双方根据采购文件和成交的响应文件及成交通知书规定的内容签署的以书面形式所达成的协议，包括所有的附件、附录和构成协议的所有文件。</w:t>
      </w:r>
    </w:p>
    <w:p w14:paraId="1E6179E7">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2.5甲方（采购方）：合同中明确规定的实际购买货物和服务的法人或其他组织和自然人（采购人）</w:t>
      </w:r>
    </w:p>
    <w:p w14:paraId="7200D22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2.6乙方（供应商）：合同中规定的向采购方提供货物和服务的法人或其他组织和自然人（成交人）</w:t>
      </w:r>
    </w:p>
    <w:p w14:paraId="4DBA4D18">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2.7货物：系指乙方按采购文件规定，应向甲方提供的一切设备、备品、备件、工具、手册及其它有关技术资料和材料。</w:t>
      </w:r>
    </w:p>
    <w:p w14:paraId="042815A8">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2.8服务：系指本次采购文件规定乙方应承担的与提供货物和服务有关的辅助服务，比如运输、保险、安装、调试、验收、提供技术援助、培训、配合措施、维修响应及合同中规定乙方应承担的其它义务。</w:t>
      </w:r>
    </w:p>
    <w:p w14:paraId="72308019">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2.9知识产权：指专利权、商标权、著作权等无形财产专有权的统称。</w:t>
      </w:r>
    </w:p>
    <w:p w14:paraId="3D60D5EE">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2.10天：日历日。</w:t>
      </w:r>
    </w:p>
    <w:p w14:paraId="58B556E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2.11交货地点：合同中明确约定的乙方提交的货物和服务最终到达地点。</w:t>
      </w:r>
    </w:p>
    <w:p w14:paraId="304F466E">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2.12 合同价款：根据合同规定，乙方在正确地履行合同义务后甲方应支付乙方的价款。</w:t>
      </w:r>
    </w:p>
    <w:p w14:paraId="2853BFF9">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2.13 产地：货物开采、生长、生产、最终制造、加工或提供服务的来源地。</w:t>
      </w:r>
    </w:p>
    <w:p w14:paraId="7CD5101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2.14不可抗力：不能预见、不能避免并且不能克服的客观情况。</w:t>
      </w:r>
    </w:p>
    <w:p w14:paraId="4208C2ED">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2.15 实质性响应：满足有关本次采购标的、数量、质量、价款或者报酬、履行期限、履行地点和方式、违约责任和解决争议方法等要求。</w:t>
      </w:r>
    </w:p>
    <w:p w14:paraId="2D647BD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p>
    <w:p w14:paraId="7CE3181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2.17进口产品：指通过中国海关报关验收进入中国境内且产自境外的产品。</w:t>
      </w:r>
    </w:p>
    <w:p w14:paraId="047C7E4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2.18书面形式：指书面文字、合同书、信件和传真等可以有形地表现所载内容的形式。</w:t>
      </w:r>
    </w:p>
    <w:p w14:paraId="07EDE47B">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二、 响应供应商</w:t>
      </w:r>
    </w:p>
    <w:p w14:paraId="661C2D88">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3. 合格响应供应商的基本条件</w:t>
      </w:r>
    </w:p>
    <w:p w14:paraId="68EEE42D">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3.1符合《中华人民共和国政府采购法》第二十二条第一款之规定；</w:t>
      </w:r>
    </w:p>
    <w:p w14:paraId="1895446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3.2满足本文件实质性条款的规定。</w:t>
      </w:r>
    </w:p>
    <w:p w14:paraId="0CE5B6AB">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4．合格响应供应商的特定条件</w:t>
      </w:r>
    </w:p>
    <w:p w14:paraId="236E9D45">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4.1 按采购公告规定。</w:t>
      </w:r>
    </w:p>
    <w:p w14:paraId="61C24A18">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5. 响应供应商代表</w:t>
      </w:r>
    </w:p>
    <w:p w14:paraId="466955C6">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5.1指全权代表响应供应商参加响应活动并签署响应文件的人，如果响应供应商代表不是法人代表，须持有《法人代表授权委托书》（详见统一格式）。</w:t>
      </w:r>
    </w:p>
    <w:p w14:paraId="72CBE39B">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6. 联合响应</w:t>
      </w:r>
    </w:p>
    <w:p w14:paraId="5A419D3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6.1按采购公告规定。</w:t>
      </w:r>
    </w:p>
    <w:p w14:paraId="7A8F4A5D">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 xml:space="preserve">7. 响应费用 </w:t>
      </w:r>
    </w:p>
    <w:p w14:paraId="5996519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7.1响应供应商应自行承担所有准备及参加响应的相关费用。不论响应结果如何，采购代理机构在任何情况下均无义务也无责任承担这些费用。</w:t>
      </w:r>
    </w:p>
    <w:p w14:paraId="3C8A6A59">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7.2 本次采购项目不收取标书费及成交服务费，请响应供应商在响应时充分考虑这一因素。</w:t>
      </w:r>
    </w:p>
    <w:p w14:paraId="34C1F86C">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三、采购文件说明</w:t>
      </w:r>
    </w:p>
    <w:p w14:paraId="39C151B9">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8. 采购文件</w:t>
      </w:r>
    </w:p>
    <w:p w14:paraId="190683D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8.1采购文件由采购文件目录所列内容组成，响应供应商获得采购文件后，应仔细检查采购文件的所有内容，如有缺漏，请立即与采购代理机构联系解决，否则由此产生的影响由响应供应商自己承担。响应供应商同时应认真审阅采购文件中所有的事项、格式、条款和规范要求等，若响应供应商的响应文件没有按采购文件要求提交全部资料，或响应文件没有对采购文件做出实质性响应，其风险由响应供应商自行承担，并根据有关条款规定，该响应有可能被拒绝。</w:t>
      </w:r>
    </w:p>
    <w:p w14:paraId="53BC965D">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8.2采购文件及其更正文件不是直接从采购代理机构或指定媒体获得的，采购代理机构对采购文件及其补遗的真实性、完整性不承担任何责任。</w:t>
      </w:r>
    </w:p>
    <w:p w14:paraId="77665729">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9. 采购文件的澄清</w:t>
      </w:r>
    </w:p>
    <w:p w14:paraId="314D512C">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9.1响应供应商在获取采购文件后，若有疑问，应于网上响应截止时间之前，在网上业务系统向采购代理机构提出，采购代理机构将在业务系统上予以解答。</w:t>
      </w:r>
    </w:p>
    <w:p w14:paraId="1C0AA66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9.2如有必要，问题答复将以“变更公告”形式由采购代理机构按照本须知第10条的规定发出。</w:t>
      </w:r>
    </w:p>
    <w:p w14:paraId="5E713926">
      <w:pPr>
        <w:widowControl/>
        <w:spacing w:line="440" w:lineRule="exact"/>
        <w:jc w:val="left"/>
        <w:rPr>
          <w:rFonts w:hint="eastAsia" w:ascii="宋体" w:hAnsi="宋体" w:eastAsia="宋体" w:cs="宋体"/>
          <w:kern w:val="0"/>
          <w:sz w:val="24"/>
          <w:szCs w:val="24"/>
          <w:highlight w:val="none"/>
        </w:rPr>
      </w:pPr>
      <w:r>
        <w:rPr>
          <w:rFonts w:hint="eastAsia" w:ascii="宋体" w:hAnsi="宋体" w:eastAsia="宋体" w:cs="宋体"/>
          <w:b/>
          <w:kern w:val="0"/>
          <w:sz w:val="24"/>
          <w:szCs w:val="24"/>
          <w:highlight w:val="none"/>
        </w:rPr>
        <w:t>10.采购文件的修改</w:t>
      </w:r>
    </w:p>
    <w:p w14:paraId="4C87B8A6">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10.1采购代理机构无论出于自己的考虑，还是出于对响应供应商提问的澄清，均可对已发出的采购文件用</w:t>
      </w:r>
      <w:r>
        <w:rPr>
          <w:rFonts w:hint="eastAsia" w:ascii="宋体" w:hAnsi="宋体" w:eastAsia="宋体" w:cs="宋体"/>
          <w:kern w:val="0"/>
          <w:sz w:val="24"/>
          <w:szCs w:val="24"/>
          <w:highlight w:val="none"/>
          <w:lang w:val="zh-CN"/>
        </w:rPr>
        <w:t>补充文件的方式</w:t>
      </w:r>
      <w:r>
        <w:rPr>
          <w:rFonts w:hint="eastAsia" w:ascii="宋体" w:hAnsi="宋体" w:eastAsia="宋体" w:cs="宋体"/>
          <w:kern w:val="0"/>
          <w:sz w:val="24"/>
          <w:szCs w:val="24"/>
          <w:highlight w:val="none"/>
        </w:rPr>
        <w:t>进行必要澄清或者修改。</w:t>
      </w:r>
    </w:p>
    <w:p w14:paraId="78E61C5F">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10.2为使响应供应商有足够的时间按采购文件的修改要求考虑修正响应文件，或出于其他原因，采购代理机构有权推迟响应截止日期和开标日期，并将此变更以补充通知的形式在网上发布公告。</w:t>
      </w:r>
    </w:p>
    <w:p w14:paraId="7D451E18">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10.3采购文件的更正（含澄清、修改等）内容与原采购文件在同一内容上表述不一致时，以发出日期最接近开标时间的公告为准。</w:t>
      </w:r>
    </w:p>
    <w:p w14:paraId="7638C548">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10.4采购文件的更正（含澄清、修改等）内容将在苏州政府采购网发布，请响应供应商及时查询，更正（含澄清、修改等）内容作为采购文件的组成部分，对响应供应商起约束作用。</w:t>
      </w:r>
    </w:p>
    <w:p w14:paraId="1F08FEAD">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10.5采购文件若有最新的答疑文件，响应供应商必须下载并使用该文件制作新的电子响应文件，否则将无法完成电子响应文件的上传及响应。</w:t>
      </w:r>
    </w:p>
    <w:p w14:paraId="1D27F67D">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11.质疑</w:t>
      </w:r>
    </w:p>
    <w:p w14:paraId="1B4199BC">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47B605B8">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11.2 提出质疑的供应商应当是参与所质疑项目采购活动的供应商，未参加响应活动的供应商或在响应活动中自身权益未受到损害的供应商所提出的质疑不予受理。</w:t>
      </w:r>
    </w:p>
    <w:p w14:paraId="476932B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11.3上述应知其权益受到损害之日是指：</w:t>
      </w:r>
    </w:p>
    <w:p w14:paraId="00ACA95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11.3.1对采购文件提出质疑的，为获取采购文件或者采购文件公告期限届满之日起计算；</w:t>
      </w:r>
    </w:p>
    <w:p w14:paraId="053A760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11.3.2对采购过程提出质疑的，自采购程序环节结束之日起计算；</w:t>
      </w:r>
    </w:p>
    <w:p w14:paraId="5D39C795">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11.3.3对成交结果提出质疑的，自成交结果公告期限届满之日起计算。</w:t>
      </w:r>
    </w:p>
    <w:p w14:paraId="6A26F21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11.4 供应商提出质疑应当提交质疑函和必要的证明材料。质疑函应当包括下列内容：</w:t>
      </w:r>
    </w:p>
    <w:p w14:paraId="79DE6D1C">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11.4.1 供应商的姓名或者名称、地址、邮编、联系人及联系电话；</w:t>
      </w:r>
    </w:p>
    <w:p w14:paraId="7E4193BE">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11.4.2 质疑项目的名称、编号；</w:t>
      </w:r>
    </w:p>
    <w:p w14:paraId="4AE8C0BD">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11.4.3 具体、明确的质疑事项和与质疑事项相关的请求；</w:t>
      </w:r>
    </w:p>
    <w:p w14:paraId="3F0E810F">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11.4.4 事实依据；</w:t>
      </w:r>
    </w:p>
    <w:p w14:paraId="7AA8F46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11.4.5 必要的法律依据；</w:t>
      </w:r>
    </w:p>
    <w:p w14:paraId="73888E1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11.4.6 提出质疑的日期。</w:t>
      </w:r>
    </w:p>
    <w:p w14:paraId="0743BB77">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11.5质疑函的格式和内容应当符合财政部《政府采购供应商质疑函范本》 </w:t>
      </w:r>
      <w:bookmarkStart w:id="5" w:name="baidusnap5"/>
      <w:bookmarkEnd w:id="5"/>
      <w:r>
        <w:rPr>
          <w:rFonts w:hint="eastAsia" w:ascii="宋体" w:hAnsi="宋体" w:eastAsia="宋体" w:cs="宋体"/>
          <w:kern w:val="0"/>
          <w:sz w:val="24"/>
          <w:szCs w:val="24"/>
          <w:highlight w:val="none"/>
        </w:rPr>
        <w:t>要求，质疑函范本在财政部官网上提供下载。</w:t>
      </w:r>
    </w:p>
    <w:p w14:paraId="0CED8D9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11.6 提交质疑函同时应当附如下证明材料：</w:t>
      </w:r>
    </w:p>
    <w:p w14:paraId="79DF75A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11.6.1对采购文件提出质疑的供应商提供参加本项目的</w:t>
      </w:r>
      <w:r>
        <w:rPr>
          <w:rFonts w:hint="eastAsia" w:ascii="宋体" w:hAnsi="宋体" w:eastAsia="宋体" w:cs="宋体"/>
          <w:b/>
          <w:bCs/>
          <w:kern w:val="0"/>
          <w:sz w:val="24"/>
          <w:szCs w:val="24"/>
          <w:highlight w:val="none"/>
        </w:rPr>
        <w:t>《投标供应商确认函》</w:t>
      </w:r>
      <w:r>
        <w:rPr>
          <w:rFonts w:hint="eastAsia" w:ascii="宋体" w:hAnsi="宋体" w:eastAsia="宋体" w:cs="宋体"/>
          <w:kern w:val="0"/>
          <w:sz w:val="24"/>
          <w:szCs w:val="24"/>
          <w:highlight w:val="none"/>
        </w:rPr>
        <w:t>；</w:t>
      </w:r>
    </w:p>
    <w:p w14:paraId="4624BEE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11.6.2质疑供应商的营业执照复印件加盖单位公章；</w:t>
      </w:r>
    </w:p>
    <w:p w14:paraId="07E3FB3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11.6.3质疑供应商法定代表人身份证复印件加盖单位公章；</w:t>
      </w:r>
    </w:p>
    <w:p w14:paraId="7AF72C9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11.6.4质疑供应商若委托代理人进行质疑的，提供法人授权委托书及代理人身份证复印件加盖单位公章，授权委托书应载明代理人的姓名或者名称、代理事项、具体权限、期限和相关事项；</w:t>
      </w:r>
    </w:p>
    <w:p w14:paraId="57AF6FED">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11.7 供应商为自然人的，应当由本人签字；供应商为法人或者其他组织的，应当由法定代表人、主要负责人，或者其授权代表签字或者盖章，并加盖公章。 </w:t>
      </w:r>
    </w:p>
    <w:p w14:paraId="3DB18CD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11.8供应商对采购项目技术、商务及其他要求，以及评审细则、标准提出询问或质疑的，应向采购人提出；供应商对采购过程及成交结果提出询问或质疑的，应向采购机代理构提出；</w:t>
      </w:r>
    </w:p>
    <w:p w14:paraId="4D523E36">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11.9 供应商如对本项目提出质疑须在法定质疑期内一次性提出针对同一采购程序环节的质疑。</w:t>
      </w:r>
    </w:p>
    <w:p w14:paraId="52711C6C">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sz w:val="24"/>
          <w:highlight w:val="none"/>
        </w:rPr>
      </w:pPr>
      <w:r>
        <w:rPr>
          <w:rFonts w:ascii="宋体" w:hAnsi="宋体" w:eastAsia="宋体" w:cs="宋体"/>
          <w:sz w:val="24"/>
          <w:highlight w:val="none"/>
        </w:rPr>
        <w:t>11.1</w:t>
      </w:r>
      <w:r>
        <w:rPr>
          <w:rFonts w:hint="eastAsia" w:ascii="宋体" w:hAnsi="宋体" w:eastAsia="宋体" w:cs="宋体"/>
          <w:sz w:val="24"/>
          <w:highlight w:val="none"/>
        </w:rPr>
        <w:t>0</w:t>
      </w:r>
      <w:r>
        <w:rPr>
          <w:rFonts w:ascii="宋体" w:hAnsi="宋体" w:eastAsia="宋体" w:cs="宋体"/>
          <w:sz w:val="24"/>
          <w:highlight w:val="none"/>
        </w:rPr>
        <w:t xml:space="preserve"> </w:t>
      </w:r>
      <w:r>
        <w:rPr>
          <w:rFonts w:hint="eastAsia" w:ascii="宋体" w:hAnsi="宋体" w:eastAsia="宋体" w:cs="宋体"/>
          <w:sz w:val="24"/>
          <w:highlight w:val="none"/>
        </w:rPr>
        <w:t>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
          <w:sz w:val="24"/>
          <w:highlight w:val="none"/>
        </w:rPr>
        <w:t>（即《投标供应商确认函》）</w:t>
      </w:r>
      <w:r>
        <w:rPr>
          <w:rFonts w:hint="eastAsia" w:ascii="宋体" w:hAnsi="宋体" w:eastAsia="宋体" w:cs="宋体"/>
          <w:sz w:val="24"/>
          <w:highlight w:val="none"/>
        </w:rPr>
        <w:t>与质疑函一起递交，否则不予受理。</w:t>
      </w:r>
    </w:p>
    <w:p w14:paraId="72BCFDE9">
      <w:pPr>
        <w:pBdr>
          <w:top w:val="none" w:color="000000" w:sz="0" w:space="0"/>
          <w:left w:val="none" w:color="000000" w:sz="0" w:space="0"/>
          <w:bottom w:val="none" w:color="000000" w:sz="0" w:space="0"/>
          <w:right w:val="none" w:color="000000" w:sz="0" w:space="0"/>
        </w:pBdr>
        <w:spacing w:line="440" w:lineRule="exact"/>
        <w:jc w:val="left"/>
        <w:rPr>
          <w:rFonts w:hint="eastAsia"/>
          <w:highlight w:val="none"/>
        </w:rPr>
      </w:pPr>
      <w:r>
        <w:rPr>
          <w:rFonts w:ascii="宋体" w:hAnsi="宋体" w:eastAsia="宋体" w:cs="宋体"/>
          <w:sz w:val="24"/>
          <w:highlight w:val="none"/>
        </w:rPr>
        <w:t>11.11 接受质疑函联系方式见采购公告联系事项。</w:t>
      </w:r>
    </w:p>
    <w:p w14:paraId="1F6E8523">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四、 响应文件说明</w:t>
      </w:r>
    </w:p>
    <w:p w14:paraId="6FC0EABE">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12、提示与要求</w:t>
      </w:r>
    </w:p>
    <w:p w14:paraId="18450AC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12.1响应供应商应仔细阅读采购文件的所有内容，按采购文件的要求提供响应文件，并保证所提供的全部资料的真实性，以使其响应对采购文件做出实质性响应，否则，其响应可能被拒绝。</w:t>
      </w:r>
    </w:p>
    <w:p w14:paraId="0AD2BEF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12.2无论是否递交响应文件，响应供应商都应将采购文件及以后的所有通知、文件等视为保密文件。</w:t>
      </w:r>
    </w:p>
    <w:p w14:paraId="085BA7EC">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13. 响应文件计量单位和使用文字</w:t>
      </w:r>
    </w:p>
    <w:p w14:paraId="7F39502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13.1响应文件中所使用的计量单位，除采购文件中有特殊要求外，均应使用中华人民共和国法定计量单位。</w:t>
      </w:r>
    </w:p>
    <w:p w14:paraId="1CFD579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13.2响应文件应使用中文编制，响应文件中必须使用其他文字的，必须附有中文译本，且以中文译本为准。对于未附有中文译本和中文译本不准确的响应文件可能引起的对响应供应商不利的后果，采购代理机构概不负责。</w:t>
      </w:r>
    </w:p>
    <w:p w14:paraId="2CFA394C">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14. 知识产权</w:t>
      </w:r>
    </w:p>
    <w:p w14:paraId="49842ABD">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14.1 响应供应商应保证在本项目使用的任何产品（包括部分使用）时，不会产生因第三方提出侵犯其专利权、商标权或其它知识产权而引起的法律和经济纠纷，如因专利权、商标权或其它知识产权而引起法律和经济纠纷，由响应供应商承担所有相关责任。</w:t>
      </w:r>
    </w:p>
    <w:p w14:paraId="2DC8B8C5">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15. 响应文件的组成和顺序</w:t>
      </w:r>
    </w:p>
    <w:p w14:paraId="7A0B51E3">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15.1报价部分（详见响应文件格式）：</w:t>
      </w:r>
    </w:p>
    <w:p w14:paraId="71760798">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15.1.1《开标一览表》(统一格式)；</w:t>
      </w:r>
    </w:p>
    <w:p w14:paraId="53B38CFE">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15.1.2响应报价明细表；</w:t>
      </w:r>
    </w:p>
    <w:p w14:paraId="6801DC43">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15.2 响应正文部分（包含资质证明和技术部分）</w:t>
      </w:r>
    </w:p>
    <w:p w14:paraId="6823BBF5">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15.2.1资质证明文件部分</w:t>
      </w:r>
    </w:p>
    <w:p w14:paraId="4E269B2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15.2.1.1关于资格文件的声明函（详见文件格式）；</w:t>
      </w:r>
    </w:p>
    <w:p w14:paraId="4A2F0D0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15.2.1.2响应承诺函（详见响应文件格式）；</w:t>
      </w:r>
    </w:p>
    <w:p w14:paraId="199A216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15.2.1.3响应单位营业执照副本或三证合一营业执照复印件；</w:t>
      </w:r>
    </w:p>
    <w:p w14:paraId="181ECE8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15.2.1.4响应供应商参加本次政府采购活动前的财务状况报告或者银行出具的资信证明；</w:t>
      </w:r>
    </w:p>
    <w:p w14:paraId="2FC7095C">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15.2.1.5响应供应商根据项目需求提供履行合同所必需的设备和专业技术能力的证明材料；</w:t>
      </w:r>
    </w:p>
    <w:p w14:paraId="3F90FCB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15.2.1.6响应供应商参加本次政府采购活动前半年（至少一个月）依法缴纳税收和社会保障资金的证明材料；</w:t>
      </w:r>
    </w:p>
    <w:p w14:paraId="60320DC7">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15.2.1.7响应供应商参加政府采购活动前三年在经营活动中没有重大违法记录的书面申明（详见文件格式）；</w:t>
      </w:r>
    </w:p>
    <w:p w14:paraId="7D53675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15.2.1.8响应供应商证明其符合采购文件规定的响应供应商特定资格条件的证书、证明和文件材料；（如有）</w:t>
      </w:r>
    </w:p>
    <w:p w14:paraId="30C34D4F">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15.2.1.9响应供应商基本情况表（详见文件格式）；</w:t>
      </w:r>
    </w:p>
    <w:p w14:paraId="71DD541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15.2.1.10响应供应商法定代表人身份证复印件；</w:t>
      </w:r>
    </w:p>
    <w:p w14:paraId="40CE01C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15.2.1.11响应供应商法定代表人授权委托书原件（如有授权）（详见文件格式）；</w:t>
      </w:r>
    </w:p>
    <w:p w14:paraId="003ECE1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15.2.1.12响应供应商授权代理人身份证复印件（如有授权）；</w:t>
      </w:r>
    </w:p>
    <w:p w14:paraId="60572AE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15.2.1.13中小企业声明函；</w:t>
      </w:r>
    </w:p>
    <w:p w14:paraId="0D8035D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15.2.1.14残疾人福利性单位声明函（如有）；</w:t>
      </w:r>
    </w:p>
    <w:p w14:paraId="09F59E29">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15.2.1.15其他可以证明响应供应商资信、资质和货物、服务质量的证书、文件、推荐信等资料；（如有）</w:t>
      </w:r>
    </w:p>
    <w:p w14:paraId="67CC6A64">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15.2.2技术部分</w:t>
      </w:r>
    </w:p>
    <w:p w14:paraId="525217A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15.2.2.1服务要求偏离表（详见文件格式）；</w:t>
      </w:r>
    </w:p>
    <w:p w14:paraId="3102C447">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15.2.2.2商务要求偏离表（详见文件格式）；</w:t>
      </w:r>
    </w:p>
    <w:p w14:paraId="1287B9A9">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lang w:val="zh-CN"/>
        </w:rPr>
      </w:pPr>
      <w:r>
        <w:rPr>
          <w:rFonts w:hint="eastAsia" w:ascii="宋体" w:hAnsi="宋体" w:eastAsia="宋体" w:cs="宋体"/>
          <w:kern w:val="0"/>
          <w:sz w:val="24"/>
          <w:szCs w:val="24"/>
          <w:highlight w:val="none"/>
        </w:rPr>
        <w:t>15.2.2.3项目的技术及服务方案；</w:t>
      </w:r>
    </w:p>
    <w:p w14:paraId="20DB6FD9">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15.2.2.4售后服务内容；</w:t>
      </w:r>
    </w:p>
    <w:p w14:paraId="120D58B8">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15.2.2.5采购文件中要求提供的其他相关材料；</w:t>
      </w:r>
    </w:p>
    <w:p w14:paraId="77AF3AA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15.2.2.6其他需响应供应商对本次响应的详细说明（响应供应商视各自的情况自行编制）；</w:t>
      </w:r>
    </w:p>
    <w:p w14:paraId="4BA55A4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注：响应单位按上述要求提交相关资料，响应单位所提交的资格文件的完整与否，将直接影响响应单位的评分。响应单位必须保证全部响应资料的真实性，如有虚假或对采购文件所要求说明的情况故意隐瞒或虚报，视为不实质性响应采购文件，为无效响应，并报政府监管部门按政府采购法相关规定给予处罚</w:t>
      </w:r>
      <w:r>
        <w:rPr>
          <w:rFonts w:hint="eastAsia" w:ascii="宋体" w:hAnsi="宋体" w:eastAsia="宋体" w:cs="宋体"/>
          <w:b/>
          <w:bCs/>
          <w:kern w:val="0"/>
          <w:sz w:val="24"/>
          <w:szCs w:val="24"/>
          <w:highlight w:val="none"/>
        </w:rPr>
        <w:t>。</w:t>
      </w:r>
    </w:p>
    <w:p w14:paraId="64D0CBC0">
      <w:pPr>
        <w:widowControl/>
        <w:spacing w:line="440" w:lineRule="exact"/>
        <w:jc w:val="left"/>
        <w:rPr>
          <w:rFonts w:hint="eastAsia" w:ascii="宋体" w:hAnsi="宋体" w:eastAsia="宋体" w:cs="宋体"/>
          <w:dstrike/>
          <w:kern w:val="0"/>
          <w:sz w:val="24"/>
          <w:szCs w:val="24"/>
          <w:highlight w:val="none"/>
        </w:rPr>
      </w:pPr>
      <w:r>
        <w:rPr>
          <w:rFonts w:hint="eastAsia" w:ascii="宋体" w:hAnsi="宋体" w:eastAsia="宋体" w:cs="宋体"/>
          <w:b/>
          <w:kern w:val="0"/>
          <w:sz w:val="24"/>
          <w:szCs w:val="24"/>
          <w:highlight w:val="none"/>
        </w:rPr>
        <w:t>15.3响应文件由15.1、15.2款规定的内容共同组成。</w:t>
      </w:r>
    </w:p>
    <w:p w14:paraId="37100B3E">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b/>
          <w:kern w:val="0"/>
          <w:sz w:val="24"/>
          <w:szCs w:val="24"/>
          <w:highlight w:val="none"/>
        </w:rPr>
        <w:t>16. 响应文件编制要求   </w:t>
      </w:r>
    </w:p>
    <w:p w14:paraId="3545B9CE">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16.1</w:t>
      </w:r>
      <w:r>
        <w:rPr>
          <w:rFonts w:hint="eastAsia" w:ascii="宋体" w:hAnsi="宋体" w:eastAsia="宋体" w:cs="宋体"/>
          <w:b/>
          <w:kern w:val="0"/>
          <w:sz w:val="24"/>
          <w:szCs w:val="24"/>
          <w:highlight w:val="none"/>
        </w:rPr>
        <w:t>电子响应文件编制要求：</w:t>
      </w:r>
      <w:r>
        <w:rPr>
          <w:rFonts w:hint="eastAsia" w:ascii="宋体" w:hAnsi="宋体" w:eastAsia="宋体" w:cs="宋体"/>
          <w:kern w:val="0"/>
          <w:sz w:val="24"/>
          <w:szCs w:val="24"/>
          <w:highlight w:val="none"/>
        </w:rPr>
        <w:t>响应人应使用</w:t>
      </w:r>
      <w:r>
        <w:rPr>
          <w:rFonts w:hint="eastAsia" w:ascii="宋体" w:hAnsi="宋体" w:eastAsia="宋体" w:cs="宋体"/>
          <w:b/>
          <w:kern w:val="0"/>
          <w:sz w:val="24"/>
          <w:szCs w:val="24"/>
          <w:highlight w:val="none"/>
        </w:rPr>
        <w:t>采购文件要求的响应文件制作软件制作电子响应文件</w:t>
      </w:r>
      <w:r>
        <w:rPr>
          <w:rFonts w:hint="eastAsia" w:ascii="宋体" w:hAnsi="宋体" w:eastAsia="宋体" w:cs="宋体"/>
          <w:kern w:val="0"/>
          <w:sz w:val="24"/>
          <w:szCs w:val="24"/>
          <w:highlight w:val="none"/>
        </w:rPr>
        <w:t>，电子响应文件按采购文件规定的格式制作，如果未按要求制作上传，可能导致响应无效。</w:t>
      </w:r>
    </w:p>
    <w:p w14:paraId="7BD9A510">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17. 响应报价（编制）要求的说明</w:t>
      </w:r>
    </w:p>
    <w:p w14:paraId="484DB90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17.1除非合同中另有规定，响应供应商对《开标一览表》中的全部货物和服务的报价应包括本项目的货物、劳务、运输、管理、安装、维护、保险、利润、税金、政策性文件规定及合同包含的所有风险、责任等各项应有费用，采购人不再支付其他任何费用。</w:t>
      </w:r>
    </w:p>
    <w:p w14:paraId="7EDC05D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17.2响应供应商应对采购文件内所要采购的全部内容进行报价，只投其中部分内容者，其标书将被拒绝。但如果采购文件要求分标段响应的，则响应供应商可以按采购文件要求有选择地只投其中一个或几个标段，也可以投全部标段，但各标段应分别计算填写单价和总价。</w:t>
      </w:r>
    </w:p>
    <w:p w14:paraId="2113196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17.3 一项响应内容只允许一个报价，采购代理机构不接受任何有选择性的响应报价。</w:t>
      </w:r>
    </w:p>
    <w:p w14:paraId="1789DE5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17.4响应文件报价中的单价和总价全部采用人民币表示，除非合同的特殊条款另有规定。</w:t>
      </w:r>
    </w:p>
    <w:p w14:paraId="1414E19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17.5最低的响应报价或最高的折扣比例是成交的重要条件，但不是成交的唯一条件。</w:t>
      </w:r>
    </w:p>
    <w:p w14:paraId="63D952B0">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18. 响应保证金</w:t>
      </w:r>
    </w:p>
    <w:p w14:paraId="5B621511">
      <w:pPr>
        <w:widowControl/>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本项目无须缴纳响应保证金。</w:t>
      </w:r>
    </w:p>
    <w:p w14:paraId="6AC0553A">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19. 响应文件的有效期</w:t>
      </w:r>
    </w:p>
    <w:p w14:paraId="6696D053">
      <w:pPr>
        <w:widowControl/>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19.1在本采购文件规定的开标之日起九十（90）天内，响应供应商所提交的响应文件应保持有效。</w:t>
      </w:r>
      <w:r>
        <w:rPr>
          <w:rFonts w:hint="eastAsia" w:ascii="宋体" w:hAnsi="宋体" w:eastAsia="宋体" w:cs="宋体"/>
          <w:b/>
          <w:kern w:val="0"/>
          <w:sz w:val="24"/>
          <w:szCs w:val="24"/>
          <w:highlight w:val="none"/>
        </w:rPr>
        <w:t>有效期短于这个规定期限的响应文件，将被认定为未实质性响应采购文件要求。</w:t>
      </w:r>
    </w:p>
    <w:p w14:paraId="713B16A5">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19.2在特殊情况下，采购代理机构位可与响应供应商协商延长响应书的有效期。这种要求和答复都应以书面形式进行。同意延长有效期的响应供应商不能修改响应文件。拒绝接受延期要求的响应供应商的响应将被拒绝。</w:t>
      </w:r>
    </w:p>
    <w:p w14:paraId="33525563">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五、响应文件的提交、撤回和修改</w:t>
      </w:r>
    </w:p>
    <w:p w14:paraId="0C5A4DA5">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20. 响应文件的上传、提交</w:t>
      </w:r>
    </w:p>
    <w:p w14:paraId="7BE27807">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20.1响应供应商应将制作好的加密电子响应文件按要求在响应截止时间前上传到交易系统平台中。</w:t>
      </w:r>
    </w:p>
    <w:p w14:paraId="0A946BF6">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21. 响应截止时间</w:t>
      </w:r>
    </w:p>
    <w:p w14:paraId="059C220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21.1电子响应文件必须按采购公告中规定的网上响应截止时间前提交，否则响应无效。</w:t>
      </w:r>
    </w:p>
    <w:p w14:paraId="13BE83D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21.2采购代理机构推迟响应截止时间时，应以更正公告的形式，通知所有响应供应商。在这种情况下，采购代理机构和响应供应商的权利和义务将受到新的截止期的约束。</w:t>
      </w:r>
    </w:p>
    <w:p w14:paraId="614AAD29">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21.3在响应截止时间止，采购代理机构于本项目（或标段）收到的电子响应文件少于一份的，采购代理机构有权宣布本项目（或标段）采购失败。</w:t>
      </w:r>
    </w:p>
    <w:p w14:paraId="6825BC02">
      <w:pPr>
        <w:widowControl/>
        <w:spacing w:line="440" w:lineRule="exact"/>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22. 响应文件的修改和撤回</w:t>
      </w:r>
    </w:p>
    <w:p w14:paraId="644E522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22.1响应供应商在提交响应文件截止时间前，可对其响应文件进行撤回或修改。</w:t>
      </w:r>
    </w:p>
    <w:p w14:paraId="1AD7CB5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23.2开标后响应供应商不得撤回响应。</w:t>
      </w:r>
    </w:p>
    <w:p w14:paraId="36DD29A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b/>
          <w:kern w:val="0"/>
          <w:sz w:val="24"/>
          <w:szCs w:val="24"/>
          <w:highlight w:val="none"/>
        </w:rPr>
        <w:t>六、响应和评审</w:t>
      </w:r>
    </w:p>
    <w:p w14:paraId="2F8E39E5">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b/>
          <w:kern w:val="0"/>
          <w:sz w:val="24"/>
          <w:szCs w:val="24"/>
          <w:highlight w:val="none"/>
        </w:rPr>
        <w:t>23. 单一来源采购仪式</w:t>
      </w:r>
    </w:p>
    <w:p w14:paraId="715821AC">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23.1采购代理机构按采购公告规定的时间、地点主持不见面采购活动。采购仪式由采购代理机构、采购人等主持。</w:t>
      </w:r>
    </w:p>
    <w:p w14:paraId="65C4A68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23.2</w:t>
      </w:r>
      <w:r>
        <w:rPr>
          <w:rFonts w:hint="eastAsia" w:ascii="宋体" w:hAnsi="宋体" w:eastAsia="宋体" w:cs="宋体"/>
          <w:b/>
          <w:kern w:val="0"/>
          <w:sz w:val="24"/>
          <w:szCs w:val="24"/>
          <w:highlight w:val="none"/>
        </w:rPr>
        <w:t>参加采购活动的响应法定代表人或授权代理人须在项目开始前登录苏采云不见面开标系统，进入网上不见面开标大厅，做好相关准备工作。</w:t>
      </w:r>
    </w:p>
    <w:p w14:paraId="50A3A8E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23.3单一来源采购</w:t>
      </w:r>
      <w:r>
        <w:rPr>
          <w:rFonts w:hint="eastAsia" w:ascii="宋体" w:hAnsi="宋体" w:eastAsia="Arial" w:cs="Times New Roman"/>
          <w:kern w:val="0"/>
          <w:sz w:val="24"/>
          <w:szCs w:val="24"/>
          <w:highlight w:val="none"/>
        </w:rPr>
        <w:t>活动开始后，按照采购流程，响应供应商在规定的解密时间内解密响应文件，</w:t>
      </w:r>
      <w:r>
        <w:rPr>
          <w:rFonts w:hint="eastAsia" w:ascii="宋体" w:hAnsi="宋体" w:eastAsia="Arial" w:cs="Times New Roman"/>
          <w:b/>
          <w:kern w:val="0"/>
          <w:sz w:val="24"/>
          <w:szCs w:val="24"/>
          <w:highlight w:val="none"/>
        </w:rPr>
        <w:t>解密时间为15分钟，</w:t>
      </w:r>
      <w:r>
        <w:rPr>
          <w:rFonts w:hint="eastAsia" w:ascii="宋体" w:hAnsi="宋体" w:eastAsia="Arial" w:cs="Times New Roman"/>
          <w:kern w:val="0"/>
          <w:sz w:val="24"/>
          <w:szCs w:val="24"/>
          <w:highlight w:val="none"/>
        </w:rPr>
        <w:t>因自身原因导致解密失败的，由响应供应商自行承担向相关责任。</w:t>
      </w:r>
    </w:p>
    <w:p w14:paraId="73D99E4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23.4响应人代表对采购仪式过程和记录有疑义，以及认为采购人、采购代理机构相关工作人员有需要回避的情形的，</w:t>
      </w:r>
      <w:r>
        <w:rPr>
          <w:rFonts w:hint="eastAsia" w:ascii="宋体" w:hAnsi="宋体" w:eastAsia="宋体" w:cs="宋体"/>
          <w:b/>
          <w:kern w:val="0"/>
          <w:sz w:val="24"/>
          <w:szCs w:val="24"/>
          <w:highlight w:val="none"/>
        </w:rPr>
        <w:t>应通过不见面开标大厅提出</w:t>
      </w:r>
      <w:r>
        <w:rPr>
          <w:rFonts w:hint="eastAsia" w:ascii="宋体" w:hAnsi="宋体" w:eastAsia="宋体" w:cs="宋体"/>
          <w:kern w:val="0"/>
          <w:sz w:val="24"/>
          <w:szCs w:val="24"/>
          <w:highlight w:val="none"/>
        </w:rPr>
        <w:t>询问或者回避申请。采购人、采购代理机构对响应人代表提出的询问或者回避申请应当及时处理。</w:t>
      </w:r>
    </w:p>
    <w:p w14:paraId="3F93D2B9">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b/>
          <w:kern w:val="0"/>
          <w:sz w:val="24"/>
          <w:szCs w:val="24"/>
          <w:highlight w:val="none"/>
        </w:rPr>
        <w:t>24. 评审小组</w:t>
      </w:r>
    </w:p>
    <w:p w14:paraId="726DE5D2">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hint="eastAsia" w:ascii="宋体" w:hAnsi="宋体" w:eastAsia="宋体" w:cs="宋体"/>
          <w:kern w:val="0"/>
          <w:sz w:val="24"/>
          <w:szCs w:val="24"/>
          <w:highlight w:val="none"/>
        </w:rPr>
        <w:t>24.1评审小组由采购人或委托采购代理机构依法组建，负责本项目</w:t>
      </w:r>
      <w:r>
        <w:rPr>
          <w:rFonts w:ascii="宋体" w:hAnsi="宋体" w:eastAsia="宋体" w:cs="宋体"/>
          <w:kern w:val="0"/>
          <w:sz w:val="24"/>
          <w:szCs w:val="24"/>
          <w:highlight w:val="none"/>
        </w:rPr>
        <w:t>的评审事务。</w:t>
      </w:r>
    </w:p>
    <w:p w14:paraId="426E0564">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24.2评审小组独立履行下列职责：</w:t>
      </w:r>
    </w:p>
    <w:p w14:paraId="7F9A09E1">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24.2.1审查响应文件是否符合</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的要求，并作出评价；</w:t>
      </w:r>
    </w:p>
    <w:p w14:paraId="34F98406">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24.2.2可以要求响应供应商对响应文件有关事项作出解释或澄清；</w:t>
      </w:r>
    </w:p>
    <w:p w14:paraId="26D822DC">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24.2.3推荐成交候选供应商名单，或者受采购人委托按照事先确定的办法直接确定</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w:t>
      </w:r>
    </w:p>
    <w:p w14:paraId="20CFDCFA">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24.2.4向采购代理机构或者有关部门报告非法干预评审工作的行为；</w:t>
      </w:r>
    </w:p>
    <w:p w14:paraId="0231E146">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24.3评审小组成员应当履行下列义务：</w:t>
      </w:r>
    </w:p>
    <w:p w14:paraId="20927DED">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24.3.1遵纪守法，客观、公正、廉洁地履行职责；</w:t>
      </w:r>
    </w:p>
    <w:p w14:paraId="0FDF9E6B">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24.3.2按照</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规定的评审办法和评审标准进行评审，对评审意见承担个人责任；</w:t>
      </w:r>
    </w:p>
    <w:p w14:paraId="3CB12752">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24.3.3对评审过程和结果，以及响应人的商业秘密保密；</w:t>
      </w:r>
    </w:p>
    <w:p w14:paraId="0A4074FA">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24.3.4参与评审报告的起草；</w:t>
      </w:r>
    </w:p>
    <w:p w14:paraId="27AC7317">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24.3.5配合采购代理机构答复响应供应商提出的质疑；</w:t>
      </w:r>
    </w:p>
    <w:p w14:paraId="2A58FCCA">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24.3.6配合相关部门的投诉处理工作；</w:t>
      </w:r>
    </w:p>
    <w:p w14:paraId="24F2100A">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b/>
          <w:kern w:val="0"/>
          <w:sz w:val="24"/>
          <w:szCs w:val="24"/>
          <w:highlight w:val="none"/>
        </w:rPr>
        <w:t>25. 评审内容的保密</w:t>
      </w:r>
    </w:p>
    <w:p w14:paraId="5B76F419">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25.1公开开标后，直到宣布授予</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合同为止，凡属于审查、澄清、评价和比较响应的所有资料，有关授予合同的信息都不应向响应人或与评审无关的其他人泄露。</w:t>
      </w:r>
    </w:p>
    <w:p w14:paraId="63FC2B4F">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25.2 在响应文件的审查、澄清、评价和比较以及授予合同的过程中，响应人对采购代理机构和评审小组成员施加影响的任何行为，都将取消其响应资格。</w:t>
      </w:r>
    </w:p>
    <w:p w14:paraId="10146B0C">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25.3在评审期间，采购代理机构将通过指定联络人与响应人进行联系。</w:t>
      </w:r>
    </w:p>
    <w:p w14:paraId="4038E8F7">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b/>
          <w:kern w:val="0"/>
          <w:sz w:val="24"/>
          <w:szCs w:val="24"/>
          <w:highlight w:val="none"/>
        </w:rPr>
        <w:t>26.对</w:t>
      </w:r>
      <w:r>
        <w:rPr>
          <w:rFonts w:hint="eastAsia" w:ascii="宋体" w:hAnsi="宋体" w:eastAsia="宋体" w:cs="宋体"/>
          <w:b/>
          <w:kern w:val="0"/>
          <w:sz w:val="24"/>
          <w:szCs w:val="24"/>
          <w:highlight w:val="none"/>
        </w:rPr>
        <w:t>响应文件</w:t>
      </w:r>
      <w:r>
        <w:rPr>
          <w:rFonts w:ascii="宋体" w:hAnsi="宋体" w:eastAsia="宋体" w:cs="宋体"/>
          <w:b/>
          <w:kern w:val="0"/>
          <w:sz w:val="24"/>
          <w:szCs w:val="24"/>
          <w:highlight w:val="none"/>
        </w:rPr>
        <w:t>初审</w:t>
      </w:r>
    </w:p>
    <w:p w14:paraId="25B2426A">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26.1</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初审分为资格性检查和符合性检查。</w:t>
      </w:r>
    </w:p>
    <w:p w14:paraId="23F5AE05">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26.1.1资格性检查。依据法律法规和</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的规定，采购人或者采购代理机构依法对响应人的资格进行审查。对</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中的资格证明等进行审查，以确定响应供应商是否具备响应资格。</w:t>
      </w:r>
    </w:p>
    <w:p w14:paraId="533F6276">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26.1.2 关于信用记录查询：</w:t>
      </w:r>
    </w:p>
    <w:p w14:paraId="4C6F77B5">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p>
    <w:p w14:paraId="6FC9E149">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26.1.2.1查询时间：评审开始前</w:t>
      </w:r>
    </w:p>
    <w:p w14:paraId="38C810FE">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26.1.2.2查询渠道：通过“信用中国”网站、中国政府采购网等渠道查询相关主体信用记录。</w:t>
      </w:r>
    </w:p>
    <w:p w14:paraId="0350DDD5">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p>
    <w:p w14:paraId="3FC5D7D0">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26.1.2.4信用记录使用规则：评审小组在对供应商进行资格性审查时，应根据查询结果对供应商的不良信用记录逐项甄别确认。</w:t>
      </w:r>
    </w:p>
    <w:p w14:paraId="0F4524DD">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26.1.3符合性检查。依据</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的规定，从</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的有效性、完整性和对</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的响应程度进行审查，以确定是否对</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的实质性要求作出响应。</w:t>
      </w:r>
    </w:p>
    <w:p w14:paraId="53276C62">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26.2开标后，评审小组将审查</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是否实质性响应</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的要求、内容是否完整、价格构成有无计算错误、文件签署是否齐全等。</w:t>
      </w:r>
    </w:p>
    <w:p w14:paraId="59E9D47D">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26.3在详细评审之前，评审小组将首先审查每份响应书是否实质响应了</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的要求。实质上的响应应该是与</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的全部条款、条件和规格相符，没有重大偏离或保留。所谓重大偏离或保留是指影响合同的供货范围、质量和性能等；或者在实质上与</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不一致〔如货物和服务的质量、数量明显不能满足</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的要求〕，而且限制了合同中买方的权利或响应单位的义务。这些偏离或保留将会对其他实质上响应要求的响应单位的竞争地位产生不公正的影响。</w:t>
      </w:r>
    </w:p>
    <w:p w14:paraId="1BF950A5">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26.4</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提供的工艺、材料、设备、参考的商标或样本目录号码等仅作为说明并没有限制性，响应供应商在响应中可以选用替代标准，但这些替代标准要优于或相当于技术规格中要求的标准，以满足采购单位的需要。</w:t>
      </w:r>
    </w:p>
    <w:p w14:paraId="23F3D92F">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26.5评审小组将允许修改响应中不构成重大偏离的微小的、非正规、不一致或不规则的地方，但这些修改不能影响任何响应单位的名次相应排列。响应单位不得对</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进行实质性修改，否则</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将被拒绝。</w:t>
      </w:r>
    </w:p>
    <w:p w14:paraId="19FED676">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26.6评审小组将对确定为实质性响应的响应进行审核，看其是否有计算上或累加上的算术错误，修正错误的原则如下：</w:t>
      </w:r>
    </w:p>
    <w:p w14:paraId="3B23ED13">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26.6.1</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中开标一览表（报价表）内容与</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中相应内容不一致的，以开标一览表（报价表）为准；</w:t>
      </w:r>
    </w:p>
    <w:p w14:paraId="3385C8D9">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26.6.2大写金额和小写金额不一致的，以大写金额为准；</w:t>
      </w:r>
    </w:p>
    <w:p w14:paraId="0939E7E8">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26.6.3单价金额小数点或者百分比有明显错位的，以开标一览表的总价为准，并修改单价；</w:t>
      </w:r>
    </w:p>
    <w:p w14:paraId="7BA249CC">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26.6.4总价金额与按单价汇总金额不一致的，以单价金额计算结果为准。</w:t>
      </w:r>
    </w:p>
    <w:p w14:paraId="167113F0">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同时出现两种以上不一致的，按照前款规定的顺序修正。修正后的报价按照本须知26.6条规定经响应人确认后产生约束力，响应人不确认的，其响应无效。</w:t>
      </w:r>
    </w:p>
    <w:p w14:paraId="7C67BB0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w:t>
      </w:r>
      <w:r>
        <w:rPr>
          <w:rFonts w:ascii="宋体" w:hAnsi="宋体" w:eastAsia="宋体" w:cs="宋体"/>
          <w:kern w:val="0"/>
          <w:sz w:val="24"/>
          <w:szCs w:val="24"/>
          <w:highlight w:val="none"/>
        </w:rPr>
        <w:t>.</w:t>
      </w:r>
      <w:r>
        <w:rPr>
          <w:rFonts w:hint="eastAsia" w:ascii="宋体" w:hAnsi="宋体" w:eastAsia="宋体" w:cs="宋体"/>
          <w:kern w:val="0"/>
          <w:sz w:val="24"/>
          <w:szCs w:val="24"/>
          <w:highlight w:val="none"/>
        </w:rPr>
        <w:t>7评标委员会认为投标人的报价明显低于其他通过符合性审查投标人的报价，有可能影响产品质量或者不能诚信履约的，根据财政部《关于推动解决政府采购异常低价问题的通知》（财库〔</w:t>
      </w:r>
      <w:r>
        <w:rPr>
          <w:rFonts w:ascii="宋体" w:hAnsi="宋体" w:eastAsia="宋体" w:cs="宋体"/>
          <w:kern w:val="0"/>
          <w:sz w:val="24"/>
          <w:szCs w:val="24"/>
          <w:highlight w:val="none"/>
        </w:rPr>
        <w:t>2026</w:t>
      </w:r>
      <w:r>
        <w:rPr>
          <w:rFonts w:hint="eastAsia" w:ascii="宋体" w:hAnsi="宋体" w:eastAsia="宋体" w:cs="宋体"/>
          <w:kern w:val="0"/>
          <w:sz w:val="24"/>
          <w:szCs w:val="24"/>
          <w:highlight w:val="none"/>
        </w:rPr>
        <w:t>〕2号），应当要求其在不见面开标大厅内合理的时间内提供说明，必要时提交相关证明材料：投标人不能证明其报价合理性的，评标委员会应当将其作为无效投标处理。</w:t>
      </w:r>
    </w:p>
    <w:p w14:paraId="59AAC51C">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异常低价投标（响应）审查的情形和具体要求如下：</w:t>
      </w:r>
    </w:p>
    <w:p w14:paraId="50B2DB9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w:t>
      </w:r>
      <w:r>
        <w:rPr>
          <w:rFonts w:ascii="宋体" w:hAnsi="宋体" w:eastAsia="宋体" w:cs="宋体"/>
          <w:kern w:val="0"/>
          <w:sz w:val="24"/>
          <w:szCs w:val="24"/>
          <w:highlight w:val="none"/>
        </w:rPr>
        <w:t>.</w:t>
      </w:r>
      <w:r>
        <w:rPr>
          <w:rFonts w:hint="eastAsia" w:ascii="宋体" w:hAnsi="宋体" w:eastAsia="宋体" w:cs="宋体"/>
          <w:kern w:val="0"/>
          <w:sz w:val="24"/>
          <w:szCs w:val="24"/>
          <w:highlight w:val="none"/>
        </w:rPr>
        <w:t>7.1</w:t>
      </w:r>
      <w:r>
        <w:rPr>
          <w:rFonts w:ascii="宋体" w:hAnsi="宋体" w:eastAsia="宋体" w:cs="宋体"/>
          <w:kern w:val="0"/>
          <w:sz w:val="24"/>
          <w:szCs w:val="24"/>
          <w:highlight w:val="none"/>
        </w:rPr>
        <w:t xml:space="preserve"> </w:t>
      </w:r>
      <w:r>
        <w:rPr>
          <w:rFonts w:hint="eastAsia" w:ascii="宋体" w:hAnsi="宋体" w:eastAsia="宋体" w:cs="宋体"/>
          <w:kern w:val="0"/>
          <w:sz w:val="24"/>
          <w:szCs w:val="24"/>
          <w:highlight w:val="none"/>
        </w:rPr>
        <w:t>投标（响应）报价低于全部通过符合性审查供应商投标（响应）报价平均值</w:t>
      </w:r>
      <w:r>
        <w:rPr>
          <w:rFonts w:ascii="宋体" w:hAnsi="宋体" w:eastAsia="宋体" w:cs="宋体"/>
          <w:kern w:val="0"/>
          <w:sz w:val="24"/>
          <w:szCs w:val="24"/>
          <w:highlight w:val="none"/>
        </w:rPr>
        <w:t>50%</w:t>
      </w:r>
      <w:r>
        <w:rPr>
          <w:rFonts w:hint="eastAsia" w:ascii="宋体" w:hAnsi="宋体" w:eastAsia="宋体" w:cs="宋体"/>
          <w:kern w:val="0"/>
          <w:sz w:val="24"/>
          <w:szCs w:val="24"/>
          <w:highlight w:val="none"/>
        </w:rPr>
        <w:t>的，即投标（响应）报价</w:t>
      </w:r>
      <w:r>
        <w:rPr>
          <w:rFonts w:ascii="宋体" w:hAnsi="宋体" w:eastAsia="宋体" w:cs="宋体"/>
          <w:kern w:val="0"/>
          <w:sz w:val="24"/>
          <w:szCs w:val="24"/>
          <w:highlight w:val="none"/>
        </w:rPr>
        <w:t>&lt;</w:t>
      </w:r>
      <w:r>
        <w:rPr>
          <w:rFonts w:hint="eastAsia" w:ascii="宋体" w:hAnsi="宋体" w:eastAsia="宋体" w:cs="宋体"/>
          <w:kern w:val="0"/>
          <w:sz w:val="24"/>
          <w:szCs w:val="24"/>
          <w:highlight w:val="none"/>
        </w:rPr>
        <w:t>全部通过符合性审查供应商投标（响应）报价平均值</w:t>
      </w:r>
      <w:r>
        <w:rPr>
          <w:rFonts w:ascii="宋体" w:hAnsi="宋体" w:eastAsia="宋体" w:cs="宋体"/>
          <w:kern w:val="0"/>
          <w:sz w:val="24"/>
          <w:szCs w:val="24"/>
          <w:highlight w:val="none"/>
        </w:rPr>
        <w:t>×50%</w:t>
      </w:r>
      <w:r>
        <w:rPr>
          <w:rFonts w:hint="eastAsia" w:ascii="宋体" w:hAnsi="宋体" w:eastAsia="宋体" w:cs="宋体"/>
          <w:kern w:val="0"/>
          <w:sz w:val="24"/>
          <w:szCs w:val="24"/>
          <w:highlight w:val="none"/>
        </w:rPr>
        <w:t>；</w:t>
      </w:r>
    </w:p>
    <w:p w14:paraId="08167A4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w:t>
      </w:r>
      <w:r>
        <w:rPr>
          <w:rFonts w:ascii="宋体" w:hAnsi="宋体" w:eastAsia="宋体" w:cs="宋体"/>
          <w:kern w:val="0"/>
          <w:sz w:val="24"/>
          <w:szCs w:val="24"/>
          <w:highlight w:val="none"/>
        </w:rPr>
        <w:t>.</w:t>
      </w:r>
      <w:r>
        <w:rPr>
          <w:rFonts w:hint="eastAsia" w:ascii="宋体" w:hAnsi="宋体" w:eastAsia="宋体" w:cs="宋体"/>
          <w:kern w:val="0"/>
          <w:sz w:val="24"/>
          <w:szCs w:val="24"/>
          <w:highlight w:val="none"/>
        </w:rPr>
        <w:t>7</w:t>
      </w:r>
      <w:r>
        <w:rPr>
          <w:rFonts w:ascii="宋体" w:hAnsi="宋体" w:eastAsia="宋体" w:cs="宋体"/>
          <w:kern w:val="0"/>
          <w:sz w:val="24"/>
          <w:szCs w:val="24"/>
          <w:highlight w:val="none"/>
        </w:rPr>
        <w:t xml:space="preserve">.2 </w:t>
      </w:r>
      <w:r>
        <w:rPr>
          <w:rFonts w:hint="eastAsia" w:ascii="宋体" w:hAnsi="宋体" w:eastAsia="宋体" w:cs="宋体"/>
          <w:kern w:val="0"/>
          <w:sz w:val="24"/>
          <w:szCs w:val="24"/>
          <w:highlight w:val="none"/>
        </w:rPr>
        <w:t>投标（响应）报价低于通过符合性审查的次低报价供应商投标（响应）报价</w:t>
      </w:r>
      <w:r>
        <w:rPr>
          <w:rFonts w:ascii="宋体" w:hAnsi="宋体" w:eastAsia="宋体" w:cs="宋体"/>
          <w:kern w:val="0"/>
          <w:sz w:val="24"/>
          <w:szCs w:val="24"/>
          <w:highlight w:val="none"/>
        </w:rPr>
        <w:t>50%</w:t>
      </w:r>
      <w:r>
        <w:rPr>
          <w:rFonts w:hint="eastAsia" w:ascii="宋体" w:hAnsi="宋体" w:eastAsia="宋体" w:cs="宋体"/>
          <w:kern w:val="0"/>
          <w:sz w:val="24"/>
          <w:szCs w:val="24"/>
          <w:highlight w:val="none"/>
        </w:rPr>
        <w:t>的，即投标（响应）报价</w:t>
      </w:r>
      <w:r>
        <w:rPr>
          <w:rFonts w:ascii="宋体" w:hAnsi="宋体" w:eastAsia="宋体" w:cs="宋体"/>
          <w:kern w:val="0"/>
          <w:sz w:val="24"/>
          <w:szCs w:val="24"/>
          <w:highlight w:val="none"/>
        </w:rPr>
        <w:t>&lt;</w:t>
      </w:r>
      <w:r>
        <w:rPr>
          <w:rFonts w:hint="eastAsia" w:ascii="宋体" w:hAnsi="宋体" w:eastAsia="宋体" w:cs="宋体"/>
          <w:kern w:val="0"/>
          <w:sz w:val="24"/>
          <w:szCs w:val="24"/>
          <w:highlight w:val="none"/>
        </w:rPr>
        <w:t>通过符合性审查的次低报价供应商投标（响应）报价</w:t>
      </w:r>
      <w:r>
        <w:rPr>
          <w:rFonts w:ascii="宋体" w:hAnsi="宋体" w:eastAsia="宋体" w:cs="宋体"/>
          <w:kern w:val="0"/>
          <w:sz w:val="24"/>
          <w:szCs w:val="24"/>
          <w:highlight w:val="none"/>
        </w:rPr>
        <w:t>×50%</w:t>
      </w:r>
      <w:r>
        <w:rPr>
          <w:rFonts w:hint="eastAsia" w:ascii="宋体" w:hAnsi="宋体" w:eastAsia="宋体" w:cs="宋体"/>
          <w:kern w:val="0"/>
          <w:sz w:val="24"/>
          <w:szCs w:val="24"/>
          <w:highlight w:val="none"/>
        </w:rPr>
        <w:t>；</w:t>
      </w:r>
    </w:p>
    <w:p w14:paraId="2C599C26">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w:t>
      </w:r>
      <w:r>
        <w:rPr>
          <w:rFonts w:ascii="宋体" w:hAnsi="宋体" w:eastAsia="宋体" w:cs="宋体"/>
          <w:kern w:val="0"/>
          <w:sz w:val="24"/>
          <w:szCs w:val="24"/>
          <w:highlight w:val="none"/>
        </w:rPr>
        <w:t>.</w:t>
      </w:r>
      <w:r>
        <w:rPr>
          <w:rFonts w:hint="eastAsia" w:ascii="宋体" w:hAnsi="宋体" w:eastAsia="宋体" w:cs="宋体"/>
          <w:kern w:val="0"/>
          <w:sz w:val="24"/>
          <w:szCs w:val="24"/>
          <w:highlight w:val="none"/>
        </w:rPr>
        <w:t>7</w:t>
      </w:r>
      <w:r>
        <w:rPr>
          <w:rFonts w:ascii="宋体" w:hAnsi="宋体" w:eastAsia="宋体" w:cs="宋体"/>
          <w:kern w:val="0"/>
          <w:sz w:val="24"/>
          <w:szCs w:val="24"/>
          <w:highlight w:val="none"/>
        </w:rPr>
        <w:t xml:space="preserve">.3 </w:t>
      </w:r>
      <w:r>
        <w:rPr>
          <w:rFonts w:hint="eastAsia" w:ascii="宋体" w:hAnsi="宋体" w:eastAsia="宋体" w:cs="宋体"/>
          <w:kern w:val="0"/>
          <w:sz w:val="24"/>
          <w:szCs w:val="24"/>
          <w:highlight w:val="none"/>
        </w:rPr>
        <w:t>投标（响应）报价低于采购项目最高限价</w:t>
      </w:r>
      <w:r>
        <w:rPr>
          <w:rFonts w:ascii="宋体" w:hAnsi="宋体" w:eastAsia="宋体" w:cs="宋体"/>
          <w:kern w:val="0"/>
          <w:sz w:val="24"/>
          <w:szCs w:val="24"/>
          <w:highlight w:val="none"/>
        </w:rPr>
        <w:t>45%</w:t>
      </w:r>
      <w:r>
        <w:rPr>
          <w:rFonts w:hint="eastAsia" w:ascii="宋体" w:hAnsi="宋体" w:eastAsia="宋体" w:cs="宋体"/>
          <w:kern w:val="0"/>
          <w:sz w:val="24"/>
          <w:szCs w:val="24"/>
          <w:highlight w:val="none"/>
        </w:rPr>
        <w:t>的，即投标（响应）报价</w:t>
      </w:r>
      <w:r>
        <w:rPr>
          <w:rFonts w:ascii="宋体" w:hAnsi="宋体" w:eastAsia="宋体" w:cs="宋体"/>
          <w:kern w:val="0"/>
          <w:sz w:val="24"/>
          <w:szCs w:val="24"/>
          <w:highlight w:val="none"/>
        </w:rPr>
        <w:t>&lt;</w:t>
      </w:r>
      <w:r>
        <w:rPr>
          <w:rFonts w:hint="eastAsia" w:ascii="宋体" w:hAnsi="宋体" w:eastAsia="宋体" w:cs="宋体"/>
          <w:kern w:val="0"/>
          <w:sz w:val="24"/>
          <w:szCs w:val="24"/>
          <w:highlight w:val="none"/>
        </w:rPr>
        <w:t>采购项目最高限价</w:t>
      </w:r>
      <w:r>
        <w:rPr>
          <w:rFonts w:ascii="宋体" w:hAnsi="宋体" w:eastAsia="宋体" w:cs="宋体"/>
          <w:kern w:val="0"/>
          <w:sz w:val="24"/>
          <w:szCs w:val="24"/>
          <w:highlight w:val="none"/>
        </w:rPr>
        <w:t>×45%</w:t>
      </w:r>
      <w:r>
        <w:rPr>
          <w:rFonts w:hint="eastAsia" w:ascii="宋体" w:hAnsi="宋体" w:eastAsia="宋体" w:cs="宋体"/>
          <w:kern w:val="0"/>
          <w:sz w:val="24"/>
          <w:szCs w:val="24"/>
          <w:highlight w:val="none"/>
        </w:rPr>
        <w:t>；</w:t>
      </w:r>
    </w:p>
    <w:p w14:paraId="2A8C9A66">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w:t>
      </w:r>
      <w:r>
        <w:rPr>
          <w:rFonts w:ascii="宋体" w:hAnsi="宋体" w:eastAsia="宋体" w:cs="宋体"/>
          <w:kern w:val="0"/>
          <w:sz w:val="24"/>
          <w:szCs w:val="24"/>
          <w:highlight w:val="none"/>
        </w:rPr>
        <w:t>.</w:t>
      </w:r>
      <w:r>
        <w:rPr>
          <w:rFonts w:hint="eastAsia" w:ascii="宋体" w:hAnsi="宋体" w:eastAsia="宋体" w:cs="宋体"/>
          <w:kern w:val="0"/>
          <w:sz w:val="24"/>
          <w:szCs w:val="24"/>
          <w:highlight w:val="none"/>
        </w:rPr>
        <w:t>7</w:t>
      </w:r>
      <w:r>
        <w:rPr>
          <w:rFonts w:ascii="宋体" w:hAnsi="宋体" w:eastAsia="宋体" w:cs="宋体"/>
          <w:kern w:val="0"/>
          <w:sz w:val="24"/>
          <w:szCs w:val="24"/>
          <w:highlight w:val="none"/>
        </w:rPr>
        <w:t xml:space="preserve">.4 </w:t>
      </w:r>
      <w:r>
        <w:rPr>
          <w:rFonts w:hint="eastAsia" w:ascii="宋体" w:hAnsi="宋体" w:eastAsia="宋体" w:cs="宋体"/>
          <w:kern w:val="0"/>
          <w:sz w:val="24"/>
          <w:szCs w:val="24"/>
          <w:highlight w:val="none"/>
        </w:rPr>
        <w:t>评审委员会基于专业判断，认为供应商报价过低，有可能影响产品质量或者不能诚信履约的其他情形。</w:t>
      </w:r>
    </w:p>
    <w:p w14:paraId="5077BFC0">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26.8</w:t>
      </w:r>
      <w:r>
        <w:rPr>
          <w:rFonts w:ascii="宋体" w:hAnsi="宋体" w:eastAsia="宋体" w:cs="宋体"/>
          <w:kern w:val="0"/>
          <w:sz w:val="24"/>
          <w:szCs w:val="24"/>
          <w:highlight w:val="none"/>
        </w:rPr>
        <w:t xml:space="preserve"> </w:t>
      </w:r>
      <w:r>
        <w:rPr>
          <w:rFonts w:hint="eastAsia" w:ascii="宋体" w:hAnsi="宋体" w:eastAsia="宋体" w:cs="宋体"/>
          <w:kern w:val="0"/>
          <w:sz w:val="24"/>
          <w:szCs w:val="24"/>
          <w:highlight w:val="none"/>
        </w:rPr>
        <w:t>评审委员会启动异常低价投标（响应）审查后，属于前述第</w:t>
      </w:r>
      <w:r>
        <w:rPr>
          <w:rFonts w:ascii="宋体" w:hAnsi="宋体" w:eastAsia="宋体" w:cs="宋体"/>
          <w:kern w:val="0"/>
          <w:sz w:val="24"/>
          <w:szCs w:val="24"/>
          <w:highlight w:val="none"/>
        </w:rPr>
        <w:t>1</w:t>
      </w:r>
      <w:r>
        <w:rPr>
          <w:rFonts w:hint="eastAsia" w:ascii="宋体" w:hAnsi="宋体" w:eastAsia="宋体" w:cs="宋体"/>
          <w:kern w:val="0"/>
          <w:sz w:val="24"/>
          <w:szCs w:val="24"/>
          <w:highlight w:val="none"/>
        </w:rPr>
        <w:t>项至第</w:t>
      </w:r>
      <w:r>
        <w:rPr>
          <w:rFonts w:ascii="宋体" w:hAnsi="宋体" w:eastAsia="宋体" w:cs="宋体"/>
          <w:kern w:val="0"/>
          <w:sz w:val="24"/>
          <w:szCs w:val="24"/>
          <w:highlight w:val="none"/>
        </w:rPr>
        <w:t>4</w:t>
      </w:r>
      <w:r>
        <w:rPr>
          <w:rFonts w:hint="eastAsia" w:ascii="宋体" w:hAnsi="宋体" w:eastAsia="宋体" w:cs="宋体"/>
          <w:kern w:val="0"/>
          <w:sz w:val="24"/>
          <w:szCs w:val="24"/>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eastAsia="宋体" w:cs="宋体"/>
          <w:kern w:val="0"/>
          <w:sz w:val="24"/>
          <w:szCs w:val="24"/>
          <w:highlight w:val="none"/>
        </w:rPr>
        <w:t>30</w:t>
      </w:r>
      <w:r>
        <w:rPr>
          <w:rFonts w:hint="eastAsia" w:ascii="宋体" w:hAnsi="宋体" w:eastAsia="宋体" w:cs="宋体"/>
          <w:kern w:val="0"/>
          <w:sz w:val="24"/>
          <w:szCs w:val="24"/>
          <w:highlight w:val="none"/>
        </w:rPr>
        <w:t>分钟。其中，属于第</w:t>
      </w:r>
      <w:r>
        <w:rPr>
          <w:rFonts w:ascii="宋体" w:hAnsi="宋体" w:eastAsia="宋体" w:cs="宋体"/>
          <w:kern w:val="0"/>
          <w:sz w:val="24"/>
          <w:szCs w:val="24"/>
          <w:highlight w:val="none"/>
        </w:rPr>
        <w:t>3</w:t>
      </w:r>
      <w:r>
        <w:rPr>
          <w:rFonts w:hint="eastAsia" w:ascii="宋体" w:hAnsi="宋体" w:eastAsia="宋体" w:cs="宋体"/>
          <w:kern w:val="0"/>
          <w:sz w:val="24"/>
          <w:szCs w:val="24"/>
          <w:highlight w:val="none"/>
        </w:rPr>
        <w:t>项情形，供应商已随投标（响应）文件一并提交相关书面说明及必要的证明材料的，在评审现场可不再重复提交。</w:t>
      </w:r>
      <w:r>
        <w:rPr>
          <w:rFonts w:ascii="宋体" w:hAnsi="宋体" w:eastAsia="宋体" w:cs="宋体"/>
          <w:kern w:val="0"/>
          <w:sz w:val="24"/>
          <w:szCs w:val="24"/>
          <w:highlight w:val="none"/>
        </w:rPr>
        <w:br w:type="textWrapping"/>
      </w:r>
      <w:r>
        <w:rPr>
          <w:rFonts w:hint="eastAsia" w:ascii="宋体" w:hAnsi="宋体" w:eastAsia="宋体" w:cs="宋体"/>
          <w:kern w:val="0"/>
          <w:sz w:val="24"/>
          <w:szCs w:val="24"/>
          <w:highlight w:val="none"/>
        </w:rPr>
        <w:t>26.</w:t>
      </w:r>
      <w:r>
        <w:rPr>
          <w:rFonts w:ascii="宋体" w:hAnsi="宋体" w:eastAsia="宋体" w:cs="宋体"/>
          <w:kern w:val="0"/>
          <w:sz w:val="24"/>
          <w:szCs w:val="24"/>
          <w:highlight w:val="none"/>
        </w:rPr>
        <w:t xml:space="preserve">9 </w:t>
      </w:r>
      <w:r>
        <w:rPr>
          <w:rFonts w:hint="eastAsia" w:ascii="宋体" w:hAnsi="宋体" w:eastAsia="宋体" w:cs="宋体"/>
          <w:kern w:val="0"/>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106E556">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26.10评审小组将拒绝被确定为非实质性的响应，响应人不能通过修正或撤销不符之处而使其响应成为实质性的响应。</w:t>
      </w:r>
    </w:p>
    <w:p w14:paraId="3C8978A3">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b/>
          <w:kern w:val="0"/>
          <w:sz w:val="24"/>
          <w:szCs w:val="24"/>
          <w:highlight w:val="none"/>
        </w:rPr>
        <w:t>27.响应的澄清</w:t>
      </w:r>
    </w:p>
    <w:p w14:paraId="0E65B1F3">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27.1在</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中含有不明确、同类问题表述不一致或者有明显文字和计算错误的内容，评审小组应当以书面（或电子件）形式（应当由评审小组专家签字）要求响应人作出必要的澄清、说明或者纠正。响应人的澄清、说明或者补正应当采用书面（或电子件）形式，由其授权的代理人签字，并不得超出</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的范围或者改变</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的实质性内容。</w:t>
      </w:r>
    </w:p>
    <w:p w14:paraId="4F6E84B3">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b/>
          <w:kern w:val="0"/>
          <w:sz w:val="24"/>
          <w:szCs w:val="24"/>
          <w:highlight w:val="none"/>
        </w:rPr>
        <w:t>28.无效响应和废标</w:t>
      </w:r>
    </w:p>
    <w:p w14:paraId="36E9BE0F">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28.1无效响应的具体情形有：  </w:t>
      </w:r>
    </w:p>
    <w:p w14:paraId="54F455F5">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28.1.1响应文件未按采购文件要求签署、盖章或电子签章的；</w:t>
      </w:r>
    </w:p>
    <w:p w14:paraId="27839F2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28.1.2不具备采购文件中规定的资格要求的；</w:t>
      </w:r>
    </w:p>
    <w:p w14:paraId="46A1313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28.1.3报价超过采购文件中规定的预算金额或者最高限价的；</w:t>
      </w:r>
    </w:p>
    <w:p w14:paraId="25C7A27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28.1.4响应文件含有采购人不能接受的附加条件的；</w:t>
      </w:r>
    </w:p>
    <w:p w14:paraId="2CC00D01">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28.1.5法律、法规和采购文件规定的其他无效情形。</w:t>
      </w:r>
    </w:p>
    <w:p w14:paraId="2B41B3D5">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28.2 在采购中，出现下列情形之一的，应予废标：</w:t>
      </w:r>
    </w:p>
    <w:p w14:paraId="592BA23B">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28.2.1出现影响采购公正的违法、违规行为的；</w:t>
      </w:r>
    </w:p>
    <w:p w14:paraId="4B7B0F82">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28.2.2响应供应商的报价均超过了采购预算，采购人不能支付的；</w:t>
      </w:r>
    </w:p>
    <w:p w14:paraId="581B527F">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28.2.3因重大变故，采购任务取消的。</w:t>
      </w:r>
    </w:p>
    <w:p w14:paraId="1A71E83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28.3 废标后，采购人应当将废标理由通知所有响应供应商。</w:t>
      </w:r>
    </w:p>
    <w:p w14:paraId="5FAD17D8">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b/>
          <w:kern w:val="0"/>
          <w:sz w:val="24"/>
          <w:szCs w:val="24"/>
          <w:highlight w:val="none"/>
        </w:rPr>
        <w:t xml:space="preserve">29. </w:t>
      </w:r>
      <w:r>
        <w:rPr>
          <w:rFonts w:hint="eastAsia" w:ascii="宋体" w:hAnsi="宋体" w:eastAsia="宋体" w:cs="宋体"/>
          <w:b/>
          <w:kern w:val="0"/>
          <w:sz w:val="24"/>
          <w:szCs w:val="24"/>
          <w:highlight w:val="none"/>
        </w:rPr>
        <w:t>响应文件</w:t>
      </w:r>
      <w:r>
        <w:rPr>
          <w:rFonts w:ascii="宋体" w:hAnsi="宋体" w:eastAsia="宋体" w:cs="宋体"/>
          <w:b/>
          <w:kern w:val="0"/>
          <w:sz w:val="24"/>
          <w:szCs w:val="24"/>
          <w:highlight w:val="none"/>
        </w:rPr>
        <w:t>的评价和比较</w:t>
      </w:r>
    </w:p>
    <w:p w14:paraId="1E468FAD">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29.1评审小组按</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规定的评审方法和标准，仅对资格性检查和符合性检查合格的</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进行商务和技术评估，综合比较与评价。</w:t>
      </w:r>
    </w:p>
    <w:p w14:paraId="5231FC9F">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29.2评价和比较采用综合评分法，评审小组严格按照</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的要求、条件、评分标准，对响应单位所提供货物和服务的先进性、可靠性、售后服务承诺、质量保证承诺等实质性响应内容进行比较报价，同时考虑以下因素：    </w:t>
      </w:r>
    </w:p>
    <w:p w14:paraId="36A26E4D">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29.2.1服务的质量保证（保障）内容；</w:t>
      </w:r>
    </w:p>
    <w:p w14:paraId="454F2713">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29.2.2服务配备的人员；</w:t>
      </w:r>
    </w:p>
    <w:p w14:paraId="058E7BD8">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29.2.3响应者的资信情况和履约能力；</w:t>
      </w:r>
    </w:p>
    <w:p w14:paraId="4995CC6F">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29.2.4响应者提供的其他优惠条件；</w:t>
      </w:r>
    </w:p>
    <w:p w14:paraId="24DBAEA3">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29.2.5参与本项目政府采购工作的态度及信誉；</w:t>
      </w:r>
    </w:p>
    <w:p w14:paraId="3493A907">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29.2.6最低的响应报价或最高的折扣比例是成交的重要条件，但不是唯一条件。</w:t>
      </w:r>
    </w:p>
    <w:p w14:paraId="4EE27C17">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b/>
          <w:kern w:val="0"/>
          <w:sz w:val="24"/>
          <w:szCs w:val="24"/>
          <w:highlight w:val="none"/>
        </w:rPr>
        <w:t>七、授予合同</w:t>
      </w:r>
    </w:p>
    <w:p w14:paraId="63B45E80">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b/>
          <w:kern w:val="0"/>
          <w:sz w:val="24"/>
          <w:szCs w:val="24"/>
          <w:highlight w:val="none"/>
        </w:rPr>
        <w:t xml:space="preserve">30. </w:t>
      </w:r>
      <w:r>
        <w:rPr>
          <w:rFonts w:hint="eastAsia" w:ascii="宋体" w:hAnsi="宋体" w:eastAsia="宋体" w:cs="宋体"/>
          <w:b/>
          <w:kern w:val="0"/>
          <w:sz w:val="24"/>
          <w:szCs w:val="24"/>
          <w:highlight w:val="none"/>
        </w:rPr>
        <w:t>成交供应商</w:t>
      </w:r>
      <w:r>
        <w:rPr>
          <w:rFonts w:ascii="宋体" w:hAnsi="宋体" w:eastAsia="宋体" w:cs="宋体"/>
          <w:b/>
          <w:kern w:val="0"/>
          <w:sz w:val="24"/>
          <w:szCs w:val="24"/>
          <w:highlight w:val="none"/>
        </w:rPr>
        <w:t>的确认          </w:t>
      </w:r>
    </w:p>
    <w:p w14:paraId="0A333DE1">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30.1评审小组按</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规定的评审方法和标准进行详细评审后，按采购人的委托向采购人推荐成交候选单位或根据采购人授权直接确定</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w:t>
      </w:r>
    </w:p>
    <w:p w14:paraId="6B16C823">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30.2经评审小组评审并确定</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后，采购人或授权采购代理机构将在规定的时间内将成交结果在相关媒体上予以公告。</w:t>
      </w:r>
    </w:p>
    <w:p w14:paraId="58CD5714">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30.3各响应单位如对公告结果有异议，应在成交公告期届满起七个工作日内，以书面形式向采购人或采购代理机构提出质疑，该质疑须按《政府采购质疑和投诉办法》、《江苏省政府采购供应商监督管理暂行办法》的规定提交。采购代理机构将在收到经响应单位法定代表人或参加响应的代理人签署的书面质疑后七个工作日内，对质疑内容作出答复。在此期限后向采购人或采购代理机构提出质疑或质疑未经响应人法定代表人或参加响应的代理人签署和盖公章（原件），采购人或采购代理机构有权对该质疑不予答复。</w:t>
      </w:r>
    </w:p>
    <w:p w14:paraId="65B1A240">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30.4质疑函递交地点及联系方式详见公告内容</w:t>
      </w:r>
    </w:p>
    <w:p w14:paraId="013A1D72">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b/>
          <w:kern w:val="0"/>
          <w:sz w:val="24"/>
          <w:szCs w:val="24"/>
          <w:highlight w:val="none"/>
        </w:rPr>
        <w:t>31. 合同授予标准</w:t>
      </w:r>
    </w:p>
    <w:p w14:paraId="3DB6CD0F">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31.1采购人将把合同授予其</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在实质上响应</w:t>
      </w:r>
      <w:r>
        <w:rPr>
          <w:rFonts w:hint="eastAsia" w:ascii="宋体" w:hAnsi="宋体" w:eastAsia="宋体" w:cs="宋体"/>
          <w:kern w:val="0"/>
          <w:sz w:val="24"/>
          <w:szCs w:val="24"/>
          <w:highlight w:val="none"/>
        </w:rPr>
        <w:t>采购文件</w:t>
      </w:r>
      <w:r>
        <w:rPr>
          <w:rFonts w:ascii="宋体" w:hAnsi="宋体" w:eastAsia="宋体" w:cs="宋体"/>
          <w:kern w:val="0"/>
          <w:sz w:val="24"/>
          <w:szCs w:val="24"/>
          <w:highlight w:val="none"/>
        </w:rPr>
        <w:t>要求和按本须知规定评选出的响应人。确定为成交的响应人必须具有实施本合同的能力和资源。</w:t>
      </w:r>
    </w:p>
    <w:p w14:paraId="52FF244C">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31.2政府采购合同履行中，采购人需追加与合同标的物相同的货物、工程或者服务的，在不改变合同其他条款的前提下，可以与</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签订补充合同，但所有补充合同的采购金额不得超过原合同采购金额的百分之十。</w:t>
      </w:r>
    </w:p>
    <w:p w14:paraId="4FA5FE40">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b/>
          <w:kern w:val="0"/>
          <w:sz w:val="24"/>
          <w:szCs w:val="24"/>
          <w:highlight w:val="none"/>
        </w:rPr>
        <w:t xml:space="preserve">32. </w:t>
      </w:r>
      <w:r>
        <w:rPr>
          <w:rFonts w:hint="eastAsia" w:ascii="宋体" w:hAnsi="宋体" w:eastAsia="宋体" w:cs="宋体"/>
          <w:b/>
          <w:kern w:val="0"/>
          <w:sz w:val="24"/>
          <w:szCs w:val="24"/>
          <w:highlight w:val="none"/>
        </w:rPr>
        <w:t>成交通知书</w:t>
      </w:r>
    </w:p>
    <w:p w14:paraId="36D026F8">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32.1确定出</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后</w:t>
      </w:r>
      <w:r>
        <w:rPr>
          <w:rFonts w:hint="eastAsia" w:ascii="宋体" w:hAnsi="宋体" w:eastAsia="宋体" w:cs="宋体"/>
          <w:kern w:val="0"/>
          <w:sz w:val="24"/>
          <w:szCs w:val="24"/>
          <w:highlight w:val="none"/>
        </w:rPr>
        <w:t>响应文件</w:t>
      </w:r>
      <w:r>
        <w:rPr>
          <w:rFonts w:ascii="宋体" w:hAnsi="宋体" w:eastAsia="宋体" w:cs="宋体"/>
          <w:kern w:val="0"/>
          <w:sz w:val="24"/>
          <w:szCs w:val="24"/>
          <w:highlight w:val="none"/>
        </w:rPr>
        <w:t>有效期截止前，采购代理机构应当向</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发出</w:t>
      </w:r>
      <w:r>
        <w:rPr>
          <w:rFonts w:hint="eastAsia" w:ascii="宋体" w:hAnsi="宋体" w:eastAsia="宋体" w:cs="宋体"/>
          <w:kern w:val="0"/>
          <w:sz w:val="24"/>
          <w:szCs w:val="24"/>
          <w:highlight w:val="none"/>
        </w:rPr>
        <w:t>成交通知书</w:t>
      </w:r>
      <w:r>
        <w:rPr>
          <w:rFonts w:ascii="宋体" w:hAnsi="宋体" w:eastAsia="宋体" w:cs="宋体"/>
          <w:kern w:val="0"/>
          <w:sz w:val="24"/>
          <w:szCs w:val="24"/>
          <w:highlight w:val="none"/>
        </w:rPr>
        <w:t>，</w:t>
      </w:r>
      <w:r>
        <w:rPr>
          <w:rFonts w:hint="eastAsia" w:ascii="宋体" w:hAnsi="宋体" w:eastAsia="宋体" w:cs="宋体"/>
          <w:kern w:val="0"/>
          <w:sz w:val="24"/>
          <w:szCs w:val="24"/>
          <w:highlight w:val="none"/>
        </w:rPr>
        <w:t>成交通知书</w:t>
      </w:r>
      <w:r>
        <w:rPr>
          <w:rFonts w:ascii="宋体" w:hAnsi="宋体" w:eastAsia="宋体" w:cs="宋体"/>
          <w:kern w:val="0"/>
          <w:sz w:val="24"/>
          <w:szCs w:val="24"/>
          <w:highlight w:val="none"/>
        </w:rPr>
        <w:t>对采购人和</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具有同等法律效力。</w:t>
      </w:r>
      <w:r>
        <w:rPr>
          <w:rFonts w:hint="eastAsia" w:ascii="宋体" w:hAnsi="宋体" w:eastAsia="宋体" w:cs="宋体"/>
          <w:kern w:val="0"/>
          <w:sz w:val="24"/>
          <w:szCs w:val="24"/>
          <w:highlight w:val="none"/>
        </w:rPr>
        <w:t>成交通知书</w:t>
      </w:r>
      <w:r>
        <w:rPr>
          <w:rFonts w:ascii="宋体" w:hAnsi="宋体" w:eastAsia="宋体" w:cs="宋体"/>
          <w:kern w:val="0"/>
          <w:sz w:val="24"/>
          <w:szCs w:val="24"/>
          <w:highlight w:val="none"/>
        </w:rPr>
        <w:t>发出后，采购人改变成交结果，或者</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放弃成交，应当承担相应的法律责任。</w:t>
      </w:r>
    </w:p>
    <w:p w14:paraId="2F179293">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b/>
          <w:kern w:val="0"/>
          <w:sz w:val="24"/>
          <w:szCs w:val="24"/>
          <w:highlight w:val="none"/>
        </w:rPr>
        <w:t>32.2</w:t>
      </w:r>
      <w:r>
        <w:rPr>
          <w:rFonts w:hint="eastAsia" w:ascii="宋体" w:hAnsi="宋体" w:eastAsia="宋体" w:cs="宋体"/>
          <w:b/>
          <w:kern w:val="0"/>
          <w:sz w:val="24"/>
          <w:szCs w:val="24"/>
          <w:highlight w:val="none"/>
        </w:rPr>
        <w:t>成交通知书</w:t>
      </w:r>
      <w:r>
        <w:rPr>
          <w:rFonts w:ascii="宋体" w:hAnsi="宋体" w:eastAsia="宋体" w:cs="宋体"/>
          <w:b/>
          <w:kern w:val="0"/>
          <w:sz w:val="24"/>
          <w:szCs w:val="24"/>
          <w:highlight w:val="none"/>
        </w:rPr>
        <w:t>在成交公告发布后将发布在苏采云系统中，</w:t>
      </w:r>
      <w:r>
        <w:rPr>
          <w:rFonts w:hint="eastAsia" w:ascii="宋体" w:hAnsi="宋体" w:eastAsia="宋体" w:cs="宋体"/>
          <w:b/>
          <w:kern w:val="0"/>
          <w:sz w:val="24"/>
          <w:szCs w:val="24"/>
          <w:highlight w:val="none"/>
        </w:rPr>
        <w:t>成交通知书</w:t>
      </w:r>
      <w:r>
        <w:rPr>
          <w:rFonts w:ascii="宋体" w:hAnsi="宋体" w:eastAsia="宋体" w:cs="宋体"/>
          <w:b/>
          <w:kern w:val="0"/>
          <w:sz w:val="24"/>
          <w:szCs w:val="24"/>
          <w:highlight w:val="none"/>
        </w:rPr>
        <w:t>发布之日视为</w:t>
      </w:r>
      <w:r>
        <w:rPr>
          <w:rFonts w:hint="eastAsia" w:ascii="宋体" w:hAnsi="宋体" w:eastAsia="宋体" w:cs="宋体"/>
          <w:b/>
          <w:kern w:val="0"/>
          <w:sz w:val="24"/>
          <w:szCs w:val="24"/>
          <w:highlight w:val="none"/>
        </w:rPr>
        <w:t>成交供应商</w:t>
      </w:r>
      <w:r>
        <w:rPr>
          <w:rFonts w:ascii="宋体" w:hAnsi="宋体" w:eastAsia="宋体" w:cs="宋体"/>
          <w:b/>
          <w:kern w:val="0"/>
          <w:sz w:val="24"/>
          <w:szCs w:val="24"/>
          <w:highlight w:val="none"/>
        </w:rPr>
        <w:t>领取之日，</w:t>
      </w:r>
      <w:r>
        <w:rPr>
          <w:rFonts w:hint="eastAsia" w:ascii="宋体" w:hAnsi="宋体" w:eastAsia="宋体" w:cs="宋体"/>
          <w:b/>
          <w:kern w:val="0"/>
          <w:sz w:val="24"/>
          <w:szCs w:val="24"/>
          <w:highlight w:val="none"/>
        </w:rPr>
        <w:t>成交供应商自</w:t>
      </w:r>
      <w:r>
        <w:rPr>
          <w:rFonts w:ascii="宋体" w:hAnsi="宋体" w:eastAsia="宋体" w:cs="宋体"/>
          <w:b/>
          <w:kern w:val="0"/>
          <w:sz w:val="24"/>
          <w:szCs w:val="24"/>
          <w:highlight w:val="none"/>
        </w:rPr>
        <w:t>领取之日</w:t>
      </w:r>
      <w:r>
        <w:rPr>
          <w:rFonts w:hint="eastAsia" w:ascii="宋体" w:hAnsi="宋体" w:eastAsia="宋体" w:cs="宋体"/>
          <w:b/>
          <w:kern w:val="0"/>
          <w:sz w:val="24"/>
          <w:szCs w:val="24"/>
          <w:highlight w:val="none"/>
        </w:rPr>
        <w:t>起3</w:t>
      </w:r>
      <w:r>
        <w:rPr>
          <w:rFonts w:ascii="宋体" w:hAnsi="宋体" w:eastAsia="宋体" w:cs="宋体"/>
          <w:b/>
          <w:kern w:val="0"/>
          <w:sz w:val="24"/>
          <w:szCs w:val="24"/>
          <w:highlight w:val="none"/>
        </w:rPr>
        <w:t>0日内自行在苏采云系统中下载打印。</w:t>
      </w:r>
    </w:p>
    <w:p w14:paraId="5743A6FF">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sz w:val="24"/>
          <w:highlight w:val="none"/>
        </w:rPr>
      </w:pPr>
      <w:r>
        <w:rPr>
          <w:rFonts w:ascii="宋体" w:hAnsi="宋体" w:eastAsia="宋体" w:cs="宋体"/>
          <w:b/>
          <w:sz w:val="24"/>
          <w:highlight w:val="none"/>
        </w:rPr>
        <w:t>32.3</w:t>
      </w:r>
      <w:r>
        <w:rPr>
          <w:rFonts w:hint="eastAsia" w:ascii="宋体" w:hAnsi="宋体" w:eastAsia="宋体" w:cs="宋体"/>
          <w:sz w:val="24"/>
          <w:highlight w:val="none"/>
        </w:rPr>
        <w:t>因系统存储空间有限，自中标结果公告届满之日起30日后，“苏采云”系统不再保证提供下载中标通知书服务,因未及时下载而造成的不利后果由中标供应商自行承担。</w:t>
      </w:r>
    </w:p>
    <w:p w14:paraId="76571355">
      <w:pPr>
        <w:pBdr>
          <w:top w:val="none" w:color="000000" w:sz="0" w:space="0"/>
          <w:left w:val="none" w:color="000000" w:sz="0" w:space="0"/>
          <w:bottom w:val="none" w:color="000000" w:sz="0" w:space="0"/>
          <w:right w:val="none" w:color="000000" w:sz="0" w:space="0"/>
        </w:pBdr>
        <w:spacing w:line="440" w:lineRule="exact"/>
        <w:jc w:val="left"/>
        <w:rPr>
          <w:rFonts w:hint="eastAsia"/>
          <w:highlight w:val="none"/>
        </w:rPr>
      </w:pPr>
      <w:r>
        <w:rPr>
          <w:rFonts w:ascii="宋体" w:hAnsi="宋体" w:eastAsia="宋体" w:cs="宋体"/>
          <w:sz w:val="24"/>
          <w:highlight w:val="none"/>
        </w:rPr>
        <w:t>32.4</w:t>
      </w:r>
      <w:r>
        <w:rPr>
          <w:rFonts w:hint="eastAsia" w:ascii="宋体" w:hAnsi="宋体" w:eastAsia="宋体" w:cs="宋体"/>
          <w:kern w:val="0"/>
          <w:sz w:val="24"/>
          <w:szCs w:val="24"/>
          <w:highlight w:val="none"/>
        </w:rPr>
        <w:t>成交通知书</w:t>
      </w:r>
      <w:r>
        <w:rPr>
          <w:rFonts w:ascii="宋体" w:hAnsi="宋体" w:eastAsia="宋体" w:cs="宋体"/>
          <w:sz w:val="24"/>
          <w:highlight w:val="none"/>
        </w:rPr>
        <w:t>将成为合同的组成部分。</w:t>
      </w:r>
    </w:p>
    <w:p w14:paraId="25F5DABC">
      <w:pPr>
        <w:pBdr>
          <w:top w:val="none" w:color="000000" w:sz="0" w:space="0"/>
          <w:left w:val="none" w:color="000000" w:sz="0" w:space="0"/>
          <w:bottom w:val="none" w:color="000000" w:sz="0" w:space="0"/>
          <w:right w:val="none" w:color="000000" w:sz="0" w:space="0"/>
        </w:pBdr>
        <w:spacing w:line="440" w:lineRule="exact"/>
        <w:jc w:val="left"/>
        <w:rPr>
          <w:rFonts w:hint="eastAsia"/>
          <w:highlight w:val="none"/>
        </w:rPr>
      </w:pPr>
      <w:r>
        <w:rPr>
          <w:rFonts w:ascii="宋体" w:hAnsi="宋体" w:eastAsia="宋体" w:cs="宋体"/>
          <w:sz w:val="24"/>
          <w:highlight w:val="none"/>
        </w:rPr>
        <w:t>32.5采购代理机构对</w:t>
      </w:r>
      <w:r>
        <w:rPr>
          <w:rFonts w:ascii="宋体" w:hAnsi="宋体" w:eastAsia="宋体" w:cs="宋体"/>
          <w:kern w:val="0"/>
          <w:sz w:val="24"/>
          <w:szCs w:val="24"/>
          <w:highlight w:val="none"/>
        </w:rPr>
        <w:t>未</w:t>
      </w:r>
      <w:r>
        <w:rPr>
          <w:rFonts w:hint="eastAsia" w:ascii="宋体" w:hAnsi="宋体" w:eastAsia="宋体" w:cs="宋体"/>
          <w:kern w:val="0"/>
          <w:sz w:val="24"/>
          <w:szCs w:val="24"/>
          <w:highlight w:val="none"/>
        </w:rPr>
        <w:t>成交</w:t>
      </w:r>
      <w:r>
        <w:rPr>
          <w:rFonts w:ascii="宋体" w:hAnsi="宋体" w:eastAsia="宋体" w:cs="宋体"/>
          <w:sz w:val="24"/>
          <w:highlight w:val="none"/>
        </w:rPr>
        <w:t>供应商不承担解释未中标原因的义务。</w:t>
      </w:r>
    </w:p>
    <w:p w14:paraId="7F56B3C8">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b/>
          <w:kern w:val="0"/>
          <w:sz w:val="24"/>
          <w:szCs w:val="24"/>
          <w:highlight w:val="none"/>
        </w:rPr>
        <w:t>33.履约保证金</w:t>
      </w:r>
    </w:p>
    <w:p w14:paraId="6EE01FB7">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33.1</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按合同约定要求提交履约保证金。</w:t>
      </w:r>
    </w:p>
    <w:p w14:paraId="785EC4F8">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33.2履约保证金用以约束供应商在合同履行中的行为，弥补合同执行中由于自身行为可能给采购人带来的各种损失。</w:t>
      </w:r>
    </w:p>
    <w:p w14:paraId="72909B17">
      <w:pPr>
        <w:widowControl/>
        <w:pBdr>
          <w:top w:val="none" w:color="000000" w:sz="0" w:space="0"/>
          <w:left w:val="none" w:color="000000" w:sz="0" w:space="0"/>
          <w:bottom w:val="none" w:color="000000" w:sz="0" w:space="0"/>
          <w:right w:val="none" w:color="000000" w:sz="0" w:space="0"/>
        </w:pBdr>
        <w:spacing w:line="440" w:lineRule="exact"/>
        <w:jc w:val="left"/>
        <w:rPr>
          <w:rFonts w:ascii="Arial" w:hAnsi="Arial" w:eastAsia="Arial" w:cs="Times New Roman"/>
          <w:kern w:val="0"/>
          <w:sz w:val="24"/>
          <w:szCs w:val="24"/>
          <w:highlight w:val="none"/>
        </w:rPr>
      </w:pPr>
      <w:r>
        <w:rPr>
          <w:rFonts w:ascii="宋体" w:hAnsi="宋体" w:eastAsia="宋体" w:cs="宋体"/>
          <w:kern w:val="0"/>
          <w:sz w:val="24"/>
          <w:szCs w:val="24"/>
          <w:highlight w:val="none"/>
        </w:rPr>
        <w:t>33.3履约保证金（无息）将在</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合同履行完毕且质保期满后，采购人在五个工作日内退返</w:t>
      </w:r>
      <w:r>
        <w:rPr>
          <w:rFonts w:hint="eastAsia" w:ascii="宋体" w:hAnsi="宋体" w:eastAsia="宋体" w:cs="宋体"/>
          <w:kern w:val="0"/>
          <w:sz w:val="24"/>
          <w:szCs w:val="24"/>
          <w:highlight w:val="none"/>
        </w:rPr>
        <w:t>成交供应商</w:t>
      </w:r>
      <w:r>
        <w:rPr>
          <w:rFonts w:ascii="宋体" w:hAnsi="宋体" w:eastAsia="宋体" w:cs="宋体"/>
          <w:kern w:val="0"/>
          <w:sz w:val="24"/>
          <w:szCs w:val="24"/>
          <w:highlight w:val="none"/>
        </w:rPr>
        <w:t>。</w:t>
      </w:r>
    </w:p>
    <w:p w14:paraId="29E516BD">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34. 合同的签订</w:t>
      </w:r>
    </w:p>
    <w:p w14:paraId="3169F02A">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34.1 按照《关于做好政府采购支持企业发展有关事项的通知》（苏财购〔2020〕52号）文件精神，采购人原则上应当在成交通知书发出之日起十五日内，按照采购文件及响应文件确定的事项与成交供应商签订政府采购合同。</w:t>
      </w:r>
    </w:p>
    <w:p w14:paraId="64813DD3">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34.2成交供应商应按成交通知书中规定，由法定代表人或授权代理人与采购人代表签订合同，否则按放弃成交权处理。</w:t>
      </w:r>
    </w:p>
    <w:p w14:paraId="603D52E4">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34.3签订合同及合同条款应以采购文件和成交供应商的响应文件及其澄清文件为依据。</w:t>
      </w:r>
    </w:p>
    <w:p w14:paraId="5330C2B5">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34.4成交人无正当理由拒签合同的，或在签订合同时向采购人提出附加条件或者更改合同实质性内容的，采购人可取消其成交资格，同时由成交人承担相应的法律责任</w:t>
      </w:r>
    </w:p>
    <w:p w14:paraId="237B3CA7">
      <w:pPr>
        <w:widowControl/>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kern w:val="0"/>
          <w:sz w:val="24"/>
          <w:szCs w:val="24"/>
          <w:highlight w:val="none"/>
        </w:rPr>
      </w:pPr>
      <w:r>
        <w:rPr>
          <w:rFonts w:ascii="宋体" w:hAnsi="宋体" w:eastAsia="宋体" w:cs="宋体"/>
          <w:kern w:val="0"/>
          <w:sz w:val="24"/>
          <w:szCs w:val="24"/>
          <w:highlight w:val="none"/>
        </w:rPr>
        <w:t>34.5签订合同后，</w:t>
      </w:r>
      <w:r>
        <w:rPr>
          <w:rFonts w:hint="eastAsia" w:ascii="宋体" w:hAnsi="宋体" w:eastAsia="宋体" w:cs="宋体"/>
          <w:kern w:val="0"/>
          <w:sz w:val="24"/>
          <w:szCs w:val="24"/>
          <w:highlight w:val="none"/>
        </w:rPr>
        <w:t>成交人</w:t>
      </w:r>
      <w:r>
        <w:rPr>
          <w:rFonts w:ascii="宋体" w:hAnsi="宋体" w:eastAsia="宋体" w:cs="宋体"/>
          <w:kern w:val="0"/>
          <w:sz w:val="24"/>
          <w:szCs w:val="24"/>
          <w:highlight w:val="none"/>
        </w:rPr>
        <w:t>不得将货物及其他相关服务进行转包。未经采购人同意，</w:t>
      </w:r>
      <w:r>
        <w:rPr>
          <w:rFonts w:hint="eastAsia" w:ascii="宋体" w:hAnsi="宋体" w:eastAsia="宋体" w:cs="宋体"/>
          <w:kern w:val="0"/>
          <w:sz w:val="24"/>
          <w:szCs w:val="24"/>
          <w:highlight w:val="none"/>
        </w:rPr>
        <w:t>成交人</w:t>
      </w:r>
      <w:r>
        <w:rPr>
          <w:rFonts w:ascii="宋体" w:hAnsi="宋体" w:eastAsia="宋体" w:cs="宋体"/>
          <w:kern w:val="0"/>
          <w:sz w:val="24"/>
          <w:szCs w:val="24"/>
          <w:highlight w:val="none"/>
        </w:rPr>
        <w:t>也不得采用分包的形式履行合同，否则采购人有权终止合同。转包或分包造成采购人</w:t>
      </w:r>
      <w:r>
        <w:rPr>
          <w:rFonts w:hint="eastAsia" w:ascii="宋体" w:hAnsi="宋体" w:eastAsia="宋体" w:cs="宋体"/>
          <w:kern w:val="0"/>
          <w:sz w:val="24"/>
          <w:szCs w:val="24"/>
          <w:highlight w:val="none"/>
        </w:rPr>
        <w:t>损失的，成交人应承担相应赔偿责任。</w:t>
      </w:r>
    </w:p>
    <w:p w14:paraId="04C89AE6">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八、政府采购相关政策</w:t>
      </w:r>
    </w:p>
    <w:p w14:paraId="099461FD">
      <w:pPr>
        <w:pBdr>
          <w:top w:val="none" w:color="000000" w:sz="0" w:space="0"/>
          <w:left w:val="none" w:color="000000" w:sz="0" w:space="0"/>
          <w:bottom w:val="none" w:color="000000" w:sz="0" w:space="0"/>
          <w:right w:val="none" w:color="000000" w:sz="0" w:space="0"/>
        </w:pBdr>
        <w:spacing w:line="440" w:lineRule="exact"/>
        <w:jc w:val="left"/>
        <w:outlineLvl w:val="3"/>
        <w:rPr>
          <w:rFonts w:hint="eastAsia"/>
          <w:highlight w:val="none"/>
        </w:rPr>
      </w:pPr>
      <w:r>
        <w:rPr>
          <w:rFonts w:ascii="宋体" w:hAnsi="宋体" w:eastAsia="宋体" w:cs="宋体"/>
          <w:b/>
          <w:sz w:val="24"/>
          <w:highlight w:val="none"/>
        </w:rPr>
        <w:t>3</w:t>
      </w:r>
      <w:r>
        <w:rPr>
          <w:rFonts w:hint="eastAsia" w:ascii="宋体" w:hAnsi="宋体" w:eastAsia="宋体" w:cs="宋体"/>
          <w:b/>
          <w:sz w:val="24"/>
          <w:highlight w:val="none"/>
        </w:rPr>
        <w:t>5</w:t>
      </w:r>
      <w:r>
        <w:rPr>
          <w:rFonts w:ascii="宋体" w:hAnsi="宋体" w:eastAsia="宋体" w:cs="宋体"/>
          <w:b/>
          <w:sz w:val="24"/>
          <w:highlight w:val="none"/>
        </w:rPr>
        <w:t>本项目专门面向中小企业采购，执行以下相关政策：</w:t>
      </w:r>
    </w:p>
    <w:p w14:paraId="142553BA">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sz w:val="24"/>
          <w:highlight w:val="none"/>
        </w:rPr>
      </w:pPr>
      <w:r>
        <w:rPr>
          <w:rFonts w:hint="eastAsia" w:ascii="宋体" w:hAnsi="宋体" w:eastAsia="宋体" w:cs="宋体"/>
          <w:sz w:val="24"/>
          <w:highlight w:val="none"/>
        </w:rPr>
        <w:t>根据《政府采购促进中小企业发展管理办法》（财库﹝</w:t>
      </w:r>
      <w:r>
        <w:rPr>
          <w:rFonts w:ascii="宋体" w:hAnsi="宋体" w:eastAsia="宋体" w:cs="宋体"/>
          <w:sz w:val="24"/>
          <w:highlight w:val="none"/>
        </w:rPr>
        <w:t>2020﹞46号）</w:t>
      </w:r>
      <w:r>
        <w:rPr>
          <w:rFonts w:hint="eastAsia" w:ascii="宋体" w:hAnsi="宋体" w:eastAsia="宋体" w:cs="宋体"/>
          <w:sz w:val="24"/>
          <w:highlight w:val="none"/>
        </w:rPr>
        <w:t>规定，</w:t>
      </w:r>
      <w:r>
        <w:rPr>
          <w:rFonts w:ascii="宋体" w:hAnsi="宋体" w:eastAsia="宋体" w:cs="宋体"/>
          <w:sz w:val="24"/>
          <w:highlight w:val="none"/>
        </w:rPr>
        <w:t>第二条 本办法所称中小企业，是指在中华人民共和国境内依法设立，依据国务院批准的中小企业划分标准确定的中型企业、小型企业和微型企业，</w:t>
      </w:r>
      <w:r>
        <w:rPr>
          <w:rFonts w:ascii="宋体" w:hAnsi="宋体" w:eastAsia="宋体" w:cs="宋体"/>
          <w:b/>
          <w:bCs/>
          <w:sz w:val="24"/>
          <w:highlight w:val="none"/>
        </w:rPr>
        <w:t>但与大企业的负责人为同一人，或者与大企业存在直接控股、管理关系的除外</w:t>
      </w:r>
      <w:r>
        <w:rPr>
          <w:rFonts w:ascii="宋体" w:hAnsi="宋体" w:eastAsia="宋体" w:cs="宋体"/>
          <w:sz w:val="24"/>
          <w:highlight w:val="none"/>
        </w:rPr>
        <w:t>。符合中小企业划分标准的个体工商户，在政府采购活动中视同中小企业。</w:t>
      </w:r>
    </w:p>
    <w:p w14:paraId="491DCD9D">
      <w:pPr>
        <w:pBdr>
          <w:top w:val="none" w:color="000000" w:sz="0" w:space="0"/>
          <w:left w:val="none" w:color="000000" w:sz="0" w:space="0"/>
          <w:bottom w:val="none" w:color="000000" w:sz="0" w:space="0"/>
          <w:right w:val="none" w:color="000000" w:sz="0" w:space="0"/>
        </w:pBdr>
        <w:spacing w:line="440" w:lineRule="exact"/>
        <w:jc w:val="left"/>
        <w:rPr>
          <w:rFonts w:hint="eastAsia"/>
          <w:highlight w:val="none"/>
        </w:rPr>
      </w:pPr>
      <w:r>
        <w:rPr>
          <w:rFonts w:ascii="宋体" w:hAnsi="宋体" w:eastAsia="宋体" w:cs="宋体"/>
          <w:sz w:val="24"/>
          <w:highlight w:val="none"/>
        </w:rPr>
        <w:t>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ascii="宋体" w:hAnsi="宋体" w:eastAsia="宋体" w:cs="宋体"/>
          <w:b/>
          <w:sz w:val="24"/>
          <w:highlight w:val="none"/>
        </w:rPr>
        <w:t>否则视为投标无效。</w:t>
      </w:r>
    </w:p>
    <w:p w14:paraId="70123917">
      <w:pPr>
        <w:pBdr>
          <w:top w:val="none" w:color="000000" w:sz="0" w:space="0"/>
          <w:left w:val="none" w:color="000000" w:sz="0" w:space="0"/>
          <w:bottom w:val="none" w:color="000000" w:sz="0" w:space="0"/>
          <w:right w:val="none" w:color="000000" w:sz="0" w:space="0"/>
        </w:pBdr>
        <w:spacing w:line="440" w:lineRule="exact"/>
        <w:jc w:val="left"/>
        <w:outlineLvl w:val="4"/>
        <w:rPr>
          <w:rFonts w:hint="eastAsia"/>
          <w:highlight w:val="none"/>
        </w:rPr>
      </w:pPr>
      <w:r>
        <w:rPr>
          <w:rFonts w:ascii="宋体" w:hAnsi="宋体" w:eastAsia="宋体" w:cs="宋体"/>
          <w:sz w:val="24"/>
          <w:highlight w:val="none"/>
        </w:rPr>
        <w:t>3</w:t>
      </w:r>
      <w:r>
        <w:rPr>
          <w:rFonts w:hint="eastAsia" w:ascii="宋体" w:hAnsi="宋体" w:eastAsia="宋体" w:cs="宋体"/>
          <w:sz w:val="24"/>
          <w:highlight w:val="none"/>
        </w:rPr>
        <w:t>5</w:t>
      </w:r>
      <w:r>
        <w:rPr>
          <w:rFonts w:ascii="宋体" w:hAnsi="宋体" w:eastAsia="宋体" w:cs="宋体"/>
          <w:sz w:val="24"/>
          <w:highlight w:val="none"/>
        </w:rPr>
        <w:t>.1.1中小企业划分：</w:t>
      </w:r>
    </w:p>
    <w:p w14:paraId="3DBFC15A">
      <w:pPr>
        <w:pBdr>
          <w:top w:val="none" w:color="000000" w:sz="0" w:space="0"/>
          <w:left w:val="none" w:color="000000" w:sz="0" w:space="0"/>
          <w:bottom w:val="none" w:color="000000" w:sz="0" w:space="0"/>
          <w:right w:val="none" w:color="000000" w:sz="0" w:space="0"/>
        </w:pBdr>
        <w:spacing w:line="440" w:lineRule="exact"/>
        <w:jc w:val="left"/>
        <w:rPr>
          <w:rFonts w:hint="eastAsia"/>
          <w:highlight w:val="none"/>
        </w:rPr>
      </w:pPr>
      <w:r>
        <w:rPr>
          <w:rFonts w:ascii="宋体" w:hAnsi="宋体" w:eastAsia="宋体" w:cs="宋体"/>
          <w:sz w:val="24"/>
          <w:highlight w:val="none"/>
        </w:rPr>
        <w:t>（1）符合中小企业划分标准的个体工商户，在政府采购活动中视同中小企业。</w:t>
      </w:r>
    </w:p>
    <w:p w14:paraId="163772F2">
      <w:pPr>
        <w:pBdr>
          <w:top w:val="none" w:color="000000" w:sz="0" w:space="0"/>
          <w:left w:val="none" w:color="000000" w:sz="0" w:space="0"/>
          <w:bottom w:val="none" w:color="000000" w:sz="0" w:space="0"/>
          <w:right w:val="none" w:color="000000" w:sz="0" w:space="0"/>
        </w:pBdr>
        <w:spacing w:line="440" w:lineRule="exact"/>
        <w:jc w:val="left"/>
        <w:rPr>
          <w:rFonts w:hint="eastAsia"/>
          <w:highlight w:val="none"/>
        </w:rPr>
      </w:pPr>
      <w:r>
        <w:rPr>
          <w:rFonts w:ascii="宋体" w:hAnsi="宋体" w:eastAsia="宋体" w:cs="宋体"/>
          <w:sz w:val="24"/>
          <w:highlight w:val="none"/>
        </w:rPr>
        <w:t>（2）中小企业划分标准详见“工信部联企业〔2011〕300号通知”</w:t>
      </w:r>
    </w:p>
    <w:p w14:paraId="6844EA7A">
      <w:pPr>
        <w:pBdr>
          <w:top w:val="none" w:color="000000" w:sz="0" w:space="0"/>
          <w:left w:val="none" w:color="000000" w:sz="0" w:space="0"/>
          <w:bottom w:val="none" w:color="000000" w:sz="0" w:space="0"/>
          <w:right w:val="none" w:color="000000" w:sz="0" w:space="0"/>
        </w:pBdr>
        <w:spacing w:line="440" w:lineRule="exact"/>
        <w:jc w:val="left"/>
        <w:outlineLvl w:val="4"/>
        <w:rPr>
          <w:rFonts w:hint="eastAsia"/>
          <w:highlight w:val="none"/>
        </w:rPr>
      </w:pPr>
      <w:r>
        <w:rPr>
          <w:rFonts w:ascii="宋体" w:hAnsi="宋体" w:eastAsia="宋体" w:cs="宋体"/>
          <w:sz w:val="24"/>
          <w:highlight w:val="none"/>
        </w:rPr>
        <w:t>3</w:t>
      </w:r>
      <w:r>
        <w:rPr>
          <w:rFonts w:hint="eastAsia" w:ascii="宋体" w:hAnsi="宋体" w:eastAsia="宋体" w:cs="宋体"/>
          <w:sz w:val="24"/>
          <w:highlight w:val="none"/>
        </w:rPr>
        <w:t>5</w:t>
      </w:r>
      <w:r>
        <w:rPr>
          <w:rFonts w:ascii="宋体" w:hAnsi="宋体" w:eastAsia="宋体" w:cs="宋体"/>
          <w:sz w:val="24"/>
          <w:highlight w:val="none"/>
        </w:rPr>
        <w:t>.1.2残疾人福利性单位政策：</w:t>
      </w:r>
    </w:p>
    <w:p w14:paraId="3EFEA345">
      <w:pPr>
        <w:pBdr>
          <w:top w:val="none" w:color="000000" w:sz="0" w:space="0"/>
          <w:left w:val="none" w:color="000000" w:sz="0" w:space="0"/>
          <w:bottom w:val="none" w:color="000000" w:sz="0" w:space="0"/>
          <w:right w:val="none" w:color="000000" w:sz="0" w:space="0"/>
        </w:pBdr>
        <w:spacing w:line="440" w:lineRule="exact"/>
        <w:jc w:val="left"/>
        <w:rPr>
          <w:rFonts w:hint="eastAsia"/>
          <w:highlight w:val="none"/>
        </w:rPr>
      </w:pPr>
      <w:r>
        <w:rPr>
          <w:rFonts w:ascii="宋体" w:hAnsi="宋体" w:eastAsia="宋体" w:cs="宋体"/>
          <w:sz w:val="24"/>
          <w:highlight w:val="none"/>
        </w:rPr>
        <w:t>根据《关于促进残疾人就业政府采购政策的通知》（财库〔2017〕141号）规定，投标人若为残疾人福利性单位的，提供残疾人福利性单位声明函的，视同小微型企业。残疾人福利性单位属于小微型企业的，不重复认定。</w:t>
      </w:r>
    </w:p>
    <w:p w14:paraId="51C9E4A2">
      <w:pPr>
        <w:pBdr>
          <w:top w:val="none" w:color="000000" w:sz="0" w:space="0"/>
          <w:left w:val="none" w:color="000000" w:sz="0" w:space="0"/>
          <w:bottom w:val="none" w:color="000000" w:sz="0" w:space="0"/>
          <w:right w:val="none" w:color="000000" w:sz="0" w:space="0"/>
        </w:pBdr>
        <w:spacing w:line="440" w:lineRule="exact"/>
        <w:jc w:val="left"/>
        <w:outlineLvl w:val="4"/>
        <w:rPr>
          <w:rFonts w:hint="eastAsia"/>
          <w:highlight w:val="none"/>
        </w:rPr>
      </w:pPr>
      <w:r>
        <w:rPr>
          <w:rFonts w:ascii="宋体" w:hAnsi="宋体" w:eastAsia="宋体" w:cs="宋体"/>
          <w:sz w:val="24"/>
          <w:highlight w:val="none"/>
        </w:rPr>
        <w:t>3</w:t>
      </w:r>
      <w:r>
        <w:rPr>
          <w:rFonts w:hint="eastAsia" w:ascii="宋体" w:hAnsi="宋体" w:eastAsia="宋体" w:cs="宋体"/>
          <w:sz w:val="24"/>
          <w:highlight w:val="none"/>
        </w:rPr>
        <w:t>5</w:t>
      </w:r>
      <w:r>
        <w:rPr>
          <w:rFonts w:ascii="宋体" w:hAnsi="宋体" w:eastAsia="宋体" w:cs="宋体"/>
          <w:sz w:val="24"/>
          <w:highlight w:val="none"/>
        </w:rPr>
        <w:t>.1.3监狱企业发展政策：</w:t>
      </w:r>
    </w:p>
    <w:p w14:paraId="36517605">
      <w:pPr>
        <w:pBdr>
          <w:top w:val="none" w:color="000000" w:sz="0" w:space="0"/>
          <w:left w:val="none" w:color="000000" w:sz="0" w:space="0"/>
          <w:bottom w:val="none" w:color="000000" w:sz="0" w:space="0"/>
          <w:right w:val="none" w:color="000000" w:sz="0" w:space="0"/>
        </w:pBdr>
        <w:spacing w:line="440" w:lineRule="exact"/>
        <w:jc w:val="left"/>
        <w:rPr>
          <w:rFonts w:hint="eastAsia"/>
          <w:highlight w:val="none"/>
        </w:rPr>
      </w:pPr>
      <w:r>
        <w:rPr>
          <w:rFonts w:ascii="宋体" w:hAnsi="宋体" w:eastAsia="宋体" w:cs="宋体"/>
          <w:sz w:val="24"/>
          <w:highlight w:val="none"/>
        </w:rPr>
        <w:t>根据《关于政府采购支持监狱企业发展有关问题的通知》（财库〔2014〕68号）规定，投标人若为监狱企业的，提供省级以上监狱管理局、戒毒管理局（含新疆生产建设兵团）出具的属于监狱企业的证明文件的，视同小微型企业。</w:t>
      </w:r>
    </w:p>
    <w:p w14:paraId="7B11D17F">
      <w:pPr>
        <w:pBdr>
          <w:top w:val="none" w:color="000000" w:sz="0" w:space="0"/>
          <w:left w:val="none" w:color="000000" w:sz="0" w:space="0"/>
          <w:bottom w:val="none" w:color="000000" w:sz="0" w:space="0"/>
          <w:right w:val="none" w:color="000000" w:sz="0" w:space="0"/>
        </w:pBdr>
        <w:spacing w:line="440" w:lineRule="exact"/>
        <w:jc w:val="left"/>
        <w:rPr>
          <w:rFonts w:hint="eastAsia"/>
          <w:highlight w:val="none"/>
        </w:rPr>
      </w:pPr>
      <w:r>
        <w:rPr>
          <w:rFonts w:ascii="宋体" w:hAnsi="宋体" w:eastAsia="宋体" w:cs="宋体"/>
          <w:sz w:val="24"/>
          <w:highlight w:val="none"/>
        </w:rPr>
        <w:t>3</w:t>
      </w:r>
      <w:r>
        <w:rPr>
          <w:rFonts w:hint="eastAsia" w:ascii="宋体" w:hAnsi="宋体" w:eastAsia="宋体" w:cs="宋体"/>
          <w:sz w:val="24"/>
          <w:highlight w:val="none"/>
        </w:rPr>
        <w:t>5</w:t>
      </w:r>
      <w:r>
        <w:rPr>
          <w:rFonts w:ascii="宋体" w:hAnsi="宋体" w:eastAsia="宋体" w:cs="宋体"/>
          <w:sz w:val="24"/>
          <w:highlight w:val="none"/>
        </w:rPr>
        <w:t>.1.4、中标、成交供应商享受规定的中小企业扶持政策的，其声明函及相关证明材料应当随中标、成交结果同时公告，接受社会监督。</w:t>
      </w:r>
    </w:p>
    <w:p w14:paraId="4FCDD7A8">
      <w:pPr>
        <w:pBdr>
          <w:top w:val="none" w:color="000000" w:sz="0" w:space="0"/>
          <w:left w:val="none" w:color="000000" w:sz="0" w:space="0"/>
          <w:bottom w:val="none" w:color="000000" w:sz="0" w:space="0"/>
          <w:right w:val="none" w:color="000000" w:sz="0" w:space="0"/>
        </w:pBdr>
        <w:spacing w:line="440" w:lineRule="exact"/>
        <w:jc w:val="left"/>
        <w:rPr>
          <w:rFonts w:hint="eastAsia"/>
          <w:highlight w:val="none"/>
        </w:rPr>
      </w:pPr>
      <w:r>
        <w:rPr>
          <w:rFonts w:ascii="宋体" w:hAnsi="宋体" w:eastAsia="宋体" w:cs="宋体"/>
          <w:sz w:val="24"/>
          <w:highlight w:val="none"/>
        </w:rPr>
        <w:t>3</w:t>
      </w:r>
      <w:r>
        <w:rPr>
          <w:rFonts w:hint="eastAsia" w:ascii="宋体" w:hAnsi="宋体" w:eastAsia="宋体" w:cs="宋体"/>
          <w:sz w:val="24"/>
          <w:highlight w:val="none"/>
        </w:rPr>
        <w:t>5</w:t>
      </w:r>
      <w:r>
        <w:rPr>
          <w:rFonts w:ascii="宋体" w:hAnsi="宋体" w:eastAsia="宋体" w:cs="宋体"/>
          <w:sz w:val="24"/>
          <w:highlight w:val="none"/>
        </w:rPr>
        <w:t>.1.5、</w:t>
      </w:r>
      <w:r>
        <w:rPr>
          <w:rFonts w:ascii="宋体" w:hAnsi="宋体" w:eastAsia="宋体" w:cs="宋体"/>
          <w:b/>
          <w:sz w:val="24"/>
          <w:highlight w:val="none"/>
        </w:rPr>
        <w:t>专门面向中小企业采购的项目，不再执行价格评审优惠的扶持政策。</w:t>
      </w:r>
    </w:p>
    <w:p w14:paraId="33DC4FCA">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b/>
          <w:bCs/>
          <w:sz w:val="24"/>
          <w:highlight w:val="none"/>
        </w:rPr>
      </w:pPr>
      <w:r>
        <w:rPr>
          <w:rFonts w:hint="eastAsia" w:ascii="宋体" w:hAnsi="宋体" w:eastAsia="宋体" w:cs="宋体"/>
          <w:b/>
          <w:bCs/>
          <w:sz w:val="24"/>
          <w:highlight w:val="none"/>
        </w:rPr>
        <w:t>36、节能产品和环境标志产品</w:t>
      </w:r>
    </w:p>
    <w:p w14:paraId="4541423C">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b/>
          <w:kern w:val="0"/>
          <w:sz w:val="24"/>
          <w:szCs w:val="24"/>
          <w:highlight w:val="none"/>
        </w:rPr>
      </w:pPr>
      <w:r>
        <w:rPr>
          <w:rFonts w:hint="eastAsia" w:ascii="宋体" w:hAnsi="宋体" w:eastAsia="宋体" w:cs="宋体"/>
          <w:sz w:val="24"/>
          <w:highlight w:val="none"/>
        </w:rPr>
        <w:t>根据《关于调整优化节能产品、环境标志产品政府采购执行机制的通知》（财库〔2019〕9号）、《关于贯彻执行绿色采购、促进残疾人就业和支持监狱企业发展有关政策的通知》（苏财购〔2019〕10号）的文件规定，若供应商所投产品属于节能产品或环境标志产品品目清单范围内的强制采购品种，投标人必须提供由国家确定的认证机构出具的、处于有效期之内的节能产品或环境标志产品认证证书。未提供或提供不全的将视为未实质性响应采购要求。</w:t>
      </w:r>
    </w:p>
    <w:p w14:paraId="699D80B9">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37.绿色数据中心政策</w:t>
      </w:r>
    </w:p>
    <w:p w14:paraId="351BC40B">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37.1 依据《绿色数据中心政府采购需求标准（试行）》（财办库〔2023〕7 号）文件精神，采购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4FDC20E">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38.商品包装、快递包装政策</w:t>
      </w:r>
    </w:p>
    <w:p w14:paraId="65AE63DE">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b/>
          <w:color w:val="000000"/>
          <w:sz w:val="24"/>
          <w:szCs w:val="24"/>
          <w:highlight w:val="none"/>
        </w:rPr>
      </w:pPr>
      <w:r>
        <w:rPr>
          <w:rFonts w:hint="eastAsia" w:ascii="宋体" w:hAnsi="宋体" w:eastAsia="宋体" w:cs="宋体"/>
          <w:sz w:val="24"/>
          <w:szCs w:val="24"/>
          <w:highlight w:val="none"/>
        </w:rPr>
        <w:t>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p>
    <w:p w14:paraId="11921688">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九、其他事项</w:t>
      </w:r>
    </w:p>
    <w:p w14:paraId="1B099ECC">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39. 监督和公证</w:t>
      </w:r>
    </w:p>
    <w:p w14:paraId="62BD77CD">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39.1政府有关监督部门将对招投标全过程进行监督。</w:t>
      </w:r>
    </w:p>
    <w:p w14:paraId="05590B53">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39.2采购代理机构的招标过程将通过公证机关进行公证。</w:t>
      </w:r>
    </w:p>
    <w:p w14:paraId="31770FCB">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40.未尽事宜</w:t>
      </w:r>
    </w:p>
    <w:p w14:paraId="3C2CA8E9">
      <w:pPr>
        <w:pBdr>
          <w:top w:val="none" w:color="000000" w:sz="0" w:space="0"/>
          <w:left w:val="none" w:color="000000" w:sz="0" w:space="0"/>
          <w:bottom w:val="none" w:color="000000" w:sz="0" w:space="0"/>
          <w:right w:val="none" w:color="000000" w:sz="0" w:space="0"/>
        </w:pBdr>
        <w:spacing w:line="440" w:lineRule="exact"/>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40.1按《中华人民共和国政府采购法》及其他有关法律法规的规定执行。</w:t>
      </w:r>
    </w:p>
    <w:p w14:paraId="217BDC19">
      <w:pPr>
        <w:jc w:val="center"/>
        <w:rPr>
          <w:rFonts w:hint="eastAsia" w:ascii="宋体" w:hAnsi="宋体" w:eastAsia="宋体" w:cs="宋体"/>
          <w:sz w:val="36"/>
          <w:szCs w:val="36"/>
          <w:highlight w:val="none"/>
        </w:rPr>
      </w:pPr>
    </w:p>
    <w:p w14:paraId="192BFE8B">
      <w:pPr>
        <w:jc w:val="center"/>
        <w:rPr>
          <w:rFonts w:hint="eastAsia" w:ascii="宋体" w:hAnsi="宋体" w:eastAsia="宋体" w:cs="宋体"/>
          <w:sz w:val="36"/>
          <w:szCs w:val="36"/>
          <w:highlight w:val="none"/>
        </w:rPr>
      </w:pPr>
    </w:p>
    <w:p w14:paraId="1D490599">
      <w:pPr>
        <w:jc w:val="center"/>
        <w:rPr>
          <w:rFonts w:hint="eastAsia" w:ascii="宋体" w:hAnsi="宋体" w:eastAsia="宋体" w:cs="宋体"/>
          <w:sz w:val="36"/>
          <w:szCs w:val="36"/>
          <w:highlight w:val="none"/>
        </w:rPr>
      </w:pPr>
    </w:p>
    <w:p w14:paraId="3B0691C2">
      <w:pPr>
        <w:jc w:val="center"/>
        <w:rPr>
          <w:rFonts w:hint="eastAsia" w:ascii="宋体" w:hAnsi="宋体" w:eastAsia="宋体" w:cs="宋体"/>
          <w:b/>
          <w:sz w:val="44"/>
          <w:highlight w:val="none"/>
        </w:rPr>
      </w:pPr>
    </w:p>
    <w:p w14:paraId="0EB4A655">
      <w:pPr>
        <w:jc w:val="center"/>
        <w:rPr>
          <w:rFonts w:hint="eastAsia" w:ascii="宋体" w:hAnsi="宋体" w:eastAsia="宋体" w:cs="宋体"/>
          <w:b/>
          <w:sz w:val="44"/>
          <w:highlight w:val="none"/>
        </w:rPr>
      </w:pPr>
    </w:p>
    <w:p w14:paraId="782E2F11">
      <w:pPr>
        <w:jc w:val="center"/>
        <w:rPr>
          <w:rFonts w:hint="eastAsia" w:ascii="宋体" w:hAnsi="宋体" w:eastAsia="宋体" w:cs="宋体"/>
          <w:b/>
          <w:sz w:val="44"/>
          <w:highlight w:val="none"/>
        </w:rPr>
      </w:pPr>
    </w:p>
    <w:p w14:paraId="17E3A666">
      <w:pPr>
        <w:jc w:val="center"/>
        <w:rPr>
          <w:rFonts w:hint="eastAsia" w:ascii="宋体" w:hAnsi="宋体" w:eastAsia="宋体" w:cs="宋体"/>
          <w:b/>
          <w:sz w:val="44"/>
          <w:highlight w:val="none"/>
        </w:rPr>
      </w:pPr>
    </w:p>
    <w:p w14:paraId="53A00746">
      <w:pPr>
        <w:spacing w:line="500" w:lineRule="atLeast"/>
        <w:jc w:val="center"/>
        <w:rPr>
          <w:rFonts w:hint="eastAsia" w:ascii="宋体" w:hAnsi="宋体" w:eastAsia="宋体" w:cs="宋体"/>
          <w:b/>
          <w:sz w:val="44"/>
          <w:highlight w:val="none"/>
        </w:rPr>
      </w:pPr>
    </w:p>
    <w:p w14:paraId="1A62EAA9">
      <w:pPr>
        <w:spacing w:line="500" w:lineRule="atLeast"/>
        <w:jc w:val="center"/>
        <w:rPr>
          <w:rFonts w:hint="eastAsia" w:ascii="宋体" w:hAnsi="宋体" w:eastAsia="宋体" w:cs="宋体"/>
          <w:b/>
          <w:sz w:val="44"/>
          <w:highlight w:val="none"/>
        </w:rPr>
      </w:pPr>
    </w:p>
    <w:p w14:paraId="15E0E6BC">
      <w:pPr>
        <w:spacing w:line="500" w:lineRule="atLeast"/>
        <w:jc w:val="center"/>
        <w:rPr>
          <w:rFonts w:hint="eastAsia" w:ascii="宋体" w:hAnsi="宋体" w:eastAsia="宋体" w:cs="宋体"/>
          <w:b/>
          <w:sz w:val="44"/>
          <w:highlight w:val="none"/>
        </w:rPr>
      </w:pPr>
    </w:p>
    <w:p w14:paraId="15B5F597">
      <w:pPr>
        <w:spacing w:line="500" w:lineRule="atLeast"/>
        <w:jc w:val="center"/>
        <w:rPr>
          <w:rFonts w:hint="eastAsia" w:ascii="宋体" w:hAnsi="宋体" w:eastAsia="宋体" w:cs="宋体"/>
          <w:sz w:val="36"/>
          <w:szCs w:val="36"/>
          <w:highlight w:val="none"/>
        </w:rPr>
      </w:pPr>
      <w:r>
        <w:rPr>
          <w:rFonts w:hint="eastAsia" w:ascii="宋体" w:hAnsi="宋体" w:eastAsia="宋体" w:cs="宋体"/>
          <w:b/>
          <w:sz w:val="44"/>
          <w:highlight w:val="none"/>
        </w:rPr>
        <w:t>第三部分 单一来源采购文件需求</w:t>
      </w:r>
    </w:p>
    <w:p w14:paraId="0C16E48F">
      <w:pPr>
        <w:pStyle w:val="2"/>
        <w:numPr>
          <w:numId w:val="0"/>
        </w:numPr>
        <w:spacing w:after="0" w:line="500" w:lineRule="exact"/>
        <w:ind w:leftChars="200"/>
        <w:rPr>
          <w:rFonts w:hint="eastAsia" w:ascii="宋体" w:hAnsi="宋体" w:eastAsia="宋体" w:cs="宋体"/>
          <w:sz w:val="24"/>
          <w:szCs w:val="24"/>
          <w:highlight w:val="none"/>
        </w:rPr>
      </w:pPr>
      <w:bookmarkStart w:id="6" w:name="_Toc13642116"/>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rPr>
        <w:t>建设背景</w:t>
      </w:r>
    </w:p>
    <w:p w14:paraId="14B86073">
      <w:pPr>
        <w:pStyle w:val="7"/>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随着营商环境优化逐步从“减环节、压时限”迈向“精准服务、无感审批”新阶段，科技产业扶持作为财政金融惠企的核心环节，其服务质效直接决定政策落地速度与企业获得感。2025年，我局积极建设太仓市产业扶持政策奖补平台，其中涵盖了统一营商门户、智助企业平台、智慧协作平台等惠企相关功能，为企业提供政策推送、金融产品、企业档案、政企互动等“一站式”在线服务，有效提升服务便捷性和企业满意度。但随着数字化转型加速和企业需求日益多元化，原有平台在科技项目申报与审核等环节仍存在一定局限：企业无法全程在线完成项目申报，业务人员也难以实现线上审核，导致惠企政策落地效率不高、奖补资金兑现有延迟，难以完全适应“精准服务、无感审批”的新要求。</w:t>
      </w:r>
    </w:p>
    <w:p w14:paraId="7214C579">
      <w:pPr>
        <w:pStyle w:val="7"/>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根据《省政府办公厅转发省财政厅等部门关于加强财政金融协同支持实体经济高质量发展若干措施的通知》、《市政府印发关于加快推动科技创新和产业创新融合发展的若干政策措施的通知》、《太仓市加快发展新质生产力推动产业升级扶持政策》等文件精神，为了更好地响应政策要求和满足实际需求，现计划建设太仓市产业扶持政策奖补平台（二期）项目，旨在弥补现有平台在申报与审核功能上的不足，构建业务贯通、智能协同的数字化管理体系，进一步提升政策服务效能，为优化营商环境注入新动能。</w:t>
      </w:r>
    </w:p>
    <w:p w14:paraId="01860E1E">
      <w:pPr>
        <w:pStyle w:val="2"/>
        <w:numPr>
          <w:numId w:val="0"/>
        </w:numPr>
        <w:spacing w:after="0" w:line="500" w:lineRule="exact"/>
        <w:ind w:left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建设目标</w:t>
      </w:r>
    </w:p>
    <w:p w14:paraId="1C318812">
      <w:p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项目以习近平新时代中国特色社会主义思想为指引，深入践行党的二十大精神，全面落实数字中国建设整体布局规划要求，紧密贴合太仓产业发展与政策服务实际，以提升企业获得感、满意度为核心，持续优化营商服务环境，致力于构建流程优、效率高、服务准的智慧服务平台。</w:t>
      </w:r>
    </w:p>
    <w:p w14:paraId="24B243FE">
      <w:p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项目聚焦科技项目申报、审核与管理的全业务流程，打造标准统一、数据互联、智能驱动的一体化在线服务系统。具体建设目标包括：建设功能完善、体验友好的科技项目申报栏目，支持企业在线完成项目查询、申报填报、材料上传、进度跟踪等操作，实现全流程透明化管理，显著减少企业沟通与时间成本；构建智能化、协同化、可视化的项目审核模块，引入智能辅助审查、流程自动化等关键技术，实现多级审核线上无缝衔接，全面提升审核效率与政策执行规范性；建设灵活安全的系统配置管理功能，实现基于角色的精细化权限控制和业务流程可定制，保障数据安全与系统适应能力。</w:t>
      </w:r>
    </w:p>
    <w:p w14:paraId="7E1AE129">
      <w:p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通过二期平台的建设，将形成申报便捷高效、审核规范协同、资金兑付精准的数字政策服务新体系，为企业提供更加优质、精准、无感的服务体验，为推动太仓市科技产业发展与转型升级提供坚实支撑。</w:t>
      </w:r>
    </w:p>
    <w:p w14:paraId="44709413">
      <w:pPr>
        <w:pStyle w:val="2"/>
        <w:numPr>
          <w:numId w:val="0"/>
        </w:numPr>
        <w:spacing w:after="0" w:line="500" w:lineRule="exact"/>
        <w:ind w:left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rPr>
        <w:t>建设依据</w:t>
      </w:r>
    </w:p>
    <w:p w14:paraId="339CA8C0">
      <w:pPr>
        <w:numPr>
          <w:ilvl w:val="0"/>
          <w:numId w:val="8"/>
        </w:numPr>
        <w:spacing w:line="500" w:lineRule="exact"/>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《省政府办公厅转发省财政厅等部门关于加强财政金融协同支持实体经济高质量发展若干措施的通知》（苏政办发〔2025〕11号）</w:t>
      </w:r>
    </w:p>
    <w:p w14:paraId="2ED5AF23">
      <w:pPr>
        <w:numPr>
          <w:ilvl w:val="0"/>
          <w:numId w:val="8"/>
        </w:numPr>
        <w:spacing w:line="500" w:lineRule="exact"/>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《关于印发2025年度江苏省财政金融发展专项资金（普惠金融方向）申报指南的通知》（苏财金〔2025〕29号）</w:t>
      </w:r>
    </w:p>
    <w:p w14:paraId="23F83DD4">
      <w:pPr>
        <w:numPr>
          <w:ilvl w:val="0"/>
          <w:numId w:val="8"/>
        </w:numPr>
        <w:spacing w:line="500" w:lineRule="exact"/>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《关于进一步支持专精特新中小企业高质量发展的通知》（财建〔2024〕148号）</w:t>
      </w:r>
    </w:p>
    <w:p w14:paraId="71653703">
      <w:pPr>
        <w:numPr>
          <w:ilvl w:val="0"/>
          <w:numId w:val="8"/>
        </w:numPr>
        <w:spacing w:line="500" w:lineRule="exact"/>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关于印发《江苏省质量强省奖补专项资金管理办法》的通知（苏财规〔2023〕10号）</w:t>
      </w:r>
    </w:p>
    <w:p w14:paraId="0E41D681">
      <w:pPr>
        <w:numPr>
          <w:ilvl w:val="0"/>
          <w:numId w:val="8"/>
        </w:numPr>
        <w:spacing w:line="500" w:lineRule="exact"/>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《市政府印发关于加快推动科技创新和产业创新融合发展的若干政策措施的通知》（苏府规字〔2025〕13号）</w:t>
      </w:r>
    </w:p>
    <w:p w14:paraId="15EB29C1">
      <w:pPr>
        <w:numPr>
          <w:ilvl w:val="0"/>
          <w:numId w:val="8"/>
        </w:numPr>
        <w:spacing w:line="500" w:lineRule="exact"/>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《太仓市贯彻落实〈苏州市2024年优化营商环境十条政策措施〉实施方案》</w:t>
      </w:r>
    </w:p>
    <w:p w14:paraId="683A02DA">
      <w:pPr>
        <w:numPr>
          <w:ilvl w:val="0"/>
          <w:numId w:val="8"/>
        </w:numPr>
        <w:spacing w:line="500" w:lineRule="exact"/>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《太仓市关于建立健全企业服务体系的工作方案》</w:t>
      </w:r>
    </w:p>
    <w:p w14:paraId="076BEB0C">
      <w:pPr>
        <w:numPr>
          <w:ilvl w:val="0"/>
          <w:numId w:val="8"/>
        </w:numPr>
        <w:spacing w:line="500" w:lineRule="exact"/>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市委办公室 市政府办公室关于印发《太仓市加快发展新质生产力推动产业升级扶持政策》的通知</w:t>
      </w:r>
    </w:p>
    <w:p w14:paraId="1969D2A2">
      <w:pPr>
        <w:numPr>
          <w:ilvl w:val="0"/>
          <w:numId w:val="8"/>
        </w:numPr>
        <w:spacing w:line="500" w:lineRule="exact"/>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市政府办公室关于印发《太仓市专精特新企业培育三年行动方案（2023-2025）》的通知</w:t>
      </w:r>
    </w:p>
    <w:p w14:paraId="5204B66C">
      <w:pPr>
        <w:pStyle w:val="2"/>
        <w:numPr>
          <w:numId w:val="0"/>
        </w:numPr>
        <w:spacing w:after="0" w:line="500" w:lineRule="exact"/>
        <w:ind w:left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四、</w:t>
      </w:r>
      <w:r>
        <w:rPr>
          <w:rFonts w:hint="eastAsia" w:ascii="宋体" w:hAnsi="宋体" w:eastAsia="宋体" w:cs="宋体"/>
          <w:sz w:val="24"/>
          <w:szCs w:val="24"/>
          <w:highlight w:val="none"/>
        </w:rPr>
        <w:t>建设要求</w:t>
      </w:r>
    </w:p>
    <w:p w14:paraId="2F4F4980">
      <w:pPr>
        <w:pStyle w:val="3"/>
        <w:numPr>
          <w:ilvl w:val="0"/>
          <w:numId w:val="0"/>
        </w:numPr>
        <w:spacing w:before="0" w:after="0" w:line="500" w:lineRule="exact"/>
        <w:ind w:firstLine="482"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（一）设计原则</w:t>
      </w:r>
    </w:p>
    <w:bookmarkEnd w:id="6"/>
    <w:p w14:paraId="11722E82">
      <w:p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为确保系统的建设成功与可持续发展，在系统的建设与技术方案设计时应遵循如下的原则：</w:t>
      </w:r>
    </w:p>
    <w:p w14:paraId="08BB24E3">
      <w:pPr>
        <w:pStyle w:val="33"/>
        <w:numPr>
          <w:ilvl w:val="0"/>
          <w:numId w:val="9"/>
        </w:numPr>
        <w:spacing w:line="500" w:lineRule="exact"/>
        <w:ind w:firstLine="480"/>
        <w:rPr>
          <w:rFonts w:hint="eastAsia" w:ascii="宋体" w:hAnsi="宋体" w:cs="宋体"/>
          <w:szCs w:val="24"/>
          <w:highlight w:val="none"/>
        </w:rPr>
      </w:pPr>
      <w:r>
        <w:rPr>
          <w:rFonts w:hint="eastAsia" w:ascii="宋体" w:hAnsi="宋体" w:cs="宋体"/>
          <w:szCs w:val="24"/>
          <w:highlight w:val="none"/>
        </w:rPr>
        <w:t>标准化原则</w:t>
      </w:r>
    </w:p>
    <w:p w14:paraId="74BA68CB">
      <w:p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软件设计严格执行国家有关软件工程和行业标准，保证系统质量，提供完整、准确、详细的开发文档。系统建设中充分考虑了“标准和开放”的原则，要支持各种相应的软硬件接口，使之具有灵活性和延展性，具备与多种系统互连互通的特性，在结构上实现真正开放。平台广泛采用遵循国际标准的系统和产品，以便于与其他网络系统的互联和扩展，同时易于向今后的先进技术实现迁移，充分保护用户的现有投资，其综合反映在可移植性、互操作性、系统独立性和集成性。</w:t>
      </w:r>
    </w:p>
    <w:p w14:paraId="1FF0CCC0">
      <w:pPr>
        <w:pStyle w:val="33"/>
        <w:numPr>
          <w:ilvl w:val="0"/>
          <w:numId w:val="9"/>
        </w:numPr>
        <w:spacing w:line="500" w:lineRule="exact"/>
        <w:ind w:firstLine="480"/>
        <w:rPr>
          <w:rFonts w:hint="eastAsia" w:ascii="宋体" w:hAnsi="宋体" w:cs="宋体"/>
          <w:szCs w:val="24"/>
          <w:highlight w:val="none"/>
        </w:rPr>
      </w:pPr>
      <w:r>
        <w:rPr>
          <w:rFonts w:hint="eastAsia" w:ascii="宋体" w:hAnsi="宋体" w:cs="宋体"/>
          <w:szCs w:val="24"/>
          <w:highlight w:val="none"/>
        </w:rPr>
        <w:t>先进性原则</w:t>
      </w:r>
    </w:p>
    <w:p w14:paraId="07E7236F">
      <w:p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系统构成必须采用成熟、具有国内先进水平，并符合国际发展趋势的技术、软件产品和设备。在设计过程中充分依照国际上的规范、标准，借鉴国内外目前成熟的主流网络和综合信息系统的体系结构，以保证系统具有较长的生命力和扩展能力。保证先进性的同时还要保证技术的稳定、安全性。</w:t>
      </w:r>
    </w:p>
    <w:p w14:paraId="29AB18ED">
      <w:pPr>
        <w:pStyle w:val="33"/>
        <w:numPr>
          <w:ilvl w:val="0"/>
          <w:numId w:val="9"/>
        </w:numPr>
        <w:spacing w:line="500" w:lineRule="exact"/>
        <w:ind w:firstLine="480"/>
        <w:rPr>
          <w:rFonts w:hint="eastAsia" w:ascii="宋体" w:hAnsi="宋体" w:cs="宋体"/>
          <w:szCs w:val="24"/>
          <w:highlight w:val="none"/>
        </w:rPr>
      </w:pPr>
      <w:r>
        <w:rPr>
          <w:rFonts w:hint="eastAsia" w:ascii="宋体" w:hAnsi="宋体" w:cs="宋体"/>
          <w:szCs w:val="24"/>
          <w:highlight w:val="none"/>
        </w:rPr>
        <w:t>成熟性原则</w:t>
      </w:r>
    </w:p>
    <w:p w14:paraId="4D8D369F">
      <w:p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系统要采用国际主流、成熟的体系架构来构建，实现跨平台的应用。确保系统符合信息化技术发展的趋势，具有明显的技术先进性。从技术层面讲，项目建设立足于先进技术，以SOA架构思想为指导，构建一个合理、开放和基于标准的系统，使系统不但能够满足当前的需求，而且能够满足以后的发展。在保证系统实用性的前提下，最大程度的提高系统的安全性、可升级性、平台无关性和可扩展性。项目建设中所选用的软硬件系统可以方便地实现集成，使集成的应用系统降低系统维护的难度和要求，也方便用户日后的应用和管理。</w:t>
      </w:r>
    </w:p>
    <w:p w14:paraId="7657F53C">
      <w:pPr>
        <w:pStyle w:val="33"/>
        <w:numPr>
          <w:ilvl w:val="0"/>
          <w:numId w:val="9"/>
        </w:numPr>
        <w:spacing w:line="500" w:lineRule="exact"/>
        <w:ind w:firstLine="480"/>
        <w:rPr>
          <w:rFonts w:hint="eastAsia" w:ascii="宋体" w:hAnsi="宋体" w:cs="宋体"/>
          <w:szCs w:val="24"/>
          <w:highlight w:val="none"/>
        </w:rPr>
      </w:pPr>
      <w:r>
        <w:rPr>
          <w:rFonts w:hint="eastAsia" w:ascii="宋体" w:hAnsi="宋体" w:cs="宋体"/>
          <w:szCs w:val="24"/>
          <w:highlight w:val="none"/>
        </w:rPr>
        <w:t>高可靠/高安全性原则</w:t>
      </w:r>
    </w:p>
    <w:p w14:paraId="454F5C1D">
      <w:p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应用软件应符合本地统一安全认证体系和统一用户管理体系要求，和现有平台实行统一权限管理，并支持分级授权,并提供较完善的数据加密机制和日志跟踪与分析功能。</w:t>
      </w:r>
    </w:p>
    <w:p w14:paraId="3B069C20">
      <w:pPr>
        <w:pStyle w:val="33"/>
        <w:numPr>
          <w:ilvl w:val="0"/>
          <w:numId w:val="9"/>
        </w:numPr>
        <w:spacing w:line="500" w:lineRule="exact"/>
        <w:ind w:firstLine="480"/>
        <w:rPr>
          <w:rFonts w:hint="eastAsia" w:ascii="宋体" w:hAnsi="宋体" w:cs="宋体"/>
          <w:szCs w:val="24"/>
          <w:highlight w:val="none"/>
        </w:rPr>
      </w:pPr>
      <w:r>
        <w:rPr>
          <w:rFonts w:hint="eastAsia" w:ascii="宋体" w:hAnsi="宋体" w:cs="宋体"/>
          <w:szCs w:val="24"/>
          <w:highlight w:val="none"/>
        </w:rPr>
        <w:t>可扩展性原则</w:t>
      </w:r>
    </w:p>
    <w:p w14:paraId="3E23AFC6">
      <w:p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为适应将来的发展，系统应具有良好的可扩展性，系统可以实现服务不间断的升级和应用扩展。充分考虑业务规模和结构的发展变化，系统规模的扩大和保护投资。系统构架和应用开发均具备可扩展性，能够随着应用的逐步完善和信息量的逐渐增加不断地进行扩展，整个系统可以平滑地过渡到升级后的新系统中。同时在软件系统的开发中，各个功能模块可重复利用，降低系统扩展的复杂性。</w:t>
      </w:r>
    </w:p>
    <w:p w14:paraId="5A613005">
      <w:pPr>
        <w:pStyle w:val="33"/>
        <w:numPr>
          <w:ilvl w:val="0"/>
          <w:numId w:val="9"/>
        </w:numPr>
        <w:spacing w:line="500" w:lineRule="exact"/>
        <w:ind w:firstLine="480"/>
        <w:rPr>
          <w:rFonts w:hint="eastAsia" w:ascii="宋体" w:hAnsi="宋体" w:cs="宋体"/>
          <w:szCs w:val="24"/>
          <w:highlight w:val="none"/>
        </w:rPr>
      </w:pPr>
      <w:r>
        <w:rPr>
          <w:rFonts w:hint="eastAsia" w:ascii="宋体" w:hAnsi="宋体" w:cs="宋体"/>
          <w:szCs w:val="24"/>
          <w:highlight w:val="none"/>
        </w:rPr>
        <w:t>适用性原则</w:t>
      </w:r>
    </w:p>
    <w:p w14:paraId="6CCB8E09">
      <w:p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次项目将遵循实用性建设原则，要能够充分利用现有投资，包括软硬件环境和业务系统。对于原有的业务数据接入整合可通过标准化接入方式，即以服务的形式进行改造式接入；或通过非标准化接入方式，即通过松耦合式的接口连接方式实现，两种方式均可实现对原有数据的充分利用。</w:t>
      </w:r>
    </w:p>
    <w:p w14:paraId="3FC72040">
      <w:pPr>
        <w:pStyle w:val="33"/>
        <w:numPr>
          <w:ilvl w:val="0"/>
          <w:numId w:val="9"/>
        </w:numPr>
        <w:spacing w:line="500" w:lineRule="exact"/>
        <w:ind w:firstLine="480"/>
        <w:rPr>
          <w:rFonts w:hint="eastAsia" w:ascii="宋体" w:hAnsi="宋体" w:cs="宋体"/>
          <w:szCs w:val="24"/>
          <w:highlight w:val="none"/>
        </w:rPr>
      </w:pPr>
      <w:r>
        <w:rPr>
          <w:rFonts w:hint="eastAsia" w:ascii="宋体" w:hAnsi="宋体" w:cs="宋体"/>
          <w:szCs w:val="24"/>
          <w:highlight w:val="none"/>
        </w:rPr>
        <w:t>界面友好性原则</w:t>
      </w:r>
    </w:p>
    <w:p w14:paraId="2D9ED8D1">
      <w:pPr>
        <w:pStyle w:val="7"/>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保证用户界面友好。采用交互式人机会话操作，显示画面清晰明了，操作简便，尽量减少人工输入数据量，数据输出格式美观、易读、适用，具有灵活的选择组件，提供完善的联机帮助。界面设计美观大方，操作简单易用，管理方便高效。所有操作都应在尽可能少的步骤内完成，避免不必要的操作步骤。应用系统对用户的操作顺序、输入的数据进行正确性检查，并以显著方式提示错误信息。</w:t>
      </w:r>
    </w:p>
    <w:p w14:paraId="275A174D">
      <w:pPr>
        <w:pStyle w:val="3"/>
        <w:numPr>
          <w:ilvl w:val="0"/>
          <w:numId w:val="0"/>
        </w:numPr>
        <w:spacing w:before="0" w:after="0" w:line="500" w:lineRule="exact"/>
        <w:ind w:firstLine="482"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（二）总体技术要求</w:t>
      </w:r>
    </w:p>
    <w:p w14:paraId="105D294C">
      <w:pPr>
        <w:pStyle w:val="7"/>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系统应基于本项目建设要求，结合太仓市政务环境实际，提供总体架构、网络架构等方面设计，并提供合理的运行环境规划。在技术指标上应满足以下要求：</w:t>
      </w:r>
    </w:p>
    <w:p w14:paraId="30A273C9">
      <w:pPr>
        <w:pStyle w:val="7"/>
        <w:numPr>
          <w:ilvl w:val="0"/>
          <w:numId w:val="10"/>
        </w:num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为了保障太仓市政务服务技术体系一致性和后续的延展性，项目需采用J2EE技术路线进行开发，系统架构设计层面以面向对象思想，进行构件化设计，做到系统灵活扩展。前端技术层面应使用标准化的CSS样式设计表、JavaScript脚本代码，能够支持主流浏览器。</w:t>
      </w:r>
    </w:p>
    <w:p w14:paraId="4531558D">
      <w:pPr>
        <w:pStyle w:val="7"/>
        <w:numPr>
          <w:ilvl w:val="0"/>
          <w:numId w:val="10"/>
        </w:num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系统稳定性与性能要求：系统稳定性方面，需要7×24小时不停机运行，系统维护、数据维护等工作必须在线执行；系统性能方面，应达到支持200个用户并发请求，当100个用户并发请求同一个中等复杂度的事物时，响应时间不超过5秒；在网络稳定的环境下系统交互体验要好，系统响应时间应小于3秒。</w:t>
      </w:r>
    </w:p>
    <w:p w14:paraId="7D685C7D">
      <w:pPr>
        <w:pStyle w:val="7"/>
        <w:numPr>
          <w:ilvl w:val="0"/>
          <w:numId w:val="10"/>
        </w:num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系统安全性要求：按照《信息安全技术 网络安全等级保护定级指南》（GB/T 22240-2020）中关于第三级系统的相关要求，同时遵循我市电子政务信息化安全管理的相关规定。</w:t>
      </w:r>
    </w:p>
    <w:p w14:paraId="179CA347">
      <w:pPr>
        <w:pStyle w:val="7"/>
        <w:numPr>
          <w:ilvl w:val="0"/>
          <w:numId w:val="11"/>
        </w:num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系统在建设过程中，应从技术和管理两个层面出发，制定全面的安全设计方案。技术防护方面应涵盖物理安全、网络安全、主机安全、应用安全、数据安全等关键领域，确保业务数据的安全性以及系统运行环境的稳定与可控。</w:t>
      </w:r>
    </w:p>
    <w:p w14:paraId="3B006EE6">
      <w:pPr>
        <w:pStyle w:val="7"/>
        <w:numPr>
          <w:ilvl w:val="0"/>
          <w:numId w:val="11"/>
        </w:num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鉴于当前网络安全威胁主要来自互联网侧，本项目需要提供能够跨网访问的应用安全访问网关，说明安全访问流程以及设计思路，并从网关逻辑架构、内部结构、网络部署、网关功能设计（包括但不限于认证鉴权、服务路由、协议转换、熔断限流、负载均衡等）方面提供切实可行的安全管控方案。</w:t>
      </w:r>
    </w:p>
    <w:p w14:paraId="5C69E372">
      <w:pPr>
        <w:pStyle w:val="7"/>
        <w:numPr>
          <w:ilvl w:val="0"/>
          <w:numId w:val="10"/>
        </w:num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信创要求：根据《“十四五”数字经济发展规划》加快推动数字产业化，增强关键技术创新能力，提升核心产业竞争力的要求，系统建设应支持国产基础平台的部署。</w:t>
      </w:r>
    </w:p>
    <w:p w14:paraId="2A805B96">
      <w:pPr>
        <w:pStyle w:val="3"/>
        <w:numPr>
          <w:ilvl w:val="0"/>
          <w:numId w:val="0"/>
        </w:numPr>
        <w:spacing w:before="0" w:after="0" w:line="500" w:lineRule="exact"/>
        <w:ind w:firstLine="482"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（三）详细建设要求</w:t>
      </w:r>
    </w:p>
    <w:p w14:paraId="0839CF60">
      <w:pPr>
        <w:pStyle w:val="7"/>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本平台核心建设科技项目申报、科技项目审核、科技项目配置管理三大栏目，各栏目功能需严格按照业务需求设计，实现功能完备、操作便捷、流程规范、智能高效，同时满足性能指标要求。</w:t>
      </w:r>
    </w:p>
    <w:p w14:paraId="500CE0C4">
      <w:pPr>
        <w:pStyle w:val="7"/>
        <w:numPr>
          <w:ilvl w:val="0"/>
          <w:numId w:val="12"/>
        </w:numPr>
        <w:spacing w:line="500" w:lineRule="exact"/>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科技项目申报栏目</w:t>
      </w:r>
    </w:p>
    <w:p w14:paraId="0E194254">
      <w:pPr>
        <w:pStyle w:val="7"/>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面向企业用户提供一站式在线申报服务，实现项目检索、指南查看、信息填报、材料上传、进度跟踪、合同签订、验收申请、终止申请等全流程功能，具体要求：</w:t>
      </w:r>
    </w:p>
    <w:p w14:paraId="28264812">
      <w:pPr>
        <w:pStyle w:val="7"/>
        <w:numPr>
          <w:ilvl w:val="0"/>
          <w:numId w:val="13"/>
        </w:numPr>
        <w:spacing w:line="50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申报项目列表页面：</w:t>
      </w:r>
      <w:r>
        <w:rPr>
          <w:rFonts w:hint="eastAsia" w:ascii="宋体" w:hAnsi="宋体" w:eastAsia="宋体" w:cs="宋体"/>
          <w:sz w:val="24"/>
          <w:szCs w:val="24"/>
          <w:highlight w:val="none"/>
        </w:rPr>
        <w:t>支持按项目类型、资助领域等多维度筛选，提供关键词精准搜索功能，列表信息展示清晰，包含项目名称、申报截止时间等核心内容，方便企业快速定位目标项目。</w:t>
      </w:r>
    </w:p>
    <w:p w14:paraId="3D0C8630">
      <w:pPr>
        <w:pStyle w:val="7"/>
        <w:numPr>
          <w:ilvl w:val="0"/>
          <w:numId w:val="13"/>
        </w:numPr>
        <w:spacing w:line="50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项目申报指南页面：</w:t>
      </w:r>
      <w:r>
        <w:rPr>
          <w:rFonts w:hint="eastAsia" w:ascii="宋体" w:hAnsi="宋体" w:eastAsia="宋体" w:cs="宋体"/>
          <w:sz w:val="24"/>
          <w:szCs w:val="24"/>
          <w:highlight w:val="none"/>
        </w:rPr>
        <w:t>需详细、准确呈现各项目的申报条件、资助标准、申报材料清单、申报流程、注意事项等内容，做到内容更新及时，与最新政策保持一致。</w:t>
      </w:r>
    </w:p>
    <w:p w14:paraId="610F07E9">
      <w:pPr>
        <w:pStyle w:val="7"/>
        <w:numPr>
          <w:ilvl w:val="0"/>
          <w:numId w:val="13"/>
        </w:numPr>
        <w:spacing w:line="50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项目申报登记页面：</w:t>
      </w:r>
      <w:r>
        <w:rPr>
          <w:rFonts w:hint="eastAsia" w:ascii="宋体" w:hAnsi="宋体" w:eastAsia="宋体" w:cs="宋体"/>
          <w:sz w:val="24"/>
          <w:szCs w:val="24"/>
          <w:highlight w:val="none"/>
        </w:rPr>
        <w:t>设计标准化在线表单，包含项目基本信息、企业情况等必填内容，支持附件上传功能，系统需具备表单完整性自动校验功能，对必填项缺失、格式错误等问题实时提醒，确保申报信息准确无误；支持表单暂存功能，避免数据丢失。</w:t>
      </w:r>
    </w:p>
    <w:p w14:paraId="24475A84">
      <w:pPr>
        <w:pStyle w:val="7"/>
        <w:numPr>
          <w:ilvl w:val="0"/>
          <w:numId w:val="13"/>
        </w:numPr>
        <w:spacing w:line="50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办件查询页面：</w:t>
      </w:r>
      <w:r>
        <w:rPr>
          <w:rFonts w:hint="eastAsia" w:ascii="宋体" w:hAnsi="宋体" w:eastAsia="宋体" w:cs="宋体"/>
          <w:sz w:val="24"/>
          <w:szCs w:val="24"/>
          <w:highlight w:val="none"/>
        </w:rPr>
        <w:t>支持按项目名称、申报时间、办件状态等条件检索，实时展示项目申报进度、当前处理环节等信息，实现办件进度透明化。</w:t>
      </w:r>
    </w:p>
    <w:p w14:paraId="0E5EA9B8">
      <w:pPr>
        <w:pStyle w:val="7"/>
        <w:numPr>
          <w:ilvl w:val="0"/>
          <w:numId w:val="13"/>
        </w:numPr>
        <w:spacing w:line="50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办件暂存页面：</w:t>
      </w:r>
      <w:r>
        <w:rPr>
          <w:rFonts w:hint="eastAsia" w:ascii="宋体" w:hAnsi="宋体" w:eastAsia="宋体" w:cs="宋体"/>
          <w:sz w:val="24"/>
          <w:szCs w:val="24"/>
          <w:highlight w:val="none"/>
        </w:rPr>
        <w:t>支持企业对未完成的申报材料进行保存和修改，暂存数据长期有效。</w:t>
      </w:r>
    </w:p>
    <w:p w14:paraId="115EF909">
      <w:pPr>
        <w:pStyle w:val="7"/>
        <w:numPr>
          <w:ilvl w:val="0"/>
          <w:numId w:val="13"/>
        </w:numPr>
        <w:spacing w:line="50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项目合同签订页面：</w:t>
      </w:r>
      <w:r>
        <w:rPr>
          <w:rFonts w:hint="eastAsia" w:ascii="宋体" w:hAnsi="宋体" w:eastAsia="宋体" w:cs="宋体"/>
          <w:sz w:val="24"/>
          <w:szCs w:val="24"/>
          <w:highlight w:val="none"/>
        </w:rPr>
        <w:t>支持企业对合同信息进行填写、签订，包含项目名称、实施周期、考核指标、资助金额等关键条款；支持电子签名技术，确保合同签署的法律效力，签署后的合同可在线查看、下载。</w:t>
      </w:r>
    </w:p>
    <w:p w14:paraId="5421AB84">
      <w:pPr>
        <w:pStyle w:val="7"/>
        <w:numPr>
          <w:ilvl w:val="0"/>
          <w:numId w:val="13"/>
        </w:numPr>
        <w:spacing w:line="50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项目验收申请页面：</w:t>
      </w:r>
      <w:r>
        <w:rPr>
          <w:rFonts w:hint="eastAsia" w:ascii="宋体" w:hAnsi="宋体" w:eastAsia="宋体" w:cs="宋体"/>
          <w:sz w:val="24"/>
          <w:szCs w:val="24"/>
          <w:highlight w:val="none"/>
        </w:rPr>
        <w:t>支持企业填写项目实际完成情况、上传验收材料，提交后自动进入审核流程；实时反馈审核意见和整改要求，企业可在线查看并提交整改材料。</w:t>
      </w:r>
    </w:p>
    <w:p w14:paraId="59F8340B">
      <w:pPr>
        <w:pStyle w:val="7"/>
        <w:numPr>
          <w:ilvl w:val="0"/>
          <w:numId w:val="13"/>
        </w:numPr>
        <w:spacing w:line="50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项目终止申请页面：</w:t>
      </w:r>
      <w:r>
        <w:rPr>
          <w:rFonts w:hint="eastAsia" w:ascii="宋体" w:hAnsi="宋体" w:eastAsia="宋体" w:cs="宋体"/>
          <w:sz w:val="24"/>
          <w:szCs w:val="24"/>
          <w:highlight w:val="none"/>
        </w:rPr>
        <w:t>支持企业提交终止申请，填写终止原因、已开展工作等信息，要求上传相关支撑材料；申请提交后自动流转至对应审核环节，企业可跟踪审核进度。</w:t>
      </w:r>
    </w:p>
    <w:p w14:paraId="33D381E4">
      <w:pPr>
        <w:pStyle w:val="7"/>
        <w:numPr>
          <w:ilvl w:val="0"/>
          <w:numId w:val="12"/>
        </w:numPr>
        <w:spacing w:line="500" w:lineRule="exact"/>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科技项目审核栏目</w:t>
      </w:r>
    </w:p>
    <w:p w14:paraId="632A8AB6">
      <w:pPr>
        <w:pStyle w:val="7"/>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面向审核人员提供全流程审核管理功能，实现任务处理、智能审查、多级流程协作、意见签批、全流程监督、查询统计等功能，确保审核过程规范、高效、可追溯，具体要求：</w:t>
      </w:r>
    </w:p>
    <w:p w14:paraId="26B882C0">
      <w:pPr>
        <w:pStyle w:val="7"/>
        <w:numPr>
          <w:ilvl w:val="0"/>
          <w:numId w:val="14"/>
        </w:numPr>
        <w:spacing w:line="50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个人工作台：</w:t>
      </w:r>
      <w:r>
        <w:rPr>
          <w:rFonts w:hint="eastAsia" w:ascii="宋体" w:hAnsi="宋体" w:eastAsia="宋体" w:cs="宋体"/>
          <w:sz w:val="24"/>
          <w:szCs w:val="24"/>
          <w:highlight w:val="none"/>
        </w:rPr>
        <w:t>集中展示待办任务、已办任务，支持按项目类型、提交时间等维度排序，提供“查看”入口，可一键查看项目全流程审核记录。</w:t>
      </w:r>
    </w:p>
    <w:p w14:paraId="3064ED89">
      <w:pPr>
        <w:pStyle w:val="7"/>
        <w:numPr>
          <w:ilvl w:val="0"/>
          <w:numId w:val="14"/>
        </w:numPr>
        <w:spacing w:line="50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办件箱：</w:t>
      </w:r>
      <w:r>
        <w:rPr>
          <w:rFonts w:hint="eastAsia" w:ascii="宋体" w:hAnsi="宋体" w:eastAsia="宋体" w:cs="宋体"/>
          <w:sz w:val="24"/>
          <w:szCs w:val="24"/>
          <w:highlight w:val="none"/>
        </w:rPr>
        <w:t>分类展示新申报项目、退回修改件、专家评审反馈件等办件类型，支持按项目名称、企业名称等字段检索；办件详情页需集成项目基本信息、申报材料预览、历史审核记录、意见汇总等内容，提升审核效率。</w:t>
      </w:r>
    </w:p>
    <w:p w14:paraId="50B4377E">
      <w:pPr>
        <w:pStyle w:val="7"/>
        <w:numPr>
          <w:ilvl w:val="0"/>
          <w:numId w:val="14"/>
        </w:numPr>
        <w:spacing w:line="50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智能辅助审查：</w:t>
      </w:r>
      <w:r>
        <w:rPr>
          <w:rFonts w:hint="eastAsia" w:ascii="宋体" w:hAnsi="宋体" w:eastAsia="宋体" w:cs="宋体"/>
          <w:sz w:val="24"/>
          <w:szCs w:val="24"/>
          <w:highlight w:val="none"/>
        </w:rPr>
        <w:t>实现对项目申请信息、申请表的自动预审，智能识别内容缺失、逻辑不一致、格式错误等问题，生成标注风险点并提供审核参考。支持审核人员自定义审查规则，如关键词过滤、逻辑校验等，适配不同类型科技项目的审核要求。</w:t>
      </w:r>
    </w:p>
    <w:p w14:paraId="37328681">
      <w:pPr>
        <w:pStyle w:val="7"/>
        <w:numPr>
          <w:ilvl w:val="0"/>
          <w:numId w:val="14"/>
        </w:numPr>
        <w:spacing w:line="50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业务办理：</w:t>
      </w:r>
      <w:r>
        <w:rPr>
          <w:rFonts w:hint="eastAsia" w:ascii="宋体" w:hAnsi="宋体" w:eastAsia="宋体" w:cs="宋体"/>
          <w:sz w:val="24"/>
          <w:szCs w:val="24"/>
          <w:highlight w:val="none"/>
        </w:rPr>
        <w:t>支持审核人员在线完成材料预览、信息核验、意见填写等操作，办理完成后系统自动更新项目状态，并触发下一环节的消息通知，实现流程无缝衔接。具体功能如下：</w:t>
      </w:r>
    </w:p>
    <w:p w14:paraId="1AE37414">
      <w:pPr>
        <w:pStyle w:val="7"/>
        <w:numPr>
          <w:ilvl w:val="0"/>
          <w:numId w:val="15"/>
        </w:num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具备退回申请人和退回上一步功能，退回时需填写具体退回原因和整改要求，系统自动生成退回通知并通过短信推送，退回记录同步至项目审批历程。</w:t>
      </w:r>
    </w:p>
    <w:p w14:paraId="65F9EA19">
      <w:pPr>
        <w:pStyle w:val="7"/>
        <w:numPr>
          <w:ilvl w:val="0"/>
          <w:numId w:val="15"/>
        </w:num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意见签批功能需支持正式审批意见填写、详细说明附加，签批意见自动同步至审批历程，作为合同签订、验收审核的重要参考依据。</w:t>
      </w:r>
    </w:p>
    <w:p w14:paraId="0758D9B4">
      <w:pPr>
        <w:pStyle w:val="7"/>
        <w:numPr>
          <w:ilvl w:val="0"/>
          <w:numId w:val="15"/>
        </w:num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审批历程以时间轴形式展示，完整记录项目从申报到结项的全流程操作，包括处理人、处理时间、操作类型、处理意见等，做到全程可追溯。</w:t>
      </w:r>
    </w:p>
    <w:p w14:paraId="06EE8813">
      <w:pPr>
        <w:pStyle w:val="7"/>
        <w:numPr>
          <w:ilvl w:val="0"/>
          <w:numId w:val="15"/>
        </w:num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业务追踪功能需实时展示项目状态、所在环节、环节开始时间，以看板形式按项目类型分类展示，每个项目卡片标注当前处理人、办理时长，支持点击查看材料清单、审核意见、历史操作记录等详情。</w:t>
      </w:r>
    </w:p>
    <w:p w14:paraId="64276782">
      <w:pPr>
        <w:pStyle w:val="7"/>
        <w:numPr>
          <w:ilvl w:val="0"/>
          <w:numId w:val="14"/>
        </w:numPr>
        <w:spacing w:line="50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业务定制流程：</w:t>
      </w:r>
      <w:r>
        <w:rPr>
          <w:rFonts w:hint="eastAsia" w:ascii="宋体" w:hAnsi="宋体" w:eastAsia="宋体" w:cs="宋体"/>
          <w:sz w:val="24"/>
          <w:szCs w:val="24"/>
          <w:highlight w:val="none"/>
        </w:rPr>
        <w:t>按照区镇初审、部门初审、专家立项评审、项目立项、中期检查、专家验收审核、部门验收审核的流程设计，根据不同项目场景支持流程自定义调整，同时支持奖补记录生成、项目终止审核流程，各环节要求：</w:t>
      </w:r>
    </w:p>
    <w:p w14:paraId="2159940B">
      <w:pPr>
        <w:pStyle w:val="7"/>
        <w:numPr>
          <w:ilvl w:val="0"/>
          <w:numId w:val="16"/>
        </w:num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区镇初审重点核实企业申报资格、材料完整性及基础条件；</w:t>
      </w:r>
    </w:p>
    <w:p w14:paraId="1CF44523">
      <w:pPr>
        <w:pStyle w:val="7"/>
        <w:numPr>
          <w:ilvl w:val="0"/>
          <w:numId w:val="16"/>
        </w:num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部门初审重点审核项目可行性、预算合理性及与政策目标的匹配度；</w:t>
      </w:r>
    </w:p>
    <w:p w14:paraId="2A603429">
      <w:pPr>
        <w:pStyle w:val="7"/>
        <w:numPr>
          <w:ilvl w:val="0"/>
          <w:numId w:val="16"/>
        </w:num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专家立项评审、专家验收审核支持线上评审，可在线填写评审表、上传评分结果、提交评审意见；</w:t>
      </w:r>
    </w:p>
    <w:p w14:paraId="69E2D5B1">
      <w:pPr>
        <w:pStyle w:val="7"/>
        <w:numPr>
          <w:ilvl w:val="0"/>
          <w:numId w:val="16"/>
        </w:num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项目立项环节填写、上传立项相关文件，包含合同等内容；</w:t>
      </w:r>
    </w:p>
    <w:p w14:paraId="48DEEA28">
      <w:pPr>
        <w:pStyle w:val="7"/>
        <w:numPr>
          <w:ilvl w:val="0"/>
          <w:numId w:val="16"/>
        </w:num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中期检查环节支持企业在线提交中期报告，审核人员核对项目进度、经费使用情况及阶段性成果；</w:t>
      </w:r>
    </w:p>
    <w:p w14:paraId="77DFE3AD">
      <w:pPr>
        <w:pStyle w:val="7"/>
        <w:numPr>
          <w:ilvl w:val="0"/>
          <w:numId w:val="16"/>
        </w:num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部门验收审核重点核查项目财务合规性及政策目标达成情况，审核通过后系统自动生成结项文件，触发奖补资金拨付流程；</w:t>
      </w:r>
    </w:p>
    <w:p w14:paraId="41457CEC">
      <w:pPr>
        <w:pStyle w:val="7"/>
        <w:numPr>
          <w:ilvl w:val="0"/>
          <w:numId w:val="16"/>
        </w:num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奖补记录生成功能需基于项目立项、验收及绩效评估结果，自动计算奖补资金，生成包含政策名称、企业名称、奖补类型、积分等信息的奖补记录，同步至政策发放模块；</w:t>
      </w:r>
    </w:p>
    <w:p w14:paraId="001F9CFE">
      <w:pPr>
        <w:pStyle w:val="7"/>
        <w:numPr>
          <w:ilvl w:val="0"/>
          <w:numId w:val="16"/>
        </w:num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项目终止审核环节需对企业提交的终止申请及支撑材料进行审核，审核通过后系统自动生成终止通知。</w:t>
      </w:r>
    </w:p>
    <w:p w14:paraId="55564963">
      <w:pPr>
        <w:pStyle w:val="7"/>
        <w:numPr>
          <w:ilvl w:val="0"/>
          <w:numId w:val="14"/>
        </w:numPr>
        <w:spacing w:line="50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个性化统计列表：</w:t>
      </w:r>
      <w:r>
        <w:rPr>
          <w:rFonts w:hint="eastAsia" w:ascii="宋体" w:hAnsi="宋体" w:eastAsia="宋体" w:cs="宋体"/>
          <w:sz w:val="24"/>
          <w:szCs w:val="24"/>
          <w:highlight w:val="none"/>
        </w:rPr>
        <w:t>支持用户自定义统计维度和展示形式，通过勾选字段（项目类型、申报年份、奖补金额区间等）生成统计列表，支持多级排序。</w:t>
      </w:r>
    </w:p>
    <w:p w14:paraId="3062C746">
      <w:pPr>
        <w:pStyle w:val="7"/>
        <w:numPr>
          <w:ilvl w:val="0"/>
          <w:numId w:val="14"/>
        </w:numPr>
        <w:spacing w:line="50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数据分析：</w:t>
      </w:r>
      <w:r>
        <w:rPr>
          <w:rFonts w:hint="eastAsia" w:ascii="宋体" w:hAnsi="宋体" w:eastAsia="宋体" w:cs="宋体"/>
          <w:sz w:val="24"/>
          <w:szCs w:val="24"/>
          <w:highlight w:val="none"/>
        </w:rPr>
        <w:t>基于科技项目全生命周期数据，提供可视化图表展示，包括历年项目数量、奖补积分变化趋势等，以柱状图、折线图等形式呈现，为政策决策提供数据支撑。</w:t>
      </w:r>
    </w:p>
    <w:p w14:paraId="525F01AA">
      <w:pPr>
        <w:pStyle w:val="7"/>
        <w:numPr>
          <w:ilvl w:val="0"/>
          <w:numId w:val="12"/>
        </w:numPr>
        <w:spacing w:line="500" w:lineRule="exact"/>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科技项目配置管理栏目</w:t>
      </w:r>
    </w:p>
    <w:p w14:paraId="018BDAF1">
      <w:pPr>
        <w:pStyle w:val="7"/>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面向平台管理员提供系统配置与管理功能，实现账号权限、项目属性、表单流程、通知模板等灵活配置，确保系统能够快速响应政策变化和业务调整。</w:t>
      </w:r>
    </w:p>
    <w:p w14:paraId="1AF0C78B">
      <w:pPr>
        <w:pStyle w:val="7"/>
        <w:numPr>
          <w:ilvl w:val="0"/>
          <w:numId w:val="17"/>
        </w:numPr>
        <w:spacing w:line="50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账号配置：</w:t>
      </w:r>
      <w:r>
        <w:rPr>
          <w:rFonts w:hint="eastAsia" w:ascii="宋体" w:hAnsi="宋体" w:eastAsia="宋体" w:cs="宋体"/>
          <w:sz w:val="24"/>
          <w:szCs w:val="24"/>
          <w:highlight w:val="none"/>
        </w:rPr>
        <w:t>支持区镇账号、部门账号、专家账号的统一管理，包括账号新增、删除、修改、封存等操作，配置过程中校验账号唯一性，避免重复注册。具体要求如下：</w:t>
      </w:r>
    </w:p>
    <w:p w14:paraId="01BC917E">
      <w:pPr>
        <w:pStyle w:val="7"/>
        <w:numPr>
          <w:ilvl w:val="0"/>
          <w:numId w:val="18"/>
        </w:num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按最小权限原则实现基于角色的精细化权限配置，为不同角色（区镇用户、部门审核员、专家、系统管理员）分配菜单级、操作级权限，确保用户仅能访问与其职责相关的数据和功能。</w:t>
      </w:r>
    </w:p>
    <w:p w14:paraId="7014377E">
      <w:pPr>
        <w:pStyle w:val="7"/>
        <w:numPr>
          <w:ilvl w:val="0"/>
          <w:numId w:val="18"/>
        </w:num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专家账号配置需支持专家信息录入、唯一专家编号自动生成，可按技术领域为专家分配评审权限，支持动态调整。</w:t>
      </w:r>
    </w:p>
    <w:p w14:paraId="560C1B9C">
      <w:pPr>
        <w:pStyle w:val="7"/>
        <w:numPr>
          <w:ilvl w:val="0"/>
          <w:numId w:val="17"/>
        </w:numPr>
        <w:spacing w:line="50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项目配置：</w:t>
      </w:r>
      <w:r>
        <w:rPr>
          <w:rFonts w:hint="eastAsia" w:ascii="宋体" w:hAnsi="宋体" w:eastAsia="宋体" w:cs="宋体"/>
          <w:sz w:val="24"/>
          <w:szCs w:val="24"/>
          <w:highlight w:val="none"/>
        </w:rPr>
        <w:t>支持管理员根据政策要求动态定义项目类型、申报要求，创建多级项目分类，设置项目参数；支持关联政策文件库，确保申报指南与最新政策同步更新，具备条件校验功能，自动检测重复项目类型。</w:t>
      </w:r>
    </w:p>
    <w:p w14:paraId="17CE30D3">
      <w:pPr>
        <w:pStyle w:val="7"/>
        <w:numPr>
          <w:ilvl w:val="0"/>
          <w:numId w:val="17"/>
        </w:numPr>
        <w:spacing w:line="50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字段配置：</w:t>
      </w:r>
      <w:r>
        <w:rPr>
          <w:rFonts w:hint="eastAsia" w:ascii="宋体" w:hAnsi="宋体" w:eastAsia="宋体" w:cs="宋体"/>
          <w:sz w:val="24"/>
          <w:szCs w:val="24"/>
          <w:highlight w:val="none"/>
        </w:rPr>
        <w:t>提供丰富的字段类型（文本框、下拉菜单、日期选择器、文件上传等），支持管理员拖拽组合字段，设置字段属性（必填项、字符长度限制、数据格式校验等），配置结果同步至申报端和审核端。</w:t>
      </w:r>
    </w:p>
    <w:p w14:paraId="0B08C14C">
      <w:pPr>
        <w:pStyle w:val="7"/>
        <w:numPr>
          <w:ilvl w:val="0"/>
          <w:numId w:val="17"/>
        </w:numPr>
        <w:spacing w:line="50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表单配置：</w:t>
      </w:r>
      <w:r>
        <w:rPr>
          <w:rFonts w:hint="eastAsia" w:ascii="宋体" w:hAnsi="宋体" w:eastAsia="宋体" w:cs="宋体"/>
          <w:sz w:val="24"/>
          <w:szCs w:val="24"/>
          <w:highlight w:val="none"/>
        </w:rPr>
        <w:t>基于字段配置结果生成结构化申报表单，支持管理员通过可视化编辑器调整表单布局（分栏、分组），添加标题、说明文字等，提升表单可读性。</w:t>
      </w:r>
    </w:p>
    <w:p w14:paraId="49D3EF61">
      <w:pPr>
        <w:pStyle w:val="7"/>
        <w:numPr>
          <w:ilvl w:val="0"/>
          <w:numId w:val="17"/>
        </w:numPr>
        <w:spacing w:line="50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材料配置：</w:t>
      </w:r>
      <w:r>
        <w:rPr>
          <w:rFonts w:hint="eastAsia" w:ascii="宋体" w:hAnsi="宋体" w:eastAsia="宋体" w:cs="宋体"/>
          <w:sz w:val="24"/>
          <w:szCs w:val="24"/>
          <w:highlight w:val="none"/>
        </w:rPr>
        <w:t>定义项目申报所需附件清单及格式要求，创建材料模板库并关联至具体项目类型，设置材料上传的格式、大小限制及是否必传，确保材料完整性和规范性。</w:t>
      </w:r>
    </w:p>
    <w:p w14:paraId="04EE5966">
      <w:pPr>
        <w:pStyle w:val="7"/>
        <w:numPr>
          <w:ilvl w:val="0"/>
          <w:numId w:val="17"/>
        </w:numPr>
        <w:spacing w:line="50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办理流程配置：</w:t>
      </w:r>
      <w:r>
        <w:rPr>
          <w:rFonts w:hint="eastAsia" w:ascii="宋体" w:hAnsi="宋体" w:eastAsia="宋体" w:cs="宋体"/>
          <w:sz w:val="24"/>
          <w:szCs w:val="24"/>
          <w:highlight w:val="none"/>
        </w:rPr>
        <w:t>提供可视化流程设计器，支持管理员自定义项目全生命周期管理流程，修改流程节点、设置节点顺序、办理时限及责任人，每个节点可配置操作权限和通知规则。</w:t>
      </w:r>
    </w:p>
    <w:p w14:paraId="21EDD239">
      <w:pPr>
        <w:pStyle w:val="7"/>
        <w:numPr>
          <w:ilvl w:val="0"/>
          <w:numId w:val="17"/>
        </w:numPr>
        <w:spacing w:line="50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功能按钮配置：</w:t>
      </w:r>
      <w:r>
        <w:rPr>
          <w:rFonts w:hint="eastAsia" w:ascii="宋体" w:hAnsi="宋体" w:eastAsia="宋体" w:cs="宋体"/>
          <w:sz w:val="24"/>
          <w:szCs w:val="24"/>
          <w:highlight w:val="none"/>
        </w:rPr>
        <w:t>支持管理员自定义系统界面操作按钮，为不同角色配置专属按钮组，实现按钮条件显示（如项目“已完成”状态下隐藏“修改”按钮），防止误操作和越权行为。</w:t>
      </w:r>
    </w:p>
    <w:p w14:paraId="42F79230">
      <w:pPr>
        <w:pStyle w:val="7"/>
        <w:numPr>
          <w:ilvl w:val="0"/>
          <w:numId w:val="17"/>
        </w:numPr>
        <w:spacing w:line="50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短信配置：</w:t>
      </w:r>
      <w:r>
        <w:rPr>
          <w:rFonts w:hint="eastAsia" w:ascii="宋体" w:hAnsi="宋体" w:eastAsia="宋体" w:cs="宋体"/>
          <w:sz w:val="24"/>
          <w:szCs w:val="24"/>
          <w:highlight w:val="none"/>
        </w:rPr>
        <w:t>支持创建短信模板库，定义不同场景（申报提交、审核通过、退回修改等）的短信内容，嵌入动态变量（项目名称、审核意见、办理时限等），实现关键节点信息的自动短信推送。</w:t>
      </w:r>
    </w:p>
    <w:p w14:paraId="3908BDBE">
      <w:pPr>
        <w:pStyle w:val="7"/>
        <w:numPr>
          <w:ilvl w:val="0"/>
          <w:numId w:val="12"/>
        </w:numPr>
        <w:spacing w:line="500" w:lineRule="exact"/>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AI智能拆解模块</w:t>
      </w:r>
    </w:p>
    <w:p w14:paraId="51F38DB7">
      <w:pPr>
        <w:pStyle w:val="7"/>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需通过AI技术与人工核验协同，实现政策文件的自动化归集、标准化处理、核心要素精准提取、颗粒化拆解与结构化成果生成，破解政策落地堵点，为申报、审核模块提供标准化政策数据支撑，具体要求：</w:t>
      </w:r>
    </w:p>
    <w:p w14:paraId="256B8339">
      <w:pPr>
        <w:pStyle w:val="7"/>
        <w:numPr>
          <w:ilvl w:val="0"/>
          <w:numId w:val="19"/>
        </w:numPr>
        <w:spacing w:line="50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政策数据归集：</w:t>
      </w:r>
      <w:r>
        <w:rPr>
          <w:rFonts w:hint="eastAsia" w:ascii="宋体" w:hAnsi="宋体" w:eastAsia="宋体" w:cs="宋体"/>
          <w:sz w:val="24"/>
          <w:szCs w:val="24"/>
          <w:highlight w:val="none"/>
        </w:rPr>
        <w:t>将本地现有政策数据接入AI智能体，建立太仓专属政策知识库；利用AI技术对存量政策的核心要素、条款逻辑、申报要求进行深度挖掘与建模，形成本地化政策标准；新政策拆解时，AI智能体可基于存量数据进行对比校验与自动修正，确保拆解结果贴合本地实际业务场景。</w:t>
      </w:r>
    </w:p>
    <w:p w14:paraId="42E5C56C">
      <w:pPr>
        <w:pStyle w:val="7"/>
        <w:numPr>
          <w:ilvl w:val="0"/>
          <w:numId w:val="19"/>
        </w:numPr>
        <w:spacing w:line="50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政策数据标准化处理：</w:t>
      </w:r>
      <w:r>
        <w:rPr>
          <w:rFonts w:hint="eastAsia" w:ascii="宋体" w:hAnsi="宋体" w:eastAsia="宋体" w:cs="宋体"/>
          <w:sz w:val="24"/>
          <w:szCs w:val="24"/>
          <w:highlight w:val="none"/>
        </w:rPr>
        <w:t>对部门报送的政策文件，依托平台既有数据结构体系实施标准化加工，通过格式转换、要素映射、规则校验等环节，将零散的政策文本转化为可被AI智能体识别的标准化数据格式；对政策关键信息进行规范化录入，保障数据字段完整、逻辑一致，为AI智能拆解提供高质量数据源。</w:t>
      </w:r>
    </w:p>
    <w:p w14:paraId="3E59EDB2">
      <w:pPr>
        <w:pStyle w:val="7"/>
        <w:numPr>
          <w:ilvl w:val="0"/>
          <w:numId w:val="19"/>
        </w:numPr>
        <w:spacing w:line="50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政策核心要素提取：</w:t>
      </w:r>
      <w:r>
        <w:rPr>
          <w:rFonts w:hint="eastAsia" w:ascii="宋体" w:hAnsi="宋体" w:eastAsia="宋体" w:cs="宋体"/>
          <w:sz w:val="24"/>
          <w:szCs w:val="24"/>
          <w:highlight w:val="none"/>
        </w:rPr>
        <w:t>依托惠企政策领域知识图谱与AI大模型，构建核心要素智能提取体系，重点提取政策基础信息、奖补核心条件、奖补内容、申报要求等；通过模型训练优化，提升对模糊条款、特殊情形的要素识别能力，确保提取信息全面、准确、无遗漏。</w:t>
      </w:r>
    </w:p>
    <w:p w14:paraId="1C94727A">
      <w:pPr>
        <w:pStyle w:val="7"/>
        <w:numPr>
          <w:ilvl w:val="0"/>
          <w:numId w:val="19"/>
        </w:numPr>
        <w:spacing w:line="50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政策颗粒化拆解：</w:t>
      </w:r>
      <w:r>
        <w:rPr>
          <w:rFonts w:hint="eastAsia" w:ascii="宋体" w:hAnsi="宋体" w:eastAsia="宋体" w:cs="宋体"/>
          <w:sz w:val="24"/>
          <w:szCs w:val="24"/>
          <w:highlight w:val="none"/>
        </w:rPr>
        <w:t>基于提取的核心要素，构建标准化政策标签体系，按行业、企业属性、奖补类型、申报条件等维度，将要素拆解为可复用的结构化标签，明确各标签取值范围与说明；建立标签动态更新机制，适配政策迭代与行业发展需求。</w:t>
      </w:r>
    </w:p>
    <w:p w14:paraId="5260A7B8">
      <w:pPr>
        <w:pStyle w:val="7"/>
        <w:numPr>
          <w:ilvl w:val="0"/>
          <w:numId w:val="19"/>
        </w:numPr>
        <w:spacing w:line="50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政策结构化成果生成：</w:t>
      </w:r>
      <w:r>
        <w:rPr>
          <w:rFonts w:hint="eastAsia" w:ascii="宋体" w:hAnsi="宋体" w:eastAsia="宋体" w:cs="宋体"/>
          <w:sz w:val="24"/>
          <w:szCs w:val="24"/>
          <w:highlight w:val="none"/>
        </w:rPr>
        <w:t>搭建多形态结构化成果输出体系，自动生成条目化政策要点清单（清晰呈现核心信息，适配企业查看）和JSON 格式机器可读数据（支撑平台智能匹配、推送等后续功能），实现拆解成果“一次生成、多端复用”。</w:t>
      </w:r>
    </w:p>
    <w:p w14:paraId="10E551D0">
      <w:pPr>
        <w:pStyle w:val="7"/>
        <w:numPr>
          <w:ilvl w:val="0"/>
          <w:numId w:val="19"/>
        </w:numPr>
        <w:spacing w:line="50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政策复核与修正：</w:t>
      </w:r>
      <w:r>
        <w:rPr>
          <w:rFonts w:hint="eastAsia" w:ascii="宋体" w:hAnsi="宋体" w:eastAsia="宋体" w:cs="宋体"/>
          <w:sz w:val="24"/>
          <w:szCs w:val="24"/>
          <w:highlight w:val="none"/>
        </w:rPr>
        <w:t>构建“智能校验+人工复核”双重质量保障体系；AI算法依托政策领域规则库，自动校验拆解要素的逻辑一致性、标签准确性，对信息缺失、条款矛盾等问题实时预警；各相关业务部门专业人员对智能拆解结果进行精准核对，重点修正复杂条款、模糊表述等智能拆解难点问题，确保拆解信息与原文口径完全一致、核心要素无遗漏。</w:t>
      </w:r>
    </w:p>
    <w:p w14:paraId="5D373B6D">
      <w:pPr>
        <w:pStyle w:val="7"/>
        <w:numPr>
          <w:ilvl w:val="0"/>
          <w:numId w:val="19"/>
        </w:numPr>
        <w:spacing w:line="50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申报材料关联：</w:t>
      </w:r>
      <w:r>
        <w:rPr>
          <w:rFonts w:hint="eastAsia" w:ascii="宋体" w:hAnsi="宋体" w:eastAsia="宋体" w:cs="宋体"/>
          <w:sz w:val="24"/>
          <w:szCs w:val="24"/>
          <w:highlight w:val="none"/>
        </w:rPr>
        <w:t>立足政策拆解形成的申报要求，构建申报材料智能关联体系；对存量政策，系统自动回显已关联的申报材料清单，供业务人员核查、修改；对新增政策，支持业务人员直接关联平台现有材料资源库中的标准化材料，或新增个性化材料，快速配齐申报材料清单，确保清单全面、规范。</w:t>
      </w:r>
    </w:p>
    <w:p w14:paraId="70319CA4">
      <w:pPr>
        <w:pStyle w:val="7"/>
        <w:numPr>
          <w:ilvl w:val="0"/>
          <w:numId w:val="19"/>
        </w:numPr>
        <w:spacing w:line="500" w:lineRule="exact"/>
        <w:ind w:firstLine="482" w:firstLineChars="200"/>
        <w:rPr>
          <w:rFonts w:hint="eastAsia" w:ascii="宋体" w:hAnsi="宋体" w:eastAsia="宋体" w:cs="宋体"/>
          <w:sz w:val="24"/>
          <w:szCs w:val="24"/>
          <w:highlight w:val="none"/>
        </w:rPr>
      </w:pPr>
      <w:r>
        <w:rPr>
          <w:rFonts w:hint="eastAsia" w:ascii="宋体" w:hAnsi="宋体" w:eastAsia="宋体" w:cs="宋体"/>
          <w:b/>
          <w:bCs/>
          <w:sz w:val="24"/>
          <w:szCs w:val="24"/>
          <w:highlight w:val="none"/>
        </w:rPr>
        <w:t>申报表绘制：</w:t>
      </w:r>
      <w:r>
        <w:rPr>
          <w:rFonts w:hint="eastAsia" w:ascii="宋体" w:hAnsi="宋体" w:eastAsia="宋体" w:cs="宋体"/>
          <w:sz w:val="24"/>
          <w:szCs w:val="24"/>
          <w:highlight w:val="none"/>
        </w:rPr>
        <w:t>搭建可视化申报表智能绘制功能，支持业务人员通过拖拽式操作自定义调整表单字段、格式与校验规则，适配不同政策的申报需求；提供申报表在线预览功能，实现申报表“一键生成、灵活配置”。</w:t>
      </w:r>
    </w:p>
    <w:p w14:paraId="4BE7A075">
      <w:pPr>
        <w:pStyle w:val="2"/>
        <w:numPr>
          <w:numId w:val="0"/>
        </w:numPr>
        <w:spacing w:after="0" w:line="500" w:lineRule="exact"/>
        <w:ind w:left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五、</w:t>
      </w:r>
      <w:r>
        <w:rPr>
          <w:rFonts w:hint="eastAsia" w:ascii="宋体" w:hAnsi="宋体" w:eastAsia="宋体" w:cs="宋体"/>
          <w:sz w:val="24"/>
          <w:szCs w:val="24"/>
          <w:highlight w:val="none"/>
        </w:rPr>
        <w:t>项目实施要求</w:t>
      </w:r>
    </w:p>
    <w:p w14:paraId="1ED87E87">
      <w:pPr>
        <w:pStyle w:val="3"/>
        <w:numPr>
          <w:ilvl w:val="0"/>
          <w:numId w:val="20"/>
        </w:numPr>
        <w:spacing w:before="0" w:after="0" w:line="500" w:lineRule="exact"/>
        <w:ind w:firstLine="482"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建设工期与服务地点</w:t>
      </w:r>
    </w:p>
    <w:p w14:paraId="0CB69FA6">
      <w:pPr>
        <w:pStyle w:val="7"/>
        <w:numPr>
          <w:ilvl w:val="0"/>
          <w:numId w:val="21"/>
        </w:num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建设工期为3个月。合同签订后的3个月内完成软件系统研发和联调测试，交付上线试运行，由采购单位组织项目验收。</w:t>
      </w:r>
    </w:p>
    <w:p w14:paraId="2C7F96F9">
      <w:pPr>
        <w:pStyle w:val="7"/>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响应单位应结合采购单位建设要求，按照标准化项目实施管理规范，组建符合要求的实施团队，制定符合实际的实施计划和质量保障方案，科学开展项目实施工作，按时保质保量地完成项目交付。</w:t>
      </w:r>
    </w:p>
    <w:p w14:paraId="05C33B44">
      <w:pPr>
        <w:pStyle w:val="7"/>
        <w:numPr>
          <w:ilvl w:val="0"/>
          <w:numId w:val="21"/>
        </w:num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服务地点：太仓市数据局</w:t>
      </w:r>
    </w:p>
    <w:p w14:paraId="5DBE8233">
      <w:pPr>
        <w:pStyle w:val="3"/>
        <w:numPr>
          <w:ilvl w:val="0"/>
          <w:numId w:val="20"/>
        </w:numPr>
        <w:spacing w:before="0" w:after="0" w:line="500" w:lineRule="exact"/>
        <w:ind w:firstLine="482"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项目组织机构</w:t>
      </w:r>
    </w:p>
    <w:p w14:paraId="16E4CF81">
      <w:pPr>
        <w:pStyle w:val="7"/>
        <w:spacing w:line="500" w:lineRule="exact"/>
        <w:ind w:firstLine="480" w:firstLineChars="200"/>
        <w:rPr>
          <w:rFonts w:hint="eastAsia" w:ascii="宋体" w:hAnsi="宋体" w:eastAsia="宋体" w:cs="宋体"/>
          <w:b/>
          <w:bCs/>
          <w:sz w:val="24"/>
          <w:szCs w:val="24"/>
          <w:highlight w:val="none"/>
          <w:lang w:eastAsia="en-US"/>
        </w:rPr>
      </w:pPr>
      <w:r>
        <w:rPr>
          <w:rFonts w:hint="eastAsia" w:ascii="宋体" w:hAnsi="宋体" w:eastAsia="宋体" w:cs="宋体"/>
          <w:sz w:val="24"/>
          <w:szCs w:val="24"/>
          <w:highlight w:val="none"/>
        </w:rPr>
        <w:t>应有明晰的组织机构，项目实施人员齐全，岗位职责明确，能高标准的实施项目管理。在项目实施期间，系统开发人员不得少于4人，驻点实施人员不得少于2人，并积极配合采购人完成与其他项目的应用对接，提供相关工作内容的技术支持。</w:t>
      </w:r>
      <w:r>
        <w:rPr>
          <w:rFonts w:hint="eastAsia" w:ascii="宋体" w:hAnsi="宋体" w:eastAsia="宋体" w:cs="宋体"/>
          <w:b/>
          <w:bCs/>
          <w:sz w:val="24"/>
          <w:szCs w:val="24"/>
          <w:highlight w:val="none"/>
        </w:rPr>
        <w:t>（以上为实质性响应要求，提供承诺函，格式自拟，不满足作废标处理。</w:t>
      </w:r>
      <w:r>
        <w:rPr>
          <w:rFonts w:hint="eastAsia" w:ascii="宋体" w:hAnsi="宋体" w:eastAsia="宋体" w:cs="宋体"/>
          <w:b/>
          <w:bCs/>
          <w:sz w:val="24"/>
          <w:szCs w:val="24"/>
          <w:highlight w:val="none"/>
          <w:lang w:eastAsia="en-US"/>
        </w:rPr>
        <w:t>）</w:t>
      </w:r>
    </w:p>
    <w:p w14:paraId="0BA2BAB4">
      <w:pPr>
        <w:pStyle w:val="3"/>
        <w:numPr>
          <w:ilvl w:val="0"/>
          <w:numId w:val="20"/>
        </w:numPr>
        <w:spacing w:before="0" w:after="0" w:line="500" w:lineRule="exact"/>
        <w:ind w:firstLine="482"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项目实施计划</w:t>
      </w:r>
    </w:p>
    <w:p w14:paraId="4ABF19DF">
      <w:pPr>
        <w:pStyle w:val="7"/>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项目实施进度计划是对软件开发过程的任务、时间和资源的规划安排。应提供详细的项目实施步骤，并明确项目进度计划、变更管理计划、项目测试计划和项目验收计划，全方位保障项目从执行到交付各环节有序开展。</w:t>
      </w:r>
    </w:p>
    <w:p w14:paraId="56F6A5F8">
      <w:pPr>
        <w:pStyle w:val="3"/>
        <w:numPr>
          <w:ilvl w:val="0"/>
          <w:numId w:val="20"/>
        </w:numPr>
        <w:spacing w:before="0" w:after="0" w:line="500" w:lineRule="exact"/>
        <w:ind w:firstLine="482"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项目过程管理</w:t>
      </w:r>
    </w:p>
    <w:p w14:paraId="1FAE0BF4">
      <w:pPr>
        <w:pStyle w:val="7"/>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项目过程管理是保障项目顺利推进的关键环节，良好的过程管理不仅有助于合理规划和把控项目进度，确保各项工作按计划有序推进，还能有效降低开发过程中的风险，提高交付质量。项目过程管理应涵盖项目进度管理、开发过程管理、项目变更管理、项目文档管理、项目沟通管理等。</w:t>
      </w:r>
    </w:p>
    <w:p w14:paraId="2A3539CF">
      <w:pPr>
        <w:pStyle w:val="3"/>
        <w:numPr>
          <w:ilvl w:val="0"/>
          <w:numId w:val="20"/>
        </w:numPr>
        <w:spacing w:before="0" w:after="0" w:line="500" w:lineRule="exact"/>
        <w:ind w:firstLine="482"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项目质量保障措施</w:t>
      </w:r>
    </w:p>
    <w:p w14:paraId="4EDA6E16">
      <w:p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为实现高质量的项目交付，必须明确质量管理的任务和目标，并根据项目的不同阶段（如设计阶段、准备阶段、实施阶段、验收阶段）制定切实可行且有效的质量管理措施。通过在项目不同阶段设定明确的质量标准和管理措施，可以有效预防潜在问题的发生，及时发现并解决质量问题，从而减少返工的风险，保证项目按时高质量地完成。</w:t>
      </w:r>
    </w:p>
    <w:p w14:paraId="24DAF9CE">
      <w:pPr>
        <w:pStyle w:val="3"/>
        <w:numPr>
          <w:ilvl w:val="0"/>
          <w:numId w:val="20"/>
        </w:numPr>
        <w:spacing w:before="0" w:after="0" w:line="500" w:lineRule="exact"/>
        <w:ind w:firstLine="482"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项目实施风险控制</w:t>
      </w:r>
    </w:p>
    <w:p w14:paraId="7824C4AE">
      <w:p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明确项目实施过程中可能存在的风险以及制定相应风险控制措施方法。软件实施存在需求风险、技术风险、管理风险、数据风险等，针对上述不同的风险制定不同控制措施。</w:t>
      </w:r>
    </w:p>
    <w:p w14:paraId="04600BA0">
      <w:pPr>
        <w:pStyle w:val="2"/>
        <w:numPr>
          <w:numId w:val="0"/>
        </w:numPr>
        <w:spacing w:after="0" w:line="500" w:lineRule="exact"/>
        <w:ind w:left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六、</w:t>
      </w:r>
      <w:r>
        <w:rPr>
          <w:rFonts w:hint="eastAsia" w:ascii="宋体" w:hAnsi="宋体" w:eastAsia="宋体" w:cs="宋体"/>
          <w:sz w:val="24"/>
          <w:szCs w:val="24"/>
          <w:highlight w:val="none"/>
        </w:rPr>
        <w:t>售后服务要求</w:t>
      </w:r>
    </w:p>
    <w:p w14:paraId="6D4EB5EA">
      <w:pPr>
        <w:pStyle w:val="3"/>
        <w:numPr>
          <w:ilvl w:val="0"/>
          <w:numId w:val="22"/>
        </w:numPr>
        <w:spacing w:before="0" w:after="0" w:line="500" w:lineRule="exact"/>
        <w:ind w:firstLine="482"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质保期及驻场要求</w:t>
      </w:r>
    </w:p>
    <w:p w14:paraId="523B00B0">
      <w:pPr>
        <w:pStyle w:val="7"/>
        <w:numPr>
          <w:ilvl w:val="0"/>
          <w:numId w:val="23"/>
        </w:numPr>
        <w:spacing w:line="500" w:lineRule="exact"/>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质保期：提供自项目验收合格之日起1年免费质保服务。</w:t>
      </w:r>
    </w:p>
    <w:p w14:paraId="5565A06B">
      <w:pPr>
        <w:pStyle w:val="7"/>
        <w:numPr>
          <w:ilvl w:val="0"/>
          <w:numId w:val="23"/>
        </w:numPr>
        <w:spacing w:line="500" w:lineRule="exact"/>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驻场服务：提供自项目验收合格之日起1年期1人及以上免费驻场服务。</w:t>
      </w:r>
      <w:r>
        <w:rPr>
          <w:rFonts w:hint="eastAsia" w:ascii="宋体" w:hAnsi="宋体" w:eastAsia="宋体" w:cs="宋体"/>
          <w:b/>
          <w:bCs/>
          <w:sz w:val="24"/>
          <w:szCs w:val="24"/>
          <w:highlight w:val="none"/>
          <w:lang w:bidi="ar"/>
        </w:rPr>
        <w:t>（以上为实质性响应要求，提供承诺函，格式自拟，不满足作废标处理。</w:t>
      </w:r>
      <w:r>
        <w:rPr>
          <w:rFonts w:hint="eastAsia" w:ascii="宋体" w:hAnsi="宋体" w:eastAsia="宋体" w:cs="宋体"/>
          <w:b/>
          <w:bCs/>
          <w:sz w:val="24"/>
          <w:szCs w:val="24"/>
          <w:highlight w:val="none"/>
          <w:lang w:eastAsia="en-US" w:bidi="ar"/>
        </w:rPr>
        <w:t>）</w:t>
      </w:r>
    </w:p>
    <w:p w14:paraId="5580C650">
      <w:pPr>
        <w:pStyle w:val="3"/>
        <w:numPr>
          <w:ilvl w:val="0"/>
          <w:numId w:val="22"/>
        </w:numPr>
        <w:spacing w:before="0" w:after="0" w:line="500" w:lineRule="exact"/>
        <w:ind w:firstLine="482"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售后服务保障</w:t>
      </w:r>
    </w:p>
    <w:p w14:paraId="0A619FFF">
      <w:pPr>
        <w:pStyle w:val="7"/>
        <w:numPr>
          <w:ilvl w:val="0"/>
          <w:numId w:val="24"/>
        </w:numPr>
        <w:spacing w:line="500" w:lineRule="exact"/>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明确服务目标和服务方式，并制定服务原则及策略，确保售后服务工作能够按时稳步完成。同时，制定相关管理制度规范保障，确保服务时间，服务人员行为，现场技术支持，问题记录等符合规范要求。</w:t>
      </w:r>
    </w:p>
    <w:p w14:paraId="470E1DA7">
      <w:pPr>
        <w:pStyle w:val="7"/>
        <w:numPr>
          <w:ilvl w:val="0"/>
          <w:numId w:val="24"/>
        </w:numPr>
        <w:spacing w:line="500" w:lineRule="exact"/>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中标人应根据不同情况设定不同的故障级别，并就不同故障级别提出对应的故障响应方案。在维护期内要求中标人提供7×24小时不间断的技术支持响应，在采购人提出服务要求后，中标人需在30分钟内响应，1小时内到达现场并提出解决方案，4小时内处理完毕。</w:t>
      </w:r>
    </w:p>
    <w:p w14:paraId="1B3AEFAF">
      <w:pPr>
        <w:pStyle w:val="3"/>
        <w:numPr>
          <w:ilvl w:val="0"/>
          <w:numId w:val="22"/>
        </w:numPr>
        <w:spacing w:before="0" w:after="0" w:line="500" w:lineRule="exact"/>
        <w:ind w:firstLine="482"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项目培训要求</w:t>
      </w:r>
    </w:p>
    <w:p w14:paraId="02C6D977">
      <w:pPr>
        <w:pStyle w:val="7"/>
        <w:numPr>
          <w:ilvl w:val="0"/>
          <w:numId w:val="25"/>
        </w:numPr>
        <w:spacing w:line="500" w:lineRule="exact"/>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要求针对本项目应用平台及采用的相关技术等提出全面培训计划和培训方案并征得业务主管部门领导的同意后实施。</w:t>
      </w:r>
    </w:p>
    <w:p w14:paraId="2D7060A4">
      <w:pPr>
        <w:pStyle w:val="7"/>
        <w:numPr>
          <w:ilvl w:val="0"/>
          <w:numId w:val="25"/>
        </w:numPr>
        <w:spacing w:line="500" w:lineRule="exact"/>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培训对象主要分为涉及该项目的各类人员，必须针对不同的对象制定不同的培训计划，并分别培训。培训内容将涵盖各类用户业务、系统操作、技术框架使用培训。</w:t>
      </w:r>
    </w:p>
    <w:p w14:paraId="65536570">
      <w:pPr>
        <w:pStyle w:val="7"/>
        <w:numPr>
          <w:ilvl w:val="0"/>
          <w:numId w:val="25"/>
        </w:numPr>
        <w:spacing w:line="500" w:lineRule="exact"/>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要求对所有被培训人员进行现场培训，提供文字资料、讲义等相关用品。所有的资料必须是中文书写。</w:t>
      </w:r>
    </w:p>
    <w:p w14:paraId="2304DDE9">
      <w:pPr>
        <w:pStyle w:val="7"/>
        <w:numPr>
          <w:ilvl w:val="0"/>
          <w:numId w:val="25"/>
        </w:numPr>
        <w:spacing w:line="500" w:lineRule="exact"/>
        <w:ind w:left="0"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所有的培训费用包括差旅、食宿、教材、资料等由中标人负责，均计入投标报价中。</w:t>
      </w:r>
    </w:p>
    <w:p w14:paraId="7504AD9C">
      <w:pPr>
        <w:pStyle w:val="3"/>
        <w:numPr>
          <w:ilvl w:val="0"/>
          <w:numId w:val="22"/>
        </w:numPr>
        <w:spacing w:before="0" w:after="0" w:line="500" w:lineRule="exact"/>
        <w:ind w:firstLine="482"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售后运维要求</w:t>
      </w:r>
    </w:p>
    <w:p w14:paraId="5B66B511">
      <w:pPr>
        <w:pStyle w:val="7"/>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售后运维服务工作的内容包括驻场服务、日常运维、技术支持、高级服务和紧急事件预案等服务。</w:t>
      </w:r>
    </w:p>
    <w:p w14:paraId="0CEDE118">
      <w:pPr>
        <w:numPr>
          <w:ilvl w:val="0"/>
          <w:numId w:val="26"/>
        </w:num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提供服务期限内1年至少1人的驻场服务，解决系统相关的系统使用培训和系统开发完善工作。</w:t>
      </w:r>
    </w:p>
    <w:p w14:paraId="1B7262B7">
      <w:pPr>
        <w:numPr>
          <w:ilvl w:val="0"/>
          <w:numId w:val="26"/>
        </w:num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日常运维服务包括例行巡检、系统管理、系统维护、数据维护、数据库维护、应急处理、紧急事件预案等。</w:t>
      </w:r>
    </w:p>
    <w:p w14:paraId="42A802F1">
      <w:pPr>
        <w:numPr>
          <w:ilvl w:val="0"/>
          <w:numId w:val="26"/>
        </w:num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技术支持包括日常技术保障、日常故障处理、系统故障处理、技术解答、源码验证和部署、数据交换等。</w:t>
      </w:r>
    </w:p>
    <w:p w14:paraId="4A097E71">
      <w:pPr>
        <w:numPr>
          <w:ilvl w:val="0"/>
          <w:numId w:val="26"/>
        </w:num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高级服务包括系统性能优化、扩展开发、异构平台故障排查、新平台接入的接口开发等。</w:t>
      </w:r>
    </w:p>
    <w:p w14:paraId="1539A863">
      <w:pPr>
        <w:numPr>
          <w:ilvl w:val="0"/>
          <w:numId w:val="26"/>
        </w:numPr>
        <w:spacing w:line="500" w:lineRule="exact"/>
        <w:ind w:firstLine="480" w:firstLineChars="200"/>
        <w:rPr>
          <w:rFonts w:hint="eastAsia" w:ascii="宋体" w:hAnsi="宋体" w:eastAsia="宋体" w:cs="宋体"/>
          <w:b/>
          <w:sz w:val="24"/>
          <w:szCs w:val="24"/>
          <w:highlight w:val="none"/>
        </w:rPr>
      </w:pPr>
      <w:r>
        <w:rPr>
          <w:rFonts w:hint="eastAsia" w:ascii="宋体" w:hAnsi="宋体" w:eastAsia="宋体" w:cs="宋体"/>
          <w:sz w:val="24"/>
          <w:szCs w:val="24"/>
          <w:highlight w:val="none"/>
        </w:rPr>
        <w:t>在服务期末提供《系统运维服务报告》，对整个服务期的服务工作进行总结、汇报。</w:t>
      </w:r>
    </w:p>
    <w:p w14:paraId="34026922">
      <w:pPr>
        <w:pStyle w:val="2"/>
        <w:numPr>
          <w:numId w:val="0"/>
        </w:numPr>
        <w:spacing w:after="0" w:line="500" w:lineRule="exact"/>
        <w:ind w:left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七、</w:t>
      </w:r>
      <w:bookmarkStart w:id="10" w:name="_GoBack"/>
      <w:bookmarkEnd w:id="10"/>
      <w:r>
        <w:rPr>
          <w:rFonts w:hint="eastAsia" w:ascii="宋体" w:hAnsi="宋体" w:eastAsia="宋体" w:cs="宋体"/>
          <w:sz w:val="24"/>
          <w:szCs w:val="24"/>
          <w:highlight w:val="none"/>
        </w:rPr>
        <w:t>支付方式</w:t>
      </w:r>
    </w:p>
    <w:p w14:paraId="7A1BA9FA">
      <w:p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合同签订并收到发票后60个工作日内一次性支付中标价的40%，余款视明年财政资金落实情况支付。</w:t>
      </w:r>
    </w:p>
    <w:p w14:paraId="6DB6DE24">
      <w:pPr>
        <w:pStyle w:val="9"/>
        <w:snapToGrid w:val="0"/>
        <w:spacing w:line="480" w:lineRule="exact"/>
        <w:rPr>
          <w:rFonts w:hint="eastAsia" w:hAnsi="宋体" w:eastAsia="宋体" w:cs="宋体"/>
          <w:bCs/>
          <w:sz w:val="24"/>
          <w:szCs w:val="24"/>
          <w:highlight w:val="none"/>
        </w:rPr>
      </w:pPr>
    </w:p>
    <w:p w14:paraId="12B6BBF2">
      <w:pPr>
        <w:pStyle w:val="9"/>
        <w:spacing w:line="480" w:lineRule="exact"/>
        <w:ind w:left="450"/>
        <w:rPr>
          <w:rFonts w:hint="eastAsia" w:hAnsi="宋体" w:eastAsia="宋体" w:cs="宋体"/>
          <w:b/>
          <w:sz w:val="24"/>
          <w:szCs w:val="24"/>
          <w:highlight w:val="none"/>
        </w:rPr>
      </w:pPr>
    </w:p>
    <w:p w14:paraId="4E1023CA">
      <w:pPr>
        <w:pStyle w:val="9"/>
        <w:ind w:left="450"/>
        <w:rPr>
          <w:rFonts w:hint="eastAsia" w:hAnsi="宋体" w:eastAsia="宋体" w:cs="宋体"/>
          <w:b/>
          <w:sz w:val="24"/>
          <w:szCs w:val="24"/>
          <w:highlight w:val="none"/>
        </w:rPr>
      </w:pPr>
    </w:p>
    <w:p w14:paraId="6E87F290">
      <w:pPr>
        <w:spacing w:line="440" w:lineRule="exact"/>
        <w:rPr>
          <w:rFonts w:hint="eastAsia" w:ascii="宋体" w:hAnsi="宋体" w:eastAsia="宋体" w:cs="宋体"/>
          <w:b/>
          <w:bCs/>
          <w:sz w:val="24"/>
          <w:szCs w:val="24"/>
          <w:highlight w:val="none"/>
        </w:rPr>
      </w:pPr>
    </w:p>
    <w:p w14:paraId="4AFBFD25">
      <w:pPr>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附件：服务类项目履约验收方案</w:t>
      </w:r>
    </w:p>
    <w:p w14:paraId="1D21E3D3">
      <w:pPr>
        <w:pStyle w:val="58"/>
        <w:spacing w:line="440" w:lineRule="exact"/>
        <w:rPr>
          <w:rFonts w:hint="eastAsia" w:hAnsi="宋体" w:eastAsia="宋体" w:cs="宋体"/>
          <w:b/>
          <w:bCs/>
          <w:sz w:val="24"/>
          <w:szCs w:val="24"/>
          <w:highlight w:val="none"/>
        </w:rPr>
      </w:pPr>
      <w:r>
        <w:rPr>
          <w:rFonts w:hint="eastAsia" w:hAnsi="宋体" w:eastAsia="宋体" w:cs="宋体"/>
          <w:b/>
          <w:bCs/>
          <w:sz w:val="24"/>
          <w:szCs w:val="24"/>
          <w:highlight w:val="none"/>
        </w:rPr>
        <w:t>一、项目概况</w:t>
      </w:r>
    </w:p>
    <w:p w14:paraId="4ADB3977">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项目编号：</w:t>
      </w:r>
    </w:p>
    <w:p w14:paraId="6170C0DD">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项目名称：</w:t>
      </w:r>
    </w:p>
    <w:p w14:paraId="4B0B1625">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供应商名称：</w:t>
      </w:r>
    </w:p>
    <w:p w14:paraId="6DECDD34">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 xml:space="preserve">合同金额： </w:t>
      </w:r>
    </w:p>
    <w:p w14:paraId="5DD845A7">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验收主体：</w:t>
      </w:r>
    </w:p>
    <w:p w14:paraId="7E33EC88">
      <w:pPr>
        <w:pStyle w:val="58"/>
        <w:spacing w:line="440" w:lineRule="exact"/>
        <w:rPr>
          <w:rFonts w:hint="eastAsia" w:hAnsi="宋体" w:eastAsia="宋体" w:cs="宋体"/>
          <w:b/>
          <w:bCs/>
          <w:sz w:val="24"/>
          <w:szCs w:val="24"/>
          <w:highlight w:val="none"/>
        </w:rPr>
      </w:pPr>
      <w:r>
        <w:rPr>
          <w:rFonts w:hint="eastAsia" w:hAnsi="宋体" w:eastAsia="宋体" w:cs="宋体"/>
          <w:b/>
          <w:bCs/>
          <w:sz w:val="24"/>
          <w:szCs w:val="24"/>
          <w:highlight w:val="none"/>
        </w:rPr>
        <w:t>二、验收目的</w:t>
      </w:r>
    </w:p>
    <w:p w14:paraId="49FD1A41">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p>
    <w:p w14:paraId="19BECF21">
      <w:pPr>
        <w:pStyle w:val="58"/>
        <w:spacing w:line="440" w:lineRule="exact"/>
        <w:rPr>
          <w:rFonts w:hint="eastAsia" w:hAnsi="宋体" w:eastAsia="宋体" w:cs="宋体"/>
          <w:b/>
          <w:bCs/>
          <w:sz w:val="24"/>
          <w:szCs w:val="24"/>
          <w:highlight w:val="none"/>
        </w:rPr>
      </w:pPr>
      <w:r>
        <w:rPr>
          <w:rFonts w:hint="eastAsia" w:hAnsi="宋体" w:eastAsia="宋体" w:cs="宋体"/>
          <w:b/>
          <w:bCs/>
          <w:sz w:val="24"/>
          <w:szCs w:val="24"/>
          <w:highlight w:val="none"/>
        </w:rPr>
        <w:t>三、验收依据</w:t>
      </w:r>
    </w:p>
    <w:p w14:paraId="6CA8B331">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p>
    <w:p w14:paraId="4515B565">
      <w:pPr>
        <w:pStyle w:val="58"/>
        <w:spacing w:line="440" w:lineRule="exact"/>
        <w:rPr>
          <w:rFonts w:hint="eastAsia" w:hAnsi="宋体" w:eastAsia="宋体" w:cs="宋体"/>
          <w:b/>
          <w:bCs/>
          <w:sz w:val="24"/>
          <w:szCs w:val="24"/>
          <w:highlight w:val="none"/>
        </w:rPr>
      </w:pPr>
      <w:r>
        <w:rPr>
          <w:rFonts w:hint="eastAsia" w:hAnsi="宋体" w:eastAsia="宋体" w:cs="宋体"/>
          <w:b/>
          <w:bCs/>
          <w:sz w:val="24"/>
          <w:szCs w:val="24"/>
          <w:highlight w:val="none"/>
        </w:rPr>
        <w:t>四、验收责任主体</w:t>
      </w:r>
    </w:p>
    <w:p w14:paraId="71C0EE1A">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p>
    <w:p w14:paraId="4082B5F1">
      <w:pPr>
        <w:pStyle w:val="58"/>
        <w:spacing w:line="440" w:lineRule="exact"/>
        <w:rPr>
          <w:rFonts w:hint="eastAsia" w:hAnsi="宋体" w:eastAsia="宋体" w:cs="宋体"/>
          <w:b/>
          <w:bCs/>
          <w:sz w:val="24"/>
          <w:szCs w:val="24"/>
          <w:highlight w:val="none"/>
        </w:rPr>
      </w:pPr>
      <w:r>
        <w:rPr>
          <w:rFonts w:hint="eastAsia" w:hAnsi="宋体" w:eastAsia="宋体" w:cs="宋体"/>
          <w:b/>
          <w:bCs/>
          <w:sz w:val="24"/>
          <w:szCs w:val="24"/>
          <w:highlight w:val="none"/>
        </w:rPr>
        <w:t>五、验收方式(形式)</w:t>
      </w:r>
    </w:p>
    <w:p w14:paraId="6119FB58">
      <w:pPr>
        <w:pStyle w:val="58"/>
        <w:spacing w:line="440" w:lineRule="exact"/>
        <w:ind w:firstLine="482"/>
        <w:rPr>
          <w:rFonts w:hint="eastAsia" w:hAnsi="宋体" w:eastAsia="宋体" w:cs="宋体"/>
          <w:b/>
          <w:bCs/>
          <w:sz w:val="24"/>
          <w:szCs w:val="24"/>
          <w:highlight w:val="none"/>
        </w:rPr>
      </w:pPr>
      <w:r>
        <w:rPr>
          <w:rFonts w:hint="eastAsia" w:hAnsi="宋体" w:eastAsia="宋体" w:cs="宋体"/>
          <w:b/>
          <w:bCs/>
          <w:sz w:val="24"/>
          <w:szCs w:val="24"/>
          <w:highlight w:val="none"/>
        </w:rPr>
        <w:t>5.1日常考核、分段验收</w:t>
      </w:r>
    </w:p>
    <w:p w14:paraId="18BA2285">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对于一次性整体验收不能反映履约情况的服务类项目，需要在服务期内对供应商服务实施情况进行日常考核、分段验收，应科学确定检查周期或分段节点，指派具体考核人员，分别实施验收。</w:t>
      </w:r>
    </w:p>
    <w:p w14:paraId="665AA379">
      <w:pPr>
        <w:pStyle w:val="58"/>
        <w:spacing w:line="440" w:lineRule="exact"/>
        <w:ind w:firstLine="482"/>
        <w:rPr>
          <w:rFonts w:hint="eastAsia" w:hAnsi="宋体" w:eastAsia="宋体" w:cs="宋体"/>
          <w:sz w:val="24"/>
          <w:szCs w:val="24"/>
          <w:highlight w:val="none"/>
        </w:rPr>
      </w:pPr>
      <w:r>
        <w:rPr>
          <w:rFonts w:hint="eastAsia" w:hAnsi="宋体" w:eastAsia="宋体" w:cs="宋体"/>
          <w:b/>
          <w:bCs/>
          <w:sz w:val="24"/>
          <w:szCs w:val="24"/>
          <w:highlight w:val="none"/>
        </w:rPr>
        <w:t>5.2最终验收</w:t>
      </w:r>
    </w:p>
    <w:p w14:paraId="71FF3B40">
      <w:pPr>
        <w:pStyle w:val="58"/>
        <w:spacing w:line="440" w:lineRule="exact"/>
        <w:rPr>
          <w:rFonts w:hint="eastAsia" w:hAnsi="宋体" w:eastAsia="宋体" w:cs="宋体"/>
          <w:b/>
          <w:bCs/>
          <w:sz w:val="24"/>
          <w:szCs w:val="24"/>
          <w:highlight w:val="none"/>
        </w:rPr>
      </w:pPr>
      <w:r>
        <w:rPr>
          <w:rFonts w:hint="eastAsia" w:hAnsi="宋体" w:eastAsia="宋体" w:cs="宋体"/>
          <w:b/>
          <w:bCs/>
          <w:sz w:val="24"/>
          <w:szCs w:val="24"/>
          <w:highlight w:val="none"/>
        </w:rPr>
        <w:t>六、验收内容：</w:t>
      </w:r>
    </w:p>
    <w:p w14:paraId="4322D065">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p>
    <w:p w14:paraId="57AFB095">
      <w:pPr>
        <w:pStyle w:val="58"/>
        <w:spacing w:line="440" w:lineRule="exact"/>
        <w:rPr>
          <w:rFonts w:hint="eastAsia" w:hAnsi="宋体" w:eastAsia="宋体" w:cs="宋体"/>
          <w:b/>
          <w:bCs/>
          <w:sz w:val="24"/>
          <w:szCs w:val="24"/>
          <w:highlight w:val="none"/>
        </w:rPr>
      </w:pPr>
      <w:r>
        <w:rPr>
          <w:rFonts w:hint="eastAsia" w:hAnsi="宋体" w:eastAsia="宋体" w:cs="宋体"/>
          <w:b/>
          <w:bCs/>
          <w:sz w:val="24"/>
          <w:szCs w:val="24"/>
          <w:highlight w:val="none"/>
        </w:rPr>
        <w:t>七、验收程序：</w:t>
      </w:r>
    </w:p>
    <w:p w14:paraId="2C5D0E28">
      <w:pPr>
        <w:pStyle w:val="58"/>
        <w:spacing w:line="440" w:lineRule="exact"/>
        <w:ind w:firstLine="482"/>
        <w:rPr>
          <w:rFonts w:hint="eastAsia" w:hAnsi="宋体" w:eastAsia="宋体" w:cs="宋体"/>
          <w:b/>
          <w:bCs/>
          <w:sz w:val="24"/>
          <w:szCs w:val="24"/>
          <w:highlight w:val="none"/>
        </w:rPr>
      </w:pPr>
      <w:r>
        <w:rPr>
          <w:rFonts w:hint="eastAsia" w:hAnsi="宋体" w:eastAsia="宋体" w:cs="宋体"/>
          <w:b/>
          <w:bCs/>
          <w:sz w:val="24"/>
          <w:szCs w:val="24"/>
          <w:highlight w:val="none"/>
        </w:rPr>
        <w:t>7.1验收准备</w:t>
      </w:r>
    </w:p>
    <w:p w14:paraId="3C00DEEA">
      <w:pPr>
        <w:pStyle w:val="58"/>
        <w:spacing w:line="440" w:lineRule="exact"/>
        <w:ind w:firstLine="480"/>
        <w:rPr>
          <w:rFonts w:hint="eastAsia" w:hAnsi="宋体" w:eastAsia="宋体" w:cs="宋体"/>
          <w:b/>
          <w:bCs/>
          <w:sz w:val="24"/>
          <w:szCs w:val="24"/>
          <w:highlight w:val="none"/>
        </w:rPr>
      </w:pPr>
      <w:r>
        <w:rPr>
          <w:rFonts w:hint="eastAsia" w:hAnsi="宋体" w:eastAsia="宋体" w:cs="宋体"/>
          <w:sz w:val="24"/>
          <w:szCs w:val="24"/>
          <w:highlight w:val="none"/>
        </w:rPr>
        <w:t>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hAnsi="宋体" w:eastAsia="宋体" w:cs="宋体"/>
          <w:b/>
          <w:bCs/>
          <w:sz w:val="24"/>
          <w:szCs w:val="24"/>
          <w:highlight w:val="none"/>
        </w:rPr>
        <w:t>供应商在收到催告后五个工作日内拒不配合的，采购人应依照合同约定追究其责任。</w:t>
      </w:r>
    </w:p>
    <w:p w14:paraId="14A679C0">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7.1.2供应商应当配合采购人、采购代理机构做好项目验收工作，及时提供与项目验收相关的生产、技术、服务、数量、质量、安全、合格证明及验收所必须具备的其他材料。</w:t>
      </w:r>
    </w:p>
    <w:p w14:paraId="2F6BAD53">
      <w:pPr>
        <w:pStyle w:val="58"/>
        <w:spacing w:line="440" w:lineRule="exact"/>
        <w:ind w:firstLine="480"/>
        <w:rPr>
          <w:rFonts w:hint="eastAsia" w:hAnsi="宋体" w:eastAsia="宋体" w:cs="宋体"/>
          <w:b/>
          <w:bCs/>
          <w:sz w:val="24"/>
          <w:szCs w:val="24"/>
          <w:highlight w:val="none"/>
        </w:rPr>
      </w:pPr>
      <w:r>
        <w:rPr>
          <w:rFonts w:hint="eastAsia" w:hAnsi="宋体" w:eastAsia="宋体" w:cs="宋体"/>
          <w:sz w:val="24"/>
          <w:szCs w:val="24"/>
          <w:highlight w:val="none"/>
        </w:rPr>
        <w:t>7.1.3采购人应及时全面准备验收，自收到验收</w:t>
      </w:r>
      <w:r>
        <w:rPr>
          <w:rFonts w:hint="eastAsia" w:hAnsi="宋体" w:eastAsia="宋体" w:cs="宋体"/>
          <w:b/>
          <w:bCs/>
          <w:sz w:val="24"/>
          <w:szCs w:val="24"/>
          <w:highlight w:val="none"/>
        </w:rPr>
        <w:t>申请之日起五个工作日内</w:t>
      </w:r>
      <w:r>
        <w:rPr>
          <w:rFonts w:hint="eastAsia" w:hAnsi="宋体" w:eastAsia="宋体" w:cs="宋体"/>
          <w:sz w:val="24"/>
          <w:szCs w:val="24"/>
          <w:highlight w:val="none"/>
        </w:rPr>
        <w:t>做好通水、通电、准备验收工具等必要的验收准备工作、启动项目验收、通知供应商。</w:t>
      </w:r>
    </w:p>
    <w:p w14:paraId="0E6C3E8F">
      <w:pPr>
        <w:pStyle w:val="58"/>
        <w:spacing w:line="440" w:lineRule="exact"/>
        <w:ind w:firstLine="482"/>
        <w:rPr>
          <w:rFonts w:hint="eastAsia" w:hAnsi="宋体" w:eastAsia="宋体" w:cs="宋体"/>
          <w:b/>
          <w:bCs/>
          <w:sz w:val="24"/>
          <w:szCs w:val="24"/>
          <w:highlight w:val="none"/>
        </w:rPr>
      </w:pPr>
      <w:r>
        <w:rPr>
          <w:rFonts w:hint="eastAsia" w:hAnsi="宋体" w:eastAsia="宋体" w:cs="宋体"/>
          <w:b/>
          <w:bCs/>
          <w:sz w:val="24"/>
          <w:szCs w:val="24"/>
          <w:highlight w:val="none"/>
        </w:rPr>
        <w:t>7.2验收小组</w:t>
      </w:r>
    </w:p>
    <w:p w14:paraId="58A9F5AA">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p>
    <w:p w14:paraId="28C25AC9">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p>
    <w:p w14:paraId="4F766461">
      <w:pPr>
        <w:pStyle w:val="58"/>
        <w:spacing w:line="440" w:lineRule="exact"/>
        <w:ind w:firstLine="482"/>
        <w:rPr>
          <w:rFonts w:hint="eastAsia" w:hAnsi="宋体" w:eastAsia="宋体" w:cs="宋体"/>
          <w:b/>
          <w:bCs/>
          <w:sz w:val="24"/>
          <w:szCs w:val="24"/>
          <w:highlight w:val="none"/>
        </w:rPr>
      </w:pPr>
      <w:r>
        <w:rPr>
          <w:rFonts w:hint="eastAsia" w:hAnsi="宋体" w:eastAsia="宋体" w:cs="宋体"/>
          <w:b/>
          <w:bCs/>
          <w:sz w:val="24"/>
          <w:szCs w:val="24"/>
          <w:highlight w:val="none"/>
        </w:rPr>
        <w:t>7.3参与验收人员</w:t>
      </w:r>
    </w:p>
    <w:p w14:paraId="786AF6F2">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7.3.1技术复杂或专业性强的政府采购项目，可以邀请有资质的第三方专业机构参加验收并出具专业意见。</w:t>
      </w:r>
    </w:p>
    <w:p w14:paraId="38EAA8C2">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7.3.2对于采购人和使用人分离的采购项目，采购人或其委托的采购代理机构应当邀请实际使用人参与验收</w:t>
      </w:r>
    </w:p>
    <w:p w14:paraId="39E93C35">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7.3.3政府向社会公众提供的公共服务项目，验收时应当邀请服务对象进行公共服务项目满意度评价，评价结果作为履约验收的参考依据。</w:t>
      </w:r>
    </w:p>
    <w:p w14:paraId="015C31A8">
      <w:pPr>
        <w:pStyle w:val="58"/>
        <w:spacing w:line="440" w:lineRule="exact"/>
        <w:ind w:firstLine="482"/>
        <w:rPr>
          <w:rFonts w:hint="eastAsia" w:hAnsi="宋体" w:eastAsia="宋体" w:cs="宋体"/>
          <w:b/>
          <w:bCs/>
          <w:sz w:val="24"/>
          <w:szCs w:val="24"/>
          <w:highlight w:val="none"/>
        </w:rPr>
      </w:pPr>
      <w:r>
        <w:rPr>
          <w:rFonts w:hint="eastAsia" w:hAnsi="宋体" w:eastAsia="宋体" w:cs="宋体"/>
          <w:b/>
          <w:bCs/>
          <w:sz w:val="24"/>
          <w:szCs w:val="24"/>
          <w:highlight w:val="none"/>
        </w:rPr>
        <w:t>7.4验收原则</w:t>
      </w:r>
    </w:p>
    <w:p w14:paraId="1F23937F">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政府采购履约验收应当遵循全面完整、客观真实、诚实信用的原则，坚持公开透明、应验必验、验收必严、违约必究。</w:t>
      </w:r>
    </w:p>
    <w:p w14:paraId="414E3888">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p>
    <w:p w14:paraId="21DB704A">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7.4.2项目验收范围应当完整，与采购合同一致，不得省略、遗漏和缺失，也不得擅自扩大范围。</w:t>
      </w:r>
    </w:p>
    <w:p w14:paraId="55541801">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7.4.3项目验收方式应当符合项目特点，不能明确客观标准、涉及主观判断的，可以通过在采购人、使用人中开展问卷调查等方式予以客观、量化。</w:t>
      </w:r>
    </w:p>
    <w:p w14:paraId="0ACC5179">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7.4.4项目验收标准应包括所有客观、量化指标，符合采购合同约定，未进行相应约定的，应当符合法律法规、政策要求、国家标准、行业标准，地方标准或企业标准等有关标准。</w:t>
      </w:r>
    </w:p>
    <w:p w14:paraId="142B721B">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7.4.5项目验收意见应当客观真实。验收小组成员意见不一致时，按照少数服从多数的原则作出验收意见。</w:t>
      </w:r>
    </w:p>
    <w:p w14:paraId="64B7C545">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7.4.6验收方法主要包括全部查验核对和抽查核对。</w:t>
      </w:r>
    </w:p>
    <w:p w14:paraId="4C74346A">
      <w:pPr>
        <w:pStyle w:val="58"/>
        <w:spacing w:line="440" w:lineRule="exact"/>
        <w:ind w:firstLine="482"/>
        <w:rPr>
          <w:rFonts w:hint="eastAsia" w:hAnsi="宋体" w:eastAsia="宋体" w:cs="宋体"/>
          <w:b/>
          <w:bCs/>
          <w:sz w:val="24"/>
          <w:szCs w:val="24"/>
          <w:highlight w:val="none"/>
        </w:rPr>
      </w:pPr>
      <w:r>
        <w:rPr>
          <w:rFonts w:hint="eastAsia" w:hAnsi="宋体" w:eastAsia="宋体" w:cs="宋体"/>
          <w:b/>
          <w:bCs/>
          <w:sz w:val="24"/>
          <w:szCs w:val="24"/>
          <w:highlight w:val="none"/>
        </w:rPr>
        <w:t>7.5验收记录</w:t>
      </w:r>
    </w:p>
    <w:p w14:paraId="72E2186F">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7.5.1验收小组应当要求参与验收的供应商、专业机构、专家和服务对象等出具书面意见，作为验收书的重要组成部分。</w:t>
      </w:r>
    </w:p>
    <w:p w14:paraId="3C09C69C">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p>
    <w:p w14:paraId="1CFD8529">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7.5.3验收结束后，验收小组应在验收书中作出最终验收意见，验收小组成员对验收意见有异议的，应当在验收意见栏签署不同意见并说明理由，否则视为同意验收意见。验收意见由供应商盖章确认后报采购人。</w:t>
      </w:r>
    </w:p>
    <w:p w14:paraId="21DFC1BC">
      <w:pPr>
        <w:pStyle w:val="58"/>
        <w:spacing w:line="440" w:lineRule="exact"/>
        <w:ind w:firstLine="482"/>
        <w:rPr>
          <w:rFonts w:hint="eastAsia" w:hAnsi="宋体" w:eastAsia="宋体" w:cs="宋体"/>
          <w:b/>
          <w:bCs/>
          <w:sz w:val="24"/>
          <w:szCs w:val="24"/>
          <w:highlight w:val="none"/>
        </w:rPr>
      </w:pPr>
      <w:r>
        <w:rPr>
          <w:rFonts w:hint="eastAsia" w:hAnsi="宋体" w:eastAsia="宋体" w:cs="宋体"/>
          <w:b/>
          <w:bCs/>
          <w:sz w:val="24"/>
          <w:szCs w:val="24"/>
          <w:highlight w:val="none"/>
        </w:rPr>
        <w:t>八、验收结果</w:t>
      </w:r>
    </w:p>
    <w:p w14:paraId="2DD8A33A">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p>
    <w:p w14:paraId="5D9A8795">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p>
    <w:p w14:paraId="6448702E">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p>
    <w:p w14:paraId="49DFB3FA">
      <w:pPr>
        <w:pStyle w:val="58"/>
        <w:spacing w:line="440" w:lineRule="exact"/>
        <w:ind w:firstLine="482"/>
        <w:rPr>
          <w:rFonts w:hint="eastAsia" w:hAnsi="宋体" w:eastAsia="宋体" w:cs="宋体"/>
          <w:b/>
          <w:bCs/>
          <w:sz w:val="24"/>
          <w:szCs w:val="24"/>
          <w:highlight w:val="none"/>
        </w:rPr>
      </w:pPr>
      <w:r>
        <w:rPr>
          <w:rFonts w:hint="eastAsia" w:hAnsi="宋体" w:eastAsia="宋体" w:cs="宋体"/>
          <w:b/>
          <w:bCs/>
          <w:sz w:val="24"/>
          <w:szCs w:val="24"/>
          <w:highlight w:val="none"/>
        </w:rPr>
        <w:t>九、验收资料归档</w:t>
      </w:r>
    </w:p>
    <w:p w14:paraId="313533E7">
      <w:pPr>
        <w:pStyle w:val="58"/>
        <w:spacing w:line="440" w:lineRule="exact"/>
        <w:ind w:firstLine="480"/>
        <w:rPr>
          <w:rFonts w:hint="eastAsia" w:hAnsi="宋体" w:eastAsia="宋体" w:cs="宋体"/>
          <w:sz w:val="24"/>
          <w:szCs w:val="24"/>
          <w:highlight w:val="none"/>
        </w:rPr>
      </w:pPr>
      <w:r>
        <w:rPr>
          <w:rFonts w:hint="eastAsia" w:hAnsi="宋体" w:eastAsia="宋体" w:cs="宋体"/>
          <w:sz w:val="24"/>
          <w:szCs w:val="24"/>
          <w:highlight w:val="none"/>
        </w:rPr>
        <w:t>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p>
    <w:p w14:paraId="671A286F">
      <w:pPr>
        <w:pBdr>
          <w:top w:val="none" w:color="000000" w:sz="0" w:space="0"/>
          <w:left w:val="none" w:color="000000" w:sz="0" w:space="0"/>
          <w:bottom w:val="none" w:color="000000" w:sz="0" w:space="0"/>
          <w:right w:val="none" w:color="000000" w:sz="0" w:space="0"/>
        </w:pBdr>
        <w:spacing w:before="240" w:after="240" w:line="440" w:lineRule="exact"/>
        <w:ind w:firstLine="378"/>
        <w:jc w:val="center"/>
        <w:rPr>
          <w:rFonts w:hint="eastAsia" w:ascii="宋体" w:hAnsi="宋体" w:eastAsia="宋体" w:cs="宋体"/>
          <w:b/>
          <w:bCs/>
          <w:spacing w:val="9"/>
          <w:sz w:val="44"/>
          <w:szCs w:val="44"/>
          <w:highlight w:val="none"/>
        </w:rPr>
      </w:pPr>
    </w:p>
    <w:p w14:paraId="59406E65">
      <w:pPr>
        <w:pStyle w:val="5"/>
        <w:numPr>
          <w:ilvl w:val="3"/>
          <w:numId w:val="0"/>
        </w:numPr>
        <w:rPr>
          <w:rFonts w:hint="eastAsia" w:ascii="宋体" w:hAnsi="宋体" w:eastAsia="宋体" w:cs="宋体"/>
          <w:highlight w:val="none"/>
        </w:rPr>
      </w:pPr>
    </w:p>
    <w:p w14:paraId="498EB836">
      <w:pPr>
        <w:pBdr>
          <w:top w:val="none" w:color="000000" w:sz="0" w:space="0"/>
          <w:left w:val="none" w:color="000000" w:sz="0" w:space="0"/>
          <w:bottom w:val="none" w:color="000000" w:sz="0" w:space="0"/>
          <w:right w:val="none" w:color="000000" w:sz="0" w:space="0"/>
        </w:pBdr>
        <w:spacing w:before="240" w:after="240" w:line="440" w:lineRule="exact"/>
        <w:ind w:firstLine="378"/>
        <w:jc w:val="center"/>
        <w:rPr>
          <w:rFonts w:hint="eastAsia" w:ascii="宋体" w:hAnsi="宋体" w:eastAsia="宋体" w:cs="宋体"/>
          <w:b/>
          <w:bCs/>
          <w:sz w:val="44"/>
          <w:szCs w:val="44"/>
          <w:highlight w:val="none"/>
        </w:rPr>
      </w:pPr>
      <w:r>
        <w:rPr>
          <w:rFonts w:hint="eastAsia" w:ascii="宋体" w:hAnsi="宋体" w:eastAsia="宋体" w:cs="宋体"/>
          <w:b/>
          <w:bCs/>
          <w:spacing w:val="9"/>
          <w:sz w:val="44"/>
          <w:szCs w:val="44"/>
          <w:highlight w:val="none"/>
        </w:rPr>
        <w:t>政府采购履约验收书(服务类）</w:t>
      </w:r>
    </w:p>
    <w:tbl>
      <w:tblPr>
        <w:tblStyle w:val="24"/>
        <w:tblW w:w="96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1276"/>
        <w:gridCol w:w="1276"/>
        <w:gridCol w:w="1559"/>
        <w:gridCol w:w="1417"/>
        <w:gridCol w:w="142"/>
        <w:gridCol w:w="1134"/>
        <w:gridCol w:w="1134"/>
        <w:gridCol w:w="1701"/>
      </w:tblGrid>
      <w:tr w14:paraId="3AF34D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72"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455E0BC7">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采购人</w:t>
            </w:r>
          </w:p>
        </w:tc>
        <w:tc>
          <w:tcPr>
            <w:tcW w:w="1276" w:type="dxa"/>
            <w:tcBorders>
              <w:top w:val="single" w:color="000000" w:sz="2" w:space="0"/>
              <w:left w:val="single" w:color="000000" w:sz="2" w:space="0"/>
              <w:bottom w:val="single" w:color="000000" w:sz="2" w:space="0"/>
              <w:right w:val="single" w:color="000000" w:sz="2" w:space="0"/>
            </w:tcBorders>
            <w:vAlign w:val="center"/>
          </w:tcPr>
          <w:p w14:paraId="530F2F5F">
            <w:pPr>
              <w:spacing w:line="360" w:lineRule="exact"/>
              <w:jc w:val="center"/>
              <w:rPr>
                <w:rFonts w:hint="eastAsia" w:ascii="宋体" w:hAnsi="宋体" w:eastAsia="宋体" w:cs="宋体"/>
                <w:sz w:val="18"/>
                <w:szCs w:val="18"/>
                <w:highlight w:val="none"/>
                <w:lang w:bidi="ar"/>
              </w:rPr>
            </w:pPr>
          </w:p>
        </w:tc>
        <w:tc>
          <w:tcPr>
            <w:tcW w:w="1559" w:type="dxa"/>
            <w:tcBorders>
              <w:top w:val="single" w:color="000000" w:sz="2" w:space="0"/>
              <w:left w:val="single" w:color="000000" w:sz="2" w:space="0"/>
              <w:bottom w:val="single" w:color="000000" w:sz="2" w:space="0"/>
              <w:right w:val="single" w:color="000000" w:sz="2" w:space="0"/>
            </w:tcBorders>
            <w:vAlign w:val="center"/>
          </w:tcPr>
          <w:p w14:paraId="631B27BF">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项目名称</w:t>
            </w:r>
          </w:p>
        </w:tc>
        <w:tc>
          <w:tcPr>
            <w:tcW w:w="1417" w:type="dxa"/>
            <w:tcBorders>
              <w:top w:val="single" w:color="000000" w:sz="2" w:space="0"/>
              <w:left w:val="single" w:color="000000" w:sz="2" w:space="0"/>
              <w:bottom w:val="single" w:color="000000" w:sz="2" w:space="0"/>
              <w:right w:val="single" w:color="000000" w:sz="2" w:space="0"/>
            </w:tcBorders>
            <w:vAlign w:val="center"/>
          </w:tcPr>
          <w:p w14:paraId="41D9A9B9">
            <w:pPr>
              <w:spacing w:line="360" w:lineRule="exact"/>
              <w:jc w:val="center"/>
              <w:rPr>
                <w:rFonts w:hint="eastAsia" w:ascii="宋体" w:hAnsi="宋体" w:eastAsia="宋体" w:cs="宋体"/>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16525003">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合同名称</w:t>
            </w:r>
          </w:p>
        </w:tc>
        <w:tc>
          <w:tcPr>
            <w:tcW w:w="1701" w:type="dxa"/>
            <w:tcBorders>
              <w:top w:val="single" w:color="000000" w:sz="2" w:space="0"/>
              <w:left w:val="single" w:color="000000" w:sz="2" w:space="0"/>
              <w:bottom w:val="single" w:color="000000" w:sz="2" w:space="0"/>
              <w:right w:val="single" w:color="000000" w:sz="2" w:space="0"/>
            </w:tcBorders>
            <w:vAlign w:val="center"/>
          </w:tcPr>
          <w:p w14:paraId="31A754F7">
            <w:pPr>
              <w:spacing w:line="360" w:lineRule="exact"/>
              <w:jc w:val="center"/>
              <w:rPr>
                <w:rFonts w:hint="eastAsia" w:ascii="宋体" w:hAnsi="宋体" w:eastAsia="宋体" w:cs="宋体"/>
                <w:sz w:val="18"/>
                <w:szCs w:val="18"/>
                <w:highlight w:val="none"/>
                <w:lang w:bidi="ar"/>
              </w:rPr>
            </w:pPr>
          </w:p>
        </w:tc>
      </w:tr>
      <w:tr w14:paraId="47A9AF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5F6E0AA0">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供应商</w:t>
            </w:r>
          </w:p>
        </w:tc>
        <w:tc>
          <w:tcPr>
            <w:tcW w:w="1276" w:type="dxa"/>
            <w:tcBorders>
              <w:top w:val="single" w:color="000000" w:sz="2" w:space="0"/>
              <w:left w:val="single" w:color="000000" w:sz="2" w:space="0"/>
              <w:bottom w:val="single" w:color="000000" w:sz="2" w:space="0"/>
              <w:right w:val="single" w:color="000000" w:sz="2" w:space="0"/>
            </w:tcBorders>
            <w:vAlign w:val="center"/>
          </w:tcPr>
          <w:p w14:paraId="221C9332">
            <w:pPr>
              <w:spacing w:line="360" w:lineRule="exact"/>
              <w:jc w:val="center"/>
              <w:rPr>
                <w:rFonts w:hint="eastAsia" w:ascii="宋体" w:hAnsi="宋体" w:eastAsia="宋体" w:cs="宋体"/>
                <w:sz w:val="18"/>
                <w:szCs w:val="18"/>
                <w:highlight w:val="none"/>
                <w:lang w:bidi="ar"/>
              </w:rPr>
            </w:pPr>
          </w:p>
        </w:tc>
        <w:tc>
          <w:tcPr>
            <w:tcW w:w="1559" w:type="dxa"/>
            <w:tcBorders>
              <w:top w:val="single" w:color="000000" w:sz="2" w:space="0"/>
              <w:left w:val="single" w:color="000000" w:sz="2" w:space="0"/>
              <w:bottom w:val="single" w:color="000000" w:sz="2" w:space="0"/>
              <w:right w:val="single" w:color="000000" w:sz="2" w:space="0"/>
            </w:tcBorders>
            <w:vAlign w:val="center"/>
          </w:tcPr>
          <w:p w14:paraId="09106FE2">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项目及合同编号</w:t>
            </w:r>
          </w:p>
        </w:tc>
        <w:tc>
          <w:tcPr>
            <w:tcW w:w="1417" w:type="dxa"/>
            <w:tcBorders>
              <w:top w:val="single" w:color="000000" w:sz="2" w:space="0"/>
              <w:left w:val="single" w:color="000000" w:sz="2" w:space="0"/>
              <w:bottom w:val="single" w:color="000000" w:sz="2" w:space="0"/>
              <w:right w:val="single" w:color="000000" w:sz="2" w:space="0"/>
            </w:tcBorders>
            <w:vAlign w:val="center"/>
          </w:tcPr>
          <w:p w14:paraId="6CE65F5D">
            <w:pPr>
              <w:spacing w:line="360" w:lineRule="exact"/>
              <w:jc w:val="center"/>
              <w:rPr>
                <w:rFonts w:hint="eastAsia" w:ascii="宋体" w:hAnsi="宋体" w:eastAsia="宋体" w:cs="宋体"/>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775BF413">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合同金额</w:t>
            </w:r>
          </w:p>
        </w:tc>
        <w:tc>
          <w:tcPr>
            <w:tcW w:w="1701" w:type="dxa"/>
            <w:tcBorders>
              <w:top w:val="single" w:color="000000" w:sz="2" w:space="0"/>
              <w:left w:val="single" w:color="000000" w:sz="2" w:space="0"/>
              <w:bottom w:val="single" w:color="000000" w:sz="2" w:space="0"/>
              <w:right w:val="single" w:color="000000" w:sz="2" w:space="0"/>
            </w:tcBorders>
            <w:vAlign w:val="center"/>
          </w:tcPr>
          <w:p w14:paraId="4FEFA06E">
            <w:pPr>
              <w:spacing w:line="360" w:lineRule="exact"/>
              <w:jc w:val="center"/>
              <w:rPr>
                <w:rFonts w:hint="eastAsia" w:ascii="宋体" w:hAnsi="宋体" w:eastAsia="宋体" w:cs="宋体"/>
                <w:sz w:val="18"/>
                <w:szCs w:val="18"/>
                <w:highlight w:val="none"/>
                <w:lang w:bidi="ar"/>
              </w:rPr>
            </w:pPr>
          </w:p>
        </w:tc>
      </w:tr>
      <w:tr w14:paraId="49EAEA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10"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783330FE">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分期（段）验收</w:t>
            </w:r>
          </w:p>
        </w:tc>
        <w:tc>
          <w:tcPr>
            <w:tcW w:w="1276" w:type="dxa"/>
            <w:tcBorders>
              <w:top w:val="single" w:color="000000" w:sz="2" w:space="0"/>
              <w:left w:val="single" w:color="000000" w:sz="2" w:space="0"/>
              <w:bottom w:val="single" w:color="000000" w:sz="2" w:space="0"/>
              <w:right w:val="single" w:color="000000" w:sz="2" w:space="0"/>
            </w:tcBorders>
            <w:vAlign w:val="center"/>
          </w:tcPr>
          <w:p w14:paraId="1FC289F9">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是□   否□</w:t>
            </w:r>
          </w:p>
        </w:tc>
        <w:tc>
          <w:tcPr>
            <w:tcW w:w="1559" w:type="dxa"/>
            <w:tcBorders>
              <w:top w:val="single" w:color="000000" w:sz="2" w:space="0"/>
              <w:left w:val="single" w:color="000000" w:sz="2" w:space="0"/>
              <w:bottom w:val="single" w:color="000000" w:sz="2" w:space="0"/>
              <w:right w:val="single" w:color="000000" w:sz="2" w:space="0"/>
            </w:tcBorders>
            <w:vAlign w:val="center"/>
          </w:tcPr>
          <w:p w14:paraId="4D6222DC">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分期（段）情况</w:t>
            </w:r>
          </w:p>
        </w:tc>
        <w:tc>
          <w:tcPr>
            <w:tcW w:w="5528" w:type="dxa"/>
            <w:gridSpan w:val="5"/>
            <w:tcBorders>
              <w:top w:val="single" w:color="000000" w:sz="2" w:space="0"/>
              <w:left w:val="single" w:color="000000" w:sz="2" w:space="0"/>
              <w:bottom w:val="single" w:color="000000" w:sz="2" w:space="0"/>
              <w:right w:val="single" w:color="000000" w:sz="2" w:space="0"/>
            </w:tcBorders>
            <w:vAlign w:val="center"/>
          </w:tcPr>
          <w:p w14:paraId="1E40873E">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共分   期（段），此为第   期（段）验收</w:t>
            </w:r>
          </w:p>
        </w:tc>
      </w:tr>
      <w:tr w14:paraId="53067D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89"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2F41F477">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验收时间</w:t>
            </w:r>
          </w:p>
        </w:tc>
        <w:tc>
          <w:tcPr>
            <w:tcW w:w="1276" w:type="dxa"/>
            <w:tcBorders>
              <w:top w:val="single" w:color="000000" w:sz="2" w:space="0"/>
              <w:left w:val="single" w:color="000000" w:sz="2" w:space="0"/>
              <w:bottom w:val="single" w:color="000000" w:sz="2" w:space="0"/>
              <w:right w:val="single" w:color="000000" w:sz="2" w:space="0"/>
            </w:tcBorders>
            <w:vAlign w:val="center"/>
          </w:tcPr>
          <w:p w14:paraId="6D49FF00">
            <w:pPr>
              <w:spacing w:line="360" w:lineRule="exact"/>
              <w:jc w:val="center"/>
              <w:rPr>
                <w:rFonts w:hint="eastAsia" w:ascii="宋体" w:hAnsi="宋体" w:eastAsia="宋体" w:cs="宋体"/>
                <w:sz w:val="18"/>
                <w:szCs w:val="18"/>
                <w:highlight w:val="none"/>
                <w:lang w:bidi="ar"/>
              </w:rPr>
            </w:pPr>
          </w:p>
        </w:tc>
        <w:tc>
          <w:tcPr>
            <w:tcW w:w="1559" w:type="dxa"/>
            <w:tcBorders>
              <w:top w:val="single" w:color="000000" w:sz="2" w:space="0"/>
              <w:left w:val="single" w:color="000000" w:sz="2" w:space="0"/>
              <w:bottom w:val="single" w:color="000000" w:sz="2" w:space="0"/>
              <w:right w:val="single" w:color="000000" w:sz="2" w:space="0"/>
            </w:tcBorders>
            <w:vAlign w:val="center"/>
          </w:tcPr>
          <w:p w14:paraId="5D1187F4">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验收地点</w:t>
            </w:r>
          </w:p>
        </w:tc>
        <w:tc>
          <w:tcPr>
            <w:tcW w:w="1417" w:type="dxa"/>
            <w:tcBorders>
              <w:top w:val="single" w:color="000000" w:sz="2" w:space="0"/>
              <w:left w:val="single" w:color="000000" w:sz="2" w:space="0"/>
              <w:bottom w:val="single" w:color="000000" w:sz="2" w:space="0"/>
              <w:right w:val="single" w:color="000000" w:sz="2" w:space="0"/>
            </w:tcBorders>
            <w:vAlign w:val="center"/>
          </w:tcPr>
          <w:p w14:paraId="0BDE38A0">
            <w:pPr>
              <w:spacing w:line="360" w:lineRule="exact"/>
              <w:jc w:val="center"/>
              <w:rPr>
                <w:rFonts w:hint="eastAsia" w:ascii="宋体" w:hAnsi="宋体" w:eastAsia="宋体" w:cs="宋体"/>
                <w:sz w:val="18"/>
                <w:szCs w:val="18"/>
                <w:highlight w:val="none"/>
                <w:lang w:bidi="ar"/>
              </w:rPr>
            </w:pPr>
          </w:p>
        </w:tc>
        <w:tc>
          <w:tcPr>
            <w:tcW w:w="2410" w:type="dxa"/>
            <w:gridSpan w:val="3"/>
            <w:tcBorders>
              <w:top w:val="single" w:color="000000" w:sz="2" w:space="0"/>
              <w:left w:val="single" w:color="000000" w:sz="2" w:space="0"/>
              <w:bottom w:val="single" w:color="000000" w:sz="2" w:space="0"/>
              <w:right w:val="single" w:color="000000" w:sz="2" w:space="0"/>
            </w:tcBorders>
            <w:vAlign w:val="center"/>
          </w:tcPr>
          <w:p w14:paraId="66CDFD7C">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验收组织形式</w:t>
            </w:r>
          </w:p>
        </w:tc>
        <w:tc>
          <w:tcPr>
            <w:tcW w:w="1701" w:type="dxa"/>
            <w:tcBorders>
              <w:top w:val="single" w:color="000000" w:sz="2" w:space="0"/>
              <w:left w:val="single" w:color="000000" w:sz="2" w:space="0"/>
              <w:bottom w:val="single" w:color="000000" w:sz="2" w:space="0"/>
              <w:right w:val="single" w:color="000000" w:sz="2" w:space="0"/>
            </w:tcBorders>
            <w:vAlign w:val="center"/>
          </w:tcPr>
          <w:p w14:paraId="0F04844B">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□自行简易验收</w:t>
            </w:r>
          </w:p>
          <w:p w14:paraId="3FD42423">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□验收小组验收</w:t>
            </w:r>
          </w:p>
          <w:p w14:paraId="5E52E9D7">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□采购代理机构验收</w:t>
            </w:r>
          </w:p>
        </w:tc>
      </w:tr>
      <w:tr w14:paraId="3664F9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395" w:hRule="atLeast"/>
          <w:jc w:val="center"/>
        </w:trPr>
        <w:tc>
          <w:tcPr>
            <w:tcW w:w="1276" w:type="dxa"/>
            <w:vMerge w:val="restart"/>
            <w:tcBorders>
              <w:top w:val="nil"/>
              <w:left w:val="single" w:color="000000" w:sz="2" w:space="0"/>
              <w:bottom w:val="nil"/>
              <w:right w:val="single" w:color="000000" w:sz="2" w:space="0"/>
            </w:tcBorders>
            <w:vAlign w:val="center"/>
          </w:tcPr>
          <w:p w14:paraId="26576120">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验收内容</w:t>
            </w:r>
          </w:p>
        </w:tc>
        <w:tc>
          <w:tcPr>
            <w:tcW w:w="1276" w:type="dxa"/>
            <w:tcBorders>
              <w:top w:val="single" w:color="000000" w:sz="2" w:space="0"/>
              <w:left w:val="single" w:color="000000" w:sz="2" w:space="0"/>
              <w:bottom w:val="single" w:color="000000" w:sz="2" w:space="0"/>
              <w:right w:val="single" w:color="000000" w:sz="2" w:space="0"/>
            </w:tcBorders>
            <w:vAlign w:val="center"/>
          </w:tcPr>
          <w:p w14:paraId="6516495B">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服务质量</w:t>
            </w:r>
          </w:p>
        </w:tc>
        <w:tc>
          <w:tcPr>
            <w:tcW w:w="1559" w:type="dxa"/>
            <w:tcBorders>
              <w:top w:val="single" w:color="000000" w:sz="2" w:space="0"/>
              <w:left w:val="single" w:color="000000" w:sz="2" w:space="0"/>
              <w:bottom w:val="single" w:color="000000" w:sz="2" w:space="0"/>
              <w:right w:val="single" w:color="000000" w:sz="2" w:space="0"/>
            </w:tcBorders>
            <w:vAlign w:val="center"/>
          </w:tcPr>
          <w:p w14:paraId="00724A37">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服务进度</w:t>
            </w:r>
          </w:p>
        </w:tc>
        <w:tc>
          <w:tcPr>
            <w:tcW w:w="1417" w:type="dxa"/>
            <w:tcBorders>
              <w:top w:val="single" w:color="000000" w:sz="2" w:space="0"/>
              <w:left w:val="single" w:color="000000" w:sz="2" w:space="0"/>
              <w:bottom w:val="single" w:color="000000" w:sz="2" w:space="0"/>
              <w:right w:val="single" w:color="000000" w:sz="2" w:space="0"/>
            </w:tcBorders>
            <w:vAlign w:val="center"/>
          </w:tcPr>
          <w:p w14:paraId="0256EC88">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人员、设备 配备情况</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2C6DAD0E">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行业、安全标准</w:t>
            </w:r>
          </w:p>
        </w:tc>
        <w:tc>
          <w:tcPr>
            <w:tcW w:w="1134" w:type="dxa"/>
            <w:tcBorders>
              <w:top w:val="single" w:color="000000" w:sz="2" w:space="0"/>
              <w:left w:val="single" w:color="000000" w:sz="2" w:space="0"/>
              <w:bottom w:val="single" w:color="000000" w:sz="2" w:space="0"/>
              <w:right w:val="single" w:color="000000" w:sz="2" w:space="0"/>
            </w:tcBorders>
            <w:vAlign w:val="center"/>
          </w:tcPr>
          <w:p w14:paraId="3EFBAFE1">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项目需求、服务承诺</w:t>
            </w:r>
          </w:p>
        </w:tc>
        <w:tc>
          <w:tcPr>
            <w:tcW w:w="1701" w:type="dxa"/>
            <w:tcBorders>
              <w:top w:val="single" w:color="000000" w:sz="2" w:space="0"/>
              <w:left w:val="single" w:color="000000" w:sz="2" w:space="0"/>
              <w:bottom w:val="single" w:color="000000" w:sz="2" w:space="0"/>
              <w:right w:val="single" w:color="000000" w:sz="2" w:space="0"/>
            </w:tcBorders>
            <w:vAlign w:val="center"/>
          </w:tcPr>
          <w:p w14:paraId="4E9AB4FB">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合同履约时间、 地点、方式</w:t>
            </w:r>
          </w:p>
        </w:tc>
      </w:tr>
      <w:tr w14:paraId="3F4F83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828" w:hRule="atLeast"/>
          <w:jc w:val="center"/>
        </w:trPr>
        <w:tc>
          <w:tcPr>
            <w:tcW w:w="1276" w:type="dxa"/>
            <w:vMerge w:val="continue"/>
            <w:tcBorders>
              <w:top w:val="nil"/>
              <w:left w:val="single" w:color="000000" w:sz="2" w:space="0"/>
              <w:bottom w:val="nil"/>
              <w:right w:val="single" w:color="000000" w:sz="2" w:space="0"/>
            </w:tcBorders>
            <w:vAlign w:val="center"/>
          </w:tcPr>
          <w:p w14:paraId="5088867C">
            <w:pPr>
              <w:spacing w:line="360" w:lineRule="exact"/>
              <w:jc w:val="center"/>
              <w:rPr>
                <w:rFonts w:hint="eastAsia" w:ascii="宋体" w:hAnsi="宋体" w:eastAsia="宋体" w:cs="宋体"/>
                <w:sz w:val="18"/>
                <w:szCs w:val="18"/>
                <w:highlight w:val="none"/>
                <w:lang w:bidi="ar"/>
              </w:rPr>
            </w:pPr>
          </w:p>
        </w:tc>
        <w:tc>
          <w:tcPr>
            <w:tcW w:w="1276" w:type="dxa"/>
            <w:tcBorders>
              <w:top w:val="single" w:color="000000" w:sz="2" w:space="0"/>
              <w:left w:val="single" w:color="000000" w:sz="2" w:space="0"/>
              <w:bottom w:val="single" w:color="000000" w:sz="2" w:space="0"/>
              <w:right w:val="single" w:color="000000" w:sz="2" w:space="0"/>
            </w:tcBorders>
            <w:vAlign w:val="center"/>
          </w:tcPr>
          <w:p w14:paraId="56DB95BE">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54F82220">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559" w:type="dxa"/>
            <w:tcBorders>
              <w:top w:val="single" w:color="000000" w:sz="2" w:space="0"/>
              <w:left w:val="single" w:color="000000" w:sz="2" w:space="0"/>
              <w:bottom w:val="single" w:color="000000" w:sz="2" w:space="0"/>
              <w:right w:val="single" w:color="000000" w:sz="2" w:space="0"/>
            </w:tcBorders>
            <w:vAlign w:val="center"/>
          </w:tcPr>
          <w:p w14:paraId="456FC747">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按  时□ </w:t>
            </w:r>
          </w:p>
          <w:p w14:paraId="28AFC832">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不按时□</w:t>
            </w:r>
          </w:p>
        </w:tc>
        <w:tc>
          <w:tcPr>
            <w:tcW w:w="1417" w:type="dxa"/>
            <w:tcBorders>
              <w:top w:val="single" w:color="000000" w:sz="2" w:space="0"/>
              <w:left w:val="single" w:color="000000" w:sz="2" w:space="0"/>
              <w:bottom w:val="single" w:color="000000" w:sz="2" w:space="0"/>
              <w:right w:val="single" w:color="000000" w:sz="2" w:space="0"/>
            </w:tcBorders>
            <w:vAlign w:val="center"/>
          </w:tcPr>
          <w:p w14:paraId="25E09E79">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5FAA03AA">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276" w:type="dxa"/>
            <w:gridSpan w:val="2"/>
            <w:tcBorders>
              <w:top w:val="single" w:color="000000" w:sz="2" w:space="0"/>
              <w:left w:val="single" w:color="000000" w:sz="2" w:space="0"/>
              <w:bottom w:val="single" w:color="000000" w:sz="2" w:space="0"/>
              <w:right w:val="single" w:color="000000" w:sz="2" w:space="0"/>
            </w:tcBorders>
            <w:vAlign w:val="center"/>
          </w:tcPr>
          <w:p w14:paraId="16526650">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0D1C8C14">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134" w:type="dxa"/>
            <w:tcBorders>
              <w:top w:val="single" w:color="000000" w:sz="2" w:space="0"/>
              <w:left w:val="single" w:color="000000" w:sz="2" w:space="0"/>
              <w:bottom w:val="single" w:color="000000" w:sz="2" w:space="0"/>
              <w:right w:val="single" w:color="000000" w:sz="2" w:space="0"/>
            </w:tcBorders>
            <w:vAlign w:val="center"/>
          </w:tcPr>
          <w:p w14:paraId="5E4B620B">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02320042">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c>
          <w:tcPr>
            <w:tcW w:w="1701" w:type="dxa"/>
            <w:tcBorders>
              <w:top w:val="single" w:color="000000" w:sz="2" w:space="0"/>
              <w:left w:val="single" w:color="000000" w:sz="2" w:space="0"/>
              <w:bottom w:val="single" w:color="000000" w:sz="2" w:space="0"/>
              <w:right w:val="single" w:color="000000" w:sz="2" w:space="0"/>
            </w:tcBorders>
            <w:vAlign w:val="center"/>
          </w:tcPr>
          <w:p w14:paraId="13AFB4F7">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 xml:space="preserve">合  格□ </w:t>
            </w:r>
          </w:p>
          <w:p w14:paraId="18C21C1E">
            <w:pPr>
              <w:spacing w:line="3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不合格□</w:t>
            </w:r>
          </w:p>
        </w:tc>
      </w:tr>
      <w:tr w14:paraId="2E63C9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578C0504">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专业检测机构情况说明</w:t>
            </w:r>
          </w:p>
        </w:tc>
        <w:tc>
          <w:tcPr>
            <w:tcW w:w="8363" w:type="dxa"/>
            <w:gridSpan w:val="7"/>
            <w:tcBorders>
              <w:top w:val="single" w:color="000000" w:sz="2" w:space="0"/>
              <w:left w:val="single" w:color="000000" w:sz="2" w:space="0"/>
              <w:bottom w:val="single" w:color="000000" w:sz="2" w:space="0"/>
              <w:right w:val="single" w:color="000000" w:sz="2" w:space="0"/>
            </w:tcBorders>
            <w:vAlign w:val="center"/>
          </w:tcPr>
          <w:p w14:paraId="445FC7EA">
            <w:pPr>
              <w:spacing w:line="360" w:lineRule="exact"/>
              <w:jc w:val="center"/>
              <w:rPr>
                <w:rFonts w:hint="eastAsia" w:ascii="宋体" w:hAnsi="宋体" w:eastAsia="宋体" w:cs="宋体"/>
                <w:sz w:val="18"/>
                <w:szCs w:val="18"/>
                <w:highlight w:val="none"/>
                <w:lang w:bidi="ar"/>
              </w:rPr>
            </w:pPr>
          </w:p>
        </w:tc>
      </w:tr>
      <w:tr w14:paraId="157C32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5C79FD1B">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存在问题</w:t>
            </w:r>
          </w:p>
          <w:p w14:paraId="1B14F5A1">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和改进意见</w:t>
            </w:r>
          </w:p>
        </w:tc>
        <w:tc>
          <w:tcPr>
            <w:tcW w:w="8363" w:type="dxa"/>
            <w:gridSpan w:val="7"/>
            <w:tcBorders>
              <w:top w:val="single" w:color="000000" w:sz="2" w:space="0"/>
              <w:left w:val="single" w:color="000000" w:sz="2" w:space="0"/>
              <w:bottom w:val="single" w:color="000000" w:sz="2" w:space="0"/>
              <w:right w:val="single" w:color="000000" w:sz="2" w:space="0"/>
            </w:tcBorders>
            <w:vAlign w:val="center"/>
          </w:tcPr>
          <w:p w14:paraId="16F6C4E4">
            <w:pPr>
              <w:spacing w:line="360" w:lineRule="exact"/>
              <w:jc w:val="center"/>
              <w:rPr>
                <w:rFonts w:hint="eastAsia" w:ascii="宋体" w:hAnsi="宋体" w:eastAsia="宋体" w:cs="宋体"/>
                <w:sz w:val="18"/>
                <w:szCs w:val="18"/>
                <w:highlight w:val="none"/>
                <w:lang w:bidi="ar"/>
              </w:rPr>
            </w:pPr>
          </w:p>
        </w:tc>
      </w:tr>
      <w:tr w14:paraId="553AD6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86"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1E39F697">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最终结论</w:t>
            </w:r>
          </w:p>
        </w:tc>
        <w:tc>
          <w:tcPr>
            <w:tcW w:w="8363" w:type="dxa"/>
            <w:gridSpan w:val="7"/>
            <w:tcBorders>
              <w:top w:val="single" w:color="000000" w:sz="2" w:space="0"/>
              <w:left w:val="single" w:color="000000" w:sz="2" w:space="0"/>
              <w:bottom w:val="single" w:color="000000" w:sz="2" w:space="0"/>
              <w:right w:val="single" w:color="000000" w:sz="2" w:space="0"/>
            </w:tcBorders>
            <w:vAlign w:val="center"/>
          </w:tcPr>
          <w:p w14:paraId="7A670C7D">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合  格□                              不合格□</w:t>
            </w:r>
          </w:p>
        </w:tc>
      </w:tr>
      <w:tr w14:paraId="51CAE3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65" w:hRule="atLeast"/>
          <w:jc w:val="center"/>
        </w:trPr>
        <w:tc>
          <w:tcPr>
            <w:tcW w:w="1276" w:type="dxa"/>
            <w:tcBorders>
              <w:top w:val="single" w:color="000000" w:sz="2" w:space="0"/>
              <w:left w:val="single" w:color="000000" w:sz="2" w:space="0"/>
              <w:bottom w:val="single" w:color="000000" w:sz="2" w:space="0"/>
              <w:right w:val="single" w:color="000000" w:sz="2" w:space="0"/>
            </w:tcBorders>
            <w:vAlign w:val="center"/>
          </w:tcPr>
          <w:p w14:paraId="096146F8">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验收小组成员</w:t>
            </w:r>
          </w:p>
          <w:p w14:paraId="3EF183AE">
            <w:pPr>
              <w:spacing w:line="3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签字</w:t>
            </w:r>
          </w:p>
        </w:tc>
        <w:tc>
          <w:tcPr>
            <w:tcW w:w="8363" w:type="dxa"/>
            <w:gridSpan w:val="7"/>
            <w:tcBorders>
              <w:top w:val="single" w:color="000000" w:sz="2" w:space="0"/>
              <w:left w:val="single" w:color="000000" w:sz="2" w:space="0"/>
              <w:bottom w:val="single" w:color="000000" w:sz="2" w:space="0"/>
              <w:right w:val="single" w:color="000000" w:sz="2" w:space="0"/>
            </w:tcBorders>
            <w:vAlign w:val="center"/>
          </w:tcPr>
          <w:p w14:paraId="66534780">
            <w:pPr>
              <w:spacing w:line="360" w:lineRule="exact"/>
              <w:jc w:val="center"/>
              <w:rPr>
                <w:rFonts w:hint="eastAsia" w:ascii="宋体" w:hAnsi="宋体" w:eastAsia="宋体" w:cs="宋体"/>
                <w:sz w:val="18"/>
                <w:szCs w:val="18"/>
                <w:highlight w:val="none"/>
                <w:lang w:bidi="ar"/>
              </w:rPr>
            </w:pPr>
          </w:p>
        </w:tc>
      </w:tr>
      <w:tr w14:paraId="2FC7AA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19" w:hRule="atLeast"/>
          <w:jc w:val="center"/>
        </w:trPr>
        <w:tc>
          <w:tcPr>
            <w:tcW w:w="5670" w:type="dxa"/>
            <w:gridSpan w:val="5"/>
            <w:tcBorders>
              <w:top w:val="single" w:color="000000" w:sz="2" w:space="0"/>
              <w:left w:val="single" w:color="000000" w:sz="2" w:space="0"/>
              <w:bottom w:val="single" w:color="000000" w:sz="2" w:space="0"/>
              <w:right w:val="single" w:color="000000" w:sz="2" w:space="0"/>
            </w:tcBorders>
            <w:vAlign w:val="center"/>
          </w:tcPr>
          <w:p w14:paraId="2F56AFDA">
            <w:pPr>
              <w:spacing w:line="560" w:lineRule="exac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采购代理机构意见</w:t>
            </w:r>
          </w:p>
        </w:tc>
        <w:tc>
          <w:tcPr>
            <w:tcW w:w="3969" w:type="dxa"/>
            <w:gridSpan w:val="3"/>
            <w:tcBorders>
              <w:top w:val="single" w:color="000000" w:sz="2" w:space="0"/>
              <w:left w:val="single" w:color="000000" w:sz="2" w:space="0"/>
              <w:bottom w:val="single" w:color="000000" w:sz="2" w:space="0"/>
              <w:right w:val="single" w:color="000000" w:sz="2" w:space="0"/>
            </w:tcBorders>
            <w:vAlign w:val="center"/>
          </w:tcPr>
          <w:p w14:paraId="65D6DCA8">
            <w:pPr>
              <w:spacing w:line="560" w:lineRule="exact"/>
              <w:jc w:val="center"/>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采购人意见</w:t>
            </w:r>
          </w:p>
        </w:tc>
      </w:tr>
      <w:tr w14:paraId="7AE669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5670" w:type="dxa"/>
            <w:gridSpan w:val="5"/>
            <w:tcBorders>
              <w:top w:val="single" w:color="000000" w:sz="2" w:space="0"/>
              <w:left w:val="single" w:color="000000" w:sz="2" w:space="0"/>
              <w:bottom w:val="single" w:color="000000" w:sz="2" w:space="0"/>
              <w:right w:val="single" w:color="000000" w:sz="2" w:space="0"/>
            </w:tcBorders>
          </w:tcPr>
          <w:p w14:paraId="324FBBCB">
            <w:pPr>
              <w:spacing w:line="380" w:lineRule="exact"/>
              <w:jc w:val="left"/>
              <w:rPr>
                <w:rFonts w:hint="eastAsia" w:ascii="宋体" w:hAnsi="宋体" w:eastAsia="宋体" w:cs="宋体"/>
                <w:sz w:val="18"/>
                <w:szCs w:val="18"/>
                <w:highlight w:val="none"/>
                <w:lang w:bidi="ar"/>
              </w:rPr>
            </w:pPr>
          </w:p>
          <w:p w14:paraId="4C0B1DF8">
            <w:pPr>
              <w:spacing w:line="380" w:lineRule="exact"/>
              <w:jc w:val="lef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经办人：         负责人：     （采购代理机构公章）</w:t>
            </w:r>
          </w:p>
        </w:tc>
        <w:tc>
          <w:tcPr>
            <w:tcW w:w="3969" w:type="dxa"/>
            <w:gridSpan w:val="3"/>
            <w:tcBorders>
              <w:top w:val="single" w:color="000000" w:sz="2" w:space="0"/>
              <w:left w:val="single" w:color="000000" w:sz="2" w:space="0"/>
              <w:bottom w:val="single" w:color="000000" w:sz="2" w:space="0"/>
              <w:right w:val="single" w:color="000000" w:sz="2" w:space="0"/>
            </w:tcBorders>
          </w:tcPr>
          <w:p w14:paraId="592DE6DE">
            <w:pPr>
              <w:spacing w:line="380" w:lineRule="exact"/>
              <w:jc w:val="left"/>
              <w:rPr>
                <w:rFonts w:hint="eastAsia" w:ascii="宋体" w:hAnsi="宋体" w:eastAsia="宋体" w:cs="宋体"/>
                <w:sz w:val="18"/>
                <w:szCs w:val="18"/>
                <w:highlight w:val="none"/>
                <w:lang w:bidi="ar"/>
              </w:rPr>
            </w:pPr>
          </w:p>
          <w:p w14:paraId="6AD6408B">
            <w:pPr>
              <w:spacing w:line="380" w:lineRule="exact"/>
              <w:jc w:val="lef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经办人：         负责人：               （采购人公章）</w:t>
            </w:r>
          </w:p>
        </w:tc>
      </w:tr>
      <w:tr w14:paraId="57F2F4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jc w:val="center"/>
        </w:trPr>
        <w:tc>
          <w:tcPr>
            <w:tcW w:w="9639" w:type="dxa"/>
            <w:gridSpan w:val="8"/>
            <w:tcBorders>
              <w:top w:val="single" w:color="000000" w:sz="2" w:space="0"/>
              <w:left w:val="single" w:color="000000" w:sz="2" w:space="0"/>
              <w:bottom w:val="single" w:color="000000" w:sz="2" w:space="0"/>
              <w:right w:val="single" w:color="000000" w:sz="2" w:space="0"/>
            </w:tcBorders>
          </w:tcPr>
          <w:p w14:paraId="21D21742">
            <w:pPr>
              <w:spacing w:line="380" w:lineRule="exact"/>
              <w:jc w:val="lef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供应商确认：</w:t>
            </w:r>
          </w:p>
          <w:p w14:paraId="0E6FF41A">
            <w:pPr>
              <w:spacing w:line="380" w:lineRule="exact"/>
              <w:jc w:val="left"/>
              <w:rPr>
                <w:rFonts w:hint="eastAsia" w:ascii="宋体" w:hAnsi="宋体" w:eastAsia="宋体" w:cs="宋体"/>
                <w:sz w:val="18"/>
                <w:szCs w:val="18"/>
                <w:highlight w:val="none"/>
                <w:lang w:bidi="ar"/>
              </w:rPr>
            </w:pPr>
          </w:p>
          <w:p w14:paraId="26527188">
            <w:pPr>
              <w:spacing w:line="380" w:lineRule="exact"/>
              <w:jc w:val="left"/>
              <w:rPr>
                <w:rFonts w:hint="eastAsia" w:ascii="宋体" w:hAnsi="宋体" w:eastAsia="宋体" w:cs="宋体"/>
                <w:sz w:val="18"/>
                <w:szCs w:val="18"/>
                <w:highlight w:val="none"/>
                <w:lang w:bidi="ar"/>
              </w:rPr>
            </w:pPr>
            <w:r>
              <w:rPr>
                <w:rFonts w:hint="eastAsia" w:ascii="宋体" w:hAnsi="宋体" w:eastAsia="宋体" w:cs="宋体"/>
                <w:sz w:val="18"/>
                <w:szCs w:val="18"/>
                <w:highlight w:val="none"/>
                <w:lang w:bidi="ar"/>
              </w:rPr>
              <w:t>（单位公章或授权代表签字）</w:t>
            </w:r>
          </w:p>
        </w:tc>
      </w:tr>
    </w:tbl>
    <w:p w14:paraId="1383D520">
      <w:pPr>
        <w:pStyle w:val="7"/>
        <w:rPr>
          <w:rFonts w:hint="eastAsia" w:ascii="宋体" w:hAnsi="宋体" w:eastAsia="宋体" w:cs="宋体"/>
          <w:highlight w:val="none"/>
        </w:rPr>
      </w:pPr>
    </w:p>
    <w:p w14:paraId="6E1661BC">
      <w:pPr>
        <w:spacing w:line="600" w:lineRule="exact"/>
        <w:jc w:val="center"/>
        <w:rPr>
          <w:rFonts w:hint="eastAsia" w:ascii="宋体" w:hAnsi="宋体" w:eastAsia="宋体" w:cs="宋体"/>
          <w:b/>
          <w:sz w:val="24"/>
          <w:szCs w:val="24"/>
          <w:highlight w:val="none"/>
        </w:rPr>
      </w:pPr>
    </w:p>
    <w:p w14:paraId="4BA4B03C">
      <w:pPr>
        <w:pStyle w:val="9"/>
        <w:rPr>
          <w:rFonts w:hint="eastAsia" w:hAnsi="宋体" w:eastAsia="宋体" w:cs="宋体"/>
          <w:b/>
          <w:sz w:val="24"/>
          <w:szCs w:val="24"/>
          <w:highlight w:val="none"/>
        </w:rPr>
      </w:pPr>
    </w:p>
    <w:p w14:paraId="6FFE567F">
      <w:pPr>
        <w:pStyle w:val="9"/>
        <w:rPr>
          <w:rFonts w:hint="eastAsia" w:hAnsi="宋体" w:eastAsia="宋体" w:cs="宋体"/>
          <w:b/>
          <w:sz w:val="24"/>
          <w:szCs w:val="24"/>
          <w:highlight w:val="none"/>
        </w:rPr>
      </w:pPr>
    </w:p>
    <w:p w14:paraId="3D4F2A14">
      <w:pPr>
        <w:pStyle w:val="9"/>
        <w:rPr>
          <w:rFonts w:hint="eastAsia" w:hAnsi="宋体" w:eastAsia="宋体" w:cs="宋体"/>
          <w:b/>
          <w:sz w:val="24"/>
          <w:szCs w:val="24"/>
          <w:highlight w:val="none"/>
        </w:rPr>
      </w:pPr>
    </w:p>
    <w:p w14:paraId="308ECB85">
      <w:pPr>
        <w:pStyle w:val="9"/>
        <w:rPr>
          <w:rFonts w:hint="eastAsia" w:hAnsi="宋体" w:eastAsia="宋体" w:cs="宋体"/>
          <w:b/>
          <w:sz w:val="24"/>
          <w:szCs w:val="24"/>
          <w:highlight w:val="none"/>
        </w:rPr>
      </w:pPr>
    </w:p>
    <w:p w14:paraId="3E0E16D2">
      <w:pPr>
        <w:pStyle w:val="9"/>
        <w:rPr>
          <w:rFonts w:hint="eastAsia" w:hAnsi="宋体" w:eastAsia="宋体" w:cs="宋体"/>
          <w:b/>
          <w:sz w:val="24"/>
          <w:szCs w:val="24"/>
          <w:highlight w:val="none"/>
        </w:rPr>
      </w:pPr>
    </w:p>
    <w:p w14:paraId="12DD1D4E">
      <w:pPr>
        <w:pStyle w:val="9"/>
        <w:rPr>
          <w:rFonts w:hint="eastAsia" w:hAnsi="宋体" w:eastAsia="宋体" w:cs="宋体"/>
          <w:b/>
          <w:sz w:val="24"/>
          <w:szCs w:val="24"/>
          <w:highlight w:val="none"/>
        </w:rPr>
      </w:pPr>
    </w:p>
    <w:p w14:paraId="23411723">
      <w:pPr>
        <w:pStyle w:val="9"/>
        <w:rPr>
          <w:rFonts w:hint="eastAsia" w:hAnsi="宋体" w:eastAsia="宋体" w:cs="宋体"/>
          <w:b/>
          <w:sz w:val="24"/>
          <w:szCs w:val="24"/>
          <w:highlight w:val="none"/>
        </w:rPr>
      </w:pPr>
    </w:p>
    <w:p w14:paraId="0BCAD23C">
      <w:pPr>
        <w:pStyle w:val="9"/>
        <w:rPr>
          <w:rFonts w:hint="eastAsia" w:hAnsi="宋体" w:eastAsia="宋体" w:cs="宋体"/>
          <w:b/>
          <w:sz w:val="24"/>
          <w:szCs w:val="24"/>
          <w:highlight w:val="none"/>
        </w:rPr>
      </w:pPr>
    </w:p>
    <w:p w14:paraId="04D6BBB1">
      <w:pPr>
        <w:pStyle w:val="9"/>
        <w:rPr>
          <w:rFonts w:hint="eastAsia" w:hAnsi="宋体" w:eastAsia="宋体" w:cs="宋体"/>
          <w:b/>
          <w:sz w:val="24"/>
          <w:szCs w:val="24"/>
          <w:highlight w:val="none"/>
        </w:rPr>
      </w:pPr>
    </w:p>
    <w:p w14:paraId="0F97E7EB">
      <w:pPr>
        <w:pStyle w:val="9"/>
        <w:rPr>
          <w:rFonts w:hint="eastAsia" w:hAnsi="宋体" w:eastAsia="宋体" w:cs="宋体"/>
          <w:b/>
          <w:sz w:val="24"/>
          <w:szCs w:val="24"/>
          <w:highlight w:val="none"/>
        </w:rPr>
      </w:pPr>
    </w:p>
    <w:p w14:paraId="3C5E1F27">
      <w:pPr>
        <w:pStyle w:val="9"/>
        <w:rPr>
          <w:rFonts w:hint="eastAsia" w:hAnsi="宋体" w:eastAsia="宋体" w:cs="宋体"/>
          <w:b/>
          <w:sz w:val="24"/>
          <w:szCs w:val="24"/>
          <w:highlight w:val="none"/>
        </w:rPr>
      </w:pPr>
    </w:p>
    <w:p w14:paraId="5E9EDF29">
      <w:pPr>
        <w:pStyle w:val="9"/>
        <w:rPr>
          <w:rFonts w:hint="eastAsia" w:hAnsi="宋体" w:eastAsia="宋体" w:cs="宋体"/>
          <w:b/>
          <w:sz w:val="24"/>
          <w:szCs w:val="24"/>
          <w:highlight w:val="none"/>
        </w:rPr>
      </w:pPr>
    </w:p>
    <w:p w14:paraId="702A82E1">
      <w:pPr>
        <w:pStyle w:val="9"/>
        <w:rPr>
          <w:rFonts w:hint="eastAsia" w:hAnsi="宋体" w:eastAsia="宋体" w:cs="宋体"/>
          <w:b/>
          <w:sz w:val="24"/>
          <w:szCs w:val="24"/>
          <w:highlight w:val="none"/>
        </w:rPr>
      </w:pPr>
    </w:p>
    <w:p w14:paraId="50057E90">
      <w:pPr>
        <w:pStyle w:val="9"/>
        <w:rPr>
          <w:rFonts w:hint="eastAsia" w:hAnsi="宋体" w:eastAsia="宋体" w:cs="宋体"/>
          <w:b/>
          <w:sz w:val="24"/>
          <w:szCs w:val="24"/>
          <w:highlight w:val="none"/>
        </w:rPr>
      </w:pPr>
    </w:p>
    <w:p w14:paraId="32D14DD0">
      <w:pPr>
        <w:pStyle w:val="9"/>
        <w:rPr>
          <w:rFonts w:hint="eastAsia" w:hAnsi="宋体" w:eastAsia="宋体" w:cs="宋体"/>
          <w:b/>
          <w:sz w:val="24"/>
          <w:szCs w:val="24"/>
          <w:highlight w:val="none"/>
        </w:rPr>
      </w:pPr>
    </w:p>
    <w:p w14:paraId="762EFF59">
      <w:pPr>
        <w:pStyle w:val="9"/>
        <w:rPr>
          <w:rFonts w:hint="eastAsia" w:hAnsi="宋体" w:eastAsia="宋体" w:cs="宋体"/>
          <w:b/>
          <w:sz w:val="24"/>
          <w:szCs w:val="24"/>
          <w:highlight w:val="none"/>
        </w:rPr>
      </w:pPr>
    </w:p>
    <w:p w14:paraId="161ACC18">
      <w:pPr>
        <w:pStyle w:val="9"/>
        <w:rPr>
          <w:rFonts w:hint="eastAsia" w:hAnsi="宋体" w:eastAsia="宋体" w:cs="宋体"/>
          <w:b/>
          <w:sz w:val="24"/>
          <w:szCs w:val="24"/>
          <w:highlight w:val="none"/>
        </w:rPr>
      </w:pPr>
    </w:p>
    <w:p w14:paraId="1A3E60C6">
      <w:pPr>
        <w:pStyle w:val="9"/>
        <w:rPr>
          <w:rFonts w:hint="eastAsia" w:hAnsi="宋体" w:eastAsia="宋体" w:cs="宋体"/>
          <w:b/>
          <w:sz w:val="24"/>
          <w:szCs w:val="24"/>
          <w:highlight w:val="none"/>
        </w:rPr>
      </w:pPr>
    </w:p>
    <w:p w14:paraId="30DA8BA1">
      <w:pPr>
        <w:pStyle w:val="9"/>
        <w:rPr>
          <w:rFonts w:hint="eastAsia" w:hAnsi="宋体" w:eastAsia="宋体" w:cs="宋体"/>
          <w:b/>
          <w:sz w:val="24"/>
          <w:szCs w:val="24"/>
          <w:highlight w:val="none"/>
        </w:rPr>
      </w:pPr>
    </w:p>
    <w:p w14:paraId="5800FF2B">
      <w:pPr>
        <w:pStyle w:val="9"/>
        <w:rPr>
          <w:rFonts w:hint="eastAsia" w:hAnsi="宋体" w:eastAsia="宋体" w:cs="宋体"/>
          <w:b/>
          <w:sz w:val="24"/>
          <w:szCs w:val="24"/>
          <w:highlight w:val="none"/>
        </w:rPr>
      </w:pPr>
    </w:p>
    <w:p w14:paraId="11D4F526">
      <w:pPr>
        <w:pStyle w:val="9"/>
        <w:rPr>
          <w:rFonts w:hint="eastAsia" w:hAnsi="宋体" w:eastAsia="宋体" w:cs="宋体"/>
          <w:b/>
          <w:sz w:val="24"/>
          <w:szCs w:val="24"/>
          <w:highlight w:val="none"/>
        </w:rPr>
      </w:pPr>
    </w:p>
    <w:p w14:paraId="0DDB1731">
      <w:pPr>
        <w:pStyle w:val="9"/>
        <w:rPr>
          <w:rFonts w:hint="eastAsia" w:hAnsi="宋体" w:eastAsia="宋体" w:cs="宋体"/>
          <w:b/>
          <w:sz w:val="24"/>
          <w:szCs w:val="24"/>
          <w:highlight w:val="none"/>
        </w:rPr>
      </w:pPr>
    </w:p>
    <w:p w14:paraId="5AA7F57C">
      <w:pPr>
        <w:pStyle w:val="9"/>
        <w:rPr>
          <w:rFonts w:hint="eastAsia" w:hAnsi="宋体" w:eastAsia="宋体" w:cs="宋体"/>
          <w:b/>
          <w:sz w:val="24"/>
          <w:szCs w:val="24"/>
          <w:highlight w:val="none"/>
        </w:rPr>
      </w:pPr>
    </w:p>
    <w:p w14:paraId="57C18B04">
      <w:pPr>
        <w:pStyle w:val="9"/>
        <w:rPr>
          <w:rFonts w:hint="eastAsia" w:hAnsi="宋体" w:eastAsia="宋体" w:cs="宋体"/>
          <w:b/>
          <w:sz w:val="24"/>
          <w:szCs w:val="24"/>
          <w:highlight w:val="none"/>
        </w:rPr>
      </w:pPr>
    </w:p>
    <w:p w14:paraId="5BE1A0D1">
      <w:pPr>
        <w:pStyle w:val="9"/>
        <w:rPr>
          <w:rFonts w:hint="eastAsia" w:hAnsi="宋体" w:eastAsia="宋体" w:cs="宋体"/>
          <w:b/>
          <w:sz w:val="24"/>
          <w:szCs w:val="24"/>
          <w:highlight w:val="none"/>
        </w:rPr>
      </w:pPr>
    </w:p>
    <w:p w14:paraId="5DB6B68A">
      <w:pPr>
        <w:pStyle w:val="9"/>
        <w:rPr>
          <w:rFonts w:hint="eastAsia" w:hAnsi="宋体" w:eastAsia="宋体" w:cs="宋体"/>
          <w:b/>
          <w:sz w:val="24"/>
          <w:szCs w:val="24"/>
          <w:highlight w:val="none"/>
        </w:rPr>
      </w:pPr>
    </w:p>
    <w:tbl>
      <w:tblPr>
        <w:tblStyle w:val="24"/>
        <w:tblW w:w="5000" w:type="pct"/>
        <w:tblInd w:w="0" w:type="dxa"/>
        <w:tblLayout w:type="autofit"/>
        <w:tblCellMar>
          <w:top w:w="0" w:type="dxa"/>
          <w:left w:w="108" w:type="dxa"/>
          <w:bottom w:w="0" w:type="dxa"/>
          <w:right w:w="108" w:type="dxa"/>
        </w:tblCellMar>
      </w:tblPr>
      <w:tblGrid>
        <w:gridCol w:w="4025"/>
        <w:gridCol w:w="756"/>
        <w:gridCol w:w="4026"/>
        <w:gridCol w:w="764"/>
      </w:tblGrid>
      <w:tr w14:paraId="19071801">
        <w:tblPrEx>
          <w:tblCellMar>
            <w:top w:w="0" w:type="dxa"/>
            <w:left w:w="108" w:type="dxa"/>
            <w:bottom w:w="0" w:type="dxa"/>
            <w:right w:w="108" w:type="dxa"/>
          </w:tblCellMar>
        </w:tblPrEx>
        <w:trPr>
          <w:trHeight w:val="1180" w:hRule="atLeast"/>
        </w:trPr>
        <w:tc>
          <w:tcPr>
            <w:tcW w:w="5000" w:type="pct"/>
            <w:gridSpan w:val="4"/>
            <w:tcBorders>
              <w:top w:val="nil"/>
              <w:left w:val="nil"/>
              <w:bottom w:val="nil"/>
              <w:right w:val="nil"/>
            </w:tcBorders>
            <w:noWrap/>
            <w:vAlign w:val="center"/>
          </w:tcPr>
          <w:p w14:paraId="0DB153C3">
            <w:pPr>
              <w:widowControl/>
              <w:jc w:val="center"/>
              <w:textAlignment w:val="center"/>
              <w:rPr>
                <w:rFonts w:hint="eastAsia" w:ascii="宋体" w:hAnsi="宋体" w:eastAsia="宋体" w:cs="宋体"/>
                <w:color w:val="000000"/>
                <w:sz w:val="40"/>
                <w:szCs w:val="40"/>
                <w:highlight w:val="none"/>
              </w:rPr>
            </w:pPr>
            <w:r>
              <w:rPr>
                <w:rFonts w:hint="eastAsia" w:ascii="宋体" w:hAnsi="宋体" w:eastAsia="宋体" w:cs="宋体"/>
                <w:color w:val="000000"/>
                <w:kern w:val="0"/>
                <w:sz w:val="40"/>
                <w:szCs w:val="40"/>
                <w:highlight w:val="none"/>
                <w:lang w:bidi="ar"/>
              </w:rPr>
              <w:t>政府采购履约验收通知单（参考样本）</w:t>
            </w:r>
          </w:p>
        </w:tc>
      </w:tr>
      <w:tr w14:paraId="13FE3CE1">
        <w:tblPrEx>
          <w:tblCellMar>
            <w:top w:w="0" w:type="dxa"/>
            <w:left w:w="108" w:type="dxa"/>
            <w:bottom w:w="0" w:type="dxa"/>
            <w:right w:w="108" w:type="dxa"/>
          </w:tblCellMar>
        </w:tblPrEx>
        <w:trPr>
          <w:trHeight w:val="600" w:hRule="atLeast"/>
        </w:trPr>
        <w:tc>
          <w:tcPr>
            <w:tcW w:w="2103" w:type="pct"/>
            <w:tcBorders>
              <w:top w:val="nil"/>
              <w:left w:val="nil"/>
              <w:bottom w:val="nil"/>
              <w:right w:val="nil"/>
            </w:tcBorders>
            <w:noWrap/>
            <w:vAlign w:val="center"/>
          </w:tcPr>
          <w:p w14:paraId="4D5F5B15">
            <w:pPr>
              <w:widowControl/>
              <w:jc w:val="left"/>
              <w:textAlignment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bidi="ar"/>
              </w:rPr>
              <w:t>供应商：</w:t>
            </w:r>
          </w:p>
        </w:tc>
        <w:tc>
          <w:tcPr>
            <w:tcW w:w="395" w:type="pct"/>
            <w:tcBorders>
              <w:top w:val="nil"/>
              <w:left w:val="nil"/>
              <w:bottom w:val="nil"/>
              <w:right w:val="nil"/>
            </w:tcBorders>
            <w:noWrap/>
            <w:vAlign w:val="center"/>
          </w:tcPr>
          <w:p w14:paraId="3F7D302E">
            <w:pPr>
              <w:jc w:val="center"/>
              <w:rPr>
                <w:rFonts w:hint="eastAsia" w:ascii="宋体" w:hAnsi="宋体" w:eastAsia="宋体" w:cs="宋体"/>
                <w:b/>
                <w:bCs/>
                <w:color w:val="000000"/>
                <w:sz w:val="24"/>
                <w:szCs w:val="24"/>
                <w:highlight w:val="none"/>
              </w:rPr>
            </w:pPr>
          </w:p>
        </w:tc>
        <w:tc>
          <w:tcPr>
            <w:tcW w:w="2103" w:type="pct"/>
            <w:tcBorders>
              <w:top w:val="nil"/>
              <w:left w:val="nil"/>
              <w:bottom w:val="nil"/>
              <w:right w:val="nil"/>
            </w:tcBorders>
            <w:noWrap/>
            <w:vAlign w:val="center"/>
          </w:tcPr>
          <w:p w14:paraId="6D51D762">
            <w:pPr>
              <w:jc w:val="center"/>
              <w:rPr>
                <w:rFonts w:hint="eastAsia" w:ascii="宋体" w:hAnsi="宋体" w:eastAsia="宋体" w:cs="宋体"/>
                <w:b/>
                <w:bCs/>
                <w:color w:val="000000"/>
                <w:sz w:val="24"/>
                <w:szCs w:val="24"/>
                <w:highlight w:val="none"/>
              </w:rPr>
            </w:pPr>
          </w:p>
        </w:tc>
        <w:tc>
          <w:tcPr>
            <w:tcW w:w="396" w:type="pct"/>
            <w:tcBorders>
              <w:top w:val="nil"/>
              <w:left w:val="nil"/>
              <w:bottom w:val="nil"/>
              <w:right w:val="nil"/>
            </w:tcBorders>
            <w:noWrap/>
            <w:vAlign w:val="center"/>
          </w:tcPr>
          <w:p w14:paraId="4BF08AAC">
            <w:pPr>
              <w:jc w:val="center"/>
              <w:rPr>
                <w:rFonts w:hint="eastAsia" w:ascii="宋体" w:hAnsi="宋体" w:eastAsia="宋体" w:cs="宋体"/>
                <w:b/>
                <w:bCs/>
                <w:color w:val="000000"/>
                <w:sz w:val="24"/>
                <w:szCs w:val="24"/>
                <w:highlight w:val="none"/>
              </w:rPr>
            </w:pPr>
          </w:p>
        </w:tc>
      </w:tr>
      <w:tr w14:paraId="10CF7C38">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14:paraId="61FBE527">
            <w:pPr>
              <w:widowControl/>
              <w:jc w:val="center"/>
              <w:textAlignment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bidi="ar"/>
              </w:rPr>
              <w:t>采购人</w:t>
            </w:r>
          </w:p>
        </w:tc>
        <w:tc>
          <w:tcPr>
            <w:tcW w:w="2896" w:type="pct"/>
            <w:gridSpan w:val="3"/>
            <w:tcBorders>
              <w:top w:val="single" w:color="000000" w:sz="4" w:space="0"/>
              <w:left w:val="single" w:color="000000" w:sz="4" w:space="0"/>
              <w:bottom w:val="single" w:color="000000" w:sz="4" w:space="0"/>
              <w:right w:val="single" w:color="000000" w:sz="4" w:space="0"/>
            </w:tcBorders>
            <w:noWrap/>
            <w:vAlign w:val="center"/>
          </w:tcPr>
          <w:p w14:paraId="5BA20E51">
            <w:pPr>
              <w:jc w:val="center"/>
              <w:rPr>
                <w:rFonts w:hint="eastAsia" w:ascii="宋体" w:hAnsi="宋体" w:eastAsia="宋体" w:cs="宋体"/>
                <w:b/>
                <w:bCs/>
                <w:color w:val="000000"/>
                <w:sz w:val="24"/>
                <w:szCs w:val="24"/>
                <w:highlight w:val="none"/>
              </w:rPr>
            </w:pPr>
          </w:p>
        </w:tc>
      </w:tr>
      <w:tr w14:paraId="45C1BC4E">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14:paraId="131A172A">
            <w:pPr>
              <w:widowControl/>
              <w:jc w:val="center"/>
              <w:textAlignment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bidi="ar"/>
              </w:rPr>
              <w:t>项目名称</w:t>
            </w:r>
          </w:p>
        </w:tc>
        <w:tc>
          <w:tcPr>
            <w:tcW w:w="2896" w:type="pct"/>
            <w:gridSpan w:val="3"/>
            <w:tcBorders>
              <w:top w:val="single" w:color="000000" w:sz="4" w:space="0"/>
              <w:left w:val="single" w:color="000000" w:sz="4" w:space="0"/>
              <w:bottom w:val="single" w:color="000000" w:sz="4" w:space="0"/>
              <w:right w:val="single" w:color="000000" w:sz="4" w:space="0"/>
            </w:tcBorders>
            <w:noWrap/>
            <w:vAlign w:val="center"/>
          </w:tcPr>
          <w:p w14:paraId="23EDB9A4">
            <w:pPr>
              <w:jc w:val="center"/>
              <w:rPr>
                <w:rFonts w:hint="eastAsia" w:ascii="宋体" w:hAnsi="宋体" w:eastAsia="宋体" w:cs="宋体"/>
                <w:b/>
                <w:bCs/>
                <w:color w:val="000000"/>
                <w:sz w:val="24"/>
                <w:szCs w:val="24"/>
                <w:highlight w:val="none"/>
              </w:rPr>
            </w:pPr>
          </w:p>
        </w:tc>
      </w:tr>
      <w:tr w14:paraId="623E4B22">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14:paraId="249C2641">
            <w:pPr>
              <w:widowControl/>
              <w:jc w:val="center"/>
              <w:textAlignment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bidi="ar"/>
              </w:rPr>
              <w:t>合同名称</w:t>
            </w:r>
          </w:p>
        </w:tc>
        <w:tc>
          <w:tcPr>
            <w:tcW w:w="2896" w:type="pct"/>
            <w:gridSpan w:val="3"/>
            <w:tcBorders>
              <w:top w:val="single" w:color="000000" w:sz="4" w:space="0"/>
              <w:left w:val="single" w:color="000000" w:sz="4" w:space="0"/>
              <w:bottom w:val="single" w:color="000000" w:sz="4" w:space="0"/>
              <w:right w:val="single" w:color="000000" w:sz="4" w:space="0"/>
            </w:tcBorders>
            <w:noWrap/>
            <w:vAlign w:val="center"/>
          </w:tcPr>
          <w:p w14:paraId="70FD3DA9">
            <w:pPr>
              <w:jc w:val="center"/>
              <w:rPr>
                <w:rFonts w:hint="eastAsia" w:ascii="宋体" w:hAnsi="宋体" w:eastAsia="宋体" w:cs="宋体"/>
                <w:b/>
                <w:bCs/>
                <w:color w:val="000000"/>
                <w:sz w:val="24"/>
                <w:szCs w:val="24"/>
                <w:highlight w:val="none"/>
              </w:rPr>
            </w:pPr>
          </w:p>
        </w:tc>
      </w:tr>
      <w:tr w14:paraId="571E57D3">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14:paraId="7215C7F6">
            <w:pPr>
              <w:widowControl/>
              <w:jc w:val="center"/>
              <w:textAlignment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bidi="ar"/>
              </w:rPr>
              <w:t>合同编号</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45DA802C">
            <w:pPr>
              <w:jc w:val="center"/>
              <w:rPr>
                <w:rFonts w:hint="eastAsia" w:ascii="宋体" w:hAnsi="宋体" w:eastAsia="宋体" w:cs="宋体"/>
                <w:b/>
                <w:bCs/>
                <w:color w:val="000000"/>
                <w:sz w:val="24"/>
                <w:szCs w:val="24"/>
                <w:highlight w:val="none"/>
              </w:rPr>
            </w:pPr>
          </w:p>
        </w:tc>
        <w:tc>
          <w:tcPr>
            <w:tcW w:w="2103" w:type="pct"/>
            <w:tcBorders>
              <w:top w:val="single" w:color="000000" w:sz="4" w:space="0"/>
              <w:left w:val="single" w:color="000000" w:sz="4" w:space="0"/>
              <w:bottom w:val="single" w:color="000000" w:sz="4" w:space="0"/>
              <w:right w:val="single" w:color="000000" w:sz="4" w:space="0"/>
            </w:tcBorders>
            <w:noWrap/>
            <w:vAlign w:val="center"/>
          </w:tcPr>
          <w:p w14:paraId="03FDCBF1">
            <w:pPr>
              <w:widowControl/>
              <w:jc w:val="center"/>
              <w:textAlignment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bidi="ar"/>
              </w:rPr>
              <w:t>合同金额</w:t>
            </w:r>
          </w:p>
        </w:tc>
        <w:tc>
          <w:tcPr>
            <w:tcW w:w="396" w:type="pct"/>
            <w:tcBorders>
              <w:top w:val="single" w:color="000000" w:sz="4" w:space="0"/>
              <w:left w:val="single" w:color="000000" w:sz="4" w:space="0"/>
              <w:bottom w:val="single" w:color="000000" w:sz="4" w:space="0"/>
              <w:right w:val="single" w:color="000000" w:sz="4" w:space="0"/>
            </w:tcBorders>
            <w:noWrap/>
            <w:vAlign w:val="center"/>
          </w:tcPr>
          <w:p w14:paraId="04E81A49">
            <w:pPr>
              <w:jc w:val="center"/>
              <w:rPr>
                <w:rFonts w:hint="eastAsia" w:ascii="宋体" w:hAnsi="宋体" w:eastAsia="宋体" w:cs="宋体"/>
                <w:b/>
                <w:bCs/>
                <w:color w:val="000000"/>
                <w:sz w:val="24"/>
                <w:szCs w:val="24"/>
                <w:highlight w:val="none"/>
              </w:rPr>
            </w:pPr>
          </w:p>
        </w:tc>
      </w:tr>
      <w:tr w14:paraId="448C9301">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14:paraId="6FC4C748">
            <w:pPr>
              <w:widowControl/>
              <w:jc w:val="center"/>
              <w:textAlignment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bidi="ar"/>
              </w:rPr>
              <w:t>验收时间</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63152886">
            <w:pPr>
              <w:jc w:val="center"/>
              <w:rPr>
                <w:rFonts w:hint="eastAsia" w:ascii="宋体" w:hAnsi="宋体" w:eastAsia="宋体" w:cs="宋体"/>
                <w:b/>
                <w:bCs/>
                <w:color w:val="000000"/>
                <w:sz w:val="24"/>
                <w:szCs w:val="24"/>
                <w:highlight w:val="none"/>
              </w:rPr>
            </w:pPr>
          </w:p>
        </w:tc>
        <w:tc>
          <w:tcPr>
            <w:tcW w:w="2103" w:type="pct"/>
            <w:tcBorders>
              <w:top w:val="single" w:color="000000" w:sz="4" w:space="0"/>
              <w:left w:val="single" w:color="000000" w:sz="4" w:space="0"/>
              <w:bottom w:val="single" w:color="000000" w:sz="4" w:space="0"/>
              <w:right w:val="single" w:color="000000" w:sz="4" w:space="0"/>
            </w:tcBorders>
            <w:noWrap/>
            <w:vAlign w:val="center"/>
          </w:tcPr>
          <w:p w14:paraId="7D0E91A8">
            <w:pPr>
              <w:widowControl/>
              <w:jc w:val="center"/>
              <w:textAlignment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bidi="ar"/>
              </w:rPr>
              <w:t>验收地点</w:t>
            </w:r>
          </w:p>
        </w:tc>
        <w:tc>
          <w:tcPr>
            <w:tcW w:w="396" w:type="pct"/>
            <w:tcBorders>
              <w:top w:val="single" w:color="000000" w:sz="4" w:space="0"/>
              <w:left w:val="single" w:color="000000" w:sz="4" w:space="0"/>
              <w:bottom w:val="single" w:color="000000" w:sz="4" w:space="0"/>
              <w:right w:val="single" w:color="000000" w:sz="4" w:space="0"/>
            </w:tcBorders>
            <w:noWrap/>
            <w:vAlign w:val="center"/>
          </w:tcPr>
          <w:p w14:paraId="7F6FA9AF">
            <w:pPr>
              <w:jc w:val="center"/>
              <w:rPr>
                <w:rFonts w:hint="eastAsia" w:ascii="宋体" w:hAnsi="宋体" w:eastAsia="宋体" w:cs="宋体"/>
                <w:b/>
                <w:bCs/>
                <w:color w:val="000000"/>
                <w:sz w:val="24"/>
                <w:szCs w:val="24"/>
                <w:highlight w:val="none"/>
              </w:rPr>
            </w:pPr>
          </w:p>
        </w:tc>
      </w:tr>
      <w:tr w14:paraId="4199E0C0">
        <w:tblPrEx>
          <w:tblCellMar>
            <w:top w:w="0" w:type="dxa"/>
            <w:left w:w="108" w:type="dxa"/>
            <w:bottom w:w="0" w:type="dxa"/>
            <w:right w:w="108" w:type="dxa"/>
          </w:tblCellMar>
        </w:tblPrEx>
        <w:trPr>
          <w:trHeight w:val="600" w:hRule="atLeast"/>
        </w:trPr>
        <w:tc>
          <w:tcPr>
            <w:tcW w:w="2103" w:type="pct"/>
            <w:tcBorders>
              <w:top w:val="single" w:color="000000" w:sz="4" w:space="0"/>
              <w:left w:val="single" w:color="000000" w:sz="4" w:space="0"/>
              <w:bottom w:val="single" w:color="000000" w:sz="4" w:space="0"/>
              <w:right w:val="single" w:color="000000" w:sz="4" w:space="0"/>
            </w:tcBorders>
            <w:noWrap/>
            <w:vAlign w:val="center"/>
          </w:tcPr>
          <w:p w14:paraId="758AF794">
            <w:pPr>
              <w:widowControl/>
              <w:jc w:val="center"/>
              <w:textAlignment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bidi="ar"/>
              </w:rPr>
              <w:t>联系人</w:t>
            </w:r>
          </w:p>
        </w:tc>
        <w:tc>
          <w:tcPr>
            <w:tcW w:w="395" w:type="pct"/>
            <w:tcBorders>
              <w:top w:val="single" w:color="000000" w:sz="4" w:space="0"/>
              <w:left w:val="single" w:color="000000" w:sz="4" w:space="0"/>
              <w:bottom w:val="single" w:color="000000" w:sz="4" w:space="0"/>
              <w:right w:val="single" w:color="000000" w:sz="4" w:space="0"/>
            </w:tcBorders>
            <w:noWrap/>
            <w:vAlign w:val="center"/>
          </w:tcPr>
          <w:p w14:paraId="63C9E539">
            <w:pPr>
              <w:jc w:val="center"/>
              <w:rPr>
                <w:rFonts w:hint="eastAsia" w:ascii="宋体" w:hAnsi="宋体" w:eastAsia="宋体" w:cs="宋体"/>
                <w:b/>
                <w:bCs/>
                <w:color w:val="000000"/>
                <w:sz w:val="24"/>
                <w:szCs w:val="24"/>
                <w:highlight w:val="none"/>
              </w:rPr>
            </w:pPr>
          </w:p>
        </w:tc>
        <w:tc>
          <w:tcPr>
            <w:tcW w:w="2103" w:type="pct"/>
            <w:tcBorders>
              <w:top w:val="single" w:color="000000" w:sz="4" w:space="0"/>
              <w:left w:val="single" w:color="000000" w:sz="4" w:space="0"/>
              <w:bottom w:val="single" w:color="000000" w:sz="4" w:space="0"/>
              <w:right w:val="single" w:color="000000" w:sz="4" w:space="0"/>
            </w:tcBorders>
            <w:noWrap/>
            <w:vAlign w:val="center"/>
          </w:tcPr>
          <w:p w14:paraId="7D15E281">
            <w:pPr>
              <w:widowControl/>
              <w:jc w:val="center"/>
              <w:textAlignment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bidi="ar"/>
              </w:rPr>
              <w:t>联系电话</w:t>
            </w:r>
          </w:p>
        </w:tc>
        <w:tc>
          <w:tcPr>
            <w:tcW w:w="396" w:type="pct"/>
            <w:tcBorders>
              <w:top w:val="single" w:color="000000" w:sz="4" w:space="0"/>
              <w:left w:val="single" w:color="000000" w:sz="4" w:space="0"/>
              <w:bottom w:val="single" w:color="000000" w:sz="4" w:space="0"/>
              <w:right w:val="single" w:color="000000" w:sz="4" w:space="0"/>
            </w:tcBorders>
            <w:noWrap/>
            <w:vAlign w:val="center"/>
          </w:tcPr>
          <w:p w14:paraId="488CFB0F">
            <w:pPr>
              <w:jc w:val="center"/>
              <w:rPr>
                <w:rFonts w:hint="eastAsia" w:ascii="宋体" w:hAnsi="宋体" w:eastAsia="宋体" w:cs="宋体"/>
                <w:b/>
                <w:bCs/>
                <w:color w:val="000000"/>
                <w:sz w:val="24"/>
                <w:szCs w:val="24"/>
                <w:highlight w:val="none"/>
              </w:rPr>
            </w:pPr>
          </w:p>
        </w:tc>
      </w:tr>
      <w:tr w14:paraId="525D2C91">
        <w:tblPrEx>
          <w:tblCellMar>
            <w:top w:w="0" w:type="dxa"/>
            <w:left w:w="108" w:type="dxa"/>
            <w:bottom w:w="0" w:type="dxa"/>
            <w:right w:w="108" w:type="dxa"/>
          </w:tblCellMar>
        </w:tblPrEx>
        <w:trPr>
          <w:trHeight w:val="600" w:hRule="atLeast"/>
        </w:trPr>
        <w:tc>
          <w:tcPr>
            <w:tcW w:w="5000" w:type="pct"/>
            <w:gridSpan w:val="4"/>
            <w:tcBorders>
              <w:top w:val="single" w:color="000000" w:sz="4" w:space="0"/>
              <w:left w:val="single" w:color="000000" w:sz="4" w:space="0"/>
              <w:bottom w:val="single" w:color="000000" w:sz="4" w:space="0"/>
              <w:right w:val="single" w:color="000000" w:sz="4" w:space="0"/>
            </w:tcBorders>
            <w:noWrap/>
            <w:vAlign w:val="center"/>
          </w:tcPr>
          <w:p w14:paraId="50083A2A">
            <w:pPr>
              <w:widowControl/>
              <w:jc w:val="center"/>
              <w:textAlignment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kern w:val="0"/>
                <w:sz w:val="24"/>
                <w:szCs w:val="24"/>
                <w:highlight w:val="none"/>
                <w:lang w:bidi="ar"/>
              </w:rPr>
              <w:t>履约验收方案及工作要求</w:t>
            </w:r>
          </w:p>
        </w:tc>
      </w:tr>
      <w:tr w14:paraId="0936522C">
        <w:tblPrEx>
          <w:tblCellMar>
            <w:top w:w="0" w:type="dxa"/>
            <w:left w:w="108" w:type="dxa"/>
            <w:bottom w:w="0" w:type="dxa"/>
            <w:right w:w="108" w:type="dxa"/>
          </w:tblCellMar>
        </w:tblPrEx>
        <w:trPr>
          <w:trHeight w:val="600" w:hRule="atLeast"/>
        </w:trPr>
        <w:tc>
          <w:tcPr>
            <w:tcW w:w="5000" w:type="pct"/>
            <w:gridSpan w:val="4"/>
            <w:vMerge w:val="restart"/>
            <w:tcBorders>
              <w:top w:val="single" w:color="000000" w:sz="4" w:space="0"/>
              <w:left w:val="single" w:color="000000" w:sz="4" w:space="0"/>
              <w:bottom w:val="single" w:color="000000" w:sz="4" w:space="0"/>
              <w:right w:val="single" w:color="000000" w:sz="4" w:space="0"/>
            </w:tcBorders>
            <w:vAlign w:val="center"/>
          </w:tcPr>
          <w:p w14:paraId="675EF3BD">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color w:val="000000"/>
                <w:kern w:val="0"/>
                <w:sz w:val="24"/>
                <w:szCs w:val="24"/>
                <w:highlight w:val="none"/>
                <w:lang w:bidi="ar"/>
              </w:rPr>
              <w:t xml:space="preserve">        单位公章</w:t>
            </w:r>
            <w:r>
              <w:rPr>
                <w:rFonts w:hint="eastAsia" w:ascii="宋体" w:hAnsi="宋体" w:eastAsia="宋体" w:cs="宋体"/>
                <w:color w:val="000000"/>
                <w:kern w:val="0"/>
                <w:sz w:val="24"/>
                <w:szCs w:val="24"/>
                <w:highlight w:val="none"/>
                <w:lang w:bidi="ar"/>
              </w:rPr>
              <w:br w:type="textWrapping"/>
            </w:r>
            <w:r>
              <w:rPr>
                <w:rFonts w:hint="eastAsia" w:ascii="宋体" w:hAnsi="宋体" w:eastAsia="宋体" w:cs="宋体"/>
                <w:color w:val="000000"/>
                <w:kern w:val="0"/>
                <w:sz w:val="24"/>
                <w:szCs w:val="24"/>
                <w:highlight w:val="none"/>
                <w:lang w:bidi="ar"/>
              </w:rPr>
              <w:t xml:space="preserve">         年 月 日</w:t>
            </w:r>
          </w:p>
        </w:tc>
      </w:tr>
      <w:tr w14:paraId="1CF8B939">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14259323">
            <w:pPr>
              <w:jc w:val="center"/>
              <w:rPr>
                <w:rFonts w:hint="eastAsia" w:ascii="仿宋" w:hAnsi="仿宋" w:eastAsia="仿宋" w:cs="仿宋"/>
                <w:color w:val="000000"/>
                <w:sz w:val="24"/>
                <w:szCs w:val="24"/>
                <w:highlight w:val="none"/>
              </w:rPr>
            </w:pPr>
          </w:p>
        </w:tc>
      </w:tr>
      <w:tr w14:paraId="1C9D4320">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101F5153">
            <w:pPr>
              <w:jc w:val="center"/>
              <w:rPr>
                <w:rFonts w:hint="eastAsia" w:ascii="仿宋" w:hAnsi="仿宋" w:eastAsia="仿宋" w:cs="仿宋"/>
                <w:color w:val="000000"/>
                <w:sz w:val="24"/>
                <w:szCs w:val="24"/>
                <w:highlight w:val="none"/>
              </w:rPr>
            </w:pPr>
          </w:p>
        </w:tc>
      </w:tr>
      <w:tr w14:paraId="32F7074D">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1899180B">
            <w:pPr>
              <w:jc w:val="center"/>
              <w:rPr>
                <w:rFonts w:hint="eastAsia" w:ascii="仿宋" w:hAnsi="仿宋" w:eastAsia="仿宋" w:cs="仿宋"/>
                <w:color w:val="000000"/>
                <w:sz w:val="24"/>
                <w:szCs w:val="24"/>
                <w:highlight w:val="none"/>
              </w:rPr>
            </w:pPr>
          </w:p>
        </w:tc>
      </w:tr>
      <w:tr w14:paraId="3911C8BE">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1ECD4F99">
            <w:pPr>
              <w:jc w:val="center"/>
              <w:rPr>
                <w:rFonts w:hint="eastAsia" w:ascii="仿宋" w:hAnsi="仿宋" w:eastAsia="仿宋" w:cs="仿宋"/>
                <w:color w:val="000000"/>
                <w:sz w:val="24"/>
                <w:szCs w:val="24"/>
                <w:highlight w:val="none"/>
              </w:rPr>
            </w:pPr>
          </w:p>
        </w:tc>
      </w:tr>
      <w:tr w14:paraId="23EE56F4">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7D4B0398">
            <w:pPr>
              <w:jc w:val="center"/>
              <w:rPr>
                <w:rFonts w:hint="eastAsia" w:ascii="仿宋" w:hAnsi="仿宋" w:eastAsia="仿宋" w:cs="仿宋"/>
                <w:color w:val="000000"/>
                <w:sz w:val="24"/>
                <w:szCs w:val="24"/>
                <w:highlight w:val="none"/>
              </w:rPr>
            </w:pPr>
          </w:p>
        </w:tc>
      </w:tr>
      <w:tr w14:paraId="6D6CF834">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1DA0AC16">
            <w:pPr>
              <w:jc w:val="center"/>
              <w:rPr>
                <w:rFonts w:hint="eastAsia" w:ascii="仿宋" w:hAnsi="仿宋" w:eastAsia="仿宋" w:cs="仿宋"/>
                <w:color w:val="000000"/>
                <w:sz w:val="24"/>
                <w:szCs w:val="24"/>
                <w:highlight w:val="none"/>
              </w:rPr>
            </w:pPr>
          </w:p>
        </w:tc>
      </w:tr>
      <w:tr w14:paraId="01B2DA26">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76BCF3D3">
            <w:pPr>
              <w:jc w:val="center"/>
              <w:rPr>
                <w:rFonts w:hint="eastAsia" w:ascii="仿宋" w:hAnsi="仿宋" w:eastAsia="仿宋" w:cs="仿宋"/>
                <w:color w:val="000000"/>
                <w:sz w:val="24"/>
                <w:szCs w:val="24"/>
                <w:highlight w:val="none"/>
              </w:rPr>
            </w:pPr>
          </w:p>
        </w:tc>
      </w:tr>
      <w:tr w14:paraId="0A6316B2">
        <w:tblPrEx>
          <w:tblCellMar>
            <w:top w:w="0" w:type="dxa"/>
            <w:left w:w="108" w:type="dxa"/>
            <w:bottom w:w="0" w:type="dxa"/>
            <w:right w:w="108" w:type="dxa"/>
          </w:tblCellMar>
        </w:tblPrEx>
        <w:trPr>
          <w:trHeight w:val="6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6B45E4B5">
            <w:pPr>
              <w:jc w:val="center"/>
              <w:rPr>
                <w:rFonts w:hint="eastAsia" w:ascii="仿宋" w:hAnsi="仿宋" w:eastAsia="仿宋" w:cs="仿宋"/>
                <w:color w:val="000000"/>
                <w:sz w:val="24"/>
                <w:szCs w:val="24"/>
                <w:highlight w:val="none"/>
              </w:rPr>
            </w:pPr>
          </w:p>
        </w:tc>
      </w:tr>
      <w:tr w14:paraId="7FDA1871">
        <w:tblPrEx>
          <w:tblCellMar>
            <w:top w:w="0" w:type="dxa"/>
            <w:left w:w="108" w:type="dxa"/>
            <w:bottom w:w="0" w:type="dxa"/>
            <w:right w:w="108" w:type="dxa"/>
          </w:tblCellMar>
        </w:tblPrEx>
        <w:trPr>
          <w:trHeight w:val="312"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04B6F217">
            <w:pPr>
              <w:jc w:val="center"/>
              <w:rPr>
                <w:rFonts w:hint="eastAsia" w:ascii="仿宋" w:hAnsi="仿宋" w:eastAsia="仿宋" w:cs="仿宋"/>
                <w:color w:val="000000"/>
                <w:sz w:val="24"/>
                <w:szCs w:val="24"/>
                <w:highlight w:val="none"/>
              </w:rPr>
            </w:pPr>
          </w:p>
        </w:tc>
      </w:tr>
      <w:tr w14:paraId="482AD0B6">
        <w:tblPrEx>
          <w:tblCellMar>
            <w:top w:w="0" w:type="dxa"/>
            <w:left w:w="108" w:type="dxa"/>
            <w:bottom w:w="0" w:type="dxa"/>
            <w:right w:w="108" w:type="dxa"/>
          </w:tblCellMar>
        </w:tblPrEx>
        <w:trPr>
          <w:trHeight w:val="1200" w:hRule="atLeast"/>
        </w:trPr>
        <w:tc>
          <w:tcPr>
            <w:tcW w:w="5000" w:type="pct"/>
            <w:gridSpan w:val="4"/>
            <w:vMerge w:val="continue"/>
            <w:tcBorders>
              <w:top w:val="single" w:color="000000" w:sz="4" w:space="0"/>
              <w:left w:val="single" w:color="000000" w:sz="4" w:space="0"/>
              <w:bottom w:val="single" w:color="000000" w:sz="4" w:space="0"/>
              <w:right w:val="single" w:color="000000" w:sz="4" w:space="0"/>
            </w:tcBorders>
            <w:vAlign w:val="center"/>
          </w:tcPr>
          <w:p w14:paraId="3CF4EBF7">
            <w:pPr>
              <w:jc w:val="center"/>
              <w:rPr>
                <w:rFonts w:hint="eastAsia" w:ascii="仿宋" w:hAnsi="仿宋" w:eastAsia="仿宋" w:cs="仿宋"/>
                <w:color w:val="000000"/>
                <w:sz w:val="24"/>
                <w:szCs w:val="24"/>
                <w:highlight w:val="none"/>
              </w:rPr>
            </w:pPr>
          </w:p>
        </w:tc>
      </w:tr>
    </w:tbl>
    <w:p w14:paraId="7244B20E">
      <w:pPr>
        <w:spacing w:line="570" w:lineRule="exact"/>
        <w:jc w:val="center"/>
        <w:rPr>
          <w:rFonts w:hint="eastAsia" w:ascii="仿宋" w:hAnsi="仿宋" w:eastAsia="仿宋" w:cs="仿宋"/>
          <w:sz w:val="44"/>
          <w:szCs w:val="44"/>
          <w:highlight w:val="none"/>
        </w:rPr>
      </w:pPr>
    </w:p>
    <w:p w14:paraId="79C9939A">
      <w:pPr>
        <w:spacing w:line="600" w:lineRule="exact"/>
        <w:jc w:val="center"/>
        <w:rPr>
          <w:rFonts w:ascii="Futura Lt" w:hAnsi="Futura Lt" w:eastAsia="宋体" w:cs="Futura Lt"/>
          <w:b/>
          <w:sz w:val="36"/>
          <w:szCs w:val="36"/>
          <w:highlight w:val="none"/>
        </w:rPr>
      </w:pPr>
    </w:p>
    <w:p w14:paraId="7DF332BF">
      <w:pPr>
        <w:spacing w:line="600" w:lineRule="exact"/>
        <w:jc w:val="center"/>
        <w:rPr>
          <w:rFonts w:ascii="Futura Lt" w:hAnsi="Futura Lt" w:eastAsia="宋体" w:cs="Futura Lt"/>
          <w:b/>
          <w:sz w:val="36"/>
          <w:szCs w:val="36"/>
          <w:highlight w:val="none"/>
        </w:rPr>
      </w:pPr>
    </w:p>
    <w:p w14:paraId="0C6434A8">
      <w:pPr>
        <w:spacing w:line="600" w:lineRule="exact"/>
        <w:jc w:val="center"/>
        <w:rPr>
          <w:rFonts w:ascii="Futura Lt" w:hAnsi="Futura Lt" w:eastAsia="宋体" w:cs="Futura Lt"/>
          <w:b/>
          <w:sz w:val="36"/>
          <w:szCs w:val="36"/>
          <w:highlight w:val="none"/>
        </w:rPr>
      </w:pPr>
    </w:p>
    <w:p w14:paraId="31A33DDE">
      <w:pPr>
        <w:spacing w:line="600" w:lineRule="exact"/>
        <w:jc w:val="center"/>
        <w:rPr>
          <w:rFonts w:ascii="Futura Lt" w:hAnsi="Futura Lt" w:eastAsia="宋体" w:cs="Futura Lt"/>
          <w:b/>
          <w:sz w:val="36"/>
          <w:szCs w:val="36"/>
          <w:highlight w:val="none"/>
        </w:rPr>
      </w:pPr>
    </w:p>
    <w:p w14:paraId="274A5EEA">
      <w:pPr>
        <w:spacing w:line="600" w:lineRule="exact"/>
        <w:jc w:val="center"/>
        <w:rPr>
          <w:rFonts w:ascii="Futura Lt" w:hAnsi="Futura Lt" w:eastAsia="宋体" w:cs="Futura Lt"/>
          <w:b/>
          <w:sz w:val="36"/>
          <w:szCs w:val="36"/>
          <w:highlight w:val="none"/>
        </w:rPr>
      </w:pPr>
    </w:p>
    <w:p w14:paraId="04B9D866">
      <w:pPr>
        <w:spacing w:line="600" w:lineRule="exact"/>
        <w:jc w:val="center"/>
        <w:rPr>
          <w:rFonts w:ascii="Futura Lt" w:hAnsi="Futura Lt" w:eastAsia="宋体" w:cs="Futura Lt"/>
          <w:b/>
          <w:sz w:val="36"/>
          <w:szCs w:val="36"/>
          <w:highlight w:val="none"/>
        </w:rPr>
      </w:pPr>
    </w:p>
    <w:p w14:paraId="16689BA6">
      <w:pPr>
        <w:spacing w:line="600" w:lineRule="exact"/>
        <w:jc w:val="center"/>
        <w:rPr>
          <w:rFonts w:ascii="Futura Lt" w:hAnsi="Futura Lt" w:eastAsia="宋体" w:cs="Futura Lt"/>
          <w:b/>
          <w:sz w:val="36"/>
          <w:szCs w:val="36"/>
          <w:highlight w:val="none"/>
        </w:rPr>
      </w:pPr>
    </w:p>
    <w:p w14:paraId="2CEF9AB8">
      <w:pPr>
        <w:spacing w:line="600" w:lineRule="exact"/>
        <w:jc w:val="center"/>
        <w:rPr>
          <w:rFonts w:ascii="Futura Lt" w:hAnsi="Futura Lt" w:eastAsia="宋体" w:cs="Futura Lt"/>
          <w:b/>
          <w:sz w:val="36"/>
          <w:szCs w:val="36"/>
          <w:highlight w:val="none"/>
        </w:rPr>
      </w:pPr>
      <w:r>
        <w:rPr>
          <w:rFonts w:hint="eastAsia" w:ascii="Futura Lt" w:hAnsi="Futura Lt" w:eastAsia="宋体" w:cs="Futura Lt"/>
          <w:b/>
          <w:sz w:val="36"/>
          <w:szCs w:val="36"/>
          <w:highlight w:val="none"/>
        </w:rPr>
        <w:t>第四部分 单一来源采购程序</w:t>
      </w:r>
    </w:p>
    <w:p w14:paraId="7681E191">
      <w:pPr>
        <w:spacing w:after="200" w:line="500" w:lineRule="exact"/>
        <w:rPr>
          <w:rFonts w:ascii="Arial" w:hAnsi="Arial" w:eastAsia="Arial" w:cs="Times New Roman"/>
          <w:sz w:val="24"/>
          <w:szCs w:val="20"/>
          <w:highlight w:val="none"/>
        </w:rPr>
      </w:pPr>
    </w:p>
    <w:p w14:paraId="71DBB0A7">
      <w:pPr>
        <w:widowControl/>
        <w:adjustRightInd w:val="0"/>
        <w:snapToGrid w:val="0"/>
        <w:spacing w:after="200" w:line="580" w:lineRule="exact"/>
        <w:ind w:firstLine="560" w:firstLineChars="200"/>
        <w:jc w:val="left"/>
        <w:rPr>
          <w:rFonts w:ascii="宋体" w:hAnsi="宋体" w:eastAsia="Arial" w:cs="Times New Roman"/>
          <w:kern w:val="0"/>
          <w:sz w:val="28"/>
          <w:szCs w:val="28"/>
          <w:highlight w:val="none"/>
        </w:rPr>
      </w:pPr>
      <w:r>
        <w:rPr>
          <w:rFonts w:hint="eastAsia" w:ascii="宋体" w:hAnsi="宋体" w:eastAsia="Arial" w:cs="Times New Roman"/>
          <w:kern w:val="0"/>
          <w:sz w:val="28"/>
          <w:szCs w:val="28"/>
          <w:highlight w:val="none"/>
        </w:rPr>
        <w:t>一、向单一来源采购响应单位发出邀请书；</w:t>
      </w:r>
    </w:p>
    <w:p w14:paraId="20FD320B">
      <w:pPr>
        <w:widowControl/>
        <w:adjustRightInd w:val="0"/>
        <w:snapToGrid w:val="0"/>
        <w:spacing w:after="200" w:line="580" w:lineRule="exact"/>
        <w:ind w:firstLine="560" w:firstLineChars="200"/>
        <w:jc w:val="left"/>
        <w:rPr>
          <w:rFonts w:ascii="宋体" w:hAnsi="宋体" w:eastAsia="Arial" w:cs="Times New Roman"/>
          <w:kern w:val="0"/>
          <w:sz w:val="28"/>
          <w:szCs w:val="28"/>
          <w:highlight w:val="none"/>
        </w:rPr>
      </w:pPr>
      <w:r>
        <w:rPr>
          <w:rFonts w:hint="eastAsia" w:ascii="宋体" w:hAnsi="宋体" w:eastAsia="Arial" w:cs="Times New Roman"/>
          <w:kern w:val="0"/>
          <w:sz w:val="28"/>
          <w:szCs w:val="28"/>
          <w:highlight w:val="none"/>
        </w:rPr>
        <w:t>二、单一来源采购响应单位按要求制作并上传响应响应文件；</w:t>
      </w:r>
    </w:p>
    <w:p w14:paraId="266CF809">
      <w:pPr>
        <w:widowControl/>
        <w:adjustRightInd w:val="0"/>
        <w:snapToGrid w:val="0"/>
        <w:spacing w:after="200" w:line="580" w:lineRule="exact"/>
        <w:ind w:firstLine="560" w:firstLineChars="200"/>
        <w:jc w:val="left"/>
        <w:rPr>
          <w:rFonts w:ascii="宋体" w:hAnsi="宋体" w:eastAsia="Arial" w:cs="Times New Roman"/>
          <w:kern w:val="0"/>
          <w:sz w:val="28"/>
          <w:szCs w:val="28"/>
          <w:highlight w:val="none"/>
        </w:rPr>
      </w:pPr>
      <w:r>
        <w:rPr>
          <w:rFonts w:hint="eastAsia" w:ascii="宋体" w:hAnsi="宋体" w:eastAsia="Arial" w:cs="Times New Roman"/>
          <w:kern w:val="0"/>
          <w:sz w:val="28"/>
          <w:szCs w:val="28"/>
          <w:highlight w:val="none"/>
        </w:rPr>
        <w:t>三、根据采购文件的要求，由评审小组对单一来源采购响应单位的响应文件进行审查，确定其是否满足采购文件的要求；</w:t>
      </w:r>
    </w:p>
    <w:p w14:paraId="0EB949FF">
      <w:pPr>
        <w:widowControl/>
        <w:snapToGrid w:val="0"/>
        <w:spacing w:after="200" w:line="580" w:lineRule="exact"/>
        <w:ind w:firstLine="560" w:firstLineChars="200"/>
        <w:jc w:val="left"/>
        <w:rPr>
          <w:rFonts w:ascii="宋体" w:hAnsi="宋体" w:eastAsia="Arial" w:cs="Times New Roman"/>
          <w:kern w:val="0"/>
          <w:sz w:val="28"/>
          <w:szCs w:val="28"/>
          <w:highlight w:val="none"/>
        </w:rPr>
      </w:pPr>
      <w:r>
        <w:rPr>
          <w:rFonts w:hint="eastAsia" w:ascii="宋体" w:hAnsi="宋体" w:eastAsia="Arial" w:cs="Times New Roman"/>
          <w:kern w:val="0"/>
          <w:sz w:val="28"/>
          <w:szCs w:val="28"/>
          <w:highlight w:val="none"/>
        </w:rPr>
        <w:t>四、双方可就价格、售后服务承诺等技术和商务内容不断探讨和协商，可以讨价还价；但后轮次的报价不得高于前轮次的报价；响应单位必须回答评委和采购方的有关询问。响应单位必需对最终结果出具承诺，承诺内容必须包括最终商定的供货名称、规格、数量、所包含的所有附件（有赠送的需注明赠送品的型号规格数量）、价格、保修期、交货期、售后服务等内容，以供应商上传的“</w:t>
      </w:r>
      <w:r>
        <w:rPr>
          <w:rFonts w:hint="eastAsia" w:ascii="宋体" w:hAnsi="宋体" w:eastAsia="Arial" w:cs="Times New Roman"/>
          <w:b/>
          <w:kern w:val="0"/>
          <w:sz w:val="28"/>
          <w:szCs w:val="28"/>
          <w:highlight w:val="none"/>
        </w:rPr>
        <w:t>最终承诺及报价”</w:t>
      </w:r>
      <w:r>
        <w:rPr>
          <w:rFonts w:hint="eastAsia" w:ascii="宋体" w:hAnsi="宋体" w:eastAsia="Arial" w:cs="Times New Roman"/>
          <w:kern w:val="0"/>
          <w:sz w:val="28"/>
          <w:szCs w:val="28"/>
          <w:highlight w:val="none"/>
        </w:rPr>
        <w:t>为最终报价。</w:t>
      </w:r>
    </w:p>
    <w:p w14:paraId="24A25BBC">
      <w:pPr>
        <w:widowControl/>
        <w:adjustRightInd w:val="0"/>
        <w:snapToGrid w:val="0"/>
        <w:spacing w:after="200" w:line="580" w:lineRule="exact"/>
        <w:ind w:firstLine="560" w:firstLineChars="200"/>
        <w:jc w:val="left"/>
        <w:rPr>
          <w:rFonts w:ascii="宋体" w:hAnsi="宋体" w:eastAsia="Arial" w:cs="Times New Roman"/>
          <w:kern w:val="0"/>
          <w:sz w:val="28"/>
          <w:szCs w:val="28"/>
          <w:highlight w:val="none"/>
        </w:rPr>
      </w:pPr>
      <w:r>
        <w:rPr>
          <w:rFonts w:hint="eastAsia" w:ascii="宋体" w:hAnsi="宋体" w:eastAsia="Arial" w:cs="Times New Roman"/>
          <w:kern w:val="0"/>
          <w:sz w:val="28"/>
          <w:szCs w:val="28"/>
          <w:highlight w:val="none"/>
        </w:rPr>
        <w:t>五、由评审小组根据成交原则，确定成交供应商；</w:t>
      </w:r>
    </w:p>
    <w:p w14:paraId="2AB0F845">
      <w:pPr>
        <w:tabs>
          <w:tab w:val="left" w:pos="5250"/>
        </w:tabs>
        <w:adjustRightInd w:val="0"/>
        <w:snapToGrid w:val="0"/>
        <w:spacing w:line="580" w:lineRule="exact"/>
        <w:ind w:firstLine="560" w:firstLineChars="200"/>
        <w:rPr>
          <w:rFonts w:ascii="宋体" w:hAnsi="宋体" w:eastAsia="Arial" w:cs="Times New Roman"/>
          <w:sz w:val="28"/>
          <w:szCs w:val="28"/>
          <w:highlight w:val="none"/>
        </w:rPr>
      </w:pPr>
      <w:r>
        <w:rPr>
          <w:rFonts w:hint="eastAsia" w:ascii="宋体" w:hAnsi="宋体" w:eastAsia="Arial" w:cs="Times New Roman"/>
          <w:sz w:val="28"/>
          <w:szCs w:val="28"/>
          <w:highlight w:val="none"/>
        </w:rPr>
        <w:t>六、成交供应商和采购单位签订合同。</w:t>
      </w:r>
    </w:p>
    <w:p w14:paraId="311C06F1">
      <w:pPr>
        <w:widowControl/>
        <w:pBdr>
          <w:top w:val="none" w:color="000000" w:sz="0" w:space="0"/>
          <w:left w:val="none" w:color="000000" w:sz="0" w:space="0"/>
          <w:bottom w:val="none" w:color="000000" w:sz="0" w:space="0"/>
          <w:right w:val="none" w:color="000000" w:sz="0" w:space="0"/>
        </w:pBdr>
        <w:spacing w:before="240" w:after="240" w:line="276" w:lineRule="auto"/>
        <w:jc w:val="left"/>
        <w:rPr>
          <w:rFonts w:hint="eastAsia" w:ascii="宋体" w:hAnsi="宋体" w:eastAsia="宋体" w:cs="宋体"/>
          <w:b/>
          <w:kern w:val="0"/>
          <w:sz w:val="44"/>
          <w:highlight w:val="none"/>
        </w:rPr>
      </w:pPr>
    </w:p>
    <w:p w14:paraId="123A2B34">
      <w:pPr>
        <w:widowControl/>
        <w:spacing w:after="200" w:line="276" w:lineRule="auto"/>
        <w:jc w:val="left"/>
        <w:rPr>
          <w:rFonts w:hint="eastAsia" w:ascii="宋体" w:hAnsi="宋体" w:eastAsia="宋体" w:cs="宋体"/>
          <w:b/>
          <w:kern w:val="0"/>
          <w:sz w:val="44"/>
          <w:highlight w:val="none"/>
        </w:rPr>
      </w:pPr>
      <w:r>
        <w:rPr>
          <w:rFonts w:ascii="宋体" w:hAnsi="宋体" w:eastAsia="宋体" w:cs="宋体"/>
          <w:b/>
          <w:kern w:val="0"/>
          <w:sz w:val="44"/>
          <w:highlight w:val="none"/>
        </w:rPr>
        <w:br w:type="page"/>
      </w:r>
    </w:p>
    <w:p w14:paraId="77673BFB">
      <w:pPr>
        <w:numPr>
          <w:ilvl w:val="0"/>
          <w:numId w:val="27"/>
        </w:numPr>
        <w:spacing w:line="600" w:lineRule="exact"/>
        <w:jc w:val="center"/>
        <w:rPr>
          <w:rFonts w:hint="eastAsia" w:ascii="宋体" w:hAnsi="宋体" w:eastAsia="宋体" w:cs="宋体"/>
          <w:b/>
          <w:sz w:val="44"/>
          <w:szCs w:val="21"/>
          <w:highlight w:val="none"/>
        </w:rPr>
      </w:pPr>
      <w:r>
        <w:rPr>
          <w:rFonts w:hint="eastAsia" w:ascii="宋体" w:hAnsi="宋体" w:eastAsia="宋体" w:cs="宋体"/>
          <w:b/>
          <w:sz w:val="44"/>
          <w:szCs w:val="21"/>
          <w:highlight w:val="none"/>
        </w:rPr>
        <w:t>成交原则</w:t>
      </w:r>
    </w:p>
    <w:p w14:paraId="442D1749">
      <w:pPr>
        <w:spacing w:line="600" w:lineRule="exact"/>
        <w:rPr>
          <w:rFonts w:hint="eastAsia" w:ascii="宋体" w:hAnsi="宋体" w:eastAsia="宋体" w:cs="宋体"/>
          <w:b/>
          <w:sz w:val="44"/>
          <w:szCs w:val="21"/>
          <w:highlight w:val="none"/>
        </w:rPr>
      </w:pPr>
    </w:p>
    <w:p w14:paraId="4130E011">
      <w:pPr>
        <w:widowControl/>
        <w:pBdr>
          <w:top w:val="none" w:color="000000" w:sz="0" w:space="0"/>
          <w:left w:val="none" w:color="000000" w:sz="0" w:space="0"/>
          <w:bottom w:val="none" w:color="000000" w:sz="0" w:space="0"/>
          <w:right w:val="none" w:color="000000" w:sz="0" w:space="0"/>
        </w:pBdr>
        <w:spacing w:line="580" w:lineRule="exact"/>
        <w:ind w:firstLine="482"/>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一、本次单一来源采购成交原则，适用于本次采购活动。</w:t>
      </w:r>
    </w:p>
    <w:p w14:paraId="60F29DD6">
      <w:pPr>
        <w:widowControl/>
        <w:pBdr>
          <w:top w:val="none" w:color="000000" w:sz="0" w:space="0"/>
          <w:left w:val="none" w:color="000000" w:sz="0" w:space="0"/>
          <w:bottom w:val="none" w:color="000000" w:sz="0" w:space="0"/>
          <w:right w:val="none" w:color="000000" w:sz="0" w:space="0"/>
        </w:pBdr>
        <w:spacing w:line="580" w:lineRule="exact"/>
        <w:ind w:firstLine="482"/>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二、具备履约能力，能提供最佳售后服务。</w:t>
      </w:r>
    </w:p>
    <w:p w14:paraId="2FA03C45">
      <w:pPr>
        <w:widowControl/>
        <w:pBdr>
          <w:top w:val="none" w:color="000000" w:sz="0" w:space="0"/>
          <w:left w:val="none" w:color="000000" w:sz="0" w:space="0"/>
          <w:bottom w:val="none" w:color="000000" w:sz="0" w:space="0"/>
          <w:right w:val="none" w:color="000000" w:sz="0" w:space="0"/>
        </w:pBdr>
        <w:spacing w:line="580" w:lineRule="exact"/>
        <w:ind w:firstLine="482"/>
        <w:rPr>
          <w:rFonts w:hint="eastAsia" w:ascii="宋体" w:hAnsi="宋体" w:eastAsia="宋体" w:cs="宋体"/>
          <w:kern w:val="0"/>
          <w:sz w:val="28"/>
          <w:szCs w:val="28"/>
          <w:highlight w:val="none"/>
        </w:rPr>
      </w:pPr>
      <w:r>
        <w:rPr>
          <w:rFonts w:hint="eastAsia" w:ascii="宋体" w:hAnsi="宋体" w:eastAsia="宋体" w:cs="宋体"/>
          <w:kern w:val="0"/>
          <w:sz w:val="28"/>
          <w:szCs w:val="28"/>
          <w:highlight w:val="none"/>
        </w:rPr>
        <w:t>三、成交原则：采购小组根据单一来源采购响应单位提供的单一来源采购响应文件对服务质量、技术、售后服务及价格等方面的商谈进行评审，且单一来源采购响应单位的报价不超过采购单位预算或最高限价。</w:t>
      </w:r>
    </w:p>
    <w:p w14:paraId="01104E3B">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Times New Roman" w:hAnsi="Times New Roman" w:eastAsia="Times New Roman" w:cs="Times New Roman"/>
          <w:kern w:val="0"/>
          <w:highlight w:val="none"/>
        </w:rPr>
        <w:t> </w:t>
      </w:r>
    </w:p>
    <w:p w14:paraId="127E1340">
      <w:pPr>
        <w:widowControl/>
        <w:pBdr>
          <w:top w:val="none" w:color="000000" w:sz="0" w:space="0"/>
          <w:left w:val="none" w:color="000000" w:sz="0" w:space="0"/>
          <w:bottom w:val="none" w:color="000000" w:sz="0" w:space="0"/>
          <w:right w:val="none" w:color="000000" w:sz="0" w:space="0"/>
        </w:pBdr>
        <w:spacing w:line="460" w:lineRule="atLeast"/>
        <w:rPr>
          <w:rFonts w:ascii="Arial" w:hAnsi="Arial" w:eastAsia="Arial" w:cs="Times New Roman"/>
          <w:kern w:val="0"/>
          <w:sz w:val="22"/>
          <w:highlight w:val="none"/>
        </w:rPr>
      </w:pPr>
      <w:r>
        <w:rPr>
          <w:rFonts w:ascii="宋体" w:hAnsi="宋体" w:eastAsia="宋体" w:cs="宋体"/>
          <w:b/>
          <w:kern w:val="0"/>
          <w:sz w:val="24"/>
          <w:highlight w:val="none"/>
        </w:rPr>
        <w:t> </w:t>
      </w:r>
    </w:p>
    <w:p w14:paraId="138AF486">
      <w:pPr>
        <w:widowControl/>
        <w:spacing w:after="200" w:line="276" w:lineRule="auto"/>
        <w:jc w:val="left"/>
        <w:rPr>
          <w:rFonts w:hint="eastAsia" w:ascii="宋体" w:hAnsi="宋体" w:eastAsia="宋体" w:cs="宋体"/>
          <w:b/>
          <w:kern w:val="0"/>
          <w:sz w:val="44"/>
          <w:highlight w:val="none"/>
        </w:rPr>
      </w:pPr>
      <w:r>
        <w:rPr>
          <w:rFonts w:ascii="宋体" w:hAnsi="宋体" w:eastAsia="宋体" w:cs="宋体"/>
          <w:b/>
          <w:kern w:val="0"/>
          <w:sz w:val="44"/>
          <w:highlight w:val="none"/>
        </w:rPr>
        <w:br w:type="page"/>
      </w:r>
    </w:p>
    <w:p w14:paraId="7AEFB599">
      <w:pPr>
        <w:widowControl/>
        <w:pBdr>
          <w:top w:val="none" w:color="000000" w:sz="0" w:space="0"/>
          <w:left w:val="none" w:color="000000" w:sz="0" w:space="0"/>
          <w:bottom w:val="none" w:color="000000" w:sz="0" w:space="0"/>
          <w:right w:val="none" w:color="000000" w:sz="0" w:space="0"/>
        </w:pBdr>
        <w:spacing w:before="240" w:after="240" w:line="276" w:lineRule="auto"/>
        <w:jc w:val="left"/>
        <w:rPr>
          <w:rFonts w:ascii="宋体" w:hAnsi="宋体" w:eastAsia="Arial" w:cs="宋体"/>
          <w:kern w:val="0"/>
          <w:sz w:val="22"/>
          <w:highlight w:val="none"/>
        </w:rPr>
      </w:pPr>
      <w:r>
        <w:rPr>
          <w:rFonts w:ascii="宋体" w:hAnsi="宋体" w:eastAsia="宋体" w:cs="宋体"/>
          <w:b/>
          <w:kern w:val="0"/>
          <w:sz w:val="44"/>
          <w:highlight w:val="none"/>
        </w:rPr>
        <w:t xml:space="preserve">        第六部分 </w:t>
      </w:r>
      <w:r>
        <w:rPr>
          <w:rFonts w:hint="eastAsia" w:ascii="宋体" w:hAnsi="宋体" w:eastAsia="宋体" w:cs="宋体"/>
          <w:b/>
          <w:kern w:val="0"/>
          <w:sz w:val="44"/>
          <w:highlight w:val="none"/>
        </w:rPr>
        <w:t>合同条款</w:t>
      </w:r>
    </w:p>
    <w:p w14:paraId="0937B9A5">
      <w:pPr>
        <w:widowControl/>
        <w:spacing w:line="460" w:lineRule="atLeast"/>
        <w:rPr>
          <w:rFonts w:ascii="Arial" w:hAnsi="Arial" w:eastAsia="宋体" w:cs="Times New Roman"/>
          <w:kern w:val="0"/>
          <w:sz w:val="22"/>
          <w:highlight w:val="none"/>
        </w:rPr>
      </w:pPr>
      <w:r>
        <w:rPr>
          <w:rFonts w:hint="eastAsia" w:ascii="宋体" w:hAnsi="宋体" w:eastAsia="宋体" w:cs="宋体"/>
          <w:kern w:val="0"/>
          <w:sz w:val="24"/>
          <w:highlight w:val="none"/>
        </w:rPr>
        <w:t>采购人（以下称甲方）</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供应商：（以下称乙方）</w:t>
      </w:r>
    </w:p>
    <w:p w14:paraId="0214D2C6">
      <w:pPr>
        <w:widowControl/>
        <w:spacing w:line="460" w:lineRule="atLeast"/>
        <w:rPr>
          <w:rFonts w:ascii="Arial" w:hAnsi="Arial" w:eastAsia="宋体" w:cs="Times New Roman"/>
          <w:kern w:val="0"/>
          <w:sz w:val="22"/>
          <w:highlight w:val="none"/>
        </w:rPr>
      </w:pPr>
      <w:r>
        <w:rPr>
          <w:rFonts w:hint="eastAsia" w:ascii="宋体" w:hAnsi="宋体" w:eastAsia="宋体" w:cs="宋体"/>
          <w:kern w:val="0"/>
          <w:sz w:val="24"/>
          <w:highlight w:val="none"/>
        </w:rPr>
        <w:t>地址：</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地址：</w:t>
      </w:r>
    </w:p>
    <w:p w14:paraId="651F07F0">
      <w:pPr>
        <w:widowControl/>
        <w:spacing w:line="460" w:lineRule="atLeast"/>
        <w:rPr>
          <w:rFonts w:ascii="Arial" w:hAnsi="Arial" w:eastAsia="宋体" w:cs="Times New Roman"/>
          <w:kern w:val="0"/>
          <w:sz w:val="22"/>
          <w:highlight w:val="none"/>
        </w:rPr>
      </w:pPr>
      <w:r>
        <w:rPr>
          <w:rFonts w:hint="eastAsia" w:ascii="宋体" w:hAnsi="宋体" w:eastAsia="宋体" w:cs="宋体"/>
          <w:kern w:val="0"/>
          <w:sz w:val="24"/>
          <w:highlight w:val="none"/>
        </w:rPr>
        <w:t>电话：</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电话：</w:t>
      </w:r>
    </w:p>
    <w:p w14:paraId="139F8356">
      <w:pPr>
        <w:widowControl/>
        <w:spacing w:line="460" w:lineRule="atLeast"/>
        <w:ind w:firstLine="480"/>
        <w:jc w:val="left"/>
        <w:rPr>
          <w:rFonts w:ascii="Arial" w:hAnsi="Arial" w:eastAsia="宋体" w:cs="Times New Roman"/>
          <w:kern w:val="0"/>
          <w:sz w:val="22"/>
          <w:highlight w:val="none"/>
        </w:rPr>
      </w:pPr>
      <w:r>
        <w:rPr>
          <w:rFonts w:hint="eastAsia" w:ascii="宋体" w:hAnsi="宋体" w:eastAsia="宋体" w:cs="宋体"/>
          <w:kern w:val="0"/>
          <w:sz w:val="24"/>
          <w:highlight w:val="none"/>
        </w:rPr>
        <w:t>根据《中华人民共和国民法典》、《中华人民共和国政府采购法》等法律法规的规定，甲、乙双方按照苏州市公共资源交易中心太仓分中心组织的关于</w:t>
      </w:r>
      <w:r>
        <w:rPr>
          <w:rFonts w:hint="eastAsia" w:ascii="宋体" w:hAnsi="宋体" w:eastAsia="宋体" w:cs="宋体"/>
          <w:b/>
          <w:bCs/>
          <w:kern w:val="0"/>
          <w:sz w:val="24"/>
          <w:szCs w:val="24"/>
          <w:highlight w:val="none"/>
          <w:u w:val="single"/>
        </w:rPr>
        <w:t xml:space="preserve">                         项目</w:t>
      </w:r>
      <w:r>
        <w:rPr>
          <w:rFonts w:ascii="宋体" w:hAnsi="宋体" w:eastAsia="宋体" w:cs="宋体"/>
          <w:b/>
          <w:bCs/>
          <w:kern w:val="0"/>
          <w:sz w:val="24"/>
          <w:szCs w:val="24"/>
          <w:highlight w:val="none"/>
          <w:u w:val="single"/>
        </w:rPr>
        <w:t xml:space="preserve"> </w:t>
      </w:r>
      <w:r>
        <w:rPr>
          <w:rFonts w:hint="eastAsia" w:ascii="宋体" w:hAnsi="宋体" w:eastAsia="宋体" w:cs="宋体"/>
          <w:kern w:val="0"/>
          <w:sz w:val="24"/>
          <w:highlight w:val="none"/>
        </w:rPr>
        <w:t xml:space="preserve"> （</w:t>
      </w:r>
      <w:r>
        <w:rPr>
          <w:rFonts w:hint="eastAsia" w:ascii="宋体" w:hAnsi="宋体" w:eastAsia="宋体" w:cs="宋体"/>
          <w:b/>
          <w:kern w:val="0"/>
          <w:sz w:val="24"/>
          <w:highlight w:val="none"/>
        </w:rPr>
        <w:t>编号</w:t>
      </w:r>
      <w:r>
        <w:rPr>
          <w:rFonts w:hint="eastAsia" w:ascii="宋体" w:hAnsi="宋体" w:eastAsia="宋体" w:cs="宋体"/>
          <w:b/>
          <w:bCs/>
          <w:kern w:val="0"/>
          <w:sz w:val="24"/>
          <w:szCs w:val="24"/>
          <w:highlight w:val="none"/>
        </w:rPr>
        <w:t xml:space="preserve"> JSZC-320585-JZCG-D2026-0027</w:t>
      </w:r>
      <w:r>
        <w:rPr>
          <w:rFonts w:hint="eastAsia" w:ascii="宋体" w:hAnsi="宋体" w:eastAsia="宋体" w:cs="宋体"/>
          <w:kern w:val="0"/>
          <w:sz w:val="24"/>
          <w:highlight w:val="none"/>
        </w:rPr>
        <w:t>）的招标结果，签订本合同。</w:t>
      </w:r>
    </w:p>
    <w:p w14:paraId="64CCC829">
      <w:pPr>
        <w:widowControl/>
        <w:spacing w:line="460" w:lineRule="atLeast"/>
        <w:ind w:firstLine="472"/>
        <w:rPr>
          <w:rFonts w:ascii="Arial" w:hAnsi="Arial" w:eastAsia="宋体" w:cs="Times New Roman"/>
          <w:kern w:val="0"/>
          <w:sz w:val="22"/>
          <w:highlight w:val="none"/>
        </w:rPr>
      </w:pPr>
      <w:r>
        <w:rPr>
          <w:rFonts w:hint="eastAsia" w:ascii="宋体" w:hAnsi="宋体" w:eastAsia="宋体" w:cs="宋体"/>
          <w:b/>
          <w:kern w:val="0"/>
          <w:sz w:val="24"/>
          <w:highlight w:val="none"/>
        </w:rPr>
        <w:t>第一条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服务范围</w:t>
      </w:r>
    </w:p>
    <w:p w14:paraId="1DBBDE3B">
      <w:pPr>
        <w:widowControl/>
        <w:spacing w:line="460" w:lineRule="atLeast"/>
        <w:ind w:left="420"/>
        <w:rPr>
          <w:rFonts w:ascii="Arial" w:hAnsi="Arial" w:eastAsia="宋体" w:cs="Times New Roman"/>
          <w:kern w:val="0"/>
          <w:sz w:val="22"/>
          <w:highlight w:val="none"/>
        </w:rPr>
      </w:pPr>
      <w:r>
        <w:rPr>
          <w:rFonts w:ascii="宋体" w:hAnsi="宋体" w:eastAsia="宋体" w:cs="宋体"/>
          <w:kern w:val="0"/>
          <w:sz w:val="24"/>
          <w:highlight w:val="none"/>
        </w:rPr>
        <w:t> </w:t>
      </w:r>
      <w:r>
        <w:rPr>
          <w:rFonts w:hint="eastAsia" w:ascii="宋体" w:hAnsi="宋体" w:eastAsia="宋体" w:cs="宋体"/>
          <w:kern w:val="0"/>
          <w:sz w:val="24"/>
          <w:highlight w:val="none"/>
        </w:rPr>
        <w:t>甲方聘请乙方提供以下服务：</w:t>
      </w:r>
    </w:p>
    <w:p w14:paraId="1DEF01A2">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w:t>
      </w:r>
      <w:r>
        <w:rPr>
          <w:rFonts w:ascii="宋体" w:hAnsi="宋体" w:eastAsia="宋体" w:cs="宋体"/>
          <w:kern w:val="0"/>
          <w:sz w:val="24"/>
          <w:highlight w:val="none"/>
        </w:rPr>
        <w:t>1</w:t>
      </w:r>
      <w:r>
        <w:rPr>
          <w:rFonts w:hint="eastAsia" w:ascii="宋体" w:hAnsi="宋体" w:eastAsia="宋体" w:cs="宋体"/>
          <w:kern w:val="0"/>
          <w:sz w:val="24"/>
          <w:highlight w:val="none"/>
        </w:rPr>
        <w:t>）本合同项下的服务指：</w:t>
      </w:r>
    </w:p>
    <w:p w14:paraId="2492F3F3">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w:t>
      </w:r>
      <w:r>
        <w:rPr>
          <w:rFonts w:ascii="宋体" w:hAnsi="宋体" w:eastAsia="宋体" w:cs="宋体"/>
          <w:kern w:val="0"/>
          <w:sz w:val="24"/>
          <w:highlight w:val="none"/>
        </w:rPr>
        <w:t>2</w:t>
      </w:r>
      <w:r>
        <w:rPr>
          <w:rFonts w:hint="eastAsia" w:ascii="宋体" w:hAnsi="宋体" w:eastAsia="宋体" w:cs="宋体"/>
          <w:kern w:val="0"/>
          <w:sz w:val="24"/>
          <w:highlight w:val="none"/>
        </w:rPr>
        <w:t>）服务内容：</w:t>
      </w:r>
    </w:p>
    <w:p w14:paraId="290EDA87">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w:t>
      </w:r>
      <w:r>
        <w:rPr>
          <w:rFonts w:ascii="宋体" w:hAnsi="宋体" w:eastAsia="宋体" w:cs="宋体"/>
          <w:kern w:val="0"/>
          <w:sz w:val="24"/>
          <w:highlight w:val="none"/>
        </w:rPr>
        <w:t>3</w:t>
      </w:r>
      <w:r>
        <w:rPr>
          <w:rFonts w:hint="eastAsia" w:ascii="宋体" w:hAnsi="宋体" w:eastAsia="宋体" w:cs="宋体"/>
          <w:kern w:val="0"/>
          <w:sz w:val="24"/>
          <w:highlight w:val="none"/>
        </w:rPr>
        <w:t>）服务标准：</w:t>
      </w:r>
    </w:p>
    <w:p w14:paraId="27850102">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w:t>
      </w:r>
      <w:r>
        <w:rPr>
          <w:rFonts w:ascii="宋体" w:hAnsi="宋体" w:eastAsia="宋体" w:cs="宋体"/>
          <w:kern w:val="0"/>
          <w:sz w:val="24"/>
          <w:highlight w:val="none"/>
        </w:rPr>
        <w:t>4</w:t>
      </w:r>
      <w:r>
        <w:rPr>
          <w:rFonts w:hint="eastAsia" w:ascii="宋体" w:hAnsi="宋体" w:eastAsia="宋体" w:cs="宋体"/>
          <w:kern w:val="0"/>
          <w:sz w:val="24"/>
          <w:highlight w:val="none"/>
        </w:rPr>
        <w:t>）交付时间、地点：甲方指定。</w:t>
      </w:r>
    </w:p>
    <w:p w14:paraId="103AB2AA">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第二条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组成本合同的有关文件</w:t>
      </w:r>
      <w:r>
        <w:rPr>
          <w:rFonts w:ascii="宋体" w:hAnsi="宋体" w:eastAsia="宋体" w:cs="宋体"/>
          <w:b/>
          <w:kern w:val="0"/>
          <w:sz w:val="24"/>
          <w:highlight w:val="none"/>
        </w:rPr>
        <w:t xml:space="preserve"> </w:t>
      </w:r>
    </w:p>
    <w:p w14:paraId="341E724E">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下列与本次采购活动有关的文件及有关附件是本合同不可分割的组成部分，与本合同具有同等法律效力，这些文件包括但不限于：</w:t>
      </w:r>
    </w:p>
    <w:p w14:paraId="69226761">
      <w:pPr>
        <w:widowControl/>
        <w:numPr>
          <w:ilvl w:val="0"/>
          <w:numId w:val="28"/>
        </w:numPr>
        <w:spacing w:line="460" w:lineRule="atLeast"/>
        <w:rPr>
          <w:rFonts w:ascii="Arial" w:hAnsi="Arial" w:eastAsia="宋体" w:cs="Times New Roman"/>
          <w:kern w:val="0"/>
          <w:sz w:val="22"/>
          <w:highlight w:val="none"/>
        </w:rPr>
      </w:pPr>
      <w:r>
        <w:rPr>
          <w:rFonts w:hint="eastAsia" w:ascii="宋体" w:hAnsi="宋体" w:eastAsia="宋体" w:cs="宋体"/>
          <w:kern w:val="0"/>
          <w:sz w:val="24"/>
          <w:highlight w:val="none"/>
        </w:rPr>
        <w:t>招标采购文件（</w:t>
      </w:r>
      <w:r>
        <w:rPr>
          <w:rFonts w:hint="eastAsia" w:ascii="宋体" w:hAnsi="宋体" w:eastAsia="宋体" w:cs="宋体"/>
          <w:b/>
          <w:kern w:val="0"/>
          <w:sz w:val="24"/>
          <w:highlight w:val="none"/>
        </w:rPr>
        <w:t>编号： JSZC-320585-JZCG-D2026-0027</w:t>
      </w:r>
      <w:r>
        <w:rPr>
          <w:rFonts w:hint="eastAsia" w:ascii="宋体" w:hAnsi="宋体" w:eastAsia="宋体" w:cs="宋体"/>
          <w:kern w:val="0"/>
          <w:sz w:val="24"/>
          <w:highlight w:val="none"/>
        </w:rPr>
        <w:t>）</w:t>
      </w:r>
    </w:p>
    <w:p w14:paraId="37D816F5">
      <w:pPr>
        <w:widowControl/>
        <w:numPr>
          <w:ilvl w:val="0"/>
          <w:numId w:val="28"/>
        </w:numPr>
        <w:spacing w:line="460" w:lineRule="atLeast"/>
        <w:rPr>
          <w:rFonts w:ascii="Arial" w:hAnsi="Arial" w:eastAsia="宋体" w:cs="Times New Roman"/>
          <w:kern w:val="0"/>
          <w:sz w:val="22"/>
          <w:highlight w:val="none"/>
        </w:rPr>
      </w:pPr>
      <w:r>
        <w:rPr>
          <w:rFonts w:hint="eastAsia" w:ascii="宋体" w:hAnsi="宋体" w:eastAsia="宋体" w:cs="宋体"/>
          <w:kern w:val="0"/>
          <w:sz w:val="24"/>
          <w:highlight w:val="none"/>
        </w:rPr>
        <w:t>乙方提供的投标文件和投标报价表；</w:t>
      </w:r>
    </w:p>
    <w:p w14:paraId="5D6127A4">
      <w:pPr>
        <w:widowControl/>
        <w:numPr>
          <w:ilvl w:val="0"/>
          <w:numId w:val="28"/>
        </w:numPr>
        <w:spacing w:line="460" w:lineRule="atLeast"/>
        <w:rPr>
          <w:rFonts w:ascii="Arial" w:hAnsi="Arial" w:eastAsia="宋体" w:cs="Times New Roman"/>
          <w:kern w:val="0"/>
          <w:sz w:val="22"/>
          <w:highlight w:val="none"/>
        </w:rPr>
      </w:pPr>
      <w:r>
        <w:rPr>
          <w:rFonts w:hint="eastAsia" w:ascii="宋体" w:hAnsi="宋体" w:eastAsia="宋体" w:cs="宋体"/>
          <w:kern w:val="0"/>
          <w:sz w:val="24"/>
          <w:highlight w:val="none"/>
        </w:rPr>
        <w:t>乙方在投标过程中所作的其他承诺、声明、书面澄清等；</w:t>
      </w:r>
    </w:p>
    <w:p w14:paraId="4FA92F15">
      <w:pPr>
        <w:widowControl/>
        <w:numPr>
          <w:ilvl w:val="0"/>
          <w:numId w:val="28"/>
        </w:numPr>
        <w:spacing w:line="460" w:lineRule="atLeast"/>
        <w:rPr>
          <w:rFonts w:ascii="Arial" w:hAnsi="Arial" w:eastAsia="宋体" w:cs="Times New Roman"/>
          <w:kern w:val="0"/>
          <w:sz w:val="22"/>
          <w:highlight w:val="none"/>
          <w:lang w:eastAsia="en-US"/>
        </w:rPr>
      </w:pPr>
      <w:r>
        <w:rPr>
          <w:rFonts w:hint="eastAsia" w:ascii="宋体" w:hAnsi="宋体" w:eastAsia="宋体" w:cs="宋体"/>
          <w:kern w:val="0"/>
          <w:sz w:val="24"/>
          <w:highlight w:val="none"/>
          <w:lang w:eastAsia="en-US"/>
        </w:rPr>
        <w:t>中标通知书；</w:t>
      </w:r>
    </w:p>
    <w:p w14:paraId="62240409">
      <w:pPr>
        <w:widowControl/>
        <w:numPr>
          <w:ilvl w:val="0"/>
          <w:numId w:val="28"/>
        </w:numPr>
        <w:spacing w:line="460" w:lineRule="atLeast"/>
        <w:rPr>
          <w:rFonts w:ascii="Arial" w:hAnsi="Arial" w:eastAsia="宋体" w:cs="Times New Roman"/>
          <w:kern w:val="0"/>
          <w:sz w:val="22"/>
          <w:highlight w:val="none"/>
        </w:rPr>
      </w:pPr>
      <w:r>
        <w:rPr>
          <w:rFonts w:hint="eastAsia" w:ascii="宋体" w:hAnsi="宋体" w:eastAsia="宋体" w:cs="宋体"/>
          <w:kern w:val="0"/>
          <w:sz w:val="24"/>
          <w:highlight w:val="none"/>
        </w:rPr>
        <w:t>甲乙双方商定的其他文件等。</w:t>
      </w:r>
    </w:p>
    <w:p w14:paraId="0322B670">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第三条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合同总价款</w:t>
      </w:r>
      <w:r>
        <w:rPr>
          <w:rFonts w:ascii="宋体" w:hAnsi="宋体" w:eastAsia="宋体" w:cs="宋体"/>
          <w:b/>
          <w:kern w:val="0"/>
          <w:sz w:val="24"/>
          <w:highlight w:val="none"/>
        </w:rPr>
        <w:t xml:space="preserve"> </w:t>
      </w:r>
    </w:p>
    <w:p w14:paraId="689BBFC9">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合同价格按此次成交价格执行，合同总金额为人民币</w:t>
      </w:r>
      <w:r>
        <w:rPr>
          <w:rFonts w:ascii="宋体" w:hAnsi="宋体" w:eastAsia="宋体" w:cs="宋体"/>
          <w:kern w:val="0"/>
          <w:sz w:val="24"/>
          <w:highlight w:val="none"/>
        </w:rPr>
        <w:t>___________</w:t>
      </w:r>
      <w:r>
        <w:rPr>
          <w:rFonts w:hint="eastAsia" w:ascii="宋体" w:hAnsi="宋体" w:eastAsia="宋体" w:cs="宋体"/>
          <w:kern w:val="0"/>
          <w:sz w:val="24"/>
          <w:highlight w:val="none"/>
        </w:rPr>
        <w:t>（大写）人民币，小写：（￥：）元整。</w:t>
      </w:r>
    </w:p>
    <w:p w14:paraId="0054B54C">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合同总价款包括完成本项目所需的所有服务内容、相关劳务支出及其配套的工具耗材、人员培训发生的所有含税费用、支付给员工的工资和国家强制缴纳的各种社会保障资金，以及投标人认为需要的其他费用等。</w:t>
      </w:r>
    </w:p>
    <w:p w14:paraId="781F65BB">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除非合同条款中另有规定，本合同执行期间合同总价款不变。</w:t>
      </w:r>
    </w:p>
    <w:p w14:paraId="26ADEAEB">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第四条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合同款支付</w:t>
      </w:r>
    </w:p>
    <w:p w14:paraId="536F51E5">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1</w:t>
      </w:r>
      <w:r>
        <w:rPr>
          <w:rFonts w:hint="eastAsia" w:ascii="宋体" w:hAnsi="宋体" w:eastAsia="宋体" w:cs="宋体"/>
          <w:kern w:val="0"/>
          <w:sz w:val="24"/>
          <w:highlight w:val="none"/>
        </w:rPr>
        <w:t>、本合同项下所有款项均以人民币支付。</w:t>
      </w:r>
    </w:p>
    <w:p w14:paraId="070CA8F5">
      <w:pPr>
        <w:widowControl/>
        <w:spacing w:line="460" w:lineRule="atLeast"/>
        <w:ind w:firstLine="480"/>
        <w:rPr>
          <w:rFonts w:hint="eastAsia" w:ascii="宋体" w:hAnsi="宋体" w:eastAsia="宋体" w:cs="宋体"/>
          <w:kern w:val="0"/>
          <w:sz w:val="24"/>
          <w:highlight w:val="none"/>
        </w:rPr>
      </w:pPr>
      <w:r>
        <w:rPr>
          <w:rFonts w:ascii="宋体" w:hAnsi="宋体" w:eastAsia="宋体" w:cs="宋体"/>
          <w:kern w:val="0"/>
          <w:sz w:val="24"/>
          <w:highlight w:val="none"/>
        </w:rPr>
        <w:t>2</w:t>
      </w:r>
      <w:r>
        <w:rPr>
          <w:rFonts w:hint="eastAsia" w:ascii="宋体" w:hAnsi="宋体" w:eastAsia="宋体" w:cs="宋体"/>
          <w:kern w:val="0"/>
          <w:sz w:val="24"/>
          <w:highlight w:val="none"/>
        </w:rPr>
        <w:t>、本合同项下的采购资金由甲方自行支付，乙方向甲方开具发票。</w:t>
      </w:r>
    </w:p>
    <w:p w14:paraId="7F6CC144">
      <w:pPr>
        <w:widowControl/>
        <w:spacing w:line="460" w:lineRule="atLeast"/>
        <w:ind w:firstLine="480"/>
        <w:rPr>
          <w:rFonts w:hint="eastAsia" w:ascii="宋体" w:hAnsi="宋体" w:eastAsia="宋体" w:cs="宋体"/>
          <w:kern w:val="0"/>
          <w:sz w:val="24"/>
          <w:highlight w:val="none"/>
        </w:rPr>
      </w:pPr>
      <w:r>
        <w:rPr>
          <w:rFonts w:ascii="宋体" w:hAnsi="宋体" w:eastAsia="宋体" w:cs="宋体"/>
          <w:kern w:val="0"/>
          <w:sz w:val="24"/>
          <w:highlight w:val="none"/>
        </w:rPr>
        <w:t>3</w:t>
      </w:r>
      <w:r>
        <w:rPr>
          <w:rFonts w:hint="eastAsia" w:ascii="宋体" w:hAnsi="宋体" w:eastAsia="宋体" w:cs="宋体"/>
          <w:kern w:val="0"/>
          <w:sz w:val="24"/>
          <w:highlight w:val="none"/>
        </w:rPr>
        <w:t>、根据现行税法对乙方征收的与本合同有关的一切税费均由乙方承担。</w:t>
      </w:r>
    </w:p>
    <w:p w14:paraId="22A617CD">
      <w:pPr>
        <w:widowControl/>
        <w:spacing w:line="460" w:lineRule="atLeast"/>
        <w:ind w:firstLine="480"/>
        <w:rPr>
          <w:rFonts w:hint="eastAsia" w:ascii="宋体" w:hAnsi="宋体" w:eastAsia="宋体" w:cs="宋体"/>
          <w:kern w:val="0"/>
          <w:sz w:val="24"/>
          <w:highlight w:val="none"/>
        </w:rPr>
      </w:pPr>
      <w:r>
        <w:rPr>
          <w:rFonts w:ascii="宋体" w:hAnsi="宋体" w:eastAsia="宋体" w:cs="宋体"/>
          <w:kern w:val="0"/>
          <w:sz w:val="24"/>
          <w:highlight w:val="none"/>
        </w:rPr>
        <w:t>4</w:t>
      </w:r>
      <w:r>
        <w:rPr>
          <w:rFonts w:hint="eastAsia" w:ascii="宋体" w:hAnsi="宋体" w:eastAsia="宋体" w:cs="宋体"/>
          <w:kern w:val="0"/>
          <w:sz w:val="24"/>
          <w:highlight w:val="none"/>
        </w:rPr>
        <w:t>、付款步骤、方式：</w:t>
      </w:r>
    </w:p>
    <w:p w14:paraId="6D7900F0">
      <w:pPr>
        <w:spacing w:after="200" w:line="276" w:lineRule="auto"/>
        <w:rPr>
          <w:rFonts w:ascii="楷体_GB2312" w:hAnsi="Arial" w:eastAsia="楷体_GB2312" w:cs="Times New Roman"/>
          <w:sz w:val="28"/>
          <w:highlight w:val="none"/>
        </w:rPr>
      </w:pPr>
    </w:p>
    <w:p w14:paraId="245EA7BE">
      <w:pPr>
        <w:widowControl/>
        <w:spacing w:line="85"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第五条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服务质量、成果要求</w:t>
      </w:r>
    </w:p>
    <w:p w14:paraId="58644ABD">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1</w:t>
      </w:r>
      <w:r>
        <w:rPr>
          <w:rFonts w:hint="eastAsia" w:ascii="宋体" w:hAnsi="宋体" w:eastAsia="宋体" w:cs="宋体"/>
          <w:kern w:val="0"/>
          <w:sz w:val="24"/>
          <w:highlight w:val="none"/>
        </w:rPr>
        <w:t>、项目完成后甲方将组织专业人员进行项目的验收工作，如存在问题，乙方应进行改进，直至验收合格为止；</w:t>
      </w:r>
    </w:p>
    <w:p w14:paraId="4469A0B9">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2</w:t>
      </w:r>
      <w:r>
        <w:rPr>
          <w:rFonts w:hint="eastAsia" w:ascii="宋体" w:hAnsi="宋体" w:eastAsia="宋体" w:cs="宋体"/>
          <w:kern w:val="0"/>
          <w:sz w:val="24"/>
          <w:highlight w:val="none"/>
        </w:rPr>
        <w:t>、验收标准</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按采购文件要求、乙方的投标承诺或国家相关标准。</w:t>
      </w:r>
    </w:p>
    <w:p w14:paraId="1079F88B">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第六条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甲、乙双方权利义务</w:t>
      </w:r>
    </w:p>
    <w:p w14:paraId="55CC0ED7">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1</w:t>
      </w:r>
      <w:r>
        <w:rPr>
          <w:rFonts w:hint="eastAsia" w:ascii="宋体" w:hAnsi="宋体" w:eastAsia="宋体" w:cs="宋体"/>
          <w:kern w:val="0"/>
          <w:sz w:val="24"/>
          <w:highlight w:val="none"/>
        </w:rPr>
        <w:t>、甲方应当为保证项目服务的完成，给予乙方积极支持，为乙方提供项目实施的必要条件；</w:t>
      </w:r>
    </w:p>
    <w:p w14:paraId="0391D81F">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2</w:t>
      </w:r>
      <w:r>
        <w:rPr>
          <w:rFonts w:hint="eastAsia" w:ascii="宋体" w:hAnsi="宋体" w:eastAsia="宋体" w:cs="宋体"/>
          <w:kern w:val="0"/>
          <w:sz w:val="24"/>
          <w:highlight w:val="none"/>
        </w:rPr>
        <w:t>、甲方应当按照本合同约定按时支付合同金额。</w:t>
      </w:r>
    </w:p>
    <w:p w14:paraId="5A881740">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3</w:t>
      </w:r>
      <w:r>
        <w:rPr>
          <w:rFonts w:hint="eastAsia" w:ascii="宋体" w:hAnsi="宋体" w:eastAsia="宋体" w:cs="宋体"/>
          <w:kern w:val="0"/>
          <w:sz w:val="24"/>
          <w:highlight w:val="none"/>
        </w:rPr>
        <w:t>、乙方提交的服务成果未经甲方书面许可，不得向任何第三方泄露。</w:t>
      </w:r>
    </w:p>
    <w:p w14:paraId="19A3107E">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4</w:t>
      </w:r>
      <w:r>
        <w:rPr>
          <w:rFonts w:hint="eastAsia" w:ascii="宋体" w:hAnsi="宋体" w:eastAsia="宋体" w:cs="宋体"/>
          <w:kern w:val="0"/>
          <w:sz w:val="24"/>
          <w:highlight w:val="none"/>
        </w:rPr>
        <w:t>、</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乙方提供必要的技术培训，协助甲方完成其他需要中标单位配合的服务。</w:t>
      </w:r>
    </w:p>
    <w:p w14:paraId="13A0DC6B">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5</w:t>
      </w:r>
      <w:r>
        <w:rPr>
          <w:rFonts w:hint="eastAsia" w:ascii="宋体" w:hAnsi="宋体" w:eastAsia="宋体" w:cs="宋体"/>
          <w:kern w:val="0"/>
          <w:sz w:val="24"/>
          <w:highlight w:val="none"/>
        </w:rPr>
        <w:t>、乙方根据国家标准、行业标准和规范要求及标书规定的服务质量标准和有关要求，保质保量地完成服务工作。</w:t>
      </w:r>
    </w:p>
    <w:p w14:paraId="101BE107">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第七条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知识产权</w:t>
      </w:r>
    </w:p>
    <w:p w14:paraId="7A401116">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1</w:t>
      </w:r>
      <w:r>
        <w:rPr>
          <w:rFonts w:hint="eastAsia" w:ascii="宋体" w:hAnsi="宋体" w:eastAsia="宋体" w:cs="宋体"/>
          <w:kern w:val="0"/>
          <w:sz w:val="24"/>
          <w:highlight w:val="none"/>
        </w:rPr>
        <w:t>、在合同履行过程中，由甲方向乙方提供的资料－－包括但不限于程序、文件、报告、说明、图表等均归甲方所有。</w:t>
      </w:r>
    </w:p>
    <w:p w14:paraId="60DCE496">
      <w:pPr>
        <w:widowControl/>
        <w:spacing w:line="460" w:lineRule="atLeast"/>
        <w:ind w:firstLine="480" w:firstLineChars="200"/>
        <w:rPr>
          <w:rFonts w:ascii="Arial" w:hAnsi="Arial" w:eastAsia="宋体" w:cs="Times New Roman"/>
          <w:kern w:val="0"/>
          <w:sz w:val="22"/>
          <w:highlight w:val="none"/>
        </w:rPr>
      </w:pPr>
      <w:r>
        <w:rPr>
          <w:rFonts w:ascii="宋体" w:hAnsi="宋体" w:eastAsia="宋体" w:cs="宋体"/>
          <w:kern w:val="0"/>
          <w:sz w:val="24"/>
          <w:highlight w:val="none"/>
        </w:rPr>
        <w:t>2</w:t>
      </w:r>
      <w:r>
        <w:rPr>
          <w:rFonts w:hint="eastAsia" w:ascii="宋体" w:hAnsi="宋体" w:eastAsia="宋体" w:cs="宋体"/>
          <w:kern w:val="0"/>
          <w:sz w:val="24"/>
          <w:highlight w:val="none"/>
        </w:rPr>
        <w:t>、在合同履行完毕后，乙方依据本合同及本合同附件向甲方提供的任何程序、文件、报告、说明、图表等的知识产权均归甲方所有（但属于乙方或第三方的除外），乙方不得以任何形式使用或向第三方透露。</w:t>
      </w:r>
    </w:p>
    <w:p w14:paraId="3A1704E1">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第八条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保密条款</w:t>
      </w:r>
    </w:p>
    <w:p w14:paraId="70FF13B9">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p>
    <w:p w14:paraId="7479655E">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第九条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风险责任</w:t>
      </w:r>
    </w:p>
    <w:p w14:paraId="690AE760">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14:paraId="6AAE8DBD">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第十条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履约保证金（本项目不涉及）</w:t>
      </w:r>
    </w:p>
    <w:p w14:paraId="0E1DF97C">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1</w:t>
      </w:r>
      <w:r>
        <w:rPr>
          <w:rFonts w:hint="eastAsia" w:ascii="宋体" w:hAnsi="宋体" w:eastAsia="宋体" w:cs="宋体"/>
          <w:kern w:val="0"/>
          <w:sz w:val="24"/>
          <w:highlight w:val="none"/>
        </w:rPr>
        <w:t>、乙方应按招标文件的约定要求提供相应的履约保证金。</w:t>
      </w:r>
    </w:p>
    <w:p w14:paraId="4B7269F5">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2</w:t>
      </w:r>
      <w:r>
        <w:rPr>
          <w:rFonts w:hint="eastAsia" w:ascii="宋体" w:hAnsi="宋体" w:eastAsia="宋体" w:cs="宋体"/>
          <w:kern w:val="0"/>
          <w:sz w:val="24"/>
          <w:highlight w:val="none"/>
        </w:rPr>
        <w:t>、履约保证金的有效期为合同生效之日起至合同主要义务履行完毕止。</w:t>
      </w:r>
    </w:p>
    <w:p w14:paraId="2BB2A179">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3</w:t>
      </w:r>
      <w:r>
        <w:rPr>
          <w:rFonts w:hint="eastAsia" w:ascii="宋体" w:hAnsi="宋体" w:eastAsia="宋体" w:cs="宋体"/>
          <w:kern w:val="0"/>
          <w:sz w:val="24"/>
          <w:highlight w:val="none"/>
        </w:rPr>
        <w:t>、如乙方未能履行合同规定的义务，或因乙方责任应由乙方承担的赔偿未完成，甲方有权从履约保证金中取得补偿。</w:t>
      </w:r>
    </w:p>
    <w:p w14:paraId="1366415F">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4</w:t>
      </w:r>
      <w:r>
        <w:rPr>
          <w:rFonts w:hint="eastAsia" w:ascii="宋体" w:hAnsi="宋体" w:eastAsia="宋体" w:cs="宋体"/>
          <w:kern w:val="0"/>
          <w:sz w:val="24"/>
          <w:highlight w:val="none"/>
        </w:rPr>
        <w:t>、履约保证金待合同主要义务全部履行完毕后全额退回（不计息）。</w:t>
      </w:r>
    </w:p>
    <w:p w14:paraId="59D58C1C">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第十一条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合同的变更和终止</w:t>
      </w:r>
    </w:p>
    <w:p w14:paraId="4318812B">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1</w:t>
      </w:r>
      <w:r>
        <w:rPr>
          <w:rFonts w:hint="eastAsia" w:ascii="宋体" w:hAnsi="宋体" w:eastAsia="宋体" w:cs="宋体"/>
          <w:kern w:val="0"/>
          <w:sz w:val="24"/>
          <w:highlight w:val="none"/>
        </w:rPr>
        <w:t>、本合同一经签订，甲乙双方不得擅自变更、中止或终止合同。</w:t>
      </w:r>
    </w:p>
    <w:p w14:paraId="68F6A73A">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2</w:t>
      </w:r>
      <w:r>
        <w:rPr>
          <w:rFonts w:hint="eastAsia" w:ascii="宋体" w:hAnsi="宋体" w:eastAsia="宋体" w:cs="宋体"/>
          <w:kern w:val="0"/>
          <w:sz w:val="24"/>
          <w:highlight w:val="none"/>
        </w:rPr>
        <w:t>、除发生法律规定的不能预见、不能避免并不能克服的客观情况外，甲乙双方不得放弃或拒绝履行合同。乙方放弃或拒绝履行合同，保证金不予退还。</w:t>
      </w:r>
    </w:p>
    <w:p w14:paraId="53BCB27F">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第十二条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合同的转让</w:t>
      </w:r>
    </w:p>
    <w:p w14:paraId="07BA0A33">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1</w:t>
      </w:r>
      <w:r>
        <w:rPr>
          <w:rFonts w:hint="eastAsia" w:ascii="宋体" w:hAnsi="宋体" w:eastAsia="宋体" w:cs="宋体"/>
          <w:kern w:val="0"/>
          <w:sz w:val="24"/>
          <w:highlight w:val="none"/>
        </w:rPr>
        <w:t>、乙方不得擅自部分或全部转让其应履行的合同义务。</w:t>
      </w:r>
      <w:r>
        <w:rPr>
          <w:rFonts w:ascii="宋体" w:hAnsi="宋体" w:eastAsia="宋体" w:cs="宋体"/>
          <w:kern w:val="0"/>
          <w:sz w:val="24"/>
          <w:highlight w:val="none"/>
        </w:rPr>
        <w:t xml:space="preserve">    </w:t>
      </w:r>
    </w:p>
    <w:p w14:paraId="681EA9AD">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2</w:t>
      </w:r>
      <w:r>
        <w:rPr>
          <w:rFonts w:hint="eastAsia" w:ascii="宋体" w:hAnsi="宋体" w:eastAsia="宋体" w:cs="宋体"/>
          <w:kern w:val="0"/>
          <w:sz w:val="24"/>
          <w:highlight w:val="none"/>
        </w:rPr>
        <w:t>、乙方在履行合同过程中，不得将服务项目委托给第三方。</w:t>
      </w:r>
    </w:p>
    <w:p w14:paraId="52C6865C">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第十三条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违约责任</w:t>
      </w:r>
    </w:p>
    <w:p w14:paraId="15EC7990">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1</w:t>
      </w:r>
      <w:r>
        <w:rPr>
          <w:rFonts w:hint="eastAsia" w:ascii="宋体" w:hAnsi="宋体" w:eastAsia="宋体" w:cs="宋体"/>
          <w:kern w:val="0"/>
          <w:sz w:val="24"/>
          <w:highlight w:val="none"/>
        </w:rPr>
        <w:t>、在合同生效后，甲方无理由要求终止服务的，应向乙方偿付合同总价款的</w:t>
      </w:r>
      <w:r>
        <w:rPr>
          <w:rFonts w:ascii="宋体" w:hAnsi="宋体" w:eastAsia="宋体" w:cs="宋体"/>
          <w:kern w:val="0"/>
          <w:sz w:val="24"/>
          <w:highlight w:val="none"/>
        </w:rPr>
        <w:t>5%</w:t>
      </w:r>
      <w:r>
        <w:rPr>
          <w:rFonts w:hint="eastAsia" w:ascii="宋体" w:hAnsi="宋体" w:eastAsia="宋体" w:cs="宋体"/>
          <w:kern w:val="0"/>
          <w:sz w:val="24"/>
          <w:highlight w:val="none"/>
        </w:rPr>
        <w:t>，作为违约金，违约金不足以补偿损失的，乙方有权要求甲方补足。</w:t>
      </w:r>
    </w:p>
    <w:p w14:paraId="4987EB2A">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2</w:t>
      </w:r>
      <w:r>
        <w:rPr>
          <w:rFonts w:hint="eastAsia" w:ascii="宋体" w:hAnsi="宋体" w:eastAsia="宋体" w:cs="宋体"/>
          <w:kern w:val="0"/>
          <w:sz w:val="24"/>
          <w:highlight w:val="none"/>
        </w:rPr>
        <w:t>、甲方逾期付款的，应按照逾期付款金额的每天万分之四支付逾期付款违约金。</w:t>
      </w:r>
    </w:p>
    <w:p w14:paraId="54E7ACE1">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3</w:t>
      </w:r>
      <w:r>
        <w:rPr>
          <w:rFonts w:hint="eastAsia" w:ascii="宋体" w:hAnsi="宋体" w:eastAsia="宋体" w:cs="宋体"/>
          <w:kern w:val="0"/>
          <w:sz w:val="24"/>
          <w:highlight w:val="none"/>
        </w:rPr>
        <w:t>、乙方不能按时提供服务（逾期超过十五天视为不能服务），或服务不合格从而影响甲方按期正常使用的，甲方有权解除合同，乙方应向甲方偿付合同总价款</w:t>
      </w:r>
      <w:r>
        <w:rPr>
          <w:rFonts w:ascii="宋体" w:hAnsi="宋体" w:eastAsia="宋体" w:cs="宋体"/>
          <w:kern w:val="0"/>
          <w:sz w:val="24"/>
          <w:highlight w:val="none"/>
        </w:rPr>
        <w:t>5%</w:t>
      </w:r>
      <w:r>
        <w:rPr>
          <w:rFonts w:hint="eastAsia" w:ascii="宋体" w:hAnsi="宋体" w:eastAsia="宋体" w:cs="宋体"/>
          <w:kern w:val="0"/>
          <w:sz w:val="24"/>
          <w:highlight w:val="none"/>
        </w:rPr>
        <w:t>的违约金，违约金不足以补偿损失的甲方有权要求乙方补足。</w:t>
      </w:r>
    </w:p>
    <w:p w14:paraId="30C10D35">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4</w:t>
      </w:r>
      <w:r>
        <w:rPr>
          <w:rFonts w:hint="eastAsia" w:ascii="宋体" w:hAnsi="宋体" w:eastAsia="宋体" w:cs="宋体"/>
          <w:kern w:val="0"/>
          <w:sz w:val="24"/>
          <w:highlight w:val="none"/>
        </w:rPr>
        <w:t>、乙方项目组成员须按招标文件承诺人员配备，未经甲方同意不得擅自更换；如更换需向甲方支付赔偿金。</w:t>
      </w:r>
    </w:p>
    <w:p w14:paraId="1D2965BC">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5</w:t>
      </w:r>
      <w:r>
        <w:rPr>
          <w:rFonts w:hint="eastAsia" w:ascii="宋体" w:hAnsi="宋体" w:eastAsia="宋体" w:cs="宋体"/>
          <w:kern w:val="0"/>
          <w:sz w:val="24"/>
          <w:highlight w:val="none"/>
        </w:rPr>
        <w:t>、乙方在承担上述一项或多项违约责任后，仍应继续履行合同规定的义务（甲方解除合同的除外）。甲方未能及时追究乙方的任何一项违约责任并不表明甲方放弃追究乙方该项或其他违约责任。</w:t>
      </w:r>
    </w:p>
    <w:p w14:paraId="6CC08372">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6</w:t>
      </w:r>
      <w:r>
        <w:rPr>
          <w:rFonts w:hint="eastAsia" w:ascii="宋体" w:hAnsi="宋体" w:eastAsia="宋体" w:cs="宋体"/>
          <w:kern w:val="0"/>
          <w:sz w:val="24"/>
          <w:highlight w:val="none"/>
        </w:rPr>
        <w:t>、其他未尽事宜，以《民法典》和《政府采购法》等有关法律法规规定为准，无相关规定的，双方协商解决。</w:t>
      </w:r>
    </w:p>
    <w:p w14:paraId="4E2F0E86">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第十四条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不可抗力</w:t>
      </w:r>
    </w:p>
    <w:p w14:paraId="76D2ED25">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甲、乙方中任何一方，因不可抗力不能按时或完全履行合同的</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p>
    <w:p w14:paraId="3300D81B">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因合同一方迟延履行后发生不可抗力的，不能免除责任。</w:t>
      </w:r>
    </w:p>
    <w:p w14:paraId="3E39F412">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第十五条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索赔</w:t>
      </w:r>
    </w:p>
    <w:p w14:paraId="65BB0B36">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如在项目服务提供、使用过程中，甲方发现项目质量与合同内容有不符或不满足国家标准或行业标准，有权向乙方提出索赔，乙方在收到甲方索赔通知后（）天内应免费进行补救或弥补相应的缺陷。如果乙方在收到通知后</w:t>
      </w:r>
      <w:r>
        <w:rPr>
          <w:rFonts w:ascii="宋体" w:hAnsi="宋体" w:eastAsia="宋体" w:cs="宋体"/>
          <w:kern w:val="0"/>
          <w:sz w:val="24"/>
          <w:highlight w:val="none"/>
        </w:rPr>
        <w:t>(   )</w:t>
      </w:r>
      <w:r>
        <w:rPr>
          <w:rFonts w:hint="eastAsia" w:ascii="宋体" w:hAnsi="宋体" w:eastAsia="宋体" w:cs="宋体"/>
          <w:kern w:val="0"/>
          <w:sz w:val="24"/>
          <w:highlight w:val="none"/>
        </w:rPr>
        <w:t>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14:paraId="659297B7">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第十六条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争议的解决</w:t>
      </w:r>
    </w:p>
    <w:p w14:paraId="6A0B7A68">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1</w:t>
      </w:r>
      <w:r>
        <w:rPr>
          <w:rFonts w:hint="eastAsia" w:ascii="宋体" w:hAnsi="宋体" w:eastAsia="宋体" w:cs="宋体"/>
          <w:kern w:val="0"/>
          <w:sz w:val="24"/>
          <w:highlight w:val="none"/>
        </w:rPr>
        <w:t>、因服务的质量问题发生争议的，应当邀请国家认可的质量检测机构对服务项目质量进行鉴定。项目符合标准的，鉴定费由甲方承担；项目不符合质量标准的，鉴定费由乙方承担。</w:t>
      </w:r>
    </w:p>
    <w:p w14:paraId="1E835D5C">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2</w:t>
      </w:r>
      <w:r>
        <w:rPr>
          <w:rFonts w:hint="eastAsia" w:ascii="宋体" w:hAnsi="宋体" w:eastAsia="宋体" w:cs="宋体"/>
          <w:kern w:val="0"/>
          <w:sz w:val="24"/>
          <w:highlight w:val="none"/>
        </w:rPr>
        <w:t>、因履行本合同引起的或与本合同有关的争议，甲、乙双方应首先通过友好协商解决，如果协商不能解决争议，则向甲方所在地有管辖权的人民法院提起诉讼；</w:t>
      </w:r>
    </w:p>
    <w:p w14:paraId="675E1ADB">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3</w:t>
      </w:r>
      <w:r>
        <w:rPr>
          <w:rFonts w:hint="eastAsia" w:ascii="宋体" w:hAnsi="宋体" w:eastAsia="宋体" w:cs="宋体"/>
          <w:kern w:val="0"/>
          <w:sz w:val="24"/>
          <w:highlight w:val="none"/>
        </w:rPr>
        <w:t>、在法院审理和仲裁期间，除有争议部分外，本合同其他部分应继续履行。</w:t>
      </w:r>
    </w:p>
    <w:p w14:paraId="22B79FF5">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第十七条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诚实信用</w:t>
      </w:r>
      <w:r>
        <w:rPr>
          <w:rFonts w:ascii="宋体" w:hAnsi="宋体" w:eastAsia="宋体" w:cs="宋体"/>
          <w:b/>
          <w:kern w:val="0"/>
          <w:sz w:val="24"/>
          <w:highlight w:val="none"/>
        </w:rPr>
        <w:t xml:space="preserve"> </w:t>
      </w:r>
    </w:p>
    <w:p w14:paraId="0250B53C">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乙方应诚实信用，严格按照招标文件要求和投标承诺履行合同，不向甲方进行商业贿赂或者提供不正当利益。</w:t>
      </w:r>
    </w:p>
    <w:p w14:paraId="4355709D">
      <w:pPr>
        <w:widowControl/>
        <w:spacing w:line="460" w:lineRule="atLeast"/>
        <w:ind w:firstLine="482"/>
        <w:rPr>
          <w:rFonts w:ascii="Arial" w:hAnsi="Arial" w:eastAsia="宋体" w:cs="Times New Roman"/>
          <w:kern w:val="0"/>
          <w:sz w:val="22"/>
          <w:highlight w:val="none"/>
        </w:rPr>
      </w:pPr>
      <w:r>
        <w:rPr>
          <w:rFonts w:hint="eastAsia" w:ascii="宋体" w:hAnsi="宋体" w:eastAsia="宋体" w:cs="宋体"/>
          <w:b/>
          <w:kern w:val="0"/>
          <w:sz w:val="24"/>
          <w:highlight w:val="none"/>
        </w:rPr>
        <w:t>第十八条</w:t>
      </w:r>
      <w:r>
        <w:rPr>
          <w:rFonts w:ascii="宋体" w:hAnsi="宋体" w:eastAsia="宋体" w:cs="宋体"/>
          <w:b/>
          <w:kern w:val="0"/>
          <w:sz w:val="24"/>
          <w:highlight w:val="none"/>
        </w:rPr>
        <w:t xml:space="preserve"> </w:t>
      </w:r>
      <w:r>
        <w:rPr>
          <w:rFonts w:hint="eastAsia" w:ascii="宋体" w:hAnsi="宋体" w:eastAsia="宋体" w:cs="宋体"/>
          <w:b/>
          <w:kern w:val="0"/>
          <w:sz w:val="24"/>
          <w:highlight w:val="none"/>
        </w:rPr>
        <w:t>合同生效及其他</w:t>
      </w:r>
    </w:p>
    <w:p w14:paraId="5732335C">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1</w:t>
      </w:r>
      <w:r>
        <w:rPr>
          <w:rFonts w:hint="eastAsia" w:ascii="宋体" w:hAnsi="宋体" w:eastAsia="宋体" w:cs="宋体"/>
          <w:kern w:val="0"/>
          <w:sz w:val="24"/>
          <w:highlight w:val="none"/>
        </w:rPr>
        <w:t>、本合同自经甲乙双方授权代表签订并加盖公章后，自签订之日起生效。</w:t>
      </w:r>
    </w:p>
    <w:p w14:paraId="1AD0D2A9">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2</w:t>
      </w:r>
      <w:r>
        <w:rPr>
          <w:rFonts w:hint="eastAsia" w:ascii="宋体" w:hAnsi="宋体" w:eastAsia="宋体" w:cs="宋体"/>
          <w:kern w:val="0"/>
          <w:sz w:val="24"/>
          <w:highlight w:val="none"/>
        </w:rPr>
        <w:t>、本合同一式两份份，甲乙双方各执一份。</w:t>
      </w:r>
    </w:p>
    <w:p w14:paraId="5E028CA4">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3</w:t>
      </w:r>
      <w:r>
        <w:rPr>
          <w:rFonts w:hint="eastAsia" w:ascii="宋体" w:hAnsi="宋体" w:eastAsia="宋体" w:cs="宋体"/>
          <w:kern w:val="0"/>
          <w:sz w:val="24"/>
          <w:highlight w:val="none"/>
        </w:rPr>
        <w:t>、本合同应按照中华人民共和国的现行法律进行解释。</w:t>
      </w:r>
    </w:p>
    <w:p w14:paraId="5A59FBA8">
      <w:pPr>
        <w:widowControl/>
        <w:spacing w:line="460" w:lineRule="atLeast"/>
        <w:ind w:firstLine="480"/>
        <w:rPr>
          <w:rFonts w:ascii="Arial" w:hAnsi="Arial" w:eastAsia="宋体" w:cs="Times New Roman"/>
          <w:kern w:val="0"/>
          <w:sz w:val="22"/>
          <w:highlight w:val="none"/>
        </w:rPr>
      </w:pPr>
      <w:r>
        <w:rPr>
          <w:rFonts w:ascii="宋体" w:hAnsi="宋体" w:eastAsia="宋体" w:cs="宋体"/>
          <w:kern w:val="0"/>
          <w:sz w:val="24"/>
          <w:highlight w:val="none"/>
        </w:rPr>
        <w:t> </w:t>
      </w:r>
    </w:p>
    <w:p w14:paraId="15E90243">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甲方（采购人）：（盖章）</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乙方（供应商）：（盖章）</w:t>
      </w:r>
    </w:p>
    <w:p w14:paraId="564CCAE4">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代表人：</w:t>
      </w:r>
      <w:r>
        <w:rPr>
          <w:rFonts w:ascii="宋体" w:hAnsi="宋体" w:eastAsia="宋体" w:cs="宋体"/>
          <w:kern w:val="0"/>
          <w:sz w:val="24"/>
          <w:highlight w:val="none"/>
        </w:rPr>
        <w:t>              </w:t>
      </w:r>
      <w:r>
        <w:rPr>
          <w:rFonts w:hint="eastAsia" w:ascii="宋体" w:hAnsi="宋体" w:eastAsia="宋体" w:cs="宋体"/>
          <w:kern w:val="0"/>
          <w:sz w:val="24"/>
          <w:highlight w:val="none"/>
        </w:rPr>
        <w:t>代表人：</w:t>
      </w:r>
    </w:p>
    <w:p w14:paraId="3D99BE04">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电话：</w:t>
      </w:r>
      <w:r>
        <w:rPr>
          <w:rFonts w:ascii="宋体" w:hAnsi="宋体" w:eastAsia="宋体" w:cs="宋体"/>
          <w:kern w:val="0"/>
          <w:sz w:val="24"/>
          <w:highlight w:val="none"/>
        </w:rPr>
        <w:t>               </w:t>
      </w:r>
      <w:r>
        <w:rPr>
          <w:rFonts w:hint="eastAsia" w:ascii="宋体" w:hAnsi="宋体" w:eastAsia="宋体" w:cs="宋体"/>
          <w:kern w:val="0"/>
          <w:sz w:val="24"/>
          <w:highlight w:val="none"/>
        </w:rPr>
        <w:t>电话：</w:t>
      </w:r>
    </w:p>
    <w:p w14:paraId="4515107D">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开户银行：</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开户银行：</w:t>
      </w:r>
    </w:p>
    <w:p w14:paraId="0AE1E10F">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帐号：</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帐号：</w:t>
      </w:r>
    </w:p>
    <w:p w14:paraId="447FC6D4">
      <w:pPr>
        <w:widowControl/>
        <w:spacing w:line="460" w:lineRule="atLeast"/>
        <w:ind w:firstLine="480"/>
        <w:rPr>
          <w:rFonts w:ascii="Arial" w:hAnsi="Arial" w:eastAsia="宋体" w:cs="Times New Roman"/>
          <w:kern w:val="0"/>
          <w:sz w:val="22"/>
          <w:highlight w:val="none"/>
        </w:rPr>
      </w:pPr>
      <w:r>
        <w:rPr>
          <w:rFonts w:hint="eastAsia" w:ascii="宋体" w:hAnsi="宋体" w:eastAsia="宋体" w:cs="宋体"/>
          <w:kern w:val="0"/>
          <w:sz w:val="24"/>
          <w:highlight w:val="none"/>
        </w:rPr>
        <w:t>日期：</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年</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月</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日</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日期：</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年</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月</w:t>
      </w:r>
      <w:r>
        <w:rPr>
          <w:rFonts w:ascii="宋体" w:hAnsi="宋体" w:eastAsia="宋体" w:cs="宋体"/>
          <w:kern w:val="0"/>
          <w:sz w:val="24"/>
          <w:highlight w:val="none"/>
        </w:rPr>
        <w:t xml:space="preserve">   </w:t>
      </w:r>
      <w:r>
        <w:rPr>
          <w:rFonts w:hint="eastAsia" w:ascii="宋体" w:hAnsi="宋体" w:eastAsia="宋体" w:cs="宋体"/>
          <w:kern w:val="0"/>
          <w:sz w:val="24"/>
          <w:highlight w:val="none"/>
        </w:rPr>
        <w:t>日</w:t>
      </w:r>
    </w:p>
    <w:p w14:paraId="7F3F5A0C">
      <w:pPr>
        <w:widowControl/>
        <w:spacing w:after="200" w:line="276" w:lineRule="auto"/>
        <w:jc w:val="left"/>
        <w:rPr>
          <w:rFonts w:ascii="Times New Roman" w:hAnsi="Times New Roman" w:eastAsia="Times New Roman" w:cs="Times New Roman"/>
          <w:kern w:val="0"/>
          <w:sz w:val="24"/>
          <w:highlight w:val="none"/>
        </w:rPr>
      </w:pPr>
      <w:r>
        <w:rPr>
          <w:rFonts w:ascii="Times New Roman" w:hAnsi="Times New Roman" w:eastAsia="Times New Roman" w:cs="Times New Roman"/>
          <w:kern w:val="0"/>
          <w:sz w:val="24"/>
          <w:highlight w:val="none"/>
        </w:rPr>
        <w:br w:type="page"/>
      </w:r>
    </w:p>
    <w:p w14:paraId="17E9D964">
      <w:pPr>
        <w:widowControl/>
        <w:pBdr>
          <w:top w:val="none" w:color="000000" w:sz="0" w:space="0"/>
          <w:left w:val="none" w:color="000000" w:sz="0" w:space="0"/>
          <w:bottom w:val="none" w:color="000000" w:sz="0" w:space="0"/>
          <w:right w:val="none" w:color="000000" w:sz="0" w:space="0"/>
        </w:pBdr>
        <w:spacing w:before="240" w:after="240" w:line="439" w:lineRule="atLeast"/>
        <w:jc w:val="center"/>
        <w:rPr>
          <w:rFonts w:ascii="Arial" w:hAnsi="Arial" w:eastAsia="Arial" w:cs="Times New Roman"/>
          <w:kern w:val="0"/>
          <w:sz w:val="22"/>
          <w:highlight w:val="none"/>
        </w:rPr>
      </w:pPr>
      <w:r>
        <w:rPr>
          <w:rFonts w:ascii="宋体" w:hAnsi="宋体" w:eastAsia="宋体" w:cs="宋体"/>
          <w:b/>
          <w:kern w:val="0"/>
          <w:sz w:val="44"/>
          <w:highlight w:val="none"/>
        </w:rPr>
        <w:t>第</w:t>
      </w:r>
      <w:r>
        <w:rPr>
          <w:rFonts w:hint="eastAsia" w:ascii="宋体" w:hAnsi="宋体" w:eastAsia="宋体" w:cs="宋体"/>
          <w:b/>
          <w:kern w:val="0"/>
          <w:sz w:val="44"/>
          <w:highlight w:val="none"/>
        </w:rPr>
        <w:t>七</w:t>
      </w:r>
      <w:r>
        <w:rPr>
          <w:rFonts w:ascii="宋体" w:hAnsi="宋体" w:eastAsia="宋体" w:cs="宋体"/>
          <w:b/>
          <w:kern w:val="0"/>
          <w:sz w:val="44"/>
          <w:highlight w:val="none"/>
        </w:rPr>
        <w:t xml:space="preserve">部分 </w:t>
      </w:r>
      <w:r>
        <w:rPr>
          <w:rFonts w:hint="eastAsia" w:ascii="宋体" w:hAnsi="宋体" w:eastAsia="宋体" w:cs="宋体"/>
          <w:b/>
          <w:kern w:val="0"/>
          <w:sz w:val="44"/>
          <w:highlight w:val="none"/>
        </w:rPr>
        <w:t>响应文件格式</w:t>
      </w:r>
    </w:p>
    <w:p w14:paraId="2B723BFA">
      <w:pPr>
        <w:widowControl/>
        <w:pBdr>
          <w:top w:val="none" w:color="000000" w:sz="0" w:space="0"/>
          <w:left w:val="none" w:color="000000" w:sz="0" w:space="0"/>
          <w:bottom w:val="none" w:color="000000" w:sz="0" w:space="0"/>
          <w:right w:val="none" w:color="000000" w:sz="0" w:space="0"/>
        </w:pBdr>
        <w:spacing w:line="380" w:lineRule="atLeast"/>
        <w:jc w:val="center"/>
        <w:rPr>
          <w:rFonts w:ascii="Arial" w:hAnsi="Arial" w:eastAsia="Arial" w:cs="Times New Roman"/>
          <w:kern w:val="0"/>
          <w:sz w:val="22"/>
          <w:highlight w:val="none"/>
        </w:rPr>
      </w:pPr>
      <w:r>
        <w:rPr>
          <w:rFonts w:ascii="宋体" w:hAnsi="宋体" w:eastAsia="宋体" w:cs="宋体"/>
          <w:b/>
          <w:kern w:val="0"/>
          <w:sz w:val="24"/>
          <w:highlight w:val="none"/>
        </w:rPr>
        <w:t> </w:t>
      </w:r>
    </w:p>
    <w:p w14:paraId="1221B235">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kern w:val="0"/>
          <w:sz w:val="24"/>
          <w:highlight w:val="none"/>
        </w:rPr>
        <w:t> </w:t>
      </w:r>
    </w:p>
    <w:p w14:paraId="49E51387">
      <w:pPr>
        <w:widowControl/>
        <w:pBdr>
          <w:top w:val="none" w:color="000000" w:sz="0" w:space="0"/>
          <w:left w:val="none" w:color="000000" w:sz="0" w:space="0"/>
          <w:bottom w:val="none" w:color="000000" w:sz="0" w:space="0"/>
          <w:right w:val="none" w:color="000000" w:sz="0" w:space="0"/>
        </w:pBdr>
        <w:spacing w:line="85" w:lineRule="atLeast"/>
        <w:jc w:val="left"/>
        <w:rPr>
          <w:rFonts w:ascii="Arial" w:hAnsi="Arial" w:eastAsia="Arial" w:cs="Times New Roman"/>
          <w:kern w:val="0"/>
          <w:sz w:val="22"/>
          <w:highlight w:val="none"/>
        </w:rPr>
      </w:pPr>
      <w:r>
        <w:rPr>
          <w:rFonts w:ascii="宋体" w:hAnsi="宋体" w:eastAsia="宋体" w:cs="宋体"/>
          <w:kern w:val="0"/>
          <w:sz w:val="24"/>
          <w:highlight w:val="none"/>
        </w:rPr>
        <w:t>说明：</w:t>
      </w:r>
    </w:p>
    <w:p w14:paraId="625BF21D">
      <w:pPr>
        <w:widowControl/>
        <w:pBdr>
          <w:top w:val="none" w:color="000000" w:sz="0" w:space="0"/>
          <w:left w:val="none" w:color="000000" w:sz="0" w:space="0"/>
          <w:bottom w:val="none" w:color="000000" w:sz="0" w:space="0"/>
          <w:right w:val="none" w:color="000000" w:sz="0" w:space="0"/>
        </w:pBdr>
        <w:spacing w:line="85" w:lineRule="atLeast"/>
        <w:jc w:val="left"/>
        <w:rPr>
          <w:rFonts w:ascii="Arial" w:hAnsi="Arial" w:eastAsia="Arial" w:cs="Times New Roman"/>
          <w:kern w:val="0"/>
          <w:sz w:val="22"/>
          <w:highlight w:val="none"/>
        </w:rPr>
      </w:pPr>
      <w:r>
        <w:rPr>
          <w:rFonts w:ascii="宋体" w:hAnsi="宋体" w:eastAsia="宋体" w:cs="宋体"/>
          <w:kern w:val="0"/>
          <w:sz w:val="24"/>
          <w:highlight w:val="none"/>
        </w:rPr>
        <w:t>对本章所有的响应书格式，响应方可根据自身情况进行补充和修改，但补充和修改不得造成与本格式内容有实质性的违背。</w:t>
      </w:r>
    </w:p>
    <w:p w14:paraId="0F4E1B48">
      <w:pPr>
        <w:widowControl/>
        <w:pBdr>
          <w:top w:val="none" w:color="000000" w:sz="0" w:space="0"/>
          <w:left w:val="none" w:color="000000" w:sz="0" w:space="0"/>
          <w:bottom w:val="none" w:color="000000" w:sz="0" w:space="0"/>
          <w:right w:val="none" w:color="000000" w:sz="0" w:space="0"/>
        </w:pBdr>
        <w:spacing w:line="276" w:lineRule="auto"/>
        <w:jc w:val="left"/>
        <w:rPr>
          <w:rFonts w:ascii="Arial" w:hAnsi="Arial" w:eastAsia="Arial" w:cs="Times New Roman"/>
          <w:kern w:val="0"/>
          <w:sz w:val="22"/>
          <w:highlight w:val="none"/>
        </w:rPr>
      </w:pPr>
      <w:r>
        <w:rPr>
          <w:rFonts w:ascii="Arial" w:hAnsi="Arial" w:eastAsia="Arial" w:cs="Times New Roman"/>
          <w:kern w:val="0"/>
          <w:sz w:val="22"/>
          <w:highlight w:val="none"/>
        </w:rPr>
        <w:br w:type="page" w:clear="all"/>
      </w:r>
    </w:p>
    <w:p w14:paraId="5DA87C23">
      <w:pPr>
        <w:overflowPunct w:val="0"/>
        <w:spacing w:after="200" w:line="360" w:lineRule="auto"/>
        <w:rPr>
          <w:rFonts w:ascii="宋体" w:hAnsi="宋体" w:eastAsia="Arial" w:cs="Times New Roman"/>
          <w:b/>
          <w:sz w:val="28"/>
          <w:szCs w:val="28"/>
          <w:highlight w:val="none"/>
        </w:rPr>
      </w:pPr>
      <w:r>
        <w:rPr>
          <w:rFonts w:hint="eastAsia" w:ascii="宋体" w:hAnsi="宋体" w:eastAsia="Arial" w:cs="Times New Roman"/>
          <w:b/>
          <w:sz w:val="32"/>
          <w:szCs w:val="32"/>
          <w:highlight w:val="none"/>
        </w:rPr>
        <w:t>1、</w:t>
      </w:r>
      <w:r>
        <w:rPr>
          <w:rFonts w:hint="eastAsia" w:ascii="宋体" w:hAnsi="宋体" w:eastAsia="Arial" w:cs="Times New Roman"/>
          <w:b/>
          <w:sz w:val="28"/>
          <w:szCs w:val="28"/>
          <w:highlight w:val="none"/>
        </w:rPr>
        <w:t>关于资格文件的声明函</w:t>
      </w:r>
    </w:p>
    <w:p w14:paraId="02B4D794">
      <w:pPr>
        <w:overflowPunct w:val="0"/>
        <w:spacing w:after="200" w:line="276" w:lineRule="auto"/>
        <w:ind w:left="1260" w:firstLine="420"/>
        <w:rPr>
          <w:rFonts w:ascii="宋体" w:hAnsi="宋体" w:eastAsia="Arial" w:cs="Times New Roman"/>
          <w:sz w:val="30"/>
          <w:szCs w:val="30"/>
          <w:highlight w:val="none"/>
        </w:rPr>
      </w:pPr>
    </w:p>
    <w:p w14:paraId="30259401">
      <w:pPr>
        <w:overflowPunct w:val="0"/>
        <w:spacing w:after="200" w:line="276" w:lineRule="auto"/>
        <w:ind w:left="1260" w:firstLine="420"/>
        <w:rPr>
          <w:rFonts w:ascii="宋体" w:hAnsi="宋体" w:eastAsia="Arial" w:cs="Times New Roman"/>
          <w:sz w:val="30"/>
          <w:szCs w:val="30"/>
          <w:highlight w:val="none"/>
        </w:rPr>
      </w:pPr>
    </w:p>
    <w:p w14:paraId="68E24D3E">
      <w:pPr>
        <w:overflowPunct w:val="0"/>
        <w:spacing w:after="200" w:line="276" w:lineRule="auto"/>
        <w:ind w:left="1260" w:leftChars="600" w:firstLine="1770" w:firstLineChars="590"/>
        <w:rPr>
          <w:rFonts w:ascii="宋体" w:hAnsi="宋体" w:eastAsia="Arial" w:cs="Times New Roman"/>
          <w:sz w:val="30"/>
          <w:szCs w:val="30"/>
          <w:highlight w:val="none"/>
        </w:rPr>
      </w:pPr>
      <w:r>
        <w:rPr>
          <w:rFonts w:hint="eastAsia" w:ascii="宋体" w:hAnsi="宋体" w:eastAsia="Arial" w:cs="Times New Roman"/>
          <w:sz w:val="30"/>
          <w:szCs w:val="30"/>
          <w:highlight w:val="none"/>
        </w:rPr>
        <w:t>关于资格文件的声明函</w:t>
      </w:r>
    </w:p>
    <w:p w14:paraId="4788A6BE">
      <w:pPr>
        <w:overflowPunct w:val="0"/>
        <w:spacing w:after="200" w:line="276" w:lineRule="auto"/>
        <w:ind w:left="1260" w:firstLine="420"/>
        <w:jc w:val="center"/>
        <w:rPr>
          <w:rFonts w:ascii="宋体" w:hAnsi="宋体" w:eastAsia="Arial" w:cs="Times New Roman"/>
          <w:sz w:val="22"/>
          <w:szCs w:val="24"/>
          <w:highlight w:val="none"/>
        </w:rPr>
      </w:pPr>
    </w:p>
    <w:p w14:paraId="5D83E269">
      <w:pPr>
        <w:overflowPunct w:val="0"/>
        <w:spacing w:after="20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苏州市公共资源交易中心太仓分中心  </w:t>
      </w:r>
      <w:r>
        <w:rPr>
          <w:rFonts w:hint="eastAsia" w:ascii="宋体" w:hAnsi="宋体" w:eastAsia="宋体" w:cs="宋体"/>
          <w:sz w:val="24"/>
          <w:szCs w:val="24"/>
          <w:highlight w:val="none"/>
        </w:rPr>
        <w:t>：</w:t>
      </w:r>
    </w:p>
    <w:p w14:paraId="537D4BF2">
      <w:pPr>
        <w:overflowPunct w:val="0"/>
        <w:spacing w:after="200" w:line="500" w:lineRule="exact"/>
        <w:ind w:right="445" w:rightChars="212"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本公司愿就由贵单位组织实施的编号为</w:t>
      </w:r>
      <w:r>
        <w:rPr>
          <w:rFonts w:hint="eastAsia" w:ascii="宋体" w:hAnsi="宋体" w:eastAsia="宋体" w:cs="宋体"/>
          <w:b/>
          <w:sz w:val="24"/>
          <w:szCs w:val="24"/>
          <w:highlight w:val="none"/>
          <w:u w:val="single"/>
        </w:rPr>
        <w:t>JSZC-320585-JZCG-D2026-0027</w:t>
      </w:r>
      <w:r>
        <w:rPr>
          <w:rFonts w:hint="eastAsia" w:ascii="宋体" w:hAnsi="宋体" w:eastAsia="宋体" w:cs="宋体"/>
          <w:sz w:val="24"/>
          <w:szCs w:val="24"/>
          <w:highlight w:val="none"/>
        </w:rPr>
        <w:t>号的招标活动进行投标。本公司所提交的投标文件中所有关于投标资格的文件、证明和陈述均是真实的、准确的。若与真实情况不符，本公司愿意承担由此而产生的一切后果。</w:t>
      </w:r>
    </w:p>
    <w:p w14:paraId="79A8F817">
      <w:pPr>
        <w:overflowPunct w:val="0"/>
        <w:spacing w:after="200" w:line="500" w:lineRule="exact"/>
        <w:ind w:left="1259" w:firstLine="426"/>
        <w:rPr>
          <w:rFonts w:hint="eastAsia" w:ascii="宋体" w:hAnsi="宋体" w:eastAsia="宋体" w:cs="宋体"/>
          <w:sz w:val="24"/>
          <w:szCs w:val="24"/>
          <w:highlight w:val="none"/>
        </w:rPr>
      </w:pPr>
    </w:p>
    <w:p w14:paraId="2DE4D38B">
      <w:pPr>
        <w:overflowPunct w:val="0"/>
        <w:spacing w:after="200" w:line="500" w:lineRule="exact"/>
        <w:ind w:left="1259" w:firstLine="426"/>
        <w:rPr>
          <w:rFonts w:hint="eastAsia" w:ascii="宋体" w:hAnsi="宋体" w:eastAsia="宋体" w:cs="宋体"/>
          <w:sz w:val="24"/>
          <w:szCs w:val="24"/>
          <w:highlight w:val="none"/>
        </w:rPr>
      </w:pPr>
    </w:p>
    <w:p w14:paraId="46CA4989">
      <w:pPr>
        <w:overflowPunct w:val="0"/>
        <w:spacing w:after="20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响应单位（单位盖章）：</w:t>
      </w:r>
    </w:p>
    <w:p w14:paraId="36B2443D">
      <w:pPr>
        <w:overflowPunct w:val="0"/>
        <w:spacing w:after="20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法定代表人或授权代理人（签字或盖章）：</w:t>
      </w:r>
    </w:p>
    <w:p w14:paraId="4F1C678C">
      <w:pPr>
        <w:overflowPunct w:val="0"/>
        <w:spacing w:after="20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响应日期：    年  月</w:t>
      </w: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 日</w:t>
      </w:r>
    </w:p>
    <w:p w14:paraId="3AC2E7F9">
      <w:pPr>
        <w:widowControl/>
        <w:spacing w:after="200" w:line="276" w:lineRule="auto"/>
        <w:jc w:val="left"/>
        <w:rPr>
          <w:rFonts w:ascii="宋体" w:hAnsi="宋体" w:eastAsia="Arial" w:cs="Times New Roman"/>
          <w:kern w:val="0"/>
          <w:sz w:val="22"/>
          <w:szCs w:val="24"/>
          <w:highlight w:val="none"/>
        </w:rPr>
      </w:pPr>
    </w:p>
    <w:p w14:paraId="7CB9E08B">
      <w:pPr>
        <w:widowControl/>
        <w:spacing w:after="200" w:line="276" w:lineRule="auto"/>
        <w:jc w:val="left"/>
        <w:rPr>
          <w:rFonts w:ascii="宋体" w:hAnsi="宋体" w:eastAsia="Arial" w:cs="Times New Roman"/>
          <w:kern w:val="0"/>
          <w:sz w:val="22"/>
          <w:szCs w:val="24"/>
          <w:highlight w:val="none"/>
        </w:rPr>
      </w:pPr>
    </w:p>
    <w:p w14:paraId="10AF8094">
      <w:pPr>
        <w:widowControl/>
        <w:spacing w:after="200" w:line="276" w:lineRule="auto"/>
        <w:jc w:val="left"/>
        <w:rPr>
          <w:rFonts w:ascii="宋体" w:hAnsi="宋体" w:eastAsia="Arial" w:cs="Times New Roman"/>
          <w:kern w:val="0"/>
          <w:sz w:val="22"/>
          <w:szCs w:val="24"/>
          <w:highlight w:val="none"/>
        </w:rPr>
      </w:pPr>
    </w:p>
    <w:p w14:paraId="24246ADF">
      <w:pPr>
        <w:widowControl/>
        <w:spacing w:after="200" w:line="276" w:lineRule="auto"/>
        <w:jc w:val="left"/>
        <w:rPr>
          <w:rFonts w:ascii="宋体" w:hAnsi="宋体" w:eastAsia="Arial" w:cs="Times New Roman"/>
          <w:kern w:val="0"/>
          <w:sz w:val="22"/>
          <w:szCs w:val="24"/>
          <w:highlight w:val="none"/>
        </w:rPr>
      </w:pPr>
    </w:p>
    <w:p w14:paraId="04B3E1B2">
      <w:pPr>
        <w:widowControl/>
        <w:spacing w:after="200" w:line="276" w:lineRule="auto"/>
        <w:jc w:val="left"/>
        <w:rPr>
          <w:rFonts w:ascii="宋体" w:hAnsi="宋体" w:eastAsia="Arial" w:cs="Times New Roman"/>
          <w:kern w:val="0"/>
          <w:sz w:val="22"/>
          <w:szCs w:val="24"/>
          <w:highlight w:val="none"/>
        </w:rPr>
      </w:pPr>
    </w:p>
    <w:p w14:paraId="4B016A87">
      <w:pPr>
        <w:widowControl/>
        <w:spacing w:after="200" w:line="276" w:lineRule="auto"/>
        <w:jc w:val="left"/>
        <w:rPr>
          <w:rFonts w:ascii="宋体" w:hAnsi="宋体" w:eastAsia="Arial" w:cs="Times New Roman"/>
          <w:kern w:val="0"/>
          <w:sz w:val="22"/>
          <w:szCs w:val="24"/>
          <w:highlight w:val="none"/>
        </w:rPr>
      </w:pPr>
    </w:p>
    <w:p w14:paraId="280D3426">
      <w:pPr>
        <w:widowControl/>
        <w:spacing w:after="200" w:line="276" w:lineRule="auto"/>
        <w:jc w:val="left"/>
        <w:rPr>
          <w:rFonts w:ascii="宋体" w:hAnsi="宋体" w:eastAsia="Arial" w:cs="Times New Roman"/>
          <w:kern w:val="0"/>
          <w:sz w:val="22"/>
          <w:szCs w:val="24"/>
          <w:highlight w:val="none"/>
        </w:rPr>
      </w:pPr>
    </w:p>
    <w:p w14:paraId="58D5E196">
      <w:pPr>
        <w:widowControl/>
        <w:adjustRightInd w:val="0"/>
        <w:spacing w:after="200" w:line="276" w:lineRule="auto"/>
        <w:jc w:val="left"/>
        <w:textAlignment w:val="baseline"/>
        <w:rPr>
          <w:rFonts w:ascii="宋体" w:hAnsi="宋体" w:eastAsia="Arial" w:cs="Times New Roman"/>
          <w:b/>
          <w:kern w:val="0"/>
          <w:sz w:val="28"/>
          <w:szCs w:val="32"/>
          <w:highlight w:val="none"/>
        </w:rPr>
      </w:pPr>
      <w:r>
        <w:rPr>
          <w:rFonts w:hint="eastAsia" w:ascii="宋体" w:hAnsi="宋体" w:eastAsia="Arial" w:cs="Times New Roman"/>
          <w:b/>
          <w:kern w:val="0"/>
          <w:sz w:val="28"/>
          <w:szCs w:val="32"/>
          <w:highlight w:val="none"/>
        </w:rPr>
        <w:t>2、响应承诺函</w:t>
      </w:r>
    </w:p>
    <w:p w14:paraId="26FE9A41">
      <w:pPr>
        <w:widowControl/>
        <w:tabs>
          <w:tab w:val="left" w:pos="3633"/>
          <w:tab w:val="center" w:pos="4723"/>
        </w:tabs>
        <w:adjustRightInd w:val="0"/>
        <w:spacing w:after="200" w:line="360" w:lineRule="exact"/>
        <w:jc w:val="left"/>
        <w:textAlignment w:val="baseline"/>
        <w:rPr>
          <w:rFonts w:ascii="宋体" w:hAnsi="宋体" w:eastAsia="Arial" w:cs="Times New Roman"/>
          <w:b/>
          <w:kern w:val="0"/>
          <w:sz w:val="32"/>
          <w:highlight w:val="none"/>
        </w:rPr>
      </w:pPr>
      <w:r>
        <w:rPr>
          <w:rFonts w:ascii="宋体" w:hAnsi="宋体" w:eastAsia="Arial" w:cs="Times New Roman"/>
          <w:b/>
          <w:kern w:val="0"/>
          <w:sz w:val="32"/>
          <w:highlight w:val="none"/>
        </w:rPr>
        <w:tab/>
      </w:r>
      <w:r>
        <w:rPr>
          <w:rFonts w:ascii="宋体" w:hAnsi="宋体" w:eastAsia="Arial" w:cs="Times New Roman"/>
          <w:b/>
          <w:kern w:val="0"/>
          <w:sz w:val="32"/>
          <w:highlight w:val="none"/>
        </w:rPr>
        <w:tab/>
      </w:r>
      <w:r>
        <w:rPr>
          <w:rFonts w:hint="eastAsia" w:ascii="宋体" w:hAnsi="宋体" w:eastAsia="Arial" w:cs="Times New Roman"/>
          <w:b/>
          <w:kern w:val="0"/>
          <w:sz w:val="32"/>
          <w:highlight w:val="none"/>
        </w:rPr>
        <w:t>响应承诺函</w:t>
      </w:r>
    </w:p>
    <w:p w14:paraId="3C1BEDD1">
      <w:pPr>
        <w:widowControl/>
        <w:adjustRightInd w:val="0"/>
        <w:spacing w:after="200" w:line="500" w:lineRule="exact"/>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u w:val="single"/>
        </w:rPr>
        <w:t xml:space="preserve">苏州市公共资源交易中心太仓分中心 </w:t>
      </w:r>
      <w:r>
        <w:rPr>
          <w:rFonts w:hint="eastAsia" w:ascii="宋体" w:hAnsi="宋体" w:eastAsia="宋体" w:cs="宋体"/>
          <w:kern w:val="0"/>
          <w:sz w:val="24"/>
          <w:szCs w:val="24"/>
          <w:highlight w:val="none"/>
        </w:rPr>
        <w:t>：</w:t>
      </w:r>
    </w:p>
    <w:p w14:paraId="7F79FB9E">
      <w:pPr>
        <w:widowControl/>
        <w:adjustRightInd w:val="0"/>
        <w:spacing w:after="200" w:line="500" w:lineRule="exact"/>
        <w:ind w:firstLine="480" w:firstLineChars="200"/>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我们收到贵单位</w:t>
      </w:r>
      <w:r>
        <w:rPr>
          <w:rFonts w:hint="eastAsia" w:ascii="宋体" w:hAnsi="宋体" w:eastAsia="宋体" w:cs="宋体"/>
          <w:b/>
          <w:kern w:val="0"/>
          <w:sz w:val="24"/>
          <w:szCs w:val="24"/>
          <w:highlight w:val="none"/>
          <w:u w:val="single"/>
        </w:rPr>
        <w:t>太仓市产业扶持政策奖补积分管理平台（二期）</w:t>
      </w:r>
      <w:r>
        <w:rPr>
          <w:rFonts w:hint="eastAsia" w:ascii="宋体" w:hAnsi="宋体" w:eastAsia="宋体" w:cs="宋体"/>
          <w:kern w:val="0"/>
          <w:sz w:val="24"/>
          <w:szCs w:val="24"/>
          <w:highlight w:val="none"/>
        </w:rPr>
        <w:t>采购文件（项目编号：</w:t>
      </w:r>
      <w:r>
        <w:rPr>
          <w:rFonts w:hint="eastAsia" w:ascii="宋体" w:hAnsi="宋体" w:eastAsia="宋体" w:cs="宋体"/>
          <w:b/>
          <w:kern w:val="0"/>
          <w:sz w:val="24"/>
          <w:szCs w:val="24"/>
          <w:highlight w:val="none"/>
          <w:u w:val="single"/>
        </w:rPr>
        <w:t>JSZC-320585-JZCG-D2026-0027</w:t>
      </w:r>
      <w:r>
        <w:rPr>
          <w:rFonts w:hint="eastAsia" w:ascii="宋体" w:hAnsi="宋体" w:eastAsia="宋体" w:cs="宋体"/>
          <w:kern w:val="0"/>
          <w:sz w:val="24"/>
          <w:szCs w:val="24"/>
          <w:highlight w:val="none"/>
        </w:rPr>
        <w:t xml:space="preserve"> ），经仔细阅读和研究，我们决定参加响应。</w:t>
      </w:r>
    </w:p>
    <w:p w14:paraId="2D783A46">
      <w:pPr>
        <w:widowControl/>
        <w:spacing w:after="200" w:line="500" w:lineRule="exact"/>
        <w:ind w:firstLine="24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  1、我们愿意按照采购文件的一切要求，提供包括完成该项目全部内容的设备、材料及人工、机械、保险、劳保、各种税费以及质保期间的一切费用。</w:t>
      </w:r>
    </w:p>
    <w:p w14:paraId="3543E56D">
      <w:pPr>
        <w:widowControl/>
        <w:adjustRightInd w:val="0"/>
        <w:spacing w:after="200" w:line="500" w:lineRule="exact"/>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    2、如果我们的响应书被接受，我们将严格履行采购文件中规定的每一项要求，按期、按质、按量履行合同的义务。</w:t>
      </w:r>
    </w:p>
    <w:p w14:paraId="5CD6EA2C">
      <w:pPr>
        <w:widowControl/>
        <w:adjustRightInd w:val="0"/>
        <w:spacing w:after="200" w:line="500" w:lineRule="exact"/>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    3、我们同意按采购文件中的规定，本响应书的有效期限为开标后</w:t>
      </w:r>
      <w:r>
        <w:rPr>
          <w:rFonts w:hint="eastAsia" w:ascii="宋体" w:hAnsi="宋体" w:eastAsia="宋体" w:cs="宋体"/>
          <w:b/>
          <w:kern w:val="0"/>
          <w:sz w:val="24"/>
          <w:szCs w:val="24"/>
          <w:highlight w:val="none"/>
          <w:u w:val="single"/>
        </w:rPr>
        <w:t>90</w:t>
      </w:r>
      <w:r>
        <w:rPr>
          <w:rFonts w:hint="eastAsia" w:ascii="宋体" w:hAnsi="宋体" w:eastAsia="宋体" w:cs="宋体"/>
          <w:kern w:val="0"/>
          <w:sz w:val="24"/>
          <w:szCs w:val="24"/>
          <w:highlight w:val="none"/>
        </w:rPr>
        <w:t>天。</w:t>
      </w:r>
    </w:p>
    <w:p w14:paraId="4D3615B5">
      <w:pPr>
        <w:widowControl/>
        <w:adjustRightInd w:val="0"/>
        <w:spacing w:after="200" w:line="500" w:lineRule="exact"/>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    4、我们愿意提供采购方在采购文件中要求的所有资料。</w:t>
      </w:r>
    </w:p>
    <w:p w14:paraId="5ACE550C">
      <w:pPr>
        <w:widowControl/>
        <w:adjustRightInd w:val="0"/>
        <w:spacing w:after="200" w:line="500" w:lineRule="exact"/>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    5、我们认为你们有权决定成交者，还认为你们有权接受或拒绝所有的响应者。</w:t>
      </w:r>
    </w:p>
    <w:p w14:paraId="083ADDB9">
      <w:pPr>
        <w:widowControl/>
        <w:adjustRightInd w:val="0"/>
        <w:spacing w:after="200" w:line="500" w:lineRule="exact"/>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    6、我们完全理解贵方不一定要接受最低报价的响应或收到的任何响应。</w:t>
      </w:r>
    </w:p>
    <w:p w14:paraId="3EE67463">
      <w:pPr>
        <w:widowControl/>
        <w:adjustRightInd w:val="0"/>
        <w:spacing w:after="200" w:line="500" w:lineRule="exact"/>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    7、我们承诺该项响应在开标后的全过程中保持有效，不作任何更改和变动。</w:t>
      </w:r>
    </w:p>
    <w:p w14:paraId="6128131B">
      <w:pPr>
        <w:widowControl/>
        <w:adjustRightInd w:val="0"/>
        <w:spacing w:after="200" w:line="500" w:lineRule="exact"/>
        <w:ind w:firstLine="480"/>
        <w:jc w:val="left"/>
        <w:textAlignment w:val="baseline"/>
        <w:rPr>
          <w:rFonts w:hint="eastAsia" w:ascii="宋体" w:hAnsi="宋体" w:eastAsia="宋体" w:cs="宋体"/>
          <w:b/>
          <w:bCs/>
          <w:kern w:val="0"/>
          <w:sz w:val="24"/>
          <w:szCs w:val="24"/>
          <w:highlight w:val="none"/>
        </w:rPr>
      </w:pPr>
      <w:r>
        <w:rPr>
          <w:rFonts w:hint="eastAsia" w:ascii="宋体" w:hAnsi="宋体" w:eastAsia="宋体" w:cs="宋体"/>
          <w:kern w:val="0"/>
          <w:sz w:val="24"/>
          <w:szCs w:val="24"/>
          <w:highlight w:val="none"/>
        </w:rPr>
        <w:t>8、</w:t>
      </w:r>
      <w:r>
        <w:rPr>
          <w:rFonts w:hint="eastAsia" w:ascii="宋体" w:hAnsi="宋体" w:eastAsia="宋体" w:cs="宋体"/>
          <w:b/>
          <w:bCs/>
          <w:kern w:val="0"/>
          <w:sz w:val="24"/>
          <w:szCs w:val="24"/>
          <w:highlight w:val="none"/>
        </w:rPr>
        <w:t>如果成交，我们同意并知晓成交通知书发出方式及发出时间，遵守采购文件和成交通知书规定，在指定时间和地点和采购人签订合同。</w:t>
      </w:r>
    </w:p>
    <w:p w14:paraId="50A3D243">
      <w:pPr>
        <w:widowControl/>
        <w:adjustRightInd w:val="0"/>
        <w:spacing w:after="200" w:line="500" w:lineRule="exact"/>
        <w:ind w:firstLine="480"/>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9、综合说明：</w:t>
      </w:r>
    </w:p>
    <w:p w14:paraId="309AA70A">
      <w:pPr>
        <w:widowControl/>
        <w:adjustRightInd w:val="0"/>
        <w:spacing w:after="200" w:line="500" w:lineRule="exact"/>
        <w:ind w:firstLine="420"/>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（1）伴随服务及配合措施；</w:t>
      </w:r>
    </w:p>
    <w:p w14:paraId="72CAA3DE">
      <w:pPr>
        <w:widowControl/>
        <w:adjustRightInd w:val="0"/>
        <w:spacing w:after="200" w:line="500" w:lineRule="exact"/>
        <w:ind w:firstLine="420"/>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（2）要求甲方提供的配合；</w:t>
      </w:r>
    </w:p>
    <w:p w14:paraId="03733D1F">
      <w:pPr>
        <w:widowControl/>
        <w:adjustRightInd w:val="0"/>
        <w:spacing w:after="200" w:line="500" w:lineRule="exact"/>
        <w:ind w:firstLine="420"/>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（3）对采购文件有不同意见的偏离说明；</w:t>
      </w:r>
    </w:p>
    <w:p w14:paraId="62F9E8C2">
      <w:pPr>
        <w:widowControl/>
        <w:adjustRightInd w:val="0"/>
        <w:spacing w:after="200" w:line="500" w:lineRule="exact"/>
        <w:ind w:firstLine="420"/>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（4）其它说明。</w:t>
      </w:r>
    </w:p>
    <w:p w14:paraId="25C6B98D">
      <w:pPr>
        <w:widowControl/>
        <w:adjustRightInd w:val="0"/>
        <w:spacing w:after="200" w:line="500" w:lineRule="exact"/>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所有有关标书的函电，请按下列地址联系：</w:t>
      </w:r>
    </w:p>
    <w:p w14:paraId="190C5A2A">
      <w:pPr>
        <w:widowControl/>
        <w:adjustRightInd w:val="0"/>
        <w:spacing w:after="200" w:line="500" w:lineRule="exact"/>
        <w:ind w:firstLine="480" w:firstLineChars="200"/>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单位：                         联系人：</w:t>
      </w:r>
    </w:p>
    <w:p w14:paraId="7662F3C4">
      <w:pPr>
        <w:widowControl/>
        <w:adjustRightInd w:val="0"/>
        <w:spacing w:after="200" w:line="500" w:lineRule="exact"/>
        <w:ind w:firstLine="480" w:firstLineChars="200"/>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地址：                         邮政编码：</w:t>
      </w:r>
    </w:p>
    <w:p w14:paraId="4A97CACB">
      <w:pPr>
        <w:widowControl/>
        <w:adjustRightInd w:val="0"/>
        <w:spacing w:after="200" w:line="500" w:lineRule="exact"/>
        <w:ind w:firstLine="480" w:firstLineChars="200"/>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联系电话：                     传真：</w:t>
      </w:r>
    </w:p>
    <w:p w14:paraId="12AB69D3">
      <w:pPr>
        <w:widowControl/>
        <w:adjustRightInd w:val="0"/>
        <w:spacing w:after="200" w:line="500" w:lineRule="exact"/>
        <w:jc w:val="left"/>
        <w:textAlignment w:val="baseline"/>
        <w:rPr>
          <w:rFonts w:hint="eastAsia" w:ascii="宋体" w:hAnsi="宋体" w:eastAsia="宋体" w:cs="宋体"/>
          <w:kern w:val="0"/>
          <w:sz w:val="24"/>
          <w:szCs w:val="24"/>
          <w:highlight w:val="none"/>
        </w:rPr>
      </w:pPr>
    </w:p>
    <w:p w14:paraId="0C1BA71B">
      <w:pPr>
        <w:widowControl/>
        <w:adjustRightInd w:val="0"/>
        <w:spacing w:after="200" w:line="500" w:lineRule="exact"/>
        <w:ind w:firstLine="240" w:firstLineChars="100"/>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响应单位：（单位盖章）</w:t>
      </w:r>
    </w:p>
    <w:p w14:paraId="5D8BD2A2">
      <w:pPr>
        <w:widowControl/>
        <w:spacing w:after="200" w:line="500" w:lineRule="exact"/>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法定代表人或授权代理人（签字或盖章）</w:t>
      </w:r>
    </w:p>
    <w:p w14:paraId="6231AC87">
      <w:pPr>
        <w:widowControl/>
        <w:spacing w:after="200" w:line="500" w:lineRule="exact"/>
        <w:ind w:firstLine="240" w:firstLineChars="1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响应日期： 年 月 日</w:t>
      </w:r>
    </w:p>
    <w:p w14:paraId="22C25E41">
      <w:pPr>
        <w:spacing w:after="200" w:line="580" w:lineRule="exact"/>
        <w:rPr>
          <w:rFonts w:ascii="Arial" w:hAnsi="宋体" w:eastAsia="Arial" w:cs="Times New Roman"/>
          <w:b/>
          <w:sz w:val="32"/>
          <w:szCs w:val="32"/>
          <w:highlight w:val="none"/>
        </w:rPr>
      </w:pPr>
      <w:r>
        <w:rPr>
          <w:rFonts w:ascii="Arial" w:hAnsi="宋体" w:eastAsia="Arial" w:cs="Times New Roman"/>
          <w:sz w:val="24"/>
          <w:szCs w:val="20"/>
          <w:highlight w:val="none"/>
        </w:rPr>
        <w:br w:type="page"/>
      </w:r>
      <w:r>
        <w:rPr>
          <w:rFonts w:hint="eastAsia" w:ascii="Arial" w:hAnsi="宋体" w:eastAsia="Arial" w:cs="Times New Roman"/>
          <w:b/>
          <w:sz w:val="32"/>
          <w:szCs w:val="32"/>
          <w:highlight w:val="none"/>
        </w:rPr>
        <w:t>3、参加政府采购活动前三年内，在经营活动中没有重大违法记录声明</w:t>
      </w:r>
    </w:p>
    <w:p w14:paraId="1604644B">
      <w:pPr>
        <w:widowControl/>
        <w:spacing w:after="200" w:line="580" w:lineRule="exact"/>
        <w:ind w:left="-210" w:leftChars="-100" w:right="-210" w:rightChars="-100"/>
        <w:jc w:val="left"/>
        <w:rPr>
          <w:rFonts w:ascii="宋体" w:hAnsi="宋体" w:eastAsia="Arial" w:cs="宋体"/>
          <w:b/>
          <w:kern w:val="0"/>
          <w:sz w:val="22"/>
          <w:highlight w:val="none"/>
        </w:rPr>
      </w:pPr>
    </w:p>
    <w:p w14:paraId="05883948">
      <w:pPr>
        <w:widowControl/>
        <w:spacing w:after="200" w:line="580" w:lineRule="exact"/>
        <w:jc w:val="center"/>
        <w:rPr>
          <w:rFonts w:hint="eastAsia" w:ascii="宋体" w:hAnsi="宋体" w:eastAsia="宋体" w:cs="宋体"/>
          <w:kern w:val="0"/>
          <w:sz w:val="24"/>
          <w:szCs w:val="24"/>
          <w:highlight w:val="none"/>
        </w:rPr>
      </w:pPr>
      <w:r>
        <w:rPr>
          <w:rFonts w:hint="eastAsia" w:ascii="宋体" w:hAnsi="宋体" w:eastAsia="宋体" w:cs="宋体"/>
          <w:b/>
          <w:kern w:val="0"/>
          <w:sz w:val="24"/>
          <w:szCs w:val="24"/>
          <w:highlight w:val="none"/>
        </w:rPr>
        <w:t>参加政府采购活动前三年内，在经营活动中没有重大违法记录声明</w:t>
      </w:r>
    </w:p>
    <w:p w14:paraId="4B988B5A">
      <w:pPr>
        <w:widowControl/>
        <w:spacing w:after="200" w:line="360" w:lineRule="auto"/>
        <w:jc w:val="left"/>
        <w:rPr>
          <w:rFonts w:hint="eastAsia" w:ascii="宋体" w:hAnsi="宋体" w:eastAsia="宋体" w:cs="宋体"/>
          <w:kern w:val="0"/>
          <w:sz w:val="24"/>
          <w:szCs w:val="24"/>
          <w:highlight w:val="none"/>
        </w:rPr>
      </w:pPr>
    </w:p>
    <w:p w14:paraId="2F13018B">
      <w:pPr>
        <w:widowControl/>
        <w:spacing w:after="200" w:line="36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致：苏州市公共资源交易中心太仓分中心：</w:t>
      </w:r>
    </w:p>
    <w:p w14:paraId="4C626D88">
      <w:pPr>
        <w:widowControl/>
        <w:spacing w:after="200" w:line="360" w:lineRule="auto"/>
        <w:ind w:firstLine="42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我单位</w:t>
      </w:r>
      <w:r>
        <w:rPr>
          <w:rFonts w:hint="eastAsia" w:ascii="宋体" w:hAnsi="宋体" w:eastAsia="宋体" w:cs="宋体"/>
          <w:kern w:val="0"/>
          <w:sz w:val="24"/>
          <w:szCs w:val="24"/>
          <w:highlight w:val="none"/>
          <w:u w:val="single"/>
        </w:rPr>
        <w:t xml:space="preserve">         （供应商名称）        </w:t>
      </w:r>
      <w:r>
        <w:rPr>
          <w:rFonts w:hint="eastAsia" w:ascii="宋体" w:hAnsi="宋体" w:eastAsia="宋体" w:cs="宋体"/>
          <w:kern w:val="0"/>
          <w:sz w:val="24"/>
          <w:szCs w:val="24"/>
          <w:highlight w:val="none"/>
        </w:rPr>
        <w:t xml:space="preserve"> 在参加政府采购活动前三年内，没有重大违法记录，特此声明。</w:t>
      </w:r>
    </w:p>
    <w:p w14:paraId="12074C3E">
      <w:pPr>
        <w:widowControl/>
        <w:spacing w:after="200" w:line="360" w:lineRule="auto"/>
        <w:ind w:firstLine="42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若采购代理机构在本项目采购过程中发现我单位近三年内在经营活动中有重大违法记录，我单位将无条件退出本项目的招标，并承担因此引起的一起后果。</w:t>
      </w:r>
    </w:p>
    <w:p w14:paraId="77BE3599">
      <w:pPr>
        <w:widowControl/>
        <w:spacing w:after="200" w:line="360" w:lineRule="auto"/>
        <w:ind w:firstLine="420"/>
        <w:jc w:val="left"/>
        <w:rPr>
          <w:rFonts w:hint="eastAsia" w:ascii="宋体" w:hAnsi="宋体" w:eastAsia="宋体" w:cs="宋体"/>
          <w:kern w:val="0"/>
          <w:sz w:val="24"/>
          <w:szCs w:val="24"/>
          <w:highlight w:val="none"/>
        </w:rPr>
      </w:pPr>
    </w:p>
    <w:p w14:paraId="3F64D759">
      <w:pPr>
        <w:widowControl/>
        <w:spacing w:after="200" w:line="36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响应单位（单位公章）：</w:t>
      </w:r>
    </w:p>
    <w:p w14:paraId="227388D4">
      <w:pPr>
        <w:widowControl/>
        <w:spacing w:after="200" w:line="36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法定代表人或授权代理人（签字或盖章）：</w:t>
      </w:r>
    </w:p>
    <w:p w14:paraId="4FCC2AB4">
      <w:pPr>
        <w:widowControl/>
        <w:spacing w:after="200" w:line="36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响应日期：  年   月   日</w:t>
      </w:r>
    </w:p>
    <w:p w14:paraId="4E25288B">
      <w:pPr>
        <w:overflowPunct w:val="0"/>
        <w:spacing w:after="200" w:line="400" w:lineRule="exact"/>
        <w:rPr>
          <w:rFonts w:ascii="宋体" w:hAnsi="宋体" w:eastAsia="Arial" w:cs="Times New Roman"/>
          <w:sz w:val="28"/>
          <w:szCs w:val="32"/>
          <w:highlight w:val="none"/>
        </w:rPr>
      </w:pPr>
      <w:r>
        <w:rPr>
          <w:rFonts w:ascii="宋体" w:hAnsi="宋体" w:eastAsia="Arial" w:cs="Times New Roman"/>
          <w:sz w:val="22"/>
          <w:szCs w:val="24"/>
          <w:highlight w:val="none"/>
        </w:rPr>
        <w:br w:type="page"/>
      </w:r>
      <w:r>
        <w:rPr>
          <w:rFonts w:hint="eastAsia" w:ascii="宋体" w:hAnsi="宋体" w:eastAsia="Arial" w:cs="Times New Roman"/>
          <w:b/>
          <w:sz w:val="28"/>
          <w:szCs w:val="32"/>
          <w:highlight w:val="none"/>
        </w:rPr>
        <w:t>4、响应单位情况表</w:t>
      </w:r>
    </w:p>
    <w:p w14:paraId="58A2E6C6">
      <w:pPr>
        <w:overflowPunct w:val="0"/>
        <w:spacing w:after="200" w:line="276" w:lineRule="auto"/>
        <w:ind w:left="1260" w:leftChars="600" w:firstLine="2175" w:firstLineChars="725"/>
        <w:rPr>
          <w:rFonts w:ascii="宋体" w:hAnsi="宋体" w:eastAsia="Arial" w:cs="Times New Roman"/>
          <w:sz w:val="30"/>
          <w:szCs w:val="30"/>
          <w:highlight w:val="none"/>
        </w:rPr>
      </w:pPr>
      <w:r>
        <w:rPr>
          <w:rFonts w:hint="eastAsia" w:ascii="宋体" w:hAnsi="宋体" w:eastAsia="Arial" w:cs="Times New Roman"/>
          <w:sz w:val="30"/>
          <w:szCs w:val="30"/>
          <w:highlight w:val="none"/>
        </w:rPr>
        <w:t>响应单位情况表</w:t>
      </w:r>
    </w:p>
    <w:p w14:paraId="2B8F6CBC">
      <w:pPr>
        <w:overflowPunct w:val="0"/>
        <w:spacing w:after="200" w:line="276"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单位名称（盖章）：</w:t>
      </w:r>
    </w:p>
    <w:tbl>
      <w:tblPr>
        <w:tblStyle w:val="24"/>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376"/>
        <w:gridCol w:w="1610"/>
        <w:gridCol w:w="1330"/>
        <w:gridCol w:w="2162"/>
        <w:gridCol w:w="946"/>
      </w:tblGrid>
      <w:tr w14:paraId="47E5ED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66" w:hRule="atLeast"/>
        </w:trPr>
        <w:tc>
          <w:tcPr>
            <w:tcW w:w="3376" w:type="dxa"/>
          </w:tcPr>
          <w:p w14:paraId="75B192C9">
            <w:pPr>
              <w:overflowPunct w:val="0"/>
              <w:spacing w:after="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法定代表人</w:t>
            </w:r>
          </w:p>
        </w:tc>
        <w:tc>
          <w:tcPr>
            <w:tcW w:w="1610" w:type="dxa"/>
          </w:tcPr>
          <w:p w14:paraId="508E0CFD">
            <w:pPr>
              <w:overflowPunct w:val="0"/>
              <w:spacing w:after="200"/>
              <w:ind w:left="1260"/>
              <w:rPr>
                <w:rFonts w:hint="eastAsia" w:ascii="宋体" w:hAnsi="宋体" w:eastAsia="宋体" w:cs="宋体"/>
                <w:sz w:val="24"/>
                <w:szCs w:val="24"/>
                <w:highlight w:val="none"/>
                <w:lang w:eastAsia="en-US"/>
              </w:rPr>
            </w:pPr>
          </w:p>
        </w:tc>
        <w:tc>
          <w:tcPr>
            <w:tcW w:w="1330" w:type="dxa"/>
          </w:tcPr>
          <w:p w14:paraId="583DACA9">
            <w:pPr>
              <w:overflowPunct w:val="0"/>
              <w:spacing w:after="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成立日期</w:t>
            </w:r>
          </w:p>
        </w:tc>
        <w:tc>
          <w:tcPr>
            <w:tcW w:w="3108" w:type="dxa"/>
            <w:gridSpan w:val="2"/>
          </w:tcPr>
          <w:p w14:paraId="64D2093B">
            <w:pPr>
              <w:overflowPunct w:val="0"/>
              <w:spacing w:after="200"/>
              <w:ind w:left="1260"/>
              <w:rPr>
                <w:rFonts w:hint="eastAsia" w:ascii="宋体" w:hAnsi="宋体" w:eastAsia="宋体" w:cs="宋体"/>
                <w:sz w:val="24"/>
                <w:szCs w:val="24"/>
                <w:highlight w:val="none"/>
                <w:lang w:eastAsia="en-US"/>
              </w:rPr>
            </w:pPr>
          </w:p>
        </w:tc>
      </w:tr>
      <w:tr w14:paraId="50EE24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3376" w:type="dxa"/>
          </w:tcPr>
          <w:p w14:paraId="3538F9F4">
            <w:pPr>
              <w:overflowPunct w:val="0"/>
              <w:spacing w:after="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企业地址</w:t>
            </w:r>
          </w:p>
        </w:tc>
        <w:tc>
          <w:tcPr>
            <w:tcW w:w="1610" w:type="dxa"/>
          </w:tcPr>
          <w:p w14:paraId="43282C73">
            <w:pPr>
              <w:overflowPunct w:val="0"/>
              <w:spacing w:after="200"/>
              <w:ind w:left="1260"/>
              <w:rPr>
                <w:rFonts w:hint="eastAsia" w:ascii="宋体" w:hAnsi="宋体" w:eastAsia="宋体" w:cs="宋体"/>
                <w:sz w:val="24"/>
                <w:szCs w:val="24"/>
                <w:highlight w:val="none"/>
                <w:lang w:eastAsia="en-US"/>
              </w:rPr>
            </w:pPr>
          </w:p>
        </w:tc>
        <w:tc>
          <w:tcPr>
            <w:tcW w:w="1330" w:type="dxa"/>
          </w:tcPr>
          <w:p w14:paraId="2709AFE0">
            <w:pPr>
              <w:overflowPunct w:val="0"/>
              <w:spacing w:after="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注册资本</w:t>
            </w:r>
          </w:p>
        </w:tc>
        <w:tc>
          <w:tcPr>
            <w:tcW w:w="3108" w:type="dxa"/>
            <w:gridSpan w:val="2"/>
          </w:tcPr>
          <w:p w14:paraId="7FC30B31">
            <w:pPr>
              <w:overflowPunct w:val="0"/>
              <w:spacing w:after="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万元</w:t>
            </w:r>
          </w:p>
        </w:tc>
      </w:tr>
      <w:tr w14:paraId="4B1769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3376" w:type="dxa"/>
          </w:tcPr>
          <w:p w14:paraId="258EBF05">
            <w:pPr>
              <w:overflowPunct w:val="0"/>
              <w:spacing w:after="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经营范围</w:t>
            </w:r>
          </w:p>
        </w:tc>
        <w:tc>
          <w:tcPr>
            <w:tcW w:w="6048" w:type="dxa"/>
            <w:gridSpan w:val="4"/>
          </w:tcPr>
          <w:p w14:paraId="4B6AE84B">
            <w:pPr>
              <w:overflowPunct w:val="0"/>
              <w:spacing w:after="200"/>
              <w:ind w:left="1260"/>
              <w:rPr>
                <w:rFonts w:hint="eastAsia" w:ascii="宋体" w:hAnsi="宋体" w:eastAsia="宋体" w:cs="宋体"/>
                <w:sz w:val="24"/>
                <w:szCs w:val="24"/>
                <w:highlight w:val="none"/>
                <w:lang w:eastAsia="en-US"/>
              </w:rPr>
            </w:pPr>
          </w:p>
        </w:tc>
      </w:tr>
      <w:tr w14:paraId="6414B9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tcPr>
          <w:p w14:paraId="61692D1D">
            <w:pPr>
              <w:overflowPunct w:val="0"/>
              <w:spacing w:after="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职工人数</w:t>
            </w:r>
          </w:p>
        </w:tc>
        <w:tc>
          <w:tcPr>
            <w:tcW w:w="1610" w:type="dxa"/>
          </w:tcPr>
          <w:p w14:paraId="74832B1E">
            <w:pPr>
              <w:overflowPunct w:val="0"/>
              <w:spacing w:after="200"/>
              <w:rPr>
                <w:rFonts w:hint="eastAsia" w:ascii="宋体" w:hAnsi="宋体" w:eastAsia="宋体" w:cs="宋体"/>
                <w:sz w:val="24"/>
                <w:szCs w:val="24"/>
                <w:highlight w:val="none"/>
                <w:lang w:eastAsia="en-US"/>
              </w:rPr>
            </w:pPr>
          </w:p>
        </w:tc>
        <w:tc>
          <w:tcPr>
            <w:tcW w:w="3492" w:type="dxa"/>
            <w:gridSpan w:val="2"/>
          </w:tcPr>
          <w:p w14:paraId="5342A047">
            <w:pPr>
              <w:overflowPunct w:val="0"/>
              <w:spacing w:after="200"/>
              <w:rPr>
                <w:rFonts w:hint="eastAsia" w:ascii="宋体" w:hAnsi="宋体" w:eastAsia="宋体" w:cs="宋体"/>
                <w:sz w:val="24"/>
                <w:szCs w:val="24"/>
                <w:highlight w:val="none"/>
              </w:rPr>
            </w:pPr>
            <w:r>
              <w:rPr>
                <w:rFonts w:hint="eastAsia" w:ascii="宋体" w:hAnsi="宋体" w:eastAsia="宋体" w:cs="宋体"/>
                <w:sz w:val="24"/>
                <w:szCs w:val="24"/>
                <w:highlight w:val="none"/>
              </w:rPr>
              <w:t>其中：有中高级以上职称的人数</w:t>
            </w:r>
          </w:p>
        </w:tc>
        <w:tc>
          <w:tcPr>
            <w:tcW w:w="946" w:type="dxa"/>
          </w:tcPr>
          <w:p w14:paraId="0573D012">
            <w:pPr>
              <w:overflowPunct w:val="0"/>
              <w:spacing w:after="200"/>
              <w:ind w:left="1260"/>
              <w:rPr>
                <w:rFonts w:hint="eastAsia" w:ascii="宋体" w:hAnsi="宋体" w:eastAsia="宋体" w:cs="宋体"/>
                <w:sz w:val="24"/>
                <w:szCs w:val="24"/>
                <w:highlight w:val="none"/>
              </w:rPr>
            </w:pPr>
          </w:p>
        </w:tc>
      </w:tr>
      <w:tr w14:paraId="023CC2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vAlign w:val="center"/>
          </w:tcPr>
          <w:p w14:paraId="56185329">
            <w:pPr>
              <w:overflowPunct w:val="0"/>
              <w:spacing w:after="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资产总计</w:t>
            </w:r>
          </w:p>
        </w:tc>
        <w:tc>
          <w:tcPr>
            <w:tcW w:w="1610" w:type="dxa"/>
            <w:vAlign w:val="center"/>
          </w:tcPr>
          <w:p w14:paraId="5DDDACAE">
            <w:pPr>
              <w:overflowPunct w:val="0"/>
              <w:spacing w:after="200"/>
              <w:ind w:firstLine="120" w:firstLineChars="5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万元</w:t>
            </w:r>
          </w:p>
        </w:tc>
        <w:tc>
          <w:tcPr>
            <w:tcW w:w="1330" w:type="dxa"/>
            <w:vAlign w:val="center"/>
          </w:tcPr>
          <w:p w14:paraId="3F5A6179">
            <w:pPr>
              <w:overflowPunct w:val="0"/>
              <w:spacing w:after="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净资产</w:t>
            </w:r>
          </w:p>
        </w:tc>
        <w:tc>
          <w:tcPr>
            <w:tcW w:w="3108" w:type="dxa"/>
            <w:gridSpan w:val="2"/>
            <w:vAlign w:val="center"/>
          </w:tcPr>
          <w:p w14:paraId="7FED6045">
            <w:pPr>
              <w:overflowPunct w:val="0"/>
              <w:spacing w:after="200"/>
              <w:ind w:left="1260"/>
              <w:jc w:val="center"/>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     万元</w:t>
            </w:r>
          </w:p>
        </w:tc>
      </w:tr>
      <w:tr w14:paraId="3143E5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vAlign w:val="center"/>
          </w:tcPr>
          <w:p w14:paraId="0EF82428">
            <w:pPr>
              <w:overflowPunct w:val="0"/>
              <w:spacing w:after="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股东权益</w:t>
            </w:r>
          </w:p>
        </w:tc>
        <w:tc>
          <w:tcPr>
            <w:tcW w:w="1610" w:type="dxa"/>
            <w:vAlign w:val="center"/>
          </w:tcPr>
          <w:p w14:paraId="74F3174C">
            <w:pPr>
              <w:overflowPunct w:val="0"/>
              <w:spacing w:after="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万元</w:t>
            </w:r>
          </w:p>
        </w:tc>
        <w:tc>
          <w:tcPr>
            <w:tcW w:w="1330" w:type="dxa"/>
            <w:vAlign w:val="center"/>
          </w:tcPr>
          <w:p w14:paraId="5294225A">
            <w:pPr>
              <w:overflowPunct w:val="0"/>
              <w:spacing w:after="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销售收入</w:t>
            </w:r>
          </w:p>
        </w:tc>
        <w:tc>
          <w:tcPr>
            <w:tcW w:w="3108" w:type="dxa"/>
            <w:gridSpan w:val="2"/>
            <w:vAlign w:val="center"/>
          </w:tcPr>
          <w:p w14:paraId="493940E4">
            <w:pPr>
              <w:overflowPunct w:val="0"/>
              <w:spacing w:after="200"/>
              <w:rPr>
                <w:rFonts w:hint="eastAsia" w:ascii="宋体" w:hAnsi="宋体" w:eastAsia="宋体" w:cs="宋体"/>
                <w:b/>
                <w:sz w:val="24"/>
                <w:szCs w:val="24"/>
                <w:highlight w:val="none"/>
                <w:lang w:eastAsia="en-US"/>
              </w:rPr>
            </w:pPr>
            <w:r>
              <w:rPr>
                <w:rFonts w:hint="eastAsia" w:ascii="宋体" w:hAnsi="宋体" w:eastAsia="宋体" w:cs="宋体"/>
                <w:b/>
                <w:sz w:val="24"/>
                <w:szCs w:val="24"/>
                <w:highlight w:val="none"/>
                <w:lang w:eastAsia="en-US"/>
              </w:rPr>
              <w:t>202</w:t>
            </w:r>
            <w:r>
              <w:rPr>
                <w:rFonts w:hint="eastAsia" w:ascii="宋体" w:hAnsi="宋体" w:eastAsia="宋体" w:cs="宋体"/>
                <w:b/>
                <w:sz w:val="24"/>
                <w:szCs w:val="24"/>
                <w:highlight w:val="none"/>
              </w:rPr>
              <w:t>5</w:t>
            </w:r>
            <w:r>
              <w:rPr>
                <w:rFonts w:hint="eastAsia" w:ascii="宋体" w:hAnsi="宋体" w:eastAsia="宋体" w:cs="宋体"/>
                <w:b/>
                <w:sz w:val="24"/>
                <w:szCs w:val="24"/>
                <w:highlight w:val="none"/>
                <w:lang w:eastAsia="en-US"/>
              </w:rPr>
              <w:t>年</w:t>
            </w:r>
            <w:r>
              <w:rPr>
                <w:rFonts w:hint="eastAsia" w:ascii="宋体" w:hAnsi="宋体" w:eastAsia="宋体" w:cs="宋体"/>
                <w:b/>
                <w:sz w:val="24"/>
                <w:szCs w:val="24"/>
                <w:highlight w:val="none"/>
              </w:rPr>
              <w:t xml:space="preserve">    </w:t>
            </w:r>
            <w:r>
              <w:rPr>
                <w:rFonts w:hint="eastAsia" w:ascii="宋体" w:hAnsi="宋体" w:eastAsia="宋体" w:cs="宋体"/>
                <w:b/>
                <w:sz w:val="24"/>
                <w:szCs w:val="24"/>
                <w:highlight w:val="none"/>
                <w:lang w:eastAsia="en-US"/>
              </w:rPr>
              <w:t>万元</w:t>
            </w:r>
          </w:p>
        </w:tc>
      </w:tr>
      <w:tr w14:paraId="7A800A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35" w:hRule="atLeast"/>
        </w:trPr>
        <w:tc>
          <w:tcPr>
            <w:tcW w:w="3376" w:type="dxa"/>
          </w:tcPr>
          <w:p w14:paraId="4E7040F6">
            <w:pPr>
              <w:overflowPunct w:val="0"/>
              <w:spacing w:after="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实现利润</w:t>
            </w:r>
          </w:p>
        </w:tc>
        <w:tc>
          <w:tcPr>
            <w:tcW w:w="1610" w:type="dxa"/>
          </w:tcPr>
          <w:p w14:paraId="7D180ABC">
            <w:pPr>
              <w:overflowPunct w:val="0"/>
              <w:spacing w:after="200"/>
              <w:rPr>
                <w:rFonts w:hint="eastAsia" w:ascii="宋体" w:hAnsi="宋体" w:eastAsia="宋体" w:cs="宋体"/>
                <w:b/>
                <w:sz w:val="24"/>
                <w:szCs w:val="24"/>
                <w:highlight w:val="none"/>
                <w:lang w:eastAsia="en-US"/>
              </w:rPr>
            </w:pPr>
            <w:r>
              <w:rPr>
                <w:rFonts w:hint="eastAsia" w:ascii="宋体" w:hAnsi="宋体" w:eastAsia="宋体" w:cs="宋体"/>
                <w:b/>
                <w:sz w:val="24"/>
                <w:szCs w:val="24"/>
                <w:highlight w:val="none"/>
                <w:lang w:eastAsia="en-US"/>
              </w:rPr>
              <w:t>202</w:t>
            </w:r>
            <w:r>
              <w:rPr>
                <w:rFonts w:hint="eastAsia" w:ascii="宋体" w:hAnsi="宋体" w:eastAsia="宋体" w:cs="宋体"/>
                <w:b/>
                <w:sz w:val="24"/>
                <w:szCs w:val="24"/>
                <w:highlight w:val="none"/>
              </w:rPr>
              <w:t>5</w:t>
            </w:r>
            <w:r>
              <w:rPr>
                <w:rFonts w:hint="eastAsia" w:ascii="宋体" w:hAnsi="宋体" w:eastAsia="宋体" w:cs="宋体"/>
                <w:b/>
                <w:sz w:val="24"/>
                <w:szCs w:val="24"/>
                <w:highlight w:val="none"/>
                <w:lang w:eastAsia="en-US"/>
              </w:rPr>
              <w:t>年 万元</w:t>
            </w:r>
          </w:p>
        </w:tc>
        <w:tc>
          <w:tcPr>
            <w:tcW w:w="1330" w:type="dxa"/>
          </w:tcPr>
          <w:p w14:paraId="72B8D98A">
            <w:pPr>
              <w:overflowPunct w:val="0"/>
              <w:spacing w:after="200"/>
              <w:ind w:left="1260"/>
              <w:rPr>
                <w:rFonts w:hint="eastAsia" w:ascii="宋体" w:hAnsi="宋体" w:eastAsia="宋体" w:cs="宋体"/>
                <w:sz w:val="24"/>
                <w:szCs w:val="24"/>
                <w:highlight w:val="none"/>
                <w:lang w:eastAsia="en-US"/>
              </w:rPr>
            </w:pPr>
          </w:p>
        </w:tc>
        <w:tc>
          <w:tcPr>
            <w:tcW w:w="3108" w:type="dxa"/>
            <w:gridSpan w:val="2"/>
          </w:tcPr>
          <w:p w14:paraId="21700125">
            <w:pPr>
              <w:overflowPunct w:val="0"/>
              <w:spacing w:after="200"/>
              <w:ind w:left="1260"/>
              <w:rPr>
                <w:rFonts w:hint="eastAsia" w:ascii="宋体" w:hAnsi="宋体" w:eastAsia="宋体" w:cs="宋体"/>
                <w:sz w:val="24"/>
                <w:szCs w:val="24"/>
                <w:highlight w:val="none"/>
                <w:lang w:eastAsia="en-US"/>
              </w:rPr>
            </w:pPr>
          </w:p>
        </w:tc>
      </w:tr>
      <w:tr w14:paraId="7A9D76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830" w:hRule="atLeast"/>
        </w:trPr>
        <w:tc>
          <w:tcPr>
            <w:tcW w:w="3376" w:type="dxa"/>
          </w:tcPr>
          <w:p w14:paraId="72494C97">
            <w:pPr>
              <w:overflowPunct w:val="0"/>
              <w:spacing w:after="200"/>
              <w:rPr>
                <w:rFonts w:hint="eastAsia" w:ascii="宋体" w:hAnsi="宋体" w:eastAsia="宋体" w:cs="宋体"/>
                <w:sz w:val="24"/>
                <w:szCs w:val="24"/>
                <w:highlight w:val="none"/>
              </w:rPr>
            </w:pPr>
            <w:r>
              <w:rPr>
                <w:rFonts w:hint="eastAsia" w:ascii="宋体" w:hAnsi="宋体" w:eastAsia="宋体" w:cs="宋体"/>
                <w:sz w:val="24"/>
                <w:szCs w:val="24"/>
                <w:highlight w:val="none"/>
              </w:rPr>
              <w:t>营业面积（含厂房面积）</w:t>
            </w:r>
          </w:p>
        </w:tc>
        <w:tc>
          <w:tcPr>
            <w:tcW w:w="1610" w:type="dxa"/>
            <w:vAlign w:val="center"/>
          </w:tcPr>
          <w:p w14:paraId="522E3E8B">
            <w:pPr>
              <w:overflowPunct w:val="0"/>
              <w:spacing w:after="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eastAsia="en-US"/>
              </w:rPr>
              <w:t>平方米</w:t>
            </w:r>
          </w:p>
        </w:tc>
        <w:tc>
          <w:tcPr>
            <w:tcW w:w="1330" w:type="dxa"/>
          </w:tcPr>
          <w:p w14:paraId="1792E06D">
            <w:pPr>
              <w:overflowPunct w:val="0"/>
              <w:spacing w:after="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其中</w:t>
            </w:r>
          </w:p>
        </w:tc>
        <w:tc>
          <w:tcPr>
            <w:tcW w:w="3108" w:type="dxa"/>
            <w:gridSpan w:val="2"/>
          </w:tcPr>
          <w:p w14:paraId="72015CE5">
            <w:pPr>
              <w:overflowPunct w:val="0"/>
              <w:spacing w:after="200"/>
              <w:rPr>
                <w:rFonts w:hint="eastAsia" w:ascii="宋体" w:hAnsi="宋体" w:eastAsia="宋体" w:cs="宋体"/>
                <w:sz w:val="24"/>
                <w:szCs w:val="24"/>
                <w:highlight w:val="none"/>
              </w:rPr>
            </w:pPr>
            <w:r>
              <w:rPr>
                <w:rFonts w:hint="eastAsia" w:ascii="宋体" w:hAnsi="宋体" w:eastAsia="宋体" w:cs="宋体"/>
                <w:sz w:val="24"/>
                <w:szCs w:val="24"/>
                <w:highlight w:val="none"/>
              </w:rPr>
              <w:t>自有面积平方米</w:t>
            </w:r>
          </w:p>
          <w:p w14:paraId="49EFE0CD">
            <w:pPr>
              <w:overflowPunct w:val="0"/>
              <w:spacing w:after="200"/>
              <w:rPr>
                <w:rFonts w:hint="eastAsia" w:ascii="宋体" w:hAnsi="宋体" w:eastAsia="宋体" w:cs="宋体"/>
                <w:sz w:val="24"/>
                <w:szCs w:val="24"/>
                <w:highlight w:val="none"/>
              </w:rPr>
            </w:pPr>
            <w:r>
              <w:rPr>
                <w:rFonts w:hint="eastAsia" w:ascii="宋体" w:hAnsi="宋体" w:eastAsia="宋体" w:cs="宋体"/>
                <w:sz w:val="24"/>
                <w:szCs w:val="24"/>
                <w:highlight w:val="none"/>
              </w:rPr>
              <w:t>承租面积平方米</w:t>
            </w:r>
          </w:p>
        </w:tc>
      </w:tr>
      <w:tr w14:paraId="7D58F9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0" w:hRule="atLeast"/>
        </w:trPr>
        <w:tc>
          <w:tcPr>
            <w:tcW w:w="3376" w:type="dxa"/>
            <w:vAlign w:val="center"/>
          </w:tcPr>
          <w:p w14:paraId="7EBC64E5">
            <w:pPr>
              <w:overflowPunct w:val="0"/>
              <w:spacing w:after="200"/>
              <w:rPr>
                <w:rFonts w:hint="eastAsia" w:ascii="宋体" w:hAnsi="宋体" w:eastAsia="宋体" w:cs="宋体"/>
                <w:sz w:val="24"/>
                <w:szCs w:val="24"/>
                <w:highlight w:val="none"/>
              </w:rPr>
            </w:pPr>
            <w:r>
              <w:rPr>
                <w:rFonts w:hint="eastAsia" w:ascii="宋体" w:hAnsi="宋体" w:eastAsia="宋体" w:cs="宋体"/>
                <w:sz w:val="24"/>
                <w:szCs w:val="24"/>
                <w:highlight w:val="none"/>
              </w:rPr>
              <w:t>单位简历及内设机构情况</w:t>
            </w:r>
          </w:p>
        </w:tc>
        <w:tc>
          <w:tcPr>
            <w:tcW w:w="6048" w:type="dxa"/>
            <w:gridSpan w:val="4"/>
          </w:tcPr>
          <w:p w14:paraId="1B3BEE63">
            <w:pPr>
              <w:overflowPunct w:val="0"/>
              <w:spacing w:after="200"/>
              <w:rPr>
                <w:rFonts w:hint="eastAsia" w:ascii="宋体" w:hAnsi="宋体" w:eastAsia="宋体" w:cs="宋体"/>
                <w:sz w:val="24"/>
                <w:szCs w:val="24"/>
                <w:highlight w:val="none"/>
              </w:rPr>
            </w:pPr>
          </w:p>
        </w:tc>
      </w:tr>
      <w:tr w14:paraId="14FEE9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68" w:hRule="atLeast"/>
        </w:trPr>
        <w:tc>
          <w:tcPr>
            <w:tcW w:w="3376" w:type="dxa"/>
            <w:vAlign w:val="center"/>
          </w:tcPr>
          <w:p w14:paraId="579E6A86">
            <w:pPr>
              <w:overflowPunct w:val="0"/>
              <w:spacing w:after="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单位优势及特长</w:t>
            </w:r>
          </w:p>
        </w:tc>
        <w:tc>
          <w:tcPr>
            <w:tcW w:w="6048" w:type="dxa"/>
            <w:gridSpan w:val="4"/>
          </w:tcPr>
          <w:p w14:paraId="20987FE9">
            <w:pPr>
              <w:overflowPunct w:val="0"/>
              <w:spacing w:after="200"/>
              <w:ind w:left="1260"/>
              <w:rPr>
                <w:rFonts w:hint="eastAsia" w:ascii="宋体" w:hAnsi="宋体" w:eastAsia="宋体" w:cs="宋体"/>
                <w:sz w:val="24"/>
                <w:szCs w:val="24"/>
                <w:highlight w:val="none"/>
                <w:lang w:eastAsia="en-US"/>
              </w:rPr>
            </w:pPr>
          </w:p>
        </w:tc>
      </w:tr>
      <w:tr w14:paraId="78CD14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tcPr>
          <w:p w14:paraId="5C3BDA55">
            <w:pPr>
              <w:overflowPunct w:val="0"/>
              <w:spacing w:after="200"/>
              <w:rPr>
                <w:rFonts w:hint="eastAsia" w:ascii="宋体" w:hAnsi="宋体" w:eastAsia="宋体" w:cs="宋体"/>
                <w:sz w:val="24"/>
                <w:szCs w:val="24"/>
                <w:highlight w:val="none"/>
              </w:rPr>
            </w:pPr>
            <w:r>
              <w:rPr>
                <w:rFonts w:hint="eastAsia" w:ascii="宋体" w:hAnsi="宋体" w:eastAsia="宋体" w:cs="宋体"/>
                <w:sz w:val="24"/>
                <w:szCs w:val="24"/>
                <w:highlight w:val="none"/>
              </w:rPr>
              <w:t>近两年来完成或正在履行的重大合同情况</w:t>
            </w:r>
          </w:p>
        </w:tc>
        <w:tc>
          <w:tcPr>
            <w:tcW w:w="6048" w:type="dxa"/>
            <w:gridSpan w:val="4"/>
          </w:tcPr>
          <w:p w14:paraId="77321750">
            <w:pPr>
              <w:overflowPunct w:val="0"/>
              <w:spacing w:after="200"/>
              <w:ind w:left="1260"/>
              <w:rPr>
                <w:rFonts w:hint="eastAsia" w:ascii="宋体" w:hAnsi="宋体" w:eastAsia="宋体" w:cs="宋体"/>
                <w:sz w:val="24"/>
                <w:szCs w:val="24"/>
                <w:highlight w:val="none"/>
              </w:rPr>
            </w:pPr>
          </w:p>
        </w:tc>
      </w:tr>
      <w:tr w14:paraId="089E4D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tcPr>
          <w:p w14:paraId="539A072C">
            <w:pPr>
              <w:overflowPunct w:val="0"/>
              <w:spacing w:after="200"/>
              <w:rPr>
                <w:rFonts w:hint="eastAsia" w:ascii="宋体" w:hAnsi="宋体" w:eastAsia="宋体" w:cs="宋体"/>
                <w:sz w:val="24"/>
                <w:szCs w:val="24"/>
                <w:highlight w:val="none"/>
              </w:rPr>
            </w:pPr>
            <w:r>
              <w:rPr>
                <w:rFonts w:hint="eastAsia" w:ascii="宋体" w:hAnsi="宋体" w:eastAsia="宋体" w:cs="宋体"/>
                <w:sz w:val="24"/>
                <w:szCs w:val="24"/>
                <w:highlight w:val="none"/>
              </w:rPr>
              <w:t>最近2年内在经营过程中受到何种奖励或处分（包括情况和结果）</w:t>
            </w:r>
          </w:p>
        </w:tc>
        <w:tc>
          <w:tcPr>
            <w:tcW w:w="6048" w:type="dxa"/>
            <w:gridSpan w:val="4"/>
          </w:tcPr>
          <w:p w14:paraId="7ADBB301">
            <w:pPr>
              <w:overflowPunct w:val="0"/>
              <w:spacing w:after="200"/>
              <w:ind w:left="1260"/>
              <w:rPr>
                <w:rFonts w:hint="eastAsia" w:ascii="宋体" w:hAnsi="宋体" w:eastAsia="宋体" w:cs="宋体"/>
                <w:sz w:val="24"/>
                <w:szCs w:val="24"/>
                <w:highlight w:val="none"/>
              </w:rPr>
            </w:pPr>
          </w:p>
        </w:tc>
      </w:tr>
      <w:tr w14:paraId="59FAD3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580" w:hRule="atLeast"/>
        </w:trPr>
        <w:tc>
          <w:tcPr>
            <w:tcW w:w="3376" w:type="dxa"/>
          </w:tcPr>
          <w:p w14:paraId="290E258C">
            <w:pPr>
              <w:overflowPunct w:val="0"/>
              <w:spacing w:after="200"/>
              <w:rPr>
                <w:rFonts w:hint="eastAsia" w:ascii="宋体" w:hAnsi="宋体" w:eastAsia="宋体" w:cs="宋体"/>
                <w:sz w:val="24"/>
                <w:szCs w:val="24"/>
                <w:highlight w:val="none"/>
              </w:rPr>
            </w:pPr>
            <w:r>
              <w:rPr>
                <w:rFonts w:hint="eastAsia" w:ascii="宋体" w:hAnsi="宋体" w:eastAsia="宋体" w:cs="宋体"/>
                <w:sz w:val="24"/>
                <w:szCs w:val="24"/>
                <w:highlight w:val="none"/>
              </w:rPr>
              <w:t>最近3年内有无因售假、售劣或是其他原因被消费者投诉或起诉的情况及说明（包括解决方式和结果）</w:t>
            </w:r>
          </w:p>
        </w:tc>
        <w:tc>
          <w:tcPr>
            <w:tcW w:w="6048" w:type="dxa"/>
            <w:gridSpan w:val="4"/>
          </w:tcPr>
          <w:p w14:paraId="37DE11FC">
            <w:pPr>
              <w:overflowPunct w:val="0"/>
              <w:spacing w:after="200"/>
              <w:ind w:left="1260"/>
              <w:rPr>
                <w:rFonts w:hint="eastAsia" w:ascii="宋体" w:hAnsi="宋体" w:eastAsia="宋体" w:cs="宋体"/>
                <w:sz w:val="24"/>
                <w:szCs w:val="24"/>
                <w:highlight w:val="none"/>
              </w:rPr>
            </w:pPr>
          </w:p>
        </w:tc>
      </w:tr>
      <w:tr w14:paraId="28E980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tcPr>
          <w:p w14:paraId="51EDF963">
            <w:pPr>
              <w:overflowPunct w:val="0"/>
              <w:spacing w:after="200"/>
              <w:rPr>
                <w:rFonts w:hint="eastAsia" w:ascii="宋体" w:hAnsi="宋体" w:eastAsia="宋体" w:cs="宋体"/>
                <w:sz w:val="24"/>
                <w:szCs w:val="24"/>
                <w:highlight w:val="none"/>
              </w:rPr>
            </w:pPr>
            <w:r>
              <w:rPr>
                <w:rFonts w:hint="eastAsia" w:ascii="宋体" w:hAnsi="宋体" w:eastAsia="宋体" w:cs="宋体"/>
                <w:sz w:val="24"/>
                <w:szCs w:val="24"/>
                <w:highlight w:val="none"/>
              </w:rPr>
              <w:t>最近3年内主要负责人有无因经济犯罪被司法机关追究的情况及说明</w:t>
            </w:r>
          </w:p>
        </w:tc>
        <w:tc>
          <w:tcPr>
            <w:tcW w:w="6048" w:type="dxa"/>
            <w:gridSpan w:val="4"/>
          </w:tcPr>
          <w:p w14:paraId="3437901D">
            <w:pPr>
              <w:overflowPunct w:val="0"/>
              <w:spacing w:after="200"/>
              <w:ind w:left="1260"/>
              <w:rPr>
                <w:rFonts w:hint="eastAsia" w:ascii="宋体" w:hAnsi="宋体" w:eastAsia="宋体" w:cs="宋体"/>
                <w:sz w:val="24"/>
                <w:szCs w:val="24"/>
                <w:highlight w:val="none"/>
              </w:rPr>
            </w:pPr>
          </w:p>
        </w:tc>
      </w:tr>
      <w:tr w14:paraId="79E018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Pr>
        <w:tc>
          <w:tcPr>
            <w:tcW w:w="3376" w:type="dxa"/>
          </w:tcPr>
          <w:p w14:paraId="181959DD">
            <w:pPr>
              <w:overflowPunct w:val="0"/>
              <w:spacing w:after="200"/>
              <w:rPr>
                <w:rFonts w:hint="eastAsia" w:ascii="宋体" w:hAnsi="宋体" w:eastAsia="宋体" w:cs="宋体"/>
                <w:sz w:val="24"/>
                <w:szCs w:val="24"/>
                <w:highlight w:val="none"/>
              </w:rPr>
            </w:pPr>
            <w:r>
              <w:rPr>
                <w:rFonts w:hint="eastAsia" w:ascii="宋体" w:hAnsi="宋体" w:eastAsia="宋体" w:cs="宋体"/>
                <w:sz w:val="24"/>
                <w:szCs w:val="24"/>
                <w:highlight w:val="none"/>
              </w:rPr>
              <w:t>获得技术认证的工程师及简介</w:t>
            </w:r>
          </w:p>
        </w:tc>
        <w:tc>
          <w:tcPr>
            <w:tcW w:w="6048" w:type="dxa"/>
            <w:gridSpan w:val="4"/>
          </w:tcPr>
          <w:p w14:paraId="5114297E">
            <w:pPr>
              <w:overflowPunct w:val="0"/>
              <w:spacing w:after="200"/>
              <w:ind w:left="1260"/>
              <w:rPr>
                <w:rFonts w:hint="eastAsia" w:ascii="宋体" w:hAnsi="宋体" w:eastAsia="宋体" w:cs="宋体"/>
                <w:sz w:val="24"/>
                <w:szCs w:val="24"/>
                <w:highlight w:val="none"/>
              </w:rPr>
            </w:pPr>
          </w:p>
        </w:tc>
      </w:tr>
      <w:tr w14:paraId="452322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trPr>
        <w:tc>
          <w:tcPr>
            <w:tcW w:w="3376" w:type="dxa"/>
          </w:tcPr>
          <w:p w14:paraId="76B6475D">
            <w:pPr>
              <w:overflowPunct w:val="0"/>
              <w:spacing w:after="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其他需要说明的情况</w:t>
            </w:r>
          </w:p>
        </w:tc>
        <w:tc>
          <w:tcPr>
            <w:tcW w:w="6048" w:type="dxa"/>
            <w:gridSpan w:val="4"/>
          </w:tcPr>
          <w:p w14:paraId="3726F5DC">
            <w:pPr>
              <w:overflowPunct w:val="0"/>
              <w:spacing w:after="200"/>
              <w:ind w:left="1260"/>
              <w:rPr>
                <w:rFonts w:hint="eastAsia" w:ascii="宋体" w:hAnsi="宋体" w:eastAsia="宋体" w:cs="宋体"/>
                <w:sz w:val="24"/>
                <w:szCs w:val="24"/>
                <w:highlight w:val="none"/>
                <w:lang w:eastAsia="en-US"/>
              </w:rPr>
            </w:pPr>
          </w:p>
        </w:tc>
      </w:tr>
    </w:tbl>
    <w:p w14:paraId="06FDB406">
      <w:pPr>
        <w:widowControl/>
        <w:spacing w:after="200" w:line="276" w:lineRule="auto"/>
        <w:jc w:val="left"/>
        <w:rPr>
          <w:rFonts w:ascii="宋体" w:hAnsi="宋体" w:eastAsia="Arial" w:cs="Times New Roman"/>
          <w:b/>
          <w:kern w:val="0"/>
          <w:sz w:val="32"/>
          <w:szCs w:val="32"/>
          <w:highlight w:val="none"/>
        </w:rPr>
      </w:pPr>
      <w:r>
        <w:rPr>
          <w:rFonts w:hint="eastAsia" w:ascii="宋体" w:hAnsi="宋体" w:eastAsia="Arial" w:cs="Times New Roman"/>
          <w:b/>
          <w:kern w:val="0"/>
          <w:sz w:val="32"/>
          <w:szCs w:val="32"/>
          <w:highlight w:val="none"/>
        </w:rPr>
        <w:br w:type="page"/>
      </w:r>
      <w:r>
        <w:rPr>
          <w:rFonts w:hint="eastAsia" w:ascii="宋体" w:hAnsi="宋体" w:eastAsia="Arial" w:cs="Times New Roman"/>
          <w:b/>
          <w:kern w:val="0"/>
          <w:sz w:val="32"/>
          <w:szCs w:val="32"/>
          <w:highlight w:val="none"/>
        </w:rPr>
        <w:t>5、法定代表人授权委托书 （如有）</w:t>
      </w:r>
    </w:p>
    <w:p w14:paraId="601DDEB6">
      <w:pPr>
        <w:widowControl/>
        <w:overflowPunct w:val="0"/>
        <w:adjustRightInd w:val="0"/>
        <w:spacing w:after="200" w:line="276" w:lineRule="auto"/>
        <w:jc w:val="left"/>
        <w:textAlignment w:val="baseline"/>
        <w:rPr>
          <w:rFonts w:ascii="宋体" w:hAnsi="宋体" w:eastAsia="Arial" w:cs="Times New Roman"/>
          <w:kern w:val="0"/>
          <w:sz w:val="22"/>
          <w:highlight w:val="none"/>
        </w:rPr>
      </w:pPr>
    </w:p>
    <w:p w14:paraId="7629C409">
      <w:pPr>
        <w:widowControl/>
        <w:overflowPunct w:val="0"/>
        <w:adjustRightInd w:val="0"/>
        <w:spacing w:after="200" w:line="276" w:lineRule="auto"/>
        <w:ind w:firstLine="420"/>
        <w:jc w:val="center"/>
        <w:textAlignment w:val="baseline"/>
        <w:rPr>
          <w:rFonts w:ascii="宋体" w:hAnsi="宋体" w:eastAsia="Arial" w:cs="Times New Roman"/>
          <w:kern w:val="0"/>
          <w:sz w:val="22"/>
          <w:highlight w:val="none"/>
        </w:rPr>
      </w:pPr>
    </w:p>
    <w:p w14:paraId="7BAC2838">
      <w:pPr>
        <w:widowControl/>
        <w:overflowPunct w:val="0"/>
        <w:adjustRightInd w:val="0"/>
        <w:spacing w:after="200" w:line="276" w:lineRule="auto"/>
        <w:ind w:firstLine="420"/>
        <w:jc w:val="center"/>
        <w:textAlignment w:val="baseline"/>
        <w:rPr>
          <w:rFonts w:ascii="宋体" w:hAnsi="宋体" w:eastAsia="Arial" w:cs="Times New Roman"/>
          <w:kern w:val="0"/>
          <w:sz w:val="32"/>
          <w:szCs w:val="32"/>
          <w:highlight w:val="none"/>
        </w:rPr>
      </w:pPr>
      <w:r>
        <w:rPr>
          <w:rFonts w:hint="eastAsia" w:ascii="宋体" w:hAnsi="宋体" w:eastAsia="Arial" w:cs="Times New Roman"/>
          <w:kern w:val="0"/>
          <w:sz w:val="32"/>
          <w:szCs w:val="32"/>
          <w:highlight w:val="none"/>
        </w:rPr>
        <w:t>授权委托书</w:t>
      </w:r>
    </w:p>
    <w:p w14:paraId="4906855E">
      <w:pPr>
        <w:widowControl/>
        <w:overflowPunct w:val="0"/>
        <w:adjustRightInd w:val="0"/>
        <w:spacing w:after="200" w:line="276" w:lineRule="auto"/>
        <w:ind w:firstLine="420"/>
        <w:jc w:val="left"/>
        <w:textAlignment w:val="baseline"/>
        <w:rPr>
          <w:rFonts w:ascii="宋体" w:hAnsi="宋体" w:eastAsia="Arial" w:cs="Times New Roman"/>
          <w:kern w:val="0"/>
          <w:sz w:val="22"/>
          <w:highlight w:val="none"/>
        </w:rPr>
      </w:pPr>
    </w:p>
    <w:p w14:paraId="762468C4">
      <w:pPr>
        <w:widowControl/>
        <w:overflowPunct w:val="0"/>
        <w:adjustRightInd w:val="0"/>
        <w:spacing w:after="200" w:line="276" w:lineRule="auto"/>
        <w:ind w:firstLine="420"/>
        <w:jc w:val="left"/>
        <w:textAlignment w:val="baseline"/>
        <w:rPr>
          <w:rFonts w:ascii="宋体" w:hAnsi="宋体" w:eastAsia="Arial" w:cs="Times New Roman"/>
          <w:kern w:val="0"/>
          <w:sz w:val="22"/>
          <w:highlight w:val="none"/>
        </w:rPr>
      </w:pPr>
    </w:p>
    <w:p w14:paraId="3FFECAEE">
      <w:pPr>
        <w:widowControl/>
        <w:overflowPunct w:val="0"/>
        <w:adjustRightInd w:val="0"/>
        <w:spacing w:after="200" w:line="460" w:lineRule="exact"/>
        <w:ind w:firstLine="420"/>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本授权委托书声明：我</w:t>
      </w:r>
      <w:r>
        <w:rPr>
          <w:rFonts w:hint="eastAsia" w:ascii="宋体" w:hAnsi="宋体" w:eastAsia="宋体" w:cs="宋体"/>
          <w:b/>
          <w:kern w:val="0"/>
          <w:sz w:val="24"/>
          <w:szCs w:val="24"/>
          <w:highlight w:val="none"/>
          <w:u w:val="single"/>
        </w:rPr>
        <w:t xml:space="preserve">        </w:t>
      </w:r>
      <w:r>
        <w:rPr>
          <w:rFonts w:hint="eastAsia" w:ascii="宋体" w:hAnsi="宋体" w:eastAsia="宋体" w:cs="宋体"/>
          <w:kern w:val="0"/>
          <w:sz w:val="24"/>
          <w:szCs w:val="24"/>
          <w:highlight w:val="none"/>
        </w:rPr>
        <w:t>（姓名）系</w:t>
      </w:r>
      <w:r>
        <w:rPr>
          <w:rFonts w:hint="eastAsia" w:ascii="宋体" w:hAnsi="宋体" w:eastAsia="宋体" w:cs="宋体"/>
          <w:b/>
          <w:kern w:val="0"/>
          <w:sz w:val="24"/>
          <w:szCs w:val="24"/>
          <w:highlight w:val="none"/>
          <w:u w:val="single"/>
        </w:rPr>
        <w:t xml:space="preserve">               </w:t>
      </w:r>
      <w:r>
        <w:rPr>
          <w:rFonts w:hint="eastAsia" w:ascii="宋体" w:hAnsi="宋体" w:eastAsia="宋体" w:cs="宋体"/>
          <w:kern w:val="0"/>
          <w:sz w:val="24"/>
          <w:szCs w:val="24"/>
          <w:highlight w:val="none"/>
        </w:rPr>
        <w:t>（响应单位名称）的法定代表人，现授权委托</w:t>
      </w:r>
      <w:r>
        <w:rPr>
          <w:rFonts w:hint="eastAsia" w:ascii="宋体" w:hAnsi="宋体" w:eastAsia="宋体" w:cs="宋体"/>
          <w:b/>
          <w:kern w:val="0"/>
          <w:sz w:val="24"/>
          <w:szCs w:val="24"/>
          <w:highlight w:val="none"/>
          <w:u w:val="single"/>
        </w:rPr>
        <w:t xml:space="preserve">                   </w:t>
      </w:r>
      <w:r>
        <w:rPr>
          <w:rFonts w:hint="eastAsia" w:ascii="宋体" w:hAnsi="宋体" w:eastAsia="宋体" w:cs="宋体"/>
          <w:kern w:val="0"/>
          <w:sz w:val="24"/>
          <w:szCs w:val="24"/>
          <w:highlight w:val="none"/>
        </w:rPr>
        <w:t>（单位名称）的</w:t>
      </w:r>
      <w:r>
        <w:rPr>
          <w:rFonts w:hint="eastAsia" w:ascii="宋体" w:hAnsi="宋体" w:eastAsia="宋体" w:cs="宋体"/>
          <w:b/>
          <w:kern w:val="0"/>
          <w:sz w:val="24"/>
          <w:szCs w:val="24"/>
          <w:highlight w:val="none"/>
          <w:u w:val="single"/>
        </w:rPr>
        <w:t xml:space="preserve">        </w:t>
      </w:r>
      <w:r>
        <w:rPr>
          <w:rFonts w:hint="eastAsia" w:ascii="宋体" w:hAnsi="宋体" w:eastAsia="宋体" w:cs="宋体"/>
          <w:kern w:val="0"/>
          <w:sz w:val="24"/>
          <w:szCs w:val="24"/>
          <w:highlight w:val="none"/>
        </w:rPr>
        <w:t>（姓名）为我公司代理人，以本公司的名义参加</w:t>
      </w:r>
      <w:r>
        <w:rPr>
          <w:rFonts w:hint="eastAsia" w:ascii="宋体" w:hAnsi="宋体" w:eastAsia="宋体" w:cs="宋体"/>
          <w:b/>
          <w:kern w:val="0"/>
          <w:sz w:val="24"/>
          <w:szCs w:val="24"/>
          <w:highlight w:val="none"/>
          <w:u w:val="single"/>
        </w:rPr>
        <w:t>苏州市公共资源交易中心太仓分中心</w:t>
      </w:r>
      <w:r>
        <w:rPr>
          <w:rFonts w:hint="eastAsia" w:ascii="宋体" w:hAnsi="宋体" w:eastAsia="宋体" w:cs="宋体"/>
          <w:kern w:val="0"/>
          <w:sz w:val="24"/>
          <w:szCs w:val="24"/>
          <w:highlight w:val="none"/>
        </w:rPr>
        <w:t>组织实施的编号为</w:t>
      </w:r>
      <w:r>
        <w:rPr>
          <w:rFonts w:hint="eastAsia" w:ascii="宋体" w:hAnsi="宋体" w:eastAsia="宋体" w:cs="宋体"/>
          <w:b/>
          <w:kern w:val="0"/>
          <w:sz w:val="24"/>
          <w:szCs w:val="24"/>
          <w:highlight w:val="none"/>
          <w:u w:val="single"/>
        </w:rPr>
        <w:t>JSZC-320585-JZCG-D2026-0027</w:t>
      </w:r>
      <w:r>
        <w:rPr>
          <w:rFonts w:hint="eastAsia" w:ascii="宋体" w:hAnsi="宋体" w:eastAsia="宋体" w:cs="宋体"/>
          <w:kern w:val="0"/>
          <w:sz w:val="24"/>
          <w:szCs w:val="24"/>
          <w:highlight w:val="none"/>
        </w:rPr>
        <w:t>号的采购活动。代理人在开标、评审、合同谈判过程中所签署的一切文件和处理与这有关的一切事务，我均予以承认。</w:t>
      </w:r>
    </w:p>
    <w:p w14:paraId="7D5A29E8">
      <w:pPr>
        <w:widowControl/>
        <w:overflowPunct w:val="0"/>
        <w:adjustRightInd w:val="0"/>
        <w:spacing w:after="200" w:line="460" w:lineRule="exact"/>
        <w:ind w:firstLine="420"/>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代理人在授权委托书有效期内签署的所有文件不因授权委托的撤销而失效，除非有撤销授权委托的书面通知，本授权委托书自响应开始至合同履行完毕止。</w:t>
      </w:r>
    </w:p>
    <w:p w14:paraId="757F2A09">
      <w:pPr>
        <w:widowControl/>
        <w:overflowPunct w:val="0"/>
        <w:adjustRightInd w:val="0"/>
        <w:spacing w:after="200" w:line="460" w:lineRule="exact"/>
        <w:ind w:firstLine="420"/>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代理人无转委托权。特此委托！</w:t>
      </w:r>
    </w:p>
    <w:p w14:paraId="4093B076">
      <w:pPr>
        <w:widowControl/>
        <w:overflowPunct w:val="0"/>
        <w:adjustRightInd w:val="0"/>
        <w:spacing w:after="200" w:line="460" w:lineRule="exact"/>
        <w:ind w:firstLine="420"/>
        <w:jc w:val="left"/>
        <w:textAlignment w:val="baseline"/>
        <w:rPr>
          <w:rFonts w:hint="eastAsia" w:ascii="宋体" w:hAnsi="宋体" w:eastAsia="宋体" w:cs="宋体"/>
          <w:kern w:val="0"/>
          <w:sz w:val="24"/>
          <w:szCs w:val="24"/>
          <w:highlight w:val="none"/>
        </w:rPr>
      </w:pPr>
    </w:p>
    <w:p w14:paraId="6125D0C2">
      <w:pPr>
        <w:widowControl/>
        <w:overflowPunct w:val="0"/>
        <w:adjustRightInd w:val="0"/>
        <w:spacing w:after="200" w:line="460" w:lineRule="exact"/>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响应单位：（单位盖章）</w:t>
      </w:r>
    </w:p>
    <w:p w14:paraId="67AF3C7A">
      <w:pPr>
        <w:widowControl/>
        <w:overflowPunct w:val="0"/>
        <w:adjustRightInd w:val="0"/>
        <w:spacing w:after="200" w:line="460" w:lineRule="exact"/>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法定代表人：（签字或盖章）</w:t>
      </w:r>
    </w:p>
    <w:p w14:paraId="7451EC24">
      <w:pPr>
        <w:widowControl/>
        <w:overflowPunct w:val="0"/>
        <w:adjustRightInd w:val="0"/>
        <w:spacing w:after="200" w:line="460" w:lineRule="exact"/>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授权代理人：（签字或盖章）</w:t>
      </w:r>
    </w:p>
    <w:p w14:paraId="4D5D9A2C">
      <w:pPr>
        <w:widowControl/>
        <w:spacing w:after="200" w:line="46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响应日期：年   月   日</w:t>
      </w:r>
    </w:p>
    <w:p w14:paraId="66D1ACDB">
      <w:pPr>
        <w:widowControl/>
        <w:adjustRightInd w:val="0"/>
        <w:spacing w:after="200" w:line="360" w:lineRule="exact"/>
        <w:jc w:val="left"/>
        <w:textAlignment w:val="baseline"/>
        <w:rPr>
          <w:rFonts w:ascii="宋体" w:hAnsi="宋体" w:eastAsia="Arial" w:cs="Times New Roman"/>
          <w:kern w:val="0"/>
          <w:sz w:val="32"/>
          <w:szCs w:val="32"/>
          <w:highlight w:val="none"/>
        </w:rPr>
      </w:pPr>
      <w:r>
        <w:rPr>
          <w:rFonts w:ascii="宋体" w:hAnsi="宋体" w:eastAsia="Arial" w:cs="Times New Roman"/>
          <w:kern w:val="0"/>
          <w:sz w:val="22"/>
          <w:szCs w:val="24"/>
          <w:highlight w:val="none"/>
        </w:rPr>
        <w:br w:type="page"/>
      </w:r>
      <w:r>
        <w:rPr>
          <w:rFonts w:hint="eastAsia" w:ascii="宋体" w:hAnsi="宋体" w:eastAsia="Arial" w:cs="Times New Roman"/>
          <w:b/>
          <w:kern w:val="0"/>
          <w:sz w:val="32"/>
          <w:szCs w:val="32"/>
          <w:highlight w:val="none"/>
        </w:rPr>
        <w:t>6、开标一览表</w:t>
      </w:r>
    </w:p>
    <w:p w14:paraId="6D6C23F2">
      <w:pPr>
        <w:widowControl/>
        <w:adjustRightInd w:val="0"/>
        <w:spacing w:after="200" w:line="276" w:lineRule="auto"/>
        <w:jc w:val="left"/>
        <w:textAlignment w:val="baseline"/>
        <w:rPr>
          <w:rFonts w:ascii="宋体" w:hAnsi="宋体" w:eastAsia="Arial" w:cs="Times New Roman"/>
          <w:b/>
          <w:kern w:val="0"/>
          <w:sz w:val="22"/>
          <w:highlight w:val="none"/>
        </w:rPr>
      </w:pPr>
    </w:p>
    <w:p w14:paraId="7835FA3D">
      <w:pPr>
        <w:widowControl/>
        <w:adjustRightInd w:val="0"/>
        <w:spacing w:after="200" w:line="276" w:lineRule="auto"/>
        <w:jc w:val="center"/>
        <w:textAlignment w:val="baseline"/>
        <w:rPr>
          <w:rFonts w:ascii="宋体" w:hAnsi="宋体" w:eastAsia="Arial" w:cs="Times New Roman"/>
          <w:kern w:val="0"/>
          <w:sz w:val="22"/>
          <w:highlight w:val="none"/>
        </w:rPr>
      </w:pPr>
    </w:p>
    <w:p w14:paraId="133587C9">
      <w:pPr>
        <w:widowControl/>
        <w:adjustRightInd w:val="0"/>
        <w:spacing w:after="200" w:line="276" w:lineRule="auto"/>
        <w:jc w:val="center"/>
        <w:textAlignment w:val="baseline"/>
        <w:rPr>
          <w:rFonts w:ascii="宋体" w:hAnsi="宋体" w:eastAsia="Arial" w:cs="Times New Roman"/>
          <w:kern w:val="0"/>
          <w:sz w:val="32"/>
          <w:szCs w:val="32"/>
          <w:highlight w:val="none"/>
        </w:rPr>
      </w:pPr>
      <w:r>
        <w:rPr>
          <w:rFonts w:hint="eastAsia" w:ascii="宋体" w:hAnsi="宋体" w:eastAsia="Arial" w:cs="Times New Roman"/>
          <w:b/>
          <w:kern w:val="0"/>
          <w:sz w:val="32"/>
          <w:szCs w:val="32"/>
          <w:highlight w:val="none"/>
        </w:rPr>
        <w:t>开标一览表</w:t>
      </w:r>
    </w:p>
    <w:p w14:paraId="0684D472">
      <w:pPr>
        <w:widowControl/>
        <w:adjustRightInd w:val="0"/>
        <w:spacing w:after="200" w:line="276" w:lineRule="auto"/>
        <w:jc w:val="left"/>
        <w:textAlignment w:val="baseline"/>
        <w:rPr>
          <w:rFonts w:hint="eastAsia" w:ascii="宋体" w:hAnsi="宋体" w:eastAsia="宋体" w:cs="宋体"/>
          <w:kern w:val="0"/>
          <w:sz w:val="24"/>
          <w:szCs w:val="24"/>
          <w:highlight w:val="none"/>
        </w:rPr>
      </w:pPr>
    </w:p>
    <w:p w14:paraId="2B3DD0D7">
      <w:pPr>
        <w:widowControl/>
        <w:adjustRightInd w:val="0"/>
        <w:spacing w:after="200" w:line="276" w:lineRule="auto"/>
        <w:ind w:firstLine="720" w:firstLineChars="300"/>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项目编号：JSZC-320585-JZCG-D2026-0027</w:t>
      </w:r>
    </w:p>
    <w:p w14:paraId="6A15FA07">
      <w:pPr>
        <w:widowControl/>
        <w:adjustRightInd w:val="0"/>
        <w:spacing w:after="200" w:line="276" w:lineRule="auto"/>
        <w:ind w:firstLine="720" w:firstLineChars="300"/>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项目名称： 太仓市产业扶持政策奖补积分管理平台（二期）</w:t>
      </w:r>
    </w:p>
    <w:tbl>
      <w:tblPr>
        <w:tblStyle w:val="24"/>
        <w:tblW w:w="0" w:type="auto"/>
        <w:tblInd w:w="81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119"/>
        <w:gridCol w:w="4252"/>
      </w:tblGrid>
      <w:tr w14:paraId="36C79B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02" w:hRule="atLeast"/>
        </w:trPr>
        <w:tc>
          <w:tcPr>
            <w:tcW w:w="3119" w:type="dxa"/>
            <w:tcBorders>
              <w:top w:val="single" w:color="auto" w:sz="6" w:space="0"/>
              <w:left w:val="single" w:color="auto" w:sz="6" w:space="0"/>
              <w:bottom w:val="single" w:color="auto" w:sz="6" w:space="0"/>
              <w:right w:val="single" w:color="auto" w:sz="6" w:space="0"/>
            </w:tcBorders>
            <w:vAlign w:val="center"/>
          </w:tcPr>
          <w:p w14:paraId="053D7F64">
            <w:pPr>
              <w:adjustRightInd w:val="0"/>
              <w:spacing w:line="360" w:lineRule="exact"/>
              <w:jc w:val="center"/>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标题</w:t>
            </w:r>
          </w:p>
        </w:tc>
        <w:tc>
          <w:tcPr>
            <w:tcW w:w="4252" w:type="dxa"/>
            <w:tcBorders>
              <w:top w:val="single" w:color="auto" w:sz="6" w:space="0"/>
              <w:left w:val="single" w:color="auto" w:sz="6" w:space="0"/>
              <w:bottom w:val="single" w:color="auto" w:sz="4" w:space="0"/>
              <w:right w:val="single" w:color="auto" w:sz="6" w:space="0"/>
            </w:tcBorders>
            <w:vAlign w:val="center"/>
          </w:tcPr>
          <w:p w14:paraId="0BEE56D3">
            <w:pPr>
              <w:adjustRightInd w:val="0"/>
              <w:spacing w:line="360" w:lineRule="exact"/>
              <w:jc w:val="center"/>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内容</w:t>
            </w:r>
          </w:p>
        </w:tc>
      </w:tr>
      <w:tr w14:paraId="1F67B2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2" w:hRule="atLeast"/>
        </w:trPr>
        <w:tc>
          <w:tcPr>
            <w:tcW w:w="3119" w:type="dxa"/>
            <w:tcBorders>
              <w:top w:val="single" w:color="auto" w:sz="6" w:space="0"/>
              <w:left w:val="single" w:color="auto" w:sz="6" w:space="0"/>
              <w:bottom w:val="single" w:color="auto" w:sz="6" w:space="0"/>
              <w:right w:val="single" w:color="auto" w:sz="6" w:space="0"/>
            </w:tcBorders>
            <w:vAlign w:val="center"/>
          </w:tcPr>
          <w:p w14:paraId="4680611C">
            <w:pPr>
              <w:adjustRightInd w:val="0"/>
              <w:spacing w:line="360" w:lineRule="exact"/>
              <w:jc w:val="center"/>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报价</w:t>
            </w:r>
          </w:p>
        </w:tc>
        <w:tc>
          <w:tcPr>
            <w:tcW w:w="4252" w:type="dxa"/>
            <w:tcBorders>
              <w:top w:val="single" w:color="auto" w:sz="4" w:space="0"/>
              <w:left w:val="single" w:color="auto" w:sz="6" w:space="0"/>
              <w:bottom w:val="single" w:color="auto" w:sz="4" w:space="0"/>
              <w:right w:val="single" w:color="auto" w:sz="6" w:space="0"/>
            </w:tcBorders>
            <w:vAlign w:val="center"/>
          </w:tcPr>
          <w:p w14:paraId="781E2F54">
            <w:pPr>
              <w:adjustRightInd w:val="0"/>
              <w:spacing w:line="360" w:lineRule="exact"/>
              <w:ind w:firstLine="2880" w:firstLineChars="1200"/>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元          </w:t>
            </w:r>
          </w:p>
        </w:tc>
      </w:tr>
    </w:tbl>
    <w:p w14:paraId="7FEDC8E3">
      <w:pPr>
        <w:widowControl/>
        <w:adjustRightInd w:val="0"/>
        <w:spacing w:after="200" w:line="276" w:lineRule="auto"/>
        <w:ind w:firstLine="723" w:firstLineChars="300"/>
        <w:jc w:val="left"/>
        <w:textAlignment w:val="baseline"/>
        <w:rPr>
          <w:rFonts w:hint="eastAsia" w:ascii="宋体" w:hAnsi="宋体" w:eastAsia="宋体" w:cs="宋体"/>
          <w:b/>
          <w:kern w:val="0"/>
          <w:sz w:val="24"/>
          <w:szCs w:val="24"/>
          <w:highlight w:val="none"/>
          <w:lang w:eastAsia="en-US"/>
        </w:rPr>
      </w:pPr>
    </w:p>
    <w:p w14:paraId="25877E91">
      <w:pPr>
        <w:widowControl/>
        <w:wordWrap w:val="0"/>
        <w:spacing w:after="200" w:line="500" w:lineRule="exact"/>
        <w:ind w:right="960"/>
        <w:jc w:val="left"/>
        <w:rPr>
          <w:rFonts w:hint="eastAsia" w:ascii="宋体" w:hAnsi="宋体" w:eastAsia="宋体" w:cs="宋体"/>
          <w:kern w:val="0"/>
          <w:sz w:val="24"/>
          <w:szCs w:val="24"/>
          <w:highlight w:val="none"/>
          <w:lang w:eastAsia="en-US"/>
        </w:rPr>
      </w:pPr>
    </w:p>
    <w:p w14:paraId="41471057">
      <w:pPr>
        <w:widowControl/>
        <w:wordWrap w:val="0"/>
        <w:spacing w:after="200" w:line="500" w:lineRule="exact"/>
        <w:ind w:right="960" w:firstLine="3120" w:firstLineChars="13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响应单位（单位盖章）：   </w:t>
      </w:r>
    </w:p>
    <w:p w14:paraId="2FB046F7">
      <w:pPr>
        <w:widowControl/>
        <w:wordWrap w:val="0"/>
        <w:spacing w:after="200" w:line="500" w:lineRule="exact"/>
        <w:ind w:right="960" w:firstLine="3120" w:firstLineChars="13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法定代表人或代理人（签字或盖章）： </w:t>
      </w:r>
    </w:p>
    <w:p w14:paraId="6548EC7E">
      <w:pPr>
        <w:widowControl/>
        <w:wordWrap w:val="0"/>
        <w:spacing w:after="200" w:line="500" w:lineRule="exact"/>
        <w:ind w:right="960" w:firstLine="3120" w:firstLineChars="13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响应日期：   年  月  日 </w:t>
      </w:r>
    </w:p>
    <w:p w14:paraId="0445C78D">
      <w:pPr>
        <w:widowControl/>
        <w:spacing w:after="200" w:line="460" w:lineRule="exact"/>
        <w:jc w:val="left"/>
        <w:rPr>
          <w:rFonts w:hint="eastAsia" w:ascii="宋体" w:hAnsi="宋体" w:eastAsia="宋体" w:cs="宋体"/>
          <w:b/>
          <w:kern w:val="0"/>
          <w:sz w:val="24"/>
          <w:szCs w:val="24"/>
          <w:highlight w:val="none"/>
        </w:rPr>
      </w:pPr>
    </w:p>
    <w:p w14:paraId="013B206A">
      <w:pPr>
        <w:widowControl/>
        <w:spacing w:after="200" w:line="460" w:lineRule="exact"/>
        <w:ind w:firstLine="482" w:firstLineChars="200"/>
        <w:jc w:val="left"/>
        <w:rPr>
          <w:rFonts w:hint="eastAsia" w:ascii="宋体" w:hAnsi="宋体" w:eastAsia="宋体" w:cs="宋体"/>
          <w:b/>
          <w:kern w:val="0"/>
          <w:sz w:val="24"/>
          <w:szCs w:val="24"/>
          <w:highlight w:val="none"/>
        </w:rPr>
      </w:pPr>
      <w:r>
        <w:rPr>
          <w:rFonts w:hint="eastAsia" w:ascii="宋体" w:hAnsi="宋体" w:eastAsia="宋体" w:cs="宋体"/>
          <w:b/>
          <w:kern w:val="0"/>
          <w:sz w:val="24"/>
          <w:szCs w:val="24"/>
          <w:highlight w:val="none"/>
        </w:rPr>
        <w:t xml:space="preserve">注： </w:t>
      </w:r>
      <w:r>
        <w:rPr>
          <w:rFonts w:hint="eastAsia" w:ascii="宋体" w:hAnsi="宋体" w:eastAsia="宋体" w:cs="宋体"/>
          <w:kern w:val="0"/>
          <w:sz w:val="24"/>
          <w:szCs w:val="24"/>
          <w:highlight w:val="none"/>
        </w:rPr>
        <w:t>响应</w:t>
      </w:r>
      <w:r>
        <w:rPr>
          <w:rFonts w:hint="eastAsia" w:ascii="宋体" w:hAnsi="宋体" w:eastAsia="宋体" w:cs="宋体"/>
          <w:kern w:val="1"/>
          <w:sz w:val="24"/>
          <w:szCs w:val="24"/>
          <w:highlight w:val="none"/>
        </w:rPr>
        <w:t>报价一次报定，包括上述货物、服务管理、人员、培训、管理、维护、保险、利润、税金、调试达到正常可使用状态、政策性文件规定及合同包含的所有风险、责任等各项应有费用。</w:t>
      </w:r>
    </w:p>
    <w:p w14:paraId="14391126">
      <w:pPr>
        <w:widowControl/>
        <w:adjustRightInd w:val="0"/>
        <w:spacing w:after="200" w:line="276" w:lineRule="auto"/>
        <w:ind w:firstLine="660" w:firstLineChars="300"/>
        <w:jc w:val="left"/>
        <w:textAlignment w:val="baseline"/>
        <w:rPr>
          <w:rFonts w:ascii="宋体" w:hAnsi="宋体" w:eastAsia="Arial" w:cs="Times New Roman"/>
          <w:b/>
          <w:kern w:val="0"/>
          <w:sz w:val="22"/>
          <w:highlight w:val="none"/>
        </w:rPr>
      </w:pPr>
    </w:p>
    <w:p w14:paraId="79AA197F">
      <w:pPr>
        <w:widowControl/>
        <w:spacing w:after="200" w:line="276" w:lineRule="auto"/>
        <w:jc w:val="left"/>
        <w:rPr>
          <w:rFonts w:ascii="宋体" w:hAnsi="宋体" w:eastAsia="Arial" w:cs="Times New Roman"/>
          <w:b/>
          <w:kern w:val="0"/>
          <w:sz w:val="28"/>
          <w:szCs w:val="32"/>
          <w:highlight w:val="none"/>
        </w:rPr>
      </w:pPr>
      <w:r>
        <w:rPr>
          <w:rFonts w:hint="eastAsia" w:ascii="宋体" w:hAnsi="宋体" w:eastAsia="Arial" w:cs="Times New Roman"/>
          <w:b/>
          <w:kern w:val="0"/>
          <w:sz w:val="28"/>
          <w:szCs w:val="32"/>
          <w:highlight w:val="none"/>
        </w:rPr>
        <w:br w:type="page"/>
      </w:r>
    </w:p>
    <w:p w14:paraId="215B1E96">
      <w:pPr>
        <w:widowControl/>
        <w:snapToGrid w:val="0"/>
        <w:spacing w:after="200" w:line="276" w:lineRule="auto"/>
        <w:jc w:val="left"/>
        <w:rPr>
          <w:rFonts w:ascii="宋体" w:hAnsi="宋体" w:eastAsia="Arial" w:cs="Times New Roman"/>
          <w:b/>
          <w:kern w:val="0"/>
          <w:sz w:val="28"/>
          <w:szCs w:val="32"/>
          <w:highlight w:val="none"/>
        </w:rPr>
      </w:pPr>
      <w:r>
        <w:rPr>
          <w:rFonts w:hint="eastAsia" w:ascii="宋体" w:hAnsi="宋体" w:eastAsia="Arial" w:cs="Times New Roman"/>
          <w:b/>
          <w:kern w:val="0"/>
          <w:sz w:val="28"/>
          <w:szCs w:val="32"/>
          <w:highlight w:val="none"/>
        </w:rPr>
        <w:t>7、响应报价明细表</w:t>
      </w:r>
    </w:p>
    <w:p w14:paraId="7EFA9F8C">
      <w:pPr>
        <w:widowControl/>
        <w:snapToGrid w:val="0"/>
        <w:spacing w:after="200" w:line="276" w:lineRule="auto"/>
        <w:jc w:val="left"/>
        <w:rPr>
          <w:rFonts w:ascii="宋体" w:hAnsi="宋体" w:eastAsia="Arial" w:cs="Times New Roman"/>
          <w:b/>
          <w:kern w:val="0"/>
          <w:sz w:val="28"/>
          <w:szCs w:val="32"/>
          <w:highlight w:val="none"/>
        </w:rPr>
      </w:pPr>
    </w:p>
    <w:p w14:paraId="079EF629">
      <w:pPr>
        <w:widowControl/>
        <w:snapToGrid w:val="0"/>
        <w:spacing w:after="200" w:line="276" w:lineRule="auto"/>
        <w:ind w:firstLine="3001" w:firstLineChars="1000"/>
        <w:jc w:val="left"/>
        <w:rPr>
          <w:rFonts w:ascii="宋体" w:hAnsi="宋体" w:eastAsia="Arial" w:cs="Times New Roman"/>
          <w:b/>
          <w:kern w:val="0"/>
          <w:sz w:val="30"/>
          <w:szCs w:val="30"/>
          <w:highlight w:val="none"/>
        </w:rPr>
      </w:pPr>
      <w:bookmarkStart w:id="7" w:name="OLE_LINK8"/>
      <w:bookmarkStart w:id="8" w:name="OLE_LINK2"/>
      <w:r>
        <w:rPr>
          <w:rFonts w:hint="eastAsia" w:ascii="宋体" w:hAnsi="宋体" w:eastAsia="Arial" w:cs="Times New Roman"/>
          <w:b/>
          <w:kern w:val="0"/>
          <w:sz w:val="30"/>
          <w:szCs w:val="30"/>
          <w:highlight w:val="none"/>
        </w:rPr>
        <w:t>（一）响应报价明细表</w:t>
      </w:r>
    </w:p>
    <w:p w14:paraId="0121A470">
      <w:pPr>
        <w:widowControl/>
        <w:snapToGrid w:val="0"/>
        <w:spacing w:after="200" w:line="276" w:lineRule="auto"/>
        <w:ind w:firstLine="2409" w:firstLineChars="1000"/>
        <w:jc w:val="left"/>
        <w:rPr>
          <w:rFonts w:hint="eastAsia" w:ascii="宋体" w:hAnsi="宋体" w:eastAsia="宋体" w:cs="宋体"/>
          <w:b/>
          <w:kern w:val="0"/>
          <w:sz w:val="24"/>
          <w:szCs w:val="24"/>
          <w:highlight w:val="none"/>
        </w:rPr>
      </w:pPr>
    </w:p>
    <w:tbl>
      <w:tblPr>
        <w:tblStyle w:val="24"/>
        <w:tblW w:w="8020" w:type="dxa"/>
        <w:tblInd w:w="134"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705"/>
        <w:gridCol w:w="1847"/>
        <w:gridCol w:w="1106"/>
        <w:gridCol w:w="1020"/>
        <w:gridCol w:w="1058"/>
        <w:gridCol w:w="1403"/>
        <w:gridCol w:w="881"/>
      </w:tblGrid>
      <w:tr w14:paraId="6A7D980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705" w:type="dxa"/>
            <w:tcBorders>
              <w:top w:val="single" w:color="auto" w:sz="6" w:space="0"/>
              <w:bottom w:val="single" w:color="auto" w:sz="6" w:space="0"/>
              <w:right w:val="single" w:color="auto" w:sz="6" w:space="0"/>
            </w:tcBorders>
            <w:vAlign w:val="center"/>
          </w:tcPr>
          <w:p w14:paraId="4789912B">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序号</w:t>
            </w:r>
          </w:p>
        </w:tc>
        <w:tc>
          <w:tcPr>
            <w:tcW w:w="1847" w:type="dxa"/>
            <w:tcBorders>
              <w:top w:val="single" w:color="auto" w:sz="6" w:space="0"/>
              <w:left w:val="single" w:color="auto" w:sz="6" w:space="0"/>
              <w:bottom w:val="single" w:color="auto" w:sz="6" w:space="0"/>
              <w:right w:val="single" w:color="auto" w:sz="6" w:space="0"/>
            </w:tcBorders>
            <w:vAlign w:val="center"/>
          </w:tcPr>
          <w:p w14:paraId="74452078">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分项名称</w:t>
            </w:r>
          </w:p>
        </w:tc>
        <w:tc>
          <w:tcPr>
            <w:tcW w:w="1106" w:type="dxa"/>
            <w:tcBorders>
              <w:top w:val="single" w:color="auto" w:sz="6" w:space="0"/>
              <w:left w:val="single" w:color="auto" w:sz="6" w:space="0"/>
              <w:bottom w:val="single" w:color="auto" w:sz="6" w:space="0"/>
              <w:right w:val="single" w:color="auto" w:sz="6" w:space="0"/>
            </w:tcBorders>
            <w:vAlign w:val="center"/>
          </w:tcPr>
          <w:p w14:paraId="48BF7B49">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数量</w:t>
            </w:r>
          </w:p>
        </w:tc>
        <w:tc>
          <w:tcPr>
            <w:tcW w:w="1020" w:type="dxa"/>
            <w:tcBorders>
              <w:top w:val="single" w:color="auto" w:sz="6" w:space="0"/>
              <w:left w:val="single" w:color="auto" w:sz="6" w:space="0"/>
              <w:bottom w:val="single" w:color="auto" w:sz="6" w:space="0"/>
              <w:right w:val="single" w:color="auto" w:sz="6" w:space="0"/>
            </w:tcBorders>
            <w:vAlign w:val="center"/>
          </w:tcPr>
          <w:p w14:paraId="1907B283">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单位</w:t>
            </w:r>
          </w:p>
        </w:tc>
        <w:tc>
          <w:tcPr>
            <w:tcW w:w="1058" w:type="dxa"/>
            <w:tcBorders>
              <w:top w:val="single" w:color="auto" w:sz="6" w:space="0"/>
              <w:left w:val="single" w:color="auto" w:sz="6" w:space="0"/>
              <w:bottom w:val="single" w:color="auto" w:sz="6" w:space="0"/>
              <w:right w:val="single" w:color="auto" w:sz="4" w:space="0"/>
            </w:tcBorders>
            <w:vAlign w:val="center"/>
          </w:tcPr>
          <w:p w14:paraId="1383688B">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单价（元）</w:t>
            </w:r>
          </w:p>
        </w:tc>
        <w:tc>
          <w:tcPr>
            <w:tcW w:w="1403" w:type="dxa"/>
            <w:tcBorders>
              <w:top w:val="single" w:color="auto" w:sz="6" w:space="0"/>
              <w:left w:val="single" w:color="auto" w:sz="6" w:space="0"/>
              <w:bottom w:val="single" w:color="auto" w:sz="6" w:space="0"/>
              <w:right w:val="single" w:color="auto" w:sz="6" w:space="0"/>
            </w:tcBorders>
            <w:vAlign w:val="center"/>
          </w:tcPr>
          <w:p w14:paraId="0C36685D">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总价（元）</w:t>
            </w:r>
          </w:p>
        </w:tc>
        <w:tc>
          <w:tcPr>
            <w:tcW w:w="881" w:type="dxa"/>
            <w:tcBorders>
              <w:top w:val="single" w:color="auto" w:sz="6" w:space="0"/>
              <w:left w:val="single" w:color="auto" w:sz="6" w:space="0"/>
              <w:bottom w:val="single" w:color="auto" w:sz="6" w:space="0"/>
              <w:right w:val="single" w:color="auto" w:sz="4" w:space="0"/>
            </w:tcBorders>
            <w:vAlign w:val="center"/>
          </w:tcPr>
          <w:p w14:paraId="6F2ACE79">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备注</w:t>
            </w:r>
          </w:p>
        </w:tc>
      </w:tr>
      <w:tr w14:paraId="68E96A4A">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5" w:hRule="atLeast"/>
        </w:trPr>
        <w:tc>
          <w:tcPr>
            <w:tcW w:w="705" w:type="dxa"/>
            <w:tcBorders>
              <w:top w:val="single" w:color="auto" w:sz="6" w:space="0"/>
              <w:bottom w:val="single" w:color="auto" w:sz="6" w:space="0"/>
              <w:right w:val="single" w:color="auto" w:sz="6" w:space="0"/>
            </w:tcBorders>
            <w:vAlign w:val="center"/>
          </w:tcPr>
          <w:p w14:paraId="494F5782">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1</w:t>
            </w:r>
          </w:p>
        </w:tc>
        <w:tc>
          <w:tcPr>
            <w:tcW w:w="1847" w:type="dxa"/>
            <w:tcBorders>
              <w:top w:val="single" w:color="auto" w:sz="6" w:space="0"/>
              <w:left w:val="single" w:color="auto" w:sz="6" w:space="0"/>
              <w:bottom w:val="single" w:color="auto" w:sz="6" w:space="0"/>
              <w:right w:val="single" w:color="auto" w:sz="6" w:space="0"/>
            </w:tcBorders>
            <w:vAlign w:val="center"/>
          </w:tcPr>
          <w:p w14:paraId="112EDE57">
            <w:pPr>
              <w:widowControl/>
              <w:autoSpaceDE w:val="0"/>
              <w:autoSpaceDN w:val="0"/>
              <w:adjustRightInd w:val="0"/>
              <w:spacing w:after="200" w:line="380" w:lineRule="exact"/>
              <w:ind w:right="-199" w:rightChars="-95"/>
              <w:jc w:val="center"/>
              <w:rPr>
                <w:rFonts w:hint="eastAsia" w:ascii="宋体" w:hAnsi="宋体" w:eastAsia="宋体" w:cs="宋体"/>
                <w:b/>
                <w:bCs/>
                <w:kern w:val="0"/>
                <w:sz w:val="24"/>
                <w:szCs w:val="24"/>
                <w:highlight w:val="none"/>
                <w:lang w:eastAsia="en-US"/>
              </w:rPr>
            </w:pPr>
          </w:p>
        </w:tc>
        <w:tc>
          <w:tcPr>
            <w:tcW w:w="1106" w:type="dxa"/>
            <w:tcBorders>
              <w:top w:val="single" w:color="auto" w:sz="6" w:space="0"/>
              <w:left w:val="single" w:color="auto" w:sz="6" w:space="0"/>
              <w:bottom w:val="single" w:color="auto" w:sz="6" w:space="0"/>
              <w:right w:val="single" w:color="auto" w:sz="6" w:space="0"/>
            </w:tcBorders>
            <w:vAlign w:val="center"/>
          </w:tcPr>
          <w:p w14:paraId="7E7AA59B">
            <w:pPr>
              <w:widowControl/>
              <w:autoSpaceDE w:val="0"/>
              <w:autoSpaceDN w:val="0"/>
              <w:adjustRightInd w:val="0"/>
              <w:spacing w:after="200" w:line="380" w:lineRule="exact"/>
              <w:jc w:val="center"/>
              <w:rPr>
                <w:rFonts w:hint="eastAsia" w:ascii="宋体" w:hAnsi="宋体" w:eastAsia="宋体" w:cs="宋体"/>
                <w:b/>
                <w:bCs/>
                <w:kern w:val="0"/>
                <w:sz w:val="24"/>
                <w:szCs w:val="24"/>
                <w:highlight w:val="none"/>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14:paraId="7BFBDF4D">
            <w:pPr>
              <w:widowControl/>
              <w:autoSpaceDE w:val="0"/>
              <w:autoSpaceDN w:val="0"/>
              <w:adjustRightInd w:val="0"/>
              <w:spacing w:after="200" w:line="380" w:lineRule="exact"/>
              <w:jc w:val="center"/>
              <w:rPr>
                <w:rFonts w:hint="eastAsia" w:ascii="宋体" w:hAnsi="宋体" w:eastAsia="宋体" w:cs="宋体"/>
                <w:b/>
                <w:bCs/>
                <w:kern w:val="0"/>
                <w:sz w:val="24"/>
                <w:szCs w:val="24"/>
                <w:highlight w:val="none"/>
                <w:lang w:eastAsia="en-US"/>
              </w:rPr>
            </w:pPr>
          </w:p>
        </w:tc>
        <w:tc>
          <w:tcPr>
            <w:tcW w:w="1058" w:type="dxa"/>
            <w:tcBorders>
              <w:top w:val="single" w:color="auto" w:sz="6" w:space="0"/>
              <w:left w:val="single" w:color="auto" w:sz="6" w:space="0"/>
              <w:bottom w:val="single" w:color="auto" w:sz="6" w:space="0"/>
              <w:right w:val="single" w:color="auto" w:sz="4" w:space="0"/>
            </w:tcBorders>
            <w:vAlign w:val="center"/>
          </w:tcPr>
          <w:p w14:paraId="2253A582">
            <w:pPr>
              <w:widowControl/>
              <w:autoSpaceDE w:val="0"/>
              <w:autoSpaceDN w:val="0"/>
              <w:adjustRightInd w:val="0"/>
              <w:spacing w:after="200" w:line="380" w:lineRule="exact"/>
              <w:jc w:val="center"/>
              <w:rPr>
                <w:rFonts w:hint="eastAsia" w:ascii="宋体" w:hAnsi="宋体" w:eastAsia="宋体" w:cs="宋体"/>
                <w:b/>
                <w:bCs/>
                <w:kern w:val="0"/>
                <w:sz w:val="24"/>
                <w:szCs w:val="24"/>
                <w:highlight w:val="none"/>
                <w:lang w:eastAsia="en-US"/>
              </w:rPr>
            </w:pPr>
          </w:p>
        </w:tc>
        <w:tc>
          <w:tcPr>
            <w:tcW w:w="1403" w:type="dxa"/>
            <w:tcBorders>
              <w:top w:val="single" w:color="auto" w:sz="6" w:space="0"/>
              <w:left w:val="single" w:color="auto" w:sz="6" w:space="0"/>
              <w:bottom w:val="single" w:color="auto" w:sz="6" w:space="0"/>
              <w:right w:val="single" w:color="auto" w:sz="6" w:space="0"/>
            </w:tcBorders>
          </w:tcPr>
          <w:p w14:paraId="11073599">
            <w:pPr>
              <w:widowControl/>
              <w:autoSpaceDE w:val="0"/>
              <w:autoSpaceDN w:val="0"/>
              <w:adjustRightInd w:val="0"/>
              <w:spacing w:after="200" w:line="380" w:lineRule="exact"/>
              <w:jc w:val="center"/>
              <w:rPr>
                <w:rFonts w:hint="eastAsia" w:ascii="宋体" w:hAnsi="宋体" w:eastAsia="宋体" w:cs="宋体"/>
                <w:b/>
                <w:bCs/>
                <w:kern w:val="0"/>
                <w:sz w:val="24"/>
                <w:szCs w:val="24"/>
                <w:highlight w:val="none"/>
                <w:lang w:eastAsia="en-US"/>
              </w:rPr>
            </w:pPr>
          </w:p>
        </w:tc>
        <w:tc>
          <w:tcPr>
            <w:tcW w:w="881" w:type="dxa"/>
            <w:tcBorders>
              <w:top w:val="single" w:color="auto" w:sz="6" w:space="0"/>
              <w:left w:val="single" w:color="auto" w:sz="6" w:space="0"/>
              <w:bottom w:val="single" w:color="auto" w:sz="6" w:space="0"/>
              <w:right w:val="single" w:color="auto" w:sz="4" w:space="0"/>
            </w:tcBorders>
            <w:vAlign w:val="center"/>
          </w:tcPr>
          <w:p w14:paraId="7DED4847">
            <w:pPr>
              <w:widowControl/>
              <w:autoSpaceDE w:val="0"/>
              <w:autoSpaceDN w:val="0"/>
              <w:adjustRightInd w:val="0"/>
              <w:spacing w:after="200" w:line="380" w:lineRule="exact"/>
              <w:jc w:val="center"/>
              <w:rPr>
                <w:rFonts w:hint="eastAsia" w:ascii="宋体" w:hAnsi="宋体" w:eastAsia="宋体" w:cs="宋体"/>
                <w:b/>
                <w:bCs/>
                <w:kern w:val="0"/>
                <w:sz w:val="24"/>
                <w:szCs w:val="24"/>
                <w:highlight w:val="none"/>
                <w:lang w:eastAsia="en-US"/>
              </w:rPr>
            </w:pPr>
          </w:p>
        </w:tc>
      </w:tr>
      <w:tr w14:paraId="6E63845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05" w:type="dxa"/>
            <w:tcBorders>
              <w:top w:val="single" w:color="auto" w:sz="6" w:space="0"/>
              <w:bottom w:val="single" w:color="auto" w:sz="6" w:space="0"/>
              <w:right w:val="single" w:color="auto" w:sz="6" w:space="0"/>
            </w:tcBorders>
            <w:vAlign w:val="center"/>
          </w:tcPr>
          <w:p w14:paraId="4FC9F3A8">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2</w:t>
            </w:r>
          </w:p>
        </w:tc>
        <w:tc>
          <w:tcPr>
            <w:tcW w:w="1847" w:type="dxa"/>
            <w:tcBorders>
              <w:top w:val="single" w:color="auto" w:sz="6" w:space="0"/>
              <w:left w:val="single" w:color="auto" w:sz="6" w:space="0"/>
              <w:bottom w:val="single" w:color="auto" w:sz="6" w:space="0"/>
              <w:right w:val="single" w:color="auto" w:sz="6" w:space="0"/>
            </w:tcBorders>
            <w:vAlign w:val="center"/>
          </w:tcPr>
          <w:p w14:paraId="551497A5">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p>
        </w:tc>
        <w:tc>
          <w:tcPr>
            <w:tcW w:w="1106" w:type="dxa"/>
            <w:tcBorders>
              <w:top w:val="single" w:color="auto" w:sz="6" w:space="0"/>
              <w:left w:val="single" w:color="auto" w:sz="6" w:space="0"/>
              <w:bottom w:val="single" w:color="auto" w:sz="6" w:space="0"/>
              <w:right w:val="single" w:color="auto" w:sz="6" w:space="0"/>
            </w:tcBorders>
            <w:vAlign w:val="center"/>
          </w:tcPr>
          <w:p w14:paraId="6C65A709">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14:paraId="241D1886">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p>
        </w:tc>
        <w:tc>
          <w:tcPr>
            <w:tcW w:w="1058" w:type="dxa"/>
            <w:tcBorders>
              <w:top w:val="single" w:color="auto" w:sz="6" w:space="0"/>
              <w:left w:val="single" w:color="auto" w:sz="6" w:space="0"/>
              <w:bottom w:val="single" w:color="auto" w:sz="6" w:space="0"/>
              <w:right w:val="single" w:color="auto" w:sz="4" w:space="0"/>
            </w:tcBorders>
            <w:vAlign w:val="center"/>
          </w:tcPr>
          <w:p w14:paraId="73EA678A">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p>
        </w:tc>
        <w:tc>
          <w:tcPr>
            <w:tcW w:w="1403" w:type="dxa"/>
            <w:tcBorders>
              <w:top w:val="single" w:color="auto" w:sz="6" w:space="0"/>
              <w:left w:val="single" w:color="auto" w:sz="6" w:space="0"/>
              <w:bottom w:val="single" w:color="auto" w:sz="6" w:space="0"/>
              <w:right w:val="single" w:color="auto" w:sz="6" w:space="0"/>
            </w:tcBorders>
          </w:tcPr>
          <w:p w14:paraId="56C5B5CC">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p>
        </w:tc>
        <w:tc>
          <w:tcPr>
            <w:tcW w:w="881" w:type="dxa"/>
            <w:tcBorders>
              <w:top w:val="single" w:color="auto" w:sz="6" w:space="0"/>
              <w:left w:val="single" w:color="auto" w:sz="6" w:space="0"/>
              <w:bottom w:val="single" w:color="auto" w:sz="6" w:space="0"/>
              <w:right w:val="single" w:color="auto" w:sz="4" w:space="0"/>
            </w:tcBorders>
            <w:vAlign w:val="center"/>
          </w:tcPr>
          <w:p w14:paraId="399F0513">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p>
        </w:tc>
      </w:tr>
      <w:tr w14:paraId="288D1C3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05" w:type="dxa"/>
            <w:tcBorders>
              <w:top w:val="single" w:color="auto" w:sz="6" w:space="0"/>
              <w:bottom w:val="single" w:color="auto" w:sz="6" w:space="0"/>
              <w:right w:val="single" w:color="auto" w:sz="6" w:space="0"/>
            </w:tcBorders>
            <w:vAlign w:val="center"/>
          </w:tcPr>
          <w:p w14:paraId="12BD28C1">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3</w:t>
            </w:r>
          </w:p>
        </w:tc>
        <w:tc>
          <w:tcPr>
            <w:tcW w:w="1847" w:type="dxa"/>
            <w:tcBorders>
              <w:top w:val="single" w:color="auto" w:sz="6" w:space="0"/>
              <w:left w:val="single" w:color="auto" w:sz="6" w:space="0"/>
              <w:bottom w:val="single" w:color="auto" w:sz="6" w:space="0"/>
              <w:right w:val="single" w:color="auto" w:sz="6" w:space="0"/>
            </w:tcBorders>
            <w:vAlign w:val="center"/>
          </w:tcPr>
          <w:p w14:paraId="14AB0C3B">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p>
        </w:tc>
        <w:tc>
          <w:tcPr>
            <w:tcW w:w="1106" w:type="dxa"/>
            <w:tcBorders>
              <w:top w:val="single" w:color="auto" w:sz="6" w:space="0"/>
              <w:left w:val="single" w:color="auto" w:sz="6" w:space="0"/>
              <w:bottom w:val="single" w:color="auto" w:sz="6" w:space="0"/>
              <w:right w:val="single" w:color="auto" w:sz="6" w:space="0"/>
            </w:tcBorders>
            <w:vAlign w:val="center"/>
          </w:tcPr>
          <w:p w14:paraId="0AC23290">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14:paraId="0AC2C5A7">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p>
        </w:tc>
        <w:tc>
          <w:tcPr>
            <w:tcW w:w="1058" w:type="dxa"/>
            <w:tcBorders>
              <w:top w:val="single" w:color="auto" w:sz="6" w:space="0"/>
              <w:left w:val="single" w:color="auto" w:sz="6" w:space="0"/>
              <w:bottom w:val="single" w:color="auto" w:sz="6" w:space="0"/>
              <w:right w:val="single" w:color="auto" w:sz="4" w:space="0"/>
            </w:tcBorders>
            <w:vAlign w:val="center"/>
          </w:tcPr>
          <w:p w14:paraId="0B82B331">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p>
        </w:tc>
        <w:tc>
          <w:tcPr>
            <w:tcW w:w="1403" w:type="dxa"/>
            <w:tcBorders>
              <w:top w:val="single" w:color="auto" w:sz="6" w:space="0"/>
              <w:left w:val="single" w:color="auto" w:sz="6" w:space="0"/>
              <w:bottom w:val="single" w:color="auto" w:sz="6" w:space="0"/>
              <w:right w:val="single" w:color="auto" w:sz="6" w:space="0"/>
            </w:tcBorders>
          </w:tcPr>
          <w:p w14:paraId="64D317CA">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p>
        </w:tc>
        <w:tc>
          <w:tcPr>
            <w:tcW w:w="881" w:type="dxa"/>
            <w:tcBorders>
              <w:top w:val="single" w:color="auto" w:sz="6" w:space="0"/>
              <w:left w:val="single" w:color="auto" w:sz="6" w:space="0"/>
              <w:bottom w:val="single" w:color="auto" w:sz="6" w:space="0"/>
              <w:right w:val="single" w:color="auto" w:sz="4" w:space="0"/>
            </w:tcBorders>
            <w:vAlign w:val="center"/>
          </w:tcPr>
          <w:p w14:paraId="27361E5B">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p>
        </w:tc>
      </w:tr>
      <w:tr w14:paraId="0F9CA91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705" w:type="dxa"/>
            <w:tcBorders>
              <w:top w:val="single" w:color="auto" w:sz="6" w:space="0"/>
              <w:bottom w:val="single" w:color="auto" w:sz="6" w:space="0"/>
              <w:right w:val="single" w:color="auto" w:sz="6" w:space="0"/>
            </w:tcBorders>
            <w:vAlign w:val="center"/>
          </w:tcPr>
          <w:p w14:paraId="6F3EABDF">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w:t>
            </w:r>
          </w:p>
        </w:tc>
        <w:tc>
          <w:tcPr>
            <w:tcW w:w="1847" w:type="dxa"/>
            <w:tcBorders>
              <w:top w:val="single" w:color="auto" w:sz="6" w:space="0"/>
              <w:left w:val="single" w:color="auto" w:sz="6" w:space="0"/>
              <w:bottom w:val="single" w:color="auto" w:sz="6" w:space="0"/>
              <w:right w:val="single" w:color="auto" w:sz="6" w:space="0"/>
            </w:tcBorders>
            <w:vAlign w:val="center"/>
          </w:tcPr>
          <w:p w14:paraId="55D2525F">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w:t>
            </w:r>
          </w:p>
        </w:tc>
        <w:tc>
          <w:tcPr>
            <w:tcW w:w="1106" w:type="dxa"/>
            <w:tcBorders>
              <w:top w:val="single" w:color="auto" w:sz="6" w:space="0"/>
              <w:left w:val="single" w:color="auto" w:sz="6" w:space="0"/>
              <w:bottom w:val="single" w:color="auto" w:sz="6" w:space="0"/>
              <w:right w:val="single" w:color="auto" w:sz="6" w:space="0"/>
            </w:tcBorders>
            <w:vAlign w:val="center"/>
          </w:tcPr>
          <w:p w14:paraId="37FFEA5C">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p>
        </w:tc>
        <w:tc>
          <w:tcPr>
            <w:tcW w:w="1020" w:type="dxa"/>
            <w:tcBorders>
              <w:top w:val="single" w:color="auto" w:sz="6" w:space="0"/>
              <w:left w:val="single" w:color="auto" w:sz="6" w:space="0"/>
              <w:bottom w:val="single" w:color="auto" w:sz="6" w:space="0"/>
              <w:right w:val="single" w:color="auto" w:sz="6" w:space="0"/>
            </w:tcBorders>
            <w:vAlign w:val="center"/>
          </w:tcPr>
          <w:p w14:paraId="12948A87">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p>
        </w:tc>
        <w:tc>
          <w:tcPr>
            <w:tcW w:w="1058" w:type="dxa"/>
            <w:tcBorders>
              <w:top w:val="single" w:color="auto" w:sz="6" w:space="0"/>
              <w:left w:val="single" w:color="auto" w:sz="6" w:space="0"/>
              <w:bottom w:val="single" w:color="auto" w:sz="6" w:space="0"/>
              <w:right w:val="single" w:color="auto" w:sz="4" w:space="0"/>
            </w:tcBorders>
            <w:vAlign w:val="center"/>
          </w:tcPr>
          <w:p w14:paraId="26B22CFE">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p>
        </w:tc>
        <w:tc>
          <w:tcPr>
            <w:tcW w:w="1403" w:type="dxa"/>
            <w:tcBorders>
              <w:top w:val="single" w:color="auto" w:sz="6" w:space="0"/>
              <w:left w:val="single" w:color="auto" w:sz="6" w:space="0"/>
              <w:bottom w:val="single" w:color="auto" w:sz="6" w:space="0"/>
              <w:right w:val="single" w:color="auto" w:sz="6" w:space="0"/>
            </w:tcBorders>
          </w:tcPr>
          <w:p w14:paraId="00387C0C">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p>
        </w:tc>
        <w:tc>
          <w:tcPr>
            <w:tcW w:w="881" w:type="dxa"/>
            <w:tcBorders>
              <w:top w:val="single" w:color="auto" w:sz="6" w:space="0"/>
              <w:left w:val="single" w:color="auto" w:sz="6" w:space="0"/>
              <w:bottom w:val="single" w:color="auto" w:sz="6" w:space="0"/>
              <w:right w:val="single" w:color="auto" w:sz="4" w:space="0"/>
            </w:tcBorders>
            <w:vAlign w:val="center"/>
          </w:tcPr>
          <w:p w14:paraId="35A14E03">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p>
        </w:tc>
      </w:tr>
      <w:tr w14:paraId="3F1FFCCF">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552" w:type="dxa"/>
            <w:gridSpan w:val="2"/>
            <w:tcBorders>
              <w:top w:val="single" w:color="auto" w:sz="6" w:space="0"/>
              <w:bottom w:val="single" w:color="auto" w:sz="6" w:space="0"/>
              <w:right w:val="single" w:color="auto" w:sz="6" w:space="0"/>
            </w:tcBorders>
            <w:vAlign w:val="center"/>
          </w:tcPr>
          <w:p w14:paraId="3C6AD2CB">
            <w:pPr>
              <w:widowControl/>
              <w:autoSpaceDE w:val="0"/>
              <w:autoSpaceDN w:val="0"/>
              <w:adjustRightInd w:val="0"/>
              <w:spacing w:after="200" w:line="276" w:lineRule="auto"/>
              <w:jc w:val="center"/>
              <w:rPr>
                <w:rFonts w:hint="eastAsia"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响应总报价</w:t>
            </w:r>
          </w:p>
        </w:tc>
        <w:tc>
          <w:tcPr>
            <w:tcW w:w="5468" w:type="dxa"/>
            <w:gridSpan w:val="5"/>
            <w:tcBorders>
              <w:top w:val="single" w:color="auto" w:sz="6" w:space="0"/>
              <w:left w:val="single" w:color="auto" w:sz="6" w:space="0"/>
              <w:bottom w:val="single" w:color="auto" w:sz="6" w:space="0"/>
              <w:right w:val="single" w:color="auto" w:sz="4" w:space="0"/>
            </w:tcBorders>
            <w:vAlign w:val="center"/>
          </w:tcPr>
          <w:p w14:paraId="33F15356">
            <w:pPr>
              <w:widowControl/>
              <w:autoSpaceDE w:val="0"/>
              <w:autoSpaceDN w:val="0"/>
              <w:adjustRightInd w:val="0"/>
              <w:spacing w:after="200" w:line="276" w:lineRule="auto"/>
              <w:jc w:val="left"/>
              <w:rPr>
                <w:rFonts w:hint="eastAsia" w:ascii="宋体" w:hAnsi="宋体" w:eastAsia="宋体" w:cs="宋体"/>
                <w:bCs/>
                <w:kern w:val="0"/>
                <w:sz w:val="24"/>
                <w:szCs w:val="24"/>
                <w:highlight w:val="none"/>
                <w:lang w:eastAsia="en-US"/>
              </w:rPr>
            </w:pPr>
            <w:r>
              <w:rPr>
                <w:rFonts w:hint="eastAsia" w:ascii="宋体" w:hAnsi="宋体" w:eastAsia="宋体" w:cs="宋体"/>
                <w:bCs/>
                <w:kern w:val="0"/>
                <w:sz w:val="24"/>
                <w:szCs w:val="24"/>
                <w:highlight w:val="none"/>
                <w:lang w:eastAsia="en-US"/>
              </w:rPr>
              <w:t>大写：       元 ； 小写：        元</w:t>
            </w:r>
          </w:p>
        </w:tc>
      </w:tr>
    </w:tbl>
    <w:p w14:paraId="5A7C8F8A">
      <w:pPr>
        <w:widowControl/>
        <w:snapToGrid w:val="0"/>
        <w:spacing w:after="200" w:line="50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注：本表报价的合计金额应与开标一览表报价一致</w:t>
      </w:r>
    </w:p>
    <w:p w14:paraId="702F50FF">
      <w:pPr>
        <w:widowControl/>
        <w:adjustRightInd w:val="0"/>
        <w:spacing w:after="200" w:line="500" w:lineRule="exact"/>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响应单位：（单位盖章）</w:t>
      </w:r>
    </w:p>
    <w:p w14:paraId="521D72DE">
      <w:pPr>
        <w:widowControl/>
        <w:adjustRightInd w:val="0"/>
        <w:spacing w:after="200" w:line="500" w:lineRule="exact"/>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法定代表人或委托代理人（签字或盖章）： </w:t>
      </w:r>
    </w:p>
    <w:p w14:paraId="7B2EDD2A">
      <w:pPr>
        <w:widowControl/>
        <w:adjustRightInd w:val="0"/>
        <w:spacing w:after="200" w:line="500" w:lineRule="exact"/>
        <w:jc w:val="left"/>
        <w:textAlignment w:val="baseline"/>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响应日期：  年  月  日</w:t>
      </w:r>
    </w:p>
    <w:p w14:paraId="48DA30B0">
      <w:pPr>
        <w:spacing w:after="200" w:line="200" w:lineRule="exact"/>
        <w:ind w:firstLine="301"/>
        <w:rPr>
          <w:rFonts w:ascii="Arial" w:hAnsi="Arial" w:eastAsia="Arial" w:cs="Times New Roman"/>
          <w:sz w:val="24"/>
          <w:szCs w:val="20"/>
          <w:highlight w:val="none"/>
        </w:rPr>
      </w:pPr>
    </w:p>
    <w:p w14:paraId="67C3F34B">
      <w:pPr>
        <w:widowControl/>
        <w:spacing w:after="200" w:line="276" w:lineRule="auto"/>
        <w:ind w:firstLine="1501" w:firstLineChars="500"/>
        <w:jc w:val="left"/>
        <w:rPr>
          <w:rFonts w:ascii="宋体" w:hAnsi="宋体" w:eastAsia="Arial" w:cs="Times New Roman"/>
          <w:b/>
          <w:kern w:val="0"/>
          <w:sz w:val="30"/>
          <w:szCs w:val="30"/>
          <w:highlight w:val="none"/>
        </w:rPr>
      </w:pPr>
    </w:p>
    <w:p w14:paraId="33E22C10">
      <w:pPr>
        <w:widowControl/>
        <w:spacing w:after="200" w:line="276" w:lineRule="auto"/>
        <w:ind w:firstLine="1501" w:firstLineChars="500"/>
        <w:jc w:val="left"/>
        <w:rPr>
          <w:rFonts w:ascii="宋体" w:hAnsi="宋体" w:eastAsia="Arial" w:cs="Times New Roman"/>
          <w:b/>
          <w:kern w:val="0"/>
          <w:sz w:val="30"/>
          <w:szCs w:val="30"/>
          <w:highlight w:val="none"/>
        </w:rPr>
      </w:pPr>
    </w:p>
    <w:p w14:paraId="3F2388F2">
      <w:pPr>
        <w:widowControl/>
        <w:spacing w:after="200" w:line="276" w:lineRule="auto"/>
        <w:ind w:firstLine="1501" w:firstLineChars="500"/>
        <w:jc w:val="left"/>
        <w:rPr>
          <w:rFonts w:ascii="宋体" w:hAnsi="宋体" w:eastAsia="Arial" w:cs="Times New Roman"/>
          <w:b/>
          <w:kern w:val="0"/>
          <w:sz w:val="30"/>
          <w:szCs w:val="30"/>
          <w:highlight w:val="none"/>
        </w:rPr>
      </w:pPr>
    </w:p>
    <w:p w14:paraId="4B75FCFB">
      <w:pPr>
        <w:widowControl/>
        <w:spacing w:after="200" w:line="276" w:lineRule="auto"/>
        <w:ind w:firstLine="1501" w:firstLineChars="500"/>
        <w:jc w:val="left"/>
        <w:rPr>
          <w:rFonts w:ascii="宋体" w:hAnsi="宋体" w:eastAsia="Arial" w:cs="Times New Roman"/>
          <w:b/>
          <w:kern w:val="0"/>
          <w:sz w:val="30"/>
          <w:szCs w:val="30"/>
          <w:highlight w:val="none"/>
        </w:rPr>
      </w:pPr>
    </w:p>
    <w:p w14:paraId="38A45D7D">
      <w:pPr>
        <w:widowControl/>
        <w:spacing w:after="200" w:line="276" w:lineRule="auto"/>
        <w:ind w:firstLine="1501" w:firstLineChars="500"/>
        <w:jc w:val="left"/>
        <w:rPr>
          <w:rFonts w:ascii="宋体" w:hAnsi="宋体" w:eastAsia="Arial" w:cs="Times New Roman"/>
          <w:b/>
          <w:kern w:val="0"/>
          <w:sz w:val="30"/>
          <w:szCs w:val="30"/>
          <w:highlight w:val="none"/>
        </w:rPr>
      </w:pPr>
    </w:p>
    <w:p w14:paraId="6A47DAC9">
      <w:pPr>
        <w:widowControl/>
        <w:spacing w:after="200" w:line="276" w:lineRule="auto"/>
        <w:ind w:firstLine="1501" w:firstLineChars="500"/>
        <w:jc w:val="left"/>
        <w:rPr>
          <w:rFonts w:ascii="宋体" w:hAnsi="宋体" w:eastAsia="Arial" w:cs="Times New Roman"/>
          <w:b/>
          <w:kern w:val="0"/>
          <w:sz w:val="22"/>
          <w:szCs w:val="24"/>
          <w:highlight w:val="none"/>
        </w:rPr>
      </w:pPr>
      <w:r>
        <w:rPr>
          <w:rFonts w:hint="eastAsia" w:ascii="宋体" w:hAnsi="宋体" w:eastAsia="Arial" w:cs="Times New Roman"/>
          <w:b/>
          <w:kern w:val="0"/>
          <w:sz w:val="30"/>
          <w:szCs w:val="30"/>
          <w:highlight w:val="none"/>
        </w:rPr>
        <w:t>（二）响应报价合理性说明（如有）</w:t>
      </w:r>
    </w:p>
    <w:bookmarkEnd w:id="7"/>
    <w:p w14:paraId="43CE8ED3">
      <w:pPr>
        <w:spacing w:line="42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注：根据财政部《关于推动解决政府采购异常低价问题的通知》（财库〔2026〕2号） ，若投标人的投标（响应）报价满足以下任一条件：</w:t>
      </w:r>
    </w:p>
    <w:p w14:paraId="4155F5B4">
      <w:pPr>
        <w:spacing w:line="42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1）</w:t>
      </w:r>
      <w:r>
        <w:rPr>
          <w:rFonts w:hint="eastAsia" w:ascii="宋体" w:hAnsi="宋体" w:eastAsia="宋体" w:cs="宋体"/>
          <w:b/>
          <w:bCs/>
          <w:sz w:val="24"/>
          <w:szCs w:val="24"/>
          <w:highlight w:val="none"/>
        </w:rPr>
        <w:t>投标（响应）报价低于全部通过符合性审查供应商投标（响应）报价平均值50%的，即投标（响应）报价&lt;全部通过符合性审查供应商投标（响应）报价平均值×50%；</w:t>
      </w:r>
    </w:p>
    <w:p w14:paraId="7344AE5B">
      <w:pPr>
        <w:spacing w:line="420" w:lineRule="exact"/>
        <w:ind w:firstLine="482" w:firstLineChars="200"/>
        <w:rPr>
          <w:rFonts w:hint="eastAsia" w:ascii="宋体" w:hAnsi="宋体" w:eastAsia="宋体" w:cs="宋体"/>
          <w:b/>
          <w:sz w:val="24"/>
          <w:szCs w:val="24"/>
          <w:highlight w:val="none"/>
        </w:rPr>
      </w:pPr>
      <w:r>
        <w:rPr>
          <w:rFonts w:hint="eastAsia" w:ascii="宋体" w:hAnsi="宋体" w:eastAsia="宋体" w:cs="宋体"/>
          <w:b/>
          <w:sz w:val="24"/>
          <w:szCs w:val="24"/>
          <w:highlight w:val="none"/>
        </w:rPr>
        <w:t>2）</w:t>
      </w:r>
      <w:r>
        <w:rPr>
          <w:rFonts w:hint="eastAsia" w:ascii="宋体" w:hAnsi="宋体" w:eastAsia="宋体" w:cs="宋体"/>
          <w:b/>
          <w:bCs/>
          <w:sz w:val="24"/>
          <w:szCs w:val="24"/>
          <w:highlight w:val="none"/>
        </w:rPr>
        <w:t>投标（响应）报价低于通过符合性审查的次低报价供应商投标（响应）报价50%的，即投标（响应）报价&lt;通过符合性审查的次低报价供应商投标（响应）报价×50%</w:t>
      </w:r>
      <w:r>
        <w:rPr>
          <w:rFonts w:hint="eastAsia" w:ascii="宋体" w:hAnsi="宋体" w:eastAsia="宋体" w:cs="宋体"/>
          <w:b/>
          <w:sz w:val="24"/>
          <w:szCs w:val="24"/>
          <w:highlight w:val="none"/>
        </w:rPr>
        <w:t>；</w:t>
      </w:r>
    </w:p>
    <w:p w14:paraId="5E854E73">
      <w:pPr>
        <w:adjustRightInd w:val="0"/>
        <w:spacing w:line="500" w:lineRule="exact"/>
        <w:ind w:firstLine="482" w:firstLineChars="200"/>
        <w:textAlignment w:val="baseline"/>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3）投标（响应）报价低于采购项目最高限价45%的，即投标（响应）报价&lt;采购项目最高限价×45%；</w:t>
      </w:r>
      <w:r>
        <w:rPr>
          <w:rFonts w:hint="eastAsia" w:ascii="宋体" w:hAnsi="宋体" w:eastAsia="宋体" w:cs="宋体"/>
          <w:b/>
          <w:bCs/>
          <w:sz w:val="24"/>
          <w:szCs w:val="24"/>
          <w:highlight w:val="none"/>
        </w:rPr>
        <w:br w:type="textWrapping"/>
      </w:r>
      <w:r>
        <w:rPr>
          <w:rFonts w:hint="eastAsia" w:ascii="宋体" w:hAnsi="宋体" w:eastAsia="宋体" w:cs="宋体"/>
          <w:b/>
          <w:bCs/>
          <w:sz w:val="24"/>
          <w:szCs w:val="24"/>
          <w:highlight w:val="none"/>
        </w:rPr>
        <w:t xml:space="preserve">    4）评审委员会基于专业判断，认为供应商报价过低，有可能影响产品质量或者不能诚信履约的其他情形。</w:t>
      </w:r>
      <w:r>
        <w:rPr>
          <w:rFonts w:hint="eastAsia" w:ascii="宋体" w:hAnsi="宋体" w:eastAsia="宋体" w:cs="宋体"/>
          <w:b/>
          <w:bCs/>
          <w:sz w:val="24"/>
          <w:szCs w:val="24"/>
          <w:highlight w:val="none"/>
        </w:rPr>
        <w:br w:type="textWrapping"/>
      </w:r>
      <w:r>
        <w:rPr>
          <w:rFonts w:hint="eastAsia" w:ascii="宋体" w:hAnsi="宋体" w:eastAsia="宋体" w:cs="宋体"/>
          <w:b/>
          <w:bCs/>
          <w:sz w:val="24"/>
          <w:szCs w:val="24"/>
          <w:highlight w:val="none"/>
        </w:rPr>
        <w:t xml:space="preserve">    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3C0D876E">
      <w:pPr>
        <w:adjustRightInd w:val="0"/>
        <w:spacing w:line="500" w:lineRule="exact"/>
        <w:textAlignment w:val="baseline"/>
        <w:rPr>
          <w:rFonts w:hint="eastAsia" w:ascii="宋体" w:hAnsi="宋体" w:eastAsia="宋体" w:cs="宋体"/>
          <w:b/>
          <w:bCs/>
          <w:sz w:val="24"/>
          <w:szCs w:val="24"/>
          <w:highlight w:val="none"/>
        </w:rPr>
      </w:pPr>
    </w:p>
    <w:p w14:paraId="1D73C163">
      <w:pPr>
        <w:widowControl/>
        <w:snapToGrid w:val="0"/>
        <w:spacing w:after="200" w:line="50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投标单位：（公章）</w:t>
      </w:r>
    </w:p>
    <w:p w14:paraId="73CD157A">
      <w:pPr>
        <w:widowControl/>
        <w:snapToGrid w:val="0"/>
        <w:spacing w:after="200" w:line="50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法定代表人或委托代理人（签字或盖章）： </w:t>
      </w:r>
    </w:p>
    <w:p w14:paraId="60E467A1">
      <w:pPr>
        <w:widowControl/>
        <w:snapToGrid w:val="0"/>
        <w:spacing w:after="200" w:line="50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日期：      年     月     日</w:t>
      </w:r>
    </w:p>
    <w:p w14:paraId="3D47D3F5">
      <w:pPr>
        <w:widowControl/>
        <w:snapToGrid w:val="0"/>
        <w:spacing w:after="200" w:line="500" w:lineRule="exact"/>
        <w:jc w:val="left"/>
        <w:rPr>
          <w:rFonts w:ascii="宋体" w:hAnsi="宋体" w:eastAsia="Arial" w:cs="Times New Roman"/>
          <w:b/>
          <w:bCs/>
          <w:kern w:val="0"/>
          <w:sz w:val="22"/>
          <w:szCs w:val="24"/>
          <w:highlight w:val="none"/>
        </w:rPr>
      </w:pPr>
      <w:r>
        <w:rPr>
          <w:rFonts w:hint="eastAsia" w:ascii="宋体" w:hAnsi="宋体" w:eastAsia="宋体" w:cs="宋体"/>
          <w:kern w:val="0"/>
          <w:sz w:val="24"/>
          <w:szCs w:val="24"/>
          <w:highlight w:val="none"/>
        </w:rPr>
        <w:br w:type="page"/>
      </w:r>
      <w:bookmarkEnd w:id="8"/>
      <w:r>
        <w:rPr>
          <w:rFonts w:hint="eastAsia" w:ascii="宋体" w:hAnsi="宋体" w:eastAsia="Arial" w:cs="Times New Roman"/>
          <w:b/>
          <w:bCs/>
          <w:kern w:val="0"/>
          <w:sz w:val="32"/>
          <w:szCs w:val="32"/>
          <w:highlight w:val="none"/>
        </w:rPr>
        <w:t>8、服务要求偏离表</w:t>
      </w:r>
    </w:p>
    <w:p w14:paraId="3AFD7ADC">
      <w:pPr>
        <w:widowControl/>
        <w:spacing w:after="200" w:line="360" w:lineRule="auto"/>
        <w:jc w:val="center"/>
        <w:rPr>
          <w:rFonts w:ascii="宋体" w:hAnsi="宋体" w:eastAsia="Arial" w:cs="Times New Roman"/>
          <w:kern w:val="0"/>
          <w:sz w:val="22"/>
          <w:highlight w:val="none"/>
          <w:lang w:eastAsia="en-US"/>
        </w:rPr>
      </w:pPr>
      <w:r>
        <w:rPr>
          <w:rFonts w:hint="eastAsia" w:ascii="宋体" w:hAnsi="宋体" w:eastAsia="Arial" w:cs="宋体"/>
          <w:b/>
          <w:kern w:val="0"/>
          <w:sz w:val="30"/>
          <w:szCs w:val="30"/>
          <w:highlight w:val="none"/>
          <w:lang w:eastAsia="en-US"/>
        </w:rPr>
        <w:t>服务要求偏离表</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2010"/>
        <w:gridCol w:w="2526"/>
        <w:gridCol w:w="1843"/>
        <w:gridCol w:w="1559"/>
      </w:tblGrid>
      <w:tr w14:paraId="3D3EB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959" w:type="dxa"/>
            <w:vAlign w:val="center"/>
          </w:tcPr>
          <w:p w14:paraId="5AEF527E">
            <w:pPr>
              <w:widowControl/>
              <w:spacing w:after="200" w:line="42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序号</w:t>
            </w:r>
          </w:p>
        </w:tc>
        <w:tc>
          <w:tcPr>
            <w:tcW w:w="2010" w:type="dxa"/>
            <w:vAlign w:val="center"/>
          </w:tcPr>
          <w:p w14:paraId="69D6D899">
            <w:pPr>
              <w:widowControl/>
              <w:spacing w:after="200" w:line="42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内容</w:t>
            </w:r>
          </w:p>
        </w:tc>
        <w:tc>
          <w:tcPr>
            <w:tcW w:w="2526" w:type="dxa"/>
            <w:vAlign w:val="center"/>
          </w:tcPr>
          <w:p w14:paraId="5E7ECE87">
            <w:pPr>
              <w:widowControl/>
              <w:spacing w:after="200" w:line="42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采购文件</w:t>
            </w:r>
          </w:p>
          <w:p w14:paraId="0D5431FA">
            <w:pPr>
              <w:widowControl/>
              <w:spacing w:after="200" w:line="42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技术要求</w:t>
            </w:r>
          </w:p>
        </w:tc>
        <w:tc>
          <w:tcPr>
            <w:tcW w:w="1843" w:type="dxa"/>
            <w:vAlign w:val="center"/>
          </w:tcPr>
          <w:p w14:paraId="73A3D6E1">
            <w:pPr>
              <w:widowControl/>
              <w:spacing w:after="200" w:line="42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响应文件</w:t>
            </w:r>
          </w:p>
          <w:p w14:paraId="3270E11C">
            <w:pPr>
              <w:widowControl/>
              <w:spacing w:after="200" w:line="42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响应要求</w:t>
            </w:r>
          </w:p>
        </w:tc>
        <w:tc>
          <w:tcPr>
            <w:tcW w:w="1559" w:type="dxa"/>
            <w:vAlign w:val="center"/>
          </w:tcPr>
          <w:p w14:paraId="2EB0BA01">
            <w:pPr>
              <w:widowControl/>
              <w:spacing w:after="200" w:line="42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 xml:space="preserve"> 偏离情况</w:t>
            </w:r>
          </w:p>
        </w:tc>
      </w:tr>
      <w:tr w14:paraId="24F8C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043B797A">
            <w:pPr>
              <w:widowControl/>
              <w:spacing w:after="200" w:line="40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1</w:t>
            </w:r>
          </w:p>
        </w:tc>
        <w:tc>
          <w:tcPr>
            <w:tcW w:w="2010" w:type="dxa"/>
            <w:vAlign w:val="center"/>
          </w:tcPr>
          <w:p w14:paraId="12C60A2D">
            <w:pPr>
              <w:widowControl/>
              <w:spacing w:after="200" w:line="400" w:lineRule="atLeast"/>
              <w:jc w:val="center"/>
              <w:rPr>
                <w:rFonts w:ascii="宋体" w:hAnsi="宋体" w:eastAsia="Arial" w:cs="Times New Roman"/>
                <w:kern w:val="0"/>
                <w:sz w:val="22"/>
                <w:highlight w:val="none"/>
                <w:lang w:eastAsia="en-US"/>
              </w:rPr>
            </w:pPr>
          </w:p>
        </w:tc>
        <w:tc>
          <w:tcPr>
            <w:tcW w:w="2526" w:type="dxa"/>
            <w:vAlign w:val="center"/>
          </w:tcPr>
          <w:p w14:paraId="563991BE">
            <w:pPr>
              <w:widowControl/>
              <w:spacing w:after="200" w:line="400" w:lineRule="atLeast"/>
              <w:jc w:val="center"/>
              <w:rPr>
                <w:rFonts w:ascii="宋体" w:hAnsi="宋体" w:eastAsia="Arial" w:cs="Times New Roman"/>
                <w:kern w:val="0"/>
                <w:sz w:val="22"/>
                <w:highlight w:val="none"/>
                <w:lang w:eastAsia="en-US"/>
              </w:rPr>
            </w:pPr>
          </w:p>
        </w:tc>
        <w:tc>
          <w:tcPr>
            <w:tcW w:w="1843" w:type="dxa"/>
            <w:vAlign w:val="center"/>
          </w:tcPr>
          <w:p w14:paraId="5EFA0661">
            <w:pPr>
              <w:widowControl/>
              <w:spacing w:after="200" w:line="400" w:lineRule="atLeast"/>
              <w:jc w:val="center"/>
              <w:rPr>
                <w:rFonts w:ascii="宋体" w:hAnsi="宋体" w:eastAsia="Arial" w:cs="Times New Roman"/>
                <w:kern w:val="0"/>
                <w:sz w:val="22"/>
                <w:highlight w:val="none"/>
                <w:lang w:eastAsia="en-US"/>
              </w:rPr>
            </w:pPr>
          </w:p>
        </w:tc>
        <w:tc>
          <w:tcPr>
            <w:tcW w:w="1559" w:type="dxa"/>
            <w:vAlign w:val="center"/>
          </w:tcPr>
          <w:p w14:paraId="397189C8">
            <w:pPr>
              <w:widowControl/>
              <w:spacing w:after="200" w:line="400" w:lineRule="atLeast"/>
              <w:jc w:val="center"/>
              <w:rPr>
                <w:rFonts w:ascii="宋体" w:hAnsi="宋体" w:eastAsia="Arial" w:cs="Times New Roman"/>
                <w:kern w:val="0"/>
                <w:sz w:val="22"/>
                <w:highlight w:val="none"/>
                <w:lang w:eastAsia="en-US"/>
              </w:rPr>
            </w:pPr>
          </w:p>
        </w:tc>
      </w:tr>
      <w:tr w14:paraId="7B68E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6A827FEA">
            <w:pPr>
              <w:widowControl/>
              <w:spacing w:after="200" w:line="40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2</w:t>
            </w:r>
          </w:p>
        </w:tc>
        <w:tc>
          <w:tcPr>
            <w:tcW w:w="2010" w:type="dxa"/>
            <w:vAlign w:val="center"/>
          </w:tcPr>
          <w:p w14:paraId="119D9F3B">
            <w:pPr>
              <w:widowControl/>
              <w:spacing w:after="200" w:line="400" w:lineRule="atLeast"/>
              <w:jc w:val="center"/>
              <w:rPr>
                <w:rFonts w:ascii="宋体" w:hAnsi="宋体" w:eastAsia="Arial" w:cs="Times New Roman"/>
                <w:kern w:val="0"/>
                <w:sz w:val="22"/>
                <w:highlight w:val="none"/>
                <w:lang w:eastAsia="en-US"/>
              </w:rPr>
            </w:pPr>
          </w:p>
        </w:tc>
        <w:tc>
          <w:tcPr>
            <w:tcW w:w="2526" w:type="dxa"/>
            <w:vAlign w:val="center"/>
          </w:tcPr>
          <w:p w14:paraId="28909853">
            <w:pPr>
              <w:widowControl/>
              <w:spacing w:after="200" w:line="400" w:lineRule="atLeast"/>
              <w:jc w:val="center"/>
              <w:rPr>
                <w:rFonts w:ascii="宋体" w:hAnsi="宋体" w:eastAsia="Arial" w:cs="Times New Roman"/>
                <w:kern w:val="0"/>
                <w:sz w:val="22"/>
                <w:highlight w:val="none"/>
                <w:lang w:eastAsia="en-US"/>
              </w:rPr>
            </w:pPr>
          </w:p>
        </w:tc>
        <w:tc>
          <w:tcPr>
            <w:tcW w:w="1843" w:type="dxa"/>
            <w:vAlign w:val="center"/>
          </w:tcPr>
          <w:p w14:paraId="450A7F2F">
            <w:pPr>
              <w:widowControl/>
              <w:spacing w:after="200" w:line="400" w:lineRule="atLeast"/>
              <w:jc w:val="center"/>
              <w:rPr>
                <w:rFonts w:ascii="宋体" w:hAnsi="宋体" w:eastAsia="Arial" w:cs="Times New Roman"/>
                <w:kern w:val="0"/>
                <w:sz w:val="22"/>
                <w:highlight w:val="none"/>
                <w:lang w:eastAsia="en-US"/>
              </w:rPr>
            </w:pPr>
          </w:p>
        </w:tc>
        <w:tc>
          <w:tcPr>
            <w:tcW w:w="1559" w:type="dxa"/>
            <w:vAlign w:val="center"/>
          </w:tcPr>
          <w:p w14:paraId="4322E840">
            <w:pPr>
              <w:widowControl/>
              <w:spacing w:after="200" w:line="400" w:lineRule="atLeast"/>
              <w:jc w:val="center"/>
              <w:rPr>
                <w:rFonts w:ascii="宋体" w:hAnsi="宋体" w:eastAsia="Arial" w:cs="Times New Roman"/>
                <w:kern w:val="0"/>
                <w:sz w:val="22"/>
                <w:highlight w:val="none"/>
                <w:lang w:eastAsia="en-US"/>
              </w:rPr>
            </w:pPr>
          </w:p>
        </w:tc>
      </w:tr>
      <w:tr w14:paraId="22F9E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B5BD268">
            <w:pPr>
              <w:widowControl/>
              <w:spacing w:after="200" w:line="40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3</w:t>
            </w:r>
          </w:p>
        </w:tc>
        <w:tc>
          <w:tcPr>
            <w:tcW w:w="2010" w:type="dxa"/>
            <w:vAlign w:val="center"/>
          </w:tcPr>
          <w:p w14:paraId="5ECD548D">
            <w:pPr>
              <w:widowControl/>
              <w:spacing w:after="200" w:line="400" w:lineRule="atLeast"/>
              <w:jc w:val="center"/>
              <w:rPr>
                <w:rFonts w:ascii="宋体" w:hAnsi="宋体" w:eastAsia="Arial" w:cs="Times New Roman"/>
                <w:kern w:val="0"/>
                <w:sz w:val="22"/>
                <w:highlight w:val="none"/>
                <w:lang w:eastAsia="en-US"/>
              </w:rPr>
            </w:pPr>
          </w:p>
        </w:tc>
        <w:tc>
          <w:tcPr>
            <w:tcW w:w="2526" w:type="dxa"/>
            <w:vAlign w:val="center"/>
          </w:tcPr>
          <w:p w14:paraId="5B7BDF5D">
            <w:pPr>
              <w:widowControl/>
              <w:spacing w:after="200" w:line="400" w:lineRule="atLeast"/>
              <w:jc w:val="center"/>
              <w:rPr>
                <w:rFonts w:ascii="宋体" w:hAnsi="宋体" w:eastAsia="Arial" w:cs="Times New Roman"/>
                <w:kern w:val="0"/>
                <w:sz w:val="22"/>
                <w:highlight w:val="none"/>
                <w:lang w:eastAsia="en-US"/>
              </w:rPr>
            </w:pPr>
          </w:p>
        </w:tc>
        <w:tc>
          <w:tcPr>
            <w:tcW w:w="1843" w:type="dxa"/>
            <w:vAlign w:val="center"/>
          </w:tcPr>
          <w:p w14:paraId="6AF52D6C">
            <w:pPr>
              <w:widowControl/>
              <w:spacing w:after="200" w:line="400" w:lineRule="atLeast"/>
              <w:jc w:val="center"/>
              <w:rPr>
                <w:rFonts w:ascii="宋体" w:hAnsi="宋体" w:eastAsia="Arial" w:cs="Times New Roman"/>
                <w:kern w:val="0"/>
                <w:sz w:val="22"/>
                <w:highlight w:val="none"/>
                <w:lang w:eastAsia="en-US"/>
              </w:rPr>
            </w:pPr>
          </w:p>
        </w:tc>
        <w:tc>
          <w:tcPr>
            <w:tcW w:w="1559" w:type="dxa"/>
            <w:vAlign w:val="center"/>
          </w:tcPr>
          <w:p w14:paraId="281B3190">
            <w:pPr>
              <w:widowControl/>
              <w:spacing w:after="200" w:line="400" w:lineRule="atLeast"/>
              <w:jc w:val="center"/>
              <w:rPr>
                <w:rFonts w:ascii="宋体" w:hAnsi="宋体" w:eastAsia="Arial" w:cs="Times New Roman"/>
                <w:kern w:val="0"/>
                <w:sz w:val="22"/>
                <w:highlight w:val="none"/>
                <w:lang w:eastAsia="en-US"/>
              </w:rPr>
            </w:pPr>
          </w:p>
        </w:tc>
      </w:tr>
      <w:tr w14:paraId="3B31B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71C9F1AA">
            <w:pPr>
              <w:widowControl/>
              <w:spacing w:after="200" w:line="40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4</w:t>
            </w:r>
          </w:p>
        </w:tc>
        <w:tc>
          <w:tcPr>
            <w:tcW w:w="2010" w:type="dxa"/>
            <w:vAlign w:val="center"/>
          </w:tcPr>
          <w:p w14:paraId="37AD71DD">
            <w:pPr>
              <w:widowControl/>
              <w:spacing w:after="200" w:line="400" w:lineRule="atLeast"/>
              <w:jc w:val="center"/>
              <w:rPr>
                <w:rFonts w:ascii="宋体" w:hAnsi="宋体" w:eastAsia="Arial" w:cs="Times New Roman"/>
                <w:kern w:val="0"/>
                <w:sz w:val="22"/>
                <w:highlight w:val="none"/>
                <w:lang w:eastAsia="en-US"/>
              </w:rPr>
            </w:pPr>
          </w:p>
        </w:tc>
        <w:tc>
          <w:tcPr>
            <w:tcW w:w="2526" w:type="dxa"/>
            <w:vAlign w:val="center"/>
          </w:tcPr>
          <w:p w14:paraId="7CB59BBD">
            <w:pPr>
              <w:widowControl/>
              <w:spacing w:after="200" w:line="400" w:lineRule="atLeast"/>
              <w:jc w:val="center"/>
              <w:rPr>
                <w:rFonts w:ascii="宋体" w:hAnsi="宋体" w:eastAsia="Arial" w:cs="Times New Roman"/>
                <w:kern w:val="0"/>
                <w:sz w:val="22"/>
                <w:highlight w:val="none"/>
                <w:lang w:eastAsia="en-US"/>
              </w:rPr>
            </w:pPr>
          </w:p>
        </w:tc>
        <w:tc>
          <w:tcPr>
            <w:tcW w:w="1843" w:type="dxa"/>
            <w:vAlign w:val="center"/>
          </w:tcPr>
          <w:p w14:paraId="13E51C3E">
            <w:pPr>
              <w:widowControl/>
              <w:spacing w:after="200" w:line="400" w:lineRule="atLeast"/>
              <w:jc w:val="center"/>
              <w:rPr>
                <w:rFonts w:ascii="宋体" w:hAnsi="宋体" w:eastAsia="Arial" w:cs="Times New Roman"/>
                <w:kern w:val="0"/>
                <w:sz w:val="22"/>
                <w:highlight w:val="none"/>
                <w:lang w:eastAsia="en-US"/>
              </w:rPr>
            </w:pPr>
          </w:p>
        </w:tc>
        <w:tc>
          <w:tcPr>
            <w:tcW w:w="1559" w:type="dxa"/>
            <w:vAlign w:val="center"/>
          </w:tcPr>
          <w:p w14:paraId="4B8F793E">
            <w:pPr>
              <w:widowControl/>
              <w:spacing w:after="200" w:line="400" w:lineRule="atLeast"/>
              <w:jc w:val="center"/>
              <w:rPr>
                <w:rFonts w:ascii="宋体" w:hAnsi="宋体" w:eastAsia="Arial" w:cs="Times New Roman"/>
                <w:kern w:val="0"/>
                <w:sz w:val="22"/>
                <w:highlight w:val="none"/>
                <w:lang w:eastAsia="en-US"/>
              </w:rPr>
            </w:pPr>
          </w:p>
        </w:tc>
      </w:tr>
      <w:tr w14:paraId="54CC8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41D93A8">
            <w:pPr>
              <w:widowControl/>
              <w:spacing w:after="200" w:line="40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5</w:t>
            </w:r>
          </w:p>
        </w:tc>
        <w:tc>
          <w:tcPr>
            <w:tcW w:w="2010" w:type="dxa"/>
            <w:vAlign w:val="center"/>
          </w:tcPr>
          <w:p w14:paraId="048FB07D">
            <w:pPr>
              <w:widowControl/>
              <w:spacing w:after="200" w:line="400" w:lineRule="atLeast"/>
              <w:jc w:val="center"/>
              <w:rPr>
                <w:rFonts w:ascii="宋体" w:hAnsi="宋体" w:eastAsia="Arial" w:cs="Times New Roman"/>
                <w:kern w:val="0"/>
                <w:sz w:val="22"/>
                <w:highlight w:val="none"/>
                <w:lang w:eastAsia="en-US"/>
              </w:rPr>
            </w:pPr>
          </w:p>
        </w:tc>
        <w:tc>
          <w:tcPr>
            <w:tcW w:w="2526" w:type="dxa"/>
            <w:vAlign w:val="center"/>
          </w:tcPr>
          <w:p w14:paraId="50C14A79">
            <w:pPr>
              <w:widowControl/>
              <w:spacing w:after="200" w:line="400" w:lineRule="atLeast"/>
              <w:jc w:val="center"/>
              <w:rPr>
                <w:rFonts w:ascii="宋体" w:hAnsi="宋体" w:eastAsia="Arial" w:cs="Times New Roman"/>
                <w:kern w:val="0"/>
                <w:sz w:val="22"/>
                <w:highlight w:val="none"/>
                <w:lang w:eastAsia="en-US"/>
              </w:rPr>
            </w:pPr>
          </w:p>
        </w:tc>
        <w:tc>
          <w:tcPr>
            <w:tcW w:w="1843" w:type="dxa"/>
            <w:vAlign w:val="center"/>
          </w:tcPr>
          <w:p w14:paraId="34F027C0">
            <w:pPr>
              <w:widowControl/>
              <w:spacing w:after="200" w:line="400" w:lineRule="atLeast"/>
              <w:jc w:val="center"/>
              <w:rPr>
                <w:rFonts w:ascii="宋体" w:hAnsi="宋体" w:eastAsia="Arial" w:cs="Times New Roman"/>
                <w:kern w:val="0"/>
                <w:sz w:val="22"/>
                <w:highlight w:val="none"/>
                <w:lang w:eastAsia="en-US"/>
              </w:rPr>
            </w:pPr>
          </w:p>
        </w:tc>
        <w:tc>
          <w:tcPr>
            <w:tcW w:w="1559" w:type="dxa"/>
            <w:vAlign w:val="center"/>
          </w:tcPr>
          <w:p w14:paraId="2BB661B5">
            <w:pPr>
              <w:widowControl/>
              <w:spacing w:after="200" w:line="400" w:lineRule="atLeast"/>
              <w:jc w:val="center"/>
              <w:rPr>
                <w:rFonts w:ascii="宋体" w:hAnsi="宋体" w:eastAsia="Arial" w:cs="Times New Roman"/>
                <w:kern w:val="0"/>
                <w:sz w:val="22"/>
                <w:highlight w:val="none"/>
                <w:lang w:eastAsia="en-US"/>
              </w:rPr>
            </w:pPr>
          </w:p>
        </w:tc>
      </w:tr>
      <w:tr w14:paraId="614C5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4137E860">
            <w:pPr>
              <w:widowControl/>
              <w:spacing w:after="200" w:line="40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6</w:t>
            </w:r>
          </w:p>
        </w:tc>
        <w:tc>
          <w:tcPr>
            <w:tcW w:w="2010" w:type="dxa"/>
            <w:vAlign w:val="center"/>
          </w:tcPr>
          <w:p w14:paraId="66BF01C1">
            <w:pPr>
              <w:widowControl/>
              <w:spacing w:after="200" w:line="400" w:lineRule="atLeast"/>
              <w:jc w:val="center"/>
              <w:rPr>
                <w:rFonts w:ascii="宋体" w:hAnsi="宋体" w:eastAsia="Arial" w:cs="Times New Roman"/>
                <w:kern w:val="0"/>
                <w:sz w:val="22"/>
                <w:highlight w:val="none"/>
                <w:lang w:eastAsia="en-US"/>
              </w:rPr>
            </w:pPr>
          </w:p>
        </w:tc>
        <w:tc>
          <w:tcPr>
            <w:tcW w:w="2526" w:type="dxa"/>
            <w:vAlign w:val="center"/>
          </w:tcPr>
          <w:p w14:paraId="6B6B02A2">
            <w:pPr>
              <w:widowControl/>
              <w:spacing w:after="200" w:line="400" w:lineRule="atLeast"/>
              <w:jc w:val="center"/>
              <w:rPr>
                <w:rFonts w:ascii="宋体" w:hAnsi="宋体" w:eastAsia="Arial" w:cs="Times New Roman"/>
                <w:kern w:val="0"/>
                <w:sz w:val="22"/>
                <w:highlight w:val="none"/>
                <w:lang w:eastAsia="en-US"/>
              </w:rPr>
            </w:pPr>
          </w:p>
        </w:tc>
        <w:tc>
          <w:tcPr>
            <w:tcW w:w="1843" w:type="dxa"/>
            <w:vAlign w:val="center"/>
          </w:tcPr>
          <w:p w14:paraId="1D357F6D">
            <w:pPr>
              <w:widowControl/>
              <w:spacing w:after="200" w:line="400" w:lineRule="atLeast"/>
              <w:jc w:val="center"/>
              <w:rPr>
                <w:rFonts w:ascii="宋体" w:hAnsi="宋体" w:eastAsia="Arial" w:cs="Times New Roman"/>
                <w:kern w:val="0"/>
                <w:sz w:val="22"/>
                <w:highlight w:val="none"/>
                <w:lang w:eastAsia="en-US"/>
              </w:rPr>
            </w:pPr>
          </w:p>
        </w:tc>
        <w:tc>
          <w:tcPr>
            <w:tcW w:w="1559" w:type="dxa"/>
            <w:vAlign w:val="center"/>
          </w:tcPr>
          <w:p w14:paraId="10448432">
            <w:pPr>
              <w:widowControl/>
              <w:spacing w:after="200" w:line="400" w:lineRule="atLeast"/>
              <w:jc w:val="center"/>
              <w:rPr>
                <w:rFonts w:ascii="宋体" w:hAnsi="宋体" w:eastAsia="Arial" w:cs="Times New Roman"/>
                <w:kern w:val="0"/>
                <w:sz w:val="22"/>
                <w:highlight w:val="none"/>
                <w:lang w:eastAsia="en-US"/>
              </w:rPr>
            </w:pPr>
          </w:p>
        </w:tc>
      </w:tr>
      <w:tr w14:paraId="64FB7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1A1BEF36">
            <w:pPr>
              <w:widowControl/>
              <w:spacing w:after="200" w:line="40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7</w:t>
            </w:r>
          </w:p>
        </w:tc>
        <w:tc>
          <w:tcPr>
            <w:tcW w:w="2010" w:type="dxa"/>
            <w:vAlign w:val="center"/>
          </w:tcPr>
          <w:p w14:paraId="0E174A20">
            <w:pPr>
              <w:widowControl/>
              <w:spacing w:after="200" w:line="400" w:lineRule="atLeast"/>
              <w:jc w:val="center"/>
              <w:rPr>
                <w:rFonts w:ascii="宋体" w:hAnsi="宋体" w:eastAsia="Arial" w:cs="Times New Roman"/>
                <w:kern w:val="0"/>
                <w:sz w:val="22"/>
                <w:highlight w:val="none"/>
                <w:lang w:eastAsia="en-US"/>
              </w:rPr>
            </w:pPr>
          </w:p>
        </w:tc>
        <w:tc>
          <w:tcPr>
            <w:tcW w:w="2526" w:type="dxa"/>
            <w:vAlign w:val="center"/>
          </w:tcPr>
          <w:p w14:paraId="4B5ED751">
            <w:pPr>
              <w:widowControl/>
              <w:spacing w:after="200" w:line="400" w:lineRule="atLeast"/>
              <w:jc w:val="center"/>
              <w:rPr>
                <w:rFonts w:ascii="宋体" w:hAnsi="宋体" w:eastAsia="Arial" w:cs="Times New Roman"/>
                <w:kern w:val="0"/>
                <w:sz w:val="22"/>
                <w:highlight w:val="none"/>
                <w:lang w:eastAsia="en-US"/>
              </w:rPr>
            </w:pPr>
          </w:p>
        </w:tc>
        <w:tc>
          <w:tcPr>
            <w:tcW w:w="1843" w:type="dxa"/>
            <w:vAlign w:val="center"/>
          </w:tcPr>
          <w:p w14:paraId="266D4395">
            <w:pPr>
              <w:widowControl/>
              <w:spacing w:after="200" w:line="400" w:lineRule="atLeast"/>
              <w:jc w:val="center"/>
              <w:rPr>
                <w:rFonts w:ascii="宋体" w:hAnsi="宋体" w:eastAsia="Arial" w:cs="Times New Roman"/>
                <w:kern w:val="0"/>
                <w:sz w:val="22"/>
                <w:highlight w:val="none"/>
                <w:lang w:eastAsia="en-US"/>
              </w:rPr>
            </w:pPr>
          </w:p>
        </w:tc>
        <w:tc>
          <w:tcPr>
            <w:tcW w:w="1559" w:type="dxa"/>
            <w:vAlign w:val="center"/>
          </w:tcPr>
          <w:p w14:paraId="3AA89825">
            <w:pPr>
              <w:widowControl/>
              <w:spacing w:after="200" w:line="400" w:lineRule="atLeast"/>
              <w:jc w:val="center"/>
              <w:rPr>
                <w:rFonts w:ascii="宋体" w:hAnsi="宋体" w:eastAsia="Arial" w:cs="Times New Roman"/>
                <w:kern w:val="0"/>
                <w:sz w:val="22"/>
                <w:highlight w:val="none"/>
                <w:lang w:eastAsia="en-US"/>
              </w:rPr>
            </w:pPr>
          </w:p>
        </w:tc>
      </w:tr>
      <w:tr w14:paraId="456CE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2A195E2E">
            <w:pPr>
              <w:widowControl/>
              <w:spacing w:after="200" w:line="40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8</w:t>
            </w:r>
          </w:p>
        </w:tc>
        <w:tc>
          <w:tcPr>
            <w:tcW w:w="2010" w:type="dxa"/>
            <w:vAlign w:val="center"/>
          </w:tcPr>
          <w:p w14:paraId="0A5871FF">
            <w:pPr>
              <w:widowControl/>
              <w:spacing w:after="200" w:line="400" w:lineRule="atLeast"/>
              <w:jc w:val="center"/>
              <w:rPr>
                <w:rFonts w:ascii="宋体" w:hAnsi="宋体" w:eastAsia="Arial" w:cs="Times New Roman"/>
                <w:kern w:val="0"/>
                <w:sz w:val="22"/>
                <w:highlight w:val="none"/>
                <w:lang w:eastAsia="en-US"/>
              </w:rPr>
            </w:pPr>
          </w:p>
        </w:tc>
        <w:tc>
          <w:tcPr>
            <w:tcW w:w="2526" w:type="dxa"/>
            <w:vAlign w:val="center"/>
          </w:tcPr>
          <w:p w14:paraId="3E4E8000">
            <w:pPr>
              <w:widowControl/>
              <w:spacing w:after="200" w:line="400" w:lineRule="atLeast"/>
              <w:jc w:val="center"/>
              <w:rPr>
                <w:rFonts w:ascii="宋体" w:hAnsi="宋体" w:eastAsia="Arial" w:cs="Times New Roman"/>
                <w:kern w:val="0"/>
                <w:sz w:val="22"/>
                <w:highlight w:val="none"/>
                <w:lang w:eastAsia="en-US"/>
              </w:rPr>
            </w:pPr>
          </w:p>
        </w:tc>
        <w:tc>
          <w:tcPr>
            <w:tcW w:w="1843" w:type="dxa"/>
            <w:vAlign w:val="center"/>
          </w:tcPr>
          <w:p w14:paraId="6A2CFC1B">
            <w:pPr>
              <w:widowControl/>
              <w:spacing w:after="200" w:line="400" w:lineRule="atLeast"/>
              <w:jc w:val="center"/>
              <w:rPr>
                <w:rFonts w:ascii="宋体" w:hAnsi="宋体" w:eastAsia="Arial" w:cs="Times New Roman"/>
                <w:kern w:val="0"/>
                <w:sz w:val="22"/>
                <w:highlight w:val="none"/>
                <w:lang w:eastAsia="en-US"/>
              </w:rPr>
            </w:pPr>
          </w:p>
        </w:tc>
        <w:tc>
          <w:tcPr>
            <w:tcW w:w="1559" w:type="dxa"/>
            <w:vAlign w:val="center"/>
          </w:tcPr>
          <w:p w14:paraId="69B3E68E">
            <w:pPr>
              <w:widowControl/>
              <w:spacing w:after="200" w:line="400" w:lineRule="atLeast"/>
              <w:jc w:val="center"/>
              <w:rPr>
                <w:rFonts w:ascii="宋体" w:hAnsi="宋体" w:eastAsia="Arial" w:cs="Times New Roman"/>
                <w:kern w:val="0"/>
                <w:sz w:val="22"/>
                <w:highlight w:val="none"/>
                <w:lang w:eastAsia="en-US"/>
              </w:rPr>
            </w:pPr>
          </w:p>
        </w:tc>
      </w:tr>
      <w:tr w14:paraId="3212D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959" w:type="dxa"/>
          </w:tcPr>
          <w:p w14:paraId="300C40EE">
            <w:pPr>
              <w:widowControl/>
              <w:spacing w:after="200" w:line="400" w:lineRule="atLeast"/>
              <w:jc w:val="center"/>
              <w:rPr>
                <w:rFonts w:ascii="宋体" w:hAnsi="宋体" w:eastAsia="Arial" w:cs="Times New Roman"/>
                <w:kern w:val="0"/>
                <w:sz w:val="22"/>
                <w:highlight w:val="none"/>
                <w:lang w:eastAsia="en-US"/>
              </w:rPr>
            </w:pPr>
            <w:r>
              <w:rPr>
                <w:rFonts w:hint="eastAsia" w:ascii="宋体" w:hAnsi="宋体" w:eastAsia="Arial" w:cs="Times New Roman"/>
                <w:kern w:val="0"/>
                <w:sz w:val="22"/>
                <w:highlight w:val="none"/>
                <w:lang w:eastAsia="en-US"/>
              </w:rPr>
              <w:t>...</w:t>
            </w:r>
          </w:p>
        </w:tc>
        <w:tc>
          <w:tcPr>
            <w:tcW w:w="2010" w:type="dxa"/>
            <w:vAlign w:val="center"/>
          </w:tcPr>
          <w:p w14:paraId="37D7C9D1">
            <w:pPr>
              <w:widowControl/>
              <w:spacing w:after="200" w:line="400" w:lineRule="atLeast"/>
              <w:jc w:val="center"/>
              <w:rPr>
                <w:rFonts w:ascii="宋体" w:hAnsi="宋体" w:eastAsia="Arial" w:cs="Times New Roman"/>
                <w:kern w:val="0"/>
                <w:sz w:val="22"/>
                <w:highlight w:val="none"/>
                <w:lang w:eastAsia="en-US"/>
              </w:rPr>
            </w:pPr>
          </w:p>
        </w:tc>
        <w:tc>
          <w:tcPr>
            <w:tcW w:w="2526" w:type="dxa"/>
            <w:vAlign w:val="center"/>
          </w:tcPr>
          <w:p w14:paraId="1D33F1A5">
            <w:pPr>
              <w:widowControl/>
              <w:spacing w:after="200" w:line="400" w:lineRule="atLeast"/>
              <w:jc w:val="center"/>
              <w:rPr>
                <w:rFonts w:ascii="宋体" w:hAnsi="宋体" w:eastAsia="Arial" w:cs="Times New Roman"/>
                <w:kern w:val="0"/>
                <w:sz w:val="22"/>
                <w:highlight w:val="none"/>
                <w:lang w:eastAsia="en-US"/>
              </w:rPr>
            </w:pPr>
          </w:p>
        </w:tc>
        <w:tc>
          <w:tcPr>
            <w:tcW w:w="1843" w:type="dxa"/>
            <w:vAlign w:val="center"/>
          </w:tcPr>
          <w:p w14:paraId="514CC99B">
            <w:pPr>
              <w:widowControl/>
              <w:spacing w:after="200" w:line="400" w:lineRule="atLeast"/>
              <w:jc w:val="center"/>
              <w:rPr>
                <w:rFonts w:ascii="宋体" w:hAnsi="宋体" w:eastAsia="Arial" w:cs="Times New Roman"/>
                <w:kern w:val="0"/>
                <w:sz w:val="22"/>
                <w:highlight w:val="none"/>
                <w:lang w:eastAsia="en-US"/>
              </w:rPr>
            </w:pPr>
          </w:p>
        </w:tc>
        <w:tc>
          <w:tcPr>
            <w:tcW w:w="1559" w:type="dxa"/>
            <w:vAlign w:val="center"/>
          </w:tcPr>
          <w:p w14:paraId="0DFDD1AD">
            <w:pPr>
              <w:widowControl/>
              <w:spacing w:after="200" w:line="400" w:lineRule="atLeast"/>
              <w:jc w:val="center"/>
              <w:rPr>
                <w:rFonts w:ascii="宋体" w:hAnsi="宋体" w:eastAsia="Arial" w:cs="Times New Roman"/>
                <w:kern w:val="0"/>
                <w:sz w:val="22"/>
                <w:highlight w:val="none"/>
                <w:lang w:eastAsia="en-US"/>
              </w:rPr>
            </w:pPr>
          </w:p>
        </w:tc>
      </w:tr>
    </w:tbl>
    <w:p w14:paraId="53951211">
      <w:pPr>
        <w:widowControl/>
        <w:autoSpaceDE w:val="0"/>
        <w:autoSpaceDN w:val="0"/>
        <w:adjustRightInd w:val="0"/>
        <w:snapToGrid w:val="0"/>
        <w:spacing w:after="200" w:line="36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zh-CN"/>
        </w:rPr>
        <w:t>注：</w:t>
      </w:r>
      <w:r>
        <w:rPr>
          <w:rFonts w:hint="eastAsia" w:ascii="宋体" w:hAnsi="宋体" w:eastAsia="宋体" w:cs="宋体"/>
          <w:kern w:val="0"/>
          <w:sz w:val="24"/>
          <w:szCs w:val="24"/>
          <w:highlight w:val="none"/>
        </w:rPr>
        <w:t>1.响应人应在本表中对照采购文件服务要求与实际响应服务要求逐项对应列出，并在“偏离说明”项下填写以下内容：优于的，填写“正偏离”；符合的，填写“无偏离”；低于的，填写“负偏离”。</w:t>
      </w:r>
    </w:p>
    <w:p w14:paraId="1DFFF343">
      <w:pPr>
        <w:widowControl/>
        <w:adjustRightInd w:val="0"/>
        <w:snapToGrid w:val="0"/>
        <w:spacing w:after="200" w:line="360" w:lineRule="auto"/>
        <w:ind w:firstLine="480" w:firstLineChars="2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2.若事项较多，响应人可根据响应内容的实际情况另纸说明。</w:t>
      </w:r>
    </w:p>
    <w:p w14:paraId="3D61D2DF">
      <w:pPr>
        <w:widowControl/>
        <w:adjustRightInd w:val="0"/>
        <w:snapToGrid w:val="0"/>
        <w:spacing w:after="200" w:line="460" w:lineRule="exact"/>
        <w:jc w:val="left"/>
        <w:rPr>
          <w:rFonts w:hint="eastAsia" w:ascii="宋体" w:hAnsi="宋体" w:eastAsia="宋体" w:cs="宋体"/>
          <w:kern w:val="0"/>
          <w:sz w:val="24"/>
          <w:szCs w:val="24"/>
          <w:highlight w:val="none"/>
        </w:rPr>
      </w:pPr>
    </w:p>
    <w:p w14:paraId="53D7B3E8">
      <w:pPr>
        <w:widowControl/>
        <w:adjustRightInd w:val="0"/>
        <w:snapToGrid w:val="0"/>
        <w:spacing w:after="200" w:line="46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响应单位：（单位公章）</w:t>
      </w:r>
    </w:p>
    <w:p w14:paraId="47392298">
      <w:pPr>
        <w:widowControl/>
        <w:adjustRightInd w:val="0"/>
        <w:snapToGrid w:val="0"/>
        <w:spacing w:after="200" w:line="460" w:lineRule="exact"/>
        <w:jc w:val="left"/>
        <w:rPr>
          <w:rFonts w:hint="eastAsia" w:ascii="宋体" w:hAnsi="宋体" w:eastAsia="宋体" w:cs="宋体"/>
          <w:bCs/>
          <w:kern w:val="0"/>
          <w:sz w:val="24"/>
          <w:szCs w:val="24"/>
          <w:highlight w:val="none"/>
        </w:rPr>
      </w:pPr>
      <w:r>
        <w:rPr>
          <w:rFonts w:hint="eastAsia" w:ascii="宋体" w:hAnsi="宋体" w:eastAsia="宋体" w:cs="宋体"/>
          <w:kern w:val="0"/>
          <w:sz w:val="24"/>
          <w:szCs w:val="24"/>
          <w:highlight w:val="none"/>
        </w:rPr>
        <w:t>法定代表人或代理人（签字或盖章）</w:t>
      </w:r>
      <w:r>
        <w:rPr>
          <w:rFonts w:hint="eastAsia" w:ascii="宋体" w:hAnsi="宋体" w:eastAsia="宋体" w:cs="宋体"/>
          <w:bCs/>
          <w:kern w:val="0"/>
          <w:sz w:val="24"/>
          <w:szCs w:val="24"/>
          <w:highlight w:val="none"/>
        </w:rPr>
        <w:t>：</w:t>
      </w:r>
    </w:p>
    <w:p w14:paraId="64518F26">
      <w:pPr>
        <w:widowControl/>
        <w:spacing w:after="200" w:line="460" w:lineRule="exact"/>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响应日期：   年   月   日</w:t>
      </w:r>
    </w:p>
    <w:p w14:paraId="491F6912">
      <w:pPr>
        <w:snapToGrid w:val="0"/>
        <w:spacing w:before="156" w:beforeLines="50" w:after="156" w:afterLines="50" w:line="360" w:lineRule="auto"/>
        <w:rPr>
          <w:rFonts w:ascii="宋体" w:hAnsi="宋体" w:eastAsia="Arial" w:cs="Times New Roman"/>
          <w:b/>
          <w:bCs/>
          <w:sz w:val="32"/>
          <w:szCs w:val="32"/>
          <w:highlight w:val="none"/>
        </w:rPr>
      </w:pPr>
    </w:p>
    <w:p w14:paraId="20D6F589">
      <w:pPr>
        <w:snapToGrid w:val="0"/>
        <w:spacing w:before="156" w:beforeLines="50" w:after="156" w:afterLines="50" w:line="360" w:lineRule="auto"/>
        <w:rPr>
          <w:rFonts w:ascii="宋体" w:hAnsi="宋体" w:eastAsia="Arial" w:cs="Times New Roman"/>
          <w:b/>
          <w:bCs/>
          <w:sz w:val="32"/>
          <w:szCs w:val="32"/>
          <w:highlight w:val="none"/>
        </w:rPr>
      </w:pPr>
      <w:r>
        <w:rPr>
          <w:rFonts w:hint="eastAsia" w:ascii="宋体" w:hAnsi="宋体" w:eastAsia="Arial" w:cs="Times New Roman"/>
          <w:b/>
          <w:bCs/>
          <w:sz w:val="32"/>
          <w:szCs w:val="32"/>
          <w:highlight w:val="none"/>
        </w:rPr>
        <w:t>9、商务偏离表</w:t>
      </w:r>
    </w:p>
    <w:p w14:paraId="3E906E5D">
      <w:pPr>
        <w:widowControl/>
        <w:snapToGrid w:val="0"/>
        <w:spacing w:after="200" w:line="360" w:lineRule="auto"/>
        <w:jc w:val="center"/>
        <w:rPr>
          <w:rFonts w:ascii="宋体" w:hAnsi="宋体" w:eastAsia="Arial" w:cs="Times New Roman"/>
          <w:b/>
          <w:spacing w:val="20"/>
          <w:kern w:val="0"/>
          <w:sz w:val="32"/>
          <w:szCs w:val="32"/>
          <w:highlight w:val="none"/>
          <w:lang w:eastAsia="en-US"/>
        </w:rPr>
      </w:pPr>
      <w:r>
        <w:rPr>
          <w:rFonts w:hint="eastAsia" w:ascii="宋体" w:hAnsi="宋体" w:eastAsia="Arial" w:cs="Times New Roman"/>
          <w:b/>
          <w:spacing w:val="20"/>
          <w:kern w:val="0"/>
          <w:sz w:val="32"/>
          <w:szCs w:val="32"/>
          <w:highlight w:val="none"/>
          <w:lang w:eastAsia="en-US"/>
        </w:rPr>
        <w:t>商务条款偏离表</w:t>
      </w:r>
    </w:p>
    <w:tbl>
      <w:tblPr>
        <w:tblStyle w:val="24"/>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730"/>
        <w:gridCol w:w="2213"/>
        <w:gridCol w:w="1959"/>
        <w:gridCol w:w="1842"/>
        <w:gridCol w:w="1578"/>
        <w:gridCol w:w="1000"/>
      </w:tblGrid>
      <w:tr w14:paraId="4BF7F93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blHeader/>
        </w:trPr>
        <w:tc>
          <w:tcPr>
            <w:tcW w:w="730" w:type="dxa"/>
            <w:tcBorders>
              <w:top w:val="single" w:color="auto" w:sz="8" w:space="0"/>
              <w:left w:val="single" w:color="auto" w:sz="8" w:space="0"/>
              <w:bottom w:val="single" w:color="auto" w:sz="8" w:space="0"/>
              <w:right w:val="single" w:color="auto" w:sz="8" w:space="0"/>
            </w:tcBorders>
            <w:vAlign w:val="center"/>
          </w:tcPr>
          <w:p w14:paraId="1831D642">
            <w:pPr>
              <w:widowControl/>
              <w:snapToGrid w:val="0"/>
              <w:spacing w:after="200" w:line="360" w:lineRule="auto"/>
              <w:jc w:val="center"/>
              <w:rPr>
                <w:rFonts w:ascii="宋体" w:hAnsi="宋体" w:eastAsia="Arial" w:cs="Times New Roman"/>
                <w:bCs/>
                <w:kern w:val="0"/>
                <w:sz w:val="22"/>
                <w:szCs w:val="24"/>
                <w:highlight w:val="none"/>
                <w:lang w:eastAsia="en-US"/>
              </w:rPr>
            </w:pPr>
            <w:r>
              <w:rPr>
                <w:rFonts w:hint="eastAsia" w:ascii="宋体" w:hAnsi="宋体" w:eastAsia="Arial" w:cs="Times New Roman"/>
                <w:bCs/>
                <w:kern w:val="0"/>
                <w:sz w:val="22"/>
                <w:szCs w:val="24"/>
                <w:highlight w:val="none"/>
                <w:lang w:eastAsia="en-US"/>
              </w:rPr>
              <w:t>序号</w:t>
            </w:r>
          </w:p>
        </w:tc>
        <w:tc>
          <w:tcPr>
            <w:tcW w:w="2213" w:type="dxa"/>
            <w:tcBorders>
              <w:top w:val="single" w:color="auto" w:sz="8" w:space="0"/>
              <w:left w:val="single" w:color="auto" w:sz="8" w:space="0"/>
              <w:bottom w:val="single" w:color="auto" w:sz="8" w:space="0"/>
              <w:right w:val="single" w:color="auto" w:sz="8" w:space="0"/>
            </w:tcBorders>
            <w:vAlign w:val="center"/>
          </w:tcPr>
          <w:p w14:paraId="04F0003E">
            <w:pPr>
              <w:widowControl/>
              <w:snapToGrid w:val="0"/>
              <w:spacing w:after="200" w:line="360" w:lineRule="auto"/>
              <w:jc w:val="center"/>
              <w:rPr>
                <w:rFonts w:ascii="宋体" w:hAnsi="宋体" w:eastAsia="Arial" w:cs="Times New Roman"/>
                <w:bCs/>
                <w:kern w:val="0"/>
                <w:sz w:val="22"/>
                <w:szCs w:val="24"/>
                <w:highlight w:val="none"/>
                <w:lang w:eastAsia="en-US"/>
              </w:rPr>
            </w:pPr>
            <w:r>
              <w:rPr>
                <w:rFonts w:hint="eastAsia" w:ascii="宋体" w:hAnsi="宋体" w:eastAsia="Arial" w:cs="Times New Roman"/>
                <w:bCs/>
                <w:kern w:val="0"/>
                <w:sz w:val="22"/>
                <w:szCs w:val="24"/>
                <w:highlight w:val="none"/>
                <w:lang w:eastAsia="en-US"/>
              </w:rPr>
              <w:t>内容</w:t>
            </w:r>
          </w:p>
        </w:tc>
        <w:tc>
          <w:tcPr>
            <w:tcW w:w="1959" w:type="dxa"/>
            <w:tcBorders>
              <w:top w:val="single" w:color="auto" w:sz="8" w:space="0"/>
              <w:left w:val="single" w:color="auto" w:sz="8" w:space="0"/>
              <w:bottom w:val="single" w:color="auto" w:sz="8" w:space="0"/>
              <w:right w:val="single" w:color="auto" w:sz="8" w:space="0"/>
            </w:tcBorders>
            <w:vAlign w:val="center"/>
          </w:tcPr>
          <w:p w14:paraId="7083D0A3">
            <w:pPr>
              <w:widowControl/>
              <w:snapToGrid w:val="0"/>
              <w:spacing w:after="200" w:line="360" w:lineRule="auto"/>
              <w:jc w:val="center"/>
              <w:rPr>
                <w:rFonts w:ascii="宋体" w:hAnsi="宋体" w:eastAsia="Arial" w:cs="Times New Roman"/>
                <w:bCs/>
                <w:kern w:val="0"/>
                <w:sz w:val="22"/>
                <w:szCs w:val="24"/>
                <w:highlight w:val="none"/>
                <w:lang w:eastAsia="en-US"/>
              </w:rPr>
            </w:pPr>
            <w:r>
              <w:rPr>
                <w:rFonts w:ascii="宋体" w:hAnsi="宋体" w:eastAsia="Arial" w:cs="宋体"/>
                <w:kern w:val="1"/>
                <w:sz w:val="22"/>
                <w:szCs w:val="24"/>
                <w:highlight w:val="none"/>
                <w:lang w:eastAsia="en-US"/>
              </w:rPr>
              <w:t>采购文件的商务条款</w:t>
            </w:r>
          </w:p>
        </w:tc>
        <w:tc>
          <w:tcPr>
            <w:tcW w:w="1842" w:type="dxa"/>
            <w:tcBorders>
              <w:top w:val="single" w:color="auto" w:sz="8" w:space="0"/>
              <w:left w:val="single" w:color="auto" w:sz="8" w:space="0"/>
              <w:bottom w:val="single" w:color="auto" w:sz="8" w:space="0"/>
              <w:right w:val="single" w:color="auto" w:sz="8" w:space="0"/>
            </w:tcBorders>
            <w:vAlign w:val="center"/>
          </w:tcPr>
          <w:p w14:paraId="4E5A9ECC">
            <w:pPr>
              <w:widowControl/>
              <w:snapToGrid w:val="0"/>
              <w:spacing w:after="200" w:line="360" w:lineRule="auto"/>
              <w:jc w:val="center"/>
              <w:rPr>
                <w:rFonts w:ascii="宋体" w:hAnsi="宋体" w:eastAsia="Arial" w:cs="Times New Roman"/>
                <w:bCs/>
                <w:kern w:val="0"/>
                <w:sz w:val="22"/>
                <w:szCs w:val="24"/>
                <w:highlight w:val="none"/>
                <w:lang w:eastAsia="en-US"/>
              </w:rPr>
            </w:pPr>
            <w:r>
              <w:rPr>
                <w:rFonts w:hint="eastAsia" w:ascii="宋体" w:hAnsi="宋体" w:eastAsia="Arial" w:cs="宋体"/>
                <w:kern w:val="1"/>
                <w:sz w:val="22"/>
                <w:szCs w:val="24"/>
                <w:highlight w:val="none"/>
                <w:lang w:eastAsia="en-US"/>
              </w:rPr>
              <w:t>响应</w:t>
            </w:r>
            <w:r>
              <w:rPr>
                <w:rFonts w:ascii="宋体" w:hAnsi="宋体" w:eastAsia="Arial" w:cs="宋体"/>
                <w:kern w:val="1"/>
                <w:sz w:val="22"/>
                <w:szCs w:val="24"/>
                <w:highlight w:val="none"/>
                <w:lang w:eastAsia="en-US"/>
              </w:rPr>
              <w:t>文件的商务条款</w:t>
            </w:r>
          </w:p>
        </w:tc>
        <w:tc>
          <w:tcPr>
            <w:tcW w:w="1578" w:type="dxa"/>
            <w:tcBorders>
              <w:top w:val="single" w:color="auto" w:sz="8" w:space="0"/>
              <w:left w:val="single" w:color="auto" w:sz="8" w:space="0"/>
              <w:bottom w:val="single" w:color="auto" w:sz="8" w:space="0"/>
              <w:right w:val="single" w:color="auto" w:sz="8" w:space="0"/>
            </w:tcBorders>
            <w:vAlign w:val="center"/>
          </w:tcPr>
          <w:p w14:paraId="6F781FBA">
            <w:pPr>
              <w:widowControl/>
              <w:snapToGrid w:val="0"/>
              <w:spacing w:after="200" w:line="360" w:lineRule="auto"/>
              <w:jc w:val="center"/>
              <w:rPr>
                <w:rFonts w:ascii="宋体" w:hAnsi="宋体" w:eastAsia="Arial" w:cs="宋体"/>
                <w:kern w:val="1"/>
                <w:sz w:val="22"/>
                <w:szCs w:val="24"/>
                <w:highlight w:val="none"/>
                <w:lang w:eastAsia="en-US"/>
              </w:rPr>
            </w:pPr>
            <w:r>
              <w:rPr>
                <w:rFonts w:hint="eastAsia" w:ascii="宋体" w:hAnsi="宋体" w:eastAsia="Arial" w:cs="宋体"/>
                <w:kern w:val="1"/>
                <w:sz w:val="22"/>
                <w:szCs w:val="24"/>
                <w:highlight w:val="none"/>
                <w:lang w:eastAsia="en-US"/>
              </w:rPr>
              <w:t>偏离说明</w:t>
            </w:r>
          </w:p>
        </w:tc>
        <w:tc>
          <w:tcPr>
            <w:tcW w:w="1000" w:type="dxa"/>
            <w:tcBorders>
              <w:top w:val="single" w:color="auto" w:sz="8" w:space="0"/>
              <w:left w:val="single" w:color="auto" w:sz="8" w:space="0"/>
              <w:bottom w:val="single" w:color="auto" w:sz="8" w:space="0"/>
              <w:right w:val="single" w:color="auto" w:sz="8" w:space="0"/>
            </w:tcBorders>
            <w:vAlign w:val="center"/>
          </w:tcPr>
          <w:p w14:paraId="25445054">
            <w:pPr>
              <w:widowControl/>
              <w:snapToGrid w:val="0"/>
              <w:spacing w:after="200" w:line="360" w:lineRule="auto"/>
              <w:jc w:val="center"/>
              <w:rPr>
                <w:rFonts w:ascii="宋体" w:hAnsi="宋体" w:eastAsia="Arial" w:cs="Times New Roman"/>
                <w:bCs/>
                <w:kern w:val="0"/>
                <w:sz w:val="22"/>
                <w:szCs w:val="24"/>
                <w:highlight w:val="none"/>
                <w:lang w:eastAsia="en-US"/>
              </w:rPr>
            </w:pPr>
            <w:r>
              <w:rPr>
                <w:rFonts w:hint="eastAsia" w:ascii="宋体" w:hAnsi="宋体" w:eastAsia="Arial" w:cs="Times New Roman"/>
                <w:bCs/>
                <w:kern w:val="0"/>
                <w:sz w:val="22"/>
                <w:szCs w:val="24"/>
                <w:highlight w:val="none"/>
                <w:lang w:eastAsia="en-US"/>
              </w:rPr>
              <w:t>备注</w:t>
            </w:r>
          </w:p>
        </w:tc>
      </w:tr>
      <w:tr w14:paraId="07DFD62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8C37C9B">
            <w:pPr>
              <w:widowControl/>
              <w:snapToGrid w:val="0"/>
              <w:spacing w:after="200" w:line="360" w:lineRule="auto"/>
              <w:jc w:val="center"/>
              <w:rPr>
                <w:rFonts w:ascii="宋体" w:hAnsi="宋体" w:eastAsia="Arial" w:cs="Times New Roman"/>
                <w:bCs/>
                <w:kern w:val="0"/>
                <w:sz w:val="22"/>
                <w:szCs w:val="24"/>
                <w:highlight w:val="none"/>
                <w:lang w:eastAsia="en-US"/>
              </w:rPr>
            </w:pPr>
            <w:r>
              <w:rPr>
                <w:rFonts w:hint="eastAsia" w:ascii="宋体" w:hAnsi="宋体" w:eastAsia="Arial" w:cs="Times New Roman"/>
                <w:bCs/>
                <w:kern w:val="0"/>
                <w:sz w:val="22"/>
                <w:szCs w:val="24"/>
                <w:highlight w:val="none"/>
                <w:lang w:eastAsia="en-US"/>
              </w:rPr>
              <w:t>1</w:t>
            </w:r>
          </w:p>
        </w:tc>
        <w:tc>
          <w:tcPr>
            <w:tcW w:w="2213" w:type="dxa"/>
            <w:tcBorders>
              <w:top w:val="single" w:color="auto" w:sz="8" w:space="0"/>
              <w:left w:val="single" w:color="auto" w:sz="8" w:space="0"/>
              <w:bottom w:val="single" w:color="auto" w:sz="8" w:space="0"/>
              <w:right w:val="single" w:color="auto" w:sz="8" w:space="0"/>
            </w:tcBorders>
          </w:tcPr>
          <w:p w14:paraId="3E680AE7">
            <w:pPr>
              <w:widowControl/>
              <w:snapToGrid w:val="0"/>
              <w:spacing w:after="200" w:line="360" w:lineRule="auto"/>
              <w:jc w:val="left"/>
              <w:rPr>
                <w:rFonts w:ascii="宋体" w:hAnsi="宋体" w:eastAsia="Arial" w:cs="仿宋_GB2312"/>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5A11615D">
            <w:pPr>
              <w:widowControl/>
              <w:snapToGrid w:val="0"/>
              <w:spacing w:after="200" w:line="360" w:lineRule="auto"/>
              <w:jc w:val="left"/>
              <w:rPr>
                <w:rFonts w:ascii="宋体" w:hAnsi="宋体" w:eastAsia="Arial" w:cs="Times New Roman"/>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783F1909">
            <w:pPr>
              <w:widowControl/>
              <w:snapToGrid w:val="0"/>
              <w:spacing w:after="200" w:line="360" w:lineRule="auto"/>
              <w:jc w:val="left"/>
              <w:rPr>
                <w:rFonts w:ascii="宋体" w:hAnsi="宋体" w:eastAsia="Arial" w:cs="Times New Roman"/>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16AA91CC">
            <w:pPr>
              <w:widowControl/>
              <w:snapToGrid w:val="0"/>
              <w:spacing w:after="200" w:line="360" w:lineRule="auto"/>
              <w:jc w:val="left"/>
              <w:rPr>
                <w:rFonts w:ascii="宋体" w:hAnsi="宋体" w:eastAsia="Arial" w:cs="Times New Roman"/>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6CD5A9E7">
            <w:pPr>
              <w:widowControl/>
              <w:snapToGrid w:val="0"/>
              <w:spacing w:after="200" w:line="360" w:lineRule="auto"/>
              <w:jc w:val="left"/>
              <w:rPr>
                <w:rFonts w:ascii="宋体" w:hAnsi="宋体" w:eastAsia="Arial" w:cs="Times New Roman"/>
                <w:kern w:val="0"/>
                <w:sz w:val="22"/>
                <w:szCs w:val="24"/>
                <w:highlight w:val="none"/>
                <w:lang w:eastAsia="en-US"/>
              </w:rPr>
            </w:pPr>
          </w:p>
        </w:tc>
      </w:tr>
      <w:tr w14:paraId="01CC430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FEF7186">
            <w:pPr>
              <w:widowControl/>
              <w:snapToGrid w:val="0"/>
              <w:spacing w:after="200" w:line="360" w:lineRule="auto"/>
              <w:jc w:val="center"/>
              <w:rPr>
                <w:rFonts w:ascii="宋体" w:hAnsi="宋体" w:eastAsia="Arial" w:cs="Times New Roman"/>
                <w:bCs/>
                <w:kern w:val="0"/>
                <w:sz w:val="22"/>
                <w:szCs w:val="24"/>
                <w:highlight w:val="none"/>
                <w:lang w:eastAsia="en-US"/>
              </w:rPr>
            </w:pPr>
            <w:r>
              <w:rPr>
                <w:rFonts w:hint="eastAsia" w:ascii="宋体" w:hAnsi="宋体" w:eastAsia="Arial" w:cs="Times New Roman"/>
                <w:bCs/>
                <w:kern w:val="0"/>
                <w:sz w:val="22"/>
                <w:szCs w:val="24"/>
                <w:highlight w:val="none"/>
                <w:lang w:eastAsia="en-US"/>
              </w:rPr>
              <w:t>2</w:t>
            </w:r>
          </w:p>
        </w:tc>
        <w:tc>
          <w:tcPr>
            <w:tcW w:w="2213" w:type="dxa"/>
            <w:tcBorders>
              <w:top w:val="single" w:color="auto" w:sz="8" w:space="0"/>
              <w:left w:val="single" w:color="auto" w:sz="8" w:space="0"/>
              <w:bottom w:val="single" w:color="auto" w:sz="8" w:space="0"/>
              <w:right w:val="single" w:color="auto" w:sz="8" w:space="0"/>
            </w:tcBorders>
          </w:tcPr>
          <w:p w14:paraId="65F80322">
            <w:pPr>
              <w:widowControl/>
              <w:snapToGrid w:val="0"/>
              <w:spacing w:after="200" w:line="360" w:lineRule="auto"/>
              <w:jc w:val="left"/>
              <w:rPr>
                <w:rFonts w:ascii="宋体" w:hAnsi="宋体" w:eastAsia="Arial" w:cs="仿宋_GB2312"/>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6955ABF3">
            <w:pPr>
              <w:widowControl/>
              <w:snapToGrid w:val="0"/>
              <w:spacing w:after="200" w:line="360" w:lineRule="auto"/>
              <w:jc w:val="left"/>
              <w:rPr>
                <w:rFonts w:ascii="宋体" w:hAnsi="宋体" w:eastAsia="Arial" w:cs="Times New Roman"/>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219BDEA9">
            <w:pPr>
              <w:widowControl/>
              <w:snapToGrid w:val="0"/>
              <w:spacing w:after="200" w:line="360" w:lineRule="auto"/>
              <w:jc w:val="left"/>
              <w:rPr>
                <w:rFonts w:ascii="宋体" w:hAnsi="宋体" w:eastAsia="Arial" w:cs="Times New Roman"/>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222429E4">
            <w:pPr>
              <w:widowControl/>
              <w:snapToGrid w:val="0"/>
              <w:spacing w:after="200" w:line="360" w:lineRule="auto"/>
              <w:jc w:val="left"/>
              <w:rPr>
                <w:rFonts w:ascii="宋体" w:hAnsi="宋体" w:eastAsia="Arial" w:cs="Times New Roman"/>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1821087B">
            <w:pPr>
              <w:widowControl/>
              <w:snapToGrid w:val="0"/>
              <w:spacing w:after="200" w:line="360" w:lineRule="auto"/>
              <w:jc w:val="left"/>
              <w:rPr>
                <w:rFonts w:ascii="宋体" w:hAnsi="宋体" w:eastAsia="Arial" w:cs="Times New Roman"/>
                <w:kern w:val="0"/>
                <w:sz w:val="22"/>
                <w:szCs w:val="24"/>
                <w:highlight w:val="none"/>
                <w:lang w:eastAsia="en-US"/>
              </w:rPr>
            </w:pPr>
          </w:p>
        </w:tc>
      </w:tr>
      <w:tr w14:paraId="4471E83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37B17F05">
            <w:pPr>
              <w:widowControl/>
              <w:snapToGrid w:val="0"/>
              <w:spacing w:after="200" w:line="360" w:lineRule="auto"/>
              <w:jc w:val="center"/>
              <w:rPr>
                <w:rFonts w:ascii="宋体" w:hAnsi="宋体" w:eastAsia="Arial" w:cs="Times New Roman"/>
                <w:bCs/>
                <w:kern w:val="0"/>
                <w:sz w:val="22"/>
                <w:szCs w:val="24"/>
                <w:highlight w:val="none"/>
                <w:lang w:eastAsia="en-US"/>
              </w:rPr>
            </w:pPr>
            <w:r>
              <w:rPr>
                <w:rFonts w:hint="eastAsia" w:ascii="宋体" w:hAnsi="宋体" w:eastAsia="Arial" w:cs="Times New Roman"/>
                <w:bCs/>
                <w:kern w:val="0"/>
                <w:sz w:val="22"/>
                <w:szCs w:val="24"/>
                <w:highlight w:val="none"/>
                <w:lang w:eastAsia="en-US"/>
              </w:rPr>
              <w:t>3</w:t>
            </w:r>
          </w:p>
        </w:tc>
        <w:tc>
          <w:tcPr>
            <w:tcW w:w="2213" w:type="dxa"/>
            <w:tcBorders>
              <w:top w:val="single" w:color="auto" w:sz="8" w:space="0"/>
              <w:left w:val="single" w:color="auto" w:sz="8" w:space="0"/>
              <w:bottom w:val="single" w:color="auto" w:sz="8" w:space="0"/>
              <w:right w:val="single" w:color="auto" w:sz="8" w:space="0"/>
            </w:tcBorders>
          </w:tcPr>
          <w:p w14:paraId="11B316A3">
            <w:pPr>
              <w:widowControl/>
              <w:snapToGrid w:val="0"/>
              <w:spacing w:after="200" w:line="360" w:lineRule="auto"/>
              <w:jc w:val="left"/>
              <w:rPr>
                <w:rFonts w:ascii="宋体" w:hAnsi="宋体" w:eastAsia="Arial" w:cs="仿宋_GB2312"/>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525D6ED0">
            <w:pPr>
              <w:widowControl/>
              <w:snapToGrid w:val="0"/>
              <w:spacing w:after="200" w:line="360" w:lineRule="auto"/>
              <w:jc w:val="left"/>
              <w:rPr>
                <w:rFonts w:ascii="宋体" w:hAnsi="宋体" w:eastAsia="Arial" w:cs="Times New Roman"/>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229FB729">
            <w:pPr>
              <w:widowControl/>
              <w:snapToGrid w:val="0"/>
              <w:spacing w:after="200" w:line="360" w:lineRule="auto"/>
              <w:jc w:val="left"/>
              <w:rPr>
                <w:rFonts w:ascii="宋体" w:hAnsi="宋体" w:eastAsia="Arial" w:cs="Times New Roman"/>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76EF651E">
            <w:pPr>
              <w:widowControl/>
              <w:snapToGrid w:val="0"/>
              <w:spacing w:after="200" w:line="360" w:lineRule="auto"/>
              <w:jc w:val="left"/>
              <w:rPr>
                <w:rFonts w:ascii="宋体" w:hAnsi="宋体" w:eastAsia="Arial" w:cs="Times New Roman"/>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05E27E26">
            <w:pPr>
              <w:widowControl/>
              <w:snapToGrid w:val="0"/>
              <w:spacing w:after="200" w:line="360" w:lineRule="auto"/>
              <w:jc w:val="left"/>
              <w:rPr>
                <w:rFonts w:ascii="宋体" w:hAnsi="宋体" w:eastAsia="Arial" w:cs="Times New Roman"/>
                <w:kern w:val="0"/>
                <w:sz w:val="22"/>
                <w:szCs w:val="24"/>
                <w:highlight w:val="none"/>
                <w:lang w:eastAsia="en-US"/>
              </w:rPr>
            </w:pPr>
          </w:p>
        </w:tc>
      </w:tr>
      <w:tr w14:paraId="26CECCD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C4C9239">
            <w:pPr>
              <w:widowControl/>
              <w:snapToGrid w:val="0"/>
              <w:spacing w:after="200" w:line="360" w:lineRule="auto"/>
              <w:jc w:val="center"/>
              <w:rPr>
                <w:rFonts w:ascii="宋体" w:hAnsi="宋体" w:eastAsia="Arial" w:cs="Times New Roman"/>
                <w:bCs/>
                <w:kern w:val="0"/>
                <w:sz w:val="22"/>
                <w:szCs w:val="24"/>
                <w:highlight w:val="none"/>
                <w:lang w:eastAsia="en-US"/>
              </w:rPr>
            </w:pPr>
            <w:r>
              <w:rPr>
                <w:rFonts w:hint="eastAsia" w:ascii="宋体" w:hAnsi="宋体" w:eastAsia="Arial" w:cs="Times New Roman"/>
                <w:bCs/>
                <w:kern w:val="0"/>
                <w:sz w:val="22"/>
                <w:szCs w:val="24"/>
                <w:highlight w:val="none"/>
                <w:lang w:eastAsia="en-US"/>
              </w:rPr>
              <w:t>4</w:t>
            </w:r>
          </w:p>
        </w:tc>
        <w:tc>
          <w:tcPr>
            <w:tcW w:w="2213" w:type="dxa"/>
            <w:tcBorders>
              <w:top w:val="single" w:color="auto" w:sz="8" w:space="0"/>
              <w:left w:val="single" w:color="auto" w:sz="8" w:space="0"/>
              <w:bottom w:val="single" w:color="auto" w:sz="8" w:space="0"/>
              <w:right w:val="single" w:color="auto" w:sz="8" w:space="0"/>
            </w:tcBorders>
          </w:tcPr>
          <w:p w14:paraId="615D2855">
            <w:pPr>
              <w:widowControl/>
              <w:snapToGrid w:val="0"/>
              <w:spacing w:after="200" w:line="360" w:lineRule="auto"/>
              <w:jc w:val="left"/>
              <w:rPr>
                <w:rFonts w:ascii="宋体" w:hAnsi="宋体" w:eastAsia="Arial" w:cs="Times New Roman"/>
                <w:bCs/>
                <w:kern w:val="0"/>
                <w:sz w:val="22"/>
                <w:szCs w:val="24"/>
                <w:highlight w:val="none"/>
                <w:lang w:eastAsia="en-US"/>
              </w:rPr>
            </w:pPr>
          </w:p>
        </w:tc>
        <w:tc>
          <w:tcPr>
            <w:tcW w:w="1959" w:type="dxa"/>
            <w:tcBorders>
              <w:top w:val="single" w:color="auto" w:sz="8" w:space="0"/>
              <w:left w:val="single" w:color="auto" w:sz="8" w:space="0"/>
              <w:bottom w:val="single" w:color="auto" w:sz="8" w:space="0"/>
              <w:right w:val="single" w:color="auto" w:sz="8" w:space="0"/>
            </w:tcBorders>
          </w:tcPr>
          <w:p w14:paraId="3733CD62">
            <w:pPr>
              <w:widowControl/>
              <w:snapToGrid w:val="0"/>
              <w:spacing w:after="200" w:line="360" w:lineRule="auto"/>
              <w:jc w:val="left"/>
              <w:rPr>
                <w:rFonts w:ascii="宋体" w:hAnsi="宋体" w:eastAsia="Arial" w:cs="Times New Roman"/>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1F4CB2C9">
            <w:pPr>
              <w:widowControl/>
              <w:snapToGrid w:val="0"/>
              <w:spacing w:after="200" w:line="360" w:lineRule="auto"/>
              <w:jc w:val="left"/>
              <w:rPr>
                <w:rFonts w:ascii="宋体" w:hAnsi="宋体" w:eastAsia="Arial" w:cs="Times New Roman"/>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575C04D3">
            <w:pPr>
              <w:widowControl/>
              <w:snapToGrid w:val="0"/>
              <w:spacing w:after="200" w:line="360" w:lineRule="auto"/>
              <w:jc w:val="left"/>
              <w:rPr>
                <w:rFonts w:ascii="宋体" w:hAnsi="宋体" w:eastAsia="Arial" w:cs="Times New Roman"/>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1BE353E7">
            <w:pPr>
              <w:widowControl/>
              <w:snapToGrid w:val="0"/>
              <w:spacing w:after="200" w:line="360" w:lineRule="auto"/>
              <w:jc w:val="left"/>
              <w:rPr>
                <w:rFonts w:ascii="宋体" w:hAnsi="宋体" w:eastAsia="Arial" w:cs="Times New Roman"/>
                <w:kern w:val="0"/>
                <w:sz w:val="22"/>
                <w:szCs w:val="24"/>
                <w:highlight w:val="none"/>
                <w:lang w:eastAsia="en-US"/>
              </w:rPr>
            </w:pPr>
          </w:p>
        </w:tc>
      </w:tr>
      <w:tr w14:paraId="12665D2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1AFEEEA">
            <w:pPr>
              <w:widowControl/>
              <w:snapToGrid w:val="0"/>
              <w:spacing w:after="200" w:line="360" w:lineRule="auto"/>
              <w:jc w:val="center"/>
              <w:rPr>
                <w:rFonts w:ascii="宋体" w:hAnsi="宋体" w:eastAsia="Arial" w:cs="Times New Roman"/>
                <w:bCs/>
                <w:kern w:val="0"/>
                <w:sz w:val="22"/>
                <w:szCs w:val="24"/>
                <w:highlight w:val="none"/>
                <w:lang w:eastAsia="en-US"/>
              </w:rPr>
            </w:pPr>
            <w:r>
              <w:rPr>
                <w:rFonts w:hint="eastAsia" w:ascii="宋体" w:hAnsi="宋体" w:eastAsia="Arial" w:cs="Times New Roman"/>
                <w:bCs/>
                <w:kern w:val="0"/>
                <w:sz w:val="22"/>
                <w:szCs w:val="24"/>
                <w:highlight w:val="none"/>
                <w:lang w:eastAsia="en-US"/>
              </w:rPr>
              <w:t>5</w:t>
            </w:r>
          </w:p>
        </w:tc>
        <w:tc>
          <w:tcPr>
            <w:tcW w:w="2213" w:type="dxa"/>
            <w:tcBorders>
              <w:top w:val="single" w:color="auto" w:sz="8" w:space="0"/>
              <w:left w:val="single" w:color="auto" w:sz="8" w:space="0"/>
              <w:bottom w:val="single" w:color="auto" w:sz="8" w:space="0"/>
              <w:right w:val="single" w:color="auto" w:sz="8" w:space="0"/>
            </w:tcBorders>
          </w:tcPr>
          <w:p w14:paraId="4F96F651">
            <w:pPr>
              <w:widowControl/>
              <w:snapToGrid w:val="0"/>
              <w:spacing w:after="200" w:line="360" w:lineRule="auto"/>
              <w:jc w:val="left"/>
              <w:rPr>
                <w:rFonts w:ascii="宋体" w:hAnsi="宋体" w:eastAsia="Arial" w:cs="Times New Roman"/>
                <w:bCs/>
                <w:kern w:val="0"/>
                <w:sz w:val="22"/>
                <w:szCs w:val="24"/>
                <w:highlight w:val="none"/>
                <w:lang w:eastAsia="en-US"/>
              </w:rPr>
            </w:pPr>
          </w:p>
        </w:tc>
        <w:tc>
          <w:tcPr>
            <w:tcW w:w="1959" w:type="dxa"/>
            <w:tcBorders>
              <w:top w:val="single" w:color="auto" w:sz="8" w:space="0"/>
              <w:left w:val="single" w:color="auto" w:sz="8" w:space="0"/>
              <w:bottom w:val="single" w:color="auto" w:sz="8" w:space="0"/>
              <w:right w:val="single" w:color="auto" w:sz="8" w:space="0"/>
            </w:tcBorders>
          </w:tcPr>
          <w:p w14:paraId="7C486D5A">
            <w:pPr>
              <w:widowControl/>
              <w:snapToGrid w:val="0"/>
              <w:spacing w:after="200" w:line="360" w:lineRule="auto"/>
              <w:jc w:val="left"/>
              <w:rPr>
                <w:rFonts w:ascii="宋体" w:hAnsi="宋体" w:eastAsia="Arial" w:cs="Times New Roman"/>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54BCC216">
            <w:pPr>
              <w:widowControl/>
              <w:snapToGrid w:val="0"/>
              <w:spacing w:after="200" w:line="360" w:lineRule="auto"/>
              <w:jc w:val="left"/>
              <w:rPr>
                <w:rFonts w:ascii="宋体" w:hAnsi="宋体" w:eastAsia="Arial" w:cs="Times New Roman"/>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0C2A2365">
            <w:pPr>
              <w:widowControl/>
              <w:snapToGrid w:val="0"/>
              <w:spacing w:after="200" w:line="360" w:lineRule="auto"/>
              <w:jc w:val="left"/>
              <w:rPr>
                <w:rFonts w:ascii="宋体" w:hAnsi="宋体" w:eastAsia="Arial" w:cs="Times New Roman"/>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062E8A32">
            <w:pPr>
              <w:widowControl/>
              <w:snapToGrid w:val="0"/>
              <w:spacing w:after="200" w:line="360" w:lineRule="auto"/>
              <w:jc w:val="left"/>
              <w:rPr>
                <w:rFonts w:ascii="宋体" w:hAnsi="宋体" w:eastAsia="Arial" w:cs="Times New Roman"/>
                <w:kern w:val="0"/>
                <w:sz w:val="22"/>
                <w:szCs w:val="24"/>
                <w:highlight w:val="none"/>
                <w:lang w:eastAsia="en-US"/>
              </w:rPr>
            </w:pPr>
          </w:p>
        </w:tc>
      </w:tr>
      <w:tr w14:paraId="07A7A47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33F4B63B">
            <w:pPr>
              <w:widowControl/>
              <w:snapToGrid w:val="0"/>
              <w:spacing w:after="200" w:line="360" w:lineRule="auto"/>
              <w:jc w:val="center"/>
              <w:rPr>
                <w:rFonts w:ascii="宋体" w:hAnsi="宋体" w:eastAsia="Arial" w:cs="Times New Roman"/>
                <w:bCs/>
                <w:kern w:val="0"/>
                <w:sz w:val="22"/>
                <w:szCs w:val="24"/>
                <w:highlight w:val="none"/>
                <w:lang w:eastAsia="en-US"/>
              </w:rPr>
            </w:pPr>
            <w:r>
              <w:rPr>
                <w:rFonts w:hint="eastAsia" w:ascii="宋体" w:hAnsi="宋体" w:eastAsia="Arial" w:cs="Times New Roman"/>
                <w:bCs/>
                <w:kern w:val="0"/>
                <w:sz w:val="22"/>
                <w:szCs w:val="24"/>
                <w:highlight w:val="none"/>
                <w:lang w:eastAsia="en-US"/>
              </w:rPr>
              <w:t>6</w:t>
            </w:r>
          </w:p>
        </w:tc>
        <w:tc>
          <w:tcPr>
            <w:tcW w:w="2213" w:type="dxa"/>
            <w:tcBorders>
              <w:top w:val="single" w:color="auto" w:sz="8" w:space="0"/>
              <w:left w:val="single" w:color="auto" w:sz="8" w:space="0"/>
              <w:bottom w:val="single" w:color="auto" w:sz="8" w:space="0"/>
              <w:right w:val="single" w:color="auto" w:sz="8" w:space="0"/>
            </w:tcBorders>
          </w:tcPr>
          <w:p w14:paraId="0C143C91">
            <w:pPr>
              <w:widowControl/>
              <w:snapToGrid w:val="0"/>
              <w:spacing w:after="200" w:line="360" w:lineRule="auto"/>
              <w:jc w:val="left"/>
              <w:rPr>
                <w:rFonts w:ascii="宋体" w:hAnsi="宋体" w:eastAsia="Arial" w:cs="仿宋_GB2312"/>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76A7687F">
            <w:pPr>
              <w:widowControl/>
              <w:snapToGrid w:val="0"/>
              <w:spacing w:after="200" w:line="360" w:lineRule="auto"/>
              <w:jc w:val="left"/>
              <w:rPr>
                <w:rFonts w:ascii="宋体" w:hAnsi="宋体" w:eastAsia="Arial" w:cs="Times New Roman"/>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02882673">
            <w:pPr>
              <w:widowControl/>
              <w:snapToGrid w:val="0"/>
              <w:spacing w:after="200" w:line="360" w:lineRule="auto"/>
              <w:jc w:val="left"/>
              <w:rPr>
                <w:rFonts w:ascii="宋体" w:hAnsi="宋体" w:eastAsia="Arial" w:cs="Times New Roman"/>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2459CD02">
            <w:pPr>
              <w:widowControl/>
              <w:snapToGrid w:val="0"/>
              <w:spacing w:after="200" w:line="360" w:lineRule="auto"/>
              <w:jc w:val="left"/>
              <w:rPr>
                <w:rFonts w:ascii="宋体" w:hAnsi="宋体" w:eastAsia="Arial" w:cs="Times New Roman"/>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2600FF3D">
            <w:pPr>
              <w:widowControl/>
              <w:snapToGrid w:val="0"/>
              <w:spacing w:after="200" w:line="360" w:lineRule="auto"/>
              <w:jc w:val="left"/>
              <w:rPr>
                <w:rFonts w:ascii="宋体" w:hAnsi="宋体" w:eastAsia="Arial" w:cs="Times New Roman"/>
                <w:kern w:val="0"/>
                <w:sz w:val="22"/>
                <w:szCs w:val="24"/>
                <w:highlight w:val="none"/>
                <w:lang w:eastAsia="en-US"/>
              </w:rPr>
            </w:pPr>
          </w:p>
        </w:tc>
      </w:tr>
      <w:tr w14:paraId="059167F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3BF726F6">
            <w:pPr>
              <w:widowControl/>
              <w:snapToGrid w:val="0"/>
              <w:spacing w:after="200" w:line="360" w:lineRule="auto"/>
              <w:jc w:val="center"/>
              <w:rPr>
                <w:rFonts w:ascii="宋体" w:hAnsi="宋体" w:eastAsia="Arial" w:cs="Times New Roman"/>
                <w:bCs/>
                <w:kern w:val="0"/>
                <w:sz w:val="22"/>
                <w:szCs w:val="24"/>
                <w:highlight w:val="none"/>
                <w:lang w:eastAsia="en-US"/>
              </w:rPr>
            </w:pPr>
            <w:r>
              <w:rPr>
                <w:rFonts w:hint="eastAsia" w:ascii="宋体" w:hAnsi="宋体" w:eastAsia="Arial" w:cs="Times New Roman"/>
                <w:bCs/>
                <w:kern w:val="0"/>
                <w:sz w:val="22"/>
                <w:szCs w:val="24"/>
                <w:highlight w:val="none"/>
                <w:lang w:eastAsia="en-US"/>
              </w:rPr>
              <w:t>7</w:t>
            </w:r>
          </w:p>
        </w:tc>
        <w:tc>
          <w:tcPr>
            <w:tcW w:w="2213" w:type="dxa"/>
            <w:tcBorders>
              <w:top w:val="single" w:color="auto" w:sz="8" w:space="0"/>
              <w:left w:val="single" w:color="auto" w:sz="8" w:space="0"/>
              <w:bottom w:val="single" w:color="auto" w:sz="8" w:space="0"/>
              <w:right w:val="single" w:color="auto" w:sz="8" w:space="0"/>
            </w:tcBorders>
          </w:tcPr>
          <w:p w14:paraId="6BF51E56">
            <w:pPr>
              <w:widowControl/>
              <w:snapToGrid w:val="0"/>
              <w:spacing w:after="200" w:line="360" w:lineRule="auto"/>
              <w:jc w:val="left"/>
              <w:rPr>
                <w:rFonts w:ascii="宋体" w:hAnsi="宋体" w:eastAsia="Arial" w:cs="仿宋_GB2312"/>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384AD49A">
            <w:pPr>
              <w:widowControl/>
              <w:snapToGrid w:val="0"/>
              <w:spacing w:after="200" w:line="360" w:lineRule="auto"/>
              <w:jc w:val="left"/>
              <w:rPr>
                <w:rFonts w:ascii="宋体" w:hAnsi="宋体" w:eastAsia="Arial" w:cs="Times New Roman"/>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77FF9DB9">
            <w:pPr>
              <w:widowControl/>
              <w:snapToGrid w:val="0"/>
              <w:spacing w:after="200" w:line="360" w:lineRule="auto"/>
              <w:jc w:val="left"/>
              <w:rPr>
                <w:rFonts w:ascii="宋体" w:hAnsi="宋体" w:eastAsia="Arial" w:cs="Times New Roman"/>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5C3C0702">
            <w:pPr>
              <w:widowControl/>
              <w:snapToGrid w:val="0"/>
              <w:spacing w:after="200" w:line="360" w:lineRule="auto"/>
              <w:jc w:val="left"/>
              <w:rPr>
                <w:rFonts w:ascii="宋体" w:hAnsi="宋体" w:eastAsia="Arial" w:cs="Times New Roman"/>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1584F8FA">
            <w:pPr>
              <w:widowControl/>
              <w:snapToGrid w:val="0"/>
              <w:spacing w:after="200" w:line="360" w:lineRule="auto"/>
              <w:jc w:val="left"/>
              <w:rPr>
                <w:rFonts w:ascii="宋体" w:hAnsi="宋体" w:eastAsia="Arial" w:cs="Times New Roman"/>
                <w:kern w:val="0"/>
                <w:sz w:val="22"/>
                <w:szCs w:val="24"/>
                <w:highlight w:val="none"/>
                <w:lang w:eastAsia="en-US"/>
              </w:rPr>
            </w:pPr>
          </w:p>
        </w:tc>
      </w:tr>
      <w:tr w14:paraId="1754B7D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7FFF2599">
            <w:pPr>
              <w:widowControl/>
              <w:snapToGrid w:val="0"/>
              <w:spacing w:after="200" w:line="360" w:lineRule="auto"/>
              <w:jc w:val="center"/>
              <w:rPr>
                <w:rFonts w:ascii="宋体" w:hAnsi="宋体" w:eastAsia="Arial" w:cs="Times New Roman"/>
                <w:bCs/>
                <w:kern w:val="0"/>
                <w:sz w:val="22"/>
                <w:szCs w:val="24"/>
                <w:highlight w:val="none"/>
                <w:lang w:eastAsia="en-US"/>
              </w:rPr>
            </w:pPr>
            <w:r>
              <w:rPr>
                <w:rFonts w:ascii="宋体" w:hAnsi="宋体" w:eastAsia="Arial" w:cs="Times New Roman"/>
                <w:bCs/>
                <w:kern w:val="0"/>
                <w:sz w:val="22"/>
                <w:szCs w:val="24"/>
                <w:highlight w:val="none"/>
                <w:lang w:eastAsia="en-US"/>
              </w:rPr>
              <w:t>…</w:t>
            </w:r>
          </w:p>
        </w:tc>
        <w:tc>
          <w:tcPr>
            <w:tcW w:w="2213" w:type="dxa"/>
            <w:tcBorders>
              <w:top w:val="single" w:color="auto" w:sz="8" w:space="0"/>
              <w:left w:val="single" w:color="auto" w:sz="8" w:space="0"/>
              <w:bottom w:val="single" w:color="auto" w:sz="8" w:space="0"/>
              <w:right w:val="single" w:color="auto" w:sz="8" w:space="0"/>
            </w:tcBorders>
          </w:tcPr>
          <w:p w14:paraId="36F041C8">
            <w:pPr>
              <w:widowControl/>
              <w:snapToGrid w:val="0"/>
              <w:spacing w:after="200" w:line="360" w:lineRule="auto"/>
              <w:jc w:val="left"/>
              <w:rPr>
                <w:rFonts w:ascii="宋体" w:hAnsi="宋体" w:eastAsia="Arial" w:cs="仿宋_GB2312"/>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150CDDB5">
            <w:pPr>
              <w:widowControl/>
              <w:snapToGrid w:val="0"/>
              <w:spacing w:after="200" w:line="360" w:lineRule="auto"/>
              <w:jc w:val="left"/>
              <w:rPr>
                <w:rFonts w:ascii="宋体" w:hAnsi="宋体" w:eastAsia="Arial" w:cs="Times New Roman"/>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6DF8C43C">
            <w:pPr>
              <w:widowControl/>
              <w:snapToGrid w:val="0"/>
              <w:spacing w:after="200" w:line="360" w:lineRule="auto"/>
              <w:jc w:val="left"/>
              <w:rPr>
                <w:rFonts w:ascii="宋体" w:hAnsi="宋体" w:eastAsia="Arial" w:cs="Times New Roman"/>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3AE39602">
            <w:pPr>
              <w:widowControl/>
              <w:snapToGrid w:val="0"/>
              <w:spacing w:after="200" w:line="360" w:lineRule="auto"/>
              <w:jc w:val="left"/>
              <w:rPr>
                <w:rFonts w:ascii="宋体" w:hAnsi="宋体" w:eastAsia="Arial" w:cs="Times New Roman"/>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09133C5F">
            <w:pPr>
              <w:widowControl/>
              <w:snapToGrid w:val="0"/>
              <w:spacing w:after="200" w:line="360" w:lineRule="auto"/>
              <w:jc w:val="left"/>
              <w:rPr>
                <w:rFonts w:ascii="宋体" w:hAnsi="宋体" w:eastAsia="Arial" w:cs="Times New Roman"/>
                <w:kern w:val="0"/>
                <w:sz w:val="22"/>
                <w:szCs w:val="24"/>
                <w:highlight w:val="none"/>
                <w:lang w:eastAsia="en-US"/>
              </w:rPr>
            </w:pPr>
          </w:p>
        </w:tc>
      </w:tr>
      <w:tr w14:paraId="2800975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cantSplit/>
          <w:trHeight w:val="80" w:hRule="atLeast"/>
        </w:trPr>
        <w:tc>
          <w:tcPr>
            <w:tcW w:w="730" w:type="dxa"/>
            <w:tcBorders>
              <w:top w:val="single" w:color="auto" w:sz="8" w:space="0"/>
              <w:left w:val="single" w:color="auto" w:sz="8" w:space="0"/>
              <w:bottom w:val="single" w:color="auto" w:sz="8" w:space="0"/>
              <w:right w:val="single" w:color="auto" w:sz="8" w:space="0"/>
            </w:tcBorders>
          </w:tcPr>
          <w:p w14:paraId="51DABC08">
            <w:pPr>
              <w:widowControl/>
              <w:snapToGrid w:val="0"/>
              <w:spacing w:after="200" w:line="360" w:lineRule="auto"/>
              <w:jc w:val="center"/>
              <w:rPr>
                <w:rFonts w:ascii="宋体" w:hAnsi="宋体" w:eastAsia="Arial" w:cs="Times New Roman"/>
                <w:bCs/>
                <w:kern w:val="0"/>
                <w:sz w:val="22"/>
                <w:szCs w:val="24"/>
                <w:highlight w:val="none"/>
                <w:lang w:eastAsia="en-US"/>
              </w:rPr>
            </w:pPr>
          </w:p>
        </w:tc>
        <w:tc>
          <w:tcPr>
            <w:tcW w:w="2213" w:type="dxa"/>
            <w:tcBorders>
              <w:top w:val="single" w:color="auto" w:sz="8" w:space="0"/>
              <w:left w:val="single" w:color="auto" w:sz="8" w:space="0"/>
              <w:bottom w:val="single" w:color="auto" w:sz="8" w:space="0"/>
              <w:right w:val="single" w:color="auto" w:sz="8" w:space="0"/>
            </w:tcBorders>
          </w:tcPr>
          <w:p w14:paraId="43551FE2">
            <w:pPr>
              <w:widowControl/>
              <w:snapToGrid w:val="0"/>
              <w:spacing w:after="200" w:line="360" w:lineRule="auto"/>
              <w:jc w:val="left"/>
              <w:rPr>
                <w:rFonts w:ascii="宋体" w:hAnsi="宋体" w:eastAsia="Arial" w:cs="仿宋_GB2312"/>
                <w:kern w:val="0"/>
                <w:sz w:val="22"/>
                <w:szCs w:val="24"/>
                <w:highlight w:val="none"/>
                <w:lang w:val="zh-CN" w:eastAsia="en-US"/>
              </w:rPr>
            </w:pPr>
          </w:p>
        </w:tc>
        <w:tc>
          <w:tcPr>
            <w:tcW w:w="1959" w:type="dxa"/>
            <w:tcBorders>
              <w:top w:val="single" w:color="auto" w:sz="8" w:space="0"/>
              <w:left w:val="single" w:color="auto" w:sz="8" w:space="0"/>
              <w:bottom w:val="single" w:color="auto" w:sz="8" w:space="0"/>
              <w:right w:val="single" w:color="auto" w:sz="8" w:space="0"/>
            </w:tcBorders>
          </w:tcPr>
          <w:p w14:paraId="6D79E6DA">
            <w:pPr>
              <w:widowControl/>
              <w:snapToGrid w:val="0"/>
              <w:spacing w:after="200" w:line="360" w:lineRule="auto"/>
              <w:jc w:val="left"/>
              <w:rPr>
                <w:rFonts w:ascii="宋体" w:hAnsi="宋体" w:eastAsia="Arial" w:cs="Times New Roman"/>
                <w:kern w:val="0"/>
                <w:sz w:val="22"/>
                <w:szCs w:val="24"/>
                <w:highlight w:val="none"/>
                <w:lang w:eastAsia="en-US"/>
              </w:rPr>
            </w:pPr>
          </w:p>
        </w:tc>
        <w:tc>
          <w:tcPr>
            <w:tcW w:w="1842" w:type="dxa"/>
            <w:tcBorders>
              <w:top w:val="single" w:color="auto" w:sz="8" w:space="0"/>
              <w:left w:val="single" w:color="auto" w:sz="8" w:space="0"/>
              <w:bottom w:val="single" w:color="auto" w:sz="8" w:space="0"/>
              <w:right w:val="single" w:color="auto" w:sz="8" w:space="0"/>
            </w:tcBorders>
          </w:tcPr>
          <w:p w14:paraId="427CBC3D">
            <w:pPr>
              <w:widowControl/>
              <w:snapToGrid w:val="0"/>
              <w:spacing w:after="200" w:line="360" w:lineRule="auto"/>
              <w:jc w:val="left"/>
              <w:rPr>
                <w:rFonts w:ascii="宋体" w:hAnsi="宋体" w:eastAsia="Arial" w:cs="Times New Roman"/>
                <w:kern w:val="0"/>
                <w:sz w:val="22"/>
                <w:szCs w:val="24"/>
                <w:highlight w:val="none"/>
                <w:lang w:eastAsia="en-US"/>
              </w:rPr>
            </w:pPr>
          </w:p>
        </w:tc>
        <w:tc>
          <w:tcPr>
            <w:tcW w:w="1578" w:type="dxa"/>
            <w:tcBorders>
              <w:top w:val="single" w:color="auto" w:sz="8" w:space="0"/>
              <w:left w:val="single" w:color="auto" w:sz="8" w:space="0"/>
              <w:bottom w:val="single" w:color="auto" w:sz="8" w:space="0"/>
              <w:right w:val="single" w:color="auto" w:sz="8" w:space="0"/>
            </w:tcBorders>
          </w:tcPr>
          <w:p w14:paraId="32D0F6A7">
            <w:pPr>
              <w:widowControl/>
              <w:snapToGrid w:val="0"/>
              <w:spacing w:after="200" w:line="360" w:lineRule="auto"/>
              <w:jc w:val="left"/>
              <w:rPr>
                <w:rFonts w:ascii="宋体" w:hAnsi="宋体" w:eastAsia="Arial" w:cs="Times New Roman"/>
                <w:kern w:val="0"/>
                <w:sz w:val="22"/>
                <w:szCs w:val="24"/>
                <w:highlight w:val="none"/>
                <w:lang w:eastAsia="en-US"/>
              </w:rPr>
            </w:pPr>
          </w:p>
        </w:tc>
        <w:tc>
          <w:tcPr>
            <w:tcW w:w="1000" w:type="dxa"/>
            <w:tcBorders>
              <w:top w:val="single" w:color="auto" w:sz="8" w:space="0"/>
              <w:left w:val="single" w:color="auto" w:sz="8" w:space="0"/>
              <w:bottom w:val="single" w:color="auto" w:sz="8" w:space="0"/>
              <w:right w:val="single" w:color="auto" w:sz="8" w:space="0"/>
            </w:tcBorders>
          </w:tcPr>
          <w:p w14:paraId="6F48E04B">
            <w:pPr>
              <w:widowControl/>
              <w:snapToGrid w:val="0"/>
              <w:spacing w:after="200" w:line="360" w:lineRule="auto"/>
              <w:jc w:val="left"/>
              <w:rPr>
                <w:rFonts w:ascii="宋体" w:hAnsi="宋体" w:eastAsia="Arial" w:cs="Times New Roman"/>
                <w:kern w:val="0"/>
                <w:sz w:val="22"/>
                <w:szCs w:val="24"/>
                <w:highlight w:val="none"/>
                <w:lang w:eastAsia="en-US"/>
              </w:rPr>
            </w:pPr>
          </w:p>
        </w:tc>
      </w:tr>
    </w:tbl>
    <w:p w14:paraId="03800576">
      <w:pPr>
        <w:widowControl/>
        <w:snapToGrid w:val="0"/>
        <w:spacing w:after="200" w:line="360" w:lineRule="auto"/>
        <w:ind w:firstLine="440" w:firstLineChars="200"/>
        <w:jc w:val="left"/>
        <w:rPr>
          <w:rFonts w:ascii="宋体" w:hAnsi="宋体" w:eastAsia="Arial" w:cs="Times New Roman"/>
          <w:b/>
          <w:kern w:val="0"/>
          <w:sz w:val="22"/>
          <w:szCs w:val="24"/>
          <w:highlight w:val="none"/>
          <w:lang w:eastAsia="en-US"/>
        </w:rPr>
      </w:pPr>
    </w:p>
    <w:p w14:paraId="17065B04">
      <w:pPr>
        <w:widowControl/>
        <w:autoSpaceDE w:val="0"/>
        <w:autoSpaceDN w:val="0"/>
        <w:adjustRightInd w:val="0"/>
        <w:snapToGrid w:val="0"/>
        <w:spacing w:after="200" w:line="36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lang w:val="zh-CN"/>
        </w:rPr>
        <w:t>注：</w:t>
      </w:r>
      <w:r>
        <w:rPr>
          <w:rFonts w:hint="eastAsia" w:ascii="宋体" w:hAnsi="宋体" w:eastAsia="宋体" w:cs="宋体"/>
          <w:kern w:val="0"/>
          <w:sz w:val="24"/>
          <w:szCs w:val="24"/>
          <w:highlight w:val="none"/>
        </w:rPr>
        <w:t>1.供应商应在本表中把采购文件商务要求与实际响应商务要求逐项对应列出，并在“偏离说明”项下填写以下内容：优于的，填写“正偏离”；符合的，填写“无偏离”；低于的，填写“负偏离”。</w:t>
      </w:r>
    </w:p>
    <w:p w14:paraId="3951B4DC">
      <w:pPr>
        <w:overflowPunct w:val="0"/>
        <w:spacing w:after="20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2.若事项较多，响应人可根据响应内容的实际情况另纸说明。</w:t>
      </w:r>
    </w:p>
    <w:p w14:paraId="088946AC">
      <w:pPr>
        <w:widowControl/>
        <w:adjustRightInd w:val="0"/>
        <w:snapToGrid w:val="0"/>
        <w:spacing w:after="200" w:line="360" w:lineRule="auto"/>
        <w:jc w:val="left"/>
        <w:rPr>
          <w:rFonts w:hint="eastAsia" w:ascii="宋体" w:hAnsi="宋体" w:eastAsia="宋体" w:cs="宋体"/>
          <w:kern w:val="0"/>
          <w:sz w:val="24"/>
          <w:szCs w:val="24"/>
          <w:highlight w:val="none"/>
        </w:rPr>
      </w:pPr>
    </w:p>
    <w:p w14:paraId="5ACB5037">
      <w:pPr>
        <w:widowControl/>
        <w:adjustRightInd w:val="0"/>
        <w:snapToGrid w:val="0"/>
        <w:spacing w:after="200" w:line="36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响应单位：（单位公章）</w:t>
      </w:r>
    </w:p>
    <w:p w14:paraId="05619338">
      <w:pPr>
        <w:widowControl/>
        <w:adjustRightInd w:val="0"/>
        <w:snapToGrid w:val="0"/>
        <w:spacing w:after="200" w:line="360" w:lineRule="auto"/>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法定代表人或代理人（签字或盖章）</w:t>
      </w:r>
      <w:r>
        <w:rPr>
          <w:rFonts w:hint="eastAsia" w:ascii="宋体" w:hAnsi="宋体" w:eastAsia="宋体" w:cs="宋体"/>
          <w:bCs/>
          <w:kern w:val="0"/>
          <w:sz w:val="24"/>
          <w:szCs w:val="24"/>
          <w:highlight w:val="none"/>
        </w:rPr>
        <w:t>：</w:t>
      </w:r>
    </w:p>
    <w:p w14:paraId="75C74638">
      <w:pPr>
        <w:widowControl/>
        <w:adjustRightInd w:val="0"/>
        <w:snapToGrid w:val="0"/>
        <w:spacing w:after="200" w:line="360" w:lineRule="auto"/>
        <w:jc w:val="left"/>
        <w:rPr>
          <w:rFonts w:hint="eastAsia" w:ascii="宋体" w:hAnsi="宋体" w:eastAsia="宋体" w:cs="宋体"/>
          <w:kern w:val="0"/>
          <w:sz w:val="24"/>
          <w:szCs w:val="24"/>
          <w:highlight w:val="none"/>
        </w:rPr>
      </w:pPr>
      <w:r>
        <w:rPr>
          <w:rFonts w:hint="eastAsia" w:ascii="宋体" w:hAnsi="宋体" w:eastAsia="宋体" w:cs="宋体"/>
          <w:bCs/>
          <w:kern w:val="0"/>
          <w:sz w:val="24"/>
          <w:szCs w:val="24"/>
          <w:highlight w:val="none"/>
        </w:rPr>
        <w:t>响应日期:   年  月   日</w:t>
      </w:r>
    </w:p>
    <w:p w14:paraId="14FE45CF">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b/>
          <w:kern w:val="0"/>
          <w:sz w:val="32"/>
          <w:highlight w:val="none"/>
        </w:rPr>
        <w:t>10、项目技术方案及服务方案</w:t>
      </w:r>
    </w:p>
    <w:p w14:paraId="569755C0">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kern w:val="0"/>
          <w:sz w:val="24"/>
          <w:highlight w:val="none"/>
        </w:rPr>
        <w:t> </w:t>
      </w:r>
    </w:p>
    <w:p w14:paraId="19C5E1F0">
      <w:pPr>
        <w:widowControl/>
        <w:pBdr>
          <w:top w:val="none" w:color="000000" w:sz="0" w:space="0"/>
          <w:left w:val="none" w:color="000000" w:sz="0" w:space="0"/>
          <w:bottom w:val="none" w:color="000000" w:sz="0" w:space="0"/>
          <w:right w:val="none" w:color="000000" w:sz="0" w:space="0"/>
        </w:pBdr>
        <w:spacing w:line="276" w:lineRule="auto"/>
        <w:ind w:firstLine="480"/>
        <w:rPr>
          <w:rFonts w:ascii="Arial" w:hAnsi="Arial" w:eastAsia="Arial" w:cs="Times New Roman"/>
          <w:kern w:val="0"/>
          <w:sz w:val="22"/>
          <w:highlight w:val="none"/>
        </w:rPr>
      </w:pPr>
      <w:r>
        <w:rPr>
          <w:rFonts w:ascii="宋体" w:hAnsi="宋体" w:eastAsia="宋体" w:cs="宋体"/>
          <w:kern w:val="0"/>
          <w:sz w:val="24"/>
          <w:highlight w:val="none"/>
        </w:rPr>
        <w:t>响应人根据项目需求编写针对本项目的技术方案及服务方案</w:t>
      </w:r>
    </w:p>
    <w:p w14:paraId="41F1E72F">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b/>
          <w:kern w:val="0"/>
          <w:sz w:val="32"/>
          <w:highlight w:val="none"/>
        </w:rPr>
        <w:t> </w:t>
      </w:r>
    </w:p>
    <w:p w14:paraId="69C47CE3">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b/>
          <w:kern w:val="0"/>
          <w:sz w:val="32"/>
          <w:highlight w:val="none"/>
        </w:rPr>
        <w:t> </w:t>
      </w:r>
    </w:p>
    <w:p w14:paraId="72B6EE15">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b/>
          <w:kern w:val="0"/>
          <w:sz w:val="32"/>
          <w:highlight w:val="none"/>
        </w:rPr>
        <w:t>  </w:t>
      </w:r>
    </w:p>
    <w:p w14:paraId="3DCED59B">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b/>
          <w:kern w:val="0"/>
          <w:sz w:val="32"/>
          <w:highlight w:val="none"/>
        </w:rPr>
        <w:t> </w:t>
      </w:r>
    </w:p>
    <w:p w14:paraId="67BC4178">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b/>
          <w:kern w:val="0"/>
          <w:sz w:val="32"/>
          <w:highlight w:val="none"/>
        </w:rPr>
        <w:t>11、项目实施方案及进度方案</w:t>
      </w:r>
    </w:p>
    <w:p w14:paraId="7CA9F702">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kern w:val="0"/>
          <w:sz w:val="24"/>
          <w:highlight w:val="none"/>
        </w:rPr>
        <w:t> </w:t>
      </w:r>
    </w:p>
    <w:p w14:paraId="41DDAC64">
      <w:pPr>
        <w:widowControl/>
        <w:pBdr>
          <w:top w:val="none" w:color="000000" w:sz="0" w:space="0"/>
          <w:left w:val="none" w:color="000000" w:sz="0" w:space="0"/>
          <w:bottom w:val="none" w:color="000000" w:sz="0" w:space="0"/>
          <w:right w:val="none" w:color="000000" w:sz="0" w:space="0"/>
        </w:pBdr>
        <w:spacing w:line="85" w:lineRule="atLeast"/>
        <w:ind w:firstLine="480"/>
        <w:rPr>
          <w:rFonts w:ascii="Arial" w:hAnsi="Arial" w:eastAsia="Arial" w:cs="Times New Roman"/>
          <w:kern w:val="0"/>
          <w:sz w:val="22"/>
          <w:highlight w:val="none"/>
        </w:rPr>
      </w:pPr>
      <w:r>
        <w:rPr>
          <w:rFonts w:ascii="宋体" w:hAnsi="宋体" w:eastAsia="宋体" w:cs="宋体"/>
          <w:kern w:val="0"/>
          <w:sz w:val="24"/>
          <w:highlight w:val="none"/>
        </w:rPr>
        <w:t>响应人根据项目需求编写针对本项目的实施方案及进度方案</w:t>
      </w:r>
    </w:p>
    <w:p w14:paraId="505C91C6">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kern w:val="0"/>
          <w:sz w:val="24"/>
          <w:highlight w:val="none"/>
        </w:rPr>
        <w:t> </w:t>
      </w:r>
    </w:p>
    <w:p w14:paraId="73CF7371">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b/>
          <w:kern w:val="0"/>
          <w:sz w:val="32"/>
          <w:highlight w:val="none"/>
        </w:rPr>
        <w:t> </w:t>
      </w:r>
    </w:p>
    <w:p w14:paraId="1337998A">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b/>
          <w:kern w:val="0"/>
          <w:sz w:val="32"/>
          <w:highlight w:val="none"/>
        </w:rPr>
        <w:t> </w:t>
      </w:r>
    </w:p>
    <w:p w14:paraId="313B365B">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b/>
          <w:kern w:val="0"/>
          <w:sz w:val="32"/>
          <w:highlight w:val="none"/>
        </w:rPr>
        <w:t> </w:t>
      </w:r>
    </w:p>
    <w:p w14:paraId="03A6BCC3">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b/>
          <w:kern w:val="0"/>
          <w:sz w:val="32"/>
          <w:highlight w:val="none"/>
        </w:rPr>
        <w:t> </w:t>
      </w:r>
    </w:p>
    <w:p w14:paraId="49C829CB">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b/>
          <w:kern w:val="0"/>
          <w:sz w:val="32"/>
          <w:highlight w:val="none"/>
        </w:rPr>
        <w:t>12、项目质量保证措施及承诺</w:t>
      </w:r>
    </w:p>
    <w:p w14:paraId="1CF9AA1C">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kern w:val="0"/>
          <w:sz w:val="24"/>
          <w:highlight w:val="none"/>
        </w:rPr>
        <w:t> </w:t>
      </w:r>
    </w:p>
    <w:p w14:paraId="07F0468D">
      <w:pPr>
        <w:widowControl/>
        <w:pBdr>
          <w:top w:val="none" w:color="000000" w:sz="0" w:space="0"/>
          <w:left w:val="none" w:color="000000" w:sz="0" w:space="0"/>
          <w:bottom w:val="none" w:color="000000" w:sz="0" w:space="0"/>
          <w:right w:val="none" w:color="000000" w:sz="0" w:space="0"/>
        </w:pBdr>
        <w:spacing w:line="85" w:lineRule="atLeast"/>
        <w:ind w:firstLine="480"/>
        <w:rPr>
          <w:rFonts w:ascii="Arial" w:hAnsi="Arial" w:eastAsia="Arial" w:cs="Times New Roman"/>
          <w:kern w:val="0"/>
          <w:sz w:val="22"/>
          <w:highlight w:val="none"/>
        </w:rPr>
      </w:pPr>
      <w:r>
        <w:rPr>
          <w:rFonts w:ascii="宋体" w:hAnsi="宋体" w:eastAsia="宋体" w:cs="宋体"/>
          <w:kern w:val="0"/>
          <w:sz w:val="24"/>
          <w:highlight w:val="none"/>
        </w:rPr>
        <w:t>响应人根据项目需求编写针对本项目的质量保证措施及承诺</w:t>
      </w:r>
    </w:p>
    <w:p w14:paraId="58D2E8DF">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b/>
          <w:kern w:val="0"/>
          <w:sz w:val="32"/>
          <w:highlight w:val="none"/>
        </w:rPr>
        <w:t> </w:t>
      </w:r>
    </w:p>
    <w:p w14:paraId="6D745436">
      <w:pPr>
        <w:widowControl/>
        <w:pBdr>
          <w:top w:val="none" w:color="000000" w:sz="0" w:space="0"/>
          <w:left w:val="none" w:color="000000" w:sz="0" w:space="0"/>
          <w:bottom w:val="none" w:color="000000" w:sz="0" w:space="0"/>
          <w:right w:val="none" w:color="000000" w:sz="0" w:space="0"/>
        </w:pBdr>
        <w:spacing w:before="240" w:after="240" w:line="85" w:lineRule="atLeast"/>
        <w:jc w:val="left"/>
        <w:rPr>
          <w:rFonts w:ascii="Arial" w:hAnsi="Arial" w:eastAsia="Arial" w:cs="Times New Roman"/>
          <w:kern w:val="0"/>
          <w:sz w:val="22"/>
          <w:highlight w:val="none"/>
        </w:rPr>
      </w:pPr>
      <w:r>
        <w:rPr>
          <w:rFonts w:ascii="宋体" w:hAnsi="宋体" w:eastAsia="宋体" w:cs="宋体"/>
          <w:b/>
          <w:kern w:val="0"/>
          <w:sz w:val="32"/>
          <w:highlight w:val="none"/>
        </w:rPr>
        <w:t> </w:t>
      </w:r>
    </w:p>
    <w:p w14:paraId="694679B0">
      <w:pPr>
        <w:widowControl/>
        <w:pBdr>
          <w:top w:val="none" w:color="000000" w:sz="0" w:space="0"/>
          <w:left w:val="none" w:color="000000" w:sz="0" w:space="0"/>
          <w:bottom w:val="none" w:color="000000" w:sz="0" w:space="0"/>
          <w:right w:val="none" w:color="000000" w:sz="0" w:space="0"/>
        </w:pBdr>
        <w:spacing w:before="240" w:after="240" w:line="85" w:lineRule="atLeast"/>
        <w:jc w:val="left"/>
        <w:rPr>
          <w:rFonts w:ascii="Arial" w:hAnsi="Arial" w:eastAsia="Arial" w:cs="Times New Roman"/>
          <w:kern w:val="0"/>
          <w:sz w:val="22"/>
          <w:highlight w:val="none"/>
        </w:rPr>
      </w:pPr>
      <w:r>
        <w:rPr>
          <w:rFonts w:ascii="宋体" w:hAnsi="宋体" w:eastAsia="宋体" w:cs="宋体"/>
          <w:b/>
          <w:kern w:val="0"/>
          <w:sz w:val="32"/>
          <w:highlight w:val="none"/>
        </w:rPr>
        <w:t> </w:t>
      </w:r>
    </w:p>
    <w:p w14:paraId="739EEFFB">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b/>
          <w:kern w:val="0"/>
          <w:sz w:val="32"/>
          <w:highlight w:val="none"/>
        </w:rPr>
        <w:t>13、项目售后服务方案</w:t>
      </w:r>
    </w:p>
    <w:p w14:paraId="00A9ABFB">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b/>
          <w:kern w:val="0"/>
          <w:sz w:val="32"/>
          <w:highlight w:val="none"/>
        </w:rPr>
        <w:t> </w:t>
      </w:r>
    </w:p>
    <w:p w14:paraId="250813C7">
      <w:pPr>
        <w:widowControl/>
        <w:pBdr>
          <w:top w:val="none" w:color="000000" w:sz="0" w:space="0"/>
          <w:left w:val="none" w:color="000000" w:sz="0" w:space="0"/>
          <w:bottom w:val="none" w:color="000000" w:sz="0" w:space="0"/>
          <w:right w:val="none" w:color="000000" w:sz="0" w:space="0"/>
        </w:pBdr>
        <w:spacing w:line="276" w:lineRule="auto"/>
        <w:ind w:firstLine="708"/>
        <w:rPr>
          <w:rFonts w:ascii="Arial" w:hAnsi="Arial" w:eastAsia="Arial" w:cs="Times New Roman"/>
          <w:kern w:val="0"/>
          <w:sz w:val="22"/>
          <w:highlight w:val="none"/>
        </w:rPr>
      </w:pPr>
      <w:r>
        <w:rPr>
          <w:rFonts w:ascii="宋体" w:hAnsi="宋体" w:eastAsia="宋体" w:cs="宋体"/>
          <w:kern w:val="0"/>
          <w:sz w:val="24"/>
          <w:highlight w:val="none"/>
        </w:rPr>
        <w:t>响应人根据项目需求编写针对本项目的售后服务方案</w:t>
      </w:r>
    </w:p>
    <w:p w14:paraId="219EB1D2">
      <w:pPr>
        <w:widowControl/>
        <w:spacing w:after="200" w:line="276" w:lineRule="auto"/>
        <w:jc w:val="left"/>
        <w:rPr>
          <w:rFonts w:ascii="宋体" w:hAnsi="宋体" w:eastAsia="Arial" w:cs="Times New Roman"/>
          <w:b/>
          <w:kern w:val="0"/>
          <w:sz w:val="28"/>
          <w:szCs w:val="32"/>
          <w:highlight w:val="none"/>
        </w:rPr>
      </w:pPr>
      <w:r>
        <w:rPr>
          <w:rFonts w:ascii="宋体" w:hAnsi="宋体" w:eastAsia="Arial" w:cs="Times New Roman"/>
          <w:b/>
          <w:kern w:val="0"/>
          <w:sz w:val="28"/>
          <w:szCs w:val="32"/>
          <w:highlight w:val="none"/>
        </w:rPr>
        <w:br w:type="page"/>
      </w:r>
    </w:p>
    <w:p w14:paraId="7C024B0A">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b/>
          <w:kern w:val="0"/>
          <w:sz w:val="32"/>
          <w:highlight w:val="none"/>
        </w:rPr>
        <w:t>14、企业类似业绩一览表</w:t>
      </w:r>
      <w:r>
        <w:rPr>
          <w:rFonts w:hint="eastAsia" w:ascii="宋体" w:hAnsi="宋体" w:eastAsia="宋体" w:cs="宋体"/>
          <w:b/>
          <w:kern w:val="0"/>
          <w:sz w:val="32"/>
          <w:highlight w:val="none"/>
        </w:rPr>
        <w:t>（如有）</w:t>
      </w:r>
    </w:p>
    <w:p w14:paraId="3371C8C9">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rPr>
      </w:pPr>
      <w:r>
        <w:rPr>
          <w:rFonts w:ascii="宋体" w:hAnsi="宋体" w:eastAsia="宋体" w:cs="宋体"/>
          <w:b/>
          <w:kern w:val="0"/>
          <w:sz w:val="28"/>
          <w:highlight w:val="none"/>
        </w:rPr>
        <w:t> </w:t>
      </w:r>
    </w:p>
    <w:p w14:paraId="5998BBC4">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rPr>
      </w:pPr>
      <w:r>
        <w:rPr>
          <w:rFonts w:ascii="宋体" w:hAnsi="宋体" w:eastAsia="宋体" w:cs="宋体"/>
          <w:b/>
          <w:kern w:val="0"/>
          <w:sz w:val="28"/>
          <w:highlight w:val="none"/>
        </w:rPr>
        <w:t>企业类似业绩一览表</w:t>
      </w:r>
    </w:p>
    <w:tbl>
      <w:tblPr>
        <w:tblStyle w:val="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73"/>
        <w:gridCol w:w="1114"/>
        <w:gridCol w:w="1091"/>
        <w:gridCol w:w="1160"/>
        <w:gridCol w:w="1591"/>
        <w:gridCol w:w="1051"/>
      </w:tblGrid>
      <w:tr w14:paraId="51CDB6A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BE01D6D">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序号</w:t>
            </w:r>
          </w:p>
        </w:tc>
        <w:tc>
          <w:tcPr>
            <w:tcW w:w="1114"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47C8965">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项目名称</w:t>
            </w:r>
          </w:p>
        </w:tc>
        <w:tc>
          <w:tcPr>
            <w:tcW w:w="109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268F129">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项目时间</w:t>
            </w:r>
          </w:p>
        </w:tc>
        <w:tc>
          <w:tcPr>
            <w:tcW w:w="1160"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6B8ACA17">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合同金额</w:t>
            </w:r>
          </w:p>
          <w:p w14:paraId="2CC48E41">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（人民币）</w:t>
            </w:r>
          </w:p>
        </w:tc>
        <w:tc>
          <w:tcPr>
            <w:tcW w:w="159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3DFBB1C3">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业主单位</w:t>
            </w:r>
          </w:p>
        </w:tc>
        <w:tc>
          <w:tcPr>
            <w:tcW w:w="1051"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5E7EDBC">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备注</w:t>
            </w:r>
          </w:p>
        </w:tc>
      </w:tr>
      <w:tr w14:paraId="2AD2AA0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32C08C3">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1</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D2C9BDD">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44907D8A">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842194D">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02D4B8B">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DEAE825">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r>
      <w:tr w14:paraId="023299E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D54C871">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2</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29BEF52">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A92B71D">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EC2FA99">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6529A68">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871F9D2">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r>
      <w:tr w14:paraId="48489C9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89EA0A5">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3</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DCDAD4C">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3D3B421">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77BCB50">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186AD5A">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32D6232">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r>
      <w:tr w14:paraId="4C12B44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981C3B6">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4</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6D10D08">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F58D40B">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0EDA171">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B932B7B">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5005571">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r>
      <w:tr w14:paraId="0D886AC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8356A00">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5</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1E45BA0">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416EF9F">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57368B5">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5D9795B">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081A2D1">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r>
      <w:tr w14:paraId="653987F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634CA90">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6</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2D5D176">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4BEB33D">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CC8D86B">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7A3E607">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9078380">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r>
      <w:tr w14:paraId="4D9E1B8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AEC8ACC">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A05A0A7">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029B3554">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CAE0592">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1F581F4">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B16D635">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r>
      <w:tr w14:paraId="1F2367F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6DC341C">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A84A190">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3FB191B6">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C1418C6">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F745A61">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01B41E5C">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r>
      <w:tr w14:paraId="55FF126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1073"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0EE2170">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114"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A617176">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91" w:type="dxa"/>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59917B6F">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160"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160768B">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59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93B989F">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c>
          <w:tcPr>
            <w:tcW w:w="1051"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0D9C74C">
            <w:pPr>
              <w:widowControl/>
              <w:pBdr>
                <w:top w:val="none" w:color="000000" w:sz="0" w:space="0"/>
                <w:left w:val="none" w:color="000000" w:sz="0" w:space="0"/>
                <w:bottom w:val="none" w:color="000000" w:sz="0" w:space="0"/>
                <w:right w:val="none" w:color="000000" w:sz="0" w:space="0"/>
              </w:pBdr>
              <w:spacing w:line="85" w:lineRule="atLeast"/>
              <w:jc w:val="center"/>
              <w:rPr>
                <w:rFonts w:ascii="Arial" w:hAnsi="Arial" w:eastAsia="Arial" w:cs="Times New Roman"/>
                <w:kern w:val="0"/>
                <w:sz w:val="22"/>
                <w:highlight w:val="none"/>
                <w:lang w:eastAsia="en-US"/>
              </w:rPr>
            </w:pPr>
            <w:r>
              <w:rPr>
                <w:rFonts w:ascii="宋体" w:hAnsi="宋体" w:eastAsia="宋体" w:cs="宋体"/>
                <w:kern w:val="0"/>
                <w:sz w:val="24"/>
                <w:highlight w:val="none"/>
                <w:lang w:eastAsia="en-US"/>
              </w:rPr>
              <w:t> </w:t>
            </w:r>
          </w:p>
        </w:tc>
      </w:tr>
    </w:tbl>
    <w:p w14:paraId="745D4EA8">
      <w:pPr>
        <w:widowControl/>
        <w:pBdr>
          <w:top w:val="none" w:color="000000" w:sz="0" w:space="0"/>
          <w:left w:val="none" w:color="000000" w:sz="0" w:space="0"/>
          <w:bottom w:val="none" w:color="000000" w:sz="0" w:space="0"/>
          <w:right w:val="none" w:color="000000" w:sz="0" w:space="0"/>
        </w:pBdr>
        <w:spacing w:line="439" w:lineRule="atLeast"/>
        <w:ind w:firstLine="240"/>
        <w:rPr>
          <w:rFonts w:ascii="Arial" w:hAnsi="Arial" w:eastAsia="Arial" w:cs="Times New Roman"/>
          <w:kern w:val="0"/>
          <w:sz w:val="22"/>
          <w:highlight w:val="none"/>
        </w:rPr>
      </w:pPr>
      <w:r>
        <w:rPr>
          <w:rFonts w:ascii="宋体" w:hAnsi="宋体" w:eastAsia="宋体" w:cs="宋体"/>
          <w:kern w:val="0"/>
          <w:sz w:val="24"/>
          <w:highlight w:val="none"/>
        </w:rPr>
        <w:t>附：按照</w:t>
      </w:r>
      <w:r>
        <w:rPr>
          <w:rFonts w:hint="eastAsia" w:ascii="宋体" w:hAnsi="宋体" w:eastAsia="宋体" w:cs="宋体"/>
          <w:kern w:val="0"/>
          <w:sz w:val="24"/>
          <w:highlight w:val="none"/>
        </w:rPr>
        <w:t>采购文件</w:t>
      </w:r>
      <w:r>
        <w:rPr>
          <w:rFonts w:ascii="宋体" w:hAnsi="宋体" w:eastAsia="宋体" w:cs="宋体"/>
          <w:kern w:val="0"/>
          <w:sz w:val="24"/>
          <w:highlight w:val="none"/>
        </w:rPr>
        <w:t>要求及评分标准提供相应证明材料</w:t>
      </w:r>
    </w:p>
    <w:p w14:paraId="5F2D4523">
      <w:pPr>
        <w:widowControl/>
        <w:pBdr>
          <w:top w:val="none" w:color="000000" w:sz="0" w:space="0"/>
          <w:left w:val="none" w:color="000000" w:sz="0" w:space="0"/>
          <w:bottom w:val="none" w:color="000000" w:sz="0" w:space="0"/>
          <w:right w:val="none" w:color="000000" w:sz="0" w:space="0"/>
        </w:pBdr>
        <w:spacing w:line="499" w:lineRule="atLeast"/>
        <w:ind w:firstLine="480"/>
        <w:rPr>
          <w:rFonts w:ascii="Arial" w:hAnsi="Arial" w:eastAsia="Arial" w:cs="Times New Roman"/>
          <w:kern w:val="0"/>
          <w:sz w:val="22"/>
          <w:highlight w:val="none"/>
        </w:rPr>
      </w:pPr>
      <w:r>
        <w:rPr>
          <w:rFonts w:ascii="宋体" w:hAnsi="宋体" w:eastAsia="宋体" w:cs="宋体"/>
          <w:kern w:val="0"/>
          <w:sz w:val="24"/>
          <w:highlight w:val="none"/>
        </w:rPr>
        <w:t xml:space="preserve">响应单位（单位盖章）： </w:t>
      </w:r>
    </w:p>
    <w:p w14:paraId="2607B4E4">
      <w:pPr>
        <w:widowControl/>
        <w:pBdr>
          <w:top w:val="none" w:color="000000" w:sz="0" w:space="0"/>
          <w:left w:val="none" w:color="000000" w:sz="0" w:space="0"/>
          <w:bottom w:val="none" w:color="000000" w:sz="0" w:space="0"/>
          <w:right w:val="none" w:color="000000" w:sz="0" w:space="0"/>
        </w:pBdr>
        <w:spacing w:line="499" w:lineRule="atLeast"/>
        <w:ind w:firstLine="480"/>
        <w:rPr>
          <w:rFonts w:ascii="Arial" w:hAnsi="Arial" w:eastAsia="Arial" w:cs="Times New Roman"/>
          <w:kern w:val="0"/>
          <w:sz w:val="22"/>
          <w:highlight w:val="none"/>
        </w:rPr>
      </w:pPr>
      <w:r>
        <w:rPr>
          <w:rFonts w:ascii="宋体" w:hAnsi="宋体" w:eastAsia="宋体" w:cs="宋体"/>
          <w:kern w:val="0"/>
          <w:sz w:val="24"/>
          <w:highlight w:val="none"/>
        </w:rPr>
        <w:t>法定代表人或代理人（签字或盖章）：</w:t>
      </w:r>
    </w:p>
    <w:p w14:paraId="697FD19A">
      <w:pPr>
        <w:widowControl/>
        <w:pBdr>
          <w:top w:val="none" w:color="000000" w:sz="0" w:space="0"/>
          <w:left w:val="none" w:color="000000" w:sz="0" w:space="0"/>
          <w:bottom w:val="none" w:color="000000" w:sz="0" w:space="0"/>
          <w:right w:val="none" w:color="000000" w:sz="0" w:space="0"/>
        </w:pBdr>
        <w:spacing w:line="276" w:lineRule="auto"/>
        <w:ind w:firstLine="480"/>
        <w:rPr>
          <w:rFonts w:ascii="Arial" w:hAnsi="Arial" w:eastAsia="Arial" w:cs="Times New Roman"/>
          <w:kern w:val="0"/>
          <w:sz w:val="22"/>
          <w:highlight w:val="none"/>
        </w:rPr>
      </w:pPr>
      <w:r>
        <w:rPr>
          <w:rFonts w:ascii="宋体" w:hAnsi="宋体" w:eastAsia="宋体" w:cs="宋体"/>
          <w:kern w:val="0"/>
          <w:sz w:val="24"/>
          <w:highlight w:val="none"/>
        </w:rPr>
        <w:t>日期：年月日</w:t>
      </w:r>
    </w:p>
    <w:p w14:paraId="20FB633F">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Arial" w:hAnsi="Arial" w:eastAsia="Arial" w:cs="Times New Roman"/>
          <w:kern w:val="0"/>
          <w:sz w:val="22"/>
          <w:highlight w:val="none"/>
        </w:rPr>
        <w:br w:type="page" w:clear="all"/>
      </w:r>
    </w:p>
    <w:p w14:paraId="18E915CF">
      <w:pPr>
        <w:widowControl/>
        <w:pBdr>
          <w:top w:val="none" w:color="000000" w:sz="0" w:space="0"/>
          <w:left w:val="none" w:color="000000" w:sz="0" w:space="0"/>
          <w:bottom w:val="none" w:color="000000" w:sz="0" w:space="0"/>
          <w:right w:val="none" w:color="000000" w:sz="0" w:space="0"/>
        </w:pBdr>
        <w:spacing w:line="276" w:lineRule="auto"/>
        <w:rPr>
          <w:rFonts w:ascii="Arial" w:hAnsi="Arial" w:eastAsia="Arial" w:cs="Times New Roman"/>
          <w:kern w:val="0"/>
          <w:sz w:val="22"/>
          <w:highlight w:val="none"/>
        </w:rPr>
      </w:pPr>
      <w:r>
        <w:rPr>
          <w:rFonts w:ascii="宋体" w:hAnsi="宋体" w:eastAsia="宋体" w:cs="宋体"/>
          <w:b/>
          <w:kern w:val="0"/>
          <w:sz w:val="32"/>
          <w:highlight w:val="none"/>
        </w:rPr>
        <w:t>15、拟投入本项目的专业技术（服务）人员情况一览表</w:t>
      </w:r>
    </w:p>
    <w:p w14:paraId="04B79D9F">
      <w:pPr>
        <w:widowControl/>
        <w:pBdr>
          <w:top w:val="none" w:color="000000" w:sz="0" w:space="0"/>
          <w:left w:val="none" w:color="000000" w:sz="0" w:space="0"/>
          <w:bottom w:val="none" w:color="000000" w:sz="0" w:space="0"/>
          <w:right w:val="none" w:color="000000" w:sz="0" w:space="0"/>
        </w:pBdr>
        <w:spacing w:before="240" w:after="240" w:line="276" w:lineRule="auto"/>
        <w:ind w:firstLine="1043"/>
        <w:jc w:val="left"/>
        <w:rPr>
          <w:rFonts w:ascii="Arial" w:hAnsi="Arial" w:eastAsia="Arial" w:cs="Times New Roman"/>
          <w:kern w:val="0"/>
          <w:sz w:val="22"/>
          <w:highlight w:val="none"/>
        </w:rPr>
      </w:pPr>
      <w:r>
        <w:rPr>
          <w:rFonts w:ascii="宋体" w:hAnsi="宋体" w:eastAsia="宋体" w:cs="宋体"/>
          <w:b/>
          <w:kern w:val="0"/>
          <w:sz w:val="28"/>
          <w:highlight w:val="none"/>
        </w:rPr>
        <w:t>拟投入本项目的专业技术（服务）人员情况一览表</w:t>
      </w:r>
    </w:p>
    <w:tbl>
      <w:tblPr>
        <w:tblStyle w:val="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10"/>
        <w:gridCol w:w="1726"/>
        <w:gridCol w:w="1126"/>
        <w:gridCol w:w="943"/>
        <w:gridCol w:w="710"/>
        <w:gridCol w:w="1002"/>
        <w:gridCol w:w="1595"/>
        <w:gridCol w:w="880"/>
      </w:tblGrid>
      <w:tr w14:paraId="77D6AB1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A2A806B">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b/>
                <w:kern w:val="0"/>
                <w:highlight w:val="none"/>
                <w:lang w:eastAsia="en-US"/>
              </w:rPr>
              <w:t>序号</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F9FB41A">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b/>
                <w:kern w:val="0"/>
                <w:highlight w:val="none"/>
                <w:lang w:eastAsia="en-US"/>
              </w:rPr>
              <w:t>岗位</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F10AC8D">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b/>
                <w:kern w:val="0"/>
                <w:highlight w:val="none"/>
                <w:lang w:eastAsia="en-US"/>
              </w:rPr>
              <w:t>姓名</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A7728E9">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b/>
                <w:kern w:val="0"/>
                <w:highlight w:val="none"/>
                <w:lang w:eastAsia="en-US"/>
              </w:rPr>
              <w:t>性别</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2710F7D">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b/>
                <w:kern w:val="0"/>
                <w:highlight w:val="none"/>
                <w:lang w:eastAsia="en-US"/>
              </w:rPr>
              <w:t>年龄</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664A421">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b/>
                <w:kern w:val="0"/>
                <w:highlight w:val="none"/>
                <w:lang w:eastAsia="en-US"/>
              </w:rPr>
              <w:t>学历</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F503265">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b/>
                <w:kern w:val="0"/>
                <w:highlight w:val="none"/>
                <w:lang w:eastAsia="en-US"/>
              </w:rPr>
              <w:t>专业技术职称</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34D7A8C">
            <w:pPr>
              <w:widowControl/>
              <w:pBdr>
                <w:top w:val="none" w:color="000000" w:sz="0" w:space="0"/>
                <w:left w:val="none" w:color="000000" w:sz="0" w:space="0"/>
                <w:bottom w:val="none" w:color="000000" w:sz="0" w:space="0"/>
                <w:right w:val="none" w:color="000000" w:sz="0" w:space="0"/>
              </w:pBdr>
              <w:ind w:firstLine="211"/>
              <w:rPr>
                <w:rFonts w:ascii="Arial" w:hAnsi="Arial" w:eastAsia="Arial" w:cs="Times New Roman"/>
                <w:kern w:val="0"/>
                <w:sz w:val="22"/>
                <w:highlight w:val="none"/>
                <w:lang w:eastAsia="en-US"/>
              </w:rPr>
            </w:pPr>
            <w:r>
              <w:rPr>
                <w:rFonts w:ascii="宋体" w:hAnsi="宋体" w:eastAsia="宋体" w:cs="宋体"/>
                <w:b/>
                <w:kern w:val="0"/>
                <w:highlight w:val="none"/>
                <w:lang w:eastAsia="en-US"/>
              </w:rPr>
              <w:t>备注</w:t>
            </w:r>
          </w:p>
        </w:tc>
      </w:tr>
      <w:tr w14:paraId="168D0A0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8BEC255">
            <w:pPr>
              <w:widowControl/>
              <w:pBdr>
                <w:top w:val="none" w:color="000000" w:sz="0" w:space="0"/>
                <w:left w:val="none" w:color="000000" w:sz="0" w:space="0"/>
                <w:bottom w:val="none" w:color="000000" w:sz="0" w:space="0"/>
                <w:right w:val="none" w:color="000000" w:sz="0" w:space="0"/>
              </w:pBdr>
              <w:ind w:firstLine="210"/>
              <w:rPr>
                <w:rFonts w:ascii="Arial" w:hAnsi="Arial" w:eastAsia="Arial" w:cs="Times New Roman"/>
                <w:kern w:val="0"/>
                <w:sz w:val="22"/>
                <w:highlight w:val="none"/>
                <w:lang w:eastAsia="en-US"/>
              </w:rPr>
            </w:pPr>
            <w:r>
              <w:rPr>
                <w:rFonts w:ascii="宋体" w:hAnsi="宋体" w:eastAsia="宋体" w:cs="宋体"/>
                <w:kern w:val="0"/>
                <w:highlight w:val="none"/>
                <w:lang w:eastAsia="en-US"/>
              </w:rPr>
              <w:t>1</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02A14D5">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D3B66E7">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7611B73">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81D9A75">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B53CB61">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8A02E1E">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422D1FA">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r>
      <w:tr w14:paraId="57D225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D8039D3">
            <w:pPr>
              <w:widowControl/>
              <w:pBdr>
                <w:top w:val="none" w:color="000000" w:sz="0" w:space="0"/>
                <w:left w:val="none" w:color="000000" w:sz="0" w:space="0"/>
                <w:bottom w:val="none" w:color="000000" w:sz="0" w:space="0"/>
                <w:right w:val="none" w:color="000000" w:sz="0" w:space="0"/>
              </w:pBdr>
              <w:ind w:firstLine="210"/>
              <w:rPr>
                <w:rFonts w:ascii="Arial" w:hAnsi="Arial" w:eastAsia="Arial" w:cs="Times New Roman"/>
                <w:kern w:val="0"/>
                <w:sz w:val="22"/>
                <w:highlight w:val="none"/>
                <w:lang w:eastAsia="en-US"/>
              </w:rPr>
            </w:pPr>
            <w:r>
              <w:rPr>
                <w:rFonts w:ascii="宋体" w:hAnsi="宋体" w:eastAsia="宋体" w:cs="宋体"/>
                <w:kern w:val="0"/>
                <w:highlight w:val="none"/>
                <w:lang w:eastAsia="en-US"/>
              </w:rPr>
              <w:t>2</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0B95E10">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F2F7F39">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9B48593">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B3C0F95">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3C567C9">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3731122">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6F33920">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r>
      <w:tr w14:paraId="2F47ABE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9D1B11F">
            <w:pPr>
              <w:widowControl/>
              <w:pBdr>
                <w:top w:val="none" w:color="000000" w:sz="0" w:space="0"/>
                <w:left w:val="none" w:color="000000" w:sz="0" w:space="0"/>
                <w:bottom w:val="none" w:color="000000" w:sz="0" w:space="0"/>
                <w:right w:val="none" w:color="000000" w:sz="0" w:space="0"/>
              </w:pBdr>
              <w:ind w:firstLine="210"/>
              <w:rPr>
                <w:rFonts w:ascii="Arial" w:hAnsi="Arial" w:eastAsia="Arial" w:cs="Times New Roman"/>
                <w:kern w:val="0"/>
                <w:sz w:val="22"/>
                <w:highlight w:val="none"/>
                <w:lang w:eastAsia="en-US"/>
              </w:rPr>
            </w:pPr>
            <w:r>
              <w:rPr>
                <w:rFonts w:ascii="宋体" w:hAnsi="宋体" w:eastAsia="宋体" w:cs="宋体"/>
                <w:kern w:val="0"/>
                <w:highlight w:val="none"/>
                <w:lang w:eastAsia="en-US"/>
              </w:rPr>
              <w:t>3</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26A9F95">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A151F32">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DE7D17B">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717E086">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609751B">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0DD8B17">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1E9B7CA">
            <w:pPr>
              <w:widowControl/>
              <w:pBdr>
                <w:top w:val="none" w:color="000000" w:sz="0" w:space="0"/>
                <w:left w:val="none" w:color="000000" w:sz="0" w:space="0"/>
                <w:bottom w:val="none" w:color="000000" w:sz="0" w:space="0"/>
                <w:right w:val="none" w:color="000000" w:sz="0" w:space="0"/>
              </w:pBdr>
              <w:ind w:firstLine="480"/>
              <w:jc w:val="center"/>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r>
      <w:tr w14:paraId="1313AB1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18B4A798">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A9C798D">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12F2341">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AA98C20">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2C7F51C">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FAD5923">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BCCD83F">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5FB15F1">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r>
      <w:tr w14:paraId="756A963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DBF7829">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D5AB3B7">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9BEFC63">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6314F07">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F795BFF">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56D660E">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11AA88E">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43109DAB">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r>
      <w:tr w14:paraId="6A149CC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9BCD06D">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7444B2F">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91DA736">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F97DDB4">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18084CC">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6A7CCC6">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F267D00">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EF24CCF">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r>
      <w:tr w14:paraId="21B809C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36EE849">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2431D817">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96FC4D2">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9F042D1">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0AF56646">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57E1E5DF">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76B589B4">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66FF1E6">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r>
      <w:tr w14:paraId="7C1BA4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6287E0B">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8F05772">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25100313">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F16308D">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E074FBE">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16291BFA">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AEEF860">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0A4108D6">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r>
      <w:tr w14:paraId="50B075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71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7C41FA6B">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726"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55987B27">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126"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4BBE11E9">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943"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68E41AEB">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710"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B192020">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002"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301DD1C5">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1595" w:type="dxa"/>
            <w:tcBorders>
              <w:top w:val="single" w:color="000000" w:sz="8" w:space="0"/>
              <w:left w:val="nil"/>
              <w:bottom w:val="single" w:color="000000" w:sz="8" w:space="0"/>
              <w:right w:val="single" w:color="000000" w:sz="8" w:space="0"/>
            </w:tcBorders>
            <w:tcMar>
              <w:top w:w="0" w:type="dxa"/>
              <w:left w:w="0" w:type="dxa"/>
              <w:bottom w:w="0" w:type="dxa"/>
              <w:right w:w="0" w:type="dxa"/>
            </w:tcMar>
            <w:vAlign w:val="center"/>
          </w:tcPr>
          <w:p w14:paraId="65B50246">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c>
          <w:tcPr>
            <w:tcW w:w="88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vAlign w:val="center"/>
          </w:tcPr>
          <w:p w14:paraId="3EBF6829">
            <w:pPr>
              <w:widowControl/>
              <w:pBdr>
                <w:top w:val="none" w:color="000000" w:sz="0" w:space="0"/>
                <w:left w:val="none" w:color="000000" w:sz="0" w:space="0"/>
                <w:bottom w:val="none" w:color="000000" w:sz="0" w:space="0"/>
                <w:right w:val="none" w:color="000000" w:sz="0" w:space="0"/>
              </w:pBdr>
              <w:ind w:firstLine="480"/>
              <w:rPr>
                <w:rFonts w:ascii="Arial" w:hAnsi="Arial" w:eastAsia="Arial" w:cs="Times New Roman"/>
                <w:kern w:val="0"/>
                <w:sz w:val="22"/>
                <w:highlight w:val="none"/>
                <w:lang w:eastAsia="en-US"/>
              </w:rPr>
            </w:pPr>
            <w:r>
              <w:rPr>
                <w:rFonts w:ascii="宋体" w:hAnsi="宋体" w:eastAsia="宋体" w:cs="宋体"/>
                <w:kern w:val="0"/>
                <w:highlight w:val="none"/>
                <w:lang w:eastAsia="en-US"/>
              </w:rPr>
              <w:t> </w:t>
            </w:r>
          </w:p>
        </w:tc>
      </w:tr>
    </w:tbl>
    <w:p w14:paraId="494FADDF">
      <w:pPr>
        <w:widowControl/>
        <w:pBdr>
          <w:top w:val="none" w:color="000000" w:sz="0" w:space="0"/>
          <w:left w:val="none" w:color="000000" w:sz="0" w:space="0"/>
          <w:bottom w:val="none" w:color="000000" w:sz="0" w:space="0"/>
          <w:right w:val="none" w:color="000000" w:sz="0" w:space="0"/>
        </w:pBdr>
        <w:spacing w:line="419" w:lineRule="atLeast"/>
        <w:jc w:val="left"/>
        <w:rPr>
          <w:rFonts w:ascii="Arial" w:hAnsi="Arial" w:eastAsia="Arial" w:cs="Times New Roman"/>
          <w:kern w:val="0"/>
          <w:sz w:val="22"/>
          <w:highlight w:val="none"/>
        </w:rPr>
      </w:pPr>
      <w:r>
        <w:rPr>
          <w:rFonts w:ascii="宋体" w:hAnsi="宋体" w:eastAsia="宋体" w:cs="宋体"/>
          <w:kern w:val="0"/>
          <w:sz w:val="24"/>
          <w:highlight w:val="none"/>
        </w:rPr>
        <w:t>附：1、按照</w:t>
      </w:r>
      <w:r>
        <w:rPr>
          <w:rFonts w:hint="eastAsia" w:ascii="宋体" w:hAnsi="宋体" w:eastAsia="宋体" w:cs="宋体"/>
          <w:kern w:val="0"/>
          <w:sz w:val="24"/>
          <w:highlight w:val="none"/>
        </w:rPr>
        <w:t>采购文件</w:t>
      </w:r>
      <w:r>
        <w:rPr>
          <w:rFonts w:ascii="宋体" w:hAnsi="宋体" w:eastAsia="宋体" w:cs="宋体"/>
          <w:kern w:val="0"/>
          <w:sz w:val="24"/>
          <w:highlight w:val="none"/>
        </w:rPr>
        <w:t>要求提供相应资质证明材料。</w:t>
      </w:r>
    </w:p>
    <w:p w14:paraId="2AF102AC">
      <w:pPr>
        <w:widowControl/>
        <w:pBdr>
          <w:top w:val="none" w:color="000000" w:sz="0" w:space="0"/>
          <w:left w:val="none" w:color="000000" w:sz="0" w:space="0"/>
          <w:bottom w:val="none" w:color="000000" w:sz="0" w:space="0"/>
          <w:right w:val="none" w:color="000000" w:sz="0" w:space="0"/>
        </w:pBdr>
        <w:spacing w:line="419" w:lineRule="atLeast"/>
        <w:rPr>
          <w:rFonts w:ascii="Arial" w:hAnsi="Arial" w:eastAsia="Arial" w:cs="Times New Roman"/>
          <w:kern w:val="0"/>
          <w:sz w:val="22"/>
          <w:highlight w:val="none"/>
        </w:rPr>
      </w:pPr>
      <w:r>
        <w:rPr>
          <w:rFonts w:ascii="宋体" w:hAnsi="宋体" w:eastAsia="宋体" w:cs="宋体"/>
          <w:kern w:val="0"/>
          <w:sz w:val="24"/>
          <w:highlight w:val="none"/>
        </w:rPr>
        <w:t> </w:t>
      </w:r>
    </w:p>
    <w:p w14:paraId="52D30A5B">
      <w:pPr>
        <w:widowControl/>
        <w:pBdr>
          <w:top w:val="none" w:color="000000" w:sz="0" w:space="0"/>
          <w:left w:val="none" w:color="000000" w:sz="0" w:space="0"/>
          <w:bottom w:val="none" w:color="000000" w:sz="0" w:space="0"/>
          <w:right w:val="none" w:color="000000" w:sz="0" w:space="0"/>
        </w:pBdr>
        <w:spacing w:line="312" w:lineRule="atLeast"/>
        <w:ind w:firstLine="574"/>
        <w:rPr>
          <w:rFonts w:ascii="Arial" w:hAnsi="Arial" w:eastAsia="Arial" w:cs="Times New Roman"/>
          <w:kern w:val="0"/>
          <w:sz w:val="22"/>
          <w:highlight w:val="none"/>
        </w:rPr>
      </w:pPr>
      <w:r>
        <w:rPr>
          <w:rFonts w:ascii="宋体" w:hAnsi="宋体" w:eastAsia="宋体" w:cs="宋体"/>
          <w:kern w:val="0"/>
          <w:sz w:val="28"/>
          <w:highlight w:val="none"/>
        </w:rPr>
        <w:t> </w:t>
      </w:r>
    </w:p>
    <w:p w14:paraId="64415AF1">
      <w:pPr>
        <w:widowControl/>
        <w:pBdr>
          <w:top w:val="none" w:color="000000" w:sz="0" w:space="0"/>
          <w:left w:val="none" w:color="000000" w:sz="0" w:space="0"/>
          <w:bottom w:val="none" w:color="000000" w:sz="0" w:space="0"/>
          <w:right w:val="none" w:color="000000" w:sz="0" w:space="0"/>
        </w:pBdr>
        <w:spacing w:line="312" w:lineRule="atLeast"/>
        <w:ind w:firstLine="574"/>
        <w:rPr>
          <w:rFonts w:ascii="Arial" w:hAnsi="Arial" w:eastAsia="Arial" w:cs="Times New Roman"/>
          <w:kern w:val="0"/>
          <w:sz w:val="22"/>
          <w:highlight w:val="none"/>
        </w:rPr>
      </w:pPr>
      <w:r>
        <w:rPr>
          <w:rFonts w:ascii="宋体" w:hAnsi="宋体" w:eastAsia="宋体" w:cs="宋体"/>
          <w:kern w:val="0"/>
          <w:sz w:val="28"/>
          <w:highlight w:val="none"/>
        </w:rPr>
        <w:t> </w:t>
      </w:r>
    </w:p>
    <w:p w14:paraId="5236B3F6">
      <w:pPr>
        <w:widowControl/>
        <w:pBdr>
          <w:top w:val="none" w:color="000000" w:sz="0" w:space="0"/>
          <w:left w:val="none" w:color="000000" w:sz="0" w:space="0"/>
          <w:bottom w:val="none" w:color="000000" w:sz="0" w:space="0"/>
          <w:right w:val="none" w:color="000000" w:sz="0" w:space="0"/>
        </w:pBdr>
        <w:spacing w:line="499" w:lineRule="atLeast"/>
        <w:ind w:firstLine="480"/>
        <w:rPr>
          <w:rFonts w:ascii="Arial" w:hAnsi="Arial" w:eastAsia="Arial" w:cs="Times New Roman"/>
          <w:kern w:val="0"/>
          <w:sz w:val="22"/>
          <w:highlight w:val="none"/>
        </w:rPr>
      </w:pPr>
      <w:r>
        <w:rPr>
          <w:rFonts w:ascii="宋体" w:hAnsi="宋体" w:eastAsia="宋体" w:cs="宋体"/>
          <w:kern w:val="0"/>
          <w:sz w:val="24"/>
          <w:highlight w:val="none"/>
        </w:rPr>
        <w:t xml:space="preserve">响应单位（单位盖章）： </w:t>
      </w:r>
    </w:p>
    <w:p w14:paraId="3D68F615">
      <w:pPr>
        <w:widowControl/>
        <w:pBdr>
          <w:top w:val="none" w:color="000000" w:sz="0" w:space="0"/>
          <w:left w:val="none" w:color="000000" w:sz="0" w:space="0"/>
          <w:bottom w:val="none" w:color="000000" w:sz="0" w:space="0"/>
          <w:right w:val="none" w:color="000000" w:sz="0" w:space="0"/>
        </w:pBdr>
        <w:spacing w:line="499" w:lineRule="atLeast"/>
        <w:ind w:firstLine="480"/>
        <w:rPr>
          <w:rFonts w:ascii="Arial" w:hAnsi="Arial" w:eastAsia="Arial" w:cs="Times New Roman"/>
          <w:kern w:val="0"/>
          <w:sz w:val="22"/>
          <w:highlight w:val="none"/>
        </w:rPr>
      </w:pPr>
      <w:r>
        <w:rPr>
          <w:rFonts w:ascii="宋体" w:hAnsi="宋体" w:eastAsia="宋体" w:cs="宋体"/>
          <w:kern w:val="0"/>
          <w:sz w:val="24"/>
          <w:highlight w:val="none"/>
        </w:rPr>
        <w:t>法定代表人或代理人（签字或盖章）</w:t>
      </w:r>
    </w:p>
    <w:p w14:paraId="7A5F953D">
      <w:pPr>
        <w:widowControl/>
        <w:pBdr>
          <w:top w:val="none" w:color="000000" w:sz="0" w:space="0"/>
          <w:left w:val="none" w:color="000000" w:sz="0" w:space="0"/>
          <w:bottom w:val="none" w:color="000000" w:sz="0" w:space="0"/>
          <w:right w:val="none" w:color="000000" w:sz="0" w:space="0"/>
        </w:pBdr>
        <w:spacing w:line="312" w:lineRule="atLeast"/>
        <w:ind w:firstLine="574"/>
        <w:rPr>
          <w:rFonts w:ascii="Arial" w:hAnsi="Arial" w:eastAsia="Arial" w:cs="Times New Roman"/>
          <w:kern w:val="0"/>
          <w:sz w:val="22"/>
          <w:highlight w:val="none"/>
        </w:rPr>
      </w:pPr>
      <w:r>
        <w:rPr>
          <w:rFonts w:ascii="宋体" w:hAnsi="宋体" w:eastAsia="宋体" w:cs="宋体"/>
          <w:kern w:val="0"/>
          <w:sz w:val="24"/>
          <w:highlight w:val="none"/>
        </w:rPr>
        <w:t>日期：年月日</w:t>
      </w:r>
    </w:p>
    <w:p w14:paraId="594A4849">
      <w:pPr>
        <w:widowControl/>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b/>
          <w:kern w:val="0"/>
          <w:sz w:val="28"/>
          <w:highlight w:val="none"/>
        </w:rPr>
      </w:pPr>
    </w:p>
    <w:p w14:paraId="09B09E34">
      <w:pPr>
        <w:widowControl/>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b/>
          <w:kern w:val="0"/>
          <w:sz w:val="28"/>
          <w:highlight w:val="none"/>
        </w:rPr>
      </w:pPr>
    </w:p>
    <w:p w14:paraId="78594BC7">
      <w:pPr>
        <w:widowControl/>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b/>
          <w:kern w:val="0"/>
          <w:sz w:val="28"/>
          <w:highlight w:val="none"/>
        </w:rPr>
      </w:pPr>
    </w:p>
    <w:p w14:paraId="2E21318F">
      <w:pPr>
        <w:widowControl/>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b/>
          <w:kern w:val="0"/>
          <w:sz w:val="28"/>
          <w:highlight w:val="none"/>
        </w:rPr>
      </w:pPr>
    </w:p>
    <w:p w14:paraId="674E1442">
      <w:pPr>
        <w:spacing w:line="360" w:lineRule="auto"/>
        <w:rPr>
          <w:rFonts w:hint="eastAsia" w:ascii="宋体" w:hAnsi="宋体" w:eastAsia="宋体" w:cs="宋体"/>
          <w:b/>
          <w:kern w:val="0"/>
          <w:sz w:val="24"/>
          <w:szCs w:val="24"/>
          <w:highlight w:val="none"/>
        </w:rPr>
      </w:pPr>
    </w:p>
    <w:p w14:paraId="2FF7C552">
      <w:pPr>
        <w:spacing w:line="360" w:lineRule="auto"/>
        <w:rPr>
          <w:rFonts w:hint="eastAsia" w:ascii="宋体" w:hAnsi="宋体" w:eastAsia="宋体" w:cs="宋体"/>
          <w:b/>
          <w:sz w:val="24"/>
          <w:szCs w:val="24"/>
          <w:highlight w:val="none"/>
        </w:rPr>
      </w:pPr>
      <w:r>
        <w:rPr>
          <w:rFonts w:hint="eastAsia" w:ascii="宋体" w:hAnsi="宋体" w:eastAsia="宋体" w:cs="宋体"/>
          <w:b/>
          <w:kern w:val="0"/>
          <w:sz w:val="24"/>
          <w:szCs w:val="24"/>
          <w:highlight w:val="none"/>
        </w:rPr>
        <w:t>16、</w:t>
      </w:r>
      <w:r>
        <w:rPr>
          <w:rFonts w:hint="eastAsia" w:ascii="宋体" w:hAnsi="宋体" w:eastAsia="宋体" w:cs="宋体"/>
          <w:b/>
          <w:kern w:val="0"/>
          <w:sz w:val="32"/>
          <w:highlight w:val="none"/>
        </w:rPr>
        <w:t xml:space="preserve">中小企业声明函 </w:t>
      </w:r>
      <w:r>
        <w:rPr>
          <w:rFonts w:hint="eastAsia" w:ascii="宋体" w:hAnsi="宋体" w:eastAsia="宋体" w:cs="宋体"/>
          <w:b/>
          <w:sz w:val="24"/>
          <w:szCs w:val="24"/>
          <w:highlight w:val="none"/>
        </w:rPr>
        <w:t xml:space="preserve">                  </w:t>
      </w:r>
    </w:p>
    <w:p w14:paraId="1A0F0147">
      <w:pPr>
        <w:spacing w:line="46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                        </w:t>
      </w:r>
    </w:p>
    <w:p w14:paraId="49AE2F05">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highlight w:val="none"/>
        </w:rPr>
      </w:pPr>
      <w:bookmarkStart w:id="9" w:name="OLE_LINK4"/>
      <w:r>
        <w:rPr>
          <w:rFonts w:hint="eastAsia" w:ascii="宋体" w:hAnsi="宋体" w:eastAsia="宋体" w:cs="宋体"/>
          <w:sz w:val="24"/>
          <w:szCs w:val="24"/>
          <w:highlight w:val="none"/>
        </w:rPr>
        <w:t>中小企业声明函（服务）</w:t>
      </w:r>
    </w:p>
    <w:p w14:paraId="60E9FCA9">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本公司郑重声明，根据《政府采购促进中小企业发展管理办法》（财库﹝2020﹞46号）的规定，本公司参加</w:t>
      </w:r>
      <w:r>
        <w:rPr>
          <w:rFonts w:hint="eastAsia" w:ascii="宋体" w:hAnsi="宋体" w:eastAsia="宋体" w:cs="宋体"/>
          <w:sz w:val="24"/>
          <w:szCs w:val="24"/>
          <w:highlight w:val="none"/>
          <w:u w:val="single"/>
        </w:rPr>
        <w:t>（</w:t>
      </w:r>
      <w:r>
        <w:rPr>
          <w:rFonts w:hint="eastAsia" w:ascii="宋体" w:hAnsi="宋体" w:eastAsia="宋体" w:cs="宋体"/>
          <w:i/>
          <w:sz w:val="24"/>
          <w:szCs w:val="24"/>
          <w:highlight w:val="none"/>
          <w:u w:val="single"/>
        </w:rPr>
        <w:t>单位名称）</w:t>
      </w:r>
      <w:r>
        <w:rPr>
          <w:rFonts w:hint="eastAsia" w:ascii="宋体" w:hAnsi="宋体" w:eastAsia="宋体" w:cs="宋体"/>
          <w:sz w:val="24"/>
          <w:szCs w:val="24"/>
          <w:highlight w:val="none"/>
        </w:rPr>
        <w:t>的</w:t>
      </w:r>
      <w:r>
        <w:rPr>
          <w:rFonts w:hint="eastAsia" w:ascii="宋体" w:hAnsi="宋体" w:eastAsia="宋体" w:cs="宋体"/>
          <w:i/>
          <w:sz w:val="24"/>
          <w:szCs w:val="24"/>
          <w:highlight w:val="none"/>
          <w:u w:val="single"/>
        </w:rPr>
        <w:t>（项目名称）</w:t>
      </w:r>
      <w:r>
        <w:rPr>
          <w:rFonts w:hint="eastAsia" w:ascii="宋体" w:hAnsi="宋体" w:eastAsia="宋体" w:cs="宋体"/>
          <w:sz w:val="24"/>
          <w:szCs w:val="24"/>
          <w:highlight w:val="none"/>
        </w:rPr>
        <w:t>采购活动，服务全部由符合政策要求的中小企业承接。相关企业的具体情况如下：</w:t>
      </w:r>
    </w:p>
    <w:p w14:paraId="3869E3CF">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i/>
          <w:sz w:val="24"/>
          <w:szCs w:val="24"/>
          <w:highlight w:val="none"/>
          <w:u w:val="single"/>
        </w:rPr>
        <w:t>（标的名称）</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 xml:space="preserve">  软件和信息技术服务业  </w:t>
      </w:r>
      <w:r>
        <w:rPr>
          <w:rFonts w:hint="eastAsia" w:ascii="宋体" w:hAnsi="宋体" w:eastAsia="宋体" w:cs="宋体"/>
          <w:i/>
          <w:sz w:val="24"/>
          <w:szCs w:val="24"/>
          <w:highlight w:val="none"/>
        </w:rPr>
        <w:t>行业</w:t>
      </w:r>
      <w:r>
        <w:rPr>
          <w:rFonts w:hint="eastAsia" w:ascii="宋体" w:hAnsi="宋体" w:eastAsia="宋体" w:cs="宋体"/>
          <w:sz w:val="24"/>
          <w:szCs w:val="24"/>
          <w:highlight w:val="none"/>
        </w:rPr>
        <w:t>；承接企业为</w:t>
      </w:r>
      <w:r>
        <w:rPr>
          <w:rFonts w:hint="eastAsia" w:ascii="宋体" w:hAnsi="宋体" w:eastAsia="宋体" w:cs="宋体"/>
          <w:i/>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w:t>
      </w:r>
      <w:r>
        <w:rPr>
          <w:highlight w:val="none"/>
        </w:rPr>
        <w:fldChar w:fldCharType="begin"/>
      </w:r>
      <w:r>
        <w:rPr>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"_bookmark1" \o "http://jszfcg.jsczt.cn/jszc/onlyoffice/7.2.1-34/web-apps/apps/documenteditor/main/index_loader.html?_dc=7.2.1-34&amp;lang=zh&amp;customer=%20&amp;logo=%20&amp;headerlogo=%2Ffavicon.ico&amp;frameEditorId=iframePage&amp;compact=true&amp;parentOrigin=http://jszfcg.jsczt.cn#_bookmark1" </w:instrText>
      </w:r>
      <w:r>
        <w:rPr>
          <w:highlight w:val="none"/>
        </w:rPr>
        <w:fldChar w:fldCharType="separate"/>
      </w:r>
      <w:r>
        <w:rPr>
          <w:rStyle w:val="29"/>
          <w:rFonts w:hint="eastAsia" w:ascii="宋体" w:hAnsi="宋体" w:eastAsia="宋体" w:cs="宋体"/>
          <w:color w:val="auto"/>
          <w:sz w:val="24"/>
          <w:szCs w:val="24"/>
          <w:highlight w:val="none"/>
          <w:u w:val="none"/>
        </w:rPr>
        <w:t>1</w:t>
      </w:r>
      <w:r>
        <w:rPr>
          <w:rStyle w:val="29"/>
          <w:rFonts w:hint="eastAsia" w:ascii="宋体" w:hAnsi="宋体" w:eastAsia="宋体" w:cs="宋体"/>
          <w:color w:val="auto"/>
          <w:sz w:val="24"/>
          <w:szCs w:val="24"/>
          <w:highlight w:val="none"/>
          <w:u w:val="none"/>
        </w:rPr>
        <w:fldChar w:fldCharType="end"/>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 xml:space="preserve">         </w:t>
      </w:r>
      <w:r>
        <w:rPr>
          <w:rFonts w:hint="eastAsia" w:ascii="宋体" w:hAnsi="宋体" w:eastAsia="宋体" w:cs="宋体"/>
          <w:i/>
          <w:sz w:val="24"/>
          <w:szCs w:val="24"/>
          <w:highlight w:val="none"/>
        </w:rPr>
        <w:t>（中型企业、小型企业、微型企业，三者选一填写）</w:t>
      </w:r>
      <w:r>
        <w:rPr>
          <w:rFonts w:hint="eastAsia" w:ascii="宋体" w:hAnsi="宋体" w:eastAsia="宋体" w:cs="宋体"/>
          <w:sz w:val="24"/>
          <w:szCs w:val="24"/>
          <w:highlight w:val="none"/>
        </w:rPr>
        <w:t>；</w:t>
      </w:r>
    </w:p>
    <w:p w14:paraId="69C350E8">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18DCC810">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以上企业，不属于大企业的分支机构，不存在控股股东为大企业的情形，也不存在与大企业的负责人为同一人的情形。</w:t>
      </w:r>
    </w:p>
    <w:p w14:paraId="0C22B1B7">
      <w:pPr>
        <w:pBdr>
          <w:top w:val="none" w:color="000000" w:sz="0" w:space="0"/>
          <w:left w:val="none" w:color="000000" w:sz="0" w:space="0"/>
          <w:bottom w:val="none" w:color="000000" w:sz="0" w:space="0"/>
          <w:right w:val="none" w:color="000000" w:sz="0" w:space="0"/>
        </w:pBdr>
        <w:spacing w:line="439" w:lineRule="atLeas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本企业对上述声明内容的真实性负责。如有虚假，将依法承担相应责任。</w:t>
      </w:r>
    </w:p>
    <w:p w14:paraId="78B455EB">
      <w:pPr>
        <w:pBdr>
          <w:top w:val="none" w:color="000000" w:sz="0" w:space="0"/>
          <w:left w:val="none" w:color="000000" w:sz="0" w:space="0"/>
          <w:bottom w:val="none" w:color="000000" w:sz="0" w:space="0"/>
          <w:right w:val="none" w:color="000000" w:sz="0" w:space="0"/>
        </w:pBdr>
        <w:spacing w:line="439" w:lineRule="atLeast"/>
        <w:ind w:right="960" w:firstLine="4800"/>
        <w:rPr>
          <w:rFonts w:hint="eastAsia" w:ascii="宋体" w:hAnsi="宋体" w:eastAsia="宋体" w:cs="宋体"/>
          <w:sz w:val="24"/>
          <w:szCs w:val="24"/>
          <w:highlight w:val="none"/>
        </w:rPr>
      </w:pPr>
      <w:r>
        <w:rPr>
          <w:rFonts w:hint="eastAsia" w:ascii="宋体" w:hAnsi="宋体" w:eastAsia="宋体" w:cs="宋体"/>
          <w:sz w:val="24"/>
          <w:szCs w:val="24"/>
          <w:highlight w:val="none"/>
        </w:rPr>
        <w:t>企业名称（盖章）：</w:t>
      </w:r>
    </w:p>
    <w:p w14:paraId="660ACE47">
      <w:pPr>
        <w:pBdr>
          <w:top w:val="none" w:color="000000" w:sz="0" w:space="0"/>
          <w:left w:val="none" w:color="000000" w:sz="0" w:space="0"/>
          <w:bottom w:val="none" w:color="000000" w:sz="0" w:space="0"/>
          <w:right w:val="none" w:color="000000" w:sz="0" w:space="0"/>
        </w:pBdr>
        <w:spacing w:line="439" w:lineRule="atLeast"/>
        <w:ind w:right="1120" w:firstLine="4800"/>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p>
    <w:p w14:paraId="553618D0">
      <w:pPr>
        <w:pBdr>
          <w:top w:val="none" w:color="000000" w:sz="0" w:space="0"/>
          <w:left w:val="none" w:color="000000" w:sz="0" w:space="0"/>
          <w:bottom w:val="none" w:color="000000" w:sz="0" w:space="0"/>
          <w:right w:val="none" w:color="000000" w:sz="0" w:space="0"/>
        </w:pBdr>
        <w:spacing w:line="439" w:lineRule="atLeast"/>
        <w:rPr>
          <w:rFonts w:hint="eastAsia" w:ascii="宋体" w:hAnsi="宋体" w:eastAsia="宋体" w:cs="宋体"/>
          <w:sz w:val="24"/>
          <w:szCs w:val="24"/>
          <w:highlight w:val="none"/>
        </w:rPr>
      </w:pPr>
      <w:r>
        <w:rPr>
          <w:highlight w:val="none"/>
        </w:rPr>
        <w:fldChar w:fldCharType="begin"/>
      </w:r>
      <w:r>
        <w:rPr>
          <w:highlight w:val="none"/>
        </w:rPr>
        <w:instrText xml:space="preserve"> HYPERLINK "http://jszfcg.jsczt.cn/jszc/onlyoffice/7.2.1-34/web-apps/apps/documenteditor/main/index_loader.html?_dc=7.2.1-34&amp;lang=zh&amp;customer=%20&amp;logo=%20&amp;headerlogo=%2Ffavicon.ico&amp;frameEditorId=iframePage&amp;compact=true&amp;parentOrigin=http://jszfcg.jsczt.cn" \l "_bookmark1" \o "http://jszfcg.jsczt.cn/jszc/onlyoffice/7.2.1-34/web-apps/apps/documenteditor/main/index_loader.html?_dc=7.2.1-34&amp;lang=zh&amp;customer=%20&amp;logo=%20&amp;headerlogo=%2Ffavicon.ico&amp;frameEditorId=iframePage&amp;compact=true&amp;parentOrigin=http://jszfcg.jsczt.cn#_bookmark1" </w:instrText>
      </w:r>
      <w:r>
        <w:rPr>
          <w:highlight w:val="none"/>
        </w:rPr>
        <w:fldChar w:fldCharType="separate"/>
      </w:r>
      <w:r>
        <w:rPr>
          <w:rStyle w:val="29"/>
          <w:rFonts w:hint="eastAsia" w:ascii="宋体" w:hAnsi="宋体" w:eastAsia="宋体" w:cs="宋体"/>
          <w:color w:val="auto"/>
          <w:sz w:val="24"/>
          <w:szCs w:val="24"/>
          <w:highlight w:val="none"/>
          <w:u w:val="none"/>
        </w:rPr>
        <w:t>1</w:t>
      </w:r>
      <w:r>
        <w:rPr>
          <w:rStyle w:val="29"/>
          <w:rFonts w:hint="eastAsia" w:ascii="宋体" w:hAnsi="宋体" w:eastAsia="宋体" w:cs="宋体"/>
          <w:color w:val="auto"/>
          <w:sz w:val="24"/>
          <w:szCs w:val="24"/>
          <w:highlight w:val="none"/>
          <w:u w:val="none"/>
        </w:rPr>
        <w:fldChar w:fldCharType="end"/>
      </w:r>
      <w:r>
        <w:rPr>
          <w:rFonts w:hint="eastAsia" w:ascii="宋体" w:hAnsi="宋体" w:eastAsia="宋体" w:cs="宋体"/>
          <w:sz w:val="24"/>
          <w:szCs w:val="24"/>
          <w:highlight w:val="none"/>
        </w:rPr>
        <w:t>从业人员、营业收入、资产总额填报上一年度数据，无上一年度数据的新成立企业可不填报，但须提供情况说明。</w:t>
      </w:r>
    </w:p>
    <w:p w14:paraId="14D03D1A">
      <w:pPr>
        <w:pBdr>
          <w:top w:val="none" w:color="000000" w:sz="0" w:space="0"/>
          <w:left w:val="none" w:color="000000" w:sz="0" w:space="0"/>
          <w:bottom w:val="none" w:color="000000" w:sz="0" w:space="0"/>
          <w:right w:val="none" w:color="000000" w:sz="0" w:space="0"/>
        </w:pBdr>
        <w:spacing w:line="439" w:lineRule="atLeast"/>
        <w:ind w:firstLine="442"/>
        <w:rPr>
          <w:rFonts w:hint="eastAsia" w:ascii="宋体" w:hAnsi="宋体" w:eastAsia="宋体" w:cs="宋体"/>
          <w:sz w:val="24"/>
          <w:szCs w:val="24"/>
          <w:highlight w:val="none"/>
        </w:rPr>
      </w:pPr>
      <w:r>
        <w:rPr>
          <w:rFonts w:hint="eastAsia" w:ascii="宋体" w:hAnsi="宋体" w:eastAsia="宋体" w:cs="宋体"/>
          <w:b/>
          <w:sz w:val="24"/>
          <w:szCs w:val="24"/>
          <w:highlight w:val="none"/>
        </w:rPr>
        <w:t>备注：</w:t>
      </w:r>
    </w:p>
    <w:p w14:paraId="4DA2353A">
      <w:pPr>
        <w:pBdr>
          <w:top w:val="none" w:color="000000" w:sz="0" w:space="0"/>
          <w:left w:val="none" w:color="000000" w:sz="0" w:space="0"/>
          <w:bottom w:val="none" w:color="000000" w:sz="0" w:space="0"/>
          <w:right w:val="none" w:color="000000" w:sz="0" w:space="0"/>
        </w:pBdr>
        <w:spacing w:line="519" w:lineRule="atLeas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b/>
          <w:sz w:val="24"/>
          <w:szCs w:val="24"/>
          <w:highlight w:val="none"/>
        </w:rPr>
        <w:t>本项目专门面向中小企业采购，响应供应商应提供中小企业声明函或残疾人福利性单位声明函或省级以上监狱管理局、戒毒管理局（含新疆生产建设兵团）出具的属于监狱企业的证明文件,否则视为响应无效。</w:t>
      </w:r>
    </w:p>
    <w:p w14:paraId="0572B086">
      <w:pPr>
        <w:pBdr>
          <w:top w:val="none" w:color="000000" w:sz="0" w:space="0"/>
          <w:left w:val="none" w:color="000000" w:sz="0" w:space="0"/>
          <w:bottom w:val="none" w:color="000000" w:sz="0" w:space="0"/>
          <w:right w:val="none" w:color="000000" w:sz="0" w:space="0"/>
        </w:pBdr>
        <w:spacing w:line="460" w:lineRule="atLeas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2、响应供应商提供的中小企业声明函必须包含本项目所有服务及其服务承接企业，并按照声明函格式填写完整、明确，否则视为未按规定提供声明函，响应无效。</w:t>
      </w:r>
    </w:p>
    <w:p w14:paraId="6EEAB751">
      <w:pPr>
        <w:pBdr>
          <w:top w:val="none" w:color="000000" w:sz="0" w:space="0"/>
          <w:left w:val="none" w:color="000000" w:sz="0" w:space="0"/>
          <w:bottom w:val="none" w:color="000000" w:sz="0" w:space="0"/>
          <w:right w:val="none" w:color="000000" w:sz="0" w:space="0"/>
        </w:pBdr>
        <w:spacing w:line="460" w:lineRule="atLeas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3、中标、成交供应商享受规定的中小企业扶持政策的，《中小企业声明函》应当随中标、成交结果同时公告，接受社会监督。</w:t>
      </w:r>
      <w:bookmarkEnd w:id="9"/>
    </w:p>
    <w:p w14:paraId="206BE294">
      <w:pPr>
        <w:spacing w:line="400" w:lineRule="exact"/>
        <w:ind w:firstLine="480"/>
        <w:rPr>
          <w:rFonts w:hint="eastAsia" w:ascii="宋体" w:hAnsi="宋体" w:eastAsia="宋体" w:cs="宋体"/>
          <w:sz w:val="24"/>
          <w:szCs w:val="24"/>
          <w:highlight w:val="none"/>
        </w:rPr>
      </w:pPr>
    </w:p>
    <w:p w14:paraId="0001CE06">
      <w:pPr>
        <w:spacing w:line="400" w:lineRule="exact"/>
        <w:ind w:firstLine="480"/>
        <w:rPr>
          <w:rFonts w:hint="eastAsia" w:ascii="宋体" w:hAnsi="宋体" w:eastAsia="宋体" w:cs="宋体"/>
          <w:sz w:val="24"/>
          <w:szCs w:val="24"/>
          <w:highlight w:val="none"/>
        </w:rPr>
      </w:pPr>
    </w:p>
    <w:p w14:paraId="5E7B07A0">
      <w:pPr>
        <w:spacing w:line="500" w:lineRule="exact"/>
        <w:ind w:firstLine="480"/>
        <w:rPr>
          <w:rFonts w:hint="eastAsia" w:ascii="宋体" w:hAnsi="宋体" w:eastAsia="宋体" w:cs="宋体"/>
          <w:sz w:val="24"/>
          <w:szCs w:val="24"/>
          <w:highlight w:val="none"/>
        </w:rPr>
      </w:pPr>
    </w:p>
    <w:p w14:paraId="70D62A58">
      <w:pPr>
        <w:pStyle w:val="22"/>
        <w:rPr>
          <w:rFonts w:hint="eastAsia" w:ascii="宋体" w:hAnsi="宋体" w:eastAsia="宋体" w:cs="宋体"/>
          <w:sz w:val="24"/>
          <w:highlight w:val="none"/>
        </w:rPr>
      </w:pPr>
    </w:p>
    <w:p w14:paraId="2F7D3FB8">
      <w:pPr>
        <w:outlineLvl w:val="0"/>
        <w:rPr>
          <w:rFonts w:hint="eastAsia" w:ascii="宋体" w:hAnsi="宋体" w:eastAsia="宋体" w:cs="宋体"/>
          <w:b/>
          <w:sz w:val="24"/>
          <w:szCs w:val="24"/>
          <w:highlight w:val="none"/>
        </w:rPr>
      </w:pPr>
    </w:p>
    <w:p w14:paraId="4ABBDD2A">
      <w:pPr>
        <w:outlineLvl w:val="0"/>
        <w:rPr>
          <w:rFonts w:hint="eastAsia" w:ascii="宋体" w:hAnsi="宋体" w:eastAsia="宋体" w:cs="宋体"/>
          <w:b/>
          <w:sz w:val="24"/>
          <w:szCs w:val="24"/>
          <w:highlight w:val="none"/>
        </w:rPr>
      </w:pPr>
    </w:p>
    <w:p w14:paraId="5484FF84">
      <w:pPr>
        <w:outlineLvl w:val="0"/>
        <w:rPr>
          <w:rFonts w:hint="eastAsia" w:ascii="宋体" w:hAnsi="宋体" w:eastAsia="宋体" w:cs="宋体"/>
          <w:b/>
          <w:kern w:val="0"/>
          <w:sz w:val="32"/>
          <w:highlight w:val="none"/>
        </w:rPr>
      </w:pPr>
      <w:r>
        <w:rPr>
          <w:rFonts w:hint="eastAsia" w:ascii="宋体" w:hAnsi="宋体" w:eastAsia="宋体" w:cs="宋体"/>
          <w:b/>
          <w:sz w:val="24"/>
          <w:szCs w:val="24"/>
          <w:highlight w:val="none"/>
        </w:rPr>
        <w:t>17、</w:t>
      </w:r>
      <w:r>
        <w:rPr>
          <w:rFonts w:hint="eastAsia" w:ascii="宋体" w:hAnsi="宋体" w:eastAsia="宋体" w:cs="宋体"/>
          <w:b/>
          <w:kern w:val="0"/>
          <w:sz w:val="32"/>
          <w:highlight w:val="none"/>
        </w:rPr>
        <w:t>残疾人福利性单位声明函（如有）</w:t>
      </w:r>
    </w:p>
    <w:p w14:paraId="7DC71DB5">
      <w:pPr>
        <w:spacing w:line="500" w:lineRule="exact"/>
        <w:rPr>
          <w:rFonts w:hint="eastAsia" w:ascii="宋体" w:hAnsi="宋体" w:eastAsia="宋体" w:cs="宋体"/>
          <w:sz w:val="24"/>
          <w:szCs w:val="24"/>
          <w:highlight w:val="none"/>
        </w:rPr>
      </w:pPr>
    </w:p>
    <w:p w14:paraId="488CA457">
      <w:pPr>
        <w:pBdr>
          <w:top w:val="none" w:color="000000" w:sz="0" w:space="0"/>
          <w:left w:val="none" w:color="000000" w:sz="0" w:space="0"/>
          <w:bottom w:val="none" w:color="000000" w:sz="0" w:space="0"/>
          <w:right w:val="none" w:color="000000" w:sz="0" w:space="0"/>
        </w:pBdr>
        <w:spacing w:line="479" w:lineRule="atLeast"/>
        <w:ind w:firstLine="2560"/>
        <w:outlineLvl w:val="0"/>
        <w:rPr>
          <w:rFonts w:hint="eastAsia" w:ascii="宋体" w:hAnsi="宋体" w:eastAsia="宋体" w:cs="宋体"/>
          <w:sz w:val="24"/>
          <w:szCs w:val="24"/>
          <w:highlight w:val="none"/>
        </w:rPr>
      </w:pPr>
      <w:r>
        <w:rPr>
          <w:rFonts w:hint="eastAsia" w:ascii="宋体" w:hAnsi="宋体" w:eastAsia="宋体" w:cs="宋体"/>
          <w:sz w:val="24"/>
          <w:szCs w:val="24"/>
          <w:highlight w:val="none"/>
        </w:rPr>
        <w:t>残疾人福利性单位声明函</w:t>
      </w:r>
    </w:p>
    <w:p w14:paraId="201285D2">
      <w:pPr>
        <w:pBdr>
          <w:top w:val="none" w:color="000000" w:sz="0" w:space="0"/>
          <w:left w:val="none" w:color="000000" w:sz="0" w:space="0"/>
          <w:bottom w:val="none" w:color="000000" w:sz="0" w:space="0"/>
          <w:right w:val="none" w:color="000000" w:sz="0" w:space="0"/>
        </w:pBdr>
        <w:spacing w:line="479" w:lineRule="atLeast"/>
        <w:ind w:firstLine="1928"/>
        <w:rPr>
          <w:rFonts w:hint="eastAsia" w:ascii="宋体" w:hAnsi="宋体" w:eastAsia="宋体" w:cs="宋体"/>
          <w:sz w:val="24"/>
          <w:szCs w:val="24"/>
          <w:highlight w:val="none"/>
        </w:rPr>
      </w:pPr>
      <w:r>
        <w:rPr>
          <w:rFonts w:hint="eastAsia" w:ascii="宋体" w:hAnsi="宋体" w:eastAsia="宋体" w:cs="宋体"/>
          <w:b/>
          <w:sz w:val="24"/>
          <w:szCs w:val="24"/>
          <w:highlight w:val="none"/>
        </w:rPr>
        <w:t> </w:t>
      </w:r>
    </w:p>
    <w:p w14:paraId="358C8CE8">
      <w:pPr>
        <w:pBdr>
          <w:top w:val="none" w:color="000000" w:sz="0" w:space="0"/>
          <w:left w:val="none" w:color="000000" w:sz="0" w:space="0"/>
          <w:bottom w:val="none" w:color="000000" w:sz="0" w:space="0"/>
          <w:right w:val="none" w:color="000000" w:sz="0" w:space="0"/>
        </w:pBdr>
        <w:spacing w:line="479" w:lineRule="atLeas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AF4E801">
      <w:pPr>
        <w:pBdr>
          <w:top w:val="none" w:color="000000" w:sz="0" w:space="0"/>
          <w:left w:val="none" w:color="000000" w:sz="0" w:space="0"/>
          <w:bottom w:val="none" w:color="000000" w:sz="0" w:space="0"/>
          <w:right w:val="none" w:color="000000" w:sz="0" w:space="0"/>
        </w:pBdr>
        <w:spacing w:line="479" w:lineRule="atLeas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本单位对上述声明的真实性负责。如有虚假，将依法承担相应责任。</w:t>
      </w:r>
    </w:p>
    <w:p w14:paraId="2A904604">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6AEC5FFC">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60FA3615">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单位名称（盖章）：</w:t>
      </w:r>
    </w:p>
    <w:p w14:paraId="4BBFF893">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日 期：</w:t>
      </w:r>
    </w:p>
    <w:p w14:paraId="10A563EB">
      <w:pPr>
        <w:pBdr>
          <w:top w:val="none" w:color="000000" w:sz="0" w:space="0"/>
          <w:left w:val="none" w:color="000000" w:sz="0" w:space="0"/>
          <w:bottom w:val="none" w:color="000000" w:sz="0" w:space="0"/>
          <w:right w:val="none" w:color="000000" w:sz="0" w:space="0"/>
        </w:pBdr>
        <w:ind w:firstLine="482"/>
        <w:rPr>
          <w:rFonts w:hint="eastAsia" w:ascii="宋体" w:hAnsi="宋体" w:eastAsia="宋体" w:cs="宋体"/>
          <w:b/>
          <w:sz w:val="24"/>
          <w:szCs w:val="24"/>
          <w:highlight w:val="none"/>
        </w:rPr>
      </w:pPr>
    </w:p>
    <w:p w14:paraId="38462BB9">
      <w:pPr>
        <w:pBdr>
          <w:top w:val="none" w:color="000000" w:sz="0" w:space="0"/>
          <w:left w:val="none" w:color="000000" w:sz="0" w:space="0"/>
          <w:bottom w:val="none" w:color="000000" w:sz="0" w:space="0"/>
          <w:right w:val="none" w:color="000000" w:sz="0" w:space="0"/>
        </w:pBdr>
        <w:ind w:firstLine="482"/>
        <w:rPr>
          <w:rFonts w:hint="eastAsia" w:ascii="宋体" w:hAnsi="宋体" w:eastAsia="宋体" w:cs="宋体"/>
          <w:sz w:val="24"/>
          <w:szCs w:val="24"/>
          <w:highlight w:val="none"/>
        </w:rPr>
      </w:pPr>
      <w:r>
        <w:rPr>
          <w:rFonts w:hint="eastAsia" w:ascii="宋体" w:hAnsi="宋体" w:eastAsia="宋体" w:cs="宋体"/>
          <w:b/>
          <w:sz w:val="24"/>
          <w:szCs w:val="24"/>
          <w:highlight w:val="none"/>
        </w:rPr>
        <w:t>注：本项目专门面向中小企业采购，响应供应商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p>
    <w:p w14:paraId="5522599E">
      <w:pPr>
        <w:widowControl/>
        <w:pBdr>
          <w:top w:val="none" w:color="000000" w:sz="0" w:space="0"/>
          <w:left w:val="none" w:color="000000" w:sz="0" w:space="0"/>
          <w:bottom w:val="none" w:color="000000" w:sz="0" w:space="0"/>
          <w:right w:val="none" w:color="000000" w:sz="0" w:space="0"/>
        </w:pBdr>
        <w:spacing w:line="439" w:lineRule="atLeast"/>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w:t>
      </w:r>
    </w:p>
    <w:p w14:paraId="58BCF4AC">
      <w:pPr>
        <w:widowControl/>
        <w:pBdr>
          <w:top w:val="none" w:color="000000" w:sz="0" w:space="0"/>
          <w:left w:val="none" w:color="000000" w:sz="0" w:space="0"/>
          <w:bottom w:val="none" w:color="000000" w:sz="0" w:space="0"/>
          <w:right w:val="none" w:color="000000" w:sz="0" w:space="0"/>
        </w:pBdr>
        <w:spacing w:line="439" w:lineRule="atLeast"/>
        <w:jc w:val="center"/>
        <w:rPr>
          <w:rFonts w:hint="eastAsia" w:ascii="宋体" w:hAnsi="宋体" w:eastAsia="宋体" w:cs="宋体"/>
          <w:kern w:val="0"/>
          <w:sz w:val="24"/>
          <w:highlight w:val="none"/>
        </w:rPr>
      </w:pPr>
    </w:p>
    <w:p w14:paraId="76D6E197">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sz w:val="32"/>
          <w:highlight w:val="none"/>
        </w:rPr>
      </w:pPr>
    </w:p>
    <w:p w14:paraId="41993CDF">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sz w:val="32"/>
          <w:highlight w:val="none"/>
        </w:rPr>
      </w:pPr>
    </w:p>
    <w:p w14:paraId="6D42246E">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sz w:val="32"/>
          <w:highlight w:val="none"/>
        </w:rPr>
      </w:pPr>
    </w:p>
    <w:p w14:paraId="32400819">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sz w:val="32"/>
          <w:highlight w:val="none"/>
        </w:rPr>
      </w:pPr>
    </w:p>
    <w:p w14:paraId="39ADEFBB">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sz w:val="32"/>
          <w:highlight w:val="none"/>
        </w:rPr>
      </w:pPr>
    </w:p>
    <w:p w14:paraId="2E2B21B6">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sz w:val="32"/>
          <w:highlight w:val="none"/>
        </w:rPr>
      </w:pPr>
    </w:p>
    <w:p w14:paraId="245D84FF">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sz w:val="32"/>
          <w:highlight w:val="none"/>
        </w:rPr>
      </w:pPr>
    </w:p>
    <w:p w14:paraId="73649869">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highlight w:val="none"/>
        </w:rPr>
      </w:pPr>
      <w:r>
        <w:rPr>
          <w:rFonts w:hint="eastAsia" w:ascii="宋体" w:hAnsi="宋体" w:eastAsia="宋体" w:cs="宋体"/>
          <w:b/>
          <w:sz w:val="32"/>
          <w:highlight w:val="none"/>
        </w:rPr>
        <w:t>18、监狱企业证明文件（如有）</w:t>
      </w:r>
      <w:r>
        <w:rPr>
          <w:rFonts w:hint="eastAsia" w:ascii="宋体" w:hAnsi="宋体" w:eastAsia="宋体" w:cs="宋体"/>
          <w:b/>
          <w:sz w:val="32"/>
          <w:highlight w:val="none"/>
        </w:rPr>
        <w:br w:type="textWrapping"/>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 xml:space="preserve">                    </w:t>
      </w:r>
      <w:r>
        <w:rPr>
          <w:rFonts w:hint="eastAsia" w:ascii="宋体" w:hAnsi="宋体" w:eastAsia="宋体" w:cs="宋体"/>
          <w:sz w:val="32"/>
          <w:highlight w:val="none"/>
        </w:rPr>
        <w:t>监狱企业证明文件</w:t>
      </w:r>
      <w:r>
        <w:rPr>
          <w:rFonts w:hint="eastAsia" w:ascii="宋体" w:hAnsi="宋体" w:eastAsia="宋体" w:cs="宋体"/>
          <w:sz w:val="32"/>
          <w:highlight w:val="none"/>
        </w:rPr>
        <w:br w:type="textWrapping"/>
      </w:r>
      <w:r>
        <w:rPr>
          <w:rFonts w:hint="eastAsia" w:ascii="宋体" w:hAnsi="宋体" w:eastAsia="宋体" w:cs="宋体"/>
          <w:sz w:val="32"/>
          <w:highlight w:val="none"/>
        </w:rPr>
        <w:br w:type="textWrapping"/>
      </w:r>
      <w:r>
        <w:rPr>
          <w:rFonts w:hint="eastAsia" w:ascii="宋体" w:hAnsi="宋体" w:eastAsia="宋体" w:cs="宋体"/>
          <w:sz w:val="32"/>
          <w:highlight w:val="none"/>
        </w:rPr>
        <w:t xml:space="preserve"> </w:t>
      </w:r>
      <w:r>
        <w:rPr>
          <w:rFonts w:hint="eastAsia" w:ascii="宋体" w:hAnsi="宋体" w:eastAsia="宋体" w:cs="宋体"/>
          <w:sz w:val="24"/>
          <w:highlight w:val="none"/>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p>
    <w:p w14:paraId="4B36EB98">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p>
    <w:p w14:paraId="54C1F68D">
      <w:pPr>
        <w:widowControl/>
        <w:pBdr>
          <w:top w:val="none" w:color="000000" w:sz="0" w:space="0"/>
          <w:left w:val="none" w:color="000000" w:sz="0" w:space="0"/>
          <w:bottom w:val="none" w:color="000000" w:sz="0" w:space="0"/>
          <w:right w:val="none" w:color="000000" w:sz="0" w:space="0"/>
        </w:pBdr>
        <w:spacing w:line="439" w:lineRule="atLeast"/>
        <w:jc w:val="center"/>
        <w:rPr>
          <w:rFonts w:hint="eastAsia" w:ascii="宋体" w:hAnsi="宋体" w:eastAsia="宋体" w:cs="宋体"/>
          <w:kern w:val="0"/>
          <w:sz w:val="24"/>
          <w:highlight w:val="none"/>
        </w:rPr>
      </w:pPr>
    </w:p>
    <w:p w14:paraId="7314049E">
      <w:pPr>
        <w:widowControl/>
        <w:pBdr>
          <w:top w:val="none" w:color="000000" w:sz="0" w:space="0"/>
          <w:left w:val="none" w:color="000000" w:sz="0" w:space="0"/>
          <w:bottom w:val="none" w:color="000000" w:sz="0" w:space="0"/>
          <w:right w:val="none" w:color="000000" w:sz="0" w:space="0"/>
        </w:pBdr>
        <w:spacing w:line="439" w:lineRule="atLeast"/>
        <w:jc w:val="center"/>
        <w:rPr>
          <w:rFonts w:ascii="Arial" w:hAnsi="Arial" w:eastAsia="Arial" w:cs="Times New Roman"/>
          <w:kern w:val="0"/>
          <w:sz w:val="22"/>
          <w:highlight w:val="none"/>
        </w:rPr>
      </w:pPr>
      <w:r>
        <w:rPr>
          <w:rFonts w:ascii="宋体" w:hAnsi="宋体" w:eastAsia="宋体" w:cs="宋体"/>
          <w:kern w:val="0"/>
          <w:sz w:val="24"/>
          <w:highlight w:val="none"/>
        </w:rPr>
        <w:t>（全文完）</w:t>
      </w:r>
    </w:p>
    <w:p w14:paraId="34BA22A4">
      <w:pPr>
        <w:pStyle w:val="4"/>
        <w:numPr>
          <w:ilvl w:val="2"/>
          <w:numId w:val="0"/>
        </w:numPr>
        <w:rPr>
          <w:rFonts w:hint="eastAsia"/>
          <w:highlight w:val="none"/>
        </w:rPr>
      </w:pPr>
    </w:p>
    <w:sectPr>
      <w:headerReference r:id="rId3" w:type="default"/>
      <w:footerReference r:id="rId4" w:type="default"/>
      <w:pgSz w:w="11906" w:h="16838"/>
      <w:pgMar w:top="1440" w:right="1134" w:bottom="1440" w:left="1417"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Futura Lt">
    <w:altName w:val="Segoe Print"/>
    <w:panose1 w:val="00000000000000000000"/>
    <w:charset w:val="00"/>
    <w:family w:val="auto"/>
    <w:pitch w:val="default"/>
    <w:sig w:usb0="00000000" w:usb1="00000000" w:usb2="00000000" w:usb3="00000000" w:csb0="000001FB"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4503603"/>
    </w:sdtPr>
    <w:sdtContent>
      <w:sdt>
        <w:sdtPr>
          <w:id w:val="-1705238520"/>
        </w:sdtPr>
        <w:sdtContent>
          <w:p w14:paraId="5EFA333B">
            <w:pPr>
              <w:pStyle w:val="15"/>
              <w:jc w:val="center"/>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2</w:t>
            </w:r>
            <w:r>
              <w:rPr>
                <w:b/>
                <w:bCs/>
                <w:sz w:val="24"/>
                <w:szCs w:val="24"/>
              </w:rPr>
              <w:fldChar w:fldCharType="end"/>
            </w:r>
          </w:p>
        </w:sdtContent>
      </w:sdt>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02A03">
    <w:pPr>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4F5343"/>
    <w:multiLevelType w:val="singleLevel"/>
    <w:tmpl w:val="824F5343"/>
    <w:lvl w:ilvl="0" w:tentative="0">
      <w:start w:val="1"/>
      <w:numFmt w:val="chineseCounting"/>
      <w:suff w:val="nothing"/>
      <w:lvlText w:val="（%1）"/>
      <w:lvlJc w:val="left"/>
      <w:pPr>
        <w:ind w:left="0" w:firstLine="0"/>
      </w:pPr>
      <w:rPr>
        <w:rFonts w:hint="eastAsia"/>
      </w:rPr>
    </w:lvl>
  </w:abstractNum>
  <w:abstractNum w:abstractNumId="1">
    <w:nsid w:val="8991FDB2"/>
    <w:multiLevelType w:val="singleLevel"/>
    <w:tmpl w:val="8991FDB2"/>
    <w:lvl w:ilvl="0" w:tentative="0">
      <w:start w:val="1"/>
      <w:numFmt w:val="decimal"/>
      <w:suff w:val="nothing"/>
      <w:lvlText w:val="%1．"/>
      <w:lvlJc w:val="left"/>
      <w:pPr>
        <w:ind w:left="0" w:firstLine="400"/>
      </w:pPr>
      <w:rPr>
        <w:rFonts w:hint="default"/>
      </w:rPr>
    </w:lvl>
  </w:abstractNum>
  <w:abstractNum w:abstractNumId="2">
    <w:nsid w:val="8ECA1FF3"/>
    <w:multiLevelType w:val="singleLevel"/>
    <w:tmpl w:val="8ECA1FF3"/>
    <w:lvl w:ilvl="0" w:tentative="0">
      <w:start w:val="1"/>
      <w:numFmt w:val="decimalEnclosedCircleChinese"/>
      <w:suff w:val="nothing"/>
      <w:lvlText w:val="%1　"/>
      <w:lvlJc w:val="left"/>
      <w:pPr>
        <w:ind w:left="0" w:firstLine="400"/>
      </w:pPr>
      <w:rPr>
        <w:rFonts w:hint="eastAsia"/>
      </w:rPr>
    </w:lvl>
  </w:abstractNum>
  <w:abstractNum w:abstractNumId="3">
    <w:nsid w:val="8F8D70B7"/>
    <w:multiLevelType w:val="singleLevel"/>
    <w:tmpl w:val="8F8D70B7"/>
    <w:lvl w:ilvl="0" w:tentative="0">
      <w:start w:val="1"/>
      <w:numFmt w:val="decimal"/>
      <w:suff w:val="space"/>
      <w:lvlText w:val="(%1)"/>
      <w:lvlJc w:val="left"/>
      <w:pPr>
        <w:ind w:left="0" w:firstLine="40"/>
      </w:pPr>
      <w:rPr>
        <w:rFonts w:hint="default"/>
      </w:rPr>
    </w:lvl>
  </w:abstractNum>
  <w:abstractNum w:abstractNumId="4">
    <w:nsid w:val="A2BA556F"/>
    <w:multiLevelType w:val="singleLevel"/>
    <w:tmpl w:val="A2BA556F"/>
    <w:lvl w:ilvl="0" w:tentative="0">
      <w:start w:val="1"/>
      <w:numFmt w:val="decimal"/>
      <w:suff w:val="nothing"/>
      <w:lvlText w:val="%1．"/>
      <w:lvlJc w:val="left"/>
      <w:pPr>
        <w:ind w:left="40" w:firstLine="400"/>
      </w:pPr>
      <w:rPr>
        <w:rFonts w:hint="default" w:ascii="宋体" w:hAnsi="宋体" w:eastAsia="宋体" w:cs="宋体"/>
      </w:rPr>
    </w:lvl>
  </w:abstractNum>
  <w:abstractNum w:abstractNumId="5">
    <w:nsid w:val="B0AE6561"/>
    <w:multiLevelType w:val="singleLevel"/>
    <w:tmpl w:val="B0AE6561"/>
    <w:lvl w:ilvl="0" w:tentative="0">
      <w:start w:val="5"/>
      <w:numFmt w:val="chineseCounting"/>
      <w:suff w:val="space"/>
      <w:lvlText w:val="第%1部分"/>
      <w:lvlJc w:val="left"/>
      <w:rPr>
        <w:rFonts w:hint="eastAsia"/>
      </w:rPr>
    </w:lvl>
  </w:abstractNum>
  <w:abstractNum w:abstractNumId="6">
    <w:nsid w:val="BBC2D50C"/>
    <w:multiLevelType w:val="singleLevel"/>
    <w:tmpl w:val="BBC2D50C"/>
    <w:lvl w:ilvl="0" w:tentative="0">
      <w:start w:val="1"/>
      <w:numFmt w:val="decimal"/>
      <w:suff w:val="nothing"/>
      <w:lvlText w:val="%1．"/>
      <w:lvlJc w:val="left"/>
      <w:pPr>
        <w:ind w:left="40" w:firstLine="400"/>
      </w:pPr>
      <w:rPr>
        <w:rFonts w:hint="default" w:ascii="宋体" w:hAnsi="宋体" w:eastAsia="宋体" w:cs="宋体"/>
      </w:rPr>
    </w:lvl>
  </w:abstractNum>
  <w:abstractNum w:abstractNumId="7">
    <w:nsid w:val="C7DCDDC3"/>
    <w:multiLevelType w:val="singleLevel"/>
    <w:tmpl w:val="C7DCDDC3"/>
    <w:lvl w:ilvl="0" w:tentative="0">
      <w:start w:val="1"/>
      <w:numFmt w:val="decimal"/>
      <w:suff w:val="nothing"/>
      <w:lvlText w:val="%1．"/>
      <w:lvlJc w:val="left"/>
      <w:pPr>
        <w:ind w:left="0" w:firstLine="400"/>
      </w:pPr>
      <w:rPr>
        <w:rFonts w:hint="default"/>
        <w:highlight w:val="none"/>
      </w:rPr>
    </w:lvl>
  </w:abstractNum>
  <w:abstractNum w:abstractNumId="8">
    <w:nsid w:val="CF092B84"/>
    <w:multiLevelType w:val="multilevel"/>
    <w:tmpl w:val="CF092B84"/>
    <w:lvl w:ilvl="0" w:tentative="0">
      <w:start w:val="1"/>
      <w:numFmt w:val="decimal"/>
      <w:lvlText w:val="（%1）"/>
      <w:lvlJc w:val="left"/>
      <w:rPr>
        <w:rFonts w:cs="Times New Roman"/>
      </w:rPr>
    </w:lvl>
    <w:lvl w:ilvl="1" w:tentative="0">
      <w:start w:val="1"/>
      <w:numFmt w:val="bullet"/>
      <w:lvlText w:val="o"/>
      <w:lvlJc w:val="left"/>
      <w:pPr>
        <w:ind w:left="1440" w:hanging="360"/>
      </w:pPr>
      <w:rPr>
        <w:rFonts w:hint="default" w:ascii="Courier New" w:hAnsi="Courier New" w:eastAsia="Times New Roman"/>
      </w:rPr>
    </w:lvl>
    <w:lvl w:ilvl="2" w:tentative="0">
      <w:start w:val="1"/>
      <w:numFmt w:val="bullet"/>
      <w:lvlText w:val="§"/>
      <w:lvlJc w:val="left"/>
      <w:pPr>
        <w:ind w:left="2160" w:hanging="360"/>
      </w:pPr>
      <w:rPr>
        <w:rFonts w:hint="default" w:ascii="Wingdings" w:hAnsi="Wingdings" w:eastAsia="Times New Roman"/>
      </w:rPr>
    </w:lvl>
    <w:lvl w:ilvl="3" w:tentative="0">
      <w:start w:val="1"/>
      <w:numFmt w:val="bullet"/>
      <w:lvlText w:val="·"/>
      <w:lvlJc w:val="left"/>
      <w:pPr>
        <w:ind w:left="2880" w:hanging="360"/>
      </w:pPr>
      <w:rPr>
        <w:rFonts w:hint="default" w:ascii="Symbol" w:hAnsi="Symbol" w:eastAsia="Times New Roman"/>
      </w:rPr>
    </w:lvl>
    <w:lvl w:ilvl="4" w:tentative="0">
      <w:start w:val="1"/>
      <w:numFmt w:val="bullet"/>
      <w:lvlText w:val="o"/>
      <w:lvlJc w:val="left"/>
      <w:pPr>
        <w:ind w:left="3600" w:hanging="360"/>
      </w:pPr>
      <w:rPr>
        <w:rFonts w:hint="default" w:ascii="Courier New" w:hAnsi="Courier New" w:eastAsia="Times New Roman"/>
      </w:rPr>
    </w:lvl>
    <w:lvl w:ilvl="5" w:tentative="0">
      <w:start w:val="1"/>
      <w:numFmt w:val="bullet"/>
      <w:lvlText w:val="§"/>
      <w:lvlJc w:val="left"/>
      <w:pPr>
        <w:ind w:left="4320" w:hanging="360"/>
      </w:pPr>
      <w:rPr>
        <w:rFonts w:hint="default" w:ascii="Wingdings" w:hAnsi="Wingdings" w:eastAsia="Times New Roman"/>
      </w:rPr>
    </w:lvl>
    <w:lvl w:ilvl="6" w:tentative="0">
      <w:start w:val="1"/>
      <w:numFmt w:val="bullet"/>
      <w:lvlText w:val="·"/>
      <w:lvlJc w:val="left"/>
      <w:pPr>
        <w:ind w:left="5040" w:hanging="360"/>
      </w:pPr>
      <w:rPr>
        <w:rFonts w:hint="default" w:ascii="Symbol" w:hAnsi="Symbol" w:eastAsia="Times New Roman"/>
      </w:rPr>
    </w:lvl>
    <w:lvl w:ilvl="7" w:tentative="0">
      <w:start w:val="1"/>
      <w:numFmt w:val="bullet"/>
      <w:lvlText w:val="o"/>
      <w:lvlJc w:val="left"/>
      <w:pPr>
        <w:ind w:left="5760" w:hanging="360"/>
      </w:pPr>
      <w:rPr>
        <w:rFonts w:hint="default" w:ascii="Courier New" w:hAnsi="Courier New" w:eastAsia="Times New Roman"/>
      </w:rPr>
    </w:lvl>
    <w:lvl w:ilvl="8" w:tentative="0">
      <w:start w:val="1"/>
      <w:numFmt w:val="bullet"/>
      <w:lvlText w:val="§"/>
      <w:lvlJc w:val="left"/>
      <w:pPr>
        <w:ind w:left="6480" w:hanging="360"/>
      </w:pPr>
      <w:rPr>
        <w:rFonts w:hint="default" w:ascii="Wingdings" w:hAnsi="Wingdings" w:eastAsia="Times New Roman"/>
      </w:rPr>
    </w:lvl>
  </w:abstractNum>
  <w:abstractNum w:abstractNumId="9">
    <w:nsid w:val="D0DE1753"/>
    <w:multiLevelType w:val="singleLevel"/>
    <w:tmpl w:val="D0DE1753"/>
    <w:lvl w:ilvl="0" w:tentative="0">
      <w:start w:val="1"/>
      <w:numFmt w:val="decimal"/>
      <w:suff w:val="space"/>
      <w:lvlText w:val="(%1)"/>
      <w:lvlJc w:val="left"/>
      <w:pPr>
        <w:ind w:left="0" w:firstLine="367"/>
      </w:pPr>
      <w:rPr>
        <w:rFonts w:hint="default"/>
      </w:rPr>
    </w:lvl>
  </w:abstractNum>
  <w:abstractNum w:abstractNumId="10">
    <w:nsid w:val="E233ACC9"/>
    <w:multiLevelType w:val="singleLevel"/>
    <w:tmpl w:val="E233ACC9"/>
    <w:lvl w:ilvl="0" w:tentative="0">
      <w:start w:val="1"/>
      <w:numFmt w:val="decimalEnclosedCircleChinese"/>
      <w:suff w:val="nothing"/>
      <w:lvlText w:val="%1　"/>
      <w:lvlJc w:val="left"/>
      <w:pPr>
        <w:ind w:left="0" w:firstLine="400"/>
      </w:pPr>
      <w:rPr>
        <w:rFonts w:hint="eastAsia"/>
      </w:rPr>
    </w:lvl>
  </w:abstractNum>
  <w:abstractNum w:abstractNumId="11">
    <w:nsid w:val="043B8A1D"/>
    <w:multiLevelType w:val="singleLevel"/>
    <w:tmpl w:val="043B8A1D"/>
    <w:lvl w:ilvl="0" w:tentative="0">
      <w:start w:val="1"/>
      <w:numFmt w:val="decimal"/>
      <w:suff w:val="nothing"/>
      <w:lvlText w:val="%1．"/>
      <w:lvlJc w:val="left"/>
      <w:pPr>
        <w:ind w:left="40" w:firstLine="400"/>
      </w:pPr>
      <w:rPr>
        <w:rFonts w:hint="default" w:ascii="宋体" w:hAnsi="宋体" w:eastAsia="宋体" w:cs="宋体"/>
      </w:rPr>
    </w:lvl>
  </w:abstractNum>
  <w:abstractNum w:abstractNumId="12">
    <w:nsid w:val="059E27E2"/>
    <w:multiLevelType w:val="singleLevel"/>
    <w:tmpl w:val="059E27E2"/>
    <w:lvl w:ilvl="0" w:tentative="0">
      <w:start w:val="1"/>
      <w:numFmt w:val="decimalEnclosedCircleChinese"/>
      <w:suff w:val="nothing"/>
      <w:lvlText w:val="%1　"/>
      <w:lvlJc w:val="left"/>
      <w:pPr>
        <w:ind w:left="0" w:firstLine="400"/>
      </w:pPr>
      <w:rPr>
        <w:rFonts w:hint="eastAsia"/>
      </w:rPr>
    </w:lvl>
  </w:abstractNum>
  <w:abstractNum w:abstractNumId="13">
    <w:nsid w:val="0BEB11CC"/>
    <w:multiLevelType w:val="singleLevel"/>
    <w:tmpl w:val="0BEB11CC"/>
    <w:lvl w:ilvl="0" w:tentative="0">
      <w:start w:val="1"/>
      <w:numFmt w:val="decimal"/>
      <w:suff w:val="space"/>
      <w:lvlText w:val="(%1)"/>
      <w:lvlJc w:val="left"/>
      <w:pPr>
        <w:ind w:left="0" w:firstLine="40"/>
      </w:pPr>
      <w:rPr>
        <w:rFonts w:hint="default"/>
      </w:rPr>
    </w:lvl>
  </w:abstractNum>
  <w:abstractNum w:abstractNumId="14">
    <w:nsid w:val="0F7230A1"/>
    <w:multiLevelType w:val="singleLevel"/>
    <w:tmpl w:val="0F7230A1"/>
    <w:lvl w:ilvl="0" w:tentative="0">
      <w:start w:val="1"/>
      <w:numFmt w:val="decimal"/>
      <w:suff w:val="nothing"/>
      <w:lvlText w:val="%1．"/>
      <w:lvlJc w:val="left"/>
      <w:pPr>
        <w:ind w:left="0" w:firstLine="400"/>
      </w:pPr>
      <w:rPr>
        <w:rFonts w:hint="default"/>
      </w:rPr>
    </w:lvl>
  </w:abstractNum>
  <w:abstractNum w:abstractNumId="15">
    <w:nsid w:val="1FC91163"/>
    <w:multiLevelType w:val="multilevel"/>
    <w:tmpl w:val="1FC91163"/>
    <w:lvl w:ilvl="0" w:tentative="0">
      <w:start w:val="1"/>
      <w:numFmt w:val="decimal"/>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47"/>
      <w:suff w:val="nothing"/>
      <w:lvlText w:val="%1.%2　"/>
      <w:lvlJc w:val="left"/>
      <w:rPr>
        <w:rFonts w:hint="eastAsia" w:ascii="黑体" w:hAnsi="Times New Roman" w:eastAsia="黑体" w:cs="Times New Roman"/>
        <w:b w:val="0"/>
        <w:bCs w:val="0"/>
        <w:i w:val="0"/>
        <w:iCs w:val="0"/>
        <w:caps w:val="0"/>
        <w:strike w:val="0"/>
        <w:dstrike w:val="0"/>
        <w:vanish w:val="0"/>
        <w:color w:val="000000"/>
        <w:spacing w:val="0"/>
        <w:kern w:val="0"/>
        <w:position w:val="0"/>
        <w:sz w:val="21"/>
        <w:szCs w:val="21"/>
        <w:u w:val="none"/>
        <w:vertAlign w:val="baseline"/>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6">
    <w:nsid w:val="22F7572B"/>
    <w:multiLevelType w:val="singleLevel"/>
    <w:tmpl w:val="22F7572B"/>
    <w:lvl w:ilvl="0" w:tentative="0">
      <w:start w:val="1"/>
      <w:numFmt w:val="chineseCounting"/>
      <w:suff w:val="nothing"/>
      <w:lvlText w:val="（%1）"/>
      <w:lvlJc w:val="left"/>
      <w:pPr>
        <w:ind w:left="0" w:firstLine="0"/>
      </w:pPr>
      <w:rPr>
        <w:rFonts w:hint="eastAsia"/>
      </w:rPr>
    </w:lvl>
  </w:abstractNum>
  <w:abstractNum w:abstractNumId="17">
    <w:nsid w:val="41C24A23"/>
    <w:multiLevelType w:val="singleLevel"/>
    <w:tmpl w:val="41C24A23"/>
    <w:lvl w:ilvl="0" w:tentative="0">
      <w:start w:val="1"/>
      <w:numFmt w:val="decimal"/>
      <w:suff w:val="nothing"/>
      <w:lvlText w:val="%1．"/>
      <w:lvlJc w:val="left"/>
      <w:pPr>
        <w:ind w:left="0" w:firstLine="400"/>
      </w:pPr>
      <w:rPr>
        <w:rFonts w:hint="default" w:ascii="宋体" w:hAnsi="宋体" w:eastAsia="宋体" w:cs="宋体"/>
      </w:rPr>
    </w:lvl>
  </w:abstractNum>
  <w:abstractNum w:abstractNumId="18">
    <w:nsid w:val="4FC91E4D"/>
    <w:multiLevelType w:val="multilevel"/>
    <w:tmpl w:val="4FC91E4D"/>
    <w:lvl w:ilvl="0" w:tentative="0">
      <w:start w:val="1"/>
      <w:numFmt w:val="decimal"/>
      <w:pStyle w:val="2"/>
      <w:lvlText w:val="%1."/>
      <w:lvlJc w:val="left"/>
      <w:pPr>
        <w:ind w:left="720" w:hanging="720"/>
      </w:pPr>
      <w:rPr>
        <w:rFonts w:hint="default"/>
      </w:rPr>
    </w:lvl>
    <w:lvl w:ilvl="1" w:tentative="0">
      <w:start w:val="1"/>
      <w:numFmt w:val="decimal"/>
      <w:pStyle w:val="3"/>
      <w:isLgl/>
      <w:lvlText w:val="%1.%2"/>
      <w:lvlJc w:val="left"/>
      <w:pPr>
        <w:ind w:left="918" w:hanging="720"/>
      </w:pPr>
      <w:rPr>
        <w:rFonts w:hint="default"/>
      </w:rPr>
    </w:lvl>
    <w:lvl w:ilvl="2" w:tentative="0">
      <w:start w:val="1"/>
      <w:numFmt w:val="decimal"/>
      <w:pStyle w:val="4"/>
      <w:isLgl/>
      <w:lvlText w:val="%1.%2.%3"/>
      <w:lvlJc w:val="left"/>
      <w:pPr>
        <w:ind w:left="1476" w:hanging="1080"/>
      </w:pPr>
      <w:rPr>
        <w:rFonts w:hint="default"/>
      </w:rPr>
    </w:lvl>
    <w:lvl w:ilvl="3" w:tentative="0">
      <w:start w:val="1"/>
      <w:numFmt w:val="decimal"/>
      <w:isLgl/>
      <w:lvlText w:val="%1.%2.%3.%4"/>
      <w:lvlJc w:val="left"/>
      <w:pPr>
        <w:ind w:left="1674" w:hanging="1080"/>
      </w:pPr>
      <w:rPr>
        <w:rFonts w:hint="default"/>
      </w:rPr>
    </w:lvl>
    <w:lvl w:ilvl="4" w:tentative="0">
      <w:start w:val="1"/>
      <w:numFmt w:val="decimal"/>
      <w:isLgl/>
      <w:lvlText w:val="%1.%2.%3.%4.%5"/>
      <w:lvlJc w:val="left"/>
      <w:pPr>
        <w:ind w:left="2232" w:hanging="1440"/>
      </w:pPr>
      <w:rPr>
        <w:rFonts w:hint="default"/>
      </w:rPr>
    </w:lvl>
    <w:lvl w:ilvl="5" w:tentative="0">
      <w:start w:val="1"/>
      <w:numFmt w:val="decimal"/>
      <w:isLgl/>
      <w:lvlText w:val="%1.%2.%3.%4.%5.%6"/>
      <w:lvlJc w:val="left"/>
      <w:pPr>
        <w:ind w:left="2790" w:hanging="1800"/>
      </w:pPr>
      <w:rPr>
        <w:rFonts w:hint="default"/>
      </w:rPr>
    </w:lvl>
    <w:lvl w:ilvl="6" w:tentative="0">
      <w:start w:val="1"/>
      <w:numFmt w:val="decimal"/>
      <w:isLgl/>
      <w:lvlText w:val="%1.%2.%3.%4.%5.%6.%7"/>
      <w:lvlJc w:val="left"/>
      <w:pPr>
        <w:ind w:left="2988" w:hanging="1800"/>
      </w:pPr>
      <w:rPr>
        <w:rFonts w:hint="default"/>
      </w:rPr>
    </w:lvl>
    <w:lvl w:ilvl="7" w:tentative="0">
      <w:start w:val="1"/>
      <w:numFmt w:val="decimal"/>
      <w:isLgl/>
      <w:lvlText w:val="%1.%2.%3.%4.%5.%6.%7.%8"/>
      <w:lvlJc w:val="left"/>
      <w:pPr>
        <w:ind w:left="3546" w:hanging="2160"/>
      </w:pPr>
      <w:rPr>
        <w:rFonts w:hint="default"/>
      </w:rPr>
    </w:lvl>
    <w:lvl w:ilvl="8" w:tentative="0">
      <w:start w:val="1"/>
      <w:numFmt w:val="decimal"/>
      <w:isLgl/>
      <w:lvlText w:val="%1.%2.%3.%4.%5.%6.%7.%8.%9"/>
      <w:lvlJc w:val="left"/>
      <w:pPr>
        <w:ind w:left="4104" w:hanging="2520"/>
      </w:pPr>
      <w:rPr>
        <w:rFonts w:hint="default"/>
      </w:rPr>
    </w:lvl>
  </w:abstractNum>
  <w:abstractNum w:abstractNumId="19">
    <w:nsid w:val="5DF24F00"/>
    <w:multiLevelType w:val="multilevel"/>
    <w:tmpl w:val="5DF24F00"/>
    <w:lvl w:ilvl="0" w:tentative="0">
      <w:start w:val="1"/>
      <w:numFmt w:val="decimal"/>
      <w:suff w:val="space"/>
      <w:lvlText w:val="%1"/>
      <w:lvlJc w:val="left"/>
      <w:pPr>
        <w:ind w:left="425" w:hanging="425"/>
      </w:pPr>
      <w:rPr>
        <w:rFonts w:hint="eastAsia" w:ascii="宋体" w:hAnsi="宋体" w:eastAsia="宋体"/>
        <w:b/>
        <w:i w:val="0"/>
        <w:sz w:val="28"/>
      </w:rPr>
    </w:lvl>
    <w:lvl w:ilvl="1" w:tentative="0">
      <w:start w:val="1"/>
      <w:numFmt w:val="decimal"/>
      <w:pStyle w:val="53"/>
      <w:suff w:val="space"/>
      <w:lvlText w:val="%1.%2"/>
      <w:lvlJc w:val="left"/>
      <w:pPr>
        <w:ind w:left="567" w:hanging="567"/>
      </w:pPr>
      <w:rPr>
        <w:rFonts w:hint="eastAsia" w:ascii="宋体" w:hAnsi="宋体" w:eastAsia="宋体"/>
        <w:b/>
        <w:i w:val="0"/>
      </w:rPr>
    </w:lvl>
    <w:lvl w:ilvl="2" w:tentative="0">
      <w:start w:val="1"/>
      <w:numFmt w:val="decimal"/>
      <w:pStyle w:val="54"/>
      <w:suff w:val="space"/>
      <w:lvlText w:val="%1.%2.%3"/>
      <w:lvlJc w:val="left"/>
      <w:pPr>
        <w:ind w:left="919" w:hanging="709"/>
      </w:pPr>
      <w:rPr>
        <w:rFonts w:hint="eastAsia" w:ascii="宋体" w:hAnsi="宋体" w:eastAsia="宋体"/>
        <w:b/>
        <w:i w:val="0"/>
      </w:rPr>
    </w:lvl>
    <w:lvl w:ilvl="3" w:tentative="0">
      <w:start w:val="1"/>
      <w:numFmt w:val="decimal"/>
      <w:pStyle w:val="55"/>
      <w:suff w:val="space"/>
      <w:lvlText w:val="%1.%2.%3.%4"/>
      <w:lvlJc w:val="left"/>
      <w:pPr>
        <w:ind w:left="1271" w:hanging="851"/>
      </w:pPr>
      <w:rPr>
        <w:rFonts w:hint="eastAsia" w:ascii="宋体" w:hAnsi="宋体" w:eastAsia="宋体"/>
        <w:b/>
        <w:i w:val="0"/>
      </w:rPr>
    </w:lvl>
    <w:lvl w:ilvl="4" w:tentative="0">
      <w:start w:val="1"/>
      <w:numFmt w:val="decimal"/>
      <w:pStyle w:val="56"/>
      <w:suff w:val="space"/>
      <w:lvlText w:val="%1.%2.%3.%4.%5"/>
      <w:lvlJc w:val="left"/>
      <w:pPr>
        <w:ind w:left="1622" w:hanging="992"/>
      </w:pPr>
      <w:rPr>
        <w:rFonts w:hint="eastAsia" w:ascii="宋体" w:hAnsi="宋体" w:eastAsia="宋体"/>
        <w:b/>
        <w:i w:val="0"/>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20">
    <w:nsid w:val="5E29C949"/>
    <w:multiLevelType w:val="singleLevel"/>
    <w:tmpl w:val="5E29C949"/>
    <w:lvl w:ilvl="0" w:tentative="0">
      <w:start w:val="1"/>
      <w:numFmt w:val="chineseCounting"/>
      <w:suff w:val="space"/>
      <w:lvlText w:val="第%1部分"/>
      <w:lvlJc w:val="left"/>
      <w:rPr>
        <w:rFonts w:hint="eastAsia"/>
      </w:rPr>
    </w:lvl>
  </w:abstractNum>
  <w:abstractNum w:abstractNumId="21">
    <w:nsid w:val="6163D1CF"/>
    <w:multiLevelType w:val="singleLevel"/>
    <w:tmpl w:val="6163D1CF"/>
    <w:lvl w:ilvl="0" w:tentative="0">
      <w:start w:val="3"/>
      <w:numFmt w:val="chineseCounting"/>
      <w:suff w:val="nothing"/>
      <w:lvlText w:val="（%1）"/>
      <w:lvlJc w:val="left"/>
      <w:rPr>
        <w:rFonts w:hint="eastAsia"/>
      </w:rPr>
    </w:lvl>
  </w:abstractNum>
  <w:abstractNum w:abstractNumId="22">
    <w:nsid w:val="62D21A72"/>
    <w:multiLevelType w:val="singleLevel"/>
    <w:tmpl w:val="62D21A72"/>
    <w:lvl w:ilvl="0" w:tentative="0">
      <w:start w:val="1"/>
      <w:numFmt w:val="decimal"/>
      <w:lvlText w:val="%1)"/>
      <w:lvlJc w:val="left"/>
      <w:pPr>
        <w:ind w:left="425" w:hanging="425"/>
      </w:pPr>
      <w:rPr>
        <w:rFonts w:hint="default"/>
      </w:rPr>
    </w:lvl>
  </w:abstractNum>
  <w:abstractNum w:abstractNumId="23">
    <w:nsid w:val="67DE41CC"/>
    <w:multiLevelType w:val="singleLevel"/>
    <w:tmpl w:val="67DE41CC"/>
    <w:lvl w:ilvl="0" w:tentative="0">
      <w:start w:val="1"/>
      <w:numFmt w:val="decimal"/>
      <w:suff w:val="space"/>
      <w:lvlText w:val="(%1)"/>
      <w:lvlJc w:val="left"/>
      <w:pPr>
        <w:ind w:left="0" w:firstLine="40"/>
      </w:pPr>
      <w:rPr>
        <w:rFonts w:hint="default"/>
      </w:rPr>
    </w:lvl>
  </w:abstractNum>
  <w:abstractNum w:abstractNumId="24">
    <w:nsid w:val="69449671"/>
    <w:multiLevelType w:val="singleLevel"/>
    <w:tmpl w:val="69449671"/>
    <w:lvl w:ilvl="0" w:tentative="0">
      <w:start w:val="1"/>
      <w:numFmt w:val="decimal"/>
      <w:suff w:val="space"/>
      <w:lvlText w:val="(%1)"/>
      <w:lvlJc w:val="left"/>
      <w:pPr>
        <w:ind w:left="0" w:firstLine="40"/>
      </w:pPr>
      <w:rPr>
        <w:rFonts w:hint="default"/>
      </w:rPr>
    </w:lvl>
  </w:abstractNum>
  <w:abstractNum w:abstractNumId="25">
    <w:nsid w:val="70C20142"/>
    <w:multiLevelType w:val="multilevel"/>
    <w:tmpl w:val="70C20142"/>
    <w:lvl w:ilvl="0" w:tentative="0">
      <w:start w:val="1"/>
      <w:numFmt w:val="decimal"/>
      <w:pStyle w:val="44"/>
      <w:lvlText w:val="%1"/>
      <w:lvlJc w:val="left"/>
      <w:pPr>
        <w:ind w:left="432" w:hanging="432"/>
      </w:pPr>
      <w:rPr>
        <w:rFonts w:hint="eastAsia"/>
      </w:rPr>
    </w:lvl>
    <w:lvl w:ilvl="1" w:tentative="0">
      <w:start w:val="1"/>
      <w:numFmt w:val="decimal"/>
      <w:pStyle w:val="46"/>
      <w:lvlText w:val="%1.%2"/>
      <w:lvlJc w:val="left"/>
      <w:pPr>
        <w:ind w:left="718" w:hanging="576"/>
      </w:pPr>
      <w:rPr>
        <w:rFonts w:hint="eastAsia"/>
      </w:rPr>
    </w:lvl>
    <w:lvl w:ilvl="2" w:tentative="0">
      <w:start w:val="1"/>
      <w:numFmt w:val="decimal"/>
      <w:pStyle w:val="48"/>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26">
    <w:nsid w:val="76295853"/>
    <w:multiLevelType w:val="multilevel"/>
    <w:tmpl w:val="76295853"/>
    <w:lvl w:ilvl="0" w:tentative="0">
      <w:start w:val="1"/>
      <w:numFmt w:val="decimal"/>
      <w:lvlText w:val="%1."/>
      <w:lvlJc w:val="left"/>
      <w:pPr>
        <w:ind w:left="555" w:hanging="555"/>
      </w:pPr>
      <w:rPr>
        <w:rFonts w:hint="default"/>
      </w:rPr>
    </w:lvl>
    <w:lvl w:ilvl="1" w:tentative="0">
      <w:start w:val="1"/>
      <w:numFmt w:val="decimal"/>
      <w:isLgl/>
      <w:lvlText w:val="%1.%2"/>
      <w:lvlJc w:val="left"/>
      <w:pPr>
        <w:ind w:left="720" w:hanging="720"/>
      </w:pPr>
      <w:rPr>
        <w:rFonts w:hint="default"/>
      </w:rPr>
    </w:lvl>
    <w:lvl w:ilvl="2" w:tentative="0">
      <w:start w:val="1"/>
      <w:numFmt w:val="decimal"/>
      <w:isLgl/>
      <w:lvlText w:val="%1.%2.%3"/>
      <w:lvlJc w:val="left"/>
      <w:pPr>
        <w:ind w:left="1080" w:hanging="1080"/>
      </w:pPr>
      <w:rPr>
        <w:rFonts w:hint="default"/>
      </w:rPr>
    </w:lvl>
    <w:lvl w:ilvl="3" w:tentative="0">
      <w:start w:val="1"/>
      <w:numFmt w:val="decimal"/>
      <w:pStyle w:val="5"/>
      <w:isLgl/>
      <w:lvlText w:val="%1.%2.%3.%4"/>
      <w:lvlJc w:val="left"/>
      <w:pPr>
        <w:ind w:left="1080" w:hanging="1080"/>
      </w:pPr>
      <w:rPr>
        <w:rFonts w:hint="default"/>
      </w:rPr>
    </w:lvl>
    <w:lvl w:ilvl="4" w:tentative="0">
      <w:start w:val="1"/>
      <w:numFmt w:val="decimal"/>
      <w:isLgl/>
      <w:lvlText w:val="%1.%2.%3.%4.%5"/>
      <w:lvlJc w:val="left"/>
      <w:pPr>
        <w:ind w:left="1440" w:hanging="1440"/>
      </w:pPr>
      <w:rPr>
        <w:rFonts w:hint="default"/>
      </w:rPr>
    </w:lvl>
    <w:lvl w:ilvl="5" w:tentative="0">
      <w:start w:val="1"/>
      <w:numFmt w:val="decimal"/>
      <w:isLgl/>
      <w:lvlText w:val="%1.%2.%3.%4.%5.%6"/>
      <w:lvlJc w:val="left"/>
      <w:pPr>
        <w:ind w:left="1800" w:hanging="1800"/>
      </w:pPr>
      <w:rPr>
        <w:rFonts w:hint="default"/>
      </w:rPr>
    </w:lvl>
    <w:lvl w:ilvl="6" w:tentative="0">
      <w:start w:val="1"/>
      <w:numFmt w:val="decimal"/>
      <w:isLgl/>
      <w:lvlText w:val="%1.%2.%3.%4.%5.%6.%7"/>
      <w:lvlJc w:val="left"/>
      <w:pPr>
        <w:ind w:left="1800" w:hanging="1800"/>
      </w:pPr>
      <w:rPr>
        <w:rFonts w:hint="default"/>
      </w:rPr>
    </w:lvl>
    <w:lvl w:ilvl="7" w:tentative="0">
      <w:start w:val="1"/>
      <w:numFmt w:val="decimal"/>
      <w:isLgl/>
      <w:lvlText w:val="%1.%2.%3.%4.%5.%6.%7.%8"/>
      <w:lvlJc w:val="left"/>
      <w:pPr>
        <w:ind w:left="2160" w:hanging="2160"/>
      </w:pPr>
      <w:rPr>
        <w:rFonts w:hint="default"/>
      </w:rPr>
    </w:lvl>
    <w:lvl w:ilvl="8" w:tentative="0">
      <w:start w:val="1"/>
      <w:numFmt w:val="decimal"/>
      <w:isLgl/>
      <w:lvlText w:val="%1.%2.%3.%4.%5.%6.%7.%8.%9"/>
      <w:lvlJc w:val="left"/>
      <w:pPr>
        <w:ind w:left="2520" w:hanging="2520"/>
      </w:pPr>
      <w:rPr>
        <w:rFonts w:hint="default"/>
      </w:rPr>
    </w:lvl>
  </w:abstractNum>
  <w:abstractNum w:abstractNumId="27">
    <w:nsid w:val="7F093E57"/>
    <w:multiLevelType w:val="multilevel"/>
    <w:tmpl w:val="7F093E57"/>
    <w:lvl w:ilvl="0" w:tentative="0">
      <w:start w:val="1"/>
      <w:numFmt w:val="decimal"/>
      <w:suff w:val="nothing"/>
      <w:lvlText w:val="%1．"/>
      <w:lvlJc w:val="left"/>
      <w:pPr>
        <w:ind w:left="0" w:firstLine="40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18"/>
  </w:num>
  <w:num w:numId="2">
    <w:abstractNumId w:val="26"/>
  </w:num>
  <w:num w:numId="3">
    <w:abstractNumId w:val="25"/>
  </w:num>
  <w:num w:numId="4">
    <w:abstractNumId w:val="15"/>
  </w:num>
  <w:num w:numId="5">
    <w:abstractNumId w:val="19"/>
  </w:num>
  <w:num w:numId="6">
    <w:abstractNumId w:val="20"/>
  </w:num>
  <w:num w:numId="7">
    <w:abstractNumId w:val="21"/>
  </w:num>
  <w:num w:numId="8">
    <w:abstractNumId w:val="22"/>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9"/>
  </w:num>
  <w:num w:numId="12">
    <w:abstractNumId w:val="1"/>
  </w:num>
  <w:num w:numId="13">
    <w:abstractNumId w:val="24"/>
  </w:num>
  <w:num w:numId="14">
    <w:abstractNumId w:val="3"/>
  </w:num>
  <w:num w:numId="15">
    <w:abstractNumId w:val="12"/>
  </w:num>
  <w:num w:numId="16">
    <w:abstractNumId w:val="2"/>
  </w:num>
  <w:num w:numId="17">
    <w:abstractNumId w:val="23"/>
  </w:num>
  <w:num w:numId="18">
    <w:abstractNumId w:val="10"/>
  </w:num>
  <w:num w:numId="19">
    <w:abstractNumId w:val="13"/>
  </w:num>
  <w:num w:numId="20">
    <w:abstractNumId w:val="0"/>
  </w:num>
  <w:num w:numId="21">
    <w:abstractNumId w:val="7"/>
  </w:num>
  <w:num w:numId="22">
    <w:abstractNumId w:val="16"/>
  </w:num>
  <w:num w:numId="23">
    <w:abstractNumId w:val="6"/>
  </w:num>
  <w:num w:numId="24">
    <w:abstractNumId w:val="11"/>
  </w:num>
  <w:num w:numId="25">
    <w:abstractNumId w:val="4"/>
  </w:num>
  <w:num w:numId="26">
    <w:abstractNumId w:val="14"/>
  </w:num>
  <w:num w:numId="27">
    <w:abstractNumId w:val="5"/>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UwMTFkMDI3ZjBmZjczM2Q3M2EwOGI5M2VjYzUzMDkifQ=="/>
  </w:docVars>
  <w:rsids>
    <w:rsidRoot w:val="00E47FF8"/>
    <w:rsid w:val="00051470"/>
    <w:rsid w:val="00093596"/>
    <w:rsid w:val="001249C1"/>
    <w:rsid w:val="001368D4"/>
    <w:rsid w:val="00150B39"/>
    <w:rsid w:val="002558DE"/>
    <w:rsid w:val="002664B4"/>
    <w:rsid w:val="00282463"/>
    <w:rsid w:val="002831CD"/>
    <w:rsid w:val="0028345B"/>
    <w:rsid w:val="002A019D"/>
    <w:rsid w:val="00305027"/>
    <w:rsid w:val="00306967"/>
    <w:rsid w:val="00317650"/>
    <w:rsid w:val="00320568"/>
    <w:rsid w:val="0032112D"/>
    <w:rsid w:val="003279AB"/>
    <w:rsid w:val="00331189"/>
    <w:rsid w:val="003851B5"/>
    <w:rsid w:val="003E2703"/>
    <w:rsid w:val="0046010E"/>
    <w:rsid w:val="00486080"/>
    <w:rsid w:val="004C4933"/>
    <w:rsid w:val="00544AED"/>
    <w:rsid w:val="00564510"/>
    <w:rsid w:val="005E0782"/>
    <w:rsid w:val="005E708D"/>
    <w:rsid w:val="005F0943"/>
    <w:rsid w:val="00692C7E"/>
    <w:rsid w:val="006A0AAA"/>
    <w:rsid w:val="006D217C"/>
    <w:rsid w:val="006D2DE1"/>
    <w:rsid w:val="006F7570"/>
    <w:rsid w:val="007019D5"/>
    <w:rsid w:val="00784FF7"/>
    <w:rsid w:val="007D1ECD"/>
    <w:rsid w:val="007E6932"/>
    <w:rsid w:val="00802F57"/>
    <w:rsid w:val="00824778"/>
    <w:rsid w:val="00877C8A"/>
    <w:rsid w:val="008C390A"/>
    <w:rsid w:val="008D6C32"/>
    <w:rsid w:val="008F7D85"/>
    <w:rsid w:val="009073C9"/>
    <w:rsid w:val="009716E0"/>
    <w:rsid w:val="009C16F0"/>
    <w:rsid w:val="00A87CD3"/>
    <w:rsid w:val="00AA71EC"/>
    <w:rsid w:val="00AF1983"/>
    <w:rsid w:val="00AF694B"/>
    <w:rsid w:val="00C33FE5"/>
    <w:rsid w:val="00CC6420"/>
    <w:rsid w:val="00D12013"/>
    <w:rsid w:val="00D35062"/>
    <w:rsid w:val="00D4148C"/>
    <w:rsid w:val="00D43E95"/>
    <w:rsid w:val="00D96E57"/>
    <w:rsid w:val="00DA5B78"/>
    <w:rsid w:val="00DE4459"/>
    <w:rsid w:val="00DF6575"/>
    <w:rsid w:val="00E47FF8"/>
    <w:rsid w:val="00E55446"/>
    <w:rsid w:val="00E72D27"/>
    <w:rsid w:val="00F642D5"/>
    <w:rsid w:val="00F7543C"/>
    <w:rsid w:val="00F95AE5"/>
    <w:rsid w:val="00FE379A"/>
    <w:rsid w:val="01334FA7"/>
    <w:rsid w:val="014255F2"/>
    <w:rsid w:val="01576D2A"/>
    <w:rsid w:val="01746AFD"/>
    <w:rsid w:val="025737A1"/>
    <w:rsid w:val="026676BA"/>
    <w:rsid w:val="02785D16"/>
    <w:rsid w:val="027B01C7"/>
    <w:rsid w:val="02F10EE5"/>
    <w:rsid w:val="03372739"/>
    <w:rsid w:val="03B21D0A"/>
    <w:rsid w:val="03F7628E"/>
    <w:rsid w:val="0429344B"/>
    <w:rsid w:val="042D56C0"/>
    <w:rsid w:val="04506958"/>
    <w:rsid w:val="04A6013D"/>
    <w:rsid w:val="053F7DCA"/>
    <w:rsid w:val="05690978"/>
    <w:rsid w:val="05931F6C"/>
    <w:rsid w:val="05E65B03"/>
    <w:rsid w:val="06051E69"/>
    <w:rsid w:val="062F5D69"/>
    <w:rsid w:val="064430F1"/>
    <w:rsid w:val="06574ACB"/>
    <w:rsid w:val="076805A1"/>
    <w:rsid w:val="07C6509A"/>
    <w:rsid w:val="08957FC8"/>
    <w:rsid w:val="0901028E"/>
    <w:rsid w:val="09096AF4"/>
    <w:rsid w:val="095F6DDC"/>
    <w:rsid w:val="09807865"/>
    <w:rsid w:val="09DE4AC2"/>
    <w:rsid w:val="0A286E7B"/>
    <w:rsid w:val="0A4032D8"/>
    <w:rsid w:val="0A792655"/>
    <w:rsid w:val="0A8A4F16"/>
    <w:rsid w:val="0A9234F9"/>
    <w:rsid w:val="0B4D3E79"/>
    <w:rsid w:val="0B911910"/>
    <w:rsid w:val="0BA14F94"/>
    <w:rsid w:val="0BB449F8"/>
    <w:rsid w:val="0C082E3C"/>
    <w:rsid w:val="0C953D19"/>
    <w:rsid w:val="0CEC17FD"/>
    <w:rsid w:val="0CED79F8"/>
    <w:rsid w:val="0D9D50C5"/>
    <w:rsid w:val="0DBC72B2"/>
    <w:rsid w:val="0DD8604B"/>
    <w:rsid w:val="0EC828C4"/>
    <w:rsid w:val="0EE505E5"/>
    <w:rsid w:val="0EEC4581"/>
    <w:rsid w:val="0F504154"/>
    <w:rsid w:val="0F72626C"/>
    <w:rsid w:val="0F831235"/>
    <w:rsid w:val="0FD0613D"/>
    <w:rsid w:val="0FD53116"/>
    <w:rsid w:val="106C76FC"/>
    <w:rsid w:val="108D4C27"/>
    <w:rsid w:val="10B24B8D"/>
    <w:rsid w:val="10F468BD"/>
    <w:rsid w:val="115A79A5"/>
    <w:rsid w:val="1166487C"/>
    <w:rsid w:val="12077E8E"/>
    <w:rsid w:val="124128E9"/>
    <w:rsid w:val="12624E3E"/>
    <w:rsid w:val="12903616"/>
    <w:rsid w:val="12D91292"/>
    <w:rsid w:val="131A4648"/>
    <w:rsid w:val="133C69A2"/>
    <w:rsid w:val="134454AD"/>
    <w:rsid w:val="13CF2BD9"/>
    <w:rsid w:val="13EE7E5C"/>
    <w:rsid w:val="144572DB"/>
    <w:rsid w:val="145C174D"/>
    <w:rsid w:val="146D0E60"/>
    <w:rsid w:val="14E70D08"/>
    <w:rsid w:val="14E97938"/>
    <w:rsid w:val="15185D93"/>
    <w:rsid w:val="1519634A"/>
    <w:rsid w:val="15703297"/>
    <w:rsid w:val="159423B2"/>
    <w:rsid w:val="16113A6A"/>
    <w:rsid w:val="163F2BA6"/>
    <w:rsid w:val="166F6781"/>
    <w:rsid w:val="16A9757C"/>
    <w:rsid w:val="16BF1EF0"/>
    <w:rsid w:val="16F74009"/>
    <w:rsid w:val="17E23494"/>
    <w:rsid w:val="1817082D"/>
    <w:rsid w:val="184A698E"/>
    <w:rsid w:val="18586D07"/>
    <w:rsid w:val="18A02755"/>
    <w:rsid w:val="190F41B9"/>
    <w:rsid w:val="192266B9"/>
    <w:rsid w:val="19340972"/>
    <w:rsid w:val="193515EE"/>
    <w:rsid w:val="19507AB2"/>
    <w:rsid w:val="19AC6807"/>
    <w:rsid w:val="1A301E61"/>
    <w:rsid w:val="1A372853"/>
    <w:rsid w:val="1A4B5384"/>
    <w:rsid w:val="1A90006E"/>
    <w:rsid w:val="1AAF0E80"/>
    <w:rsid w:val="1B283DE4"/>
    <w:rsid w:val="1B6D7FC6"/>
    <w:rsid w:val="1C1C6EAE"/>
    <w:rsid w:val="1C42205A"/>
    <w:rsid w:val="1C6467FD"/>
    <w:rsid w:val="1D543972"/>
    <w:rsid w:val="1DFD21E2"/>
    <w:rsid w:val="1E236A34"/>
    <w:rsid w:val="1E287168"/>
    <w:rsid w:val="1E4A7B8D"/>
    <w:rsid w:val="1E4D069B"/>
    <w:rsid w:val="1EA5505B"/>
    <w:rsid w:val="1ECD2D21"/>
    <w:rsid w:val="1F490AD0"/>
    <w:rsid w:val="1F612CAC"/>
    <w:rsid w:val="1F6E2F0A"/>
    <w:rsid w:val="1FFB3BFB"/>
    <w:rsid w:val="203E52CC"/>
    <w:rsid w:val="204D4B94"/>
    <w:rsid w:val="204D5E68"/>
    <w:rsid w:val="205005B3"/>
    <w:rsid w:val="2064483B"/>
    <w:rsid w:val="20943EA1"/>
    <w:rsid w:val="21141227"/>
    <w:rsid w:val="21B764EA"/>
    <w:rsid w:val="21CF0BC1"/>
    <w:rsid w:val="21FB1FC6"/>
    <w:rsid w:val="226902A0"/>
    <w:rsid w:val="22D33904"/>
    <w:rsid w:val="22DC5003"/>
    <w:rsid w:val="235F226C"/>
    <w:rsid w:val="237A76DE"/>
    <w:rsid w:val="23912FC6"/>
    <w:rsid w:val="23A03F80"/>
    <w:rsid w:val="23B61EF8"/>
    <w:rsid w:val="23F848FF"/>
    <w:rsid w:val="24154C36"/>
    <w:rsid w:val="242332EA"/>
    <w:rsid w:val="24464924"/>
    <w:rsid w:val="24701BFE"/>
    <w:rsid w:val="25BC57A4"/>
    <w:rsid w:val="2616396C"/>
    <w:rsid w:val="261B197D"/>
    <w:rsid w:val="267D7DC2"/>
    <w:rsid w:val="268E3E63"/>
    <w:rsid w:val="268F445D"/>
    <w:rsid w:val="26BC3B2C"/>
    <w:rsid w:val="272C6558"/>
    <w:rsid w:val="27C15FE7"/>
    <w:rsid w:val="27E67649"/>
    <w:rsid w:val="280B0C3D"/>
    <w:rsid w:val="286A7D3A"/>
    <w:rsid w:val="28A63931"/>
    <w:rsid w:val="28F00255"/>
    <w:rsid w:val="290F6F35"/>
    <w:rsid w:val="292C3C68"/>
    <w:rsid w:val="293E718A"/>
    <w:rsid w:val="293F53EE"/>
    <w:rsid w:val="2973086F"/>
    <w:rsid w:val="29990E94"/>
    <w:rsid w:val="2A080883"/>
    <w:rsid w:val="2A2800CF"/>
    <w:rsid w:val="2A3B1950"/>
    <w:rsid w:val="2A577F0B"/>
    <w:rsid w:val="2A8D0D4C"/>
    <w:rsid w:val="2A96501C"/>
    <w:rsid w:val="2ACD576B"/>
    <w:rsid w:val="2B1D695F"/>
    <w:rsid w:val="2B1F7E79"/>
    <w:rsid w:val="2B2A3CD6"/>
    <w:rsid w:val="2B5339B2"/>
    <w:rsid w:val="2BFE19C5"/>
    <w:rsid w:val="2C1615C6"/>
    <w:rsid w:val="2C33078A"/>
    <w:rsid w:val="2C5C65F9"/>
    <w:rsid w:val="2CFE00BE"/>
    <w:rsid w:val="2D261171"/>
    <w:rsid w:val="2D264A34"/>
    <w:rsid w:val="2D4452DF"/>
    <w:rsid w:val="2D6E6ABA"/>
    <w:rsid w:val="2DE62855"/>
    <w:rsid w:val="2DF46388"/>
    <w:rsid w:val="2E63730B"/>
    <w:rsid w:val="2EA36E63"/>
    <w:rsid w:val="2ED34C34"/>
    <w:rsid w:val="2ED636CF"/>
    <w:rsid w:val="2EE173DF"/>
    <w:rsid w:val="2F292538"/>
    <w:rsid w:val="302216BA"/>
    <w:rsid w:val="30273199"/>
    <w:rsid w:val="30C776F3"/>
    <w:rsid w:val="31132F9F"/>
    <w:rsid w:val="316D1348"/>
    <w:rsid w:val="31A37F5F"/>
    <w:rsid w:val="31A911B2"/>
    <w:rsid w:val="31D02001"/>
    <w:rsid w:val="32576430"/>
    <w:rsid w:val="329128EC"/>
    <w:rsid w:val="32C50DE6"/>
    <w:rsid w:val="32DB7107"/>
    <w:rsid w:val="32E06DBB"/>
    <w:rsid w:val="33061E34"/>
    <w:rsid w:val="33586A85"/>
    <w:rsid w:val="33BC6397"/>
    <w:rsid w:val="34190424"/>
    <w:rsid w:val="342609E1"/>
    <w:rsid w:val="34390606"/>
    <w:rsid w:val="34F3093F"/>
    <w:rsid w:val="35250D56"/>
    <w:rsid w:val="35302F98"/>
    <w:rsid w:val="36121A71"/>
    <w:rsid w:val="36853AF5"/>
    <w:rsid w:val="36965B9D"/>
    <w:rsid w:val="36D45059"/>
    <w:rsid w:val="36FA1BD2"/>
    <w:rsid w:val="37744948"/>
    <w:rsid w:val="37CE7232"/>
    <w:rsid w:val="37D14791"/>
    <w:rsid w:val="37E26862"/>
    <w:rsid w:val="3869351D"/>
    <w:rsid w:val="3890047B"/>
    <w:rsid w:val="3956408A"/>
    <w:rsid w:val="39AC3B3E"/>
    <w:rsid w:val="39E36F49"/>
    <w:rsid w:val="3A3D51E1"/>
    <w:rsid w:val="3A551DF1"/>
    <w:rsid w:val="3A713581"/>
    <w:rsid w:val="3A7E79A9"/>
    <w:rsid w:val="3AD93324"/>
    <w:rsid w:val="3AE70F05"/>
    <w:rsid w:val="3B8D3800"/>
    <w:rsid w:val="3C265F6C"/>
    <w:rsid w:val="3C4C11FB"/>
    <w:rsid w:val="3CA66752"/>
    <w:rsid w:val="3CC63979"/>
    <w:rsid w:val="3CF0704A"/>
    <w:rsid w:val="3D306CC4"/>
    <w:rsid w:val="3D346E5D"/>
    <w:rsid w:val="3D705CE7"/>
    <w:rsid w:val="3DE85B35"/>
    <w:rsid w:val="3DEC58D7"/>
    <w:rsid w:val="3E0B3302"/>
    <w:rsid w:val="3E0E4BB3"/>
    <w:rsid w:val="3E2B3208"/>
    <w:rsid w:val="3E520523"/>
    <w:rsid w:val="3E5C7A12"/>
    <w:rsid w:val="3E8C6028"/>
    <w:rsid w:val="3EE31065"/>
    <w:rsid w:val="3EE51450"/>
    <w:rsid w:val="3EF74FBD"/>
    <w:rsid w:val="3F0652EA"/>
    <w:rsid w:val="3F131072"/>
    <w:rsid w:val="3F657B1C"/>
    <w:rsid w:val="3F7311CF"/>
    <w:rsid w:val="40435D34"/>
    <w:rsid w:val="40B01E7C"/>
    <w:rsid w:val="40E7092B"/>
    <w:rsid w:val="40EA6889"/>
    <w:rsid w:val="40ED484F"/>
    <w:rsid w:val="41080E4F"/>
    <w:rsid w:val="41531D98"/>
    <w:rsid w:val="41676937"/>
    <w:rsid w:val="417D5F3C"/>
    <w:rsid w:val="419B72DB"/>
    <w:rsid w:val="41F94E0D"/>
    <w:rsid w:val="41FC20F4"/>
    <w:rsid w:val="420A4D86"/>
    <w:rsid w:val="42290E28"/>
    <w:rsid w:val="423D735E"/>
    <w:rsid w:val="427329A1"/>
    <w:rsid w:val="42890F81"/>
    <w:rsid w:val="429D3457"/>
    <w:rsid w:val="42B33086"/>
    <w:rsid w:val="42C5741D"/>
    <w:rsid w:val="42F313A6"/>
    <w:rsid w:val="430A7028"/>
    <w:rsid w:val="43AA24B2"/>
    <w:rsid w:val="43BA63B5"/>
    <w:rsid w:val="446B3B3D"/>
    <w:rsid w:val="44B74F79"/>
    <w:rsid w:val="46007DAD"/>
    <w:rsid w:val="463B60B5"/>
    <w:rsid w:val="46411AC8"/>
    <w:rsid w:val="464B176D"/>
    <w:rsid w:val="46BF3142"/>
    <w:rsid w:val="46C35031"/>
    <w:rsid w:val="46C45C10"/>
    <w:rsid w:val="46C645EC"/>
    <w:rsid w:val="46D415C3"/>
    <w:rsid w:val="4730491A"/>
    <w:rsid w:val="479F34F8"/>
    <w:rsid w:val="47C141DD"/>
    <w:rsid w:val="47DA7A71"/>
    <w:rsid w:val="487877F8"/>
    <w:rsid w:val="48796038"/>
    <w:rsid w:val="48B92C45"/>
    <w:rsid w:val="49357723"/>
    <w:rsid w:val="497A1E5A"/>
    <w:rsid w:val="49AA7B26"/>
    <w:rsid w:val="49FA5DFD"/>
    <w:rsid w:val="4A494256"/>
    <w:rsid w:val="4A781A58"/>
    <w:rsid w:val="4B1C3496"/>
    <w:rsid w:val="4B2E0968"/>
    <w:rsid w:val="4B3D32B9"/>
    <w:rsid w:val="4B54279A"/>
    <w:rsid w:val="4B606268"/>
    <w:rsid w:val="4B846629"/>
    <w:rsid w:val="4B8B37F5"/>
    <w:rsid w:val="4B9179DC"/>
    <w:rsid w:val="4BC335E9"/>
    <w:rsid w:val="4C075740"/>
    <w:rsid w:val="4C0D1D2C"/>
    <w:rsid w:val="4C2865FF"/>
    <w:rsid w:val="4C604F06"/>
    <w:rsid w:val="4C994EB6"/>
    <w:rsid w:val="4CAC4853"/>
    <w:rsid w:val="4CE83811"/>
    <w:rsid w:val="4CFC7A91"/>
    <w:rsid w:val="4D29269A"/>
    <w:rsid w:val="4D2F6D0D"/>
    <w:rsid w:val="4D4D1B49"/>
    <w:rsid w:val="4D84040C"/>
    <w:rsid w:val="4D927483"/>
    <w:rsid w:val="4DAC7224"/>
    <w:rsid w:val="4E3724AD"/>
    <w:rsid w:val="4EAD2183"/>
    <w:rsid w:val="4EFF3B7A"/>
    <w:rsid w:val="4F1D0F7D"/>
    <w:rsid w:val="4F2C2A8A"/>
    <w:rsid w:val="4F4D2419"/>
    <w:rsid w:val="4FDA4C6A"/>
    <w:rsid w:val="50524548"/>
    <w:rsid w:val="50E97482"/>
    <w:rsid w:val="51233C0B"/>
    <w:rsid w:val="512975EA"/>
    <w:rsid w:val="5135294D"/>
    <w:rsid w:val="515800C0"/>
    <w:rsid w:val="51766DE3"/>
    <w:rsid w:val="51B6593B"/>
    <w:rsid w:val="51D07A66"/>
    <w:rsid w:val="521A4CB8"/>
    <w:rsid w:val="52D56A27"/>
    <w:rsid w:val="52F4458A"/>
    <w:rsid w:val="534357BB"/>
    <w:rsid w:val="5387050B"/>
    <w:rsid w:val="53BD07B5"/>
    <w:rsid w:val="53FC0770"/>
    <w:rsid w:val="54050CF4"/>
    <w:rsid w:val="54177EC5"/>
    <w:rsid w:val="54266EC4"/>
    <w:rsid w:val="54A10F61"/>
    <w:rsid w:val="54B46F74"/>
    <w:rsid w:val="55A557FF"/>
    <w:rsid w:val="55C10B19"/>
    <w:rsid w:val="55C64CD5"/>
    <w:rsid w:val="564E66F7"/>
    <w:rsid w:val="566212A4"/>
    <w:rsid w:val="56653CA4"/>
    <w:rsid w:val="567053AF"/>
    <w:rsid w:val="567D7DCB"/>
    <w:rsid w:val="56E737C9"/>
    <w:rsid w:val="573373AF"/>
    <w:rsid w:val="575D7F93"/>
    <w:rsid w:val="578A1702"/>
    <w:rsid w:val="578C1B1B"/>
    <w:rsid w:val="579D653B"/>
    <w:rsid w:val="57B66C69"/>
    <w:rsid w:val="57D834FD"/>
    <w:rsid w:val="57EC6089"/>
    <w:rsid w:val="57F174A4"/>
    <w:rsid w:val="58021544"/>
    <w:rsid w:val="587C42F4"/>
    <w:rsid w:val="58EB5E8F"/>
    <w:rsid w:val="591A320E"/>
    <w:rsid w:val="593E3058"/>
    <w:rsid w:val="599D27D5"/>
    <w:rsid w:val="59C73C2F"/>
    <w:rsid w:val="59E2165F"/>
    <w:rsid w:val="59FD11F1"/>
    <w:rsid w:val="5A035D34"/>
    <w:rsid w:val="5A0A4327"/>
    <w:rsid w:val="5A3A432D"/>
    <w:rsid w:val="5A8B3F6D"/>
    <w:rsid w:val="5AD56174"/>
    <w:rsid w:val="5B3557F9"/>
    <w:rsid w:val="5B473095"/>
    <w:rsid w:val="5B4A6D65"/>
    <w:rsid w:val="5B92122E"/>
    <w:rsid w:val="5BAF4290"/>
    <w:rsid w:val="5BC112AD"/>
    <w:rsid w:val="5BD40D92"/>
    <w:rsid w:val="5C184859"/>
    <w:rsid w:val="5C334323"/>
    <w:rsid w:val="5CB15FB1"/>
    <w:rsid w:val="5CF57894"/>
    <w:rsid w:val="5CF847AB"/>
    <w:rsid w:val="5D555611"/>
    <w:rsid w:val="5D585601"/>
    <w:rsid w:val="5D7E7754"/>
    <w:rsid w:val="5DE336C5"/>
    <w:rsid w:val="5E09156A"/>
    <w:rsid w:val="5E6B5375"/>
    <w:rsid w:val="5E7C3864"/>
    <w:rsid w:val="5E95778E"/>
    <w:rsid w:val="5EB41A5B"/>
    <w:rsid w:val="5EB83C4C"/>
    <w:rsid w:val="5ED77B65"/>
    <w:rsid w:val="5EEE70FA"/>
    <w:rsid w:val="5F036717"/>
    <w:rsid w:val="5F705AA6"/>
    <w:rsid w:val="5FFB6780"/>
    <w:rsid w:val="60123630"/>
    <w:rsid w:val="60161C8D"/>
    <w:rsid w:val="602C4080"/>
    <w:rsid w:val="605140AF"/>
    <w:rsid w:val="605B3289"/>
    <w:rsid w:val="60936160"/>
    <w:rsid w:val="609546DE"/>
    <w:rsid w:val="60B814F7"/>
    <w:rsid w:val="60D84FBB"/>
    <w:rsid w:val="60DF0B0B"/>
    <w:rsid w:val="60F510AB"/>
    <w:rsid w:val="611D7DCB"/>
    <w:rsid w:val="61501EE9"/>
    <w:rsid w:val="615D0828"/>
    <w:rsid w:val="61CE51D2"/>
    <w:rsid w:val="61DB3763"/>
    <w:rsid w:val="61FD66E6"/>
    <w:rsid w:val="62045682"/>
    <w:rsid w:val="62232AC4"/>
    <w:rsid w:val="62312D43"/>
    <w:rsid w:val="6241784F"/>
    <w:rsid w:val="62981159"/>
    <w:rsid w:val="62AC5FE7"/>
    <w:rsid w:val="62CC2AF2"/>
    <w:rsid w:val="63205C2F"/>
    <w:rsid w:val="63317001"/>
    <w:rsid w:val="63425234"/>
    <w:rsid w:val="63A841F0"/>
    <w:rsid w:val="64692BFA"/>
    <w:rsid w:val="64BA3B58"/>
    <w:rsid w:val="64D548B1"/>
    <w:rsid w:val="65156531"/>
    <w:rsid w:val="655A2308"/>
    <w:rsid w:val="65752C9E"/>
    <w:rsid w:val="65A200D0"/>
    <w:rsid w:val="65B72B94"/>
    <w:rsid w:val="66053F60"/>
    <w:rsid w:val="66384D01"/>
    <w:rsid w:val="66451785"/>
    <w:rsid w:val="66EF2DFA"/>
    <w:rsid w:val="670D1EE0"/>
    <w:rsid w:val="67BC3C4A"/>
    <w:rsid w:val="6810579B"/>
    <w:rsid w:val="681A0E2A"/>
    <w:rsid w:val="688C1076"/>
    <w:rsid w:val="688F75DB"/>
    <w:rsid w:val="68B5155C"/>
    <w:rsid w:val="68E36B75"/>
    <w:rsid w:val="69023DC2"/>
    <w:rsid w:val="690C6591"/>
    <w:rsid w:val="694C6B40"/>
    <w:rsid w:val="695B2345"/>
    <w:rsid w:val="699C42B6"/>
    <w:rsid w:val="6A19180A"/>
    <w:rsid w:val="6A211BBB"/>
    <w:rsid w:val="6A282CF2"/>
    <w:rsid w:val="6A534097"/>
    <w:rsid w:val="6AAC4B6F"/>
    <w:rsid w:val="6ADE7AB3"/>
    <w:rsid w:val="6AFE2CE8"/>
    <w:rsid w:val="6B1D65B1"/>
    <w:rsid w:val="6B5E17B6"/>
    <w:rsid w:val="6B6A0C0A"/>
    <w:rsid w:val="6BB002CE"/>
    <w:rsid w:val="6BCB655D"/>
    <w:rsid w:val="6C186304"/>
    <w:rsid w:val="6C5339B2"/>
    <w:rsid w:val="6C9426E3"/>
    <w:rsid w:val="6C977D24"/>
    <w:rsid w:val="6CC16187"/>
    <w:rsid w:val="6CD96208"/>
    <w:rsid w:val="6CFC38FA"/>
    <w:rsid w:val="6D96036E"/>
    <w:rsid w:val="6DBC3BAA"/>
    <w:rsid w:val="6DC13CA1"/>
    <w:rsid w:val="6DFD6DCB"/>
    <w:rsid w:val="6EE4580D"/>
    <w:rsid w:val="6F043AB4"/>
    <w:rsid w:val="6F445C56"/>
    <w:rsid w:val="6F617B8C"/>
    <w:rsid w:val="6FA92389"/>
    <w:rsid w:val="6FEB6C64"/>
    <w:rsid w:val="702D3146"/>
    <w:rsid w:val="70371FBD"/>
    <w:rsid w:val="70964D53"/>
    <w:rsid w:val="70C171D6"/>
    <w:rsid w:val="70E8359D"/>
    <w:rsid w:val="70FA3C7E"/>
    <w:rsid w:val="711B7AE0"/>
    <w:rsid w:val="71345E36"/>
    <w:rsid w:val="71D8341E"/>
    <w:rsid w:val="72004B0E"/>
    <w:rsid w:val="722257AC"/>
    <w:rsid w:val="72297997"/>
    <w:rsid w:val="72607955"/>
    <w:rsid w:val="72F32931"/>
    <w:rsid w:val="72F8341D"/>
    <w:rsid w:val="731A571E"/>
    <w:rsid w:val="733E0711"/>
    <w:rsid w:val="73C320C7"/>
    <w:rsid w:val="73D61ED7"/>
    <w:rsid w:val="740C769F"/>
    <w:rsid w:val="744C75A3"/>
    <w:rsid w:val="74751842"/>
    <w:rsid w:val="749B115F"/>
    <w:rsid w:val="749F132B"/>
    <w:rsid w:val="74A160FE"/>
    <w:rsid w:val="74B916AE"/>
    <w:rsid w:val="74DA1DE7"/>
    <w:rsid w:val="75167E92"/>
    <w:rsid w:val="752432E3"/>
    <w:rsid w:val="755D69A7"/>
    <w:rsid w:val="75616F68"/>
    <w:rsid w:val="759C054C"/>
    <w:rsid w:val="75A6395A"/>
    <w:rsid w:val="761E5D10"/>
    <w:rsid w:val="767D4199"/>
    <w:rsid w:val="76C34670"/>
    <w:rsid w:val="76CB4D26"/>
    <w:rsid w:val="76E64066"/>
    <w:rsid w:val="76F20FCC"/>
    <w:rsid w:val="772642F8"/>
    <w:rsid w:val="77833451"/>
    <w:rsid w:val="77E8500B"/>
    <w:rsid w:val="78612BC0"/>
    <w:rsid w:val="7861489F"/>
    <w:rsid w:val="78FC79C9"/>
    <w:rsid w:val="791E0092"/>
    <w:rsid w:val="793811CB"/>
    <w:rsid w:val="79DE2C07"/>
    <w:rsid w:val="7A1657B7"/>
    <w:rsid w:val="7A5814A2"/>
    <w:rsid w:val="7AA34493"/>
    <w:rsid w:val="7AB26D4C"/>
    <w:rsid w:val="7AFC089C"/>
    <w:rsid w:val="7AFD4CB7"/>
    <w:rsid w:val="7B2B0995"/>
    <w:rsid w:val="7B4A3260"/>
    <w:rsid w:val="7BAF3276"/>
    <w:rsid w:val="7BD35F72"/>
    <w:rsid w:val="7BEA588F"/>
    <w:rsid w:val="7C0C6228"/>
    <w:rsid w:val="7C150B3C"/>
    <w:rsid w:val="7C3C2310"/>
    <w:rsid w:val="7C432CF1"/>
    <w:rsid w:val="7C6B7CD4"/>
    <w:rsid w:val="7C991AD5"/>
    <w:rsid w:val="7CCB4455"/>
    <w:rsid w:val="7CDA0504"/>
    <w:rsid w:val="7CDE43A0"/>
    <w:rsid w:val="7D0366A3"/>
    <w:rsid w:val="7D3B6B7E"/>
    <w:rsid w:val="7D3D09CD"/>
    <w:rsid w:val="7D7C5D02"/>
    <w:rsid w:val="7DAC11F1"/>
    <w:rsid w:val="7DC43EAA"/>
    <w:rsid w:val="7E6E1F9F"/>
    <w:rsid w:val="7E98245A"/>
    <w:rsid w:val="7F1A7752"/>
    <w:rsid w:val="7F433FBA"/>
    <w:rsid w:val="7F463A2F"/>
    <w:rsid w:val="7F8F3CC8"/>
    <w:rsid w:val="7FE174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numPr>
        <w:ilvl w:val="0"/>
        <w:numId w:val="1"/>
      </w:numPr>
      <w:spacing w:after="120"/>
      <w:ind w:firstLine="0"/>
      <w:outlineLvl w:val="0"/>
    </w:pPr>
    <w:rPr>
      <w:rFonts w:eastAsia="黑体"/>
      <w:b/>
      <w:bCs/>
      <w:kern w:val="44"/>
      <w:sz w:val="36"/>
      <w:szCs w:val="44"/>
    </w:rPr>
  </w:style>
  <w:style w:type="paragraph" w:styleId="3">
    <w:name w:val="heading 2"/>
    <w:basedOn w:val="1"/>
    <w:next w:val="1"/>
    <w:link w:val="38"/>
    <w:unhideWhenUsed/>
    <w:qFormat/>
    <w:uiPriority w:val="9"/>
    <w:pPr>
      <w:keepNext/>
      <w:keepLines/>
      <w:numPr>
        <w:ilvl w:val="1"/>
        <w:numId w:val="1"/>
      </w:numPr>
      <w:spacing w:before="260" w:after="260"/>
      <w:ind w:firstLine="0"/>
      <w:outlineLvl w:val="1"/>
    </w:pPr>
    <w:rPr>
      <w:rFonts w:eastAsia="黑体" w:asciiTheme="majorHAnsi" w:hAnsiTheme="majorHAnsi" w:cstheme="majorBidi"/>
      <w:b/>
      <w:bCs/>
      <w:sz w:val="32"/>
      <w:szCs w:val="32"/>
    </w:rPr>
  </w:style>
  <w:style w:type="paragraph" w:styleId="4">
    <w:name w:val="heading 3"/>
    <w:basedOn w:val="1"/>
    <w:next w:val="1"/>
    <w:link w:val="39"/>
    <w:unhideWhenUsed/>
    <w:qFormat/>
    <w:uiPriority w:val="9"/>
    <w:pPr>
      <w:keepNext/>
      <w:keepLines/>
      <w:numPr>
        <w:ilvl w:val="2"/>
        <w:numId w:val="1"/>
      </w:numPr>
      <w:spacing w:before="260" w:after="260"/>
      <w:ind w:left="0" w:firstLine="0"/>
      <w:outlineLvl w:val="2"/>
    </w:pPr>
    <w:rPr>
      <w:rFonts w:eastAsia="黑体"/>
      <w:b/>
      <w:bCs/>
      <w:sz w:val="30"/>
      <w:szCs w:val="32"/>
    </w:rPr>
  </w:style>
  <w:style w:type="paragraph" w:styleId="5">
    <w:name w:val="heading 4"/>
    <w:basedOn w:val="1"/>
    <w:next w:val="1"/>
    <w:unhideWhenUsed/>
    <w:qFormat/>
    <w:uiPriority w:val="9"/>
    <w:pPr>
      <w:keepNext/>
      <w:keepLines/>
      <w:numPr>
        <w:ilvl w:val="3"/>
        <w:numId w:val="2"/>
      </w:numPr>
      <w:spacing w:before="60" w:after="60"/>
      <w:ind w:left="0" w:firstLine="0"/>
      <w:outlineLvl w:val="3"/>
    </w:pPr>
    <w:rPr>
      <w:rFonts w:eastAsia="黑体" w:asciiTheme="majorHAnsi" w:hAnsiTheme="majorHAnsi" w:cstheme="majorBidi"/>
      <w:b/>
      <w:bCs/>
      <w:sz w:val="28"/>
      <w:szCs w:val="28"/>
    </w:rPr>
  </w:style>
  <w:style w:type="paragraph" w:styleId="6">
    <w:name w:val="heading 5"/>
    <w:basedOn w:val="1"/>
    <w:next w:val="1"/>
    <w:unhideWhenUsed/>
    <w:qFormat/>
    <w:uiPriority w:val="9"/>
    <w:pPr>
      <w:keepNext/>
      <w:keepLines/>
      <w:spacing w:before="20" w:after="20"/>
      <w:ind w:firstLine="562"/>
      <w:outlineLvl w:val="4"/>
    </w:pPr>
    <w:rPr>
      <w:rFonts w:ascii="Times New Roman" w:hAnsi="Times New Roman" w:eastAsia="黑体"/>
      <w:b/>
      <w:bCs/>
      <w:sz w:val="28"/>
      <w:szCs w:val="28"/>
    </w:rPr>
  </w:style>
  <w:style w:type="character" w:default="1" w:styleId="26">
    <w:name w:val="Default Paragraph Font"/>
    <w:semiHidden/>
    <w:unhideWhenUsed/>
    <w:uiPriority w:val="1"/>
  </w:style>
  <w:style w:type="table" w:default="1" w:styleId="24">
    <w:name w:val="Normal Table"/>
    <w:semiHidden/>
    <w:unhideWhenUsed/>
    <w:uiPriority w:val="99"/>
    <w:tblPr>
      <w:tblCellMar>
        <w:top w:w="0" w:type="dxa"/>
        <w:left w:w="108" w:type="dxa"/>
        <w:bottom w:w="0" w:type="dxa"/>
        <w:right w:w="108" w:type="dxa"/>
      </w:tblCellMar>
    </w:tblPr>
  </w:style>
  <w:style w:type="paragraph" w:styleId="7">
    <w:name w:val="Normal Indent"/>
    <w:basedOn w:val="1"/>
    <w:qFormat/>
    <w:uiPriority w:val="0"/>
    <w:pPr>
      <w:ind w:firstLine="420"/>
    </w:pPr>
    <w:rPr>
      <w:szCs w:val="20"/>
    </w:rPr>
  </w:style>
  <w:style w:type="paragraph" w:styleId="8">
    <w:name w:val="caption"/>
    <w:basedOn w:val="1"/>
    <w:next w:val="1"/>
    <w:qFormat/>
    <w:uiPriority w:val="0"/>
    <w:rPr>
      <w:rFonts w:ascii="Arial" w:hAnsi="Arial" w:eastAsia="黑体"/>
      <w:sz w:val="20"/>
      <w:szCs w:val="20"/>
    </w:rPr>
  </w:style>
  <w:style w:type="paragraph" w:styleId="9">
    <w:name w:val="Document Map"/>
    <w:basedOn w:val="1"/>
    <w:next w:val="10"/>
    <w:link w:val="63"/>
    <w:qFormat/>
    <w:uiPriority w:val="99"/>
    <w:rPr>
      <w:rFonts w:ascii="宋体"/>
      <w:sz w:val="18"/>
      <w:szCs w:val="18"/>
    </w:rPr>
  </w:style>
  <w:style w:type="paragraph" w:styleId="10">
    <w:name w:val="Body Text"/>
    <w:basedOn w:val="1"/>
    <w:next w:val="7"/>
    <w:qFormat/>
    <w:uiPriority w:val="0"/>
    <w:pPr>
      <w:spacing w:after="120"/>
    </w:pPr>
    <w:rPr>
      <w:sz w:val="28"/>
    </w:rPr>
  </w:style>
  <w:style w:type="paragraph" w:styleId="11">
    <w:name w:val="annotation text"/>
    <w:basedOn w:val="1"/>
    <w:link w:val="59"/>
    <w:qFormat/>
    <w:uiPriority w:val="99"/>
    <w:pPr>
      <w:jc w:val="left"/>
    </w:pPr>
  </w:style>
  <w:style w:type="paragraph" w:styleId="12">
    <w:name w:val="Body Text Indent"/>
    <w:basedOn w:val="1"/>
    <w:next w:val="1"/>
    <w:link w:val="61"/>
    <w:qFormat/>
    <w:uiPriority w:val="99"/>
    <w:pPr>
      <w:spacing w:line="200" w:lineRule="exact"/>
      <w:ind w:firstLine="301"/>
    </w:pPr>
    <w:rPr>
      <w:sz w:val="24"/>
      <w:szCs w:val="20"/>
    </w:rPr>
  </w:style>
  <w:style w:type="paragraph" w:styleId="13">
    <w:name w:val="Plain Text"/>
    <w:basedOn w:val="1"/>
    <w:qFormat/>
    <w:uiPriority w:val="0"/>
    <w:pPr>
      <w:spacing w:beforeLines="50" w:afterLines="50" w:line="400" w:lineRule="exact"/>
    </w:pPr>
    <w:rPr>
      <w:rFonts w:ascii="宋体" w:hAnsi="Courier New"/>
      <w:szCs w:val="24"/>
    </w:rPr>
  </w:style>
  <w:style w:type="paragraph" w:styleId="14">
    <w:name w:val="Body Text Indent 2"/>
    <w:basedOn w:val="1"/>
    <w:qFormat/>
    <w:uiPriority w:val="0"/>
    <w:pPr>
      <w:spacing w:after="120" w:line="480" w:lineRule="auto"/>
      <w:jc w:val="left"/>
    </w:pPr>
  </w:style>
  <w:style w:type="paragraph" w:styleId="15">
    <w:name w:val="footer"/>
    <w:basedOn w:val="1"/>
    <w:link w:val="32"/>
    <w:unhideWhenUsed/>
    <w:qFormat/>
    <w:uiPriority w:val="99"/>
    <w:pPr>
      <w:tabs>
        <w:tab w:val="center" w:pos="4153"/>
        <w:tab w:val="right" w:pos="8306"/>
      </w:tabs>
      <w:snapToGrid w:val="0"/>
      <w:jc w:val="left"/>
    </w:pPr>
    <w:rPr>
      <w:sz w:val="18"/>
      <w:szCs w:val="18"/>
    </w:rPr>
  </w:style>
  <w:style w:type="paragraph" w:styleId="16">
    <w:name w:val="envelope return"/>
    <w:basedOn w:val="1"/>
    <w:qFormat/>
    <w:uiPriority w:val="0"/>
    <w:pPr>
      <w:snapToGrid w:val="0"/>
    </w:pPr>
    <w:rPr>
      <w:rFonts w:ascii="Arial" w:hAnsi="Arial" w:eastAsia="宋体"/>
      <w:szCs w:val="24"/>
    </w:rPr>
  </w:style>
  <w:style w:type="paragraph" w:styleId="17">
    <w:name w:val="header"/>
    <w:basedOn w:val="1"/>
    <w:link w:val="31"/>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9"/>
    <w:qFormat/>
    <w:uiPriority w:val="39"/>
    <w:pPr>
      <w:spacing w:before="120"/>
      <w:jc w:val="left"/>
    </w:pPr>
    <w:rPr>
      <w:b/>
      <w:caps/>
      <w:sz w:val="22"/>
    </w:rPr>
  </w:style>
  <w:style w:type="paragraph" w:styleId="19">
    <w:name w:val="toc 2"/>
    <w:basedOn w:val="18"/>
    <w:next w:val="1"/>
    <w:unhideWhenUsed/>
    <w:qFormat/>
    <w:uiPriority w:val="39"/>
    <w:pPr>
      <w:ind w:left="420" w:leftChars="200"/>
    </w:pPr>
  </w:style>
  <w:style w:type="paragraph" w:styleId="20">
    <w:name w:val="Normal (Web)"/>
    <w:basedOn w:val="1"/>
    <w:unhideWhenUsed/>
    <w:qFormat/>
    <w:uiPriority w:val="0"/>
    <w:pPr>
      <w:spacing w:before="100" w:beforeAutospacing="1" w:after="100" w:afterAutospacing="1"/>
    </w:pPr>
    <w:rPr>
      <w:rFonts w:ascii="宋体" w:hAnsi="宋体" w:cs="宋体"/>
      <w:szCs w:val="24"/>
    </w:rPr>
  </w:style>
  <w:style w:type="paragraph" w:styleId="21">
    <w:name w:val="annotation subject"/>
    <w:basedOn w:val="11"/>
    <w:next w:val="11"/>
    <w:link w:val="60"/>
    <w:semiHidden/>
    <w:unhideWhenUsed/>
    <w:qFormat/>
    <w:uiPriority w:val="99"/>
    <w:rPr>
      <w:b/>
      <w:bCs/>
    </w:rPr>
  </w:style>
  <w:style w:type="paragraph" w:styleId="22">
    <w:name w:val="Body Text First Indent"/>
    <w:basedOn w:val="1"/>
    <w:next w:val="1"/>
    <w:qFormat/>
    <w:uiPriority w:val="0"/>
    <w:pPr>
      <w:spacing w:after="120"/>
      <w:ind w:firstLine="420"/>
    </w:pPr>
    <w:rPr>
      <w:rFonts w:ascii="Tahoma" w:hAnsi="Tahoma" w:eastAsia="Times New Roman"/>
      <w:szCs w:val="24"/>
    </w:rPr>
  </w:style>
  <w:style w:type="paragraph" w:styleId="23">
    <w:name w:val="Body Text First Indent 2"/>
    <w:basedOn w:val="12"/>
    <w:link w:val="62"/>
    <w:semiHidden/>
    <w:unhideWhenUsed/>
    <w:qFormat/>
    <w:uiPriority w:val="99"/>
    <w:pPr>
      <w:spacing w:after="120" w:line="240" w:lineRule="auto"/>
      <w:ind w:left="420" w:leftChars="200" w:firstLine="420" w:firstLineChars="200"/>
    </w:pPr>
    <w:rPr>
      <w:sz w:val="21"/>
      <w:szCs w:val="22"/>
    </w:rPr>
  </w:style>
  <w:style w:type="table" w:styleId="25">
    <w:name w:val="Table Grid"/>
    <w:basedOn w:val="24"/>
    <w:qFormat/>
    <w:uiPriority w:val="59"/>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7">
    <w:name w:val="Strong"/>
    <w:basedOn w:val="26"/>
    <w:qFormat/>
    <w:uiPriority w:val="0"/>
    <w:rPr>
      <w:b/>
    </w:rPr>
  </w:style>
  <w:style w:type="character" w:styleId="28">
    <w:name w:val="page number"/>
    <w:basedOn w:val="26"/>
    <w:qFormat/>
    <w:uiPriority w:val="0"/>
  </w:style>
  <w:style w:type="character" w:styleId="29">
    <w:name w:val="Hyperlink"/>
    <w:unhideWhenUsed/>
    <w:qFormat/>
    <w:uiPriority w:val="99"/>
    <w:rPr>
      <w:color w:val="0563C1" w:themeColor="hyperlink"/>
      <w:u w:val="single"/>
      <w14:textFill>
        <w14:solidFill>
          <w14:schemeClr w14:val="hlink"/>
        </w14:solidFill>
      </w14:textFill>
    </w:rPr>
  </w:style>
  <w:style w:type="character" w:styleId="30">
    <w:name w:val="annotation reference"/>
    <w:basedOn w:val="26"/>
    <w:semiHidden/>
    <w:unhideWhenUsed/>
    <w:qFormat/>
    <w:uiPriority w:val="99"/>
    <w:rPr>
      <w:sz w:val="21"/>
      <w:szCs w:val="21"/>
    </w:rPr>
  </w:style>
  <w:style w:type="character" w:customStyle="1" w:styleId="31">
    <w:name w:val="页眉 字符"/>
    <w:basedOn w:val="26"/>
    <w:link w:val="17"/>
    <w:qFormat/>
    <w:uiPriority w:val="99"/>
    <w:rPr>
      <w:sz w:val="18"/>
      <w:szCs w:val="18"/>
    </w:rPr>
  </w:style>
  <w:style w:type="character" w:customStyle="1" w:styleId="32">
    <w:name w:val="页脚 字符"/>
    <w:basedOn w:val="26"/>
    <w:link w:val="15"/>
    <w:qFormat/>
    <w:uiPriority w:val="99"/>
    <w:rPr>
      <w:sz w:val="18"/>
      <w:szCs w:val="18"/>
    </w:rPr>
  </w:style>
  <w:style w:type="paragraph" w:styleId="33">
    <w:name w:val="List Paragraph"/>
    <w:basedOn w:val="1"/>
    <w:link w:val="36"/>
    <w:qFormat/>
    <w:uiPriority w:val="34"/>
    <w:pPr>
      <w:spacing w:line="360" w:lineRule="auto"/>
      <w:ind w:firstLine="420" w:firstLineChars="200"/>
    </w:pPr>
    <w:rPr>
      <w:rFonts w:eastAsia="宋体"/>
      <w:sz w:val="24"/>
    </w:rPr>
  </w:style>
  <w:style w:type="paragraph" w:customStyle="1" w:styleId="34">
    <w:name w:val="正文2"/>
    <w:basedOn w:val="1"/>
    <w:link w:val="35"/>
    <w:qFormat/>
    <w:uiPriority w:val="0"/>
    <w:pPr>
      <w:spacing w:line="360" w:lineRule="auto"/>
      <w:ind w:firstLine="200" w:firstLineChars="200"/>
    </w:pPr>
    <w:rPr>
      <w:rFonts w:eastAsia="宋体" w:cs="Times New Roman" w:asciiTheme="majorEastAsia" w:hAnsiTheme="majorEastAsia"/>
      <w:sz w:val="24"/>
      <w:szCs w:val="24"/>
    </w:rPr>
  </w:style>
  <w:style w:type="character" w:customStyle="1" w:styleId="35">
    <w:name w:val="正文2 字符"/>
    <w:link w:val="34"/>
    <w:qFormat/>
    <w:uiPriority w:val="0"/>
    <w:rPr>
      <w:rFonts w:eastAsia="宋体" w:cs="Times New Roman" w:asciiTheme="majorEastAsia" w:hAnsiTheme="majorEastAsia"/>
      <w:sz w:val="24"/>
      <w:szCs w:val="24"/>
    </w:rPr>
  </w:style>
  <w:style w:type="character" w:customStyle="1" w:styleId="36">
    <w:name w:val="列表段落 字符"/>
    <w:link w:val="33"/>
    <w:qFormat/>
    <w:locked/>
    <w:uiPriority w:val="34"/>
    <w:rPr>
      <w:rFonts w:eastAsia="宋体"/>
      <w:sz w:val="24"/>
    </w:rPr>
  </w:style>
  <w:style w:type="character" w:customStyle="1" w:styleId="37">
    <w:name w:val="标题 1 字符"/>
    <w:basedOn w:val="26"/>
    <w:link w:val="2"/>
    <w:qFormat/>
    <w:uiPriority w:val="9"/>
    <w:rPr>
      <w:rFonts w:eastAsia="黑体"/>
      <w:b/>
      <w:bCs/>
      <w:kern w:val="44"/>
      <w:sz w:val="36"/>
      <w:szCs w:val="44"/>
    </w:rPr>
  </w:style>
  <w:style w:type="character" w:customStyle="1" w:styleId="38">
    <w:name w:val="标题 2 字符"/>
    <w:basedOn w:val="26"/>
    <w:link w:val="3"/>
    <w:qFormat/>
    <w:uiPriority w:val="9"/>
    <w:rPr>
      <w:rFonts w:eastAsia="黑体" w:asciiTheme="majorHAnsi" w:hAnsiTheme="majorHAnsi" w:cstheme="majorBidi"/>
      <w:b/>
      <w:bCs/>
      <w:sz w:val="32"/>
      <w:szCs w:val="32"/>
    </w:rPr>
  </w:style>
  <w:style w:type="character" w:customStyle="1" w:styleId="39">
    <w:name w:val="标题 3 字符"/>
    <w:basedOn w:val="26"/>
    <w:link w:val="4"/>
    <w:qFormat/>
    <w:uiPriority w:val="9"/>
    <w:rPr>
      <w:rFonts w:eastAsia="黑体"/>
      <w:b/>
      <w:bCs/>
      <w:sz w:val="30"/>
      <w:szCs w:val="32"/>
    </w:rPr>
  </w:style>
  <w:style w:type="paragraph" w:customStyle="1" w:styleId="40">
    <w:name w:val="☆ 正文"/>
    <w:basedOn w:val="1"/>
    <w:qFormat/>
    <w:uiPriority w:val="0"/>
    <w:rPr>
      <w:rFonts w:ascii="Calibri" w:hAnsi="Calibri" w:eastAsia="宋体" w:cs="Times New Roman"/>
    </w:rPr>
  </w:style>
  <w:style w:type="paragraph" w:customStyle="1" w:styleId="41">
    <w:name w:val="_正文"/>
    <w:basedOn w:val="1"/>
    <w:qFormat/>
    <w:uiPriority w:val="0"/>
  </w:style>
  <w:style w:type="table" w:customStyle="1" w:styleId="42">
    <w:name w:val="清单表 4 - 着色 11"/>
    <w:basedOn w:val="24"/>
    <w:qFormat/>
    <w:uiPriority w:val="49"/>
    <w:tblP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tblBorders>
    </w:tblPr>
    <w:tblStylePr w:type="firstRow">
      <w:rPr>
        <w:b/>
        <w:bCs/>
        <w:color w:val="FFFFFF" w:themeColor="background1"/>
        <w14:textFill>
          <w14:solidFill>
            <w14:schemeClr w14:val="bg1"/>
          </w14:solidFill>
        </w14:textFill>
      </w:rPr>
      <w:tcPr>
        <w:tcBorders>
          <w:top w:val="single" w:color="4472C4" w:themeColor="accent1" w:sz="4" w:space="0"/>
          <w:left w:val="single" w:color="4472C4" w:themeColor="accent1" w:sz="4" w:space="0"/>
          <w:bottom w:val="single" w:color="4472C4" w:themeColor="accent1" w:sz="4" w:space="0"/>
          <w:right w:val="single" w:color="4472C4" w:themeColor="accent1" w:sz="4" w:space="0"/>
          <w:insideH w:val="nil"/>
        </w:tcBorders>
        <w:shd w:val="clear" w:color="auto" w:fill="4472C4" w:themeFill="accent1"/>
      </w:tcPr>
    </w:tblStylePr>
    <w:tblStylePr w:type="lastRow">
      <w:rPr>
        <w:b/>
        <w:bCs/>
      </w:rPr>
      <w:tcPr>
        <w:tcBorders>
          <w:top w:val="double" w:color="8EAADB" w:themeColor="accent1" w:themeTint="99" w:sz="4" w:space="0"/>
        </w:tcBorders>
      </w:tcPr>
    </w:tblStylePr>
    <w:tblStylePr w:type="firstCol">
      <w:rPr>
        <w:b/>
        <w:bCs/>
      </w:rPr>
    </w:tblStylePr>
    <w:tblStylePr w:type="lastCol">
      <w:rPr>
        <w:b/>
        <w:bCs/>
      </w:rPr>
    </w:tblStylePr>
    <w:tblStylePr w:type="band1Vert">
      <w:tcPr>
        <w:shd w:val="clear" w:color="auto" w:fill="D9E2F3" w:themeFill="accent1" w:themeFillTint="33"/>
      </w:tcPr>
    </w:tblStylePr>
    <w:tblStylePr w:type="band1Horz">
      <w:tcPr>
        <w:shd w:val="clear" w:color="auto" w:fill="D9E2F3" w:themeFill="accent1" w:themeFillTint="33"/>
      </w:tcPr>
    </w:tblStylePr>
  </w:style>
  <w:style w:type="table" w:customStyle="1" w:styleId="43">
    <w:name w:val="清单表 3 - 着色 11"/>
    <w:basedOn w:val="24"/>
    <w:qFormat/>
    <w:uiPriority w:val="48"/>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b/>
        <w:bCs/>
        <w:color w:val="FFFFFF" w:themeColor="background1"/>
        <w14:textFill>
          <w14:solidFill>
            <w14:schemeClr w14:val="bg1"/>
          </w14:solidFill>
        </w14:textFill>
      </w:rPr>
      <w:tcPr>
        <w:shd w:val="clear" w:color="auto" w:fill="4472C4" w:themeFill="accent1"/>
      </w:tcPr>
    </w:tblStylePr>
    <w:tblStylePr w:type="lastRow">
      <w:rPr>
        <w:b/>
        <w:bCs/>
      </w:rPr>
      <w:tcPr>
        <w:tcBorders>
          <w:top w:val="double" w:color="4472C4" w:themeColor="accent1" w:sz="4" w:space="0"/>
        </w:tcBorders>
        <w:shd w:val="clear" w:color="auto" w:fill="FFFFFF" w:themeFill="background1"/>
      </w:tcPr>
    </w:tblStylePr>
    <w:tblStylePr w:type="firstCol">
      <w:rPr>
        <w:b/>
        <w:bCs/>
      </w:rPr>
      <w:tcPr>
        <w:tcBorders>
          <w:right w:val="nil"/>
        </w:tcBorders>
        <w:shd w:val="clear" w:color="auto" w:fill="FFFFFF" w:themeFill="background1"/>
      </w:tcPr>
    </w:tblStylePr>
    <w:tblStylePr w:type="lastCol">
      <w:rPr>
        <w:b/>
        <w:bCs/>
      </w:rPr>
      <w:tcPr>
        <w:tcBorders>
          <w:left w:val="nil"/>
        </w:tcBorders>
        <w:shd w:val="clear" w:color="auto" w:fill="FFFFFF" w:themeFill="background1"/>
      </w:tcPr>
    </w:tblStylePr>
    <w:tblStylePr w:type="band1Vert">
      <w:tcPr>
        <w:tcBorders>
          <w:left w:val="single" w:color="4472C4" w:themeColor="accent1" w:sz="4" w:space="0"/>
          <w:right w:val="single" w:color="4472C4" w:themeColor="accent1" w:sz="4" w:space="0"/>
        </w:tcBorders>
      </w:tcPr>
    </w:tblStylePr>
    <w:tblStylePr w:type="band1Horz">
      <w:tcPr>
        <w:tcBorders>
          <w:top w:val="single" w:color="4472C4" w:themeColor="accent1" w:sz="4" w:space="0"/>
          <w:bottom w:val="single" w:color="4472C4" w:themeColor="accent1" w:sz="4" w:space="0"/>
          <w:insideH w:val="nil"/>
        </w:tcBorders>
      </w:tcPr>
    </w:tblStylePr>
    <w:tblStylePr w:type="neCell">
      <w:tcPr>
        <w:tcBorders>
          <w:left w:val="nil"/>
          <w:bottom w:val="nil"/>
        </w:tcBorders>
      </w:tcPr>
    </w:tblStylePr>
    <w:tblStylePr w:type="nwCell">
      <w:tcPr>
        <w:tcBorders>
          <w:bottom w:val="nil"/>
          <w:right w:val="nil"/>
        </w:tcBorders>
      </w:tcPr>
    </w:tblStylePr>
    <w:tblStylePr w:type="seCell">
      <w:tcPr>
        <w:tcBorders>
          <w:top w:val="double" w:color="4472C4" w:themeColor="accent1" w:sz="4" w:space="0"/>
          <w:left w:val="nil"/>
        </w:tcBorders>
      </w:tcPr>
    </w:tblStylePr>
    <w:tblStylePr w:type="swCell">
      <w:tcPr>
        <w:tcBorders>
          <w:top w:val="double" w:color="4472C4" w:themeColor="accent1" w:sz="4" w:space="0"/>
          <w:right w:val="nil"/>
        </w:tcBorders>
      </w:tcPr>
    </w:tblStylePr>
  </w:style>
  <w:style w:type="paragraph" w:customStyle="1" w:styleId="44">
    <w:name w:val="JS标题1级"/>
    <w:next w:val="45"/>
    <w:qFormat/>
    <w:uiPriority w:val="0"/>
    <w:pPr>
      <w:numPr>
        <w:ilvl w:val="0"/>
        <w:numId w:val="3"/>
      </w:numPr>
      <w:spacing w:before="312" w:beforeLines="100" w:after="312" w:afterLines="100"/>
      <w:jc w:val="both"/>
      <w:outlineLvl w:val="1"/>
    </w:pPr>
    <w:rPr>
      <w:rFonts w:ascii="黑体" w:hAnsi="Times New Roman" w:eastAsia="黑体" w:cs="Times New Roman"/>
      <w:sz w:val="21"/>
      <w:lang w:val="en-US" w:eastAsia="zh-CN" w:bidi="ar-SA"/>
    </w:rPr>
  </w:style>
  <w:style w:type="paragraph" w:customStyle="1" w:styleId="45">
    <w:name w:val="JS正文(段落)"/>
    <w:qFormat/>
    <w:uiPriority w:val="0"/>
    <w:pPr>
      <w:tabs>
        <w:tab w:val="center" w:pos="4201"/>
        <w:tab w:val="right" w:leader="dot" w:pos="9298"/>
      </w:tabs>
      <w:autoSpaceDE w:val="0"/>
      <w:autoSpaceDN w:val="0"/>
      <w:spacing w:before="120" w:after="120" w:line="360" w:lineRule="auto"/>
      <w:ind w:firstLine="420" w:firstLineChars="200"/>
      <w:jc w:val="both"/>
    </w:pPr>
    <w:rPr>
      <w:rFonts w:ascii="宋体" w:hAnsi="Times New Roman" w:eastAsia="宋体" w:cs="Times New Roman"/>
      <w:sz w:val="21"/>
      <w:lang w:val="en-US" w:eastAsia="zh-CN" w:bidi="ar-SA"/>
    </w:rPr>
  </w:style>
  <w:style w:type="paragraph" w:customStyle="1" w:styleId="46">
    <w:name w:val="JS标题2级"/>
    <w:basedOn w:val="47"/>
    <w:next w:val="45"/>
    <w:qFormat/>
    <w:uiPriority w:val="0"/>
    <w:pPr>
      <w:numPr>
        <w:numId w:val="3"/>
      </w:numPr>
      <w:spacing w:before="50" w:after="50"/>
    </w:pPr>
  </w:style>
  <w:style w:type="paragraph" w:customStyle="1" w:styleId="47">
    <w:name w:val="一级条标题"/>
    <w:next w:val="45"/>
    <w:qFormat/>
    <w:uiPriority w:val="0"/>
    <w:pPr>
      <w:numPr>
        <w:ilvl w:val="1"/>
        <w:numId w:val="4"/>
      </w:numPr>
      <w:spacing w:before="156" w:beforeLines="50" w:after="156" w:afterLines="50"/>
      <w:outlineLvl w:val="2"/>
    </w:pPr>
    <w:rPr>
      <w:rFonts w:ascii="黑体" w:hAnsi="Times New Roman" w:eastAsia="黑体" w:cs="Times New Roman"/>
      <w:sz w:val="21"/>
      <w:szCs w:val="21"/>
      <w:lang w:val="en-US" w:eastAsia="zh-CN" w:bidi="ar-SA"/>
    </w:rPr>
  </w:style>
  <w:style w:type="paragraph" w:customStyle="1" w:styleId="48">
    <w:name w:val="JS标题3级"/>
    <w:basedOn w:val="46"/>
    <w:qFormat/>
    <w:uiPriority w:val="0"/>
    <w:pPr>
      <w:numPr>
        <w:ilvl w:val="2"/>
      </w:numPr>
      <w:outlineLvl w:val="3"/>
    </w:pPr>
  </w:style>
  <w:style w:type="table" w:customStyle="1" w:styleId="49">
    <w:name w:val="网格型20"/>
    <w:basedOn w:val="2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0">
    <w:name w:val="接口表格"/>
    <w:basedOn w:val="1"/>
    <w:qFormat/>
    <w:uiPriority w:val="0"/>
    <w:pPr>
      <w:snapToGrid w:val="0"/>
    </w:pPr>
    <w:rPr>
      <w:rFonts w:ascii="宋体" w:hAnsi="宋体"/>
      <w:szCs w:val="21"/>
    </w:rPr>
  </w:style>
  <w:style w:type="paragraph" w:customStyle="1" w:styleId="51">
    <w:name w:val="*Body Text"/>
    <w:qFormat/>
    <w:uiPriority w:val="0"/>
    <w:pPr>
      <w:spacing w:line="360" w:lineRule="auto"/>
    </w:pPr>
    <w:rPr>
      <w:rFonts w:ascii="Futura Lt" w:hAnsi="Futura Lt" w:eastAsia="宋体" w:cs="Futura Lt"/>
      <w:sz w:val="21"/>
      <w:szCs w:val="21"/>
      <w:lang w:val="en-US" w:eastAsia="en-US" w:bidi="ar-SA"/>
    </w:rPr>
  </w:style>
  <w:style w:type="paragraph" w:customStyle="1" w:styleId="52">
    <w:name w:val="FC正文"/>
    <w:basedOn w:val="1"/>
    <w:qFormat/>
    <w:uiPriority w:val="0"/>
    <w:pPr>
      <w:widowControl/>
      <w:spacing w:line="360" w:lineRule="auto"/>
      <w:ind w:firstLine="200" w:firstLineChars="200"/>
    </w:pPr>
    <w:rPr>
      <w:szCs w:val="24"/>
    </w:rPr>
  </w:style>
  <w:style w:type="paragraph" w:customStyle="1" w:styleId="53">
    <w:name w:val="一体化二"/>
    <w:basedOn w:val="1"/>
    <w:qFormat/>
    <w:uiPriority w:val="0"/>
    <w:pPr>
      <w:keepNext/>
      <w:keepLines/>
      <w:numPr>
        <w:ilvl w:val="1"/>
        <w:numId w:val="5"/>
      </w:numPr>
      <w:spacing w:line="480" w:lineRule="auto"/>
      <w:outlineLvl w:val="1"/>
    </w:pPr>
    <w:rPr>
      <w:rFonts w:ascii="宋体" w:hAnsi="宋体"/>
      <w:b/>
      <w:bCs/>
      <w:sz w:val="24"/>
      <w:szCs w:val="32"/>
    </w:rPr>
  </w:style>
  <w:style w:type="paragraph" w:customStyle="1" w:styleId="54">
    <w:name w:val="一体化三"/>
    <w:basedOn w:val="4"/>
    <w:qFormat/>
    <w:uiPriority w:val="0"/>
    <w:pPr>
      <w:numPr>
        <w:numId w:val="5"/>
      </w:numPr>
      <w:spacing w:line="415" w:lineRule="auto"/>
    </w:pPr>
    <w:rPr>
      <w:sz w:val="24"/>
    </w:rPr>
  </w:style>
  <w:style w:type="paragraph" w:customStyle="1" w:styleId="55">
    <w:name w:val="一体化四"/>
    <w:basedOn w:val="54"/>
    <w:qFormat/>
    <w:uiPriority w:val="0"/>
    <w:pPr>
      <w:numPr>
        <w:ilvl w:val="3"/>
      </w:numPr>
      <w:outlineLvl w:val="3"/>
    </w:pPr>
  </w:style>
  <w:style w:type="paragraph" w:customStyle="1" w:styleId="56">
    <w:name w:val="一体化五"/>
    <w:basedOn w:val="55"/>
    <w:qFormat/>
    <w:uiPriority w:val="0"/>
    <w:pPr>
      <w:numPr>
        <w:ilvl w:val="4"/>
      </w:numPr>
      <w:outlineLvl w:val="4"/>
    </w:pPr>
  </w:style>
  <w:style w:type="paragraph" w:customStyle="1" w:styleId="57">
    <w:name w:val="纯文本1"/>
    <w:basedOn w:val="1"/>
    <w:qFormat/>
    <w:uiPriority w:val="0"/>
    <w:rPr>
      <w:rFonts w:ascii="宋体" w:hAnsi="Courier New"/>
      <w:szCs w:val="20"/>
    </w:rPr>
  </w:style>
  <w:style w:type="paragraph" w:customStyle="1" w:styleId="58">
    <w:name w:val="纯文本2"/>
    <w:basedOn w:val="1"/>
    <w:qFormat/>
    <w:uiPriority w:val="0"/>
    <w:rPr>
      <w:rFonts w:ascii="宋体" w:hAnsi="Courier New" w:eastAsia="楷体_GB2312" w:cs="Times New Roman"/>
      <w:sz w:val="26"/>
      <w:szCs w:val="20"/>
    </w:rPr>
  </w:style>
  <w:style w:type="character" w:customStyle="1" w:styleId="59">
    <w:name w:val="批注文字 字符"/>
    <w:basedOn w:val="26"/>
    <w:link w:val="11"/>
    <w:qFormat/>
    <w:uiPriority w:val="99"/>
    <w:rPr>
      <w:rFonts w:asciiTheme="minorHAnsi" w:hAnsiTheme="minorHAnsi" w:eastAsiaTheme="minorEastAsia" w:cstheme="minorBidi"/>
      <w:kern w:val="2"/>
      <w:sz w:val="21"/>
      <w:szCs w:val="22"/>
    </w:rPr>
  </w:style>
  <w:style w:type="character" w:customStyle="1" w:styleId="60">
    <w:name w:val="批注主题 字符"/>
    <w:basedOn w:val="59"/>
    <w:link w:val="21"/>
    <w:semiHidden/>
    <w:qFormat/>
    <w:uiPriority w:val="99"/>
    <w:rPr>
      <w:rFonts w:asciiTheme="minorHAnsi" w:hAnsiTheme="minorHAnsi" w:eastAsiaTheme="minorEastAsia" w:cstheme="minorBidi"/>
      <w:b/>
      <w:bCs/>
      <w:kern w:val="2"/>
      <w:sz w:val="21"/>
      <w:szCs w:val="22"/>
    </w:rPr>
  </w:style>
  <w:style w:type="character" w:customStyle="1" w:styleId="61">
    <w:name w:val="正文文本缩进 字符"/>
    <w:basedOn w:val="26"/>
    <w:link w:val="12"/>
    <w:qFormat/>
    <w:uiPriority w:val="99"/>
    <w:rPr>
      <w:rFonts w:asciiTheme="minorHAnsi" w:hAnsiTheme="minorHAnsi" w:eastAsiaTheme="minorEastAsia" w:cstheme="minorBidi"/>
      <w:kern w:val="2"/>
      <w:sz w:val="24"/>
    </w:rPr>
  </w:style>
  <w:style w:type="character" w:customStyle="1" w:styleId="62">
    <w:name w:val="正文文本首行缩进 2 字符"/>
    <w:basedOn w:val="61"/>
    <w:link w:val="23"/>
    <w:semiHidden/>
    <w:qFormat/>
    <w:uiPriority w:val="99"/>
    <w:rPr>
      <w:rFonts w:asciiTheme="minorHAnsi" w:hAnsiTheme="minorHAnsi" w:eastAsiaTheme="minorEastAsia" w:cstheme="minorBidi"/>
      <w:kern w:val="2"/>
      <w:sz w:val="21"/>
      <w:szCs w:val="22"/>
    </w:rPr>
  </w:style>
  <w:style w:type="character" w:customStyle="1" w:styleId="63">
    <w:name w:val="文档结构图 字符"/>
    <w:link w:val="9"/>
    <w:qFormat/>
    <w:uiPriority w:val="99"/>
    <w:rPr>
      <w:rFonts w:ascii="宋体" w:hAnsiTheme="minorHAnsi" w:eastAsiaTheme="minorEastAsia" w:cstheme="minorBidi"/>
      <w:kern w:val="2"/>
      <w:sz w:val="18"/>
      <w:szCs w:val="18"/>
    </w:rPr>
  </w:style>
  <w:style w:type="paragraph" w:customStyle="1" w:styleId="64">
    <w:name w:val="方案正文"/>
    <w:basedOn w:val="1"/>
    <w:qFormat/>
    <w:uiPriority w:val="0"/>
    <w:pPr>
      <w:snapToGrid w:val="0"/>
      <w:spacing w:line="440" w:lineRule="atLeast"/>
    </w:pPr>
    <w:rPr>
      <w:rFonts w:ascii="Times New Roman" w:hAnsi="Times New Roman"/>
      <w:szCs w:val="20"/>
    </w:rPr>
  </w:style>
  <w:style w:type="paragraph" w:customStyle="1" w:styleId="65">
    <w:name w:val="QB正文"/>
    <w:basedOn w:val="1"/>
    <w:qFormat/>
    <w:uiPriority w:val="0"/>
    <w:pPr>
      <w:widowControl/>
      <w:autoSpaceDE w:val="0"/>
      <w:autoSpaceDN w:val="0"/>
      <w:spacing w:line="360" w:lineRule="auto"/>
      <w:ind w:firstLine="200" w:firstLineChars="200"/>
    </w:pPr>
    <w:rPr>
      <w:rFonts w:ascii="宋体"/>
      <w:kern w:val="0"/>
      <w:szCs w:val="20"/>
    </w:rPr>
  </w:style>
  <w:style w:type="table" w:customStyle="1" w:styleId="66">
    <w:name w:val="网格型2"/>
    <w:basedOn w:val="2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67">
    <w:name w:val="No Spacing"/>
    <w:basedOn w:val="1"/>
    <w:qFormat/>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65</Pages>
  <Words>10992</Words>
  <Characters>12024</Characters>
  <Lines>761</Lines>
  <Paragraphs>588</Paragraphs>
  <TotalTime>3</TotalTime>
  <ScaleCrop>false</ScaleCrop>
  <LinksUpToDate>false</LinksUpToDate>
  <CharactersWithSpaces>12128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2026-04-22T02:51:00Z</dcterms:created>
  <dc:creator>jiashu zhou</dc:creator>
  <cp:lastModifiedBy>Only Q</cp:lastModifiedBy>
  <cp:lastPrinted>2026-04-20T00:56:00Z</cp:lastPrinted>
  <dcterms:modified xsi:type="dcterms:W3CDTF">2026-04-22T05:48:27Z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8F31B275065341CA849701C890EACF29</vt:lpwstr>
  </property>
  <property fmtid="{D5CDD505-2E9C-101B-9397-08002B2CF9AE}" pid="4" name="KSOTemplateDocerSaveRecord">
    <vt:lpwstr>eyJoZGlkIjoiYzBmMTFkM2YzY2FiNTQ0MmZmMjliOTA5MjdiNmI1NDUiLCJ1c2VySWQiOiI0NTU4MjY1MzAifQ==</vt:lpwstr>
  </property>
</Properties>
</file>